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DC3F1">
      <w:pPr>
        <w:pStyle w:val="6"/>
        <w:jc w:val="both"/>
        <w:rPr>
          <w:rFonts w:hint="default" w:ascii="Times New Roman" w:hAnsi="Times New Roman" w:eastAsia="Arial Unicode MS" w:cs="Times New Roman"/>
          <w:color w:val="auto"/>
          <w:kern w:val="2"/>
          <w:sz w:val="44"/>
          <w:szCs w:val="44"/>
          <w:highlight w:val="none"/>
          <w:lang w:val="en-US" w:eastAsia="zh-CN" w:bidi="ar-SA"/>
        </w:rPr>
      </w:pPr>
      <w:bookmarkStart w:id="0" w:name="_Toc15306267"/>
      <w:bookmarkStart w:id="1" w:name="_Toc15396598"/>
      <w:bookmarkStart w:id="2" w:name="_Toc15396476"/>
      <w:bookmarkStart w:id="3" w:name="_Toc15378442"/>
      <w:bookmarkStart w:id="4" w:name="_Toc15377194"/>
      <w:bookmarkStart w:id="5" w:name="_Toc15377426"/>
    </w:p>
    <w:p w14:paraId="69215A3D">
      <w:pPr>
        <w:pStyle w:val="6"/>
        <w:jc w:val="both"/>
        <w:rPr>
          <w:rFonts w:hint="default" w:ascii="Times New Roman" w:hAnsi="Times New Roman" w:eastAsia="Arial Unicode MS" w:cs="Times New Roman"/>
          <w:color w:val="auto"/>
          <w:kern w:val="2"/>
          <w:sz w:val="44"/>
          <w:szCs w:val="44"/>
          <w:highlight w:val="none"/>
          <w:lang w:val="en-US" w:eastAsia="zh-CN" w:bidi="ar-SA"/>
        </w:rPr>
      </w:pPr>
    </w:p>
    <w:p w14:paraId="684BFF0B">
      <w:pPr>
        <w:pStyle w:val="6"/>
        <w:jc w:val="both"/>
        <w:rPr>
          <w:rFonts w:hint="default" w:ascii="Times New Roman" w:hAnsi="Times New Roman" w:eastAsia="Arial Unicode MS" w:cs="Times New Roman"/>
          <w:color w:val="auto"/>
          <w:kern w:val="2"/>
          <w:sz w:val="44"/>
          <w:szCs w:val="44"/>
          <w:highlight w:val="none"/>
          <w:lang w:val="en-US" w:eastAsia="zh-CN" w:bidi="ar-SA"/>
        </w:rPr>
      </w:pPr>
    </w:p>
    <w:p w14:paraId="195D0048">
      <w:pPr>
        <w:pStyle w:val="6"/>
        <w:jc w:val="both"/>
        <w:rPr>
          <w:rFonts w:hint="default" w:ascii="Times New Roman" w:hAnsi="Times New Roman" w:eastAsia="Arial Unicode MS" w:cs="Times New Roman"/>
          <w:color w:val="auto"/>
          <w:kern w:val="2"/>
          <w:sz w:val="44"/>
          <w:szCs w:val="44"/>
          <w:highlight w:val="none"/>
          <w:lang w:val="en-US" w:eastAsia="zh-CN" w:bidi="ar-SA"/>
        </w:rPr>
      </w:pPr>
    </w:p>
    <w:p w14:paraId="6C4220E3">
      <w:pPr>
        <w:pStyle w:val="6"/>
        <w:jc w:val="both"/>
        <w:rPr>
          <w:rFonts w:hint="default" w:ascii="Times New Roman" w:hAnsi="Times New Roman" w:eastAsia="Arial Unicode MS" w:cs="Times New Roman"/>
          <w:vanish/>
          <w:color w:val="auto"/>
          <w:kern w:val="2"/>
          <w:sz w:val="44"/>
          <w:szCs w:val="44"/>
          <w:highlight w:val="none"/>
          <w:lang w:val="en-US" w:eastAsia="zh-CN" w:bidi="ar-SA"/>
        </w:rPr>
      </w:pPr>
    </w:p>
    <w:p w14:paraId="3589BDA3">
      <w:pPr>
        <w:pStyle w:val="6"/>
        <w:jc w:val="both"/>
        <w:rPr>
          <w:rFonts w:hint="default" w:ascii="Times New Roman" w:hAnsi="Times New Roman" w:eastAsia="Arial Unicode MS" w:cs="Times New Roman"/>
          <w:color w:val="auto"/>
          <w:kern w:val="2"/>
          <w:sz w:val="44"/>
          <w:szCs w:val="44"/>
          <w:highlight w:val="none"/>
          <w:lang w:val="en-US" w:eastAsia="zh-CN" w:bidi="ar-SA"/>
        </w:rPr>
      </w:pPr>
    </w:p>
    <w:p w14:paraId="02E59548">
      <w:pPr>
        <w:pStyle w:val="6"/>
        <w:jc w:val="both"/>
        <w:rPr>
          <w:rFonts w:hint="default" w:ascii="Times New Roman" w:hAnsi="Times New Roman" w:eastAsia="Arial Unicode MS" w:cs="Times New Roman"/>
          <w:color w:val="auto"/>
          <w:kern w:val="2"/>
          <w:sz w:val="44"/>
          <w:szCs w:val="44"/>
          <w:highlight w:val="none"/>
          <w:lang w:val="en-US" w:eastAsia="zh-CN" w:bidi="ar-SA"/>
        </w:rPr>
      </w:pPr>
    </w:p>
    <w:p w14:paraId="747DB731">
      <w:pPr>
        <w:pStyle w:val="6"/>
        <w:jc w:val="both"/>
        <w:rPr>
          <w:rFonts w:hint="default" w:ascii="Times New Roman" w:hAnsi="Times New Roman" w:eastAsia="Arial Unicode MS" w:cs="Times New Roman"/>
          <w:color w:val="auto"/>
          <w:kern w:val="2"/>
          <w:sz w:val="44"/>
          <w:szCs w:val="44"/>
          <w:highlight w:val="none"/>
          <w:lang w:val="en-US" w:eastAsia="zh-CN" w:bidi="ar-SA"/>
        </w:rPr>
      </w:pPr>
    </w:p>
    <w:p w14:paraId="1259CE0C">
      <w:pPr>
        <w:pStyle w:val="6"/>
        <w:jc w:val="both"/>
        <w:rPr>
          <w:rFonts w:hint="default" w:ascii="Times New Roman" w:hAnsi="Times New Roman" w:eastAsia="Arial Unicode MS" w:cs="Times New Roman"/>
          <w:color w:val="auto"/>
          <w:kern w:val="2"/>
          <w:sz w:val="44"/>
          <w:szCs w:val="44"/>
          <w:highlight w:val="none"/>
          <w:lang w:val="en-US" w:eastAsia="zh-CN" w:bidi="ar-SA"/>
        </w:rPr>
      </w:pPr>
    </w:p>
    <w:p w14:paraId="17C7B404">
      <w:pPr>
        <w:pStyle w:val="6"/>
        <w:jc w:val="both"/>
        <w:rPr>
          <w:rFonts w:hint="default" w:ascii="Times New Roman" w:hAnsi="Times New Roman" w:eastAsia="Arial Unicode MS" w:cs="Times New Roman"/>
          <w:color w:val="auto"/>
          <w:kern w:val="2"/>
          <w:sz w:val="44"/>
          <w:szCs w:val="44"/>
          <w:highlight w:val="none"/>
          <w:lang w:val="en-US" w:eastAsia="zh-CN" w:bidi="ar-SA"/>
        </w:rPr>
      </w:pPr>
    </w:p>
    <w:p w14:paraId="137A5A04">
      <w:pPr>
        <w:pStyle w:val="6"/>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2025年度四川省</w:t>
      </w:r>
      <w:bookmarkEnd w:id="0"/>
      <w:bookmarkStart w:id="6" w:name="_Toc15306268"/>
      <w:r>
        <w:rPr>
          <w:rFonts w:hint="eastAsia" w:ascii="方正小标宋简体" w:hAnsi="方正小标宋简体" w:eastAsia="方正小标宋简体" w:cs="方正小标宋简体"/>
          <w:color w:val="auto"/>
          <w:kern w:val="2"/>
          <w:sz w:val="44"/>
          <w:szCs w:val="44"/>
          <w:highlight w:val="none"/>
          <w:lang w:val="en-US" w:eastAsia="zh-CN" w:bidi="ar-SA"/>
        </w:rPr>
        <w:t>阿坝州茂县土门镇人民</w:t>
      </w:r>
    </w:p>
    <w:p w14:paraId="226406D0">
      <w:pPr>
        <w:pStyle w:val="6"/>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政府部门决算</w:t>
      </w:r>
      <w:bookmarkEnd w:id="1"/>
      <w:bookmarkEnd w:id="2"/>
      <w:bookmarkEnd w:id="3"/>
      <w:bookmarkEnd w:id="4"/>
      <w:bookmarkEnd w:id="5"/>
      <w:bookmarkEnd w:id="6"/>
    </w:p>
    <w:p w14:paraId="4705C718">
      <w:pPr>
        <w:rPr>
          <w:rFonts w:hint="default" w:ascii="Times New Roman" w:hAnsi="Times New Roman" w:eastAsia="黑体" w:cs="Times New Roman"/>
          <w:color w:val="auto"/>
          <w:sz w:val="48"/>
          <w:szCs w:val="48"/>
          <w:highlight w:val="none"/>
        </w:rPr>
      </w:pPr>
    </w:p>
    <w:p w14:paraId="5B9B9968">
      <w:pPr>
        <w:widowControl/>
        <w:jc w:val="center"/>
        <w:rPr>
          <w:rFonts w:hint="default" w:ascii="Times New Roman" w:hAnsi="Times New Roman" w:eastAsia="黑体" w:cs="Times New Roman"/>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AF35172">
      <w:pPr>
        <w:widowControl/>
        <w:jc w:val="center"/>
        <w:rPr>
          <w:rFonts w:hint="default" w:ascii="Times New Roman" w:hAnsi="Times New Roman" w:eastAsia="黑体" w:cs="Times New Roman"/>
          <w:color w:val="auto"/>
          <w:sz w:val="48"/>
          <w:szCs w:val="48"/>
          <w:highlight w:val="none"/>
        </w:rPr>
      </w:pPr>
      <w:r>
        <w:rPr>
          <w:rFonts w:hint="default" w:eastAsia="黑体" w:cs="Times New Roman"/>
          <w:color w:val="auto"/>
          <w:sz w:val="48"/>
          <w:szCs w:val="48"/>
          <w:highlight w:val="none"/>
        </w:rPr>
        <w:t>目  录</w:t>
      </w:r>
    </w:p>
    <w:p w14:paraId="385CD758">
      <w:pPr>
        <w:pStyle w:val="13"/>
        <w:rPr>
          <w:color w:val="auto"/>
          <w:sz w:val="32"/>
          <w:szCs w:val="32"/>
          <w:highlight w:val="none"/>
        </w:rPr>
      </w:pPr>
      <w:r>
        <w:rPr>
          <w:rFonts w:hint="eastAsia"/>
          <w:color w:val="auto"/>
          <w:sz w:val="32"/>
          <w:szCs w:val="32"/>
          <w:highlight w:val="none"/>
        </w:rPr>
        <w:t>公开时间：</w:t>
      </w:r>
      <w:r>
        <w:rPr>
          <w:rFonts w:hint="eastAsia"/>
          <w:color w:val="auto"/>
          <w:sz w:val="32"/>
          <w:szCs w:val="32"/>
          <w:highlight w:val="none"/>
          <w:lang w:eastAsia="zh-CN"/>
        </w:rPr>
        <w:t>202</w:t>
      </w:r>
      <w:r>
        <w:rPr>
          <w:rFonts w:hint="eastAsia"/>
          <w:color w:val="auto"/>
          <w:sz w:val="32"/>
          <w:szCs w:val="32"/>
          <w:highlight w:val="none"/>
          <w:lang w:val="en-US" w:eastAsia="zh-CN"/>
        </w:rPr>
        <w:t>6</w:t>
      </w:r>
      <w:r>
        <w:rPr>
          <w:rFonts w:hint="eastAsia"/>
          <w:color w:val="auto"/>
          <w:sz w:val="32"/>
          <w:szCs w:val="32"/>
          <w:highlight w:val="none"/>
          <w:lang w:eastAsia="zh-CN"/>
        </w:rPr>
        <w:t>年</w:t>
      </w:r>
      <w:r>
        <w:rPr>
          <w:rFonts w:hint="eastAsia"/>
          <w:color w:val="auto"/>
          <w:sz w:val="32"/>
          <w:szCs w:val="32"/>
          <w:highlight w:val="none"/>
          <w:lang w:val="en-US" w:eastAsia="zh-CN"/>
        </w:rPr>
        <w:t>9</w:t>
      </w:r>
      <w:r>
        <w:rPr>
          <w:rFonts w:hint="eastAsia"/>
          <w:color w:val="auto"/>
          <w:sz w:val="32"/>
          <w:szCs w:val="32"/>
          <w:highlight w:val="none"/>
        </w:rPr>
        <w:t>月</w:t>
      </w:r>
      <w:r>
        <w:rPr>
          <w:rFonts w:hint="eastAsia"/>
          <w:color w:val="auto"/>
          <w:sz w:val="32"/>
          <w:szCs w:val="32"/>
          <w:highlight w:val="none"/>
          <w:lang w:val="en-US" w:eastAsia="zh-CN"/>
        </w:rPr>
        <w:t>4</w:t>
      </w:r>
      <w:r>
        <w:rPr>
          <w:rFonts w:hint="eastAsia"/>
          <w:color w:val="auto"/>
          <w:sz w:val="32"/>
          <w:szCs w:val="32"/>
          <w:highlight w:val="none"/>
        </w:rPr>
        <w:t>日</w:t>
      </w:r>
    </w:p>
    <w:p w14:paraId="7723C9F3">
      <w:pPr>
        <w:pStyle w:val="13"/>
        <w:tabs>
          <w:tab w:val="right" w:leader="dot" w:pos="8306"/>
          <w:tab w:val="clear" w:pos="8296"/>
        </w:tabs>
        <w:rPr>
          <w:rFonts w:hint="eastAsia" w:ascii="仿宋" w:hAnsi="仿宋" w:eastAsia="仿宋" w:cs="仿宋"/>
          <w:color w:val="auto"/>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TOC \o "1-3" \h \u </w:instrText>
      </w:r>
      <w:r>
        <w:rPr>
          <w:rFonts w:hint="eastAsia" w:asciiTheme="minorEastAsia" w:hAnsiTheme="minorEastAsia" w:eastAsiaTheme="minorEastAsia" w:cstheme="minorEastAsia"/>
          <w:color w:val="auto"/>
          <w:sz w:val="32"/>
          <w:szCs w:val="32"/>
          <w:highlight w:val="none"/>
        </w:rPr>
        <w:fldChar w:fldCharType="separate"/>
      </w: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_Toc24985 </w:instrText>
      </w:r>
      <w:r>
        <w:rPr>
          <w:rFonts w:hint="eastAsia" w:ascii="仿宋" w:hAnsi="仿宋" w:eastAsia="仿宋" w:cs="仿宋"/>
          <w:color w:val="auto"/>
          <w:sz w:val="32"/>
          <w:szCs w:val="32"/>
          <w:highlight w:val="none"/>
        </w:rPr>
        <w:fldChar w:fldCharType="separate"/>
      </w:r>
      <w:r>
        <w:rPr>
          <w:rFonts w:hint="eastAsia" w:ascii="仿宋" w:hAnsi="仿宋" w:eastAsia="仿宋" w:cs="仿宋"/>
          <w:color w:val="auto"/>
          <w:sz w:val="32"/>
          <w:szCs w:val="32"/>
          <w:highlight w:val="none"/>
        </w:rPr>
        <w:t xml:space="preserve">第一部分 </w:t>
      </w:r>
      <w:r>
        <w:rPr>
          <w:rFonts w:hint="eastAsia" w:ascii="仿宋" w:hAnsi="仿宋" w:eastAsia="仿宋" w:cs="仿宋"/>
          <w:color w:val="auto"/>
          <w:sz w:val="32"/>
          <w:szCs w:val="32"/>
          <w:highlight w:val="none"/>
          <w:lang w:eastAsia="zh-CN"/>
        </w:rPr>
        <w:t>单位</w:t>
      </w:r>
      <w:r>
        <w:rPr>
          <w:rFonts w:hint="eastAsia" w:ascii="仿宋" w:hAnsi="仿宋" w:eastAsia="仿宋" w:cs="仿宋"/>
          <w:bCs w:val="0"/>
          <w:color w:val="auto"/>
          <w:sz w:val="32"/>
          <w:szCs w:val="32"/>
          <w:highlight w:val="none"/>
        </w:rPr>
        <w:t>概况</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highlight w:val="none"/>
        </w:rPr>
        <w:fldChar w:fldCharType="end"/>
      </w:r>
    </w:p>
    <w:p w14:paraId="7112FB17">
      <w:pPr>
        <w:pStyle w:val="16"/>
        <w:tabs>
          <w:tab w:val="right" w:leader="dot" w:pos="8306"/>
          <w:tab w:val="clear" w:pos="8296"/>
        </w:tabs>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_Toc7567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lang w:eastAsia="zh-CN"/>
        </w:rPr>
        <w:t>一、主要职责</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1</w:t>
      </w:r>
      <w:r>
        <w:rPr>
          <w:rFonts w:hint="eastAsia" w:asciiTheme="minorEastAsia" w:hAnsiTheme="minorEastAsia" w:eastAsiaTheme="minorEastAsia" w:cstheme="minorEastAsia"/>
          <w:color w:val="auto"/>
          <w:sz w:val="32"/>
          <w:szCs w:val="32"/>
          <w:highlight w:val="none"/>
        </w:rPr>
        <w:fldChar w:fldCharType="end"/>
      </w:r>
    </w:p>
    <w:p w14:paraId="076BA6E3">
      <w:pPr>
        <w:pStyle w:val="16"/>
        <w:tabs>
          <w:tab w:val="right" w:leader="dot" w:pos="8306"/>
          <w:tab w:val="clear" w:pos="8296"/>
        </w:tabs>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_Toc30127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lang w:val="en-US" w:eastAsia="zh-CN"/>
        </w:rPr>
        <w:t>二、机构设置</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p>
    <w:p w14:paraId="669E8B19">
      <w:pPr>
        <w:pStyle w:val="13"/>
        <w:tabs>
          <w:tab w:val="right" w:leader="dot" w:pos="8306"/>
          <w:tab w:val="clear" w:pos="8296"/>
        </w:tabs>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_Toc24356 </w:instrText>
      </w:r>
      <w:r>
        <w:rPr>
          <w:rFonts w:hint="eastAsia" w:ascii="仿宋" w:hAnsi="仿宋" w:eastAsia="仿宋" w:cs="仿宋"/>
          <w:color w:val="auto"/>
          <w:sz w:val="32"/>
          <w:szCs w:val="32"/>
          <w:highlight w:val="none"/>
        </w:rPr>
        <w:fldChar w:fldCharType="separate"/>
      </w:r>
      <w:r>
        <w:rPr>
          <w:rFonts w:hint="eastAsia" w:ascii="仿宋" w:hAnsi="仿宋" w:eastAsia="仿宋" w:cs="仿宋"/>
          <w:color w:val="auto"/>
          <w:sz w:val="32"/>
          <w:szCs w:val="32"/>
          <w:highlight w:val="none"/>
        </w:rPr>
        <w:t xml:space="preserve">第二部分 </w:t>
      </w:r>
      <w:r>
        <w:rPr>
          <w:rFonts w:hint="eastAsia" w:ascii="仿宋" w:hAnsi="仿宋" w:eastAsia="仿宋" w:cs="仿宋"/>
          <w:color w:val="auto"/>
          <w:sz w:val="32"/>
          <w:szCs w:val="32"/>
          <w:highlight w:val="none"/>
          <w:lang w:val="en-US" w:eastAsia="zh-CN"/>
        </w:rPr>
        <w:t>2025年度</w:t>
      </w:r>
      <w:r>
        <w:rPr>
          <w:rFonts w:hint="eastAsia" w:ascii="仿宋" w:hAnsi="仿宋" w:eastAsia="仿宋" w:cs="仿宋"/>
          <w:color w:val="auto"/>
          <w:sz w:val="32"/>
          <w:szCs w:val="32"/>
          <w:highlight w:val="none"/>
          <w:lang w:eastAsia="zh-CN"/>
        </w:rPr>
        <w:t>单位</w:t>
      </w:r>
      <w:r>
        <w:rPr>
          <w:rFonts w:hint="eastAsia" w:ascii="仿宋" w:hAnsi="仿宋" w:eastAsia="仿宋" w:cs="仿宋"/>
          <w:color w:val="auto"/>
          <w:sz w:val="32"/>
          <w:szCs w:val="32"/>
          <w:highlight w:val="none"/>
        </w:rPr>
        <w:t>决算情况说明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fldChar w:fldCharType="end"/>
      </w:r>
    </w:p>
    <w:p w14:paraId="47BFE6F5">
      <w:pPr>
        <w:pStyle w:val="16"/>
        <w:tabs>
          <w:tab w:val="right" w:leader="dot" w:pos="8306"/>
          <w:tab w:val="clear" w:pos="8296"/>
        </w:tabs>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highlight w:val="none"/>
        </w:rPr>
        <w:fldChar w:fldCharType="begin"/>
      </w:r>
      <w:r>
        <w:rPr>
          <w:rFonts w:hint="eastAsia" w:asciiTheme="minorEastAsia" w:hAnsiTheme="minorEastAsia" w:eastAsiaTheme="minorEastAsia" w:cstheme="minorEastAsia"/>
          <w:b w:val="0"/>
          <w:bCs w:val="0"/>
          <w:color w:val="auto"/>
          <w:sz w:val="32"/>
          <w:szCs w:val="32"/>
          <w:highlight w:val="none"/>
        </w:rPr>
        <w:instrText xml:space="preserve"> HYPERLINK \l _Toc10862 </w:instrText>
      </w:r>
      <w:r>
        <w:rPr>
          <w:rFonts w:hint="eastAsia" w:asciiTheme="minorEastAsia" w:hAnsiTheme="minorEastAsia" w:eastAsiaTheme="minorEastAsia" w:cstheme="minorEastAsia"/>
          <w:b w:val="0"/>
          <w:bCs w:val="0"/>
          <w:color w:val="auto"/>
          <w:sz w:val="32"/>
          <w:szCs w:val="32"/>
          <w:highlight w:val="none"/>
        </w:rPr>
        <w:fldChar w:fldCharType="separate"/>
      </w:r>
      <w:r>
        <w:rPr>
          <w:rFonts w:hint="eastAsia" w:asciiTheme="minorEastAsia" w:hAnsiTheme="minorEastAsia" w:eastAsiaTheme="minorEastAsia" w:cstheme="minorEastAsia"/>
          <w:b w:val="0"/>
          <w:bCs w:val="0"/>
          <w:color w:val="auto"/>
          <w:sz w:val="32"/>
          <w:szCs w:val="32"/>
          <w:highlight w:val="none"/>
          <w:lang w:eastAsia="zh-CN"/>
        </w:rPr>
        <w:t>一、</w:t>
      </w:r>
      <w:r>
        <w:rPr>
          <w:rFonts w:hint="eastAsia" w:asciiTheme="minorEastAsia" w:hAnsiTheme="minorEastAsia" w:eastAsiaTheme="minorEastAsia" w:cstheme="minorEastAsia"/>
          <w:b w:val="0"/>
          <w:bCs w:val="0"/>
          <w:color w:val="auto"/>
          <w:sz w:val="32"/>
          <w:szCs w:val="32"/>
          <w:highlight w:val="none"/>
        </w:rPr>
        <w:t>收入支出决算总体情况说明</w:t>
      </w:r>
      <w:r>
        <w:rPr>
          <w:rFonts w:hint="eastAsia" w:asciiTheme="minorEastAsia" w:hAnsiTheme="minorEastAsia" w:eastAsiaTheme="minorEastAsia" w:cstheme="minorEastAsia"/>
          <w:b w:val="0"/>
          <w:bCs w:val="0"/>
          <w:color w:val="auto"/>
          <w:sz w:val="32"/>
          <w:szCs w:val="32"/>
        </w:rPr>
        <w:tab/>
      </w:r>
      <w:r>
        <w:rPr>
          <w:rFonts w:hint="eastAsia" w:asciiTheme="minorEastAsia" w:hAnsiTheme="minorEastAsia" w:eastAsiaTheme="minorEastAsia" w:cstheme="minorEastAsia"/>
          <w:b w:val="0"/>
          <w:bCs w:val="0"/>
          <w:color w:val="auto"/>
          <w:sz w:val="32"/>
          <w:szCs w:val="32"/>
          <w:lang w:val="en-US" w:eastAsia="zh-CN"/>
        </w:rPr>
        <w:t>4</w:t>
      </w:r>
      <w:r>
        <w:rPr>
          <w:rFonts w:hint="eastAsia" w:asciiTheme="minorEastAsia" w:hAnsiTheme="minorEastAsia" w:eastAsiaTheme="minorEastAsia" w:cstheme="minorEastAsia"/>
          <w:b w:val="0"/>
          <w:bCs w:val="0"/>
          <w:color w:val="auto"/>
          <w:sz w:val="32"/>
          <w:szCs w:val="32"/>
          <w:highlight w:val="none"/>
        </w:rPr>
        <w:fldChar w:fldCharType="end"/>
      </w:r>
    </w:p>
    <w:p w14:paraId="3105A6E9">
      <w:pPr>
        <w:pStyle w:val="16"/>
        <w:tabs>
          <w:tab w:val="right" w:leader="dot" w:pos="8306"/>
          <w:tab w:val="clear" w:pos="8296"/>
        </w:tabs>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highlight w:val="none"/>
        </w:rPr>
        <w:fldChar w:fldCharType="begin"/>
      </w:r>
      <w:r>
        <w:rPr>
          <w:rFonts w:hint="eastAsia" w:asciiTheme="minorEastAsia" w:hAnsiTheme="minorEastAsia" w:eastAsiaTheme="minorEastAsia" w:cstheme="minorEastAsia"/>
          <w:b w:val="0"/>
          <w:bCs w:val="0"/>
          <w:color w:val="auto"/>
          <w:sz w:val="32"/>
          <w:szCs w:val="32"/>
          <w:highlight w:val="none"/>
        </w:rPr>
        <w:instrText xml:space="preserve"> HYPERLINK \l _Toc30275 </w:instrText>
      </w:r>
      <w:r>
        <w:rPr>
          <w:rFonts w:hint="eastAsia" w:asciiTheme="minorEastAsia" w:hAnsiTheme="minorEastAsia" w:eastAsiaTheme="minorEastAsia" w:cstheme="minorEastAsia"/>
          <w:b w:val="0"/>
          <w:bCs w:val="0"/>
          <w:color w:val="auto"/>
          <w:sz w:val="32"/>
          <w:szCs w:val="32"/>
          <w:highlight w:val="none"/>
        </w:rPr>
        <w:fldChar w:fldCharType="separate"/>
      </w:r>
      <w:r>
        <w:rPr>
          <w:rFonts w:hint="eastAsia" w:asciiTheme="minorEastAsia" w:hAnsiTheme="minorEastAsia" w:eastAsiaTheme="minorEastAsia" w:cstheme="minorEastAsia"/>
          <w:b w:val="0"/>
          <w:bCs w:val="0"/>
          <w:color w:val="auto"/>
          <w:sz w:val="32"/>
          <w:szCs w:val="32"/>
          <w:highlight w:val="none"/>
          <w:lang w:eastAsia="zh-CN"/>
        </w:rPr>
        <w:t>二、</w:t>
      </w:r>
      <w:r>
        <w:rPr>
          <w:rFonts w:hint="eastAsia" w:asciiTheme="minorEastAsia" w:hAnsiTheme="minorEastAsia" w:eastAsiaTheme="minorEastAsia" w:cstheme="minorEastAsia"/>
          <w:b w:val="0"/>
          <w:bCs w:val="0"/>
          <w:color w:val="auto"/>
          <w:sz w:val="32"/>
          <w:szCs w:val="32"/>
          <w:highlight w:val="none"/>
        </w:rPr>
        <w:t>收入决算情况说明</w:t>
      </w:r>
      <w:r>
        <w:rPr>
          <w:rFonts w:hint="eastAsia" w:asciiTheme="minorEastAsia" w:hAnsiTheme="minorEastAsia" w:eastAsiaTheme="minorEastAsia" w:cstheme="minorEastAsia"/>
          <w:b w:val="0"/>
          <w:bCs w:val="0"/>
          <w:color w:val="auto"/>
          <w:sz w:val="32"/>
          <w:szCs w:val="32"/>
        </w:rPr>
        <w:tab/>
      </w:r>
      <w:r>
        <w:rPr>
          <w:rFonts w:hint="eastAsia" w:asciiTheme="minorEastAsia" w:hAnsiTheme="minorEastAsia" w:eastAsiaTheme="minorEastAsia" w:cstheme="minorEastAsia"/>
          <w:b w:val="0"/>
          <w:bCs w:val="0"/>
          <w:color w:val="auto"/>
          <w:sz w:val="32"/>
          <w:szCs w:val="32"/>
          <w:lang w:val="en-US" w:eastAsia="zh-CN"/>
        </w:rPr>
        <w:t>4</w:t>
      </w:r>
      <w:r>
        <w:rPr>
          <w:rFonts w:hint="eastAsia" w:asciiTheme="minorEastAsia" w:hAnsiTheme="minorEastAsia" w:eastAsiaTheme="minorEastAsia" w:cstheme="minorEastAsia"/>
          <w:b w:val="0"/>
          <w:bCs w:val="0"/>
          <w:color w:val="auto"/>
          <w:sz w:val="32"/>
          <w:szCs w:val="32"/>
          <w:highlight w:val="none"/>
        </w:rPr>
        <w:fldChar w:fldCharType="end"/>
      </w:r>
    </w:p>
    <w:p w14:paraId="0467A20C">
      <w:pPr>
        <w:pStyle w:val="16"/>
        <w:tabs>
          <w:tab w:val="right" w:leader="dot" w:pos="8306"/>
          <w:tab w:val="clear" w:pos="8296"/>
        </w:tabs>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highlight w:val="none"/>
        </w:rPr>
        <w:fldChar w:fldCharType="begin"/>
      </w:r>
      <w:r>
        <w:rPr>
          <w:rFonts w:hint="eastAsia" w:asciiTheme="minorEastAsia" w:hAnsiTheme="minorEastAsia" w:eastAsiaTheme="minorEastAsia" w:cstheme="minorEastAsia"/>
          <w:b w:val="0"/>
          <w:bCs w:val="0"/>
          <w:color w:val="auto"/>
          <w:sz w:val="32"/>
          <w:szCs w:val="32"/>
          <w:highlight w:val="none"/>
        </w:rPr>
        <w:instrText xml:space="preserve"> HYPERLINK \l _Toc6990 </w:instrText>
      </w:r>
      <w:r>
        <w:rPr>
          <w:rFonts w:hint="eastAsia" w:asciiTheme="minorEastAsia" w:hAnsiTheme="minorEastAsia" w:eastAsiaTheme="minorEastAsia" w:cstheme="minorEastAsia"/>
          <w:b w:val="0"/>
          <w:bCs w:val="0"/>
          <w:color w:val="auto"/>
          <w:sz w:val="32"/>
          <w:szCs w:val="32"/>
          <w:highlight w:val="none"/>
        </w:rPr>
        <w:fldChar w:fldCharType="separate"/>
      </w:r>
      <w:r>
        <w:rPr>
          <w:rFonts w:hint="eastAsia" w:asciiTheme="minorEastAsia" w:hAnsiTheme="minorEastAsia" w:eastAsiaTheme="minorEastAsia" w:cstheme="minorEastAsia"/>
          <w:b w:val="0"/>
          <w:bCs w:val="0"/>
          <w:color w:val="auto"/>
          <w:sz w:val="32"/>
          <w:szCs w:val="32"/>
          <w:highlight w:val="none"/>
          <w:lang w:eastAsia="zh-CN"/>
        </w:rPr>
        <w:t>三、</w:t>
      </w:r>
      <w:r>
        <w:rPr>
          <w:rFonts w:hint="eastAsia" w:asciiTheme="minorEastAsia" w:hAnsiTheme="minorEastAsia" w:eastAsiaTheme="minorEastAsia" w:cstheme="minorEastAsia"/>
          <w:b w:val="0"/>
          <w:bCs w:val="0"/>
          <w:color w:val="auto"/>
          <w:sz w:val="32"/>
          <w:szCs w:val="32"/>
          <w:highlight w:val="none"/>
        </w:rPr>
        <w:t>支出决算情况说明</w:t>
      </w:r>
      <w:r>
        <w:rPr>
          <w:rFonts w:hint="eastAsia" w:asciiTheme="minorEastAsia" w:hAnsiTheme="minorEastAsia" w:eastAsiaTheme="minorEastAsia" w:cstheme="minorEastAsia"/>
          <w:b w:val="0"/>
          <w:bCs w:val="0"/>
          <w:color w:val="auto"/>
          <w:sz w:val="32"/>
          <w:szCs w:val="32"/>
        </w:rPr>
        <w:tab/>
      </w:r>
      <w:r>
        <w:rPr>
          <w:rFonts w:hint="eastAsia" w:asciiTheme="minorEastAsia" w:hAnsiTheme="minorEastAsia" w:eastAsiaTheme="minorEastAsia" w:cstheme="minorEastAsia"/>
          <w:b w:val="0"/>
          <w:bCs w:val="0"/>
          <w:color w:val="auto"/>
          <w:sz w:val="32"/>
          <w:szCs w:val="32"/>
          <w:lang w:val="en-US" w:eastAsia="zh-CN"/>
        </w:rPr>
        <w:t>5</w:t>
      </w:r>
      <w:r>
        <w:rPr>
          <w:rFonts w:hint="eastAsia" w:asciiTheme="minorEastAsia" w:hAnsiTheme="minorEastAsia" w:eastAsiaTheme="minorEastAsia" w:cstheme="minorEastAsia"/>
          <w:b w:val="0"/>
          <w:bCs w:val="0"/>
          <w:color w:val="auto"/>
          <w:sz w:val="32"/>
          <w:szCs w:val="32"/>
          <w:highlight w:val="none"/>
        </w:rPr>
        <w:fldChar w:fldCharType="end"/>
      </w:r>
    </w:p>
    <w:p w14:paraId="16FF64DD">
      <w:pPr>
        <w:pStyle w:val="16"/>
        <w:tabs>
          <w:tab w:val="right" w:leader="dot" w:pos="8306"/>
          <w:tab w:val="clear" w:pos="8296"/>
        </w:tabs>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highlight w:val="none"/>
        </w:rPr>
        <w:fldChar w:fldCharType="begin"/>
      </w:r>
      <w:r>
        <w:rPr>
          <w:rFonts w:hint="eastAsia" w:asciiTheme="minorEastAsia" w:hAnsiTheme="minorEastAsia" w:eastAsiaTheme="minorEastAsia" w:cstheme="minorEastAsia"/>
          <w:b w:val="0"/>
          <w:bCs w:val="0"/>
          <w:color w:val="auto"/>
          <w:sz w:val="32"/>
          <w:szCs w:val="32"/>
          <w:highlight w:val="none"/>
        </w:rPr>
        <w:instrText xml:space="preserve"> HYPERLINK \l _Toc22910 </w:instrText>
      </w:r>
      <w:r>
        <w:rPr>
          <w:rFonts w:hint="eastAsia" w:asciiTheme="minorEastAsia" w:hAnsiTheme="minorEastAsia" w:eastAsiaTheme="minorEastAsia" w:cstheme="minorEastAsia"/>
          <w:b w:val="0"/>
          <w:bCs w:val="0"/>
          <w:color w:val="auto"/>
          <w:sz w:val="32"/>
          <w:szCs w:val="32"/>
          <w:highlight w:val="none"/>
        </w:rPr>
        <w:fldChar w:fldCharType="separate"/>
      </w:r>
      <w:r>
        <w:rPr>
          <w:rFonts w:hint="eastAsia" w:asciiTheme="minorEastAsia" w:hAnsiTheme="minorEastAsia" w:eastAsiaTheme="minorEastAsia" w:cstheme="minorEastAsia"/>
          <w:b w:val="0"/>
          <w:bCs w:val="0"/>
          <w:color w:val="auto"/>
          <w:sz w:val="32"/>
          <w:szCs w:val="32"/>
          <w:highlight w:val="none"/>
        </w:rPr>
        <w:t>四、财政拨款收入支出决算总体情况说明</w:t>
      </w:r>
      <w:r>
        <w:rPr>
          <w:rFonts w:hint="eastAsia" w:asciiTheme="minorEastAsia" w:hAnsiTheme="minorEastAsia" w:eastAsiaTheme="minorEastAsia" w:cstheme="minorEastAsia"/>
          <w:b w:val="0"/>
          <w:bCs w:val="0"/>
          <w:color w:val="auto"/>
          <w:sz w:val="32"/>
          <w:szCs w:val="32"/>
        </w:rPr>
        <w:tab/>
      </w:r>
      <w:r>
        <w:rPr>
          <w:rFonts w:hint="eastAsia" w:asciiTheme="minorEastAsia" w:hAnsiTheme="minorEastAsia" w:eastAsiaTheme="minorEastAsia" w:cstheme="minorEastAsia"/>
          <w:b w:val="0"/>
          <w:bCs w:val="0"/>
          <w:color w:val="auto"/>
          <w:sz w:val="32"/>
          <w:szCs w:val="32"/>
          <w:lang w:val="en-US" w:eastAsia="zh-CN"/>
        </w:rPr>
        <w:t>6</w:t>
      </w:r>
      <w:r>
        <w:rPr>
          <w:rFonts w:hint="eastAsia" w:asciiTheme="minorEastAsia" w:hAnsiTheme="minorEastAsia" w:eastAsiaTheme="minorEastAsia" w:cstheme="minorEastAsia"/>
          <w:b w:val="0"/>
          <w:bCs w:val="0"/>
          <w:color w:val="auto"/>
          <w:sz w:val="32"/>
          <w:szCs w:val="32"/>
          <w:highlight w:val="none"/>
        </w:rPr>
        <w:fldChar w:fldCharType="end"/>
      </w:r>
    </w:p>
    <w:p w14:paraId="148D7C47">
      <w:pPr>
        <w:pStyle w:val="16"/>
        <w:tabs>
          <w:tab w:val="right" w:leader="dot" w:pos="8306"/>
          <w:tab w:val="clear" w:pos="8296"/>
        </w:tabs>
        <w:rPr>
          <w:rFonts w:hint="eastAsia" w:asciiTheme="minorEastAsia" w:hAnsiTheme="minorEastAsia" w:eastAsiaTheme="minorEastAsia" w:cstheme="minorEastAsia"/>
          <w:b w:val="0"/>
          <w:bCs w:val="0"/>
          <w:color w:val="auto"/>
          <w:sz w:val="32"/>
          <w:szCs w:val="32"/>
        </w:rPr>
      </w:pPr>
      <w:r>
        <w:rPr>
          <w:rFonts w:hint="eastAsia" w:asciiTheme="minorEastAsia" w:hAnsiTheme="minorEastAsia" w:eastAsiaTheme="minorEastAsia" w:cstheme="minorEastAsia"/>
          <w:b w:val="0"/>
          <w:bCs w:val="0"/>
          <w:color w:val="auto"/>
          <w:sz w:val="32"/>
          <w:szCs w:val="32"/>
          <w:highlight w:val="none"/>
        </w:rPr>
        <w:fldChar w:fldCharType="begin"/>
      </w:r>
      <w:r>
        <w:rPr>
          <w:rFonts w:hint="eastAsia" w:asciiTheme="minorEastAsia" w:hAnsiTheme="minorEastAsia" w:eastAsiaTheme="minorEastAsia" w:cstheme="minorEastAsia"/>
          <w:b w:val="0"/>
          <w:bCs w:val="0"/>
          <w:color w:val="auto"/>
          <w:sz w:val="32"/>
          <w:szCs w:val="32"/>
          <w:highlight w:val="none"/>
        </w:rPr>
        <w:instrText xml:space="preserve"> HYPERLINK \l _Toc14248 </w:instrText>
      </w:r>
      <w:r>
        <w:rPr>
          <w:rFonts w:hint="eastAsia" w:asciiTheme="minorEastAsia" w:hAnsiTheme="minorEastAsia" w:eastAsiaTheme="minorEastAsia" w:cstheme="minorEastAsia"/>
          <w:b w:val="0"/>
          <w:bCs w:val="0"/>
          <w:color w:val="auto"/>
          <w:sz w:val="32"/>
          <w:szCs w:val="32"/>
          <w:highlight w:val="none"/>
        </w:rPr>
        <w:fldChar w:fldCharType="separate"/>
      </w:r>
      <w:r>
        <w:rPr>
          <w:rFonts w:hint="eastAsia" w:asciiTheme="minorEastAsia" w:hAnsiTheme="minorEastAsia" w:eastAsiaTheme="minorEastAsia" w:cstheme="minorEastAsia"/>
          <w:b w:val="0"/>
          <w:bCs w:val="0"/>
          <w:color w:val="auto"/>
          <w:sz w:val="32"/>
          <w:szCs w:val="32"/>
          <w:highlight w:val="none"/>
        </w:rPr>
        <w:t>五、一般公共预算财政拨款支出决算情况说明</w:t>
      </w:r>
      <w:r>
        <w:rPr>
          <w:rFonts w:hint="eastAsia" w:asciiTheme="minorEastAsia" w:hAnsiTheme="minorEastAsia" w:eastAsiaTheme="minorEastAsia" w:cstheme="minorEastAsia"/>
          <w:b w:val="0"/>
          <w:bCs w:val="0"/>
          <w:color w:val="auto"/>
          <w:sz w:val="32"/>
          <w:szCs w:val="32"/>
        </w:rPr>
        <w:tab/>
      </w:r>
      <w:r>
        <w:rPr>
          <w:rFonts w:hint="eastAsia" w:asciiTheme="minorEastAsia" w:hAnsiTheme="minorEastAsia" w:eastAsiaTheme="minorEastAsia" w:cstheme="minorEastAsia"/>
          <w:b w:val="0"/>
          <w:bCs w:val="0"/>
          <w:color w:val="auto"/>
          <w:sz w:val="32"/>
          <w:szCs w:val="32"/>
          <w:lang w:val="en-US" w:eastAsia="zh-CN"/>
        </w:rPr>
        <w:t>6</w:t>
      </w:r>
      <w:r>
        <w:rPr>
          <w:rFonts w:hint="eastAsia" w:asciiTheme="minorEastAsia" w:hAnsiTheme="minorEastAsia" w:eastAsiaTheme="minorEastAsia" w:cstheme="minorEastAsia"/>
          <w:b w:val="0"/>
          <w:bCs w:val="0"/>
          <w:color w:val="auto"/>
          <w:sz w:val="32"/>
          <w:szCs w:val="32"/>
          <w:highlight w:val="none"/>
        </w:rPr>
        <w:fldChar w:fldCharType="end"/>
      </w:r>
    </w:p>
    <w:p w14:paraId="35A0B7D3">
      <w:pPr>
        <w:pStyle w:val="16"/>
        <w:tabs>
          <w:tab w:val="right" w:leader="dot" w:pos="8306"/>
          <w:tab w:val="clear" w:pos="8296"/>
        </w:tabs>
        <w:rPr>
          <w:rFonts w:hint="eastAsia" w:asciiTheme="minorEastAsia" w:hAnsiTheme="minorEastAsia" w:eastAsiaTheme="minorEastAsia" w:cstheme="minorEastAsia"/>
          <w:b w:val="0"/>
          <w:bCs w:val="0"/>
          <w:color w:val="auto"/>
          <w:sz w:val="32"/>
          <w:szCs w:val="32"/>
          <w:lang w:val="en-US" w:eastAsia="zh-CN"/>
        </w:rPr>
      </w:pPr>
      <w:r>
        <w:rPr>
          <w:rFonts w:hint="eastAsia" w:asciiTheme="minorEastAsia" w:hAnsiTheme="minorEastAsia" w:eastAsiaTheme="minorEastAsia" w:cstheme="minorEastAsia"/>
          <w:b w:val="0"/>
          <w:bCs w:val="0"/>
          <w:color w:val="auto"/>
          <w:sz w:val="32"/>
          <w:szCs w:val="32"/>
          <w:highlight w:val="none"/>
        </w:rPr>
        <w:fldChar w:fldCharType="begin"/>
      </w:r>
      <w:r>
        <w:rPr>
          <w:rFonts w:hint="eastAsia" w:asciiTheme="minorEastAsia" w:hAnsiTheme="minorEastAsia" w:eastAsiaTheme="minorEastAsia" w:cstheme="minorEastAsia"/>
          <w:b w:val="0"/>
          <w:bCs w:val="0"/>
          <w:color w:val="auto"/>
          <w:sz w:val="32"/>
          <w:szCs w:val="32"/>
          <w:highlight w:val="none"/>
        </w:rPr>
        <w:instrText xml:space="preserve"> HYPERLINK \l _Toc14452 </w:instrText>
      </w:r>
      <w:r>
        <w:rPr>
          <w:rFonts w:hint="eastAsia" w:asciiTheme="minorEastAsia" w:hAnsiTheme="minorEastAsia" w:eastAsiaTheme="minorEastAsia" w:cstheme="minorEastAsia"/>
          <w:b w:val="0"/>
          <w:bCs w:val="0"/>
          <w:color w:val="auto"/>
          <w:sz w:val="32"/>
          <w:szCs w:val="32"/>
          <w:highlight w:val="none"/>
        </w:rPr>
        <w:fldChar w:fldCharType="separate"/>
      </w:r>
      <w:r>
        <w:rPr>
          <w:rFonts w:hint="eastAsia" w:asciiTheme="minorEastAsia" w:hAnsiTheme="minorEastAsia" w:eastAsiaTheme="minorEastAsia" w:cstheme="minorEastAsia"/>
          <w:b w:val="0"/>
          <w:bCs w:val="0"/>
          <w:color w:val="auto"/>
          <w:sz w:val="32"/>
          <w:szCs w:val="32"/>
          <w:highlight w:val="none"/>
        </w:rPr>
        <w:t>六、一般公共预算财政拨款基本支出决算情况说明</w:t>
      </w:r>
      <w:r>
        <w:rPr>
          <w:rFonts w:hint="eastAsia" w:asciiTheme="minorEastAsia" w:hAnsiTheme="minorEastAsia" w:eastAsiaTheme="minorEastAsia" w:cstheme="minorEastAsia"/>
          <w:b w:val="0"/>
          <w:bCs w:val="0"/>
          <w:color w:val="auto"/>
          <w:sz w:val="32"/>
          <w:szCs w:val="32"/>
        </w:rPr>
        <w:tab/>
      </w:r>
      <w:r>
        <w:rPr>
          <w:rFonts w:hint="eastAsia" w:asciiTheme="minorEastAsia" w:hAnsiTheme="minorEastAsia" w:eastAsiaTheme="minorEastAsia" w:cstheme="minorEastAsia"/>
          <w:b w:val="0"/>
          <w:bCs w:val="0"/>
          <w:color w:val="auto"/>
          <w:sz w:val="32"/>
          <w:szCs w:val="32"/>
          <w:lang w:val="en-US" w:eastAsia="zh-CN"/>
        </w:rPr>
        <w:t>1</w:t>
      </w:r>
      <w:r>
        <w:rPr>
          <w:rFonts w:hint="eastAsia" w:asciiTheme="minorEastAsia" w:hAnsiTheme="minorEastAsia" w:eastAsiaTheme="minorEastAsia" w:cstheme="minorEastAsia"/>
          <w:b w:val="0"/>
          <w:bCs w:val="0"/>
          <w:color w:val="auto"/>
          <w:sz w:val="32"/>
          <w:szCs w:val="32"/>
          <w:highlight w:val="none"/>
        </w:rPr>
        <w:fldChar w:fldCharType="end"/>
      </w:r>
      <w:r>
        <w:rPr>
          <w:rFonts w:hint="eastAsia" w:asciiTheme="minorEastAsia" w:hAnsiTheme="minorEastAsia" w:eastAsiaTheme="minorEastAsia" w:cstheme="minorEastAsia"/>
          <w:b w:val="0"/>
          <w:bCs w:val="0"/>
          <w:color w:val="auto"/>
          <w:sz w:val="32"/>
          <w:szCs w:val="32"/>
          <w:highlight w:val="none"/>
          <w:lang w:val="en-US" w:eastAsia="zh-CN"/>
        </w:rPr>
        <w:t>0</w:t>
      </w:r>
    </w:p>
    <w:p w14:paraId="3309401D">
      <w:pPr>
        <w:pStyle w:val="16"/>
        <w:tabs>
          <w:tab w:val="right" w:leader="dot" w:pos="8306"/>
          <w:tab w:val="clear" w:pos="8296"/>
        </w:tabs>
        <w:rPr>
          <w:rFonts w:hint="eastAsia" w:asciiTheme="minorEastAsia" w:hAnsiTheme="minorEastAsia" w:eastAsiaTheme="minorEastAsia" w:cstheme="minorEastAsia"/>
          <w:b w:val="0"/>
          <w:bCs w:val="0"/>
          <w:color w:val="auto"/>
          <w:sz w:val="32"/>
          <w:szCs w:val="32"/>
          <w:lang w:val="en-US" w:eastAsia="zh-CN"/>
        </w:rPr>
      </w:pPr>
      <w:r>
        <w:rPr>
          <w:rFonts w:hint="eastAsia" w:asciiTheme="minorEastAsia" w:hAnsiTheme="minorEastAsia" w:eastAsiaTheme="minorEastAsia" w:cstheme="minorEastAsia"/>
          <w:b w:val="0"/>
          <w:bCs w:val="0"/>
          <w:color w:val="auto"/>
          <w:sz w:val="32"/>
          <w:szCs w:val="32"/>
          <w:highlight w:val="none"/>
        </w:rPr>
        <w:fldChar w:fldCharType="begin"/>
      </w:r>
      <w:r>
        <w:rPr>
          <w:rFonts w:hint="eastAsia" w:asciiTheme="minorEastAsia" w:hAnsiTheme="minorEastAsia" w:eastAsiaTheme="minorEastAsia" w:cstheme="minorEastAsia"/>
          <w:b w:val="0"/>
          <w:bCs w:val="0"/>
          <w:color w:val="auto"/>
          <w:sz w:val="32"/>
          <w:szCs w:val="32"/>
          <w:highlight w:val="none"/>
        </w:rPr>
        <w:instrText xml:space="preserve"> HYPERLINK \l _Toc5127 </w:instrText>
      </w:r>
      <w:r>
        <w:rPr>
          <w:rFonts w:hint="eastAsia" w:asciiTheme="minorEastAsia" w:hAnsiTheme="minorEastAsia" w:eastAsiaTheme="minorEastAsia" w:cstheme="minorEastAsia"/>
          <w:b w:val="0"/>
          <w:bCs w:val="0"/>
          <w:color w:val="auto"/>
          <w:sz w:val="32"/>
          <w:szCs w:val="32"/>
          <w:highlight w:val="none"/>
        </w:rPr>
        <w:fldChar w:fldCharType="separate"/>
      </w:r>
      <w:r>
        <w:rPr>
          <w:rFonts w:hint="eastAsia" w:asciiTheme="minorEastAsia" w:hAnsiTheme="minorEastAsia" w:eastAsiaTheme="minorEastAsia" w:cstheme="minorEastAsia"/>
          <w:b w:val="0"/>
          <w:bCs w:val="0"/>
          <w:color w:val="auto"/>
          <w:sz w:val="32"/>
          <w:szCs w:val="32"/>
          <w:highlight w:val="none"/>
        </w:rPr>
        <w:t>七、财政拨款</w:t>
      </w:r>
      <w:r>
        <w:rPr>
          <w:rFonts w:hint="eastAsia" w:asciiTheme="minorEastAsia" w:hAnsiTheme="minorEastAsia" w:eastAsiaTheme="minorEastAsia" w:cstheme="minorEastAsia"/>
          <w:b w:val="0"/>
          <w:bCs w:val="0"/>
          <w:color w:val="auto"/>
          <w:sz w:val="32"/>
          <w:szCs w:val="32"/>
          <w:highlight w:val="none"/>
          <w:lang w:eastAsia="zh-CN"/>
        </w:rPr>
        <w:t>“</w:t>
      </w:r>
      <w:r>
        <w:rPr>
          <w:rFonts w:hint="eastAsia" w:asciiTheme="minorEastAsia" w:hAnsiTheme="minorEastAsia" w:eastAsiaTheme="minorEastAsia" w:cstheme="minorEastAsia"/>
          <w:b w:val="0"/>
          <w:bCs w:val="0"/>
          <w:color w:val="auto"/>
          <w:sz w:val="32"/>
          <w:szCs w:val="32"/>
          <w:highlight w:val="none"/>
        </w:rPr>
        <w:t>三公”经费支出决算情况说明</w:t>
      </w:r>
      <w:r>
        <w:rPr>
          <w:rFonts w:hint="eastAsia" w:asciiTheme="minorEastAsia" w:hAnsiTheme="minorEastAsia" w:eastAsiaTheme="minorEastAsia" w:cstheme="minorEastAsia"/>
          <w:b w:val="0"/>
          <w:bCs w:val="0"/>
          <w:color w:val="auto"/>
          <w:sz w:val="32"/>
          <w:szCs w:val="32"/>
        </w:rPr>
        <w:tab/>
      </w:r>
      <w:r>
        <w:rPr>
          <w:rFonts w:hint="eastAsia" w:asciiTheme="minorEastAsia" w:hAnsiTheme="minorEastAsia" w:eastAsiaTheme="minorEastAsia" w:cstheme="minorEastAsia"/>
          <w:b w:val="0"/>
          <w:bCs w:val="0"/>
          <w:color w:val="auto"/>
          <w:sz w:val="32"/>
          <w:szCs w:val="32"/>
          <w:lang w:val="en-US" w:eastAsia="zh-CN"/>
        </w:rPr>
        <w:t>1</w:t>
      </w:r>
      <w:r>
        <w:rPr>
          <w:rFonts w:hint="eastAsia" w:asciiTheme="minorEastAsia" w:hAnsiTheme="minorEastAsia" w:eastAsiaTheme="minorEastAsia" w:cstheme="minorEastAsia"/>
          <w:b w:val="0"/>
          <w:bCs w:val="0"/>
          <w:color w:val="auto"/>
          <w:sz w:val="32"/>
          <w:szCs w:val="32"/>
          <w:highlight w:val="none"/>
        </w:rPr>
        <w:fldChar w:fldCharType="end"/>
      </w:r>
      <w:r>
        <w:rPr>
          <w:rFonts w:hint="eastAsia" w:asciiTheme="minorEastAsia" w:hAnsiTheme="minorEastAsia" w:eastAsiaTheme="minorEastAsia" w:cstheme="minorEastAsia"/>
          <w:b w:val="0"/>
          <w:bCs w:val="0"/>
          <w:color w:val="auto"/>
          <w:sz w:val="32"/>
          <w:szCs w:val="32"/>
          <w:highlight w:val="none"/>
          <w:lang w:val="en-US" w:eastAsia="zh-CN"/>
        </w:rPr>
        <w:t>1</w:t>
      </w:r>
    </w:p>
    <w:p w14:paraId="537C73C3">
      <w:pPr>
        <w:pStyle w:val="16"/>
        <w:tabs>
          <w:tab w:val="right" w:leader="dot" w:pos="8306"/>
          <w:tab w:val="clear" w:pos="8296"/>
        </w:tabs>
        <w:rPr>
          <w:rFonts w:hint="eastAsia" w:asciiTheme="minorEastAsia" w:hAnsiTheme="minorEastAsia" w:eastAsiaTheme="minorEastAsia" w:cstheme="minorEastAsia"/>
          <w:b w:val="0"/>
          <w:bCs w:val="0"/>
          <w:color w:val="auto"/>
          <w:sz w:val="32"/>
          <w:szCs w:val="32"/>
          <w:lang w:val="en-US" w:eastAsia="zh-CN"/>
        </w:rPr>
      </w:pPr>
      <w:r>
        <w:rPr>
          <w:rFonts w:hint="eastAsia" w:asciiTheme="minorEastAsia" w:hAnsiTheme="minorEastAsia" w:eastAsiaTheme="minorEastAsia" w:cstheme="minorEastAsia"/>
          <w:b w:val="0"/>
          <w:bCs w:val="0"/>
          <w:color w:val="auto"/>
          <w:sz w:val="32"/>
          <w:szCs w:val="32"/>
          <w:highlight w:val="none"/>
        </w:rPr>
        <w:fldChar w:fldCharType="begin"/>
      </w:r>
      <w:r>
        <w:rPr>
          <w:rFonts w:hint="eastAsia" w:asciiTheme="minorEastAsia" w:hAnsiTheme="minorEastAsia" w:eastAsiaTheme="minorEastAsia" w:cstheme="minorEastAsia"/>
          <w:b w:val="0"/>
          <w:bCs w:val="0"/>
          <w:color w:val="auto"/>
          <w:sz w:val="32"/>
          <w:szCs w:val="32"/>
          <w:highlight w:val="none"/>
        </w:rPr>
        <w:instrText xml:space="preserve"> HYPERLINK \l _Toc2475 </w:instrText>
      </w:r>
      <w:r>
        <w:rPr>
          <w:rFonts w:hint="eastAsia" w:asciiTheme="minorEastAsia" w:hAnsiTheme="minorEastAsia" w:eastAsiaTheme="minorEastAsia" w:cstheme="minorEastAsia"/>
          <w:b w:val="0"/>
          <w:bCs w:val="0"/>
          <w:color w:val="auto"/>
          <w:sz w:val="32"/>
          <w:szCs w:val="32"/>
          <w:highlight w:val="none"/>
        </w:rPr>
        <w:fldChar w:fldCharType="separate"/>
      </w:r>
      <w:r>
        <w:rPr>
          <w:rFonts w:hint="eastAsia" w:asciiTheme="minorEastAsia" w:hAnsiTheme="minorEastAsia" w:eastAsiaTheme="minorEastAsia" w:cstheme="minorEastAsia"/>
          <w:b w:val="0"/>
          <w:bCs w:val="0"/>
          <w:color w:val="auto"/>
          <w:sz w:val="32"/>
          <w:szCs w:val="32"/>
          <w:highlight w:val="none"/>
        </w:rPr>
        <w:t>八、政府性基金预算支出决算情况说明</w:t>
      </w:r>
      <w:r>
        <w:rPr>
          <w:rFonts w:hint="eastAsia" w:asciiTheme="minorEastAsia" w:hAnsiTheme="minorEastAsia" w:eastAsiaTheme="minorEastAsia" w:cstheme="minorEastAsia"/>
          <w:b w:val="0"/>
          <w:bCs w:val="0"/>
          <w:color w:val="auto"/>
          <w:sz w:val="32"/>
          <w:szCs w:val="32"/>
        </w:rPr>
        <w:tab/>
      </w:r>
      <w:r>
        <w:rPr>
          <w:rFonts w:hint="eastAsia" w:asciiTheme="minorEastAsia" w:hAnsiTheme="minorEastAsia" w:eastAsiaTheme="minorEastAsia" w:cstheme="minorEastAsia"/>
          <w:b w:val="0"/>
          <w:bCs w:val="0"/>
          <w:color w:val="auto"/>
          <w:sz w:val="32"/>
          <w:szCs w:val="32"/>
          <w:lang w:val="en-US" w:eastAsia="zh-CN"/>
        </w:rPr>
        <w:t>1</w:t>
      </w:r>
      <w:r>
        <w:rPr>
          <w:rFonts w:hint="eastAsia" w:asciiTheme="minorEastAsia" w:hAnsiTheme="minorEastAsia" w:eastAsiaTheme="minorEastAsia" w:cstheme="minorEastAsia"/>
          <w:b w:val="0"/>
          <w:bCs w:val="0"/>
          <w:color w:val="auto"/>
          <w:sz w:val="32"/>
          <w:szCs w:val="32"/>
          <w:highlight w:val="none"/>
        </w:rPr>
        <w:fldChar w:fldCharType="end"/>
      </w:r>
      <w:r>
        <w:rPr>
          <w:rFonts w:hint="eastAsia" w:asciiTheme="minorEastAsia" w:hAnsiTheme="minorEastAsia" w:eastAsiaTheme="minorEastAsia" w:cstheme="minorEastAsia"/>
          <w:b w:val="0"/>
          <w:bCs w:val="0"/>
          <w:color w:val="auto"/>
          <w:sz w:val="32"/>
          <w:szCs w:val="32"/>
          <w:highlight w:val="none"/>
          <w:lang w:val="en-US" w:eastAsia="zh-CN"/>
        </w:rPr>
        <w:t>2</w:t>
      </w:r>
    </w:p>
    <w:p w14:paraId="379F7B74">
      <w:pPr>
        <w:pStyle w:val="16"/>
        <w:tabs>
          <w:tab w:val="right" w:leader="dot" w:pos="8306"/>
          <w:tab w:val="clear" w:pos="8296"/>
        </w:tabs>
        <w:rPr>
          <w:rFonts w:hint="eastAsia" w:asciiTheme="minorEastAsia" w:hAnsiTheme="minorEastAsia" w:eastAsiaTheme="minorEastAsia" w:cstheme="minorEastAsia"/>
          <w:b w:val="0"/>
          <w:bCs w:val="0"/>
          <w:color w:val="auto"/>
          <w:sz w:val="32"/>
          <w:szCs w:val="32"/>
          <w:lang w:val="en-US" w:eastAsia="zh-CN"/>
        </w:rPr>
      </w:pPr>
      <w:r>
        <w:rPr>
          <w:rFonts w:hint="eastAsia" w:asciiTheme="minorEastAsia" w:hAnsiTheme="minorEastAsia" w:eastAsiaTheme="minorEastAsia" w:cstheme="minorEastAsia"/>
          <w:b w:val="0"/>
          <w:bCs w:val="0"/>
          <w:color w:val="auto"/>
          <w:sz w:val="32"/>
          <w:szCs w:val="32"/>
          <w:highlight w:val="none"/>
        </w:rPr>
        <w:fldChar w:fldCharType="begin"/>
      </w:r>
      <w:r>
        <w:rPr>
          <w:rFonts w:hint="eastAsia" w:asciiTheme="minorEastAsia" w:hAnsiTheme="minorEastAsia" w:eastAsiaTheme="minorEastAsia" w:cstheme="minorEastAsia"/>
          <w:b w:val="0"/>
          <w:bCs w:val="0"/>
          <w:color w:val="auto"/>
          <w:sz w:val="32"/>
          <w:szCs w:val="32"/>
          <w:highlight w:val="none"/>
        </w:rPr>
        <w:instrText xml:space="preserve"> HYPERLINK \l _Toc3939 </w:instrText>
      </w:r>
      <w:r>
        <w:rPr>
          <w:rFonts w:hint="eastAsia" w:asciiTheme="minorEastAsia" w:hAnsiTheme="minorEastAsia" w:eastAsiaTheme="minorEastAsia" w:cstheme="minorEastAsia"/>
          <w:b w:val="0"/>
          <w:bCs w:val="0"/>
          <w:color w:val="auto"/>
          <w:sz w:val="32"/>
          <w:szCs w:val="32"/>
          <w:highlight w:val="none"/>
        </w:rPr>
        <w:fldChar w:fldCharType="separate"/>
      </w:r>
      <w:r>
        <w:rPr>
          <w:rFonts w:hint="eastAsia" w:asciiTheme="minorEastAsia" w:hAnsiTheme="minorEastAsia" w:eastAsiaTheme="minorEastAsia" w:cstheme="minorEastAsia"/>
          <w:b w:val="0"/>
          <w:bCs w:val="0"/>
          <w:color w:val="auto"/>
          <w:sz w:val="32"/>
          <w:szCs w:val="32"/>
          <w:highlight w:val="none"/>
          <w:lang w:eastAsia="zh-CN"/>
        </w:rPr>
        <w:t>九、</w:t>
      </w:r>
      <w:r>
        <w:rPr>
          <w:rFonts w:hint="eastAsia" w:asciiTheme="minorEastAsia" w:hAnsiTheme="minorEastAsia" w:eastAsiaTheme="minorEastAsia" w:cstheme="minorEastAsia"/>
          <w:b w:val="0"/>
          <w:bCs w:val="0"/>
          <w:color w:val="auto"/>
          <w:sz w:val="32"/>
          <w:szCs w:val="32"/>
          <w:highlight w:val="none"/>
        </w:rPr>
        <w:t>国有资本经营预算支出决算情况说明</w:t>
      </w:r>
      <w:r>
        <w:rPr>
          <w:rFonts w:hint="eastAsia" w:asciiTheme="minorEastAsia" w:hAnsiTheme="minorEastAsia" w:eastAsiaTheme="minorEastAsia" w:cstheme="minorEastAsia"/>
          <w:b w:val="0"/>
          <w:bCs w:val="0"/>
          <w:color w:val="auto"/>
          <w:sz w:val="32"/>
          <w:szCs w:val="32"/>
        </w:rPr>
        <w:tab/>
      </w:r>
      <w:r>
        <w:rPr>
          <w:rFonts w:hint="eastAsia" w:asciiTheme="minorEastAsia" w:hAnsiTheme="minorEastAsia" w:eastAsiaTheme="minorEastAsia" w:cstheme="minorEastAsia"/>
          <w:b w:val="0"/>
          <w:bCs w:val="0"/>
          <w:color w:val="auto"/>
          <w:sz w:val="32"/>
          <w:szCs w:val="32"/>
          <w:lang w:val="en-US" w:eastAsia="zh-CN"/>
        </w:rPr>
        <w:t>1</w:t>
      </w:r>
      <w:r>
        <w:rPr>
          <w:rFonts w:hint="eastAsia" w:asciiTheme="minorEastAsia" w:hAnsiTheme="minorEastAsia" w:eastAsiaTheme="minorEastAsia" w:cstheme="minorEastAsia"/>
          <w:b w:val="0"/>
          <w:bCs w:val="0"/>
          <w:color w:val="auto"/>
          <w:sz w:val="32"/>
          <w:szCs w:val="32"/>
          <w:highlight w:val="none"/>
        </w:rPr>
        <w:fldChar w:fldCharType="end"/>
      </w:r>
      <w:r>
        <w:rPr>
          <w:rFonts w:hint="eastAsia" w:asciiTheme="minorEastAsia" w:hAnsiTheme="minorEastAsia" w:eastAsiaTheme="minorEastAsia" w:cstheme="minorEastAsia"/>
          <w:b w:val="0"/>
          <w:bCs w:val="0"/>
          <w:color w:val="auto"/>
          <w:sz w:val="32"/>
          <w:szCs w:val="32"/>
          <w:highlight w:val="none"/>
          <w:lang w:val="en-US" w:eastAsia="zh-CN"/>
        </w:rPr>
        <w:t>2</w:t>
      </w:r>
    </w:p>
    <w:p w14:paraId="73E81788">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b w:val="0"/>
          <w:bCs w:val="0"/>
          <w:color w:val="auto"/>
          <w:sz w:val="32"/>
          <w:szCs w:val="32"/>
          <w:highlight w:val="none"/>
        </w:rPr>
        <w:fldChar w:fldCharType="begin"/>
      </w:r>
      <w:r>
        <w:rPr>
          <w:rFonts w:hint="eastAsia" w:asciiTheme="minorEastAsia" w:hAnsiTheme="minorEastAsia" w:eastAsiaTheme="minorEastAsia" w:cstheme="minorEastAsia"/>
          <w:b w:val="0"/>
          <w:bCs w:val="0"/>
          <w:color w:val="auto"/>
          <w:sz w:val="32"/>
          <w:szCs w:val="32"/>
          <w:highlight w:val="none"/>
        </w:rPr>
        <w:instrText xml:space="preserve"> HYPERLINK \l _Toc22208 </w:instrText>
      </w:r>
      <w:r>
        <w:rPr>
          <w:rFonts w:hint="eastAsia" w:asciiTheme="minorEastAsia" w:hAnsiTheme="minorEastAsia" w:eastAsiaTheme="minorEastAsia" w:cstheme="minorEastAsia"/>
          <w:b w:val="0"/>
          <w:bCs w:val="0"/>
          <w:color w:val="auto"/>
          <w:sz w:val="32"/>
          <w:szCs w:val="32"/>
          <w:highlight w:val="none"/>
        </w:rPr>
        <w:fldChar w:fldCharType="separate"/>
      </w:r>
      <w:r>
        <w:rPr>
          <w:rFonts w:hint="eastAsia" w:asciiTheme="minorEastAsia" w:hAnsiTheme="minorEastAsia" w:eastAsiaTheme="minorEastAsia" w:cstheme="minorEastAsia"/>
          <w:b w:val="0"/>
          <w:bCs w:val="0"/>
          <w:color w:val="auto"/>
          <w:sz w:val="32"/>
          <w:szCs w:val="32"/>
          <w:highlight w:val="none"/>
          <w:lang w:eastAsia="zh-CN"/>
        </w:rPr>
        <w:t>十、</w:t>
      </w:r>
      <w:r>
        <w:rPr>
          <w:rFonts w:hint="eastAsia" w:asciiTheme="minorEastAsia" w:hAnsiTheme="minorEastAsia" w:eastAsiaTheme="minorEastAsia" w:cstheme="minorEastAsia"/>
          <w:b w:val="0"/>
          <w:bCs w:val="0"/>
          <w:color w:val="auto"/>
          <w:sz w:val="32"/>
          <w:szCs w:val="32"/>
          <w:highlight w:val="none"/>
        </w:rPr>
        <w:t>其他重要事项的情况说明</w:t>
      </w:r>
      <w:r>
        <w:rPr>
          <w:rFonts w:hint="eastAsia" w:asciiTheme="minorEastAsia" w:hAnsiTheme="minorEastAsia" w:eastAsiaTheme="minorEastAsia" w:cstheme="minorEastAsia"/>
          <w:b w:val="0"/>
          <w:bCs w:val="0"/>
          <w:color w:val="auto"/>
          <w:sz w:val="32"/>
          <w:szCs w:val="32"/>
        </w:rPr>
        <w:tab/>
      </w:r>
      <w:r>
        <w:rPr>
          <w:rFonts w:hint="eastAsia" w:asciiTheme="minorEastAsia" w:hAnsiTheme="minorEastAsia" w:eastAsiaTheme="minorEastAsia" w:cstheme="minorEastAsia"/>
          <w:b w:val="0"/>
          <w:bCs w:val="0"/>
          <w:color w:val="auto"/>
          <w:sz w:val="32"/>
          <w:szCs w:val="32"/>
          <w:lang w:val="en-US" w:eastAsia="zh-CN"/>
        </w:rPr>
        <w:t>1</w:t>
      </w:r>
      <w:r>
        <w:rPr>
          <w:rFonts w:hint="eastAsia" w:asciiTheme="minorEastAsia" w:hAnsiTheme="minorEastAsia" w:eastAsiaTheme="minorEastAsia" w:cstheme="minorEastAsia"/>
          <w:b w:val="0"/>
          <w:bCs w:val="0"/>
          <w:color w:val="auto"/>
          <w:sz w:val="32"/>
          <w:szCs w:val="32"/>
          <w:highlight w:val="none"/>
        </w:rPr>
        <w:fldChar w:fldCharType="end"/>
      </w:r>
      <w:r>
        <w:rPr>
          <w:rFonts w:hint="eastAsia" w:asciiTheme="minorEastAsia" w:hAnsiTheme="minorEastAsia" w:eastAsiaTheme="minorEastAsia" w:cstheme="minorEastAsia"/>
          <w:b w:val="0"/>
          <w:bCs w:val="0"/>
          <w:color w:val="auto"/>
          <w:sz w:val="32"/>
          <w:szCs w:val="32"/>
          <w:highlight w:val="none"/>
          <w:lang w:val="en-US" w:eastAsia="zh-CN"/>
        </w:rPr>
        <w:t>2</w:t>
      </w:r>
    </w:p>
    <w:p w14:paraId="4D266E98">
      <w:pPr>
        <w:pStyle w:val="13"/>
        <w:tabs>
          <w:tab w:val="right" w:leader="dot" w:pos="8306"/>
          <w:tab w:val="clear" w:pos="8296"/>
        </w:tabs>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_Toc10167 </w:instrText>
      </w:r>
      <w:r>
        <w:rPr>
          <w:rFonts w:hint="eastAsia" w:ascii="仿宋" w:hAnsi="仿宋" w:eastAsia="仿宋" w:cs="仿宋"/>
          <w:color w:val="auto"/>
          <w:sz w:val="32"/>
          <w:szCs w:val="32"/>
          <w:highlight w:val="none"/>
        </w:rPr>
        <w:fldChar w:fldCharType="separate"/>
      </w:r>
      <w:r>
        <w:rPr>
          <w:rFonts w:hint="eastAsia" w:ascii="仿宋" w:hAnsi="仿宋" w:eastAsia="仿宋" w:cs="仿宋"/>
          <w:color w:val="auto"/>
          <w:sz w:val="32"/>
          <w:szCs w:val="32"/>
          <w:highlight w:val="none"/>
          <w:lang w:eastAsia="zh-CN"/>
        </w:rPr>
        <w:t>第三部分</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名词解释</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lang w:val="en-US" w:eastAsia="zh-CN"/>
        </w:rPr>
        <w:t>5</w:t>
      </w:r>
    </w:p>
    <w:p w14:paraId="315B5334">
      <w:pPr>
        <w:pStyle w:val="13"/>
        <w:tabs>
          <w:tab w:val="right" w:leader="dot" w:pos="8306"/>
          <w:tab w:val="clear" w:pos="8296"/>
        </w:tabs>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_Toc16003 </w:instrText>
      </w:r>
      <w:r>
        <w:rPr>
          <w:rFonts w:hint="eastAsia" w:ascii="仿宋" w:hAnsi="仿宋" w:eastAsia="仿宋" w:cs="仿宋"/>
          <w:color w:val="auto"/>
          <w:sz w:val="32"/>
          <w:szCs w:val="32"/>
          <w:highlight w:val="none"/>
        </w:rPr>
        <w:fldChar w:fldCharType="separate"/>
      </w:r>
      <w:r>
        <w:rPr>
          <w:rFonts w:hint="eastAsia" w:ascii="仿宋" w:hAnsi="仿宋" w:eastAsia="仿宋" w:cs="仿宋"/>
          <w:color w:val="auto"/>
          <w:sz w:val="32"/>
          <w:szCs w:val="32"/>
          <w:highlight w:val="none"/>
        </w:rPr>
        <w:t>第四部分 附件</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lang w:val="en-US" w:eastAsia="zh-CN"/>
        </w:rPr>
        <w:t>0</w:t>
      </w:r>
    </w:p>
    <w:p w14:paraId="796CE0BF">
      <w:pPr>
        <w:pStyle w:val="13"/>
        <w:tabs>
          <w:tab w:val="right" w:leader="dot" w:pos="8306"/>
          <w:tab w:val="clear" w:pos="8296"/>
        </w:tabs>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_Toc28483 </w:instrText>
      </w:r>
      <w:r>
        <w:rPr>
          <w:rFonts w:hint="eastAsia" w:ascii="仿宋" w:hAnsi="仿宋" w:eastAsia="仿宋" w:cs="仿宋"/>
          <w:color w:val="auto"/>
          <w:sz w:val="32"/>
          <w:szCs w:val="32"/>
          <w:highlight w:val="none"/>
        </w:rPr>
        <w:fldChar w:fldCharType="separate"/>
      </w:r>
      <w:r>
        <w:rPr>
          <w:rFonts w:hint="eastAsia" w:ascii="仿宋" w:hAnsi="仿宋" w:eastAsia="仿宋" w:cs="仿宋"/>
          <w:color w:val="auto"/>
          <w:sz w:val="32"/>
          <w:szCs w:val="32"/>
          <w:highlight w:val="none"/>
        </w:rPr>
        <w:t>第五部分 附表</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fldChar w:fldCharType="end"/>
      </w:r>
      <w:r>
        <w:rPr>
          <w:rFonts w:hint="eastAsia" w:cs="仿宋"/>
          <w:color w:val="auto"/>
          <w:sz w:val="32"/>
          <w:szCs w:val="32"/>
          <w:highlight w:val="none"/>
          <w:lang w:val="en-US" w:eastAsia="zh-CN"/>
        </w:rPr>
        <w:t>1</w:t>
      </w:r>
    </w:p>
    <w:p w14:paraId="4AE1F947">
      <w:pPr>
        <w:pStyle w:val="16"/>
        <w:tabs>
          <w:tab w:val="right" w:leader="dot" w:pos="8306"/>
          <w:tab w:val="clear" w:pos="8296"/>
        </w:tabs>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_Toc8770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一、收</w:t>
      </w:r>
      <w:r>
        <w:rPr>
          <w:rFonts w:hint="eastAsia" w:asciiTheme="minorEastAsia" w:hAnsiTheme="minorEastAsia" w:eastAsiaTheme="minorEastAsia" w:cstheme="minorEastAsia"/>
          <w:bCs w:val="0"/>
          <w:color w:val="auto"/>
          <w:sz w:val="32"/>
          <w:szCs w:val="32"/>
          <w:highlight w:val="none"/>
        </w:rPr>
        <w:t>入支出决算总表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0A8275EC">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_Toc25455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二、收</w:t>
      </w:r>
      <w:r>
        <w:rPr>
          <w:rFonts w:hint="eastAsia" w:asciiTheme="minorEastAsia" w:hAnsiTheme="minorEastAsia" w:eastAsiaTheme="minorEastAsia" w:cstheme="minorEastAsia"/>
          <w:bCs w:val="0"/>
          <w:color w:val="auto"/>
          <w:sz w:val="32"/>
          <w:szCs w:val="32"/>
          <w:highlight w:val="none"/>
        </w:rPr>
        <w:t>入决算表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1543127A">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_Toc20057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三、</w:t>
      </w:r>
      <w:r>
        <w:rPr>
          <w:rFonts w:hint="eastAsia" w:asciiTheme="minorEastAsia" w:hAnsiTheme="minorEastAsia" w:eastAsiaTheme="minorEastAsia" w:cstheme="minorEastAsia"/>
          <w:color w:val="auto"/>
          <w:sz w:val="32"/>
          <w:szCs w:val="32"/>
          <w:highlight w:val="none"/>
        </w:rPr>
        <w:t>支</w:t>
      </w:r>
      <w:r>
        <w:rPr>
          <w:rFonts w:hint="eastAsia" w:asciiTheme="minorEastAsia" w:hAnsiTheme="minorEastAsia" w:eastAsiaTheme="minorEastAsia" w:cstheme="minorEastAsia"/>
          <w:bCs w:val="0"/>
          <w:color w:val="auto"/>
          <w:sz w:val="32"/>
          <w:szCs w:val="32"/>
          <w:highlight w:val="none"/>
        </w:rPr>
        <w:t>出决算表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77C13BF5">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_Toc2938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四、</w:t>
      </w:r>
      <w:r>
        <w:rPr>
          <w:rFonts w:hint="eastAsia" w:asciiTheme="minorEastAsia" w:hAnsiTheme="minorEastAsia" w:eastAsiaTheme="minorEastAsia" w:cstheme="minorEastAsia"/>
          <w:color w:val="auto"/>
          <w:sz w:val="32"/>
          <w:szCs w:val="32"/>
          <w:highlight w:val="none"/>
        </w:rPr>
        <w:t>财</w:t>
      </w:r>
      <w:r>
        <w:rPr>
          <w:rFonts w:hint="eastAsia" w:asciiTheme="minorEastAsia" w:hAnsiTheme="minorEastAsia" w:eastAsiaTheme="minorEastAsia" w:cstheme="minorEastAsia"/>
          <w:bCs w:val="0"/>
          <w:color w:val="auto"/>
          <w:sz w:val="32"/>
          <w:szCs w:val="32"/>
          <w:highlight w:val="none"/>
        </w:rPr>
        <w:t>政拨款收入支出决算总表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394775C4">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_Toc32492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五、</w:t>
      </w:r>
      <w:r>
        <w:rPr>
          <w:rFonts w:hint="eastAsia" w:asciiTheme="minorEastAsia" w:hAnsiTheme="minorEastAsia" w:eastAsiaTheme="minorEastAsia" w:cstheme="minorEastAsia"/>
          <w:color w:val="auto"/>
          <w:sz w:val="32"/>
          <w:szCs w:val="32"/>
          <w:highlight w:val="none"/>
        </w:rPr>
        <w:t>财</w:t>
      </w:r>
      <w:r>
        <w:rPr>
          <w:rFonts w:hint="eastAsia" w:asciiTheme="minorEastAsia" w:hAnsiTheme="minorEastAsia" w:eastAsiaTheme="minorEastAsia" w:cstheme="minorEastAsia"/>
          <w:bCs w:val="0"/>
          <w:color w:val="auto"/>
          <w:sz w:val="32"/>
          <w:szCs w:val="32"/>
          <w:highlight w:val="none"/>
        </w:rPr>
        <w:t>政拨款支出决算明细表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6108A9BA">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_Toc30407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六、</w:t>
      </w:r>
      <w:r>
        <w:rPr>
          <w:rFonts w:hint="eastAsia" w:asciiTheme="minorEastAsia" w:hAnsiTheme="minorEastAsia" w:eastAsiaTheme="minorEastAsia" w:cstheme="minorEastAsia"/>
          <w:color w:val="auto"/>
          <w:sz w:val="32"/>
          <w:szCs w:val="32"/>
          <w:highlight w:val="none"/>
        </w:rPr>
        <w:t>一</w:t>
      </w:r>
      <w:r>
        <w:rPr>
          <w:rFonts w:hint="eastAsia" w:asciiTheme="minorEastAsia" w:hAnsiTheme="minorEastAsia" w:eastAsiaTheme="minorEastAsia" w:cstheme="minorEastAsia"/>
          <w:bCs w:val="0"/>
          <w:color w:val="auto"/>
          <w:sz w:val="32"/>
          <w:szCs w:val="32"/>
          <w:highlight w:val="none"/>
        </w:rPr>
        <w:t>般公共预算财政拨款支出决算表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516F43F5">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_Toc24722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七、</w:t>
      </w:r>
      <w:r>
        <w:rPr>
          <w:rFonts w:hint="eastAsia" w:asciiTheme="minorEastAsia" w:hAnsiTheme="minorEastAsia" w:eastAsiaTheme="minorEastAsia" w:cstheme="minorEastAsia"/>
          <w:color w:val="auto"/>
          <w:sz w:val="32"/>
          <w:szCs w:val="32"/>
          <w:highlight w:val="none"/>
        </w:rPr>
        <w:t>一</w:t>
      </w:r>
      <w:r>
        <w:rPr>
          <w:rFonts w:hint="eastAsia" w:asciiTheme="minorEastAsia" w:hAnsiTheme="minorEastAsia" w:eastAsiaTheme="minorEastAsia" w:cstheme="minorEastAsia"/>
          <w:bCs w:val="0"/>
          <w:color w:val="auto"/>
          <w:sz w:val="32"/>
          <w:szCs w:val="32"/>
          <w:highlight w:val="none"/>
        </w:rPr>
        <w:t>般公共预算财政拨款支出决算明细表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66234E61">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_Toc5965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八、</w:t>
      </w:r>
      <w:r>
        <w:rPr>
          <w:rFonts w:hint="eastAsia" w:asciiTheme="minorEastAsia" w:hAnsiTheme="minorEastAsia" w:eastAsiaTheme="minorEastAsia" w:cstheme="minorEastAsia"/>
          <w:color w:val="auto"/>
          <w:sz w:val="32"/>
          <w:szCs w:val="32"/>
          <w:highlight w:val="none"/>
        </w:rPr>
        <w:t>一</w:t>
      </w:r>
      <w:r>
        <w:rPr>
          <w:rFonts w:hint="eastAsia" w:asciiTheme="minorEastAsia" w:hAnsiTheme="minorEastAsia" w:eastAsiaTheme="minorEastAsia" w:cstheme="minorEastAsia"/>
          <w:bCs w:val="0"/>
          <w:color w:val="auto"/>
          <w:sz w:val="32"/>
          <w:szCs w:val="32"/>
          <w:highlight w:val="none"/>
        </w:rPr>
        <w:t>般公共预算财政拨款基本支出决算表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516C248D">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_Toc7738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九、</w:t>
      </w:r>
      <w:r>
        <w:rPr>
          <w:rFonts w:hint="eastAsia" w:asciiTheme="minorEastAsia" w:hAnsiTheme="minorEastAsia" w:eastAsiaTheme="minorEastAsia" w:cstheme="minorEastAsia"/>
          <w:color w:val="auto"/>
          <w:sz w:val="32"/>
          <w:szCs w:val="32"/>
          <w:highlight w:val="none"/>
        </w:rPr>
        <w:t>一</w:t>
      </w:r>
      <w:r>
        <w:rPr>
          <w:rFonts w:hint="eastAsia" w:asciiTheme="minorEastAsia" w:hAnsiTheme="minorEastAsia" w:eastAsiaTheme="minorEastAsia" w:cstheme="minorEastAsia"/>
          <w:bCs w:val="0"/>
          <w:color w:val="auto"/>
          <w:sz w:val="32"/>
          <w:szCs w:val="32"/>
          <w:highlight w:val="none"/>
        </w:rPr>
        <w:t>般公共预算财政拨款项目支出决算表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6B8238C2">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_Toc12741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十、</w:t>
      </w:r>
      <w:r>
        <w:rPr>
          <w:rFonts w:hint="eastAsia" w:asciiTheme="minorEastAsia" w:hAnsiTheme="minorEastAsia" w:eastAsiaTheme="minorEastAsia" w:cstheme="minorEastAsia"/>
          <w:color w:val="auto"/>
          <w:sz w:val="32"/>
          <w:szCs w:val="32"/>
          <w:highlight w:val="none"/>
        </w:rPr>
        <w:t>政</w:t>
      </w:r>
      <w:r>
        <w:rPr>
          <w:rFonts w:hint="eastAsia" w:asciiTheme="minorEastAsia" w:hAnsiTheme="minorEastAsia" w:eastAsiaTheme="minorEastAsia" w:cstheme="minorEastAsia"/>
          <w:bCs w:val="0"/>
          <w:color w:val="auto"/>
          <w:sz w:val="32"/>
          <w:szCs w:val="32"/>
          <w:highlight w:val="none"/>
        </w:rPr>
        <w:t>府性基金预算财政拨款收入支出决算表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1424D511">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_Toc16665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十一、</w:t>
      </w:r>
      <w:r>
        <w:rPr>
          <w:rFonts w:hint="eastAsia" w:asciiTheme="minorEastAsia" w:hAnsiTheme="minorEastAsia" w:eastAsiaTheme="minorEastAsia" w:cstheme="minorEastAsia"/>
          <w:color w:val="auto"/>
          <w:sz w:val="32"/>
          <w:szCs w:val="32"/>
          <w:highlight w:val="none"/>
        </w:rPr>
        <w:t>国</w:t>
      </w:r>
      <w:r>
        <w:rPr>
          <w:rFonts w:hint="eastAsia" w:asciiTheme="minorEastAsia" w:hAnsiTheme="minorEastAsia" w:eastAsiaTheme="minorEastAsia" w:cstheme="minorEastAsia"/>
          <w:bCs w:val="0"/>
          <w:color w:val="auto"/>
          <w:sz w:val="32"/>
          <w:szCs w:val="32"/>
          <w:highlight w:val="none"/>
        </w:rPr>
        <w:t>有资本经营预算</w:t>
      </w:r>
      <w:r>
        <w:rPr>
          <w:rFonts w:hint="eastAsia" w:asciiTheme="minorEastAsia" w:hAnsiTheme="minorEastAsia" w:eastAsiaTheme="minorEastAsia" w:cstheme="minorEastAsia"/>
          <w:bCs w:val="0"/>
          <w:color w:val="auto"/>
          <w:sz w:val="32"/>
          <w:szCs w:val="32"/>
          <w:highlight w:val="none"/>
          <w:lang w:eastAsia="zh-CN"/>
        </w:rPr>
        <w:t>财政拨款收入</w:t>
      </w:r>
      <w:r>
        <w:rPr>
          <w:rFonts w:hint="eastAsia" w:asciiTheme="minorEastAsia" w:hAnsiTheme="minorEastAsia" w:eastAsiaTheme="minorEastAsia" w:cstheme="minorEastAsia"/>
          <w:bCs w:val="0"/>
          <w:color w:val="auto"/>
          <w:sz w:val="32"/>
          <w:szCs w:val="32"/>
          <w:highlight w:val="none"/>
        </w:rPr>
        <w:t>支出决算表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47287E34">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_Toc11379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十二、</w:t>
      </w:r>
      <w:r>
        <w:rPr>
          <w:rFonts w:hint="eastAsia" w:asciiTheme="minorEastAsia" w:hAnsiTheme="minorEastAsia" w:eastAsiaTheme="minorEastAsia" w:cstheme="minorEastAsia"/>
          <w:bCs w:val="0"/>
          <w:color w:val="auto"/>
          <w:sz w:val="32"/>
          <w:szCs w:val="32"/>
          <w:highlight w:val="none"/>
          <w:lang w:eastAsia="zh-CN"/>
        </w:rPr>
        <w:t>国有资本经营预算财政拨款支出决算表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71D107AE">
      <w:pPr>
        <w:pStyle w:val="16"/>
        <w:tabs>
          <w:tab w:val="right" w:leader="dot" w:pos="8306"/>
          <w:tab w:val="clear" w:pos="8296"/>
        </w:tabs>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HYPERLINK \l _Toc30936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bCs w:val="0"/>
          <w:color w:val="auto"/>
          <w:sz w:val="32"/>
          <w:szCs w:val="32"/>
          <w:highlight w:val="none"/>
        </w:rPr>
        <w:t>十三、</w:t>
      </w:r>
      <w:r>
        <w:rPr>
          <w:rFonts w:hint="eastAsia" w:asciiTheme="minorEastAsia" w:hAnsiTheme="minorEastAsia" w:eastAsiaTheme="minorEastAsia" w:cstheme="minorEastAsia"/>
          <w:bCs w:val="0"/>
          <w:color w:val="auto"/>
          <w:sz w:val="32"/>
          <w:szCs w:val="32"/>
          <w:highlight w:val="none"/>
          <w:lang w:eastAsia="zh-CN"/>
        </w:rPr>
        <w:t>财政拨款“三公”经费支出决算表</w:t>
      </w:r>
      <w:r>
        <w:rPr>
          <w:rFonts w:hint="eastAsia" w:asciiTheme="minorEastAsia" w:hAnsiTheme="minorEastAsia" w:eastAsiaTheme="minorEastAsia" w:cstheme="minorEastAsia"/>
          <w:color w:val="auto"/>
          <w:sz w:val="32"/>
          <w:szCs w:val="32"/>
        </w:rPr>
        <w:tab/>
      </w: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t>1</w:t>
      </w:r>
    </w:p>
    <w:p w14:paraId="0B0BF633">
      <w:pPr>
        <w:pStyle w:val="16"/>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Theme="minorEastAsia" w:hAnsiTheme="minorEastAsia" w:eastAsiaTheme="minorEastAsia" w:cstheme="minorEastAsia"/>
          <w:bCs/>
          <w:color w:val="auto"/>
          <w:kern w:val="44"/>
          <w:sz w:val="32"/>
          <w:szCs w:val="32"/>
          <w:highlight w:val="none"/>
        </w:rPr>
      </w:pPr>
      <w:r>
        <w:rPr>
          <w:rFonts w:hint="eastAsia" w:asciiTheme="minorEastAsia" w:hAnsiTheme="minorEastAsia" w:eastAsiaTheme="minorEastAsia" w:cstheme="minorEastAsia"/>
          <w:color w:val="auto"/>
          <w:sz w:val="32"/>
          <w:szCs w:val="32"/>
          <w:highlight w:val="none"/>
        </w:rPr>
        <w:fldChar w:fldCharType="end"/>
      </w:r>
      <w:sdt>
        <w:sdtPr>
          <w:rPr>
            <w:rFonts w:hint="eastAsia" w:asciiTheme="minorEastAsia" w:hAnsiTheme="minorEastAsia" w:eastAsiaTheme="minorEastAsia" w:cstheme="minorEastAsia"/>
            <w:kern w:val="2"/>
            <w:sz w:val="32"/>
            <w:szCs w:val="32"/>
            <w:lang w:val="en-US" w:eastAsia="zh-CN" w:bidi="ar-SA"/>
          </w:rPr>
          <w:id w:val="147461508"/>
          <w:showingPlcHdr/>
          <w15:color w:val="DBDBDB"/>
          <w:docPartObj>
            <w:docPartGallery w:val="Table of Contents"/>
            <w:docPartUnique/>
          </w:docPartObj>
        </w:sdtPr>
        <w:sdtEndPr>
          <w:rPr>
            <w:rFonts w:hint="eastAsia" w:asciiTheme="minorEastAsia" w:hAnsiTheme="minorEastAsia" w:eastAsiaTheme="minorEastAsia" w:cstheme="minorEastAsia"/>
            <w:b/>
            <w:kern w:val="2"/>
            <w:sz w:val="32"/>
            <w:szCs w:val="32"/>
            <w:lang w:val="en-US" w:eastAsia="zh-CN" w:bidi="ar-SA"/>
          </w:rPr>
        </w:sdtEndPr>
        <w:sdtContent>
          <w:r>
            <w:rPr>
              <w:rFonts w:hint="eastAsia" w:asciiTheme="minorEastAsia" w:hAnsiTheme="minorEastAsia" w:eastAsiaTheme="minorEastAsia" w:cstheme="minorEastAsia"/>
              <w:kern w:val="2"/>
              <w:sz w:val="32"/>
              <w:szCs w:val="32"/>
              <w:lang w:val="en-US" w:eastAsia="zh-CN" w:bidi="ar-SA"/>
            </w:rPr>
            <w:t xml:space="preserve">     </w:t>
          </w:r>
        </w:sdtContent>
      </w:sdt>
      <w:bookmarkStart w:id="7" w:name="_Toc15377196"/>
      <w:bookmarkStart w:id="8" w:name="_Toc15396599"/>
    </w:p>
    <w:p w14:paraId="42F6EEA5">
      <w:pPr>
        <w:pStyle w:val="15"/>
        <w:ind w:left="0" w:leftChars="0" w:firstLine="0" w:firstLineChars="0"/>
        <w:rPr>
          <w:rFonts w:hint="eastAsia" w:ascii="仿宋" w:hAnsi="仿宋" w:eastAsia="仿宋" w:cs="仿宋"/>
          <w:color w:val="auto"/>
          <w:kern w:val="2"/>
          <w:sz w:val="32"/>
          <w:szCs w:val="32"/>
          <w:highlight w:val="none"/>
          <w:lang w:val="en-US" w:eastAsia="zh-CN" w:bidi="ar-SA"/>
        </w:rPr>
      </w:pPr>
      <w:bookmarkStart w:id="9" w:name="_Toc10362"/>
    </w:p>
    <w:p w14:paraId="2E747546">
      <w:pPr>
        <w:pStyle w:val="15"/>
        <w:ind w:left="0" w:leftChars="0" w:firstLine="0" w:firstLineChars="0"/>
        <w:rPr>
          <w:rFonts w:hint="eastAsia" w:ascii="仿宋" w:hAnsi="仿宋" w:eastAsia="仿宋" w:cs="仿宋"/>
          <w:color w:val="auto"/>
          <w:kern w:val="2"/>
          <w:sz w:val="32"/>
          <w:szCs w:val="32"/>
          <w:highlight w:val="none"/>
          <w:lang w:val="en-US" w:eastAsia="zh-CN" w:bidi="ar-SA"/>
        </w:rPr>
      </w:pPr>
    </w:p>
    <w:p w14:paraId="13A15A8A">
      <w:pPr>
        <w:pStyle w:val="15"/>
        <w:ind w:left="0" w:leftChars="0" w:firstLine="0" w:firstLineChars="0"/>
        <w:rPr>
          <w:rFonts w:hint="eastAsia" w:ascii="仿宋" w:hAnsi="仿宋" w:eastAsia="仿宋" w:cs="仿宋"/>
          <w:color w:val="auto"/>
          <w:kern w:val="2"/>
          <w:sz w:val="32"/>
          <w:szCs w:val="32"/>
          <w:highlight w:val="none"/>
          <w:lang w:val="en-US" w:eastAsia="zh-CN" w:bidi="ar-SA"/>
        </w:rPr>
      </w:pPr>
    </w:p>
    <w:p w14:paraId="6450ACF6">
      <w:pPr>
        <w:pStyle w:val="15"/>
        <w:ind w:left="0" w:leftChars="0" w:firstLine="0" w:firstLineChars="0"/>
        <w:rPr>
          <w:rFonts w:hint="eastAsia" w:ascii="仿宋" w:hAnsi="仿宋" w:eastAsia="仿宋" w:cs="仿宋"/>
          <w:color w:val="auto"/>
          <w:kern w:val="2"/>
          <w:sz w:val="32"/>
          <w:szCs w:val="32"/>
          <w:highlight w:val="none"/>
          <w:lang w:val="en-US" w:eastAsia="zh-CN" w:bidi="ar-SA"/>
        </w:rPr>
      </w:pPr>
    </w:p>
    <w:p w14:paraId="064F7832">
      <w:pPr>
        <w:pStyle w:val="15"/>
        <w:ind w:left="0" w:leftChars="0" w:firstLine="0" w:firstLineChars="0"/>
        <w:rPr>
          <w:rFonts w:hint="eastAsia" w:ascii="仿宋" w:hAnsi="仿宋" w:eastAsia="仿宋" w:cs="仿宋"/>
          <w:color w:val="auto"/>
          <w:kern w:val="2"/>
          <w:sz w:val="32"/>
          <w:szCs w:val="32"/>
          <w:highlight w:val="none"/>
          <w:lang w:val="en-US" w:eastAsia="zh-CN" w:bidi="ar-SA"/>
        </w:rPr>
      </w:pPr>
    </w:p>
    <w:p w14:paraId="09B5E159">
      <w:pPr>
        <w:pStyle w:val="15"/>
        <w:ind w:left="0" w:leftChars="0" w:firstLine="0" w:firstLineChars="0"/>
        <w:rPr>
          <w:rFonts w:hint="eastAsia" w:ascii="仿宋" w:hAnsi="仿宋" w:eastAsia="仿宋" w:cs="仿宋"/>
          <w:color w:val="auto"/>
          <w:kern w:val="2"/>
          <w:sz w:val="32"/>
          <w:szCs w:val="32"/>
          <w:highlight w:val="none"/>
          <w:lang w:val="en-US" w:eastAsia="zh-CN" w:bidi="ar-SA"/>
        </w:rPr>
      </w:pPr>
    </w:p>
    <w:p w14:paraId="4776A7A0">
      <w:pPr>
        <w:pStyle w:val="15"/>
        <w:ind w:left="0" w:leftChars="0" w:firstLine="0" w:firstLineChars="0"/>
        <w:rPr>
          <w:rFonts w:hint="eastAsia" w:ascii="仿宋" w:hAnsi="仿宋" w:eastAsia="仿宋" w:cs="仿宋"/>
          <w:b/>
          <w:color w:val="auto"/>
          <w:sz w:val="32"/>
          <w:szCs w:val="32"/>
          <w:highlight w:val="none"/>
        </w:rPr>
      </w:pPr>
      <w:r>
        <w:rPr>
          <w:rFonts w:hint="eastAsia" w:ascii="仿宋" w:hAnsi="仿宋" w:eastAsia="仿宋" w:cs="仿宋"/>
          <w:color w:val="auto"/>
          <w:kern w:val="2"/>
          <w:sz w:val="32"/>
          <w:szCs w:val="32"/>
          <w:highlight w:val="none"/>
          <w:lang w:val="en-US" w:eastAsia="zh-CN" w:bidi="ar-SA"/>
        </w:rPr>
        <w:t>（注：决算情况说明按决算公开表取数，以“万元”为金额单位，保留两位小数，报表金额单位转换时可能存在尾数差距）</w:t>
      </w:r>
    </w:p>
    <w:p w14:paraId="0BA99730">
      <w:pPr>
        <w:pStyle w:val="3"/>
        <w:jc w:val="center"/>
        <w:rPr>
          <w:rFonts w:hint="eastAsia" w:ascii="仿宋" w:hAnsi="仿宋" w:eastAsia="仿宋" w:cs="仿宋"/>
          <w:b w:val="0"/>
          <w:bCs/>
          <w:color w:val="auto"/>
          <w:sz w:val="32"/>
          <w:szCs w:val="32"/>
          <w:highlight w:val="none"/>
        </w:rPr>
        <w:sectPr>
          <w:footerReference r:id="rId6" w:type="first"/>
          <w:footerReference r:id="rId5" w:type="default"/>
          <w:pgSz w:w="11906" w:h="16838"/>
          <w:pgMar w:top="1440" w:right="1800" w:bottom="1440" w:left="1800" w:header="851" w:footer="992" w:gutter="0"/>
          <w:pgNumType w:fmt="decimal" w:start="0"/>
          <w:cols w:space="425" w:num="1"/>
          <w:titlePg/>
          <w:docGrid w:type="lines" w:linePitch="312" w:charSpace="0"/>
        </w:sectPr>
      </w:pPr>
    </w:p>
    <w:p w14:paraId="298F0E21">
      <w:pPr>
        <w:pStyle w:val="3"/>
        <w:jc w:val="center"/>
        <w:rPr>
          <w:rFonts w:hint="eastAsia" w:ascii="黑体" w:hAnsi="黑体" w:eastAsia="黑体" w:cs="黑体"/>
          <w:b w:val="0"/>
          <w:bCs/>
          <w:color w:val="auto"/>
          <w:sz w:val="44"/>
          <w:szCs w:val="44"/>
          <w:highlight w:val="none"/>
        </w:rPr>
      </w:pPr>
      <w:r>
        <w:rPr>
          <w:rFonts w:hint="eastAsia" w:ascii="黑体" w:hAnsi="黑体" w:eastAsia="黑体" w:cs="黑体"/>
          <w:b w:val="0"/>
          <w:bCs/>
          <w:color w:val="auto"/>
          <w:highlight w:val="none"/>
        </w:rPr>
        <w:t>第一部分</w:t>
      </w:r>
      <w:r>
        <w:rPr>
          <w:rFonts w:hint="eastAsia" w:ascii="黑体" w:hAnsi="黑体" w:eastAsia="黑体" w:cs="黑体"/>
          <w:b w:val="0"/>
          <w:bCs/>
          <w:color w:val="auto"/>
          <w:highlight w:val="none"/>
          <w:lang w:val="en-US" w:eastAsia="zh-CN"/>
        </w:rPr>
        <w:t xml:space="preserve"> </w:t>
      </w:r>
      <w:r>
        <w:rPr>
          <w:rFonts w:hint="eastAsia" w:ascii="黑体" w:hAnsi="黑体" w:eastAsia="黑体" w:cs="黑体"/>
          <w:b w:val="0"/>
          <w:bCs/>
          <w:color w:val="auto"/>
          <w:highlight w:val="none"/>
        </w:rPr>
        <w:t xml:space="preserve"> </w:t>
      </w:r>
      <w:r>
        <w:rPr>
          <w:rStyle w:val="23"/>
          <w:rFonts w:hint="eastAsia" w:ascii="黑体" w:hAnsi="黑体" w:eastAsia="黑体" w:cs="黑体"/>
          <w:b w:val="0"/>
          <w:bCs/>
          <w:lang w:val="en-US" w:eastAsia="zh-CN"/>
        </w:rPr>
        <w:t>单位</w:t>
      </w:r>
      <w:r>
        <w:rPr>
          <w:rStyle w:val="23"/>
          <w:rFonts w:hint="eastAsia" w:ascii="黑体" w:hAnsi="黑体" w:eastAsia="黑体" w:cs="黑体"/>
          <w:b w:val="0"/>
          <w:bCs/>
        </w:rPr>
        <w:t>概况</w:t>
      </w:r>
      <w:bookmarkEnd w:id="7"/>
      <w:bookmarkEnd w:id="8"/>
      <w:bookmarkEnd w:id="9"/>
    </w:p>
    <w:p w14:paraId="4256EEA3">
      <w:pPr>
        <w:pageBreakBefore w:val="0"/>
        <w:widowControl w:val="0"/>
        <w:numPr>
          <w:ilvl w:val="0"/>
          <w:numId w:val="1"/>
        </w:numPr>
        <w:kinsoku/>
        <w:wordWrap/>
        <w:overflowPunct/>
        <w:topLinePunct w:val="0"/>
        <w:autoSpaceDE/>
        <w:autoSpaceDN/>
        <w:bidi w:val="0"/>
        <w:adjustRightInd/>
        <w:snapToGrid/>
        <w:spacing w:line="240" w:lineRule="auto"/>
        <w:ind w:firstLine="640" w:firstLineChars="200"/>
        <w:textAlignment w:val="auto"/>
        <w:outlineLvl w:val="9"/>
        <w:rPr>
          <w:rFonts w:hint="default" w:ascii="Times New Roman" w:hAnsi="Times New Roman" w:eastAsia="仿宋_GB2312" w:cs="Times New Roman"/>
          <w:b w:val="0"/>
          <w:bCs w:val="0"/>
          <w:color w:val="000000"/>
          <w:sz w:val="32"/>
          <w:szCs w:val="32"/>
        </w:rPr>
      </w:pPr>
      <w:bookmarkStart w:id="10" w:name="_Toc25473"/>
      <w:r>
        <w:rPr>
          <w:rFonts w:hint="eastAsia" w:eastAsia="黑体" w:cs="Times New Roman"/>
          <w:b w:val="0"/>
          <w:color w:val="auto"/>
          <w:sz w:val="32"/>
          <w:szCs w:val="32"/>
          <w:highlight w:val="none"/>
          <w:lang w:val="en-US" w:eastAsia="zh-CN"/>
        </w:rPr>
        <w:t>主要</w:t>
      </w:r>
      <w:r>
        <w:rPr>
          <w:rFonts w:hint="default" w:ascii="Times New Roman" w:hAnsi="Times New Roman" w:eastAsia="黑体" w:cs="Times New Roman"/>
          <w:b w:val="0"/>
          <w:color w:val="auto"/>
          <w:sz w:val="32"/>
          <w:szCs w:val="32"/>
          <w:highlight w:val="none"/>
          <w:lang w:eastAsia="zh-CN"/>
        </w:rPr>
        <w:t>职责</w:t>
      </w:r>
      <w:bookmarkEnd w:id="10"/>
    </w:p>
    <w:p w14:paraId="5C474283">
      <w:pPr>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1.贯彻执行党和国家的路线方针政策和上级党委、政府各项决策部署，以及本级党员代表大会（党员大会）人民代表大会的决议决定。</w:t>
      </w:r>
    </w:p>
    <w:p w14:paraId="5A6D880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2.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14:paraId="7E25CE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3.领导镇政权机关、群团组织和其他各类组织，加强指导和规范，支持和保证这些机关和组织依照国家法律法规以及各自章程履行职责。</w:t>
      </w:r>
    </w:p>
    <w:p w14:paraId="369636B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4.加强党的建设。坚持全面从严治党，落实管党治党主体责任，全面加强党的政治建设、思想建设、组织建设、作风建设、纪律建设、制度建设等工作。不断强化自身建设和村（社区）党组织建设，以及其他隶属</w:t>
      </w:r>
      <w:r>
        <w:rPr>
          <w:rFonts w:hint="default" w:ascii="Times New Roman" w:hAnsi="Times New Roman" w:eastAsia="仿宋_GB2312" w:cs="Times New Roman"/>
          <w:b w:val="0"/>
          <w:bCs w:val="0"/>
          <w:color w:val="000000"/>
          <w:sz w:val="32"/>
          <w:szCs w:val="32"/>
          <w:lang w:eastAsia="zh-CN"/>
        </w:rPr>
        <w:t>土门</w:t>
      </w:r>
      <w:r>
        <w:rPr>
          <w:rFonts w:hint="default" w:ascii="Times New Roman" w:hAnsi="Times New Roman" w:eastAsia="仿宋_GB2312" w:cs="Times New Roman"/>
          <w:b w:val="0"/>
          <w:bCs w:val="0"/>
          <w:color w:val="000000"/>
          <w:sz w:val="32"/>
          <w:szCs w:val="32"/>
        </w:rPr>
        <w:t>镇党委的党组织建设，抓好发展党员工作，加强党员队伍建设。维护和执行党的纪律，监督党员干部和其他工作人员严格遵守国家法律法规。</w:t>
      </w:r>
    </w:p>
    <w:p w14:paraId="23AFD4C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5.按照干部管理权限，负责对干部的教育、培训、选拔、考核和监督工作。协助管理上级有关部门驻镇单位的干部。做好人才服务和引进工作。</w:t>
      </w:r>
    </w:p>
    <w:p w14:paraId="15C84FE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6.统筹区域发展。落实关于辖区发展的重大决策，制定辖区经济和社会发展规划、公共服务设施布局;负责乡村振兴工作，做好民生保障、民族宗教等工作，推动辖区经济社会健康、有序、可持续发展。</w:t>
      </w:r>
    </w:p>
    <w:p w14:paraId="2635564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7.强化基层治理。负责本辖区社会治理，加强社会主义民主法治建设和精神文明建设，加快推进基层社会治理体系和治理能力现代化;指导村（居）委会建设，健全自治平台，组织群众和单位参与村（居）委会建设和管理。负责统筹协调辖区内依法授权或委托授权的行政执法工作。</w:t>
      </w:r>
    </w:p>
    <w:p w14:paraId="741A1FE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8.优化公共服务。推进服务型政府建设，组织实施并优化教育、卫生健康、文化、民政、社会保障、退役军人事务等各项公共服务。</w:t>
      </w:r>
    </w:p>
    <w:p w14:paraId="3DB1A3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color w:val="000000"/>
          <w:sz w:val="32"/>
          <w:szCs w:val="32"/>
          <w:lang w:eastAsia="zh-CN"/>
        </w:rPr>
      </w:pPr>
      <w:r>
        <w:rPr>
          <w:rFonts w:hint="default" w:ascii="Times New Roman" w:hAnsi="Times New Roman" w:eastAsia="仿宋_GB2312" w:cs="Times New Roman"/>
          <w:b w:val="0"/>
          <w:bCs w:val="0"/>
          <w:color w:val="000000"/>
          <w:sz w:val="32"/>
          <w:szCs w:val="32"/>
        </w:rPr>
        <w:t>9.负责辖区范围内的应急管理、社会稳定、安全生产、生态环境保护、社会信用体系建设和审批服务便民化等工</w:t>
      </w:r>
      <w:r>
        <w:rPr>
          <w:rFonts w:hint="default" w:ascii="Times New Roman" w:hAnsi="Times New Roman" w:eastAsia="仿宋_GB2312" w:cs="Times New Roman"/>
          <w:b w:val="0"/>
          <w:bCs w:val="0"/>
          <w:color w:val="000000"/>
          <w:sz w:val="32"/>
          <w:szCs w:val="32"/>
          <w:lang w:eastAsia="zh-CN"/>
        </w:rPr>
        <w:t>作。</w:t>
      </w:r>
    </w:p>
    <w:p w14:paraId="18C2524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10.负责辖区农村经营管理体系建设工作。</w:t>
      </w:r>
    </w:p>
    <w:p w14:paraId="241C90E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11.完成县委、县政府交办的其他任务。</w:t>
      </w:r>
      <w:bookmarkStart w:id="11" w:name="_Toc15377200"/>
      <w:bookmarkStart w:id="12" w:name="_Toc15396601"/>
    </w:p>
    <w:p w14:paraId="687B81B1">
      <w:pPr>
        <w:pStyle w:val="4"/>
        <w:numPr>
          <w:ilvl w:val="0"/>
          <w:numId w:val="1"/>
        </w:numPr>
        <w:rPr>
          <w:rFonts w:hint="default" w:ascii="Times New Roman" w:hAnsi="Times New Roman" w:eastAsia="黑体" w:cs="Times New Roman"/>
          <w:b w:val="0"/>
          <w:color w:val="auto"/>
          <w:highlight w:val="none"/>
          <w:lang w:eastAsia="zh-CN"/>
        </w:rPr>
      </w:pPr>
      <w:bookmarkStart w:id="13" w:name="_Toc12195"/>
      <w:r>
        <w:rPr>
          <w:rFonts w:hint="default" w:ascii="Times New Roman" w:hAnsi="Times New Roman" w:eastAsia="黑体" w:cs="Times New Roman"/>
          <w:b w:val="0"/>
          <w:color w:val="auto"/>
          <w:highlight w:val="none"/>
          <w:lang w:eastAsia="zh-CN"/>
        </w:rPr>
        <w:t>机构设置</w:t>
      </w:r>
      <w:bookmarkEnd w:id="11"/>
      <w:bookmarkEnd w:id="12"/>
      <w:bookmarkEnd w:id="13"/>
    </w:p>
    <w:p w14:paraId="252644F9">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茂县</w:t>
      </w:r>
      <w:r>
        <w:rPr>
          <w:rFonts w:hint="default" w:ascii="Times New Roman" w:hAnsi="Times New Roman" w:eastAsia="仿宋_GB2312" w:cs="Times New Roman"/>
          <w:color w:val="000000"/>
          <w:sz w:val="32"/>
          <w:szCs w:val="32"/>
          <w:lang w:eastAsia="zh-CN"/>
        </w:rPr>
        <w:t>土门</w:t>
      </w:r>
      <w:r>
        <w:rPr>
          <w:rFonts w:hint="default" w:ascii="Times New Roman" w:hAnsi="Times New Roman" w:eastAsia="仿宋_GB2312" w:cs="Times New Roman"/>
          <w:color w:val="000000"/>
          <w:sz w:val="32"/>
          <w:szCs w:val="32"/>
        </w:rPr>
        <w:t>镇人民政府</w:t>
      </w:r>
      <w:r>
        <w:rPr>
          <w:rFonts w:hint="eastAsia" w:eastAsia="仿宋_GB2312" w:cs="Times New Roman"/>
          <w:color w:val="000000"/>
          <w:sz w:val="32"/>
          <w:szCs w:val="32"/>
          <w:lang w:val="en-US" w:eastAsia="zh-CN"/>
        </w:rPr>
        <w:t>下属二级预算单位2个，其中：行政单位1个，参照公务员法管理的事业单位0个，其他事业单位1个。</w:t>
      </w:r>
    </w:p>
    <w:p w14:paraId="3737A4F9">
      <w:pPr>
        <w:pStyle w:val="6"/>
        <w:adjustRightInd w:val="0"/>
        <w:snapToGrid w:val="0"/>
        <w:spacing w:before="93" w:line="60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纳入</w:t>
      </w:r>
      <w:r>
        <w:rPr>
          <w:rFonts w:hint="default" w:ascii="Times New Roman" w:hAnsi="Times New Roman" w:cs="Times New Roman"/>
          <w:sz w:val="32"/>
          <w:szCs w:val="32"/>
        </w:rPr>
        <w:t>茂县土门镇人民政府</w:t>
      </w:r>
      <w:r>
        <w:rPr>
          <w:rFonts w:hint="default" w:ascii="Times New Roman" w:hAnsi="Times New Roman" w:eastAsia="仿宋_GB2312" w:cs="Times New Roman"/>
          <w:color w:val="auto"/>
          <w:sz w:val="32"/>
          <w:szCs w:val="32"/>
          <w:highlight w:val="none"/>
          <w:lang w:eastAsia="zh-CN"/>
        </w:rPr>
        <w:t>202</w:t>
      </w:r>
      <w:r>
        <w:rPr>
          <w:rFonts w:hint="eastAsia" w:asci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w:t>
      </w:r>
      <w:r>
        <w:rPr>
          <w:rFonts w:hint="default" w:ascii="Times New Roman" w:hAnsi="Times New Roman" w:eastAsia="仿宋_GB2312" w:cs="Times New Roman"/>
          <w:color w:val="auto"/>
          <w:sz w:val="32"/>
          <w:szCs w:val="32"/>
          <w:highlight w:val="none"/>
        </w:rPr>
        <w:t>部门决算编制范围的二级预算单位包括：</w:t>
      </w:r>
    </w:p>
    <w:p w14:paraId="3072F51C">
      <w:pPr>
        <w:pStyle w:val="6"/>
        <w:numPr>
          <w:ilvl w:val="0"/>
          <w:numId w:val="2"/>
        </w:numPr>
        <w:adjustRightInd w:val="0"/>
        <w:snapToGrid w:val="0"/>
        <w:spacing w:before="93" w:line="600" w:lineRule="exact"/>
        <w:outlineLvl w:val="2"/>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茂县土门镇（行政）</w:t>
      </w:r>
    </w:p>
    <w:p w14:paraId="101722A0">
      <w:pPr>
        <w:pStyle w:val="6"/>
        <w:numPr>
          <w:ilvl w:val="0"/>
          <w:numId w:val="2"/>
        </w:numPr>
        <w:adjustRightInd w:val="0"/>
        <w:snapToGrid w:val="0"/>
        <w:spacing w:before="93" w:line="600" w:lineRule="exact"/>
        <w:outlineLvl w:val="2"/>
        <w:rPr>
          <w:rFonts w:hint="default" w:ascii="Times New Roman" w:hAnsi="Times New Roman" w:eastAsia="仿宋" w:cs="Times New Roman"/>
          <w:color w:val="auto"/>
          <w:kern w:val="0"/>
          <w:sz w:val="32"/>
          <w:szCs w:val="32"/>
          <w:highlight w:val="none"/>
        </w:rPr>
      </w:pPr>
      <w:r>
        <w:rPr>
          <w:rFonts w:hint="default" w:ascii="Times New Roman" w:hAnsi="Times New Roman" w:eastAsia="仿宋_GB2312" w:cs="Times New Roman"/>
          <w:color w:val="auto"/>
          <w:sz w:val="32"/>
          <w:szCs w:val="32"/>
          <w:highlight w:val="none"/>
          <w:lang w:val="en-US" w:eastAsia="zh-CN"/>
        </w:rPr>
        <w:t>茂县土门镇（事业）</w:t>
      </w:r>
      <w:r>
        <w:rPr>
          <w:rFonts w:hint="default" w:ascii="Times New Roman" w:hAnsi="Times New Roman" w:eastAsia="仿宋" w:cs="Times New Roman"/>
          <w:color w:val="auto"/>
          <w:sz w:val="32"/>
          <w:szCs w:val="32"/>
          <w:highlight w:val="none"/>
        </w:rPr>
        <w:br w:type="page"/>
      </w:r>
    </w:p>
    <w:p w14:paraId="33744EA3">
      <w:pPr>
        <w:pStyle w:val="3"/>
        <w:jc w:val="center"/>
        <w:rPr>
          <w:rFonts w:hint="default" w:ascii="Times New Roman" w:hAnsi="Times New Roman" w:cs="Times New Roman"/>
          <w:color w:val="auto"/>
          <w:highlight w:val="none"/>
        </w:rPr>
      </w:pPr>
      <w:bookmarkStart w:id="14" w:name="_Toc15377204"/>
      <w:bookmarkStart w:id="15" w:name="_Toc15396602"/>
      <w:bookmarkStart w:id="16" w:name="_Toc13836"/>
      <w:r>
        <w:rPr>
          <w:rFonts w:hint="eastAsia" w:ascii="黑体" w:hAnsi="黑体" w:eastAsia="黑体" w:cs="黑体"/>
          <w:b w:val="0"/>
          <w:color w:val="auto"/>
          <w:highlight w:val="none"/>
        </w:rPr>
        <w:t>第二部分</w:t>
      </w:r>
      <w:r>
        <w:rPr>
          <w:rFonts w:hint="eastAsia" w:ascii="黑体" w:hAnsi="黑体" w:eastAsia="黑体" w:cs="黑体"/>
          <w:b w:val="0"/>
          <w:color w:val="auto"/>
          <w:highlight w:val="none"/>
          <w:lang w:val="en-US" w:eastAsia="zh-CN"/>
        </w:rPr>
        <w:t xml:space="preserve"> </w:t>
      </w:r>
      <w:r>
        <w:rPr>
          <w:rFonts w:hint="eastAsia" w:ascii="黑体" w:hAnsi="黑体" w:eastAsia="黑体" w:cs="黑体"/>
          <w:b w:val="0"/>
          <w:color w:val="auto"/>
          <w:highlight w:val="none"/>
        </w:rPr>
        <w:t xml:space="preserve"> </w:t>
      </w:r>
      <w:r>
        <w:rPr>
          <w:rFonts w:hint="eastAsia" w:ascii="黑体" w:hAnsi="黑体" w:eastAsia="黑体" w:cs="黑体"/>
          <w:b w:val="0"/>
          <w:color w:val="auto"/>
          <w:highlight w:val="none"/>
          <w:lang w:val="en-US" w:eastAsia="zh-CN"/>
        </w:rPr>
        <w:t>2025年度</w:t>
      </w:r>
      <w:r>
        <w:rPr>
          <w:rFonts w:hint="eastAsia" w:ascii="黑体" w:hAnsi="黑体" w:eastAsia="黑体" w:cs="黑体"/>
          <w:b w:val="0"/>
          <w:color w:val="auto"/>
          <w:highlight w:val="none"/>
        </w:rPr>
        <w:t>部门决算情况说明</w:t>
      </w:r>
      <w:bookmarkEnd w:id="14"/>
      <w:bookmarkEnd w:id="15"/>
      <w:bookmarkEnd w:id="16"/>
    </w:p>
    <w:p w14:paraId="6C23E6A4">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4"/>
          <w:rFonts w:hint="default" w:ascii="Times New Roman" w:hAnsi="Times New Roman" w:eastAsia="黑体" w:cs="Times New Roman"/>
          <w:b w:val="0"/>
          <w:color w:val="auto"/>
          <w:highlight w:val="none"/>
        </w:rPr>
      </w:pPr>
      <w:bookmarkStart w:id="17" w:name="_Toc31509"/>
      <w:bookmarkStart w:id="18" w:name="_Toc15377205"/>
      <w:bookmarkStart w:id="19" w:name="_Toc15396603"/>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24"/>
          <w:rFonts w:hint="default" w:ascii="Times New Roman" w:hAnsi="Times New Roman" w:eastAsia="黑体" w:cs="Times New Roman"/>
          <w:b w:val="0"/>
          <w:color w:val="auto"/>
          <w:highlight w:val="none"/>
        </w:rPr>
        <w:t>入支出决算总体情况说明</w:t>
      </w:r>
      <w:bookmarkEnd w:id="17"/>
      <w:bookmarkEnd w:id="18"/>
      <w:bookmarkEnd w:id="19"/>
    </w:p>
    <w:p w14:paraId="60C2D527">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eastAsia" w:eastAsia="仿宋_GB2312" w:cs="Times New Roman"/>
          <w:color w:val="auto"/>
          <w:sz w:val="32"/>
          <w:szCs w:val="32"/>
          <w:highlight w:val="none"/>
          <w:lang w:val="en-US" w:eastAsia="zh-CN"/>
        </w:rPr>
        <w:t>1979.37</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eastAsia" w:eastAsia="仿宋_GB2312" w:cs="Times New Roman"/>
          <w:color w:val="auto"/>
          <w:sz w:val="32"/>
          <w:szCs w:val="32"/>
          <w:highlight w:val="none"/>
          <w:lang w:val="en-US" w:eastAsia="zh-CN"/>
        </w:rPr>
        <w:t>429.31</w:t>
      </w:r>
      <w:r>
        <w:rPr>
          <w:rFonts w:hint="default" w:ascii="Times New Roman" w:hAnsi="Times New Roman" w:eastAsia="仿宋_GB2312" w:cs="Times New Roman"/>
          <w:color w:val="auto"/>
          <w:sz w:val="32"/>
          <w:szCs w:val="32"/>
          <w:highlight w:val="none"/>
        </w:rPr>
        <w:t>万元，增长</w:t>
      </w:r>
      <w:r>
        <w:rPr>
          <w:rFonts w:hint="eastAsia" w:eastAsia="仿宋_GB2312" w:cs="Times New Roman"/>
          <w:color w:val="auto"/>
          <w:sz w:val="32"/>
          <w:szCs w:val="32"/>
          <w:highlight w:val="none"/>
          <w:lang w:val="en-US" w:eastAsia="zh-CN"/>
        </w:rPr>
        <w:t>27.7</w:t>
      </w:r>
      <w:r>
        <w:rPr>
          <w:rFonts w:hint="default" w:ascii="Times New Roman" w:hAnsi="Times New Roman" w:eastAsia="仿宋_GB2312" w:cs="Times New Roman"/>
          <w:color w:val="auto"/>
          <w:sz w:val="32"/>
          <w:szCs w:val="32"/>
          <w:highlight w:val="none"/>
        </w:rPr>
        <w:t>%。主要变动原因是</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000000"/>
          <w:sz w:val="32"/>
          <w:szCs w:val="32"/>
        </w:rPr>
        <w:t>我镇项目资金</w:t>
      </w:r>
      <w:r>
        <w:rPr>
          <w:rFonts w:hint="default" w:ascii="Times New Roman" w:hAnsi="Times New Roman" w:eastAsia="仿宋_GB2312" w:cs="Times New Roman"/>
          <w:color w:val="000000"/>
          <w:sz w:val="32"/>
          <w:szCs w:val="32"/>
          <w:lang w:val="en-US" w:eastAsia="zh-CN"/>
        </w:rPr>
        <w:t>支出增加。</w:t>
      </w:r>
      <w:r>
        <w:rPr>
          <w:rFonts w:hint="default" w:ascii="Times New Roman" w:hAnsi="Times New Roman" w:eastAsia="思源黑体 CN Normal" w:cs="Times New Roman"/>
          <w:lang w:eastAsia="zh-CN"/>
        </w:rPr>
        <w:drawing>
          <wp:anchor distT="0" distB="0" distL="114300" distR="114300" simplePos="0" relativeHeight="251660288" behindDoc="0" locked="0" layoutInCell="1" allowOverlap="1">
            <wp:simplePos x="0" y="0"/>
            <wp:positionH relativeFrom="column">
              <wp:posOffset>252730</wp:posOffset>
            </wp:positionH>
            <wp:positionV relativeFrom="page">
              <wp:posOffset>3570605</wp:posOffset>
            </wp:positionV>
            <wp:extent cx="5256530" cy="2988310"/>
            <wp:effectExtent l="5080" t="4445" r="15240" b="1714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A08CB7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32"/>
          <w:szCs w:val="32"/>
          <w:highlight w:val="none"/>
          <w:lang w:eastAsia="zh-CN"/>
        </w:rPr>
      </w:pPr>
    </w:p>
    <w:p w14:paraId="13E657CA">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0" w:name="_Toc15377206"/>
      <w:bookmarkStart w:id="21" w:name="_Toc15396604"/>
      <w:bookmarkStart w:id="22" w:name="_Toc6429"/>
      <w:r>
        <w:rPr>
          <w:rFonts w:hint="default" w:ascii="Times New Roman" w:hAnsi="Times New Roman" w:eastAsia="黑体" w:cs="Times New Roman"/>
          <w:color w:val="auto"/>
          <w:sz w:val="32"/>
          <w:szCs w:val="32"/>
          <w:highlight w:val="none"/>
          <w:lang w:eastAsia="zh-CN"/>
        </w:rPr>
        <w:t>二、收入决算情况说明</w:t>
      </w:r>
      <w:bookmarkEnd w:id="20"/>
      <w:bookmarkEnd w:id="21"/>
      <w:bookmarkEnd w:id="22"/>
    </w:p>
    <w:p w14:paraId="09D96E54">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年度本年收入合计</w:t>
      </w:r>
      <w:r>
        <w:rPr>
          <w:rFonts w:hint="eastAsia" w:eastAsia="仿宋_GB2312" w:cs="Times New Roman"/>
          <w:color w:val="auto"/>
          <w:sz w:val="32"/>
          <w:szCs w:val="32"/>
          <w:highlight w:val="none"/>
          <w:lang w:val="en-US" w:eastAsia="zh-CN"/>
        </w:rPr>
        <w:t>1979.37</w:t>
      </w:r>
      <w:r>
        <w:rPr>
          <w:rFonts w:hint="default" w:ascii="Times New Roman" w:hAnsi="Times New Roman" w:eastAsia="仿宋_GB2312" w:cs="Times New Roman"/>
          <w:sz w:val="32"/>
          <w:szCs w:val="32"/>
        </w:rPr>
        <w:t>万元，其中：一般公共预算财政拨款收入</w:t>
      </w:r>
      <w:r>
        <w:rPr>
          <w:rFonts w:hint="eastAsia" w:eastAsia="仿宋_GB2312" w:cs="Times New Roman"/>
          <w:sz w:val="32"/>
          <w:szCs w:val="32"/>
          <w:lang w:val="en-US" w:eastAsia="zh-CN"/>
        </w:rPr>
        <w:t>1773.15</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color w:val="auto"/>
          <w:sz w:val="32"/>
          <w:szCs w:val="32"/>
          <w:highlight w:val="none"/>
          <w:lang w:val="en-US" w:eastAsia="zh-CN"/>
        </w:rPr>
        <w:t>90</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政府性基金预算财政拨款收入165.91万元，占8%，其他收入40.31万元，占2%。</w:t>
      </w:r>
    </w:p>
    <w:p w14:paraId="67C9F280">
      <w:pPr>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96A488">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4"/>
          <w:rFonts w:hint="default" w:ascii="Times New Roman" w:hAnsi="Times New Roman" w:eastAsia="黑体" w:cs="Times New Roman"/>
          <w:b w:val="0"/>
          <w:color w:val="auto"/>
          <w:highlight w:val="none"/>
        </w:rPr>
      </w:pPr>
      <w:bookmarkStart w:id="23" w:name="_Toc21966"/>
      <w:bookmarkStart w:id="24" w:name="_Toc15396605"/>
      <w:bookmarkStart w:id="25"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24"/>
          <w:rFonts w:hint="default" w:ascii="Times New Roman" w:hAnsi="Times New Roman" w:eastAsia="黑体" w:cs="Times New Roman"/>
          <w:b w:val="0"/>
          <w:color w:val="auto"/>
          <w:highlight w:val="none"/>
        </w:rPr>
        <w:t>出决算情况说明</w:t>
      </w:r>
      <w:bookmarkEnd w:id="23"/>
      <w:bookmarkEnd w:id="24"/>
      <w:bookmarkEnd w:id="25"/>
    </w:p>
    <w:p w14:paraId="308303AE">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年度本年支出合计</w:t>
      </w:r>
      <w:r>
        <w:rPr>
          <w:rFonts w:hint="eastAsia" w:eastAsia="仿宋_GB2312" w:cs="Times New Roman"/>
          <w:color w:val="auto"/>
          <w:sz w:val="32"/>
          <w:szCs w:val="32"/>
          <w:highlight w:val="none"/>
          <w:lang w:val="en-US" w:eastAsia="zh-CN"/>
        </w:rPr>
        <w:t>1958.22</w:t>
      </w:r>
      <w:r>
        <w:rPr>
          <w:rFonts w:hint="default" w:ascii="Times New Roman" w:hAnsi="Times New Roman" w:eastAsia="仿宋_GB2312" w:cs="Times New Roman"/>
          <w:color w:val="auto"/>
          <w:sz w:val="32"/>
          <w:szCs w:val="32"/>
          <w:highlight w:val="none"/>
          <w:lang w:eastAsia="zh-CN"/>
        </w:rPr>
        <w:t>万元，其中：基本支出</w:t>
      </w:r>
      <w:r>
        <w:rPr>
          <w:rFonts w:hint="eastAsia" w:eastAsia="仿宋_GB2312" w:cs="Times New Roman"/>
          <w:color w:val="auto"/>
          <w:sz w:val="32"/>
          <w:szCs w:val="32"/>
          <w:highlight w:val="none"/>
          <w:lang w:val="en-US" w:eastAsia="zh-CN"/>
        </w:rPr>
        <w:t>1056.37</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color w:val="auto"/>
          <w:sz w:val="32"/>
          <w:szCs w:val="32"/>
          <w:highlight w:val="none"/>
          <w:lang w:val="en-US" w:eastAsia="zh-CN"/>
        </w:rPr>
        <w:t>54</w:t>
      </w:r>
      <w:r>
        <w:rPr>
          <w:rFonts w:hint="default" w:ascii="Times New Roman" w:hAnsi="Times New Roman" w:eastAsia="仿宋_GB2312" w:cs="Times New Roman"/>
          <w:color w:val="auto"/>
          <w:sz w:val="32"/>
          <w:szCs w:val="32"/>
          <w:highlight w:val="none"/>
          <w:lang w:eastAsia="zh-CN"/>
        </w:rPr>
        <w:t>%；项目支出</w:t>
      </w:r>
      <w:r>
        <w:rPr>
          <w:rFonts w:hint="eastAsia" w:eastAsia="仿宋_GB2312" w:cs="Times New Roman"/>
          <w:color w:val="auto"/>
          <w:sz w:val="32"/>
          <w:szCs w:val="32"/>
          <w:highlight w:val="none"/>
          <w:lang w:val="en-US" w:eastAsia="zh-CN"/>
        </w:rPr>
        <w:t>901.85</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color w:val="auto"/>
          <w:sz w:val="32"/>
          <w:szCs w:val="32"/>
          <w:highlight w:val="none"/>
          <w:lang w:val="en-US" w:eastAsia="zh-CN"/>
        </w:rPr>
        <w:t>46</w:t>
      </w:r>
      <w:r>
        <w:rPr>
          <w:rFonts w:hint="default" w:ascii="Times New Roman" w:hAnsi="Times New Roman" w:eastAsia="仿宋_GB2312" w:cs="Times New Roman"/>
          <w:color w:val="auto"/>
          <w:sz w:val="32"/>
          <w:szCs w:val="32"/>
          <w:highlight w:val="none"/>
          <w:lang w:eastAsia="zh-CN"/>
        </w:rPr>
        <w:t>%。</w:t>
      </w:r>
    </w:p>
    <w:p w14:paraId="45C07667">
      <w:pPr>
        <w:rPr>
          <w:rFonts w:hint="default" w:ascii="Times New Roman" w:hAnsi="Times New Roman" w:eastAsia="黑体" w:cs="Times New Roman"/>
          <w:color w:val="auto"/>
          <w:sz w:val="32"/>
          <w:szCs w:val="32"/>
          <w:highlight w:val="none"/>
        </w:rPr>
      </w:pPr>
      <w:r>
        <w:rPr>
          <w:rFonts w:hint="default" w:ascii="Times New Roman" w:hAnsi="Times New Roman" w:eastAsia="思源黑体 CN Normal" w:cs="Times New Roman"/>
          <w:color w:val="FF0000"/>
          <w:sz w:val="32"/>
          <w:szCs w:val="32"/>
          <w:lang w:eastAsia="zh-CN"/>
        </w:rPr>
        <w:drawing>
          <wp:inline distT="0" distB="0" distL="114300" distR="114300">
            <wp:extent cx="5327015" cy="2599055"/>
            <wp:effectExtent l="4445" t="4445" r="21590" b="635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Start w:id="26" w:name="_Toc204"/>
      <w:bookmarkStart w:id="27" w:name="_Toc15377208"/>
      <w:bookmarkStart w:id="28" w:name="_Toc15396606"/>
    </w:p>
    <w:p w14:paraId="5B65F9B1">
      <w:pPr>
        <w:spacing w:line="600" w:lineRule="exact"/>
        <w:ind w:firstLine="640" w:firstLineChars="200"/>
        <w:outlineLvl w:val="1"/>
        <w:rPr>
          <w:rFonts w:hint="default" w:ascii="Times New Roman" w:hAnsi="Times New Roman" w:eastAsia="黑体" w:cs="Times New Roman"/>
          <w:color w:val="auto"/>
          <w:sz w:val="32"/>
          <w:szCs w:val="32"/>
          <w:highlight w:val="none"/>
        </w:rPr>
      </w:pPr>
    </w:p>
    <w:p w14:paraId="3277FFA1">
      <w:pPr>
        <w:spacing w:line="600" w:lineRule="exact"/>
        <w:ind w:firstLine="640" w:firstLineChars="200"/>
        <w:outlineLvl w:val="1"/>
        <w:rPr>
          <w:rFonts w:hint="default" w:ascii="Times New Roman" w:hAnsi="Times New Roman" w:eastAsia="黑体" w:cs="Times New Roman"/>
          <w:color w:val="auto"/>
          <w:sz w:val="32"/>
          <w:szCs w:val="32"/>
          <w:highlight w:val="none"/>
        </w:rPr>
      </w:pPr>
    </w:p>
    <w:p w14:paraId="09EF9E46">
      <w:pPr>
        <w:spacing w:line="600" w:lineRule="exact"/>
        <w:ind w:firstLine="640" w:firstLineChars="200"/>
        <w:outlineLvl w:val="1"/>
        <w:rPr>
          <w:rFonts w:hint="default" w:ascii="Times New Roman" w:hAnsi="Times New Roman" w:eastAsia="黑体" w:cs="Times New Roman"/>
          <w:color w:val="auto"/>
          <w:sz w:val="32"/>
          <w:szCs w:val="32"/>
          <w:highlight w:val="none"/>
        </w:rPr>
      </w:pPr>
    </w:p>
    <w:p w14:paraId="6015762D">
      <w:pPr>
        <w:spacing w:line="600" w:lineRule="exact"/>
        <w:ind w:firstLine="640" w:firstLineChars="200"/>
        <w:outlineLvl w:val="1"/>
        <w:rPr>
          <w:rFonts w:hint="default" w:ascii="Times New Roman" w:hAnsi="Times New Roman" w:eastAsia="黑体" w:cs="Times New Roman"/>
          <w:color w:val="auto"/>
          <w:sz w:val="32"/>
          <w:szCs w:val="32"/>
          <w:highlight w:val="none"/>
        </w:rPr>
      </w:pPr>
    </w:p>
    <w:p w14:paraId="47A9E89B">
      <w:pPr>
        <w:spacing w:line="600" w:lineRule="exact"/>
        <w:ind w:firstLine="640" w:firstLineChars="200"/>
        <w:outlineLvl w:val="1"/>
        <w:rPr>
          <w:rStyle w:val="24"/>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四、财</w:t>
      </w:r>
      <w:r>
        <w:rPr>
          <w:rStyle w:val="24"/>
          <w:rFonts w:hint="default" w:ascii="Times New Roman" w:hAnsi="Times New Roman" w:eastAsia="黑体" w:cs="Times New Roman"/>
          <w:b w:val="0"/>
          <w:color w:val="auto"/>
          <w:highlight w:val="none"/>
        </w:rPr>
        <w:t>政拨款收入支出决算总体情况说明</w:t>
      </w:r>
      <w:bookmarkEnd w:id="26"/>
      <w:bookmarkEnd w:id="27"/>
      <w:bookmarkEnd w:id="28"/>
    </w:p>
    <w:p w14:paraId="0147317D">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思源黑体 CN Normal" w:cs="Times New Roman"/>
          <w:lang w:eastAsia="zh-CN"/>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年度财政拨款收入、支出总计均为</w:t>
      </w:r>
      <w:r>
        <w:rPr>
          <w:rFonts w:hint="eastAsia" w:eastAsia="仿宋_GB2312" w:cs="Times New Roman"/>
          <w:color w:val="auto"/>
          <w:kern w:val="2"/>
          <w:sz w:val="32"/>
          <w:szCs w:val="32"/>
          <w:highlight w:val="none"/>
          <w:lang w:val="en-US" w:eastAsia="zh-CN" w:bidi="ar-SA"/>
        </w:rPr>
        <w:t>1979.37</w:t>
      </w:r>
      <w:r>
        <w:rPr>
          <w:rFonts w:hint="default" w:ascii="Times New Roman" w:hAnsi="Times New Roman" w:eastAsia="仿宋_GB2312" w:cs="Times New Roman"/>
          <w:color w:val="auto"/>
          <w:kern w:val="2"/>
          <w:sz w:val="32"/>
          <w:szCs w:val="32"/>
          <w:highlight w:val="none"/>
          <w:lang w:val="en-US" w:eastAsia="zh-CN" w:bidi="ar-SA"/>
        </w:rPr>
        <w:t>万元。与202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年度相比，财政拨款收入总计、支出总计各增加</w:t>
      </w:r>
      <w:r>
        <w:rPr>
          <w:rFonts w:hint="eastAsia" w:eastAsia="仿宋_GB2312" w:cs="Times New Roman"/>
          <w:color w:val="auto"/>
          <w:kern w:val="2"/>
          <w:sz w:val="32"/>
          <w:szCs w:val="32"/>
          <w:highlight w:val="none"/>
          <w:lang w:val="en-US" w:eastAsia="zh-CN" w:bidi="ar-SA"/>
        </w:rPr>
        <w:t>429.31</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sz w:val="32"/>
          <w:szCs w:val="32"/>
          <w:highlight w:val="none"/>
        </w:rPr>
        <w:t>增长</w:t>
      </w:r>
      <w:r>
        <w:rPr>
          <w:rFonts w:hint="eastAsia" w:eastAsia="仿宋_GB2312" w:cs="Times New Roman"/>
          <w:color w:val="auto"/>
          <w:sz w:val="32"/>
          <w:szCs w:val="32"/>
          <w:highlight w:val="none"/>
          <w:lang w:val="en-US" w:eastAsia="zh-CN"/>
        </w:rPr>
        <w:t>27.7</w:t>
      </w:r>
      <w:r>
        <w:rPr>
          <w:rFonts w:hint="default" w:ascii="Times New Roman" w:hAnsi="Times New Roman" w:eastAsia="仿宋_GB2312" w:cs="Times New Roman"/>
          <w:color w:val="auto"/>
          <w:sz w:val="32"/>
          <w:szCs w:val="32"/>
          <w:highlight w:val="none"/>
        </w:rPr>
        <w:t>%。主要变动原因是</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000000"/>
          <w:sz w:val="32"/>
          <w:szCs w:val="32"/>
        </w:rPr>
        <w:t>我镇项目资</w:t>
      </w:r>
      <w:r>
        <w:rPr>
          <w:rFonts w:hint="eastAsia" w:eastAsia="仿宋_GB2312" w:cs="Times New Roman"/>
          <w:color w:val="000000"/>
          <w:sz w:val="32"/>
          <w:szCs w:val="32"/>
          <w:lang w:val="en-US" w:eastAsia="zh-CN"/>
        </w:rPr>
        <w:t>金</w:t>
      </w:r>
      <w:r>
        <w:rPr>
          <w:rFonts w:hint="default" w:ascii="Times New Roman" w:hAnsi="Times New Roman" w:eastAsia="仿宋_GB2312" w:cs="Times New Roman"/>
          <w:color w:val="000000"/>
          <w:sz w:val="32"/>
          <w:szCs w:val="32"/>
          <w:lang w:val="en-US" w:eastAsia="zh-CN"/>
        </w:rPr>
        <w:t>支出增</w:t>
      </w:r>
      <w:r>
        <w:rPr>
          <w:rFonts w:hint="eastAsia" w:eastAsia="仿宋_GB2312" w:cs="Times New Roman"/>
          <w:color w:val="000000"/>
          <w:sz w:val="32"/>
          <w:szCs w:val="32"/>
          <w:lang w:val="en-US" w:eastAsia="zh-CN"/>
        </w:rPr>
        <w:t>加。</w:t>
      </w:r>
      <w:bookmarkStart w:id="29" w:name="_Toc11346"/>
      <w:bookmarkStart w:id="30" w:name="_Toc15377209"/>
      <w:bookmarkStart w:id="31" w:name="_Toc15396607"/>
      <w:r>
        <w:rPr>
          <w:rFonts w:hint="default" w:ascii="Times New Roman" w:hAnsi="Times New Roman" w:eastAsia="思源黑体 CN Normal" w:cs="Times New Roman"/>
          <w:lang w:eastAsia="zh-CN"/>
        </w:rPr>
        <w:drawing>
          <wp:anchor distT="0" distB="0" distL="114935" distR="114935" simplePos="0" relativeHeight="251663360" behindDoc="0" locked="0" layoutInCell="1" allowOverlap="1">
            <wp:simplePos x="0" y="0"/>
            <wp:positionH relativeFrom="column">
              <wp:posOffset>-168275</wp:posOffset>
            </wp:positionH>
            <wp:positionV relativeFrom="page">
              <wp:posOffset>2910840</wp:posOffset>
            </wp:positionV>
            <wp:extent cx="5256530" cy="3599180"/>
            <wp:effectExtent l="4445" t="4445" r="15875" b="1587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22949F6">
      <w:pPr>
        <w:spacing w:line="600" w:lineRule="exact"/>
        <w:ind w:firstLine="640" w:firstLineChars="200"/>
        <w:outlineLvl w:val="1"/>
        <w:rPr>
          <w:rStyle w:val="24"/>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24"/>
          <w:rFonts w:hint="default" w:ascii="Times New Roman" w:hAnsi="Times New Roman" w:eastAsia="黑体" w:cs="Times New Roman"/>
          <w:b w:val="0"/>
          <w:color w:val="auto"/>
          <w:highlight w:val="none"/>
        </w:rPr>
        <w:t>般公共预算财政拨款支出决算情况说明</w:t>
      </w:r>
      <w:bookmarkEnd w:id="29"/>
      <w:bookmarkEnd w:id="30"/>
      <w:bookmarkEnd w:id="31"/>
    </w:p>
    <w:p w14:paraId="5C47BF86">
      <w:pPr>
        <w:spacing w:line="600" w:lineRule="exact"/>
        <w:ind w:firstLine="643" w:firstLineChars="200"/>
        <w:outlineLvl w:val="2"/>
        <w:rPr>
          <w:rFonts w:hint="eastAsia" w:ascii="仿宋" w:hAnsi="仿宋" w:eastAsia="仿宋" w:cs="仿宋"/>
          <w:b/>
          <w:color w:val="auto"/>
          <w:sz w:val="32"/>
          <w:szCs w:val="32"/>
          <w:highlight w:val="none"/>
        </w:rPr>
      </w:pPr>
      <w:bookmarkStart w:id="32" w:name="_Toc15377210"/>
      <w:r>
        <w:rPr>
          <w:rFonts w:hint="eastAsia" w:ascii="仿宋" w:hAnsi="仿宋" w:eastAsia="仿宋" w:cs="仿宋"/>
          <w:b/>
          <w:color w:val="auto"/>
          <w:sz w:val="32"/>
          <w:szCs w:val="32"/>
          <w:highlight w:val="none"/>
        </w:rPr>
        <w:t>（一）一般公共预算财政拨款支出决算总体情况</w:t>
      </w:r>
      <w:bookmarkEnd w:id="32"/>
    </w:p>
    <w:p w14:paraId="73A85286">
      <w:pPr>
        <w:keepNext w:val="0"/>
        <w:keepLines w:val="0"/>
        <w:pageBreakBefore w:val="0"/>
        <w:widowControl w:val="0"/>
        <w:tabs>
          <w:tab w:val="left" w:pos="1022"/>
        </w:tabs>
        <w:kinsoku/>
        <w:wordWrap/>
        <w:overflowPunct/>
        <w:topLinePunct w:val="0"/>
        <w:autoSpaceDE/>
        <w:autoSpaceDN/>
        <w:bidi w:val="0"/>
        <w:adjustRightInd/>
        <w:snapToGrid/>
        <w:spacing w:line="20" w:lineRule="exact"/>
        <w:jc w:val="left"/>
        <w:textAlignment w:val="auto"/>
        <w:rPr>
          <w:rFonts w:hint="default"/>
          <w:lang w:val="en-US" w:eastAsia="zh-CN"/>
        </w:rPr>
      </w:pPr>
      <w:r>
        <w:rPr>
          <w:rFonts w:hint="eastAsia"/>
          <w:lang w:val="en-US" w:eastAsia="zh-CN"/>
        </w:rPr>
        <w:tab/>
      </w:r>
    </w:p>
    <w:p w14:paraId="45A7B34D">
      <w:pPr>
        <w:spacing w:line="600" w:lineRule="exact"/>
        <w:ind w:firstLine="640" w:firstLineChars="200"/>
        <w:outlineLvl w:val="2"/>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年度一般公共预算财政拨款支出</w:t>
      </w:r>
      <w:r>
        <w:rPr>
          <w:rFonts w:hint="eastAsia" w:eastAsia="仿宋_GB2312" w:cs="Times New Roman"/>
          <w:color w:val="auto"/>
          <w:kern w:val="2"/>
          <w:sz w:val="32"/>
          <w:szCs w:val="32"/>
          <w:highlight w:val="none"/>
          <w:lang w:val="en-US" w:eastAsia="zh-CN" w:bidi="ar-SA"/>
        </w:rPr>
        <w:t>1773.15</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eastAsia" w:eastAsia="仿宋_GB2312" w:cs="Times New Roman"/>
          <w:color w:val="auto"/>
          <w:kern w:val="2"/>
          <w:sz w:val="32"/>
          <w:szCs w:val="32"/>
          <w:highlight w:val="none"/>
          <w:lang w:val="en-US" w:eastAsia="zh-CN" w:bidi="ar-SA"/>
        </w:rPr>
        <w:t>90</w:t>
      </w:r>
      <w:r>
        <w:rPr>
          <w:rFonts w:hint="eastAsia" w:eastAsia="仿宋_GB2312" w:cs="Times New Roman"/>
          <w:sz w:val="32"/>
          <w:szCs w:val="32"/>
          <w:lang w:eastAsia="zh-CN"/>
        </w:rPr>
        <w:t>%</w:t>
      </w:r>
      <w:r>
        <w:rPr>
          <w:rFonts w:hint="default" w:ascii="Times New Roman" w:hAnsi="Times New Roman" w:eastAsia="仿宋_GB2312" w:cs="Times New Roman"/>
          <w:color w:val="auto"/>
          <w:kern w:val="2"/>
          <w:sz w:val="32"/>
          <w:szCs w:val="32"/>
          <w:highlight w:val="none"/>
          <w:lang w:val="en-US" w:eastAsia="zh-CN" w:bidi="ar-SA"/>
        </w:rPr>
        <w:t>。与202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年度相比，一般公共预算财政拨款支出增加</w:t>
      </w:r>
      <w:r>
        <w:rPr>
          <w:rFonts w:hint="eastAsia" w:eastAsia="仿宋_GB2312" w:cs="Times New Roman"/>
          <w:color w:val="auto"/>
          <w:kern w:val="2"/>
          <w:sz w:val="32"/>
          <w:szCs w:val="32"/>
          <w:highlight w:val="none"/>
          <w:lang w:val="en-US" w:eastAsia="zh-CN" w:bidi="ar-SA"/>
        </w:rPr>
        <w:t>223.09</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sz w:val="32"/>
          <w:szCs w:val="32"/>
          <w:highlight w:val="none"/>
        </w:rPr>
        <w:t>增长</w:t>
      </w:r>
      <w:r>
        <w:rPr>
          <w:rFonts w:hint="eastAsia" w:eastAsia="仿宋_GB2312" w:cs="Times New Roman"/>
          <w:color w:val="auto"/>
          <w:sz w:val="32"/>
          <w:szCs w:val="32"/>
          <w:highlight w:val="none"/>
          <w:lang w:val="en-US" w:eastAsia="zh-CN"/>
        </w:rPr>
        <w:t>14.4</w:t>
      </w:r>
      <w:r>
        <w:rPr>
          <w:rFonts w:hint="default" w:ascii="Times New Roman" w:hAnsi="Times New Roman" w:eastAsia="仿宋_GB2312" w:cs="Times New Roman"/>
          <w:color w:val="auto"/>
          <w:sz w:val="32"/>
          <w:szCs w:val="32"/>
          <w:highlight w:val="none"/>
        </w:rPr>
        <w:t>%。主要变动原因是</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000000"/>
          <w:sz w:val="32"/>
          <w:szCs w:val="32"/>
        </w:rPr>
        <w:t>我镇项目资金</w:t>
      </w:r>
      <w:r>
        <w:rPr>
          <w:rFonts w:hint="default" w:ascii="Times New Roman" w:hAnsi="Times New Roman" w:eastAsia="仿宋_GB2312" w:cs="Times New Roman"/>
          <w:color w:val="000000"/>
          <w:sz w:val="32"/>
          <w:szCs w:val="32"/>
          <w:lang w:val="en-US" w:eastAsia="zh-CN"/>
        </w:rPr>
        <w:t>支出增加。</w:t>
      </w:r>
    </w:p>
    <w:p w14:paraId="36E9B75C">
      <w:pPr>
        <w:pStyle w:val="14"/>
        <w:rPr>
          <w:rFonts w:hint="default"/>
          <w:lang w:val="en-US" w:eastAsia="zh-CN"/>
        </w:rPr>
      </w:pPr>
    </w:p>
    <w:p w14:paraId="038F5B1D">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default" w:ascii="Times New Roman" w:hAnsi="Times New Roman" w:eastAsia="楷体_GB2312" w:cs="Times New Roman"/>
          <w:b/>
          <w:color w:val="auto"/>
          <w:sz w:val="32"/>
          <w:szCs w:val="32"/>
          <w:highlight w:val="none"/>
        </w:rPr>
      </w:pPr>
      <w:bookmarkStart w:id="33" w:name="_Toc15377211"/>
      <w:r>
        <w:rPr>
          <w:rFonts w:hint="default" w:ascii="Times New Roman" w:hAnsi="Times New Roman" w:eastAsia="思源黑体 CN Normal" w:cs="Times New Roman"/>
          <w:lang w:eastAsia="zh-CN"/>
        </w:rPr>
        <w:drawing>
          <wp:anchor distT="0" distB="0" distL="114300" distR="114300" simplePos="0" relativeHeight="251662336" behindDoc="0" locked="0" layoutInCell="1" allowOverlap="1">
            <wp:simplePos x="0" y="0"/>
            <wp:positionH relativeFrom="column">
              <wp:posOffset>-65405</wp:posOffset>
            </wp:positionH>
            <wp:positionV relativeFrom="page">
              <wp:posOffset>1081405</wp:posOffset>
            </wp:positionV>
            <wp:extent cx="5306695" cy="2967355"/>
            <wp:effectExtent l="4445" t="4445" r="22860" b="19050"/>
            <wp:wrapTopAndBottom/>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思源黑体 CN Normal" w:cs="Times New Roman"/>
          <w:lang w:val="en-US" w:eastAsia="zh-CN"/>
        </w:rPr>
        <w:t xml:space="preserve">    </w:t>
      </w:r>
      <w:r>
        <w:rPr>
          <w:rFonts w:hint="default" w:ascii="Times New Roman" w:hAnsi="Times New Roman" w:eastAsia="楷体_GB2312" w:cs="Times New Roman"/>
          <w:b/>
          <w:color w:val="auto"/>
          <w:sz w:val="32"/>
          <w:szCs w:val="32"/>
          <w:highlight w:val="none"/>
        </w:rPr>
        <w:t>（二）一般公共预算财政拨款支出决算结构情况</w:t>
      </w:r>
    </w:p>
    <w:p w14:paraId="53F997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年度一般公共预算财政拨款支出</w:t>
      </w:r>
      <w:r>
        <w:rPr>
          <w:rFonts w:hint="eastAsia" w:eastAsia="仿宋_GB2312" w:cs="Times New Roman"/>
          <w:color w:val="auto"/>
          <w:kern w:val="2"/>
          <w:sz w:val="32"/>
          <w:szCs w:val="32"/>
          <w:highlight w:val="none"/>
          <w:lang w:val="en-US" w:eastAsia="zh-CN" w:bidi="ar-SA"/>
        </w:rPr>
        <w:t>1773.15</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w:t>
      </w:r>
      <w:r>
        <w:rPr>
          <w:rFonts w:hint="eastAsia" w:eastAsia="仿宋_GB2312" w:cs="Times New Roman"/>
          <w:color w:val="auto"/>
          <w:kern w:val="2"/>
          <w:sz w:val="32"/>
          <w:szCs w:val="32"/>
          <w:highlight w:val="none"/>
          <w:lang w:val="en-US" w:eastAsia="zh-CN" w:bidi="ar-SA"/>
        </w:rPr>
        <w:t>518.97</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eastAsia="仿宋_GB2312" w:cs="Times New Roman"/>
          <w:color w:val="auto"/>
          <w:kern w:val="2"/>
          <w:sz w:val="32"/>
          <w:szCs w:val="32"/>
          <w:highlight w:val="none"/>
          <w:lang w:val="en-US" w:eastAsia="zh-CN" w:bidi="ar-SA"/>
        </w:rPr>
        <w:t>29.3</w:t>
      </w:r>
      <w:r>
        <w:rPr>
          <w:rFonts w:hint="default" w:ascii="Times New Roman" w:hAnsi="Times New Roman" w:eastAsia="仿宋_GB2312" w:cs="Times New Roman"/>
          <w:color w:val="auto"/>
          <w:kern w:val="2"/>
          <w:sz w:val="32"/>
          <w:szCs w:val="32"/>
          <w:highlight w:val="none"/>
          <w:lang w:val="en-US" w:eastAsia="zh-CN" w:bidi="ar-SA"/>
        </w:rPr>
        <w:t>%；</w:t>
      </w:r>
    </w:p>
    <w:p w14:paraId="582A2C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社会保障和就业支出</w:t>
      </w:r>
      <w:r>
        <w:rPr>
          <w:rFonts w:hint="eastAsia" w:eastAsia="仿宋_GB2312" w:cs="Times New Roman"/>
          <w:color w:val="auto"/>
          <w:kern w:val="2"/>
          <w:sz w:val="32"/>
          <w:szCs w:val="32"/>
          <w:highlight w:val="none"/>
          <w:lang w:val="en-US" w:eastAsia="zh-CN" w:bidi="ar-SA"/>
        </w:rPr>
        <w:t>151.85</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eastAsia="仿宋_GB2312" w:cs="Times New Roman"/>
          <w:color w:val="auto"/>
          <w:kern w:val="2"/>
          <w:sz w:val="32"/>
          <w:szCs w:val="32"/>
          <w:highlight w:val="none"/>
          <w:lang w:val="en-US" w:eastAsia="zh-CN" w:bidi="ar-SA"/>
        </w:rPr>
        <w:t>8.6</w:t>
      </w:r>
      <w:r>
        <w:rPr>
          <w:rFonts w:hint="default" w:ascii="Times New Roman" w:hAnsi="Times New Roman" w:eastAsia="仿宋_GB2312" w:cs="Times New Roman"/>
          <w:color w:val="auto"/>
          <w:kern w:val="2"/>
          <w:sz w:val="32"/>
          <w:szCs w:val="32"/>
          <w:highlight w:val="none"/>
          <w:lang w:val="en-US" w:eastAsia="zh-CN" w:bidi="ar-SA"/>
        </w:rPr>
        <w:t>%；卫生健康支出</w:t>
      </w:r>
      <w:r>
        <w:rPr>
          <w:rFonts w:hint="eastAsia" w:eastAsia="仿宋_GB2312" w:cs="Times New Roman"/>
          <w:color w:val="auto"/>
          <w:kern w:val="2"/>
          <w:sz w:val="32"/>
          <w:szCs w:val="32"/>
          <w:highlight w:val="none"/>
          <w:lang w:val="en-US" w:eastAsia="zh-CN" w:bidi="ar-SA"/>
        </w:rPr>
        <w:t>57.28</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eastAsia="仿宋_GB2312" w:cs="Times New Roman"/>
          <w:color w:val="auto"/>
          <w:kern w:val="2"/>
          <w:sz w:val="32"/>
          <w:szCs w:val="32"/>
          <w:highlight w:val="none"/>
          <w:lang w:val="en-US" w:eastAsia="zh-CN" w:bidi="ar-SA"/>
        </w:rPr>
        <w:t>3.2</w:t>
      </w:r>
      <w:r>
        <w:rPr>
          <w:rFonts w:hint="default" w:ascii="Times New Roman" w:hAnsi="Times New Roman" w:eastAsia="仿宋_GB2312" w:cs="Times New Roman"/>
          <w:color w:val="auto"/>
          <w:kern w:val="2"/>
          <w:sz w:val="32"/>
          <w:szCs w:val="32"/>
          <w:highlight w:val="none"/>
          <w:lang w:val="en-US" w:eastAsia="zh-CN" w:bidi="ar-SA"/>
        </w:rPr>
        <w:t>%；住房保障支出</w:t>
      </w:r>
      <w:r>
        <w:rPr>
          <w:rFonts w:hint="eastAsia" w:eastAsia="仿宋_GB2312" w:cs="Times New Roman"/>
          <w:color w:val="auto"/>
          <w:kern w:val="2"/>
          <w:sz w:val="32"/>
          <w:szCs w:val="32"/>
          <w:highlight w:val="none"/>
          <w:lang w:val="en-US" w:eastAsia="zh-CN" w:bidi="ar-SA"/>
        </w:rPr>
        <w:t>75.44</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eastAsia="仿宋_GB2312" w:cs="Times New Roman"/>
          <w:color w:val="auto"/>
          <w:kern w:val="2"/>
          <w:sz w:val="32"/>
          <w:szCs w:val="32"/>
          <w:highlight w:val="none"/>
          <w:lang w:val="en-US" w:eastAsia="zh-CN" w:bidi="ar-SA"/>
        </w:rPr>
        <w:t>4.2</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w:t>
      </w:r>
    </w:p>
    <w:p w14:paraId="670CEFA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农林水支出</w:t>
      </w:r>
      <w:r>
        <w:rPr>
          <w:rFonts w:hint="eastAsia" w:eastAsia="仿宋_GB2312" w:cs="Times New Roman"/>
          <w:color w:val="auto"/>
          <w:kern w:val="2"/>
          <w:sz w:val="32"/>
          <w:szCs w:val="32"/>
          <w:highlight w:val="none"/>
          <w:lang w:val="en-US" w:eastAsia="zh-CN" w:bidi="ar-SA"/>
        </w:rPr>
        <w:t>969.6</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eastAsia="仿宋_GB2312" w:cs="Times New Roman"/>
          <w:color w:val="auto"/>
          <w:kern w:val="2"/>
          <w:sz w:val="32"/>
          <w:szCs w:val="32"/>
          <w:highlight w:val="none"/>
          <w:lang w:val="en-US" w:eastAsia="zh-CN" w:bidi="ar-SA"/>
        </w:rPr>
        <w:t>54.7</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w:t>
      </w:r>
    </w:p>
    <w:p w14:paraId="6EDF0253">
      <w:pPr>
        <w:pStyle w:val="2"/>
        <w:rPr>
          <w:rFonts w:hint="default"/>
          <w:lang w:val="en-US" w:eastAsia="zh-CN"/>
        </w:rPr>
      </w:pPr>
      <w:r>
        <w:rPr>
          <w:rFonts w:hint="default" w:ascii="Times New Roman" w:hAnsi="Times New Roman" w:eastAsia="思源黑体 CN Normal" w:cs="Times New Roman"/>
          <w:lang w:eastAsia="zh-CN"/>
        </w:rPr>
        <w:drawing>
          <wp:anchor distT="0" distB="0" distL="114300" distR="114300" simplePos="0" relativeHeight="251664384" behindDoc="0" locked="0" layoutInCell="1" allowOverlap="1">
            <wp:simplePos x="0" y="0"/>
            <wp:positionH relativeFrom="column">
              <wp:posOffset>664210</wp:posOffset>
            </wp:positionH>
            <wp:positionV relativeFrom="page">
              <wp:posOffset>6466205</wp:posOffset>
            </wp:positionV>
            <wp:extent cx="4281805" cy="2660015"/>
            <wp:effectExtent l="4445" t="4445" r="19050" b="2159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F996073">
      <w:pPr>
        <w:pStyle w:val="14"/>
        <w:rPr>
          <w:rFonts w:hint="default"/>
          <w:lang w:val="en-US" w:eastAsia="zh-CN"/>
        </w:rPr>
      </w:pPr>
    </w:p>
    <w:bookmarkEnd w:id="33"/>
    <w:p w14:paraId="238E635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34" w:name="_Toc15377212"/>
    </w:p>
    <w:p w14:paraId="182E773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p>
    <w:p w14:paraId="2EFDC40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p>
    <w:p w14:paraId="40EF2C33">
      <w:pPr>
        <w:pStyle w:val="2"/>
        <w:rPr>
          <w:rFonts w:hint="default"/>
        </w:rPr>
      </w:pPr>
    </w:p>
    <w:p w14:paraId="794DBFD3">
      <w:pPr>
        <w:pStyle w:val="15"/>
        <w:ind w:left="0" w:leftChars="0" w:firstLine="0" w:firstLineChars="0"/>
        <w:rPr>
          <w:rFonts w:hint="default" w:ascii="Times New Roman" w:hAnsi="Times New Roman" w:eastAsia="仿宋_GB2312" w:cs="Times New Roman"/>
          <w:color w:val="auto"/>
          <w:kern w:val="2"/>
          <w:sz w:val="21"/>
          <w:szCs w:val="21"/>
          <w:highlight w:val="none"/>
          <w:lang w:val="en-US" w:eastAsia="zh-CN" w:bidi="ar-SA"/>
        </w:rPr>
      </w:pPr>
    </w:p>
    <w:p w14:paraId="2B0AFEE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p>
    <w:p w14:paraId="4DFEFA0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（三）一般公共预算财政拨款支出决算具体情况</w:t>
      </w:r>
      <w:bookmarkEnd w:id="34"/>
    </w:p>
    <w:p w14:paraId="2D8D57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bookmarkStart w:id="35" w:name="_Toc15378460"/>
      <w:bookmarkStart w:id="36" w:name="_Toc15377213"/>
      <w:bookmarkStart w:id="37" w:name="_Toc15377444"/>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年度一般公共预算财政拨款支出决算数为</w:t>
      </w:r>
      <w:r>
        <w:rPr>
          <w:rFonts w:hint="eastAsia" w:eastAsia="仿宋_GB2312" w:cs="Times New Roman"/>
          <w:color w:val="auto"/>
          <w:kern w:val="2"/>
          <w:sz w:val="32"/>
          <w:szCs w:val="32"/>
          <w:highlight w:val="none"/>
          <w:lang w:val="en-US" w:eastAsia="zh-CN" w:bidi="ar-SA"/>
        </w:rPr>
        <w:t>1773.15</w:t>
      </w:r>
      <w:r>
        <w:rPr>
          <w:rFonts w:hint="eastAsia" w:ascii="Times New Roman" w:hAnsi="Times New Roman" w:eastAsia="仿宋_GB2312" w:cs="Times New Roman"/>
          <w:sz w:val="32"/>
          <w:szCs w:val="32"/>
          <w:lang w:val="en-US" w:eastAsia="zh-CN"/>
        </w:rPr>
        <w:t>万元</w:t>
      </w:r>
      <w:r>
        <w:rPr>
          <w:rFonts w:hint="default" w:ascii="Times New Roman" w:hAnsi="Times New Roman" w:eastAsia="仿宋_GB2312" w:cs="Times New Roman"/>
          <w:color w:val="auto"/>
          <w:kern w:val="2"/>
          <w:sz w:val="32"/>
          <w:szCs w:val="32"/>
          <w:highlight w:val="none"/>
          <w:lang w:val="en-US" w:eastAsia="zh-CN" w:bidi="ar-SA"/>
        </w:rPr>
        <w:t>，完成预算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。其中：</w:t>
      </w:r>
      <w:bookmarkEnd w:id="35"/>
      <w:bookmarkEnd w:id="36"/>
      <w:bookmarkEnd w:id="37"/>
    </w:p>
    <w:p w14:paraId="60E40DB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1.一般公共服务支出（</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）人大事务（</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）代表工作（</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）：支出决算为9.9</w:t>
      </w:r>
      <w:r>
        <w:rPr>
          <w:rFonts w:hint="eastAsia"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63B131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2.一般公共服务支出（</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）政府办公厅（室）及相关机构事务（</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）行政运行（</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eastAsia="仿宋_GB2312" w:cs="Times New Roman"/>
          <w:color w:val="auto"/>
          <w:kern w:val="2"/>
          <w:sz w:val="32"/>
          <w:szCs w:val="32"/>
          <w:highlight w:val="none"/>
          <w:lang w:val="en-US" w:eastAsia="zh-CN" w:bidi="ar-SA"/>
        </w:rPr>
        <w:t>504.32</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5024B2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3.一般公共服务支出（</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）政府办公厅（室）及相关机构事务（</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）其他政府办公厅（室）及相关机构事务支出（</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eastAsia="仿宋_GB2312" w:cs="Times New Roman"/>
          <w:color w:val="auto"/>
          <w:kern w:val="2"/>
          <w:sz w:val="32"/>
          <w:szCs w:val="32"/>
          <w:highlight w:val="none"/>
          <w:lang w:val="en-US" w:eastAsia="zh-CN" w:bidi="ar-SA"/>
        </w:rPr>
        <w:t>4.74</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7E3EC9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.社会保障和就业（</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）行政事业单位养老支出（</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）机关事业单位基本养老保险缴费支出（</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eastAsia="仿宋_GB2312" w:cs="Times New Roman"/>
          <w:color w:val="auto"/>
          <w:kern w:val="2"/>
          <w:sz w:val="32"/>
          <w:szCs w:val="32"/>
          <w:highlight w:val="none"/>
          <w:lang w:val="en-US" w:eastAsia="zh-CN" w:bidi="ar-SA"/>
        </w:rPr>
        <w:t>97.57</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50E911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.社会保障和就业（</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）行政事业单位养老支出（</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）机关事业单位职业年金缴费支出（</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eastAsia="仿宋_GB2312" w:cs="Times New Roman"/>
          <w:color w:val="auto"/>
          <w:kern w:val="2"/>
          <w:sz w:val="32"/>
          <w:szCs w:val="32"/>
          <w:highlight w:val="none"/>
          <w:lang w:val="en-US" w:eastAsia="zh-CN" w:bidi="ar-SA"/>
        </w:rPr>
        <w:t>48.78</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7C853C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en-US" w:eastAsia="zh-CN" w:bidi="ar-SA"/>
        </w:rPr>
        <w:t>.社会保障和就业（</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）就业补助（</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）机关事业单位公益性岗位补贴（</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eastAsia="仿宋_GB2312" w:cs="Times New Roman"/>
          <w:color w:val="auto"/>
          <w:kern w:val="2"/>
          <w:sz w:val="32"/>
          <w:szCs w:val="32"/>
          <w:highlight w:val="none"/>
          <w:lang w:val="en-US" w:eastAsia="zh-CN" w:bidi="ar-SA"/>
        </w:rPr>
        <w:t>4.4</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427889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eastAsia" w:ascii="Times New Roman" w:hAnsi="Times New Roman" w:eastAsia="仿宋_GB2312" w:cs="Times New Roman"/>
          <w:color w:val="auto"/>
          <w:kern w:val="2"/>
          <w:sz w:val="32"/>
          <w:szCs w:val="32"/>
          <w:highlight w:val="none"/>
          <w:lang w:val="en-US" w:eastAsia="zh-CN" w:bidi="ar-SA"/>
        </w:rPr>
        <w:t>7</w:t>
      </w:r>
      <w:r>
        <w:rPr>
          <w:rFonts w:hint="default" w:ascii="Times New Roman" w:hAnsi="Times New Roman" w:eastAsia="仿宋_GB2312" w:cs="Times New Roman"/>
          <w:color w:val="auto"/>
          <w:kern w:val="2"/>
          <w:sz w:val="32"/>
          <w:szCs w:val="32"/>
          <w:highlight w:val="none"/>
          <w:lang w:val="en-US" w:eastAsia="zh-CN" w:bidi="ar-SA"/>
        </w:rPr>
        <w:t>.社会保障和就业（</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残疾人事业</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其他残疾人事业支出</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ascii="Times New Roman" w:hAnsi="Times New Roman" w:eastAsia="仿宋_GB2312" w:cs="Times New Roman"/>
          <w:color w:val="auto"/>
          <w:kern w:val="2"/>
          <w:sz w:val="32"/>
          <w:szCs w:val="32"/>
          <w:highlight w:val="none"/>
          <w:lang w:val="en-US" w:eastAsia="zh-CN" w:bidi="ar-SA"/>
        </w:rPr>
        <w:t>1.1</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252B72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8.卫生健康（</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）公共卫生（</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）重大公共卫生服务（</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）：支出决算为1.5万元，完成预算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4A789D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9.卫生健康（</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）行政事业单位医疗（</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）行政单位医疗（</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eastAsia="仿宋_GB2312" w:cs="Times New Roman"/>
          <w:color w:val="auto"/>
          <w:kern w:val="2"/>
          <w:sz w:val="32"/>
          <w:szCs w:val="32"/>
          <w:highlight w:val="none"/>
          <w:lang w:val="en-US" w:eastAsia="zh-CN" w:bidi="ar-SA"/>
        </w:rPr>
        <w:t>43.32</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53729F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10.卫生健康（210）行政事业单位医疗（11）事业单位医疗（02）：支出决算为</w:t>
      </w:r>
      <w:r>
        <w:rPr>
          <w:rFonts w:hint="eastAsia" w:eastAsia="仿宋_GB2312" w:cs="Times New Roman"/>
          <w:color w:val="auto"/>
          <w:kern w:val="2"/>
          <w:sz w:val="32"/>
          <w:szCs w:val="32"/>
          <w:highlight w:val="none"/>
          <w:lang w:val="en-US" w:eastAsia="zh-CN" w:bidi="ar-SA"/>
        </w:rPr>
        <w:t>12.47</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100%。决算数与预算数持平。</w:t>
      </w:r>
    </w:p>
    <w:p w14:paraId="363C95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11.农林水支出（</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）农业农村（</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）事业运行（</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eastAsia="仿宋_GB2312" w:cs="Times New Roman"/>
          <w:color w:val="auto"/>
          <w:kern w:val="2"/>
          <w:sz w:val="32"/>
          <w:szCs w:val="32"/>
          <w:highlight w:val="none"/>
          <w:lang w:val="en-US" w:eastAsia="zh-CN" w:bidi="ar-SA"/>
        </w:rPr>
        <w:t>274.47</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090CCA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12.农林水支出（</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）巩固脱贫攻坚成果衔接乡村振兴（</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）农村基础设施建设（</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eastAsia="仿宋_GB2312" w:cs="Times New Roman"/>
          <w:color w:val="auto"/>
          <w:kern w:val="2"/>
          <w:sz w:val="32"/>
          <w:szCs w:val="32"/>
          <w:highlight w:val="none"/>
          <w:lang w:val="en-US" w:eastAsia="zh-CN" w:bidi="ar-SA"/>
        </w:rPr>
        <w:t>7.99</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750F53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w:t>
      </w:r>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.农林水支出（</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）巩固脱贫攻坚成果衔接乡村振兴（</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）其他巩固脱贫攻坚成果衔接乡村振兴支出（</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eastAsia="仿宋_GB2312" w:cs="Times New Roman"/>
          <w:color w:val="auto"/>
          <w:kern w:val="2"/>
          <w:sz w:val="32"/>
          <w:szCs w:val="32"/>
          <w:highlight w:val="none"/>
          <w:lang w:val="en-US" w:eastAsia="zh-CN" w:bidi="ar-SA"/>
        </w:rPr>
        <w:t>218.47</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68D955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default"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.农林水支出（</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）农村综合改革（</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）对</w:t>
      </w:r>
      <w:r>
        <w:rPr>
          <w:rFonts w:hint="eastAsia" w:ascii="Times New Roman" w:hAnsi="Times New Roman" w:eastAsia="仿宋_GB2312" w:cs="Times New Roman"/>
          <w:color w:val="auto"/>
          <w:kern w:val="2"/>
          <w:sz w:val="32"/>
          <w:szCs w:val="32"/>
          <w:highlight w:val="none"/>
          <w:lang w:val="en-US" w:eastAsia="zh-CN" w:bidi="ar-SA"/>
        </w:rPr>
        <w:t>村级公益事业建设</w:t>
      </w:r>
      <w:r>
        <w:rPr>
          <w:rFonts w:hint="default" w:ascii="Times New Roman" w:hAnsi="Times New Roman" w:eastAsia="仿宋_GB2312" w:cs="Times New Roman"/>
          <w:color w:val="auto"/>
          <w:kern w:val="2"/>
          <w:sz w:val="32"/>
          <w:szCs w:val="32"/>
          <w:highlight w:val="none"/>
          <w:lang w:val="en-US" w:eastAsia="zh-CN" w:bidi="ar-SA"/>
        </w:rPr>
        <w:t>的补助（</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ascii="Times New Roman" w:hAnsi="Times New Roman" w:eastAsia="仿宋_GB2312" w:cs="Times New Roman"/>
          <w:color w:val="auto"/>
          <w:kern w:val="2"/>
          <w:sz w:val="32"/>
          <w:szCs w:val="32"/>
          <w:highlight w:val="none"/>
          <w:lang w:val="en-US" w:eastAsia="zh-CN" w:bidi="ar-SA"/>
        </w:rPr>
        <w:t>89.1</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决算数与预算数持平。</w:t>
      </w:r>
    </w:p>
    <w:p w14:paraId="7DE06EB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15.农林水支出（</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）农村综合改革（</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）对村民委员会和村党支部的补助（</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w:t>
      </w:r>
      <w:r>
        <w:rPr>
          <w:rFonts w:hint="eastAsia" w:eastAsia="仿宋_GB2312" w:cs="Times New Roman"/>
          <w:color w:val="auto"/>
          <w:kern w:val="2"/>
          <w:sz w:val="32"/>
          <w:szCs w:val="32"/>
          <w:highlight w:val="none"/>
          <w:lang w:val="en-US" w:eastAsia="zh-CN" w:bidi="ar-SA"/>
        </w:rPr>
        <w:t>379.57</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预算数与决算数持平。</w:t>
      </w:r>
    </w:p>
    <w:p w14:paraId="307C503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16.住房保障支出（</w:t>
      </w:r>
      <w:r>
        <w:rPr>
          <w:rFonts w:hint="eastAsia"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）住房改革支出（</w:t>
      </w:r>
      <w:r>
        <w:rPr>
          <w:rFonts w:hint="eastAsia"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）住房公积金（</w:t>
      </w:r>
      <w:r>
        <w:rPr>
          <w:rFonts w:hint="eastAsia"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）：支出决算为75.</w:t>
      </w:r>
      <w:r>
        <w:rPr>
          <w:rFonts w:hint="eastAsia" w:eastAsia="仿宋_GB2312" w:cs="Times New Roman"/>
          <w:color w:val="auto"/>
          <w:kern w:val="2"/>
          <w:sz w:val="32"/>
          <w:szCs w:val="32"/>
          <w:highlight w:val="none"/>
          <w:lang w:val="en-US" w:eastAsia="zh-CN" w:bidi="ar-SA"/>
        </w:rPr>
        <w:t>44</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预算数与决算数持平。</w:t>
      </w:r>
    </w:p>
    <w:p w14:paraId="50B40B31">
      <w:pPr>
        <w:keepNext w:val="0"/>
        <w:keepLines w:val="0"/>
        <w:pageBreakBefore w:val="0"/>
        <w:widowControl w:val="0"/>
        <w:tabs>
          <w:tab w:val="right" w:pos="8306"/>
        </w:tabs>
        <w:kinsoku/>
        <w:wordWrap/>
        <w:overflowPunct/>
        <w:topLinePunct w:val="0"/>
        <w:autoSpaceDE/>
        <w:autoSpaceDN/>
        <w:bidi w:val="0"/>
        <w:adjustRightInd/>
        <w:snapToGrid/>
        <w:spacing w:line="600" w:lineRule="exact"/>
        <w:ind w:firstLine="640" w:firstLineChars="200"/>
        <w:textAlignment w:val="auto"/>
        <w:outlineLvl w:val="1"/>
        <w:rPr>
          <w:rStyle w:val="24"/>
          <w:rFonts w:hint="default" w:ascii="Times New Roman" w:hAnsi="Times New Roman" w:cs="Times New Roman"/>
          <w:color w:val="auto"/>
          <w:highlight w:val="none"/>
        </w:rPr>
      </w:pPr>
      <w:bookmarkStart w:id="38" w:name="_Toc30001"/>
      <w:bookmarkStart w:id="39" w:name="_Toc15396608"/>
      <w:bookmarkStart w:id="40"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24"/>
          <w:rFonts w:hint="default" w:ascii="Times New Roman" w:hAnsi="Times New Roman" w:eastAsia="黑体" w:cs="Times New Roman"/>
          <w:b w:val="0"/>
          <w:color w:val="auto"/>
          <w:highlight w:val="none"/>
        </w:rPr>
        <w:t>般公共预算财政拨款基本支出决算情况说明</w:t>
      </w:r>
      <w:bookmarkEnd w:id="38"/>
      <w:bookmarkEnd w:id="39"/>
      <w:bookmarkEnd w:id="40"/>
      <w:r>
        <w:rPr>
          <w:rStyle w:val="24"/>
          <w:rFonts w:hint="default" w:ascii="Times New Roman" w:hAnsi="Times New Roman" w:eastAsia="黑体" w:cs="Times New Roman"/>
          <w:b w:val="0"/>
          <w:color w:val="auto"/>
          <w:highlight w:val="none"/>
        </w:rPr>
        <w:tab/>
      </w:r>
    </w:p>
    <w:p w14:paraId="2287D6B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年度一般公共预算财政拨款基本支出</w:t>
      </w:r>
      <w:r>
        <w:rPr>
          <w:rFonts w:hint="eastAsia" w:eastAsia="仿宋_GB2312" w:cs="Times New Roman"/>
          <w:color w:val="auto"/>
          <w:kern w:val="2"/>
          <w:sz w:val="32"/>
          <w:szCs w:val="32"/>
          <w:highlight w:val="none"/>
          <w:lang w:val="en-US" w:eastAsia="zh-CN" w:bidi="ar-SA"/>
        </w:rPr>
        <w:t>1056.37</w:t>
      </w:r>
      <w:r>
        <w:rPr>
          <w:rFonts w:hint="default" w:ascii="Times New Roman" w:hAnsi="Times New Roman" w:eastAsia="仿宋_GB2312" w:cs="Times New Roman"/>
          <w:color w:val="auto"/>
          <w:kern w:val="2"/>
          <w:sz w:val="32"/>
          <w:szCs w:val="32"/>
          <w:highlight w:val="none"/>
          <w:lang w:val="en-US" w:eastAsia="zh-CN" w:bidi="ar-SA"/>
        </w:rPr>
        <w:t>万元，其中：</w:t>
      </w:r>
    </w:p>
    <w:p w14:paraId="2999E09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eastAsia" w:eastAsia="仿宋_GB2312" w:cs="Times New Roman"/>
          <w:color w:val="auto"/>
          <w:kern w:val="2"/>
          <w:sz w:val="32"/>
          <w:szCs w:val="32"/>
          <w:highlight w:val="none"/>
          <w:lang w:val="en-US" w:eastAsia="zh-CN" w:bidi="ar-SA"/>
        </w:rPr>
        <w:t>986.3</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万元，主要包括：基本工资、津贴补贴、奖金、绩效工资、机关事业单位基本养老保险缴费、职业年金缴费、职工基本医疗保险缴费、其他社会保障缴费、住房公积金、医疗费、生活补助、奖励金。</w:t>
      </w:r>
    </w:p>
    <w:p w14:paraId="647E7F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公用经费</w:t>
      </w:r>
      <w:r>
        <w:rPr>
          <w:rFonts w:hint="eastAsia" w:eastAsia="仿宋_GB2312" w:cs="Times New Roman"/>
          <w:color w:val="auto"/>
          <w:kern w:val="2"/>
          <w:sz w:val="32"/>
          <w:szCs w:val="32"/>
          <w:highlight w:val="none"/>
          <w:lang w:val="en-US" w:eastAsia="zh-CN" w:bidi="ar-SA"/>
        </w:rPr>
        <w:t>70.07</w:t>
      </w:r>
      <w:r>
        <w:rPr>
          <w:rFonts w:hint="default" w:ascii="Times New Roman" w:hAnsi="Times New Roman" w:eastAsia="仿宋_GB2312" w:cs="Times New Roman"/>
          <w:color w:val="auto"/>
          <w:kern w:val="2"/>
          <w:sz w:val="32"/>
          <w:szCs w:val="32"/>
          <w:highlight w:val="none"/>
          <w:lang w:val="en-US" w:eastAsia="zh-CN" w:bidi="ar-SA"/>
        </w:rPr>
        <w:t>万元，主要包括：办公费、电费、差旅费、培训费、</w:t>
      </w:r>
      <w:r>
        <w:rPr>
          <w:rFonts w:hint="eastAsia" w:eastAsia="仿宋_GB2312" w:cs="Times New Roman"/>
          <w:color w:val="auto"/>
          <w:kern w:val="2"/>
          <w:sz w:val="32"/>
          <w:szCs w:val="32"/>
          <w:highlight w:val="none"/>
          <w:lang w:val="en-US" w:eastAsia="zh-CN" w:bidi="ar-SA"/>
        </w:rPr>
        <w:t>福利费、</w:t>
      </w:r>
      <w:r>
        <w:rPr>
          <w:rFonts w:hint="default" w:ascii="Times New Roman" w:hAnsi="Times New Roman" w:eastAsia="仿宋_GB2312" w:cs="Times New Roman"/>
          <w:color w:val="auto"/>
          <w:kern w:val="2"/>
          <w:sz w:val="32"/>
          <w:szCs w:val="32"/>
          <w:highlight w:val="none"/>
          <w:lang w:val="en-US" w:eastAsia="zh-CN" w:bidi="ar-SA"/>
        </w:rPr>
        <w:t>公务用车运行维护费</w:t>
      </w:r>
      <w:r>
        <w:rPr>
          <w:rFonts w:hint="eastAsia" w:eastAsia="仿宋_GB2312" w:cs="Times New Roman"/>
          <w:color w:val="auto"/>
          <w:kern w:val="2"/>
          <w:sz w:val="32"/>
          <w:szCs w:val="32"/>
          <w:highlight w:val="none"/>
          <w:lang w:val="en-US" w:eastAsia="zh-CN" w:bidi="ar-SA"/>
        </w:rPr>
        <w:t>、其他商品和服务支出</w:t>
      </w:r>
      <w:r>
        <w:rPr>
          <w:rFonts w:hint="default" w:ascii="Times New Roman" w:hAnsi="Times New Roman" w:eastAsia="仿宋_GB2312" w:cs="Times New Roman"/>
          <w:color w:val="auto"/>
          <w:kern w:val="2"/>
          <w:sz w:val="32"/>
          <w:szCs w:val="32"/>
          <w:highlight w:val="none"/>
          <w:lang w:val="en-US" w:eastAsia="zh-CN" w:bidi="ar-SA"/>
        </w:rPr>
        <w:t>。</w:t>
      </w:r>
    </w:p>
    <w:p w14:paraId="731F51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rPr>
      </w:pPr>
      <w:bookmarkStart w:id="41" w:name="_Toc15377215"/>
      <w:bookmarkStart w:id="42" w:name="_Toc1392"/>
      <w:bookmarkStart w:id="43" w:name="_Toc15396609"/>
    </w:p>
    <w:p w14:paraId="65195B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rPr>
      </w:pPr>
    </w:p>
    <w:p w14:paraId="29BF861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rPr>
      </w:pPr>
    </w:p>
    <w:p w14:paraId="1AECD7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rPr>
      </w:pPr>
    </w:p>
    <w:p w14:paraId="0B8792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Style w:val="24"/>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七、</w:t>
      </w:r>
      <w:r>
        <w:rPr>
          <w:rStyle w:val="24"/>
          <w:rFonts w:hint="default" w:ascii="Times New Roman" w:hAnsi="Times New Roman" w:eastAsia="黑体" w:cs="Times New Roman"/>
          <w:b w:val="0"/>
          <w:color w:val="auto"/>
          <w:highlight w:val="none"/>
        </w:rPr>
        <w:t>财政拨款</w:t>
      </w:r>
      <w:r>
        <w:rPr>
          <w:rStyle w:val="24"/>
          <w:rFonts w:hint="default" w:ascii="Times New Roman" w:hAnsi="Times New Roman" w:eastAsia="黑体" w:cs="Times New Roman"/>
          <w:color w:val="auto"/>
          <w:highlight w:val="none"/>
        </w:rPr>
        <w:t>“</w:t>
      </w:r>
      <w:r>
        <w:rPr>
          <w:rStyle w:val="24"/>
          <w:rFonts w:hint="default" w:ascii="Times New Roman" w:hAnsi="Times New Roman" w:eastAsia="黑体" w:cs="Times New Roman"/>
          <w:b w:val="0"/>
          <w:color w:val="auto"/>
          <w:highlight w:val="none"/>
        </w:rPr>
        <w:t>三公”经费支出决算情况说明</w:t>
      </w:r>
      <w:bookmarkEnd w:id="41"/>
      <w:bookmarkEnd w:id="42"/>
      <w:bookmarkEnd w:id="43"/>
    </w:p>
    <w:p w14:paraId="6D0E0C8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4" w:name="_Toc15377216"/>
      <w:r>
        <w:rPr>
          <w:rFonts w:hint="default" w:ascii="Times New Roman" w:hAnsi="Times New Roman" w:eastAsia="楷体_GB2312" w:cs="Times New Roman"/>
          <w:b/>
          <w:color w:val="auto"/>
          <w:sz w:val="32"/>
          <w:szCs w:val="32"/>
          <w:highlight w:val="none"/>
        </w:rPr>
        <w:t>（一）“三公”经费财政拨款支出决算总体情况说明</w:t>
      </w:r>
      <w:bookmarkEnd w:id="44"/>
    </w:p>
    <w:p w14:paraId="4304D4BF">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思源黑体 CN Normal" w:cs="Times New Roman"/>
        </w:rPr>
        <w:drawing>
          <wp:anchor distT="0" distB="0" distL="0" distR="0" simplePos="0" relativeHeight="251661312" behindDoc="0" locked="0" layoutInCell="1" allowOverlap="1">
            <wp:simplePos x="0" y="0"/>
            <wp:positionH relativeFrom="column">
              <wp:posOffset>661035</wp:posOffset>
            </wp:positionH>
            <wp:positionV relativeFrom="page">
              <wp:posOffset>3042920</wp:posOffset>
            </wp:positionV>
            <wp:extent cx="4333240" cy="2886075"/>
            <wp:effectExtent l="4445" t="4445" r="5715" b="508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年度“三公”经费财政拨款支出决算为</w:t>
      </w:r>
      <w:r>
        <w:rPr>
          <w:rFonts w:hint="default" w:ascii="Times New Roman" w:hAnsi="Times New Roman" w:eastAsia="仿宋_GB2312" w:cs="Times New Roman"/>
          <w:sz w:val="32"/>
          <w:szCs w:val="32"/>
        </w:rPr>
        <w:t>7.6</w:t>
      </w:r>
      <w:r>
        <w:rPr>
          <w:rFonts w:hint="eastAsia" w:eastAsia="仿宋_GB2312" w:cs="Times New Roman"/>
          <w:sz w:val="32"/>
          <w:szCs w:val="32"/>
          <w:lang w:val="en-US" w:eastAsia="zh-CN"/>
        </w:rPr>
        <w:t>4</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与</w:t>
      </w:r>
      <w:r>
        <w:rPr>
          <w:rFonts w:hint="default" w:ascii="Times New Roman" w:hAnsi="Times New Roman" w:eastAsia="仿宋" w:cs="Times New Roman"/>
          <w:color w:val="auto"/>
          <w:sz w:val="32"/>
          <w:szCs w:val="32"/>
          <w:highlight w:val="none"/>
          <w:lang w:eastAsia="zh-CN"/>
        </w:rPr>
        <w:t>上年度</w:t>
      </w:r>
      <w:r>
        <w:rPr>
          <w:rFonts w:hint="eastAsia" w:eastAsia="仿宋" w:cs="Times New Roman"/>
          <w:color w:val="auto"/>
          <w:sz w:val="32"/>
          <w:szCs w:val="32"/>
          <w:highlight w:val="none"/>
          <w:lang w:eastAsia="zh-CN"/>
        </w:rPr>
        <w:t>相比</w:t>
      </w:r>
      <w:r>
        <w:rPr>
          <w:rFonts w:hint="default" w:ascii="Times New Roman" w:hAnsi="Times New Roman" w:eastAsia="仿宋" w:cs="Times New Roman"/>
          <w:color w:val="auto"/>
          <w:sz w:val="32"/>
          <w:szCs w:val="32"/>
          <w:highlight w:val="none"/>
          <w:lang w:val="en-US" w:eastAsia="zh-CN"/>
        </w:rPr>
        <w:t>减少0.0</w:t>
      </w:r>
      <w:r>
        <w:rPr>
          <w:rFonts w:hint="eastAsia" w:eastAsia="仿宋" w:cs="Times New Roman"/>
          <w:color w:val="auto"/>
          <w:sz w:val="32"/>
          <w:szCs w:val="32"/>
          <w:highlight w:val="none"/>
          <w:lang w:val="en-US" w:eastAsia="zh-CN"/>
        </w:rPr>
        <w:t>3</w:t>
      </w:r>
      <w:r>
        <w:rPr>
          <w:rFonts w:hint="default" w:ascii="Times New Roman" w:hAnsi="Times New Roman" w:eastAsia="仿宋" w:cs="Times New Roman"/>
          <w:color w:val="auto"/>
          <w:sz w:val="32"/>
          <w:szCs w:val="32"/>
          <w:highlight w:val="none"/>
          <w:lang w:val="en-US" w:eastAsia="zh-CN"/>
        </w:rPr>
        <w:t>万元，下降0.</w:t>
      </w:r>
      <w:r>
        <w:rPr>
          <w:rFonts w:hint="eastAsia" w:eastAsia="仿宋" w:cs="Times New Roman"/>
          <w:color w:val="auto"/>
          <w:sz w:val="32"/>
          <w:szCs w:val="32"/>
          <w:highlight w:val="none"/>
          <w:lang w:val="en-US" w:eastAsia="zh-CN"/>
        </w:rPr>
        <w:t>4</w:t>
      </w:r>
      <w:r>
        <w:rPr>
          <w:rFonts w:hint="default" w:ascii="Times New Roman" w:hAnsi="Times New Roman" w:eastAsia="仿宋" w:cs="Times New Roman"/>
          <w:color w:val="auto"/>
          <w:sz w:val="32"/>
          <w:szCs w:val="32"/>
          <w:highlight w:val="none"/>
          <w:lang w:val="en-US" w:eastAsia="zh-CN"/>
        </w:rPr>
        <w:t>%。</w:t>
      </w:r>
      <w:r>
        <w:rPr>
          <w:rFonts w:hint="default" w:ascii="Times New Roman" w:hAnsi="Times New Roman" w:eastAsia="仿宋" w:cs="Times New Roman"/>
          <w:color w:val="auto"/>
          <w:sz w:val="32"/>
          <w:szCs w:val="32"/>
          <w:highlight w:val="none"/>
        </w:rPr>
        <w:t>主要原因是</w:t>
      </w:r>
      <w:r>
        <w:rPr>
          <w:rFonts w:hint="eastAsia" w:eastAsia="仿宋"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lang w:val="en-US" w:eastAsia="zh-CN"/>
        </w:rPr>
        <w:t>我镇车辆维修减少</w:t>
      </w:r>
      <w:r>
        <w:rPr>
          <w:rFonts w:hint="default" w:ascii="Times New Roman" w:hAnsi="Times New Roman" w:eastAsia="仿宋" w:cs="Times New Roman"/>
          <w:color w:val="auto"/>
          <w:sz w:val="32"/>
          <w:szCs w:val="32"/>
          <w:highlight w:val="none"/>
        </w:rPr>
        <w:t>。</w:t>
      </w:r>
    </w:p>
    <w:p w14:paraId="693D60D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5" w:name="_Toc15377217"/>
      <w:r>
        <w:rPr>
          <w:rFonts w:hint="default" w:ascii="Times New Roman" w:hAnsi="Times New Roman" w:eastAsia="楷体_GB2312" w:cs="Times New Roman"/>
          <w:b/>
          <w:color w:val="auto"/>
          <w:sz w:val="32"/>
          <w:szCs w:val="32"/>
          <w:highlight w:val="none"/>
        </w:rPr>
        <w:t>（二）“三公”经费财政拨款支出决算具体情况说明</w:t>
      </w:r>
      <w:bookmarkEnd w:id="45"/>
    </w:p>
    <w:p w14:paraId="22F5BDA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年度“三公”经费财政拨款支出决算中</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w:t>
      </w:r>
      <w:r>
        <w:rPr>
          <w:rFonts w:hint="default" w:ascii="Times New Roman" w:hAnsi="Times New Roman" w:eastAsia="仿宋_GB2312" w:cs="Times New Roman"/>
          <w:sz w:val="32"/>
          <w:szCs w:val="32"/>
        </w:rPr>
        <w:t>7.6</w:t>
      </w:r>
      <w:r>
        <w:rPr>
          <w:rFonts w:hint="eastAsia" w:eastAsia="仿宋_GB2312" w:cs="Times New Roman"/>
          <w:sz w:val="32"/>
          <w:szCs w:val="32"/>
          <w:lang w:val="en-US" w:eastAsia="zh-CN"/>
        </w:rPr>
        <w:t>4</w:t>
      </w:r>
      <w:r>
        <w:rPr>
          <w:rFonts w:hint="default" w:ascii="Times New Roman" w:hAnsi="Times New Roman" w:eastAsia="仿宋_GB2312" w:cs="Times New Roman"/>
          <w:color w:val="auto"/>
          <w:kern w:val="2"/>
          <w:sz w:val="32"/>
          <w:szCs w:val="32"/>
          <w:highlight w:val="none"/>
          <w:lang w:val="en-US" w:eastAsia="zh-CN" w:bidi="ar-SA"/>
        </w:rPr>
        <w:t>万元，占</w:t>
      </w:r>
      <w:r>
        <w:rPr>
          <w:rFonts w:hint="eastAsia"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具体情况如下：</w:t>
      </w:r>
    </w:p>
    <w:p w14:paraId="4B2452D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w:t>
      </w:r>
      <w:r>
        <w:rPr>
          <w:rFonts w:hint="eastAsia" w:eastAsia="仿宋_GB2312" w:cs="Times New Roman"/>
          <w:b/>
          <w:bCs/>
          <w:color w:val="auto"/>
          <w:kern w:val="2"/>
          <w:sz w:val="32"/>
          <w:szCs w:val="32"/>
          <w:highlight w:val="none"/>
          <w:lang w:val="en-US" w:eastAsia="zh-CN" w:bidi="ar-SA"/>
        </w:rPr>
        <w:t>。</w:t>
      </w:r>
    </w:p>
    <w:p w14:paraId="361FC0D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2.公务用车购置及运行维护费支出7.6</w:t>
      </w:r>
      <w:r>
        <w:rPr>
          <w:rFonts w:hint="eastAsia" w:eastAsia="仿宋_GB2312" w:cs="Times New Roman"/>
          <w:b/>
          <w:bCs/>
          <w:color w:val="auto"/>
          <w:kern w:val="2"/>
          <w:sz w:val="32"/>
          <w:szCs w:val="32"/>
          <w:highlight w:val="none"/>
          <w:lang w:val="en-US" w:eastAsia="zh-CN" w:bidi="ar-SA"/>
        </w:rPr>
        <w:t>4</w:t>
      </w:r>
      <w:r>
        <w:rPr>
          <w:rFonts w:hint="default" w:ascii="Times New Roman" w:hAnsi="Times New Roman" w:eastAsia="仿宋_GB2312" w:cs="Times New Roman"/>
          <w:b/>
          <w:bCs/>
          <w:color w:val="auto"/>
          <w:kern w:val="2"/>
          <w:sz w:val="32"/>
          <w:szCs w:val="32"/>
          <w:highlight w:val="none"/>
          <w:lang w:val="en-US" w:eastAsia="zh-CN" w:bidi="ar-SA"/>
        </w:rPr>
        <w:t>万元，完成预算100%。</w:t>
      </w:r>
      <w:r>
        <w:rPr>
          <w:rFonts w:hint="default" w:ascii="Times New Roman" w:hAnsi="Times New Roman" w:eastAsia="仿宋_GB2312" w:cs="Times New Roman"/>
          <w:color w:val="auto"/>
          <w:sz w:val="32"/>
          <w:szCs w:val="32"/>
          <w:highlight w:val="none"/>
        </w:rPr>
        <w:t>公务用车购置及运行维护费支出决算</w:t>
      </w:r>
      <w:r>
        <w:rPr>
          <w:rFonts w:hint="eastAsia" w:eastAsia="仿宋_GB2312" w:cs="Times New Roman"/>
          <w:color w:val="auto"/>
          <w:sz w:val="32"/>
          <w:szCs w:val="32"/>
          <w:highlight w:val="none"/>
          <w:lang w:val="en-US" w:eastAsia="zh-CN"/>
        </w:rPr>
        <w:t>与</w: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年度</w:t>
      </w:r>
      <w:r>
        <w:rPr>
          <w:rFonts w:hint="eastAsia" w:eastAsia="仿宋_GB2312" w:cs="Times New Roman"/>
          <w:color w:val="auto"/>
          <w:sz w:val="32"/>
          <w:szCs w:val="32"/>
          <w:highlight w:val="none"/>
          <w:lang w:eastAsia="zh-CN"/>
        </w:rPr>
        <w:t>相比</w:t>
      </w:r>
      <w:r>
        <w:rPr>
          <w:rFonts w:hint="default" w:ascii="Times New Roman" w:hAnsi="Times New Roman" w:eastAsia="仿宋_GB2312" w:cs="Times New Roman"/>
          <w:color w:val="auto"/>
          <w:sz w:val="32"/>
          <w:szCs w:val="32"/>
          <w:highlight w:val="none"/>
        </w:rPr>
        <w:t>减少</w:t>
      </w:r>
      <w:r>
        <w:rPr>
          <w:rFonts w:hint="default" w:ascii="Times New Roman" w:hAnsi="Times New Roman" w:eastAsia="仿宋_GB2312" w:cs="Times New Roman"/>
          <w:color w:val="auto"/>
          <w:sz w:val="32"/>
          <w:szCs w:val="32"/>
          <w:highlight w:val="none"/>
          <w:lang w:val="en-US" w:eastAsia="zh-CN"/>
        </w:rPr>
        <w:t>0.0</w:t>
      </w: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万元，下降</w:t>
      </w:r>
      <w:r>
        <w:rPr>
          <w:rFonts w:hint="default" w:ascii="Times New Roman" w:hAnsi="Times New Roman" w:eastAsia="仿宋_GB2312" w:cs="Times New Roman"/>
          <w:color w:val="auto"/>
          <w:sz w:val="32"/>
          <w:szCs w:val="32"/>
          <w:highlight w:val="none"/>
          <w:lang w:val="en-US" w:eastAsia="zh-CN"/>
        </w:rPr>
        <w:t>0.</w:t>
      </w:r>
      <w:r>
        <w:rPr>
          <w:rFonts w:hint="eastAsia" w:eastAsia="仿宋_GB2312" w:cs="Times New Roman"/>
          <w:color w:val="auto"/>
          <w:sz w:val="32"/>
          <w:szCs w:val="32"/>
          <w:highlight w:val="none"/>
          <w:lang w:val="en-US" w:eastAsia="zh-CN"/>
        </w:rPr>
        <w:t>39</w:t>
      </w:r>
      <w:r>
        <w:rPr>
          <w:rFonts w:hint="default" w:ascii="Times New Roman" w:hAnsi="Times New Roman" w:eastAsia="仿宋_GB2312" w:cs="Times New Roman"/>
          <w:color w:val="auto"/>
          <w:sz w:val="32"/>
          <w:szCs w:val="32"/>
          <w:highlight w:val="none"/>
        </w:rPr>
        <w:t>%。主要原因是</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我镇车辆大修减少</w:t>
      </w:r>
      <w:r>
        <w:rPr>
          <w:rFonts w:hint="default" w:ascii="Times New Roman" w:hAnsi="Times New Roman" w:eastAsia="仿宋_GB2312" w:cs="Times New Roman"/>
          <w:color w:val="auto"/>
          <w:sz w:val="32"/>
          <w:szCs w:val="32"/>
          <w:highlight w:val="none"/>
        </w:rPr>
        <w:t>。</w:t>
      </w:r>
    </w:p>
    <w:p w14:paraId="2D630F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color w:val="auto"/>
          <w:sz w:val="32"/>
          <w:szCs w:val="32"/>
          <w:highlight w:val="none"/>
          <w:lang w:eastAsia="zh-CN"/>
        </w:rPr>
      </w:pPr>
      <w:r>
        <w:rPr>
          <w:rFonts w:hint="default" w:ascii="Times New Roman" w:hAnsi="Times New Roman" w:eastAsia="仿宋_GB2312" w:cs="Times New Roman"/>
          <w:color w:val="auto"/>
          <w:sz w:val="32"/>
          <w:szCs w:val="32"/>
          <w:highlight w:val="none"/>
        </w:rPr>
        <w:t>截至</w: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w:t>
      </w:r>
      <w:r>
        <w:rPr>
          <w:rFonts w:hint="default" w:ascii="Times New Roman" w:hAnsi="Times New Roman" w:eastAsia="仿宋_GB2312" w:cs="Times New Roman"/>
          <w:color w:val="auto"/>
          <w:sz w:val="32"/>
          <w:szCs w:val="32"/>
          <w:highlight w:val="none"/>
        </w:rPr>
        <w:t>12月</w:t>
      </w:r>
      <w:r>
        <w:rPr>
          <w:rFonts w:hint="default" w:ascii="Times New Roman" w:hAnsi="Times New Roman" w:eastAsia="仿宋_GB2312" w:cs="Times New Roman"/>
          <w:color w:val="auto"/>
          <w:sz w:val="32"/>
          <w:szCs w:val="32"/>
          <w:highlight w:val="none"/>
          <w:lang w:val="en-US" w:eastAsia="zh-CN"/>
        </w:rPr>
        <w:t>31日</w:t>
      </w:r>
      <w:r>
        <w:rPr>
          <w:rFonts w:hint="default" w:ascii="Times New Roman" w:hAnsi="Times New Roman" w:eastAsia="仿宋_GB2312" w:cs="Times New Roman"/>
          <w:color w:val="auto"/>
          <w:sz w:val="32"/>
          <w:szCs w:val="32"/>
          <w:highlight w:val="none"/>
        </w:rPr>
        <w:t>，单位共有公务用车</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辆，其中：越野车</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辆</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000000"/>
          <w:sz w:val="32"/>
          <w:lang w:eastAsia="zh-CN"/>
        </w:rPr>
        <w:t>其他车型</w:t>
      </w:r>
      <w:r>
        <w:rPr>
          <w:rFonts w:hint="default" w:ascii="Times New Roman" w:hAnsi="Times New Roman" w:eastAsia="仿宋_GB2312" w:cs="Times New Roman"/>
          <w:color w:val="000000"/>
          <w:sz w:val="32"/>
          <w:lang w:val="en-US" w:eastAsia="zh-CN"/>
        </w:rPr>
        <w:t>1辆。</w:t>
      </w:r>
    </w:p>
    <w:p w14:paraId="2F3763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7.6</w:t>
      </w:r>
      <w:r>
        <w:rPr>
          <w:rFonts w:hint="eastAsia" w:eastAsia="仿宋_GB2312" w:cs="Times New Roman"/>
          <w:sz w:val="32"/>
          <w:szCs w:val="32"/>
          <w:lang w:val="en-US" w:eastAsia="zh-CN"/>
        </w:rPr>
        <w:t>4</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000000"/>
          <w:sz w:val="32"/>
        </w:rPr>
        <w:t>主要用于我镇202</w:t>
      </w:r>
      <w:r>
        <w:rPr>
          <w:rFonts w:hint="eastAsia" w:eastAsia="仿宋_GB2312" w:cs="Times New Roman"/>
          <w:color w:val="000000"/>
          <w:sz w:val="32"/>
          <w:lang w:val="en-US" w:eastAsia="zh-CN"/>
        </w:rPr>
        <w:t>5</w:t>
      </w:r>
      <w:r>
        <w:rPr>
          <w:rFonts w:hint="default" w:ascii="Times New Roman" w:hAnsi="Times New Roman" w:eastAsia="仿宋_GB2312" w:cs="Times New Roman"/>
          <w:color w:val="000000"/>
          <w:sz w:val="32"/>
        </w:rPr>
        <w:t>年</w:t>
      </w:r>
      <w:r>
        <w:rPr>
          <w:rFonts w:hint="default" w:ascii="Times New Roman" w:hAnsi="Times New Roman" w:eastAsia="仿宋_GB2312" w:cs="Times New Roman"/>
          <w:color w:val="000000"/>
          <w:sz w:val="32"/>
          <w:lang w:eastAsia="zh-CN"/>
        </w:rPr>
        <w:t>下村开展各项工作所需</w:t>
      </w:r>
      <w:r>
        <w:rPr>
          <w:rFonts w:hint="default" w:ascii="Times New Roman" w:hAnsi="Times New Roman" w:eastAsia="仿宋_GB2312" w:cs="Times New Roman"/>
          <w:color w:val="000000"/>
          <w:sz w:val="32"/>
        </w:rPr>
        <w:t>的公务用车燃料费、维修费、过路费、保险费等支出</w:t>
      </w:r>
      <w:r>
        <w:rPr>
          <w:rFonts w:hint="default"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 xml:space="preserve"> </w:t>
      </w:r>
    </w:p>
    <w:p w14:paraId="5B7E2C0E">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1152" w:leftChars="0" w:hanging="480" w:firstLineChars="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SA"/>
        </w:rPr>
        <w:t>公务接待费支出0万元</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其中</w:t>
      </w:r>
      <w:r>
        <w:rPr>
          <w:rFonts w:hint="eastAsia" w:eastAsia="仿宋_GB2312" w:cs="Times New Roman"/>
          <w:color w:val="auto"/>
          <w:kern w:val="2"/>
          <w:sz w:val="32"/>
          <w:szCs w:val="32"/>
          <w:highlight w:val="none"/>
          <w:lang w:val="en-US" w:eastAsia="zh-CN" w:bidi="ar-SA"/>
        </w:rPr>
        <w:t>：</w:t>
      </w:r>
    </w:p>
    <w:p w14:paraId="27DF69D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72" w:leftChars="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kern w:val="2"/>
          <w:sz w:val="32"/>
          <w:szCs w:val="32"/>
          <w:highlight w:val="none"/>
          <w:lang w:val="en-US" w:eastAsia="zh-CN" w:bidi="ar-SA"/>
        </w:rPr>
        <w:t>国内公务接待支出</w:t>
      </w:r>
      <w:r>
        <w:rPr>
          <w:rFonts w:hint="eastAsia" w:ascii="仿宋" w:hAnsi="仿宋" w:eastAsia="仿宋" w:cs="仿宋"/>
          <w:b/>
          <w:bCs/>
          <w:color w:val="auto"/>
          <w:sz w:val="32"/>
          <w:szCs w:val="32"/>
          <w:highlight w:val="none"/>
          <w:lang w:val="en-US" w:eastAsia="zh-CN"/>
        </w:rPr>
        <w:t>0万元。</w:t>
      </w:r>
    </w:p>
    <w:p w14:paraId="1846E47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72" w:leftChars="0"/>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kern w:val="2"/>
          <w:sz w:val="32"/>
          <w:szCs w:val="32"/>
          <w:highlight w:val="none"/>
          <w:lang w:val="en-US" w:eastAsia="zh-CN" w:bidi="ar-SA"/>
        </w:rPr>
        <w:t>外事接待支出</w:t>
      </w:r>
      <w:r>
        <w:rPr>
          <w:rFonts w:hint="eastAsia" w:ascii="仿宋" w:hAnsi="仿宋" w:eastAsia="仿宋" w:cs="仿宋"/>
          <w:b/>
          <w:bCs/>
          <w:color w:val="auto"/>
          <w:sz w:val="32"/>
          <w:szCs w:val="32"/>
          <w:highlight w:val="none"/>
          <w:lang w:val="en-US" w:eastAsia="zh-CN"/>
        </w:rPr>
        <w:t>0</w:t>
      </w:r>
      <w:r>
        <w:rPr>
          <w:rFonts w:hint="eastAsia" w:ascii="仿宋" w:hAnsi="仿宋" w:eastAsia="仿宋" w:cs="仿宋"/>
          <w:b/>
          <w:bCs/>
          <w:color w:val="auto"/>
          <w:kern w:val="2"/>
          <w:sz w:val="32"/>
          <w:szCs w:val="32"/>
          <w:highlight w:val="none"/>
          <w:lang w:val="en-US" w:eastAsia="zh-CN" w:bidi="ar-SA"/>
        </w:rPr>
        <w:t>万元。</w:t>
      </w:r>
      <w:bookmarkStart w:id="46" w:name="_Toc15377218"/>
      <w:bookmarkStart w:id="47" w:name="_Toc27794"/>
      <w:bookmarkStart w:id="48" w:name="_Toc15396610"/>
    </w:p>
    <w:p w14:paraId="2433AA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Style w:val="24"/>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24"/>
          <w:rFonts w:hint="default" w:ascii="Times New Roman" w:hAnsi="Times New Roman" w:eastAsia="黑体" w:cs="Times New Roman"/>
          <w:b w:val="0"/>
          <w:color w:val="auto"/>
          <w:highlight w:val="none"/>
        </w:rPr>
        <w:t>政府性基金预算支出决算情况说明</w:t>
      </w:r>
      <w:bookmarkEnd w:id="46"/>
      <w:bookmarkEnd w:id="47"/>
      <w:bookmarkEnd w:id="48"/>
    </w:p>
    <w:p w14:paraId="31F8AD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年度政府性基金预算财政拨款支出</w:t>
      </w:r>
      <w:r>
        <w:rPr>
          <w:rFonts w:hint="eastAsia" w:eastAsia="仿宋_GB2312" w:cs="Times New Roman"/>
          <w:color w:val="auto"/>
          <w:kern w:val="2"/>
          <w:sz w:val="32"/>
          <w:szCs w:val="32"/>
          <w:highlight w:val="none"/>
          <w:lang w:val="en-US" w:eastAsia="zh-CN" w:bidi="ar-SA"/>
        </w:rPr>
        <w:t>165.91</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eastAsia" w:eastAsia="仿宋_GB2312" w:cs="Times New Roman"/>
          <w:color w:val="auto"/>
          <w:kern w:val="2"/>
          <w:sz w:val="32"/>
          <w:szCs w:val="32"/>
          <w:highlight w:val="none"/>
          <w:lang w:val="en-US" w:eastAsia="zh-CN" w:bidi="ar-SA"/>
        </w:rPr>
        <w:t>8.5</w:t>
      </w:r>
      <w:r>
        <w:rPr>
          <w:rFonts w:hint="eastAsia" w:eastAsia="仿宋_GB2312" w:cs="Times New Roman"/>
          <w:sz w:val="32"/>
          <w:szCs w:val="32"/>
          <w:lang w:eastAsia="zh-CN"/>
        </w:rPr>
        <w:t>%</w:t>
      </w:r>
      <w:r>
        <w:rPr>
          <w:rFonts w:hint="default" w:ascii="Times New Roman" w:hAnsi="Times New Roman" w:eastAsia="仿宋_GB2312" w:cs="Times New Roman"/>
          <w:color w:val="auto"/>
          <w:kern w:val="2"/>
          <w:sz w:val="32"/>
          <w:szCs w:val="32"/>
          <w:highlight w:val="none"/>
          <w:lang w:val="en-US" w:eastAsia="zh-CN" w:bidi="ar-SA"/>
        </w:rPr>
        <w:t>。与202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年度相比，政府性基金预算财政拨款支出</w:t>
      </w:r>
      <w:r>
        <w:rPr>
          <w:rFonts w:hint="eastAsia" w:eastAsia="仿宋_GB2312" w:cs="Times New Roman"/>
          <w:color w:val="auto"/>
          <w:kern w:val="2"/>
          <w:sz w:val="32"/>
          <w:szCs w:val="32"/>
          <w:highlight w:val="none"/>
          <w:lang w:val="en-US" w:eastAsia="zh-CN" w:bidi="ar-SA"/>
        </w:rPr>
        <w:t>增加165.91</w:t>
      </w:r>
      <w:r>
        <w:rPr>
          <w:rFonts w:hint="default" w:ascii="Times New Roman" w:hAnsi="Times New Roman" w:eastAsia="仿宋_GB2312" w:cs="Times New Roman"/>
          <w:color w:val="auto"/>
          <w:kern w:val="2"/>
          <w:sz w:val="32"/>
          <w:szCs w:val="32"/>
          <w:highlight w:val="none"/>
          <w:lang w:val="en-US" w:eastAsia="zh-CN" w:bidi="ar-SA"/>
        </w:rPr>
        <w:t>万元。主要变动原因是</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我镇</w:t>
      </w:r>
      <w:r>
        <w:rPr>
          <w:rFonts w:hint="eastAsia" w:eastAsia="仿宋_GB2312" w:cs="Times New Roman"/>
          <w:color w:val="auto"/>
          <w:kern w:val="2"/>
          <w:sz w:val="32"/>
          <w:szCs w:val="32"/>
          <w:highlight w:val="none"/>
          <w:lang w:val="en-US" w:eastAsia="zh-CN" w:bidi="ar-SA"/>
        </w:rPr>
        <w:t>农村基础设施建设支出、其他国有土地使用权出让收入安排的支出</w:t>
      </w:r>
      <w:r>
        <w:rPr>
          <w:rFonts w:hint="default" w:ascii="Times New Roman" w:hAnsi="Times New Roman" w:eastAsia="仿宋_GB2312" w:cs="Times New Roman"/>
          <w:color w:val="auto"/>
          <w:kern w:val="2"/>
          <w:sz w:val="32"/>
          <w:szCs w:val="32"/>
          <w:highlight w:val="none"/>
          <w:lang w:val="en-US" w:eastAsia="zh-CN" w:bidi="ar-SA"/>
        </w:rPr>
        <w:t>。</w:t>
      </w:r>
    </w:p>
    <w:p w14:paraId="133279A4">
      <w:pPr>
        <w:numPr>
          <w:ilvl w:val="0"/>
          <w:numId w:val="0"/>
        </w:numPr>
        <w:spacing w:line="600" w:lineRule="exact"/>
        <w:ind w:left="630" w:leftChars="0"/>
        <w:outlineLvl w:val="1"/>
        <w:rPr>
          <w:rStyle w:val="24"/>
          <w:rFonts w:hint="default" w:ascii="Times New Roman" w:hAnsi="Times New Roman" w:eastAsia="黑体" w:cs="Times New Roman"/>
          <w:b w:val="0"/>
          <w:color w:val="auto"/>
          <w:highlight w:val="none"/>
        </w:rPr>
      </w:pPr>
      <w:bookmarkStart w:id="49" w:name="_Toc15377219"/>
      <w:bookmarkStart w:id="50" w:name="_Toc9794"/>
      <w:bookmarkStart w:id="51" w:name="_Toc15396611"/>
      <w:r>
        <w:rPr>
          <w:rStyle w:val="24"/>
          <w:rFonts w:hint="default" w:ascii="Times New Roman" w:hAnsi="Times New Roman" w:eastAsia="黑体" w:cs="Times New Roman"/>
          <w:b w:val="0"/>
          <w:color w:val="auto"/>
          <w:highlight w:val="none"/>
          <w:lang w:eastAsia="zh-CN"/>
        </w:rPr>
        <w:t>九、</w:t>
      </w:r>
      <w:r>
        <w:rPr>
          <w:rStyle w:val="24"/>
          <w:rFonts w:hint="default" w:ascii="Times New Roman" w:hAnsi="Times New Roman" w:eastAsia="黑体" w:cs="Times New Roman"/>
          <w:b w:val="0"/>
          <w:color w:val="auto"/>
          <w:highlight w:val="none"/>
        </w:rPr>
        <w:t>国有资本经营预算支出决算情况说明</w:t>
      </w:r>
      <w:bookmarkEnd w:id="49"/>
      <w:bookmarkEnd w:id="50"/>
      <w:bookmarkEnd w:id="51"/>
    </w:p>
    <w:p w14:paraId="39CA082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年度国有资本经营预算财政拨款支出</w:t>
      </w:r>
      <w:r>
        <w:rPr>
          <w:rFonts w:hint="eastAsia" w:eastAsia="仿宋_GB2312" w:cs="Times New Roman"/>
          <w:color w:val="auto"/>
          <w:sz w:val="32"/>
          <w:szCs w:val="32"/>
          <w:highlight w:val="none"/>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w:t>
      </w:r>
    </w:p>
    <w:p w14:paraId="02958329">
      <w:pPr>
        <w:numPr>
          <w:ilvl w:val="0"/>
          <w:numId w:val="0"/>
        </w:numPr>
        <w:spacing w:line="600" w:lineRule="exact"/>
        <w:ind w:left="630" w:leftChars="0"/>
        <w:outlineLvl w:val="1"/>
        <w:rPr>
          <w:rStyle w:val="24"/>
          <w:rFonts w:hint="default" w:ascii="Times New Roman" w:hAnsi="Times New Roman" w:eastAsia="黑体" w:cs="Times New Roman"/>
          <w:b w:val="0"/>
          <w:color w:val="auto"/>
          <w:highlight w:val="none"/>
        </w:rPr>
      </w:pPr>
      <w:bookmarkStart w:id="52" w:name="_Toc15396612"/>
      <w:bookmarkStart w:id="53" w:name="_Toc18398"/>
      <w:bookmarkStart w:id="54" w:name="_Toc15377221"/>
      <w:r>
        <w:rPr>
          <w:rStyle w:val="24"/>
          <w:rFonts w:hint="default" w:ascii="Times New Roman" w:hAnsi="Times New Roman" w:eastAsia="黑体" w:cs="Times New Roman"/>
          <w:b w:val="0"/>
          <w:color w:val="auto"/>
          <w:highlight w:val="none"/>
          <w:lang w:eastAsia="zh-CN"/>
        </w:rPr>
        <w:t>十、</w:t>
      </w:r>
      <w:r>
        <w:rPr>
          <w:rStyle w:val="24"/>
          <w:rFonts w:hint="default" w:ascii="Times New Roman" w:hAnsi="Times New Roman" w:eastAsia="黑体" w:cs="Times New Roman"/>
          <w:b w:val="0"/>
          <w:color w:val="auto"/>
          <w:highlight w:val="none"/>
        </w:rPr>
        <w:t>其他重要事项的情况说明</w:t>
      </w:r>
      <w:bookmarkEnd w:id="52"/>
      <w:bookmarkEnd w:id="53"/>
      <w:bookmarkEnd w:id="54"/>
    </w:p>
    <w:p w14:paraId="0D9152D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55" w:name="_Toc15377222"/>
      <w:r>
        <w:rPr>
          <w:rFonts w:hint="default" w:ascii="Times New Roman" w:hAnsi="Times New Roman" w:eastAsia="楷体_GB2312" w:cs="Times New Roman"/>
          <w:b/>
          <w:color w:val="auto"/>
          <w:sz w:val="32"/>
          <w:szCs w:val="32"/>
          <w:highlight w:val="none"/>
        </w:rPr>
        <w:t>（一）机关运行经费支出情况</w:t>
      </w:r>
      <w:bookmarkEnd w:id="55"/>
    </w:p>
    <w:p w14:paraId="4E749B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w:t>
      </w:r>
      <w:r>
        <w:rPr>
          <w:rFonts w:hint="default" w:ascii="Times New Roman" w:hAnsi="Times New Roman" w:eastAsia="仿宋_GB2312" w:cs="Times New Roman"/>
          <w:color w:val="auto"/>
          <w:sz w:val="32"/>
          <w:szCs w:val="32"/>
        </w:rPr>
        <w:t>茂县土门镇人民政府</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eastAsia" w:eastAsia="仿宋_GB2312" w:cs="Times New Roman"/>
          <w:color w:val="auto"/>
          <w:kern w:val="2"/>
          <w:sz w:val="32"/>
          <w:szCs w:val="32"/>
          <w:highlight w:val="none"/>
          <w:lang w:val="en-US" w:eastAsia="zh-CN" w:bidi="ar-SA"/>
        </w:rPr>
        <w:t>45.66</w:t>
      </w:r>
      <w:r>
        <w:rPr>
          <w:rFonts w:hint="default" w:ascii="Times New Roman" w:hAnsi="Times New Roman" w:eastAsia="仿宋_GB2312" w:cs="Times New Roman"/>
          <w:color w:val="auto"/>
          <w:kern w:val="2"/>
          <w:sz w:val="32"/>
          <w:szCs w:val="32"/>
          <w:highlight w:val="none"/>
          <w:lang w:val="en-US" w:eastAsia="zh-CN" w:bidi="ar-SA"/>
        </w:rPr>
        <w:t>万元，</w:t>
      </w:r>
      <w:r>
        <w:rPr>
          <w:rFonts w:hint="eastAsia" w:eastAsia="仿宋_GB2312" w:cs="Times New Roman"/>
          <w:color w:val="auto"/>
          <w:kern w:val="2"/>
          <w:sz w:val="32"/>
          <w:szCs w:val="32"/>
          <w:highlight w:val="none"/>
          <w:lang w:val="en-US" w:eastAsia="zh-CN" w:bidi="ar-SA"/>
        </w:rPr>
        <w:t>与</w:t>
      </w: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w:t>
      </w:r>
      <w:r>
        <w:rPr>
          <w:rFonts w:hint="eastAsia" w:eastAsia="仿宋_GB2312" w:cs="Times New Roman"/>
          <w:color w:val="auto"/>
          <w:kern w:val="2"/>
          <w:sz w:val="32"/>
          <w:szCs w:val="32"/>
          <w:highlight w:val="none"/>
          <w:lang w:val="en-US" w:eastAsia="zh-CN" w:bidi="ar-SA"/>
        </w:rPr>
        <w:t>相比</w:t>
      </w:r>
      <w:r>
        <w:rPr>
          <w:rFonts w:hint="default" w:ascii="Times New Roman" w:hAnsi="Times New Roman" w:eastAsia="仿宋_GB2312" w:cs="Times New Roman"/>
          <w:color w:val="auto"/>
          <w:kern w:val="2"/>
          <w:sz w:val="32"/>
          <w:szCs w:val="32"/>
          <w:highlight w:val="none"/>
          <w:lang w:val="en-US" w:eastAsia="zh-CN" w:bidi="ar-SA"/>
        </w:rPr>
        <w:t>增加</w:t>
      </w:r>
      <w:r>
        <w:rPr>
          <w:rFonts w:hint="eastAsia" w:eastAsia="仿宋_GB2312" w:cs="Times New Roman"/>
          <w:color w:val="auto"/>
          <w:kern w:val="2"/>
          <w:sz w:val="32"/>
          <w:szCs w:val="32"/>
          <w:highlight w:val="none"/>
          <w:lang w:val="en-US" w:eastAsia="zh-CN" w:bidi="ar-SA"/>
        </w:rPr>
        <w:t>17.29</w:t>
      </w:r>
      <w:r>
        <w:rPr>
          <w:rFonts w:hint="default" w:ascii="Times New Roman" w:hAnsi="Times New Roman" w:eastAsia="仿宋_GB2312" w:cs="Times New Roman"/>
          <w:color w:val="auto"/>
          <w:kern w:val="2"/>
          <w:sz w:val="32"/>
          <w:szCs w:val="32"/>
          <w:highlight w:val="none"/>
          <w:lang w:val="en-US" w:eastAsia="zh-CN" w:bidi="ar-SA"/>
        </w:rPr>
        <w:t>万元，增长</w:t>
      </w:r>
      <w:r>
        <w:rPr>
          <w:rFonts w:hint="eastAsia" w:eastAsia="仿宋_GB2312" w:cs="Times New Roman"/>
          <w:color w:val="auto"/>
          <w:kern w:val="2"/>
          <w:sz w:val="32"/>
          <w:szCs w:val="32"/>
          <w:highlight w:val="none"/>
          <w:lang w:val="en-US" w:eastAsia="zh-CN" w:bidi="ar-SA"/>
        </w:rPr>
        <w:t>60.9</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eastAsia" w:eastAsia="仿宋_GB2312" w:cs="Times New Roman"/>
          <w:color w:val="auto"/>
          <w:kern w:val="2"/>
          <w:sz w:val="32"/>
          <w:szCs w:val="32"/>
          <w:highlight w:val="none"/>
          <w:lang w:val="en-US" w:eastAsia="zh-CN" w:bidi="ar-SA"/>
        </w:rPr>
        <w:t>：2025年度福利费增加</w:t>
      </w:r>
      <w:r>
        <w:rPr>
          <w:rFonts w:hint="default" w:ascii="Times New Roman" w:hAnsi="Times New Roman" w:eastAsia="仿宋_GB2312" w:cs="Times New Roman"/>
          <w:color w:val="auto"/>
          <w:kern w:val="2"/>
          <w:sz w:val="32"/>
          <w:szCs w:val="32"/>
          <w:highlight w:val="none"/>
          <w:lang w:val="en-US" w:eastAsia="zh-CN" w:bidi="ar-SA"/>
        </w:rPr>
        <w:t>。</w:t>
      </w:r>
    </w:p>
    <w:p w14:paraId="0CEDE484">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default" w:ascii="Times New Roman" w:hAnsi="Times New Roman" w:eastAsia="楷体_GB2312" w:cs="Times New Roman"/>
          <w:b/>
          <w:color w:val="auto"/>
          <w:sz w:val="32"/>
          <w:szCs w:val="32"/>
          <w:highlight w:val="none"/>
        </w:rPr>
      </w:pPr>
      <w:bookmarkStart w:id="56" w:name="_Toc15377223"/>
    </w:p>
    <w:p w14:paraId="60DD9C5B">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default" w:ascii="Times New Roman" w:hAnsi="Times New Roman" w:eastAsia="楷体_GB2312" w:cs="Times New Roman"/>
          <w:b/>
          <w:color w:val="auto"/>
          <w:sz w:val="32"/>
          <w:szCs w:val="32"/>
          <w:highlight w:val="none"/>
        </w:rPr>
      </w:pPr>
    </w:p>
    <w:p w14:paraId="52C39F4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（二）政府采购支出情况</w:t>
      </w:r>
      <w:bookmarkEnd w:id="56"/>
    </w:p>
    <w:p w14:paraId="6130EBD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w:t>
      </w:r>
      <w:r>
        <w:rPr>
          <w:rFonts w:hint="default" w:ascii="Times New Roman" w:hAnsi="Times New Roman" w:eastAsia="仿宋_GB2312" w:cs="Times New Roman"/>
          <w:sz w:val="32"/>
          <w:szCs w:val="32"/>
        </w:rPr>
        <w:t>茂县土门镇人民政府</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eastAsia"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万元</w:t>
      </w:r>
      <w:r>
        <w:rPr>
          <w:rFonts w:hint="eastAsia" w:eastAsia="仿宋_GB2312" w:cs="Times New Roman"/>
          <w:color w:val="auto"/>
          <w:kern w:val="2"/>
          <w:sz w:val="32"/>
          <w:szCs w:val="32"/>
          <w:highlight w:val="none"/>
          <w:lang w:val="en-US" w:eastAsia="zh-CN" w:bidi="ar-SA"/>
        </w:rPr>
        <w:t>。</w:t>
      </w:r>
    </w:p>
    <w:p w14:paraId="1786202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57" w:name="_Toc15377224"/>
      <w:r>
        <w:rPr>
          <w:rFonts w:hint="default" w:ascii="Times New Roman" w:hAnsi="Times New Roman" w:eastAsia="楷体_GB2312" w:cs="Times New Roman"/>
          <w:b/>
          <w:color w:val="auto"/>
          <w:sz w:val="32"/>
          <w:szCs w:val="32"/>
          <w:highlight w:val="none"/>
        </w:rPr>
        <w:t>（三）国有资产占有使用情况</w:t>
      </w:r>
      <w:bookmarkEnd w:id="57"/>
    </w:p>
    <w:p w14:paraId="794DBD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年12月31日，</w:t>
      </w:r>
      <w:r>
        <w:rPr>
          <w:rFonts w:hint="default" w:ascii="Times New Roman" w:hAnsi="Times New Roman" w:eastAsia="仿宋_GB2312" w:cs="Times New Roman"/>
          <w:sz w:val="32"/>
          <w:szCs w:val="32"/>
        </w:rPr>
        <w:t>茂县土门镇人民政府</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辆，其中：应急保障用车</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辆。</w:t>
      </w:r>
    </w:p>
    <w:p w14:paraId="05DBA3A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522DA6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根据预算绩效管理要求，本单位在202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年度预算编制阶段，组织对</w:t>
      </w:r>
      <w:r>
        <w:rPr>
          <w:rFonts w:hint="default" w:ascii="Times New Roman" w:hAnsi="Times New Roman" w:eastAsia="仿宋_GB2312" w:cs="Times New Roman"/>
          <w:color w:val="auto"/>
          <w:sz w:val="32"/>
          <w:szCs w:val="32"/>
          <w:highlight w:val="none"/>
          <w:lang w:eastAsia="zh-CN"/>
        </w:rPr>
        <w:t>村干部</w:t>
      </w:r>
      <w:r>
        <w:rPr>
          <w:rFonts w:hint="eastAsia" w:eastAsia="仿宋_GB2312" w:cs="Times New Roman"/>
          <w:color w:val="auto"/>
          <w:sz w:val="32"/>
          <w:szCs w:val="32"/>
          <w:highlight w:val="none"/>
          <w:lang w:val="en-US" w:eastAsia="zh-CN"/>
        </w:rPr>
        <w:t>误</w:t>
      </w:r>
      <w:r>
        <w:rPr>
          <w:rFonts w:hint="default" w:ascii="Times New Roman" w:hAnsi="Times New Roman" w:eastAsia="仿宋_GB2312" w:cs="Times New Roman"/>
          <w:color w:val="auto"/>
          <w:sz w:val="32"/>
          <w:szCs w:val="32"/>
          <w:highlight w:val="none"/>
          <w:lang w:eastAsia="zh-CN"/>
        </w:rPr>
        <w:t>工补助</w:t>
      </w:r>
      <w:r>
        <w:rPr>
          <w:rFonts w:hint="default" w:ascii="Times New Roman" w:hAnsi="Times New Roman" w:eastAsia="仿宋_GB2312" w:cs="Times New Roman"/>
          <w:color w:val="auto"/>
          <w:kern w:val="2"/>
          <w:sz w:val="32"/>
          <w:szCs w:val="32"/>
          <w:highlight w:val="none"/>
          <w:lang w:val="en-US" w:eastAsia="zh-CN" w:bidi="ar-SA"/>
        </w:rPr>
        <w:t>等2</w:t>
      </w:r>
      <w:r>
        <w:rPr>
          <w:rFonts w:hint="eastAsia" w:eastAsia="仿宋_GB2312" w:cs="Times New Roman"/>
          <w:color w:val="auto"/>
          <w:kern w:val="2"/>
          <w:sz w:val="32"/>
          <w:szCs w:val="32"/>
          <w:highlight w:val="none"/>
          <w:lang w:val="en-US" w:eastAsia="zh-CN" w:bidi="ar-SA"/>
        </w:rPr>
        <w:t>8</w:t>
      </w:r>
      <w:r>
        <w:rPr>
          <w:rFonts w:hint="default" w:ascii="Times New Roman" w:hAnsi="Times New Roman" w:eastAsia="仿宋_GB2312" w:cs="Times New Roman"/>
          <w:color w:val="auto"/>
          <w:kern w:val="2"/>
          <w:sz w:val="32"/>
          <w:szCs w:val="32"/>
          <w:highlight w:val="none"/>
          <w:lang w:val="en-US" w:eastAsia="zh-CN" w:bidi="ar-SA"/>
        </w:rPr>
        <w:t>个项目开展了预算事前绩效评估，对28个项目编制了绩效目标，预算执行过程中，选取</w:t>
      </w:r>
      <w:r>
        <w:rPr>
          <w:rFonts w:hint="eastAsia"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个项目开展绩效监控。</w:t>
      </w:r>
    </w:p>
    <w:p w14:paraId="1E0E7B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组织对202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default" w:ascii="Times New Roman" w:hAnsi="Times New Roman" w:eastAsia="仿宋_GB2312" w:cs="Times New Roman"/>
          <w:color w:val="000000"/>
          <w:sz w:val="32"/>
          <w:szCs w:val="32"/>
          <w:lang w:val="en-US" w:eastAsia="zh-CN"/>
        </w:rPr>
        <w:t>茂县土门镇人民政府</w:t>
      </w:r>
      <w:r>
        <w:rPr>
          <w:rFonts w:hint="default" w:ascii="Times New Roman" w:hAnsi="Times New Roman" w:eastAsia="仿宋_GB2312" w:cs="Times New Roman"/>
          <w:color w:val="auto"/>
          <w:kern w:val="2"/>
          <w:sz w:val="32"/>
          <w:szCs w:val="32"/>
          <w:highlight w:val="none"/>
          <w:lang w:val="en-US" w:eastAsia="zh-CN" w:bidi="ar-SA"/>
        </w:rPr>
        <w:t>部门整体绩效自评报告、</w:t>
      </w:r>
      <w:r>
        <w:rPr>
          <w:rFonts w:hint="default" w:ascii="Times New Roman" w:hAnsi="Times New Roman" w:eastAsia="仿宋_GB2312" w:cs="Times New Roman"/>
          <w:color w:val="000000"/>
          <w:sz w:val="32"/>
          <w:szCs w:val="32"/>
          <w:lang w:val="en-US" w:eastAsia="zh-CN"/>
        </w:rPr>
        <w:t>土门镇村级办公费</w:t>
      </w:r>
      <w:r>
        <w:rPr>
          <w:rFonts w:hint="default" w:ascii="Times New Roman" w:hAnsi="Times New Roman" w:eastAsia="仿宋_GB2312" w:cs="Times New Roman"/>
          <w:color w:val="auto"/>
          <w:kern w:val="2"/>
          <w:sz w:val="32"/>
          <w:szCs w:val="32"/>
          <w:highlight w:val="none"/>
          <w:lang w:val="en-US" w:eastAsia="zh-CN" w:bidi="ar-SA"/>
        </w:rPr>
        <w:t>等专项预算项目绩效自评报告，其中，</w:t>
      </w:r>
      <w:r>
        <w:rPr>
          <w:rFonts w:hint="default" w:ascii="Times New Roman" w:hAnsi="Times New Roman" w:eastAsia="仿宋_GB2312" w:cs="Times New Roman"/>
          <w:color w:val="000000"/>
          <w:sz w:val="32"/>
          <w:szCs w:val="32"/>
          <w:lang w:val="en-US" w:eastAsia="zh-CN"/>
        </w:rPr>
        <w:t>茂县土门镇人民政府</w:t>
      </w:r>
      <w:r>
        <w:rPr>
          <w:rFonts w:hint="default" w:ascii="Times New Roman" w:hAnsi="Times New Roman" w:eastAsia="仿宋_GB2312" w:cs="Times New Roman"/>
          <w:color w:val="auto"/>
          <w:kern w:val="2"/>
          <w:sz w:val="32"/>
          <w:szCs w:val="32"/>
          <w:highlight w:val="none"/>
          <w:lang w:val="en-US" w:eastAsia="zh-CN" w:bidi="ar-SA"/>
        </w:rPr>
        <w:t>部门整体绩效自评得分为98分，绩效自评综述</w:t>
      </w:r>
      <w:r>
        <w:rPr>
          <w:rFonts w:hint="default" w:ascii="Times New Roman" w:hAnsi="Times New Roman" w:eastAsia="仿宋_GB2312" w:cs="Times New Roman"/>
          <w:color w:val="000000"/>
          <w:sz w:val="32"/>
          <w:szCs w:val="32"/>
          <w:lang w:val="en-US" w:eastAsia="zh-CN"/>
        </w:rPr>
        <w:t>202</w:t>
      </w:r>
      <w:r>
        <w:rPr>
          <w:rFonts w:hint="eastAsia"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lang w:val="en-US" w:eastAsia="zh-CN"/>
        </w:rPr>
        <w:t>年我镇部门整体支出绩效自查自评结果良好，全年基本支出保证了部门的正常运转，项目支出保障了重点工作的开展</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土门镇村级办公费</w:t>
      </w:r>
      <w:r>
        <w:rPr>
          <w:rFonts w:hint="default" w:ascii="Times New Roman" w:hAnsi="Times New Roman" w:eastAsia="仿宋_GB2312" w:cs="Times New Roman"/>
          <w:color w:val="auto"/>
          <w:kern w:val="2"/>
          <w:sz w:val="32"/>
          <w:szCs w:val="32"/>
          <w:highlight w:val="none"/>
          <w:lang w:val="en-US" w:eastAsia="zh-CN" w:bidi="ar-SA"/>
        </w:rPr>
        <w:t>专项预算项目绩效自评得分为95分，绩效自评综述</w:t>
      </w:r>
      <w:r>
        <w:rPr>
          <w:rFonts w:hint="default" w:ascii="Times New Roman" w:hAnsi="Times New Roman" w:eastAsia="仿宋_GB2312" w:cs="Times New Roman"/>
          <w:color w:val="000000"/>
          <w:sz w:val="32"/>
          <w:szCs w:val="32"/>
          <w:lang w:val="en-US" w:eastAsia="zh-CN"/>
        </w:rPr>
        <w:t>通过完善基础设施建设，进一步改善了村级的基础设施和公共服务，扩大了农村基层民主，完善了村民自治，密切了党和政府同农民群众的关系，满足了农民群众的需求，也为我镇的村级项目建设起到了示范和引领作用</w:t>
      </w:r>
      <w:r>
        <w:rPr>
          <w:rFonts w:hint="default" w:ascii="Times New Roman" w:hAnsi="Times New Roman" w:eastAsia="仿宋_GB2312" w:cs="Times New Roman"/>
          <w:color w:val="auto"/>
          <w:kern w:val="2"/>
          <w:sz w:val="32"/>
          <w:szCs w:val="32"/>
          <w:highlight w:val="none"/>
          <w:lang w:val="en-US" w:eastAsia="zh-CN" w:bidi="ar-SA"/>
        </w:rPr>
        <w:t>。绩效自评报告详见附件。</w:t>
      </w:r>
    </w:p>
    <w:p w14:paraId="045CD40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3BDEA00F">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7A66D552">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5B0EA6C2">
      <w:pPr>
        <w:pStyle w:val="14"/>
        <w:rPr>
          <w:rFonts w:hint="default" w:ascii="Times New Roman" w:hAnsi="Times New Roman" w:eastAsia="仿宋_GB2312" w:cs="Times New Roman"/>
          <w:color w:val="auto"/>
          <w:kern w:val="2"/>
          <w:sz w:val="32"/>
          <w:szCs w:val="32"/>
          <w:highlight w:val="none"/>
          <w:lang w:val="en-US" w:eastAsia="zh-CN" w:bidi="ar-SA"/>
        </w:rPr>
      </w:pPr>
    </w:p>
    <w:p w14:paraId="3A3153E6">
      <w:pPr>
        <w:pStyle w:val="15"/>
        <w:rPr>
          <w:rFonts w:hint="default" w:ascii="Times New Roman" w:hAnsi="Times New Roman" w:eastAsia="仿宋_GB2312" w:cs="Times New Roman"/>
          <w:color w:val="auto"/>
          <w:kern w:val="2"/>
          <w:sz w:val="32"/>
          <w:szCs w:val="32"/>
          <w:highlight w:val="none"/>
          <w:lang w:val="en-US" w:eastAsia="zh-CN" w:bidi="ar-SA"/>
        </w:rPr>
      </w:pPr>
    </w:p>
    <w:p w14:paraId="2C40CAE4">
      <w:pPr>
        <w:numPr>
          <w:ilvl w:val="0"/>
          <w:numId w:val="0"/>
        </w:numPr>
        <w:spacing w:line="600" w:lineRule="exact"/>
        <w:jc w:val="both"/>
        <w:outlineLvl w:val="0"/>
        <w:rPr>
          <w:rFonts w:hint="default" w:ascii="Times New Roman" w:hAnsi="Times New Roman" w:eastAsia="黑体" w:cs="Times New Roman"/>
          <w:color w:val="auto"/>
          <w:sz w:val="44"/>
          <w:szCs w:val="44"/>
          <w:highlight w:val="none"/>
        </w:rPr>
      </w:pPr>
      <w:bookmarkStart w:id="58" w:name="_Toc25393"/>
      <w:bookmarkStart w:id="59" w:name="_Toc15377225"/>
      <w:bookmarkStart w:id="60" w:name="_Toc15396613"/>
    </w:p>
    <w:p w14:paraId="7F0FA89C">
      <w:pPr>
        <w:pStyle w:val="2"/>
        <w:rPr>
          <w:rFonts w:hint="default" w:ascii="Times New Roman" w:hAnsi="Times New Roman" w:eastAsia="黑体" w:cs="Times New Roman"/>
          <w:color w:val="auto"/>
          <w:sz w:val="44"/>
          <w:szCs w:val="44"/>
          <w:highlight w:val="none"/>
        </w:rPr>
      </w:pPr>
    </w:p>
    <w:p w14:paraId="7BC8B725">
      <w:pPr>
        <w:rPr>
          <w:rFonts w:hint="default" w:ascii="Times New Roman" w:hAnsi="Times New Roman" w:eastAsia="黑体" w:cs="Times New Roman"/>
          <w:color w:val="auto"/>
          <w:sz w:val="44"/>
          <w:szCs w:val="44"/>
          <w:highlight w:val="none"/>
        </w:rPr>
      </w:pPr>
    </w:p>
    <w:p w14:paraId="289FD359">
      <w:pPr>
        <w:pStyle w:val="2"/>
        <w:rPr>
          <w:rFonts w:hint="default" w:ascii="Times New Roman" w:hAnsi="Times New Roman" w:eastAsia="黑体" w:cs="Times New Roman"/>
          <w:color w:val="auto"/>
          <w:sz w:val="44"/>
          <w:szCs w:val="44"/>
          <w:highlight w:val="none"/>
        </w:rPr>
      </w:pPr>
    </w:p>
    <w:p w14:paraId="3FF2262A">
      <w:pPr>
        <w:rPr>
          <w:rFonts w:hint="default" w:ascii="Times New Roman" w:hAnsi="Times New Roman" w:eastAsia="黑体" w:cs="Times New Roman"/>
          <w:color w:val="auto"/>
          <w:sz w:val="44"/>
          <w:szCs w:val="44"/>
          <w:highlight w:val="none"/>
        </w:rPr>
      </w:pPr>
    </w:p>
    <w:p w14:paraId="1941F582">
      <w:pPr>
        <w:pStyle w:val="2"/>
        <w:rPr>
          <w:rFonts w:hint="default" w:ascii="Times New Roman" w:hAnsi="Times New Roman" w:eastAsia="黑体" w:cs="Times New Roman"/>
          <w:color w:val="auto"/>
          <w:sz w:val="44"/>
          <w:szCs w:val="44"/>
          <w:highlight w:val="none"/>
        </w:rPr>
      </w:pPr>
    </w:p>
    <w:p w14:paraId="0993BBBF">
      <w:pPr>
        <w:rPr>
          <w:rFonts w:hint="default" w:ascii="Times New Roman" w:hAnsi="Times New Roman" w:eastAsia="黑体" w:cs="Times New Roman"/>
          <w:color w:val="auto"/>
          <w:sz w:val="44"/>
          <w:szCs w:val="44"/>
          <w:highlight w:val="none"/>
        </w:rPr>
      </w:pPr>
    </w:p>
    <w:p w14:paraId="5D3B1EB1">
      <w:pPr>
        <w:pStyle w:val="2"/>
        <w:rPr>
          <w:rFonts w:hint="default" w:ascii="Times New Roman" w:hAnsi="Times New Roman" w:eastAsia="黑体" w:cs="Times New Roman"/>
          <w:color w:val="auto"/>
          <w:sz w:val="44"/>
          <w:szCs w:val="44"/>
          <w:highlight w:val="none"/>
        </w:rPr>
      </w:pPr>
    </w:p>
    <w:p w14:paraId="720FEBE5">
      <w:pPr>
        <w:rPr>
          <w:rFonts w:hint="default" w:ascii="Times New Roman" w:hAnsi="Times New Roman" w:eastAsia="黑体" w:cs="Times New Roman"/>
          <w:color w:val="auto"/>
          <w:sz w:val="44"/>
          <w:szCs w:val="44"/>
          <w:highlight w:val="none"/>
        </w:rPr>
      </w:pPr>
    </w:p>
    <w:p w14:paraId="5299E3D6">
      <w:pPr>
        <w:pStyle w:val="2"/>
        <w:rPr>
          <w:rFonts w:hint="default"/>
        </w:rPr>
      </w:pPr>
    </w:p>
    <w:p w14:paraId="3E3AF325">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57849896">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4E7207CC">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58"/>
      <w:bookmarkEnd w:id="59"/>
      <w:bookmarkEnd w:id="60"/>
    </w:p>
    <w:p w14:paraId="61BFCECA">
      <w:pPr>
        <w:spacing w:line="600" w:lineRule="exact"/>
        <w:jc w:val="left"/>
        <w:rPr>
          <w:rFonts w:hint="default" w:ascii="Times New Roman" w:hAnsi="Times New Roman" w:cs="Times New Roman"/>
          <w:b/>
          <w:color w:val="auto"/>
          <w:sz w:val="44"/>
          <w:szCs w:val="44"/>
          <w:highlight w:val="none"/>
        </w:rPr>
      </w:pPr>
    </w:p>
    <w:p w14:paraId="7F424FA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14:paraId="0FBF20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2.事业收入：指事业单位开展专业业务活动及辅助活动取得的收入。</w:t>
      </w:r>
    </w:p>
    <w:p w14:paraId="5A98F5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14:paraId="243510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4.其他收入：指单位取得的除上述收入以外的各项收入。 </w:t>
      </w:r>
    </w:p>
    <w:p w14:paraId="685DE6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FD609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6.年初结转和结余：指以前年度尚未完成、结转到本年按有关规定继续使用的资金。 </w:t>
      </w:r>
    </w:p>
    <w:p w14:paraId="7F42FA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14:paraId="75D9D3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14:paraId="591334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auto"/>
          <w:kern w:val="2"/>
          <w:sz w:val="32"/>
          <w:szCs w:val="32"/>
          <w:highlight w:val="none"/>
          <w:lang w:val="en-US" w:eastAsia="zh-CN" w:bidi="ar-SA"/>
        </w:rPr>
        <w:t>9.一般公共服务（类）人大事务（款）</w:t>
      </w:r>
      <w:r>
        <w:rPr>
          <w:rFonts w:hint="default" w:ascii="Times New Roman" w:hAnsi="Times New Roman" w:eastAsia="仿宋_GB2312" w:cs="Times New Roman"/>
          <w:color w:val="000000"/>
          <w:sz w:val="32"/>
          <w:szCs w:val="32"/>
        </w:rPr>
        <w:t>代表工作</w:t>
      </w:r>
      <w:r>
        <w:rPr>
          <w:rFonts w:hint="default" w:ascii="Times New Roman" w:hAnsi="Times New Roman" w:eastAsia="仿宋_GB2312" w:cs="Times New Roman"/>
          <w:color w:val="auto"/>
          <w:kern w:val="2"/>
          <w:sz w:val="32"/>
          <w:szCs w:val="32"/>
          <w:highlight w:val="none"/>
          <w:lang w:val="en-US" w:eastAsia="zh-CN" w:bidi="ar-SA"/>
        </w:rPr>
        <w:t>（项）：指</w:t>
      </w:r>
      <w:r>
        <w:rPr>
          <w:rFonts w:hint="default" w:ascii="Times New Roman" w:hAnsi="Times New Roman" w:eastAsia="仿宋_GB2312" w:cs="Times New Roman"/>
          <w:color w:val="000000"/>
          <w:sz w:val="32"/>
          <w:szCs w:val="32"/>
        </w:rPr>
        <w:t>反映人大代表开展各类视察等方面的支出</w:t>
      </w:r>
      <w:r>
        <w:rPr>
          <w:rFonts w:hint="default" w:ascii="Times New Roman" w:hAnsi="Times New Roman" w:eastAsia="仿宋_GB2312" w:cs="Times New Roman"/>
          <w:color w:val="000000"/>
          <w:sz w:val="32"/>
          <w:szCs w:val="32"/>
          <w:lang w:eastAsia="zh-CN"/>
        </w:rPr>
        <w:t>。</w:t>
      </w:r>
    </w:p>
    <w:p w14:paraId="4F266C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auto"/>
          <w:kern w:val="2"/>
          <w:sz w:val="32"/>
          <w:szCs w:val="32"/>
          <w:highlight w:val="none"/>
          <w:lang w:val="en-US" w:eastAsia="zh-CN" w:bidi="ar-SA"/>
        </w:rPr>
        <w:t>10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一般公共服务支出（类）政府办公厅（室）及相关机构事务（款）其他政府办公厅（室）及相关机构事务支出（项）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rPr>
        <w:t>反映行政单位（包括实行公务员管理的事业单位）的基本支出。</w:t>
      </w:r>
    </w:p>
    <w:p w14:paraId="54A2D01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rPr>
      </w:pPr>
      <w:r>
        <w:rPr>
          <w:rFonts w:hint="eastAsia" w:eastAsia="仿宋_GB2312" w:cs="Times New Roman"/>
          <w:color w:val="auto"/>
          <w:kern w:val="2"/>
          <w:sz w:val="32"/>
          <w:szCs w:val="32"/>
          <w:highlight w:val="none"/>
          <w:lang w:val="en-US" w:eastAsia="zh-CN" w:bidi="ar-SA"/>
        </w:rPr>
        <w:t>11.</w:t>
      </w:r>
      <w:r>
        <w:rPr>
          <w:rFonts w:hint="default" w:ascii="Times New Roman" w:hAnsi="Times New Roman" w:eastAsia="仿宋_GB2312" w:cs="Times New Roman"/>
          <w:color w:val="auto"/>
          <w:kern w:val="2"/>
          <w:sz w:val="32"/>
          <w:szCs w:val="32"/>
          <w:highlight w:val="none"/>
          <w:lang w:val="en-US" w:eastAsia="zh-CN" w:bidi="ar-SA"/>
        </w:rPr>
        <w:t>一般公共服务支出（类）政府办公厅（室）及相关机构事务（款）其他政府办公厅（室）及相关机构事务支出（项）：</w:t>
      </w:r>
      <w:r>
        <w:rPr>
          <w:rFonts w:hint="default" w:ascii="Times New Roman" w:hAnsi="Times New Roman" w:eastAsia="仿宋_GB2312" w:cs="Times New Roman"/>
          <w:color w:val="000000"/>
          <w:sz w:val="32"/>
          <w:szCs w:val="32"/>
        </w:rPr>
        <w:t>反映除上述项目以外的其他政府办公厅（室）及相关机构事务支岀。</w:t>
      </w:r>
    </w:p>
    <w:p w14:paraId="5BEFFA6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12.</w:t>
      </w:r>
      <w:r>
        <w:rPr>
          <w:rFonts w:hint="default" w:ascii="Times New Roman" w:hAnsi="Times New Roman" w:eastAsia="仿宋_GB2312" w:cs="Times New Roman"/>
          <w:color w:val="auto"/>
          <w:kern w:val="2"/>
          <w:sz w:val="32"/>
          <w:szCs w:val="32"/>
          <w:highlight w:val="none"/>
          <w:lang w:val="en-US" w:eastAsia="zh-CN" w:bidi="ar-SA"/>
        </w:rPr>
        <w:t>文化旅游体育与传媒（类）其他文化旅游体育与传媒支出（款）其他文化旅游体育与传媒支出（项）:</w:t>
      </w:r>
      <w:r>
        <w:rPr>
          <w:rFonts w:hint="default" w:ascii="Times New Roman" w:hAnsi="Times New Roman" w:eastAsia="仿宋_GB2312" w:cs="Times New Roman"/>
          <w:color w:val="000000"/>
          <w:sz w:val="32"/>
          <w:szCs w:val="32"/>
        </w:rPr>
        <w:t>反映除上述项目以外其他</w:t>
      </w:r>
      <w:r>
        <w:rPr>
          <w:rFonts w:hint="default" w:ascii="Times New Roman" w:hAnsi="Times New Roman" w:eastAsia="仿宋_GB2312" w:cs="Times New Roman"/>
          <w:color w:val="auto"/>
          <w:kern w:val="2"/>
          <w:sz w:val="32"/>
          <w:szCs w:val="32"/>
          <w:highlight w:val="none"/>
          <w:lang w:val="en-US" w:eastAsia="zh-CN" w:bidi="ar-SA"/>
        </w:rPr>
        <w:t>文化旅游体育与传媒支出</w:t>
      </w:r>
      <w:r>
        <w:rPr>
          <w:rFonts w:hint="default" w:ascii="Times New Roman" w:hAnsi="Times New Roman" w:eastAsia="仿宋_GB2312" w:cs="Times New Roman"/>
          <w:color w:val="000000"/>
          <w:sz w:val="32"/>
          <w:szCs w:val="32"/>
        </w:rPr>
        <w:t>。</w:t>
      </w:r>
    </w:p>
    <w:p w14:paraId="7006B9B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13.</w:t>
      </w:r>
      <w:r>
        <w:rPr>
          <w:rFonts w:hint="default" w:ascii="Times New Roman" w:hAnsi="Times New Roman" w:eastAsia="仿宋_GB2312" w:cs="Times New Roman"/>
          <w:color w:val="auto"/>
          <w:kern w:val="2"/>
          <w:sz w:val="32"/>
          <w:szCs w:val="32"/>
          <w:highlight w:val="none"/>
          <w:lang w:val="en-US" w:eastAsia="zh-CN" w:bidi="ar-SA"/>
        </w:rPr>
        <w:t>社会保障和就业（类）行政事业单位养老支出（款）机关事业单位基本养老保险缴费支出（项）：</w:t>
      </w:r>
      <w:r>
        <w:rPr>
          <w:rFonts w:hint="default" w:ascii="Times New Roman" w:hAnsi="Times New Roman" w:eastAsia="仿宋_GB2312" w:cs="Times New Roman"/>
          <w:color w:val="000000"/>
          <w:sz w:val="32"/>
          <w:szCs w:val="32"/>
        </w:rPr>
        <w:t>反映机关事业单位实施养老保险制度由单位缴纳的基本养老保险费支出。</w:t>
      </w:r>
    </w:p>
    <w:p w14:paraId="5A499E9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14.</w:t>
      </w:r>
      <w:r>
        <w:rPr>
          <w:rFonts w:hint="default" w:ascii="Times New Roman" w:hAnsi="Times New Roman" w:eastAsia="仿宋_GB2312" w:cs="Times New Roman"/>
          <w:color w:val="auto"/>
          <w:kern w:val="2"/>
          <w:sz w:val="32"/>
          <w:szCs w:val="32"/>
          <w:highlight w:val="none"/>
          <w:lang w:val="en-US" w:eastAsia="zh-CN" w:bidi="ar-SA"/>
        </w:rPr>
        <w:t>社会保障和就业（类）行政事业单位养老支出（款）机关事业单位职业年金缴费支出（项）：</w:t>
      </w:r>
      <w:r>
        <w:rPr>
          <w:rFonts w:hint="default" w:ascii="Times New Roman" w:hAnsi="Times New Roman" w:eastAsia="仿宋_GB2312" w:cs="Times New Roman"/>
          <w:color w:val="000000"/>
          <w:sz w:val="32"/>
          <w:szCs w:val="32"/>
        </w:rPr>
        <w:t>反映机关事业单位实施养老保险制度由单位实际缴纳的职业年金支出。</w:t>
      </w:r>
    </w:p>
    <w:p w14:paraId="54758D6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15.</w:t>
      </w:r>
      <w:r>
        <w:rPr>
          <w:rFonts w:hint="default" w:ascii="Times New Roman" w:hAnsi="Times New Roman" w:eastAsia="仿宋_GB2312" w:cs="Times New Roman"/>
          <w:color w:val="auto"/>
          <w:kern w:val="2"/>
          <w:sz w:val="32"/>
          <w:szCs w:val="32"/>
          <w:highlight w:val="none"/>
          <w:lang w:val="en-US" w:eastAsia="zh-CN" w:bidi="ar-SA"/>
        </w:rPr>
        <w:t>社会保障和就业（类）就业补助（款）机关事业单位公益性岗位补贴（项）：</w:t>
      </w:r>
      <w:r>
        <w:rPr>
          <w:rFonts w:hint="default" w:ascii="Times New Roman" w:hAnsi="Times New Roman" w:eastAsia="仿宋_GB2312" w:cs="Times New Roman"/>
          <w:color w:val="000000"/>
          <w:sz w:val="32"/>
          <w:szCs w:val="32"/>
        </w:rPr>
        <w:t>反映除上述项目以外其他</w:t>
      </w:r>
      <w:r>
        <w:rPr>
          <w:rFonts w:hint="default" w:ascii="Times New Roman" w:hAnsi="Times New Roman" w:eastAsia="仿宋_GB2312" w:cs="Times New Roman"/>
          <w:color w:val="auto"/>
          <w:kern w:val="2"/>
          <w:sz w:val="32"/>
          <w:szCs w:val="32"/>
          <w:highlight w:val="none"/>
          <w:lang w:val="en-US" w:eastAsia="zh-CN" w:bidi="ar-SA"/>
        </w:rPr>
        <w:t>机关事业单位公益性岗位补贴支出</w:t>
      </w:r>
      <w:r>
        <w:rPr>
          <w:rFonts w:hint="default" w:ascii="Times New Roman" w:hAnsi="Times New Roman" w:eastAsia="仿宋_GB2312" w:cs="Times New Roman"/>
          <w:color w:val="000000"/>
          <w:sz w:val="32"/>
          <w:szCs w:val="32"/>
        </w:rPr>
        <w:t>。</w:t>
      </w:r>
    </w:p>
    <w:p w14:paraId="56D09E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16.</w:t>
      </w:r>
      <w:r>
        <w:rPr>
          <w:rFonts w:hint="default" w:ascii="Times New Roman" w:hAnsi="Times New Roman" w:eastAsia="仿宋_GB2312" w:cs="Times New Roman"/>
          <w:color w:val="auto"/>
          <w:kern w:val="2"/>
          <w:sz w:val="32"/>
          <w:szCs w:val="32"/>
          <w:highlight w:val="none"/>
          <w:lang w:val="en-US" w:eastAsia="zh-CN" w:bidi="ar-SA"/>
        </w:rPr>
        <w:t>卫生健康（类）公共卫生（款）重大公共卫生服务（项）：</w:t>
      </w:r>
      <w:r>
        <w:rPr>
          <w:rFonts w:hint="default" w:ascii="Times New Roman" w:hAnsi="Times New Roman" w:eastAsia="仿宋_GB2312" w:cs="Times New Roman"/>
          <w:color w:val="000000"/>
          <w:sz w:val="32"/>
          <w:szCs w:val="32"/>
        </w:rPr>
        <w:t>反映除上述项目以外其他</w:t>
      </w:r>
      <w:r>
        <w:rPr>
          <w:rFonts w:hint="default" w:ascii="Times New Roman" w:hAnsi="Times New Roman" w:eastAsia="仿宋_GB2312" w:cs="Times New Roman"/>
          <w:color w:val="auto"/>
          <w:kern w:val="2"/>
          <w:sz w:val="32"/>
          <w:szCs w:val="32"/>
          <w:highlight w:val="none"/>
          <w:lang w:val="en-US" w:eastAsia="zh-CN" w:bidi="ar-SA"/>
        </w:rPr>
        <w:t>重大公共卫生服务支出</w:t>
      </w:r>
      <w:r>
        <w:rPr>
          <w:rFonts w:hint="default" w:ascii="Times New Roman" w:hAnsi="Times New Roman" w:eastAsia="仿宋_GB2312" w:cs="Times New Roman"/>
          <w:color w:val="000000"/>
          <w:sz w:val="32"/>
          <w:szCs w:val="32"/>
        </w:rPr>
        <w:t>。</w:t>
      </w:r>
    </w:p>
    <w:p w14:paraId="0169A60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17.</w:t>
      </w:r>
      <w:r>
        <w:rPr>
          <w:rFonts w:hint="default" w:ascii="Times New Roman" w:hAnsi="Times New Roman" w:eastAsia="仿宋_GB2312" w:cs="Times New Roman"/>
          <w:color w:val="auto"/>
          <w:kern w:val="2"/>
          <w:sz w:val="32"/>
          <w:szCs w:val="32"/>
          <w:highlight w:val="none"/>
          <w:lang w:val="en-US" w:eastAsia="zh-CN" w:bidi="ar-SA"/>
        </w:rPr>
        <w:t>农林水支出（类）农业农村（款）事业运行（项）：</w:t>
      </w:r>
      <w:r>
        <w:rPr>
          <w:rFonts w:hint="default" w:ascii="Times New Roman" w:hAnsi="Times New Roman" w:eastAsia="仿宋_GB2312" w:cs="Times New Roman"/>
          <w:color w:val="000000"/>
          <w:sz w:val="32"/>
          <w:szCs w:val="32"/>
        </w:rPr>
        <w:t>反映用于农业事业单位基本支出，事业单位设施、系统运行与资产维护等方面的支出。</w:t>
      </w:r>
    </w:p>
    <w:p w14:paraId="48C47F5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18.</w:t>
      </w:r>
      <w:r>
        <w:rPr>
          <w:rFonts w:hint="default" w:ascii="Times New Roman" w:hAnsi="Times New Roman" w:eastAsia="仿宋_GB2312" w:cs="Times New Roman"/>
          <w:color w:val="auto"/>
          <w:kern w:val="2"/>
          <w:sz w:val="32"/>
          <w:szCs w:val="32"/>
          <w:highlight w:val="none"/>
          <w:lang w:val="en-US" w:eastAsia="zh-CN" w:bidi="ar-SA"/>
        </w:rPr>
        <w:t>农林水支出（类）巩固脱贫攻坚成果衔接乡村振兴（款）农村基础设施建设（项）：</w:t>
      </w:r>
      <w:r>
        <w:rPr>
          <w:rFonts w:hint="default" w:ascii="Times New Roman" w:hAnsi="Times New Roman" w:eastAsia="仿宋_GB2312" w:cs="Times New Roman"/>
          <w:color w:val="000000"/>
          <w:sz w:val="32"/>
          <w:szCs w:val="32"/>
        </w:rPr>
        <w:t>反映用于农村贫困地区乡村道路、住房、基本农田、水利设施、人畜饮水、生态环境保护等生产生活条件改善方面的支出。</w:t>
      </w:r>
    </w:p>
    <w:p w14:paraId="67B27A0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19.</w:t>
      </w:r>
      <w:r>
        <w:rPr>
          <w:rFonts w:hint="default" w:ascii="Times New Roman" w:hAnsi="Times New Roman" w:eastAsia="仿宋_GB2312" w:cs="Times New Roman"/>
          <w:color w:val="auto"/>
          <w:kern w:val="2"/>
          <w:sz w:val="32"/>
          <w:szCs w:val="32"/>
          <w:highlight w:val="none"/>
          <w:lang w:val="en-US" w:eastAsia="zh-CN" w:bidi="ar-SA"/>
        </w:rPr>
        <w:t>农林水支出（类）巩固脱贫攻坚成果衔接乡村振兴（款）社会发展（项）：</w:t>
      </w:r>
      <w:r>
        <w:rPr>
          <w:rFonts w:hint="default" w:ascii="Times New Roman" w:hAnsi="Times New Roman" w:eastAsia="仿宋_GB2312" w:cs="Times New Roman"/>
          <w:color w:val="000000"/>
          <w:sz w:val="32"/>
          <w:szCs w:val="32"/>
        </w:rPr>
        <w:t>反映除上述项目以外其他</w:t>
      </w:r>
      <w:r>
        <w:rPr>
          <w:rFonts w:hint="default" w:ascii="Times New Roman" w:hAnsi="Times New Roman" w:eastAsia="仿宋_GB2312" w:cs="Times New Roman"/>
          <w:color w:val="auto"/>
          <w:kern w:val="2"/>
          <w:sz w:val="32"/>
          <w:szCs w:val="32"/>
          <w:highlight w:val="none"/>
          <w:lang w:val="en-US" w:eastAsia="zh-CN" w:bidi="ar-SA"/>
        </w:rPr>
        <w:t>社会发展支出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 xml:space="preserve"> </w:t>
      </w:r>
    </w:p>
    <w:p w14:paraId="20C8AD0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20.</w:t>
      </w:r>
      <w:r>
        <w:rPr>
          <w:rFonts w:hint="default" w:ascii="Times New Roman" w:hAnsi="Times New Roman" w:eastAsia="仿宋_GB2312" w:cs="Times New Roman"/>
          <w:color w:val="auto"/>
          <w:kern w:val="2"/>
          <w:sz w:val="32"/>
          <w:szCs w:val="32"/>
          <w:highlight w:val="none"/>
          <w:lang w:val="en-US" w:eastAsia="zh-CN" w:bidi="ar-SA"/>
        </w:rPr>
        <w:t>农林水支出（类）巩固脱贫攻坚成果衔接乡村振兴（款）其他巩固脱贫攻坚成果衔接乡村振兴支出（项）：</w:t>
      </w:r>
      <w:r>
        <w:rPr>
          <w:rFonts w:hint="default" w:ascii="Times New Roman" w:hAnsi="Times New Roman" w:eastAsia="仿宋_GB2312" w:cs="Times New Roman"/>
          <w:color w:val="000000"/>
          <w:sz w:val="32"/>
          <w:szCs w:val="32"/>
        </w:rPr>
        <w:t>反映除上述项目以外其他用于扶贫方面的支出。</w:t>
      </w:r>
    </w:p>
    <w:p w14:paraId="088868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21.</w:t>
      </w:r>
      <w:r>
        <w:rPr>
          <w:rFonts w:hint="default" w:ascii="Times New Roman" w:hAnsi="Times New Roman" w:eastAsia="仿宋_GB2312" w:cs="Times New Roman"/>
          <w:color w:val="auto"/>
          <w:kern w:val="2"/>
          <w:sz w:val="32"/>
          <w:szCs w:val="32"/>
          <w:highlight w:val="none"/>
          <w:lang w:val="en-US" w:eastAsia="zh-CN" w:bidi="ar-SA"/>
        </w:rPr>
        <w:t>农林水支出（类）农村综合改革（款）对村民委员会和村党支部的补助（项）：</w:t>
      </w:r>
      <w:r>
        <w:rPr>
          <w:rFonts w:hint="default" w:ascii="Times New Roman" w:hAnsi="Times New Roman" w:eastAsia="仿宋_GB2312" w:cs="Times New Roman"/>
          <w:color w:val="000000"/>
          <w:sz w:val="32"/>
          <w:szCs w:val="32"/>
        </w:rPr>
        <w:t>反映各级财政对村民委员会和村党支部的补助支出，以及支持建立县级基本财力保障机制安排的村级组织运转奖补资金。</w:t>
      </w:r>
    </w:p>
    <w:p w14:paraId="5F52A05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22.</w:t>
      </w:r>
      <w:r>
        <w:rPr>
          <w:rFonts w:hint="default" w:ascii="Times New Roman" w:hAnsi="Times New Roman" w:eastAsia="仿宋_GB2312" w:cs="Times New Roman"/>
          <w:color w:val="auto"/>
          <w:kern w:val="2"/>
          <w:sz w:val="32"/>
          <w:szCs w:val="32"/>
          <w:highlight w:val="none"/>
          <w:lang w:val="en-US" w:eastAsia="zh-CN" w:bidi="ar-SA"/>
        </w:rPr>
        <w:t>住房保障支出（类）住房改革支出（款）住房公积金（项）：</w:t>
      </w:r>
      <w:r>
        <w:rPr>
          <w:rFonts w:hint="default" w:ascii="Times New Roman" w:hAnsi="Times New Roman" w:eastAsia="仿宋_GB2312" w:cs="Times New Roman"/>
          <w:color w:val="000000"/>
          <w:sz w:val="32"/>
          <w:szCs w:val="32"/>
        </w:rPr>
        <w:t>反映行政事业单位按人力资源和社会保障部、财政部规定的基本工资和津贴补贴以及规定比例为职工缴纳的住房公积金。</w:t>
      </w:r>
    </w:p>
    <w:p w14:paraId="336F6F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t>23.住房保障支出（类）住房改革支出（款）购房补贴（项）：</w:t>
      </w:r>
      <w:r>
        <w:rPr>
          <w:rFonts w:hint="default" w:ascii="Times New Roman" w:hAnsi="Times New Roman" w:eastAsia="仿宋_GB2312" w:cs="Times New Roman"/>
          <w:color w:val="000000"/>
          <w:sz w:val="32"/>
          <w:szCs w:val="32"/>
        </w:rPr>
        <w:t>反映按房改政策规定，行政事业单位向符合条件职工（含离退休人员）、军队（含武警）向转役复员离退休人员发放的用于购买住房的补贴。</w:t>
      </w:r>
    </w:p>
    <w:p w14:paraId="206E74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24.基本支出：指为保障机构正常运转、完成日常工作任务而发生的人员支出和公用支出。</w:t>
      </w:r>
    </w:p>
    <w:p w14:paraId="229B50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25.项目支出：指在基本支出之外为完成特定行政任务和事业发展目标所发生的支出。 </w:t>
      </w:r>
    </w:p>
    <w:p w14:paraId="11045C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26.经营支出：指事业单位在专业业务活动及其辅助活动之外开展非独立核算经营活动发生的支出。</w:t>
      </w:r>
    </w:p>
    <w:p w14:paraId="470788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46453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5A9C4E9">
      <w:pPr>
        <w:pStyle w:val="22"/>
        <w:rPr>
          <w:rFonts w:hint="default"/>
          <w:lang w:val="en-US" w:eastAsia="zh-CN"/>
        </w:rPr>
      </w:pPr>
      <w:r>
        <w:rPr>
          <w:rFonts w:hint="eastAsia" w:ascii="Times New Roman" w:eastAsia="仿宋_GB2312" w:cs="Times New Roman"/>
          <w:color w:val="auto"/>
          <w:kern w:val="2"/>
          <w:sz w:val="32"/>
          <w:szCs w:val="32"/>
          <w:highlight w:val="none"/>
          <w:lang w:val="en-US" w:eastAsia="zh-CN" w:bidi="ar-SA"/>
        </w:rPr>
        <w:t>29.</w:t>
      </w:r>
      <w:r>
        <w:rPr>
          <w:rFonts w:hint="default" w:ascii="Times New Roman" w:hAnsi="Times New Roman" w:eastAsia="仿宋_GB2312" w:cs="Times New Roman"/>
          <w:color w:val="auto"/>
          <w:kern w:val="2"/>
          <w:sz w:val="32"/>
          <w:szCs w:val="32"/>
          <w:highlight w:val="none"/>
          <w:lang w:val="en-US" w:eastAsia="zh-CN" w:bidi="ar-SA"/>
        </w:rPr>
        <w:t>农林水支出（</w:t>
      </w:r>
      <w:r>
        <w:rPr>
          <w:rFonts w:hint="eastAsia" w:hAnsi="Times New Roman" w:eastAsia="仿宋_GB2312" w:cs="Times New Roman"/>
          <w:color w:val="auto"/>
          <w:kern w:val="2"/>
          <w:sz w:val="32"/>
          <w:szCs w:val="32"/>
          <w:highlight w:val="none"/>
          <w:lang w:val="en-US" w:eastAsia="zh-CN" w:bidi="ar-SA"/>
        </w:rPr>
        <w:t>类</w:t>
      </w:r>
      <w:r>
        <w:rPr>
          <w:rFonts w:hint="default" w:ascii="Times New Roman" w:hAnsi="Times New Roman" w:eastAsia="仿宋_GB2312" w:cs="Times New Roman"/>
          <w:color w:val="auto"/>
          <w:kern w:val="2"/>
          <w:sz w:val="32"/>
          <w:szCs w:val="32"/>
          <w:highlight w:val="none"/>
          <w:lang w:val="en-US" w:eastAsia="zh-CN" w:bidi="ar-SA"/>
        </w:rPr>
        <w:t>）农村综合改革（</w:t>
      </w:r>
      <w:r>
        <w:rPr>
          <w:rFonts w:hint="eastAsia" w:hAnsi="Times New Roman" w:eastAsia="仿宋_GB2312" w:cs="Times New Roman"/>
          <w:color w:val="auto"/>
          <w:kern w:val="2"/>
          <w:sz w:val="32"/>
          <w:szCs w:val="32"/>
          <w:highlight w:val="none"/>
          <w:lang w:val="en-US" w:eastAsia="zh-CN" w:bidi="ar-SA"/>
        </w:rPr>
        <w:t>款</w:t>
      </w:r>
      <w:r>
        <w:rPr>
          <w:rFonts w:hint="default" w:ascii="Times New Roman" w:hAnsi="Times New Roman" w:eastAsia="仿宋_GB2312" w:cs="Times New Roman"/>
          <w:color w:val="auto"/>
          <w:kern w:val="2"/>
          <w:sz w:val="32"/>
          <w:szCs w:val="32"/>
          <w:highlight w:val="none"/>
          <w:lang w:val="en-US" w:eastAsia="zh-CN" w:bidi="ar-SA"/>
        </w:rPr>
        <w:t>）对</w:t>
      </w:r>
      <w:r>
        <w:rPr>
          <w:rFonts w:hint="eastAsia" w:ascii="Times New Roman" w:hAnsi="Times New Roman" w:eastAsia="仿宋_GB2312" w:cs="Times New Roman"/>
          <w:color w:val="auto"/>
          <w:kern w:val="2"/>
          <w:sz w:val="32"/>
          <w:szCs w:val="32"/>
          <w:highlight w:val="none"/>
          <w:lang w:val="en-US" w:eastAsia="zh-CN" w:bidi="ar-SA"/>
        </w:rPr>
        <w:t>村级公益事业建设</w:t>
      </w:r>
      <w:r>
        <w:rPr>
          <w:rFonts w:hint="default" w:ascii="Times New Roman" w:hAnsi="Times New Roman" w:eastAsia="仿宋_GB2312" w:cs="Times New Roman"/>
          <w:color w:val="auto"/>
          <w:kern w:val="2"/>
          <w:sz w:val="32"/>
          <w:szCs w:val="32"/>
          <w:highlight w:val="none"/>
          <w:lang w:val="en-US" w:eastAsia="zh-CN" w:bidi="ar-SA"/>
        </w:rPr>
        <w:t>的补助（</w:t>
      </w:r>
      <w:r>
        <w:rPr>
          <w:rFonts w:hint="eastAsia" w:hAnsi="Times New Roman" w:eastAsia="仿宋_GB2312" w:cs="Times New Roman"/>
          <w:color w:val="auto"/>
          <w:kern w:val="2"/>
          <w:sz w:val="32"/>
          <w:szCs w:val="32"/>
          <w:highlight w:val="none"/>
          <w:lang w:val="en-US" w:eastAsia="zh-CN" w:bidi="ar-SA"/>
        </w:rPr>
        <w:t>项</w:t>
      </w:r>
      <w:r>
        <w:rPr>
          <w:rFonts w:hint="default" w:ascii="Times New Roman" w:hAnsi="Times New Roman" w:eastAsia="仿宋_GB2312" w:cs="Times New Roman"/>
          <w:color w:val="auto"/>
          <w:kern w:val="2"/>
          <w:sz w:val="32"/>
          <w:szCs w:val="32"/>
          <w:highlight w:val="none"/>
          <w:lang w:val="en-US" w:eastAsia="zh-CN" w:bidi="ar-SA"/>
        </w:rPr>
        <w:t>）：</w:t>
      </w:r>
      <w:r>
        <w:rPr>
          <w:rFonts w:hint="eastAsia" w:hAnsi="Times New Roman" w:eastAsia="仿宋_GB2312" w:cs="Times New Roman"/>
          <w:color w:val="auto"/>
          <w:kern w:val="2"/>
          <w:sz w:val="32"/>
          <w:szCs w:val="32"/>
          <w:highlight w:val="none"/>
          <w:lang w:val="en-US" w:eastAsia="zh-CN" w:bidi="ar-SA"/>
        </w:rPr>
        <w:t>反应农村税费改革后对村级公益事业建设的补助支出。</w:t>
      </w:r>
    </w:p>
    <w:p w14:paraId="37B3B56F">
      <w:pPr>
        <w:spacing w:line="600" w:lineRule="exact"/>
        <w:jc w:val="center"/>
        <w:outlineLvl w:val="0"/>
        <w:rPr>
          <w:rFonts w:hint="default" w:ascii="Times New Roman" w:hAnsi="Times New Roman" w:eastAsia="黑体" w:cs="Times New Roman"/>
          <w:color w:val="auto"/>
          <w:sz w:val="44"/>
          <w:szCs w:val="44"/>
          <w:highlight w:val="none"/>
        </w:rPr>
      </w:pPr>
      <w:bookmarkStart w:id="61"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62" w:name="_Toc3120"/>
      <w:bookmarkStart w:id="63"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62"/>
      <w:bookmarkEnd w:id="63"/>
    </w:p>
    <w:p w14:paraId="0C922A48">
      <w:pPr>
        <w:pStyle w:val="2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1DFE9F66">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sz w:val="44"/>
          <w:szCs w:val="44"/>
        </w:rPr>
      </w:pPr>
      <w:r>
        <w:rPr>
          <w:rFonts w:hint="eastAsia" w:ascii="Times New Roman" w:hAnsi="Times New Roman" w:eastAsia="方正小标宋简体" w:cs="Times New Roman"/>
          <w:b w:val="0"/>
          <w:bCs/>
          <w:sz w:val="44"/>
          <w:szCs w:val="44"/>
          <w:highlight w:val="none"/>
          <w:shd w:val="clear" w:color="auto" w:fill="FFFFFF"/>
          <w:lang w:val="en-US" w:eastAsia="zh-CN"/>
        </w:rPr>
        <w:t>茂县土门镇</w:t>
      </w:r>
      <w:r>
        <w:rPr>
          <w:rFonts w:hint="eastAsia" w:ascii="Times New Roman" w:hAnsi="Times New Roman" w:eastAsia="方正小标宋简体" w:cs="Times New Roman"/>
          <w:b w:val="0"/>
          <w:bCs/>
          <w:sz w:val="44"/>
          <w:szCs w:val="44"/>
          <w:highlight w:val="none"/>
          <w:shd w:val="clear" w:color="auto" w:fill="FFFFFF"/>
        </w:rPr>
        <w:t>预算绩效评价报告</w:t>
      </w:r>
    </w:p>
    <w:p w14:paraId="6534E3A7">
      <w:pPr>
        <w:widowControl/>
        <w:adjustRightInd w:val="0"/>
        <w:snapToGrid w:val="0"/>
        <w:spacing w:line="578" w:lineRule="exact"/>
        <w:ind w:firstLine="640" w:firstLineChars="200"/>
        <w:contextualSpacing/>
        <w:jc w:val="left"/>
        <w:rPr>
          <w:rFonts w:hint="eastAsia" w:ascii="黑体" w:hAnsi="黑体" w:eastAsia="黑体" w:cs="黑体"/>
          <w:sz w:val="32"/>
          <w:szCs w:val="32"/>
        </w:rPr>
      </w:pPr>
      <w:r>
        <w:rPr>
          <w:rFonts w:hint="eastAsia" w:ascii="黑体" w:hAnsi="黑体" w:eastAsia="黑体" w:cs="黑体"/>
          <w:color w:val="000000"/>
          <w:kern w:val="0"/>
          <w:sz w:val="32"/>
          <w:szCs w:val="32"/>
          <w:shd w:val="clear" w:color="auto" w:fill="FFFFFF"/>
          <w:lang w:val="zh-CN"/>
        </w:rPr>
        <w:t>一、部门（单位）基本情况</w:t>
      </w:r>
    </w:p>
    <w:p w14:paraId="46A9288E">
      <w:pPr>
        <w:widowControl/>
        <w:adjustRightInd w:val="0"/>
        <w:snapToGrid w:val="0"/>
        <w:spacing w:line="578" w:lineRule="exact"/>
        <w:ind w:firstLine="643" w:firstLineChars="200"/>
        <w:contextualSpacing/>
        <w:jc w:val="left"/>
        <w:rPr>
          <w:rFonts w:hint="eastAsia" w:ascii="楷体" w:hAnsi="楷体" w:eastAsia="楷体" w:cs="楷体"/>
          <w:b/>
          <w:bCs/>
          <w:color w:val="000000"/>
          <w:kern w:val="0"/>
          <w:sz w:val="32"/>
          <w:szCs w:val="32"/>
          <w:shd w:val="clear" w:color="auto" w:fill="FFFFFF"/>
          <w:lang w:val="zh-CN"/>
        </w:rPr>
      </w:pPr>
      <w:r>
        <w:rPr>
          <w:rFonts w:hint="eastAsia" w:ascii="楷体" w:hAnsi="楷体" w:eastAsia="楷体" w:cs="楷体"/>
          <w:b/>
          <w:bCs/>
          <w:color w:val="000000"/>
          <w:kern w:val="0"/>
          <w:sz w:val="32"/>
          <w:szCs w:val="32"/>
          <w:shd w:val="clear" w:color="auto" w:fill="FFFFFF"/>
          <w:lang w:val="zh-CN"/>
        </w:rPr>
        <w:t>（一）机构组成</w:t>
      </w:r>
    </w:p>
    <w:p w14:paraId="6D36F588">
      <w:pPr>
        <w:widowControl/>
        <w:adjustRightInd w:val="0"/>
        <w:snapToGrid w:val="0"/>
        <w:spacing w:line="578" w:lineRule="exact"/>
        <w:ind w:firstLine="640" w:firstLineChars="200"/>
        <w:contextualSpacing/>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zh-CN"/>
        </w:rPr>
        <w:t>土门镇内设办公室</w:t>
      </w:r>
      <w:r>
        <w:rPr>
          <w:rFonts w:hint="default" w:ascii="Times New Roman" w:hAnsi="Times New Roman" w:eastAsia="仿宋" w:cs="Times New Roman"/>
          <w:sz w:val="32"/>
          <w:szCs w:val="32"/>
        </w:rPr>
        <w:t>7</w:t>
      </w:r>
      <w:r>
        <w:rPr>
          <w:rFonts w:hint="default" w:ascii="Times New Roman" w:hAnsi="Times New Roman" w:eastAsia="仿宋" w:cs="Times New Roman"/>
          <w:sz w:val="32"/>
          <w:szCs w:val="32"/>
          <w:lang w:val="zh-CN"/>
        </w:rPr>
        <w:t>个，</w:t>
      </w:r>
      <w:r>
        <w:rPr>
          <w:rFonts w:hint="default" w:ascii="Times New Roman" w:hAnsi="Times New Roman" w:eastAsia="仿宋" w:cs="Times New Roman"/>
          <w:sz w:val="32"/>
          <w:szCs w:val="32"/>
        </w:rPr>
        <w:t>分别为：党政办公室、党建工作办公室、维护稳定和综合执法办公室、经济发展和乡村振兴办公室、社会事务办公室、生态环境和应急管理办公室、财经审查工作办公室。</w:t>
      </w:r>
      <w:r>
        <w:rPr>
          <w:rFonts w:hint="default" w:ascii="Times New Roman" w:hAnsi="Times New Roman" w:eastAsia="仿宋" w:cs="Times New Roman"/>
          <w:sz w:val="32"/>
          <w:szCs w:val="32"/>
          <w:lang w:val="zh-CN"/>
        </w:rPr>
        <w:t>事业</w:t>
      </w:r>
      <w:r>
        <w:rPr>
          <w:rFonts w:hint="default" w:ascii="Times New Roman" w:hAnsi="Times New Roman" w:eastAsia="仿宋" w:cs="Times New Roman"/>
          <w:sz w:val="32"/>
          <w:szCs w:val="32"/>
        </w:rPr>
        <w:t>中心4</w:t>
      </w:r>
      <w:r>
        <w:rPr>
          <w:rFonts w:hint="default" w:ascii="Times New Roman" w:hAnsi="Times New Roman" w:eastAsia="仿宋" w:cs="Times New Roman"/>
          <w:sz w:val="32"/>
          <w:szCs w:val="32"/>
          <w:lang w:val="zh-CN"/>
        </w:rPr>
        <w:t>个，分别是：</w:t>
      </w:r>
      <w:r>
        <w:rPr>
          <w:rFonts w:hint="default" w:ascii="Times New Roman" w:hAnsi="Times New Roman" w:eastAsia="仿宋" w:cs="Times New Roman"/>
          <w:sz w:val="32"/>
          <w:szCs w:val="32"/>
        </w:rPr>
        <w:t>便民服务中心、经济发展服务中心、农业农村服务中心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综合文化服务中心。</w:t>
      </w:r>
    </w:p>
    <w:p w14:paraId="1F509054">
      <w:pPr>
        <w:widowControl/>
        <w:adjustRightInd w:val="0"/>
        <w:snapToGrid w:val="0"/>
        <w:spacing w:line="578" w:lineRule="exact"/>
        <w:ind w:firstLine="643" w:firstLineChars="200"/>
        <w:contextualSpacing/>
        <w:jc w:val="left"/>
        <w:rPr>
          <w:rFonts w:hint="default" w:ascii="楷体" w:hAnsi="楷体" w:eastAsia="楷体" w:cs="楷体"/>
          <w:b/>
          <w:bCs/>
          <w:color w:val="000000"/>
          <w:kern w:val="0"/>
          <w:sz w:val="32"/>
          <w:szCs w:val="32"/>
          <w:shd w:val="clear" w:color="auto" w:fill="FFFFFF"/>
          <w:lang w:val="zh-CN"/>
        </w:rPr>
      </w:pPr>
      <w:r>
        <w:rPr>
          <w:rFonts w:hint="eastAsia" w:ascii="楷体" w:hAnsi="楷体" w:eastAsia="楷体" w:cs="楷体"/>
          <w:b/>
          <w:bCs/>
          <w:color w:val="000000"/>
          <w:kern w:val="0"/>
          <w:sz w:val="32"/>
          <w:szCs w:val="32"/>
          <w:shd w:val="clear" w:color="auto" w:fill="FFFFFF"/>
          <w:lang w:val="zh-CN"/>
        </w:rPr>
        <w:t>（</w:t>
      </w:r>
      <w:r>
        <w:rPr>
          <w:rFonts w:hint="eastAsia" w:ascii="楷体" w:hAnsi="楷体" w:eastAsia="楷体" w:cs="楷体"/>
          <w:b/>
          <w:bCs/>
          <w:color w:val="000000"/>
          <w:kern w:val="0"/>
          <w:sz w:val="32"/>
          <w:szCs w:val="32"/>
          <w:shd w:val="clear" w:color="auto" w:fill="FFFFFF"/>
          <w:lang w:val="en-US" w:eastAsia="zh-CN"/>
        </w:rPr>
        <w:t>二</w:t>
      </w:r>
      <w:r>
        <w:rPr>
          <w:rFonts w:hint="eastAsia" w:ascii="楷体" w:hAnsi="楷体" w:eastAsia="楷体" w:cs="楷体"/>
          <w:b/>
          <w:bCs/>
          <w:color w:val="000000"/>
          <w:kern w:val="0"/>
          <w:sz w:val="32"/>
          <w:szCs w:val="32"/>
          <w:shd w:val="clear" w:color="auto" w:fill="FFFFFF"/>
          <w:lang w:val="zh-CN"/>
        </w:rPr>
        <w:t>）</w:t>
      </w:r>
      <w:r>
        <w:rPr>
          <w:rFonts w:hint="default" w:ascii="楷体" w:hAnsi="楷体" w:eastAsia="楷体" w:cs="楷体"/>
          <w:b/>
          <w:bCs/>
          <w:color w:val="000000"/>
          <w:kern w:val="0"/>
          <w:sz w:val="32"/>
          <w:szCs w:val="32"/>
          <w:shd w:val="clear" w:color="auto" w:fill="FFFFFF"/>
          <w:lang w:val="zh-CN"/>
        </w:rPr>
        <w:t>机构职能</w:t>
      </w:r>
    </w:p>
    <w:p w14:paraId="2C3A7C1B">
      <w:pPr>
        <w:keepNext w:val="0"/>
        <w:keepLines w:val="0"/>
        <w:pageBreakBefore w:val="0"/>
        <w:widowControl w:val="0"/>
        <w:numPr>
          <w:ilvl w:val="0"/>
          <w:numId w:val="0"/>
        </w:numPr>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1.贯彻执行党和国家的路线方针政策和上级党委、政府各项决策部署，以及本级党员代表大会（党员大会）、人民代表大会的决议决定。</w:t>
      </w:r>
    </w:p>
    <w:p w14:paraId="5F701523">
      <w:pPr>
        <w:keepNext w:val="0"/>
        <w:keepLines w:val="0"/>
        <w:pageBreakBefore w:val="0"/>
        <w:widowControl w:val="0"/>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14:paraId="2700AF78">
      <w:pPr>
        <w:keepNext w:val="0"/>
        <w:keepLines w:val="0"/>
        <w:pageBreakBefore w:val="0"/>
        <w:widowControl w:val="0"/>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3.领导镇政权机关、群团组织和其他各类组织，加强指导和规范，支持和保证这些机关和组织依照国家法律法规以及各自章程履行职责。</w:t>
      </w:r>
    </w:p>
    <w:p w14:paraId="16AD309F">
      <w:pPr>
        <w:keepNext w:val="0"/>
        <w:keepLines w:val="0"/>
        <w:pageBreakBefore w:val="0"/>
        <w:widowControl w:val="0"/>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加强党的建设。坚持全面从严治党，落实管党治党主体责任，全面加强党的政治建设、思想建设、组织建设、作风建设、纪律建设、制度建设等工作。不断强化自身建设和村党组织建设，以及其他隶属镇党委的党组织建设，抓好发展党员工作，加强党员队伍建设。维护和执行党的纪律,监督党员干部和其他工作人员严格遵守国家法律法规。</w:t>
      </w:r>
    </w:p>
    <w:p w14:paraId="13BBB424">
      <w:pPr>
        <w:keepNext w:val="0"/>
        <w:keepLines w:val="0"/>
        <w:pageBreakBefore w:val="0"/>
        <w:widowControl w:val="0"/>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5.按照干部管理权限，负责对干部的教育、培训、选拔、考核和监督工作。协助管理上级有关部门驻镇单位的干部。做好人才服务和引进工作。</w:t>
      </w:r>
    </w:p>
    <w:p w14:paraId="32BE8633">
      <w:pPr>
        <w:keepNext w:val="0"/>
        <w:keepLines w:val="0"/>
        <w:pageBreakBefore w:val="0"/>
        <w:widowControl w:val="0"/>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统筹区域发展。落实关于辖区发展的重大决策，制定辖区经济和社会发展规划、公共服务设施布局；负责乡村振兴工作，做好民生保障、扶贫开发、民族宗教等工作，推动辖区经济社会健康、有序、可持续发展。</w:t>
      </w:r>
    </w:p>
    <w:p w14:paraId="29B06117">
      <w:pPr>
        <w:keepNext w:val="0"/>
        <w:keepLines w:val="0"/>
        <w:pageBreakBefore w:val="0"/>
        <w:widowControl w:val="0"/>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7.强化基层治理。负责本辖区社会治理，加强社会主义民主法治建设和精神文明建设，加快推进基层社会治理体系和治理能力现代化；指导村委会建设，健全自治平台，组织群众和单位参与村委会建设和管理。负责统筹协调辖区内依法授权或委托授权的行政执法工作。</w:t>
      </w:r>
    </w:p>
    <w:p w14:paraId="02D772B5">
      <w:pPr>
        <w:keepNext w:val="0"/>
        <w:keepLines w:val="0"/>
        <w:pageBreakBefore w:val="0"/>
        <w:widowControl w:val="0"/>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8.优化公共服务。推进服务型政府建设，组织实施并优化教育、卫生健康、文化、民政、社会保障、退役军人事务等各项公共服务。</w:t>
      </w:r>
    </w:p>
    <w:p w14:paraId="59AC210C">
      <w:pPr>
        <w:keepNext w:val="0"/>
        <w:keepLines w:val="0"/>
        <w:pageBreakBefore w:val="0"/>
        <w:widowControl w:val="0"/>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9.负责辖区范围内的应急管理、社会稳定、安全生产、生态环境保护、社会信用体系建设和审批服务便民化等工作。</w:t>
      </w:r>
    </w:p>
    <w:p w14:paraId="16A53B0E">
      <w:pPr>
        <w:keepNext w:val="0"/>
        <w:keepLines w:val="0"/>
        <w:pageBreakBefore w:val="0"/>
        <w:widowControl w:val="0"/>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10.负责辖区农村经营管理体系建设工作。</w:t>
      </w:r>
    </w:p>
    <w:p w14:paraId="49736764">
      <w:pPr>
        <w:keepNext w:val="0"/>
        <w:keepLines w:val="0"/>
        <w:pageBreakBefore w:val="0"/>
        <w:widowControl w:val="0"/>
        <w:kinsoku/>
        <w:wordWrap/>
        <w:overflowPunct/>
        <w:topLinePunct w:val="0"/>
        <w:autoSpaceDE/>
        <w:autoSpaceDN/>
        <w:bidi w:val="0"/>
        <w:spacing w:line="576" w:lineRule="atLeast"/>
        <w:ind w:firstLine="640" w:firstLineChars="200"/>
        <w:textAlignment w:val="auto"/>
        <w:rPr>
          <w:rFonts w:hint="default" w:ascii="Times New Roman" w:hAnsi="Times New Roman" w:eastAsia="仿宋" w:cs="Times New Roman"/>
          <w:b/>
          <w:bCs/>
          <w:color w:val="000000"/>
          <w:kern w:val="0"/>
          <w:sz w:val="32"/>
          <w:szCs w:val="32"/>
          <w:shd w:val="clear" w:color="auto" w:fill="FFFFFF"/>
          <w:lang w:val="zh-CN"/>
        </w:rPr>
      </w:pPr>
      <w:r>
        <w:rPr>
          <w:rFonts w:hint="default" w:ascii="Times New Roman" w:hAnsi="Times New Roman" w:eastAsia="仿宋" w:cs="Times New Roman"/>
          <w:sz w:val="32"/>
          <w:szCs w:val="32"/>
        </w:rPr>
        <w:t>11.完成县委、县政府交办的其他任务。</w:t>
      </w:r>
    </w:p>
    <w:p w14:paraId="701B494B">
      <w:pPr>
        <w:widowControl/>
        <w:adjustRightInd w:val="0"/>
        <w:snapToGrid w:val="0"/>
        <w:spacing w:line="578" w:lineRule="exact"/>
        <w:ind w:firstLine="643" w:firstLineChars="200"/>
        <w:contextualSpacing/>
        <w:jc w:val="left"/>
        <w:rPr>
          <w:rFonts w:hint="default" w:ascii="楷体" w:hAnsi="楷体" w:eastAsia="楷体" w:cs="楷体"/>
          <w:b/>
          <w:bCs/>
          <w:color w:val="000000"/>
          <w:kern w:val="0"/>
          <w:sz w:val="32"/>
          <w:szCs w:val="32"/>
          <w:shd w:val="clear" w:color="auto" w:fill="FFFFFF"/>
          <w:lang w:val="zh-CN"/>
        </w:rPr>
      </w:pPr>
      <w:r>
        <w:rPr>
          <w:rFonts w:hint="default" w:ascii="楷体" w:hAnsi="楷体" w:eastAsia="楷体" w:cs="楷体"/>
          <w:b/>
          <w:bCs/>
          <w:color w:val="000000"/>
          <w:kern w:val="0"/>
          <w:sz w:val="32"/>
          <w:szCs w:val="32"/>
          <w:shd w:val="clear" w:color="auto" w:fill="FFFFFF"/>
          <w:lang w:val="zh-CN"/>
        </w:rPr>
        <w:t>（三）人员概况。</w:t>
      </w:r>
    </w:p>
    <w:p w14:paraId="39EE74AE">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土门镇总编制6</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名,其中:行政编制36名,事业编制25名，其中事业工勤编制</w:t>
      </w: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名。现有在职人员</w:t>
      </w:r>
      <w:r>
        <w:rPr>
          <w:rFonts w:hint="default" w:ascii="Times New Roman" w:hAnsi="Times New Roman" w:eastAsia="仿宋" w:cs="Times New Roman"/>
          <w:sz w:val="32"/>
          <w:szCs w:val="32"/>
          <w:lang w:val="en-US" w:eastAsia="zh-CN"/>
        </w:rPr>
        <w:t>52</w:t>
      </w:r>
      <w:r>
        <w:rPr>
          <w:rFonts w:hint="default" w:ascii="Times New Roman" w:hAnsi="Times New Roman" w:eastAsia="仿宋" w:cs="Times New Roman"/>
          <w:sz w:val="32"/>
          <w:szCs w:val="32"/>
        </w:rPr>
        <w:t>人，（其中公务员</w:t>
      </w:r>
      <w:r>
        <w:rPr>
          <w:rFonts w:hint="default" w:ascii="Times New Roman" w:hAnsi="Times New Roman" w:eastAsia="仿宋" w:cs="Times New Roman"/>
          <w:sz w:val="32"/>
          <w:szCs w:val="32"/>
          <w:lang w:val="en-US" w:eastAsia="zh-CN"/>
        </w:rPr>
        <w:t>31</w:t>
      </w:r>
      <w:r>
        <w:rPr>
          <w:rFonts w:hint="default" w:ascii="Times New Roman" w:hAnsi="Times New Roman" w:eastAsia="仿宋" w:cs="Times New Roman"/>
          <w:sz w:val="32"/>
          <w:szCs w:val="32"/>
        </w:rPr>
        <w:t>人，机关</w:t>
      </w:r>
      <w:r>
        <w:rPr>
          <w:rFonts w:hint="default" w:ascii="Times New Roman" w:hAnsi="Times New Roman" w:eastAsia="仿宋" w:cs="Times New Roman"/>
          <w:sz w:val="32"/>
          <w:szCs w:val="32"/>
          <w:lang w:val="zh-CN"/>
        </w:rPr>
        <w:t>工勤人员</w:t>
      </w:r>
      <w:r>
        <w:rPr>
          <w:rFonts w:hint="default" w:ascii="Times New Roman" w:hAnsi="Times New Roman" w:eastAsia="仿宋" w:cs="Times New Roman"/>
          <w:sz w:val="32"/>
          <w:szCs w:val="32"/>
        </w:rPr>
        <w:t>1人，事业人员</w:t>
      </w:r>
      <w:r>
        <w:rPr>
          <w:rFonts w:hint="default" w:ascii="Times New Roman" w:hAnsi="Times New Roman" w:eastAsia="仿宋" w:cs="Times New Roman"/>
          <w:sz w:val="32"/>
          <w:szCs w:val="32"/>
          <w:lang w:val="en-US" w:eastAsia="zh-CN"/>
        </w:rPr>
        <w:t>20</w:t>
      </w:r>
      <w:r>
        <w:rPr>
          <w:rFonts w:hint="default" w:ascii="Times New Roman" w:hAnsi="Times New Roman" w:eastAsia="仿宋" w:cs="Times New Roman"/>
          <w:sz w:val="32"/>
          <w:szCs w:val="32"/>
        </w:rPr>
        <w:t>人）；退休人员1</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人（行政退休11人，事业退休</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人）；遗属</w:t>
      </w:r>
      <w:r>
        <w:rPr>
          <w:rFonts w:hint="default"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人。</w:t>
      </w:r>
    </w:p>
    <w:p w14:paraId="22E72AE2">
      <w:pPr>
        <w:widowControl/>
        <w:adjustRightInd w:val="0"/>
        <w:snapToGrid w:val="0"/>
        <w:spacing w:line="578" w:lineRule="exact"/>
        <w:ind w:firstLine="640" w:firstLineChars="200"/>
        <w:contextualSpacing/>
        <w:jc w:val="left"/>
        <w:rPr>
          <w:rFonts w:hint="default" w:ascii="黑体" w:hAnsi="黑体" w:eastAsia="黑体" w:cs="黑体"/>
          <w:color w:val="000000"/>
          <w:kern w:val="0"/>
          <w:sz w:val="32"/>
          <w:szCs w:val="32"/>
          <w:shd w:val="clear" w:color="auto" w:fill="FFFFFF"/>
          <w:lang w:val="zh-CN"/>
        </w:rPr>
      </w:pPr>
      <w:r>
        <w:rPr>
          <w:rFonts w:hint="default" w:ascii="黑体" w:hAnsi="黑体" w:eastAsia="黑体" w:cs="黑体"/>
          <w:color w:val="000000"/>
          <w:kern w:val="0"/>
          <w:sz w:val="32"/>
          <w:szCs w:val="32"/>
          <w:shd w:val="clear" w:color="auto" w:fill="FFFFFF"/>
          <w:lang w:val="zh-CN"/>
        </w:rPr>
        <w:t>二、部门资金收支情况</w:t>
      </w:r>
    </w:p>
    <w:p w14:paraId="38461DC1">
      <w:pPr>
        <w:widowControl/>
        <w:adjustRightInd w:val="0"/>
        <w:snapToGrid w:val="0"/>
        <w:spacing w:line="578" w:lineRule="exact"/>
        <w:ind w:firstLine="643" w:firstLineChars="200"/>
        <w:contextualSpacing/>
        <w:jc w:val="left"/>
        <w:rPr>
          <w:rFonts w:hint="default" w:ascii="Times New Roman" w:hAnsi="Times New Roman" w:eastAsia="仿宋" w:cs="Times New Roman"/>
          <w:b/>
          <w:bCs/>
          <w:color w:val="000000"/>
          <w:kern w:val="0"/>
          <w:sz w:val="32"/>
          <w:szCs w:val="32"/>
          <w:shd w:val="clear" w:color="auto" w:fill="FFFFFF"/>
          <w:lang w:val="en-US" w:eastAsia="zh-CN"/>
        </w:rPr>
      </w:pPr>
      <w:r>
        <w:rPr>
          <w:rFonts w:hint="default" w:ascii="楷体" w:hAnsi="楷体" w:eastAsia="楷体" w:cs="楷体"/>
          <w:b/>
          <w:bCs/>
          <w:color w:val="000000"/>
          <w:kern w:val="0"/>
          <w:sz w:val="32"/>
          <w:szCs w:val="32"/>
          <w:shd w:val="clear" w:color="auto" w:fill="FFFFFF"/>
          <w:lang w:val="zh-CN"/>
        </w:rPr>
        <w:t>（一）收入情况。</w:t>
      </w:r>
      <w:r>
        <w:rPr>
          <w:rFonts w:hint="default" w:ascii="Times New Roman" w:hAnsi="Times New Roman" w:eastAsia="仿宋" w:cs="Times New Roman"/>
          <w:b w:val="0"/>
          <w:bCs w:val="0"/>
          <w:color w:val="000000"/>
          <w:kern w:val="0"/>
          <w:sz w:val="32"/>
          <w:szCs w:val="32"/>
          <w:shd w:val="clear" w:color="auto" w:fill="FFFFFF"/>
          <w:lang w:val="en-US" w:eastAsia="zh-CN"/>
        </w:rPr>
        <w:t>土门镇</w:t>
      </w:r>
      <w:r>
        <w:rPr>
          <w:rFonts w:hint="default" w:ascii="Times New Roman" w:hAnsi="Times New Roman" w:eastAsia="仿宋" w:cs="Times New Roman"/>
          <w:sz w:val="32"/>
          <w:szCs w:val="32"/>
          <w:lang w:eastAsia="zh-CN"/>
        </w:rPr>
        <w:t>2025</w:t>
      </w:r>
      <w:r>
        <w:rPr>
          <w:rFonts w:hint="default" w:ascii="Times New Roman" w:hAnsi="Times New Roman" w:eastAsia="仿宋" w:cs="Times New Roman"/>
          <w:sz w:val="32"/>
          <w:szCs w:val="32"/>
          <w:lang w:val="en-US" w:eastAsia="zh-CN"/>
        </w:rPr>
        <w:t>年</w:t>
      </w:r>
      <w:r>
        <w:rPr>
          <w:rFonts w:hint="eastAsia" w:eastAsia="仿宋" w:cs="Times New Roman"/>
          <w:sz w:val="32"/>
          <w:szCs w:val="32"/>
          <w:lang w:val="en-US" w:eastAsia="zh-CN"/>
        </w:rPr>
        <w:t>度年</w:t>
      </w:r>
      <w:r>
        <w:rPr>
          <w:rFonts w:hint="default" w:ascii="Times New Roman" w:hAnsi="Times New Roman" w:eastAsia="仿宋" w:cs="Times New Roman"/>
          <w:sz w:val="32"/>
          <w:szCs w:val="32"/>
          <w:lang w:val="en-US" w:eastAsia="zh-CN"/>
        </w:rPr>
        <w:t>末决算收入1979.37万元</w:t>
      </w:r>
      <w:r>
        <w:rPr>
          <w:rFonts w:hint="default" w:ascii="Times New Roman" w:hAnsi="Times New Roman" w:eastAsia="仿宋" w:cs="Times New Roman"/>
          <w:sz w:val="32"/>
          <w:szCs w:val="32"/>
        </w:rPr>
        <w:t>。</w:t>
      </w:r>
      <w:r>
        <w:rPr>
          <w:rFonts w:hint="eastAsia" w:eastAsia="仿宋" w:cs="Times New Roman"/>
          <w:sz w:val="32"/>
          <w:szCs w:val="32"/>
          <w:lang w:eastAsia="zh-CN"/>
        </w:rPr>
        <w:t>其中，一般公共预算财政拨款收入</w:t>
      </w:r>
      <w:r>
        <w:rPr>
          <w:rFonts w:hint="eastAsia" w:eastAsia="仿宋" w:cs="Times New Roman"/>
          <w:sz w:val="32"/>
          <w:szCs w:val="32"/>
          <w:lang w:val="en-US" w:eastAsia="zh-CN"/>
        </w:rPr>
        <w:t>1773.15万元，政府性基金预算财政拨款收入165.91万元，其他收入40.31万元。</w:t>
      </w:r>
    </w:p>
    <w:p w14:paraId="175C0967">
      <w:pPr>
        <w:widowControl/>
        <w:adjustRightInd w:val="0"/>
        <w:snapToGrid w:val="0"/>
        <w:spacing w:line="578" w:lineRule="exact"/>
        <w:ind w:firstLine="643" w:firstLineChars="200"/>
        <w:contextualSpacing/>
        <w:jc w:val="left"/>
        <w:rPr>
          <w:rFonts w:hint="default" w:ascii="Times New Roman" w:hAnsi="Times New Roman" w:eastAsia="仿宋" w:cs="Times New Roman"/>
          <w:sz w:val="32"/>
          <w:szCs w:val="32"/>
          <w:lang w:val="en-US" w:eastAsia="zh-CN"/>
        </w:rPr>
      </w:pPr>
      <w:r>
        <w:rPr>
          <w:rFonts w:hint="default" w:ascii="楷体" w:hAnsi="楷体" w:eastAsia="楷体" w:cs="楷体"/>
          <w:b/>
          <w:bCs/>
          <w:color w:val="000000"/>
          <w:kern w:val="0"/>
          <w:sz w:val="32"/>
          <w:szCs w:val="32"/>
          <w:shd w:val="clear" w:color="auto" w:fill="FFFFFF"/>
          <w:lang w:val="zh-CN"/>
        </w:rPr>
        <w:t>（二）支出情况。</w:t>
      </w:r>
      <w:r>
        <w:rPr>
          <w:rFonts w:hint="default" w:ascii="Times New Roman" w:hAnsi="Times New Roman" w:eastAsia="仿宋" w:cs="Times New Roman"/>
          <w:b w:val="0"/>
          <w:bCs w:val="0"/>
          <w:color w:val="000000"/>
          <w:kern w:val="0"/>
          <w:sz w:val="32"/>
          <w:szCs w:val="32"/>
          <w:shd w:val="clear" w:color="auto" w:fill="FFFFFF"/>
          <w:lang w:val="en-US" w:eastAsia="zh-CN"/>
        </w:rPr>
        <w:t>土门镇</w:t>
      </w:r>
      <w:r>
        <w:rPr>
          <w:rFonts w:hint="default" w:ascii="Times New Roman" w:hAnsi="Times New Roman" w:eastAsia="仿宋" w:cs="Times New Roman"/>
          <w:sz w:val="32"/>
          <w:szCs w:val="32"/>
          <w:lang w:eastAsia="zh-CN"/>
        </w:rPr>
        <w:t>2025</w:t>
      </w:r>
      <w:r>
        <w:rPr>
          <w:rFonts w:hint="default" w:ascii="Times New Roman" w:hAnsi="Times New Roman" w:eastAsia="仿宋" w:cs="Times New Roman"/>
          <w:sz w:val="32"/>
          <w:szCs w:val="32"/>
          <w:lang w:val="en-US" w:eastAsia="zh-CN"/>
        </w:rPr>
        <w:t>年</w:t>
      </w:r>
      <w:r>
        <w:rPr>
          <w:rFonts w:hint="eastAsia" w:eastAsia="仿宋" w:cs="Times New Roman"/>
          <w:sz w:val="32"/>
          <w:szCs w:val="32"/>
          <w:lang w:val="en-US" w:eastAsia="zh-CN"/>
        </w:rPr>
        <w:t>度年</w:t>
      </w:r>
      <w:r>
        <w:rPr>
          <w:rFonts w:hint="default" w:ascii="Times New Roman" w:hAnsi="Times New Roman" w:eastAsia="仿宋" w:cs="Times New Roman"/>
          <w:sz w:val="32"/>
          <w:szCs w:val="32"/>
          <w:lang w:val="en-US" w:eastAsia="zh-CN"/>
        </w:rPr>
        <w:t>末决算支出1958.2</w:t>
      </w:r>
      <w:r>
        <w:rPr>
          <w:rFonts w:hint="eastAsia" w:eastAsia="仿宋" w:cs="Times New Roman"/>
          <w:sz w:val="32"/>
          <w:szCs w:val="32"/>
          <w:lang w:val="en-US" w:eastAsia="zh-CN"/>
        </w:rPr>
        <w:t>2</w:t>
      </w:r>
      <w:r>
        <w:rPr>
          <w:rFonts w:hint="default" w:ascii="Times New Roman" w:hAnsi="Times New Roman" w:eastAsia="仿宋" w:cs="Times New Roman"/>
          <w:sz w:val="32"/>
          <w:szCs w:val="32"/>
          <w:lang w:val="en-US" w:eastAsia="zh-CN"/>
        </w:rPr>
        <w:t>万元</w:t>
      </w:r>
      <w:r>
        <w:rPr>
          <w:rFonts w:hint="default" w:ascii="Times New Roman" w:hAnsi="Times New Roman" w:eastAsia="仿宋" w:cs="Times New Roman"/>
          <w:sz w:val="32"/>
          <w:szCs w:val="32"/>
        </w:rPr>
        <w:t>。</w:t>
      </w:r>
      <w:r>
        <w:rPr>
          <w:rFonts w:hint="eastAsia" w:eastAsia="仿宋" w:cs="Times New Roman"/>
          <w:sz w:val="32"/>
          <w:szCs w:val="32"/>
          <w:lang w:eastAsia="zh-CN"/>
        </w:rPr>
        <w:t>其中，一般公共服务支出</w:t>
      </w:r>
      <w:r>
        <w:rPr>
          <w:rFonts w:hint="eastAsia" w:eastAsia="仿宋" w:cs="Times New Roman"/>
          <w:sz w:val="32"/>
          <w:szCs w:val="32"/>
          <w:lang w:val="en-US" w:eastAsia="zh-CN"/>
        </w:rPr>
        <w:t>538.13万元，社会保障和就业支出151.85万元、卫生健康支出57.28万元、城乡社区支出165.91万元、农林水支出969.6万元、住房保障支出75.44万元。</w:t>
      </w:r>
    </w:p>
    <w:p w14:paraId="63800B18">
      <w:pPr>
        <w:widowControl/>
        <w:adjustRightInd w:val="0"/>
        <w:snapToGrid w:val="0"/>
        <w:spacing w:line="578" w:lineRule="exact"/>
        <w:ind w:firstLine="643" w:firstLineChars="200"/>
        <w:contextualSpacing/>
        <w:jc w:val="left"/>
        <w:rPr>
          <w:rFonts w:hint="default" w:ascii="Times New Roman" w:hAnsi="Times New Roman" w:eastAsia="仿宋" w:cs="Times New Roman"/>
          <w:b w:val="0"/>
          <w:bCs/>
          <w:color w:val="000000"/>
          <w:kern w:val="0"/>
          <w:sz w:val="32"/>
          <w:szCs w:val="32"/>
          <w:shd w:val="clear" w:color="auto" w:fill="FFFFFF"/>
          <w:lang w:val="zh-CN"/>
        </w:rPr>
      </w:pPr>
      <w:r>
        <w:rPr>
          <w:rFonts w:hint="default" w:ascii="楷体" w:hAnsi="楷体" w:eastAsia="楷体" w:cs="楷体"/>
          <w:b/>
          <w:bCs/>
          <w:color w:val="000000"/>
          <w:kern w:val="0"/>
          <w:sz w:val="32"/>
          <w:szCs w:val="32"/>
          <w:shd w:val="clear" w:color="auto" w:fill="FFFFFF"/>
          <w:lang w:val="zh-CN"/>
        </w:rPr>
        <w:t>（三）结余分配和结转结余情况。</w:t>
      </w:r>
      <w:r>
        <w:rPr>
          <w:rFonts w:hint="default" w:ascii="Times New Roman" w:hAnsi="Times New Roman" w:eastAsia="仿宋" w:cs="Times New Roman"/>
          <w:b w:val="0"/>
          <w:bCs/>
          <w:sz w:val="32"/>
          <w:szCs w:val="32"/>
          <w:lang w:val="en-US" w:eastAsia="zh-CN"/>
        </w:rPr>
        <w:t>土门镇2025年</w:t>
      </w:r>
      <w:r>
        <w:rPr>
          <w:rFonts w:hint="eastAsia" w:eastAsia="仿宋" w:cs="Times New Roman"/>
          <w:b w:val="0"/>
          <w:bCs/>
          <w:sz w:val="32"/>
          <w:szCs w:val="32"/>
          <w:lang w:val="en-US" w:eastAsia="zh-CN"/>
        </w:rPr>
        <w:t>度</w:t>
      </w:r>
      <w:r>
        <w:rPr>
          <w:rFonts w:hint="default" w:ascii="Times New Roman" w:hAnsi="Times New Roman" w:eastAsia="仿宋" w:cs="Times New Roman"/>
          <w:b w:val="0"/>
          <w:bCs/>
          <w:sz w:val="32"/>
          <w:szCs w:val="32"/>
          <w:lang w:val="en-US" w:eastAsia="zh-CN"/>
        </w:rPr>
        <w:t>结转结余资金21.1</w:t>
      </w:r>
      <w:r>
        <w:rPr>
          <w:rFonts w:hint="eastAsia" w:eastAsia="仿宋" w:cs="Times New Roman"/>
          <w:b w:val="0"/>
          <w:bCs/>
          <w:sz w:val="32"/>
          <w:szCs w:val="32"/>
          <w:lang w:val="en-US" w:eastAsia="zh-CN"/>
        </w:rPr>
        <w:t>6</w:t>
      </w:r>
      <w:r>
        <w:rPr>
          <w:rFonts w:hint="default" w:ascii="Times New Roman" w:hAnsi="Times New Roman" w:eastAsia="仿宋" w:cs="Times New Roman"/>
          <w:b w:val="0"/>
          <w:bCs/>
          <w:sz w:val="32"/>
          <w:szCs w:val="32"/>
          <w:lang w:val="en-US" w:eastAsia="zh-CN"/>
        </w:rPr>
        <w:t>万元，该资金均为代管资金</w:t>
      </w:r>
      <w:r>
        <w:rPr>
          <w:rFonts w:hint="default" w:ascii="Times New Roman" w:hAnsi="Times New Roman" w:eastAsia="仿宋" w:cs="Times New Roman"/>
          <w:b w:val="0"/>
          <w:bCs/>
          <w:color w:val="000000"/>
          <w:kern w:val="0"/>
          <w:sz w:val="32"/>
          <w:szCs w:val="32"/>
          <w:shd w:val="clear" w:color="auto" w:fill="FFFFFF"/>
        </w:rPr>
        <w:t>。</w:t>
      </w:r>
    </w:p>
    <w:p w14:paraId="4628EEFE">
      <w:pPr>
        <w:widowControl/>
        <w:adjustRightInd w:val="0"/>
        <w:snapToGrid w:val="0"/>
        <w:spacing w:line="578" w:lineRule="exact"/>
        <w:ind w:firstLine="640" w:firstLineChars="200"/>
        <w:contextualSpacing/>
        <w:jc w:val="left"/>
        <w:rPr>
          <w:rFonts w:hint="default" w:ascii="黑体" w:hAnsi="黑体" w:eastAsia="黑体" w:cs="黑体"/>
          <w:color w:val="000000"/>
          <w:kern w:val="0"/>
          <w:sz w:val="32"/>
          <w:szCs w:val="32"/>
          <w:shd w:val="clear" w:color="auto" w:fill="FFFFFF"/>
          <w:lang w:val="zh-CN"/>
        </w:rPr>
      </w:pPr>
    </w:p>
    <w:p w14:paraId="6FE93BC6">
      <w:pPr>
        <w:widowControl/>
        <w:adjustRightInd w:val="0"/>
        <w:snapToGrid w:val="0"/>
        <w:spacing w:line="578" w:lineRule="exact"/>
        <w:ind w:firstLine="640" w:firstLineChars="200"/>
        <w:contextualSpacing/>
        <w:jc w:val="left"/>
        <w:rPr>
          <w:rFonts w:hint="default" w:ascii="黑体" w:hAnsi="黑体" w:eastAsia="黑体" w:cs="黑体"/>
          <w:color w:val="000000"/>
          <w:kern w:val="0"/>
          <w:sz w:val="32"/>
          <w:szCs w:val="32"/>
          <w:shd w:val="clear" w:color="auto" w:fill="FFFFFF"/>
          <w:lang w:val="zh-CN"/>
        </w:rPr>
      </w:pPr>
    </w:p>
    <w:p w14:paraId="64FAC3D0">
      <w:pPr>
        <w:widowControl/>
        <w:adjustRightInd w:val="0"/>
        <w:snapToGrid w:val="0"/>
        <w:spacing w:line="578" w:lineRule="exact"/>
        <w:ind w:firstLine="640" w:firstLineChars="200"/>
        <w:contextualSpacing/>
        <w:jc w:val="left"/>
        <w:rPr>
          <w:rFonts w:hint="default" w:ascii="黑体" w:hAnsi="黑体" w:eastAsia="黑体" w:cs="黑体"/>
          <w:color w:val="000000"/>
          <w:kern w:val="0"/>
          <w:sz w:val="32"/>
          <w:szCs w:val="32"/>
          <w:shd w:val="clear" w:color="auto" w:fill="FFFFFF"/>
          <w:lang w:val="zh-CN"/>
        </w:rPr>
      </w:pPr>
      <w:r>
        <w:rPr>
          <w:rFonts w:hint="default" w:ascii="黑体" w:hAnsi="黑体" w:eastAsia="黑体" w:cs="黑体"/>
          <w:color w:val="000000"/>
          <w:kern w:val="0"/>
          <w:sz w:val="32"/>
          <w:szCs w:val="32"/>
          <w:shd w:val="clear" w:color="auto" w:fill="FFFFFF"/>
          <w:lang w:val="zh-CN"/>
        </w:rPr>
        <w:t>三、部门预算绩效分析</w:t>
      </w:r>
    </w:p>
    <w:p w14:paraId="1816EB97">
      <w:pPr>
        <w:widowControl/>
        <w:adjustRightInd w:val="0"/>
        <w:snapToGrid w:val="0"/>
        <w:spacing w:line="578" w:lineRule="exact"/>
        <w:ind w:firstLine="643" w:firstLineChars="200"/>
        <w:contextualSpacing/>
        <w:jc w:val="left"/>
        <w:rPr>
          <w:rFonts w:hint="default" w:ascii="楷体" w:hAnsi="楷体" w:eastAsia="楷体" w:cs="楷体"/>
          <w:b/>
          <w:bCs/>
          <w:color w:val="000000"/>
          <w:kern w:val="0"/>
          <w:sz w:val="32"/>
          <w:szCs w:val="32"/>
          <w:shd w:val="clear" w:color="auto" w:fill="FFFFFF"/>
          <w:lang w:val="zh-CN"/>
        </w:rPr>
      </w:pPr>
      <w:r>
        <w:rPr>
          <w:rFonts w:hint="default" w:ascii="楷体" w:hAnsi="楷体" w:eastAsia="楷体" w:cs="楷体"/>
          <w:b/>
          <w:bCs/>
          <w:color w:val="000000"/>
          <w:kern w:val="0"/>
          <w:sz w:val="32"/>
          <w:szCs w:val="32"/>
          <w:shd w:val="clear" w:color="auto" w:fill="FFFFFF"/>
          <w:lang w:val="zh-CN"/>
        </w:rPr>
        <w:t>（一）部门预算总体绩效分析</w:t>
      </w:r>
    </w:p>
    <w:p w14:paraId="1F4255CD">
      <w:pPr>
        <w:shd w:val="clear" w:color="auto" w:fill="FFFFFF"/>
        <w:spacing w:line="576" w:lineRule="atLeast"/>
        <w:ind w:firstLine="640" w:firstLineChars="200"/>
        <w:rPr>
          <w:rFonts w:hint="default" w:ascii="Times New Roman" w:hAnsi="Times New Roman" w:eastAsia="仿宋" w:cs="Times New Roman"/>
          <w:sz w:val="32"/>
          <w:szCs w:val="32"/>
          <w:lang w:val="zh-CN" w:eastAsia="zh-CN"/>
        </w:rPr>
      </w:pPr>
      <w:r>
        <w:rPr>
          <w:rFonts w:hint="eastAsia" w:ascii="楷体" w:hAnsi="楷体" w:eastAsia="楷体" w:cs="楷体"/>
          <w:color w:val="000000"/>
          <w:kern w:val="0"/>
          <w:sz w:val="32"/>
          <w:szCs w:val="32"/>
          <w:shd w:val="clear" w:color="auto" w:fill="FFFFFF"/>
        </w:rPr>
        <w:t>1.</w:t>
      </w:r>
      <w:r>
        <w:rPr>
          <w:rFonts w:hint="eastAsia" w:ascii="楷体" w:hAnsi="楷体" w:eastAsia="楷体" w:cs="楷体"/>
          <w:color w:val="000000"/>
          <w:kern w:val="0"/>
          <w:sz w:val="32"/>
          <w:szCs w:val="32"/>
          <w:shd w:val="clear" w:color="auto" w:fill="FFFFFF"/>
          <w:lang w:val="zh-CN"/>
        </w:rPr>
        <w:t>履职效能。</w:t>
      </w:r>
      <w:r>
        <w:rPr>
          <w:rFonts w:hint="default" w:ascii="Times New Roman" w:hAnsi="Times New Roman" w:eastAsia="仿宋" w:cs="Times New Roman"/>
          <w:color w:val="000000"/>
          <w:kern w:val="0"/>
          <w:sz w:val="32"/>
          <w:szCs w:val="32"/>
        </w:rPr>
        <w:t>我镇按照县财政的要求，及时分月、分季度上报相应计划，待财政审核通过后，严格按计划执行，各季度执行情况良好。</w:t>
      </w:r>
      <w:r>
        <w:rPr>
          <w:rFonts w:hint="default" w:ascii="Times New Roman" w:hAnsi="Times New Roman" w:eastAsia="仿宋" w:cs="Times New Roman"/>
          <w:color w:val="000000"/>
          <w:kern w:val="0"/>
          <w:sz w:val="32"/>
          <w:szCs w:val="32"/>
          <w:lang w:eastAsia="zh-CN"/>
        </w:rPr>
        <w:t>2025年</w:t>
      </w:r>
      <w:r>
        <w:rPr>
          <w:rFonts w:hint="default" w:ascii="Times New Roman" w:hAnsi="Times New Roman" w:eastAsia="仿宋" w:cs="Times New Roman"/>
          <w:color w:val="000000"/>
          <w:kern w:val="0"/>
          <w:sz w:val="32"/>
          <w:szCs w:val="32"/>
        </w:rPr>
        <w:t>基本支出按月或季度进行申报，其中人员工资按月申报并直接支付，日常公用经费按季度进行申报并支付。项目支出按完成度申报并支付</w:t>
      </w:r>
      <w:r>
        <w:rPr>
          <w:rFonts w:hint="default" w:ascii="Times New Roman" w:hAnsi="Times New Roman" w:eastAsia="仿宋" w:cs="Times New Roman"/>
          <w:color w:val="000000"/>
          <w:kern w:val="0"/>
          <w:sz w:val="32"/>
          <w:szCs w:val="32"/>
          <w:lang w:eastAsia="zh-CN"/>
        </w:rPr>
        <w:t>。</w:t>
      </w:r>
    </w:p>
    <w:p w14:paraId="620C42D1">
      <w:p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zh-CN"/>
        </w:rPr>
      </w:pPr>
      <w:r>
        <w:rPr>
          <w:rFonts w:hint="default" w:ascii="楷体" w:hAnsi="楷体" w:eastAsia="楷体" w:cs="楷体"/>
          <w:color w:val="000000"/>
          <w:kern w:val="0"/>
          <w:sz w:val="32"/>
          <w:szCs w:val="32"/>
          <w:shd w:val="clear" w:color="auto" w:fill="FFFFFF"/>
        </w:rPr>
        <w:t>2.</w:t>
      </w:r>
      <w:r>
        <w:rPr>
          <w:rFonts w:hint="default" w:ascii="楷体" w:hAnsi="楷体" w:eastAsia="楷体" w:cs="楷体"/>
          <w:color w:val="000000"/>
          <w:kern w:val="0"/>
          <w:sz w:val="32"/>
          <w:szCs w:val="32"/>
          <w:shd w:val="clear" w:color="auto" w:fill="FFFFFF"/>
          <w:lang w:val="zh-CN"/>
        </w:rPr>
        <w:t>预算管理。</w:t>
      </w:r>
      <w:r>
        <w:rPr>
          <w:rFonts w:hint="default" w:ascii="Times New Roman" w:hAnsi="Times New Roman" w:eastAsia="仿宋" w:cs="Times New Roman"/>
          <w:color w:val="000000"/>
          <w:kern w:val="0"/>
          <w:sz w:val="32"/>
          <w:szCs w:val="32"/>
          <w:shd w:val="clear" w:color="auto" w:fill="FFFFFF"/>
          <w:lang w:val="zh-CN"/>
        </w:rPr>
        <w:t>我镇严格按照县级部门预算编制通知和有关要求，按时完成基础库、项目库报送工作，按时完成</w:t>
      </w:r>
      <w:r>
        <w:rPr>
          <w:rFonts w:hint="default" w:ascii="Times New Roman" w:hAnsi="Times New Roman" w:eastAsia="仿宋" w:cs="Times New Roman"/>
          <w:color w:val="000000"/>
          <w:kern w:val="0"/>
          <w:sz w:val="32"/>
          <w:szCs w:val="32"/>
          <w:shd w:val="clear" w:color="auto" w:fill="FFFFFF"/>
          <w:lang w:eastAsia="zh-CN"/>
        </w:rPr>
        <w:t>2025年</w:t>
      </w:r>
      <w:r>
        <w:rPr>
          <w:rFonts w:hint="default" w:ascii="Times New Roman" w:hAnsi="Times New Roman" w:eastAsia="仿宋" w:cs="Times New Roman"/>
          <w:color w:val="000000"/>
          <w:kern w:val="0"/>
          <w:sz w:val="32"/>
          <w:szCs w:val="32"/>
          <w:shd w:val="clear" w:color="auto" w:fill="FFFFFF"/>
          <w:lang w:val="zh-CN"/>
        </w:rPr>
        <w:t>预算编制工作，并按时提交部门预算草案。按规定编制政府采购预算，预算编制全面、科学。2025年部门决算、绩效目标填报及年末结余结转都是严格按照县财政局的要求认真完成。</w:t>
      </w:r>
    </w:p>
    <w:p w14:paraId="0C791647">
      <w:p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zh-CN"/>
        </w:rPr>
      </w:pPr>
      <w:r>
        <w:rPr>
          <w:rFonts w:hint="default" w:ascii="楷体" w:hAnsi="楷体" w:eastAsia="楷体" w:cs="楷体"/>
          <w:color w:val="000000"/>
          <w:kern w:val="0"/>
          <w:sz w:val="32"/>
          <w:szCs w:val="32"/>
          <w:shd w:val="clear" w:color="auto" w:fill="FFFFFF"/>
        </w:rPr>
        <w:t>3.</w:t>
      </w:r>
      <w:r>
        <w:rPr>
          <w:rFonts w:hint="default" w:ascii="楷体" w:hAnsi="楷体" w:eastAsia="楷体" w:cs="楷体"/>
          <w:color w:val="000000"/>
          <w:kern w:val="0"/>
          <w:sz w:val="32"/>
          <w:szCs w:val="32"/>
          <w:shd w:val="clear" w:color="auto" w:fill="FFFFFF"/>
          <w:lang w:val="zh-CN"/>
        </w:rPr>
        <w:t>财务管理。</w:t>
      </w:r>
      <w:r>
        <w:rPr>
          <w:rFonts w:hint="default" w:ascii="Times New Roman" w:hAnsi="Times New Roman" w:eastAsia="仿宋" w:cs="Times New Roman"/>
          <w:sz w:val="32"/>
          <w:szCs w:val="32"/>
        </w:rPr>
        <w:t>单位单独设置了会计机构、配备会计人员,会计岗、出纳岗等不相容岗位是分离的;财政部门加强对会计人员的继续教育、提升会计人员职业道德和专业素养的培训。严格按照《会计法》和国家统一会计制度规定,建立健全会计人员岗位责任、内部牵制、轮岗、工作交接、会计监督和稽核、原始记录管理、财务收支审批等责任制度并执行;严格按规定建立会计账册、设置会计科目,并以实际发生的经济业务为依据，依法依规进行会计核算、确保会计信息合法性、真实性、完整性;严格保证会计指标的口径一致、相互可比和会计处理方法的前后各期相一致;坚持定期对账制度、做到账证、账账、账表和账实相符;按规定保管和使用账务印章、会计凭证、会计账簿、会计报表和其他会计资料。</w:t>
      </w:r>
      <w:r>
        <w:rPr>
          <w:rFonts w:hint="default" w:ascii="Times New Roman" w:hAnsi="Times New Roman" w:eastAsia="仿宋" w:cs="Times New Roman"/>
          <w:b w:val="0"/>
          <w:bCs w:val="0"/>
          <w:sz w:val="32"/>
          <w:szCs w:val="32"/>
        </w:rPr>
        <w:t>信息化及监督</w:t>
      </w:r>
      <w:r>
        <w:rPr>
          <w:rFonts w:hint="default" w:ascii="Times New Roman" w:hAnsi="Times New Roman" w:eastAsia="仿宋" w:cs="Times New Roman"/>
          <w:sz w:val="32"/>
          <w:szCs w:val="32"/>
        </w:rPr>
        <w:t>严格按照国家有关会计信息化工作规范和统一技术标准,规范和加强单位会计信息化建设;单位内部监督部门定期或不定期对单位会计工作规范进行监督检查</w:t>
      </w:r>
      <w:r>
        <w:rPr>
          <w:rFonts w:hint="default" w:ascii="Times New Roman" w:hAnsi="Times New Roman" w:eastAsia="仿宋" w:cs="Times New Roman"/>
          <w:color w:val="000000"/>
          <w:kern w:val="0"/>
          <w:sz w:val="32"/>
          <w:szCs w:val="32"/>
          <w:shd w:val="clear" w:color="auto" w:fill="FFFFFF"/>
          <w:lang w:val="zh-CN"/>
        </w:rPr>
        <w:t>。</w:t>
      </w:r>
    </w:p>
    <w:p w14:paraId="56727D9B">
      <w:p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zh-CN"/>
        </w:rPr>
      </w:pPr>
      <w:r>
        <w:rPr>
          <w:rFonts w:hint="default" w:ascii="楷体" w:hAnsi="楷体" w:eastAsia="楷体" w:cs="楷体"/>
          <w:color w:val="000000"/>
          <w:kern w:val="0"/>
          <w:sz w:val="32"/>
          <w:szCs w:val="32"/>
          <w:shd w:val="clear" w:color="auto" w:fill="FFFFFF"/>
        </w:rPr>
        <w:t>4.</w:t>
      </w:r>
      <w:r>
        <w:rPr>
          <w:rFonts w:hint="default" w:ascii="楷体" w:hAnsi="楷体" w:eastAsia="楷体" w:cs="楷体"/>
          <w:color w:val="000000"/>
          <w:kern w:val="0"/>
          <w:sz w:val="32"/>
          <w:szCs w:val="32"/>
          <w:shd w:val="clear" w:color="auto" w:fill="FFFFFF"/>
          <w:lang w:val="zh-CN"/>
        </w:rPr>
        <w:t>资产管理。</w:t>
      </w:r>
      <w:r>
        <w:rPr>
          <w:rFonts w:hint="default" w:ascii="Times New Roman" w:hAnsi="Times New Roman" w:eastAsia="仿宋" w:cs="Times New Roman"/>
          <w:sz w:val="32"/>
          <w:szCs w:val="32"/>
        </w:rPr>
        <w:t xml:space="preserve">我镇自用固定资产 </w:t>
      </w:r>
      <w:r>
        <w:rPr>
          <w:rFonts w:hint="default" w:ascii="Times New Roman" w:hAnsi="Times New Roman" w:eastAsia="仿宋" w:cs="Times New Roman"/>
          <w:b w:val="0"/>
          <w:bCs/>
          <w:color w:val="000000"/>
          <w:sz w:val="32"/>
          <w:szCs w:val="32"/>
          <w:shd w:val="clear" w:color="auto" w:fill="FFFFFF"/>
          <w:lang w:val="en-US" w:eastAsia="zh-CN"/>
        </w:rPr>
        <w:t>1197.4</w:t>
      </w:r>
      <w:r>
        <w:rPr>
          <w:rFonts w:hint="default" w:ascii="Times New Roman" w:hAnsi="Times New Roman" w:eastAsia="仿宋" w:cs="Times New Roman"/>
          <w:b w:val="0"/>
          <w:bCs/>
          <w:sz w:val="32"/>
          <w:szCs w:val="32"/>
        </w:rPr>
        <w:t>万</w:t>
      </w:r>
      <w:r>
        <w:rPr>
          <w:rFonts w:hint="default" w:ascii="Times New Roman" w:hAnsi="Times New Roman" w:eastAsia="仿宋" w:cs="Times New Roman"/>
          <w:sz w:val="32"/>
          <w:szCs w:val="32"/>
        </w:rPr>
        <w:t>元，占账面固定资产总额的 100%，其中 : 在用</w:t>
      </w:r>
      <w:r>
        <w:rPr>
          <w:rFonts w:hint="default" w:ascii="Times New Roman" w:hAnsi="Times New Roman" w:eastAsia="仿宋" w:cs="Times New Roman"/>
          <w:b w:val="0"/>
          <w:bCs/>
          <w:color w:val="000000"/>
          <w:sz w:val="32"/>
          <w:szCs w:val="32"/>
          <w:shd w:val="clear" w:color="auto" w:fill="FFFFFF"/>
          <w:lang w:val="en-US" w:eastAsia="zh-CN"/>
        </w:rPr>
        <w:t>1197.4</w:t>
      </w:r>
      <w:r>
        <w:rPr>
          <w:rFonts w:hint="default" w:ascii="Times New Roman" w:hAnsi="Times New Roman" w:eastAsia="仿宋" w:cs="Times New Roman"/>
          <w:sz w:val="32"/>
          <w:szCs w:val="32"/>
        </w:rPr>
        <w:t xml:space="preserve">万元，占账面固定资产总额的 100% </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审批手续进行资产账务处理；进一步实现资产信息管理的网上对接，实时掌握单位资产动态，定期进行网上资产盘点，定期与财政部门进行资产信息沟通，逐步推行网上办理审批资产配置、处置等事宜</w:t>
      </w:r>
      <w:r>
        <w:rPr>
          <w:rFonts w:hint="default" w:ascii="Times New Roman" w:hAnsi="Times New Roman" w:eastAsia="仿宋" w:cs="Times New Roman"/>
          <w:color w:val="000000"/>
          <w:kern w:val="0"/>
          <w:sz w:val="32"/>
          <w:szCs w:val="32"/>
          <w:shd w:val="clear" w:color="auto" w:fill="FFFFFF"/>
          <w:lang w:val="zh-CN"/>
        </w:rPr>
        <w:t>。</w:t>
      </w:r>
    </w:p>
    <w:p w14:paraId="716921AA">
      <w:p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zh-CN"/>
        </w:rPr>
      </w:pPr>
      <w:r>
        <w:rPr>
          <w:rFonts w:hint="default" w:ascii="楷体" w:hAnsi="楷体" w:eastAsia="楷体" w:cs="楷体"/>
          <w:color w:val="000000"/>
          <w:kern w:val="0"/>
          <w:sz w:val="32"/>
          <w:szCs w:val="32"/>
          <w:shd w:val="clear" w:color="auto" w:fill="FFFFFF"/>
        </w:rPr>
        <w:t>5.</w:t>
      </w:r>
      <w:r>
        <w:rPr>
          <w:rFonts w:hint="default" w:ascii="楷体" w:hAnsi="楷体" w:eastAsia="楷体" w:cs="楷体"/>
          <w:color w:val="000000"/>
          <w:kern w:val="0"/>
          <w:sz w:val="32"/>
          <w:szCs w:val="32"/>
          <w:shd w:val="clear" w:color="auto" w:fill="FFFFFF"/>
          <w:lang w:val="zh-CN"/>
        </w:rPr>
        <w:t>采购管理。</w:t>
      </w:r>
      <w:r>
        <w:rPr>
          <w:rFonts w:hint="default" w:ascii="Times New Roman" w:hAnsi="Times New Roman" w:eastAsia="仿宋" w:cs="Times New Roman"/>
          <w:sz w:val="32"/>
          <w:szCs w:val="32"/>
        </w:rPr>
        <w:t>严格按照政府采购程序要求，实施本单位各项设备的采购，及时向县财政局固定资产管理股备案申报，资产管理、内控控制管理都严格按照财经纪律执行，预决算及时在政府信息公开栏网站上进行了公开公示，绩效评价严格按照县财政制度管理要求执行，依法接受上级部门及本级财政部门的监督检查</w:t>
      </w:r>
      <w:r>
        <w:rPr>
          <w:rFonts w:hint="default" w:ascii="Times New Roman" w:hAnsi="Times New Roman" w:eastAsia="仿宋" w:cs="Times New Roman"/>
          <w:color w:val="000000"/>
          <w:kern w:val="0"/>
          <w:sz w:val="32"/>
          <w:szCs w:val="32"/>
          <w:shd w:val="clear" w:color="auto" w:fill="FFFFFF"/>
          <w:lang w:val="zh-CN"/>
        </w:rPr>
        <w:t>。</w:t>
      </w:r>
    </w:p>
    <w:p w14:paraId="75D089FA">
      <w:pPr>
        <w:widowControl/>
        <w:adjustRightInd w:val="0"/>
        <w:snapToGrid w:val="0"/>
        <w:spacing w:line="578" w:lineRule="exact"/>
        <w:ind w:firstLine="643" w:firstLineChars="200"/>
        <w:contextualSpacing/>
        <w:jc w:val="left"/>
        <w:rPr>
          <w:rFonts w:hint="default" w:ascii="楷体" w:hAnsi="楷体" w:eastAsia="楷体" w:cs="楷体"/>
          <w:b/>
          <w:bCs/>
          <w:color w:val="000000"/>
          <w:kern w:val="0"/>
          <w:sz w:val="32"/>
          <w:szCs w:val="32"/>
          <w:shd w:val="clear" w:color="auto" w:fill="FFFFFF"/>
          <w:lang w:val="zh-CN"/>
        </w:rPr>
      </w:pPr>
      <w:r>
        <w:rPr>
          <w:rFonts w:hint="default" w:ascii="楷体" w:hAnsi="楷体" w:eastAsia="楷体" w:cs="楷体"/>
          <w:b/>
          <w:bCs/>
          <w:color w:val="000000"/>
          <w:kern w:val="0"/>
          <w:sz w:val="32"/>
          <w:szCs w:val="32"/>
          <w:shd w:val="clear" w:color="auto" w:fill="FFFFFF"/>
          <w:lang w:val="zh-CN"/>
        </w:rPr>
        <w:t>（二）部门预算项目绩效分析</w:t>
      </w:r>
    </w:p>
    <w:p w14:paraId="1343F259">
      <w:pPr>
        <w:adjustRightInd w:val="0"/>
        <w:snapToGrid w:val="0"/>
        <w:spacing w:line="578" w:lineRule="exact"/>
        <w:ind w:firstLine="640" w:firstLineChars="200"/>
        <w:contextualSpacing/>
        <w:jc w:val="left"/>
        <w:rPr>
          <w:rFonts w:hint="eastAsia" w:ascii="楷体" w:hAnsi="楷体" w:eastAsia="楷体" w:cs="楷体"/>
          <w:color w:val="000000"/>
          <w:kern w:val="0"/>
          <w:sz w:val="32"/>
          <w:szCs w:val="32"/>
          <w:shd w:val="clear" w:color="auto" w:fill="FFFFFF"/>
        </w:rPr>
      </w:pPr>
      <w:r>
        <w:rPr>
          <w:rFonts w:hint="eastAsia" w:ascii="楷体" w:hAnsi="楷体" w:eastAsia="楷体" w:cs="楷体"/>
          <w:color w:val="000000"/>
          <w:kern w:val="0"/>
          <w:sz w:val="32"/>
          <w:szCs w:val="32"/>
          <w:shd w:val="clear" w:color="auto" w:fill="FFFFFF"/>
          <w:lang w:val="en-US" w:eastAsia="zh-CN"/>
        </w:rPr>
        <w:t>1.</w:t>
      </w:r>
      <w:r>
        <w:rPr>
          <w:rFonts w:hint="eastAsia" w:ascii="楷体" w:hAnsi="楷体" w:eastAsia="楷体" w:cs="楷体"/>
          <w:color w:val="000000"/>
          <w:kern w:val="0"/>
          <w:sz w:val="32"/>
          <w:szCs w:val="32"/>
          <w:shd w:val="clear" w:color="auto" w:fill="FFFFFF"/>
        </w:rPr>
        <w:t>常年项目绩效分析</w:t>
      </w:r>
    </w:p>
    <w:p w14:paraId="7953D078">
      <w:p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zh-CN"/>
        </w:rPr>
      </w:pPr>
      <w:r>
        <w:rPr>
          <w:rFonts w:hint="default" w:ascii="Times New Roman" w:hAnsi="Times New Roman" w:eastAsia="仿宋" w:cs="Times New Roman"/>
          <w:color w:val="000000"/>
          <w:kern w:val="0"/>
          <w:sz w:val="32"/>
          <w:szCs w:val="32"/>
          <w:shd w:val="clear" w:color="auto" w:fill="FFFFFF"/>
          <w:lang w:val="zh-CN"/>
        </w:rPr>
        <w:t>该类项目总数</w:t>
      </w:r>
      <w:r>
        <w:rPr>
          <w:rFonts w:hint="default" w:ascii="Times New Roman" w:hAnsi="Times New Roman" w:eastAsia="仿宋" w:cs="Times New Roman"/>
          <w:color w:val="000000"/>
          <w:kern w:val="0"/>
          <w:sz w:val="32"/>
          <w:szCs w:val="32"/>
          <w:shd w:val="clear" w:color="auto" w:fill="FFFFFF"/>
          <w:lang w:val="en-US" w:eastAsia="zh-CN"/>
        </w:rPr>
        <w:t>13</w:t>
      </w:r>
      <w:r>
        <w:rPr>
          <w:rFonts w:hint="default" w:ascii="Times New Roman" w:hAnsi="Times New Roman" w:eastAsia="仿宋" w:cs="Times New Roman"/>
          <w:color w:val="000000"/>
          <w:kern w:val="0"/>
          <w:sz w:val="32"/>
          <w:szCs w:val="32"/>
          <w:shd w:val="clear" w:color="auto" w:fill="FFFFFF"/>
          <w:lang w:val="zh-CN"/>
        </w:rPr>
        <w:t>个，涉及预算总金额</w:t>
      </w:r>
      <w:r>
        <w:rPr>
          <w:rFonts w:hint="default" w:ascii="Times New Roman" w:hAnsi="Times New Roman" w:eastAsia="仿宋" w:cs="Times New Roman"/>
          <w:color w:val="000000"/>
          <w:kern w:val="0"/>
          <w:sz w:val="32"/>
          <w:szCs w:val="32"/>
          <w:shd w:val="clear" w:color="auto" w:fill="FFFFFF"/>
          <w:lang w:val="en-US" w:eastAsia="zh-CN"/>
        </w:rPr>
        <w:t>393.62</w:t>
      </w:r>
      <w:r>
        <w:rPr>
          <w:rFonts w:hint="default" w:ascii="Times New Roman" w:hAnsi="Times New Roman" w:eastAsia="仿宋" w:cs="Times New Roman"/>
          <w:color w:val="000000"/>
          <w:kern w:val="0"/>
          <w:sz w:val="32"/>
          <w:szCs w:val="32"/>
          <w:shd w:val="clear" w:color="auto" w:fill="FFFFFF"/>
          <w:lang w:val="zh-CN"/>
        </w:rPr>
        <w:t>万元，1—1</w:t>
      </w:r>
      <w:r>
        <w:rPr>
          <w:rFonts w:hint="default" w:ascii="Times New Roman" w:hAnsi="Times New Roman" w:eastAsia="仿宋" w:cs="Times New Roman"/>
          <w:color w:val="000000"/>
          <w:kern w:val="0"/>
          <w:sz w:val="32"/>
          <w:szCs w:val="32"/>
          <w:shd w:val="clear" w:color="auto" w:fill="FFFFFF"/>
        </w:rPr>
        <w:t>2</w:t>
      </w:r>
      <w:r>
        <w:rPr>
          <w:rFonts w:hint="default" w:ascii="Times New Roman" w:hAnsi="Times New Roman" w:eastAsia="仿宋" w:cs="Times New Roman"/>
          <w:color w:val="000000"/>
          <w:kern w:val="0"/>
          <w:sz w:val="32"/>
          <w:szCs w:val="32"/>
          <w:shd w:val="clear" w:color="auto" w:fill="FFFFFF"/>
          <w:lang w:val="zh-CN"/>
        </w:rPr>
        <w:t>月预算执行总体进度为</w:t>
      </w:r>
      <w:r>
        <w:rPr>
          <w:rFonts w:hint="default" w:ascii="Times New Roman" w:hAnsi="Times New Roman" w:eastAsia="仿宋" w:cs="Times New Roman"/>
          <w:color w:val="000000"/>
          <w:kern w:val="0"/>
          <w:sz w:val="32"/>
          <w:szCs w:val="32"/>
          <w:shd w:val="clear" w:color="auto" w:fill="FFFFFF"/>
          <w:lang w:val="en-US" w:eastAsia="zh-CN"/>
        </w:rPr>
        <w:t>100</w:t>
      </w:r>
      <w:r>
        <w:rPr>
          <w:rFonts w:hint="default" w:ascii="Times New Roman" w:hAnsi="Times New Roman" w:eastAsia="仿宋" w:cs="Times New Roman"/>
          <w:color w:val="000000"/>
          <w:kern w:val="0"/>
          <w:sz w:val="32"/>
          <w:szCs w:val="32"/>
          <w:shd w:val="clear" w:color="auto" w:fill="FFFFFF"/>
          <w:lang w:val="zh-CN"/>
        </w:rPr>
        <w:t>%，其中：预算结余率大于</w:t>
      </w:r>
      <w:r>
        <w:rPr>
          <w:rFonts w:hint="default" w:ascii="Times New Roman" w:hAnsi="Times New Roman" w:eastAsia="仿宋" w:cs="Times New Roman"/>
          <w:color w:val="000000"/>
          <w:kern w:val="0"/>
          <w:sz w:val="32"/>
          <w:szCs w:val="32"/>
          <w:shd w:val="clear" w:color="auto" w:fill="FFFFFF"/>
        </w:rPr>
        <w:t>10%</w:t>
      </w:r>
      <w:r>
        <w:rPr>
          <w:rFonts w:hint="default" w:ascii="Times New Roman" w:hAnsi="Times New Roman" w:eastAsia="仿宋" w:cs="Times New Roman"/>
          <w:color w:val="000000"/>
          <w:kern w:val="0"/>
          <w:sz w:val="32"/>
          <w:szCs w:val="32"/>
          <w:shd w:val="clear" w:color="auto" w:fill="FFFFFF"/>
          <w:lang w:val="zh-CN"/>
        </w:rPr>
        <w:t>的项目共计</w:t>
      </w:r>
      <w:r>
        <w:rPr>
          <w:rFonts w:hint="default" w:ascii="Times New Roman" w:hAnsi="Times New Roman" w:eastAsia="仿宋" w:cs="Times New Roman"/>
          <w:color w:val="000000"/>
          <w:kern w:val="0"/>
          <w:sz w:val="32"/>
          <w:szCs w:val="32"/>
          <w:shd w:val="clear" w:color="auto" w:fill="FFFFFF"/>
          <w:lang w:val="en-US" w:eastAsia="zh-CN"/>
        </w:rPr>
        <w:t>0</w:t>
      </w:r>
      <w:r>
        <w:rPr>
          <w:rFonts w:hint="default" w:ascii="Times New Roman" w:hAnsi="Times New Roman" w:eastAsia="仿宋" w:cs="Times New Roman"/>
          <w:color w:val="000000"/>
          <w:kern w:val="0"/>
          <w:sz w:val="32"/>
          <w:szCs w:val="32"/>
          <w:shd w:val="clear" w:color="auto" w:fill="FFFFFF"/>
          <w:lang w:val="zh-CN"/>
        </w:rPr>
        <w:t>个。</w:t>
      </w:r>
    </w:p>
    <w:p w14:paraId="2E100A75">
      <w:pPr>
        <w:numPr>
          <w:ilvl w:val="0"/>
          <w:numId w:val="0"/>
        </w:numPr>
        <w:adjustRightInd w:val="0"/>
        <w:snapToGrid w:val="0"/>
        <w:spacing w:line="578" w:lineRule="exact"/>
        <w:ind w:left="672" w:leftChars="0"/>
        <w:contextualSpacing/>
        <w:jc w:val="left"/>
        <w:rPr>
          <w:rFonts w:hint="default" w:ascii="楷体" w:hAnsi="楷体" w:eastAsia="楷体" w:cs="楷体"/>
          <w:color w:val="000000"/>
          <w:kern w:val="0"/>
          <w:sz w:val="32"/>
          <w:szCs w:val="32"/>
          <w:shd w:val="clear" w:color="auto" w:fill="FFFFFF"/>
          <w:lang w:val="en-US" w:eastAsia="zh-CN"/>
        </w:rPr>
      </w:pPr>
      <w:r>
        <w:rPr>
          <w:rFonts w:hint="eastAsia" w:ascii="楷体" w:hAnsi="楷体" w:eastAsia="楷体" w:cs="楷体"/>
          <w:color w:val="000000"/>
          <w:kern w:val="0"/>
          <w:sz w:val="32"/>
          <w:szCs w:val="32"/>
          <w:shd w:val="clear" w:color="auto" w:fill="FFFFFF"/>
          <w:lang w:val="en-US" w:eastAsia="zh-CN"/>
        </w:rPr>
        <w:t>2.</w:t>
      </w:r>
      <w:r>
        <w:rPr>
          <w:rFonts w:hint="default" w:ascii="楷体" w:hAnsi="楷体" w:eastAsia="楷体" w:cs="楷体"/>
          <w:color w:val="000000"/>
          <w:kern w:val="0"/>
          <w:sz w:val="32"/>
          <w:szCs w:val="32"/>
          <w:shd w:val="clear" w:color="auto" w:fill="FFFFFF"/>
          <w:lang w:val="en-US" w:eastAsia="zh-CN"/>
        </w:rPr>
        <w:t>阶段（一次性）项目绩效分析</w:t>
      </w:r>
    </w:p>
    <w:p w14:paraId="45355FB1">
      <w:pPr>
        <w:numPr>
          <w:ilvl w:val="0"/>
          <w:numId w:val="0"/>
        </w:num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zh-CN"/>
        </w:rPr>
      </w:pPr>
      <w:r>
        <w:rPr>
          <w:rFonts w:hint="default" w:ascii="Times New Roman" w:hAnsi="Times New Roman" w:eastAsia="仿宋" w:cs="Times New Roman"/>
          <w:color w:val="000000"/>
          <w:kern w:val="0"/>
          <w:sz w:val="32"/>
          <w:szCs w:val="32"/>
          <w:shd w:val="clear" w:color="auto" w:fill="FFFFFF"/>
          <w:lang w:val="zh-CN"/>
        </w:rPr>
        <w:t>该类项目总数</w:t>
      </w:r>
      <w:r>
        <w:rPr>
          <w:rFonts w:hint="default" w:ascii="Times New Roman" w:hAnsi="Times New Roman" w:eastAsia="仿宋" w:cs="Times New Roman"/>
          <w:color w:val="000000"/>
          <w:kern w:val="0"/>
          <w:sz w:val="32"/>
          <w:szCs w:val="32"/>
          <w:shd w:val="clear" w:color="auto" w:fill="FFFFFF"/>
          <w:lang w:val="en-US" w:eastAsia="zh-CN"/>
        </w:rPr>
        <w:t>11</w:t>
      </w:r>
      <w:r>
        <w:rPr>
          <w:rFonts w:hint="default" w:ascii="Times New Roman" w:hAnsi="Times New Roman" w:eastAsia="仿宋" w:cs="Times New Roman"/>
          <w:color w:val="000000"/>
          <w:kern w:val="0"/>
          <w:sz w:val="32"/>
          <w:szCs w:val="32"/>
          <w:shd w:val="clear" w:color="auto" w:fill="FFFFFF"/>
          <w:lang w:val="zh-CN"/>
        </w:rPr>
        <w:t>个，涉及预算总金额</w:t>
      </w:r>
      <w:r>
        <w:rPr>
          <w:rFonts w:hint="default" w:ascii="Times New Roman" w:hAnsi="Times New Roman" w:eastAsia="仿宋" w:cs="Times New Roman"/>
          <w:color w:val="000000"/>
          <w:kern w:val="0"/>
          <w:sz w:val="32"/>
          <w:szCs w:val="32"/>
          <w:shd w:val="clear" w:color="auto" w:fill="FFFFFF"/>
          <w:lang w:val="en-US" w:eastAsia="zh-CN"/>
        </w:rPr>
        <w:t>578.72</w:t>
      </w:r>
      <w:r>
        <w:rPr>
          <w:rFonts w:hint="default" w:ascii="Times New Roman" w:hAnsi="Times New Roman" w:eastAsia="仿宋" w:cs="Times New Roman"/>
          <w:color w:val="000000"/>
          <w:kern w:val="0"/>
          <w:sz w:val="32"/>
          <w:szCs w:val="32"/>
          <w:shd w:val="clear" w:color="auto" w:fill="FFFFFF"/>
          <w:lang w:val="zh-CN"/>
        </w:rPr>
        <w:t>万元，1—1</w:t>
      </w:r>
      <w:r>
        <w:rPr>
          <w:rFonts w:hint="default" w:ascii="Times New Roman" w:hAnsi="Times New Roman" w:eastAsia="仿宋" w:cs="Times New Roman"/>
          <w:color w:val="000000"/>
          <w:kern w:val="0"/>
          <w:sz w:val="32"/>
          <w:szCs w:val="32"/>
          <w:shd w:val="clear" w:color="auto" w:fill="FFFFFF"/>
        </w:rPr>
        <w:t>2</w:t>
      </w:r>
      <w:r>
        <w:rPr>
          <w:rFonts w:hint="default" w:ascii="Times New Roman" w:hAnsi="Times New Roman" w:eastAsia="仿宋" w:cs="Times New Roman"/>
          <w:color w:val="000000"/>
          <w:kern w:val="0"/>
          <w:sz w:val="32"/>
          <w:szCs w:val="32"/>
          <w:shd w:val="clear" w:color="auto" w:fill="FFFFFF"/>
          <w:lang w:val="zh-CN"/>
        </w:rPr>
        <w:t>月预算执行总体进度为</w:t>
      </w:r>
      <w:r>
        <w:rPr>
          <w:rFonts w:hint="default" w:ascii="Times New Roman" w:hAnsi="Times New Roman" w:eastAsia="仿宋" w:cs="Times New Roman"/>
          <w:color w:val="000000"/>
          <w:kern w:val="0"/>
          <w:sz w:val="32"/>
          <w:szCs w:val="32"/>
          <w:shd w:val="clear" w:color="auto" w:fill="FFFFFF"/>
          <w:lang w:val="en-US" w:eastAsia="zh-CN"/>
        </w:rPr>
        <w:t>100</w:t>
      </w:r>
      <w:r>
        <w:rPr>
          <w:rFonts w:hint="default" w:ascii="Times New Roman" w:hAnsi="Times New Roman" w:eastAsia="仿宋" w:cs="Times New Roman"/>
          <w:color w:val="000000"/>
          <w:kern w:val="0"/>
          <w:sz w:val="32"/>
          <w:szCs w:val="32"/>
          <w:shd w:val="clear" w:color="auto" w:fill="FFFFFF"/>
          <w:lang w:val="zh-CN"/>
        </w:rPr>
        <w:t>%，其中：预算结余率大于</w:t>
      </w:r>
      <w:r>
        <w:rPr>
          <w:rFonts w:hint="default" w:ascii="Times New Roman" w:hAnsi="Times New Roman" w:eastAsia="仿宋" w:cs="Times New Roman"/>
          <w:color w:val="000000"/>
          <w:kern w:val="0"/>
          <w:sz w:val="32"/>
          <w:szCs w:val="32"/>
          <w:shd w:val="clear" w:color="auto" w:fill="FFFFFF"/>
        </w:rPr>
        <w:t>10%</w:t>
      </w:r>
      <w:r>
        <w:rPr>
          <w:rFonts w:hint="default" w:ascii="Times New Roman" w:hAnsi="Times New Roman" w:eastAsia="仿宋" w:cs="Times New Roman"/>
          <w:color w:val="000000"/>
          <w:kern w:val="0"/>
          <w:sz w:val="32"/>
          <w:szCs w:val="32"/>
          <w:shd w:val="clear" w:color="auto" w:fill="FFFFFF"/>
          <w:lang w:val="zh-CN"/>
        </w:rPr>
        <w:t>的项目共计</w:t>
      </w:r>
      <w:r>
        <w:rPr>
          <w:rFonts w:hint="default" w:ascii="Times New Roman" w:hAnsi="Times New Roman" w:eastAsia="仿宋" w:cs="Times New Roman"/>
          <w:color w:val="000000"/>
          <w:kern w:val="0"/>
          <w:sz w:val="32"/>
          <w:szCs w:val="32"/>
          <w:shd w:val="clear" w:color="auto" w:fill="FFFFFF"/>
          <w:lang w:val="en-US" w:eastAsia="zh-CN"/>
        </w:rPr>
        <w:t>0</w:t>
      </w:r>
      <w:r>
        <w:rPr>
          <w:rFonts w:hint="default" w:ascii="Times New Roman" w:hAnsi="Times New Roman" w:eastAsia="仿宋" w:cs="Times New Roman"/>
          <w:color w:val="000000"/>
          <w:kern w:val="0"/>
          <w:sz w:val="32"/>
          <w:szCs w:val="32"/>
          <w:shd w:val="clear" w:color="auto" w:fill="FFFFFF"/>
          <w:lang w:val="zh-CN"/>
        </w:rPr>
        <w:t>个。</w:t>
      </w:r>
    </w:p>
    <w:p w14:paraId="432C7CFC">
      <w:pPr>
        <w:numPr>
          <w:ilvl w:val="0"/>
          <w:numId w:val="3"/>
        </w:num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zh-CN"/>
        </w:rPr>
      </w:pPr>
      <w:r>
        <w:rPr>
          <w:rFonts w:hint="default" w:ascii="Times New Roman" w:hAnsi="Times New Roman" w:eastAsia="仿宋" w:cs="Times New Roman"/>
          <w:color w:val="000000"/>
          <w:kern w:val="0"/>
          <w:sz w:val="32"/>
          <w:szCs w:val="32"/>
          <w:shd w:val="clear" w:color="auto" w:fill="FFFFFF"/>
          <w:lang w:val="zh-CN"/>
        </w:rPr>
        <w:t>项目决策</w:t>
      </w:r>
    </w:p>
    <w:p w14:paraId="56F7CE6F">
      <w:pPr>
        <w:numPr>
          <w:ilvl w:val="0"/>
          <w:numId w:val="0"/>
        </w:num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en-US" w:eastAsia="zh-CN"/>
        </w:rPr>
      </w:pPr>
      <w:r>
        <w:rPr>
          <w:rFonts w:hint="default" w:ascii="Times New Roman" w:hAnsi="Times New Roman" w:eastAsia="仿宋" w:cs="Times New Roman"/>
          <w:color w:val="000000"/>
          <w:kern w:val="0"/>
          <w:sz w:val="32"/>
          <w:szCs w:val="32"/>
          <w:shd w:val="clear" w:color="auto" w:fill="FFFFFF"/>
          <w:lang w:val="en-US" w:eastAsia="zh-CN"/>
        </w:rPr>
        <w:t>我镇项目均根据现实基本情况进行申请实施，均为保障性项目，主要目标为保障人员基本运行、日常办公运转以及村组织日常运行，基础设施提升维护，各项目均建立项目库，并进行事前绩效评价。</w:t>
      </w:r>
    </w:p>
    <w:p w14:paraId="1FEE3CE7">
      <w:pPr>
        <w:numPr>
          <w:ilvl w:val="0"/>
          <w:numId w:val="3"/>
        </w:numPr>
        <w:adjustRightInd w:val="0"/>
        <w:snapToGrid w:val="0"/>
        <w:spacing w:line="578" w:lineRule="exact"/>
        <w:ind w:left="0" w:leftChars="0" w:firstLine="640" w:firstLineChars="200"/>
        <w:contextualSpacing/>
        <w:jc w:val="left"/>
        <w:rPr>
          <w:rFonts w:hint="default" w:ascii="Times New Roman" w:hAnsi="Times New Roman" w:eastAsia="仿宋" w:cs="Times New Roman"/>
          <w:color w:val="000000"/>
          <w:kern w:val="0"/>
          <w:sz w:val="32"/>
          <w:szCs w:val="32"/>
          <w:shd w:val="clear" w:color="auto" w:fill="FFFFFF"/>
        </w:rPr>
      </w:pPr>
      <w:r>
        <w:rPr>
          <w:rFonts w:hint="default" w:ascii="Times New Roman" w:hAnsi="Times New Roman" w:eastAsia="仿宋" w:cs="Times New Roman"/>
          <w:color w:val="000000"/>
          <w:kern w:val="0"/>
          <w:sz w:val="32"/>
          <w:szCs w:val="32"/>
          <w:shd w:val="clear" w:color="auto" w:fill="FFFFFF"/>
        </w:rPr>
        <w:t>项目执行</w:t>
      </w:r>
    </w:p>
    <w:p w14:paraId="275762CF">
      <w:pPr>
        <w:numPr>
          <w:ilvl w:val="0"/>
          <w:numId w:val="0"/>
        </w:num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en-US" w:eastAsia="zh-CN"/>
        </w:rPr>
      </w:pPr>
      <w:r>
        <w:rPr>
          <w:rFonts w:hint="eastAsia" w:ascii="Times New Roman" w:hAnsi="Times New Roman" w:eastAsia="仿宋" w:cs="Times New Roman"/>
          <w:color w:val="000000"/>
          <w:kern w:val="0"/>
          <w:sz w:val="32"/>
          <w:szCs w:val="32"/>
          <w:shd w:val="clear" w:color="auto" w:fill="FFFFFF"/>
          <w:lang w:val="zh-CN" w:eastAsia="zh-CN"/>
        </w:rPr>
        <w:t>茂县土门镇村干部工资，</w:t>
      </w:r>
      <w:r>
        <w:rPr>
          <w:rFonts w:hint="default" w:ascii="Times New Roman" w:hAnsi="Times New Roman" w:eastAsia="仿宋" w:cs="Times New Roman"/>
          <w:color w:val="000000"/>
          <w:kern w:val="0"/>
          <w:sz w:val="32"/>
          <w:szCs w:val="32"/>
          <w:shd w:val="clear" w:color="auto" w:fill="FFFFFF"/>
          <w:lang w:val="en-US" w:eastAsia="zh-CN"/>
        </w:rPr>
        <w:t>预算数</w:t>
      </w:r>
      <w:r>
        <w:rPr>
          <w:rFonts w:hint="eastAsia" w:ascii="Times New Roman" w:hAnsi="Times New Roman" w:eastAsia="仿宋" w:cs="Times New Roman"/>
          <w:color w:val="000000"/>
          <w:kern w:val="0"/>
          <w:sz w:val="32"/>
          <w:szCs w:val="32"/>
          <w:shd w:val="clear" w:color="auto" w:fill="FFFFFF"/>
          <w:lang w:val="en-US" w:eastAsia="zh-CN"/>
        </w:rPr>
        <w:t>213.6</w:t>
      </w:r>
      <w:r>
        <w:rPr>
          <w:rFonts w:hint="default" w:ascii="Times New Roman" w:hAnsi="Times New Roman" w:eastAsia="仿宋" w:cs="Times New Roman"/>
          <w:color w:val="000000"/>
          <w:kern w:val="0"/>
          <w:sz w:val="32"/>
          <w:szCs w:val="32"/>
          <w:shd w:val="clear" w:color="auto" w:fill="FFFFFF"/>
          <w:lang w:val="en-US" w:eastAsia="zh-CN"/>
        </w:rPr>
        <w:t>万元，支付数</w:t>
      </w:r>
      <w:r>
        <w:rPr>
          <w:rFonts w:hint="eastAsia" w:ascii="Times New Roman" w:hAnsi="Times New Roman" w:eastAsia="仿宋" w:cs="Times New Roman"/>
          <w:color w:val="000000"/>
          <w:kern w:val="0"/>
          <w:sz w:val="32"/>
          <w:szCs w:val="32"/>
          <w:shd w:val="clear" w:color="auto" w:fill="FFFFFF"/>
          <w:lang w:val="en-US" w:eastAsia="zh-CN"/>
        </w:rPr>
        <w:t>213.6</w:t>
      </w:r>
      <w:r>
        <w:rPr>
          <w:rFonts w:hint="default" w:ascii="Times New Roman" w:hAnsi="Times New Roman" w:eastAsia="仿宋" w:cs="Times New Roman"/>
          <w:color w:val="000000"/>
          <w:kern w:val="0"/>
          <w:sz w:val="32"/>
          <w:szCs w:val="32"/>
          <w:shd w:val="clear" w:color="auto" w:fill="FFFFFF"/>
          <w:lang w:val="en-US" w:eastAsia="zh-CN"/>
        </w:rPr>
        <w:t>万元，执行进度100%。</w:t>
      </w:r>
    </w:p>
    <w:p w14:paraId="5C81EFA0">
      <w:pPr>
        <w:numPr>
          <w:ilvl w:val="0"/>
          <w:numId w:val="0"/>
        </w:numPr>
        <w:adjustRightInd w:val="0"/>
        <w:snapToGrid w:val="0"/>
        <w:spacing w:line="578" w:lineRule="exact"/>
        <w:ind w:firstLine="640" w:firstLineChars="200"/>
        <w:contextualSpacing/>
        <w:jc w:val="left"/>
        <w:rPr>
          <w:rFonts w:hint="eastAsia" w:ascii="Times New Roman" w:hAnsi="Times New Roman" w:eastAsia="仿宋" w:cs="Times New Roman"/>
          <w:color w:val="000000"/>
          <w:kern w:val="0"/>
          <w:sz w:val="32"/>
          <w:szCs w:val="32"/>
          <w:shd w:val="clear" w:color="auto" w:fill="FFFFFF"/>
          <w:lang w:val="en-US" w:eastAsia="zh-CN"/>
        </w:rPr>
      </w:pPr>
      <w:r>
        <w:rPr>
          <w:rFonts w:hint="eastAsia" w:ascii="Times New Roman" w:hAnsi="Times New Roman" w:eastAsia="仿宋" w:cs="Times New Roman"/>
          <w:color w:val="000000"/>
          <w:kern w:val="0"/>
          <w:sz w:val="32"/>
          <w:szCs w:val="32"/>
          <w:shd w:val="clear" w:color="auto" w:fill="FFFFFF"/>
          <w:lang w:val="zh-CN" w:eastAsia="zh-CN"/>
        </w:rPr>
        <w:t>茂县土门镇</w:t>
      </w:r>
      <w:r>
        <w:rPr>
          <w:rFonts w:hint="default" w:ascii="Times New Roman" w:hAnsi="Times New Roman" w:eastAsia="仿宋" w:cs="Times New Roman"/>
          <w:color w:val="000000"/>
          <w:kern w:val="0"/>
          <w:sz w:val="32"/>
          <w:szCs w:val="32"/>
          <w:shd w:val="clear" w:color="auto" w:fill="FFFFFF"/>
          <w:lang w:val="zh-CN" w:eastAsia="zh-CN"/>
        </w:rPr>
        <w:t>包虫病综合治理防治（石渠模式）</w:t>
      </w:r>
      <w:r>
        <w:rPr>
          <w:rFonts w:hint="eastAsia" w:ascii="Times New Roman" w:hAnsi="Times New Roman" w:eastAsia="仿宋" w:cs="Times New Roman"/>
          <w:color w:val="000000"/>
          <w:kern w:val="0"/>
          <w:sz w:val="32"/>
          <w:szCs w:val="32"/>
          <w:shd w:val="clear" w:color="auto" w:fill="FFFFFF"/>
          <w:lang w:val="zh-CN" w:eastAsia="zh-CN"/>
        </w:rPr>
        <w:t>项目，预算数</w:t>
      </w:r>
      <w:r>
        <w:rPr>
          <w:rFonts w:hint="eastAsia" w:ascii="Times New Roman" w:hAnsi="Times New Roman" w:eastAsia="仿宋" w:cs="Times New Roman"/>
          <w:color w:val="000000"/>
          <w:kern w:val="0"/>
          <w:sz w:val="32"/>
          <w:szCs w:val="32"/>
          <w:shd w:val="clear" w:color="auto" w:fill="FFFFFF"/>
          <w:lang w:val="en-US" w:eastAsia="zh-CN"/>
        </w:rPr>
        <w:t>1.5万元，支付数1.5万元，执行进度100%。</w:t>
      </w:r>
    </w:p>
    <w:p w14:paraId="22579B76">
      <w:pPr>
        <w:numPr>
          <w:ilvl w:val="0"/>
          <w:numId w:val="0"/>
        </w:num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en-US" w:eastAsia="zh-CN"/>
        </w:rPr>
      </w:pPr>
      <w:r>
        <w:rPr>
          <w:rFonts w:hint="eastAsia" w:ascii="Times New Roman" w:hAnsi="Times New Roman" w:eastAsia="仿宋" w:cs="Times New Roman"/>
          <w:color w:val="000000"/>
          <w:kern w:val="0"/>
          <w:sz w:val="32"/>
          <w:szCs w:val="32"/>
          <w:shd w:val="clear" w:color="auto" w:fill="FFFFFF"/>
          <w:lang w:val="en-US" w:eastAsia="zh-CN"/>
        </w:rPr>
        <w:t>茂县农村公路县级配套养护资金，预算数11.62万元，支付数11.62万元，执行进度100%。</w:t>
      </w:r>
    </w:p>
    <w:p w14:paraId="7318269C">
      <w:pPr>
        <w:numPr>
          <w:ilvl w:val="0"/>
          <w:numId w:val="3"/>
        </w:numPr>
        <w:adjustRightInd w:val="0"/>
        <w:snapToGrid w:val="0"/>
        <w:spacing w:line="578" w:lineRule="exact"/>
        <w:ind w:left="0" w:leftChars="0" w:firstLine="640" w:firstLineChars="200"/>
        <w:contextualSpacing/>
        <w:jc w:val="left"/>
        <w:rPr>
          <w:rFonts w:hint="default" w:ascii="Times New Roman" w:hAnsi="Times New Roman" w:eastAsia="仿宋" w:cs="Times New Roman"/>
          <w:color w:val="000000"/>
          <w:kern w:val="0"/>
          <w:sz w:val="32"/>
          <w:szCs w:val="32"/>
          <w:shd w:val="clear" w:color="auto" w:fill="FFFFFF"/>
          <w:lang w:val="zh-CN"/>
        </w:rPr>
      </w:pPr>
      <w:r>
        <w:rPr>
          <w:rFonts w:hint="default" w:ascii="Times New Roman" w:hAnsi="Times New Roman" w:eastAsia="仿宋" w:cs="Times New Roman"/>
          <w:color w:val="000000"/>
          <w:kern w:val="0"/>
          <w:sz w:val="32"/>
          <w:szCs w:val="32"/>
          <w:shd w:val="clear" w:color="auto" w:fill="FFFFFF"/>
          <w:lang w:val="zh-CN"/>
        </w:rPr>
        <w:t>目标实现</w:t>
      </w:r>
    </w:p>
    <w:p w14:paraId="664A4D98">
      <w:pPr>
        <w:numPr>
          <w:ilvl w:val="0"/>
          <w:numId w:val="0"/>
        </w:numPr>
        <w:adjustRightInd w:val="0"/>
        <w:snapToGrid w:val="0"/>
        <w:spacing w:line="578" w:lineRule="exact"/>
        <w:ind w:firstLine="640" w:firstLineChars="200"/>
        <w:contextualSpacing/>
        <w:jc w:val="left"/>
        <w:rPr>
          <w:rFonts w:hint="default" w:ascii="Times New Roman" w:hAnsi="Times New Roman" w:eastAsia="仿宋" w:cs="Times New Roman"/>
          <w:color w:val="000000"/>
          <w:kern w:val="0"/>
          <w:sz w:val="32"/>
          <w:szCs w:val="32"/>
          <w:shd w:val="clear" w:color="auto" w:fill="FFFFFF"/>
          <w:lang w:val="en-US" w:eastAsia="zh-CN"/>
        </w:rPr>
      </w:pPr>
      <w:r>
        <w:rPr>
          <w:rFonts w:hint="default" w:ascii="Times New Roman" w:hAnsi="Times New Roman" w:eastAsia="仿宋" w:cs="Times New Roman"/>
          <w:color w:val="000000"/>
          <w:kern w:val="0"/>
          <w:sz w:val="32"/>
          <w:szCs w:val="32"/>
          <w:shd w:val="clear" w:color="auto" w:fill="FFFFFF"/>
          <w:lang w:val="en-US" w:eastAsia="zh-CN"/>
        </w:rPr>
        <w:t>通过以上项目的实施，保障了人员工资以及日常办</w:t>
      </w:r>
      <w:r>
        <w:rPr>
          <w:rFonts w:hint="eastAsia" w:eastAsia="仿宋" w:cs="Times New Roman"/>
          <w:color w:val="000000"/>
          <w:kern w:val="0"/>
          <w:sz w:val="32"/>
          <w:szCs w:val="32"/>
          <w:shd w:val="clear" w:color="auto" w:fill="FFFFFF"/>
          <w:lang w:val="en-US" w:eastAsia="zh-CN"/>
        </w:rPr>
        <w:t>公</w:t>
      </w:r>
      <w:r>
        <w:rPr>
          <w:rFonts w:hint="default" w:ascii="Times New Roman" w:hAnsi="Times New Roman" w:eastAsia="仿宋" w:cs="Times New Roman"/>
          <w:color w:val="000000"/>
          <w:kern w:val="0"/>
          <w:sz w:val="32"/>
          <w:szCs w:val="32"/>
          <w:shd w:val="clear" w:color="auto" w:fill="FFFFFF"/>
          <w:lang w:val="en-US" w:eastAsia="zh-CN"/>
        </w:rPr>
        <w:t>运转的正常运行，提升了基础设施、保障了村民的日常出行及生产生活，极大地提高了老百姓的满意度。</w:t>
      </w:r>
      <w:bookmarkStart w:id="92" w:name="_GoBack"/>
      <w:bookmarkEnd w:id="92"/>
    </w:p>
    <w:p w14:paraId="6EEBB30D">
      <w:pPr>
        <w:snapToGrid w:val="0"/>
        <w:spacing w:line="600" w:lineRule="exact"/>
        <w:ind w:firstLine="643" w:firstLineChars="200"/>
        <w:rPr>
          <w:rFonts w:hint="default" w:ascii="楷体" w:hAnsi="楷体" w:eastAsia="楷体" w:cs="楷体"/>
          <w:b/>
          <w:bCs/>
          <w:color w:val="000000"/>
          <w:kern w:val="0"/>
          <w:sz w:val="32"/>
          <w:szCs w:val="32"/>
          <w:shd w:val="clear" w:color="auto" w:fill="FFFFFF"/>
          <w:lang w:val="zh-CN"/>
        </w:rPr>
      </w:pPr>
      <w:r>
        <w:rPr>
          <w:rFonts w:hint="default" w:ascii="楷体" w:hAnsi="楷体" w:eastAsia="楷体" w:cs="楷体"/>
          <w:b/>
          <w:bCs/>
          <w:color w:val="000000"/>
          <w:kern w:val="0"/>
          <w:sz w:val="32"/>
          <w:szCs w:val="32"/>
          <w:shd w:val="clear" w:color="auto" w:fill="FFFFFF"/>
          <w:lang w:val="zh-CN"/>
        </w:rPr>
        <w:t>（三）绩效结果应用情况</w:t>
      </w:r>
    </w:p>
    <w:p w14:paraId="4D302984">
      <w:pPr>
        <w:snapToGrid w:val="0"/>
        <w:spacing w:line="600" w:lineRule="exact"/>
        <w:ind w:firstLine="640" w:firstLineChars="200"/>
        <w:rPr>
          <w:rFonts w:hint="eastAsia" w:ascii="黑体" w:hAnsi="黑体" w:eastAsia="黑体" w:cs="黑体"/>
          <w:color w:val="000000"/>
          <w:kern w:val="0"/>
          <w:sz w:val="32"/>
          <w:szCs w:val="32"/>
          <w:shd w:val="clear" w:color="auto" w:fill="FFFFFF"/>
        </w:rPr>
      </w:pPr>
      <w:r>
        <w:rPr>
          <w:rFonts w:hint="default" w:ascii="Times New Roman" w:hAnsi="Times New Roman" w:eastAsia="仿宋" w:cs="Times New Roman"/>
          <w:color w:val="000000"/>
          <w:kern w:val="0"/>
          <w:sz w:val="32"/>
          <w:szCs w:val="32"/>
          <w:highlight w:val="none"/>
          <w:shd w:val="clear" w:color="auto" w:fill="FFFFFF"/>
          <w:lang w:val="zh-CN"/>
        </w:rPr>
        <w:t>我镇信息按照相关要求及时公开，根据年度人大监督、巡视巡察、审计监督、财会监督等结果以及评价指标体系涉及的履职效果、预算管理、财务管理、资产管理、采购管理、项目绩效等方面出现的问题及时整改，整改结果及时反馈给相关单位</w:t>
      </w:r>
      <w:r>
        <w:rPr>
          <w:rFonts w:hint="eastAsia" w:eastAsia="仿宋" w:cs="Times New Roman"/>
          <w:color w:val="000000"/>
          <w:kern w:val="0"/>
          <w:sz w:val="32"/>
          <w:szCs w:val="32"/>
          <w:highlight w:val="none"/>
          <w:shd w:val="clear" w:color="auto" w:fill="FFFFFF"/>
          <w:lang w:val="zh-CN"/>
        </w:rPr>
        <w:t>。</w:t>
      </w:r>
    </w:p>
    <w:p w14:paraId="0B280F8A">
      <w:pPr>
        <w:widowControl/>
        <w:adjustRightInd w:val="0"/>
        <w:snapToGrid w:val="0"/>
        <w:spacing w:line="578" w:lineRule="exact"/>
        <w:ind w:firstLine="640" w:firstLineChars="200"/>
        <w:contextualSpacing/>
        <w:jc w:val="left"/>
        <w:rPr>
          <w:rFonts w:hint="eastAsia" w:ascii="黑体" w:hAnsi="黑体" w:eastAsia="黑体" w:cs="黑体"/>
          <w:color w:val="000000"/>
          <w:kern w:val="0"/>
          <w:sz w:val="32"/>
          <w:szCs w:val="32"/>
          <w:shd w:val="clear" w:color="auto" w:fill="FFFFFF"/>
        </w:rPr>
      </w:pPr>
      <w:r>
        <w:rPr>
          <w:rFonts w:hint="eastAsia" w:ascii="黑体" w:hAnsi="黑体" w:eastAsia="黑体" w:cs="黑体"/>
          <w:color w:val="000000"/>
          <w:kern w:val="0"/>
          <w:sz w:val="32"/>
          <w:szCs w:val="32"/>
          <w:shd w:val="clear" w:color="auto" w:fill="FFFFFF"/>
        </w:rPr>
        <w:t>四、评价结论及建议</w:t>
      </w:r>
    </w:p>
    <w:p w14:paraId="22D60AC7">
      <w:pPr>
        <w:widowControl/>
        <w:adjustRightInd w:val="0"/>
        <w:snapToGrid w:val="0"/>
        <w:spacing w:line="578" w:lineRule="exact"/>
        <w:ind w:firstLine="643" w:firstLineChars="200"/>
        <w:contextualSpacing/>
        <w:jc w:val="left"/>
        <w:rPr>
          <w:rFonts w:hint="default" w:ascii="楷体" w:hAnsi="楷体" w:eastAsia="楷体" w:cs="楷体"/>
          <w:b/>
          <w:bCs/>
          <w:color w:val="000000"/>
          <w:kern w:val="0"/>
          <w:sz w:val="32"/>
          <w:szCs w:val="32"/>
          <w:shd w:val="clear" w:color="auto" w:fill="FFFFFF"/>
          <w:lang w:val="zh-CN"/>
        </w:rPr>
      </w:pPr>
      <w:r>
        <w:rPr>
          <w:rFonts w:hint="default" w:ascii="楷体" w:hAnsi="楷体" w:eastAsia="楷体" w:cs="楷体"/>
          <w:b/>
          <w:bCs/>
          <w:color w:val="000000"/>
          <w:kern w:val="0"/>
          <w:sz w:val="32"/>
          <w:szCs w:val="32"/>
          <w:shd w:val="clear" w:color="auto" w:fill="FFFFFF"/>
          <w:lang w:val="zh-CN"/>
        </w:rPr>
        <w:t>（一）评价结论</w:t>
      </w:r>
    </w:p>
    <w:p w14:paraId="4EACBF57">
      <w:pPr>
        <w:widowControl/>
        <w:adjustRightInd w:val="0"/>
        <w:snapToGrid w:val="0"/>
        <w:spacing w:line="578" w:lineRule="exact"/>
        <w:ind w:firstLine="640" w:firstLineChars="200"/>
        <w:contextualSpacing/>
        <w:jc w:val="left"/>
        <w:rPr>
          <w:rFonts w:hint="default" w:ascii="Times New Roman" w:hAnsi="Times New Roman" w:eastAsia="仿宋" w:cs="Times New Roman"/>
          <w:b/>
          <w:bCs/>
          <w:color w:val="000000"/>
          <w:kern w:val="0"/>
          <w:sz w:val="32"/>
          <w:szCs w:val="32"/>
          <w:shd w:val="clear" w:color="auto" w:fill="FFFFFF"/>
        </w:rPr>
      </w:pPr>
      <w:r>
        <w:rPr>
          <w:rFonts w:hint="default" w:ascii="Times New Roman" w:hAnsi="Times New Roman" w:eastAsia="仿宋" w:cs="Times New Roman"/>
          <w:color w:val="000000"/>
          <w:kern w:val="0"/>
          <w:sz w:val="32"/>
          <w:szCs w:val="32"/>
          <w:highlight w:val="none"/>
        </w:rPr>
        <w:t>我镇按照预算法按时完成预决算编制。在执行过程中有计划进行资金申报使用，完善资金管理及内部控制制度，确保资金安全，做到账款、账账、账实相符。为全镇经济和社会事业发展提供资金保障</w:t>
      </w:r>
      <w:r>
        <w:rPr>
          <w:rFonts w:hint="default" w:ascii="Times New Roman" w:hAnsi="Times New Roman" w:eastAsia="仿宋" w:cs="Times New Roman"/>
          <w:color w:val="000000"/>
          <w:kern w:val="0"/>
          <w:sz w:val="32"/>
          <w:szCs w:val="32"/>
          <w:highlight w:val="none"/>
          <w:lang w:eastAsia="zh-CN"/>
        </w:rPr>
        <w:t>，总体</w:t>
      </w:r>
      <w:r>
        <w:rPr>
          <w:rFonts w:hint="eastAsia" w:eastAsia="仿宋" w:cs="Times New Roman"/>
          <w:color w:val="000000"/>
          <w:kern w:val="0"/>
          <w:sz w:val="32"/>
          <w:szCs w:val="32"/>
          <w:highlight w:val="none"/>
          <w:lang w:val="en-US" w:eastAsia="zh-CN"/>
        </w:rPr>
        <w:t>得</w:t>
      </w:r>
      <w:r>
        <w:rPr>
          <w:rFonts w:hint="default" w:ascii="Times New Roman" w:hAnsi="Times New Roman" w:eastAsia="仿宋" w:cs="Times New Roman"/>
          <w:color w:val="000000"/>
          <w:kern w:val="0"/>
          <w:sz w:val="32"/>
          <w:szCs w:val="32"/>
          <w:highlight w:val="none"/>
          <w:lang w:eastAsia="zh-CN"/>
        </w:rPr>
        <w:t>分</w:t>
      </w:r>
      <w:r>
        <w:rPr>
          <w:rFonts w:hint="default" w:ascii="Times New Roman" w:hAnsi="Times New Roman" w:eastAsia="仿宋" w:cs="Times New Roman"/>
          <w:color w:val="000000"/>
          <w:kern w:val="0"/>
          <w:sz w:val="32"/>
          <w:szCs w:val="32"/>
          <w:highlight w:val="none"/>
          <w:lang w:val="en-US" w:eastAsia="zh-CN"/>
        </w:rPr>
        <w:t>83分</w:t>
      </w:r>
      <w:r>
        <w:rPr>
          <w:rFonts w:hint="default" w:ascii="Times New Roman" w:hAnsi="Times New Roman" w:eastAsia="仿宋" w:cs="Times New Roman"/>
          <w:kern w:val="0"/>
          <w:sz w:val="32"/>
          <w:szCs w:val="32"/>
        </w:rPr>
        <w:t>。</w:t>
      </w:r>
    </w:p>
    <w:p w14:paraId="2AF96B9C">
      <w:pPr>
        <w:widowControl/>
        <w:numPr>
          <w:ilvl w:val="0"/>
          <w:numId w:val="4"/>
        </w:numPr>
        <w:adjustRightInd w:val="0"/>
        <w:snapToGrid w:val="0"/>
        <w:spacing w:line="578" w:lineRule="exact"/>
        <w:ind w:firstLine="643" w:firstLineChars="200"/>
        <w:contextualSpacing/>
        <w:jc w:val="left"/>
        <w:rPr>
          <w:rFonts w:hint="default" w:ascii="楷体" w:hAnsi="楷体" w:eastAsia="楷体" w:cs="楷体"/>
          <w:b/>
          <w:bCs/>
          <w:color w:val="000000"/>
          <w:kern w:val="0"/>
          <w:sz w:val="32"/>
          <w:szCs w:val="32"/>
          <w:shd w:val="clear" w:color="auto" w:fill="FFFFFF"/>
          <w:lang w:val="zh-CN"/>
        </w:rPr>
      </w:pPr>
      <w:r>
        <w:rPr>
          <w:rFonts w:hint="default" w:ascii="楷体" w:hAnsi="楷体" w:eastAsia="楷体" w:cs="楷体"/>
          <w:b/>
          <w:bCs/>
          <w:color w:val="000000"/>
          <w:kern w:val="0"/>
          <w:sz w:val="32"/>
          <w:szCs w:val="32"/>
          <w:shd w:val="clear" w:color="auto" w:fill="FFFFFF"/>
          <w:lang w:val="zh-CN"/>
        </w:rPr>
        <w:t>存在问题</w:t>
      </w:r>
    </w:p>
    <w:p w14:paraId="2BC262DB">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 w:cs="Times New Roman"/>
          <w:b/>
          <w:bCs/>
          <w:color w:val="000000"/>
          <w:kern w:val="0"/>
          <w:sz w:val="32"/>
          <w:szCs w:val="32"/>
          <w:shd w:val="clear" w:color="auto" w:fill="FFFFFF"/>
        </w:rPr>
      </w:pPr>
      <w:r>
        <w:rPr>
          <w:rFonts w:hint="default" w:ascii="Times New Roman" w:hAnsi="Times New Roman" w:eastAsia="仿宋" w:cs="Times New Roman"/>
          <w:b w:val="0"/>
          <w:bCs w:val="0"/>
          <w:color w:val="000000"/>
          <w:kern w:val="0"/>
          <w:sz w:val="32"/>
          <w:szCs w:val="32"/>
          <w:shd w:val="clear" w:color="auto" w:fill="FFFFFF"/>
          <w:lang w:val="en-US" w:eastAsia="zh-CN"/>
        </w:rPr>
        <w:t>我镇现财务室配备人员2人，</w:t>
      </w:r>
      <w:r>
        <w:rPr>
          <w:rFonts w:hint="default" w:ascii="Times New Roman" w:hAnsi="Times New Roman" w:eastAsia="仿宋" w:cs="Times New Roman"/>
          <w:color w:val="000000"/>
          <w:kern w:val="0"/>
          <w:sz w:val="32"/>
          <w:szCs w:val="32"/>
        </w:rPr>
        <w:t>由于人员配备不够，工作量大，对全镇资金安排、使用</w:t>
      </w:r>
      <w:r>
        <w:rPr>
          <w:rFonts w:hint="default" w:ascii="Times New Roman" w:hAnsi="Times New Roman" w:eastAsia="仿宋" w:cs="Times New Roman"/>
          <w:color w:val="000000"/>
          <w:kern w:val="0"/>
          <w:sz w:val="32"/>
          <w:szCs w:val="32"/>
          <w:lang w:val="en-US" w:eastAsia="zh-CN"/>
        </w:rPr>
        <w:t>管理</w:t>
      </w:r>
      <w:r>
        <w:rPr>
          <w:rFonts w:hint="default" w:ascii="Times New Roman" w:hAnsi="Times New Roman" w:eastAsia="仿宋" w:cs="Times New Roman"/>
          <w:color w:val="000000"/>
          <w:kern w:val="0"/>
          <w:sz w:val="32"/>
          <w:szCs w:val="32"/>
        </w:rPr>
        <w:t>存在</w:t>
      </w:r>
      <w:r>
        <w:rPr>
          <w:rFonts w:hint="default" w:ascii="Times New Roman" w:hAnsi="Times New Roman" w:eastAsia="仿宋" w:cs="Times New Roman"/>
          <w:color w:val="000000"/>
          <w:kern w:val="0"/>
          <w:sz w:val="32"/>
          <w:szCs w:val="32"/>
          <w:lang w:val="en-US" w:eastAsia="zh-CN"/>
        </w:rPr>
        <w:t>有不到位的情况</w:t>
      </w:r>
      <w:r>
        <w:rPr>
          <w:rFonts w:hint="default" w:ascii="Times New Roman" w:hAnsi="Times New Roman" w:eastAsia="仿宋" w:cs="Times New Roman"/>
          <w:w w:val="95"/>
          <w:kern w:val="0"/>
          <w:sz w:val="32"/>
          <w:szCs w:val="32"/>
        </w:rPr>
        <w:t>。</w:t>
      </w:r>
    </w:p>
    <w:p w14:paraId="4F227E03">
      <w:pPr>
        <w:widowControl/>
        <w:numPr>
          <w:ilvl w:val="0"/>
          <w:numId w:val="4"/>
        </w:numPr>
        <w:adjustRightInd w:val="0"/>
        <w:snapToGrid w:val="0"/>
        <w:spacing w:line="578" w:lineRule="exact"/>
        <w:ind w:left="0" w:leftChars="0" w:firstLine="643" w:firstLineChars="200"/>
        <w:contextualSpacing/>
        <w:jc w:val="left"/>
        <w:rPr>
          <w:rFonts w:hint="default" w:ascii="楷体" w:hAnsi="楷体" w:eastAsia="楷体" w:cs="楷体"/>
          <w:b/>
          <w:bCs/>
          <w:color w:val="000000"/>
          <w:kern w:val="0"/>
          <w:sz w:val="32"/>
          <w:szCs w:val="32"/>
          <w:shd w:val="clear" w:color="auto" w:fill="FFFFFF"/>
          <w:lang w:val="zh-CN"/>
        </w:rPr>
      </w:pPr>
      <w:r>
        <w:rPr>
          <w:rFonts w:hint="default" w:ascii="楷体" w:hAnsi="楷体" w:eastAsia="楷体" w:cs="楷体"/>
          <w:b/>
          <w:bCs/>
          <w:color w:val="000000"/>
          <w:kern w:val="0"/>
          <w:sz w:val="32"/>
          <w:szCs w:val="32"/>
          <w:shd w:val="clear" w:color="auto" w:fill="FFFFFF"/>
          <w:lang w:val="zh-CN"/>
        </w:rPr>
        <w:t>改进建议</w:t>
      </w:r>
      <w:bookmarkStart w:id="64" w:name="_Hlk110546638"/>
    </w:p>
    <w:p w14:paraId="3CA92D2A">
      <w:pPr>
        <w:widowControl/>
        <w:numPr>
          <w:ilvl w:val="0"/>
          <w:numId w:val="0"/>
        </w:numPr>
        <w:adjustRightInd w:val="0"/>
        <w:snapToGrid w:val="0"/>
        <w:spacing w:line="578" w:lineRule="exact"/>
        <w:ind w:firstLine="640" w:firstLineChars="200"/>
        <w:contextualSpacing/>
        <w:jc w:val="left"/>
        <w:rPr>
          <w:rFonts w:hint="default" w:ascii="Times New Roman" w:hAnsi="Times New Roman" w:eastAsia="仿宋" w:cs="Times New Roman"/>
          <w:sz w:val="32"/>
          <w:szCs w:val="32"/>
        </w:rPr>
      </w:pPr>
      <w:r>
        <w:rPr>
          <w:rFonts w:hint="default" w:ascii="Times New Roman" w:hAnsi="Times New Roman" w:eastAsia="仿宋" w:cs="Times New Roman"/>
          <w:b w:val="0"/>
          <w:bCs w:val="0"/>
          <w:color w:val="000000"/>
          <w:kern w:val="0"/>
          <w:sz w:val="32"/>
          <w:szCs w:val="32"/>
          <w:shd w:val="clear" w:color="auto" w:fill="FFFFFF"/>
          <w:lang w:val="en-US" w:eastAsia="zh-CN"/>
        </w:rPr>
        <w:t>增加</w:t>
      </w:r>
      <w:r>
        <w:rPr>
          <w:rFonts w:hint="default" w:ascii="Times New Roman" w:hAnsi="Times New Roman" w:eastAsia="仿宋" w:cs="Times New Roman"/>
          <w:b w:val="0"/>
          <w:bCs w:val="0"/>
          <w:kern w:val="0"/>
          <w:sz w:val="32"/>
          <w:szCs w:val="32"/>
          <w:lang w:val="en-US" w:eastAsia="zh-CN"/>
        </w:rPr>
        <w:t>人员配备，加强对资金使用安排管理的监督监管</w:t>
      </w:r>
      <w:r>
        <w:rPr>
          <w:rFonts w:hint="default" w:ascii="Times New Roman" w:hAnsi="Times New Roman" w:eastAsia="仿宋" w:cs="Times New Roman"/>
          <w:b w:val="0"/>
          <w:bCs w:val="0"/>
          <w:kern w:val="0"/>
          <w:sz w:val="32"/>
          <w:szCs w:val="32"/>
        </w:rPr>
        <w:t>。</w:t>
      </w:r>
      <w:bookmarkEnd w:id="64"/>
    </w:p>
    <w:p w14:paraId="49C271FC">
      <w:pPr>
        <w:pStyle w:val="15"/>
        <w:spacing w:after="0" w:line="20" w:lineRule="exact"/>
        <w:ind w:leftChars="0" w:firstLine="480"/>
        <w:rPr>
          <w:rFonts w:ascii="Times New Roman" w:eastAsia="黑体"/>
          <w:sz w:val="24"/>
          <w:szCs w:val="24"/>
        </w:rPr>
      </w:pPr>
    </w:p>
    <w:p w14:paraId="66421AE3">
      <w:pPr>
        <w:pStyle w:val="37"/>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default" w:ascii="Times New Roman" w:hAnsi="Times New Roman" w:eastAsia="Arial Unicode MS" w:cs="Times New Roman"/>
          <w:color w:val="auto"/>
          <w:kern w:val="2"/>
          <w:sz w:val="44"/>
          <w:szCs w:val="44"/>
          <w:highlight w:val="none"/>
          <w:lang w:val="en-US" w:eastAsia="zh-CN"/>
        </w:rPr>
      </w:pPr>
    </w:p>
    <w:p w14:paraId="78A6E4B9">
      <w:pPr>
        <w:widowControl/>
        <w:jc w:val="center"/>
        <w:outlineLvl w:val="0"/>
        <w:rPr>
          <w:rFonts w:hint="default" w:ascii="Times New Roman" w:hAnsi="Times New Roman" w:eastAsia="黑体" w:cs="Times New Roman"/>
          <w:color w:val="auto"/>
          <w:sz w:val="44"/>
          <w:szCs w:val="44"/>
          <w:highlight w:val="none"/>
        </w:rPr>
      </w:pPr>
      <w:bookmarkStart w:id="65" w:name="_Toc15396618"/>
      <w:bookmarkStart w:id="66" w:name="_Toc583"/>
    </w:p>
    <w:p w14:paraId="2F72ABCD">
      <w:pPr>
        <w:widowControl/>
        <w:jc w:val="center"/>
        <w:outlineLvl w:val="0"/>
        <w:rPr>
          <w:rFonts w:hint="default" w:ascii="Times New Roman" w:hAnsi="Times New Roman" w:eastAsia="黑体" w:cs="Times New Roman"/>
          <w:color w:val="auto"/>
          <w:sz w:val="44"/>
          <w:szCs w:val="44"/>
          <w:highlight w:val="none"/>
        </w:rPr>
      </w:pPr>
    </w:p>
    <w:p w14:paraId="0CA13271">
      <w:pPr>
        <w:widowControl/>
        <w:jc w:val="center"/>
        <w:outlineLvl w:val="0"/>
        <w:rPr>
          <w:rFonts w:hint="default" w:ascii="Times New Roman" w:hAnsi="Times New Roman" w:eastAsia="黑体" w:cs="Times New Roman"/>
          <w:color w:val="auto"/>
          <w:sz w:val="44"/>
          <w:szCs w:val="44"/>
          <w:highlight w:val="none"/>
        </w:rPr>
      </w:pPr>
    </w:p>
    <w:p w14:paraId="570E2370">
      <w:pPr>
        <w:widowControl/>
        <w:jc w:val="center"/>
        <w:outlineLvl w:val="0"/>
        <w:rPr>
          <w:rFonts w:hint="default" w:ascii="Times New Roman" w:hAnsi="Times New Roman" w:eastAsia="黑体" w:cs="Times New Roman"/>
          <w:color w:val="auto"/>
          <w:sz w:val="44"/>
          <w:szCs w:val="44"/>
          <w:highlight w:val="none"/>
        </w:rPr>
      </w:pPr>
    </w:p>
    <w:p w14:paraId="58CD6460">
      <w:pPr>
        <w:widowControl/>
        <w:jc w:val="center"/>
        <w:outlineLvl w:val="0"/>
        <w:rPr>
          <w:rFonts w:hint="default" w:ascii="Times New Roman" w:hAnsi="Times New Roman" w:eastAsia="黑体" w:cs="Times New Roman"/>
          <w:color w:val="auto"/>
          <w:sz w:val="44"/>
          <w:szCs w:val="44"/>
          <w:highlight w:val="none"/>
        </w:rPr>
      </w:pPr>
    </w:p>
    <w:p w14:paraId="4F39FA0B">
      <w:pPr>
        <w:widowControl/>
        <w:jc w:val="center"/>
        <w:outlineLvl w:val="0"/>
        <w:rPr>
          <w:rFonts w:hint="default" w:ascii="Times New Roman" w:hAnsi="Times New Roman" w:eastAsia="黑体" w:cs="Times New Roman"/>
          <w:color w:val="auto"/>
          <w:sz w:val="44"/>
          <w:szCs w:val="44"/>
          <w:highlight w:val="none"/>
        </w:rPr>
      </w:pPr>
    </w:p>
    <w:p w14:paraId="7A83C316">
      <w:pPr>
        <w:widowControl/>
        <w:jc w:val="center"/>
        <w:outlineLvl w:val="0"/>
        <w:rPr>
          <w:rFonts w:hint="default" w:ascii="Times New Roman" w:hAnsi="Times New Roman" w:eastAsia="黑体" w:cs="Times New Roman"/>
          <w:color w:val="auto"/>
          <w:sz w:val="44"/>
          <w:szCs w:val="44"/>
          <w:highlight w:val="none"/>
        </w:rPr>
      </w:pPr>
    </w:p>
    <w:p w14:paraId="586EA488">
      <w:pPr>
        <w:widowControl/>
        <w:jc w:val="both"/>
        <w:outlineLvl w:val="0"/>
        <w:rPr>
          <w:rFonts w:hint="default" w:ascii="Times New Roman" w:hAnsi="Times New Roman" w:eastAsia="黑体" w:cs="Times New Roman"/>
          <w:color w:val="auto"/>
          <w:sz w:val="44"/>
          <w:szCs w:val="44"/>
          <w:highlight w:val="none"/>
        </w:rPr>
      </w:pPr>
    </w:p>
    <w:p w14:paraId="090DCA64">
      <w:pPr>
        <w:widowControl/>
        <w:spacing w:line="600" w:lineRule="exact"/>
        <w:jc w:val="center"/>
        <w:textAlignment w:val="center"/>
        <w:rPr>
          <w:rFonts w:hint="eastAsia" w:eastAsia="方正小标宋简体"/>
          <w:color w:val="000000"/>
          <w:kern w:val="0"/>
          <w:sz w:val="44"/>
          <w:szCs w:val="44"/>
          <w:lang w:bidi="ar"/>
        </w:rPr>
      </w:pPr>
    </w:p>
    <w:p w14:paraId="5E05A0FC">
      <w:pPr>
        <w:widowControl/>
        <w:spacing w:line="600" w:lineRule="exact"/>
        <w:jc w:val="center"/>
        <w:textAlignment w:val="center"/>
        <w:rPr>
          <w:rFonts w:eastAsia="方正小标宋简体"/>
          <w:color w:val="000000"/>
          <w:kern w:val="0"/>
          <w:sz w:val="44"/>
          <w:szCs w:val="44"/>
          <w:lang w:bidi="ar"/>
        </w:rPr>
      </w:pPr>
      <w:r>
        <w:rPr>
          <w:rFonts w:hint="eastAsia" w:eastAsia="方正小标宋简体"/>
          <w:color w:val="000000"/>
          <w:kern w:val="0"/>
          <w:sz w:val="44"/>
          <w:szCs w:val="44"/>
          <w:lang w:bidi="ar"/>
        </w:rPr>
        <w:t>部门预算绩效自评打分表</w:t>
      </w:r>
    </w:p>
    <w:tbl>
      <w:tblPr>
        <w:tblStyle w:val="18"/>
        <w:tblW w:w="10819" w:type="dxa"/>
        <w:jc w:val="center"/>
        <w:tblLayout w:type="fixed"/>
        <w:tblCellMar>
          <w:top w:w="0" w:type="dxa"/>
          <w:left w:w="108" w:type="dxa"/>
          <w:bottom w:w="0" w:type="dxa"/>
          <w:right w:w="108" w:type="dxa"/>
        </w:tblCellMar>
      </w:tblPr>
      <w:tblGrid>
        <w:gridCol w:w="1004"/>
        <w:gridCol w:w="1462"/>
        <w:gridCol w:w="1665"/>
        <w:gridCol w:w="720"/>
        <w:gridCol w:w="4734"/>
        <w:gridCol w:w="756"/>
        <w:gridCol w:w="478"/>
      </w:tblGrid>
      <w:tr w14:paraId="78187C3F">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0417B0">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F469D">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765279CF">
            <w:pPr>
              <w:widowControl/>
              <w:spacing w:line="240" w:lineRule="exact"/>
              <w:jc w:val="center"/>
              <w:textAlignment w:val="center"/>
              <w:rPr>
                <w:rFonts w:ascii="黑体" w:hAnsi="宋体" w:eastAsia="黑体" w:cs="黑体"/>
                <w:color w:val="000000"/>
                <w:kern w:val="0"/>
                <w:sz w:val="24"/>
                <w:lang w:bidi="ar"/>
              </w:rPr>
            </w:pPr>
            <w:r>
              <w:rPr>
                <w:rFonts w:hint="eastAsia" w:ascii="黑体" w:hAnsi="宋体" w:eastAsia="黑体" w:cs="黑体"/>
                <w:color w:val="000000"/>
                <w:kern w:val="0"/>
                <w:sz w:val="24"/>
                <w:lang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302F4D82">
            <w:pPr>
              <w:widowControl/>
              <w:spacing w:line="240" w:lineRule="exact"/>
              <w:jc w:val="center"/>
              <w:textAlignment w:val="center"/>
              <w:rPr>
                <w:rFonts w:ascii="黑体" w:hAnsi="宋体" w:eastAsia="黑体" w:cs="黑体"/>
                <w:color w:val="000000"/>
                <w:kern w:val="0"/>
                <w:sz w:val="24"/>
                <w:lang w:bidi="ar"/>
              </w:rPr>
            </w:pPr>
            <w:r>
              <w:rPr>
                <w:rFonts w:hint="eastAsia" w:ascii="黑体" w:hAnsi="宋体" w:eastAsia="黑体" w:cs="黑体"/>
                <w:color w:val="000000"/>
                <w:kern w:val="0"/>
                <w:sz w:val="24"/>
                <w:lang w:bidi="ar"/>
              </w:rPr>
              <w:t>备注</w:t>
            </w:r>
          </w:p>
        </w:tc>
      </w:tr>
      <w:tr w14:paraId="043A28F8">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6438BAFF">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D20B">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5F83">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D2C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w:t>
            </w:r>
            <w:r>
              <w:rPr>
                <w:rFonts w:hint="eastAsia" w:ascii="黑体" w:hAnsi="宋体" w:eastAsia="黑体" w:cs="黑体"/>
                <w:color w:val="000000"/>
                <w:kern w:val="0"/>
                <w:sz w:val="24"/>
                <w:lang w:bidi="ar"/>
              </w:rPr>
              <w:br w:type="textWrapping"/>
            </w:r>
            <w:r>
              <w:rPr>
                <w:rFonts w:hint="eastAsia" w:ascii="黑体" w:hAnsi="宋体" w:eastAsia="黑体" w:cs="黑体"/>
                <w:color w:val="000000"/>
                <w:kern w:val="0"/>
                <w:sz w:val="24"/>
                <w:lang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36687">
            <w:pPr>
              <w:widowControl/>
              <w:spacing w:line="240" w:lineRule="exact"/>
              <w:jc w:val="center"/>
              <w:rPr>
                <w:rFonts w:ascii="黑体" w:hAnsi="宋体" w:eastAsia="黑体" w:cs="黑体"/>
                <w:color w:val="000000"/>
                <w:sz w:val="24"/>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482BD3A6">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0F7412F0">
            <w:pPr>
              <w:widowControl/>
              <w:spacing w:line="240" w:lineRule="exact"/>
              <w:jc w:val="center"/>
              <w:rPr>
                <w:rFonts w:ascii="黑体" w:hAnsi="宋体" w:eastAsia="黑体" w:cs="黑体"/>
                <w:color w:val="000000"/>
                <w:sz w:val="24"/>
              </w:rPr>
            </w:pPr>
          </w:p>
        </w:tc>
      </w:tr>
      <w:tr w14:paraId="1FF99661">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2156D0">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总体绩效</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73AA">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履职效能</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5F3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XX履职效果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13ACEC1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8A5F">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6939">
            <w:pPr>
              <w:widowControl/>
              <w:spacing w:line="240" w:lineRule="exact"/>
              <w:jc w:val="center"/>
              <w:textAlignment w:val="center"/>
              <w:rPr>
                <w:rFonts w:hint="default"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12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BC31">
            <w:pPr>
              <w:widowControl/>
              <w:spacing w:line="240" w:lineRule="exact"/>
              <w:jc w:val="left"/>
              <w:textAlignment w:val="center"/>
              <w:rPr>
                <w:rFonts w:ascii="宋体" w:hAnsi="宋体" w:eastAsia="宋体" w:cs="宋体"/>
                <w:color w:val="000000"/>
                <w:kern w:val="0"/>
                <w:sz w:val="24"/>
                <w:lang w:bidi="ar"/>
              </w:rPr>
            </w:pPr>
          </w:p>
        </w:tc>
      </w:tr>
      <w:tr w14:paraId="645A4F28">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57B0C">
            <w:pPr>
              <w:widowControl/>
              <w:spacing w:line="240" w:lineRule="exact"/>
              <w:jc w:val="center"/>
              <w:rPr>
                <w:rFonts w:ascii="宋体" w:hAnsi="宋体" w:eastAsia="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B266E">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预算管理</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829A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6C5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8765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7B5B">
            <w:pPr>
              <w:widowControl/>
              <w:spacing w:line="240" w:lineRule="exact"/>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B270">
            <w:pPr>
              <w:widowControl/>
              <w:spacing w:line="240" w:lineRule="exact"/>
              <w:jc w:val="left"/>
              <w:textAlignment w:val="center"/>
              <w:rPr>
                <w:rFonts w:ascii="宋体" w:hAnsi="宋体" w:eastAsia="宋体" w:cs="宋体"/>
                <w:color w:val="000000"/>
                <w:kern w:val="0"/>
                <w:sz w:val="24"/>
                <w:lang w:bidi="ar"/>
              </w:rPr>
            </w:pPr>
          </w:p>
        </w:tc>
      </w:tr>
      <w:tr w14:paraId="06AC952B">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C2185">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844CF">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FC2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987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3D3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CB62">
            <w:pPr>
              <w:widowControl/>
              <w:spacing w:line="240" w:lineRule="exact"/>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5A33">
            <w:pPr>
              <w:widowControl/>
              <w:spacing w:line="240" w:lineRule="exact"/>
              <w:jc w:val="left"/>
              <w:textAlignment w:val="center"/>
              <w:rPr>
                <w:rFonts w:ascii="宋体" w:hAnsi="宋体" w:eastAsia="宋体" w:cs="宋体"/>
                <w:color w:val="000000"/>
                <w:kern w:val="0"/>
                <w:sz w:val="24"/>
                <w:lang w:bidi="ar"/>
              </w:rPr>
            </w:pPr>
          </w:p>
        </w:tc>
      </w:tr>
      <w:tr w14:paraId="2DC0534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EE9A5">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6F9F7">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01F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798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8FB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DD2A">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875B">
            <w:pPr>
              <w:widowControl/>
              <w:spacing w:line="240" w:lineRule="exact"/>
              <w:jc w:val="left"/>
              <w:textAlignment w:val="center"/>
              <w:rPr>
                <w:rFonts w:ascii="宋体" w:hAnsi="宋体" w:eastAsia="宋体" w:cs="宋体"/>
                <w:color w:val="000000"/>
                <w:kern w:val="0"/>
                <w:sz w:val="24"/>
                <w:lang w:bidi="ar"/>
              </w:rPr>
            </w:pPr>
          </w:p>
        </w:tc>
      </w:tr>
      <w:tr w14:paraId="7C61D4E2">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A77B3">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EADF2">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4E9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D32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D98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B44E">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0D565">
            <w:pPr>
              <w:widowControl/>
              <w:spacing w:line="240" w:lineRule="exact"/>
              <w:jc w:val="left"/>
              <w:textAlignment w:val="center"/>
              <w:rPr>
                <w:rFonts w:ascii="宋体" w:hAnsi="宋体" w:eastAsia="宋体" w:cs="宋体"/>
                <w:color w:val="000000"/>
                <w:kern w:val="0"/>
                <w:sz w:val="24"/>
                <w:lang w:bidi="ar"/>
              </w:rPr>
            </w:pPr>
          </w:p>
        </w:tc>
      </w:tr>
      <w:tr w14:paraId="44E61E0A">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EFC78">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700AC">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5BD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3A1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F60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29B9">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2D48">
            <w:pPr>
              <w:widowControl/>
              <w:spacing w:line="240" w:lineRule="exact"/>
              <w:jc w:val="left"/>
              <w:textAlignment w:val="center"/>
              <w:rPr>
                <w:rFonts w:ascii="宋体" w:hAnsi="宋体" w:eastAsia="宋体" w:cs="宋体"/>
                <w:color w:val="000000"/>
                <w:kern w:val="0"/>
                <w:sz w:val="24"/>
                <w:lang w:bidi="ar"/>
              </w:rPr>
            </w:pPr>
          </w:p>
        </w:tc>
      </w:tr>
      <w:tr w14:paraId="59C4830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36A9A">
            <w:pPr>
              <w:widowControl/>
              <w:spacing w:line="240" w:lineRule="exact"/>
              <w:jc w:val="center"/>
              <w:rPr>
                <w:rFonts w:ascii="宋体" w:hAnsi="宋体" w:eastAsia="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A6FD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财务管理</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CA58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1D3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885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BE90">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698E">
            <w:pPr>
              <w:widowControl/>
              <w:spacing w:line="240" w:lineRule="exact"/>
              <w:jc w:val="left"/>
              <w:textAlignment w:val="center"/>
              <w:rPr>
                <w:rFonts w:ascii="宋体" w:hAnsi="宋体" w:eastAsia="宋体" w:cs="宋体"/>
                <w:color w:val="000000"/>
                <w:kern w:val="0"/>
                <w:sz w:val="24"/>
                <w:lang w:bidi="ar"/>
              </w:rPr>
            </w:pPr>
          </w:p>
        </w:tc>
      </w:tr>
      <w:tr w14:paraId="3359612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0BF97">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61217">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B063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4D7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F54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CFD3">
            <w:pPr>
              <w:widowControl/>
              <w:spacing w:line="240" w:lineRule="exact"/>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1852">
            <w:pPr>
              <w:widowControl/>
              <w:spacing w:line="240" w:lineRule="exact"/>
              <w:jc w:val="left"/>
              <w:textAlignment w:val="center"/>
              <w:rPr>
                <w:rFonts w:ascii="宋体" w:hAnsi="宋体" w:eastAsia="宋体" w:cs="宋体"/>
                <w:color w:val="000000"/>
                <w:kern w:val="0"/>
                <w:sz w:val="24"/>
                <w:lang w:bidi="ar"/>
              </w:rPr>
            </w:pPr>
          </w:p>
        </w:tc>
      </w:tr>
      <w:tr w14:paraId="3A674852">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87E2A">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77B46">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85B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920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D72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24A0">
            <w:pPr>
              <w:widowControl/>
              <w:spacing w:line="240" w:lineRule="exact"/>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CC26">
            <w:pPr>
              <w:widowControl/>
              <w:spacing w:line="240" w:lineRule="exact"/>
              <w:jc w:val="left"/>
              <w:textAlignment w:val="center"/>
              <w:rPr>
                <w:rFonts w:ascii="宋体" w:hAnsi="宋体" w:eastAsia="宋体" w:cs="宋体"/>
                <w:color w:val="000000"/>
                <w:kern w:val="0"/>
                <w:sz w:val="24"/>
                <w:lang w:bidi="ar"/>
              </w:rPr>
            </w:pPr>
          </w:p>
        </w:tc>
      </w:tr>
      <w:tr w14:paraId="36EC0F73">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14BA4">
            <w:pPr>
              <w:widowControl/>
              <w:spacing w:line="240" w:lineRule="exact"/>
              <w:jc w:val="center"/>
              <w:rPr>
                <w:rFonts w:ascii="宋体" w:hAnsi="宋体" w:eastAsia="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CD4A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资产管理</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8AF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005F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A00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FDDF">
            <w:pPr>
              <w:widowControl/>
              <w:spacing w:line="240" w:lineRule="exact"/>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71B5">
            <w:pPr>
              <w:widowControl/>
              <w:spacing w:line="240" w:lineRule="exact"/>
              <w:jc w:val="left"/>
              <w:textAlignment w:val="center"/>
              <w:rPr>
                <w:rFonts w:ascii="宋体" w:hAnsi="宋体" w:eastAsia="宋体" w:cs="宋体"/>
                <w:color w:val="000000"/>
                <w:kern w:val="0"/>
                <w:sz w:val="24"/>
                <w:lang w:bidi="ar"/>
              </w:rPr>
            </w:pPr>
          </w:p>
        </w:tc>
      </w:tr>
      <w:tr w14:paraId="57F1B905">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BDC6E">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7319C">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87F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D67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946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CA3B">
            <w:pPr>
              <w:widowControl/>
              <w:spacing w:line="240" w:lineRule="exact"/>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3A5F">
            <w:pPr>
              <w:widowControl/>
              <w:spacing w:line="240" w:lineRule="exact"/>
              <w:jc w:val="left"/>
              <w:textAlignment w:val="center"/>
              <w:rPr>
                <w:rFonts w:ascii="宋体" w:hAnsi="宋体" w:eastAsia="宋体" w:cs="宋体"/>
                <w:color w:val="000000"/>
                <w:kern w:val="0"/>
                <w:sz w:val="24"/>
                <w:lang w:bidi="ar"/>
              </w:rPr>
            </w:pPr>
          </w:p>
        </w:tc>
      </w:tr>
      <w:tr w14:paraId="31DC3F87">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AB02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总体绩效</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6773">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资产管理</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7F67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A8A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F61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A06A">
            <w:pPr>
              <w:widowControl/>
              <w:spacing w:line="240" w:lineRule="exact"/>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7ABD">
            <w:pPr>
              <w:widowControl/>
              <w:spacing w:line="240" w:lineRule="exact"/>
              <w:jc w:val="left"/>
              <w:textAlignment w:val="center"/>
              <w:rPr>
                <w:rFonts w:ascii="宋体" w:hAnsi="宋体" w:eastAsia="宋体" w:cs="宋体"/>
                <w:color w:val="000000"/>
                <w:kern w:val="0"/>
                <w:sz w:val="24"/>
                <w:lang w:bidi="ar"/>
              </w:rPr>
            </w:pPr>
          </w:p>
        </w:tc>
      </w:tr>
      <w:tr w14:paraId="3B31FE60">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7B5C5">
            <w:pPr>
              <w:widowControl/>
              <w:spacing w:line="240" w:lineRule="exact"/>
              <w:jc w:val="center"/>
              <w:rPr>
                <w:rFonts w:ascii="宋体" w:hAnsi="宋体" w:eastAsia="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50CA9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采购管理</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6BE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DA8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430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F3DA">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A805">
            <w:pPr>
              <w:widowControl/>
              <w:spacing w:line="240" w:lineRule="exact"/>
              <w:jc w:val="left"/>
              <w:textAlignment w:val="center"/>
              <w:rPr>
                <w:rFonts w:ascii="宋体" w:hAnsi="宋体" w:eastAsia="宋体" w:cs="宋体"/>
                <w:color w:val="000000"/>
                <w:kern w:val="0"/>
                <w:sz w:val="24"/>
                <w:lang w:bidi="ar"/>
              </w:rPr>
            </w:pPr>
          </w:p>
        </w:tc>
      </w:tr>
      <w:tr w14:paraId="318AAD4B">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ADA05">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80DDD">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3C7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BFB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3A4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D859">
            <w:pPr>
              <w:widowControl/>
              <w:spacing w:line="240" w:lineRule="exact"/>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63EC">
            <w:pPr>
              <w:widowControl/>
              <w:spacing w:line="240" w:lineRule="exact"/>
              <w:jc w:val="left"/>
              <w:textAlignment w:val="center"/>
              <w:rPr>
                <w:rFonts w:ascii="宋体" w:hAnsi="宋体" w:eastAsia="宋体" w:cs="宋体"/>
                <w:color w:val="000000"/>
                <w:kern w:val="0"/>
                <w:sz w:val="24"/>
                <w:lang w:bidi="ar"/>
              </w:rPr>
            </w:pPr>
          </w:p>
        </w:tc>
      </w:tr>
      <w:tr w14:paraId="5A4CF21B">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E026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项目绩效</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6EA18B16">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项目决策</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58E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6C1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1A1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D9733">
            <w:pPr>
              <w:widowControl/>
              <w:spacing w:line="240" w:lineRule="exact"/>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B09D">
            <w:pPr>
              <w:widowControl/>
              <w:spacing w:line="240" w:lineRule="exact"/>
              <w:jc w:val="left"/>
              <w:textAlignment w:val="center"/>
              <w:rPr>
                <w:rFonts w:ascii="宋体" w:hAnsi="宋体" w:eastAsia="宋体" w:cs="宋体"/>
                <w:color w:val="000000"/>
                <w:kern w:val="0"/>
                <w:sz w:val="24"/>
                <w:lang w:bidi="ar"/>
              </w:rPr>
            </w:pPr>
          </w:p>
        </w:tc>
      </w:tr>
      <w:tr w14:paraId="32E7F29C">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80610">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50E1B409">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FD3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214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E8E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C5AB">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EBA30">
            <w:pPr>
              <w:widowControl/>
              <w:spacing w:line="240" w:lineRule="exact"/>
              <w:jc w:val="left"/>
              <w:textAlignment w:val="center"/>
              <w:rPr>
                <w:rFonts w:ascii="宋体" w:hAnsi="宋体" w:eastAsia="宋体" w:cs="宋体"/>
                <w:color w:val="000000"/>
                <w:kern w:val="0"/>
                <w:sz w:val="24"/>
                <w:lang w:bidi="ar"/>
              </w:rPr>
            </w:pPr>
          </w:p>
        </w:tc>
      </w:tr>
      <w:tr w14:paraId="680CCB75">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94FDF">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67777A33">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567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EDE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B8F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FADD">
            <w:pPr>
              <w:widowControl/>
              <w:spacing w:line="240" w:lineRule="exact"/>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25D2">
            <w:pPr>
              <w:widowControl/>
              <w:spacing w:line="240" w:lineRule="exact"/>
              <w:jc w:val="left"/>
              <w:textAlignment w:val="center"/>
              <w:rPr>
                <w:rFonts w:ascii="宋体" w:hAnsi="宋体" w:eastAsia="宋体" w:cs="宋体"/>
                <w:color w:val="000000"/>
                <w:kern w:val="0"/>
                <w:sz w:val="24"/>
                <w:lang w:bidi="ar"/>
              </w:rPr>
            </w:pPr>
          </w:p>
        </w:tc>
      </w:tr>
      <w:tr w14:paraId="323F00E3">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F169E">
            <w:pPr>
              <w:widowControl/>
              <w:spacing w:line="240" w:lineRule="exact"/>
              <w:jc w:val="center"/>
              <w:rPr>
                <w:rFonts w:ascii="宋体" w:hAnsi="宋体" w:eastAsia="宋体" w:cs="宋体"/>
                <w:b/>
                <w:color w:val="000000"/>
                <w:sz w:val="24"/>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602BDDC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项目执行</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FB5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74CC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F68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C2A1">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422B2">
            <w:pPr>
              <w:widowControl/>
              <w:spacing w:line="240" w:lineRule="exact"/>
              <w:jc w:val="left"/>
              <w:textAlignment w:val="center"/>
              <w:rPr>
                <w:rFonts w:ascii="宋体" w:hAnsi="宋体" w:eastAsia="宋体" w:cs="宋体"/>
                <w:color w:val="000000"/>
                <w:kern w:val="0"/>
                <w:sz w:val="24"/>
                <w:lang w:bidi="ar"/>
              </w:rPr>
            </w:pPr>
          </w:p>
        </w:tc>
      </w:tr>
      <w:tr w14:paraId="0168E335">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EB43C">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057AFCFD">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14:paraId="5BC0758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592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F48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7C0B">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4094">
            <w:pPr>
              <w:widowControl/>
              <w:spacing w:line="240" w:lineRule="exact"/>
              <w:jc w:val="left"/>
              <w:textAlignment w:val="center"/>
              <w:rPr>
                <w:rFonts w:ascii="宋体" w:hAnsi="宋体" w:eastAsia="宋体" w:cs="宋体"/>
                <w:color w:val="000000"/>
                <w:kern w:val="0"/>
                <w:sz w:val="24"/>
                <w:lang w:bidi="ar"/>
              </w:rPr>
            </w:pPr>
          </w:p>
        </w:tc>
      </w:tr>
      <w:tr w14:paraId="335FAEF2">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17D7">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464C9150">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F1B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E2B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70D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1329">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8C773">
            <w:pPr>
              <w:widowControl/>
              <w:spacing w:line="240" w:lineRule="exact"/>
              <w:jc w:val="left"/>
              <w:textAlignment w:val="center"/>
              <w:rPr>
                <w:rFonts w:ascii="宋体" w:hAnsi="宋体" w:eastAsia="宋体" w:cs="宋体"/>
                <w:color w:val="000000"/>
                <w:kern w:val="0"/>
                <w:sz w:val="24"/>
                <w:lang w:bidi="ar"/>
              </w:rPr>
            </w:pPr>
          </w:p>
        </w:tc>
      </w:tr>
      <w:tr w14:paraId="4F30949C">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B2D17">
            <w:pPr>
              <w:widowControl/>
              <w:spacing w:line="240" w:lineRule="exact"/>
              <w:jc w:val="center"/>
              <w:rPr>
                <w:rFonts w:ascii="宋体" w:hAnsi="宋体" w:eastAsia="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FC67E">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目标实现</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ECC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BC3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280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CFCD">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DE38">
            <w:pPr>
              <w:widowControl/>
              <w:spacing w:line="240" w:lineRule="exact"/>
              <w:jc w:val="left"/>
              <w:textAlignment w:val="center"/>
              <w:rPr>
                <w:rFonts w:ascii="宋体" w:hAnsi="宋体" w:eastAsia="宋体" w:cs="宋体"/>
                <w:color w:val="000000"/>
                <w:kern w:val="0"/>
                <w:sz w:val="24"/>
                <w:lang w:bidi="ar"/>
              </w:rPr>
            </w:pPr>
          </w:p>
        </w:tc>
      </w:tr>
      <w:tr w14:paraId="0DC0251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A706C">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7C9B6">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130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38B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9866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D4B0">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DD9E">
            <w:pPr>
              <w:widowControl/>
              <w:spacing w:line="240" w:lineRule="exact"/>
              <w:jc w:val="left"/>
              <w:textAlignment w:val="center"/>
              <w:rPr>
                <w:rFonts w:ascii="宋体" w:hAnsi="宋体" w:eastAsia="宋体" w:cs="宋体"/>
                <w:color w:val="000000"/>
                <w:kern w:val="0"/>
                <w:sz w:val="24"/>
                <w:lang w:bidi="ar"/>
              </w:rPr>
            </w:pPr>
          </w:p>
        </w:tc>
      </w:tr>
      <w:tr w14:paraId="55763FE0">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01385">
            <w:pPr>
              <w:widowControl/>
              <w:spacing w:line="240" w:lineRule="exact"/>
              <w:jc w:val="center"/>
              <w:rPr>
                <w:rFonts w:ascii="宋体" w:hAnsi="宋体" w:eastAsia="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16961">
            <w:pPr>
              <w:widowControl/>
              <w:spacing w:line="240" w:lineRule="exact"/>
              <w:jc w:val="center"/>
              <w:rPr>
                <w:rFonts w:ascii="宋体" w:hAnsi="宋体" w:eastAsia="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29F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61E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ACF2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8AD7">
            <w:pPr>
              <w:widowControl/>
              <w:spacing w:line="240" w:lineRule="exact"/>
              <w:jc w:val="center"/>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D8556">
            <w:pPr>
              <w:widowControl/>
              <w:spacing w:line="240" w:lineRule="exact"/>
              <w:jc w:val="left"/>
              <w:textAlignment w:val="center"/>
              <w:rPr>
                <w:rFonts w:ascii="宋体" w:hAnsi="宋体" w:eastAsia="宋体" w:cs="宋体"/>
                <w:color w:val="000000"/>
                <w:kern w:val="0"/>
                <w:sz w:val="24"/>
                <w:lang w:bidi="ar"/>
              </w:rPr>
            </w:pPr>
          </w:p>
        </w:tc>
      </w:tr>
      <w:tr w14:paraId="2A565D2B">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5F53C">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lang w:bidi="ar"/>
              </w:rPr>
              <w:t>扣分项</w:t>
            </w:r>
            <w:r>
              <w:rPr>
                <w:rFonts w:hint="eastAsia" w:ascii="宋体" w:hAnsi="宋体" w:eastAsia="宋体" w:cs="宋体"/>
                <w:b/>
                <w:color w:val="000000"/>
                <w:kern w:val="0"/>
                <w:sz w:val="24"/>
                <w:lang w:bidi="ar"/>
              </w:rPr>
              <w:br w:type="textWrapping"/>
            </w:r>
            <w:r>
              <w:rPr>
                <w:rFonts w:hint="eastAsia" w:ascii="宋体" w:hAnsi="宋体" w:eastAsia="宋体" w:cs="宋体"/>
                <w:b/>
                <w:color w:val="000000"/>
                <w:kern w:val="0"/>
                <w:sz w:val="24"/>
                <w:lang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7305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9F9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1CD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lang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9E2D">
            <w:pPr>
              <w:widowControl/>
              <w:spacing w:line="240" w:lineRule="exact"/>
              <w:jc w:val="left"/>
              <w:textAlignment w:val="center"/>
              <w:rPr>
                <w:rFonts w:ascii="宋体" w:hAnsi="宋体" w:eastAsia="宋体" w:cs="宋体"/>
                <w:color w:val="000000"/>
                <w:kern w:val="0"/>
                <w:sz w:val="24"/>
                <w:lang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063C">
            <w:pPr>
              <w:widowControl/>
              <w:spacing w:line="240" w:lineRule="exact"/>
              <w:jc w:val="left"/>
              <w:textAlignment w:val="center"/>
              <w:rPr>
                <w:rFonts w:ascii="宋体" w:hAnsi="宋体" w:eastAsia="宋体" w:cs="宋体"/>
                <w:color w:val="000000"/>
                <w:kern w:val="0"/>
                <w:sz w:val="24"/>
                <w:lang w:bidi="ar"/>
              </w:rPr>
            </w:pPr>
          </w:p>
        </w:tc>
      </w:tr>
    </w:tbl>
    <w:p w14:paraId="70962893">
      <w:pPr>
        <w:widowControl/>
        <w:spacing w:line="578" w:lineRule="exact"/>
        <w:jc w:val="center"/>
        <w:textAlignment w:val="center"/>
        <w:rPr>
          <w:rFonts w:eastAsia="方正小标宋简体"/>
          <w:color w:val="000000"/>
          <w:kern w:val="0"/>
          <w:sz w:val="44"/>
          <w:szCs w:val="44"/>
        </w:rPr>
      </w:pPr>
    </w:p>
    <w:p w14:paraId="05B2985E">
      <w:pPr>
        <w:widowControl/>
        <w:spacing w:line="578" w:lineRule="exact"/>
        <w:jc w:val="center"/>
        <w:textAlignment w:val="center"/>
        <w:rPr>
          <w:rFonts w:eastAsia="方正小标宋简体"/>
          <w:color w:val="000000"/>
          <w:kern w:val="0"/>
          <w:sz w:val="44"/>
          <w:szCs w:val="44"/>
        </w:rPr>
      </w:pPr>
    </w:p>
    <w:p w14:paraId="38B1A128">
      <w:pPr>
        <w:widowControl/>
        <w:spacing w:line="578" w:lineRule="exact"/>
        <w:jc w:val="center"/>
        <w:textAlignment w:val="center"/>
        <w:rPr>
          <w:rFonts w:eastAsia="方正小标宋简体"/>
          <w:color w:val="000000"/>
          <w:kern w:val="0"/>
          <w:sz w:val="44"/>
          <w:szCs w:val="44"/>
        </w:rPr>
      </w:pPr>
    </w:p>
    <w:p w14:paraId="5E39E705">
      <w:pPr>
        <w:widowControl/>
        <w:spacing w:line="578" w:lineRule="exact"/>
        <w:jc w:val="center"/>
        <w:textAlignment w:val="center"/>
        <w:rPr>
          <w:rFonts w:eastAsia="方正小标宋简体"/>
          <w:color w:val="000000"/>
          <w:kern w:val="0"/>
          <w:sz w:val="44"/>
          <w:szCs w:val="44"/>
        </w:rPr>
      </w:pPr>
    </w:p>
    <w:p w14:paraId="7E1F7BB7">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8"/>
        <w:tblW w:w="9658" w:type="dxa"/>
        <w:jc w:val="center"/>
        <w:tblLayout w:type="fixed"/>
        <w:tblCellMar>
          <w:top w:w="0" w:type="dxa"/>
          <w:left w:w="108" w:type="dxa"/>
          <w:bottom w:w="0" w:type="dxa"/>
          <w:right w:w="108" w:type="dxa"/>
        </w:tblCellMar>
      </w:tblPr>
      <w:tblGrid>
        <w:gridCol w:w="331"/>
        <w:gridCol w:w="593"/>
        <w:gridCol w:w="803"/>
        <w:gridCol w:w="1246"/>
        <w:gridCol w:w="895"/>
        <w:gridCol w:w="685"/>
        <w:gridCol w:w="1018"/>
        <w:gridCol w:w="1045"/>
        <w:gridCol w:w="1111"/>
        <w:gridCol w:w="1931"/>
      </w:tblGrid>
      <w:tr w14:paraId="04D13F3C">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4467430C">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091FC5F0">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茂县土门镇人民政府</w:t>
            </w:r>
          </w:p>
        </w:tc>
      </w:tr>
      <w:tr w14:paraId="5E702A95">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196E139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141" w:type="dxa"/>
            <w:gridSpan w:val="2"/>
            <w:tcBorders>
              <w:top w:val="single" w:color="000000" w:sz="4" w:space="0"/>
              <w:left w:val="single" w:color="auto" w:sz="4" w:space="0"/>
              <w:bottom w:val="single" w:color="000000" w:sz="4" w:space="0"/>
              <w:right w:val="single" w:color="auto" w:sz="4" w:space="0"/>
            </w:tcBorders>
            <w:noWrap/>
            <w:vAlign w:val="center"/>
          </w:tcPr>
          <w:p w14:paraId="6A129F1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03" w:type="dxa"/>
            <w:gridSpan w:val="2"/>
            <w:tcBorders>
              <w:top w:val="single" w:color="auto" w:sz="4" w:space="0"/>
              <w:left w:val="single" w:color="auto" w:sz="4" w:space="0"/>
              <w:bottom w:val="single" w:color="auto" w:sz="4" w:space="0"/>
              <w:right w:val="single" w:color="auto" w:sz="4" w:space="0"/>
            </w:tcBorders>
            <w:noWrap/>
            <w:vAlign w:val="center"/>
          </w:tcPr>
          <w:p w14:paraId="7683676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532DF1A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531E8176">
        <w:tblPrEx>
          <w:tblCellMar>
            <w:top w:w="0" w:type="dxa"/>
            <w:left w:w="108" w:type="dxa"/>
            <w:bottom w:w="0" w:type="dxa"/>
            <w:right w:w="108" w:type="dxa"/>
          </w:tblCellMar>
        </w:tblPrEx>
        <w:trPr>
          <w:trHeight w:val="184"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2AD201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141" w:type="dxa"/>
            <w:gridSpan w:val="2"/>
            <w:tcBorders>
              <w:top w:val="single" w:color="000000" w:sz="4" w:space="0"/>
              <w:left w:val="single" w:color="auto" w:sz="4" w:space="0"/>
              <w:bottom w:val="single" w:color="000000" w:sz="4" w:space="0"/>
              <w:right w:val="single" w:color="auto" w:sz="4" w:space="0"/>
            </w:tcBorders>
            <w:noWrap/>
            <w:vAlign w:val="center"/>
          </w:tcPr>
          <w:p w14:paraId="5F3E021D">
            <w:pPr>
              <w:widowControl/>
              <w:spacing w:line="240" w:lineRule="exact"/>
              <w:jc w:val="left"/>
              <w:textAlignment w:val="center"/>
              <w:rPr>
                <w:rFonts w:hint="eastAsia" w:ascii="宋体" w:hAnsi="宋体" w:eastAsia="宋体" w:cs="宋体"/>
                <w:color w:val="000000"/>
                <w:kern w:val="0"/>
                <w:sz w:val="18"/>
                <w:szCs w:val="18"/>
              </w:rPr>
            </w:pPr>
            <w:r>
              <w:rPr>
                <w:rFonts w:hint="eastAsia" w:asciiTheme="minorEastAsia" w:hAnsiTheme="minorEastAsia" w:eastAsiaTheme="minorEastAsia" w:cstheme="minorEastAsia"/>
                <w:b w:val="0"/>
                <w:bCs w:val="0"/>
                <w:sz w:val="18"/>
                <w:szCs w:val="18"/>
                <w:lang w:val="en-US" w:eastAsia="zh-CN"/>
              </w:rPr>
              <w:t>1958.21</w:t>
            </w:r>
            <w:r>
              <w:rPr>
                <w:rFonts w:hint="eastAsia" w:ascii="宋体" w:hAnsi="宋体" w:eastAsia="宋体" w:cs="宋体"/>
                <w:color w:val="000000"/>
                <w:kern w:val="0"/>
                <w:sz w:val="18"/>
                <w:szCs w:val="18"/>
                <w:lang w:val="en-US" w:eastAsia="zh-CN"/>
              </w:rPr>
              <w:t>万元</w:t>
            </w:r>
          </w:p>
        </w:tc>
        <w:tc>
          <w:tcPr>
            <w:tcW w:w="1703" w:type="dxa"/>
            <w:gridSpan w:val="2"/>
            <w:tcBorders>
              <w:top w:val="single" w:color="auto" w:sz="4" w:space="0"/>
              <w:left w:val="single" w:color="auto" w:sz="4" w:space="0"/>
              <w:bottom w:val="single" w:color="auto" w:sz="4" w:space="0"/>
              <w:right w:val="single" w:color="auto" w:sz="4" w:space="0"/>
            </w:tcBorders>
            <w:noWrap/>
            <w:vAlign w:val="center"/>
          </w:tcPr>
          <w:p w14:paraId="0BBF2A7F">
            <w:pPr>
              <w:widowControl/>
              <w:spacing w:line="240" w:lineRule="exact"/>
              <w:jc w:val="left"/>
              <w:textAlignment w:val="center"/>
              <w:rPr>
                <w:rFonts w:hint="eastAsia" w:ascii="宋体" w:hAnsi="宋体" w:eastAsia="宋体" w:cs="宋体"/>
                <w:color w:val="000000"/>
                <w:kern w:val="0"/>
                <w:sz w:val="18"/>
                <w:szCs w:val="18"/>
              </w:rPr>
            </w:pPr>
            <w:r>
              <w:rPr>
                <w:rFonts w:hint="eastAsia" w:asciiTheme="minorEastAsia" w:hAnsiTheme="minorEastAsia" w:eastAsiaTheme="minorEastAsia" w:cstheme="minorEastAsia"/>
                <w:b w:val="0"/>
                <w:bCs w:val="0"/>
                <w:sz w:val="18"/>
                <w:szCs w:val="18"/>
                <w:lang w:val="en-US" w:eastAsia="zh-CN"/>
              </w:rPr>
              <w:t>1958.21</w:t>
            </w:r>
            <w:r>
              <w:rPr>
                <w:rFonts w:hint="eastAsia" w:ascii="宋体" w:hAnsi="宋体" w:eastAsia="宋体" w:cs="宋体"/>
                <w:color w:val="000000"/>
                <w:kern w:val="0"/>
                <w:sz w:val="18"/>
                <w:szCs w:val="18"/>
                <w:lang w:val="en-US" w:eastAsia="zh-CN"/>
              </w:rPr>
              <w:t>万元</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487F8889">
            <w:pPr>
              <w:widowControl/>
              <w:spacing w:line="240" w:lineRule="exact"/>
              <w:jc w:val="left"/>
              <w:textAlignment w:val="center"/>
              <w:rPr>
                <w:rFonts w:hint="eastAsia" w:ascii="宋体" w:hAnsi="宋体" w:eastAsia="宋体" w:cs="宋体"/>
                <w:color w:val="000000"/>
                <w:kern w:val="0"/>
                <w:sz w:val="18"/>
                <w:szCs w:val="18"/>
              </w:rPr>
            </w:pPr>
          </w:p>
        </w:tc>
      </w:tr>
      <w:tr w14:paraId="5FA83266">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443F9B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141" w:type="dxa"/>
            <w:gridSpan w:val="2"/>
            <w:tcBorders>
              <w:top w:val="single" w:color="000000" w:sz="4" w:space="0"/>
              <w:left w:val="single" w:color="auto" w:sz="4" w:space="0"/>
              <w:bottom w:val="single" w:color="000000" w:sz="4" w:space="0"/>
              <w:right w:val="single" w:color="000000" w:sz="4" w:space="0"/>
            </w:tcBorders>
            <w:noWrap/>
            <w:vAlign w:val="center"/>
          </w:tcPr>
          <w:p w14:paraId="229806DF">
            <w:pPr>
              <w:widowControl/>
              <w:spacing w:line="240" w:lineRule="exact"/>
              <w:jc w:val="left"/>
              <w:textAlignment w:val="center"/>
              <w:rPr>
                <w:rFonts w:hint="eastAsia" w:ascii="宋体" w:hAnsi="宋体" w:eastAsia="宋体" w:cs="宋体"/>
                <w:color w:val="000000"/>
                <w:kern w:val="0"/>
                <w:sz w:val="18"/>
                <w:szCs w:val="18"/>
              </w:rPr>
            </w:pPr>
            <w:r>
              <w:rPr>
                <w:rFonts w:hint="eastAsia" w:asciiTheme="minorEastAsia" w:hAnsiTheme="minorEastAsia" w:eastAsiaTheme="minorEastAsia" w:cstheme="minorEastAsia"/>
                <w:b w:val="0"/>
                <w:bCs w:val="0"/>
                <w:sz w:val="18"/>
                <w:szCs w:val="18"/>
                <w:lang w:val="en-US" w:eastAsia="zh-CN"/>
              </w:rPr>
              <w:t>1958.21</w:t>
            </w:r>
            <w:r>
              <w:rPr>
                <w:rFonts w:hint="eastAsia" w:ascii="宋体" w:hAnsi="宋体" w:eastAsia="宋体" w:cs="宋体"/>
                <w:color w:val="000000"/>
                <w:kern w:val="0"/>
                <w:sz w:val="18"/>
                <w:szCs w:val="18"/>
                <w:lang w:val="en-US" w:eastAsia="zh-CN"/>
              </w:rPr>
              <w:t>万元</w:t>
            </w:r>
          </w:p>
        </w:tc>
        <w:tc>
          <w:tcPr>
            <w:tcW w:w="1703" w:type="dxa"/>
            <w:gridSpan w:val="2"/>
            <w:tcBorders>
              <w:top w:val="single" w:color="auto" w:sz="4" w:space="0"/>
              <w:left w:val="single" w:color="000000" w:sz="4" w:space="0"/>
              <w:bottom w:val="single" w:color="000000" w:sz="4" w:space="0"/>
              <w:right w:val="single" w:color="000000" w:sz="4" w:space="0"/>
            </w:tcBorders>
            <w:noWrap/>
            <w:vAlign w:val="center"/>
          </w:tcPr>
          <w:p w14:paraId="61632864">
            <w:pPr>
              <w:widowControl/>
              <w:spacing w:line="240" w:lineRule="exact"/>
              <w:jc w:val="left"/>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Theme="minorEastAsia" w:hAnsiTheme="minorEastAsia" w:eastAsiaTheme="minorEastAsia" w:cstheme="minorEastAsia"/>
                <w:b w:val="0"/>
                <w:bCs w:val="0"/>
                <w:sz w:val="18"/>
                <w:szCs w:val="18"/>
                <w:lang w:val="en-US" w:eastAsia="zh-CN"/>
              </w:rPr>
              <w:t>1958.21</w:t>
            </w:r>
            <w:r>
              <w:rPr>
                <w:rFonts w:hint="eastAsia" w:ascii="宋体" w:hAnsi="宋体" w:eastAsia="宋体" w:cs="宋体"/>
                <w:color w:val="000000"/>
                <w:kern w:val="0"/>
                <w:sz w:val="18"/>
                <w:szCs w:val="18"/>
                <w:lang w:val="en-US" w:eastAsia="zh-CN"/>
              </w:rPr>
              <w:t>万元</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0C1F11ED">
            <w:pPr>
              <w:widowControl/>
              <w:spacing w:line="240" w:lineRule="exact"/>
              <w:jc w:val="left"/>
              <w:textAlignment w:val="center"/>
              <w:rPr>
                <w:rFonts w:hint="eastAsia" w:ascii="宋体" w:hAnsi="宋体" w:eastAsia="宋体" w:cs="宋体"/>
                <w:color w:val="000000"/>
                <w:kern w:val="0"/>
                <w:sz w:val="18"/>
                <w:szCs w:val="18"/>
              </w:rPr>
            </w:pPr>
          </w:p>
        </w:tc>
      </w:tr>
      <w:tr w14:paraId="0970F43B">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74D1A77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DA28A">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000000"/>
                <w:kern w:val="2"/>
                <w:sz w:val="18"/>
                <w:szCs w:val="18"/>
                <w:u w:val="none"/>
                <w:lang w:val="en-US" w:eastAsia="zh-CN" w:bidi="ar-SA"/>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b w:val="0"/>
                <w:bCs w:val="0"/>
                <w:sz w:val="18"/>
                <w:szCs w:val="18"/>
              </w:rPr>
              <w:t>在县委、县政府的坚强领导下，土门镇紧扣"产业振兴、生态守护、民生改善、治理提效"四大核心任务，主动融入州委高质量发展大局，以打造"民族地区高质量发展标杆镇"为总目标，奋力谱写农业强、生态美、文化兴、百姓富的现代化新篇章</w:t>
            </w:r>
          </w:p>
        </w:tc>
      </w:tr>
      <w:tr w14:paraId="655DFFDF">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38B957C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2EB003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334AE60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137776A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95" w:type="dxa"/>
            <w:vMerge w:val="restart"/>
            <w:tcBorders>
              <w:top w:val="single" w:color="000000" w:sz="4" w:space="0"/>
              <w:left w:val="single" w:color="000000" w:sz="4" w:space="0"/>
              <w:bottom w:val="single" w:color="000000" w:sz="4" w:space="0"/>
              <w:right w:val="single" w:color="000000" w:sz="4" w:space="0"/>
            </w:tcBorders>
            <w:noWrap/>
            <w:vAlign w:val="center"/>
          </w:tcPr>
          <w:p w14:paraId="5464AA0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859" w:type="dxa"/>
            <w:gridSpan w:val="4"/>
            <w:tcBorders>
              <w:top w:val="single" w:color="000000" w:sz="4" w:space="0"/>
              <w:left w:val="single" w:color="000000" w:sz="4" w:space="0"/>
              <w:bottom w:val="single" w:color="000000" w:sz="4" w:space="0"/>
              <w:right w:val="single" w:color="000000" w:sz="4" w:space="0"/>
            </w:tcBorders>
            <w:noWrap/>
            <w:vAlign w:val="center"/>
          </w:tcPr>
          <w:p w14:paraId="4DE5B50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5E7ABF4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2CC84D6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4D655CC">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779D4FD">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2DF0FD7">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2F6D4F6D">
            <w:pPr>
              <w:widowControl/>
              <w:spacing w:line="240" w:lineRule="exact"/>
              <w:jc w:val="center"/>
              <w:textAlignment w:val="center"/>
              <w:rPr>
                <w:rFonts w:ascii="宋体" w:hAnsi="宋体" w:eastAsia="宋体" w:cs="宋体"/>
                <w:color w:val="000000"/>
                <w:kern w:val="0"/>
                <w:sz w:val="24"/>
              </w:rPr>
            </w:pPr>
          </w:p>
        </w:tc>
        <w:tc>
          <w:tcPr>
            <w:tcW w:w="895" w:type="dxa"/>
            <w:vMerge w:val="continue"/>
            <w:tcBorders>
              <w:top w:val="single" w:color="000000" w:sz="4" w:space="0"/>
              <w:left w:val="single" w:color="000000" w:sz="4" w:space="0"/>
              <w:bottom w:val="single" w:color="000000" w:sz="4" w:space="0"/>
              <w:right w:val="single" w:color="000000" w:sz="4" w:space="0"/>
            </w:tcBorders>
            <w:noWrap/>
            <w:vAlign w:val="center"/>
          </w:tcPr>
          <w:p w14:paraId="1E1D8D77">
            <w:pPr>
              <w:widowControl/>
              <w:spacing w:line="240" w:lineRule="exact"/>
              <w:jc w:val="center"/>
              <w:textAlignment w:val="center"/>
              <w:rPr>
                <w:rFonts w:ascii="宋体" w:hAnsi="宋体" w:eastAsia="宋体" w:cs="宋体"/>
                <w:color w:val="000000"/>
                <w:kern w:val="0"/>
                <w:sz w:val="24"/>
              </w:rPr>
            </w:pPr>
          </w:p>
        </w:tc>
        <w:tc>
          <w:tcPr>
            <w:tcW w:w="685" w:type="dxa"/>
            <w:tcBorders>
              <w:top w:val="single" w:color="000000" w:sz="4" w:space="0"/>
              <w:left w:val="single" w:color="000000" w:sz="4" w:space="0"/>
              <w:right w:val="single" w:color="000000" w:sz="4" w:space="0"/>
            </w:tcBorders>
            <w:noWrap/>
            <w:vAlign w:val="center"/>
          </w:tcPr>
          <w:p w14:paraId="23E935D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4DF3465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86DC48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021C99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44F1AA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2D1CBB7E">
            <w:pPr>
              <w:widowControl/>
              <w:spacing w:line="240" w:lineRule="exact"/>
              <w:jc w:val="center"/>
              <w:textAlignment w:val="center"/>
              <w:rPr>
                <w:rFonts w:ascii="宋体" w:hAnsi="宋体" w:eastAsia="宋体" w:cs="宋体"/>
                <w:color w:val="000000"/>
                <w:kern w:val="0"/>
                <w:sz w:val="24"/>
              </w:rPr>
            </w:pPr>
          </w:p>
        </w:tc>
      </w:tr>
      <w:tr w14:paraId="5F86C94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8ADE0B8">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05563C1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408BEE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01F296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290B18C8">
            <w:pPr>
              <w:widowControl/>
              <w:spacing w:line="240" w:lineRule="exact"/>
              <w:jc w:val="left"/>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46.15%</w:t>
            </w:r>
            <w:r>
              <w:rPr>
                <w:rFonts w:hint="eastAsia" w:ascii="宋体" w:hAnsi="宋体" w:eastAsia="宋体" w:cs="宋体"/>
                <w:color w:val="000000"/>
                <w:kern w:val="0"/>
                <w:sz w:val="18"/>
                <w:szCs w:val="18"/>
              </w:rPr>
              <w:t>%</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ADAA0A1">
            <w:pPr>
              <w:widowControl/>
              <w:spacing w:line="240" w:lineRule="exact"/>
              <w:jc w:val="left"/>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46.15%</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4E0437C">
            <w:pPr>
              <w:widowControl/>
              <w:spacing w:line="240" w:lineRule="exact"/>
              <w:jc w:val="left"/>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52.83%</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7ECE92F">
            <w:pPr>
              <w:widowControl/>
              <w:spacing w:line="240" w:lineRule="exact"/>
              <w:jc w:val="left"/>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43.33%</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6BA2D84">
            <w:pPr>
              <w:widowControl/>
              <w:spacing w:line="240" w:lineRule="exact"/>
              <w:jc w:val="left"/>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60.04%</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8DEA990">
            <w:pPr>
              <w:widowControl/>
              <w:spacing w:line="240" w:lineRule="exact"/>
              <w:jc w:val="left"/>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59.40%</w:t>
            </w:r>
          </w:p>
        </w:tc>
      </w:tr>
      <w:tr w14:paraId="2D6CB22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55CAFCE">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B809A32">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43E1240">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60B8BF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5C80CAE0">
            <w:pPr>
              <w:widowControl/>
              <w:spacing w:line="240" w:lineRule="exact"/>
              <w:jc w:val="left"/>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03FC1164">
            <w:pPr>
              <w:widowControl/>
              <w:spacing w:line="240" w:lineRule="exact"/>
              <w:jc w:val="left"/>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81043C3">
            <w:pPr>
              <w:widowControl/>
              <w:spacing w:line="240" w:lineRule="exact"/>
              <w:jc w:val="left"/>
              <w:textAlignment w:val="center"/>
              <w:rPr>
                <w:rFonts w:hint="eastAsia" w:ascii="宋体" w:hAnsi="宋体" w:eastAsia="宋体" w:cs="宋体"/>
                <w:color w:val="000000"/>
                <w:kern w:val="0"/>
                <w:sz w:val="18"/>
                <w:szCs w:val="18"/>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4027782">
            <w:pPr>
              <w:widowControl/>
              <w:spacing w:line="240" w:lineRule="exact"/>
              <w:jc w:val="left"/>
              <w:textAlignment w:val="center"/>
              <w:rPr>
                <w:rFonts w:hint="eastAsia" w:ascii="宋体" w:hAnsi="宋体" w:eastAsia="宋体" w:cs="宋体"/>
                <w:color w:val="000000"/>
                <w:kern w:val="0"/>
                <w:sz w:val="18"/>
                <w:szCs w:val="18"/>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A6FEF33">
            <w:pPr>
              <w:widowControl/>
              <w:spacing w:line="240" w:lineRule="exact"/>
              <w:jc w:val="left"/>
              <w:textAlignment w:val="center"/>
              <w:rPr>
                <w:rFonts w:hint="eastAsia" w:ascii="宋体" w:hAnsi="宋体" w:eastAsia="宋体" w:cs="宋体"/>
                <w:color w:val="000000"/>
                <w:kern w:val="0"/>
                <w:sz w:val="18"/>
                <w:szCs w:val="18"/>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5509AC4">
            <w:pPr>
              <w:widowControl/>
              <w:spacing w:line="240" w:lineRule="exact"/>
              <w:jc w:val="left"/>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r>
      <w:tr w14:paraId="5D76F85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2123DC9">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8D44F33">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59C14E3">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C61193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01D6241F">
            <w:pPr>
              <w:widowControl/>
              <w:spacing w:line="240" w:lineRule="exact"/>
              <w:jc w:val="left"/>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30.01%</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554DA4CC">
            <w:pPr>
              <w:widowControl/>
              <w:spacing w:line="240" w:lineRule="exact"/>
              <w:jc w:val="left"/>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30.01</w:t>
            </w:r>
            <w:r>
              <w:rPr>
                <w:rFonts w:hint="eastAsia" w:ascii="宋体" w:hAnsi="宋体" w:eastAsia="宋体" w:cs="宋体"/>
                <w:color w:val="000000"/>
                <w:kern w:val="0"/>
                <w:sz w:val="18"/>
                <w:szCs w:val="18"/>
              </w:rPr>
              <w:t>%</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1BA9">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13.06%</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4E491">
            <w:pPr>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2.23%</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DC8FD70">
            <w:pPr>
              <w:widowControl/>
              <w:spacing w:line="240" w:lineRule="exact"/>
              <w:jc w:val="left"/>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30.01%</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9B74496">
            <w:pPr>
              <w:widowControl/>
              <w:spacing w:line="240" w:lineRule="exact"/>
              <w:jc w:val="left"/>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r>
      <w:tr w14:paraId="0003E86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A117D56">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6C8CEB5">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D566724">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04CCF9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1F4B45AB">
            <w:pPr>
              <w:widowControl/>
              <w:spacing w:line="240" w:lineRule="exact"/>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≤29.75万元</w:t>
            </w:r>
          </w:p>
        </w:tc>
        <w:tc>
          <w:tcPr>
            <w:tcW w:w="3859" w:type="dxa"/>
            <w:gridSpan w:val="4"/>
            <w:tcBorders>
              <w:top w:val="single" w:color="000000" w:sz="4" w:space="0"/>
              <w:left w:val="single" w:color="000000" w:sz="4" w:space="0"/>
              <w:bottom w:val="single" w:color="000000" w:sz="4" w:space="0"/>
              <w:right w:val="single" w:color="000000" w:sz="4" w:space="0"/>
            </w:tcBorders>
            <w:noWrap/>
            <w:vAlign w:val="center"/>
          </w:tcPr>
          <w:p w14:paraId="643E8CF1">
            <w:pPr>
              <w:widowControl/>
              <w:spacing w:line="240" w:lineRule="exact"/>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x为上年一般性支出金额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7672295">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49.27%</w:t>
            </w:r>
          </w:p>
        </w:tc>
      </w:tr>
      <w:tr w14:paraId="4107E14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678E76F">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4F89969">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28BF3F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CA89F3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550CA38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3859" w:type="dxa"/>
            <w:gridSpan w:val="4"/>
            <w:tcBorders>
              <w:top w:val="single" w:color="000000" w:sz="4" w:space="0"/>
              <w:left w:val="single" w:color="000000" w:sz="4" w:space="0"/>
              <w:bottom w:val="single" w:color="000000" w:sz="4" w:space="0"/>
              <w:right w:val="single" w:color="000000" w:sz="4" w:space="0"/>
            </w:tcBorders>
            <w:noWrap/>
            <w:vAlign w:val="center"/>
          </w:tcPr>
          <w:p w14:paraId="76C03A9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1A8D88A">
            <w:pPr>
              <w:widowControl/>
              <w:spacing w:line="240" w:lineRule="exact"/>
              <w:jc w:val="center"/>
              <w:textAlignment w:val="center"/>
              <w:rPr>
                <w:rFonts w:ascii="宋体" w:hAnsi="宋体" w:eastAsia="宋体" w:cs="宋体"/>
                <w:color w:val="000000"/>
                <w:kern w:val="0"/>
                <w:sz w:val="24"/>
              </w:rPr>
            </w:pPr>
          </w:p>
        </w:tc>
      </w:tr>
      <w:tr w14:paraId="00968C65">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60B4E2F">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A9D919A">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740EA6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03818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55832B39">
            <w:pPr>
              <w:widowControl/>
              <w:spacing w:line="240" w:lineRule="exact"/>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27D1553C">
            <w:pPr>
              <w:widowControl/>
              <w:spacing w:line="240" w:lineRule="exact"/>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0D2FF7A">
            <w:pPr>
              <w:widowControl/>
              <w:spacing w:line="240" w:lineRule="exact"/>
              <w:jc w:val="left"/>
              <w:textAlignment w:val="center"/>
              <w:rPr>
                <w:rFonts w:hint="eastAsia" w:ascii="宋体" w:hAnsi="宋体" w:eastAsia="宋体" w:cs="宋体"/>
                <w:color w:val="000000"/>
                <w:kern w:val="0"/>
                <w:sz w:val="18"/>
                <w:szCs w:val="18"/>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E5AFD53">
            <w:pPr>
              <w:widowControl/>
              <w:spacing w:line="240" w:lineRule="exact"/>
              <w:jc w:val="left"/>
              <w:textAlignment w:val="center"/>
              <w:rPr>
                <w:rFonts w:hint="eastAsia" w:ascii="宋体" w:hAnsi="宋体" w:eastAsia="宋体" w:cs="宋体"/>
                <w:color w:val="000000"/>
                <w:kern w:val="0"/>
                <w:sz w:val="18"/>
                <w:szCs w:val="18"/>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EE83415">
            <w:pPr>
              <w:widowControl/>
              <w:spacing w:line="240" w:lineRule="exact"/>
              <w:jc w:val="left"/>
              <w:textAlignment w:val="center"/>
              <w:rPr>
                <w:rFonts w:hint="eastAsia" w:ascii="宋体" w:hAnsi="宋体" w:eastAsia="宋体" w:cs="宋体"/>
                <w:color w:val="000000"/>
                <w:kern w:val="0"/>
                <w:sz w:val="18"/>
                <w:szCs w:val="18"/>
                <w:lang w:val="en-US" w:eastAsia="zh-CN"/>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EC4C15B">
            <w:pPr>
              <w:widowControl/>
              <w:spacing w:line="240" w:lineRule="exact"/>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r>
      <w:tr w14:paraId="7E60596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D466A83">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DAA8122">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A12A87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6A67D0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95" w:type="dxa"/>
            <w:tcBorders>
              <w:top w:val="single" w:color="000000" w:sz="4" w:space="0"/>
              <w:left w:val="single" w:color="000000" w:sz="4" w:space="0"/>
              <w:bottom w:val="single" w:color="000000" w:sz="4" w:space="0"/>
              <w:right w:val="single" w:color="000000" w:sz="4" w:space="0"/>
            </w:tcBorders>
            <w:noWrap/>
            <w:vAlign w:val="center"/>
          </w:tcPr>
          <w:p w14:paraId="0AE2E879">
            <w:pPr>
              <w:widowControl/>
              <w:spacing w:line="240" w:lineRule="exact"/>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685" w:type="dxa"/>
            <w:tcBorders>
              <w:top w:val="single" w:color="000000" w:sz="4" w:space="0"/>
              <w:left w:val="single" w:color="000000" w:sz="4" w:space="0"/>
              <w:bottom w:val="single" w:color="000000" w:sz="4" w:space="0"/>
              <w:right w:val="single" w:color="000000" w:sz="4" w:space="0"/>
            </w:tcBorders>
            <w:noWrap/>
            <w:vAlign w:val="center"/>
          </w:tcPr>
          <w:p w14:paraId="172EA2C9">
            <w:pPr>
              <w:widowControl/>
              <w:spacing w:line="240" w:lineRule="exact"/>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312788B">
            <w:pPr>
              <w:widowControl/>
              <w:spacing w:line="240" w:lineRule="exact"/>
              <w:jc w:val="left"/>
              <w:textAlignment w:val="center"/>
              <w:rPr>
                <w:rFonts w:hint="eastAsia" w:ascii="宋体" w:hAnsi="宋体" w:eastAsia="宋体" w:cs="宋体"/>
                <w:color w:val="000000"/>
                <w:kern w:val="0"/>
                <w:sz w:val="18"/>
                <w:szCs w:val="18"/>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2B51B2F">
            <w:pPr>
              <w:widowControl/>
              <w:spacing w:line="240" w:lineRule="exact"/>
              <w:jc w:val="left"/>
              <w:textAlignment w:val="center"/>
              <w:rPr>
                <w:rFonts w:hint="eastAsia" w:ascii="宋体" w:hAnsi="宋体" w:eastAsia="宋体" w:cs="宋体"/>
                <w:color w:val="000000"/>
                <w:kern w:val="0"/>
                <w:sz w:val="18"/>
                <w:szCs w:val="18"/>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6522028">
            <w:pPr>
              <w:widowControl/>
              <w:spacing w:line="240" w:lineRule="exact"/>
              <w:jc w:val="left"/>
              <w:textAlignment w:val="center"/>
              <w:rPr>
                <w:rFonts w:hint="eastAsia" w:ascii="宋体" w:hAnsi="宋体" w:eastAsia="宋体" w:cs="宋体"/>
                <w:color w:val="000000"/>
                <w:kern w:val="0"/>
                <w:sz w:val="18"/>
                <w:szCs w:val="18"/>
                <w:lang w:val="en-US" w:eastAsia="zh-CN"/>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ABF99BE">
            <w:pPr>
              <w:widowControl/>
              <w:spacing w:line="240" w:lineRule="exact"/>
              <w:jc w:val="left"/>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r>
      <w:tr w14:paraId="5DA42934">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761CC8F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4233AA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490FD4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978A7A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99F272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7D505E2">
            <w:pPr>
              <w:widowControl/>
              <w:spacing w:line="240" w:lineRule="exact"/>
              <w:jc w:val="center"/>
              <w:textAlignment w:val="center"/>
              <w:rPr>
                <w:rFonts w:ascii="宋体" w:hAnsi="宋体" w:eastAsia="宋体" w:cs="宋体"/>
                <w:color w:val="000000"/>
                <w:kern w:val="0"/>
                <w:sz w:val="24"/>
              </w:rPr>
            </w:pPr>
          </w:p>
        </w:tc>
      </w:tr>
      <w:tr w14:paraId="4F92CD8E">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ADB926F">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32A4B7D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5BD5">
            <w:pPr>
              <w:widowControl/>
              <w:jc w:val="left"/>
              <w:textAlignment w:val="center"/>
              <w:rPr>
                <w:rFonts w:ascii="Times New Roman" w:hAnsi="Times New Roman" w:eastAsia="宋体" w:cs="Times New Roman"/>
                <w:color w:val="000000"/>
                <w:kern w:val="2"/>
                <w:sz w:val="24"/>
                <w:szCs w:val="24"/>
                <w:lang w:val="en-US" w:eastAsia="zh-CN" w:bidi="ar-SA"/>
              </w:rPr>
            </w:pPr>
            <w:r>
              <w:rPr>
                <w:rFonts w:ascii="宋体" w:hAnsi="宋体" w:eastAsia="宋体" w:cs="宋体"/>
                <w:i w:val="0"/>
                <w:color w:val="000000"/>
                <w:kern w:val="0"/>
                <w:sz w:val="18"/>
                <w:szCs w:val="18"/>
                <w:u w:val="none"/>
                <w:lang w:val="en-US" w:eastAsia="zh-CN" w:bidi="ar-SA"/>
              </w:rPr>
              <w:t>质量指标</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881AE">
            <w:pPr>
              <w:widowControl/>
              <w:jc w:val="left"/>
              <w:textAlignment w:val="center"/>
              <w:rPr>
                <w:rFonts w:ascii="Times New Roman" w:hAnsi="Times New Roman" w:eastAsia="宋体" w:cs="Times New Roman"/>
                <w:color w:val="000000"/>
                <w:kern w:val="2"/>
                <w:sz w:val="24"/>
                <w:szCs w:val="24"/>
                <w:lang w:val="en-US" w:eastAsia="zh-CN" w:bidi="ar-SA"/>
              </w:rPr>
            </w:pPr>
            <w:r>
              <w:rPr>
                <w:rFonts w:ascii="宋体" w:hAnsi="宋体" w:eastAsia="宋体" w:cs="宋体"/>
                <w:i w:val="0"/>
                <w:color w:val="000000"/>
                <w:kern w:val="0"/>
                <w:sz w:val="18"/>
                <w:szCs w:val="18"/>
                <w:u w:val="none"/>
                <w:lang w:val="en-US" w:eastAsia="zh-CN" w:bidi="ar-SA"/>
              </w:rPr>
              <w:t>各项工作完成率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1899233">
            <w:pPr>
              <w:widowControl/>
              <w:spacing w:line="240" w:lineRule="exact"/>
              <w:jc w:val="center"/>
              <w:textAlignment w:val="center"/>
              <w:rPr>
                <w:rFonts w:hint="default" w:ascii="宋体" w:hAnsi="宋体" w:eastAsia="宋体" w:cs="宋体"/>
                <w:color w:val="000000"/>
                <w:kern w:val="0"/>
                <w:sz w:val="24"/>
                <w:lang w:val="en-US"/>
              </w:rPr>
            </w:pPr>
            <w:r>
              <w:rPr>
                <w:rFonts w:ascii="宋体" w:hAnsi="宋体" w:eastAsia="宋体" w:cs="宋体"/>
                <w:i w:val="0"/>
                <w:color w:val="000000"/>
                <w:kern w:val="0"/>
                <w:sz w:val="18"/>
                <w:szCs w:val="18"/>
                <w:u w:val="none"/>
                <w:lang w:val="en-US" w:eastAsia="zh-CN" w:bidi="ar-SA"/>
              </w:rPr>
              <w:t>≥</w:t>
            </w:r>
            <w:r>
              <w:rPr>
                <w:rFonts w:hint="eastAsia" w:ascii="宋体" w:hAnsi="宋体" w:eastAsia="宋体" w:cs="宋体"/>
                <w:i w:val="0"/>
                <w:color w:val="000000"/>
                <w:kern w:val="0"/>
                <w:sz w:val="18"/>
                <w:szCs w:val="18"/>
                <w:u w:val="none"/>
                <w:lang w:val="en-US" w:eastAsia="zh-CN" w:bidi="ar-SA"/>
              </w:rPr>
              <w:t>97%</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3ACE8D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4BA3180A">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AAF8F88">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4FE0827">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74E74">
            <w:pPr>
              <w:widowControl/>
              <w:jc w:val="left"/>
              <w:textAlignment w:val="center"/>
              <w:rPr>
                <w:rFonts w:ascii="Times New Roman" w:hAnsi="Times New Roman" w:eastAsia="宋体" w:cs="Times New Roman"/>
                <w:color w:val="000000"/>
                <w:kern w:val="2"/>
                <w:sz w:val="24"/>
                <w:szCs w:val="24"/>
                <w:lang w:val="en-US" w:eastAsia="zh-CN" w:bidi="ar-SA"/>
              </w:rPr>
            </w:pPr>
            <w:r>
              <w:rPr>
                <w:rFonts w:ascii="宋体" w:hAnsi="宋体" w:eastAsia="宋体" w:cs="宋体"/>
                <w:i w:val="0"/>
                <w:color w:val="000000"/>
                <w:kern w:val="0"/>
                <w:sz w:val="18"/>
                <w:szCs w:val="18"/>
                <w:u w:val="none"/>
                <w:lang w:val="en-US" w:eastAsia="zh-CN" w:bidi="ar-SA"/>
              </w:rPr>
              <w:t>时效指标</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738F">
            <w:pPr>
              <w:widowControl/>
              <w:jc w:val="left"/>
              <w:textAlignment w:val="center"/>
              <w:rPr>
                <w:rFonts w:ascii="Times New Roman" w:hAnsi="Times New Roman" w:eastAsia="宋体" w:cs="Times New Roman"/>
                <w:color w:val="000000"/>
                <w:kern w:val="2"/>
                <w:sz w:val="24"/>
                <w:szCs w:val="24"/>
                <w:lang w:val="en-US" w:eastAsia="zh-CN" w:bidi="ar-SA"/>
              </w:rPr>
            </w:pPr>
            <w:r>
              <w:rPr>
                <w:rFonts w:ascii="宋体" w:hAnsi="宋体" w:eastAsia="宋体" w:cs="宋体"/>
                <w:i w:val="0"/>
                <w:color w:val="000000"/>
                <w:kern w:val="0"/>
                <w:sz w:val="18"/>
                <w:szCs w:val="18"/>
                <w:u w:val="none"/>
                <w:lang w:val="en-US" w:eastAsia="zh-CN" w:bidi="ar-SA"/>
              </w:rPr>
              <w:t>按时完成预算投资，促进</w:t>
            </w:r>
            <w:r>
              <w:rPr>
                <w:rFonts w:hint="eastAsia" w:ascii="宋体" w:hAnsi="宋体" w:eastAsia="宋体" w:cs="宋体"/>
                <w:i w:val="0"/>
                <w:color w:val="000000"/>
                <w:kern w:val="0"/>
                <w:sz w:val="18"/>
                <w:szCs w:val="18"/>
                <w:u w:val="none"/>
                <w:lang w:val="en-US" w:eastAsia="zh-CN" w:bidi="ar-SA"/>
              </w:rPr>
              <w:t>土门</w:t>
            </w:r>
            <w:r>
              <w:rPr>
                <w:rFonts w:ascii="宋体" w:hAnsi="宋体" w:eastAsia="宋体" w:cs="宋体"/>
                <w:i w:val="0"/>
                <w:color w:val="000000"/>
                <w:kern w:val="0"/>
                <w:sz w:val="18"/>
                <w:szCs w:val="18"/>
                <w:u w:val="none"/>
                <w:lang w:val="en-US" w:eastAsia="zh-CN" w:bidi="ar-SA"/>
              </w:rPr>
              <w:t>镇经济发展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A90221A">
            <w:pPr>
              <w:widowControl/>
              <w:spacing w:line="240" w:lineRule="exact"/>
              <w:jc w:val="center"/>
              <w:textAlignment w:val="center"/>
              <w:rPr>
                <w:rFonts w:ascii="宋体" w:hAnsi="宋体" w:eastAsia="宋体" w:cs="宋体"/>
                <w:color w:val="000000"/>
                <w:kern w:val="0"/>
                <w:sz w:val="24"/>
              </w:rPr>
            </w:pPr>
            <w:r>
              <w:rPr>
                <w:rFonts w:ascii="宋体" w:hAnsi="宋体" w:eastAsia="宋体" w:cs="宋体"/>
                <w:i w:val="0"/>
                <w:color w:val="000000"/>
                <w:kern w:val="0"/>
                <w:sz w:val="18"/>
                <w:szCs w:val="18"/>
                <w:u w:val="none"/>
                <w:lang w:val="en-US" w:eastAsia="zh-CN" w:bidi="ar-SA"/>
              </w:rPr>
              <w:t>优良中差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05DFE32">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优</w:t>
            </w:r>
          </w:p>
        </w:tc>
      </w:tr>
      <w:tr w14:paraId="70FD4D7A">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5C167F7">
            <w:pPr>
              <w:widowControl/>
              <w:spacing w:line="240" w:lineRule="exact"/>
              <w:jc w:val="center"/>
              <w:textAlignment w:val="center"/>
              <w:rPr>
                <w:rFonts w:ascii="宋体" w:hAnsi="宋体" w:eastAsia="宋体" w:cs="宋体"/>
                <w:color w:val="000000"/>
                <w:kern w:val="0"/>
                <w:sz w:val="24"/>
              </w:rPr>
            </w:pPr>
          </w:p>
          <w:p w14:paraId="77BB96B2">
            <w:pPr>
              <w:pStyle w:val="22"/>
            </w:pPr>
          </w:p>
        </w:tc>
        <w:tc>
          <w:tcPr>
            <w:tcW w:w="593" w:type="dxa"/>
            <w:vMerge w:val="restart"/>
            <w:tcBorders>
              <w:top w:val="single" w:color="000000" w:sz="4" w:space="0"/>
              <w:left w:val="single" w:color="000000" w:sz="4" w:space="0"/>
              <w:right w:val="single" w:color="000000" w:sz="4" w:space="0"/>
            </w:tcBorders>
            <w:shd w:val="clear" w:color="auto" w:fill="auto"/>
            <w:noWrap/>
            <w:vAlign w:val="center"/>
          </w:tcPr>
          <w:p w14:paraId="56483440">
            <w:pPr>
              <w:widowControl/>
              <w:jc w:val="left"/>
              <w:textAlignment w:val="center"/>
              <w:rPr>
                <w:rFonts w:ascii="宋体" w:hAnsi="宋体" w:eastAsia="宋体" w:cs="宋体"/>
                <w:color w:val="000000"/>
                <w:kern w:val="0"/>
                <w:sz w:val="24"/>
                <w:szCs w:val="24"/>
                <w:lang w:val="en-US" w:eastAsia="zh-CN" w:bidi="ar-SA"/>
              </w:rPr>
            </w:pPr>
            <w:r>
              <w:rPr>
                <w:rFonts w:ascii="宋体" w:hAnsi="宋体" w:eastAsia="宋体" w:cs="宋体"/>
                <w:i w:val="0"/>
                <w:color w:val="000000"/>
                <w:kern w:val="0"/>
                <w:sz w:val="18"/>
                <w:szCs w:val="18"/>
                <w:u w:val="none"/>
                <w:lang w:val="en-US" w:eastAsia="zh-CN" w:bidi="ar-SA"/>
              </w:rPr>
              <w:t>效益指标</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FB545">
            <w:pPr>
              <w:widowControl/>
              <w:jc w:val="left"/>
              <w:textAlignment w:val="center"/>
              <w:rPr>
                <w:rFonts w:ascii="宋体" w:hAnsi="宋体" w:eastAsia="宋体" w:cs="宋体"/>
                <w:color w:val="000000"/>
                <w:kern w:val="0"/>
                <w:sz w:val="24"/>
                <w:szCs w:val="24"/>
                <w:lang w:val="en-US" w:eastAsia="zh-CN" w:bidi="ar-SA"/>
              </w:rPr>
            </w:pPr>
            <w:r>
              <w:rPr>
                <w:rFonts w:ascii="宋体" w:hAnsi="宋体" w:eastAsia="宋体" w:cs="宋体"/>
                <w:i w:val="0"/>
                <w:color w:val="000000"/>
                <w:kern w:val="0"/>
                <w:sz w:val="18"/>
                <w:szCs w:val="18"/>
                <w:u w:val="none"/>
                <w:lang w:val="en-US" w:eastAsia="zh-CN" w:bidi="ar-SA"/>
              </w:rPr>
              <w:t>经济效益指标</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AF20">
            <w:pPr>
              <w:widowControl/>
              <w:jc w:val="left"/>
              <w:textAlignment w:val="center"/>
              <w:rPr>
                <w:rFonts w:ascii="宋体" w:hAnsi="宋体" w:eastAsia="宋体" w:cs="宋体"/>
                <w:color w:val="000000"/>
                <w:kern w:val="0"/>
                <w:sz w:val="24"/>
                <w:szCs w:val="24"/>
                <w:lang w:val="en-US" w:eastAsia="zh-CN" w:bidi="ar-SA"/>
              </w:rPr>
            </w:pPr>
            <w:r>
              <w:rPr>
                <w:rFonts w:ascii="宋体" w:hAnsi="宋体" w:eastAsia="宋体" w:cs="宋体"/>
                <w:i w:val="0"/>
                <w:color w:val="000000"/>
                <w:kern w:val="0"/>
                <w:sz w:val="18"/>
                <w:szCs w:val="18"/>
                <w:u w:val="none"/>
                <w:lang w:val="en-US" w:eastAsia="zh-CN" w:bidi="ar-SA"/>
              </w:rPr>
              <w:t>提高辖区11个村经济发展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A51F17C">
            <w:pPr>
              <w:widowControl/>
              <w:spacing w:line="240" w:lineRule="exact"/>
              <w:jc w:val="center"/>
              <w:textAlignment w:val="center"/>
              <w:rPr>
                <w:rFonts w:hint="default" w:ascii="宋体" w:hAnsi="宋体" w:eastAsia="宋体" w:cs="宋体"/>
                <w:color w:val="000000"/>
                <w:kern w:val="0"/>
                <w:sz w:val="24"/>
                <w:lang w:val="en-US"/>
              </w:rPr>
            </w:pPr>
            <w:r>
              <w:rPr>
                <w:rFonts w:ascii="宋体" w:hAnsi="宋体" w:eastAsia="宋体" w:cs="宋体"/>
                <w:i w:val="0"/>
                <w:color w:val="000000"/>
                <w:kern w:val="0"/>
                <w:sz w:val="18"/>
                <w:szCs w:val="18"/>
                <w:u w:val="none"/>
                <w:lang w:val="en-US" w:eastAsia="zh-CN" w:bidi="ar-SA"/>
              </w:rPr>
              <w:t>≥</w:t>
            </w:r>
            <w:r>
              <w:rPr>
                <w:rFonts w:hint="eastAsia" w:ascii="宋体" w:hAnsi="宋体" w:eastAsia="宋体" w:cs="宋体"/>
                <w:i w:val="0"/>
                <w:color w:val="000000"/>
                <w:kern w:val="0"/>
                <w:sz w:val="18"/>
                <w:szCs w:val="18"/>
                <w:u w:val="none"/>
                <w:lang w:val="en-US" w:eastAsia="zh-CN" w:bidi="ar-SA"/>
              </w:rPr>
              <w:t>96%</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AB8B81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r>
      <w:tr w14:paraId="45F2BA9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C4F6732">
            <w:pPr>
              <w:pStyle w:val="22"/>
            </w:pPr>
          </w:p>
        </w:tc>
        <w:tc>
          <w:tcPr>
            <w:tcW w:w="593" w:type="dxa"/>
            <w:vMerge w:val="continue"/>
            <w:tcBorders>
              <w:left w:val="single" w:color="000000" w:sz="4" w:space="0"/>
              <w:right w:val="single" w:color="000000" w:sz="4" w:space="0"/>
            </w:tcBorders>
            <w:noWrap/>
            <w:vAlign w:val="center"/>
          </w:tcPr>
          <w:p w14:paraId="0F1168A8">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F6E4">
            <w:pPr>
              <w:widowControl/>
              <w:jc w:val="left"/>
              <w:textAlignment w:val="center"/>
              <w:rPr>
                <w:rFonts w:ascii="宋体" w:hAnsi="宋体" w:eastAsia="宋体" w:cs="宋体"/>
                <w:color w:val="000000"/>
                <w:kern w:val="0"/>
                <w:sz w:val="24"/>
                <w:szCs w:val="24"/>
                <w:lang w:val="en-US" w:eastAsia="zh-CN" w:bidi="ar-SA"/>
              </w:rPr>
            </w:pPr>
            <w:r>
              <w:rPr>
                <w:rFonts w:ascii="宋体" w:hAnsi="宋体" w:eastAsia="宋体" w:cs="宋体"/>
                <w:i w:val="0"/>
                <w:color w:val="000000"/>
                <w:kern w:val="0"/>
                <w:sz w:val="18"/>
                <w:szCs w:val="18"/>
                <w:u w:val="none"/>
                <w:lang w:val="en-US" w:eastAsia="zh-CN" w:bidi="ar-SA"/>
              </w:rPr>
              <w:t>社会效益指标</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1379">
            <w:pPr>
              <w:widowControl/>
              <w:jc w:val="left"/>
              <w:textAlignment w:val="center"/>
              <w:rPr>
                <w:rFonts w:ascii="宋体" w:hAnsi="宋体" w:eastAsia="宋体" w:cs="宋体"/>
                <w:color w:val="000000"/>
                <w:kern w:val="0"/>
                <w:sz w:val="24"/>
                <w:szCs w:val="24"/>
                <w:lang w:val="en-US" w:eastAsia="zh-CN" w:bidi="ar-SA"/>
              </w:rPr>
            </w:pPr>
            <w:r>
              <w:rPr>
                <w:rFonts w:ascii="宋体" w:hAnsi="宋体" w:eastAsia="宋体" w:cs="宋体"/>
                <w:i w:val="0"/>
                <w:color w:val="000000"/>
                <w:kern w:val="0"/>
                <w:sz w:val="18"/>
                <w:szCs w:val="18"/>
                <w:u w:val="none"/>
                <w:lang w:val="en-US" w:eastAsia="zh-CN" w:bidi="ar-SA"/>
              </w:rPr>
              <w:t>完成目标计划，提升公共服务能力</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0D19FC0">
            <w:pPr>
              <w:widowControl/>
              <w:spacing w:line="240" w:lineRule="exact"/>
              <w:jc w:val="center"/>
              <w:textAlignment w:val="center"/>
              <w:rPr>
                <w:rFonts w:ascii="宋体" w:hAnsi="宋体" w:eastAsia="宋体" w:cs="宋体"/>
                <w:color w:val="000000"/>
                <w:kern w:val="0"/>
                <w:sz w:val="24"/>
              </w:rPr>
            </w:pPr>
            <w:r>
              <w:rPr>
                <w:rFonts w:ascii="宋体" w:hAnsi="宋体" w:eastAsia="宋体" w:cs="宋体"/>
                <w:i w:val="0"/>
                <w:color w:val="000000"/>
                <w:kern w:val="0"/>
                <w:sz w:val="18"/>
                <w:szCs w:val="18"/>
                <w:u w:val="none"/>
                <w:lang w:val="en-US" w:eastAsia="zh-CN" w:bidi="ar-SA"/>
              </w:rPr>
              <w:t>≥</w:t>
            </w:r>
            <w:r>
              <w:rPr>
                <w:rFonts w:hint="eastAsia" w:ascii="宋体" w:hAnsi="宋体" w:eastAsia="宋体" w:cs="宋体"/>
                <w:i w:val="0"/>
                <w:color w:val="000000"/>
                <w:kern w:val="0"/>
                <w:sz w:val="18"/>
                <w:szCs w:val="18"/>
                <w:u w:val="none"/>
                <w:lang w:val="en-US" w:eastAsia="zh-CN" w:bidi="ar-SA"/>
              </w:rPr>
              <w:t>96%</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7BCF62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r>
      <w:tr w14:paraId="673809BA">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961A6D5">
            <w:pPr>
              <w:pStyle w:val="22"/>
            </w:pPr>
          </w:p>
        </w:tc>
        <w:tc>
          <w:tcPr>
            <w:tcW w:w="593" w:type="dxa"/>
            <w:vMerge w:val="continue"/>
            <w:tcBorders>
              <w:left w:val="single" w:color="000000" w:sz="4" w:space="0"/>
              <w:bottom w:val="single" w:color="000000" w:sz="4" w:space="0"/>
              <w:right w:val="single" w:color="000000" w:sz="4" w:space="0"/>
            </w:tcBorders>
            <w:noWrap/>
            <w:vAlign w:val="center"/>
          </w:tcPr>
          <w:p w14:paraId="11F9CEBD">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9E8F">
            <w:pPr>
              <w:widowControl/>
              <w:jc w:val="left"/>
              <w:textAlignment w:val="center"/>
              <w:rPr>
                <w:rFonts w:ascii="宋体" w:hAnsi="宋体" w:eastAsia="宋体" w:cs="宋体"/>
                <w:color w:val="000000"/>
                <w:kern w:val="0"/>
                <w:sz w:val="24"/>
                <w:szCs w:val="24"/>
                <w:lang w:val="en-US" w:eastAsia="zh-CN" w:bidi="ar-SA"/>
              </w:rPr>
            </w:pPr>
            <w:r>
              <w:rPr>
                <w:rFonts w:ascii="宋体" w:hAnsi="宋体" w:eastAsia="宋体" w:cs="宋体"/>
                <w:i w:val="0"/>
                <w:color w:val="000000"/>
                <w:kern w:val="0"/>
                <w:sz w:val="18"/>
                <w:szCs w:val="18"/>
                <w:u w:val="none"/>
                <w:lang w:val="en-US" w:eastAsia="zh-CN" w:bidi="ar-SA"/>
              </w:rPr>
              <w:t>可持续影响指标</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12171">
            <w:pPr>
              <w:widowControl/>
              <w:jc w:val="left"/>
              <w:textAlignment w:val="center"/>
              <w:rPr>
                <w:rFonts w:ascii="宋体" w:hAnsi="宋体" w:eastAsia="宋体" w:cs="宋体"/>
                <w:color w:val="000000"/>
                <w:kern w:val="0"/>
                <w:sz w:val="24"/>
                <w:szCs w:val="24"/>
                <w:lang w:val="en-US" w:eastAsia="zh-CN" w:bidi="ar-SA"/>
              </w:rPr>
            </w:pPr>
            <w:r>
              <w:rPr>
                <w:rFonts w:ascii="宋体" w:hAnsi="宋体" w:eastAsia="宋体" w:cs="宋体"/>
                <w:i w:val="0"/>
                <w:color w:val="000000"/>
                <w:kern w:val="0"/>
                <w:sz w:val="18"/>
                <w:szCs w:val="18"/>
                <w:u w:val="none"/>
                <w:lang w:val="en-US" w:eastAsia="zh-CN" w:bidi="ar-SA"/>
              </w:rPr>
              <w:t>保障2024年单位正常运转</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F4746F0">
            <w:pPr>
              <w:widowControl/>
              <w:spacing w:line="240" w:lineRule="exact"/>
              <w:jc w:val="center"/>
              <w:textAlignment w:val="center"/>
              <w:rPr>
                <w:rFonts w:hint="default" w:ascii="宋体" w:hAnsi="宋体" w:eastAsia="宋体" w:cs="宋体"/>
                <w:color w:val="000000"/>
                <w:kern w:val="0"/>
                <w:sz w:val="24"/>
                <w:lang w:val="en-US"/>
              </w:rPr>
            </w:pPr>
            <w:r>
              <w:rPr>
                <w:rFonts w:ascii="宋体" w:hAnsi="宋体" w:eastAsia="宋体" w:cs="宋体"/>
                <w:i w:val="0"/>
                <w:color w:val="000000"/>
                <w:kern w:val="0"/>
                <w:sz w:val="18"/>
                <w:szCs w:val="18"/>
                <w:u w:val="none"/>
                <w:lang w:val="en-US" w:eastAsia="zh-CN" w:bidi="ar-SA"/>
              </w:rPr>
              <w:t>＝</w:t>
            </w:r>
            <w:r>
              <w:rPr>
                <w:rFonts w:hint="eastAsia" w:ascii="宋体" w:hAnsi="宋体" w:eastAsia="宋体" w:cs="宋体"/>
                <w:i w:val="0"/>
                <w:color w:val="000000"/>
                <w:kern w:val="0"/>
                <w:sz w:val="18"/>
                <w:szCs w:val="18"/>
                <w:u w:val="none"/>
                <w:lang w:val="en-US" w:eastAsia="zh-CN" w:bidi="ar-SA"/>
              </w:rPr>
              <w:t>1年</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CE1145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r>
      <w:tr w14:paraId="0E4B2650">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07D6C11">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144FE4C">
            <w:pPr>
              <w:widowControl/>
              <w:jc w:val="left"/>
              <w:textAlignment w:val="center"/>
              <w:rPr>
                <w:rFonts w:ascii="宋体" w:hAnsi="宋体" w:eastAsia="宋体" w:cs="宋体"/>
                <w:color w:val="000000"/>
                <w:kern w:val="0"/>
                <w:sz w:val="24"/>
              </w:rPr>
            </w:pPr>
            <w:r>
              <w:rPr>
                <w:rFonts w:ascii="宋体" w:hAnsi="宋体" w:eastAsia="宋体" w:cs="宋体"/>
                <w:i w:val="0"/>
                <w:color w:val="000000"/>
                <w:kern w:val="0"/>
                <w:sz w:val="18"/>
                <w:szCs w:val="18"/>
                <w:u w:val="none"/>
                <w:lang w:val="en-US" w:eastAsia="zh-CN" w:bidi="ar-SA"/>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B6038C4">
            <w:pPr>
              <w:widowControl/>
              <w:jc w:val="left"/>
              <w:textAlignment w:val="center"/>
              <w:rPr>
                <w:rFonts w:ascii="宋体" w:hAnsi="宋体" w:eastAsia="宋体" w:cs="宋体"/>
                <w:color w:val="000000"/>
                <w:kern w:val="0"/>
                <w:sz w:val="24"/>
              </w:rPr>
            </w:pPr>
            <w:r>
              <w:rPr>
                <w:rFonts w:ascii="宋体" w:hAnsi="宋体" w:eastAsia="宋体" w:cs="宋体"/>
                <w:i w:val="0"/>
                <w:color w:val="000000"/>
                <w:kern w:val="0"/>
                <w:sz w:val="18"/>
                <w:szCs w:val="18"/>
                <w:u w:val="none"/>
                <w:lang w:val="en-US" w:eastAsia="zh-CN" w:bidi="ar-SA"/>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896EAD5">
            <w:pPr>
              <w:widowControl/>
              <w:jc w:val="left"/>
              <w:textAlignment w:val="center"/>
              <w:rPr>
                <w:rFonts w:ascii="宋体" w:hAnsi="宋体" w:eastAsia="宋体" w:cs="宋体"/>
                <w:color w:val="000000"/>
                <w:kern w:val="0"/>
                <w:sz w:val="24"/>
              </w:rPr>
            </w:pPr>
            <w:r>
              <w:rPr>
                <w:rFonts w:ascii="宋体" w:hAnsi="宋体" w:eastAsia="宋体" w:cs="宋体"/>
                <w:i w:val="0"/>
                <w:color w:val="000000"/>
                <w:kern w:val="0"/>
                <w:sz w:val="18"/>
                <w:szCs w:val="18"/>
                <w:u w:val="none"/>
                <w:lang w:val="en-US" w:eastAsia="zh-CN" w:bidi="ar-SA"/>
              </w:rPr>
              <w:t>辖区人民群众满意度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C8AAD89">
            <w:pPr>
              <w:widowControl/>
              <w:spacing w:line="240" w:lineRule="exact"/>
              <w:jc w:val="center"/>
              <w:textAlignment w:val="center"/>
              <w:rPr>
                <w:rFonts w:hint="default" w:ascii="宋体" w:hAnsi="宋体" w:eastAsia="宋体" w:cs="宋体"/>
                <w:color w:val="000000"/>
                <w:kern w:val="0"/>
                <w:sz w:val="24"/>
                <w:lang w:val="en-US"/>
              </w:rPr>
            </w:pPr>
            <w:r>
              <w:rPr>
                <w:rFonts w:ascii="宋体" w:hAnsi="宋体" w:eastAsia="宋体" w:cs="宋体"/>
                <w:i w:val="0"/>
                <w:color w:val="000000"/>
                <w:kern w:val="0"/>
                <w:sz w:val="18"/>
                <w:szCs w:val="18"/>
                <w:u w:val="none"/>
                <w:lang w:val="en-US" w:eastAsia="zh-CN" w:bidi="ar-SA"/>
              </w:rPr>
              <w:t>≥</w:t>
            </w:r>
            <w:r>
              <w:rPr>
                <w:rFonts w:hint="eastAsia" w:ascii="宋体" w:hAnsi="宋体" w:eastAsia="宋体" w:cs="宋体"/>
                <w:i w:val="0"/>
                <w:color w:val="000000"/>
                <w:kern w:val="0"/>
                <w:sz w:val="18"/>
                <w:szCs w:val="18"/>
                <w:u w:val="none"/>
                <w:lang w:val="en-US" w:eastAsia="zh-CN" w:bidi="ar-SA"/>
              </w:rPr>
              <w:t>95%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3DDA51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r>
      <w:tr w14:paraId="58C4C750">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88F8F12">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F35C142">
            <w:pPr>
              <w:widowControl/>
              <w:jc w:val="left"/>
              <w:textAlignment w:val="center"/>
              <w:rPr>
                <w:rFonts w:ascii="宋体" w:hAnsi="宋体" w:eastAsia="宋体" w:cs="宋体"/>
                <w:color w:val="000000"/>
                <w:kern w:val="0"/>
                <w:sz w:val="24"/>
              </w:rPr>
            </w:pPr>
            <w:r>
              <w:rPr>
                <w:rFonts w:ascii="宋体" w:hAnsi="宋体" w:eastAsia="宋体" w:cs="宋体"/>
                <w:i w:val="0"/>
                <w:color w:val="000000"/>
                <w:kern w:val="0"/>
                <w:sz w:val="18"/>
                <w:szCs w:val="18"/>
                <w:u w:val="none"/>
                <w:lang w:val="en-US" w:eastAsia="zh-CN" w:bidi="ar-SA"/>
              </w:rPr>
              <w:t>成本指标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669A1BC">
            <w:pPr>
              <w:widowControl/>
              <w:jc w:val="left"/>
              <w:textAlignment w:val="center"/>
              <w:rPr>
                <w:rFonts w:ascii="宋体" w:hAnsi="宋体" w:eastAsia="宋体" w:cs="宋体"/>
                <w:color w:val="000000"/>
                <w:kern w:val="0"/>
                <w:sz w:val="24"/>
              </w:rPr>
            </w:pPr>
            <w:r>
              <w:rPr>
                <w:rFonts w:ascii="宋体" w:hAnsi="宋体" w:eastAsia="宋体" w:cs="宋体"/>
                <w:i w:val="0"/>
                <w:color w:val="000000"/>
                <w:kern w:val="0"/>
                <w:sz w:val="18"/>
                <w:szCs w:val="18"/>
                <w:u w:val="none"/>
                <w:lang w:val="en-US" w:eastAsia="zh-CN" w:bidi="ar-SA"/>
              </w:rPr>
              <w:t>经济成本指标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1F11026">
            <w:pPr>
              <w:widowControl/>
              <w:jc w:val="left"/>
              <w:textAlignment w:val="center"/>
              <w:rPr>
                <w:rFonts w:ascii="宋体" w:hAnsi="宋体" w:eastAsia="宋体" w:cs="宋体"/>
                <w:color w:val="000000"/>
                <w:kern w:val="0"/>
                <w:sz w:val="24"/>
              </w:rPr>
            </w:pPr>
            <w:r>
              <w:rPr>
                <w:rFonts w:ascii="宋体" w:hAnsi="宋体" w:eastAsia="宋体" w:cs="宋体"/>
                <w:i w:val="0"/>
                <w:color w:val="000000"/>
                <w:kern w:val="0"/>
                <w:sz w:val="18"/>
                <w:szCs w:val="18"/>
                <w:u w:val="none"/>
                <w:lang w:val="en-US" w:eastAsia="zh-CN" w:bidi="ar-SA"/>
              </w:rPr>
              <w:t>财政拨款</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7BEB36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18"/>
                <w:szCs w:val="18"/>
                <w:lang w:val="en-US" w:eastAsia="zh-CN"/>
              </w:rPr>
              <w:t>≤</w:t>
            </w:r>
            <w:r>
              <w:rPr>
                <w:rFonts w:hint="eastAsia" w:asciiTheme="minorEastAsia" w:hAnsiTheme="minorEastAsia" w:eastAsiaTheme="minorEastAsia" w:cstheme="minorEastAsia"/>
                <w:b w:val="0"/>
                <w:bCs w:val="0"/>
                <w:sz w:val="18"/>
                <w:szCs w:val="18"/>
                <w:lang w:val="en-US" w:eastAsia="zh-CN"/>
              </w:rPr>
              <w:t>1958.21</w:t>
            </w:r>
            <w:r>
              <w:rPr>
                <w:rFonts w:hint="eastAsia" w:ascii="宋体" w:hAnsi="宋体" w:eastAsia="宋体" w:cs="宋体"/>
                <w:color w:val="000000"/>
                <w:kern w:val="0"/>
                <w:sz w:val="18"/>
                <w:szCs w:val="18"/>
                <w:lang w:val="en-US" w:eastAsia="zh-CN"/>
              </w:rPr>
              <w:t>万元</w:t>
            </w:r>
            <w:r>
              <w:rPr>
                <w:rFonts w:hint="eastAsia" w:ascii="宋体" w:hAnsi="宋体" w:eastAsia="宋体" w:cs="宋体"/>
                <w:i w:val="0"/>
                <w:color w:val="000000"/>
                <w:kern w:val="0"/>
                <w:sz w:val="18"/>
                <w:szCs w:val="18"/>
                <w:u w:val="none"/>
                <w:lang w:val="en-US" w:eastAsia="zh-CN" w:bidi="ar-SA"/>
              </w:rPr>
              <w:t>万元</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F18A22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r>
    </w:tbl>
    <w:p w14:paraId="3CE8F1D9">
      <w:pPr>
        <w:pStyle w:val="15"/>
        <w:spacing w:after="0" w:line="578" w:lineRule="exact"/>
        <w:ind w:left="0" w:leftChars="0" w:firstLine="0" w:firstLineChars="0"/>
        <w:rPr>
          <w:rFonts w:ascii="Times New Roman" w:eastAsia="黑体"/>
          <w:szCs w:val="24"/>
        </w:rPr>
      </w:pPr>
    </w:p>
    <w:p w14:paraId="59A07C94">
      <w:pPr>
        <w:pStyle w:val="2"/>
        <w:rPr>
          <w:rFonts w:hint="default"/>
        </w:rPr>
      </w:pPr>
    </w:p>
    <w:p w14:paraId="44B6FE74">
      <w:pPr>
        <w:widowControl/>
        <w:jc w:val="center"/>
        <w:outlineLvl w:val="0"/>
        <w:rPr>
          <w:rFonts w:hint="default" w:ascii="Times New Roman" w:hAnsi="Times New Roman" w:eastAsia="黑体" w:cs="Times New Roman"/>
          <w:color w:val="auto"/>
          <w:sz w:val="44"/>
          <w:szCs w:val="44"/>
          <w:highlight w:val="none"/>
        </w:rPr>
      </w:pPr>
    </w:p>
    <w:p w14:paraId="27A146C2">
      <w:pPr>
        <w:widowControl/>
        <w:jc w:val="center"/>
        <w:outlineLvl w:val="0"/>
        <w:rPr>
          <w:rFonts w:hint="default" w:ascii="Times New Roman" w:hAnsi="Times New Roman" w:eastAsia="黑体" w:cs="Times New Roman"/>
          <w:color w:val="auto"/>
          <w:sz w:val="44"/>
          <w:szCs w:val="44"/>
          <w:highlight w:val="none"/>
        </w:rPr>
      </w:pPr>
    </w:p>
    <w:p w14:paraId="5A0F12C1">
      <w:pPr>
        <w:widowControl/>
        <w:jc w:val="center"/>
        <w:outlineLvl w:val="0"/>
        <w:rPr>
          <w:rFonts w:hint="default" w:ascii="Times New Roman" w:hAnsi="Times New Roman" w:eastAsia="黑体" w:cs="Times New Roman"/>
          <w:color w:val="auto"/>
          <w:sz w:val="44"/>
          <w:szCs w:val="44"/>
          <w:highlight w:val="none"/>
        </w:rPr>
      </w:pPr>
    </w:p>
    <w:p w14:paraId="58B7630B">
      <w:pPr>
        <w:widowControl/>
        <w:jc w:val="center"/>
        <w:outlineLvl w:val="0"/>
        <w:rPr>
          <w:rFonts w:hint="default" w:ascii="Times New Roman" w:hAnsi="Times New Roman" w:eastAsia="黑体" w:cs="Times New Roman"/>
          <w:color w:val="auto"/>
          <w:sz w:val="44"/>
          <w:szCs w:val="44"/>
          <w:highlight w:val="none"/>
        </w:rPr>
      </w:pPr>
    </w:p>
    <w:p w14:paraId="09CF6127">
      <w:pPr>
        <w:widowControl/>
        <w:jc w:val="center"/>
        <w:outlineLvl w:val="0"/>
        <w:rPr>
          <w:rFonts w:hint="default" w:ascii="Times New Roman" w:hAnsi="Times New Roman" w:eastAsia="黑体" w:cs="Times New Roman"/>
          <w:color w:val="auto"/>
          <w:sz w:val="44"/>
          <w:szCs w:val="44"/>
          <w:highlight w:val="none"/>
        </w:rPr>
      </w:pPr>
    </w:p>
    <w:p w14:paraId="6BCBE362">
      <w:pPr>
        <w:widowControl/>
        <w:jc w:val="center"/>
        <w:outlineLvl w:val="0"/>
        <w:rPr>
          <w:rFonts w:hint="default" w:ascii="Times New Roman" w:hAnsi="Times New Roman" w:eastAsia="黑体" w:cs="Times New Roman"/>
          <w:color w:val="auto"/>
          <w:sz w:val="44"/>
          <w:szCs w:val="44"/>
          <w:highlight w:val="none"/>
        </w:rPr>
      </w:pPr>
    </w:p>
    <w:p w14:paraId="15DCD6F7">
      <w:pPr>
        <w:widowControl/>
        <w:jc w:val="center"/>
        <w:outlineLvl w:val="0"/>
        <w:rPr>
          <w:rFonts w:hint="default" w:ascii="Times New Roman" w:hAnsi="Times New Roman" w:eastAsia="黑体" w:cs="Times New Roman"/>
          <w:color w:val="auto"/>
          <w:sz w:val="44"/>
          <w:szCs w:val="44"/>
          <w:highlight w:val="none"/>
        </w:rPr>
      </w:pPr>
    </w:p>
    <w:p w14:paraId="7D37522F">
      <w:pPr>
        <w:widowControl/>
        <w:jc w:val="center"/>
        <w:outlineLvl w:val="0"/>
        <w:rPr>
          <w:rFonts w:hint="default" w:ascii="Times New Roman" w:hAnsi="Times New Roman" w:eastAsia="黑体" w:cs="Times New Roman"/>
          <w:color w:val="auto"/>
          <w:sz w:val="44"/>
          <w:szCs w:val="44"/>
          <w:highlight w:val="none"/>
        </w:rPr>
      </w:pPr>
    </w:p>
    <w:p w14:paraId="45E8448F">
      <w:pPr>
        <w:widowControl/>
        <w:jc w:val="center"/>
        <w:outlineLvl w:val="0"/>
        <w:rPr>
          <w:rFonts w:hint="default" w:ascii="Times New Roman" w:hAnsi="Times New Roman" w:eastAsia="黑体" w:cs="Times New Roman"/>
          <w:color w:val="auto"/>
          <w:sz w:val="44"/>
          <w:szCs w:val="44"/>
          <w:highlight w:val="none"/>
        </w:rPr>
      </w:pPr>
    </w:p>
    <w:p w14:paraId="4888E2B1">
      <w:pPr>
        <w:widowControl/>
        <w:jc w:val="center"/>
        <w:outlineLvl w:val="0"/>
        <w:rPr>
          <w:rFonts w:hint="default" w:ascii="Times New Roman" w:hAnsi="Times New Roman" w:eastAsia="黑体" w:cs="Times New Roman"/>
          <w:color w:val="auto"/>
          <w:sz w:val="44"/>
          <w:szCs w:val="44"/>
          <w:highlight w:val="none"/>
        </w:rPr>
      </w:pPr>
    </w:p>
    <w:p w14:paraId="1E4F3C75">
      <w:pPr>
        <w:widowControl/>
        <w:jc w:val="center"/>
        <w:outlineLvl w:val="0"/>
        <w:rPr>
          <w:rFonts w:hint="default" w:ascii="Times New Roman" w:hAnsi="Times New Roman" w:eastAsia="黑体" w:cs="Times New Roman"/>
          <w:color w:val="auto"/>
          <w:sz w:val="44"/>
          <w:szCs w:val="44"/>
          <w:highlight w:val="none"/>
        </w:rPr>
      </w:pPr>
    </w:p>
    <w:p w14:paraId="235CEBB9">
      <w:pPr>
        <w:widowControl/>
        <w:jc w:val="center"/>
        <w:outlineLvl w:val="0"/>
        <w:rPr>
          <w:rFonts w:hint="default" w:ascii="Times New Roman" w:hAnsi="Times New Roman" w:eastAsia="黑体" w:cs="Times New Roman"/>
          <w:color w:val="auto"/>
          <w:sz w:val="44"/>
          <w:szCs w:val="44"/>
          <w:highlight w:val="none"/>
        </w:rPr>
      </w:pPr>
    </w:p>
    <w:p w14:paraId="239C5204">
      <w:pPr>
        <w:widowControl/>
        <w:jc w:val="center"/>
        <w:outlineLvl w:val="0"/>
        <w:rPr>
          <w:rFonts w:hint="default" w:ascii="Times New Roman" w:hAnsi="Times New Roman" w:eastAsia="黑体" w:cs="Times New Roman"/>
          <w:color w:val="auto"/>
          <w:sz w:val="44"/>
          <w:szCs w:val="44"/>
          <w:highlight w:val="none"/>
        </w:rPr>
      </w:pPr>
    </w:p>
    <w:p w14:paraId="226EF264">
      <w:pPr>
        <w:widowControl/>
        <w:jc w:val="center"/>
        <w:outlineLvl w:val="0"/>
        <w:rPr>
          <w:rFonts w:hint="default" w:ascii="Times New Roman" w:hAnsi="Times New Roman" w:eastAsia="黑体" w:cs="Times New Roman"/>
          <w:color w:val="auto"/>
          <w:sz w:val="44"/>
          <w:szCs w:val="44"/>
          <w:highlight w:val="none"/>
        </w:rPr>
      </w:pPr>
    </w:p>
    <w:p w14:paraId="605DDEB8">
      <w:pPr>
        <w:pStyle w:val="6"/>
        <w:outlineLvl w:val="0"/>
        <w:rPr>
          <w:rFonts w:hint="eastAsia" w:ascii="Times New Roman" w:hAnsi="Times New Roman" w:eastAsia="黑体" w:cs="黑体"/>
          <w:color w:val="auto"/>
          <w:kern w:val="0"/>
          <w:sz w:val="32"/>
          <w:szCs w:val="32"/>
          <w:highlight w:val="none"/>
          <w:shd w:val="clear" w:color="auto" w:fill="FFFFFF"/>
          <w:lang w:val="zh-CN"/>
        </w:rPr>
      </w:pPr>
      <w:bookmarkStart w:id="67" w:name="_Toc18485"/>
      <w:bookmarkStart w:id="68" w:name="_Toc18628"/>
      <w:bookmarkStart w:id="69" w:name="_Toc21591"/>
      <w:bookmarkStart w:id="70" w:name="_Toc14174"/>
      <w:bookmarkStart w:id="71" w:name="_Toc25741"/>
      <w:bookmarkStart w:id="72" w:name="_Toc16536"/>
      <w:bookmarkStart w:id="73" w:name="_Toc1851"/>
      <w:bookmarkStart w:id="74" w:name="_Toc18247"/>
      <w:bookmarkStart w:id="75" w:name="_Toc9132"/>
      <w:bookmarkStart w:id="76" w:name="_Toc19447"/>
      <w:bookmarkStart w:id="77" w:name="_Toc199"/>
      <w:bookmarkStart w:id="78" w:name="_Toc27473"/>
    </w:p>
    <w:p w14:paraId="0F6D633D">
      <w:pPr>
        <w:pStyle w:val="6"/>
        <w:outlineLvl w:val="0"/>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bookmarkEnd w:id="67"/>
      <w:bookmarkEnd w:id="68"/>
      <w:bookmarkEnd w:id="69"/>
      <w:bookmarkEnd w:id="70"/>
      <w:bookmarkEnd w:id="71"/>
      <w:bookmarkEnd w:id="72"/>
      <w:bookmarkEnd w:id="73"/>
      <w:bookmarkEnd w:id="74"/>
      <w:bookmarkEnd w:id="75"/>
      <w:bookmarkEnd w:id="76"/>
      <w:bookmarkEnd w:id="77"/>
      <w:bookmarkEnd w:id="78"/>
    </w:p>
    <w:p w14:paraId="549DB6E6">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4C12E87F">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14:paraId="23ABAE2F">
      <w:pPr>
        <w:widowControl/>
        <w:jc w:val="center"/>
        <w:outlineLvl w:val="0"/>
        <w:rPr>
          <w:rFonts w:hint="default" w:ascii="Times New Roman" w:hAnsi="Times New Roman" w:eastAsia="黑体" w:cs="Times New Roman"/>
          <w:color w:val="auto"/>
          <w:sz w:val="44"/>
          <w:szCs w:val="44"/>
          <w:highlight w:val="none"/>
        </w:rPr>
      </w:pPr>
      <w:r>
        <w:rPr>
          <w:rFonts w:hint="eastAsia" w:ascii="仿宋_GB2312" w:hAnsi="仿宋_GB2312" w:eastAsia="仿宋_GB2312" w:cs="仿宋_GB2312"/>
          <w:b w:val="0"/>
          <w:bCs w:val="0"/>
          <w:kern w:val="0"/>
          <w:position w:val="0"/>
          <w:sz w:val="32"/>
          <w:szCs w:val="32"/>
          <w:highlight w:val="none"/>
          <w:lang w:val="en-US" w:eastAsia="zh-CN" w:bidi="ar-SA"/>
        </w:rPr>
        <w:t>（本部门不涉及此类项目）</w:t>
      </w:r>
    </w:p>
    <w:p w14:paraId="74483BB6">
      <w:pPr>
        <w:widowControl/>
        <w:jc w:val="center"/>
        <w:outlineLvl w:val="0"/>
        <w:rPr>
          <w:rFonts w:hint="default" w:ascii="Times New Roman" w:hAnsi="Times New Roman" w:eastAsia="黑体" w:cs="Times New Roman"/>
          <w:color w:val="auto"/>
          <w:sz w:val="44"/>
          <w:szCs w:val="44"/>
          <w:highlight w:val="none"/>
        </w:rPr>
      </w:pPr>
    </w:p>
    <w:p w14:paraId="109ED4B6">
      <w:pPr>
        <w:widowControl/>
        <w:jc w:val="center"/>
        <w:outlineLvl w:val="0"/>
        <w:rPr>
          <w:rFonts w:hint="default" w:ascii="Times New Roman" w:hAnsi="Times New Roman" w:eastAsia="黑体" w:cs="Times New Roman"/>
          <w:color w:val="auto"/>
          <w:sz w:val="44"/>
          <w:szCs w:val="44"/>
          <w:highlight w:val="none"/>
        </w:rPr>
      </w:pPr>
    </w:p>
    <w:p w14:paraId="106D1A9A">
      <w:pPr>
        <w:widowControl/>
        <w:jc w:val="center"/>
        <w:outlineLvl w:val="0"/>
        <w:rPr>
          <w:rFonts w:hint="default" w:ascii="Times New Roman" w:hAnsi="Times New Roman" w:eastAsia="黑体" w:cs="Times New Roman"/>
          <w:color w:val="auto"/>
          <w:sz w:val="44"/>
          <w:szCs w:val="44"/>
          <w:highlight w:val="none"/>
        </w:rPr>
      </w:pPr>
    </w:p>
    <w:p w14:paraId="53CC6758">
      <w:pPr>
        <w:widowControl/>
        <w:jc w:val="center"/>
        <w:outlineLvl w:val="0"/>
        <w:rPr>
          <w:rFonts w:hint="default" w:ascii="Times New Roman" w:hAnsi="Times New Roman" w:eastAsia="黑体" w:cs="Times New Roman"/>
          <w:color w:val="auto"/>
          <w:sz w:val="44"/>
          <w:szCs w:val="44"/>
          <w:highlight w:val="none"/>
        </w:rPr>
      </w:pPr>
    </w:p>
    <w:p w14:paraId="7D388275">
      <w:pPr>
        <w:widowControl/>
        <w:jc w:val="center"/>
        <w:outlineLvl w:val="0"/>
        <w:rPr>
          <w:rFonts w:hint="default" w:ascii="Times New Roman" w:hAnsi="Times New Roman" w:eastAsia="黑体" w:cs="Times New Roman"/>
          <w:color w:val="auto"/>
          <w:sz w:val="44"/>
          <w:szCs w:val="44"/>
          <w:highlight w:val="none"/>
        </w:rPr>
      </w:pPr>
    </w:p>
    <w:p w14:paraId="5E24AA2A">
      <w:pPr>
        <w:widowControl/>
        <w:jc w:val="center"/>
        <w:outlineLvl w:val="0"/>
        <w:rPr>
          <w:rFonts w:hint="default" w:ascii="Times New Roman" w:hAnsi="Times New Roman" w:eastAsia="黑体" w:cs="Times New Roman"/>
          <w:color w:val="auto"/>
          <w:sz w:val="44"/>
          <w:szCs w:val="44"/>
          <w:highlight w:val="none"/>
        </w:rPr>
      </w:pPr>
    </w:p>
    <w:p w14:paraId="7747D5BE">
      <w:pPr>
        <w:widowControl/>
        <w:jc w:val="center"/>
        <w:outlineLvl w:val="0"/>
        <w:rPr>
          <w:rFonts w:hint="default" w:ascii="Times New Roman" w:hAnsi="Times New Roman" w:eastAsia="黑体" w:cs="Times New Roman"/>
          <w:color w:val="auto"/>
          <w:sz w:val="44"/>
          <w:szCs w:val="44"/>
          <w:highlight w:val="none"/>
        </w:rPr>
      </w:pPr>
    </w:p>
    <w:p w14:paraId="2CBD7B45">
      <w:pPr>
        <w:widowControl/>
        <w:jc w:val="center"/>
        <w:outlineLvl w:val="0"/>
        <w:rPr>
          <w:rFonts w:hint="default" w:ascii="Times New Roman" w:hAnsi="Times New Roman" w:eastAsia="黑体" w:cs="Times New Roman"/>
          <w:color w:val="auto"/>
          <w:sz w:val="44"/>
          <w:szCs w:val="44"/>
          <w:highlight w:val="none"/>
        </w:rPr>
      </w:pPr>
    </w:p>
    <w:p w14:paraId="6CE330D0">
      <w:pPr>
        <w:widowControl/>
        <w:jc w:val="center"/>
        <w:outlineLvl w:val="0"/>
        <w:rPr>
          <w:rFonts w:hint="default" w:ascii="Times New Roman" w:hAnsi="Times New Roman" w:eastAsia="黑体" w:cs="Times New Roman"/>
          <w:color w:val="auto"/>
          <w:sz w:val="44"/>
          <w:szCs w:val="44"/>
          <w:highlight w:val="none"/>
        </w:rPr>
      </w:pPr>
    </w:p>
    <w:p w14:paraId="170A1355">
      <w:pPr>
        <w:widowControl/>
        <w:jc w:val="center"/>
        <w:outlineLvl w:val="0"/>
        <w:rPr>
          <w:rFonts w:hint="default" w:ascii="Times New Roman" w:hAnsi="Times New Roman" w:eastAsia="黑体" w:cs="Times New Roman"/>
          <w:color w:val="auto"/>
          <w:sz w:val="44"/>
          <w:szCs w:val="44"/>
          <w:highlight w:val="none"/>
        </w:rPr>
      </w:pPr>
    </w:p>
    <w:p w14:paraId="49341FE8">
      <w:pPr>
        <w:widowControl/>
        <w:jc w:val="center"/>
        <w:outlineLvl w:val="0"/>
        <w:rPr>
          <w:rFonts w:hint="default" w:ascii="Times New Roman" w:hAnsi="Times New Roman" w:eastAsia="黑体" w:cs="Times New Roman"/>
          <w:color w:val="auto"/>
          <w:sz w:val="44"/>
          <w:szCs w:val="44"/>
          <w:highlight w:val="none"/>
        </w:rPr>
      </w:pPr>
    </w:p>
    <w:p w14:paraId="17E58799">
      <w:pPr>
        <w:widowControl/>
        <w:jc w:val="center"/>
        <w:outlineLvl w:val="0"/>
        <w:rPr>
          <w:rFonts w:hint="default" w:ascii="Times New Roman" w:hAnsi="Times New Roman" w:eastAsia="黑体" w:cs="Times New Roman"/>
          <w:color w:val="auto"/>
          <w:sz w:val="44"/>
          <w:szCs w:val="44"/>
          <w:highlight w:val="none"/>
        </w:rPr>
      </w:pPr>
    </w:p>
    <w:p w14:paraId="75691411">
      <w:pPr>
        <w:widowControl/>
        <w:jc w:val="center"/>
        <w:outlineLvl w:val="0"/>
        <w:rPr>
          <w:rFonts w:hint="default" w:ascii="Times New Roman" w:hAnsi="Times New Roman" w:eastAsia="黑体" w:cs="Times New Roman"/>
          <w:color w:val="auto"/>
          <w:sz w:val="44"/>
          <w:szCs w:val="44"/>
          <w:highlight w:val="none"/>
        </w:rPr>
      </w:pPr>
    </w:p>
    <w:p w14:paraId="10776831">
      <w:pPr>
        <w:widowControl/>
        <w:jc w:val="center"/>
        <w:outlineLvl w:val="0"/>
        <w:rPr>
          <w:rFonts w:hint="default" w:ascii="Times New Roman" w:hAnsi="Times New Roman" w:eastAsia="黑体" w:cs="Times New Roman"/>
          <w:color w:val="auto"/>
          <w:sz w:val="44"/>
          <w:szCs w:val="44"/>
          <w:highlight w:val="none"/>
        </w:rPr>
      </w:pPr>
    </w:p>
    <w:p w14:paraId="59DFED79">
      <w:pPr>
        <w:widowControl/>
        <w:jc w:val="center"/>
        <w:outlineLvl w:val="0"/>
        <w:rPr>
          <w:rFonts w:hint="default" w:ascii="Times New Roman" w:hAnsi="Times New Roman" w:eastAsia="黑体" w:cs="Times New Roman"/>
          <w:color w:val="auto"/>
          <w:sz w:val="44"/>
          <w:szCs w:val="44"/>
          <w:highlight w:val="none"/>
        </w:rPr>
      </w:pPr>
    </w:p>
    <w:p w14:paraId="57DA2F73">
      <w:pPr>
        <w:widowControl/>
        <w:jc w:val="center"/>
        <w:outlineLvl w:val="0"/>
        <w:rPr>
          <w:rFonts w:hint="default" w:ascii="Times New Roman" w:hAnsi="Times New Roman" w:eastAsia="黑体" w:cs="Times New Roman"/>
          <w:color w:val="auto"/>
          <w:sz w:val="44"/>
          <w:szCs w:val="44"/>
          <w:highlight w:val="none"/>
        </w:rPr>
      </w:pPr>
    </w:p>
    <w:p w14:paraId="02295834">
      <w:pPr>
        <w:widowControl/>
        <w:jc w:val="center"/>
        <w:outlineLvl w:val="0"/>
        <w:rPr>
          <w:rFonts w:hint="default" w:ascii="Times New Roman" w:hAnsi="Times New Roman" w:eastAsia="黑体" w:cs="Times New Roman"/>
          <w:color w:val="auto"/>
          <w:sz w:val="44"/>
          <w:szCs w:val="44"/>
          <w:highlight w:val="none"/>
        </w:rPr>
      </w:pPr>
    </w:p>
    <w:p w14:paraId="5CCE2801">
      <w:pPr>
        <w:widowControl/>
        <w:jc w:val="both"/>
        <w:outlineLvl w:val="0"/>
        <w:rPr>
          <w:rFonts w:hint="default" w:ascii="Times New Roman" w:hAnsi="Times New Roman" w:eastAsia="黑体" w:cs="Times New Roman"/>
          <w:color w:val="auto"/>
          <w:sz w:val="44"/>
          <w:szCs w:val="44"/>
          <w:highlight w:val="none"/>
        </w:rPr>
      </w:pPr>
    </w:p>
    <w:p w14:paraId="477B8EC3">
      <w:pPr>
        <w:widowControl/>
        <w:jc w:val="center"/>
        <w:outlineLvl w:val="0"/>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23"/>
          <w:rFonts w:hint="default" w:ascii="Times New Roman" w:hAnsi="Times New Roman" w:eastAsia="黑体" w:cs="Times New Roman"/>
          <w:b w:val="0"/>
          <w:color w:val="auto"/>
          <w:highlight w:val="none"/>
        </w:rPr>
        <w:t>五部分 附表</w:t>
      </w:r>
      <w:bookmarkEnd w:id="61"/>
      <w:bookmarkEnd w:id="65"/>
      <w:bookmarkEnd w:id="66"/>
      <w:bookmarkStart w:id="79" w:name="_Toc15396619"/>
    </w:p>
    <w:p w14:paraId="28EA50F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1C401BA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79"/>
    </w:p>
    <w:p w14:paraId="04D5CC9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0" w:name="_Toc15396620"/>
      <w:r>
        <w:rPr>
          <w:rFonts w:hint="default" w:ascii="Times New Roman" w:hAnsi="Times New Roman" w:eastAsia="仿宋_GB2312" w:cs="Times New Roman"/>
          <w:color w:val="auto"/>
          <w:sz w:val="32"/>
          <w:szCs w:val="32"/>
          <w:highlight w:val="none"/>
        </w:rPr>
        <w:t>二、收入决算表</w:t>
      </w:r>
      <w:bookmarkEnd w:id="80"/>
    </w:p>
    <w:p w14:paraId="154E53E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1" w:name="_Toc15396621"/>
      <w:r>
        <w:rPr>
          <w:rFonts w:hint="default" w:ascii="Times New Roman" w:hAnsi="Times New Roman" w:eastAsia="仿宋_GB2312" w:cs="Times New Roman"/>
          <w:color w:val="auto"/>
          <w:sz w:val="32"/>
          <w:szCs w:val="32"/>
          <w:highlight w:val="none"/>
        </w:rPr>
        <w:t>三、支出决算表</w:t>
      </w:r>
      <w:bookmarkEnd w:id="81"/>
    </w:p>
    <w:p w14:paraId="2C44BBE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2" w:name="_Toc15396622"/>
      <w:r>
        <w:rPr>
          <w:rFonts w:hint="default" w:ascii="Times New Roman" w:hAnsi="Times New Roman" w:eastAsia="仿宋_GB2312" w:cs="Times New Roman"/>
          <w:color w:val="auto"/>
          <w:sz w:val="32"/>
          <w:szCs w:val="32"/>
          <w:highlight w:val="none"/>
        </w:rPr>
        <w:t>四、财政拨款收入支出决算总表</w:t>
      </w:r>
      <w:bookmarkEnd w:id="82"/>
    </w:p>
    <w:p w14:paraId="40F93A4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3" w:name="_Toc15396623"/>
      <w:r>
        <w:rPr>
          <w:rFonts w:hint="default" w:ascii="Times New Roman" w:hAnsi="Times New Roman" w:eastAsia="仿宋_GB2312" w:cs="Times New Roman"/>
          <w:color w:val="auto"/>
          <w:sz w:val="32"/>
          <w:szCs w:val="32"/>
          <w:highlight w:val="none"/>
        </w:rPr>
        <w:t>五、财政拨款支出决算明细表</w:t>
      </w:r>
      <w:bookmarkEnd w:id="83"/>
      <w:bookmarkStart w:id="84" w:name="_Toc15396624"/>
    </w:p>
    <w:p w14:paraId="7A01C9E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84"/>
    </w:p>
    <w:p w14:paraId="3043D89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5" w:name="_Toc15396625"/>
      <w:r>
        <w:rPr>
          <w:rFonts w:hint="default" w:ascii="Times New Roman" w:hAnsi="Times New Roman" w:eastAsia="仿宋_GB2312" w:cs="Times New Roman"/>
          <w:color w:val="auto"/>
          <w:sz w:val="32"/>
          <w:szCs w:val="32"/>
          <w:highlight w:val="none"/>
        </w:rPr>
        <w:t>七、一般公共预算财政拨款支出决算明细表</w:t>
      </w:r>
      <w:bookmarkEnd w:id="85"/>
    </w:p>
    <w:p w14:paraId="25C858D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6" w:name="_Toc15396626"/>
      <w:r>
        <w:rPr>
          <w:rFonts w:hint="default" w:ascii="Times New Roman" w:hAnsi="Times New Roman" w:eastAsia="仿宋_GB2312" w:cs="Times New Roman"/>
          <w:color w:val="auto"/>
          <w:sz w:val="32"/>
          <w:szCs w:val="32"/>
          <w:highlight w:val="none"/>
        </w:rPr>
        <w:t>八、一般公共预算财政拨款基本支出决算表</w:t>
      </w:r>
      <w:bookmarkEnd w:id="86"/>
    </w:p>
    <w:p w14:paraId="7220432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7" w:name="_Toc15396627"/>
      <w:r>
        <w:rPr>
          <w:rFonts w:hint="default" w:ascii="Times New Roman" w:hAnsi="Times New Roman" w:eastAsia="仿宋_GB2312" w:cs="Times New Roman"/>
          <w:color w:val="auto"/>
          <w:sz w:val="32"/>
          <w:szCs w:val="32"/>
          <w:highlight w:val="none"/>
        </w:rPr>
        <w:t>九、一般公共预算财政拨款项目支出决算表</w:t>
      </w:r>
      <w:bookmarkEnd w:id="87"/>
    </w:p>
    <w:p w14:paraId="1E9184D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8" w:name="_Toc15396628"/>
      <w:r>
        <w:rPr>
          <w:rFonts w:hint="default" w:ascii="Times New Roman" w:hAnsi="Times New Roman" w:eastAsia="仿宋_GB2312" w:cs="Times New Roman"/>
          <w:color w:val="auto"/>
          <w:sz w:val="32"/>
          <w:szCs w:val="32"/>
          <w:highlight w:val="none"/>
        </w:rPr>
        <w:t>十、</w:t>
      </w:r>
      <w:bookmarkEnd w:id="88"/>
      <w:r>
        <w:rPr>
          <w:rFonts w:hint="default" w:ascii="Times New Roman" w:hAnsi="Times New Roman" w:eastAsia="仿宋_GB2312" w:cs="Times New Roman"/>
          <w:color w:val="auto"/>
          <w:sz w:val="32"/>
          <w:szCs w:val="32"/>
          <w:highlight w:val="none"/>
        </w:rPr>
        <w:t>政府性基金预算财政拨款收入支出决算表</w:t>
      </w:r>
    </w:p>
    <w:p w14:paraId="1FA168B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9" w:name="_Toc15396629"/>
      <w:r>
        <w:rPr>
          <w:rFonts w:hint="default" w:ascii="Times New Roman" w:hAnsi="Times New Roman" w:eastAsia="仿宋_GB2312" w:cs="Times New Roman"/>
          <w:color w:val="auto"/>
          <w:sz w:val="32"/>
          <w:szCs w:val="32"/>
          <w:highlight w:val="none"/>
        </w:rPr>
        <w:t>十一、</w:t>
      </w:r>
      <w:bookmarkEnd w:id="89"/>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14:paraId="1CE34B7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0" w:name="_Toc15396630"/>
      <w:r>
        <w:rPr>
          <w:rFonts w:hint="default" w:ascii="Times New Roman" w:hAnsi="Times New Roman" w:eastAsia="仿宋_GB2312" w:cs="Times New Roman"/>
          <w:color w:val="auto"/>
          <w:sz w:val="32"/>
          <w:szCs w:val="32"/>
          <w:highlight w:val="none"/>
        </w:rPr>
        <w:t>十二、</w:t>
      </w:r>
      <w:bookmarkEnd w:id="90"/>
      <w:r>
        <w:rPr>
          <w:rFonts w:hint="default" w:ascii="Times New Roman" w:hAnsi="Times New Roman" w:eastAsia="仿宋_GB2312" w:cs="Times New Roman"/>
          <w:color w:val="auto"/>
          <w:sz w:val="32"/>
          <w:szCs w:val="32"/>
          <w:highlight w:val="none"/>
          <w:lang w:eastAsia="zh-CN"/>
        </w:rPr>
        <w:t>国有资本经营预算财政拨款支出决算表</w:t>
      </w:r>
    </w:p>
    <w:p w14:paraId="29A1AFA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91" w:name="_Toc15396631"/>
      <w:r>
        <w:rPr>
          <w:rFonts w:hint="default" w:ascii="Times New Roman" w:hAnsi="Times New Roman" w:eastAsia="仿宋_GB2312" w:cs="Times New Roman"/>
          <w:color w:val="auto"/>
          <w:sz w:val="32"/>
          <w:szCs w:val="32"/>
          <w:highlight w:val="none"/>
        </w:rPr>
        <w:t>十三、</w:t>
      </w:r>
      <w:bookmarkEnd w:id="91"/>
      <w:r>
        <w:rPr>
          <w:rFonts w:hint="default" w:ascii="Times New Roman" w:hAnsi="Times New Roman" w:eastAsia="仿宋_GB2312" w:cs="Times New Roman"/>
          <w:color w:val="auto"/>
          <w:sz w:val="32"/>
          <w:szCs w:val="32"/>
          <w:highlight w:val="none"/>
          <w:lang w:eastAsia="zh-CN"/>
        </w:rPr>
        <w:t>财政拨款“三公”经费支出决算表</w:t>
      </w:r>
    </w:p>
    <w:p w14:paraId="34E74EDC">
      <w:pPr>
        <w:rPr>
          <w:rFonts w:hint="default" w:ascii="Times New Roman" w:hAnsi="Times New Roman" w:cs="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Arial Unicode MS">
    <w:altName w:val="Times New Roman"/>
    <w:panose1 w:val="020B0604020202020204"/>
    <w:charset w:val="86"/>
    <w:family w:val="auto"/>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思源黑体 CN Normal">
    <w:altName w:val="黑体"/>
    <w:panose1 w:val="020B0400000000000000"/>
    <w:charset w:val="86"/>
    <w:family w:val="auto"/>
    <w:pitch w:val="default"/>
    <w:sig w:usb0="00000000" w:usb1="00000000" w:usb2="00000016" w:usb3="00000000" w:csb0="60060107"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2CEFA">
    <w:pPr>
      <w:pStyle w:val="11"/>
      <w:jc w:val="center"/>
    </w:pPr>
  </w:p>
  <w:p w14:paraId="494D9AC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4D85F">
    <w:pPr>
      <w:pStyle w:val="11"/>
      <w:jc w:val="center"/>
    </w:pPr>
  </w:p>
  <w:p w14:paraId="7D6B9B9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D8935">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4B1F0">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361BD">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BB361BD">
                    <w:pPr>
                      <w:pStyle w:val="11"/>
                    </w:pPr>
                    <w:r>
                      <w:fldChar w:fldCharType="begin"/>
                    </w:r>
                    <w:r>
                      <w:instrText xml:space="preserve"> PAGE  \* MERGEFORMAT </w:instrText>
                    </w:r>
                    <w:r>
                      <w:fldChar w:fldCharType="separate"/>
                    </w:r>
                    <w:r>
                      <w:t>2</w:t>
                    </w:r>
                    <w:r>
                      <w:fldChar w:fldCharType="end"/>
                    </w:r>
                  </w:p>
                </w:txbxContent>
              </v:textbox>
            </v:shape>
          </w:pict>
        </mc:Fallback>
      </mc:AlternateContent>
    </w:r>
  </w:p>
  <w:p w14:paraId="0E76FC21">
    <w:pPr>
      <w:pStyle w:val="11"/>
      <w:jc w:val="center"/>
      <w:rPr>
        <w:rFonts w:hint="eastAsia" w:eastAsia="宋体"/>
        <w:lang w:val="en-US" w:eastAsia="zh-CN"/>
      </w:rPr>
    </w:pPr>
  </w:p>
  <w:p w14:paraId="1DF70379">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296C5">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AFB9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1EAFB9C">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4AE3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F994A"/>
    <w:multiLevelType w:val="singleLevel"/>
    <w:tmpl w:val="BF7F994A"/>
    <w:lvl w:ilvl="0" w:tentative="0">
      <w:start w:val="1"/>
      <w:numFmt w:val="decimal"/>
      <w:suff w:val="nothing"/>
      <w:lvlText w:val="（%1）"/>
      <w:lvlJc w:val="left"/>
    </w:lvl>
  </w:abstractNum>
  <w:abstractNum w:abstractNumId="1">
    <w:nsid w:val="D7FE6AC0"/>
    <w:multiLevelType w:val="singleLevel"/>
    <w:tmpl w:val="D7FE6AC0"/>
    <w:lvl w:ilvl="0" w:tentative="0">
      <w:start w:val="2"/>
      <w:numFmt w:val="chineseCounting"/>
      <w:suff w:val="nothing"/>
      <w:lvlText w:val="（%1）"/>
      <w:lvlJc w:val="left"/>
      <w:rPr>
        <w:rFonts w:hint="eastAsia"/>
      </w:rPr>
    </w:lvl>
  </w:abstractNum>
  <w:abstractNum w:abstractNumId="2">
    <w:nsid w:val="31BAC088"/>
    <w:multiLevelType w:val="singleLevel"/>
    <w:tmpl w:val="31BAC088"/>
    <w:lvl w:ilvl="0" w:tentative="0">
      <w:start w:val="1"/>
      <w:numFmt w:val="chineseCounting"/>
      <w:suff w:val="nothing"/>
      <w:lvlText w:val="%1、"/>
      <w:lvlJc w:val="left"/>
      <w:rPr>
        <w:rFonts w:hint="eastAsia" w:ascii="黑体" w:hAnsi="黑体" w:eastAsia="黑体" w:cs="黑体"/>
        <w:sz w:val="32"/>
        <w:szCs w:val="32"/>
      </w:r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678D2"/>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11824"/>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806C13"/>
    <w:rsid w:val="02A214E4"/>
    <w:rsid w:val="02FEBE30"/>
    <w:rsid w:val="030D2310"/>
    <w:rsid w:val="03771E7F"/>
    <w:rsid w:val="045D72C7"/>
    <w:rsid w:val="047C774D"/>
    <w:rsid w:val="04916F1E"/>
    <w:rsid w:val="05464BD9"/>
    <w:rsid w:val="059C797B"/>
    <w:rsid w:val="061E35DE"/>
    <w:rsid w:val="066E0107"/>
    <w:rsid w:val="06C807CD"/>
    <w:rsid w:val="06E31D05"/>
    <w:rsid w:val="06F1769D"/>
    <w:rsid w:val="071D0F27"/>
    <w:rsid w:val="07996F6E"/>
    <w:rsid w:val="07DFD8BA"/>
    <w:rsid w:val="07E61381"/>
    <w:rsid w:val="085409E1"/>
    <w:rsid w:val="08F31FA8"/>
    <w:rsid w:val="09554A11"/>
    <w:rsid w:val="09867E8F"/>
    <w:rsid w:val="09D43B87"/>
    <w:rsid w:val="0A067AB9"/>
    <w:rsid w:val="0A2032A3"/>
    <w:rsid w:val="0A5025C4"/>
    <w:rsid w:val="0AAE262A"/>
    <w:rsid w:val="0B160768"/>
    <w:rsid w:val="0BCB0FBA"/>
    <w:rsid w:val="0C915D60"/>
    <w:rsid w:val="0C965124"/>
    <w:rsid w:val="0CA8290A"/>
    <w:rsid w:val="0D21087A"/>
    <w:rsid w:val="0D35B1ED"/>
    <w:rsid w:val="0DBC6E0C"/>
    <w:rsid w:val="0DD759F4"/>
    <w:rsid w:val="0E254B6B"/>
    <w:rsid w:val="0E261694"/>
    <w:rsid w:val="0F185E0C"/>
    <w:rsid w:val="0F673D20"/>
    <w:rsid w:val="0F98263C"/>
    <w:rsid w:val="0FBC1346"/>
    <w:rsid w:val="101860EC"/>
    <w:rsid w:val="101F47CC"/>
    <w:rsid w:val="10C055FF"/>
    <w:rsid w:val="11694EBD"/>
    <w:rsid w:val="11772AA4"/>
    <w:rsid w:val="118107EC"/>
    <w:rsid w:val="11857CAC"/>
    <w:rsid w:val="11D54941"/>
    <w:rsid w:val="11EE2A49"/>
    <w:rsid w:val="12602AF4"/>
    <w:rsid w:val="12A7389C"/>
    <w:rsid w:val="12E24EE2"/>
    <w:rsid w:val="13585F63"/>
    <w:rsid w:val="13D50BC4"/>
    <w:rsid w:val="14B17F78"/>
    <w:rsid w:val="16041A52"/>
    <w:rsid w:val="16117F11"/>
    <w:rsid w:val="165E0673"/>
    <w:rsid w:val="16670F3D"/>
    <w:rsid w:val="167209B0"/>
    <w:rsid w:val="16B831D5"/>
    <w:rsid w:val="16BB723D"/>
    <w:rsid w:val="17A265AF"/>
    <w:rsid w:val="17CB248E"/>
    <w:rsid w:val="17D04015"/>
    <w:rsid w:val="17E50567"/>
    <w:rsid w:val="1853782A"/>
    <w:rsid w:val="186504BB"/>
    <w:rsid w:val="19573E8D"/>
    <w:rsid w:val="195863A9"/>
    <w:rsid w:val="19A445FC"/>
    <w:rsid w:val="19D61256"/>
    <w:rsid w:val="19F142E2"/>
    <w:rsid w:val="1A02204B"/>
    <w:rsid w:val="1A8769F4"/>
    <w:rsid w:val="1B1F4E7E"/>
    <w:rsid w:val="1BE8440E"/>
    <w:rsid w:val="1C006A5E"/>
    <w:rsid w:val="1C387FA6"/>
    <w:rsid w:val="1D155CEE"/>
    <w:rsid w:val="1D1638FE"/>
    <w:rsid w:val="1D28626C"/>
    <w:rsid w:val="1E312DEB"/>
    <w:rsid w:val="1E740ACF"/>
    <w:rsid w:val="1EA062D6"/>
    <w:rsid w:val="1EA336D1"/>
    <w:rsid w:val="1F114ADE"/>
    <w:rsid w:val="1F5A46D7"/>
    <w:rsid w:val="1F5B0A15"/>
    <w:rsid w:val="1FE65F6B"/>
    <w:rsid w:val="1FF35744"/>
    <w:rsid w:val="1FF6BC77"/>
    <w:rsid w:val="1FF9FAFC"/>
    <w:rsid w:val="20913DAB"/>
    <w:rsid w:val="20EB31DF"/>
    <w:rsid w:val="2186353C"/>
    <w:rsid w:val="21FD15AA"/>
    <w:rsid w:val="227635D6"/>
    <w:rsid w:val="230E7CB2"/>
    <w:rsid w:val="23860B96"/>
    <w:rsid w:val="23EF805F"/>
    <w:rsid w:val="240371BF"/>
    <w:rsid w:val="244F3473"/>
    <w:rsid w:val="245517DF"/>
    <w:rsid w:val="24C97D99"/>
    <w:rsid w:val="253D03DB"/>
    <w:rsid w:val="2580476C"/>
    <w:rsid w:val="258C5595"/>
    <w:rsid w:val="25A718F0"/>
    <w:rsid w:val="25BB59F6"/>
    <w:rsid w:val="260F557C"/>
    <w:rsid w:val="262C490D"/>
    <w:rsid w:val="262E41C8"/>
    <w:rsid w:val="26815E58"/>
    <w:rsid w:val="26970054"/>
    <w:rsid w:val="26EB3E67"/>
    <w:rsid w:val="26FB22FC"/>
    <w:rsid w:val="27A52FA5"/>
    <w:rsid w:val="281408E2"/>
    <w:rsid w:val="28876E5E"/>
    <w:rsid w:val="29FD04D3"/>
    <w:rsid w:val="2AD94557"/>
    <w:rsid w:val="2BFF7BC6"/>
    <w:rsid w:val="2C212804"/>
    <w:rsid w:val="2C25135A"/>
    <w:rsid w:val="2C270CD5"/>
    <w:rsid w:val="2C8A61B5"/>
    <w:rsid w:val="2CBE343C"/>
    <w:rsid w:val="2CBE62A5"/>
    <w:rsid w:val="2DBF0527"/>
    <w:rsid w:val="2DDA0E60"/>
    <w:rsid w:val="2DF04E50"/>
    <w:rsid w:val="2E112405"/>
    <w:rsid w:val="2E586DFA"/>
    <w:rsid w:val="2ED57E33"/>
    <w:rsid w:val="2F040D46"/>
    <w:rsid w:val="2F24211A"/>
    <w:rsid w:val="2F246699"/>
    <w:rsid w:val="2F6B035B"/>
    <w:rsid w:val="2F8E05E0"/>
    <w:rsid w:val="2FAE5751"/>
    <w:rsid w:val="2FB1A395"/>
    <w:rsid w:val="2FD9A7D8"/>
    <w:rsid w:val="2FDBF714"/>
    <w:rsid w:val="2FEF5E0A"/>
    <w:rsid w:val="2FFB3D9F"/>
    <w:rsid w:val="304271ED"/>
    <w:rsid w:val="30485640"/>
    <w:rsid w:val="30AB6865"/>
    <w:rsid w:val="31016B13"/>
    <w:rsid w:val="319F7F4E"/>
    <w:rsid w:val="3220355E"/>
    <w:rsid w:val="32BD1EF1"/>
    <w:rsid w:val="3304709D"/>
    <w:rsid w:val="33A773CB"/>
    <w:rsid w:val="33CB3259"/>
    <w:rsid w:val="349D6851"/>
    <w:rsid w:val="34BF0701"/>
    <w:rsid w:val="34FF7AC9"/>
    <w:rsid w:val="35661288"/>
    <w:rsid w:val="3644434B"/>
    <w:rsid w:val="36AA5135"/>
    <w:rsid w:val="36BE0DA7"/>
    <w:rsid w:val="36EF0647"/>
    <w:rsid w:val="3740455C"/>
    <w:rsid w:val="376B6AA6"/>
    <w:rsid w:val="376D39B2"/>
    <w:rsid w:val="377F748E"/>
    <w:rsid w:val="379DA4C1"/>
    <w:rsid w:val="37E16F03"/>
    <w:rsid w:val="37F53A3B"/>
    <w:rsid w:val="38793296"/>
    <w:rsid w:val="389B6C89"/>
    <w:rsid w:val="38D469F0"/>
    <w:rsid w:val="39627CCD"/>
    <w:rsid w:val="397BAF1F"/>
    <w:rsid w:val="3AAF36D1"/>
    <w:rsid w:val="3AB79AF3"/>
    <w:rsid w:val="3AE834C0"/>
    <w:rsid w:val="3B4F27BE"/>
    <w:rsid w:val="3B7EF35A"/>
    <w:rsid w:val="3B9FDB6C"/>
    <w:rsid w:val="3BF5BC2F"/>
    <w:rsid w:val="3CB0095D"/>
    <w:rsid w:val="3CEBA265"/>
    <w:rsid w:val="3D68464B"/>
    <w:rsid w:val="3D98207C"/>
    <w:rsid w:val="3DE94072"/>
    <w:rsid w:val="3DEE7CF3"/>
    <w:rsid w:val="3E004616"/>
    <w:rsid w:val="3E586000"/>
    <w:rsid w:val="3E740A63"/>
    <w:rsid w:val="3E78745D"/>
    <w:rsid w:val="3EE17838"/>
    <w:rsid w:val="3F55381A"/>
    <w:rsid w:val="3F7F7599"/>
    <w:rsid w:val="3F9A54F1"/>
    <w:rsid w:val="3FF4CAE0"/>
    <w:rsid w:val="3FF7B227"/>
    <w:rsid w:val="3FF9FA0C"/>
    <w:rsid w:val="3FFBCDA9"/>
    <w:rsid w:val="401C1860"/>
    <w:rsid w:val="4024246B"/>
    <w:rsid w:val="40550BCC"/>
    <w:rsid w:val="40736F4F"/>
    <w:rsid w:val="40AE7F87"/>
    <w:rsid w:val="40FC0CF2"/>
    <w:rsid w:val="41436921"/>
    <w:rsid w:val="41C63AE5"/>
    <w:rsid w:val="42EE185D"/>
    <w:rsid w:val="430F7403"/>
    <w:rsid w:val="43121CD6"/>
    <w:rsid w:val="44733E7E"/>
    <w:rsid w:val="44913E48"/>
    <w:rsid w:val="44E268DA"/>
    <w:rsid w:val="44FF0DB1"/>
    <w:rsid w:val="450D13D7"/>
    <w:rsid w:val="45506656"/>
    <w:rsid w:val="45763AF5"/>
    <w:rsid w:val="467001B9"/>
    <w:rsid w:val="470A0C98"/>
    <w:rsid w:val="476D64A6"/>
    <w:rsid w:val="47775577"/>
    <w:rsid w:val="47A125F4"/>
    <w:rsid w:val="486A6C7A"/>
    <w:rsid w:val="488066AD"/>
    <w:rsid w:val="49267254"/>
    <w:rsid w:val="492F56F0"/>
    <w:rsid w:val="4A627F82"/>
    <w:rsid w:val="4B0E749A"/>
    <w:rsid w:val="4B2477C4"/>
    <w:rsid w:val="4B4F25DA"/>
    <w:rsid w:val="4BE068DB"/>
    <w:rsid w:val="4BE07B8E"/>
    <w:rsid w:val="4BEA3DAA"/>
    <w:rsid w:val="4C1B2975"/>
    <w:rsid w:val="4CED0E58"/>
    <w:rsid w:val="4D577224"/>
    <w:rsid w:val="4DBF1CEB"/>
    <w:rsid w:val="4DF0007C"/>
    <w:rsid w:val="4E8D5680"/>
    <w:rsid w:val="4EAB630A"/>
    <w:rsid w:val="4EC779CB"/>
    <w:rsid w:val="4ECE2238"/>
    <w:rsid w:val="4F833267"/>
    <w:rsid w:val="4FB15290"/>
    <w:rsid w:val="4FE9BD67"/>
    <w:rsid w:val="4FFB052F"/>
    <w:rsid w:val="50107C41"/>
    <w:rsid w:val="51AC22C1"/>
    <w:rsid w:val="529B491D"/>
    <w:rsid w:val="53515ECE"/>
    <w:rsid w:val="537E6D0A"/>
    <w:rsid w:val="53F74C96"/>
    <w:rsid w:val="54AE00FE"/>
    <w:rsid w:val="54D47172"/>
    <w:rsid w:val="54D758A7"/>
    <w:rsid w:val="55170BA8"/>
    <w:rsid w:val="553218C9"/>
    <w:rsid w:val="55CC3D74"/>
    <w:rsid w:val="563B3B87"/>
    <w:rsid w:val="563C21AC"/>
    <w:rsid w:val="563D5BDD"/>
    <w:rsid w:val="567E1AA5"/>
    <w:rsid w:val="56AB4EBB"/>
    <w:rsid w:val="56E47B74"/>
    <w:rsid w:val="57175D52"/>
    <w:rsid w:val="57BD3DD4"/>
    <w:rsid w:val="57F124AD"/>
    <w:rsid w:val="581D6D77"/>
    <w:rsid w:val="58C46142"/>
    <w:rsid w:val="58D57126"/>
    <w:rsid w:val="59670DB6"/>
    <w:rsid w:val="59F256D3"/>
    <w:rsid w:val="5A4F7C8D"/>
    <w:rsid w:val="5AD07020"/>
    <w:rsid w:val="5AF92295"/>
    <w:rsid w:val="5B250254"/>
    <w:rsid w:val="5B3F5E3F"/>
    <w:rsid w:val="5BBF9451"/>
    <w:rsid w:val="5BDD79E6"/>
    <w:rsid w:val="5BF561CA"/>
    <w:rsid w:val="5BFE196B"/>
    <w:rsid w:val="5BFF5DFC"/>
    <w:rsid w:val="5CD71FC4"/>
    <w:rsid w:val="5D1F11B5"/>
    <w:rsid w:val="5D695134"/>
    <w:rsid w:val="5DAE1B18"/>
    <w:rsid w:val="5DE30E18"/>
    <w:rsid w:val="5DE7D9E5"/>
    <w:rsid w:val="5DEC4171"/>
    <w:rsid w:val="5E0B0EFA"/>
    <w:rsid w:val="5ECEC941"/>
    <w:rsid w:val="5EE40866"/>
    <w:rsid w:val="5FBF9FF3"/>
    <w:rsid w:val="5FCD4E2C"/>
    <w:rsid w:val="5FEF394A"/>
    <w:rsid w:val="5FF4730D"/>
    <w:rsid w:val="5FF67715"/>
    <w:rsid w:val="62BA655A"/>
    <w:rsid w:val="62BF3928"/>
    <w:rsid w:val="635F53E5"/>
    <w:rsid w:val="63B3701E"/>
    <w:rsid w:val="63E37DC4"/>
    <w:rsid w:val="63F43D7F"/>
    <w:rsid w:val="641558D5"/>
    <w:rsid w:val="647F5392"/>
    <w:rsid w:val="64F90154"/>
    <w:rsid w:val="651C76FB"/>
    <w:rsid w:val="659A6BA8"/>
    <w:rsid w:val="65E66580"/>
    <w:rsid w:val="66344907"/>
    <w:rsid w:val="663C5827"/>
    <w:rsid w:val="664B1D71"/>
    <w:rsid w:val="664B4E8E"/>
    <w:rsid w:val="67277B67"/>
    <w:rsid w:val="67A8462B"/>
    <w:rsid w:val="67AA3209"/>
    <w:rsid w:val="69026556"/>
    <w:rsid w:val="69232A11"/>
    <w:rsid w:val="698D0931"/>
    <w:rsid w:val="6A7FE5F3"/>
    <w:rsid w:val="6B053271"/>
    <w:rsid w:val="6B282560"/>
    <w:rsid w:val="6BD526E8"/>
    <w:rsid w:val="6BDD78B3"/>
    <w:rsid w:val="6C4A05C8"/>
    <w:rsid w:val="6C8742B8"/>
    <w:rsid w:val="6D22330C"/>
    <w:rsid w:val="6D55255C"/>
    <w:rsid w:val="6DA6068E"/>
    <w:rsid w:val="6DBF5E93"/>
    <w:rsid w:val="6DFF077E"/>
    <w:rsid w:val="6E2C1CA8"/>
    <w:rsid w:val="6E714EF0"/>
    <w:rsid w:val="6E7E3605"/>
    <w:rsid w:val="6E7FDCC7"/>
    <w:rsid w:val="6E9C531E"/>
    <w:rsid w:val="6EA12D56"/>
    <w:rsid w:val="6ED6A62E"/>
    <w:rsid w:val="6EE00B15"/>
    <w:rsid w:val="6F55769C"/>
    <w:rsid w:val="6F563B40"/>
    <w:rsid w:val="6F6FB3EB"/>
    <w:rsid w:val="6F8731EA"/>
    <w:rsid w:val="6FB7A272"/>
    <w:rsid w:val="6FCE6052"/>
    <w:rsid w:val="6FD2470F"/>
    <w:rsid w:val="6FD57C00"/>
    <w:rsid w:val="6FEFFFD8"/>
    <w:rsid w:val="6FF5CC65"/>
    <w:rsid w:val="6FFB47EC"/>
    <w:rsid w:val="6FFF034A"/>
    <w:rsid w:val="70484440"/>
    <w:rsid w:val="707E43B0"/>
    <w:rsid w:val="70EA7F44"/>
    <w:rsid w:val="712A28F1"/>
    <w:rsid w:val="712D795F"/>
    <w:rsid w:val="7148395C"/>
    <w:rsid w:val="71494FDF"/>
    <w:rsid w:val="715C0E4B"/>
    <w:rsid w:val="7170412F"/>
    <w:rsid w:val="717958C4"/>
    <w:rsid w:val="71992E7C"/>
    <w:rsid w:val="72233669"/>
    <w:rsid w:val="72734D90"/>
    <w:rsid w:val="727BFAFB"/>
    <w:rsid w:val="72BDAC9C"/>
    <w:rsid w:val="72C54B39"/>
    <w:rsid w:val="73160E6D"/>
    <w:rsid w:val="7332FE48"/>
    <w:rsid w:val="7370313B"/>
    <w:rsid w:val="73AB61DA"/>
    <w:rsid w:val="73AD73D5"/>
    <w:rsid w:val="73B6EB34"/>
    <w:rsid w:val="73CC7691"/>
    <w:rsid w:val="73FA497D"/>
    <w:rsid w:val="744731E5"/>
    <w:rsid w:val="74BBD01D"/>
    <w:rsid w:val="74ED5379"/>
    <w:rsid w:val="75DEEEC2"/>
    <w:rsid w:val="75E32345"/>
    <w:rsid w:val="75ED66DA"/>
    <w:rsid w:val="75FE883D"/>
    <w:rsid w:val="762B1157"/>
    <w:rsid w:val="76865F3A"/>
    <w:rsid w:val="76E3355F"/>
    <w:rsid w:val="76FF5125"/>
    <w:rsid w:val="773109EF"/>
    <w:rsid w:val="776F6FFA"/>
    <w:rsid w:val="778769C8"/>
    <w:rsid w:val="77A75DCA"/>
    <w:rsid w:val="77DC22F5"/>
    <w:rsid w:val="77EA6925"/>
    <w:rsid w:val="783E271A"/>
    <w:rsid w:val="78616DE9"/>
    <w:rsid w:val="78E875D7"/>
    <w:rsid w:val="79086DAD"/>
    <w:rsid w:val="79BD55D9"/>
    <w:rsid w:val="79D7FD79"/>
    <w:rsid w:val="79EE5BA4"/>
    <w:rsid w:val="7A2B3E1B"/>
    <w:rsid w:val="7A894339"/>
    <w:rsid w:val="7AAF05A8"/>
    <w:rsid w:val="7AC57DCC"/>
    <w:rsid w:val="7AD284E8"/>
    <w:rsid w:val="7AF23864"/>
    <w:rsid w:val="7AFF7572"/>
    <w:rsid w:val="7B445194"/>
    <w:rsid w:val="7B6C7DFB"/>
    <w:rsid w:val="7B913552"/>
    <w:rsid w:val="7BBFBED0"/>
    <w:rsid w:val="7BC3E394"/>
    <w:rsid w:val="7C1F3737"/>
    <w:rsid w:val="7C741AA9"/>
    <w:rsid w:val="7C7C270C"/>
    <w:rsid w:val="7CBFC87B"/>
    <w:rsid w:val="7CFE0F48"/>
    <w:rsid w:val="7D272ABC"/>
    <w:rsid w:val="7D7EC23E"/>
    <w:rsid w:val="7E576F8D"/>
    <w:rsid w:val="7E8ADEBF"/>
    <w:rsid w:val="7E8F5D9D"/>
    <w:rsid w:val="7EC02D84"/>
    <w:rsid w:val="7EEF11D3"/>
    <w:rsid w:val="7EFE4840"/>
    <w:rsid w:val="7F0971A6"/>
    <w:rsid w:val="7F1D62E7"/>
    <w:rsid w:val="7F3F679B"/>
    <w:rsid w:val="7F4309E9"/>
    <w:rsid w:val="7F4FC4EF"/>
    <w:rsid w:val="7F5E4D54"/>
    <w:rsid w:val="7F6E0135"/>
    <w:rsid w:val="7F772482"/>
    <w:rsid w:val="7F79F205"/>
    <w:rsid w:val="7FA30C79"/>
    <w:rsid w:val="7FA79C44"/>
    <w:rsid w:val="7FAF8ABF"/>
    <w:rsid w:val="7FB7269E"/>
    <w:rsid w:val="7FBF4A4C"/>
    <w:rsid w:val="7FC96657"/>
    <w:rsid w:val="7FDA0ACC"/>
    <w:rsid w:val="7FDA9588"/>
    <w:rsid w:val="7FDF220F"/>
    <w:rsid w:val="7FEDC5F7"/>
    <w:rsid w:val="7FEDD9DE"/>
    <w:rsid w:val="7FEEE5DE"/>
    <w:rsid w:val="7FF5890D"/>
    <w:rsid w:val="7FF93490"/>
    <w:rsid w:val="7FFFFED3"/>
    <w:rsid w:val="97FF1EBE"/>
    <w:rsid w:val="99FF2014"/>
    <w:rsid w:val="9DB7FD14"/>
    <w:rsid w:val="A577429D"/>
    <w:rsid w:val="A6777DC1"/>
    <w:rsid w:val="A6DD0D7F"/>
    <w:rsid w:val="A73F1D12"/>
    <w:rsid w:val="A7EFEDF5"/>
    <w:rsid w:val="ACFF4FBB"/>
    <w:rsid w:val="ADC6F725"/>
    <w:rsid w:val="B7CF06AB"/>
    <w:rsid w:val="B7CFA926"/>
    <w:rsid w:val="B7F8786B"/>
    <w:rsid w:val="BABB6AA1"/>
    <w:rsid w:val="BB2F4199"/>
    <w:rsid w:val="BCFFB442"/>
    <w:rsid w:val="BD079C78"/>
    <w:rsid w:val="BD733540"/>
    <w:rsid w:val="BDFD28F2"/>
    <w:rsid w:val="BE046ED0"/>
    <w:rsid w:val="BE7DDFE1"/>
    <w:rsid w:val="BF3735D5"/>
    <w:rsid w:val="BF7F09AC"/>
    <w:rsid w:val="BFA5D44F"/>
    <w:rsid w:val="BFD475C3"/>
    <w:rsid w:val="BFDE5EA6"/>
    <w:rsid w:val="CF6FC6F3"/>
    <w:rsid w:val="CF9A1695"/>
    <w:rsid w:val="CFD3D3D7"/>
    <w:rsid w:val="CFDDBE82"/>
    <w:rsid w:val="CFDF1009"/>
    <w:rsid w:val="D7D7B16A"/>
    <w:rsid w:val="D8D6DB89"/>
    <w:rsid w:val="D94ECDCC"/>
    <w:rsid w:val="DB6F4CAB"/>
    <w:rsid w:val="DB777682"/>
    <w:rsid w:val="DD1FB521"/>
    <w:rsid w:val="DDFDF0CD"/>
    <w:rsid w:val="DEFBFEAE"/>
    <w:rsid w:val="DF1F3B80"/>
    <w:rsid w:val="DF6F9789"/>
    <w:rsid w:val="DFD5D323"/>
    <w:rsid w:val="DFE9BE81"/>
    <w:rsid w:val="DFFBD1E4"/>
    <w:rsid w:val="DFFFA9E8"/>
    <w:rsid w:val="E5F4E9DC"/>
    <w:rsid w:val="E70FE695"/>
    <w:rsid w:val="EB2E368B"/>
    <w:rsid w:val="EB5FFF53"/>
    <w:rsid w:val="EBFF3C89"/>
    <w:rsid w:val="ECFED1BC"/>
    <w:rsid w:val="ED1D69BB"/>
    <w:rsid w:val="ED7FD312"/>
    <w:rsid w:val="EF2E1AC6"/>
    <w:rsid w:val="EF53993F"/>
    <w:rsid w:val="EF6FD633"/>
    <w:rsid w:val="EFBFB2F4"/>
    <w:rsid w:val="EFBFFA21"/>
    <w:rsid w:val="F2BEBCB8"/>
    <w:rsid w:val="F36FB518"/>
    <w:rsid w:val="F3DE1A04"/>
    <w:rsid w:val="F3F722E5"/>
    <w:rsid w:val="F4FBCD07"/>
    <w:rsid w:val="F74FF50F"/>
    <w:rsid w:val="F794FE5C"/>
    <w:rsid w:val="F7BC2E01"/>
    <w:rsid w:val="F7FEE40B"/>
    <w:rsid w:val="FA5F1E70"/>
    <w:rsid w:val="FA5FDB97"/>
    <w:rsid w:val="FAED9EC9"/>
    <w:rsid w:val="FB6717F1"/>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B40D3"/>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next w:val="7"/>
    <w:link w:val="31"/>
    <w:qFormat/>
    <w:uiPriority w:val="99"/>
    <w:pPr>
      <w:spacing w:beforeLines="30"/>
    </w:pPr>
    <w:rPr>
      <w:rFonts w:ascii="仿宋_GB2312" w:eastAsia="仿宋_GB2312"/>
      <w:kern w:val="0"/>
      <w:sz w:val="30"/>
    </w:rPr>
  </w:style>
  <w:style w:type="paragraph" w:styleId="7">
    <w:name w:val="Body Text First Indent"/>
    <w:basedOn w:val="6"/>
    <w:qFormat/>
    <w:uiPriority w:val="0"/>
    <w:pPr>
      <w:ind w:firstLine="420" w:firstLineChars="100"/>
    </w:pPr>
    <w:rPr>
      <w:sz w:val="20"/>
      <w:szCs w:val="20"/>
    </w:rPr>
  </w:style>
  <w:style w:type="paragraph" w:styleId="8">
    <w:name w:val="Body Text Indent"/>
    <w:basedOn w:val="1"/>
    <w:qFormat/>
    <w:uiPriority w:val="0"/>
    <w:pPr>
      <w:spacing w:after="120"/>
      <w:ind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5"/>
    <w:semiHidden/>
    <w:unhideWhenUsed/>
    <w:qFormat/>
    <w:uiPriority w:val="99"/>
    <w:rPr>
      <w:sz w:val="18"/>
      <w:szCs w:val="18"/>
    </w:rPr>
  </w:style>
  <w:style w:type="paragraph" w:styleId="11">
    <w:name w:val="footer"/>
    <w:basedOn w:val="1"/>
    <w:link w:val="29"/>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8"/>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widowControl/>
      <w:spacing w:before="100" w:beforeAutospacing="1" w:after="100" w:afterAutospacing="1"/>
      <w:jc w:val="left"/>
    </w:pPr>
    <w:rPr>
      <w:rFonts w:ascii="宋体" w:cs="宋体"/>
      <w:color w:val="000000"/>
      <w:kern w:val="0"/>
      <w:sz w:val="24"/>
      <w:lang w:bidi="ar-SA"/>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正文首行缩进1"/>
    <w:basedOn w:val="6"/>
    <w:qFormat/>
    <w:uiPriority w:val="0"/>
    <w:pPr>
      <w:spacing w:before="100" w:beforeAutospacing="1"/>
      <w:ind w:firstLine="420" w:firstLineChars="100"/>
    </w:pPr>
    <w:rPr>
      <w:rFonts w:ascii="Times New Roman" w:eastAsia="楷体_GB2312"/>
    </w:rPr>
  </w:style>
  <w:style w:type="character" w:customStyle="1" w:styleId="23">
    <w:name w:val="标题 1 Char"/>
    <w:basedOn w:val="19"/>
    <w:link w:val="3"/>
    <w:qFormat/>
    <w:uiPriority w:val="9"/>
    <w:rPr>
      <w:rFonts w:ascii="Times New Roman" w:hAnsi="Times New Roman"/>
      <w:b/>
      <w:bCs/>
      <w:kern w:val="44"/>
      <w:sz w:val="44"/>
      <w:szCs w:val="44"/>
    </w:rPr>
  </w:style>
  <w:style w:type="character" w:customStyle="1" w:styleId="24">
    <w:name w:val="标题 2 Char"/>
    <w:basedOn w:val="19"/>
    <w:link w:val="4"/>
    <w:qFormat/>
    <w:uiPriority w:val="9"/>
    <w:rPr>
      <w:rFonts w:asciiTheme="majorHAnsi" w:hAnsiTheme="majorHAnsi" w:eastAsiaTheme="majorEastAsia" w:cstheme="majorBidi"/>
      <w:b/>
      <w:bCs/>
      <w:kern w:val="2"/>
      <w:sz w:val="32"/>
      <w:szCs w:val="32"/>
    </w:rPr>
  </w:style>
  <w:style w:type="character" w:customStyle="1" w:styleId="25">
    <w:name w:val="标题 3 Char"/>
    <w:basedOn w:val="19"/>
    <w:link w:val="5"/>
    <w:qFormat/>
    <w:uiPriority w:val="9"/>
    <w:rPr>
      <w:rFonts w:ascii="Times New Roman" w:hAnsi="Times New Roman"/>
      <w:b/>
      <w:bCs/>
      <w:kern w:val="2"/>
      <w:sz w:val="32"/>
      <w:szCs w:val="32"/>
    </w:rPr>
  </w:style>
  <w:style w:type="character" w:customStyle="1" w:styleId="26">
    <w:name w:val="Header Char"/>
    <w:basedOn w:val="19"/>
    <w:semiHidden/>
    <w:qFormat/>
    <w:uiPriority w:val="99"/>
    <w:rPr>
      <w:rFonts w:ascii="Times New Roman" w:hAnsi="Times New Roman"/>
      <w:sz w:val="18"/>
      <w:szCs w:val="18"/>
    </w:rPr>
  </w:style>
  <w:style w:type="character" w:customStyle="1" w:styleId="27">
    <w:name w:val="页眉 Char"/>
    <w:link w:val="12"/>
    <w:semiHidden/>
    <w:qFormat/>
    <w:locked/>
    <w:uiPriority w:val="99"/>
    <w:rPr>
      <w:sz w:val="18"/>
    </w:rPr>
  </w:style>
  <w:style w:type="character" w:customStyle="1" w:styleId="28">
    <w:name w:val="Footer Char"/>
    <w:basedOn w:val="19"/>
    <w:semiHidden/>
    <w:qFormat/>
    <w:uiPriority w:val="99"/>
    <w:rPr>
      <w:rFonts w:ascii="Times New Roman" w:hAnsi="Times New Roman"/>
      <w:sz w:val="18"/>
      <w:szCs w:val="18"/>
    </w:rPr>
  </w:style>
  <w:style w:type="character" w:customStyle="1" w:styleId="29">
    <w:name w:val="页脚 Char"/>
    <w:link w:val="11"/>
    <w:qFormat/>
    <w:locked/>
    <w:uiPriority w:val="99"/>
    <w:rPr>
      <w:sz w:val="18"/>
    </w:rPr>
  </w:style>
  <w:style w:type="character" w:customStyle="1" w:styleId="30">
    <w:name w:val="Body Text Char"/>
    <w:basedOn w:val="19"/>
    <w:semiHidden/>
    <w:qFormat/>
    <w:uiPriority w:val="99"/>
    <w:rPr>
      <w:rFonts w:ascii="Times New Roman" w:hAnsi="Times New Roman"/>
      <w:szCs w:val="24"/>
    </w:rPr>
  </w:style>
  <w:style w:type="character" w:customStyle="1" w:styleId="31">
    <w:name w:val="正文文本 Char"/>
    <w:link w:val="6"/>
    <w:qFormat/>
    <w:locked/>
    <w:uiPriority w:val="99"/>
    <w:rPr>
      <w:rFonts w:ascii="仿宋_GB2312" w:hAnsi="Times New Roman" w:eastAsia="仿宋_GB2312"/>
      <w:sz w:val="24"/>
    </w:rPr>
  </w:style>
  <w:style w:type="paragraph" w:customStyle="1" w:styleId="3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3">
    <w:name w:val="List Paragraph"/>
    <w:basedOn w:val="1"/>
    <w:qFormat/>
    <w:uiPriority w:val="34"/>
    <w:pPr>
      <w:ind w:firstLine="420" w:firstLineChars="200"/>
    </w:pPr>
  </w:style>
  <w:style w:type="paragraph" w:customStyle="1" w:styleId="34">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19"/>
    <w:link w:val="10"/>
    <w:semiHidden/>
    <w:qFormat/>
    <w:uiPriority w:val="99"/>
    <w:rPr>
      <w:rFonts w:ascii="Times New Roman" w:hAnsi="Times New Roman"/>
      <w:kern w:val="2"/>
      <w:sz w:val="18"/>
      <w:szCs w:val="18"/>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89296931625997"/>
          <c:y val="0.16638334041649"/>
          <c:w val="0.89736651365064"/>
          <c:h val="0.63905652358691"/>
        </c:manualLayout>
      </c:layout>
      <c:barChart>
        <c:barDir val="col"/>
        <c:grouping val="clustered"/>
        <c:varyColors val="0"/>
        <c:ser>
          <c:idx val="0"/>
          <c:order val="0"/>
          <c:tx>
            <c:strRef>
              <c:f>Sheet1!$B$1</c:f>
              <c:strCache>
                <c:ptCount val="1"/>
                <c:pt idx="0">
                  <c:v>单位：万元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1550.06</c:v>
                </c:pt>
                <c:pt idx="1">
                  <c:v>1979.37</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935284263"/>
        <c:axId val="624965635"/>
      </c:barChart>
      <c:catAx>
        <c:axId val="9352842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4965635"/>
        <c:crosses val="autoZero"/>
        <c:auto val="1"/>
        <c:lblAlgn val="ctr"/>
        <c:lblOffset val="100"/>
        <c:noMultiLvlLbl val="0"/>
      </c:catAx>
      <c:valAx>
        <c:axId val="62496563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5284263"/>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78a76fa-28ce-4ef0-a33a-cd288496d6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本年度收入决算</a:t>
            </a:r>
          </a:p>
        </c:rich>
      </c:tx>
      <c:layout>
        <c:manualLayout>
          <c:xMode val="edge"/>
          <c:yMode val="edge"/>
          <c:x val="0.374003382459531"/>
          <c:y val="0.0520611984700382"/>
        </c:manualLayout>
      </c:layout>
      <c:overlay val="0"/>
      <c:spPr>
        <a:noFill/>
        <a:ln>
          <a:noFill/>
        </a:ln>
        <a:effectLst/>
      </c:spPr>
    </c:title>
    <c:autoTitleDeleted val="0"/>
    <c:plotArea>
      <c:layout/>
      <c:pieChart>
        <c:varyColors val="1"/>
        <c:ser>
          <c:idx val="0"/>
          <c:order val="0"/>
          <c:tx>
            <c:strRef>
              <c:f>Sheet1!$B$1</c:f>
              <c:strCache>
                <c:ptCount val="1"/>
                <c:pt idx="0">
                  <c:v>本年度收入合集</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manualLayout>
                  <c:x val="-0.0499581629276778"/>
                  <c:y val="-0.2565867665741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政府性基金预算财政拨款收入</c:v>
                </c:pt>
                <c:pt idx="2">
                  <c:v>其他收入</c:v>
                </c:pt>
              </c:strCache>
            </c:strRef>
          </c:cat>
          <c:val>
            <c:numRef>
              <c:f>Sheet1!$B$2:$B$4</c:f>
              <c:numCache>
                <c:formatCode>General</c:formatCode>
                <c:ptCount val="3"/>
                <c:pt idx="0">
                  <c:v>1773.15</c:v>
                </c:pt>
                <c:pt idx="1">
                  <c:v>165.91</c:v>
                </c:pt>
                <c:pt idx="2">
                  <c:v>40.31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bcbdd99-ab48-4404-a2ff-94e841409f5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单位：万元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138201755271666"/>
                  <c:y val="-0.041323489408903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54</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39772182804266"/>
                  <c:y val="0.043873426765838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46</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1056.37</c:v>
                </c:pt>
                <c:pt idx="1">
                  <c:v>901.85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514a925-66f1-4ad4-b824-d678c3b38dc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89296931625997"/>
          <c:y val="0.16638334041649"/>
          <c:w val="0.89736651365064"/>
          <c:h val="0.63905652358691"/>
        </c:manualLayout>
      </c:layout>
      <c:barChart>
        <c:barDir val="col"/>
        <c:grouping val="clustered"/>
        <c:varyColors val="0"/>
        <c:ser>
          <c:idx val="0"/>
          <c:order val="0"/>
          <c:tx>
            <c:strRef>
              <c:f>Sheet1!$B$1</c:f>
              <c:strCache>
                <c:ptCount val="1"/>
                <c:pt idx="0">
                  <c:v>单位：万元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1550.06</c:v>
                </c:pt>
                <c:pt idx="1">
                  <c:v>1979.37</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935284263"/>
        <c:axId val="624965635"/>
      </c:barChart>
      <c:catAx>
        <c:axId val="9352842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4965635"/>
        <c:crosses val="autoZero"/>
        <c:auto val="1"/>
        <c:lblAlgn val="ctr"/>
        <c:lblOffset val="100"/>
        <c:noMultiLvlLbl val="0"/>
      </c:catAx>
      <c:valAx>
        <c:axId val="62496563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5284263"/>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78a76fa-28ce-4ef0-a33a-cd288496d6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89296931625997"/>
          <c:y val="0.16638334041649"/>
          <c:w val="0.89736651365064"/>
          <c:h val="0.63905652358691"/>
        </c:manualLayout>
      </c:layout>
      <c:barChart>
        <c:barDir val="col"/>
        <c:grouping val="clustered"/>
        <c:varyColors val="0"/>
        <c:ser>
          <c:idx val="0"/>
          <c:order val="0"/>
          <c:tx>
            <c:strRef>
              <c:f>Sheet1!$B$1</c:f>
              <c:strCache>
                <c:ptCount val="1"/>
                <c:pt idx="0">
                  <c:v>单位：万元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1550.06</c:v>
                </c:pt>
                <c:pt idx="1">
                  <c:v>1773.15</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935284263"/>
        <c:axId val="624965635"/>
      </c:barChart>
      <c:catAx>
        <c:axId val="9352842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4965635"/>
        <c:crosses val="autoZero"/>
        <c:auto val="1"/>
        <c:lblAlgn val="ctr"/>
        <c:lblOffset val="100"/>
        <c:noMultiLvlLbl val="0"/>
      </c:catAx>
      <c:valAx>
        <c:axId val="62496563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5284263"/>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f1696f6-8a4b-49d9-b8ee-905232b0ed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一般公共服务支出</c:v>
                </c:pt>
                <c:pt idx="1">
                  <c:v>社会保障和就业支出</c:v>
                </c:pt>
                <c:pt idx="2">
                  <c:v>卫生健康支出</c:v>
                </c:pt>
                <c:pt idx="3">
                  <c:v>农林水支出</c:v>
                </c:pt>
                <c:pt idx="4">
                  <c:v>住房保障支出</c:v>
                </c:pt>
              </c:strCache>
            </c:strRef>
          </c:cat>
          <c:val>
            <c:numRef>
              <c:f>Sheet1!$B$2:$B$6</c:f>
              <c:numCache>
                <c:formatCode>General</c:formatCode>
                <c:ptCount val="5"/>
                <c:pt idx="0">
                  <c:v>518.97</c:v>
                </c:pt>
                <c:pt idx="1">
                  <c:v>151.85</c:v>
                </c:pt>
                <c:pt idx="2">
                  <c:v>57.28</c:v>
                </c:pt>
                <c:pt idx="3">
                  <c:v>969.6</c:v>
                </c:pt>
                <c:pt idx="4">
                  <c:v>75.44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158795659483417"/>
          <c:y val="0.04562627143272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dfdbb8a-7834-4a5d-86b3-faff16c8fc3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delete val="1"/>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{0,8.35,0}</c:f>
              <c:numCache>
                <c:formatCode>General</c:formatCode>
                <c:ptCount val="3"/>
                <c:pt idx="0">
                  <c:v>0</c:v>
                </c:pt>
                <c:pt idx="1">
                  <c:v>8.35</c:v>
                </c:pt>
                <c:pt idx="2">
                  <c:v>0</c:v>
                </c:pt>
              </c:numCache>
            </c:numRef>
          </c:val>
        </c:ser>
        <c:dLbls>
          <c:showLegendKey val="0"/>
          <c:showVal val="1"/>
          <c:showCatName val="0"/>
          <c:showSerName val="0"/>
          <c:showPercent val="0"/>
          <c:showBubbleSize val="0"/>
          <c:showLeaderLines val="1"/>
        </c:dLbls>
        <c:firstSliceAng val="0"/>
      </c:pieChart>
    </c:plotArea>
    <c:legend>
      <c:legendPos val="r"/>
      <c:layout>
        <c:manualLayout>
          <c:xMode val="edge"/>
          <c:yMode val="edge"/>
          <c:x val="0.651377491207503"/>
          <c:y val="0.366336633663366"/>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29cdd5ec-102e-497c-bf1f-f6ae287e62b0}"/>
      </c:ext>
    </c:extLst>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34</Pages>
  <Words>15256</Words>
  <Characters>16635</Characters>
  <Lines>61</Lines>
  <Paragraphs>17</Paragraphs>
  <TotalTime>19</TotalTime>
  <ScaleCrop>false</ScaleCrop>
  <LinksUpToDate>false</LinksUpToDate>
  <CharactersWithSpaces>16738</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2020-08-13T09:49:00Z</dcterms:created>
  <dc:creator>曹颖</dc:creator>
  <cp:lastModifiedBy>kylin</cp:lastModifiedBy>
  <cp:lastPrinted>2026-09-09T19:38:00Z</cp:lastPrinted>
  <dcterms:modified xsi:type="dcterms:W3CDTF">2026-09-09T11:18:38Z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04787F2533EB45DC91BCDE4AB213247F</vt:lpwstr>
  </property>
  <property fmtid="{D5CDD505-2E9C-101B-9397-08002B2CF9AE}" pid="4" name="KSOTemplateDocerSaveRecord">
    <vt:lpwstr>eyJoZGlkIjoiNThlNTYyZmJiNzQzMWVhNDAyZjhmOGI5YmI2MTE1MDkiLCJ1c2VySWQiOiI0MjU5OTQ5MjgifQ==</vt:lpwstr>
  </property>
</Properties>
</file>