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2987CA">
      <w:pPr>
        <w:pStyle w:val="7"/>
        <w:rPr>
          <w:rFonts w:hint="eastAsia" w:ascii="Times New Roman" w:hAnsi="Times New Roman" w:eastAsia="方正小标宋简体" w:cs="Times New Roman"/>
          <w:color w:val="auto"/>
          <w:kern w:val="2"/>
          <w:sz w:val="72"/>
          <w:szCs w:val="72"/>
          <w:highlight w:val="none"/>
          <w:lang w:val="en-US" w:eastAsia="zh-CN" w:bidi="ar-SA"/>
        </w:rPr>
      </w:pPr>
      <w:bookmarkStart w:id="0" w:name="_Toc15377425"/>
      <w:bookmarkStart w:id="1" w:name="_Toc15396475"/>
      <w:bookmarkStart w:id="2" w:name="_Toc15377193"/>
      <w:bookmarkStart w:id="3" w:name="_Toc15378441"/>
      <w:bookmarkStart w:id="4" w:name="_Toc15306267"/>
      <w:bookmarkStart w:id="5" w:name="_Toc15396597"/>
    </w:p>
    <w:p w14:paraId="49B1A2E4">
      <w:pPr>
        <w:pStyle w:val="7"/>
        <w:rPr>
          <w:rFonts w:hint="eastAsia" w:ascii="Times New Roman" w:hAnsi="Times New Roman" w:eastAsia="方正小标宋简体" w:cs="Times New Roman"/>
          <w:color w:val="auto"/>
          <w:kern w:val="2"/>
          <w:sz w:val="72"/>
          <w:szCs w:val="72"/>
          <w:highlight w:val="none"/>
          <w:lang w:val="en-US" w:eastAsia="zh-CN" w:bidi="ar-SA"/>
        </w:rPr>
      </w:pPr>
    </w:p>
    <w:p w14:paraId="35E225BC">
      <w:pPr>
        <w:pStyle w:val="7"/>
        <w:rPr>
          <w:rFonts w:hint="eastAsia" w:ascii="Times New Roman" w:hAnsi="Times New Roman" w:eastAsia="方正小标宋简体" w:cs="Times New Roman"/>
          <w:color w:val="auto"/>
          <w:kern w:val="2"/>
          <w:sz w:val="72"/>
          <w:szCs w:val="72"/>
          <w:highlight w:val="none"/>
          <w:lang w:val="en-US" w:eastAsia="zh-CN" w:bidi="ar-SA"/>
        </w:rPr>
      </w:pPr>
    </w:p>
    <w:p w14:paraId="71902F81">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ascii="方正小标宋简体" w:hAnsi="方正小标宋简体" w:eastAsia="方正小标宋简体" w:cs="方正小标宋简体"/>
          <w:b w:val="0"/>
          <w:bCs/>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 w:val="0"/>
          <w:bCs/>
          <w:color w:val="000000" w:themeColor="text1"/>
          <w:sz w:val="44"/>
          <w:szCs w:val="44"/>
          <w:highlight w:val="none"/>
          <w14:textFill>
            <w14:solidFill>
              <w14:schemeClr w14:val="tx1"/>
            </w14:solidFill>
          </w14:textFill>
        </w:rPr>
        <w:t>202</w:t>
      </w:r>
      <w:r>
        <w:rPr>
          <w:rFonts w:hint="eastAsia" w:ascii="方正小标宋简体" w:hAnsi="方正小标宋简体" w:eastAsia="方正小标宋简体" w:cs="方正小标宋简体"/>
          <w:b w:val="0"/>
          <w:bCs/>
          <w:color w:val="000000" w:themeColor="text1"/>
          <w:sz w:val="44"/>
          <w:szCs w:val="44"/>
          <w:highlight w:val="none"/>
          <w:lang w:val="en-US" w:eastAsia="zh-CN"/>
          <w14:textFill>
            <w14:solidFill>
              <w14:schemeClr w14:val="tx1"/>
            </w14:solidFill>
          </w14:textFill>
        </w:rPr>
        <w:t>5</w:t>
      </w:r>
      <w:r>
        <w:rPr>
          <w:rFonts w:ascii="方正小标宋简体" w:hAnsi="方正小标宋简体" w:eastAsia="方正小标宋简体" w:cs="方正小标宋简体"/>
          <w:color w:val="000000"/>
          <w:sz w:val="44"/>
          <w:highlight w:val="none"/>
          <w:u w:color="auto"/>
        </w:rPr>
        <w:t>年度</w:t>
      </w:r>
    </w:p>
    <w:p w14:paraId="159CA7EC">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ascii="方正小标宋简体" w:hAnsi="方正小标宋简体" w:eastAsia="方正小标宋简体" w:cs="方正小标宋简体"/>
          <w:b w:val="0"/>
          <w:bCs/>
          <w:color w:val="000000" w:themeColor="text1"/>
          <w:sz w:val="44"/>
          <w:szCs w:val="44"/>
          <w:highlight w:val="none"/>
          <w14:textFill>
            <w14:solidFill>
              <w14:schemeClr w14:val="tx1"/>
            </w14:solidFill>
          </w14:textFill>
        </w:rPr>
      </w:pPr>
      <w:bookmarkStart w:id="6" w:name="_Toc15396598"/>
      <w:bookmarkStart w:id="7" w:name="_Toc15396476"/>
      <w:bookmarkStart w:id="8" w:name="_Toc15377426"/>
      <w:bookmarkStart w:id="9" w:name="_Toc15378442"/>
      <w:bookmarkStart w:id="10" w:name="_Toc15306268"/>
      <w:bookmarkStart w:id="11" w:name="_Toc15377194"/>
      <w:r>
        <w:rPr>
          <w:rFonts w:hint="eastAsia" w:ascii="方正小标宋简体" w:hAnsi="方正小标宋简体" w:eastAsia="方正小标宋简体" w:cs="方正小标宋简体"/>
          <w:b w:val="0"/>
          <w:bCs/>
          <w:color w:val="000000" w:themeColor="text1"/>
          <w:sz w:val="44"/>
          <w:szCs w:val="44"/>
          <w:highlight w:val="none"/>
          <w14:textFill>
            <w14:solidFill>
              <w14:schemeClr w14:val="tx1"/>
            </w14:solidFill>
          </w14:textFill>
        </w:rPr>
        <w:t>阿坝州茂县</w:t>
      </w:r>
      <w:r>
        <w:rPr>
          <w:rFonts w:hint="eastAsia" w:ascii="方正小标宋简体" w:hAnsi="方正小标宋简体" w:eastAsia="方正小标宋简体" w:cs="方正小标宋简体"/>
          <w:b w:val="0"/>
          <w:bCs/>
          <w:color w:val="000000" w:themeColor="text1"/>
          <w:sz w:val="44"/>
          <w:szCs w:val="44"/>
          <w:highlight w:val="none"/>
          <w:lang w:eastAsia="zh-CN"/>
          <w14:textFill>
            <w14:solidFill>
              <w14:schemeClr w14:val="tx1"/>
            </w14:solidFill>
          </w14:textFill>
        </w:rPr>
        <w:t>渭门</w:t>
      </w:r>
      <w:r>
        <w:rPr>
          <w:rFonts w:hint="eastAsia" w:ascii="方正小标宋简体" w:hAnsi="方正小标宋简体" w:eastAsia="方正小标宋简体" w:cs="方正小标宋简体"/>
          <w:b w:val="0"/>
          <w:bCs/>
          <w:color w:val="000000" w:themeColor="text1"/>
          <w:sz w:val="44"/>
          <w:szCs w:val="44"/>
          <w:highlight w:val="none"/>
          <w14:textFill>
            <w14:solidFill>
              <w14:schemeClr w14:val="tx1"/>
            </w14:solidFill>
          </w14:textFill>
        </w:rPr>
        <w:t>镇人民政府</w:t>
      </w:r>
    </w:p>
    <w:p w14:paraId="325D995F">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ascii="思源黑体 CN Normal" w:hAnsi="思源黑体 CN Normal" w:eastAsia="方正小标宋简体" w:cs="思源黑体 CN Normal"/>
          <w:b w:val="0"/>
          <w:bCs/>
          <w:color w:val="000000" w:themeColor="text1"/>
          <w:sz w:val="44"/>
          <w:szCs w:val="44"/>
          <w:highlight w:val="none"/>
          <w:lang w:val="en-US" w:eastAsia="zh-CN"/>
          <w14:textFill>
            <w14:solidFill>
              <w14:schemeClr w14:val="tx1"/>
            </w14:solidFill>
          </w14:textFill>
        </w:rPr>
      </w:pPr>
      <w:r>
        <w:rPr>
          <w:rFonts w:ascii="方正小标宋简体" w:hAnsi="方正小标宋简体" w:eastAsia="方正小标宋简体" w:cs="方正小标宋简体"/>
          <w:color w:val="000000"/>
          <w:sz w:val="44"/>
          <w:highlight w:val="none"/>
          <w:u w:color="auto"/>
        </w:rPr>
        <w:t>单位决算</w:t>
      </w:r>
      <w:bookmarkEnd w:id="6"/>
      <w:bookmarkEnd w:id="7"/>
      <w:bookmarkEnd w:id="8"/>
      <w:bookmarkEnd w:id="9"/>
      <w:bookmarkEnd w:id="10"/>
      <w:bookmarkEnd w:id="11"/>
      <w:r>
        <w:rPr>
          <w:rFonts w:hint="eastAsia" w:ascii="方正小标宋简体" w:hAnsi="方正小标宋简体" w:eastAsia="方正小标宋简体" w:cs="方正小标宋简体"/>
          <w:color w:val="000000"/>
          <w:sz w:val="44"/>
          <w:highlight w:val="none"/>
          <w:u w:color="auto"/>
          <w:lang w:val="en-US" w:eastAsia="zh-CN"/>
        </w:rPr>
        <w:t>(事业）</w:t>
      </w:r>
    </w:p>
    <w:p w14:paraId="027CBD89">
      <w:pPr>
        <w:pStyle w:val="7"/>
        <w:jc w:val="both"/>
        <w:rPr>
          <w:rFonts w:hint="eastAsia" w:ascii="Times New Roman" w:hAnsi="Times New Roman" w:eastAsia="方正小标宋简体" w:cs="Times New Roman"/>
          <w:color w:val="auto"/>
          <w:kern w:val="2"/>
          <w:sz w:val="44"/>
          <w:szCs w:val="44"/>
          <w:highlight w:val="none"/>
          <w:lang w:val="en-US" w:eastAsia="zh-CN" w:bidi="ar-SA"/>
        </w:rPr>
      </w:pPr>
    </w:p>
    <w:p w14:paraId="51392D9D">
      <w:pPr>
        <w:pStyle w:val="7"/>
        <w:jc w:val="both"/>
        <w:rPr>
          <w:rFonts w:hint="eastAsia" w:ascii="Times New Roman" w:hAnsi="Times New Roman" w:eastAsia="方正小标宋简体" w:cs="Times New Roman"/>
          <w:color w:val="auto"/>
          <w:kern w:val="2"/>
          <w:sz w:val="44"/>
          <w:szCs w:val="44"/>
          <w:highlight w:val="none"/>
          <w:lang w:val="en-US" w:eastAsia="zh-CN" w:bidi="ar-SA"/>
        </w:rPr>
      </w:pPr>
    </w:p>
    <w:p w14:paraId="3FBC3895">
      <w:pPr>
        <w:pStyle w:val="7"/>
        <w:jc w:val="both"/>
        <w:rPr>
          <w:rFonts w:hint="eastAsia" w:ascii="Times New Roman" w:hAnsi="Times New Roman" w:eastAsia="方正小标宋简体" w:cs="Times New Roman"/>
          <w:color w:val="auto"/>
          <w:kern w:val="2"/>
          <w:sz w:val="44"/>
          <w:szCs w:val="44"/>
          <w:highlight w:val="none"/>
          <w:lang w:val="en-US" w:eastAsia="zh-CN" w:bidi="ar-SA"/>
        </w:rPr>
      </w:pPr>
    </w:p>
    <w:p w14:paraId="551E59F7">
      <w:pPr>
        <w:pStyle w:val="7"/>
        <w:jc w:val="both"/>
        <w:rPr>
          <w:rFonts w:hint="eastAsia" w:ascii="Times New Roman" w:hAnsi="Times New Roman" w:eastAsia="方正小标宋简体" w:cs="Times New Roman"/>
          <w:color w:val="auto"/>
          <w:kern w:val="2"/>
          <w:sz w:val="44"/>
          <w:szCs w:val="44"/>
          <w:highlight w:val="none"/>
          <w:lang w:val="en-US" w:eastAsia="zh-CN" w:bidi="ar-SA"/>
        </w:rPr>
      </w:pPr>
    </w:p>
    <w:p w14:paraId="041E155B">
      <w:pPr>
        <w:pStyle w:val="7"/>
        <w:jc w:val="both"/>
        <w:rPr>
          <w:rFonts w:hint="eastAsia" w:ascii="Times New Roman" w:hAnsi="Times New Roman" w:eastAsia="方正小标宋简体" w:cs="Times New Roman"/>
          <w:color w:val="auto"/>
          <w:kern w:val="2"/>
          <w:sz w:val="44"/>
          <w:szCs w:val="44"/>
          <w:highlight w:val="none"/>
          <w:lang w:val="en-US" w:eastAsia="zh-CN" w:bidi="ar-SA"/>
        </w:rPr>
      </w:pPr>
    </w:p>
    <w:p w14:paraId="0101F2A5">
      <w:pPr>
        <w:pStyle w:val="7"/>
        <w:jc w:val="both"/>
        <w:rPr>
          <w:rFonts w:hint="eastAsia" w:ascii="Times New Roman" w:hAnsi="Times New Roman" w:eastAsia="方正小标宋简体" w:cs="Times New Roman"/>
          <w:color w:val="auto"/>
          <w:kern w:val="2"/>
          <w:sz w:val="44"/>
          <w:szCs w:val="44"/>
          <w:highlight w:val="none"/>
          <w:lang w:val="en-US" w:eastAsia="zh-CN" w:bidi="ar-SA"/>
        </w:rPr>
      </w:pPr>
    </w:p>
    <w:p w14:paraId="2A55C423">
      <w:pPr>
        <w:pStyle w:val="7"/>
        <w:jc w:val="both"/>
        <w:rPr>
          <w:rFonts w:hint="eastAsia" w:ascii="Times New Roman" w:hAnsi="Times New Roman" w:eastAsia="方正小标宋简体" w:cs="Times New Roman"/>
          <w:color w:val="auto"/>
          <w:kern w:val="2"/>
          <w:sz w:val="44"/>
          <w:szCs w:val="44"/>
          <w:highlight w:val="none"/>
          <w:lang w:val="en-US" w:eastAsia="zh-CN" w:bidi="ar-SA"/>
        </w:rPr>
      </w:pPr>
    </w:p>
    <w:p w14:paraId="100D42E0">
      <w:pPr>
        <w:pStyle w:val="7"/>
        <w:jc w:val="both"/>
        <w:rPr>
          <w:rFonts w:hint="eastAsia" w:ascii="Times New Roman" w:hAnsi="Times New Roman" w:eastAsia="方正小标宋简体" w:cs="Times New Roman"/>
          <w:color w:val="auto"/>
          <w:kern w:val="2"/>
          <w:sz w:val="44"/>
          <w:szCs w:val="44"/>
          <w:highlight w:val="none"/>
          <w:lang w:val="en-US" w:eastAsia="zh-CN" w:bidi="ar-SA"/>
        </w:rPr>
      </w:pPr>
    </w:p>
    <w:p w14:paraId="7FCD1472">
      <w:pPr>
        <w:pStyle w:val="7"/>
        <w:jc w:val="both"/>
        <w:rPr>
          <w:rFonts w:hint="eastAsia" w:ascii="Times New Roman" w:hAnsi="Times New Roman" w:eastAsia="方正小标宋简体" w:cs="Times New Roman"/>
          <w:color w:val="auto"/>
          <w:kern w:val="2"/>
          <w:sz w:val="44"/>
          <w:szCs w:val="44"/>
          <w:highlight w:val="none"/>
          <w:lang w:val="en-US" w:eastAsia="zh-CN" w:bidi="ar-SA"/>
        </w:rPr>
      </w:pPr>
    </w:p>
    <w:p w14:paraId="0DB46902">
      <w:pPr>
        <w:pStyle w:val="7"/>
        <w:jc w:val="both"/>
        <w:rPr>
          <w:rFonts w:hint="eastAsia" w:ascii="Times New Roman" w:hAnsi="Times New Roman" w:eastAsia="方正小标宋简体" w:cs="Times New Roman"/>
          <w:color w:val="auto"/>
          <w:kern w:val="2"/>
          <w:sz w:val="44"/>
          <w:szCs w:val="44"/>
          <w:highlight w:val="none"/>
          <w:lang w:val="en-US" w:eastAsia="zh-CN" w:bidi="ar-SA"/>
        </w:rPr>
      </w:pPr>
    </w:p>
    <w:p w14:paraId="34FC5FB6">
      <w:pPr>
        <w:pStyle w:val="7"/>
        <w:jc w:val="both"/>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66EBFFF6">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14:paraId="5DD39873">
      <w:pPr>
        <w:pStyle w:val="14"/>
        <w:rPr>
          <w:rFonts w:ascii="Times New Roman" w:hAnsi="Times New Roman"/>
          <w:color w:val="auto"/>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79899"/>
        <w15:color w:val="DBDBDB"/>
        <w:docPartObj>
          <w:docPartGallery w:val="Table of Contents"/>
          <w:docPartUnique/>
        </w:docPartObj>
      </w:sdtPr>
      <w:sdtEndPr>
        <w:rPr>
          <w:rFonts w:hint="eastAsia" w:ascii="宋体" w:hAnsi="宋体" w:eastAsia="宋体" w:cs="宋体"/>
          <w:kern w:val="2"/>
          <w:sz w:val="21"/>
          <w:szCs w:val="24"/>
          <w:lang w:val="en-US" w:eastAsia="zh-CN" w:bidi="ar-SA"/>
        </w:rPr>
      </w:sdtEndPr>
      <w:sdtContent>
        <w:p w14:paraId="2B6E6408">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宋体" w:hAnsi="宋体" w:eastAsia="宋体" w:cs="宋体"/>
              <w:sz w:val="32"/>
              <w:szCs w:val="32"/>
            </w:rPr>
          </w:pP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color w:val="000000" w:themeColor="text1"/>
              <w:sz w:val="32"/>
              <w:szCs w:val="32"/>
              <w14:textFill>
                <w14:solidFill>
                  <w14:schemeClr w14:val="tx1"/>
                </w14:solidFill>
              </w14:textFill>
            </w:rPr>
            <w:instrText xml:space="preserve"> TOC \o "1-2" \h \z \u </w:instrText>
          </w:r>
          <w:r>
            <w:rPr>
              <w:rFonts w:hint="eastAsia" w:ascii="宋体" w:hAnsi="宋体" w:eastAsia="宋体" w:cs="宋体"/>
              <w:smallCaps/>
              <w:color w:val="000000" w:themeColor="text1"/>
              <w:sz w:val="32"/>
              <w:szCs w:val="32"/>
              <w14:textFill>
                <w14:solidFill>
                  <w14:schemeClr w14:val="tx1"/>
                </w14:solidFill>
              </w14:textFill>
            </w:rPr>
            <w:fldChar w:fldCharType="separate"/>
          </w: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_Toc13668 </w:instrText>
          </w:r>
          <w:r>
            <w:rPr>
              <w:rFonts w:hint="eastAsia" w:ascii="宋体" w:hAnsi="宋体" w:eastAsia="宋体" w:cs="宋体"/>
              <w:smallCaps/>
              <w:sz w:val="32"/>
              <w:szCs w:val="32"/>
            </w:rPr>
            <w:fldChar w:fldCharType="separate"/>
          </w:r>
          <w:r>
            <w:rPr>
              <w:rFonts w:hint="eastAsia" w:ascii="宋体" w:hAnsi="宋体" w:eastAsia="宋体" w:cs="宋体"/>
              <w:sz w:val="32"/>
              <w:szCs w:val="32"/>
              <w:highlight w:val="none"/>
            </w:rPr>
            <w:t>第一部分</w:t>
          </w:r>
          <w:r>
            <w:rPr>
              <w:rFonts w:hint="eastAsia" w:ascii="宋体" w:hAnsi="宋体" w:eastAsia="宋体" w:cs="宋体"/>
              <w:sz w:val="32"/>
              <w:szCs w:val="32"/>
              <w:highlight w:val="none"/>
              <w:lang w:val="en-US" w:eastAsia="zh-CN"/>
            </w:rPr>
            <w:t xml:space="preserve"> </w:t>
          </w:r>
          <w:r>
            <w:rPr>
              <w:rFonts w:hint="eastAsia" w:ascii="宋体" w:hAnsi="宋体" w:eastAsia="宋体" w:cs="宋体"/>
              <w:sz w:val="32"/>
              <w:szCs w:val="32"/>
              <w:highlight w:val="none"/>
            </w:rPr>
            <w:t xml:space="preserve"> </w:t>
          </w:r>
          <w:r>
            <w:rPr>
              <w:rFonts w:hint="eastAsia" w:ascii="宋体" w:hAnsi="宋体" w:eastAsia="宋体" w:cs="宋体"/>
              <w:sz w:val="32"/>
              <w:szCs w:val="32"/>
              <w:highlight w:val="none"/>
              <w:lang w:eastAsia="zh-CN"/>
            </w:rPr>
            <w:t>单位</w:t>
          </w:r>
          <w:r>
            <w:rPr>
              <w:rFonts w:hint="eastAsia" w:ascii="宋体" w:hAnsi="宋体" w:eastAsia="宋体" w:cs="宋体"/>
              <w:bCs w:val="0"/>
              <w:sz w:val="32"/>
              <w:szCs w:val="32"/>
              <w:highlight w:val="none"/>
            </w:rPr>
            <w:t>概况</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_Toc13668 \h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r>
            <w:rPr>
              <w:rFonts w:hint="eastAsia" w:ascii="宋体" w:hAnsi="宋体" w:eastAsia="宋体" w:cs="宋体"/>
              <w:smallCaps/>
              <w:color w:val="000000" w:themeColor="text1"/>
              <w:sz w:val="32"/>
              <w:szCs w:val="32"/>
              <w14:textFill>
                <w14:solidFill>
                  <w14:schemeClr w14:val="tx1"/>
                </w14:solidFill>
              </w14:textFill>
            </w:rPr>
            <w:fldChar w:fldCharType="end"/>
          </w:r>
        </w:p>
        <w:p w14:paraId="10588A07">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宋体" w:hAnsi="宋体" w:eastAsia="宋体" w:cs="宋体"/>
              <w:sz w:val="32"/>
              <w:szCs w:val="32"/>
            </w:rPr>
          </w:pP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_Toc24652 </w:instrText>
          </w:r>
          <w:r>
            <w:rPr>
              <w:rFonts w:hint="eastAsia" w:ascii="宋体" w:hAnsi="宋体" w:eastAsia="宋体" w:cs="宋体"/>
              <w:smallCaps/>
              <w:sz w:val="32"/>
              <w:szCs w:val="32"/>
            </w:rPr>
            <w:fldChar w:fldCharType="separate"/>
          </w:r>
          <w:r>
            <w:rPr>
              <w:rFonts w:hint="eastAsia" w:ascii="宋体" w:hAnsi="宋体" w:eastAsia="宋体" w:cs="宋体"/>
              <w:sz w:val="32"/>
              <w:szCs w:val="32"/>
              <w:highlight w:val="none"/>
            </w:rPr>
            <w:t>一、</w:t>
          </w:r>
          <w:r>
            <w:rPr>
              <w:rFonts w:hint="eastAsia" w:ascii="宋体" w:hAnsi="宋体" w:eastAsia="宋体" w:cs="宋体"/>
              <w:sz w:val="32"/>
              <w:szCs w:val="32"/>
              <w:highlight w:val="none"/>
              <w:lang w:eastAsia="zh-CN"/>
            </w:rPr>
            <w:t>部门职责</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_Toc24652 \h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r>
            <w:rPr>
              <w:rFonts w:hint="eastAsia" w:ascii="宋体" w:hAnsi="宋体" w:eastAsia="宋体" w:cs="宋体"/>
              <w:smallCaps/>
              <w:color w:val="000000" w:themeColor="text1"/>
              <w:sz w:val="32"/>
              <w:szCs w:val="32"/>
              <w14:textFill>
                <w14:solidFill>
                  <w14:schemeClr w14:val="tx1"/>
                </w14:solidFill>
              </w14:textFill>
            </w:rPr>
            <w:fldChar w:fldCharType="end"/>
          </w:r>
        </w:p>
        <w:p w14:paraId="3832F7A4">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宋体" w:hAnsi="宋体" w:eastAsia="宋体" w:cs="宋体"/>
              <w:sz w:val="32"/>
              <w:szCs w:val="32"/>
            </w:rPr>
          </w:pP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_Toc11609 </w:instrText>
          </w:r>
          <w:r>
            <w:rPr>
              <w:rFonts w:hint="eastAsia" w:ascii="宋体" w:hAnsi="宋体" w:eastAsia="宋体" w:cs="宋体"/>
              <w:smallCaps/>
              <w:sz w:val="32"/>
              <w:szCs w:val="32"/>
            </w:rPr>
            <w:fldChar w:fldCharType="separate"/>
          </w:r>
          <w:r>
            <w:rPr>
              <w:rFonts w:hint="eastAsia" w:ascii="宋体" w:hAnsi="宋体" w:eastAsia="宋体" w:cs="宋体"/>
              <w:sz w:val="32"/>
              <w:szCs w:val="32"/>
              <w:highlight w:val="none"/>
            </w:rPr>
            <w:t>二、机</w:t>
          </w:r>
          <w:r>
            <w:rPr>
              <w:rFonts w:hint="eastAsia" w:ascii="宋体" w:hAnsi="宋体" w:eastAsia="宋体" w:cs="宋体"/>
              <w:bCs w:val="0"/>
              <w:sz w:val="32"/>
              <w:szCs w:val="32"/>
              <w:highlight w:val="none"/>
            </w:rPr>
            <w:t>构设置</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_Toc11609 \h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r>
            <w:rPr>
              <w:rFonts w:hint="eastAsia" w:ascii="宋体" w:hAnsi="宋体" w:eastAsia="宋体" w:cs="宋体"/>
              <w:smallCaps/>
              <w:color w:val="000000" w:themeColor="text1"/>
              <w:sz w:val="32"/>
              <w:szCs w:val="32"/>
              <w14:textFill>
                <w14:solidFill>
                  <w14:schemeClr w14:val="tx1"/>
                </w14:solidFill>
              </w14:textFill>
            </w:rPr>
            <w:fldChar w:fldCharType="end"/>
          </w:r>
        </w:p>
        <w:p w14:paraId="51A3FA3E">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宋体" w:hAnsi="宋体" w:eastAsia="宋体" w:cs="宋体"/>
              <w:sz w:val="32"/>
              <w:szCs w:val="32"/>
            </w:rPr>
          </w:pP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_Toc1169 </w:instrText>
          </w:r>
          <w:r>
            <w:rPr>
              <w:rFonts w:hint="eastAsia" w:ascii="宋体" w:hAnsi="宋体" w:eastAsia="宋体" w:cs="宋体"/>
              <w:smallCaps/>
              <w:sz w:val="32"/>
              <w:szCs w:val="32"/>
            </w:rPr>
            <w:fldChar w:fldCharType="separate"/>
          </w:r>
          <w:r>
            <w:rPr>
              <w:rFonts w:hint="eastAsia" w:ascii="宋体" w:hAnsi="宋体" w:eastAsia="宋体" w:cs="宋体"/>
              <w:sz w:val="32"/>
              <w:szCs w:val="32"/>
              <w:highlight w:val="none"/>
            </w:rPr>
            <w:t>第二部分</w:t>
          </w:r>
          <w:r>
            <w:rPr>
              <w:rFonts w:hint="eastAsia" w:ascii="宋体" w:hAnsi="宋体" w:eastAsia="宋体" w:cs="宋体"/>
              <w:sz w:val="32"/>
              <w:szCs w:val="32"/>
              <w:highlight w:val="none"/>
              <w:lang w:val="en-US" w:eastAsia="zh-CN"/>
            </w:rPr>
            <w:t xml:space="preserve"> </w:t>
          </w:r>
          <w:r>
            <w:rPr>
              <w:rFonts w:hint="eastAsia" w:ascii="宋体" w:hAnsi="宋体" w:eastAsia="宋体" w:cs="宋体"/>
              <w:sz w:val="32"/>
              <w:szCs w:val="32"/>
              <w:highlight w:val="none"/>
            </w:rPr>
            <w:t xml:space="preserve"> </w:t>
          </w:r>
          <w:r>
            <w:rPr>
              <w:rFonts w:hint="eastAsia" w:ascii="宋体" w:hAnsi="宋体" w:eastAsia="宋体" w:cs="宋体"/>
              <w:sz w:val="32"/>
              <w:szCs w:val="32"/>
              <w:highlight w:val="none"/>
              <w:lang w:val="en-US" w:eastAsia="zh-CN"/>
            </w:rPr>
            <w:t>2025年度</w:t>
          </w:r>
          <w:r>
            <w:rPr>
              <w:rFonts w:hint="eastAsia" w:ascii="宋体" w:hAnsi="宋体" w:eastAsia="宋体" w:cs="宋体"/>
              <w:sz w:val="32"/>
              <w:szCs w:val="32"/>
              <w:highlight w:val="none"/>
            </w:rPr>
            <w:t>部门决算情况说明</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_Toc1169 \h </w:instrText>
          </w:r>
          <w:r>
            <w:rPr>
              <w:rFonts w:hint="eastAsia" w:ascii="宋体" w:hAnsi="宋体" w:eastAsia="宋体" w:cs="宋体"/>
              <w:sz w:val="32"/>
              <w:szCs w:val="32"/>
            </w:rPr>
            <w:fldChar w:fldCharType="separate"/>
          </w:r>
          <w:r>
            <w:rPr>
              <w:rFonts w:hint="eastAsia" w:ascii="宋体" w:hAnsi="宋体" w:eastAsia="宋体" w:cs="宋体"/>
              <w:sz w:val="32"/>
              <w:szCs w:val="32"/>
            </w:rPr>
            <w:t>2</w:t>
          </w:r>
          <w:r>
            <w:rPr>
              <w:rFonts w:hint="eastAsia" w:ascii="宋体" w:hAnsi="宋体" w:eastAsia="宋体" w:cs="宋体"/>
              <w:sz w:val="32"/>
              <w:szCs w:val="32"/>
            </w:rPr>
            <w:fldChar w:fldCharType="end"/>
          </w:r>
          <w:r>
            <w:rPr>
              <w:rFonts w:hint="eastAsia" w:ascii="宋体" w:hAnsi="宋体" w:eastAsia="宋体" w:cs="宋体"/>
              <w:smallCaps/>
              <w:color w:val="000000" w:themeColor="text1"/>
              <w:sz w:val="32"/>
              <w:szCs w:val="32"/>
              <w14:textFill>
                <w14:solidFill>
                  <w14:schemeClr w14:val="tx1"/>
                </w14:solidFill>
              </w14:textFill>
            </w:rPr>
            <w:fldChar w:fldCharType="end"/>
          </w:r>
        </w:p>
        <w:p w14:paraId="2E6DEF90">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宋体" w:hAnsi="宋体" w:eastAsia="宋体" w:cs="宋体"/>
              <w:sz w:val="32"/>
              <w:szCs w:val="32"/>
            </w:rPr>
          </w:pP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_Toc3265 </w:instrText>
          </w:r>
          <w:r>
            <w:rPr>
              <w:rFonts w:hint="eastAsia" w:ascii="宋体" w:hAnsi="宋体" w:eastAsia="宋体" w:cs="宋体"/>
              <w:smallCaps/>
              <w:sz w:val="32"/>
              <w:szCs w:val="32"/>
            </w:rPr>
            <w:fldChar w:fldCharType="separate"/>
          </w:r>
          <w:r>
            <w:rPr>
              <w:rFonts w:hint="eastAsia" w:ascii="宋体" w:hAnsi="宋体" w:eastAsia="宋体" w:cs="宋体"/>
              <w:sz w:val="32"/>
              <w:szCs w:val="32"/>
              <w:highlight w:val="none"/>
              <w:lang w:eastAsia="zh-CN"/>
            </w:rPr>
            <w:t>一、</w:t>
          </w:r>
          <w:r>
            <w:rPr>
              <w:rFonts w:hint="eastAsia" w:ascii="宋体" w:hAnsi="宋体" w:eastAsia="宋体" w:cs="宋体"/>
              <w:sz w:val="32"/>
              <w:szCs w:val="32"/>
              <w:highlight w:val="none"/>
            </w:rPr>
            <w:t>收入支出决算总体情况说明</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_Toc3265 \h </w:instrText>
          </w:r>
          <w:r>
            <w:rPr>
              <w:rFonts w:hint="eastAsia" w:ascii="宋体" w:hAnsi="宋体" w:eastAsia="宋体" w:cs="宋体"/>
              <w:sz w:val="32"/>
              <w:szCs w:val="32"/>
            </w:rPr>
            <w:fldChar w:fldCharType="separate"/>
          </w:r>
          <w:r>
            <w:rPr>
              <w:rFonts w:hint="eastAsia" w:ascii="宋体" w:hAnsi="宋体" w:eastAsia="宋体" w:cs="宋体"/>
              <w:sz w:val="32"/>
              <w:szCs w:val="32"/>
            </w:rPr>
            <w:t>2</w:t>
          </w:r>
          <w:r>
            <w:rPr>
              <w:rFonts w:hint="eastAsia" w:ascii="宋体" w:hAnsi="宋体" w:eastAsia="宋体" w:cs="宋体"/>
              <w:sz w:val="32"/>
              <w:szCs w:val="32"/>
            </w:rPr>
            <w:fldChar w:fldCharType="end"/>
          </w:r>
          <w:r>
            <w:rPr>
              <w:rFonts w:hint="eastAsia" w:ascii="宋体" w:hAnsi="宋体" w:eastAsia="宋体" w:cs="宋体"/>
              <w:smallCaps/>
              <w:color w:val="000000" w:themeColor="text1"/>
              <w:sz w:val="32"/>
              <w:szCs w:val="32"/>
              <w14:textFill>
                <w14:solidFill>
                  <w14:schemeClr w14:val="tx1"/>
                </w14:solidFill>
              </w14:textFill>
            </w:rPr>
            <w:fldChar w:fldCharType="end"/>
          </w:r>
        </w:p>
        <w:p w14:paraId="726064C7">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宋体" w:hAnsi="宋体" w:eastAsia="宋体" w:cs="宋体"/>
              <w:smallCaps/>
              <w:color w:val="000000" w:themeColor="text1"/>
              <w:sz w:val="32"/>
              <w:szCs w:val="32"/>
              <w14:textFill>
                <w14:solidFill>
                  <w14:schemeClr w14:val="tx1"/>
                </w14:solidFill>
              </w14:textFill>
            </w:rPr>
          </w:pP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_Toc12249 </w:instrText>
          </w:r>
          <w:r>
            <w:rPr>
              <w:rFonts w:hint="eastAsia" w:ascii="宋体" w:hAnsi="宋体" w:eastAsia="宋体" w:cs="宋体"/>
              <w:smallCaps/>
              <w:sz w:val="32"/>
              <w:szCs w:val="32"/>
            </w:rPr>
            <w:fldChar w:fldCharType="separate"/>
          </w:r>
          <w:r>
            <w:rPr>
              <w:rFonts w:hint="eastAsia" w:ascii="宋体" w:hAnsi="宋体" w:eastAsia="宋体" w:cs="宋体"/>
              <w:sz w:val="32"/>
              <w:szCs w:val="32"/>
              <w:highlight w:val="none"/>
              <w:lang w:eastAsia="zh-CN"/>
            </w:rPr>
            <w:t>二、收入决算情况说明</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_Toc12249 \h </w:instrText>
          </w:r>
          <w:r>
            <w:rPr>
              <w:rFonts w:hint="eastAsia" w:ascii="宋体" w:hAnsi="宋体" w:eastAsia="宋体" w:cs="宋体"/>
              <w:sz w:val="32"/>
              <w:szCs w:val="32"/>
            </w:rPr>
            <w:fldChar w:fldCharType="separate"/>
          </w:r>
          <w:r>
            <w:rPr>
              <w:rFonts w:hint="eastAsia" w:ascii="宋体" w:hAnsi="宋体" w:eastAsia="宋体" w:cs="宋体"/>
              <w:sz w:val="32"/>
              <w:szCs w:val="32"/>
            </w:rPr>
            <w:t>2</w:t>
          </w:r>
          <w:r>
            <w:rPr>
              <w:rFonts w:hint="eastAsia" w:ascii="宋体" w:hAnsi="宋体" w:eastAsia="宋体" w:cs="宋体"/>
              <w:sz w:val="32"/>
              <w:szCs w:val="32"/>
            </w:rPr>
            <w:fldChar w:fldCharType="end"/>
          </w:r>
          <w:r>
            <w:rPr>
              <w:rFonts w:hint="eastAsia" w:ascii="宋体" w:hAnsi="宋体" w:eastAsia="宋体" w:cs="宋体"/>
              <w:smallCaps/>
              <w:color w:val="000000" w:themeColor="text1"/>
              <w:sz w:val="32"/>
              <w:szCs w:val="32"/>
              <w14:textFill>
                <w14:solidFill>
                  <w14:schemeClr w14:val="tx1"/>
                </w14:solidFill>
              </w14:textFill>
            </w:rPr>
            <w:fldChar w:fldCharType="end"/>
          </w:r>
        </w:p>
        <w:p w14:paraId="6BCD67E7">
          <w:pPr>
            <w:rPr>
              <w:rFonts w:hint="default" w:eastAsia="宋体"/>
              <w:lang w:val="en-US" w:eastAsia="zh-CN"/>
            </w:rPr>
          </w:pPr>
          <w:r>
            <w:rPr>
              <w:rFonts w:hint="eastAsia" w:ascii="宋体" w:hAnsi="宋体" w:cs="宋体"/>
              <w:smallCaps/>
              <w:color w:val="000000" w:themeColor="text1"/>
              <w:sz w:val="32"/>
              <w:szCs w:val="32"/>
              <w:lang w:val="en-US" w:eastAsia="zh-CN"/>
              <w14:textFill>
                <w14:solidFill>
                  <w14:schemeClr w14:val="tx1"/>
                </w14:solidFill>
              </w14:textFill>
            </w:rPr>
            <w:t xml:space="preserve">   三、支出决算情况说明............................ 3</w:t>
          </w:r>
        </w:p>
        <w:p w14:paraId="2662BD6B">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宋体" w:hAnsi="宋体" w:eastAsia="宋体" w:cs="宋体"/>
              <w:sz w:val="32"/>
              <w:szCs w:val="32"/>
            </w:rPr>
          </w:pP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_Toc26608 </w:instrText>
          </w:r>
          <w:r>
            <w:rPr>
              <w:rFonts w:hint="eastAsia" w:ascii="宋体" w:hAnsi="宋体" w:eastAsia="宋体" w:cs="宋体"/>
              <w:smallCaps/>
              <w:sz w:val="32"/>
              <w:szCs w:val="32"/>
            </w:rPr>
            <w:fldChar w:fldCharType="separate"/>
          </w:r>
          <w:r>
            <w:rPr>
              <w:rFonts w:hint="eastAsia" w:ascii="宋体" w:hAnsi="宋体" w:eastAsia="宋体" w:cs="宋体"/>
              <w:sz w:val="32"/>
              <w:szCs w:val="32"/>
              <w:highlight w:val="none"/>
            </w:rPr>
            <w:t>四、财政拨款收入支出决算总体情况说明</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_Toc26608 \h </w:instrText>
          </w:r>
          <w:r>
            <w:rPr>
              <w:rFonts w:hint="eastAsia" w:ascii="宋体" w:hAnsi="宋体" w:eastAsia="宋体" w:cs="宋体"/>
              <w:sz w:val="32"/>
              <w:szCs w:val="32"/>
            </w:rPr>
            <w:fldChar w:fldCharType="separate"/>
          </w:r>
          <w:r>
            <w:rPr>
              <w:rFonts w:hint="eastAsia" w:ascii="宋体" w:hAnsi="宋体" w:eastAsia="宋体" w:cs="宋体"/>
              <w:sz w:val="32"/>
              <w:szCs w:val="32"/>
            </w:rPr>
            <w:t>3</w:t>
          </w:r>
          <w:r>
            <w:rPr>
              <w:rFonts w:hint="eastAsia" w:ascii="宋体" w:hAnsi="宋体" w:eastAsia="宋体" w:cs="宋体"/>
              <w:sz w:val="32"/>
              <w:szCs w:val="32"/>
            </w:rPr>
            <w:fldChar w:fldCharType="end"/>
          </w:r>
          <w:r>
            <w:rPr>
              <w:rFonts w:hint="eastAsia" w:ascii="宋体" w:hAnsi="宋体" w:eastAsia="宋体" w:cs="宋体"/>
              <w:smallCaps/>
              <w:color w:val="000000" w:themeColor="text1"/>
              <w:sz w:val="32"/>
              <w:szCs w:val="32"/>
              <w14:textFill>
                <w14:solidFill>
                  <w14:schemeClr w14:val="tx1"/>
                </w14:solidFill>
              </w14:textFill>
            </w:rPr>
            <w:fldChar w:fldCharType="end"/>
          </w:r>
        </w:p>
        <w:p w14:paraId="6D0571EF">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宋体" w:hAnsi="宋体" w:eastAsia="宋体" w:cs="宋体"/>
              <w:smallCaps/>
              <w:color w:val="000000" w:themeColor="text1"/>
              <w:sz w:val="32"/>
              <w:szCs w:val="32"/>
              <w14:textFill>
                <w14:solidFill>
                  <w14:schemeClr w14:val="tx1"/>
                </w14:solidFill>
              </w14:textFill>
            </w:rPr>
          </w:pP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_Toc29644 </w:instrText>
          </w:r>
          <w:r>
            <w:rPr>
              <w:rFonts w:hint="eastAsia" w:ascii="宋体" w:hAnsi="宋体" w:eastAsia="宋体" w:cs="宋体"/>
              <w:smallCaps/>
              <w:sz w:val="32"/>
              <w:szCs w:val="32"/>
            </w:rPr>
            <w:fldChar w:fldCharType="separate"/>
          </w:r>
          <w:r>
            <w:rPr>
              <w:rFonts w:hint="eastAsia" w:ascii="宋体" w:hAnsi="宋体" w:eastAsia="宋体" w:cs="宋体"/>
              <w:sz w:val="32"/>
              <w:szCs w:val="32"/>
              <w:highlight w:val="none"/>
            </w:rPr>
            <w:t>五、一般公共预算财政拨款支出决算情况说明</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_Toc29644 \h </w:instrText>
          </w:r>
          <w:r>
            <w:rPr>
              <w:rFonts w:hint="eastAsia" w:ascii="宋体" w:hAnsi="宋体" w:eastAsia="宋体" w:cs="宋体"/>
              <w:sz w:val="32"/>
              <w:szCs w:val="32"/>
            </w:rPr>
            <w:fldChar w:fldCharType="separate"/>
          </w:r>
          <w:r>
            <w:rPr>
              <w:rFonts w:hint="eastAsia" w:ascii="宋体" w:hAnsi="宋体" w:eastAsia="宋体" w:cs="宋体"/>
              <w:sz w:val="32"/>
              <w:szCs w:val="32"/>
            </w:rPr>
            <w:t>4</w:t>
          </w:r>
          <w:r>
            <w:rPr>
              <w:rFonts w:hint="eastAsia" w:ascii="宋体" w:hAnsi="宋体" w:eastAsia="宋体" w:cs="宋体"/>
              <w:sz w:val="32"/>
              <w:szCs w:val="32"/>
            </w:rPr>
            <w:fldChar w:fldCharType="end"/>
          </w:r>
          <w:r>
            <w:rPr>
              <w:rFonts w:hint="eastAsia" w:ascii="宋体" w:hAnsi="宋体" w:eastAsia="宋体" w:cs="宋体"/>
              <w:smallCaps/>
              <w:color w:val="000000" w:themeColor="text1"/>
              <w:sz w:val="32"/>
              <w:szCs w:val="32"/>
              <w14:textFill>
                <w14:solidFill>
                  <w14:schemeClr w14:val="tx1"/>
                </w14:solidFill>
              </w14:textFill>
            </w:rPr>
            <w:fldChar w:fldCharType="end"/>
          </w:r>
        </w:p>
        <w:p w14:paraId="53DEE8C8">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宋体" w:hAnsi="宋体" w:eastAsia="宋体" w:cs="宋体"/>
              <w:smallCaps/>
              <w:color w:val="000000" w:themeColor="text1"/>
              <w:sz w:val="32"/>
              <w:szCs w:val="32"/>
              <w14:textFill>
                <w14:solidFill>
                  <w14:schemeClr w14:val="tx1"/>
                </w14:solidFill>
              </w14:textFill>
            </w:rPr>
          </w:pP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_Toc22430 </w:instrText>
          </w:r>
          <w:r>
            <w:rPr>
              <w:rFonts w:hint="eastAsia" w:ascii="宋体" w:hAnsi="宋体" w:eastAsia="宋体" w:cs="宋体"/>
              <w:smallCaps/>
              <w:sz w:val="32"/>
              <w:szCs w:val="32"/>
            </w:rPr>
            <w:fldChar w:fldCharType="separate"/>
          </w:r>
          <w:r>
            <w:rPr>
              <w:rFonts w:hint="eastAsia" w:ascii="宋体" w:hAnsi="宋体" w:eastAsia="宋体" w:cs="宋体"/>
              <w:sz w:val="32"/>
              <w:szCs w:val="32"/>
              <w:highlight w:val="none"/>
            </w:rPr>
            <w:t>六、一般公共预算财政拨款基本支出决算情况说明</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_Toc22430 \h </w:instrText>
          </w:r>
          <w:r>
            <w:rPr>
              <w:rFonts w:hint="eastAsia" w:ascii="宋体" w:hAnsi="宋体" w:eastAsia="宋体" w:cs="宋体"/>
              <w:sz w:val="32"/>
              <w:szCs w:val="32"/>
            </w:rPr>
            <w:fldChar w:fldCharType="separate"/>
          </w:r>
          <w:r>
            <w:rPr>
              <w:rFonts w:hint="eastAsia" w:ascii="宋体" w:hAnsi="宋体" w:eastAsia="宋体" w:cs="宋体"/>
              <w:sz w:val="32"/>
              <w:szCs w:val="32"/>
            </w:rPr>
            <w:t>6</w:t>
          </w:r>
          <w:r>
            <w:rPr>
              <w:rFonts w:hint="eastAsia" w:ascii="宋体" w:hAnsi="宋体" w:eastAsia="宋体" w:cs="宋体"/>
              <w:sz w:val="32"/>
              <w:szCs w:val="32"/>
            </w:rPr>
            <w:fldChar w:fldCharType="end"/>
          </w:r>
          <w:r>
            <w:rPr>
              <w:rFonts w:hint="eastAsia" w:ascii="宋体" w:hAnsi="宋体" w:eastAsia="宋体" w:cs="宋体"/>
              <w:smallCaps/>
              <w:color w:val="000000" w:themeColor="text1"/>
              <w:sz w:val="32"/>
              <w:szCs w:val="32"/>
              <w14:textFill>
                <w14:solidFill>
                  <w14:schemeClr w14:val="tx1"/>
                </w14:solidFill>
              </w14:textFill>
            </w:rPr>
            <w:fldChar w:fldCharType="end"/>
          </w:r>
        </w:p>
        <w:p w14:paraId="5EEB0F78">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宋体" w:hAnsi="宋体" w:eastAsia="宋体" w:cs="宋体"/>
              <w:sz w:val="32"/>
              <w:szCs w:val="32"/>
            </w:rPr>
          </w:pP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_Toc25827 </w:instrText>
          </w:r>
          <w:r>
            <w:rPr>
              <w:rFonts w:hint="eastAsia" w:ascii="宋体" w:hAnsi="宋体" w:eastAsia="宋体" w:cs="宋体"/>
              <w:smallCaps/>
              <w:sz w:val="32"/>
              <w:szCs w:val="32"/>
            </w:rPr>
            <w:fldChar w:fldCharType="separate"/>
          </w:r>
          <w:r>
            <w:rPr>
              <w:rFonts w:hint="eastAsia" w:ascii="宋体" w:hAnsi="宋体" w:eastAsia="宋体" w:cs="宋体"/>
              <w:sz w:val="32"/>
              <w:szCs w:val="32"/>
              <w:highlight w:val="none"/>
            </w:rPr>
            <w:t>七、财政拨款“三公”经费支出决算情况说明</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_Toc25827 \h </w:instrText>
          </w:r>
          <w:r>
            <w:rPr>
              <w:rFonts w:hint="eastAsia" w:ascii="宋体" w:hAnsi="宋体" w:eastAsia="宋体" w:cs="宋体"/>
              <w:sz w:val="32"/>
              <w:szCs w:val="32"/>
            </w:rPr>
            <w:fldChar w:fldCharType="separate"/>
          </w:r>
          <w:r>
            <w:rPr>
              <w:rFonts w:hint="eastAsia" w:ascii="宋体" w:hAnsi="宋体" w:eastAsia="宋体" w:cs="宋体"/>
              <w:sz w:val="32"/>
              <w:szCs w:val="32"/>
            </w:rPr>
            <w:t>6</w:t>
          </w:r>
          <w:r>
            <w:rPr>
              <w:rFonts w:hint="eastAsia" w:ascii="宋体" w:hAnsi="宋体" w:eastAsia="宋体" w:cs="宋体"/>
              <w:sz w:val="32"/>
              <w:szCs w:val="32"/>
            </w:rPr>
            <w:fldChar w:fldCharType="end"/>
          </w:r>
          <w:r>
            <w:rPr>
              <w:rFonts w:hint="eastAsia" w:ascii="宋体" w:hAnsi="宋体" w:eastAsia="宋体" w:cs="宋体"/>
              <w:smallCaps/>
              <w:color w:val="000000" w:themeColor="text1"/>
              <w:sz w:val="32"/>
              <w:szCs w:val="32"/>
              <w14:textFill>
                <w14:solidFill>
                  <w14:schemeClr w14:val="tx1"/>
                </w14:solidFill>
              </w14:textFill>
            </w:rPr>
            <w:fldChar w:fldCharType="end"/>
          </w:r>
        </w:p>
        <w:p w14:paraId="7D39258D">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宋体" w:hAnsi="宋体" w:eastAsia="宋体" w:cs="宋体"/>
              <w:sz w:val="32"/>
              <w:szCs w:val="32"/>
            </w:rPr>
          </w:pP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_Toc11768 </w:instrText>
          </w:r>
          <w:r>
            <w:rPr>
              <w:rFonts w:hint="eastAsia" w:ascii="宋体" w:hAnsi="宋体" w:eastAsia="宋体" w:cs="宋体"/>
              <w:smallCaps/>
              <w:sz w:val="32"/>
              <w:szCs w:val="32"/>
            </w:rPr>
            <w:fldChar w:fldCharType="separate"/>
          </w:r>
          <w:r>
            <w:rPr>
              <w:rFonts w:hint="eastAsia" w:ascii="宋体" w:hAnsi="宋体" w:eastAsia="宋体" w:cs="宋体"/>
              <w:sz w:val="32"/>
              <w:szCs w:val="32"/>
              <w:highlight w:val="none"/>
            </w:rPr>
            <w:t>八、政府性基金预算支出决算情况说明</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_Toc11768 \h </w:instrText>
          </w:r>
          <w:r>
            <w:rPr>
              <w:rFonts w:hint="eastAsia" w:ascii="宋体" w:hAnsi="宋体" w:eastAsia="宋体" w:cs="宋体"/>
              <w:sz w:val="32"/>
              <w:szCs w:val="32"/>
            </w:rPr>
            <w:fldChar w:fldCharType="separate"/>
          </w:r>
          <w:r>
            <w:rPr>
              <w:rFonts w:hint="eastAsia" w:ascii="宋体" w:hAnsi="宋体" w:eastAsia="宋体" w:cs="宋体"/>
              <w:sz w:val="32"/>
              <w:szCs w:val="32"/>
            </w:rPr>
            <w:t>7</w:t>
          </w:r>
          <w:r>
            <w:rPr>
              <w:rFonts w:hint="eastAsia" w:ascii="宋体" w:hAnsi="宋体" w:eastAsia="宋体" w:cs="宋体"/>
              <w:sz w:val="32"/>
              <w:szCs w:val="32"/>
            </w:rPr>
            <w:fldChar w:fldCharType="end"/>
          </w:r>
          <w:r>
            <w:rPr>
              <w:rFonts w:hint="eastAsia" w:ascii="宋体" w:hAnsi="宋体" w:eastAsia="宋体" w:cs="宋体"/>
              <w:smallCaps/>
              <w:color w:val="000000" w:themeColor="text1"/>
              <w:sz w:val="32"/>
              <w:szCs w:val="32"/>
              <w14:textFill>
                <w14:solidFill>
                  <w14:schemeClr w14:val="tx1"/>
                </w14:solidFill>
              </w14:textFill>
            </w:rPr>
            <w:fldChar w:fldCharType="end"/>
          </w:r>
        </w:p>
        <w:p w14:paraId="54AAE231">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宋体" w:hAnsi="宋体" w:eastAsia="宋体" w:cs="宋体"/>
              <w:smallCaps/>
              <w:color w:val="000000" w:themeColor="text1"/>
              <w:sz w:val="32"/>
              <w:szCs w:val="32"/>
              <w14:textFill>
                <w14:solidFill>
                  <w14:schemeClr w14:val="tx1"/>
                </w14:solidFill>
              </w14:textFill>
            </w:rPr>
          </w:pP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_Toc24735 </w:instrText>
          </w:r>
          <w:r>
            <w:rPr>
              <w:rFonts w:hint="eastAsia" w:ascii="宋体" w:hAnsi="宋体" w:eastAsia="宋体" w:cs="宋体"/>
              <w:smallCaps/>
              <w:sz w:val="32"/>
              <w:szCs w:val="32"/>
            </w:rPr>
            <w:fldChar w:fldCharType="separate"/>
          </w:r>
          <w:r>
            <w:rPr>
              <w:rFonts w:hint="eastAsia" w:ascii="宋体" w:hAnsi="宋体" w:eastAsia="宋体" w:cs="宋体"/>
              <w:sz w:val="32"/>
              <w:szCs w:val="32"/>
              <w:highlight w:val="none"/>
              <w:lang w:eastAsia="zh-CN"/>
            </w:rPr>
            <w:t>九、</w:t>
          </w:r>
          <w:r>
            <w:rPr>
              <w:rFonts w:hint="eastAsia" w:ascii="宋体" w:hAnsi="宋体" w:eastAsia="宋体" w:cs="宋体"/>
              <w:sz w:val="32"/>
              <w:szCs w:val="32"/>
              <w:highlight w:val="none"/>
            </w:rPr>
            <w:t>国有资本经营预算支出决算情况说明</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_Toc24735 \h </w:instrText>
          </w:r>
          <w:r>
            <w:rPr>
              <w:rFonts w:hint="eastAsia" w:ascii="宋体" w:hAnsi="宋体" w:eastAsia="宋体" w:cs="宋体"/>
              <w:sz w:val="32"/>
              <w:szCs w:val="32"/>
            </w:rPr>
            <w:fldChar w:fldCharType="separate"/>
          </w:r>
          <w:r>
            <w:rPr>
              <w:rFonts w:hint="eastAsia" w:ascii="宋体" w:hAnsi="宋体" w:eastAsia="宋体" w:cs="宋体"/>
              <w:sz w:val="32"/>
              <w:szCs w:val="32"/>
            </w:rPr>
            <w:t>7</w:t>
          </w:r>
          <w:r>
            <w:rPr>
              <w:rFonts w:hint="eastAsia" w:ascii="宋体" w:hAnsi="宋体" w:eastAsia="宋体" w:cs="宋体"/>
              <w:sz w:val="32"/>
              <w:szCs w:val="32"/>
            </w:rPr>
            <w:fldChar w:fldCharType="end"/>
          </w:r>
          <w:r>
            <w:rPr>
              <w:rFonts w:hint="eastAsia" w:ascii="宋体" w:hAnsi="宋体" w:eastAsia="宋体" w:cs="宋体"/>
              <w:smallCaps/>
              <w:color w:val="000000" w:themeColor="text1"/>
              <w:sz w:val="32"/>
              <w:szCs w:val="32"/>
              <w14:textFill>
                <w14:solidFill>
                  <w14:schemeClr w14:val="tx1"/>
                </w14:solidFill>
              </w14:textFill>
            </w:rPr>
            <w:fldChar w:fldCharType="end"/>
          </w:r>
        </w:p>
        <w:p w14:paraId="3ADF7398">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宋体" w:hAnsi="宋体" w:eastAsia="宋体" w:cs="宋体"/>
              <w:sz w:val="32"/>
              <w:szCs w:val="32"/>
            </w:rPr>
          </w:pP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_Toc9112 </w:instrText>
          </w:r>
          <w:r>
            <w:rPr>
              <w:rFonts w:hint="eastAsia" w:ascii="宋体" w:hAnsi="宋体" w:eastAsia="宋体" w:cs="宋体"/>
              <w:smallCaps/>
              <w:sz w:val="32"/>
              <w:szCs w:val="32"/>
            </w:rPr>
            <w:fldChar w:fldCharType="separate"/>
          </w:r>
          <w:r>
            <w:rPr>
              <w:rFonts w:hint="eastAsia" w:ascii="宋体" w:hAnsi="宋体" w:eastAsia="宋体" w:cs="宋体"/>
              <w:sz w:val="32"/>
              <w:szCs w:val="32"/>
              <w:highlight w:val="none"/>
              <w:lang w:eastAsia="zh-CN"/>
            </w:rPr>
            <w:t>十、</w:t>
          </w:r>
          <w:r>
            <w:rPr>
              <w:rFonts w:hint="eastAsia" w:ascii="宋体" w:hAnsi="宋体" w:eastAsia="宋体" w:cs="宋体"/>
              <w:sz w:val="32"/>
              <w:szCs w:val="32"/>
              <w:highlight w:val="none"/>
            </w:rPr>
            <w:t>其他重要事项的情况说明</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_Toc9112 \h </w:instrText>
          </w:r>
          <w:r>
            <w:rPr>
              <w:rFonts w:hint="eastAsia" w:ascii="宋体" w:hAnsi="宋体" w:eastAsia="宋体" w:cs="宋体"/>
              <w:sz w:val="32"/>
              <w:szCs w:val="32"/>
            </w:rPr>
            <w:fldChar w:fldCharType="separate"/>
          </w:r>
          <w:r>
            <w:rPr>
              <w:rFonts w:hint="eastAsia" w:ascii="宋体" w:hAnsi="宋体" w:eastAsia="宋体" w:cs="宋体"/>
              <w:sz w:val="32"/>
              <w:szCs w:val="32"/>
            </w:rPr>
            <w:t>7</w:t>
          </w:r>
          <w:r>
            <w:rPr>
              <w:rFonts w:hint="eastAsia" w:ascii="宋体" w:hAnsi="宋体" w:eastAsia="宋体" w:cs="宋体"/>
              <w:sz w:val="32"/>
              <w:szCs w:val="32"/>
            </w:rPr>
            <w:fldChar w:fldCharType="end"/>
          </w:r>
          <w:r>
            <w:rPr>
              <w:rFonts w:hint="eastAsia" w:ascii="宋体" w:hAnsi="宋体" w:eastAsia="宋体" w:cs="宋体"/>
              <w:smallCaps/>
              <w:color w:val="000000" w:themeColor="text1"/>
              <w:sz w:val="32"/>
              <w:szCs w:val="32"/>
              <w14:textFill>
                <w14:solidFill>
                  <w14:schemeClr w14:val="tx1"/>
                </w14:solidFill>
              </w14:textFill>
            </w:rPr>
            <w:fldChar w:fldCharType="end"/>
          </w:r>
        </w:p>
        <w:p w14:paraId="0C30D60E">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宋体" w:hAnsi="宋体" w:eastAsia="宋体" w:cs="宋体"/>
              <w:sz w:val="32"/>
              <w:szCs w:val="32"/>
              <w:lang w:val="en-US" w:eastAsia="zh-CN"/>
            </w:rPr>
          </w:pP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_Toc7186 </w:instrText>
          </w:r>
          <w:r>
            <w:rPr>
              <w:rFonts w:hint="eastAsia" w:ascii="宋体" w:hAnsi="宋体" w:eastAsia="宋体" w:cs="宋体"/>
              <w:smallCaps/>
              <w:sz w:val="32"/>
              <w:szCs w:val="32"/>
            </w:rPr>
            <w:fldChar w:fldCharType="separate"/>
          </w:r>
          <w:r>
            <w:rPr>
              <w:rFonts w:hint="eastAsia" w:ascii="宋体" w:hAnsi="宋体" w:eastAsia="宋体" w:cs="宋体"/>
              <w:bCs w:val="0"/>
              <w:sz w:val="32"/>
              <w:szCs w:val="32"/>
            </w:rPr>
            <w:t>第三部分</w:t>
          </w:r>
          <w:r>
            <w:rPr>
              <w:rFonts w:hint="eastAsia" w:ascii="宋体" w:hAnsi="宋体" w:eastAsia="宋体" w:cs="宋体"/>
              <w:bCs w:val="0"/>
              <w:sz w:val="32"/>
              <w:szCs w:val="32"/>
              <w:lang w:val="en-US" w:eastAsia="zh-CN"/>
            </w:rPr>
            <w:t xml:space="preserve"> </w:t>
          </w:r>
          <w:r>
            <w:rPr>
              <w:rFonts w:hint="eastAsia" w:ascii="宋体" w:hAnsi="宋体" w:eastAsia="宋体" w:cs="宋体"/>
              <w:bCs w:val="0"/>
              <w:sz w:val="32"/>
              <w:szCs w:val="32"/>
            </w:rPr>
            <w:t>名词解释</w:t>
          </w:r>
          <w:r>
            <w:rPr>
              <w:rFonts w:hint="eastAsia" w:ascii="宋体" w:hAnsi="宋体" w:eastAsia="宋体" w:cs="宋体"/>
              <w:sz w:val="32"/>
              <w:szCs w:val="32"/>
            </w:rPr>
            <w:tab/>
          </w:r>
          <w:r>
            <w:rPr>
              <w:rFonts w:hint="eastAsia" w:ascii="宋体" w:hAnsi="宋体" w:eastAsia="宋体" w:cs="宋体"/>
              <w:sz w:val="32"/>
              <w:szCs w:val="32"/>
              <w:lang w:val="en-US" w:eastAsia="zh-CN"/>
            </w:rPr>
            <w:t>.</w:t>
          </w:r>
          <w:r>
            <w:rPr>
              <w:rFonts w:hint="eastAsia" w:ascii="宋体" w:hAnsi="宋体" w:eastAsia="宋体" w:cs="宋体"/>
              <w:smallCaps/>
              <w:color w:val="000000" w:themeColor="text1"/>
              <w:sz w:val="32"/>
              <w:szCs w:val="32"/>
              <w14:textFill>
                <w14:solidFill>
                  <w14:schemeClr w14:val="tx1"/>
                </w14:solidFill>
              </w14:textFill>
            </w:rPr>
            <w:fldChar w:fldCharType="end"/>
          </w:r>
          <w:r>
            <w:rPr>
              <w:rFonts w:hint="eastAsia" w:ascii="宋体" w:hAnsi="宋体" w:eastAsia="宋体" w:cs="宋体"/>
              <w:smallCaps/>
              <w:color w:val="000000" w:themeColor="text1"/>
              <w:sz w:val="32"/>
              <w:szCs w:val="32"/>
              <w:lang w:val="en-US" w:eastAsia="zh-CN"/>
              <w14:textFill>
                <w14:solidFill>
                  <w14:schemeClr w14:val="tx1"/>
                </w14:solidFill>
              </w14:textFill>
            </w:rPr>
            <w:t>9</w:t>
          </w:r>
        </w:p>
        <w:p w14:paraId="16BDB8F9">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宋体" w:hAnsi="宋体" w:eastAsia="宋体" w:cs="宋体"/>
              <w:sz w:val="32"/>
              <w:szCs w:val="32"/>
              <w:lang w:val="en-US" w:eastAsia="zh-CN"/>
            </w:rPr>
          </w:pP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_Toc14312 </w:instrText>
          </w:r>
          <w:r>
            <w:rPr>
              <w:rFonts w:hint="eastAsia" w:ascii="宋体" w:hAnsi="宋体" w:eastAsia="宋体" w:cs="宋体"/>
              <w:smallCaps/>
              <w:sz w:val="32"/>
              <w:szCs w:val="32"/>
            </w:rPr>
            <w:fldChar w:fldCharType="separate"/>
          </w:r>
          <w:r>
            <w:rPr>
              <w:rFonts w:hint="eastAsia" w:ascii="宋体" w:hAnsi="宋体" w:eastAsia="宋体" w:cs="宋体"/>
              <w:sz w:val="32"/>
              <w:szCs w:val="32"/>
            </w:rPr>
            <w:t>第四部分</w:t>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 xml:space="preserve"> 附件</w:t>
          </w:r>
          <w:r>
            <w:rPr>
              <w:rFonts w:hint="eastAsia" w:ascii="宋体" w:hAnsi="宋体" w:eastAsia="宋体" w:cs="宋体"/>
              <w:sz w:val="32"/>
              <w:szCs w:val="32"/>
            </w:rPr>
            <w:tab/>
          </w:r>
          <w:r>
            <w:rPr>
              <w:rFonts w:hint="eastAsia" w:ascii="宋体" w:hAnsi="宋体" w:eastAsia="宋体" w:cs="宋体"/>
              <w:sz w:val="32"/>
              <w:szCs w:val="32"/>
              <w:lang w:val="en-US" w:eastAsia="zh-CN"/>
            </w:rPr>
            <w:t>.</w:t>
          </w:r>
          <w:r>
            <w:rPr>
              <w:rFonts w:hint="eastAsia" w:ascii="宋体" w:hAnsi="宋体" w:eastAsia="宋体" w:cs="宋体"/>
              <w:smallCaps/>
              <w:color w:val="000000" w:themeColor="text1"/>
              <w:sz w:val="32"/>
              <w:szCs w:val="32"/>
              <w14:textFill>
                <w14:solidFill>
                  <w14:schemeClr w14:val="tx1"/>
                </w14:solidFill>
              </w14:textFill>
            </w:rPr>
            <w:fldChar w:fldCharType="end"/>
          </w:r>
          <w:r>
            <w:rPr>
              <w:rFonts w:hint="eastAsia" w:ascii="宋体" w:hAnsi="宋体" w:eastAsia="宋体" w:cs="宋体"/>
              <w:smallCaps/>
              <w:color w:val="000000" w:themeColor="text1"/>
              <w:sz w:val="32"/>
              <w:szCs w:val="32"/>
              <w:lang w:val="en-US" w:eastAsia="zh-CN"/>
              <w14:textFill>
                <w14:solidFill>
                  <w14:schemeClr w14:val="tx1"/>
                </w14:solidFill>
              </w14:textFill>
            </w:rPr>
            <w:t>13</w:t>
          </w:r>
        </w:p>
        <w:p w14:paraId="7790D13B">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宋体" w:hAnsi="宋体" w:eastAsia="宋体" w:cs="宋体"/>
              <w:sz w:val="32"/>
              <w:szCs w:val="32"/>
              <w:lang w:val="en-US" w:eastAsia="zh-CN"/>
            </w:rPr>
          </w:pP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_Toc15650 </w:instrText>
          </w:r>
          <w:r>
            <w:rPr>
              <w:rFonts w:hint="eastAsia" w:ascii="宋体" w:hAnsi="宋体" w:eastAsia="宋体" w:cs="宋体"/>
              <w:smallCaps/>
              <w:sz w:val="32"/>
              <w:szCs w:val="32"/>
            </w:rPr>
            <w:fldChar w:fldCharType="separate"/>
          </w:r>
          <w:r>
            <w:rPr>
              <w:rFonts w:hint="eastAsia" w:ascii="宋体" w:hAnsi="宋体" w:eastAsia="宋体" w:cs="宋体"/>
              <w:sz w:val="32"/>
              <w:szCs w:val="32"/>
            </w:rPr>
            <w:t>第五部分 附表</w:t>
          </w:r>
          <w:r>
            <w:rPr>
              <w:rFonts w:hint="eastAsia" w:ascii="宋体" w:hAnsi="宋体" w:eastAsia="宋体" w:cs="宋体"/>
              <w:sz w:val="32"/>
              <w:szCs w:val="32"/>
            </w:rPr>
            <w:tab/>
          </w:r>
          <w:r>
            <w:rPr>
              <w:rFonts w:hint="eastAsia" w:ascii="宋体" w:hAnsi="宋体" w:eastAsia="宋体" w:cs="宋体"/>
              <w:sz w:val="32"/>
              <w:szCs w:val="32"/>
              <w:lang w:val="en-US" w:eastAsia="zh-CN"/>
            </w:rPr>
            <w:t>1</w:t>
          </w:r>
          <w:r>
            <w:rPr>
              <w:rFonts w:hint="eastAsia" w:ascii="宋体" w:hAnsi="宋体" w:eastAsia="宋体" w:cs="宋体"/>
              <w:smallCaps/>
              <w:color w:val="000000" w:themeColor="text1"/>
              <w:sz w:val="32"/>
              <w:szCs w:val="32"/>
              <w14:textFill>
                <w14:solidFill>
                  <w14:schemeClr w14:val="tx1"/>
                </w14:solidFill>
              </w14:textFill>
            </w:rPr>
            <w:fldChar w:fldCharType="end"/>
          </w:r>
          <w:r>
            <w:rPr>
              <w:rFonts w:hint="eastAsia" w:ascii="宋体" w:hAnsi="宋体" w:eastAsia="宋体" w:cs="宋体"/>
              <w:smallCaps/>
              <w:color w:val="000000" w:themeColor="text1"/>
              <w:sz w:val="32"/>
              <w:szCs w:val="32"/>
              <w:lang w:val="en-US" w:eastAsia="zh-CN"/>
              <w14:textFill>
                <w14:solidFill>
                  <w14:schemeClr w14:val="tx1"/>
                </w14:solidFill>
              </w14:textFill>
            </w:rPr>
            <w:t>4</w:t>
          </w:r>
        </w:p>
        <w:p w14:paraId="20833671">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宋体" w:hAnsi="宋体" w:eastAsia="宋体" w:cs="宋体"/>
              <w:sz w:val="32"/>
              <w:szCs w:val="32"/>
              <w:lang w:val="en-US" w:eastAsia="zh-CN"/>
            </w:rPr>
          </w:pP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_Toc5071 </w:instrText>
          </w:r>
          <w:r>
            <w:rPr>
              <w:rFonts w:hint="eastAsia" w:ascii="宋体" w:hAnsi="宋体" w:eastAsia="宋体" w:cs="宋体"/>
              <w:smallCaps/>
              <w:sz w:val="32"/>
              <w:szCs w:val="32"/>
            </w:rPr>
            <w:fldChar w:fldCharType="separate"/>
          </w:r>
          <w:r>
            <w:rPr>
              <w:rFonts w:hint="eastAsia" w:ascii="宋体" w:hAnsi="宋体" w:eastAsia="宋体" w:cs="宋体"/>
              <w:sz w:val="32"/>
              <w:szCs w:val="32"/>
            </w:rPr>
            <w:t>一、收入支出决算总表</w:t>
          </w:r>
          <w:r>
            <w:rPr>
              <w:rFonts w:hint="eastAsia" w:ascii="宋体" w:hAnsi="宋体" w:eastAsia="宋体" w:cs="宋体"/>
              <w:smallCaps/>
              <w:color w:val="000000" w:themeColor="text1"/>
              <w:sz w:val="32"/>
              <w:szCs w:val="32"/>
              <w14:textFill>
                <w14:solidFill>
                  <w14:schemeClr w14:val="tx1"/>
                </w14:solidFill>
              </w14:textFill>
            </w:rPr>
            <w:fldChar w:fldCharType="end"/>
          </w:r>
          <w:r>
            <w:rPr>
              <w:rFonts w:hint="eastAsia" w:ascii="宋体" w:hAnsi="宋体" w:cs="宋体"/>
              <w:smallCaps/>
              <w:color w:val="000000" w:themeColor="text1"/>
              <w:sz w:val="32"/>
              <w:szCs w:val="32"/>
              <w:lang w:val="en-US" w:eastAsia="zh-CN"/>
              <w14:textFill>
                <w14:solidFill>
                  <w14:schemeClr w14:val="tx1"/>
                </w14:solidFill>
              </w14:textFill>
            </w:rPr>
            <w:t>...........................14</w:t>
          </w: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_Toc17549 </w:instrText>
          </w:r>
          <w:r>
            <w:rPr>
              <w:rFonts w:hint="eastAsia" w:ascii="宋体" w:hAnsi="宋体" w:eastAsia="宋体" w:cs="宋体"/>
              <w:smallCaps/>
              <w:sz w:val="32"/>
              <w:szCs w:val="32"/>
            </w:rPr>
            <w:fldChar w:fldCharType="separate"/>
          </w:r>
          <w:r>
            <w:rPr>
              <w:rFonts w:hint="eastAsia" w:ascii="宋体" w:hAnsi="宋体" w:eastAsia="宋体" w:cs="宋体"/>
              <w:sz w:val="32"/>
              <w:szCs w:val="32"/>
            </w:rPr>
            <w:t>二、收入决算表</w:t>
          </w:r>
          <w:r>
            <w:rPr>
              <w:rFonts w:hint="eastAsia" w:ascii="宋体" w:hAnsi="宋体" w:eastAsia="宋体" w:cs="宋体"/>
              <w:smallCaps/>
              <w:color w:val="000000" w:themeColor="text1"/>
              <w:sz w:val="32"/>
              <w:szCs w:val="32"/>
              <w14:textFill>
                <w14:solidFill>
                  <w14:schemeClr w14:val="tx1"/>
                </w14:solidFill>
              </w14:textFill>
            </w:rPr>
            <w:fldChar w:fldCharType="end"/>
          </w:r>
          <w:r>
            <w:rPr>
              <w:rFonts w:hint="eastAsia" w:ascii="宋体" w:hAnsi="宋体" w:cs="宋体"/>
              <w:smallCaps/>
              <w:color w:val="000000" w:themeColor="text1"/>
              <w:sz w:val="32"/>
              <w:szCs w:val="32"/>
              <w:lang w:val="en-US" w:eastAsia="zh-CN"/>
              <w14:textFill>
                <w14:solidFill>
                  <w14:schemeClr w14:val="tx1"/>
                </w14:solidFill>
              </w14:textFill>
            </w:rPr>
            <w:t>.................................14</w:t>
          </w:r>
        </w:p>
        <w:p w14:paraId="6F4816AD">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宋体" w:hAnsi="宋体" w:eastAsia="宋体" w:cs="宋体"/>
              <w:sz w:val="32"/>
              <w:szCs w:val="32"/>
              <w:lang w:val="en-US" w:eastAsia="zh-CN"/>
            </w:rPr>
          </w:pP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_Toc13293 </w:instrText>
          </w:r>
          <w:r>
            <w:rPr>
              <w:rFonts w:hint="eastAsia" w:ascii="宋体" w:hAnsi="宋体" w:eastAsia="宋体" w:cs="宋体"/>
              <w:smallCaps/>
              <w:sz w:val="32"/>
              <w:szCs w:val="32"/>
            </w:rPr>
            <w:fldChar w:fldCharType="separate"/>
          </w:r>
          <w:r>
            <w:rPr>
              <w:rFonts w:hint="eastAsia" w:ascii="宋体" w:hAnsi="宋体" w:eastAsia="宋体" w:cs="宋体"/>
              <w:sz w:val="32"/>
              <w:szCs w:val="32"/>
            </w:rPr>
            <w:t>三、支出决算表</w:t>
          </w:r>
          <w:r>
            <w:rPr>
              <w:rFonts w:hint="eastAsia" w:ascii="宋体" w:hAnsi="宋体" w:eastAsia="宋体" w:cs="宋体"/>
              <w:smallCaps/>
              <w:color w:val="000000" w:themeColor="text1"/>
              <w:sz w:val="32"/>
              <w:szCs w:val="32"/>
              <w14:textFill>
                <w14:solidFill>
                  <w14:schemeClr w14:val="tx1"/>
                </w14:solidFill>
              </w14:textFill>
            </w:rPr>
            <w:fldChar w:fldCharType="end"/>
          </w:r>
          <w:r>
            <w:rPr>
              <w:rFonts w:hint="eastAsia" w:ascii="宋体" w:hAnsi="宋体" w:cs="宋体"/>
              <w:smallCaps/>
              <w:color w:val="000000" w:themeColor="text1"/>
              <w:sz w:val="32"/>
              <w:szCs w:val="32"/>
              <w:lang w:val="en-US" w:eastAsia="zh-CN"/>
              <w14:textFill>
                <w14:solidFill>
                  <w14:schemeClr w14:val="tx1"/>
                </w14:solidFill>
              </w14:textFill>
            </w:rPr>
            <w:t>.................................14</w:t>
          </w:r>
        </w:p>
        <w:p w14:paraId="175CED04">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宋体" w:hAnsi="宋体" w:eastAsia="宋体" w:cs="宋体"/>
              <w:sz w:val="32"/>
              <w:szCs w:val="32"/>
              <w:lang w:val="en-US" w:eastAsia="zh-CN"/>
            </w:rPr>
          </w:pP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_Toc16687 </w:instrText>
          </w:r>
          <w:r>
            <w:rPr>
              <w:rFonts w:hint="eastAsia" w:ascii="宋体" w:hAnsi="宋体" w:eastAsia="宋体" w:cs="宋体"/>
              <w:smallCaps/>
              <w:sz w:val="32"/>
              <w:szCs w:val="32"/>
            </w:rPr>
            <w:fldChar w:fldCharType="separate"/>
          </w:r>
          <w:r>
            <w:rPr>
              <w:rFonts w:hint="eastAsia" w:ascii="宋体" w:hAnsi="宋体" w:eastAsia="宋体" w:cs="宋体"/>
              <w:sz w:val="32"/>
              <w:szCs w:val="32"/>
            </w:rPr>
            <w:t>四、财政拨款收入支出决算总表</w:t>
          </w:r>
          <w:r>
            <w:rPr>
              <w:rFonts w:hint="eastAsia" w:ascii="宋体" w:hAnsi="宋体" w:eastAsia="宋体" w:cs="宋体"/>
              <w:smallCaps/>
              <w:color w:val="000000" w:themeColor="text1"/>
              <w:sz w:val="32"/>
              <w:szCs w:val="32"/>
              <w14:textFill>
                <w14:solidFill>
                  <w14:schemeClr w14:val="tx1"/>
                </w14:solidFill>
              </w14:textFill>
            </w:rPr>
            <w:fldChar w:fldCharType="end"/>
          </w:r>
          <w:r>
            <w:rPr>
              <w:rFonts w:hint="eastAsia" w:ascii="宋体" w:hAnsi="宋体" w:cs="宋体"/>
              <w:smallCaps/>
              <w:color w:val="000000" w:themeColor="text1"/>
              <w:sz w:val="32"/>
              <w:szCs w:val="32"/>
              <w:lang w:val="en-US" w:eastAsia="zh-CN"/>
              <w14:textFill>
                <w14:solidFill>
                  <w14:schemeClr w14:val="tx1"/>
                </w14:solidFill>
              </w14:textFill>
            </w:rPr>
            <w:t>...................14</w:t>
          </w: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_Toc9911 </w:instrText>
          </w:r>
          <w:r>
            <w:rPr>
              <w:rFonts w:hint="eastAsia" w:ascii="宋体" w:hAnsi="宋体" w:eastAsia="宋体" w:cs="宋体"/>
              <w:smallCaps/>
              <w:sz w:val="32"/>
              <w:szCs w:val="32"/>
            </w:rPr>
            <w:fldChar w:fldCharType="separate"/>
          </w:r>
          <w:r>
            <w:rPr>
              <w:rFonts w:hint="eastAsia" w:ascii="宋体" w:hAnsi="宋体" w:eastAsia="宋体" w:cs="宋体"/>
              <w:sz w:val="32"/>
              <w:szCs w:val="32"/>
            </w:rPr>
            <w:t>五、财政拨款支出决算明细表</w:t>
          </w:r>
          <w:r>
            <w:rPr>
              <w:rFonts w:hint="eastAsia" w:ascii="宋体" w:hAnsi="宋体" w:eastAsia="宋体" w:cs="宋体"/>
              <w:smallCaps/>
              <w:color w:val="000000" w:themeColor="text1"/>
              <w:sz w:val="32"/>
              <w:szCs w:val="32"/>
              <w14:textFill>
                <w14:solidFill>
                  <w14:schemeClr w14:val="tx1"/>
                </w14:solidFill>
              </w14:textFill>
            </w:rPr>
            <w:fldChar w:fldCharType="end"/>
          </w:r>
          <w:r>
            <w:rPr>
              <w:rFonts w:hint="eastAsia" w:ascii="宋体" w:hAnsi="宋体" w:cs="宋体"/>
              <w:smallCaps/>
              <w:color w:val="000000" w:themeColor="text1"/>
              <w:sz w:val="32"/>
              <w:szCs w:val="32"/>
              <w:lang w:val="en-US" w:eastAsia="zh-CN"/>
              <w14:textFill>
                <w14:solidFill>
                  <w14:schemeClr w14:val="tx1"/>
                </w14:solidFill>
              </w14:textFill>
            </w:rPr>
            <w:t>.....................14</w:t>
          </w:r>
        </w:p>
        <w:p w14:paraId="2F929BCF">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宋体" w:hAnsi="宋体" w:eastAsia="宋体" w:cs="宋体"/>
              <w:sz w:val="32"/>
              <w:szCs w:val="32"/>
              <w:lang w:val="en-US" w:eastAsia="zh-CN"/>
            </w:rPr>
          </w:pP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_Toc12266 </w:instrText>
          </w:r>
          <w:r>
            <w:rPr>
              <w:rFonts w:hint="eastAsia" w:ascii="宋体" w:hAnsi="宋体" w:eastAsia="宋体" w:cs="宋体"/>
              <w:smallCaps/>
              <w:sz w:val="32"/>
              <w:szCs w:val="32"/>
            </w:rPr>
            <w:fldChar w:fldCharType="separate"/>
          </w:r>
          <w:r>
            <w:rPr>
              <w:rFonts w:hint="eastAsia" w:ascii="宋体" w:hAnsi="宋体" w:eastAsia="宋体" w:cs="宋体"/>
              <w:sz w:val="32"/>
              <w:szCs w:val="32"/>
            </w:rPr>
            <w:t>六、一般公共预算财政拨款支出决算表</w:t>
          </w:r>
          <w:r>
            <w:rPr>
              <w:rFonts w:hint="eastAsia" w:ascii="宋体" w:hAnsi="宋体" w:eastAsia="宋体" w:cs="宋体"/>
              <w:smallCaps/>
              <w:color w:val="000000" w:themeColor="text1"/>
              <w:sz w:val="32"/>
              <w:szCs w:val="32"/>
              <w14:textFill>
                <w14:solidFill>
                  <w14:schemeClr w14:val="tx1"/>
                </w14:solidFill>
              </w14:textFill>
            </w:rPr>
            <w:fldChar w:fldCharType="end"/>
          </w:r>
          <w:r>
            <w:rPr>
              <w:rFonts w:hint="eastAsia" w:ascii="宋体" w:hAnsi="宋体" w:cs="宋体"/>
              <w:smallCaps/>
              <w:color w:val="000000" w:themeColor="text1"/>
              <w:sz w:val="32"/>
              <w:szCs w:val="32"/>
              <w:lang w:val="en-US" w:eastAsia="zh-CN"/>
              <w14:textFill>
                <w14:solidFill>
                  <w14:schemeClr w14:val="tx1"/>
                </w14:solidFill>
              </w14:textFill>
            </w:rPr>
            <w:t>.............14</w:t>
          </w:r>
        </w:p>
        <w:p w14:paraId="3BF532BA">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宋体" w:hAnsi="宋体" w:eastAsia="宋体" w:cs="宋体"/>
              <w:sz w:val="32"/>
              <w:szCs w:val="32"/>
              <w:lang w:val="en-US" w:eastAsia="zh-CN"/>
            </w:rPr>
          </w:pP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_Toc482 </w:instrText>
          </w:r>
          <w:r>
            <w:rPr>
              <w:rFonts w:hint="eastAsia" w:ascii="宋体" w:hAnsi="宋体" w:eastAsia="宋体" w:cs="宋体"/>
              <w:smallCaps/>
              <w:sz w:val="32"/>
              <w:szCs w:val="32"/>
            </w:rPr>
            <w:fldChar w:fldCharType="separate"/>
          </w:r>
          <w:r>
            <w:rPr>
              <w:rFonts w:hint="eastAsia" w:ascii="宋体" w:hAnsi="宋体" w:eastAsia="宋体" w:cs="宋体"/>
              <w:sz w:val="32"/>
              <w:szCs w:val="32"/>
            </w:rPr>
            <w:t>七、一般公共预算财政拨款支出决算明细表</w:t>
          </w:r>
          <w:r>
            <w:rPr>
              <w:rFonts w:hint="eastAsia" w:ascii="宋体" w:hAnsi="宋体" w:eastAsia="宋体" w:cs="宋体"/>
              <w:smallCaps/>
              <w:color w:val="000000" w:themeColor="text1"/>
              <w:sz w:val="32"/>
              <w:szCs w:val="32"/>
              <w14:textFill>
                <w14:solidFill>
                  <w14:schemeClr w14:val="tx1"/>
                </w14:solidFill>
              </w14:textFill>
            </w:rPr>
            <w:fldChar w:fldCharType="end"/>
          </w:r>
          <w:r>
            <w:rPr>
              <w:rFonts w:hint="eastAsia" w:ascii="宋体" w:hAnsi="宋体" w:cs="宋体"/>
              <w:smallCaps/>
              <w:color w:val="000000" w:themeColor="text1"/>
              <w:sz w:val="32"/>
              <w:szCs w:val="32"/>
              <w:lang w:val="en-US" w:eastAsia="zh-CN"/>
              <w14:textFill>
                <w14:solidFill>
                  <w14:schemeClr w14:val="tx1"/>
                </w14:solidFill>
              </w14:textFill>
            </w:rPr>
            <w:t>.........14</w:t>
          </w:r>
        </w:p>
        <w:p w14:paraId="71D22E60">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宋体" w:hAnsi="宋体" w:eastAsia="宋体" w:cs="宋体"/>
              <w:sz w:val="32"/>
              <w:szCs w:val="32"/>
              <w:lang w:val="en-US" w:eastAsia="zh-CN"/>
            </w:rPr>
          </w:pP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_Toc12915 </w:instrText>
          </w:r>
          <w:r>
            <w:rPr>
              <w:rFonts w:hint="eastAsia" w:ascii="宋体" w:hAnsi="宋体" w:eastAsia="宋体" w:cs="宋体"/>
              <w:smallCaps/>
              <w:sz w:val="32"/>
              <w:szCs w:val="32"/>
            </w:rPr>
            <w:fldChar w:fldCharType="separate"/>
          </w:r>
          <w:r>
            <w:rPr>
              <w:rFonts w:hint="eastAsia" w:ascii="宋体" w:hAnsi="宋体" w:eastAsia="宋体" w:cs="宋体"/>
              <w:sz w:val="32"/>
              <w:szCs w:val="32"/>
            </w:rPr>
            <w:t>八、一般公共预算财政拨款基本支出决算表</w:t>
          </w:r>
          <w:r>
            <w:rPr>
              <w:rFonts w:hint="eastAsia" w:ascii="宋体" w:hAnsi="宋体" w:eastAsia="宋体" w:cs="宋体"/>
              <w:smallCaps/>
              <w:color w:val="000000" w:themeColor="text1"/>
              <w:sz w:val="32"/>
              <w:szCs w:val="32"/>
              <w14:textFill>
                <w14:solidFill>
                  <w14:schemeClr w14:val="tx1"/>
                </w14:solidFill>
              </w14:textFill>
            </w:rPr>
            <w:fldChar w:fldCharType="end"/>
          </w:r>
          <w:r>
            <w:rPr>
              <w:rFonts w:hint="eastAsia" w:ascii="宋体" w:hAnsi="宋体" w:cs="宋体"/>
              <w:smallCaps/>
              <w:color w:val="000000" w:themeColor="text1"/>
              <w:sz w:val="32"/>
              <w:szCs w:val="32"/>
              <w:lang w:val="en-US" w:eastAsia="zh-CN"/>
              <w14:textFill>
                <w14:solidFill>
                  <w14:schemeClr w14:val="tx1"/>
                </w14:solidFill>
              </w14:textFill>
            </w:rPr>
            <w:t>.........14</w:t>
          </w:r>
        </w:p>
        <w:p w14:paraId="2AC60D94">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宋体" w:hAnsi="宋体" w:eastAsia="宋体" w:cs="宋体"/>
              <w:sz w:val="32"/>
              <w:szCs w:val="32"/>
              <w:lang w:val="en-US" w:eastAsia="zh-CN"/>
            </w:rPr>
          </w:pP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_Toc8130 </w:instrText>
          </w:r>
          <w:r>
            <w:rPr>
              <w:rFonts w:hint="eastAsia" w:ascii="宋体" w:hAnsi="宋体" w:eastAsia="宋体" w:cs="宋体"/>
              <w:smallCaps/>
              <w:sz w:val="32"/>
              <w:szCs w:val="32"/>
            </w:rPr>
            <w:fldChar w:fldCharType="separate"/>
          </w:r>
          <w:r>
            <w:rPr>
              <w:rFonts w:hint="eastAsia" w:ascii="宋体" w:hAnsi="宋体" w:eastAsia="宋体" w:cs="宋体"/>
              <w:sz w:val="32"/>
              <w:szCs w:val="32"/>
            </w:rPr>
            <w:t>九、一般公共预算财政拨款项目支出决算表</w:t>
          </w:r>
          <w:r>
            <w:rPr>
              <w:rFonts w:hint="eastAsia" w:ascii="宋体" w:hAnsi="宋体" w:eastAsia="宋体" w:cs="宋体"/>
              <w:smallCaps/>
              <w:color w:val="000000" w:themeColor="text1"/>
              <w:sz w:val="32"/>
              <w:szCs w:val="32"/>
              <w14:textFill>
                <w14:solidFill>
                  <w14:schemeClr w14:val="tx1"/>
                </w14:solidFill>
              </w14:textFill>
            </w:rPr>
            <w:fldChar w:fldCharType="end"/>
          </w:r>
          <w:r>
            <w:rPr>
              <w:rFonts w:hint="eastAsia" w:ascii="宋体" w:hAnsi="宋体" w:cs="宋体"/>
              <w:smallCaps/>
              <w:color w:val="000000" w:themeColor="text1"/>
              <w:sz w:val="32"/>
              <w:szCs w:val="32"/>
              <w:lang w:val="en-US" w:eastAsia="zh-CN"/>
              <w14:textFill>
                <w14:solidFill>
                  <w14:schemeClr w14:val="tx1"/>
                </w14:solidFill>
              </w14:textFill>
            </w:rPr>
            <w:t>.........14</w:t>
          </w:r>
        </w:p>
        <w:p w14:paraId="0D35ECC3">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宋体" w:hAnsi="宋体" w:eastAsia="宋体" w:cs="宋体"/>
              <w:sz w:val="32"/>
              <w:szCs w:val="32"/>
              <w:lang w:val="en-US" w:eastAsia="zh-CN"/>
            </w:rPr>
          </w:pP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_Toc17278 </w:instrText>
          </w:r>
          <w:r>
            <w:rPr>
              <w:rFonts w:hint="eastAsia" w:ascii="宋体" w:hAnsi="宋体" w:eastAsia="宋体" w:cs="宋体"/>
              <w:smallCaps/>
              <w:sz w:val="32"/>
              <w:szCs w:val="32"/>
            </w:rPr>
            <w:fldChar w:fldCharType="separate"/>
          </w:r>
          <w:r>
            <w:rPr>
              <w:rFonts w:hint="eastAsia" w:ascii="宋体" w:hAnsi="宋体" w:eastAsia="宋体" w:cs="宋体"/>
              <w:sz w:val="32"/>
              <w:szCs w:val="32"/>
            </w:rPr>
            <w:t>十、政府性基金预算财政拨款收入支出决算表</w:t>
          </w:r>
          <w:r>
            <w:rPr>
              <w:rFonts w:hint="eastAsia" w:ascii="宋体" w:hAnsi="宋体" w:eastAsia="宋体" w:cs="宋体"/>
              <w:smallCaps/>
              <w:color w:val="000000" w:themeColor="text1"/>
              <w:sz w:val="32"/>
              <w:szCs w:val="32"/>
              <w14:textFill>
                <w14:solidFill>
                  <w14:schemeClr w14:val="tx1"/>
                </w14:solidFill>
              </w14:textFill>
            </w:rPr>
            <w:fldChar w:fldCharType="end"/>
          </w:r>
          <w:r>
            <w:rPr>
              <w:rFonts w:hint="eastAsia" w:ascii="宋体" w:hAnsi="宋体" w:cs="宋体"/>
              <w:smallCaps/>
              <w:color w:val="000000" w:themeColor="text1"/>
              <w:sz w:val="32"/>
              <w:szCs w:val="32"/>
              <w:lang w:val="en-US" w:eastAsia="zh-CN"/>
              <w14:textFill>
                <w14:solidFill>
                  <w14:schemeClr w14:val="tx1"/>
                </w14:solidFill>
              </w14:textFill>
            </w:rPr>
            <w:t>.......14</w:t>
          </w:r>
        </w:p>
        <w:p w14:paraId="39736050">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宋体" w:hAnsi="宋体" w:eastAsia="宋体" w:cs="宋体"/>
              <w:sz w:val="32"/>
              <w:szCs w:val="32"/>
              <w:lang w:val="en-US" w:eastAsia="zh-CN"/>
            </w:rPr>
          </w:pP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_Toc6976 </w:instrText>
          </w:r>
          <w:r>
            <w:rPr>
              <w:rFonts w:hint="eastAsia" w:ascii="宋体" w:hAnsi="宋体" w:eastAsia="宋体" w:cs="宋体"/>
              <w:smallCaps/>
              <w:sz w:val="32"/>
              <w:szCs w:val="32"/>
            </w:rPr>
            <w:fldChar w:fldCharType="separate"/>
          </w:r>
          <w:r>
            <w:rPr>
              <w:rFonts w:hint="eastAsia" w:ascii="宋体" w:hAnsi="宋体" w:eastAsia="宋体" w:cs="宋体"/>
              <w:sz w:val="32"/>
              <w:szCs w:val="32"/>
            </w:rPr>
            <w:t>十一、国有资本经营预算</w:t>
          </w:r>
          <w:r>
            <w:rPr>
              <w:rFonts w:hint="eastAsia" w:ascii="宋体" w:hAnsi="宋体" w:eastAsia="宋体" w:cs="宋体"/>
              <w:sz w:val="32"/>
              <w:szCs w:val="32"/>
              <w:lang w:eastAsia="zh-CN"/>
            </w:rPr>
            <w:t>财政拨款收入</w:t>
          </w:r>
          <w:r>
            <w:rPr>
              <w:rFonts w:hint="eastAsia" w:ascii="宋体" w:hAnsi="宋体" w:eastAsia="宋体" w:cs="宋体"/>
              <w:sz w:val="32"/>
              <w:szCs w:val="32"/>
            </w:rPr>
            <w:t>支出决算表</w:t>
          </w:r>
          <w:r>
            <w:rPr>
              <w:rFonts w:hint="eastAsia" w:ascii="宋体" w:hAnsi="宋体" w:eastAsia="宋体" w:cs="宋体"/>
              <w:smallCaps/>
              <w:color w:val="000000" w:themeColor="text1"/>
              <w:sz w:val="32"/>
              <w:szCs w:val="32"/>
              <w14:textFill>
                <w14:solidFill>
                  <w14:schemeClr w14:val="tx1"/>
                </w14:solidFill>
              </w14:textFill>
            </w:rPr>
            <w:fldChar w:fldCharType="end"/>
          </w:r>
          <w:r>
            <w:rPr>
              <w:rFonts w:hint="eastAsia" w:ascii="宋体" w:hAnsi="宋体" w:cs="宋体"/>
              <w:smallCaps/>
              <w:color w:val="000000" w:themeColor="text1"/>
              <w:sz w:val="32"/>
              <w:szCs w:val="32"/>
              <w:lang w:val="en-US" w:eastAsia="zh-CN"/>
              <w14:textFill>
                <w14:solidFill>
                  <w14:schemeClr w14:val="tx1"/>
                </w14:solidFill>
              </w14:textFill>
            </w:rPr>
            <w:t>...14</w:t>
          </w:r>
        </w:p>
        <w:p w14:paraId="581CFEB6">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宋体" w:hAnsi="宋体" w:eastAsia="宋体" w:cs="宋体"/>
              <w:sz w:val="32"/>
              <w:szCs w:val="32"/>
              <w:lang w:val="en-US" w:eastAsia="zh-CN"/>
            </w:rPr>
          </w:pP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_Toc31048 </w:instrText>
          </w:r>
          <w:r>
            <w:rPr>
              <w:rFonts w:hint="eastAsia" w:ascii="宋体" w:hAnsi="宋体" w:eastAsia="宋体" w:cs="宋体"/>
              <w:smallCaps/>
              <w:sz w:val="32"/>
              <w:szCs w:val="32"/>
            </w:rPr>
            <w:fldChar w:fldCharType="separate"/>
          </w:r>
          <w:r>
            <w:rPr>
              <w:rFonts w:hint="eastAsia" w:ascii="宋体" w:hAnsi="宋体" w:eastAsia="宋体" w:cs="宋体"/>
              <w:sz w:val="32"/>
              <w:szCs w:val="32"/>
            </w:rPr>
            <w:t>十二、</w:t>
          </w:r>
          <w:r>
            <w:rPr>
              <w:rFonts w:hint="eastAsia" w:ascii="宋体" w:hAnsi="宋体" w:eastAsia="宋体" w:cs="宋体"/>
              <w:sz w:val="32"/>
              <w:szCs w:val="32"/>
              <w:lang w:eastAsia="zh-CN"/>
            </w:rPr>
            <w:t>国有资本经营预算财政拨款支出决算表</w:t>
          </w:r>
          <w:r>
            <w:rPr>
              <w:rFonts w:hint="eastAsia" w:ascii="宋体" w:hAnsi="宋体" w:eastAsia="宋体" w:cs="宋体"/>
              <w:smallCaps/>
              <w:color w:val="000000" w:themeColor="text1"/>
              <w:sz w:val="32"/>
              <w:szCs w:val="32"/>
              <w14:textFill>
                <w14:solidFill>
                  <w14:schemeClr w14:val="tx1"/>
                </w14:solidFill>
              </w14:textFill>
            </w:rPr>
            <w:fldChar w:fldCharType="end"/>
          </w:r>
          <w:r>
            <w:rPr>
              <w:rFonts w:hint="eastAsia" w:ascii="宋体" w:hAnsi="宋体" w:cs="宋体"/>
              <w:smallCaps/>
              <w:color w:val="000000" w:themeColor="text1"/>
              <w:sz w:val="32"/>
              <w:szCs w:val="32"/>
              <w:lang w:val="en-US" w:eastAsia="zh-CN"/>
              <w14:textFill>
                <w14:solidFill>
                  <w14:schemeClr w14:val="tx1"/>
                </w14:solidFill>
              </w14:textFill>
            </w:rPr>
            <w:t>.......14</w:t>
          </w:r>
          <w:r>
            <w:rPr>
              <w:rFonts w:hint="eastAsia" w:ascii="宋体" w:hAnsi="宋体" w:eastAsia="宋体" w:cs="宋体"/>
              <w:smallCaps/>
              <w:color w:val="000000" w:themeColor="text1"/>
              <w:sz w:val="32"/>
              <w:szCs w:val="32"/>
              <w14:textFill>
                <w14:solidFill>
                  <w14:schemeClr w14:val="tx1"/>
                </w14:solidFill>
              </w14:textFill>
            </w:rPr>
            <w:fldChar w:fldCharType="begin"/>
          </w:r>
          <w:r>
            <w:rPr>
              <w:rFonts w:hint="eastAsia" w:ascii="宋体" w:hAnsi="宋体" w:eastAsia="宋体" w:cs="宋体"/>
              <w:smallCaps/>
              <w:sz w:val="32"/>
              <w:szCs w:val="32"/>
            </w:rPr>
            <w:instrText xml:space="preserve"> HYPERLINK \l _Toc25782 </w:instrText>
          </w:r>
          <w:r>
            <w:rPr>
              <w:rFonts w:hint="eastAsia" w:ascii="宋体" w:hAnsi="宋体" w:eastAsia="宋体" w:cs="宋体"/>
              <w:smallCaps/>
              <w:sz w:val="32"/>
              <w:szCs w:val="32"/>
            </w:rPr>
            <w:fldChar w:fldCharType="separate"/>
          </w:r>
          <w:r>
            <w:rPr>
              <w:rFonts w:hint="eastAsia" w:ascii="宋体" w:hAnsi="宋体" w:eastAsia="宋体" w:cs="宋体"/>
              <w:sz w:val="32"/>
              <w:szCs w:val="32"/>
            </w:rPr>
            <w:t>十三、</w:t>
          </w:r>
          <w:r>
            <w:rPr>
              <w:rFonts w:hint="eastAsia" w:ascii="宋体" w:hAnsi="宋体" w:eastAsia="宋体" w:cs="宋体"/>
              <w:sz w:val="32"/>
              <w:szCs w:val="32"/>
              <w:lang w:eastAsia="zh-CN"/>
            </w:rPr>
            <w:t>财政拨款“三公”经费支出决算表</w:t>
          </w:r>
          <w:r>
            <w:rPr>
              <w:rFonts w:hint="eastAsia" w:ascii="宋体" w:hAnsi="宋体" w:eastAsia="宋体" w:cs="宋体"/>
              <w:smallCaps/>
              <w:color w:val="000000" w:themeColor="text1"/>
              <w:sz w:val="32"/>
              <w:szCs w:val="32"/>
              <w14:textFill>
                <w14:solidFill>
                  <w14:schemeClr w14:val="tx1"/>
                </w14:solidFill>
              </w14:textFill>
            </w:rPr>
            <w:fldChar w:fldCharType="end"/>
          </w:r>
          <w:r>
            <w:rPr>
              <w:rFonts w:hint="eastAsia" w:ascii="宋体" w:hAnsi="宋体" w:cs="宋体"/>
              <w:smallCaps/>
              <w:color w:val="000000" w:themeColor="text1"/>
              <w:sz w:val="32"/>
              <w:szCs w:val="32"/>
              <w:lang w:val="en-US" w:eastAsia="zh-CN"/>
              <w14:textFill>
                <w14:solidFill>
                  <w14:schemeClr w14:val="tx1"/>
                </w14:solidFill>
              </w14:textFill>
            </w:rPr>
            <w:t>...........14</w:t>
          </w:r>
        </w:p>
        <w:p w14:paraId="2EE709D3">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宋体" w:hAnsi="宋体" w:eastAsia="宋体" w:cs="宋体"/>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r>
            <w:rPr>
              <w:rFonts w:hint="eastAsia" w:ascii="宋体" w:hAnsi="宋体" w:eastAsia="宋体" w:cs="宋体"/>
              <w:smallCaps/>
              <w:color w:val="000000" w:themeColor="text1"/>
              <w:sz w:val="32"/>
              <w:szCs w:val="32"/>
              <w14:textFill>
                <w14:solidFill>
                  <w14:schemeClr w14:val="tx1"/>
                </w14:solidFill>
              </w14:textFill>
            </w:rPr>
            <w:fldChar w:fldCharType="end"/>
          </w:r>
        </w:p>
      </w:sdtContent>
    </w:sdt>
    <w:p w14:paraId="44FF9F9C">
      <w:pPr>
        <w:pStyle w:val="3"/>
        <w:jc w:val="center"/>
        <w:rPr>
          <w:rStyle w:val="31"/>
          <w:rFonts w:hint="default" w:ascii="Times New Roman" w:hAnsi="Times New Roman" w:eastAsia="黑体" w:cs="Times New Roman"/>
          <w:b/>
          <w:bCs w:val="0"/>
          <w:color w:val="auto"/>
          <w:highlight w:val="none"/>
        </w:rPr>
      </w:pPr>
      <w:bookmarkStart w:id="12" w:name="_Toc29552"/>
      <w:bookmarkStart w:id="13" w:name="_Toc13668"/>
      <w:r>
        <w:rPr>
          <w:rFonts w:hint="default" w:ascii="Times New Roman" w:hAnsi="Times New Roman" w:eastAsia="黑体" w:cs="Times New Roman"/>
          <w:b w:val="0"/>
          <w:color w:val="auto"/>
          <w:highlight w:val="none"/>
        </w:rPr>
        <w:t>第一部分</w:t>
      </w:r>
      <w:r>
        <w:rPr>
          <w:rFonts w:hint="default" w:ascii="Times New Roman" w:hAnsi="Times New Roman" w:eastAsia="黑体" w:cs="Times New Roman"/>
          <w:b w:val="0"/>
          <w:color w:val="auto"/>
          <w:highlight w:val="none"/>
          <w:lang w:val="en-US" w:eastAsia="zh-CN"/>
        </w:rPr>
        <w:t xml:space="preserve"> </w:t>
      </w:r>
      <w:r>
        <w:rPr>
          <w:rFonts w:hint="default" w:ascii="Times New Roman" w:hAnsi="Times New Roman" w:eastAsia="黑体" w:cs="Times New Roman"/>
          <w:b w:val="0"/>
          <w:color w:val="auto"/>
          <w:highlight w:val="none"/>
        </w:rPr>
        <w:t xml:space="preserve"> </w:t>
      </w:r>
      <w:r>
        <w:rPr>
          <w:rFonts w:hint="default" w:ascii="Times New Roman" w:hAnsi="Times New Roman" w:eastAsia="黑体" w:cs="Times New Roman"/>
          <w:b w:val="0"/>
          <w:color w:val="auto"/>
          <w:highlight w:val="none"/>
          <w:lang w:eastAsia="zh-CN"/>
        </w:rPr>
        <w:t>单位</w:t>
      </w:r>
      <w:r>
        <w:rPr>
          <w:rStyle w:val="31"/>
          <w:rFonts w:hint="default" w:ascii="Times New Roman" w:hAnsi="Times New Roman" w:eastAsia="黑体" w:cs="Times New Roman"/>
          <w:b w:val="0"/>
          <w:bCs w:val="0"/>
          <w:color w:val="auto"/>
          <w:highlight w:val="none"/>
        </w:rPr>
        <w:t>概况</w:t>
      </w:r>
      <w:bookmarkEnd w:id="12"/>
      <w:bookmarkEnd w:id="13"/>
    </w:p>
    <w:p w14:paraId="4FC934D1">
      <w:pPr>
        <w:pStyle w:val="4"/>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default" w:ascii="Times New Roman" w:hAnsi="Times New Roman" w:eastAsia="黑体" w:cs="Times New Roman"/>
          <w:b w:val="0"/>
          <w:color w:val="auto"/>
          <w:highlight w:val="none"/>
          <w:lang w:eastAsia="zh-CN"/>
        </w:rPr>
      </w:pPr>
      <w:bookmarkStart w:id="14" w:name="_Toc15396600"/>
      <w:bookmarkStart w:id="15" w:name="_Toc15377197"/>
      <w:bookmarkStart w:id="16" w:name="_Toc14982"/>
      <w:bookmarkStart w:id="17" w:name="_Toc24652"/>
      <w:r>
        <w:rPr>
          <w:rFonts w:hint="default" w:ascii="Times New Roman" w:hAnsi="Times New Roman" w:eastAsia="黑体" w:cs="Times New Roman"/>
          <w:b w:val="0"/>
          <w:color w:val="auto"/>
          <w:highlight w:val="none"/>
        </w:rPr>
        <w:t>一、</w:t>
      </w:r>
      <w:bookmarkEnd w:id="14"/>
      <w:bookmarkEnd w:id="15"/>
      <w:r>
        <w:rPr>
          <w:rFonts w:hint="default" w:ascii="Times New Roman" w:hAnsi="Times New Roman" w:eastAsia="黑体" w:cs="Times New Roman"/>
          <w:b w:val="0"/>
          <w:color w:val="auto"/>
          <w:highlight w:val="none"/>
          <w:lang w:eastAsia="zh-CN"/>
        </w:rPr>
        <w:t>部门职责</w:t>
      </w:r>
      <w:bookmarkEnd w:id="16"/>
      <w:bookmarkEnd w:id="17"/>
    </w:p>
    <w:p w14:paraId="4A646C59">
      <w:pPr>
        <w:pStyle w:val="4"/>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负责调查了解农业产业结构状况及市场走向，及时提供农业结构调整参考信息；做好计划生育宣传教育工作，落实国家计划生育政策，努力提高人口素质；负责组织军烈属慰问、民政救灾救济工作；宣传贯彻国土管理、城建规划的法律法规，拟定全镇国土、城建管理规划措施；宣传教育、文化、科技、卫生等方面的政策、知识；严格按规定做好财务管理工作。　</w:t>
      </w:r>
    </w:p>
    <w:p w14:paraId="1E5FC671">
      <w:pPr>
        <w:pStyle w:val="4"/>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default" w:ascii="Times New Roman" w:hAnsi="Times New Roman" w:eastAsia="黑体" w:cs="Times New Roman"/>
          <w:b w:val="0"/>
          <w:color w:val="auto"/>
          <w:highlight w:val="none"/>
          <w:lang w:eastAsia="zh-CN"/>
        </w:rPr>
      </w:pPr>
      <w:bookmarkStart w:id="18" w:name="_Toc15396601"/>
      <w:bookmarkStart w:id="19" w:name="_Toc11609"/>
      <w:bookmarkStart w:id="20" w:name="_Toc9555"/>
      <w:bookmarkStart w:id="21" w:name="_Toc15377200"/>
      <w:r>
        <w:rPr>
          <w:rFonts w:hint="default" w:ascii="Times New Roman" w:hAnsi="Times New Roman" w:eastAsia="黑体" w:cs="Times New Roman"/>
          <w:b w:val="0"/>
          <w:color w:val="auto"/>
          <w:highlight w:val="none"/>
          <w:lang w:eastAsia="zh-CN"/>
        </w:rPr>
        <w:t>二、机构设置</w:t>
      </w:r>
      <w:bookmarkEnd w:id="18"/>
      <w:bookmarkEnd w:id="19"/>
      <w:bookmarkEnd w:id="20"/>
      <w:bookmarkEnd w:id="21"/>
    </w:p>
    <w:p w14:paraId="143E9EC9">
      <w:pPr>
        <w:pStyle w:val="17"/>
        <w:keepNext w:val="0"/>
        <w:keepLines w:val="0"/>
        <w:pageBreakBefore w:val="0"/>
        <w:widowControl/>
        <w:suppressLineNumbers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b w:val="0"/>
          <w:bCs w:val="0"/>
          <w:color w:val="000000"/>
          <w:sz w:val="32"/>
          <w:szCs w:val="32"/>
          <w:lang w:eastAsia="zh-CN"/>
        </w:rPr>
      </w:pPr>
      <w:r>
        <w:rPr>
          <w:rFonts w:hint="default" w:ascii="Times New Roman" w:hAnsi="Times New Roman" w:eastAsia="仿宋_GB2312" w:cs="Times New Roman"/>
          <w:b w:val="0"/>
          <w:bCs w:val="0"/>
          <w:color w:val="000000"/>
          <w:sz w:val="32"/>
          <w:szCs w:val="32"/>
        </w:rPr>
        <w:t>茂县</w:t>
      </w:r>
      <w:r>
        <w:rPr>
          <w:rFonts w:hint="default" w:ascii="Times New Roman" w:hAnsi="Times New Roman" w:eastAsia="仿宋_GB2312" w:cs="Times New Roman"/>
          <w:b w:val="0"/>
          <w:bCs w:val="0"/>
          <w:color w:val="000000"/>
          <w:sz w:val="32"/>
          <w:szCs w:val="32"/>
          <w:lang w:eastAsia="zh-CN"/>
        </w:rPr>
        <w:t>渭门</w:t>
      </w:r>
      <w:r>
        <w:rPr>
          <w:rFonts w:hint="default" w:ascii="Times New Roman" w:hAnsi="Times New Roman" w:eastAsia="仿宋_GB2312" w:cs="Times New Roman"/>
          <w:b w:val="0"/>
          <w:bCs w:val="0"/>
          <w:color w:val="000000"/>
          <w:sz w:val="32"/>
          <w:szCs w:val="32"/>
        </w:rPr>
        <w:t>镇人民政府属于行政单位，下属行政单位0个，其中内设机构</w:t>
      </w:r>
      <w:r>
        <w:rPr>
          <w:rFonts w:hint="default" w:ascii="Times New Roman" w:hAnsi="Times New Roman" w:eastAsia="仿宋_GB2312" w:cs="Times New Roman"/>
          <w:b w:val="0"/>
          <w:bCs w:val="0"/>
          <w:color w:val="000000"/>
          <w:sz w:val="32"/>
          <w:szCs w:val="32"/>
          <w:lang w:val="en-US" w:eastAsia="zh-CN"/>
        </w:rPr>
        <w:t>7</w:t>
      </w:r>
      <w:r>
        <w:rPr>
          <w:rFonts w:hint="default" w:ascii="Times New Roman" w:hAnsi="Times New Roman" w:eastAsia="仿宋_GB2312" w:cs="Times New Roman"/>
          <w:b w:val="0"/>
          <w:bCs w:val="0"/>
          <w:color w:val="000000"/>
          <w:sz w:val="32"/>
          <w:szCs w:val="32"/>
        </w:rPr>
        <w:t>个，（1）党政办公室，（2）党建工作办公室，（3）社会事务经济发展和乡村振兴办公室，（4）社会治理和维护稳定办公室，（5）应急管理办公室，（6）综合行政执法和生态环境办公室，（7）财政办公室</w:t>
      </w:r>
      <w:r>
        <w:rPr>
          <w:rFonts w:hint="default" w:ascii="Times New Roman" w:hAnsi="Times New Roman" w:eastAsia="仿宋_GB2312" w:cs="Times New Roman"/>
          <w:b w:val="0"/>
          <w:bCs w:val="0"/>
          <w:color w:val="000000"/>
          <w:sz w:val="32"/>
          <w:szCs w:val="32"/>
          <w:lang w:eastAsia="zh-CN"/>
        </w:rPr>
        <w:t>。</w:t>
      </w:r>
    </w:p>
    <w:p w14:paraId="03E95DD2">
      <w:pPr>
        <w:widowControl/>
        <w:jc w:val="left"/>
        <w:rPr>
          <w:rFonts w:hint="default" w:ascii="Times New Roman" w:hAnsi="Times New Roman" w:eastAsia="仿宋" w:cs="Times New Roman"/>
          <w:color w:val="auto"/>
          <w:kern w:val="0"/>
          <w:sz w:val="32"/>
          <w:szCs w:val="32"/>
          <w:highlight w:val="none"/>
        </w:rPr>
      </w:pPr>
      <w:r>
        <w:rPr>
          <w:rFonts w:hint="default" w:ascii="Times New Roman" w:hAnsi="Times New Roman" w:eastAsia="仿宋" w:cs="Times New Roman"/>
          <w:color w:val="auto"/>
          <w:sz w:val="32"/>
          <w:szCs w:val="32"/>
          <w:highlight w:val="none"/>
        </w:rPr>
        <w:br w:type="page"/>
      </w:r>
    </w:p>
    <w:p w14:paraId="2E9F18A7">
      <w:pPr>
        <w:pStyle w:val="3"/>
        <w:jc w:val="center"/>
        <w:rPr>
          <w:rFonts w:hint="default" w:ascii="Times New Roman" w:hAnsi="Times New Roman" w:eastAsia="方正小标宋简体" w:cs="Times New Roman"/>
          <w:b w:val="0"/>
          <w:color w:val="auto"/>
          <w:highlight w:val="none"/>
        </w:rPr>
      </w:pPr>
      <w:bookmarkStart w:id="22" w:name="_Toc1169"/>
      <w:bookmarkStart w:id="23" w:name="_Toc15377204"/>
      <w:bookmarkStart w:id="24" w:name="_Toc15730"/>
      <w:bookmarkStart w:id="25" w:name="_Toc15396602"/>
      <w:r>
        <w:rPr>
          <w:rFonts w:hint="default" w:ascii="Times New Roman" w:hAnsi="Times New Roman" w:eastAsia="方正小标宋简体" w:cs="Times New Roman"/>
          <w:b w:val="0"/>
          <w:color w:val="auto"/>
          <w:highlight w:val="none"/>
        </w:rPr>
        <w:t>第二部分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Fonts w:hint="default" w:ascii="Times New Roman" w:hAnsi="Times New Roman" w:eastAsia="方正小标宋简体" w:cs="Times New Roman"/>
          <w:b w:val="0"/>
          <w:color w:val="auto"/>
          <w:highlight w:val="none"/>
          <w:lang w:val="en-US" w:eastAsia="zh-CN"/>
        </w:rPr>
        <w:t>2025年度</w:t>
      </w:r>
      <w:r>
        <w:rPr>
          <w:rFonts w:hint="default" w:ascii="Times New Roman" w:hAnsi="Times New Roman" w:eastAsia="方正小标宋简体" w:cs="Times New Roman"/>
          <w:b w:val="0"/>
          <w:color w:val="auto"/>
          <w:highlight w:val="none"/>
        </w:rPr>
        <w:t>部门决算情况说明</w:t>
      </w:r>
      <w:bookmarkEnd w:id="22"/>
      <w:bookmarkEnd w:id="23"/>
      <w:bookmarkEnd w:id="24"/>
      <w:bookmarkEnd w:id="25"/>
    </w:p>
    <w:p w14:paraId="7CDB0F94">
      <w:pPr>
        <w:rPr>
          <w:rFonts w:hint="default" w:ascii="Times New Roman" w:hAnsi="Times New Roman" w:cs="Times New Roman"/>
          <w:color w:val="auto"/>
          <w:highlight w:val="none"/>
        </w:rPr>
      </w:pPr>
    </w:p>
    <w:p w14:paraId="5E01245B">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Style w:val="32"/>
          <w:rFonts w:hint="default" w:ascii="Times New Roman" w:hAnsi="Times New Roman" w:eastAsia="黑体" w:cs="Times New Roman"/>
          <w:b w:val="0"/>
          <w:color w:val="auto"/>
          <w:highlight w:val="none"/>
        </w:rPr>
      </w:pPr>
      <w:bookmarkStart w:id="26" w:name="_Toc24950"/>
      <w:bookmarkStart w:id="27" w:name="_Toc15396603"/>
      <w:bookmarkStart w:id="28" w:name="_Toc15377205"/>
      <w:bookmarkStart w:id="29" w:name="_Toc3265"/>
      <w:r>
        <w:rPr>
          <w:rFonts w:hint="default"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rPr>
        <w:t>收</w:t>
      </w:r>
      <w:r>
        <w:rPr>
          <w:rStyle w:val="32"/>
          <w:rFonts w:hint="default" w:ascii="Times New Roman" w:hAnsi="Times New Roman" w:eastAsia="黑体" w:cs="Times New Roman"/>
          <w:b w:val="0"/>
          <w:color w:val="auto"/>
          <w:highlight w:val="none"/>
        </w:rPr>
        <w:t>入支出决算总体情况说明</w:t>
      </w:r>
      <w:bookmarkEnd w:id="26"/>
      <w:bookmarkEnd w:id="27"/>
      <w:bookmarkEnd w:id="28"/>
      <w:bookmarkEnd w:id="29"/>
    </w:p>
    <w:p w14:paraId="4136DB0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sz w:val="32"/>
          <w:szCs w:val="32"/>
          <w:lang w:eastAsia="zh-CN"/>
        </w:rPr>
        <w:t>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color w:val="auto"/>
          <w:sz w:val="32"/>
          <w:szCs w:val="32"/>
          <w:highlight w:val="none"/>
          <w:lang w:eastAsia="zh-CN"/>
        </w:rPr>
        <w:t>年度收入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w:t>
      </w:r>
      <w:r>
        <w:rPr>
          <w:rFonts w:hint="default" w:ascii="Times New Roman" w:hAnsi="Times New Roman" w:eastAsia="仿宋_GB2312" w:cs="Times New Roman"/>
          <w:color w:val="auto"/>
          <w:sz w:val="32"/>
          <w:szCs w:val="32"/>
          <w:highlight w:val="none"/>
          <w:lang w:eastAsia="zh-CN"/>
        </w:rPr>
        <w:t>均为</w:t>
      </w:r>
      <w:r>
        <w:rPr>
          <w:rFonts w:hint="default" w:ascii="Times New Roman" w:hAnsi="Times New Roman" w:eastAsia="仿宋_GB2312" w:cs="Times New Roman"/>
          <w:sz w:val="32"/>
          <w:szCs w:val="32"/>
          <w:lang w:val="en-US" w:eastAsia="zh-CN"/>
        </w:rPr>
        <w:t>341.57</w:t>
      </w:r>
      <w:r>
        <w:rPr>
          <w:rFonts w:hint="default" w:ascii="Times New Roman" w:hAnsi="Times New Roman" w:eastAsia="仿宋_GB2312" w:cs="Times New Roman"/>
          <w:color w:val="auto"/>
          <w:sz w:val="32"/>
          <w:szCs w:val="32"/>
          <w:highlight w:val="none"/>
        </w:rPr>
        <w:t>万元。</w:t>
      </w:r>
      <w:r>
        <w:rPr>
          <w:rFonts w:hint="default" w:ascii="Times New Roman" w:hAnsi="Times New Roman" w:eastAsia="仿宋_GB2312" w:cs="Times New Roman"/>
          <w:color w:val="auto"/>
          <w:sz w:val="32"/>
          <w:szCs w:val="32"/>
          <w:highlight w:val="none"/>
          <w:lang w:eastAsia="zh-CN"/>
        </w:rPr>
        <w:t>较</w:t>
      </w:r>
      <w:r>
        <w:rPr>
          <w:rFonts w:hint="default" w:ascii="Times New Roman" w:hAnsi="Times New Roman" w:eastAsia="仿宋_GB2312" w:cs="Times New Roman"/>
          <w:sz w:val="32"/>
          <w:szCs w:val="32"/>
          <w:lang w:eastAsia="zh-CN"/>
        </w:rPr>
        <w:t>202</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相比，</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总计各</w:t>
      </w:r>
      <w:r>
        <w:rPr>
          <w:rFonts w:hint="default" w:ascii="Times New Roman" w:hAnsi="Times New Roman" w:eastAsia="仿宋_GB2312" w:cs="Times New Roman"/>
          <w:color w:val="auto"/>
          <w:sz w:val="32"/>
          <w:szCs w:val="32"/>
          <w:highlight w:val="none"/>
          <w:lang w:eastAsia="zh-CN"/>
        </w:rPr>
        <w:t>增加</w:t>
      </w:r>
      <w:r>
        <w:rPr>
          <w:rFonts w:hint="default" w:ascii="Times New Roman" w:hAnsi="Times New Roman" w:eastAsia="仿宋_GB2312" w:cs="Times New Roman"/>
          <w:sz w:val="32"/>
          <w:szCs w:val="32"/>
          <w:lang w:val="en-US" w:eastAsia="zh-CN"/>
        </w:rPr>
        <w:t>36.26</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增加</w:t>
      </w:r>
      <w:r>
        <w:rPr>
          <w:rFonts w:hint="default" w:ascii="Times New Roman" w:hAnsi="Times New Roman" w:eastAsia="仿宋_GB2312" w:cs="Times New Roman"/>
          <w:sz w:val="32"/>
          <w:szCs w:val="32"/>
          <w:lang w:val="en-US" w:eastAsia="zh-CN"/>
        </w:rPr>
        <w:t>11.88</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highlight w:val="none"/>
        </w:rPr>
        <w:t>主要变动原因是</w:t>
      </w:r>
      <w:r>
        <w:rPr>
          <w:rFonts w:hint="default" w:ascii="Times New Roman" w:hAnsi="Times New Roman" w:eastAsia="仿宋_GB2312" w:cs="Times New Roman"/>
          <w:color w:val="auto"/>
          <w:sz w:val="32"/>
          <w:szCs w:val="32"/>
          <w:highlight w:val="none"/>
          <w:lang w:val="en-US" w:eastAsia="zh-CN"/>
        </w:rPr>
        <w:t>:2025年人员增加导致经费增加</w:t>
      </w:r>
      <w:r>
        <w:rPr>
          <w:rFonts w:hint="default" w:ascii="Times New Roman" w:hAnsi="Times New Roman" w:eastAsia="仿宋_GB2312" w:cs="Times New Roman"/>
          <w:color w:val="000000"/>
          <w:sz w:val="32"/>
          <w:szCs w:val="32"/>
          <w:lang w:eastAsia="zh-CN"/>
        </w:rPr>
        <w:t>。</w:t>
      </w:r>
    </w:p>
    <w:p w14:paraId="2A4636A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cs="Times New Roman"/>
          <w:sz w:val="32"/>
        </w:rPr>
        <mc:AlternateContent>
          <mc:Choice Requires="wps">
            <w:drawing>
              <wp:anchor distT="0" distB="0" distL="114300" distR="114300" simplePos="0" relativeHeight="251659264" behindDoc="0" locked="0" layoutInCell="1" allowOverlap="1">
                <wp:simplePos x="0" y="0"/>
                <wp:positionH relativeFrom="column">
                  <wp:posOffset>3249930</wp:posOffset>
                </wp:positionH>
                <wp:positionV relativeFrom="paragraph">
                  <wp:posOffset>2697480</wp:posOffset>
                </wp:positionV>
                <wp:extent cx="1149985" cy="325755"/>
                <wp:effectExtent l="0" t="0" r="12065" b="17145"/>
                <wp:wrapNone/>
                <wp:docPr id="5" name="文本框 5"/>
                <wp:cNvGraphicFramePr/>
                <a:graphic xmlns:a="http://schemas.openxmlformats.org/drawingml/2006/main">
                  <a:graphicData uri="http://schemas.microsoft.com/office/word/2010/wordprocessingShape">
                    <wps:wsp>
                      <wps:cNvSpPr txBox="1"/>
                      <wps:spPr>
                        <a:xfrm>
                          <a:off x="4392930" y="6157595"/>
                          <a:ext cx="1149985" cy="3257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122E826">
                            <w:pPr>
                              <w:rPr>
                                <w:rFonts w:hint="eastAsia" w:eastAsia="宋体"/>
                                <w:lang w:eastAsia="zh-CN"/>
                              </w:rPr>
                            </w:pPr>
                            <w:r>
                              <w:rPr>
                                <w:rFonts w:hint="eastAsia"/>
                                <w:lang w:eastAsia="zh-CN"/>
                              </w:rPr>
                              <w:t>单位：万元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5.9pt;margin-top:212.4pt;height:25.65pt;width:90.55pt;z-index:251659264;mso-width-relative:page;mso-height-relative:page;" fillcolor="#FFFFFF [3201]" filled="t" stroked="f" coordsize="21600,21600" o:gfxdata="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4G0r5&#10;1gAAAAsBAAAPAAAAAAAAAAEAIAAAACIAAABkcnMvZG93bnJldi54bWxQSwECFAAUAAAACACHTuJA&#10;0tzHgFwCAACbBAAADgAAAAAAAAABACAAAAAlAQAAZHJzL2Uyb0RvYy54bWxQSwUGAAAAAAYABgBZ&#10;AQAA8wUAAAAA&#10;">
                <v:fill on="t" focussize="0,0"/>
                <v:stroke on="f" weight="0.5pt"/>
                <v:imagedata o:title=""/>
                <o:lock v:ext="edit" aspectratio="f"/>
                <v:textbox>
                  <w:txbxContent>
                    <w:p w14:paraId="1122E826">
                      <w:pPr>
                        <w:rPr>
                          <w:rFonts w:hint="eastAsia" w:eastAsia="宋体"/>
                          <w:lang w:eastAsia="zh-CN"/>
                        </w:rPr>
                      </w:pPr>
                      <w:r>
                        <w:rPr>
                          <w:rFonts w:hint="eastAsia"/>
                          <w:lang w:eastAsia="zh-CN"/>
                        </w:rPr>
                        <w:t>单位：万元</w:t>
                      </w:r>
                    </w:p>
                  </w:txbxContent>
                </v:textbox>
              </v:shape>
            </w:pict>
          </mc:Fallback>
        </mc:AlternateContent>
      </w:r>
      <w:r>
        <w:rPr>
          <w:rFonts w:hint="default" w:ascii="Times New Roman" w:hAnsi="Times New Roman" w:eastAsia="仿宋_GB2312" w:cs="Times New Roman"/>
          <w:color w:val="auto"/>
          <w:sz w:val="32"/>
          <w:szCs w:val="32"/>
          <w:highlight w:val="none"/>
          <w:lang w:eastAsia="zh-CN"/>
        </w:rPr>
        <w:drawing>
          <wp:inline distT="0" distB="0" distL="114300" distR="114300">
            <wp:extent cx="6504305" cy="3149600"/>
            <wp:effectExtent l="4445" t="5080" r="6350" b="762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C73EC73">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黑体" w:cs="Times New Roman"/>
          <w:color w:val="auto"/>
          <w:sz w:val="32"/>
          <w:szCs w:val="32"/>
          <w:highlight w:val="none"/>
          <w:lang w:eastAsia="zh-CN"/>
        </w:rPr>
      </w:pPr>
      <w:bookmarkStart w:id="30" w:name="_Toc12249"/>
      <w:bookmarkStart w:id="31" w:name="_Toc15377206"/>
      <w:bookmarkStart w:id="32" w:name="_Toc15396604"/>
      <w:bookmarkStart w:id="33" w:name="_Toc3700"/>
      <w:r>
        <w:rPr>
          <w:rFonts w:hint="default" w:ascii="Times New Roman" w:hAnsi="Times New Roman" w:eastAsia="黑体" w:cs="Times New Roman"/>
          <w:color w:val="auto"/>
          <w:sz w:val="32"/>
          <w:szCs w:val="32"/>
          <w:highlight w:val="none"/>
          <w:lang w:eastAsia="zh-CN"/>
        </w:rPr>
        <w:t>二、收入决算情况说明</w:t>
      </w:r>
      <w:bookmarkEnd w:id="30"/>
      <w:bookmarkEnd w:id="31"/>
      <w:bookmarkEnd w:id="32"/>
      <w:bookmarkEnd w:id="33"/>
    </w:p>
    <w:p w14:paraId="7E8F5A4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bookmarkStart w:id="34" w:name="_Toc25034"/>
      <w:bookmarkStart w:id="35" w:name="_Toc9223"/>
      <w:bookmarkStart w:id="36" w:name="_Toc6780"/>
      <w:bookmarkStart w:id="37" w:name="_Toc5396"/>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eastAsia="zh-CN"/>
        </w:rPr>
        <w:t>年度本年收入合计</w:t>
      </w:r>
      <w:r>
        <w:rPr>
          <w:rFonts w:hint="default" w:ascii="Times New Roman" w:hAnsi="Times New Roman" w:eastAsia="仿宋_GB2312" w:cs="Times New Roman"/>
          <w:sz w:val="32"/>
          <w:szCs w:val="32"/>
          <w:lang w:val="en-US" w:eastAsia="zh-CN"/>
        </w:rPr>
        <w:t>341.57</w:t>
      </w:r>
      <w:r>
        <w:rPr>
          <w:rFonts w:hint="default" w:ascii="Times New Roman" w:hAnsi="Times New Roman" w:eastAsia="仿宋_GB2312" w:cs="Times New Roman"/>
          <w:sz w:val="32"/>
          <w:szCs w:val="32"/>
        </w:rPr>
        <w:t>万元，其中：一般公共预算财政拨款收入</w:t>
      </w:r>
      <w:r>
        <w:rPr>
          <w:rFonts w:hint="default" w:ascii="Times New Roman" w:hAnsi="Times New Roman" w:eastAsia="仿宋_GB2312" w:cs="Times New Roman"/>
          <w:sz w:val="32"/>
          <w:szCs w:val="32"/>
          <w:lang w:val="en-US" w:eastAsia="zh-CN"/>
        </w:rPr>
        <w:t>341.57</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color w:val="auto"/>
          <w:sz w:val="32"/>
          <w:szCs w:val="32"/>
          <w:highlight w:val="none"/>
          <w:lang w:eastAsia="zh-CN"/>
        </w:rPr>
        <w:t>%</w:t>
      </w:r>
      <w:bookmarkEnd w:id="34"/>
      <w:bookmarkEnd w:id="35"/>
      <w:bookmarkEnd w:id="36"/>
      <w:bookmarkEnd w:id="37"/>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sz w:val="32"/>
          <w:szCs w:val="32"/>
          <w:lang w:eastAsia="zh-CN"/>
        </w:rPr>
        <w:t>政府性基金预算财政拨款收入</w:t>
      </w:r>
      <w:r>
        <w:rPr>
          <w:rFonts w:hint="default" w:ascii="Times New Roman" w:hAnsi="Times New Roman" w:eastAsia="仿宋_GB2312" w:cs="Times New Roman"/>
          <w:sz w:val="32"/>
          <w:szCs w:val="32"/>
          <w:lang w:val="en-US" w:eastAsia="zh-CN"/>
        </w:rPr>
        <w:t>0万元，占0%</w:t>
      </w:r>
      <w:r>
        <w:rPr>
          <w:rFonts w:hint="eastAsia" w:eastAsia="仿宋_GB2312" w:cs="Times New Roman"/>
          <w:sz w:val="32"/>
          <w:szCs w:val="32"/>
          <w:lang w:val="en-US" w:eastAsia="zh-CN"/>
        </w:rPr>
        <w:t>；国有资本经营预算财政拨款收入0万元，占0%；上级补助收入0万元，占0%；事业收入0万元，占0%；经营收入0万元，占0%；附属单位上缴收入0万元，占0%；其他收入0万元，占0%。</w:t>
      </w:r>
    </w:p>
    <w:p w14:paraId="55F15DDE">
      <w:pPr>
        <w:rPr>
          <w:rFonts w:hint="default" w:ascii="Times New Roman" w:hAnsi="Times New Roman" w:eastAsia="仿宋_GB2312" w:cs="Times New Roman"/>
          <w:color w:val="auto"/>
          <w:sz w:val="32"/>
          <w:szCs w:val="32"/>
          <w:highlight w:val="none"/>
          <w:lang w:eastAsia="zh-CN"/>
        </w:rPr>
      </w:pPr>
    </w:p>
    <w:p w14:paraId="7C3800CE">
      <w:pPr>
        <w:pStyle w:val="9"/>
        <w:ind w:left="0" w:leftChars="0" w:firstLine="0" w:firstLineChars="0"/>
        <w:rPr>
          <w:rFonts w:hint="default" w:ascii="Times New Roman" w:hAnsi="Times New Roman" w:cs="Times New Roman"/>
          <w:lang w:eastAsia="zh-CN"/>
        </w:rPr>
      </w:pPr>
      <w:r>
        <w:rPr>
          <w:rFonts w:hint="default" w:ascii="Times New Roman" w:hAnsi="Times New Roman" w:cs="Times New Roman"/>
          <w:lang w:eastAsia="zh-CN"/>
        </w:rPr>
        <w:drawing>
          <wp:inline distT="0" distB="0" distL="114300" distR="114300">
            <wp:extent cx="6475730" cy="3150235"/>
            <wp:effectExtent l="4445" t="4445" r="15875" b="762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E6A010C">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Style w:val="32"/>
          <w:rFonts w:hint="default" w:ascii="Times New Roman" w:hAnsi="Times New Roman" w:eastAsia="黑体" w:cs="Times New Roman"/>
          <w:b w:val="0"/>
          <w:color w:val="auto"/>
          <w:highlight w:val="none"/>
        </w:rPr>
      </w:pPr>
      <w:bookmarkStart w:id="38" w:name="_Toc15377207"/>
      <w:bookmarkStart w:id="39" w:name="_Toc10376"/>
      <w:bookmarkStart w:id="40" w:name="_Toc15823"/>
      <w:bookmarkStart w:id="41" w:name="_Toc15396605"/>
      <w:r>
        <w:rPr>
          <w:rFonts w:hint="default"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rPr>
        <w:t>支</w:t>
      </w:r>
      <w:r>
        <w:rPr>
          <w:rStyle w:val="32"/>
          <w:rFonts w:hint="default" w:ascii="Times New Roman" w:hAnsi="Times New Roman" w:eastAsia="黑体" w:cs="Times New Roman"/>
          <w:b w:val="0"/>
          <w:color w:val="auto"/>
          <w:highlight w:val="none"/>
        </w:rPr>
        <w:t>出决算情况说明</w:t>
      </w:r>
      <w:bookmarkEnd w:id="38"/>
      <w:bookmarkEnd w:id="39"/>
      <w:bookmarkEnd w:id="40"/>
      <w:bookmarkEnd w:id="41"/>
    </w:p>
    <w:p w14:paraId="5CB1501A">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1"/>
        <w:rPr>
          <w:rFonts w:hint="default" w:ascii="Times New Roman" w:hAnsi="Times New Roman" w:eastAsia="仿宋_GB2312" w:cs="Times New Roman"/>
          <w:color w:val="auto"/>
          <w:sz w:val="32"/>
          <w:szCs w:val="32"/>
          <w:highlight w:val="none"/>
          <w:lang w:val="en-US" w:eastAsia="zh-CN"/>
        </w:rPr>
      </w:pPr>
      <w:bookmarkStart w:id="42" w:name="_Toc29053"/>
      <w:bookmarkStart w:id="43" w:name="_Toc25343"/>
      <w:bookmarkStart w:id="44" w:name="_Toc8554"/>
      <w:bookmarkStart w:id="45" w:name="_Toc5334"/>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eastAsia="zh-CN"/>
        </w:rPr>
        <w:t>年度本年支出合计</w:t>
      </w:r>
      <w:r>
        <w:rPr>
          <w:rFonts w:hint="default" w:ascii="Times New Roman" w:hAnsi="Times New Roman" w:eastAsia="仿宋_GB2312" w:cs="Times New Roman"/>
          <w:sz w:val="32"/>
          <w:szCs w:val="32"/>
          <w:lang w:val="en-US" w:eastAsia="zh-CN"/>
        </w:rPr>
        <w:t>341.57</w:t>
      </w:r>
      <w:r>
        <w:rPr>
          <w:rFonts w:hint="default" w:ascii="Times New Roman" w:hAnsi="Times New Roman" w:eastAsia="仿宋_GB2312" w:cs="Times New Roman"/>
          <w:color w:val="auto"/>
          <w:sz w:val="32"/>
          <w:szCs w:val="32"/>
          <w:highlight w:val="none"/>
          <w:lang w:eastAsia="zh-CN"/>
        </w:rPr>
        <w:t>万元，其中：基本支出</w:t>
      </w:r>
      <w:r>
        <w:rPr>
          <w:rFonts w:hint="default" w:ascii="Times New Roman" w:hAnsi="Times New Roman" w:eastAsia="仿宋_GB2312" w:cs="Times New Roman"/>
          <w:sz w:val="32"/>
          <w:szCs w:val="32"/>
          <w:lang w:val="en-US" w:eastAsia="zh-CN"/>
        </w:rPr>
        <w:t>341.57</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color w:val="auto"/>
          <w:sz w:val="32"/>
          <w:szCs w:val="32"/>
          <w:highlight w:val="none"/>
          <w:lang w:eastAsia="zh-CN"/>
        </w:rPr>
        <w:t>%</w:t>
      </w:r>
      <w:bookmarkEnd w:id="42"/>
      <w:bookmarkEnd w:id="43"/>
      <w:bookmarkEnd w:id="44"/>
      <w:bookmarkEnd w:id="45"/>
      <w:r>
        <w:rPr>
          <w:rFonts w:hint="eastAsia" w:eastAsia="仿宋_GB2312" w:cs="Times New Roman"/>
          <w:color w:val="auto"/>
          <w:sz w:val="32"/>
          <w:szCs w:val="32"/>
          <w:highlight w:val="none"/>
          <w:lang w:eastAsia="zh-CN"/>
        </w:rPr>
        <w:t>；项目支出</w:t>
      </w:r>
      <w:r>
        <w:rPr>
          <w:rFonts w:hint="eastAsia" w:eastAsia="仿宋_GB2312" w:cs="Times New Roman"/>
          <w:color w:val="auto"/>
          <w:sz w:val="32"/>
          <w:szCs w:val="32"/>
          <w:highlight w:val="none"/>
          <w:lang w:val="en-US" w:eastAsia="zh-CN"/>
        </w:rPr>
        <w:t>0万元，占0%；上缴上级支出0万元，占0%；经营支出0万元，占0%；对附属单位补助支出0万元，占0%。</w:t>
      </w:r>
    </w:p>
    <w:p w14:paraId="6BA40833">
      <w:pPr>
        <w:rPr>
          <w:rFonts w:hint="default" w:ascii="Times New Roman" w:hAnsi="Times New Roman" w:cs="Times New Roman"/>
          <w:lang w:eastAsia="zh-CN"/>
        </w:rPr>
      </w:pPr>
      <w:r>
        <w:rPr>
          <w:rFonts w:hint="default" w:ascii="Times New Roman" w:hAnsi="Times New Roman" w:eastAsia="仿宋_GB2312" w:cs="Times New Roman"/>
          <w:color w:val="auto"/>
          <w:sz w:val="32"/>
          <w:szCs w:val="32"/>
          <w:highlight w:val="none"/>
          <w:lang w:eastAsia="zh-CN"/>
        </w:rPr>
        <w:drawing>
          <wp:inline distT="0" distB="0" distL="114300" distR="114300">
            <wp:extent cx="6303645" cy="3063875"/>
            <wp:effectExtent l="4445" t="4445" r="16510" b="1778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DE5320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Style w:val="32"/>
          <w:rFonts w:hint="default" w:ascii="Times New Roman" w:hAnsi="Times New Roman" w:eastAsia="黑体" w:cs="Times New Roman"/>
          <w:b w:val="0"/>
          <w:color w:val="auto"/>
          <w:highlight w:val="none"/>
        </w:rPr>
      </w:pPr>
      <w:bookmarkStart w:id="46" w:name="_Toc21684"/>
      <w:bookmarkStart w:id="47" w:name="_Toc26608"/>
      <w:bookmarkStart w:id="48" w:name="_Toc15396606"/>
      <w:bookmarkStart w:id="49" w:name="_Toc15377208"/>
      <w:r>
        <w:rPr>
          <w:rFonts w:hint="default" w:ascii="Times New Roman" w:hAnsi="Times New Roman" w:eastAsia="黑体" w:cs="Times New Roman"/>
          <w:color w:val="auto"/>
          <w:sz w:val="32"/>
          <w:szCs w:val="32"/>
          <w:highlight w:val="none"/>
        </w:rPr>
        <w:t>四、财</w:t>
      </w:r>
      <w:r>
        <w:rPr>
          <w:rStyle w:val="32"/>
          <w:rFonts w:hint="default" w:ascii="Times New Roman" w:hAnsi="Times New Roman" w:eastAsia="黑体" w:cs="Times New Roman"/>
          <w:b w:val="0"/>
          <w:color w:val="auto"/>
          <w:highlight w:val="none"/>
        </w:rPr>
        <w:t>政拨款收入支出决算总体情况说明</w:t>
      </w:r>
      <w:bookmarkEnd w:id="46"/>
      <w:bookmarkEnd w:id="47"/>
      <w:bookmarkEnd w:id="48"/>
      <w:bookmarkEnd w:id="49"/>
    </w:p>
    <w:p w14:paraId="6359204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sz w:val="32"/>
          <w:szCs w:val="32"/>
          <w:lang w:val="en-US" w:eastAsia="zh-CN"/>
        </w:rPr>
        <w:t>2025</w:t>
      </w:r>
      <w:r>
        <w:rPr>
          <w:rFonts w:hint="default" w:ascii="Times New Roman" w:hAnsi="Times New Roman" w:eastAsia="仿宋_GB2312" w:cs="Times New Roman"/>
          <w:color w:val="auto"/>
          <w:kern w:val="2"/>
          <w:sz w:val="32"/>
          <w:szCs w:val="32"/>
          <w:highlight w:val="none"/>
          <w:lang w:val="en-US" w:eastAsia="zh-CN" w:bidi="ar-SA"/>
        </w:rPr>
        <w:t>年度财政拨款收入、支出总计均为</w:t>
      </w:r>
      <w:r>
        <w:rPr>
          <w:rFonts w:hint="default" w:ascii="Times New Roman" w:hAnsi="Times New Roman" w:eastAsia="仿宋_GB2312" w:cs="Times New Roman"/>
          <w:sz w:val="32"/>
          <w:szCs w:val="32"/>
          <w:lang w:val="en-US" w:eastAsia="zh-CN"/>
        </w:rPr>
        <w:t>341.57</w:t>
      </w:r>
      <w:r>
        <w:rPr>
          <w:rFonts w:hint="default" w:ascii="Times New Roman" w:hAnsi="Times New Roman" w:eastAsia="仿宋_GB2312" w:cs="Times New Roman"/>
          <w:color w:val="auto"/>
          <w:kern w:val="2"/>
          <w:sz w:val="32"/>
          <w:szCs w:val="32"/>
          <w:highlight w:val="none"/>
          <w:lang w:val="en-US" w:eastAsia="zh-CN" w:bidi="ar-SA"/>
        </w:rPr>
        <w:t>万元。较2024年度相比，财政拨款收入总计、支出总计</w:t>
      </w:r>
      <w:r>
        <w:rPr>
          <w:rFonts w:hint="default" w:ascii="Times New Roman" w:hAnsi="Times New Roman" w:eastAsia="仿宋_GB2312" w:cs="Times New Roman"/>
          <w:color w:val="auto"/>
          <w:sz w:val="32"/>
          <w:szCs w:val="32"/>
          <w:highlight w:val="none"/>
        </w:rPr>
        <w:t>各</w:t>
      </w:r>
      <w:r>
        <w:rPr>
          <w:rFonts w:hint="default" w:ascii="Times New Roman" w:hAnsi="Times New Roman" w:eastAsia="仿宋_GB2312" w:cs="Times New Roman"/>
          <w:color w:val="auto"/>
          <w:sz w:val="32"/>
          <w:szCs w:val="32"/>
          <w:highlight w:val="none"/>
          <w:lang w:eastAsia="zh-CN"/>
        </w:rPr>
        <w:t>增加</w:t>
      </w:r>
      <w:r>
        <w:rPr>
          <w:rFonts w:hint="default" w:ascii="Times New Roman" w:hAnsi="Times New Roman" w:eastAsia="仿宋_GB2312" w:cs="Times New Roman"/>
          <w:sz w:val="32"/>
          <w:szCs w:val="32"/>
          <w:lang w:val="en-US" w:eastAsia="zh-CN"/>
        </w:rPr>
        <w:t>36.26</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增加</w:t>
      </w:r>
      <w:r>
        <w:rPr>
          <w:rFonts w:hint="default" w:ascii="Times New Roman" w:hAnsi="Times New Roman" w:eastAsia="仿宋_GB2312" w:cs="Times New Roman"/>
          <w:sz w:val="32"/>
          <w:szCs w:val="32"/>
          <w:lang w:val="en-US" w:eastAsia="zh-CN"/>
        </w:rPr>
        <w:t>11.88</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auto"/>
          <w:sz w:val="32"/>
          <w:szCs w:val="32"/>
          <w:highlight w:val="none"/>
        </w:rPr>
        <w:t>主要变动原因是</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2025年人员增加导致经费增加。</w:t>
      </w:r>
    </w:p>
    <w:p w14:paraId="62513D39">
      <w:pPr>
        <w:spacing w:line="600" w:lineRule="exact"/>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drawing>
          <wp:anchor distT="0" distB="0" distL="114300" distR="114300" simplePos="0" relativeHeight="251660288" behindDoc="0" locked="0" layoutInCell="1" allowOverlap="1">
            <wp:simplePos x="0" y="0"/>
            <wp:positionH relativeFrom="column">
              <wp:posOffset>41275</wp:posOffset>
            </wp:positionH>
            <wp:positionV relativeFrom="paragraph">
              <wp:posOffset>-20320</wp:posOffset>
            </wp:positionV>
            <wp:extent cx="6465570" cy="2988310"/>
            <wp:effectExtent l="5080" t="4445" r="6350" b="17145"/>
            <wp:wrapNone/>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610B3E46">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p>
    <w:p w14:paraId="1F7E1334">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p>
    <w:p w14:paraId="60ACE736">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p>
    <w:p w14:paraId="44C45EA5">
      <w:pPr>
        <w:spacing w:line="600" w:lineRule="exact"/>
        <w:ind w:firstLine="640" w:firstLineChars="200"/>
        <w:jc w:val="center"/>
        <w:rPr>
          <w:rFonts w:hint="default" w:ascii="Times New Roman" w:hAnsi="Times New Roman" w:eastAsia="仿宋_GB2312" w:cs="Times New Roman"/>
          <w:color w:val="auto"/>
          <w:kern w:val="2"/>
          <w:sz w:val="32"/>
          <w:szCs w:val="32"/>
          <w:highlight w:val="none"/>
          <w:lang w:val="en-US" w:eastAsia="zh-CN" w:bidi="ar-SA"/>
        </w:rPr>
      </w:pPr>
    </w:p>
    <w:p w14:paraId="6384466B">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p>
    <w:p w14:paraId="713198D0">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p>
    <w:p w14:paraId="50370BA5">
      <w:pPr>
        <w:spacing w:line="600" w:lineRule="exact"/>
        <w:rPr>
          <w:rFonts w:hint="default" w:ascii="Times New Roman" w:hAnsi="Times New Roman" w:eastAsia="仿宋_GB2312" w:cs="Times New Roman"/>
          <w:color w:val="auto"/>
          <w:kern w:val="2"/>
          <w:sz w:val="32"/>
          <w:szCs w:val="32"/>
          <w:highlight w:val="none"/>
          <w:lang w:val="en-US" w:eastAsia="zh-CN" w:bidi="ar-SA"/>
        </w:rPr>
      </w:pPr>
    </w:p>
    <w:p w14:paraId="09ED622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Style w:val="32"/>
          <w:rFonts w:hint="default" w:ascii="Times New Roman" w:hAnsi="Times New Roman" w:eastAsia="黑体" w:cs="Times New Roman"/>
          <w:b w:val="0"/>
          <w:color w:val="auto"/>
          <w:highlight w:val="none"/>
        </w:rPr>
      </w:pPr>
      <w:bookmarkStart w:id="50" w:name="_Toc15377209"/>
      <w:bookmarkStart w:id="51" w:name="_Toc29644"/>
      <w:bookmarkStart w:id="52" w:name="_Toc29875"/>
      <w:bookmarkStart w:id="53" w:name="_Toc15396607"/>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32"/>
          <w:rFonts w:hint="default" w:ascii="Times New Roman" w:hAnsi="Times New Roman" w:eastAsia="黑体" w:cs="Times New Roman"/>
          <w:b w:val="0"/>
          <w:color w:val="auto"/>
          <w:highlight w:val="none"/>
        </w:rPr>
        <w:t>般公共预算财政拨款支出决算情况说明</w:t>
      </w:r>
      <w:bookmarkEnd w:id="50"/>
      <w:bookmarkEnd w:id="51"/>
      <w:bookmarkEnd w:id="52"/>
      <w:bookmarkEnd w:id="53"/>
    </w:p>
    <w:p w14:paraId="48833FFB">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54" w:name="_Toc15377210"/>
      <w:r>
        <w:rPr>
          <w:rFonts w:hint="default" w:ascii="Times New Roman" w:hAnsi="Times New Roman" w:eastAsia="楷体_GB2312" w:cs="Times New Roman"/>
          <w:b/>
          <w:color w:val="auto"/>
          <w:sz w:val="32"/>
          <w:szCs w:val="32"/>
          <w:highlight w:val="none"/>
        </w:rPr>
        <w:t>（一）一般公共预算财政拨款支出决算总体情况</w:t>
      </w:r>
      <w:bookmarkEnd w:id="54"/>
    </w:p>
    <w:p w14:paraId="4A68D53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sz w:val="32"/>
          <w:szCs w:val="32"/>
          <w:lang w:val="en-US" w:eastAsia="zh-CN"/>
        </w:rPr>
        <w:t>341.57</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sz w:val="32"/>
          <w:szCs w:val="32"/>
        </w:rPr>
        <w:t>一般公共预算财政拨款</w:t>
      </w:r>
      <w:r>
        <w:rPr>
          <w:rFonts w:hint="default" w:ascii="Times New Roman" w:hAnsi="Times New Roman" w:eastAsia="仿宋_GB2312" w:cs="Times New Roman"/>
          <w:sz w:val="32"/>
          <w:szCs w:val="32"/>
          <w:lang w:eastAsia="zh-CN"/>
        </w:rPr>
        <w:t>增加</w:t>
      </w:r>
      <w:r>
        <w:rPr>
          <w:rFonts w:hint="default" w:ascii="Times New Roman" w:hAnsi="Times New Roman" w:eastAsia="仿宋_GB2312" w:cs="Times New Roman"/>
          <w:sz w:val="32"/>
          <w:szCs w:val="32"/>
          <w:lang w:val="en-US" w:eastAsia="zh-CN"/>
        </w:rPr>
        <w:t>36.26</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增加</w:t>
      </w:r>
      <w:r>
        <w:rPr>
          <w:rFonts w:hint="default" w:ascii="Times New Roman" w:hAnsi="Times New Roman" w:eastAsia="仿宋_GB2312" w:cs="Times New Roman"/>
          <w:sz w:val="32"/>
          <w:szCs w:val="32"/>
          <w:lang w:val="en-US" w:eastAsia="zh-CN"/>
        </w:rPr>
        <w:t>11.88</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highlight w:val="none"/>
        </w:rPr>
        <w:t>主要变动原因是</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2025年人员增加导致经费增加。</w:t>
      </w:r>
    </w:p>
    <w:p w14:paraId="42093E37">
      <w:pPr>
        <w:pStyle w:val="9"/>
        <w:ind w:left="0" w:leftChars="0" w:firstLine="0" w:firstLineChars="0"/>
        <w:rPr>
          <w:rFonts w:hint="default" w:ascii="Times New Roman" w:hAnsi="Times New Roman" w:eastAsia="仿宋_GB2312" w:cs="Times New Roman"/>
          <w:color w:val="auto"/>
          <w:kern w:val="2"/>
          <w:sz w:val="32"/>
          <w:szCs w:val="32"/>
          <w:highlight w:val="none"/>
          <w:lang w:val="en-US" w:eastAsia="zh-CN" w:bidi="ar-SA"/>
        </w:rPr>
      </w:pPr>
      <w:bookmarkStart w:id="90" w:name="_GoBack"/>
      <w:r>
        <w:rPr>
          <w:rFonts w:hint="default" w:ascii="Times New Roman" w:hAnsi="Times New Roman" w:eastAsia="仿宋_GB2312" w:cs="Times New Roman"/>
          <w:color w:val="auto"/>
          <w:kern w:val="2"/>
          <w:sz w:val="32"/>
          <w:szCs w:val="32"/>
          <w:highlight w:val="none"/>
          <w:lang w:val="en-US" w:eastAsia="zh-CN" w:bidi="ar-SA"/>
        </w:rPr>
        <w:drawing>
          <wp:anchor distT="0" distB="0" distL="114300" distR="114300" simplePos="0" relativeHeight="251662336" behindDoc="0" locked="0" layoutInCell="1" allowOverlap="1">
            <wp:simplePos x="0" y="0"/>
            <wp:positionH relativeFrom="column">
              <wp:posOffset>13970</wp:posOffset>
            </wp:positionH>
            <wp:positionV relativeFrom="paragraph">
              <wp:posOffset>133350</wp:posOffset>
            </wp:positionV>
            <wp:extent cx="6466205" cy="4023360"/>
            <wp:effectExtent l="4445" t="4445" r="6350" b="10795"/>
            <wp:wrapNone/>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bookmarkEnd w:id="90"/>
    </w:p>
    <w:p w14:paraId="23B2E4AB">
      <w:pPr>
        <w:spacing w:line="600" w:lineRule="exact"/>
        <w:rPr>
          <w:rFonts w:hint="default" w:ascii="Times New Roman" w:hAnsi="Times New Roman" w:eastAsia="仿宋_GB2312" w:cs="Times New Roman"/>
          <w:color w:val="auto"/>
          <w:kern w:val="2"/>
          <w:sz w:val="32"/>
          <w:szCs w:val="32"/>
          <w:highlight w:val="none"/>
          <w:lang w:val="en-US" w:eastAsia="zh-CN" w:bidi="ar-SA"/>
        </w:rPr>
      </w:pPr>
    </w:p>
    <w:p w14:paraId="696EC724">
      <w:pPr>
        <w:spacing w:line="600" w:lineRule="exact"/>
        <w:rPr>
          <w:rFonts w:hint="default" w:ascii="Times New Roman" w:hAnsi="Times New Roman" w:eastAsia="仿宋_GB2312" w:cs="Times New Roman"/>
          <w:color w:val="auto"/>
          <w:kern w:val="2"/>
          <w:sz w:val="32"/>
          <w:szCs w:val="32"/>
          <w:highlight w:val="none"/>
          <w:lang w:val="en-US" w:eastAsia="zh-CN" w:bidi="ar-SA"/>
        </w:rPr>
      </w:pPr>
    </w:p>
    <w:p w14:paraId="626FFE03">
      <w:pPr>
        <w:spacing w:line="600" w:lineRule="exact"/>
        <w:rPr>
          <w:rFonts w:hint="default" w:ascii="Times New Roman" w:hAnsi="Times New Roman" w:eastAsia="仿宋_GB2312" w:cs="Times New Roman"/>
          <w:color w:val="auto"/>
          <w:kern w:val="2"/>
          <w:sz w:val="32"/>
          <w:szCs w:val="32"/>
          <w:highlight w:val="none"/>
          <w:lang w:val="en-US" w:eastAsia="zh-CN" w:bidi="ar-SA"/>
        </w:rPr>
      </w:pPr>
    </w:p>
    <w:p w14:paraId="458CD87C">
      <w:pPr>
        <w:spacing w:line="600" w:lineRule="exact"/>
        <w:rPr>
          <w:rFonts w:hint="default" w:ascii="Times New Roman" w:hAnsi="Times New Roman" w:eastAsia="仿宋_GB2312" w:cs="Times New Roman"/>
          <w:color w:val="auto"/>
          <w:kern w:val="2"/>
          <w:sz w:val="32"/>
          <w:szCs w:val="32"/>
          <w:highlight w:val="none"/>
          <w:lang w:val="en-US" w:eastAsia="zh-CN" w:bidi="ar-SA"/>
        </w:rPr>
      </w:pPr>
    </w:p>
    <w:p w14:paraId="1CE89A0B">
      <w:pPr>
        <w:spacing w:line="600" w:lineRule="exact"/>
        <w:rPr>
          <w:rFonts w:hint="default" w:ascii="Times New Roman" w:hAnsi="Times New Roman" w:eastAsia="仿宋_GB2312" w:cs="Times New Roman"/>
          <w:color w:val="auto"/>
          <w:kern w:val="2"/>
          <w:sz w:val="32"/>
          <w:szCs w:val="32"/>
          <w:highlight w:val="none"/>
          <w:lang w:val="en-US" w:eastAsia="zh-CN" w:bidi="ar-SA"/>
        </w:rPr>
      </w:pPr>
    </w:p>
    <w:p w14:paraId="2682F852">
      <w:pPr>
        <w:spacing w:line="600" w:lineRule="exact"/>
        <w:rPr>
          <w:rFonts w:hint="default" w:ascii="Times New Roman" w:hAnsi="Times New Roman" w:eastAsia="仿宋_GB2312" w:cs="Times New Roman"/>
          <w:color w:val="auto"/>
          <w:kern w:val="2"/>
          <w:sz w:val="32"/>
          <w:szCs w:val="32"/>
          <w:highlight w:val="none"/>
          <w:lang w:val="en-US" w:eastAsia="zh-CN" w:bidi="ar-SA"/>
        </w:rPr>
      </w:pPr>
    </w:p>
    <w:p w14:paraId="7707FE85">
      <w:pPr>
        <w:spacing w:line="600" w:lineRule="exact"/>
        <w:rPr>
          <w:rFonts w:hint="default" w:ascii="Times New Roman" w:hAnsi="Times New Roman" w:eastAsia="仿宋_GB2312" w:cs="Times New Roman"/>
          <w:color w:val="auto"/>
          <w:kern w:val="2"/>
          <w:sz w:val="32"/>
          <w:szCs w:val="32"/>
          <w:highlight w:val="none"/>
          <w:lang w:val="en-US" w:eastAsia="zh-CN" w:bidi="ar-SA"/>
        </w:rPr>
      </w:pPr>
    </w:p>
    <w:p w14:paraId="62205FA9">
      <w:pPr>
        <w:spacing w:line="600" w:lineRule="exact"/>
        <w:rPr>
          <w:rFonts w:hint="default" w:ascii="Times New Roman" w:hAnsi="Times New Roman" w:eastAsia="仿宋_GB2312" w:cs="Times New Roman"/>
          <w:color w:val="auto"/>
          <w:kern w:val="2"/>
          <w:sz w:val="32"/>
          <w:szCs w:val="32"/>
          <w:highlight w:val="none"/>
          <w:lang w:val="en-US" w:eastAsia="zh-CN" w:bidi="ar-SA"/>
        </w:rPr>
      </w:pPr>
    </w:p>
    <w:p w14:paraId="326C05CC">
      <w:pPr>
        <w:spacing w:line="600" w:lineRule="exact"/>
        <w:jc w:val="both"/>
        <w:rPr>
          <w:rFonts w:hint="default" w:ascii="Times New Roman" w:hAnsi="Times New Roman" w:eastAsia="仿宋_GB2312" w:cs="Times New Roman"/>
          <w:color w:val="auto"/>
          <w:kern w:val="2"/>
          <w:sz w:val="32"/>
          <w:szCs w:val="32"/>
          <w:highlight w:val="none"/>
          <w:lang w:val="en-US" w:eastAsia="zh-CN" w:bidi="ar-SA"/>
        </w:rPr>
      </w:pPr>
    </w:p>
    <w:p w14:paraId="375C7C83">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55" w:name="_Toc15377211"/>
      <w:r>
        <w:rPr>
          <w:rFonts w:hint="default" w:ascii="Times New Roman" w:hAnsi="Times New Roman" w:eastAsia="楷体_GB2312" w:cs="Times New Roman"/>
          <w:b/>
          <w:color w:val="auto"/>
          <w:sz w:val="32"/>
          <w:szCs w:val="32"/>
          <w:highlight w:val="none"/>
        </w:rPr>
        <w:t>（二）一般公共预算财政拨款支出决算结构情况</w:t>
      </w:r>
      <w:bookmarkEnd w:id="55"/>
    </w:p>
    <w:p w14:paraId="1A330B5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sz w:val="32"/>
          <w:szCs w:val="32"/>
          <w:lang w:val="en-US" w:eastAsia="zh-CN"/>
        </w:rPr>
        <w:t>341.57</w:t>
      </w:r>
      <w:r>
        <w:rPr>
          <w:rFonts w:hint="default" w:ascii="Times New Roman" w:hAnsi="Times New Roman" w:eastAsia="仿宋_GB2312" w:cs="Times New Roman"/>
          <w:color w:val="auto"/>
          <w:kern w:val="2"/>
          <w:sz w:val="32"/>
          <w:szCs w:val="32"/>
          <w:highlight w:val="none"/>
          <w:lang w:val="en-US" w:eastAsia="zh-CN" w:bidi="ar-SA"/>
        </w:rPr>
        <w:t>万元，主要用于以下方面：</w:t>
      </w:r>
      <w:r>
        <w:rPr>
          <w:rFonts w:hint="default" w:ascii="Times New Roman" w:hAnsi="Times New Roman" w:eastAsia="仿宋_GB2312" w:cs="Times New Roman"/>
          <w:b/>
          <w:bCs/>
          <w:sz w:val="32"/>
          <w:szCs w:val="32"/>
        </w:rPr>
        <w:t>社会保障和就业支出</w:t>
      </w:r>
      <w:r>
        <w:rPr>
          <w:rFonts w:hint="default" w:ascii="Times New Roman" w:hAnsi="Times New Roman" w:eastAsia="仿宋_GB2312" w:cs="Times New Roman"/>
          <w:sz w:val="32"/>
          <w:szCs w:val="32"/>
          <w:lang w:val="en-US" w:eastAsia="zh-CN"/>
        </w:rPr>
        <w:t>47.43</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13.89</w:t>
      </w:r>
      <w:r>
        <w:rPr>
          <w:rFonts w:hint="default" w:ascii="Times New Roman" w:hAnsi="Times New Roman" w:eastAsia="仿宋_GB2312" w:cs="Times New Roman"/>
          <w:sz w:val="32"/>
          <w:szCs w:val="32"/>
        </w:rPr>
        <w:t>%；</w:t>
      </w:r>
      <w:r>
        <w:rPr>
          <w:rFonts w:hint="default" w:ascii="Times New Roman" w:hAnsi="Times New Roman" w:eastAsia="仿宋_GB2312" w:cs="Times New Roman"/>
          <w:b/>
          <w:bCs/>
          <w:sz w:val="32"/>
          <w:szCs w:val="32"/>
        </w:rPr>
        <w:t>卫生健康支出</w:t>
      </w:r>
      <w:r>
        <w:rPr>
          <w:rFonts w:hint="default" w:ascii="Times New Roman" w:hAnsi="Times New Roman" w:eastAsia="仿宋_GB2312" w:cs="Times New Roman"/>
          <w:sz w:val="32"/>
          <w:szCs w:val="32"/>
          <w:lang w:val="en-US" w:eastAsia="zh-CN"/>
        </w:rPr>
        <w:t>20.72</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6.07</w:t>
      </w:r>
      <w:r>
        <w:rPr>
          <w:rFonts w:hint="default" w:ascii="Times New Roman" w:hAnsi="Times New Roman" w:eastAsia="仿宋_GB2312" w:cs="Times New Roman"/>
          <w:sz w:val="32"/>
          <w:szCs w:val="32"/>
        </w:rPr>
        <w:t>%；</w:t>
      </w:r>
      <w:r>
        <w:rPr>
          <w:rFonts w:hint="default" w:ascii="Times New Roman" w:hAnsi="Times New Roman" w:eastAsia="仿宋_GB2312" w:cs="Times New Roman"/>
          <w:b/>
          <w:bCs/>
          <w:sz w:val="32"/>
          <w:szCs w:val="32"/>
        </w:rPr>
        <w:t>农林水支出</w:t>
      </w:r>
      <w:r>
        <w:rPr>
          <w:rFonts w:hint="default" w:ascii="Times New Roman" w:hAnsi="Times New Roman" w:eastAsia="仿宋_GB2312" w:cs="Times New Roman"/>
          <w:sz w:val="32"/>
          <w:szCs w:val="32"/>
          <w:lang w:val="en-US" w:eastAsia="zh-CN"/>
        </w:rPr>
        <w:t>244.56</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71.6</w:t>
      </w:r>
      <w:r>
        <w:rPr>
          <w:rFonts w:hint="default" w:ascii="Times New Roman" w:hAnsi="Times New Roman" w:eastAsia="仿宋_GB2312" w:cs="Times New Roman"/>
          <w:sz w:val="32"/>
          <w:szCs w:val="32"/>
        </w:rPr>
        <w:t>%；</w:t>
      </w:r>
      <w:r>
        <w:rPr>
          <w:rFonts w:hint="default" w:ascii="Times New Roman" w:hAnsi="Times New Roman" w:eastAsia="仿宋_GB2312" w:cs="Times New Roman"/>
          <w:b/>
          <w:bCs/>
          <w:sz w:val="32"/>
          <w:szCs w:val="32"/>
        </w:rPr>
        <w:t>住房保障支出</w:t>
      </w:r>
      <w:r>
        <w:rPr>
          <w:rFonts w:hint="default" w:ascii="Times New Roman" w:hAnsi="Times New Roman" w:eastAsia="仿宋_GB2312" w:cs="Times New Roman"/>
          <w:sz w:val="32"/>
          <w:szCs w:val="32"/>
          <w:lang w:val="en-US" w:eastAsia="zh-CN"/>
        </w:rPr>
        <w:t>28.86</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8.44</w:t>
      </w:r>
      <w:r>
        <w:rPr>
          <w:rFonts w:hint="default" w:ascii="Times New Roman" w:hAnsi="Times New Roman" w:eastAsia="仿宋_GB2312" w:cs="Times New Roman"/>
          <w:sz w:val="32"/>
          <w:szCs w:val="32"/>
        </w:rPr>
        <w:t>%。</w:t>
      </w:r>
    </w:p>
    <w:p w14:paraId="459A3035">
      <w:pPr>
        <w:pStyle w:val="2"/>
        <w:rPr>
          <w:rFonts w:hint="default" w:ascii="Times New Roman" w:hAnsi="Times New Roman" w:eastAsia="仿宋_GB2312" w:cs="Times New Roman"/>
          <w:sz w:val="32"/>
          <w:szCs w:val="32"/>
        </w:rPr>
      </w:pPr>
      <w:r>
        <w:rPr>
          <w:rFonts w:hint="default" w:ascii="Times New Roman" w:hAnsi="Times New Roman" w:eastAsia="仿宋_GB2312" w:cs="Times New Roman"/>
          <w:color w:val="auto"/>
          <w:kern w:val="2"/>
          <w:sz w:val="32"/>
          <w:szCs w:val="32"/>
          <w:highlight w:val="none"/>
          <w:lang w:val="en-US" w:eastAsia="zh-CN" w:bidi="ar-SA"/>
        </w:rPr>
        <w:drawing>
          <wp:anchor distT="0" distB="0" distL="114300" distR="114300" simplePos="0" relativeHeight="251663360" behindDoc="0" locked="0" layoutInCell="1" allowOverlap="1">
            <wp:simplePos x="0" y="0"/>
            <wp:positionH relativeFrom="column">
              <wp:posOffset>108585</wp:posOffset>
            </wp:positionH>
            <wp:positionV relativeFrom="paragraph">
              <wp:posOffset>487045</wp:posOffset>
            </wp:positionV>
            <wp:extent cx="6533515" cy="4059555"/>
            <wp:effectExtent l="4445" t="4445" r="15240" b="12700"/>
            <wp:wrapNone/>
            <wp:docPr id="11" name="图表 11" descr="7b0a202020202263686172745265734964223a20223230343731333838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13DA268C">
      <w:pPr>
        <w:rPr>
          <w:rFonts w:hint="default" w:ascii="Times New Roman" w:hAnsi="Times New Roman" w:cs="Times New Roman"/>
        </w:rPr>
      </w:pPr>
    </w:p>
    <w:p w14:paraId="3DEC4415">
      <w:pPr>
        <w:rPr>
          <w:rFonts w:hint="default" w:ascii="Times New Roman" w:hAnsi="Times New Roman" w:eastAsia="仿宋_GB2312" w:cs="Times New Roman"/>
          <w:sz w:val="32"/>
          <w:szCs w:val="32"/>
        </w:rPr>
      </w:pPr>
    </w:p>
    <w:p w14:paraId="5982B99D">
      <w:pPr>
        <w:pStyle w:val="9"/>
        <w:ind w:left="0" w:leftChars="0" w:firstLine="0" w:firstLineChars="0"/>
        <w:rPr>
          <w:rFonts w:hint="default" w:ascii="Times New Roman" w:hAnsi="Times New Roman" w:eastAsia="仿宋_GB2312" w:cs="Times New Roman"/>
          <w:sz w:val="32"/>
          <w:szCs w:val="32"/>
        </w:rPr>
      </w:pPr>
    </w:p>
    <w:p w14:paraId="29B02EB7">
      <w:pPr>
        <w:pStyle w:val="9"/>
        <w:ind w:left="0" w:leftChars="0" w:firstLine="0" w:firstLineChars="0"/>
        <w:rPr>
          <w:rFonts w:hint="default" w:ascii="Times New Roman" w:hAnsi="Times New Roman" w:eastAsia="仿宋_GB2312" w:cs="Times New Roman"/>
          <w:sz w:val="32"/>
          <w:szCs w:val="32"/>
        </w:rPr>
      </w:pPr>
    </w:p>
    <w:p w14:paraId="5482E9E6">
      <w:pPr>
        <w:pStyle w:val="9"/>
        <w:ind w:left="0" w:leftChars="0" w:firstLine="0" w:firstLineChars="0"/>
        <w:rPr>
          <w:rFonts w:hint="default" w:ascii="Times New Roman" w:hAnsi="Times New Roman" w:eastAsia="仿宋_GB2312" w:cs="Times New Roman"/>
          <w:sz w:val="32"/>
          <w:szCs w:val="32"/>
        </w:rPr>
      </w:pPr>
    </w:p>
    <w:p w14:paraId="33908C8F">
      <w:pPr>
        <w:rPr>
          <w:rFonts w:hint="default" w:ascii="Times New Roman" w:hAnsi="Times New Roman" w:cs="Times New Roman"/>
          <w:lang w:val="en-US" w:eastAsia="zh-CN"/>
        </w:rPr>
      </w:pPr>
    </w:p>
    <w:p w14:paraId="241F0D06">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6679E06F">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28966BFB">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2C076385">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08BEF6B9">
      <w:pPr>
        <w:spacing w:line="600" w:lineRule="exact"/>
        <w:rPr>
          <w:rFonts w:hint="default" w:ascii="Times New Roman" w:hAnsi="Times New Roman" w:eastAsia="仿宋_GB2312" w:cs="Times New Roman"/>
          <w:color w:val="auto"/>
          <w:kern w:val="2"/>
          <w:sz w:val="32"/>
          <w:szCs w:val="32"/>
          <w:highlight w:val="none"/>
          <w:lang w:val="en-US" w:eastAsia="zh-CN" w:bidi="ar-SA"/>
        </w:rPr>
      </w:pPr>
    </w:p>
    <w:p w14:paraId="2A1904D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56" w:name="_Toc15377212"/>
      <w:r>
        <w:rPr>
          <w:rFonts w:hint="default" w:ascii="Times New Roman" w:hAnsi="Times New Roman" w:eastAsia="楷体_GB2312" w:cs="Times New Roman"/>
          <w:b/>
          <w:color w:val="auto"/>
          <w:sz w:val="32"/>
          <w:szCs w:val="32"/>
          <w:highlight w:val="none"/>
        </w:rPr>
        <w:t>（三）一般公共预算财政拨款支出决算具体情况</w:t>
      </w:r>
      <w:bookmarkEnd w:id="56"/>
    </w:p>
    <w:p w14:paraId="5902293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年度一般公共预算支出决算数为</w:t>
      </w:r>
      <w:r>
        <w:rPr>
          <w:rFonts w:hint="default" w:ascii="Times New Roman" w:hAnsi="Times New Roman" w:eastAsia="仿宋_GB2312" w:cs="Times New Roman"/>
          <w:sz w:val="32"/>
          <w:szCs w:val="32"/>
          <w:lang w:val="en-US" w:eastAsia="zh-CN"/>
        </w:rPr>
        <w:t>341.57</w:t>
      </w:r>
      <w:r>
        <w:rPr>
          <w:rFonts w:hint="default" w:ascii="Times New Roman" w:hAnsi="Times New Roman" w:eastAsia="仿宋_GB2312" w:cs="Times New Roman"/>
          <w:sz w:val="32"/>
          <w:szCs w:val="32"/>
        </w:rPr>
        <w:t>万元，完成预算100%。其中：</w:t>
      </w:r>
    </w:p>
    <w:p w14:paraId="1085F9C5">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sz w:val="32"/>
          <w:szCs w:val="32"/>
          <w:lang w:eastAsia="zh-CN"/>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.社会保障和就业支出（</w:t>
      </w:r>
      <w:r>
        <w:rPr>
          <w:rFonts w:hint="eastAsia" w:ascii="仿宋_GB2312" w:hAnsi="仿宋_GB2312" w:eastAsia="仿宋_GB2312" w:cs="仿宋_GB2312"/>
          <w:b/>
          <w:bCs/>
          <w:sz w:val="32"/>
          <w:szCs w:val="32"/>
          <w:lang w:eastAsia="zh-CN"/>
        </w:rPr>
        <w:t>类</w:t>
      </w:r>
      <w:r>
        <w:rPr>
          <w:rFonts w:hint="eastAsia" w:ascii="仿宋_GB2312" w:hAnsi="仿宋_GB2312" w:eastAsia="仿宋_GB2312" w:cs="仿宋_GB2312"/>
          <w:b/>
          <w:bCs/>
          <w:sz w:val="32"/>
          <w:szCs w:val="32"/>
        </w:rPr>
        <w:t>）行政事业单位养老支出（</w:t>
      </w:r>
      <w:r>
        <w:rPr>
          <w:rFonts w:hint="eastAsia" w:ascii="仿宋_GB2312" w:hAnsi="仿宋_GB2312" w:eastAsia="仿宋_GB2312" w:cs="仿宋_GB2312"/>
          <w:b/>
          <w:bCs/>
          <w:sz w:val="32"/>
          <w:szCs w:val="32"/>
          <w:lang w:val="en-US" w:eastAsia="zh-CN"/>
        </w:rPr>
        <w:t>款</w:t>
      </w:r>
      <w:r>
        <w:rPr>
          <w:rFonts w:hint="eastAsia" w:ascii="仿宋_GB2312" w:hAnsi="仿宋_GB2312" w:eastAsia="仿宋_GB2312" w:cs="仿宋_GB2312"/>
          <w:b/>
          <w:bCs/>
          <w:sz w:val="32"/>
          <w:szCs w:val="32"/>
        </w:rPr>
        <w:t>）机关事业单位基本养老保险缴费支出（</w:t>
      </w:r>
      <w:r>
        <w:rPr>
          <w:rFonts w:hint="eastAsia" w:ascii="仿宋_GB2312" w:hAnsi="仿宋_GB2312" w:eastAsia="仿宋_GB2312" w:cs="仿宋_GB2312"/>
          <w:b/>
          <w:bCs/>
          <w:sz w:val="32"/>
          <w:szCs w:val="32"/>
          <w:lang w:val="en-US" w:eastAsia="zh-CN"/>
        </w:rPr>
        <w:t>项</w:t>
      </w:r>
      <w:r>
        <w:rPr>
          <w:rFonts w:hint="eastAsia" w:ascii="仿宋_GB2312" w:hAnsi="仿宋_GB2312" w:eastAsia="仿宋_GB2312" w:cs="仿宋_GB2312"/>
          <w:b/>
          <w:bCs/>
          <w:sz w:val="32"/>
          <w:szCs w:val="32"/>
        </w:rPr>
        <w:t>）</w:t>
      </w:r>
      <w:r>
        <w:rPr>
          <w:rFonts w:hint="default" w:ascii="Times New Roman" w:hAnsi="Times New Roman" w:eastAsia="仿宋_GB2312" w:cs="Times New Roman"/>
          <w:sz w:val="32"/>
          <w:szCs w:val="32"/>
        </w:rPr>
        <w:t>：支出决算</w:t>
      </w:r>
      <w:r>
        <w:rPr>
          <w:rFonts w:hint="default" w:ascii="Times New Roman" w:hAnsi="Times New Roman" w:eastAsia="仿宋_GB2312" w:cs="Times New Roman"/>
          <w:sz w:val="32"/>
          <w:szCs w:val="32"/>
          <w:lang w:val="en-US" w:eastAsia="zh-CN"/>
        </w:rPr>
        <w:t>31.62</w:t>
      </w:r>
      <w:r>
        <w:rPr>
          <w:rFonts w:hint="default" w:ascii="Times New Roman" w:hAnsi="Times New Roman" w:eastAsia="仿宋_GB2312" w:cs="Times New Roman"/>
          <w:sz w:val="32"/>
          <w:szCs w:val="32"/>
        </w:rPr>
        <w:t>万元，完成预算100%</w:t>
      </w:r>
      <w:r>
        <w:rPr>
          <w:rFonts w:hint="default" w:ascii="Times New Roman" w:hAnsi="Times New Roman" w:eastAsia="仿宋_GB2312" w:cs="Times New Roman"/>
          <w:sz w:val="32"/>
          <w:szCs w:val="32"/>
          <w:lang w:eastAsia="zh-CN"/>
        </w:rPr>
        <w:t>，决算数与预算数持平。</w:t>
      </w:r>
    </w:p>
    <w:p w14:paraId="5EFA4B7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eastAsia" w:ascii="仿宋_GB2312" w:hAnsi="仿宋_GB2312" w:eastAsia="仿宋_GB2312" w:cs="仿宋_GB2312"/>
          <w:b/>
          <w:bCs/>
          <w:sz w:val="32"/>
          <w:szCs w:val="32"/>
        </w:rPr>
        <w:t>.社会保障和就业支出（</w:t>
      </w:r>
      <w:r>
        <w:rPr>
          <w:rFonts w:hint="eastAsia" w:ascii="仿宋_GB2312" w:hAnsi="仿宋_GB2312" w:eastAsia="仿宋_GB2312" w:cs="仿宋_GB2312"/>
          <w:b/>
          <w:bCs/>
          <w:sz w:val="32"/>
          <w:szCs w:val="32"/>
          <w:lang w:val="en-US" w:eastAsia="zh-CN"/>
        </w:rPr>
        <w:t>类</w:t>
      </w:r>
      <w:r>
        <w:rPr>
          <w:rFonts w:hint="eastAsia" w:ascii="仿宋_GB2312" w:hAnsi="仿宋_GB2312" w:eastAsia="仿宋_GB2312" w:cs="仿宋_GB2312"/>
          <w:b/>
          <w:bCs/>
          <w:sz w:val="32"/>
          <w:szCs w:val="32"/>
        </w:rPr>
        <w:t>）行政事业单位养老支出（</w:t>
      </w:r>
      <w:r>
        <w:rPr>
          <w:rFonts w:hint="eastAsia" w:ascii="仿宋_GB2312" w:hAnsi="仿宋_GB2312" w:eastAsia="仿宋_GB2312" w:cs="仿宋_GB2312"/>
          <w:b/>
          <w:bCs/>
          <w:sz w:val="32"/>
          <w:szCs w:val="32"/>
          <w:lang w:eastAsia="zh-CN"/>
        </w:rPr>
        <w:t>款</w:t>
      </w:r>
      <w:r>
        <w:rPr>
          <w:rFonts w:hint="eastAsia" w:ascii="仿宋_GB2312" w:hAnsi="仿宋_GB2312" w:eastAsia="仿宋_GB2312" w:cs="仿宋_GB2312"/>
          <w:b/>
          <w:bCs/>
          <w:sz w:val="32"/>
          <w:szCs w:val="32"/>
        </w:rPr>
        <w:t>）机关事业单位职业年金缴费支出（</w:t>
      </w:r>
      <w:r>
        <w:rPr>
          <w:rFonts w:hint="eastAsia" w:ascii="仿宋_GB2312" w:hAnsi="仿宋_GB2312" w:eastAsia="仿宋_GB2312" w:cs="仿宋_GB2312"/>
          <w:b/>
          <w:bCs/>
          <w:sz w:val="32"/>
          <w:szCs w:val="32"/>
          <w:lang w:val="en-US" w:eastAsia="zh-CN"/>
        </w:rPr>
        <w:t>项</w:t>
      </w:r>
      <w:r>
        <w:rPr>
          <w:rFonts w:hint="eastAsia" w:ascii="仿宋_GB2312" w:hAnsi="仿宋_GB2312" w:eastAsia="仿宋_GB2312" w:cs="仿宋_GB2312"/>
          <w:b/>
          <w:bCs/>
          <w:sz w:val="32"/>
          <w:szCs w:val="32"/>
        </w:rPr>
        <w:t>）</w:t>
      </w:r>
      <w:r>
        <w:rPr>
          <w:rFonts w:hint="default" w:ascii="Times New Roman" w:hAnsi="Times New Roman" w:eastAsia="仿宋_GB2312" w:cs="Times New Roman"/>
          <w:sz w:val="32"/>
          <w:szCs w:val="32"/>
        </w:rPr>
        <w:t>：支出决算</w:t>
      </w:r>
      <w:r>
        <w:rPr>
          <w:rFonts w:hint="default" w:ascii="Times New Roman" w:hAnsi="Times New Roman" w:eastAsia="仿宋_GB2312" w:cs="Times New Roman"/>
          <w:sz w:val="32"/>
          <w:szCs w:val="32"/>
          <w:lang w:val="en-US" w:eastAsia="zh-CN"/>
        </w:rPr>
        <w:t>15.81</w:t>
      </w:r>
      <w:r>
        <w:rPr>
          <w:rFonts w:hint="default" w:ascii="Times New Roman" w:hAnsi="Times New Roman" w:eastAsia="仿宋_GB2312" w:cs="Times New Roman"/>
          <w:sz w:val="32"/>
          <w:szCs w:val="32"/>
        </w:rPr>
        <w:t>万元，完成预算100%</w:t>
      </w:r>
      <w:r>
        <w:rPr>
          <w:rFonts w:hint="default" w:ascii="Times New Roman" w:hAnsi="Times New Roman" w:eastAsia="仿宋_GB2312" w:cs="Times New Roman"/>
          <w:sz w:val="32"/>
          <w:szCs w:val="32"/>
          <w:lang w:eastAsia="zh-CN"/>
        </w:rPr>
        <w:t>，决算数与预算数持平。</w:t>
      </w:r>
    </w:p>
    <w:p w14:paraId="19C5A9F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w:t>
      </w:r>
      <w:r>
        <w:rPr>
          <w:rFonts w:hint="default" w:ascii="Times New Roman" w:hAnsi="Times New Roman" w:eastAsia="仿宋_GB2312" w:cs="Times New Roman"/>
          <w:b/>
          <w:bCs/>
          <w:sz w:val="32"/>
          <w:szCs w:val="32"/>
        </w:rPr>
        <w:t>卫生健康支出（</w:t>
      </w:r>
      <w:r>
        <w:rPr>
          <w:rFonts w:hint="default" w:ascii="Times New Roman" w:hAnsi="Times New Roman" w:eastAsia="仿宋_GB2312" w:cs="Times New Roman"/>
          <w:b/>
          <w:bCs/>
          <w:sz w:val="32"/>
          <w:szCs w:val="32"/>
          <w:lang w:val="en-US" w:eastAsia="zh-CN"/>
        </w:rPr>
        <w:t>类</w:t>
      </w:r>
      <w:r>
        <w:rPr>
          <w:rFonts w:hint="default" w:ascii="Times New Roman" w:hAnsi="Times New Roman" w:eastAsia="仿宋_GB2312" w:cs="Times New Roman"/>
          <w:b/>
          <w:bCs/>
          <w:sz w:val="32"/>
          <w:szCs w:val="32"/>
        </w:rPr>
        <w:t>）行政事业单位医疗（</w:t>
      </w:r>
      <w:r>
        <w:rPr>
          <w:rFonts w:hint="default" w:ascii="Times New Roman" w:hAnsi="Times New Roman" w:eastAsia="仿宋_GB2312" w:cs="Times New Roman"/>
          <w:b/>
          <w:bCs/>
          <w:sz w:val="32"/>
          <w:szCs w:val="32"/>
          <w:lang w:val="en-US" w:eastAsia="zh-CN"/>
        </w:rPr>
        <w:t>款</w:t>
      </w:r>
      <w:r>
        <w:rPr>
          <w:rFonts w:hint="default" w:ascii="Times New Roman" w:hAnsi="Times New Roman" w:eastAsia="仿宋_GB2312" w:cs="Times New Roman"/>
          <w:b/>
          <w:bCs/>
          <w:sz w:val="32"/>
          <w:szCs w:val="32"/>
        </w:rPr>
        <w:t>）行政单位医疗（</w:t>
      </w:r>
      <w:r>
        <w:rPr>
          <w:rFonts w:hint="default" w:ascii="Times New Roman" w:hAnsi="Times New Roman" w:eastAsia="仿宋_GB2312" w:cs="Times New Roman"/>
          <w:b/>
          <w:bCs/>
          <w:sz w:val="32"/>
          <w:szCs w:val="32"/>
          <w:lang w:val="en-US" w:eastAsia="zh-CN"/>
        </w:rPr>
        <w:t>项</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支出决算</w:t>
      </w:r>
      <w:r>
        <w:rPr>
          <w:rFonts w:hint="default" w:ascii="Times New Roman" w:hAnsi="Times New Roman" w:eastAsia="仿宋_GB2312" w:cs="Times New Roman"/>
          <w:sz w:val="32"/>
          <w:szCs w:val="32"/>
          <w:lang w:val="en-US" w:eastAsia="zh-CN"/>
        </w:rPr>
        <w:t>20.72</w:t>
      </w:r>
      <w:r>
        <w:rPr>
          <w:rFonts w:hint="default" w:ascii="Times New Roman" w:hAnsi="Times New Roman" w:eastAsia="仿宋_GB2312" w:cs="Times New Roman"/>
          <w:sz w:val="32"/>
          <w:szCs w:val="32"/>
        </w:rPr>
        <w:t>万元，完成预算100</w:t>
      </w:r>
      <w:r>
        <w:rPr>
          <w:rFonts w:hint="default" w:ascii="Times New Roman" w:hAnsi="Times New Roman" w:eastAsia="仿宋_GB2312" w:cs="Times New Roman"/>
          <w:sz w:val="32"/>
          <w:szCs w:val="32"/>
          <w:lang w:eastAsia="zh-CN"/>
        </w:rPr>
        <w:t>，决算数与预算数持平。</w:t>
      </w:r>
    </w:p>
    <w:p w14:paraId="00DAF96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w:t>
      </w:r>
      <w:r>
        <w:rPr>
          <w:rFonts w:hint="default" w:ascii="Times New Roman" w:hAnsi="Times New Roman" w:eastAsia="仿宋_GB2312" w:cs="Times New Roman"/>
          <w:b/>
          <w:bCs/>
          <w:sz w:val="32"/>
          <w:szCs w:val="32"/>
        </w:rPr>
        <w:t>农林水支出（</w:t>
      </w:r>
      <w:r>
        <w:rPr>
          <w:rFonts w:hint="default" w:ascii="Times New Roman" w:hAnsi="Times New Roman" w:eastAsia="仿宋_GB2312" w:cs="Times New Roman"/>
          <w:b/>
          <w:bCs/>
          <w:sz w:val="32"/>
          <w:szCs w:val="32"/>
          <w:lang w:val="en-US" w:eastAsia="zh-CN"/>
        </w:rPr>
        <w:t>类</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sz w:val="32"/>
          <w:szCs w:val="32"/>
          <w:lang w:eastAsia="zh-CN"/>
        </w:rPr>
        <w:t>农业农村</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sz w:val="32"/>
          <w:szCs w:val="32"/>
          <w:lang w:eastAsia="zh-CN"/>
        </w:rPr>
        <w:t>款</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sz w:val="32"/>
          <w:szCs w:val="32"/>
          <w:lang w:eastAsia="zh-CN"/>
        </w:rPr>
        <w:t>事业运行</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sz w:val="32"/>
          <w:szCs w:val="32"/>
          <w:lang w:val="en-US" w:eastAsia="zh-CN"/>
        </w:rPr>
        <w:t>项</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支出决算</w:t>
      </w:r>
      <w:r>
        <w:rPr>
          <w:rFonts w:hint="default" w:ascii="Times New Roman" w:hAnsi="Times New Roman" w:eastAsia="仿宋_GB2312" w:cs="Times New Roman"/>
          <w:sz w:val="32"/>
          <w:szCs w:val="32"/>
          <w:lang w:val="en-US" w:eastAsia="zh-CN"/>
        </w:rPr>
        <w:t>244.56</w:t>
      </w:r>
      <w:r>
        <w:rPr>
          <w:rFonts w:hint="default" w:ascii="Times New Roman" w:hAnsi="Times New Roman" w:eastAsia="仿宋_GB2312" w:cs="Times New Roman"/>
          <w:sz w:val="32"/>
          <w:szCs w:val="32"/>
        </w:rPr>
        <w:t>万元，完成预算100%</w:t>
      </w:r>
      <w:r>
        <w:rPr>
          <w:rFonts w:hint="default" w:ascii="Times New Roman" w:hAnsi="Times New Roman" w:eastAsia="仿宋_GB2312" w:cs="Times New Roman"/>
          <w:sz w:val="32"/>
          <w:szCs w:val="32"/>
          <w:lang w:eastAsia="zh-CN"/>
        </w:rPr>
        <w:t>，决算数与预算数持平。</w:t>
      </w:r>
    </w:p>
    <w:p w14:paraId="1F53B16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b/>
          <w:bCs/>
          <w:sz w:val="32"/>
          <w:szCs w:val="32"/>
          <w:lang w:val="en-US" w:eastAsia="zh-CN"/>
        </w:rPr>
        <w:t>住房保障支出（类）住房改革支出（款）住房公积金（项）：</w:t>
      </w:r>
      <w:r>
        <w:rPr>
          <w:rFonts w:hint="default" w:ascii="Times New Roman" w:hAnsi="Times New Roman" w:eastAsia="仿宋_GB2312" w:cs="Times New Roman"/>
          <w:sz w:val="32"/>
          <w:szCs w:val="32"/>
          <w:lang w:val="en-US" w:eastAsia="zh-CN"/>
        </w:rPr>
        <w:t>支出决算28.86万元，完成预算100%</w:t>
      </w:r>
      <w:r>
        <w:rPr>
          <w:rFonts w:hint="default" w:ascii="Times New Roman" w:hAnsi="Times New Roman" w:eastAsia="仿宋_GB2312" w:cs="Times New Roman"/>
          <w:sz w:val="32"/>
          <w:szCs w:val="32"/>
          <w:lang w:eastAsia="zh-CN"/>
        </w:rPr>
        <w:t>，决算数与预算数持平。</w:t>
      </w:r>
    </w:p>
    <w:p w14:paraId="362E1366">
      <w:pPr>
        <w:keepNext w:val="0"/>
        <w:keepLines w:val="0"/>
        <w:pageBreakBefore w:val="0"/>
        <w:widowControl w:val="0"/>
        <w:tabs>
          <w:tab w:val="right" w:pos="8306"/>
        </w:tabs>
        <w:kinsoku/>
        <w:wordWrap/>
        <w:overflowPunct/>
        <w:topLinePunct w:val="0"/>
        <w:autoSpaceDE/>
        <w:autoSpaceDN/>
        <w:bidi w:val="0"/>
        <w:adjustRightInd/>
        <w:snapToGrid/>
        <w:spacing w:line="576" w:lineRule="exact"/>
        <w:ind w:firstLine="640" w:firstLineChars="200"/>
        <w:textAlignment w:val="auto"/>
        <w:outlineLvl w:val="1"/>
        <w:rPr>
          <w:rStyle w:val="32"/>
          <w:rFonts w:hint="default" w:ascii="Times New Roman" w:hAnsi="Times New Roman" w:cs="Times New Roman"/>
          <w:color w:val="auto"/>
          <w:highlight w:val="none"/>
        </w:rPr>
      </w:pPr>
      <w:bookmarkStart w:id="57" w:name="_Toc22430"/>
      <w:bookmarkStart w:id="58" w:name="_Toc15377214"/>
      <w:bookmarkStart w:id="59" w:name="_Toc27660"/>
      <w:bookmarkStart w:id="60" w:name="_Toc15396608"/>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32"/>
          <w:rFonts w:hint="default" w:ascii="Times New Roman" w:hAnsi="Times New Roman" w:eastAsia="黑体" w:cs="Times New Roman"/>
          <w:b w:val="0"/>
          <w:color w:val="auto"/>
          <w:highlight w:val="none"/>
        </w:rPr>
        <w:t>般公共预算财政拨款基本支出决算情况说明</w:t>
      </w:r>
      <w:bookmarkEnd w:id="57"/>
      <w:bookmarkEnd w:id="58"/>
      <w:bookmarkEnd w:id="59"/>
      <w:bookmarkEnd w:id="60"/>
      <w:r>
        <w:rPr>
          <w:rStyle w:val="32"/>
          <w:rFonts w:hint="default" w:ascii="Times New Roman" w:hAnsi="Times New Roman" w:eastAsia="黑体" w:cs="Times New Roman"/>
          <w:b w:val="0"/>
          <w:color w:val="auto"/>
          <w:highlight w:val="none"/>
        </w:rPr>
        <w:tab/>
      </w:r>
    </w:p>
    <w:p w14:paraId="78F4B88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auto"/>
          <w:sz w:val="32"/>
          <w:szCs w:val="32"/>
        </w:rPr>
      </w:pPr>
      <w:bookmarkStart w:id="61" w:name="_Toc15377215"/>
      <w:bookmarkStart w:id="62" w:name="_Toc15396609"/>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年度一般公共预算财政拨款基本支出</w:t>
      </w:r>
      <w:r>
        <w:rPr>
          <w:rFonts w:hint="default" w:ascii="Times New Roman" w:hAnsi="Times New Roman" w:eastAsia="仿宋_GB2312" w:cs="Times New Roman"/>
          <w:color w:val="auto"/>
          <w:sz w:val="32"/>
          <w:szCs w:val="32"/>
          <w:lang w:val="en-US" w:eastAsia="zh-CN"/>
        </w:rPr>
        <w:t>341.57</w:t>
      </w:r>
      <w:r>
        <w:rPr>
          <w:rFonts w:hint="default" w:ascii="Times New Roman" w:hAnsi="Times New Roman" w:eastAsia="仿宋_GB2312" w:cs="Times New Roman"/>
          <w:color w:val="auto"/>
          <w:sz w:val="32"/>
          <w:szCs w:val="32"/>
        </w:rPr>
        <w:t>万元，其中：</w:t>
      </w:r>
    </w:p>
    <w:p w14:paraId="2D68D53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人员经费</w:t>
      </w:r>
      <w:r>
        <w:rPr>
          <w:rFonts w:hint="default" w:ascii="Times New Roman" w:hAnsi="Times New Roman" w:eastAsia="仿宋_GB2312" w:cs="Times New Roman"/>
          <w:color w:val="auto"/>
          <w:sz w:val="32"/>
          <w:szCs w:val="32"/>
          <w:lang w:val="en-US" w:eastAsia="zh-CN"/>
        </w:rPr>
        <w:t>320.88</w:t>
      </w:r>
      <w:r>
        <w:rPr>
          <w:rFonts w:hint="default" w:ascii="Times New Roman" w:hAnsi="Times New Roman" w:eastAsia="仿宋_GB2312" w:cs="Times New Roman"/>
          <w:color w:val="auto"/>
          <w:sz w:val="32"/>
          <w:szCs w:val="32"/>
        </w:rPr>
        <w:t>万元，主要包括：基本工资</w:t>
      </w:r>
      <w:r>
        <w:rPr>
          <w:rFonts w:hint="default" w:ascii="Times New Roman" w:hAnsi="Times New Roman" w:eastAsia="仿宋_GB2312" w:cs="Times New Roman"/>
          <w:color w:val="auto"/>
          <w:sz w:val="32"/>
          <w:szCs w:val="32"/>
          <w:lang w:val="en-US" w:eastAsia="zh-CN"/>
        </w:rPr>
        <w:t>67.57</w:t>
      </w:r>
      <w:r>
        <w:rPr>
          <w:rFonts w:hint="default" w:ascii="Times New Roman" w:hAnsi="Times New Roman" w:eastAsia="仿宋_GB2312" w:cs="Times New Roman"/>
          <w:color w:val="auto"/>
          <w:sz w:val="32"/>
          <w:szCs w:val="32"/>
        </w:rPr>
        <w:t>万元、津贴补贴</w:t>
      </w:r>
      <w:r>
        <w:rPr>
          <w:rFonts w:hint="default" w:ascii="Times New Roman" w:hAnsi="Times New Roman" w:eastAsia="仿宋_GB2312" w:cs="Times New Roman"/>
          <w:color w:val="auto"/>
          <w:sz w:val="32"/>
          <w:szCs w:val="32"/>
          <w:lang w:val="en-US" w:eastAsia="zh-CN"/>
        </w:rPr>
        <w:t>25.94</w:t>
      </w:r>
      <w:r>
        <w:rPr>
          <w:rFonts w:hint="default" w:ascii="Times New Roman" w:hAnsi="Times New Roman" w:eastAsia="仿宋_GB2312" w:cs="Times New Roman"/>
          <w:color w:val="auto"/>
          <w:sz w:val="32"/>
          <w:szCs w:val="32"/>
        </w:rPr>
        <w:t>万元、</w:t>
      </w:r>
      <w:r>
        <w:rPr>
          <w:rFonts w:hint="default" w:ascii="Times New Roman" w:hAnsi="Times New Roman" w:eastAsia="仿宋_GB2312" w:cs="Times New Roman"/>
          <w:color w:val="auto"/>
          <w:sz w:val="32"/>
          <w:szCs w:val="32"/>
          <w:lang w:eastAsia="zh-CN"/>
        </w:rPr>
        <w:t>绩效工资</w:t>
      </w:r>
      <w:r>
        <w:rPr>
          <w:rFonts w:hint="default" w:ascii="Times New Roman" w:hAnsi="Times New Roman" w:eastAsia="仿宋_GB2312" w:cs="Times New Roman"/>
          <w:color w:val="auto"/>
          <w:sz w:val="32"/>
          <w:szCs w:val="32"/>
          <w:lang w:val="en-US" w:eastAsia="zh-CN"/>
        </w:rPr>
        <w:t>124.38万元、</w:t>
      </w:r>
      <w:r>
        <w:rPr>
          <w:rFonts w:hint="default" w:ascii="Times New Roman" w:hAnsi="Times New Roman" w:eastAsia="仿宋_GB2312" w:cs="Times New Roman"/>
          <w:color w:val="auto"/>
          <w:sz w:val="32"/>
          <w:szCs w:val="32"/>
        </w:rPr>
        <w:t>机关事业单位基本养老保险缴费</w:t>
      </w:r>
      <w:r>
        <w:rPr>
          <w:rFonts w:hint="default" w:ascii="Times New Roman" w:hAnsi="Times New Roman" w:eastAsia="仿宋_GB2312" w:cs="Times New Roman"/>
          <w:color w:val="auto"/>
          <w:sz w:val="32"/>
          <w:szCs w:val="32"/>
          <w:lang w:val="en-US" w:eastAsia="zh-CN"/>
        </w:rPr>
        <w:t>31.62</w:t>
      </w:r>
      <w:r>
        <w:rPr>
          <w:rFonts w:hint="default" w:ascii="Times New Roman" w:hAnsi="Times New Roman" w:eastAsia="仿宋_GB2312" w:cs="Times New Roman"/>
          <w:color w:val="auto"/>
          <w:sz w:val="32"/>
          <w:szCs w:val="32"/>
        </w:rPr>
        <w:t>万元、职业年金缴费</w:t>
      </w:r>
      <w:r>
        <w:rPr>
          <w:rFonts w:hint="default" w:ascii="Times New Roman" w:hAnsi="Times New Roman" w:eastAsia="仿宋_GB2312" w:cs="Times New Roman"/>
          <w:color w:val="auto"/>
          <w:sz w:val="32"/>
          <w:szCs w:val="32"/>
          <w:lang w:val="en-US" w:eastAsia="zh-CN"/>
        </w:rPr>
        <w:t>15.81</w:t>
      </w:r>
      <w:r>
        <w:rPr>
          <w:rFonts w:hint="default" w:ascii="Times New Roman" w:hAnsi="Times New Roman" w:eastAsia="仿宋_GB2312" w:cs="Times New Roman"/>
          <w:color w:val="auto"/>
          <w:sz w:val="32"/>
          <w:szCs w:val="32"/>
        </w:rPr>
        <w:t>万元、职工基本医疗保险缴费</w:t>
      </w:r>
      <w:r>
        <w:rPr>
          <w:rFonts w:hint="default" w:ascii="Times New Roman" w:hAnsi="Times New Roman" w:eastAsia="仿宋_GB2312" w:cs="Times New Roman"/>
          <w:color w:val="auto"/>
          <w:sz w:val="32"/>
          <w:szCs w:val="32"/>
          <w:lang w:val="en-US" w:eastAsia="zh-CN"/>
        </w:rPr>
        <w:t>20.72</w:t>
      </w:r>
      <w:r>
        <w:rPr>
          <w:rFonts w:hint="default" w:ascii="Times New Roman" w:hAnsi="Times New Roman" w:eastAsia="仿宋_GB2312" w:cs="Times New Roman"/>
          <w:color w:val="auto"/>
          <w:sz w:val="32"/>
          <w:szCs w:val="32"/>
        </w:rPr>
        <w:t>万元、其他社会保障缴费</w:t>
      </w:r>
      <w:r>
        <w:rPr>
          <w:rFonts w:hint="default" w:ascii="Times New Roman" w:hAnsi="Times New Roman" w:eastAsia="仿宋_GB2312" w:cs="Times New Roman"/>
          <w:color w:val="auto"/>
          <w:sz w:val="32"/>
          <w:szCs w:val="32"/>
          <w:lang w:val="en-US" w:eastAsia="zh-CN"/>
        </w:rPr>
        <w:t>1.58</w:t>
      </w:r>
      <w:r>
        <w:rPr>
          <w:rFonts w:hint="default" w:ascii="Times New Roman" w:hAnsi="Times New Roman" w:eastAsia="仿宋_GB2312" w:cs="Times New Roman"/>
          <w:color w:val="auto"/>
          <w:sz w:val="32"/>
          <w:szCs w:val="32"/>
        </w:rPr>
        <w:t>万元、住房公积金</w:t>
      </w:r>
      <w:r>
        <w:rPr>
          <w:rFonts w:hint="default" w:ascii="Times New Roman" w:hAnsi="Times New Roman" w:eastAsia="仿宋_GB2312" w:cs="Times New Roman"/>
          <w:color w:val="auto"/>
          <w:sz w:val="32"/>
          <w:szCs w:val="32"/>
          <w:lang w:val="en-US" w:eastAsia="zh-CN"/>
        </w:rPr>
        <w:t>28.86</w:t>
      </w:r>
      <w:r>
        <w:rPr>
          <w:rFonts w:hint="default" w:ascii="Times New Roman" w:hAnsi="Times New Roman" w:eastAsia="仿宋_GB2312" w:cs="Times New Roman"/>
          <w:color w:val="auto"/>
          <w:sz w:val="32"/>
          <w:szCs w:val="32"/>
        </w:rPr>
        <w:t>万元、医疗费</w:t>
      </w:r>
      <w:r>
        <w:rPr>
          <w:rFonts w:hint="default" w:ascii="Times New Roman" w:hAnsi="Times New Roman" w:eastAsia="仿宋_GB2312" w:cs="Times New Roman"/>
          <w:color w:val="auto"/>
          <w:sz w:val="32"/>
          <w:szCs w:val="32"/>
          <w:lang w:val="en-US" w:eastAsia="zh-CN"/>
        </w:rPr>
        <w:t>2.96</w:t>
      </w:r>
      <w:r>
        <w:rPr>
          <w:rFonts w:hint="default" w:ascii="Times New Roman" w:hAnsi="Times New Roman" w:eastAsia="仿宋_GB2312" w:cs="Times New Roman"/>
          <w:color w:val="auto"/>
          <w:sz w:val="32"/>
          <w:szCs w:val="32"/>
        </w:rPr>
        <w:t>万元。</w:t>
      </w:r>
    </w:p>
    <w:p w14:paraId="657F5A9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公用经费</w:t>
      </w:r>
      <w:r>
        <w:rPr>
          <w:rFonts w:hint="default" w:ascii="Times New Roman" w:hAnsi="Times New Roman" w:eastAsia="仿宋_GB2312" w:cs="Times New Roman"/>
          <w:color w:val="auto"/>
          <w:sz w:val="32"/>
          <w:szCs w:val="32"/>
          <w:lang w:val="en-US" w:eastAsia="zh-CN"/>
        </w:rPr>
        <w:t>20.69</w:t>
      </w:r>
      <w:r>
        <w:rPr>
          <w:rFonts w:hint="default" w:ascii="Times New Roman" w:hAnsi="Times New Roman" w:eastAsia="仿宋_GB2312" w:cs="Times New Roman"/>
          <w:color w:val="auto"/>
          <w:sz w:val="32"/>
          <w:szCs w:val="32"/>
        </w:rPr>
        <w:t>万元，主要包括：办公费</w:t>
      </w:r>
      <w:r>
        <w:rPr>
          <w:rFonts w:hint="default" w:ascii="Times New Roman" w:hAnsi="Times New Roman" w:eastAsia="仿宋_GB2312" w:cs="Times New Roman"/>
          <w:color w:val="auto"/>
          <w:sz w:val="32"/>
          <w:szCs w:val="32"/>
          <w:lang w:val="en-US" w:eastAsia="zh-CN"/>
        </w:rPr>
        <w:t>8.8</w:t>
      </w:r>
      <w:r>
        <w:rPr>
          <w:rFonts w:hint="default" w:ascii="Times New Roman" w:hAnsi="Times New Roman" w:eastAsia="仿宋_GB2312" w:cs="Times New Roman"/>
          <w:color w:val="auto"/>
          <w:sz w:val="32"/>
          <w:szCs w:val="32"/>
        </w:rPr>
        <w:t>万元、</w:t>
      </w:r>
      <w:r>
        <w:rPr>
          <w:rFonts w:hint="default" w:ascii="Times New Roman" w:hAnsi="Times New Roman" w:eastAsia="仿宋_GB2312" w:cs="Times New Roman"/>
          <w:color w:val="auto"/>
          <w:sz w:val="32"/>
          <w:szCs w:val="32"/>
          <w:lang w:eastAsia="zh-CN"/>
        </w:rPr>
        <w:t>电费</w:t>
      </w:r>
      <w:r>
        <w:rPr>
          <w:rFonts w:hint="default" w:ascii="Times New Roman" w:hAnsi="Times New Roman" w:eastAsia="仿宋_GB2312" w:cs="Times New Roman"/>
          <w:color w:val="auto"/>
          <w:sz w:val="32"/>
          <w:szCs w:val="32"/>
          <w:lang w:val="en-US" w:eastAsia="zh-CN"/>
        </w:rPr>
        <w:t>1.5万元、</w:t>
      </w:r>
      <w:r>
        <w:rPr>
          <w:rFonts w:hint="default" w:ascii="Times New Roman" w:hAnsi="Times New Roman" w:eastAsia="仿宋_GB2312" w:cs="Times New Roman"/>
          <w:color w:val="auto"/>
          <w:sz w:val="32"/>
          <w:szCs w:val="32"/>
        </w:rPr>
        <w:t>邮电费</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万元、差旅费</w:t>
      </w: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rPr>
        <w:t>万元</w:t>
      </w:r>
      <w:r>
        <w:rPr>
          <w:rFonts w:hint="default" w:ascii="Times New Roman" w:hAnsi="Times New Roman" w:eastAsia="仿宋_GB2312" w:cs="Times New Roman"/>
          <w:color w:val="auto"/>
          <w:sz w:val="32"/>
          <w:szCs w:val="32"/>
          <w:lang w:eastAsia="zh-CN"/>
        </w:rPr>
        <w:t>、福利费</w:t>
      </w:r>
      <w:r>
        <w:rPr>
          <w:rFonts w:hint="default" w:ascii="Times New Roman" w:hAnsi="Times New Roman" w:eastAsia="仿宋_GB2312" w:cs="Times New Roman"/>
          <w:color w:val="auto"/>
          <w:sz w:val="32"/>
          <w:szCs w:val="32"/>
          <w:lang w:val="en-US" w:eastAsia="zh-CN"/>
        </w:rPr>
        <w:t>2.67万元、其他商品福利支出2.72万元</w:t>
      </w:r>
      <w:r>
        <w:rPr>
          <w:rFonts w:hint="default" w:ascii="Times New Roman" w:hAnsi="Times New Roman" w:eastAsia="仿宋_GB2312" w:cs="Times New Roman"/>
          <w:color w:val="auto"/>
          <w:sz w:val="32"/>
          <w:szCs w:val="32"/>
        </w:rPr>
        <w:t>。</w:t>
      </w:r>
    </w:p>
    <w:p w14:paraId="65281A4B">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1"/>
        <w:rPr>
          <w:rStyle w:val="32"/>
          <w:rFonts w:hint="default" w:ascii="Times New Roman" w:hAnsi="Times New Roman" w:eastAsia="黑体" w:cs="Times New Roman"/>
          <w:b w:val="0"/>
          <w:color w:val="auto"/>
          <w:highlight w:val="none"/>
        </w:rPr>
      </w:pPr>
      <w:bookmarkStart w:id="63" w:name="_Toc7150"/>
      <w:bookmarkStart w:id="64" w:name="_Toc25827"/>
      <w:r>
        <w:rPr>
          <w:rFonts w:hint="default" w:ascii="Times New Roman" w:hAnsi="Times New Roman" w:eastAsia="黑体" w:cs="Times New Roman"/>
          <w:color w:val="auto"/>
          <w:sz w:val="32"/>
          <w:szCs w:val="32"/>
          <w:highlight w:val="none"/>
        </w:rPr>
        <w:t>七、</w:t>
      </w:r>
      <w:r>
        <w:rPr>
          <w:rStyle w:val="32"/>
          <w:rFonts w:hint="default" w:ascii="Times New Roman" w:hAnsi="Times New Roman" w:eastAsia="黑体" w:cs="Times New Roman"/>
          <w:b w:val="0"/>
          <w:color w:val="auto"/>
          <w:highlight w:val="none"/>
        </w:rPr>
        <w:t>财政拨款</w:t>
      </w:r>
      <w:r>
        <w:rPr>
          <w:rStyle w:val="32"/>
          <w:rFonts w:hint="default" w:ascii="Times New Roman" w:hAnsi="Times New Roman" w:eastAsia="黑体" w:cs="Times New Roman"/>
          <w:color w:val="auto"/>
          <w:highlight w:val="none"/>
        </w:rPr>
        <w:t>“</w:t>
      </w:r>
      <w:r>
        <w:rPr>
          <w:rStyle w:val="32"/>
          <w:rFonts w:hint="default" w:ascii="Times New Roman" w:hAnsi="Times New Roman" w:eastAsia="黑体" w:cs="Times New Roman"/>
          <w:b w:val="0"/>
          <w:color w:val="auto"/>
          <w:highlight w:val="none"/>
        </w:rPr>
        <w:t>三公”经费支出决算情况说明</w:t>
      </w:r>
      <w:bookmarkEnd w:id="61"/>
      <w:bookmarkEnd w:id="62"/>
      <w:bookmarkEnd w:id="63"/>
      <w:bookmarkEnd w:id="64"/>
    </w:p>
    <w:p w14:paraId="4647B3E3">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65" w:name="_Toc15377216"/>
      <w:r>
        <w:rPr>
          <w:rFonts w:hint="default" w:ascii="Times New Roman" w:hAnsi="Times New Roman" w:eastAsia="楷体_GB2312" w:cs="Times New Roman"/>
          <w:b/>
          <w:color w:val="auto"/>
          <w:sz w:val="32"/>
          <w:szCs w:val="32"/>
          <w:highlight w:val="none"/>
        </w:rPr>
        <w:t>（一）“三公”经费财政拨款支出决算总体情况说明</w:t>
      </w:r>
      <w:bookmarkEnd w:id="65"/>
    </w:p>
    <w:p w14:paraId="0DA4893F">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2025年度“三公”经费财政拨款支出决算为0万元</w:t>
      </w:r>
      <w:r>
        <w:rPr>
          <w:rFonts w:hint="eastAsia" w:eastAsia="仿宋_GB2312" w:cs="Times New Roman"/>
          <w:color w:val="auto"/>
          <w:kern w:val="2"/>
          <w:sz w:val="32"/>
          <w:szCs w:val="32"/>
          <w:highlight w:val="none"/>
          <w:lang w:val="en-US" w:eastAsia="zh-CN" w:bidi="ar-SA"/>
        </w:rPr>
        <w:t>，完成预算0%。</w:t>
      </w:r>
    </w:p>
    <w:p w14:paraId="14790AF7">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66" w:name="_Toc15377217"/>
      <w:r>
        <w:rPr>
          <w:rFonts w:hint="default" w:ascii="Times New Roman" w:hAnsi="Times New Roman" w:eastAsia="楷体_GB2312" w:cs="Times New Roman"/>
          <w:b/>
          <w:color w:val="auto"/>
          <w:sz w:val="32"/>
          <w:szCs w:val="32"/>
          <w:highlight w:val="none"/>
        </w:rPr>
        <w:t>（二）“三公”经费财政拨款支出决算具体情况说明</w:t>
      </w:r>
      <w:bookmarkEnd w:id="66"/>
    </w:p>
    <w:p w14:paraId="68DA4487">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eastAsia"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2025年度“三公”经费财政拨款支出0万元</w:t>
      </w:r>
      <w:r>
        <w:rPr>
          <w:rFonts w:hint="eastAsia" w:eastAsia="仿宋_GB2312" w:cs="Times New Roman"/>
          <w:color w:val="auto"/>
          <w:kern w:val="2"/>
          <w:sz w:val="32"/>
          <w:szCs w:val="32"/>
          <w:highlight w:val="none"/>
          <w:lang w:val="en-US" w:eastAsia="zh-CN" w:bidi="ar-SA"/>
        </w:rPr>
        <w:t>，完成预算0%。</w:t>
      </w:r>
    </w:p>
    <w:p w14:paraId="4E9F0B45">
      <w:pPr>
        <w:rPr>
          <w:rFonts w:hint="eastAsia" w:eastAsia="仿宋_GB2312" w:cs="Times New Roman"/>
          <w:color w:val="auto"/>
          <w:kern w:val="2"/>
          <w:sz w:val="32"/>
          <w:szCs w:val="32"/>
          <w:highlight w:val="none"/>
          <w:lang w:val="en-US" w:eastAsia="zh-CN" w:bidi="ar-SA"/>
        </w:rPr>
      </w:pPr>
    </w:p>
    <w:p w14:paraId="20D5D996">
      <w:pPr>
        <w:pStyle w:val="2"/>
        <w:rPr>
          <w:rFonts w:hint="eastAsia" w:eastAsia="仿宋_GB2312" w:cs="Times New Roman"/>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pict>
          <v:shape id="Object 1" o:spid="_x0000_s1026" o:spt="75" type="#_x0000_t75" style="position:absolute;left:0pt;margin-left:6.95pt;margin-top:-20.2pt;height:269.85pt;width:512.5pt;z-index:251665408;mso-width-relative:page;mso-height-relative:page;" o:ole="t" filled="f" o:preferrelative="t" stroked="f" coordsize="21600,21600">
            <v:path/>
            <v:fill on="f" focussize="0,0"/>
            <v:stroke on="f"/>
            <v:imagedata r:id="rId16" o:title="oleetimg_1787712838152995_367288290304"/>
            <o:lock v:ext="edit" aspectratio="f"/>
          </v:shape>
          <o:OLEObject Type="Embed" ProgID="Excel.Sheet.8" ShapeID="Object 1" DrawAspect="Content" ObjectID="_1468075725" r:id="rId15">
            <o:LockedField>false</o:LockedField>
          </o:OLEObject>
        </w:pict>
      </w:r>
    </w:p>
    <w:p w14:paraId="4E4A7465">
      <w:pPr>
        <w:rPr>
          <w:rFonts w:hint="eastAsia" w:eastAsia="仿宋_GB2312" w:cs="Times New Roman"/>
          <w:color w:val="auto"/>
          <w:kern w:val="2"/>
          <w:sz w:val="32"/>
          <w:szCs w:val="32"/>
          <w:highlight w:val="none"/>
          <w:lang w:val="en-US" w:eastAsia="zh-CN" w:bidi="ar-SA"/>
        </w:rPr>
      </w:pPr>
    </w:p>
    <w:p w14:paraId="713F37C5">
      <w:pPr>
        <w:pStyle w:val="2"/>
        <w:rPr>
          <w:rFonts w:hint="eastAsia" w:eastAsia="仿宋_GB2312" w:cs="Times New Roman"/>
          <w:color w:val="auto"/>
          <w:kern w:val="2"/>
          <w:sz w:val="32"/>
          <w:szCs w:val="32"/>
          <w:highlight w:val="none"/>
          <w:lang w:val="en-US" w:eastAsia="zh-CN" w:bidi="ar-SA"/>
        </w:rPr>
      </w:pPr>
    </w:p>
    <w:p w14:paraId="6D4E60A4">
      <w:pPr>
        <w:rPr>
          <w:rFonts w:hint="eastAsia" w:eastAsia="仿宋_GB2312" w:cs="Times New Roman"/>
          <w:color w:val="auto"/>
          <w:kern w:val="2"/>
          <w:sz w:val="32"/>
          <w:szCs w:val="32"/>
          <w:highlight w:val="none"/>
          <w:lang w:val="en-US" w:eastAsia="zh-CN" w:bidi="ar-SA"/>
        </w:rPr>
      </w:pPr>
    </w:p>
    <w:p w14:paraId="641C75C3">
      <w:pPr>
        <w:pStyle w:val="2"/>
        <w:rPr>
          <w:rFonts w:hint="eastAsia" w:eastAsia="仿宋_GB2312" w:cs="Times New Roman"/>
          <w:color w:val="auto"/>
          <w:kern w:val="2"/>
          <w:sz w:val="32"/>
          <w:szCs w:val="32"/>
          <w:highlight w:val="none"/>
          <w:lang w:val="en-US" w:eastAsia="zh-CN" w:bidi="ar-SA"/>
        </w:rPr>
      </w:pPr>
    </w:p>
    <w:p w14:paraId="28BE9195">
      <w:pPr>
        <w:rPr>
          <w:rFonts w:hint="eastAsia" w:eastAsia="仿宋_GB2312" w:cs="Times New Roman"/>
          <w:color w:val="auto"/>
          <w:kern w:val="2"/>
          <w:sz w:val="32"/>
          <w:szCs w:val="32"/>
          <w:highlight w:val="none"/>
          <w:lang w:val="en-US" w:eastAsia="zh-CN" w:bidi="ar-SA"/>
        </w:rPr>
      </w:pPr>
    </w:p>
    <w:p w14:paraId="14E39C45">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color w:val="000000"/>
          <w:sz w:val="32"/>
          <w:szCs w:val="32"/>
          <w:lang w:val="en-US" w:eastAsia="zh-CN"/>
        </w:rPr>
        <w:t>1.</w:t>
      </w:r>
      <w:r>
        <w:rPr>
          <w:rFonts w:hint="default" w:ascii="Times New Roman" w:hAnsi="Times New Roman" w:eastAsia="仿宋_GB2312" w:cs="Times New Roman"/>
          <w:b/>
          <w:bCs/>
          <w:color w:val="000000"/>
          <w:sz w:val="32"/>
          <w:szCs w:val="32"/>
        </w:rPr>
        <w:t>因公出国（境）经费支出</w:t>
      </w:r>
      <w:r>
        <w:rPr>
          <w:rFonts w:hint="default" w:ascii="Times New Roman" w:hAnsi="Times New Roman" w:eastAsia="仿宋_GB2312" w:cs="Times New Roman"/>
          <w:b/>
          <w:bCs/>
          <w:color w:val="000000"/>
          <w:sz w:val="32"/>
          <w:szCs w:val="32"/>
          <w:lang w:eastAsia="zh-CN"/>
        </w:rPr>
        <w:t>0万元</w:t>
      </w:r>
      <w:r>
        <w:rPr>
          <w:rFonts w:hint="eastAsia" w:eastAsia="仿宋_GB2312" w:cs="Times New Roman"/>
          <w:b/>
          <w:bCs/>
          <w:color w:val="000000"/>
          <w:sz w:val="32"/>
          <w:szCs w:val="32"/>
          <w:lang w:eastAsia="zh-CN"/>
        </w:rPr>
        <w:t>，完成预算</w:t>
      </w:r>
      <w:r>
        <w:rPr>
          <w:rFonts w:hint="eastAsia" w:eastAsia="仿宋_GB2312" w:cs="Times New Roman"/>
          <w:b/>
          <w:bCs/>
          <w:color w:val="000000"/>
          <w:sz w:val="32"/>
          <w:szCs w:val="32"/>
          <w:lang w:val="en-US" w:eastAsia="zh-CN"/>
        </w:rPr>
        <w:t>0%。</w:t>
      </w:r>
    </w:p>
    <w:p w14:paraId="1BFB253B">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2.公务用车购置及运行维护费支出0万元</w:t>
      </w:r>
      <w:r>
        <w:rPr>
          <w:rFonts w:hint="eastAsia" w:eastAsia="仿宋_GB2312" w:cs="Times New Roman"/>
          <w:b/>
          <w:bCs/>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完成预算0%。</w:t>
      </w:r>
    </w:p>
    <w:p w14:paraId="0B135893">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default" w:ascii="Times New Roman" w:hAnsi="Times New Roman" w:eastAsia="仿宋_GB2312" w:cs="Times New Roman"/>
          <w:color w:val="000000"/>
          <w:sz w:val="32"/>
          <w:u w:color="auto"/>
          <w:lang w:val="en-US"/>
        </w:rPr>
      </w:pPr>
      <w:r>
        <w:rPr>
          <w:rFonts w:hint="default" w:ascii="Times New Roman" w:hAnsi="Times New Roman" w:eastAsia="仿宋_GB2312" w:cs="Times New Roman"/>
          <w:b/>
          <w:bCs/>
          <w:color w:val="000000"/>
          <w:sz w:val="32"/>
          <w:szCs w:val="32"/>
        </w:rPr>
        <w:t>公务用车运行维护费支出</w:t>
      </w:r>
      <w:r>
        <w:rPr>
          <w:rFonts w:hint="default" w:ascii="Times New Roman" w:hAnsi="Times New Roman" w:eastAsia="仿宋_GB2312" w:cs="Times New Roman"/>
          <w:b/>
          <w:bCs/>
          <w:sz w:val="32"/>
          <w:szCs w:val="32"/>
          <w:lang w:val="en-US" w:eastAsia="zh-CN"/>
        </w:rPr>
        <w:t>0</w:t>
      </w:r>
      <w:r>
        <w:rPr>
          <w:rFonts w:hint="default" w:ascii="Times New Roman" w:hAnsi="Times New Roman" w:eastAsia="仿宋_GB2312" w:cs="Times New Roman"/>
          <w:b/>
          <w:bCs/>
          <w:color w:val="auto"/>
          <w:kern w:val="2"/>
          <w:sz w:val="32"/>
          <w:szCs w:val="32"/>
          <w:highlight w:val="none"/>
          <w:lang w:val="en-US" w:eastAsia="zh-CN" w:bidi="ar-SA"/>
        </w:rPr>
        <w:t>万元</w:t>
      </w:r>
      <w:r>
        <w:rPr>
          <w:rFonts w:hint="eastAsia" w:eastAsia="仿宋_GB2312" w:cs="Times New Roman"/>
          <w:b/>
          <w:bCs/>
          <w:color w:val="auto"/>
          <w:kern w:val="2"/>
          <w:sz w:val="32"/>
          <w:szCs w:val="32"/>
          <w:highlight w:val="none"/>
          <w:lang w:val="en-US" w:eastAsia="zh-CN" w:bidi="ar-SA"/>
        </w:rPr>
        <w:t>，完成预算0%。</w:t>
      </w:r>
    </w:p>
    <w:p w14:paraId="1AB4CE94">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Chars="200" w:firstLine="321" w:firstLineChars="100"/>
        <w:textAlignment w:val="auto"/>
        <w:outlineLvl w:val="1"/>
        <w:rPr>
          <w:rFonts w:hint="default" w:ascii="Times New Roman" w:hAnsi="Times New Roman" w:cs="Times New Roman"/>
          <w:lang w:val="en-US"/>
        </w:rPr>
      </w:pPr>
      <w:r>
        <w:rPr>
          <w:rFonts w:hint="default" w:ascii="Times New Roman" w:hAnsi="Times New Roman" w:eastAsia="仿宋_GB2312" w:cs="Times New Roman"/>
          <w:b/>
          <w:bCs/>
          <w:color w:val="auto"/>
          <w:kern w:val="2"/>
          <w:sz w:val="32"/>
          <w:szCs w:val="32"/>
          <w:highlight w:val="none"/>
          <w:lang w:val="en-US" w:eastAsia="zh-CN" w:bidi="ar-SA"/>
        </w:rPr>
        <w:t>3.公务接待费支出0万元</w:t>
      </w:r>
      <w:bookmarkStart w:id="67" w:name="_Toc15396610"/>
      <w:bookmarkStart w:id="68" w:name="_Toc15377218"/>
      <w:r>
        <w:rPr>
          <w:rFonts w:hint="eastAsia" w:eastAsia="仿宋_GB2312" w:cs="Times New Roman"/>
          <w:b/>
          <w:bCs/>
          <w:color w:val="auto"/>
          <w:kern w:val="2"/>
          <w:sz w:val="32"/>
          <w:szCs w:val="32"/>
          <w:highlight w:val="none"/>
          <w:lang w:val="en-US" w:eastAsia="zh-CN" w:bidi="ar-SA"/>
        </w:rPr>
        <w:t>，完成预算0%。</w:t>
      </w:r>
    </w:p>
    <w:p w14:paraId="02DC714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Style w:val="32"/>
          <w:rFonts w:hint="default" w:ascii="Times New Roman" w:hAnsi="Times New Roman" w:eastAsia="黑体" w:cs="Times New Roman"/>
          <w:color w:val="auto"/>
          <w:highlight w:val="none"/>
        </w:rPr>
      </w:pPr>
      <w:bookmarkStart w:id="69" w:name="_Toc11768"/>
      <w:bookmarkStart w:id="70" w:name="_Toc25249"/>
      <w:r>
        <w:rPr>
          <w:rFonts w:hint="default" w:ascii="Times New Roman" w:hAnsi="Times New Roman" w:eastAsia="黑体" w:cs="Times New Roman"/>
          <w:color w:val="auto"/>
          <w:sz w:val="32"/>
          <w:szCs w:val="32"/>
          <w:highlight w:val="none"/>
        </w:rPr>
        <w:t>八、</w:t>
      </w:r>
      <w:r>
        <w:rPr>
          <w:rStyle w:val="32"/>
          <w:rFonts w:hint="default" w:ascii="Times New Roman" w:hAnsi="Times New Roman" w:eastAsia="黑体" w:cs="Times New Roman"/>
          <w:b w:val="0"/>
          <w:color w:val="auto"/>
          <w:highlight w:val="none"/>
        </w:rPr>
        <w:t>政府性基金预算支出决算情况说明</w:t>
      </w:r>
      <w:bookmarkEnd w:id="67"/>
      <w:bookmarkEnd w:id="68"/>
      <w:bookmarkEnd w:id="69"/>
      <w:bookmarkEnd w:id="70"/>
    </w:p>
    <w:p w14:paraId="01A7BB87">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2025年度政府性基金预算财政拨款支出0万元。</w:t>
      </w:r>
    </w:p>
    <w:p w14:paraId="48EC77C1">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630" w:leftChars="0"/>
        <w:textAlignment w:val="auto"/>
        <w:outlineLvl w:val="1"/>
        <w:rPr>
          <w:rStyle w:val="32"/>
          <w:rFonts w:hint="default" w:ascii="Times New Roman" w:hAnsi="Times New Roman" w:eastAsia="黑体" w:cs="Times New Roman"/>
          <w:b w:val="0"/>
          <w:color w:val="auto"/>
          <w:highlight w:val="none"/>
        </w:rPr>
      </w:pPr>
      <w:bookmarkStart w:id="71" w:name="_Toc14297"/>
      <w:bookmarkStart w:id="72" w:name="_Toc15377219"/>
      <w:bookmarkStart w:id="73" w:name="_Toc24735"/>
      <w:bookmarkStart w:id="74" w:name="_Toc15396611"/>
      <w:r>
        <w:rPr>
          <w:rStyle w:val="32"/>
          <w:rFonts w:hint="default" w:ascii="Times New Roman" w:hAnsi="Times New Roman" w:eastAsia="黑体" w:cs="Times New Roman"/>
          <w:b w:val="0"/>
          <w:color w:val="auto"/>
          <w:highlight w:val="none"/>
          <w:lang w:eastAsia="zh-CN"/>
        </w:rPr>
        <w:t>九、</w:t>
      </w:r>
      <w:r>
        <w:rPr>
          <w:rStyle w:val="32"/>
          <w:rFonts w:hint="default" w:ascii="Times New Roman" w:hAnsi="Times New Roman" w:eastAsia="黑体" w:cs="Times New Roman"/>
          <w:b w:val="0"/>
          <w:color w:val="auto"/>
          <w:highlight w:val="none"/>
        </w:rPr>
        <w:t>国有资本经营预算支出决算情况说明</w:t>
      </w:r>
      <w:bookmarkEnd w:id="71"/>
      <w:bookmarkEnd w:id="72"/>
      <w:bookmarkEnd w:id="73"/>
      <w:bookmarkEnd w:id="74"/>
    </w:p>
    <w:p w14:paraId="1DD69029">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2025年度国有资本经营预算财政拨款支出0万元。</w:t>
      </w:r>
    </w:p>
    <w:p w14:paraId="37343906">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630" w:leftChars="0"/>
        <w:textAlignment w:val="auto"/>
        <w:outlineLvl w:val="1"/>
        <w:rPr>
          <w:rStyle w:val="32"/>
          <w:rFonts w:hint="default" w:ascii="Times New Roman" w:hAnsi="Times New Roman" w:eastAsia="黑体" w:cs="Times New Roman"/>
          <w:b w:val="0"/>
          <w:color w:val="auto"/>
          <w:highlight w:val="none"/>
        </w:rPr>
      </w:pPr>
      <w:bookmarkStart w:id="75" w:name="_Toc9112"/>
      <w:bookmarkStart w:id="76" w:name="_Toc15396612"/>
      <w:bookmarkStart w:id="77" w:name="_Toc15377221"/>
      <w:bookmarkStart w:id="78" w:name="_Toc1030"/>
      <w:r>
        <w:rPr>
          <w:rStyle w:val="32"/>
          <w:rFonts w:hint="default" w:ascii="Times New Roman" w:hAnsi="Times New Roman" w:eastAsia="黑体" w:cs="Times New Roman"/>
          <w:b w:val="0"/>
          <w:color w:val="auto"/>
          <w:highlight w:val="none"/>
          <w:lang w:eastAsia="zh-CN"/>
        </w:rPr>
        <w:t>十、</w:t>
      </w:r>
      <w:r>
        <w:rPr>
          <w:rStyle w:val="32"/>
          <w:rFonts w:hint="default" w:ascii="Times New Roman" w:hAnsi="Times New Roman" w:eastAsia="黑体" w:cs="Times New Roman"/>
          <w:b w:val="0"/>
          <w:color w:val="auto"/>
          <w:highlight w:val="none"/>
        </w:rPr>
        <w:t>其他重要事项的情况说明</w:t>
      </w:r>
      <w:bookmarkEnd w:id="75"/>
      <w:bookmarkEnd w:id="76"/>
      <w:bookmarkEnd w:id="77"/>
      <w:bookmarkEnd w:id="78"/>
    </w:p>
    <w:p w14:paraId="2ADE27A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79" w:name="_Toc15377222"/>
      <w:r>
        <w:rPr>
          <w:rFonts w:hint="default" w:ascii="Times New Roman" w:hAnsi="Times New Roman" w:eastAsia="楷体_GB2312" w:cs="Times New Roman"/>
          <w:b/>
          <w:color w:val="auto"/>
          <w:sz w:val="32"/>
          <w:szCs w:val="32"/>
          <w:highlight w:val="none"/>
        </w:rPr>
        <w:t>（一）机关运行经费支出情况</w:t>
      </w:r>
      <w:bookmarkEnd w:id="79"/>
    </w:p>
    <w:p w14:paraId="023E66BC">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sz w:val="32"/>
          <w:szCs w:val="32"/>
        </w:rPr>
        <w:t>四川省阿坝藏族羌族自治州</w:t>
      </w:r>
      <w:r>
        <w:rPr>
          <w:rFonts w:hint="default" w:ascii="Times New Roman" w:hAnsi="Times New Roman" w:eastAsia="仿宋_GB2312" w:cs="Times New Roman"/>
          <w:sz w:val="32"/>
          <w:szCs w:val="32"/>
          <w:lang w:eastAsia="zh-CN"/>
        </w:rPr>
        <w:t>茂县渭门</w:t>
      </w:r>
      <w:r>
        <w:rPr>
          <w:rFonts w:hint="default" w:ascii="Times New Roman" w:hAnsi="Times New Roman" w:eastAsia="仿宋_GB2312" w:cs="Times New Roman"/>
          <w:sz w:val="32"/>
          <w:szCs w:val="32"/>
        </w:rPr>
        <w:t>镇人民政府</w:t>
      </w:r>
      <w:r>
        <w:rPr>
          <w:rFonts w:hint="default" w:ascii="Times New Roman" w:hAnsi="Times New Roman" w:eastAsia="仿宋_GB2312" w:cs="Times New Roman"/>
          <w:color w:val="auto"/>
          <w:kern w:val="2"/>
          <w:sz w:val="32"/>
          <w:szCs w:val="32"/>
          <w:highlight w:val="none"/>
          <w:lang w:val="en-US" w:eastAsia="zh-CN" w:bidi="ar-SA"/>
        </w:rPr>
        <w:t>机关运行经费支出</w:t>
      </w:r>
      <w:r>
        <w:rPr>
          <w:rFonts w:hint="default" w:ascii="Times New Roman" w:hAnsi="Times New Roman" w:eastAsia="仿宋_GB2312" w:cs="Times New Roman"/>
          <w:sz w:val="32"/>
          <w:szCs w:val="32"/>
          <w:lang w:val="en-US" w:eastAsia="zh-CN"/>
        </w:rPr>
        <w:t>20.69</w:t>
      </w:r>
      <w:r>
        <w:rPr>
          <w:rFonts w:hint="default" w:ascii="Times New Roman" w:hAnsi="Times New Roman" w:eastAsia="仿宋_GB2312" w:cs="Times New Roman"/>
          <w:color w:val="auto"/>
          <w:kern w:val="2"/>
          <w:sz w:val="32"/>
          <w:szCs w:val="32"/>
          <w:highlight w:val="none"/>
          <w:lang w:val="en-US" w:eastAsia="zh-CN" w:bidi="ar-SA"/>
        </w:rPr>
        <w:t>万元，比2024年度增加5.85万元，增加39.42%。主要原因是</w:t>
      </w:r>
      <w:r>
        <w:rPr>
          <w:rFonts w:hint="default" w:ascii="Times New Roman" w:hAnsi="Times New Roman" w:eastAsia="仿宋_GB2312" w:cs="Times New Roman"/>
          <w:color w:val="000000"/>
          <w:sz w:val="32"/>
          <w:u w:color="auto"/>
        </w:rPr>
        <w:t>主要原因是</w:t>
      </w:r>
      <w:r>
        <w:rPr>
          <w:rFonts w:hint="default" w:ascii="Times New Roman" w:hAnsi="Times New Roman" w:eastAsia="仿宋_GB2312" w:cs="Times New Roman"/>
          <w:color w:val="000000"/>
          <w:sz w:val="32"/>
          <w:u w:color="auto"/>
          <w:lang w:eastAsia="zh-CN"/>
        </w:rPr>
        <w:t>：</w:t>
      </w:r>
      <w:r>
        <w:rPr>
          <w:rFonts w:hint="default" w:ascii="Times New Roman" w:hAnsi="Times New Roman" w:eastAsia="仿宋_GB2312" w:cs="Times New Roman"/>
          <w:color w:val="000000"/>
          <w:sz w:val="32"/>
          <w:u w:color="auto"/>
        </w:rPr>
        <w:t>我镇工作经费支出</w:t>
      </w:r>
      <w:r>
        <w:rPr>
          <w:rFonts w:hint="default" w:ascii="Times New Roman" w:hAnsi="Times New Roman" w:eastAsia="仿宋_GB2312" w:cs="Times New Roman"/>
          <w:color w:val="000000"/>
          <w:sz w:val="32"/>
          <w:u w:color="auto"/>
          <w:lang w:eastAsia="zh-CN"/>
        </w:rPr>
        <w:t>增加</w:t>
      </w:r>
      <w:r>
        <w:rPr>
          <w:rFonts w:hint="default" w:ascii="Times New Roman" w:hAnsi="Times New Roman" w:eastAsia="仿宋_GB2312" w:cs="Times New Roman"/>
          <w:color w:val="000000"/>
          <w:sz w:val="32"/>
          <w:u w:color="auto"/>
        </w:rPr>
        <w:t>。</w:t>
      </w:r>
    </w:p>
    <w:p w14:paraId="04F0A4D8">
      <w:pPr>
        <w:keepNext w:val="0"/>
        <w:keepLines w:val="0"/>
        <w:pageBreakBefore w:val="0"/>
        <w:widowControl w:val="0"/>
        <w:tabs>
          <w:tab w:val="left" w:pos="8556"/>
        </w:tabs>
        <w:kinsoku/>
        <w:wordWrap/>
        <w:overflowPunct/>
        <w:topLinePunct w:val="0"/>
        <w:autoSpaceDE/>
        <w:autoSpaceDN/>
        <w:bidi w:val="0"/>
        <w:adjustRightInd/>
        <w:snapToGrid/>
        <w:spacing w:line="576" w:lineRule="exact"/>
        <w:ind w:firstLine="643" w:firstLineChars="200"/>
        <w:textAlignment w:val="auto"/>
        <w:outlineLvl w:val="2"/>
        <w:rPr>
          <w:rFonts w:hint="default" w:ascii="Times New Roman" w:hAnsi="Times New Roman" w:eastAsia="楷体_GB2312" w:cs="Times New Roman"/>
          <w:b/>
          <w:color w:val="auto"/>
          <w:sz w:val="32"/>
          <w:szCs w:val="32"/>
          <w:highlight w:val="none"/>
          <w:lang w:eastAsia="zh-CN"/>
        </w:rPr>
      </w:pPr>
      <w:bookmarkStart w:id="80" w:name="_Toc15377223"/>
      <w:r>
        <w:rPr>
          <w:rFonts w:hint="default" w:ascii="Times New Roman" w:hAnsi="Times New Roman" w:eastAsia="楷体_GB2312" w:cs="Times New Roman"/>
          <w:b/>
          <w:color w:val="auto"/>
          <w:sz w:val="32"/>
          <w:szCs w:val="32"/>
          <w:highlight w:val="none"/>
        </w:rPr>
        <w:t>（二）政府采购支出情况</w:t>
      </w:r>
      <w:bookmarkEnd w:id="80"/>
      <w:r>
        <w:rPr>
          <w:rFonts w:hint="default" w:ascii="Times New Roman" w:hAnsi="Times New Roman" w:eastAsia="楷体_GB2312" w:cs="Times New Roman"/>
          <w:b/>
          <w:color w:val="auto"/>
          <w:sz w:val="32"/>
          <w:szCs w:val="32"/>
          <w:highlight w:val="none"/>
          <w:lang w:eastAsia="zh-CN"/>
        </w:rPr>
        <w:tab/>
      </w:r>
    </w:p>
    <w:p w14:paraId="738325DA">
      <w:pPr>
        <w:keepNext w:val="0"/>
        <w:keepLines w:val="0"/>
        <w:pageBreakBefore w:val="0"/>
        <w:widowControl w:val="0"/>
        <w:kinsoku/>
        <w:wordWrap/>
        <w:overflowPunct/>
        <w:topLinePunct w:val="0"/>
        <w:autoSpaceDE/>
        <w:autoSpaceDN/>
        <w:bidi w:val="0"/>
        <w:adjustRightInd/>
        <w:snapToGrid/>
        <w:spacing w:line="576" w:lineRule="exact"/>
        <w:ind w:firstLine="960" w:firstLineChars="3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2025年度无政府采购。</w:t>
      </w:r>
    </w:p>
    <w:p w14:paraId="631ABAE8">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81" w:name="_Toc15377224"/>
      <w:r>
        <w:rPr>
          <w:rFonts w:hint="default" w:ascii="Times New Roman" w:hAnsi="Times New Roman" w:eastAsia="楷体_GB2312" w:cs="Times New Roman"/>
          <w:b/>
          <w:color w:val="auto"/>
          <w:sz w:val="32"/>
          <w:szCs w:val="32"/>
          <w:highlight w:val="none"/>
        </w:rPr>
        <w:t>（三）国有资产占有使用情况</w:t>
      </w:r>
      <w:bookmarkEnd w:id="81"/>
    </w:p>
    <w:p w14:paraId="3CBD761B">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截至2025年12月31日，</w:t>
      </w:r>
      <w:r>
        <w:rPr>
          <w:rFonts w:hint="default" w:ascii="Times New Roman" w:hAnsi="Times New Roman" w:eastAsia="仿宋_GB2312" w:cs="Times New Roman"/>
          <w:sz w:val="32"/>
          <w:szCs w:val="32"/>
        </w:rPr>
        <w:t>四川省阿坝藏族羌族自治州</w:t>
      </w:r>
      <w:r>
        <w:rPr>
          <w:rFonts w:hint="default" w:ascii="Times New Roman" w:hAnsi="Times New Roman" w:eastAsia="仿宋_GB2312" w:cs="Times New Roman"/>
          <w:sz w:val="32"/>
          <w:szCs w:val="32"/>
          <w:lang w:eastAsia="zh-CN"/>
        </w:rPr>
        <w:t>茂县渭门</w:t>
      </w:r>
      <w:r>
        <w:rPr>
          <w:rFonts w:hint="default" w:ascii="Times New Roman" w:hAnsi="Times New Roman" w:eastAsia="仿宋_GB2312" w:cs="Times New Roman"/>
          <w:sz w:val="32"/>
          <w:szCs w:val="32"/>
        </w:rPr>
        <w:t>镇人民政府</w:t>
      </w:r>
      <w:r>
        <w:rPr>
          <w:rFonts w:hint="default" w:ascii="Times New Roman" w:hAnsi="Times New Roman" w:eastAsia="仿宋_GB2312" w:cs="Times New Roman"/>
          <w:sz w:val="32"/>
          <w:szCs w:val="32"/>
          <w:lang w:eastAsia="zh-CN"/>
        </w:rPr>
        <w:t>（本级）</w:t>
      </w:r>
      <w:r>
        <w:rPr>
          <w:rFonts w:hint="default" w:ascii="Times New Roman" w:hAnsi="Times New Roman" w:eastAsia="仿宋_GB2312" w:cs="Times New Roman"/>
          <w:color w:val="auto"/>
          <w:kern w:val="2"/>
          <w:sz w:val="32"/>
          <w:szCs w:val="32"/>
          <w:highlight w:val="none"/>
          <w:lang w:val="en-US" w:eastAsia="zh-CN" w:bidi="ar-SA"/>
        </w:rPr>
        <w:t>共有车辆3辆，其中：主要负责人用车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辆、机要通信用车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辆、应急保障用车</w:t>
      </w:r>
      <w:r>
        <w:rPr>
          <w:rFonts w:hint="default" w:ascii="Times New Roman" w:hAnsi="Times New Roman" w:eastAsia="仿宋_GB2312" w:cs="Times New Roman"/>
          <w:sz w:val="32"/>
          <w:szCs w:val="32"/>
        </w:rPr>
        <w:t>2</w:t>
      </w:r>
      <w:r>
        <w:rPr>
          <w:rFonts w:hint="default" w:ascii="Times New Roman" w:hAnsi="Times New Roman" w:eastAsia="仿宋_GB2312" w:cs="Times New Roman"/>
          <w:color w:val="auto"/>
          <w:kern w:val="2"/>
          <w:sz w:val="32"/>
          <w:szCs w:val="32"/>
          <w:highlight w:val="none"/>
          <w:lang w:val="en-US" w:eastAsia="zh-CN" w:bidi="ar-SA"/>
        </w:rPr>
        <w:t>辆、</w:t>
      </w:r>
      <w:r>
        <w:rPr>
          <w:rFonts w:hint="default" w:ascii="Times New Roman" w:hAnsi="Times New Roman" w:eastAsia="仿宋_GB2312" w:cs="Times New Roman"/>
          <w:color w:val="000000"/>
          <w:sz w:val="32"/>
          <w:szCs w:val="32"/>
        </w:rPr>
        <w:t>其他用车0辆。单价100万元以上专用设备</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不含车辆</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0台（套）。</w:t>
      </w:r>
    </w:p>
    <w:p w14:paraId="52B88801">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（四）预算绩效管理情况</w:t>
      </w:r>
    </w:p>
    <w:p w14:paraId="14AD63BF">
      <w:pPr>
        <w:keepNext w:val="0"/>
        <w:keepLines w:val="0"/>
        <w:pageBreakBefore w:val="0"/>
        <w:widowControl w:val="0"/>
        <w:kinsoku/>
        <w:wordWrap/>
        <w:overflowPunct/>
        <w:topLinePunct w:val="0"/>
        <w:autoSpaceDE/>
        <w:autoSpaceDN/>
        <w:bidi w:val="0"/>
        <w:adjustRightInd/>
        <w:snapToGrid/>
        <w:spacing w:line="576" w:lineRule="exact"/>
        <w:ind w:firstLine="960" w:firstLineChars="300"/>
        <w:textAlignment w:val="auto"/>
        <w:rPr>
          <w:rFonts w:hint="default" w:ascii="Times New Roman" w:hAnsi="Times New Roman" w:eastAsia="黑体" w:cs="Times New Roman"/>
          <w:b w:val="0"/>
          <w:bCs w:val="0"/>
        </w:rPr>
      </w:pPr>
      <w:r>
        <w:rPr>
          <w:rFonts w:hint="default" w:ascii="Times New Roman" w:hAnsi="Times New Roman" w:eastAsia="仿宋_GB2312" w:cs="Times New Roman"/>
          <w:sz w:val="32"/>
          <w:szCs w:val="32"/>
        </w:rPr>
        <w:t>根据预算绩效管理要求，本单位在202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年度（事业）预算编制阶段，组织对0个项目开展了预算事前绩效评估，对0个项目编制了绩效目标，预算执行过程中，选取0个项目开展绩效监控，组织对0个项目开展绩效自评</w:t>
      </w:r>
      <w:bookmarkStart w:id="82" w:name="_Toc111208509"/>
      <w:bookmarkStart w:id="83" w:name="_Toc7186"/>
      <w:bookmarkStart w:id="84" w:name="_Toc30512"/>
      <w:bookmarkStart w:id="85" w:name="_Toc15377226"/>
      <w:r>
        <w:rPr>
          <w:rFonts w:hint="default" w:ascii="Times New Roman" w:hAnsi="Times New Roman" w:eastAsia="仿宋_GB2312" w:cs="Times New Roman"/>
          <w:sz w:val="32"/>
          <w:szCs w:val="32"/>
          <w:lang w:eastAsia="zh-CN"/>
        </w:rPr>
        <w:t>。</w:t>
      </w:r>
    </w:p>
    <w:p w14:paraId="7902E4B1">
      <w:pPr>
        <w:pStyle w:val="3"/>
        <w:jc w:val="center"/>
        <w:rPr>
          <w:rFonts w:hint="default" w:ascii="Times New Roman" w:hAnsi="Times New Roman" w:eastAsia="黑体" w:cs="Times New Roman"/>
          <w:b w:val="0"/>
          <w:bCs w:val="0"/>
        </w:rPr>
      </w:pPr>
    </w:p>
    <w:p w14:paraId="28D24151">
      <w:pPr>
        <w:pStyle w:val="3"/>
        <w:jc w:val="center"/>
        <w:rPr>
          <w:rFonts w:hint="default" w:ascii="Times New Roman" w:hAnsi="Times New Roman" w:eastAsia="黑体" w:cs="Times New Roman"/>
          <w:b w:val="0"/>
          <w:bCs w:val="0"/>
        </w:rPr>
      </w:pPr>
    </w:p>
    <w:p w14:paraId="54CACCDE">
      <w:pPr>
        <w:pStyle w:val="3"/>
        <w:jc w:val="center"/>
        <w:rPr>
          <w:rFonts w:hint="default" w:ascii="Times New Roman" w:hAnsi="Times New Roman" w:eastAsia="黑体" w:cs="Times New Roman"/>
          <w:b w:val="0"/>
          <w:bCs w:val="0"/>
        </w:rPr>
      </w:pPr>
    </w:p>
    <w:p w14:paraId="55324D8A">
      <w:pPr>
        <w:pStyle w:val="3"/>
        <w:jc w:val="center"/>
        <w:rPr>
          <w:rFonts w:hint="default" w:ascii="Times New Roman" w:hAnsi="Times New Roman" w:eastAsia="黑体" w:cs="Times New Roman"/>
          <w:b w:val="0"/>
          <w:bCs w:val="0"/>
        </w:rPr>
      </w:pPr>
    </w:p>
    <w:p w14:paraId="2DD4EF32">
      <w:pPr>
        <w:pStyle w:val="3"/>
        <w:jc w:val="center"/>
        <w:rPr>
          <w:rFonts w:hint="default" w:ascii="Times New Roman" w:hAnsi="Times New Roman" w:eastAsia="黑体" w:cs="Times New Roman"/>
          <w:b w:val="0"/>
          <w:bCs w:val="0"/>
        </w:rPr>
      </w:pPr>
    </w:p>
    <w:p w14:paraId="1395D6CB">
      <w:pPr>
        <w:pStyle w:val="3"/>
        <w:jc w:val="both"/>
        <w:rPr>
          <w:rFonts w:hint="default" w:ascii="Times New Roman" w:hAnsi="Times New Roman" w:eastAsia="黑体" w:cs="Times New Roman"/>
          <w:b w:val="0"/>
          <w:bCs w:val="0"/>
        </w:rPr>
      </w:pPr>
    </w:p>
    <w:p w14:paraId="39EE76C1">
      <w:pPr>
        <w:pStyle w:val="3"/>
        <w:jc w:val="both"/>
        <w:rPr>
          <w:rFonts w:hint="default" w:ascii="Times New Roman" w:hAnsi="Times New Roman" w:eastAsia="黑体" w:cs="Times New Roman"/>
          <w:b w:val="0"/>
          <w:bCs w:val="0"/>
        </w:rPr>
      </w:pPr>
    </w:p>
    <w:p w14:paraId="3ACA0F80">
      <w:pPr>
        <w:rPr>
          <w:rFonts w:hint="default"/>
        </w:rPr>
      </w:pPr>
    </w:p>
    <w:p w14:paraId="0464FEEC">
      <w:pPr>
        <w:pStyle w:val="3"/>
        <w:jc w:val="center"/>
        <w:rPr>
          <w:rFonts w:hint="default" w:ascii="Times New Roman" w:hAnsi="Times New Roman" w:eastAsia="黑体" w:cs="Times New Roman"/>
          <w:b w:val="0"/>
          <w:bCs w:val="0"/>
        </w:rPr>
      </w:pPr>
      <w:r>
        <w:rPr>
          <w:rFonts w:hint="default" w:ascii="Times New Roman" w:hAnsi="Times New Roman" w:eastAsia="黑体" w:cs="Times New Roman"/>
          <w:b w:val="0"/>
          <w:bCs w:val="0"/>
        </w:rPr>
        <w:t>第三部分</w:t>
      </w:r>
      <w:r>
        <w:rPr>
          <w:rFonts w:hint="default" w:ascii="Times New Roman" w:hAnsi="Times New Roman" w:eastAsia="黑体" w:cs="Times New Roman"/>
          <w:b w:val="0"/>
          <w:bCs w:val="0"/>
          <w:lang w:val="en-US" w:eastAsia="zh-CN"/>
        </w:rPr>
        <w:t xml:space="preserve"> </w:t>
      </w:r>
      <w:r>
        <w:rPr>
          <w:rFonts w:hint="default" w:ascii="Times New Roman" w:hAnsi="Times New Roman" w:eastAsia="黑体" w:cs="Times New Roman"/>
          <w:b w:val="0"/>
          <w:bCs w:val="0"/>
        </w:rPr>
        <w:t>名词解释</w:t>
      </w:r>
      <w:bookmarkEnd w:id="82"/>
      <w:bookmarkEnd w:id="83"/>
      <w:bookmarkEnd w:id="84"/>
    </w:p>
    <w:p w14:paraId="3727792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1.财政拨款收入：指单位从同级财政部门取得的财政预算资金。</w:t>
      </w:r>
    </w:p>
    <w:p w14:paraId="704E416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2.事业收入：指事业单位开展专业业务活动及辅助活动取得的收入。</w:t>
      </w:r>
    </w:p>
    <w:p w14:paraId="3CF925C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rPr>
      </w:pPr>
      <w:r>
        <w:rPr>
          <w:rFonts w:hint="default" w:ascii="Times New Roman" w:hAnsi="Times New Roman" w:eastAsia="仿宋_GB2312" w:cs="Times New Roman"/>
          <w:color w:val="000000"/>
          <w:sz w:val="32"/>
          <w:szCs w:val="32"/>
        </w:rPr>
        <w:t>3.经营收入：指事业单位</w:t>
      </w:r>
      <w:r>
        <w:rPr>
          <w:rFonts w:hint="eastAsia" w:ascii="仿宋_GB2312" w:hAnsi="仿宋_GB2312" w:eastAsia="仿宋_GB2312" w:cs="仿宋_GB2312"/>
          <w:color w:val="000000"/>
          <w:sz w:val="32"/>
          <w:szCs w:val="32"/>
        </w:rPr>
        <w:t>在专业业务活动及其辅助活动之外开展非独立核算经营活动取得的收入</w:t>
      </w:r>
    </w:p>
    <w:p w14:paraId="282C67B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4.其他收入：指单位取得的除上述收入以外的各项收入。</w:t>
      </w:r>
    </w:p>
    <w:p w14:paraId="5BF3A2D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rPr>
        <w:t>5.使用非财政拨款结余（含专用结余）：指事业单位使用以前年度积累的非财政拨款结余弥补当年收支差额的金额。</w:t>
      </w:r>
    </w:p>
    <w:p w14:paraId="6201AFF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rPr>
        <w:t>6.年初结转和结余：指以前年度尚未完成、结转到本年按有关规定继续使用的资金。</w:t>
      </w:r>
    </w:p>
    <w:p w14:paraId="0020682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7.结余分配：指事业单位按照会计制度规定缴纳的所得税、提取的专用结余以及转入非财政拨款结余的金额等。</w:t>
      </w:r>
    </w:p>
    <w:p w14:paraId="73BFA3B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8.年末结转和结余：指单位按有关规定结转到下年或以后年度继续使用的资金。</w:t>
      </w:r>
    </w:p>
    <w:p w14:paraId="48514EA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9.一般公共服务支出（类）人大事务（款）代表工作（项）:反映人大代表开展各类视察等方面的支出。</w:t>
      </w:r>
      <w:r>
        <w:rPr>
          <w:rFonts w:hint="default" w:ascii="Times New Roman" w:hAnsi="Times New Roman" w:eastAsia="仿宋_GB2312" w:cs="Times New Roman"/>
          <w:color w:val="000000"/>
          <w:sz w:val="32"/>
          <w:szCs w:val="32"/>
        </w:rPr>
        <w:cr/>
      </w:r>
      <w:r>
        <w:rPr>
          <w:rFonts w:hint="default" w:ascii="Times New Roman" w:hAnsi="Times New Roman" w:eastAsia="仿宋_GB2312"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rPr>
        <w:t>10.一般公共服务支出（类）政府办公厅（室）及相关机构事务（款）行政运行（项）:反映行政单位（包括实行公务员管理的事业单位）的基本支出。</w:t>
      </w:r>
      <w:r>
        <w:rPr>
          <w:rFonts w:hint="default" w:ascii="Times New Roman" w:hAnsi="Times New Roman" w:eastAsia="仿宋_GB2312" w:cs="Times New Roman"/>
          <w:color w:val="000000"/>
          <w:sz w:val="32"/>
          <w:szCs w:val="32"/>
        </w:rPr>
        <w:cr/>
      </w:r>
      <w:r>
        <w:rPr>
          <w:rFonts w:hint="default" w:ascii="Times New Roman" w:hAnsi="Times New Roman" w:eastAsia="仿宋_GB2312"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rPr>
        <w:t>11.一般公共服务支出（类）政府办公厅（室）及相关机构事务（款）其他政府办公厅（室）及相关机构事务支出（项）:反映除上述项目以外的其他政府办公厅（室）及相关机构事务支岀。</w:t>
      </w:r>
      <w:r>
        <w:rPr>
          <w:rFonts w:hint="default" w:ascii="Times New Roman" w:hAnsi="Times New Roman" w:eastAsia="仿宋_GB2312" w:cs="Times New Roman"/>
          <w:color w:val="000000"/>
          <w:sz w:val="32"/>
          <w:szCs w:val="32"/>
        </w:rPr>
        <w:cr/>
      </w:r>
      <w:r>
        <w:rPr>
          <w:rFonts w:hint="default" w:ascii="Times New Roman" w:hAnsi="Times New Roman" w:eastAsia="仿宋_GB2312"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rPr>
        <w:t>12.一般公共服务支出（类）民族事务（款）其他民族事务支出（项）:反映除上述项目以外其他用于民族事务方面的支出。</w:t>
      </w:r>
      <w:r>
        <w:rPr>
          <w:rFonts w:hint="default" w:ascii="Times New Roman" w:hAnsi="Times New Roman" w:eastAsia="仿宋_GB2312" w:cs="Times New Roman"/>
          <w:color w:val="000000"/>
          <w:sz w:val="32"/>
          <w:szCs w:val="32"/>
        </w:rPr>
        <w:cr/>
      </w:r>
      <w:r>
        <w:rPr>
          <w:rFonts w:hint="default" w:ascii="Times New Roman" w:hAnsi="Times New Roman" w:eastAsia="仿宋_GB2312"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rPr>
        <w:t>13.社会保障和就业支出（类）民政管理事务（款）基层政权建设和社区治理（项）:反映开展城乡社区治理、城乡社区服务（乡村便民服务）、村（居）民自治、村（居）务公开、乡镇（街道）服务能力建设等基层政权建设和社区治理工作的支出。</w:t>
      </w:r>
      <w:r>
        <w:rPr>
          <w:rFonts w:hint="default" w:ascii="Times New Roman" w:hAnsi="Times New Roman" w:eastAsia="仿宋_GB2312" w:cs="Times New Roman"/>
          <w:color w:val="000000"/>
          <w:sz w:val="32"/>
          <w:szCs w:val="32"/>
        </w:rPr>
        <w:cr/>
      </w:r>
      <w:r>
        <w:rPr>
          <w:rFonts w:hint="default" w:ascii="Times New Roman" w:hAnsi="Times New Roman" w:eastAsia="仿宋_GB2312"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rPr>
        <w:t>14.社会保障和就业支出（类）行政事业单位养老支出（款）机关事业单位基本养老保险缴费支出（项）:反映机关事业单位实施养老保险制度由单位缴纳的基本养老保险费支出。</w:t>
      </w:r>
      <w:r>
        <w:rPr>
          <w:rFonts w:hint="default" w:ascii="Times New Roman" w:hAnsi="Times New Roman" w:eastAsia="仿宋_GB2312" w:cs="Times New Roman"/>
          <w:color w:val="000000"/>
          <w:sz w:val="32"/>
          <w:szCs w:val="32"/>
        </w:rPr>
        <w:cr/>
      </w:r>
      <w:r>
        <w:rPr>
          <w:rFonts w:hint="default" w:ascii="Times New Roman" w:hAnsi="Times New Roman" w:eastAsia="仿宋_GB2312"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rPr>
        <w:t>15.社会保障和就业支出（类）行政事业单位养老支出（款）机关事业单位职业年金缴费支出（项）:反映机关事业单位实施养老保险制度由单位实际缴纳的职业年金支出。</w:t>
      </w:r>
      <w:r>
        <w:rPr>
          <w:rFonts w:hint="default" w:ascii="Times New Roman" w:hAnsi="Times New Roman" w:eastAsia="仿宋_GB2312" w:cs="Times New Roman"/>
          <w:color w:val="000000"/>
          <w:sz w:val="32"/>
          <w:szCs w:val="32"/>
        </w:rPr>
        <w:cr/>
      </w:r>
      <w:r>
        <w:rPr>
          <w:rFonts w:hint="default" w:ascii="Times New Roman" w:hAnsi="Times New Roman" w:eastAsia="仿宋_GB2312"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rPr>
        <w:t>16.社会保障和就业支出（类）残疾人事业（款）其他残疾人事业支出（项）:反映除上述项目以外其他用于残疾人事业方面的支出。</w:t>
      </w:r>
      <w:r>
        <w:rPr>
          <w:rFonts w:hint="default" w:ascii="Times New Roman" w:hAnsi="Times New Roman" w:eastAsia="仿宋_GB2312" w:cs="Times New Roman"/>
          <w:color w:val="000000"/>
          <w:sz w:val="32"/>
          <w:szCs w:val="32"/>
        </w:rPr>
        <w:cr/>
      </w:r>
      <w:r>
        <w:rPr>
          <w:rFonts w:hint="default" w:ascii="Times New Roman" w:hAnsi="Times New Roman" w:eastAsia="仿宋_GB2312"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rPr>
        <w:t>17.卫生健康支出（类）行政事业单位医疗（款）行政单位医疗（项）:反映财政部门安排的行政单位（包括实行公务员管理的事业单位，下同）基本医疗保险缴费经费，未参加医疗保险的行政单位的公费医疗经费，按国家规定享受离休人员、红军老战士待遇人员的医疗经费。</w:t>
      </w:r>
      <w:r>
        <w:rPr>
          <w:rFonts w:hint="default" w:ascii="Times New Roman" w:hAnsi="Times New Roman" w:eastAsia="仿宋_GB2312" w:cs="Times New Roman"/>
          <w:color w:val="000000"/>
          <w:sz w:val="32"/>
          <w:szCs w:val="32"/>
        </w:rPr>
        <w:cr/>
      </w:r>
      <w:r>
        <w:rPr>
          <w:rFonts w:hint="default" w:ascii="Times New Roman" w:hAnsi="Times New Roman" w:eastAsia="仿宋_GB2312"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rPr>
        <w:t>18.农林水支出（类）农业农村（款）对高校毕业生到基层任职补助（项）:反映按规定对高校毕业生到基层任职的补助支出。</w:t>
      </w:r>
      <w:r>
        <w:rPr>
          <w:rFonts w:hint="default" w:ascii="Times New Roman" w:hAnsi="Times New Roman" w:eastAsia="仿宋_GB2312" w:cs="Times New Roman"/>
          <w:color w:val="000000"/>
          <w:sz w:val="32"/>
          <w:szCs w:val="32"/>
        </w:rPr>
        <w:cr/>
      </w:r>
      <w:r>
        <w:rPr>
          <w:rFonts w:hint="default" w:ascii="Times New Roman" w:hAnsi="Times New Roman" w:eastAsia="仿宋_GB2312"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rPr>
        <w:t>19.农林水支出（类）巩固脱贫攻坚成果衔接乡村振兴（款）农村基础设施建设（项）:反映用于农村贫困地区乡村道路、住房、基本农田、水利设施、人畜饮水、生态环境保护等生产生活条件改善方面的支出。</w:t>
      </w:r>
      <w:r>
        <w:rPr>
          <w:rFonts w:hint="default" w:ascii="Times New Roman" w:hAnsi="Times New Roman" w:eastAsia="仿宋_GB2312" w:cs="Times New Roman"/>
          <w:color w:val="000000"/>
          <w:sz w:val="32"/>
          <w:szCs w:val="32"/>
        </w:rPr>
        <w:cr/>
      </w:r>
      <w:r>
        <w:rPr>
          <w:rFonts w:hint="default" w:ascii="Times New Roman" w:hAnsi="Times New Roman" w:eastAsia="仿宋_GB2312"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rPr>
        <w:t>20.农林水支出（类）巩固脱贫攻坚成果衔接乡村振兴（款）其他巩固脱贫攻坚成果衔接乡村振兴支出（项）:反映除上述项目以外其他用于扶贫方面的支出。</w:t>
      </w:r>
      <w:r>
        <w:rPr>
          <w:rFonts w:hint="default" w:ascii="Times New Roman" w:hAnsi="Times New Roman" w:eastAsia="仿宋_GB2312" w:cs="Times New Roman"/>
          <w:color w:val="000000"/>
          <w:sz w:val="32"/>
          <w:szCs w:val="32"/>
        </w:rPr>
        <w:cr/>
      </w:r>
      <w:r>
        <w:rPr>
          <w:rFonts w:hint="default" w:ascii="Times New Roman" w:hAnsi="Times New Roman" w:eastAsia="仿宋_GB2312" w:cs="Times New Roman"/>
          <w:color w:val="000000"/>
          <w:sz w:val="32"/>
          <w:szCs w:val="32"/>
          <w:lang w:val="en-US" w:eastAsia="zh-CN"/>
        </w:rPr>
        <w:t xml:space="preserve">    </w:t>
      </w:r>
      <w:r>
        <w:rPr>
          <w:rFonts w:hint="default" w:ascii="Times New Roman" w:hAnsi="Times New Roman" w:eastAsia="仿宋_GB2312" w:cs="Times New Roman"/>
          <w:color w:val="000000"/>
          <w:sz w:val="32"/>
          <w:szCs w:val="32"/>
        </w:rPr>
        <w:t>21.农林水支出（类）农村综合改革（款）对村民委员会和村党支部的补助（项）:反映各级财政对村民委员会和村党支部的补助支出，以及支持建立县级基本财力保障机制安排的村级组织运转奖补资金。</w:t>
      </w:r>
    </w:p>
    <w:p w14:paraId="20F7EAF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22.住房保障支出（类）住房改革支出（款）住房公积金（项）:反映行政事业单位按人力资源和社会保障部、财政部规定的基本工资和津贴补贴以及规定比例为职工缴纳的住房公积金。</w:t>
      </w:r>
    </w:p>
    <w:p w14:paraId="5913B40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23.住房保障支出（类）住房改革支出（款）购房补贴（项）:反映按房改政策规定，行政事业单位向符合条件职工（含离退休人员）、军队（含武警）向转役复员离退休人员发放的用于购买住房的补贴。</w:t>
      </w:r>
    </w:p>
    <w:p w14:paraId="3FAE08B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24.基本支出：指为保障机构正常运转、完成日常工作任务而发生的人员支出和公用支出。</w:t>
      </w:r>
    </w:p>
    <w:p w14:paraId="243BEF9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rPr>
        <w:t>25.项目支出：指在基本支出之外为完成特定行政任务和事业发展目标所发生的支出。</w:t>
      </w:r>
    </w:p>
    <w:p w14:paraId="4DDC4EA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26.经营支出：指事业单位在专业业务活动及其辅助活动之外开展非独立核算经营活动发生的支出。</w:t>
      </w:r>
    </w:p>
    <w:p w14:paraId="53E08BC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8331E8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293FC1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color w:val="auto"/>
          <w:kern w:val="0"/>
          <w:sz w:val="32"/>
          <w:szCs w:val="32"/>
          <w:highlight w:val="none"/>
          <w:shd w:val="clear" w:color="auto" w:fill="FFFFFF"/>
          <w:lang w:val="zh-CN"/>
        </w:rPr>
        <w:sectPr>
          <w:footerReference r:id="rId7" w:type="first"/>
          <w:footerReference r:id="rId6" w:type="default"/>
          <w:pgSz w:w="11906" w:h="16838"/>
          <w:pgMar w:top="720" w:right="720" w:bottom="720" w:left="720" w:header="851" w:footer="992" w:gutter="0"/>
          <w:pgNumType w:fmt="decimal" w:start="1"/>
          <w:cols w:space="425" w:num="1"/>
          <w:titlePg/>
          <w:docGrid w:type="lines" w:linePitch="312" w:charSpace="0"/>
        </w:sectPr>
      </w:pPr>
      <w:r>
        <w:rPr>
          <w:rFonts w:hint="default" w:ascii="Times New Roman" w:hAnsi="Times New Roman" w:eastAsia="仿宋_GB2312" w:cs="Times New Roman"/>
          <w:color w:val="000000"/>
          <w:sz w:val="32"/>
          <w:szCs w:val="32"/>
        </w:rPr>
        <w:t>29.财政应返还额度：为行政事业单位会计核算科目，用于核算实行国库集中支付的行政事业单位应收财政返还的资金额度。</w:t>
      </w:r>
    </w:p>
    <w:p w14:paraId="66D5B77D">
      <w:pPr>
        <w:pStyle w:val="3"/>
        <w:bidi w:val="0"/>
        <w:ind w:firstLine="2209" w:firstLineChars="500"/>
        <w:jc w:val="both"/>
        <w:rPr>
          <w:rFonts w:hint="default" w:ascii="Times New Roman" w:hAnsi="Times New Roman" w:cs="Times New Roman"/>
        </w:rPr>
      </w:pPr>
      <w:bookmarkStart w:id="86" w:name="_Toc15396618"/>
      <w:bookmarkStart w:id="87" w:name="_Toc15650"/>
      <w:r>
        <w:rPr>
          <w:rFonts w:hint="default" w:ascii="Times New Roman" w:hAnsi="Times New Roman" w:cs="Times New Roman"/>
        </w:rPr>
        <w:t>第</w:t>
      </w:r>
      <w:r>
        <w:rPr>
          <w:rFonts w:hint="default" w:ascii="Times New Roman" w:hAnsi="Times New Roman" w:cs="Times New Roman"/>
          <w:lang w:eastAsia="zh-CN"/>
        </w:rPr>
        <w:t>四</w:t>
      </w:r>
      <w:r>
        <w:rPr>
          <w:rFonts w:hint="default" w:ascii="Times New Roman" w:hAnsi="Times New Roman" w:cs="Times New Roman"/>
        </w:rPr>
        <w:t>部分 附表</w:t>
      </w:r>
      <w:bookmarkEnd w:id="85"/>
      <w:bookmarkEnd w:id="86"/>
      <w:bookmarkEnd w:id="87"/>
      <w:bookmarkStart w:id="88" w:name="_Toc15396619"/>
    </w:p>
    <w:p w14:paraId="36928025">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单位预算项目支出绩效自评表（202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w:t>
      </w:r>
    </w:p>
    <w:p w14:paraId="403AF9F4">
      <w:pPr>
        <w:rPr>
          <w:rFonts w:hint="default" w:ascii="Times New Roman" w:hAnsi="Times New Roman" w:cs="Times New Roman"/>
        </w:rPr>
      </w:pPr>
    </w:p>
    <w:p w14:paraId="046C54DE">
      <w:pPr>
        <w:jc w:val="center"/>
        <w:rPr>
          <w:rFonts w:hint="default" w:ascii="Times New Roman" w:hAnsi="Times New Roman" w:eastAsia="黑体" w:cs="Times New Roman"/>
          <w:sz w:val="44"/>
          <w:szCs w:val="44"/>
          <w:lang w:eastAsia="zh-CN"/>
        </w:rPr>
      </w:pPr>
      <w:bookmarkStart w:id="89" w:name="_Toc486125078"/>
    </w:p>
    <w:p w14:paraId="751100F5">
      <w:pPr>
        <w:jc w:val="center"/>
        <w:rPr>
          <w:rFonts w:hint="default" w:ascii="Times New Roman" w:hAnsi="Times New Roman" w:eastAsia="黑体" w:cs="Times New Roman"/>
          <w:sz w:val="44"/>
          <w:szCs w:val="44"/>
          <w:lang w:eastAsia="zh-CN"/>
        </w:rPr>
      </w:pPr>
    </w:p>
    <w:p w14:paraId="0F2345D3">
      <w:pPr>
        <w:jc w:val="center"/>
        <w:rPr>
          <w:rFonts w:hint="default" w:ascii="Times New Roman" w:hAnsi="Times New Roman" w:eastAsia="黑体" w:cs="Times New Roman"/>
          <w:sz w:val="44"/>
          <w:szCs w:val="44"/>
          <w:lang w:eastAsia="zh-CN"/>
        </w:rPr>
      </w:pPr>
    </w:p>
    <w:p w14:paraId="7375ED32">
      <w:pPr>
        <w:jc w:val="center"/>
        <w:rPr>
          <w:rFonts w:hint="default" w:ascii="Times New Roman" w:hAnsi="Times New Roman" w:eastAsia="黑体" w:cs="Times New Roman"/>
          <w:sz w:val="44"/>
          <w:szCs w:val="44"/>
          <w:lang w:eastAsia="zh-CN"/>
        </w:rPr>
      </w:pPr>
    </w:p>
    <w:p w14:paraId="16A3576B">
      <w:pPr>
        <w:jc w:val="center"/>
        <w:rPr>
          <w:rFonts w:hint="default" w:ascii="Times New Roman" w:hAnsi="Times New Roman" w:eastAsia="黑体" w:cs="Times New Roman"/>
          <w:sz w:val="44"/>
          <w:szCs w:val="44"/>
          <w:lang w:eastAsia="zh-CN"/>
        </w:rPr>
      </w:pPr>
    </w:p>
    <w:p w14:paraId="7E1595FD">
      <w:pPr>
        <w:jc w:val="center"/>
        <w:rPr>
          <w:rFonts w:hint="default" w:ascii="Times New Roman" w:hAnsi="Times New Roman" w:eastAsia="黑体" w:cs="Times New Roman"/>
          <w:sz w:val="44"/>
          <w:szCs w:val="44"/>
          <w:lang w:eastAsia="zh-CN"/>
        </w:rPr>
      </w:pPr>
    </w:p>
    <w:p w14:paraId="7B7B4C66">
      <w:pPr>
        <w:jc w:val="center"/>
        <w:rPr>
          <w:rFonts w:hint="default" w:ascii="Times New Roman" w:hAnsi="Times New Roman" w:eastAsia="黑体" w:cs="Times New Roman"/>
          <w:sz w:val="44"/>
          <w:szCs w:val="44"/>
          <w:lang w:eastAsia="zh-CN"/>
        </w:rPr>
      </w:pPr>
    </w:p>
    <w:p w14:paraId="08011CC4">
      <w:pPr>
        <w:jc w:val="center"/>
        <w:rPr>
          <w:rFonts w:hint="default" w:ascii="Times New Roman" w:hAnsi="Times New Roman" w:eastAsia="黑体" w:cs="Times New Roman"/>
          <w:sz w:val="44"/>
          <w:szCs w:val="44"/>
          <w:lang w:eastAsia="zh-CN"/>
        </w:rPr>
      </w:pPr>
    </w:p>
    <w:p w14:paraId="2A4812B3">
      <w:pPr>
        <w:jc w:val="center"/>
        <w:rPr>
          <w:rFonts w:hint="default" w:ascii="Times New Roman" w:hAnsi="Times New Roman" w:eastAsia="黑体" w:cs="Times New Roman"/>
          <w:sz w:val="44"/>
          <w:szCs w:val="44"/>
          <w:lang w:eastAsia="zh-CN"/>
        </w:rPr>
      </w:pPr>
    </w:p>
    <w:p w14:paraId="330E5081">
      <w:pPr>
        <w:jc w:val="center"/>
        <w:rPr>
          <w:rFonts w:hint="default" w:ascii="Times New Roman" w:hAnsi="Times New Roman" w:eastAsia="黑体" w:cs="Times New Roman"/>
          <w:sz w:val="44"/>
          <w:szCs w:val="44"/>
          <w:lang w:eastAsia="zh-CN"/>
        </w:rPr>
      </w:pPr>
    </w:p>
    <w:p w14:paraId="4555F79E">
      <w:pPr>
        <w:jc w:val="center"/>
        <w:rPr>
          <w:rFonts w:hint="default" w:ascii="Times New Roman" w:hAnsi="Times New Roman" w:eastAsia="黑体" w:cs="Times New Roman"/>
          <w:sz w:val="44"/>
          <w:szCs w:val="44"/>
          <w:lang w:eastAsia="zh-CN"/>
        </w:rPr>
      </w:pPr>
    </w:p>
    <w:p w14:paraId="72FB7247">
      <w:pPr>
        <w:jc w:val="center"/>
        <w:rPr>
          <w:rFonts w:hint="default" w:ascii="Times New Roman" w:hAnsi="Times New Roman" w:eastAsia="黑体" w:cs="Times New Roman"/>
          <w:sz w:val="44"/>
          <w:szCs w:val="44"/>
          <w:lang w:eastAsia="zh-CN"/>
        </w:rPr>
      </w:pPr>
    </w:p>
    <w:p w14:paraId="22D4CF93">
      <w:pPr>
        <w:jc w:val="center"/>
        <w:rPr>
          <w:rFonts w:hint="default" w:ascii="Times New Roman" w:hAnsi="Times New Roman" w:eastAsia="黑体" w:cs="Times New Roman"/>
          <w:sz w:val="44"/>
          <w:szCs w:val="44"/>
          <w:lang w:eastAsia="zh-CN"/>
        </w:rPr>
      </w:pPr>
    </w:p>
    <w:p w14:paraId="084414C4">
      <w:pPr>
        <w:jc w:val="center"/>
        <w:rPr>
          <w:rFonts w:hint="default" w:ascii="Times New Roman" w:hAnsi="Times New Roman" w:eastAsia="黑体" w:cs="Times New Roman"/>
          <w:sz w:val="44"/>
          <w:szCs w:val="44"/>
          <w:lang w:eastAsia="zh-CN"/>
        </w:rPr>
      </w:pPr>
    </w:p>
    <w:p w14:paraId="0389B259">
      <w:pPr>
        <w:jc w:val="center"/>
        <w:rPr>
          <w:rFonts w:hint="default" w:ascii="Times New Roman" w:hAnsi="Times New Roman" w:eastAsia="黑体" w:cs="Times New Roman"/>
          <w:sz w:val="44"/>
          <w:szCs w:val="44"/>
          <w:lang w:eastAsia="zh-CN"/>
        </w:rPr>
      </w:pPr>
    </w:p>
    <w:p w14:paraId="0AF12FF5">
      <w:pPr>
        <w:jc w:val="center"/>
        <w:rPr>
          <w:rFonts w:hint="default" w:ascii="Times New Roman" w:hAnsi="Times New Roman" w:eastAsia="黑体" w:cs="Times New Roman"/>
          <w:sz w:val="44"/>
          <w:szCs w:val="44"/>
          <w:lang w:eastAsia="zh-CN"/>
        </w:rPr>
      </w:pPr>
    </w:p>
    <w:p w14:paraId="0970CA65">
      <w:pPr>
        <w:jc w:val="center"/>
        <w:rPr>
          <w:rFonts w:hint="default" w:ascii="Times New Roman" w:hAnsi="Times New Roman" w:eastAsia="黑体" w:cs="Times New Roman"/>
          <w:sz w:val="44"/>
          <w:szCs w:val="44"/>
          <w:lang w:eastAsia="zh-CN"/>
        </w:rPr>
      </w:pPr>
    </w:p>
    <w:p w14:paraId="1B43EA83">
      <w:pPr>
        <w:jc w:val="center"/>
        <w:rPr>
          <w:rFonts w:hint="default" w:ascii="Times New Roman" w:hAnsi="Times New Roman" w:eastAsia="黑体" w:cs="Times New Roman"/>
          <w:sz w:val="44"/>
          <w:szCs w:val="44"/>
          <w:lang w:eastAsia="zh-CN"/>
        </w:rPr>
      </w:pPr>
    </w:p>
    <w:p w14:paraId="7A682956">
      <w:pPr>
        <w:jc w:val="center"/>
        <w:rPr>
          <w:rStyle w:val="31"/>
          <w:rFonts w:hint="default" w:ascii="Times New Roman" w:hAnsi="Times New Roman" w:eastAsia="黑体" w:cs="Times New Roman"/>
          <w:b w:val="0"/>
        </w:rPr>
      </w:pPr>
      <w:r>
        <w:rPr>
          <w:rFonts w:hint="default" w:ascii="Times New Roman" w:hAnsi="Times New Roman" w:eastAsia="黑体" w:cs="Times New Roman"/>
          <w:sz w:val="44"/>
          <w:szCs w:val="44"/>
          <w:lang w:eastAsia="zh-CN"/>
        </w:rPr>
        <w:t>第五部分</w:t>
      </w:r>
      <w:r>
        <w:rPr>
          <w:rFonts w:hint="default" w:ascii="Times New Roman" w:hAnsi="Times New Roman" w:eastAsia="黑体" w:cs="Times New Roman"/>
          <w:sz w:val="44"/>
          <w:szCs w:val="44"/>
          <w:lang w:val="en-US" w:eastAsia="zh-CN"/>
        </w:rPr>
        <w:t xml:space="preserve">  </w:t>
      </w:r>
      <w:r>
        <w:rPr>
          <w:rStyle w:val="31"/>
          <w:rFonts w:hint="default" w:ascii="Times New Roman" w:hAnsi="Times New Roman" w:eastAsia="黑体" w:cs="Times New Roman"/>
          <w:b w:val="0"/>
        </w:rPr>
        <w:t>附表</w:t>
      </w:r>
    </w:p>
    <w:p w14:paraId="1ADF39F8">
      <w:pPr>
        <w:pStyle w:val="15"/>
        <w:pageBreakBefore w:val="0"/>
        <w:widowControl w:val="0"/>
        <w:numPr>
          <w:ilvl w:val="0"/>
          <w:numId w:val="0"/>
        </w:numPr>
        <w:kinsoku/>
        <w:wordWrap/>
        <w:overflowPunct/>
        <w:topLinePunct w:val="0"/>
        <w:autoSpaceDE/>
        <w:autoSpaceDN/>
        <w:bidi w:val="0"/>
        <w:adjustRightInd/>
        <w:spacing w:line="576" w:lineRule="exact"/>
        <w:jc w:val="left"/>
        <w:textAlignment w:val="auto"/>
        <w:rPr>
          <w:rFonts w:hint="default" w:ascii="Times New Roman" w:hAnsi="Times New Roman" w:cs="Times New Roman"/>
        </w:rPr>
      </w:pPr>
    </w:p>
    <w:p w14:paraId="2B1DA49E">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一、收入支出决算总表</w:t>
      </w:r>
    </w:p>
    <w:p w14:paraId="278D02DF">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二、收入决算表</w:t>
      </w:r>
    </w:p>
    <w:p w14:paraId="734B4BE5">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三、支出决算表</w:t>
      </w:r>
    </w:p>
    <w:p w14:paraId="63F8994F">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四、财政拨款收入支出决算总表</w:t>
      </w:r>
    </w:p>
    <w:p w14:paraId="72058A95">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五、财政拨款支出决算明细表</w:t>
      </w:r>
    </w:p>
    <w:p w14:paraId="54A70EEC">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六、一般公共预算财政拨款支出决算表</w:t>
      </w:r>
    </w:p>
    <w:p w14:paraId="5CED569C">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七、一般公共预算财政拨款支出决算明细表</w:t>
      </w:r>
    </w:p>
    <w:p w14:paraId="1C14BF3F">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八、一般公共预算财政拨款基本支出决算表</w:t>
      </w:r>
    </w:p>
    <w:p w14:paraId="02CEBF99">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九、一般公共预算财政拨款项目支出决算表</w:t>
      </w:r>
    </w:p>
    <w:p w14:paraId="1352B3A1">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十、政府性基金预算财政拨款收入支出决算表</w:t>
      </w:r>
    </w:p>
    <w:p w14:paraId="617746CA">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十一、国有资本经营预算财政拨款收入支出决算表</w:t>
      </w:r>
    </w:p>
    <w:p w14:paraId="0E21604F">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十二、国有资本经营预算财政拨款支出决算表</w:t>
      </w:r>
    </w:p>
    <w:p w14:paraId="28A4FBFC">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十三、财政拨款“三公”经费支出决算表</w:t>
      </w:r>
    </w:p>
    <w:p w14:paraId="6C24FDB3">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cs="Times New Roman"/>
        </w:rPr>
      </w:pPr>
    </w:p>
    <w:p w14:paraId="77A6BED8">
      <w:pPr>
        <w:jc w:val="both"/>
        <w:rPr>
          <w:rFonts w:hint="default" w:ascii="Times New Roman" w:hAnsi="Times New Roman" w:eastAsia="黑体" w:cs="Times New Roman"/>
          <w:sz w:val="44"/>
          <w:szCs w:val="44"/>
          <w:lang w:eastAsia="zh-CN"/>
        </w:rPr>
      </w:pPr>
    </w:p>
    <w:p w14:paraId="6AB88124">
      <w:pPr>
        <w:jc w:val="center"/>
        <w:rPr>
          <w:rFonts w:hint="default" w:ascii="Times New Roman" w:hAnsi="Times New Roman" w:eastAsia="黑体" w:cs="Times New Roman"/>
          <w:sz w:val="44"/>
          <w:szCs w:val="44"/>
          <w:lang w:eastAsia="zh-CN"/>
        </w:rPr>
      </w:pPr>
    </w:p>
    <w:p w14:paraId="29AC56F1">
      <w:pPr>
        <w:jc w:val="center"/>
        <w:rPr>
          <w:rFonts w:hint="default" w:ascii="Times New Roman" w:hAnsi="Times New Roman" w:eastAsia="黑体" w:cs="Times New Roman"/>
          <w:sz w:val="44"/>
          <w:szCs w:val="44"/>
          <w:lang w:eastAsia="zh-CN"/>
        </w:rPr>
      </w:pPr>
    </w:p>
    <w:p w14:paraId="720BD193">
      <w:pPr>
        <w:jc w:val="center"/>
        <w:rPr>
          <w:rFonts w:hint="default" w:ascii="Times New Roman" w:hAnsi="Times New Roman" w:eastAsia="黑体" w:cs="Times New Roman"/>
          <w:sz w:val="44"/>
          <w:szCs w:val="44"/>
          <w:lang w:eastAsia="zh-CN"/>
        </w:rPr>
      </w:pPr>
    </w:p>
    <w:p w14:paraId="77AF86D9">
      <w:pPr>
        <w:jc w:val="center"/>
        <w:rPr>
          <w:rFonts w:hint="default" w:ascii="Times New Roman" w:hAnsi="Times New Roman" w:eastAsia="黑体" w:cs="Times New Roman"/>
          <w:sz w:val="44"/>
          <w:szCs w:val="44"/>
          <w:lang w:eastAsia="zh-CN"/>
        </w:rPr>
      </w:pPr>
    </w:p>
    <w:bookmarkEnd w:id="88"/>
    <w:bookmarkEnd w:id="89"/>
    <w:p w14:paraId="476EE44D">
      <w:pPr>
        <w:pStyle w:val="4"/>
        <w:bidi w:val="0"/>
        <w:rPr>
          <w:rFonts w:hint="default" w:ascii="Times New Roman" w:hAnsi="Times New Roman" w:eastAsia="仿宋_GB2312" w:cs="Times New Roman"/>
          <w:lang w:eastAsia="zh-CN"/>
        </w:rPr>
      </w:pPr>
    </w:p>
    <w:sectPr>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RomanS"/>
    <w:panose1 w:val="00000000000000000000"/>
    <w:charset w:val="00"/>
    <w:family w:val="roman"/>
    <w:pitch w:val="default"/>
    <w:sig w:usb0="00000000" w:usb1="00000000" w:usb2="00000000" w:usb3="00000000" w:csb0="00000000" w:csb1="00000000"/>
  </w:font>
  <w:font w:name="C059">
    <w:altName w:val="RomanS"/>
    <w:panose1 w:val="00000500000000000000"/>
    <w:charset w:val="00"/>
    <w:family w:val="auto"/>
    <w:pitch w:val="default"/>
    <w:sig w:usb0="00000000" w:usb1="00000000" w:usb2="00000000" w:usb3="00000000" w:csb0="6000009F" w:csb1="00000000"/>
  </w:font>
  <w:font w:name="方正小标宋简体">
    <w:panose1 w:val="03000509000000000000"/>
    <w:charset w:val="86"/>
    <w:family w:val="script"/>
    <w:pitch w:val="default"/>
    <w:sig w:usb0="00000001" w:usb1="080E0000" w:usb2="00000000" w:usb3="00000000" w:csb0="00040000" w:csb1="00000000"/>
  </w:font>
  <w:font w:name="思源黑体 CN Normal">
    <w:panose1 w:val="020B0400000000000000"/>
    <w:charset w:val="86"/>
    <w:family w:val="auto"/>
    <w:pitch w:val="default"/>
    <w:sig w:usb0="20000003" w:usb1="2ADF3C10" w:usb2="00000016" w:usb3="00000000" w:csb0="60060107" w:csb1="00000000"/>
  </w:font>
  <w:font w:name="楷体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RomanS">
    <w:panose1 w:val="02000400000000000000"/>
    <w:charset w:val="00"/>
    <w:family w:val="auto"/>
    <w:pitch w:val="default"/>
    <w:sig w:usb0="0000020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19DAA">
    <w:pPr>
      <w:pStyle w:val="12"/>
      <w:jc w:val="center"/>
    </w:pPr>
  </w:p>
  <w:p w14:paraId="605AC4B5">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C903C">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190AB9">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190AB9">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79CF1">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D557E9">
                          <w:pPr>
                            <w:pStyle w:val="12"/>
                            <w:rPr>
                              <w:rFonts w:hint="eastAsia" w:eastAsia="宋体"/>
                              <w:lang w:eastAsia="zh-CN"/>
                            </w:rPr>
                          </w:pPr>
                          <w:r>
                            <w:rPr>
                              <w:rFonts w:hint="eastAsia"/>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2</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r>
                            <w:rPr>
                              <w:rFonts w:hint="eastAsia"/>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6D557E9">
                    <w:pPr>
                      <w:pStyle w:val="12"/>
                      <w:rPr>
                        <w:rFonts w:hint="eastAsia" w:eastAsia="宋体"/>
                        <w:lang w:eastAsia="zh-CN"/>
                      </w:rPr>
                    </w:pPr>
                    <w:r>
                      <w:rPr>
                        <w:rFonts w:hint="eastAsia"/>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2</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r>
                      <w:rPr>
                        <w:rFonts w:hint="eastAsia"/>
                        <w:lang w:eastAsia="zh-CN"/>
                      </w:rPr>
                      <w:t>—</w:t>
                    </w:r>
                  </w:p>
                </w:txbxContent>
              </v:textbox>
            </v:shape>
          </w:pict>
        </mc:Fallback>
      </mc:AlternateContent>
    </w:r>
  </w:p>
  <w:p w14:paraId="04697F18">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CC9E1">
    <w:pPr>
      <w:pStyle w:val="12"/>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E9B94D">
                          <w:pPr>
                            <w:pStyle w:val="12"/>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7E9B94D">
                    <w:pPr>
                      <w:pStyle w:val="12"/>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98E93">
    <w:pPr>
      <w:pStyle w:val="1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A7B3F"/>
    <w:rsid w:val="00FD3CC1"/>
    <w:rsid w:val="00FF1E02"/>
    <w:rsid w:val="00FF30B4"/>
    <w:rsid w:val="012A5EC2"/>
    <w:rsid w:val="015975B8"/>
    <w:rsid w:val="0196601E"/>
    <w:rsid w:val="02105DD0"/>
    <w:rsid w:val="02467A44"/>
    <w:rsid w:val="02F91D73"/>
    <w:rsid w:val="02FEBE30"/>
    <w:rsid w:val="03E7371F"/>
    <w:rsid w:val="03EC455F"/>
    <w:rsid w:val="03F60FF6"/>
    <w:rsid w:val="040447B7"/>
    <w:rsid w:val="04916F1E"/>
    <w:rsid w:val="05707C02"/>
    <w:rsid w:val="057460BE"/>
    <w:rsid w:val="05AD1B88"/>
    <w:rsid w:val="061E35DE"/>
    <w:rsid w:val="06691F53"/>
    <w:rsid w:val="066E0107"/>
    <w:rsid w:val="06C71C6E"/>
    <w:rsid w:val="07140EE7"/>
    <w:rsid w:val="07373DFF"/>
    <w:rsid w:val="07464A8A"/>
    <w:rsid w:val="07854B6B"/>
    <w:rsid w:val="07996F6E"/>
    <w:rsid w:val="07A66048"/>
    <w:rsid w:val="07DFD8BA"/>
    <w:rsid w:val="085E6777"/>
    <w:rsid w:val="09151F1E"/>
    <w:rsid w:val="09867E8F"/>
    <w:rsid w:val="0A2032A3"/>
    <w:rsid w:val="0A6B1808"/>
    <w:rsid w:val="0AB66FEF"/>
    <w:rsid w:val="0B39053F"/>
    <w:rsid w:val="0B656F85"/>
    <w:rsid w:val="0B8D66E4"/>
    <w:rsid w:val="0BEA7692"/>
    <w:rsid w:val="0C046A34"/>
    <w:rsid w:val="0C570A13"/>
    <w:rsid w:val="0CA8290A"/>
    <w:rsid w:val="0D35B1ED"/>
    <w:rsid w:val="0D426078"/>
    <w:rsid w:val="0D9771DB"/>
    <w:rsid w:val="0E254B6B"/>
    <w:rsid w:val="0E5A6D61"/>
    <w:rsid w:val="0EF56A7A"/>
    <w:rsid w:val="0F545942"/>
    <w:rsid w:val="0F9022FF"/>
    <w:rsid w:val="0F98263C"/>
    <w:rsid w:val="101860EC"/>
    <w:rsid w:val="101F47CC"/>
    <w:rsid w:val="10BA2B4C"/>
    <w:rsid w:val="10C055FF"/>
    <w:rsid w:val="11134B92"/>
    <w:rsid w:val="11694EBD"/>
    <w:rsid w:val="11772AA4"/>
    <w:rsid w:val="118107EC"/>
    <w:rsid w:val="1182211B"/>
    <w:rsid w:val="128A74D9"/>
    <w:rsid w:val="12D9220E"/>
    <w:rsid w:val="12E24EE2"/>
    <w:rsid w:val="13D50BC4"/>
    <w:rsid w:val="142C7CA8"/>
    <w:rsid w:val="14434DB5"/>
    <w:rsid w:val="14B17F78"/>
    <w:rsid w:val="15E109E8"/>
    <w:rsid w:val="15F20E8D"/>
    <w:rsid w:val="165E0673"/>
    <w:rsid w:val="16747EC7"/>
    <w:rsid w:val="16A15FC9"/>
    <w:rsid w:val="16B831D5"/>
    <w:rsid w:val="16BB723D"/>
    <w:rsid w:val="16C74F07"/>
    <w:rsid w:val="17740758"/>
    <w:rsid w:val="179B3E23"/>
    <w:rsid w:val="17AE1498"/>
    <w:rsid w:val="17D42381"/>
    <w:rsid w:val="17DE6025"/>
    <w:rsid w:val="17E50567"/>
    <w:rsid w:val="17FF1BCA"/>
    <w:rsid w:val="18207E76"/>
    <w:rsid w:val="18636E02"/>
    <w:rsid w:val="186504BB"/>
    <w:rsid w:val="195920A9"/>
    <w:rsid w:val="19A445FC"/>
    <w:rsid w:val="19F636A6"/>
    <w:rsid w:val="1A7D5FB0"/>
    <w:rsid w:val="1AA64E09"/>
    <w:rsid w:val="1B2C7192"/>
    <w:rsid w:val="1BE8440E"/>
    <w:rsid w:val="1BF04F3B"/>
    <w:rsid w:val="1C2D7127"/>
    <w:rsid w:val="1D0D1432"/>
    <w:rsid w:val="1D155CEE"/>
    <w:rsid w:val="1D1638FE"/>
    <w:rsid w:val="1D743260"/>
    <w:rsid w:val="1DEF0B38"/>
    <w:rsid w:val="1E18008F"/>
    <w:rsid w:val="1E312DEB"/>
    <w:rsid w:val="1E4C001E"/>
    <w:rsid w:val="1E740ACF"/>
    <w:rsid w:val="1ED0096A"/>
    <w:rsid w:val="1F134CFA"/>
    <w:rsid w:val="1FA12306"/>
    <w:rsid w:val="1FD6321B"/>
    <w:rsid w:val="1FEE610F"/>
    <w:rsid w:val="1FF35744"/>
    <w:rsid w:val="1FF6BC77"/>
    <w:rsid w:val="204131A1"/>
    <w:rsid w:val="20995790"/>
    <w:rsid w:val="20D4606E"/>
    <w:rsid w:val="2186353C"/>
    <w:rsid w:val="21B940AE"/>
    <w:rsid w:val="222F5E0B"/>
    <w:rsid w:val="2297354C"/>
    <w:rsid w:val="23782997"/>
    <w:rsid w:val="238362B9"/>
    <w:rsid w:val="23860B96"/>
    <w:rsid w:val="240371BF"/>
    <w:rsid w:val="244F3473"/>
    <w:rsid w:val="24C97D99"/>
    <w:rsid w:val="24D833B0"/>
    <w:rsid w:val="25A718F0"/>
    <w:rsid w:val="25BB59F6"/>
    <w:rsid w:val="260F557C"/>
    <w:rsid w:val="26412A0C"/>
    <w:rsid w:val="267A2A60"/>
    <w:rsid w:val="268921DF"/>
    <w:rsid w:val="2690168E"/>
    <w:rsid w:val="26970054"/>
    <w:rsid w:val="27416636"/>
    <w:rsid w:val="275B723E"/>
    <w:rsid w:val="281408E2"/>
    <w:rsid w:val="284303FE"/>
    <w:rsid w:val="286F17BB"/>
    <w:rsid w:val="28CD5F1A"/>
    <w:rsid w:val="29144725"/>
    <w:rsid w:val="29FD04D3"/>
    <w:rsid w:val="2AC84BEB"/>
    <w:rsid w:val="2AFC2AE6"/>
    <w:rsid w:val="2B2007AA"/>
    <w:rsid w:val="2B9769EF"/>
    <w:rsid w:val="2B9F3B9D"/>
    <w:rsid w:val="2BC0369B"/>
    <w:rsid w:val="2BFF7BC6"/>
    <w:rsid w:val="2C8A61B5"/>
    <w:rsid w:val="2CDA73A4"/>
    <w:rsid w:val="2D2B3FE3"/>
    <w:rsid w:val="2DF04E50"/>
    <w:rsid w:val="2E4E6F63"/>
    <w:rsid w:val="2E586DFA"/>
    <w:rsid w:val="2E740A1A"/>
    <w:rsid w:val="2E805565"/>
    <w:rsid w:val="2EC1229C"/>
    <w:rsid w:val="2EEC14EB"/>
    <w:rsid w:val="2EF79A0C"/>
    <w:rsid w:val="2F040D46"/>
    <w:rsid w:val="2F3B49A4"/>
    <w:rsid w:val="2F6B035B"/>
    <w:rsid w:val="2F6B1FE9"/>
    <w:rsid w:val="2F806130"/>
    <w:rsid w:val="2FAE5751"/>
    <w:rsid w:val="2FB1A395"/>
    <w:rsid w:val="2FD9A7D8"/>
    <w:rsid w:val="2FDBF714"/>
    <w:rsid w:val="306A22A0"/>
    <w:rsid w:val="309F5A48"/>
    <w:rsid w:val="30AB6865"/>
    <w:rsid w:val="30AE6631"/>
    <w:rsid w:val="318F2647"/>
    <w:rsid w:val="319F7F4E"/>
    <w:rsid w:val="32BD1EF1"/>
    <w:rsid w:val="3304709D"/>
    <w:rsid w:val="339A66C5"/>
    <w:rsid w:val="33A773CB"/>
    <w:rsid w:val="33CE2219"/>
    <w:rsid w:val="33EF1E1A"/>
    <w:rsid w:val="342E4DFE"/>
    <w:rsid w:val="34856A1A"/>
    <w:rsid w:val="349D6851"/>
    <w:rsid w:val="34DD5737"/>
    <w:rsid w:val="3570102F"/>
    <w:rsid w:val="35766916"/>
    <w:rsid w:val="358726FB"/>
    <w:rsid w:val="35A40002"/>
    <w:rsid w:val="3612680D"/>
    <w:rsid w:val="36AA5135"/>
    <w:rsid w:val="36BE0DA7"/>
    <w:rsid w:val="37612D88"/>
    <w:rsid w:val="376B6AA6"/>
    <w:rsid w:val="376D39B2"/>
    <w:rsid w:val="379B7E94"/>
    <w:rsid w:val="37E16F03"/>
    <w:rsid w:val="37F53A3B"/>
    <w:rsid w:val="38334C40"/>
    <w:rsid w:val="38376F0C"/>
    <w:rsid w:val="389B6C89"/>
    <w:rsid w:val="38D469F0"/>
    <w:rsid w:val="39627CCD"/>
    <w:rsid w:val="397BAF1F"/>
    <w:rsid w:val="39C60E5B"/>
    <w:rsid w:val="39D15C66"/>
    <w:rsid w:val="39E8540B"/>
    <w:rsid w:val="3AB79AF3"/>
    <w:rsid w:val="3AE834C0"/>
    <w:rsid w:val="3B3736D8"/>
    <w:rsid w:val="3B6C4904"/>
    <w:rsid w:val="3B7EF35A"/>
    <w:rsid w:val="3B9FDB6C"/>
    <w:rsid w:val="3BDA6A36"/>
    <w:rsid w:val="3BF5BC2F"/>
    <w:rsid w:val="3CEBA265"/>
    <w:rsid w:val="3D98207C"/>
    <w:rsid w:val="3DEE7CF3"/>
    <w:rsid w:val="3E740A63"/>
    <w:rsid w:val="3E78745D"/>
    <w:rsid w:val="3EE17838"/>
    <w:rsid w:val="3EFFB42A"/>
    <w:rsid w:val="3F433241"/>
    <w:rsid w:val="3F55381A"/>
    <w:rsid w:val="3F7F7599"/>
    <w:rsid w:val="3FF4CAE0"/>
    <w:rsid w:val="3FF7B227"/>
    <w:rsid w:val="40322E72"/>
    <w:rsid w:val="422E5823"/>
    <w:rsid w:val="42777177"/>
    <w:rsid w:val="42DF6BC1"/>
    <w:rsid w:val="43071864"/>
    <w:rsid w:val="44AD3B73"/>
    <w:rsid w:val="44E268DA"/>
    <w:rsid w:val="450D13D7"/>
    <w:rsid w:val="45506656"/>
    <w:rsid w:val="45FE72BB"/>
    <w:rsid w:val="476240E0"/>
    <w:rsid w:val="479D06AF"/>
    <w:rsid w:val="47C709F1"/>
    <w:rsid w:val="483376F0"/>
    <w:rsid w:val="486A6C7A"/>
    <w:rsid w:val="493C7C96"/>
    <w:rsid w:val="4966759A"/>
    <w:rsid w:val="49E432D7"/>
    <w:rsid w:val="4A627F82"/>
    <w:rsid w:val="4AB34B18"/>
    <w:rsid w:val="4B0E749A"/>
    <w:rsid w:val="4B2477C4"/>
    <w:rsid w:val="4B4F25DA"/>
    <w:rsid w:val="4BB82E19"/>
    <w:rsid w:val="4BE068DB"/>
    <w:rsid w:val="4BFF1BAE"/>
    <w:rsid w:val="4C115F9A"/>
    <w:rsid w:val="4D001B6A"/>
    <w:rsid w:val="4D36558C"/>
    <w:rsid w:val="4D577224"/>
    <w:rsid w:val="4D673998"/>
    <w:rsid w:val="4DBF1CEB"/>
    <w:rsid w:val="4DF0007C"/>
    <w:rsid w:val="4E073C92"/>
    <w:rsid w:val="4E4F05A3"/>
    <w:rsid w:val="4E7445BE"/>
    <w:rsid w:val="4EAB630A"/>
    <w:rsid w:val="4ECE2238"/>
    <w:rsid w:val="4F6463E1"/>
    <w:rsid w:val="4F833267"/>
    <w:rsid w:val="4FDF6209"/>
    <w:rsid w:val="4FE3566F"/>
    <w:rsid w:val="4FE9BD67"/>
    <w:rsid w:val="4FFB052F"/>
    <w:rsid w:val="50802158"/>
    <w:rsid w:val="51B90269"/>
    <w:rsid w:val="51BF3B6F"/>
    <w:rsid w:val="51FD16F6"/>
    <w:rsid w:val="52081BED"/>
    <w:rsid w:val="534E1C07"/>
    <w:rsid w:val="537E6D0A"/>
    <w:rsid w:val="53F74C96"/>
    <w:rsid w:val="54DC2EBD"/>
    <w:rsid w:val="54F55D2D"/>
    <w:rsid w:val="55170BA8"/>
    <w:rsid w:val="553218C9"/>
    <w:rsid w:val="5556598D"/>
    <w:rsid w:val="5581799D"/>
    <w:rsid w:val="561B018E"/>
    <w:rsid w:val="565A0DFB"/>
    <w:rsid w:val="566F64A3"/>
    <w:rsid w:val="567E1AA5"/>
    <w:rsid w:val="56E47B74"/>
    <w:rsid w:val="570A791B"/>
    <w:rsid w:val="57175D52"/>
    <w:rsid w:val="57BD3DD4"/>
    <w:rsid w:val="57E24C8E"/>
    <w:rsid w:val="57F4630A"/>
    <w:rsid w:val="59AF543F"/>
    <w:rsid w:val="59D625D1"/>
    <w:rsid w:val="59E85675"/>
    <w:rsid w:val="5A3D3203"/>
    <w:rsid w:val="5A6C6A91"/>
    <w:rsid w:val="5AF75BA9"/>
    <w:rsid w:val="5AF92295"/>
    <w:rsid w:val="5B250254"/>
    <w:rsid w:val="5B5D6FFE"/>
    <w:rsid w:val="5B646ECB"/>
    <w:rsid w:val="5B9E59D6"/>
    <w:rsid w:val="5BDD79E6"/>
    <w:rsid w:val="5BF561CA"/>
    <w:rsid w:val="5BFF5DFC"/>
    <w:rsid w:val="5CBD3C97"/>
    <w:rsid w:val="5CD71FC4"/>
    <w:rsid w:val="5CE2128D"/>
    <w:rsid w:val="5D1F11B5"/>
    <w:rsid w:val="5D695134"/>
    <w:rsid w:val="5DAE1B18"/>
    <w:rsid w:val="5DDF73E8"/>
    <w:rsid w:val="5DE7D9E5"/>
    <w:rsid w:val="5DEE19D9"/>
    <w:rsid w:val="5E0A2849"/>
    <w:rsid w:val="5E587521"/>
    <w:rsid w:val="5E604B5F"/>
    <w:rsid w:val="5EA87CC6"/>
    <w:rsid w:val="5EC12033"/>
    <w:rsid w:val="5ECEC941"/>
    <w:rsid w:val="5ED74F3B"/>
    <w:rsid w:val="5FBF9FF3"/>
    <w:rsid w:val="5FCD4E2C"/>
    <w:rsid w:val="5FEE1D8C"/>
    <w:rsid w:val="5FEF394A"/>
    <w:rsid w:val="5FF67715"/>
    <w:rsid w:val="5FF7083C"/>
    <w:rsid w:val="5FFE57D7"/>
    <w:rsid w:val="606439DF"/>
    <w:rsid w:val="60AC408B"/>
    <w:rsid w:val="61483DB4"/>
    <w:rsid w:val="61C6707F"/>
    <w:rsid w:val="623C31ED"/>
    <w:rsid w:val="62BF3928"/>
    <w:rsid w:val="633B5253"/>
    <w:rsid w:val="63B3701E"/>
    <w:rsid w:val="6461518D"/>
    <w:rsid w:val="64772D29"/>
    <w:rsid w:val="647F5392"/>
    <w:rsid w:val="653603C7"/>
    <w:rsid w:val="6599501D"/>
    <w:rsid w:val="65AB6217"/>
    <w:rsid w:val="65DF45BB"/>
    <w:rsid w:val="65E66580"/>
    <w:rsid w:val="6603474E"/>
    <w:rsid w:val="664B1D71"/>
    <w:rsid w:val="664B4E8E"/>
    <w:rsid w:val="666845B1"/>
    <w:rsid w:val="67277B67"/>
    <w:rsid w:val="67580AC9"/>
    <w:rsid w:val="67AA3209"/>
    <w:rsid w:val="67D37642"/>
    <w:rsid w:val="68D40478"/>
    <w:rsid w:val="690D5A5A"/>
    <w:rsid w:val="698D0931"/>
    <w:rsid w:val="69DF734D"/>
    <w:rsid w:val="69E45CE7"/>
    <w:rsid w:val="69EA76D2"/>
    <w:rsid w:val="6A7FE5F3"/>
    <w:rsid w:val="6A9C2A7B"/>
    <w:rsid w:val="6B053271"/>
    <w:rsid w:val="6B127327"/>
    <w:rsid w:val="6B2C1649"/>
    <w:rsid w:val="6B4469E3"/>
    <w:rsid w:val="6BDD78B3"/>
    <w:rsid w:val="6BF9461A"/>
    <w:rsid w:val="6C4A05C8"/>
    <w:rsid w:val="6C4C5516"/>
    <w:rsid w:val="6C8742B8"/>
    <w:rsid w:val="6CCD628C"/>
    <w:rsid w:val="6D4457C7"/>
    <w:rsid w:val="6D592EA5"/>
    <w:rsid w:val="6DBF5E93"/>
    <w:rsid w:val="6DCC7B1B"/>
    <w:rsid w:val="6DD36B27"/>
    <w:rsid w:val="6DE925CC"/>
    <w:rsid w:val="6DFF077E"/>
    <w:rsid w:val="6E714EF0"/>
    <w:rsid w:val="6E7E3605"/>
    <w:rsid w:val="6E7FDCC7"/>
    <w:rsid w:val="6ED6A62E"/>
    <w:rsid w:val="6EE00B15"/>
    <w:rsid w:val="6F215851"/>
    <w:rsid w:val="6F6EE6AF"/>
    <w:rsid w:val="6F6FB3EB"/>
    <w:rsid w:val="6F8731EA"/>
    <w:rsid w:val="6FCE6052"/>
    <w:rsid w:val="6FD57C00"/>
    <w:rsid w:val="6FDA2E94"/>
    <w:rsid w:val="6FEFFFD8"/>
    <w:rsid w:val="6FF5CC65"/>
    <w:rsid w:val="6FFB47EC"/>
    <w:rsid w:val="6FFF034A"/>
    <w:rsid w:val="70484440"/>
    <w:rsid w:val="70BB7908"/>
    <w:rsid w:val="710D6480"/>
    <w:rsid w:val="71115527"/>
    <w:rsid w:val="7118602B"/>
    <w:rsid w:val="712A28F1"/>
    <w:rsid w:val="715C0E4B"/>
    <w:rsid w:val="71992E7C"/>
    <w:rsid w:val="72233669"/>
    <w:rsid w:val="726C33DA"/>
    <w:rsid w:val="72734D90"/>
    <w:rsid w:val="72966949"/>
    <w:rsid w:val="73160E6D"/>
    <w:rsid w:val="732E6B82"/>
    <w:rsid w:val="7332FE48"/>
    <w:rsid w:val="73455D2A"/>
    <w:rsid w:val="7369239C"/>
    <w:rsid w:val="73A038D4"/>
    <w:rsid w:val="73AB61DA"/>
    <w:rsid w:val="73AD73D5"/>
    <w:rsid w:val="73B6EB34"/>
    <w:rsid w:val="73FA497D"/>
    <w:rsid w:val="74263628"/>
    <w:rsid w:val="744731E5"/>
    <w:rsid w:val="74BBD01D"/>
    <w:rsid w:val="74ED5379"/>
    <w:rsid w:val="75DEEEC2"/>
    <w:rsid w:val="75E32345"/>
    <w:rsid w:val="76514F30"/>
    <w:rsid w:val="76960CC6"/>
    <w:rsid w:val="76E3355F"/>
    <w:rsid w:val="76FF5125"/>
    <w:rsid w:val="771755E6"/>
    <w:rsid w:val="776F6FFA"/>
    <w:rsid w:val="778769C8"/>
    <w:rsid w:val="77A72AFF"/>
    <w:rsid w:val="77A75DCA"/>
    <w:rsid w:val="77DC22F5"/>
    <w:rsid w:val="78353310"/>
    <w:rsid w:val="783E271A"/>
    <w:rsid w:val="78574AAF"/>
    <w:rsid w:val="78616DE9"/>
    <w:rsid w:val="78BA78EC"/>
    <w:rsid w:val="78E875D7"/>
    <w:rsid w:val="79086DAD"/>
    <w:rsid w:val="79D7FD79"/>
    <w:rsid w:val="79EE5BA4"/>
    <w:rsid w:val="7A894339"/>
    <w:rsid w:val="7AD284E8"/>
    <w:rsid w:val="7AFF7572"/>
    <w:rsid w:val="7B281FF4"/>
    <w:rsid w:val="7B3B18B2"/>
    <w:rsid w:val="7B4A662C"/>
    <w:rsid w:val="7B6C7DFB"/>
    <w:rsid w:val="7BB2023F"/>
    <w:rsid w:val="7BBFBED0"/>
    <w:rsid w:val="7BC3E394"/>
    <w:rsid w:val="7BC930A4"/>
    <w:rsid w:val="7C1F3737"/>
    <w:rsid w:val="7C211032"/>
    <w:rsid w:val="7CBFC87B"/>
    <w:rsid w:val="7CFE0F48"/>
    <w:rsid w:val="7D272ABC"/>
    <w:rsid w:val="7D383002"/>
    <w:rsid w:val="7D7EC23E"/>
    <w:rsid w:val="7DC90BC8"/>
    <w:rsid w:val="7DDFC476"/>
    <w:rsid w:val="7E034D49"/>
    <w:rsid w:val="7E247386"/>
    <w:rsid w:val="7E8ADEBF"/>
    <w:rsid w:val="7EEF11D3"/>
    <w:rsid w:val="7EFE4840"/>
    <w:rsid w:val="7F0971A6"/>
    <w:rsid w:val="7F1D62E7"/>
    <w:rsid w:val="7F3F679B"/>
    <w:rsid w:val="7F4FC4EF"/>
    <w:rsid w:val="7F5E4D54"/>
    <w:rsid w:val="7F6E0135"/>
    <w:rsid w:val="7F79F205"/>
    <w:rsid w:val="7FA30C79"/>
    <w:rsid w:val="7FA79C44"/>
    <w:rsid w:val="7FAF8ABF"/>
    <w:rsid w:val="7FB03387"/>
    <w:rsid w:val="7FB7269E"/>
    <w:rsid w:val="7FC96657"/>
    <w:rsid w:val="7FCD6F2A"/>
    <w:rsid w:val="7FDA9588"/>
    <w:rsid w:val="7FDF220F"/>
    <w:rsid w:val="7FEDC5F7"/>
    <w:rsid w:val="7FEDD9DE"/>
    <w:rsid w:val="7FEF08D4"/>
    <w:rsid w:val="7FF5890D"/>
    <w:rsid w:val="7FF93490"/>
    <w:rsid w:val="99FF2014"/>
    <w:rsid w:val="9EFFBE24"/>
    <w:rsid w:val="9FD31CB3"/>
    <w:rsid w:val="A6DD0D7F"/>
    <w:rsid w:val="ACFF4FBB"/>
    <w:rsid w:val="ADC6F725"/>
    <w:rsid w:val="AFFF7AAF"/>
    <w:rsid w:val="B7CF06AB"/>
    <w:rsid w:val="B7CFA926"/>
    <w:rsid w:val="B7F8786B"/>
    <w:rsid w:val="BABB6AA1"/>
    <w:rsid w:val="BB2F4199"/>
    <w:rsid w:val="BCFFB442"/>
    <w:rsid w:val="BD079C78"/>
    <w:rsid w:val="BD733540"/>
    <w:rsid w:val="BF3735D5"/>
    <w:rsid w:val="BF7F09AC"/>
    <w:rsid w:val="BFD475C3"/>
    <w:rsid w:val="BFDE5EA6"/>
    <w:rsid w:val="C7E67D95"/>
    <w:rsid w:val="CF6FC6F3"/>
    <w:rsid w:val="CFD3D3D7"/>
    <w:rsid w:val="CFDF1009"/>
    <w:rsid w:val="D7D7B16A"/>
    <w:rsid w:val="D7FE574A"/>
    <w:rsid w:val="D8D6DB89"/>
    <w:rsid w:val="DB6F4CAB"/>
    <w:rsid w:val="DB777682"/>
    <w:rsid w:val="DD1FB521"/>
    <w:rsid w:val="DD97D59B"/>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7BFB864"/>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20">
    <w:name w:val="Default Paragraph Font"/>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Normal Indent"/>
    <w:basedOn w:val="1"/>
    <w:unhideWhenUsed/>
    <w:qFormat/>
    <w:uiPriority w:val="99"/>
    <w:pPr>
      <w:ind w:firstLine="680"/>
    </w:pPr>
  </w:style>
  <w:style w:type="paragraph" w:styleId="7">
    <w:name w:val="Body Text"/>
    <w:basedOn w:val="1"/>
    <w:link w:val="28"/>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4"/>
    <w:semiHidden/>
    <w:unhideWhenUsed/>
    <w:qFormat/>
    <w:uiPriority w:val="99"/>
    <w:rPr>
      <w:sz w:val="18"/>
      <w:szCs w:val="18"/>
    </w:rPr>
  </w:style>
  <w:style w:type="paragraph" w:styleId="12">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paragraph" w:styleId="17">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8">
    <w:name w:val="Normal (Web)"/>
    <w:basedOn w:val="1"/>
    <w:next w:val="1"/>
    <w:qFormat/>
    <w:uiPriority w:val="0"/>
    <w:pPr>
      <w:spacing w:before="100" w:beforeAutospacing="1" w:after="100" w:afterAutospacing="1"/>
      <w:ind w:left="0" w:right="0"/>
      <w:jc w:val="left"/>
    </w:pPr>
    <w:rPr>
      <w:kern w:val="0"/>
      <w:sz w:val="24"/>
      <w:lang w:val="en-US" w:eastAsia="zh-CN" w:bidi="ar"/>
    </w:r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character" w:customStyle="1" w:styleId="23">
    <w:name w:val="Header Char"/>
    <w:basedOn w:val="20"/>
    <w:semiHidden/>
    <w:qFormat/>
    <w:uiPriority w:val="99"/>
    <w:rPr>
      <w:rFonts w:ascii="Times New Roman" w:hAnsi="Times New Roman"/>
      <w:sz w:val="18"/>
      <w:szCs w:val="18"/>
    </w:rPr>
  </w:style>
  <w:style w:type="character" w:customStyle="1" w:styleId="24">
    <w:name w:val="页眉 Char"/>
    <w:link w:val="13"/>
    <w:semiHidden/>
    <w:qFormat/>
    <w:locked/>
    <w:uiPriority w:val="99"/>
    <w:rPr>
      <w:sz w:val="18"/>
    </w:rPr>
  </w:style>
  <w:style w:type="character" w:customStyle="1" w:styleId="25">
    <w:name w:val="Footer Char"/>
    <w:basedOn w:val="20"/>
    <w:semiHidden/>
    <w:qFormat/>
    <w:uiPriority w:val="99"/>
    <w:rPr>
      <w:rFonts w:ascii="Times New Roman" w:hAnsi="Times New Roman"/>
      <w:sz w:val="18"/>
      <w:szCs w:val="18"/>
    </w:rPr>
  </w:style>
  <w:style w:type="character" w:customStyle="1" w:styleId="26">
    <w:name w:val="页脚 Char"/>
    <w:link w:val="12"/>
    <w:qFormat/>
    <w:locked/>
    <w:uiPriority w:val="99"/>
    <w:rPr>
      <w:sz w:val="18"/>
    </w:rPr>
  </w:style>
  <w:style w:type="character" w:customStyle="1" w:styleId="27">
    <w:name w:val="Body Text Char"/>
    <w:basedOn w:val="20"/>
    <w:semiHidden/>
    <w:qFormat/>
    <w:uiPriority w:val="99"/>
    <w:rPr>
      <w:rFonts w:ascii="Times New Roman" w:hAnsi="Times New Roman"/>
      <w:szCs w:val="24"/>
    </w:rPr>
  </w:style>
  <w:style w:type="character" w:customStyle="1" w:styleId="28">
    <w:name w:val="正文文本 Char"/>
    <w:link w:val="7"/>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20"/>
    <w:link w:val="3"/>
    <w:qFormat/>
    <w:uiPriority w:val="9"/>
    <w:rPr>
      <w:rFonts w:ascii="Times New Roman" w:hAnsi="Times New Roman"/>
      <w:b/>
      <w:bCs/>
      <w:kern w:val="44"/>
      <w:sz w:val="44"/>
      <w:szCs w:val="44"/>
    </w:rPr>
  </w:style>
  <w:style w:type="character" w:customStyle="1" w:styleId="32">
    <w:name w:val="标题 2 Char"/>
    <w:basedOn w:val="20"/>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20"/>
    <w:link w:val="11"/>
    <w:semiHidden/>
    <w:qFormat/>
    <w:uiPriority w:val="99"/>
    <w:rPr>
      <w:rFonts w:ascii="Times New Roman" w:hAnsi="Times New Roman"/>
      <w:kern w:val="2"/>
      <w:sz w:val="18"/>
      <w:szCs w:val="18"/>
    </w:rPr>
  </w:style>
  <w:style w:type="character" w:customStyle="1" w:styleId="35">
    <w:name w:val="标题 3 Char"/>
    <w:basedOn w:val="20"/>
    <w:link w:val="5"/>
    <w:qFormat/>
    <w:uiPriority w:val="9"/>
    <w:rPr>
      <w:rFonts w:ascii="Times New Roman" w:hAnsi="Times New Roman"/>
      <w:b/>
      <w:bCs/>
      <w:kern w:val="2"/>
      <w:sz w:val="32"/>
      <w:szCs w:val="32"/>
    </w:rPr>
  </w:style>
  <w:style w:type="paragraph" w:customStyle="1" w:styleId="36">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8">
    <w:name w:val="标题 1 字符"/>
    <w:basedOn w:val="20"/>
    <w:link w:val="3"/>
    <w:qFormat/>
    <w:uiPriority w:val="9"/>
    <w:rPr>
      <w:rFonts w:ascii="Times New Roman" w:hAnsi="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1.png"/><Relationship Id="rId15" Type="http://schemas.openxmlformats.org/officeDocument/2006/relationships/oleObject" Target="embeddings/oleObject1.bin"/><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收、支决算总计变动情况图</a:t>
            </a:r>
          </a:p>
        </c:rich>
      </c:tx>
      <c:layout/>
      <c:overlay val="0"/>
      <c:spPr>
        <a:noFill/>
        <a:ln>
          <a:noFill/>
        </a:ln>
        <a:effectLst/>
      </c:spPr>
    </c:title>
    <c:autoTitleDeleted val="0"/>
    <c:plotArea>
      <c:layout>
        <c:manualLayout>
          <c:layoutTarget val="inner"/>
          <c:xMode val="edge"/>
          <c:yMode val="edge"/>
          <c:x val="0.0430780381734719"/>
          <c:y val="0.159371015724607"/>
          <c:w val="0.930345494080696"/>
          <c:h val="0.638631534211645"/>
        </c:manualLayout>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305.31</c:v>
                </c:pt>
                <c:pt idx="1">
                  <c:v>341.57</c:v>
                </c:pt>
              </c:numCache>
            </c:numRef>
          </c:val>
        </c:ser>
        <c:dLbls>
          <c:showLegendKey val="0"/>
          <c:showVal val="1"/>
          <c:showCatName val="0"/>
          <c:showSerName val="0"/>
          <c:showPercent val="0"/>
          <c:showBubbleSize val="0"/>
        </c:dLbls>
        <c:gapWidth val="246"/>
        <c:overlap val="-28"/>
        <c:axId val="178398785"/>
        <c:axId val="84385039"/>
      </c:barChart>
      <c:catAx>
        <c:axId val="17839878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385039"/>
        <c:crosses val="autoZero"/>
        <c:auto val="1"/>
        <c:lblAlgn val="ctr"/>
        <c:lblOffset val="100"/>
        <c:noMultiLvlLbl val="0"/>
      </c:catAx>
      <c:valAx>
        <c:axId val="8438503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839878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60f81c1-66fa-4b05-b250-d812a3d0c96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一般公共预算财政拨款收入</c:v>
                </c:pt>
                <c:pt idx="1">
                  <c:v>政府性基金预算财政拨款收入</c:v>
                </c:pt>
              </c:strCache>
            </c:strRef>
          </c:cat>
          <c:val>
            <c:numRef>
              <c:f>Sheet1!$B$2:$B$3</c:f>
              <c:numCache>
                <c:formatCode>General</c:formatCode>
                <c:ptCount val="2"/>
                <c:pt idx="0">
                  <c:v>341.57</c:v>
                </c:pt>
                <c:pt idx="1">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a117f49-43c2-491e-af7b-24095fff896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eparator> </c:separator>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341.57</c:v>
                </c:pt>
                <c:pt idx="1">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56717bd-97d7-4d98-9143-dcb8d173547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305.31</c:v>
                </c:pt>
                <c:pt idx="1">
                  <c:v>341.57</c:v>
                </c:pt>
              </c:numCache>
            </c:numRef>
          </c:val>
        </c:ser>
        <c:dLbls>
          <c:showLegendKey val="0"/>
          <c:showVal val="1"/>
          <c:showCatName val="0"/>
          <c:showSerName val="0"/>
          <c:showPercent val="0"/>
          <c:showBubbleSize val="0"/>
        </c:dLbls>
        <c:gapWidth val="246"/>
        <c:overlap val="-28"/>
        <c:axId val="521005533"/>
        <c:axId val="501411894"/>
      </c:barChart>
      <c:catAx>
        <c:axId val="52100553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1411894"/>
        <c:crosses val="autoZero"/>
        <c:auto val="1"/>
        <c:lblAlgn val="ctr"/>
        <c:lblOffset val="100"/>
        <c:noMultiLvlLbl val="0"/>
      </c:catAx>
      <c:valAx>
        <c:axId val="50141189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100553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8044d7f-d844-4152-bc4c-8d5909e7dd3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单位：万元</c:v>
                </c:pt>
              </c:strCache>
            </c:strRef>
          </c:cat>
          <c:val>
            <c:numRef>
              <c:f>Sheet1!$B$2</c:f>
              <c:numCache>
                <c:formatCode>General</c:formatCode>
                <c:ptCount val="1"/>
                <c:pt idx="0">
                  <c:v>305.31</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单位：万元</c:v>
                </c:pt>
              </c:strCache>
            </c:strRef>
          </c:cat>
          <c:val>
            <c:numRef>
              <c:f>Sheet1!$C$2</c:f>
              <c:numCache>
                <c:formatCode>General</c:formatCode>
                <c:ptCount val="1"/>
                <c:pt idx="0">
                  <c:v>341.57</c:v>
                </c:pt>
              </c:numCache>
            </c:numRef>
          </c:val>
        </c:ser>
        <c:ser>
          <c:idx val="2"/>
          <c:order val="2"/>
          <c:tx>
            <c:strRef>
              <c:f>Sheet1!$D$1</c:f>
              <c:strCache>
                <c:ptCount val="1"/>
                <c:pt idx="0">
                  <c:v>系列 3</c:v>
                </c:pt>
              </c:strCache>
            </c:strRef>
          </c:tx>
          <c:spPr>
            <a:solidFill>
              <a:schemeClr val="accent3"/>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c:f>
              <c:strCache>
                <c:ptCount val="1"/>
                <c:pt idx="0">
                  <c:v>单位：万元</c:v>
                </c:pt>
              </c:strCache>
            </c:strRef>
          </c:cat>
          <c:val>
            <c:numRef>
              <c:f>Sheet1!$D$2</c:f>
              <c:numCache>
                <c:formatCode>General</c:formatCode>
                <c:ptCount val="1"/>
                <c:pt idx="0">
                  <c:v>2</c:v>
                </c:pt>
              </c:numCache>
            </c:numRef>
          </c:val>
        </c:ser>
        <c:dLbls>
          <c:showLegendKey val="0"/>
          <c:showVal val="1"/>
          <c:showCatName val="0"/>
          <c:showSerName val="0"/>
          <c:showPercent val="0"/>
          <c:showBubbleSize val="0"/>
        </c:dLbls>
        <c:gapWidth val="246"/>
        <c:overlap val="-28"/>
        <c:axId val="869001064"/>
        <c:axId val="526538067"/>
      </c:barChart>
      <c:catAx>
        <c:axId val="86900106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6538067"/>
        <c:crosses val="autoZero"/>
        <c:auto val="1"/>
        <c:lblAlgn val="ctr"/>
        <c:lblOffset val="100"/>
        <c:noMultiLvlLbl val="0"/>
      </c:catAx>
      <c:valAx>
        <c:axId val="52653806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90010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fdad1c3-9e56-4b7e-9678-9b101bedff1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a:t>
            </a:r>
          </a:p>
        </c:rich>
      </c:tx>
      <c:layout/>
      <c:overlay val="0"/>
      <c:spPr>
        <a:noFill/>
        <a:ln>
          <a:noFill/>
        </a:ln>
        <a:effectLst/>
      </c:spPr>
    </c:title>
    <c:autoTitleDeleted val="0"/>
    <c:plotArea>
      <c:layout/>
      <c:pieChart>
        <c:varyColors val="1"/>
        <c:ser>
          <c:idx val="1"/>
          <c:order val="0"/>
          <c:tx>
            <c:strRef>
              <c:f>Sheet1!$B$1</c:f>
              <c:strCache>
                <c:ptCount val="1"/>
                <c:pt idx="0">
                  <c:v>一般公共预算财政拨款支出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1"/>
              <c:layout/>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2"/>
              <c:layout/>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3"/>
              <c:layout/>
              <c:dLblPos val="inEnd"/>
              <c:showLegendKey val="0"/>
              <c:showVal val="1"/>
              <c:showCatName val="0"/>
              <c:showSerName val="0"/>
              <c:showPercent val="0"/>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社会保障和就业支出</c:v>
                </c:pt>
                <c:pt idx="1">
                  <c:v>卫生健康支出</c:v>
                </c:pt>
                <c:pt idx="2">
                  <c:v>农林水支出</c:v>
                </c:pt>
                <c:pt idx="3">
                  <c:v>住房保障支出</c:v>
                </c:pt>
              </c:strCache>
            </c:strRef>
          </c:cat>
          <c:val>
            <c:numRef>
              <c:f>Sheet1!$B$2:$B$5</c:f>
              <c:numCache>
                <c:formatCode>General</c:formatCode>
                <c:ptCount val="4"/>
                <c:pt idx="0">
                  <c:v>47.43</c:v>
                </c:pt>
                <c:pt idx="1">
                  <c:v>20.72</c:v>
                </c:pt>
                <c:pt idx="2" c:formatCode="#,##0.00">
                  <c:v>244.56</c:v>
                </c:pt>
                <c:pt idx="3">
                  <c:v>28.86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82e5a4f-962e-49fc-8aa1-633afc8b333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spPr>
      <a:bodyPr rot="0" vertOverflow="overflow" horzOverflow="overflow" vert="horz" wrap="square" lIns="91440" tIns="45720" rIns="91440" bIns="45720" numCol="1" spcCol="0" rtlCol="0" fromWordArt="0" anchor="t" anchorCtr="0" forceAA="0" compatLnSpc="1">
        <a:noAutofit/>
      </a:bodyPr>
      <a:lstStyle/>
      <a:style>
        <a:lnRef idx="0">
          <a:schemeClr val="accent1"/>
        </a:lnRef>
        <a:fillRef idx="0">
          <a:schemeClr val="accent1"/>
        </a:fillRef>
        <a:effectRef idx="0">
          <a:schemeClr val="accent1"/>
        </a:effectRef>
        <a:fontRef idx="minor">
          <a:schemeClr val="dk1"/>
        </a:fontRef>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503</Words>
  <Characters>757</Characters>
  <Lines>61</Lines>
  <Paragraphs>17</Paragraphs>
  <TotalTime>6</TotalTime>
  <ScaleCrop>false</ScaleCrop>
  <LinksUpToDate>false</LinksUpToDate>
  <CharactersWithSpaces>819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足迹</cp:lastModifiedBy>
  <cp:lastPrinted>2026-08-26T10:58:00Z</cp:lastPrinted>
  <dcterms:modified xsi:type="dcterms:W3CDTF">2026-08-26T07:33:04Z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48CF1C53EDBB40C2B6862B55369D4D79_13</vt:lpwstr>
  </property>
  <property fmtid="{D5CDD505-2E9C-101B-9397-08002B2CF9AE}" pid="4" name="KSOTemplateDocerSaveRecord">
    <vt:lpwstr>eyJoZGlkIjoiY2RkMzMzODc2N2FiZTcxZGYzYTlmMWJkNzA0MzFlZWUiLCJ1c2VySWQiOiI0NTQ1NjM2MjkifQ==</vt:lpwstr>
  </property>
</Properties>
</file>