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64BDE6">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06267"/>
      <w:bookmarkStart w:id="1" w:name="_Toc15396476"/>
      <w:bookmarkStart w:id="2" w:name="_Toc15377426"/>
      <w:bookmarkStart w:id="3" w:name="_Toc15377194"/>
      <w:bookmarkStart w:id="4" w:name="_Toc15396598"/>
      <w:bookmarkStart w:id="5" w:name="_Toc15378442"/>
    </w:p>
    <w:p w14:paraId="37E426A3">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2F21476A">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20ED00FB">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20042A5">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年度四川省</w:t>
      </w:r>
      <w:bookmarkEnd w:id="0"/>
      <w:bookmarkStart w:id="6" w:name="_Toc15306268"/>
      <w:r>
        <w:rPr>
          <w:rFonts w:hint="eastAsia" w:ascii="Times New Roman" w:eastAsia="方正小标宋简体" w:cs="Times New Roman"/>
          <w:color w:val="auto"/>
          <w:kern w:val="2"/>
          <w:sz w:val="44"/>
          <w:szCs w:val="44"/>
          <w:highlight w:val="none"/>
          <w:lang w:val="en-US" w:eastAsia="zh-CN" w:bidi="ar-SA"/>
        </w:rPr>
        <w:t>阿坝州</w:t>
      </w:r>
    </w:p>
    <w:p w14:paraId="68B2BDA4">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茂县沟口镇人民政府</w:t>
      </w:r>
      <w:r>
        <w:rPr>
          <w:rFonts w:hint="eastAsia" w:ascii="Times New Roman" w:hAnsi="Times New Roman" w:eastAsia="方正小标宋简体" w:cs="Times New Roman"/>
          <w:color w:val="auto"/>
          <w:kern w:val="2"/>
          <w:sz w:val="44"/>
          <w:szCs w:val="44"/>
          <w:highlight w:val="none"/>
          <w:lang w:val="en-US" w:eastAsia="zh-CN" w:bidi="ar-SA"/>
        </w:rPr>
        <w:t>决算</w:t>
      </w:r>
      <w:bookmarkEnd w:id="1"/>
      <w:bookmarkEnd w:id="2"/>
      <w:bookmarkEnd w:id="3"/>
      <w:bookmarkEnd w:id="4"/>
      <w:bookmarkEnd w:id="5"/>
      <w:bookmarkEnd w:id="6"/>
      <w:r>
        <w:rPr>
          <w:rFonts w:hint="eastAsia" w:ascii="Times New Roman" w:eastAsia="方正小标宋简体" w:cs="Times New Roman"/>
          <w:color w:val="auto"/>
          <w:kern w:val="2"/>
          <w:sz w:val="44"/>
          <w:szCs w:val="44"/>
          <w:highlight w:val="none"/>
          <w:lang w:val="en-US" w:eastAsia="zh-CN" w:bidi="ar-SA"/>
        </w:rPr>
        <w:t>公开报告</w:t>
      </w:r>
    </w:p>
    <w:p w14:paraId="47211D51">
      <w:pPr>
        <w:widowControl/>
        <w:jc w:val="center"/>
        <w:rPr>
          <w:rFonts w:ascii="Times New Roman" w:hAnsi="Times New Roman" w:eastAsia="黑体" w:cstheme="minorBidi"/>
          <w:color w:val="auto"/>
          <w:sz w:val="28"/>
          <w:szCs w:val="2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14:paraId="30FD6539">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80245"/>
        <w15:color w:val="DBDBDB"/>
        <w:docPartObj>
          <w:docPartGallery w:val="Table of Contents"/>
          <w:docPartUnique/>
        </w:docPartObj>
      </w:sdtPr>
      <w:sdtEndPr>
        <w:rPr>
          <w:rFonts w:ascii="Times New Roman" w:hAnsi="Times New Roman" w:eastAsia="宋体" w:cs="Times New Roman"/>
          <w:kern w:val="2"/>
          <w:sz w:val="18"/>
          <w:szCs w:val="18"/>
          <w:lang w:val="en-US" w:eastAsia="zh-CN" w:bidi="ar-SA"/>
        </w:rPr>
      </w:sdtEndPr>
      <w:sdtContent>
        <w:p w14:paraId="300EC93F">
          <w:pPr>
            <w:keepNext w:val="0"/>
            <w:keepLines w:val="0"/>
            <w:pageBreakBefore w:val="0"/>
            <w:widowControl w:val="0"/>
            <w:kinsoku/>
            <w:wordWrap/>
            <w:overflowPunct/>
            <w:topLinePunct w:val="0"/>
            <w:autoSpaceDE/>
            <w:autoSpaceDN/>
            <w:bidi w:val="0"/>
            <w:adjustRightInd/>
            <w:spacing w:before="0" w:after="0" w:line="576" w:lineRule="exact"/>
            <w:ind w:left="0" w:leftChars="0" w:right="0" w:rightChars="0" w:firstLine="0" w:firstLineChars="0"/>
            <w:jc w:val="left"/>
            <w:textAlignment w:val="auto"/>
          </w:pPr>
          <w:r>
            <w:rPr>
              <w:rFonts w:hint="eastAsia" w:ascii="宋体" w:hAnsi="宋体" w:cs="Times New Roman"/>
              <w:kern w:val="2"/>
              <w:sz w:val="21"/>
              <w:szCs w:val="24"/>
              <w:lang w:val="en-US" w:eastAsia="zh-CN" w:bidi="ar-SA"/>
            </w:rPr>
            <w:t xml:space="preserve"> </w:t>
          </w:r>
          <w:r>
            <w:fldChar w:fldCharType="begin"/>
          </w:r>
          <w:r>
            <w:instrText xml:space="preserve">TOC \o "1-2" \h \u </w:instrText>
          </w:r>
          <w:r>
            <w:fldChar w:fldCharType="separate"/>
          </w:r>
          <w:r>
            <w:rPr>
              <w:rFonts w:hint="eastAsia" w:ascii="Times New Roman" w:hAnsi="Times New Roman" w:eastAsia="方正小标宋简体" w:cs="方正小标宋简体"/>
              <w:kern w:val="2"/>
              <w:sz w:val="28"/>
              <w:szCs w:val="28"/>
              <w:highlight w:val="none"/>
              <w:lang w:val="en-US" w:eastAsia="zh-CN" w:bidi="ar-SA"/>
            </w:rPr>
            <w:fldChar w:fldCharType="begin"/>
          </w:r>
          <w:r>
            <w:rPr>
              <w:rFonts w:hint="eastAsia" w:ascii="Times New Roman" w:hAnsi="Times New Roman" w:eastAsia="方正小标宋简体" w:cs="方正小标宋简体"/>
              <w:kern w:val="2"/>
              <w:sz w:val="28"/>
              <w:szCs w:val="28"/>
              <w:highlight w:val="none"/>
              <w:lang w:val="en-US" w:eastAsia="zh-CN" w:bidi="ar-SA"/>
            </w:rPr>
            <w:instrText xml:space="preserve"> HYPERLINK \l _Toc32092 </w:instrText>
          </w:r>
          <w:r>
            <w:rPr>
              <w:rFonts w:hint="eastAsia" w:ascii="Times New Roman" w:hAnsi="Times New Roman" w:eastAsia="方正小标宋简体" w:cs="方正小标宋简体"/>
              <w:kern w:val="2"/>
              <w:sz w:val="28"/>
              <w:szCs w:val="28"/>
              <w:highlight w:val="none"/>
              <w:lang w:val="en-US" w:eastAsia="zh-CN" w:bidi="ar-SA"/>
            </w:rPr>
            <w:fldChar w:fldCharType="separate"/>
          </w:r>
          <w:r>
            <w:rPr>
              <w:rFonts w:hint="eastAsia" w:ascii="Times New Roman" w:hAnsi="Times New Roman" w:eastAsia="方正小标宋简体" w:cs="方正小标宋简体"/>
              <w:kern w:val="2"/>
              <w:sz w:val="28"/>
              <w:szCs w:val="28"/>
              <w:highlight w:val="none"/>
              <w:lang w:val="en-US" w:eastAsia="zh-CN" w:bidi="ar-SA"/>
            </w:rPr>
            <w:t>第一部分  部门概况</w:t>
          </w:r>
          <w:r>
            <w:rPr>
              <w:rFonts w:hint="eastAsia" w:ascii="Times New Roman" w:hAnsi="Times New Roman" w:eastAsia="方正小标宋简体" w:cs="方正小标宋简体"/>
              <w:kern w:val="2"/>
              <w:sz w:val="28"/>
              <w:szCs w:val="28"/>
              <w:highlight w:val="none"/>
              <w:lang w:val="en-US" w:eastAsia="zh-CN" w:bidi="ar-SA"/>
            </w:rPr>
            <w:tab/>
          </w:r>
          <w:r>
            <w:rPr>
              <w:rFonts w:hint="eastAsia" w:ascii="Times New Roman" w:hAnsi="Times New Roman" w:eastAsia="方正小标宋简体" w:cs="方正小标宋简体"/>
              <w:kern w:val="2"/>
              <w:sz w:val="28"/>
              <w:szCs w:val="28"/>
              <w:highlight w:val="none"/>
              <w:lang w:val="en-US" w:eastAsia="zh-CN" w:bidi="ar-SA"/>
            </w:rPr>
            <w:t xml:space="preserve">                                   </w:t>
          </w:r>
          <w:r>
            <w:rPr>
              <w:rFonts w:hint="eastAsia" w:eastAsia="方正小标宋简体" w:cs="方正小标宋简体"/>
              <w:kern w:val="2"/>
              <w:sz w:val="28"/>
              <w:szCs w:val="28"/>
              <w:highlight w:val="none"/>
              <w:lang w:val="en-US" w:eastAsia="zh-CN" w:bidi="ar-SA"/>
            </w:rPr>
            <w:t xml:space="preserve">   </w:t>
          </w:r>
          <w:r>
            <w:rPr>
              <w:rFonts w:hint="eastAsia" w:ascii="Times New Roman" w:hAnsi="Times New Roman" w:eastAsia="方正小标宋简体" w:cs="方正小标宋简体"/>
              <w:kern w:val="2"/>
              <w:sz w:val="28"/>
              <w:szCs w:val="28"/>
              <w:highlight w:val="none"/>
              <w:lang w:val="en-US" w:eastAsia="zh-CN" w:bidi="ar-SA"/>
            </w:rPr>
            <w:fldChar w:fldCharType="begin"/>
          </w:r>
          <w:r>
            <w:rPr>
              <w:rFonts w:hint="eastAsia" w:ascii="Times New Roman" w:hAnsi="Times New Roman" w:eastAsia="方正小标宋简体" w:cs="方正小标宋简体"/>
              <w:kern w:val="2"/>
              <w:sz w:val="28"/>
              <w:szCs w:val="28"/>
              <w:highlight w:val="none"/>
              <w:lang w:val="en-US" w:eastAsia="zh-CN" w:bidi="ar-SA"/>
            </w:rPr>
            <w:instrText xml:space="preserve"> PAGEREF _Toc32092 \h </w:instrText>
          </w:r>
          <w:r>
            <w:rPr>
              <w:rFonts w:hint="eastAsia" w:ascii="Times New Roman" w:hAnsi="Times New Roman" w:eastAsia="方正小标宋简体" w:cs="方正小标宋简体"/>
              <w:kern w:val="2"/>
              <w:sz w:val="28"/>
              <w:szCs w:val="28"/>
              <w:highlight w:val="none"/>
              <w:lang w:val="en-US" w:eastAsia="zh-CN" w:bidi="ar-SA"/>
            </w:rPr>
            <w:fldChar w:fldCharType="separate"/>
          </w:r>
          <w:r>
            <w:rPr>
              <w:rFonts w:hint="eastAsia" w:ascii="Times New Roman" w:hAnsi="Times New Roman" w:eastAsia="方正小标宋简体" w:cs="方正小标宋简体"/>
              <w:kern w:val="2"/>
              <w:sz w:val="28"/>
              <w:szCs w:val="28"/>
              <w:highlight w:val="none"/>
              <w:lang w:val="en-US" w:eastAsia="zh-CN" w:bidi="ar-SA"/>
            </w:rPr>
            <w:t>4</w:t>
          </w:r>
          <w:r>
            <w:rPr>
              <w:rFonts w:hint="eastAsia" w:ascii="Times New Roman" w:hAnsi="Times New Roman" w:eastAsia="方正小标宋简体" w:cs="方正小标宋简体"/>
              <w:kern w:val="2"/>
              <w:sz w:val="28"/>
              <w:szCs w:val="28"/>
              <w:highlight w:val="none"/>
              <w:lang w:val="en-US" w:eastAsia="zh-CN" w:bidi="ar-SA"/>
            </w:rPr>
            <w:fldChar w:fldCharType="end"/>
          </w:r>
          <w:r>
            <w:rPr>
              <w:rFonts w:hint="eastAsia" w:ascii="Times New Roman" w:hAnsi="Times New Roman" w:eastAsia="方正小标宋简体" w:cs="方正小标宋简体"/>
              <w:kern w:val="2"/>
              <w:sz w:val="28"/>
              <w:szCs w:val="28"/>
              <w:highlight w:val="none"/>
              <w:lang w:val="en-US" w:eastAsia="zh-CN" w:bidi="ar-SA"/>
            </w:rPr>
            <w:fldChar w:fldCharType="end"/>
          </w:r>
        </w:p>
        <w:p w14:paraId="7954B90F">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_Toc3715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rPr>
              <w:rFonts w:hint="eastAsia" w:eastAsia="黑体"/>
              <w:highlight w:val="none"/>
              <w:lang w:val="en-US" w:eastAsia="zh-CN"/>
            </w:rPr>
            <w:t xml:space="preserve">                                                                </w:t>
          </w:r>
          <w:r>
            <w:fldChar w:fldCharType="begin"/>
          </w:r>
          <w:r>
            <w:instrText xml:space="preserve"> PAGEREF _Toc3715 \h </w:instrText>
          </w:r>
          <w:r>
            <w:fldChar w:fldCharType="separate"/>
          </w:r>
          <w:r>
            <w:t xml:space="preserve"> </w:t>
          </w:r>
          <w:r>
            <w:rPr>
              <w:rFonts w:hint="eastAsia"/>
              <w:lang w:val="en-US" w:eastAsia="zh-CN"/>
            </w:rPr>
            <w:t xml:space="preserve"> </w:t>
          </w:r>
          <w:r>
            <w:t xml:space="preserve">4 </w:t>
          </w:r>
          <w:r>
            <w:fldChar w:fldCharType="end"/>
          </w:r>
          <w:r>
            <w:fldChar w:fldCharType="end"/>
          </w:r>
        </w:p>
        <w:p w14:paraId="484682D1">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_Toc31591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rPr>
              <w:rFonts w:hint="eastAsia"/>
              <w:lang w:val="en-US" w:eastAsia="zh-CN"/>
            </w:rPr>
            <w:t xml:space="preserve"> </w:t>
          </w:r>
          <w:r>
            <w:fldChar w:fldCharType="begin"/>
          </w:r>
          <w:r>
            <w:instrText xml:space="preserve"> PAGEREF _Toc31591 \h </w:instrText>
          </w:r>
          <w:r>
            <w:fldChar w:fldCharType="separate"/>
          </w:r>
          <w:r>
            <w:t>5</w:t>
          </w:r>
          <w:r>
            <w:fldChar w:fldCharType="end"/>
          </w:r>
          <w:r>
            <w:fldChar w:fldCharType="end"/>
          </w:r>
        </w:p>
        <w:p w14:paraId="77F03044">
          <w:pPr>
            <w:pStyle w:val="12"/>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_Toc3874 </w:instrText>
          </w:r>
          <w:r>
            <w:fldChar w:fldCharType="separate"/>
          </w:r>
          <w:r>
            <w:rPr>
              <w:rFonts w:hint="eastAsia" w:ascii="Times New Roman" w:hAnsi="Times New Roman" w:eastAsia="方正小标宋简体" w:cs="方正小标宋简体"/>
              <w:highlight w:val="none"/>
            </w:rPr>
            <w:t>第二部分</w:t>
          </w:r>
          <w:r>
            <w:tab/>
          </w:r>
          <w:r>
            <w:fldChar w:fldCharType="begin"/>
          </w:r>
          <w:r>
            <w:instrText xml:space="preserve"> PAGEREF _Toc3874 \h </w:instrText>
          </w:r>
          <w:r>
            <w:fldChar w:fldCharType="separate"/>
          </w:r>
          <w:r>
            <w:t xml:space="preserve">5 </w:t>
          </w:r>
          <w:r>
            <w:fldChar w:fldCharType="end"/>
          </w:r>
          <w:r>
            <w:fldChar w:fldCharType="end"/>
          </w:r>
        </w:p>
        <w:p w14:paraId="24BD0C09">
          <w:pPr>
            <w:pStyle w:val="12"/>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_Toc21098 </w:instrText>
          </w:r>
          <w:r>
            <w:fldChar w:fldCharType="separate"/>
          </w:r>
          <w:r>
            <w:rPr>
              <w:rFonts w:hint="eastAsia" w:ascii="Times New Roman" w:hAnsi="Times New Roman" w:eastAsia="方正小标宋简体" w:cs="方正小标宋简体"/>
              <w:sz w:val="24"/>
              <w:szCs w:val="24"/>
              <w:highlight w:val="none"/>
              <w:lang w:val="en-US" w:eastAsia="zh-CN"/>
            </w:rPr>
            <w:t>2024年度</w:t>
          </w:r>
          <w:r>
            <w:rPr>
              <w:rFonts w:hint="eastAsia" w:ascii="Times New Roman" w:hAnsi="Times New Roman" w:eastAsia="方正小标宋简体" w:cs="方正小标宋简体"/>
              <w:sz w:val="24"/>
              <w:szCs w:val="24"/>
              <w:highlight w:val="none"/>
            </w:rPr>
            <w:t>部门决算情况说明</w:t>
          </w:r>
          <w:r>
            <w:tab/>
          </w:r>
          <w:r>
            <w:fldChar w:fldCharType="begin"/>
          </w:r>
          <w:r>
            <w:instrText xml:space="preserve"> PAGEREF _Toc21098 \h </w:instrText>
          </w:r>
          <w:r>
            <w:fldChar w:fldCharType="separate"/>
          </w:r>
          <w:r>
            <w:t xml:space="preserve"> 6 </w:t>
          </w:r>
          <w:r>
            <w:fldChar w:fldCharType="end"/>
          </w:r>
          <w:r>
            <w:fldChar w:fldCharType="end"/>
          </w:r>
        </w:p>
        <w:p w14:paraId="6811FE57">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_Toc9239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_Toc9239 \h </w:instrText>
          </w:r>
          <w:r>
            <w:fldChar w:fldCharType="separate"/>
          </w:r>
          <w:r>
            <w:t xml:space="preserve">6 </w:t>
          </w:r>
          <w:r>
            <w:fldChar w:fldCharType="end"/>
          </w:r>
          <w:r>
            <w:fldChar w:fldCharType="end"/>
          </w:r>
        </w:p>
        <w:p w14:paraId="11141398">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_Toc22450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_Toc22450 \h </w:instrText>
          </w:r>
          <w:r>
            <w:fldChar w:fldCharType="separate"/>
          </w:r>
          <w:r>
            <w:t xml:space="preserve">6 </w:t>
          </w:r>
          <w:r>
            <w:fldChar w:fldCharType="end"/>
          </w:r>
          <w:r>
            <w:fldChar w:fldCharType="end"/>
          </w:r>
        </w:p>
        <w:p w14:paraId="6B3D6F5D">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_Toc15169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_Toc15169 \h </w:instrText>
          </w:r>
          <w:r>
            <w:fldChar w:fldCharType="separate"/>
          </w:r>
          <w:r>
            <w:t xml:space="preserve">7 </w:t>
          </w:r>
          <w:r>
            <w:fldChar w:fldCharType="end"/>
          </w:r>
          <w:r>
            <w:fldChar w:fldCharType="end"/>
          </w:r>
        </w:p>
        <w:p w14:paraId="297DF97C">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_Toc30230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_Toc30230 \h </w:instrText>
          </w:r>
          <w:r>
            <w:fldChar w:fldCharType="separate"/>
          </w:r>
          <w:r>
            <w:t xml:space="preserve">7 </w:t>
          </w:r>
          <w:r>
            <w:fldChar w:fldCharType="end"/>
          </w:r>
          <w:r>
            <w:fldChar w:fldCharType="end"/>
          </w:r>
        </w:p>
        <w:p w14:paraId="2AF1B9A7">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_Toc19579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_Toc19579 \h </w:instrText>
          </w:r>
          <w:r>
            <w:fldChar w:fldCharType="separate"/>
          </w:r>
          <w:r>
            <w:t xml:space="preserve">8 </w:t>
          </w:r>
          <w:r>
            <w:fldChar w:fldCharType="end"/>
          </w:r>
          <w:r>
            <w:fldChar w:fldCharType="end"/>
          </w:r>
        </w:p>
        <w:p w14:paraId="4979AE85">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_Toc32164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_Toc32164 \h </w:instrText>
          </w:r>
          <w:r>
            <w:fldChar w:fldCharType="separate"/>
          </w:r>
          <w:r>
            <w:t xml:space="preserve">10 </w:t>
          </w:r>
          <w:r>
            <w:fldChar w:fldCharType="end"/>
          </w:r>
          <w:r>
            <w:fldChar w:fldCharType="end"/>
          </w:r>
        </w:p>
        <w:p w14:paraId="015DC57B">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_Toc30288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_Toc30288 \h </w:instrText>
          </w:r>
          <w:r>
            <w:fldChar w:fldCharType="separate"/>
          </w:r>
          <w:r>
            <w:t xml:space="preserve"> 12</w:t>
          </w:r>
          <w:r>
            <w:fldChar w:fldCharType="end"/>
          </w:r>
          <w:r>
            <w:fldChar w:fldCharType="end"/>
          </w:r>
        </w:p>
        <w:p w14:paraId="68BADB79">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_Toc11336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_Toc11336 \h </w:instrText>
          </w:r>
          <w:r>
            <w:fldChar w:fldCharType="separate"/>
          </w:r>
          <w:r>
            <w:t xml:space="preserve">13 </w:t>
          </w:r>
          <w:r>
            <w:fldChar w:fldCharType="end"/>
          </w:r>
          <w:r>
            <w:fldChar w:fldCharType="end"/>
          </w:r>
        </w:p>
        <w:p w14:paraId="65C42FD3">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_Toc7448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_Toc7448 \h </w:instrText>
          </w:r>
          <w:r>
            <w:fldChar w:fldCharType="separate"/>
          </w:r>
          <w:r>
            <w:t xml:space="preserve"> 13</w:t>
          </w:r>
          <w:r>
            <w:fldChar w:fldCharType="end"/>
          </w:r>
          <w:r>
            <w:fldChar w:fldCharType="end"/>
          </w:r>
        </w:p>
        <w:p w14:paraId="593C37BF">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_Toc31341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_Toc31341 \h </w:instrText>
          </w:r>
          <w:r>
            <w:fldChar w:fldCharType="separate"/>
          </w:r>
          <w:r>
            <w:t xml:space="preserve">13 </w:t>
          </w:r>
          <w:r>
            <w:fldChar w:fldCharType="end"/>
          </w:r>
          <w:r>
            <w:fldChar w:fldCharType="end"/>
          </w:r>
        </w:p>
        <w:p w14:paraId="6685A21D">
          <w:pPr>
            <w:pStyle w:val="12"/>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_Toc23377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_Toc23377 \h </w:instrText>
          </w:r>
          <w:r>
            <w:fldChar w:fldCharType="separate"/>
          </w:r>
          <w:r>
            <w:t xml:space="preserve">14 </w:t>
          </w:r>
          <w:r>
            <w:fldChar w:fldCharType="end"/>
          </w:r>
          <w:r>
            <w:fldChar w:fldCharType="end"/>
          </w:r>
        </w:p>
        <w:p w14:paraId="7B8462E5">
          <w:pPr>
            <w:pStyle w:val="12"/>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eastAsia="仿宋"/>
              <w:lang w:val="en-US" w:eastAsia="zh-CN"/>
            </w:rPr>
          </w:pPr>
          <w:r>
            <w:fldChar w:fldCharType="begin"/>
          </w:r>
          <w:r>
            <w:instrText xml:space="preserve"> HYPERLINK \l _Toc5182 </w:instrText>
          </w:r>
          <w:r>
            <w:fldChar w:fldCharType="separate"/>
          </w:r>
          <w:r>
            <w:rPr>
              <w:rFonts w:hint="eastAsia"/>
              <w:b/>
              <w:bCs/>
            </w:rPr>
            <w:t>第四部分</w:t>
          </w:r>
          <w:r>
            <w:rPr>
              <w:rFonts w:hint="eastAsia"/>
              <w:b/>
              <w:bCs/>
              <w:lang w:val="en-US" w:eastAsia="zh-CN"/>
            </w:rPr>
            <w:t xml:space="preserve"> </w:t>
          </w:r>
          <w:r>
            <w:rPr>
              <w:rFonts w:hint="eastAsia"/>
              <w:b/>
              <w:bCs/>
            </w:rPr>
            <w:t xml:space="preserve"> 附件</w:t>
          </w:r>
          <w:r>
            <w:tab/>
          </w:r>
          <w:r>
            <w:fldChar w:fldCharType="end"/>
          </w:r>
          <w:r>
            <w:rPr>
              <w:rFonts w:hint="eastAsia"/>
              <w:lang w:val="en-US" w:eastAsia="zh-CN"/>
            </w:rPr>
            <w:t>20</w:t>
          </w:r>
        </w:p>
        <w:p w14:paraId="127B3F6F">
          <w:pPr>
            <w:pStyle w:val="12"/>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_Toc6260 </w:instrText>
          </w:r>
          <w:r>
            <w:fldChar w:fldCharType="separate"/>
          </w:r>
          <w:r>
            <w:rPr>
              <w:rFonts w:hint="eastAsia" w:ascii="黑体" w:eastAsia="黑体" w:cs="黑体"/>
              <w:bCs w:val="0"/>
            </w:rPr>
            <w:t>第五部分 附表</w:t>
          </w:r>
          <w:r>
            <w:tab/>
          </w:r>
          <w:r>
            <w:fldChar w:fldCharType="begin"/>
          </w:r>
          <w:r>
            <w:instrText xml:space="preserve"> PAGEREF _Toc6260 \h </w:instrText>
          </w:r>
          <w:r>
            <w:fldChar w:fldCharType="separate"/>
          </w:r>
          <w:r>
            <w:t xml:space="preserve"> 26 </w:t>
          </w:r>
          <w:r>
            <w:fldChar w:fldCharType="end"/>
          </w:r>
          <w:r>
            <w:fldChar w:fldCharType="end"/>
          </w:r>
        </w:p>
        <w:p w14:paraId="652B311F">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_Toc10262 </w:instrText>
          </w:r>
          <w:r>
            <w:fldChar w:fldCharType="separate"/>
          </w:r>
          <w:r>
            <w:rPr>
              <w:rFonts w:hint="eastAsia" w:ascii="黑体" w:eastAsia="黑体" w:cs="Times New Roman"/>
              <w:bCs w:val="0"/>
            </w:rPr>
            <w:t>一、收入支出决算总表</w:t>
          </w:r>
          <w:r>
            <w:tab/>
          </w:r>
          <w:r>
            <w:fldChar w:fldCharType="begin"/>
          </w:r>
          <w:r>
            <w:instrText xml:space="preserve"> PAGEREF _Toc10262 \h </w:instrText>
          </w:r>
          <w:r>
            <w:fldChar w:fldCharType="separate"/>
          </w:r>
          <w:r>
            <w:t xml:space="preserve"> 34</w:t>
          </w:r>
          <w:r>
            <w:fldChar w:fldCharType="end"/>
          </w:r>
          <w:r>
            <w:fldChar w:fldCharType="end"/>
          </w:r>
        </w:p>
        <w:p w14:paraId="5CB5CE17">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_Toc1559 </w:instrText>
          </w:r>
          <w:r>
            <w:fldChar w:fldCharType="separate"/>
          </w:r>
          <w:r>
            <w:rPr>
              <w:rFonts w:hint="eastAsia" w:ascii="黑体" w:eastAsia="黑体" w:cs="Times New Roman"/>
              <w:bCs w:val="0"/>
            </w:rPr>
            <w:t>二、收入决算表</w:t>
          </w:r>
          <w:r>
            <w:tab/>
          </w:r>
          <w:r>
            <w:fldChar w:fldCharType="begin"/>
          </w:r>
          <w:r>
            <w:instrText xml:space="preserve"> PAGEREF _Toc1559 \h </w:instrText>
          </w:r>
          <w:r>
            <w:fldChar w:fldCharType="separate"/>
          </w:r>
          <w:r>
            <w:t xml:space="preserve"> 34 </w:t>
          </w:r>
          <w:r>
            <w:fldChar w:fldCharType="end"/>
          </w:r>
          <w:r>
            <w:fldChar w:fldCharType="end"/>
          </w:r>
        </w:p>
        <w:p w14:paraId="31522494">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_Toc21000 </w:instrText>
          </w:r>
          <w:r>
            <w:fldChar w:fldCharType="separate"/>
          </w:r>
          <w:r>
            <w:rPr>
              <w:rFonts w:hint="eastAsia" w:ascii="黑体" w:eastAsia="黑体" w:cs="Times New Roman"/>
              <w:bCs w:val="0"/>
            </w:rPr>
            <w:t>三、支出决算表</w:t>
          </w:r>
          <w:r>
            <w:tab/>
          </w:r>
          <w:r>
            <w:fldChar w:fldCharType="begin"/>
          </w:r>
          <w:r>
            <w:instrText xml:space="preserve"> PAGEREF _Toc21000 \h </w:instrText>
          </w:r>
          <w:r>
            <w:fldChar w:fldCharType="separate"/>
          </w:r>
          <w:r>
            <w:t xml:space="preserve">34 </w:t>
          </w:r>
          <w:r>
            <w:fldChar w:fldCharType="end"/>
          </w:r>
          <w:r>
            <w:fldChar w:fldCharType="end"/>
          </w:r>
        </w:p>
        <w:p w14:paraId="3A35A113">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_Toc25926 </w:instrText>
          </w:r>
          <w:r>
            <w:fldChar w:fldCharType="separate"/>
          </w:r>
          <w:r>
            <w:rPr>
              <w:rFonts w:hint="eastAsia" w:ascii="黑体" w:eastAsia="黑体" w:cs="Times New Roman"/>
              <w:bCs w:val="0"/>
            </w:rPr>
            <w:t>四、财政拨款收入支出决算总表</w:t>
          </w:r>
          <w:r>
            <w:tab/>
          </w:r>
          <w:r>
            <w:fldChar w:fldCharType="begin"/>
          </w:r>
          <w:r>
            <w:instrText xml:space="preserve"> PAGEREF _Toc25926 \h </w:instrText>
          </w:r>
          <w:r>
            <w:fldChar w:fldCharType="separate"/>
          </w:r>
          <w:r>
            <w:t xml:space="preserve"> 34 </w:t>
          </w:r>
          <w:r>
            <w:fldChar w:fldCharType="end"/>
          </w:r>
          <w:r>
            <w:fldChar w:fldCharType="end"/>
          </w:r>
        </w:p>
        <w:p w14:paraId="73B4C8CC">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_Toc2957 </w:instrText>
          </w:r>
          <w:r>
            <w:fldChar w:fldCharType="separate"/>
          </w:r>
          <w:r>
            <w:rPr>
              <w:rFonts w:hint="eastAsia" w:ascii="黑体" w:eastAsia="黑体" w:cs="Times New Roman"/>
              <w:bCs w:val="0"/>
            </w:rPr>
            <w:t>五、财政拨款支出决算明细表</w:t>
          </w:r>
          <w:r>
            <w:tab/>
          </w:r>
          <w:r>
            <w:fldChar w:fldCharType="begin"/>
          </w:r>
          <w:r>
            <w:instrText xml:space="preserve"> PAGEREF _Toc2957 \h </w:instrText>
          </w:r>
          <w:r>
            <w:fldChar w:fldCharType="separate"/>
          </w:r>
          <w:r>
            <w:t xml:space="preserve">34 </w:t>
          </w:r>
          <w:r>
            <w:fldChar w:fldCharType="end"/>
          </w:r>
          <w:r>
            <w:fldChar w:fldCharType="end"/>
          </w:r>
        </w:p>
        <w:p w14:paraId="03A00268">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_Toc26915 </w:instrText>
          </w:r>
          <w:r>
            <w:fldChar w:fldCharType="separate"/>
          </w:r>
          <w:r>
            <w:rPr>
              <w:rFonts w:hint="eastAsia" w:ascii="黑体" w:eastAsia="黑体" w:cs="Times New Roman"/>
              <w:bCs w:val="0"/>
            </w:rPr>
            <w:t>六、一般公共预算财政拨款支出决算表</w:t>
          </w:r>
          <w:r>
            <w:tab/>
          </w:r>
          <w:r>
            <w:fldChar w:fldCharType="begin"/>
          </w:r>
          <w:r>
            <w:instrText xml:space="preserve"> PAGEREF _Toc26915 \h </w:instrText>
          </w:r>
          <w:r>
            <w:fldChar w:fldCharType="separate"/>
          </w:r>
          <w:r>
            <w:t xml:space="preserve">34 </w:t>
          </w:r>
          <w:r>
            <w:fldChar w:fldCharType="end"/>
          </w:r>
          <w:r>
            <w:fldChar w:fldCharType="end"/>
          </w:r>
        </w:p>
        <w:p w14:paraId="061F813C">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_Toc19918 </w:instrText>
          </w:r>
          <w:r>
            <w:fldChar w:fldCharType="separate"/>
          </w:r>
          <w:r>
            <w:rPr>
              <w:rFonts w:hint="eastAsia" w:ascii="黑体" w:eastAsia="黑体" w:cs="Times New Roman"/>
              <w:bCs w:val="0"/>
            </w:rPr>
            <w:t>七、一般公共预算财政拨款支出决算明细表</w:t>
          </w:r>
          <w:r>
            <w:tab/>
          </w:r>
          <w:r>
            <w:fldChar w:fldCharType="begin"/>
          </w:r>
          <w:r>
            <w:instrText xml:space="preserve"> PAGEREF _Toc19918 \h </w:instrText>
          </w:r>
          <w:r>
            <w:fldChar w:fldCharType="separate"/>
          </w:r>
          <w:r>
            <w:t xml:space="preserve">34 </w:t>
          </w:r>
          <w:r>
            <w:fldChar w:fldCharType="end"/>
          </w:r>
          <w:r>
            <w:fldChar w:fldCharType="end"/>
          </w:r>
        </w:p>
        <w:p w14:paraId="5A3BB12B">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_Toc7031 </w:instrText>
          </w:r>
          <w:r>
            <w:fldChar w:fldCharType="separate"/>
          </w:r>
          <w:r>
            <w:rPr>
              <w:rFonts w:hint="eastAsia" w:ascii="黑体" w:eastAsia="黑体" w:cs="Times New Roman"/>
              <w:bCs w:val="0"/>
            </w:rPr>
            <w:t>八、一般公共预算财政拨款基本支出决算表</w:t>
          </w:r>
          <w:r>
            <w:tab/>
          </w:r>
          <w:r>
            <w:fldChar w:fldCharType="begin"/>
          </w:r>
          <w:r>
            <w:instrText xml:space="preserve"> PAGEREF _Toc7031 \h </w:instrText>
          </w:r>
          <w:r>
            <w:fldChar w:fldCharType="separate"/>
          </w:r>
          <w:r>
            <w:t xml:space="preserve">34 </w:t>
          </w:r>
          <w:r>
            <w:fldChar w:fldCharType="end"/>
          </w:r>
          <w:r>
            <w:fldChar w:fldCharType="end"/>
          </w:r>
        </w:p>
        <w:p w14:paraId="0E080F28">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_Toc9131 </w:instrText>
          </w:r>
          <w:r>
            <w:fldChar w:fldCharType="separate"/>
          </w:r>
          <w:r>
            <w:rPr>
              <w:rFonts w:hint="eastAsia" w:ascii="黑体" w:eastAsia="黑体" w:cs="Times New Roman"/>
              <w:bCs w:val="0"/>
            </w:rPr>
            <w:t>九、一般公共预算财政拨款项目支出决算表</w:t>
          </w:r>
          <w:r>
            <w:tab/>
          </w:r>
          <w:r>
            <w:fldChar w:fldCharType="begin"/>
          </w:r>
          <w:r>
            <w:instrText xml:space="preserve"> PAGEREF _Toc9131 \h </w:instrText>
          </w:r>
          <w:r>
            <w:fldChar w:fldCharType="separate"/>
          </w:r>
          <w:r>
            <w:t xml:space="preserve">34 </w:t>
          </w:r>
          <w:r>
            <w:fldChar w:fldCharType="end"/>
          </w:r>
          <w:r>
            <w:fldChar w:fldCharType="end"/>
          </w:r>
        </w:p>
        <w:p w14:paraId="4A322786">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_Toc19190 </w:instrText>
          </w:r>
          <w:r>
            <w:fldChar w:fldCharType="separate"/>
          </w:r>
          <w:r>
            <w:rPr>
              <w:rFonts w:hint="eastAsia" w:ascii="黑体" w:eastAsia="黑体" w:cs="Times New Roman"/>
              <w:bCs w:val="0"/>
            </w:rPr>
            <w:t>十、政府性基金预算财政拨款收入支出决算表</w:t>
          </w:r>
          <w:r>
            <w:tab/>
          </w:r>
          <w:r>
            <w:fldChar w:fldCharType="begin"/>
          </w:r>
          <w:r>
            <w:instrText xml:space="preserve"> PAGEREF _Toc19190 \h </w:instrText>
          </w:r>
          <w:r>
            <w:fldChar w:fldCharType="separate"/>
          </w:r>
          <w:r>
            <w:t xml:space="preserve"> 34 </w:t>
          </w:r>
          <w:r>
            <w:fldChar w:fldCharType="end"/>
          </w:r>
          <w:r>
            <w:fldChar w:fldCharType="end"/>
          </w:r>
        </w:p>
        <w:p w14:paraId="1E7EE71A">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_Toc6932 </w:instrText>
          </w:r>
          <w:r>
            <w:fldChar w:fldCharType="separate"/>
          </w:r>
          <w:r>
            <w:rPr>
              <w:rFonts w:hint="eastAsia" w:ascii="黑体" w:eastAsia="黑体" w:cs="Times New Roman"/>
              <w:bCs w:val="0"/>
            </w:rPr>
            <w:t>十一、国有资本经营预算财政拨款收入支出决算表</w:t>
          </w:r>
          <w:r>
            <w:tab/>
          </w:r>
          <w:r>
            <w:fldChar w:fldCharType="begin"/>
          </w:r>
          <w:r>
            <w:instrText xml:space="preserve"> PAGEREF _Toc6932 \h </w:instrText>
          </w:r>
          <w:r>
            <w:fldChar w:fldCharType="separate"/>
          </w:r>
          <w:r>
            <w:t xml:space="preserve"> 34 </w:t>
          </w:r>
          <w:r>
            <w:fldChar w:fldCharType="end"/>
          </w:r>
          <w:r>
            <w:fldChar w:fldCharType="end"/>
          </w:r>
        </w:p>
        <w:p w14:paraId="4F87D651">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_Toc1966 </w:instrText>
          </w:r>
          <w:r>
            <w:fldChar w:fldCharType="separate"/>
          </w:r>
          <w:r>
            <w:rPr>
              <w:rFonts w:hint="eastAsia" w:ascii="黑体" w:eastAsia="黑体" w:cs="Times New Roman"/>
              <w:bCs w:val="0"/>
            </w:rPr>
            <w:t>十二、国有资本经营预算财政拨款支出决算表</w:t>
          </w:r>
          <w:r>
            <w:tab/>
          </w:r>
          <w:r>
            <w:fldChar w:fldCharType="begin"/>
          </w:r>
          <w:r>
            <w:instrText xml:space="preserve"> PAGEREF _Toc1966 \h </w:instrText>
          </w:r>
          <w:r>
            <w:fldChar w:fldCharType="separate"/>
          </w:r>
          <w:r>
            <w:t xml:space="preserve"> 34 </w:t>
          </w:r>
          <w:r>
            <w:fldChar w:fldCharType="end"/>
          </w:r>
          <w:r>
            <w:fldChar w:fldCharType="end"/>
          </w:r>
        </w:p>
        <w:p w14:paraId="7CDDA70C">
          <w:pPr>
            <w:pStyle w:val="16"/>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_Toc24118 </w:instrText>
          </w:r>
          <w:r>
            <w:fldChar w:fldCharType="separate"/>
          </w:r>
          <w:r>
            <w:rPr>
              <w:rFonts w:hint="eastAsia" w:ascii="黑体" w:eastAsia="黑体" w:cs="Times New Roman"/>
              <w:bCs w:val="0"/>
            </w:rPr>
            <w:t>十三、财政拨款“三公”经费支出决算表</w:t>
          </w:r>
          <w:r>
            <w:tab/>
          </w:r>
          <w:r>
            <w:fldChar w:fldCharType="begin"/>
          </w:r>
          <w:r>
            <w:instrText xml:space="preserve"> PAGEREF _Toc24118 \h </w:instrText>
          </w:r>
          <w:r>
            <w:fldChar w:fldCharType="separate"/>
          </w:r>
          <w:r>
            <w:t xml:space="preserve">34 </w:t>
          </w:r>
          <w:r>
            <w:fldChar w:fldCharType="end"/>
          </w:r>
          <w:r>
            <w:fldChar w:fldCharType="end"/>
          </w:r>
        </w:p>
        <w:p w14:paraId="01A8EC38">
          <w:pPr>
            <w:pStyle w:val="13"/>
            <w:keepNext w:val="0"/>
            <w:keepLines w:val="0"/>
            <w:pageBreakBefore w:val="0"/>
            <w:widowControl w:val="0"/>
            <w:kinsoku/>
            <w:wordWrap/>
            <w:overflowPunct/>
            <w:topLinePunct w:val="0"/>
            <w:autoSpaceDE/>
            <w:autoSpaceDN/>
            <w:bidi w:val="0"/>
            <w:adjustRightInd/>
            <w:spacing w:line="576" w:lineRule="exact"/>
            <w:ind w:left="0" w:leftChars="0"/>
            <w:textAlignment w:val="auto"/>
            <w:rPr>
              <w:rFonts w:ascii="Times New Roman" w:hAnsi="Times New Roman" w:eastAsia="宋体" w:cs="Times New Roman"/>
              <w:kern w:val="2"/>
              <w:sz w:val="18"/>
              <w:szCs w:val="18"/>
              <w:lang w:val="en-US" w:eastAsia="zh-CN" w:bidi="ar-SA"/>
            </w:rPr>
          </w:pPr>
          <w:r>
            <w:fldChar w:fldCharType="end"/>
          </w:r>
        </w:p>
      </w:sdtContent>
    </w:sdt>
    <w:p w14:paraId="09D8D4DC">
      <w:pPr>
        <w:pStyle w:val="3"/>
        <w:ind w:firstLine="1760" w:firstLineChars="400"/>
        <w:jc w:val="both"/>
        <w:rPr>
          <w:rFonts w:hint="eastAsia" w:ascii="Times New Roman" w:hAnsi="Times New Roman" w:eastAsia="方正小标宋简体" w:cs="方正小标宋简体"/>
          <w:b w:val="0"/>
          <w:color w:val="auto"/>
          <w:highlight w:val="none"/>
        </w:rPr>
      </w:pPr>
      <w:bookmarkStart w:id="7" w:name="_Toc32092"/>
    </w:p>
    <w:p w14:paraId="12F79060">
      <w:pPr>
        <w:rPr>
          <w:rFonts w:hint="eastAsia" w:ascii="Times New Roman" w:hAnsi="Times New Roman" w:eastAsia="方正小标宋简体" w:cs="方正小标宋简体"/>
          <w:b w:val="0"/>
          <w:color w:val="auto"/>
          <w:highlight w:val="none"/>
        </w:rPr>
      </w:pPr>
    </w:p>
    <w:p w14:paraId="49EA2A22">
      <w:pPr>
        <w:pStyle w:val="13"/>
        <w:rPr>
          <w:rFonts w:hint="eastAsia"/>
        </w:rPr>
      </w:pPr>
    </w:p>
    <w:p w14:paraId="1F6B4F1C">
      <w:pPr>
        <w:pStyle w:val="3"/>
        <w:ind w:firstLine="2640" w:firstLineChars="600"/>
        <w:jc w:val="both"/>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7"/>
    </w:p>
    <w:p w14:paraId="43A1FFAE">
      <w:pPr>
        <w:pStyle w:val="4"/>
        <w:pageBreakBefore w:val="0"/>
        <w:widowControl w:val="0"/>
        <w:numPr>
          <w:ilvl w:val="0"/>
          <w:numId w:val="0"/>
        </w:numPr>
        <w:kinsoku/>
        <w:wordWrap/>
        <w:overflowPunct/>
        <w:topLinePunct w:val="0"/>
        <w:autoSpaceDE/>
        <w:autoSpaceDN/>
        <w:bidi w:val="0"/>
        <w:spacing w:before="0" w:after="0" w:line="576" w:lineRule="exact"/>
        <w:ind w:firstLine="640" w:firstLineChars="200"/>
        <w:textAlignment w:val="auto"/>
        <w:rPr>
          <w:rFonts w:hint="eastAsia" w:ascii="Times New Roman" w:hAnsi="Times New Roman" w:eastAsia="黑体"/>
          <w:b w:val="0"/>
          <w:color w:val="auto"/>
          <w:highlight w:val="none"/>
          <w:lang w:eastAsia="zh-CN"/>
        </w:rPr>
      </w:pPr>
      <w:bookmarkStart w:id="8" w:name="_Toc16363"/>
      <w:bookmarkStart w:id="9" w:name="_Toc3715"/>
      <w:r>
        <w:rPr>
          <w:rFonts w:hint="eastAsia" w:ascii="Times New Roman" w:hAnsi="Times New Roman" w:eastAsia="黑体"/>
          <w:b w:val="0"/>
          <w:color w:val="auto"/>
          <w:highlight w:val="none"/>
          <w:lang w:eastAsia="zh-CN"/>
        </w:rPr>
        <w:t>一、部门职责</w:t>
      </w:r>
      <w:bookmarkEnd w:id="8"/>
      <w:bookmarkEnd w:id="9"/>
    </w:p>
    <w:p w14:paraId="760D413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贯彻执行党和国家的路线方针政策和上级党委、政府各项决策部署，以及本级党员代表大会（党员大会）、人民代表大会的决议决定。</w:t>
      </w:r>
    </w:p>
    <w:p w14:paraId="2CBE216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14:paraId="0DEF98C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bookmarkStart w:id="10" w:name="_Toc79163854"/>
      <w:bookmarkStart w:id="11" w:name="_Toc15378446"/>
      <w:bookmarkStart w:id="12" w:name="_Toc15377199"/>
      <w:bookmarkStart w:id="13" w:name="_Toc79163604"/>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党的建设。坚持全面从严治党，落实管党治党主体责任，全面加强党的政治建设、思想建设、组织建设、作风建设、纪律建设、制度建设等工作。不断强化自身建设和村党组织建设，以及其他隶属镇党委的党组织建设，抓好发展党员工作，加强党员队伍建设。维护和执行党的纪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监督党员干部和其他工作人员严格遵守国家法律法规。</w:t>
      </w:r>
    </w:p>
    <w:p w14:paraId="33DF900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统筹区域发展。落实关于辖区发展的重大决策，制定辖区经济和社会发展规划、公共服务设施布局；负责乡村振兴工作，做好民生保障、民族宗教等工作，推动辖区经济社会健康、有序、可持续发展</w:t>
      </w:r>
      <w:r>
        <w:rPr>
          <w:rFonts w:hint="eastAsia" w:ascii="仿宋_GB2312" w:hAnsi="仿宋_GB2312" w:eastAsia="仿宋_GB2312" w:cs="仿宋_GB2312"/>
          <w:sz w:val="32"/>
          <w:szCs w:val="32"/>
          <w:lang w:eastAsia="zh-CN"/>
        </w:rPr>
        <w:t>。</w:t>
      </w:r>
    </w:p>
    <w:p w14:paraId="7CBDFA0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强化基层治理。负责本辖区社会治理，加强社会主义民主法治建设和精神文明建设，加快推进基层社会治理体系和治理能力现代化；指导村委会建设，健全自治平台，组织群众和单位参与村委会建设和管理。负责统筹协调辖区内依法授权或委托授权的行政执法工作。</w:t>
      </w:r>
    </w:p>
    <w:p w14:paraId="0D99957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color w:val="auto"/>
          <w:sz w:val="32"/>
          <w:szCs w:val="32"/>
          <w:highlight w:val="none"/>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优化公共服务。推进服务型政府建设，组织实施并优化教育、卫生健康、文化、民政、社会保障、退役军人事务等各项公共服务。</w:t>
      </w:r>
    </w:p>
    <w:p w14:paraId="3144826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 xml:space="preserve">）负责本行政区域内的民政、文化教育、卫生、体育等社会公益事业的综合性工作，维护一切经济单位和个人的正当经济权益，取缔非法经济活动，调解和处理民事纠纷，打击刑事犯罪维护社会稳定。 </w:t>
      </w:r>
    </w:p>
    <w:p w14:paraId="59D0940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eastAsia="仿宋" w:cs="仿宋"/>
          <w:sz w:val="32"/>
          <w:szCs w:val="32"/>
        </w:rPr>
      </w:pPr>
      <w:r>
        <w:rPr>
          <w:rFonts w:hint="eastAsia" w:ascii="仿宋" w:eastAsia="仿宋" w:cs="仿宋"/>
          <w:sz w:val="32"/>
          <w:szCs w:val="32"/>
        </w:rPr>
        <w:t>（</w:t>
      </w:r>
      <w:r>
        <w:rPr>
          <w:rFonts w:hint="eastAsia" w:ascii="仿宋" w:eastAsia="仿宋" w:cs="仿宋"/>
          <w:sz w:val="32"/>
          <w:szCs w:val="32"/>
          <w:lang w:val="en-US" w:eastAsia="zh-CN"/>
        </w:rPr>
        <w:t>8</w:t>
      </w:r>
      <w:r>
        <w:rPr>
          <w:rFonts w:hint="eastAsia" w:ascii="仿宋" w:eastAsia="仿宋" w:cs="仿宋"/>
          <w:sz w:val="32"/>
          <w:szCs w:val="32"/>
        </w:rPr>
        <w:t xml:space="preserve">）抓好精神文明建设，丰富群众文化生活，提倡移风易俗，反对封建迷信，破除陈规陋习，树立社会主义新风尚。 </w:t>
      </w:r>
    </w:p>
    <w:p w14:paraId="780E40E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lang w:eastAsia="zh-CN"/>
        </w:rPr>
      </w:pPr>
      <w:r>
        <w:rPr>
          <w:rFonts w:hint="eastAsia" w:ascii="仿宋" w:eastAsia="仿宋" w:cs="仿宋"/>
          <w:sz w:val="32"/>
          <w:szCs w:val="32"/>
        </w:rPr>
        <w:t>（</w:t>
      </w:r>
      <w:r>
        <w:rPr>
          <w:rFonts w:hint="eastAsia" w:ascii="仿宋" w:eastAsia="仿宋" w:cs="仿宋"/>
          <w:sz w:val="32"/>
          <w:szCs w:val="32"/>
          <w:lang w:val="en-US" w:eastAsia="zh-CN"/>
        </w:rPr>
        <w:t>9</w:t>
      </w:r>
      <w:r>
        <w:rPr>
          <w:rFonts w:hint="eastAsia" w:ascii="仿宋" w:eastAsia="仿宋" w:cs="仿宋"/>
          <w:sz w:val="32"/>
          <w:szCs w:val="32"/>
        </w:rPr>
        <w:t xml:space="preserve">）完成上级政府交办的其它事项。 </w:t>
      </w:r>
      <w:bookmarkEnd w:id="10"/>
      <w:bookmarkEnd w:id="11"/>
      <w:bookmarkEnd w:id="12"/>
      <w:bookmarkEnd w:id="13"/>
    </w:p>
    <w:p w14:paraId="3544DC88">
      <w:pPr>
        <w:pStyle w:val="4"/>
        <w:pageBreakBefore w:val="0"/>
        <w:widowControl w:val="0"/>
        <w:kinsoku/>
        <w:wordWrap/>
        <w:overflowPunct/>
        <w:topLinePunct w:val="0"/>
        <w:autoSpaceDE/>
        <w:autoSpaceDN/>
        <w:bidi w:val="0"/>
        <w:spacing w:before="0" w:after="0" w:line="576" w:lineRule="exact"/>
        <w:ind w:firstLine="640" w:firstLineChars="200"/>
        <w:textAlignment w:val="auto"/>
        <w:rPr>
          <w:rStyle w:val="30"/>
          <w:rFonts w:ascii="Times New Roman" w:hAnsi="Times New Roman"/>
          <w:b w:val="0"/>
          <w:bCs w:val="0"/>
          <w:color w:val="auto"/>
          <w:highlight w:val="none"/>
        </w:rPr>
      </w:pPr>
      <w:bookmarkStart w:id="14" w:name="_Toc402"/>
      <w:bookmarkStart w:id="15" w:name="_Toc15396601"/>
      <w:bookmarkStart w:id="16" w:name="_Toc31591"/>
      <w:bookmarkStart w:id="17"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bookmarkEnd w:id="16"/>
      <w:bookmarkEnd w:id="17"/>
    </w:p>
    <w:p w14:paraId="54EBC11A">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茂县沟口镇人民政府</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122DECAE">
      <w:pPr>
        <w:pStyle w:val="6"/>
        <w:keepNext w:val="0"/>
        <w:keepLines w:val="0"/>
        <w:pageBreakBefore w:val="0"/>
        <w:widowControl w:val="0"/>
        <w:kinsoku/>
        <w:wordWrap/>
        <w:overflowPunct/>
        <w:topLinePunct w:val="0"/>
        <w:autoSpaceDE/>
        <w:autoSpaceDN/>
        <w:bidi w:val="0"/>
        <w:adjustRightInd w:val="0"/>
        <w:snapToGrid w:val="0"/>
        <w:spacing w:beforeLines="0" w:line="576"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纳入</w:t>
      </w:r>
      <w:r>
        <w:rPr>
          <w:sz w:val="32"/>
          <w:szCs w:val="32"/>
        </w:rPr>
        <w:t>茂县沟口镇人民政府</w:t>
      </w:r>
      <w:r>
        <w:rPr>
          <w:rFonts w:hint="eastAsia" w:ascii="Times New Roman" w:hAnsi="Times New Roman" w:eastAsia="仿宋_GB2312" w:cs="仿宋_GB2312"/>
          <w:color w:val="auto"/>
          <w:sz w:val="32"/>
          <w:szCs w:val="32"/>
          <w:highlight w:val="none"/>
          <w:lang w:eastAsia="zh-CN"/>
        </w:rPr>
        <w:t>202</w:t>
      </w:r>
      <w:r>
        <w:rPr>
          <w:rFonts w:hint="eastAsia" w:asci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r>
        <w:rPr>
          <w:rFonts w:hint="eastAsia" w:ascii="Times New Roman" w:cs="仿宋_GB2312"/>
          <w:color w:val="auto"/>
          <w:sz w:val="32"/>
          <w:szCs w:val="32"/>
          <w:highlight w:val="none"/>
          <w:lang w:val="en-US" w:eastAsia="zh-CN"/>
        </w:rPr>
        <w:t>茂县沟口镇便民服务中心。</w:t>
      </w:r>
    </w:p>
    <w:p w14:paraId="40F402F9">
      <w:pPr>
        <w:keepNext w:val="0"/>
        <w:keepLines w:val="0"/>
        <w:pageBreakBefore w:val="0"/>
        <w:kinsoku/>
        <w:wordWrap/>
        <w:overflowPunct/>
        <w:topLinePunct w:val="0"/>
        <w:bidi w:val="0"/>
        <w:spacing w:before="0" w:after="0" w:line="576" w:lineRule="exact"/>
        <w:ind w:left="0" w:leftChars="0" w:firstLine="420" w:firstLineChars="200"/>
        <w:jc w:val="both"/>
        <w:textAlignment w:val="auto"/>
        <w:outlineLvl w:val="9"/>
        <w:rPr>
          <w:rFonts w:hint="eastAsia" w:ascii="Times New Roman" w:hAnsi="Times New Roman" w:eastAsia="方正小标宋简体" w:cs="方正小标宋简体"/>
          <w:b w:val="0"/>
          <w:color w:val="auto"/>
          <w:highlight w:val="none"/>
        </w:rPr>
      </w:pPr>
      <w:bookmarkStart w:id="18" w:name="_Toc25079"/>
      <w:bookmarkStart w:id="19" w:name="_Toc3874"/>
      <w:bookmarkStart w:id="20" w:name="_Toc15396602"/>
      <w:bookmarkStart w:id="21" w:name="_Toc15377204"/>
    </w:p>
    <w:bookmarkEnd w:id="18"/>
    <w:bookmarkEnd w:id="19"/>
    <w:p w14:paraId="5966B5BF">
      <w:pPr>
        <w:pStyle w:val="3"/>
        <w:numPr>
          <w:ilvl w:val="0"/>
          <w:numId w:val="1"/>
        </w:numPr>
        <w:ind w:firstLine="880" w:firstLineChars="200"/>
        <w:jc w:val="both"/>
        <w:rPr>
          <w:rFonts w:hint="eastAsia"/>
          <w:lang w:val="en-US" w:eastAsia="zh-CN"/>
        </w:rPr>
      </w:pPr>
      <w:bookmarkStart w:id="22" w:name="_Toc3175"/>
      <w:bookmarkStart w:id="23" w:name="_Toc21098"/>
      <w:r>
        <w:rPr>
          <w:rFonts w:hint="eastAsia" w:ascii="Times New Roman" w:hAnsi="Times New Roman" w:eastAsia="方正小标宋简体" w:cs="方正小标宋简体"/>
          <w:b w:val="0"/>
          <w:bCs/>
          <w:color w:val="auto"/>
          <w:kern w:val="44"/>
          <w:sz w:val="44"/>
          <w:szCs w:val="44"/>
          <w:highlight w:val="none"/>
          <w:lang w:val="en-US" w:eastAsia="zh-CN" w:bidi="ar-SA"/>
        </w:rPr>
        <w:t>2025年度部门决算情况说明</w:t>
      </w:r>
      <w:bookmarkEnd w:id="20"/>
      <w:bookmarkEnd w:id="21"/>
      <w:bookmarkEnd w:id="22"/>
      <w:bookmarkEnd w:id="23"/>
    </w:p>
    <w:p w14:paraId="697C59A6">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Style w:val="30"/>
          <w:rFonts w:hint="eastAsia" w:ascii="Times New Roman" w:hAnsi="Times New Roman" w:eastAsia="黑体"/>
          <w:b w:val="0"/>
          <w:color w:val="auto"/>
          <w:highlight w:val="none"/>
        </w:rPr>
      </w:pPr>
      <w:bookmarkStart w:id="24" w:name="_Toc14125"/>
      <w:bookmarkStart w:id="25" w:name="_Toc15396603"/>
      <w:bookmarkStart w:id="26" w:name="_Toc15377205"/>
      <w:bookmarkStart w:id="27" w:name="_Toc9239"/>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4"/>
      <w:bookmarkEnd w:id="25"/>
      <w:bookmarkEnd w:id="26"/>
      <w:bookmarkEnd w:id="27"/>
    </w:p>
    <w:p w14:paraId="58E2AE24">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,738.1</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55.21</w:t>
      </w:r>
      <w:r>
        <w:rPr>
          <w:rFonts w:hint="eastAsia" w:ascii="仿宋_GB2312" w:hAnsi="仿宋_GB2312" w:eastAsia="仿宋_GB2312" w:cs="仿宋_GB2312"/>
          <w:sz w:val="32"/>
          <w:szCs w:val="32"/>
        </w:rPr>
        <w:t>万</w:t>
      </w:r>
      <w:r>
        <w:rPr>
          <w:rFonts w:hint="eastAsia" w:ascii="Times New Roman" w:hAnsi="Times New Roman" w:eastAsia="仿宋_GB2312" w:cs="仿宋_GB2312"/>
          <w:color w:val="auto"/>
          <w:sz w:val="32"/>
          <w:szCs w:val="32"/>
          <w:highlight w:val="none"/>
        </w:rPr>
        <w:t>元，</w:t>
      </w:r>
      <w:r>
        <w:rPr>
          <w:rFonts w:hint="eastAsia" w:eastAsia="仿宋_GB2312" w:cs="仿宋_GB2312"/>
          <w:color w:val="auto"/>
          <w:sz w:val="32"/>
          <w:szCs w:val="32"/>
          <w:highlight w:val="none"/>
          <w:lang w:eastAsia="zh-CN"/>
        </w:rPr>
        <w:t>下降</w:t>
      </w:r>
      <w:r>
        <w:rPr>
          <w:rFonts w:hint="eastAsia" w:eastAsia="仿宋_GB2312" w:cs="仿宋_GB2312"/>
          <w:color w:val="auto"/>
          <w:sz w:val="32"/>
          <w:szCs w:val="32"/>
          <w:highlight w:val="none"/>
          <w:lang w:val="en-US" w:eastAsia="zh-CN"/>
        </w:rPr>
        <w:t>3.08</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w:t>
      </w:r>
      <w:r>
        <w:rPr>
          <w:rFonts w:hint="eastAsia" w:ascii="仿宋" w:hAnsi="仿宋" w:eastAsia="仿宋"/>
          <w:color w:val="auto"/>
          <w:sz w:val="32"/>
          <w:szCs w:val="32"/>
          <w:highlight w:val="none"/>
          <w:lang w:eastAsia="zh-CN"/>
        </w:rPr>
        <w:t>项目投资减少。</w:t>
      </w:r>
    </w:p>
    <w:p w14:paraId="3B88BFEE">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rPr>
          <w:rFonts w:hint="eastAsia"/>
          <w:lang w:val="en-US" w:eastAsia="zh-CN"/>
        </w:rPr>
      </w:pPr>
    </w:p>
    <w:p w14:paraId="2939CBFA">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rPr>
          <w:rFonts w:hint="eastAsia"/>
          <w:lang w:val="en-US" w:eastAsia="zh-CN"/>
        </w:rPr>
      </w:pPr>
    </w:p>
    <w:p w14:paraId="6F14C9D2">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rPr>
          <w:rFonts w:hint="eastAsia"/>
          <w:lang w:val="en-US" w:eastAsia="zh-CN"/>
        </w:rPr>
      </w:pPr>
    </w:p>
    <w:p w14:paraId="5DBE2E5F">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rPr>
          <w:rFonts w:hint="eastAsia"/>
          <w:lang w:val="en-US" w:eastAsia="zh-CN"/>
        </w:rPr>
      </w:pPr>
    </w:p>
    <w:p w14:paraId="5FFDBFE9">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rPr>
          <w:rFonts w:hint="eastAsia"/>
          <w:lang w:val="en-US" w:eastAsia="zh-CN"/>
        </w:rPr>
      </w:pPr>
    </w:p>
    <w:p w14:paraId="1134496E">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rPr>
          <w:rFonts w:hint="eastAsia"/>
          <w:lang w:val="en-US" w:eastAsia="zh-CN"/>
        </w:rPr>
      </w:pPr>
    </w:p>
    <w:p w14:paraId="2ADA9222">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rPr>
          <w:rFonts w:hint="eastAsia"/>
          <w:lang w:val="en-US" w:eastAsia="zh-CN"/>
        </w:rPr>
      </w:pPr>
    </w:p>
    <w:p w14:paraId="160D0EE6">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pPr>
      <w:r>
        <w:rPr>
          <w:rFonts w:hint="eastAsia"/>
          <w:lang w:val="en-US" w:eastAsia="zh-CN"/>
        </w:rPr>
        <w:t xml:space="preserve">      </w:t>
      </w:r>
      <w:r>
        <w:drawing>
          <wp:anchor distT="0" distB="0" distL="114300" distR="114300" simplePos="0" relativeHeight="251666432" behindDoc="1" locked="0" layoutInCell="1" allowOverlap="1">
            <wp:simplePos x="0" y="0"/>
            <wp:positionH relativeFrom="column">
              <wp:posOffset>671195</wp:posOffset>
            </wp:positionH>
            <wp:positionV relativeFrom="paragraph">
              <wp:posOffset>-2465070</wp:posOffset>
            </wp:positionV>
            <wp:extent cx="4826000" cy="2743200"/>
            <wp:effectExtent l="4445" t="4445" r="8255" b="14605"/>
            <wp:wrapThrough wrapText="bothSides">
              <wp:wrapPolygon>
                <wp:start x="-20" y="-35"/>
                <wp:lineTo x="-20" y="21565"/>
                <wp:lineTo x="21552" y="21565"/>
                <wp:lineTo x="21552" y="-35"/>
                <wp:lineTo x="-20" y="-35"/>
              </wp:wrapPolygon>
            </wp:wrapThrough>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64DFA6C4">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Times New Roman" w:hAnsi="Times New Roman" w:eastAsia="黑体"/>
          <w:color w:val="auto"/>
          <w:sz w:val="32"/>
          <w:szCs w:val="32"/>
          <w:highlight w:val="none"/>
          <w:lang w:eastAsia="zh-CN"/>
        </w:rPr>
      </w:pPr>
      <w:bookmarkStart w:id="28" w:name="_Toc20941"/>
      <w:bookmarkStart w:id="29" w:name="_Toc22450"/>
      <w:bookmarkStart w:id="30" w:name="_Toc15377206"/>
      <w:bookmarkStart w:id="31" w:name="_Toc15396604"/>
      <w:r>
        <w:rPr>
          <w:rFonts w:hint="eastAsia" w:ascii="Times New Roman" w:hAnsi="Times New Roman" w:eastAsia="黑体"/>
          <w:color w:val="auto"/>
          <w:sz w:val="32"/>
          <w:szCs w:val="32"/>
          <w:highlight w:val="none"/>
          <w:lang w:eastAsia="zh-CN"/>
        </w:rPr>
        <w:t>二、收入决算情况说明</w:t>
      </w:r>
      <w:bookmarkEnd w:id="28"/>
      <w:bookmarkEnd w:id="29"/>
      <w:bookmarkEnd w:id="30"/>
      <w:bookmarkEnd w:id="31"/>
    </w:p>
    <w:p w14:paraId="2FED181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default" w:ascii="Times New Roman" w:hAnsi="Times New Roman" w:eastAsia="仿宋_GB2312" w:cs="仿宋_GB2312"/>
          <w:b/>
          <w:bCs/>
          <w:color w:val="auto"/>
          <w:sz w:val="32"/>
          <w:szCs w:val="32"/>
          <w:highlight w:val="none"/>
          <w:lang w:val="en-US" w:eastAsia="zh-CN"/>
        </w:rPr>
      </w:pPr>
      <w:bookmarkStart w:id="32" w:name="_Toc15247"/>
      <w:bookmarkStart w:id="33" w:name="_Toc9605"/>
      <w:bookmarkStart w:id="34" w:name="_Toc4462"/>
      <w:bookmarkStart w:id="35" w:name="_Toc19430"/>
      <w:bookmarkStart w:id="36" w:name="_Toc18827"/>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en-US" w:eastAsia="zh-CN"/>
        </w:rPr>
        <w:t>38.1</w:t>
      </w:r>
      <w:r>
        <w:rPr>
          <w:rFonts w:hint="eastAsia" w:ascii="仿宋_GB2312" w:hAnsi="仿宋_GB2312" w:eastAsia="仿宋_GB2312" w:cs="仿宋_GB2312"/>
          <w:sz w:val="32"/>
          <w:szCs w:val="32"/>
        </w:rPr>
        <w:t>万元，其中：一般公共预算财政拨款收入1</w:t>
      </w:r>
      <w:r>
        <w:rPr>
          <w:rFonts w:hint="eastAsia" w:ascii="仿宋_GB2312" w:hAnsi="仿宋_GB2312" w:eastAsia="仿宋_GB2312" w:cs="仿宋_GB2312"/>
          <w:sz w:val="32"/>
          <w:szCs w:val="32"/>
          <w:lang w:val="en-US" w:eastAsia="zh-CN"/>
        </w:rPr>
        <w:t>,601.54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92.14</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lang w:val="en-US" w:eastAsia="zh-CN"/>
        </w:rPr>
        <w:t>102.56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5.90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bookmarkEnd w:id="32"/>
      <w:bookmarkEnd w:id="33"/>
      <w:bookmarkEnd w:id="34"/>
      <w:bookmarkEnd w:id="35"/>
      <w:bookmarkEnd w:id="36"/>
      <w:r>
        <w:rPr>
          <w:rFonts w:hint="eastAsia" w:ascii="仿宋_GB2312" w:hAnsi="仿宋_GB2312" w:eastAsia="仿宋_GB2312" w:cs="仿宋_GB2312"/>
          <w:sz w:val="32"/>
          <w:szCs w:val="32"/>
          <w:lang w:eastAsia="zh-CN"/>
        </w:rPr>
        <w:t>其他收入</w:t>
      </w:r>
      <w:r>
        <w:rPr>
          <w:rFonts w:hint="eastAsia" w:ascii="仿宋_GB2312" w:hAnsi="仿宋_GB2312" w:eastAsia="仿宋_GB2312" w:cs="仿宋_GB2312"/>
          <w:sz w:val="32"/>
          <w:szCs w:val="32"/>
          <w:lang w:val="en-US" w:eastAsia="zh-CN"/>
        </w:rPr>
        <w:t>34万元，占1.96%。</w:t>
      </w:r>
    </w:p>
    <w:p w14:paraId="701333D1">
      <w:pPr>
        <w:keepNext w:val="0"/>
        <w:keepLines w:val="0"/>
        <w:pageBreakBefore w:val="0"/>
        <w:kinsoku/>
        <w:wordWrap/>
        <w:overflowPunct/>
        <w:topLinePunct w:val="0"/>
        <w:bidi w:val="0"/>
        <w:spacing w:line="576" w:lineRule="exact"/>
        <w:ind w:left="0" w:leftChars="0" w:firstLine="420" w:firstLineChars="200"/>
        <w:jc w:val="both"/>
        <w:textAlignment w:val="auto"/>
        <w:outlineLvl w:val="9"/>
      </w:pPr>
      <w:r>
        <w:rPr>
          <w:rFonts w:hint="eastAsia"/>
          <w:lang w:val="en-US" w:eastAsia="zh-CN"/>
        </w:rPr>
        <w:t xml:space="preserve">     </w:t>
      </w:r>
    </w:p>
    <w:p w14:paraId="3CD2D45A">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仿宋" w:hAnsi="仿宋" w:eastAsia="仿宋"/>
          <w:color w:val="auto"/>
          <w:sz w:val="32"/>
          <w:szCs w:val="32"/>
          <w:highlight w:val="none"/>
        </w:rPr>
      </w:pPr>
    </w:p>
    <w:p w14:paraId="614F8566">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仿宋" w:hAnsi="仿宋" w:eastAsia="仿宋"/>
          <w:color w:val="auto"/>
          <w:sz w:val="32"/>
          <w:szCs w:val="32"/>
          <w:highlight w:val="none"/>
        </w:rPr>
      </w:pPr>
    </w:p>
    <w:p w14:paraId="253D4399">
      <w:pPr>
        <w:keepNext w:val="0"/>
        <w:keepLines w:val="0"/>
        <w:pageBreakBefore w:val="0"/>
        <w:kinsoku/>
        <w:wordWrap/>
        <w:overflowPunct/>
        <w:topLinePunct w:val="0"/>
        <w:bidi w:val="0"/>
        <w:spacing w:line="576" w:lineRule="exact"/>
        <w:ind w:left="0" w:leftChars="0" w:firstLine="420" w:firstLineChars="200"/>
        <w:jc w:val="both"/>
        <w:textAlignment w:val="auto"/>
        <w:outlineLvl w:val="9"/>
        <w:rPr>
          <w:rFonts w:hint="eastAsia" w:ascii="仿宋" w:hAnsi="仿宋" w:eastAsia="仿宋"/>
          <w:color w:val="auto"/>
          <w:sz w:val="32"/>
          <w:szCs w:val="32"/>
          <w:highlight w:val="none"/>
        </w:rPr>
      </w:pPr>
      <w:r>
        <w:drawing>
          <wp:anchor distT="0" distB="0" distL="114300" distR="114300" simplePos="0" relativeHeight="251665408" behindDoc="1" locked="0" layoutInCell="1" allowOverlap="1">
            <wp:simplePos x="0" y="0"/>
            <wp:positionH relativeFrom="column">
              <wp:posOffset>666750</wp:posOffset>
            </wp:positionH>
            <wp:positionV relativeFrom="paragraph">
              <wp:posOffset>-683895</wp:posOffset>
            </wp:positionV>
            <wp:extent cx="4343400" cy="2517140"/>
            <wp:effectExtent l="4445" t="4445" r="14605" b="12065"/>
            <wp:wrapThrough wrapText="bothSides">
              <wp:wrapPolygon>
                <wp:start x="-22" y="-38"/>
                <wp:lineTo x="-22" y="21540"/>
                <wp:lineTo x="21578" y="21540"/>
                <wp:lineTo x="21578" y="-38"/>
                <wp:lineTo x="-22" y="-38"/>
              </wp:wrapPolygon>
            </wp:wrapThrough>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758741DE">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仿宋" w:hAnsi="仿宋" w:eastAsia="仿宋"/>
          <w:color w:val="auto"/>
          <w:sz w:val="32"/>
          <w:szCs w:val="32"/>
          <w:highlight w:val="none"/>
        </w:rPr>
      </w:pPr>
    </w:p>
    <w:p w14:paraId="190BD93E">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仿宋" w:hAnsi="仿宋" w:eastAsia="仿宋"/>
          <w:color w:val="auto"/>
          <w:sz w:val="32"/>
          <w:szCs w:val="32"/>
          <w:highlight w:val="none"/>
        </w:rPr>
      </w:pPr>
    </w:p>
    <w:p w14:paraId="549A91A9">
      <w:pPr>
        <w:keepNext w:val="0"/>
        <w:keepLines w:val="0"/>
        <w:pageBreakBefore w:val="0"/>
        <w:kinsoku/>
        <w:wordWrap/>
        <w:overflowPunct/>
        <w:topLinePunct w:val="0"/>
        <w:bidi w:val="0"/>
        <w:spacing w:line="576" w:lineRule="exact"/>
        <w:jc w:val="both"/>
        <w:textAlignment w:val="auto"/>
        <w:outlineLvl w:val="9"/>
        <w:rPr>
          <w:rFonts w:hint="eastAsia" w:ascii="仿宋" w:hAnsi="仿宋" w:eastAsia="仿宋"/>
          <w:color w:val="auto"/>
          <w:sz w:val="32"/>
          <w:szCs w:val="32"/>
          <w:highlight w:val="none"/>
        </w:rPr>
      </w:pPr>
    </w:p>
    <w:p w14:paraId="07F866F7">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Times New Roman" w:hAnsi="Times New Roman" w:eastAsia="黑体"/>
          <w:color w:val="auto"/>
          <w:sz w:val="32"/>
          <w:szCs w:val="32"/>
          <w:highlight w:val="none"/>
          <w:lang w:eastAsia="zh-CN"/>
        </w:rPr>
      </w:pPr>
      <w:bookmarkStart w:id="37" w:name="_Toc8771"/>
      <w:bookmarkStart w:id="38" w:name="_Toc15396605"/>
      <w:bookmarkStart w:id="39" w:name="_Toc15169"/>
      <w:bookmarkStart w:id="40" w:name="_Toc15377207"/>
    </w:p>
    <w:p w14:paraId="5DDE1DA7">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Style w:val="30"/>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37"/>
      <w:bookmarkEnd w:id="38"/>
      <w:bookmarkEnd w:id="39"/>
      <w:bookmarkEnd w:id="40"/>
    </w:p>
    <w:p w14:paraId="0367D73E">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bookmarkStart w:id="41" w:name="_Toc31393"/>
      <w:bookmarkStart w:id="42" w:name="_Toc28885"/>
      <w:bookmarkStart w:id="43" w:name="_Toc11380"/>
      <w:bookmarkStart w:id="44" w:name="_Toc23626"/>
      <w:bookmarkStart w:id="45" w:name="_Toc25789"/>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,737.07</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907.39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52.23</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829.69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47.76</w:t>
      </w:r>
      <w:r>
        <w:rPr>
          <w:rFonts w:hint="eastAsia" w:ascii="仿宋_GB2312" w:hAnsi="仿宋_GB2312" w:eastAsia="仿宋_GB2312" w:cs="仿宋_GB2312"/>
          <w:color w:val="auto"/>
          <w:sz w:val="32"/>
          <w:szCs w:val="32"/>
          <w:highlight w:val="none"/>
          <w:lang w:eastAsia="zh-CN"/>
        </w:rPr>
        <w:t>%</w:t>
      </w:r>
      <w:bookmarkEnd w:id="41"/>
      <w:bookmarkEnd w:id="42"/>
      <w:bookmarkEnd w:id="43"/>
      <w:bookmarkEnd w:id="44"/>
      <w:bookmarkEnd w:id="45"/>
      <w:r>
        <w:rPr>
          <w:rFonts w:hint="eastAsia" w:ascii="仿宋_GB2312" w:hAnsi="仿宋_GB2312" w:eastAsia="仿宋_GB2312" w:cs="仿宋_GB2312"/>
          <w:color w:val="auto"/>
          <w:sz w:val="32"/>
          <w:szCs w:val="32"/>
          <w:highlight w:val="none"/>
          <w:lang w:eastAsia="zh-CN"/>
        </w:rPr>
        <w:t>。</w:t>
      </w:r>
    </w:p>
    <w:p w14:paraId="434F8C92">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420" w:firstLineChars="200"/>
        <w:jc w:val="both"/>
        <w:textAlignment w:val="auto"/>
        <w:outlineLvl w:val="9"/>
        <w:rPr>
          <w:rFonts w:hint="eastAsia" w:ascii="仿宋_GB2312" w:hAnsi="仿宋_GB2312" w:eastAsia="仿宋_GB2312" w:cs="仿宋_GB2312"/>
          <w:color w:val="auto"/>
          <w:sz w:val="32"/>
          <w:szCs w:val="32"/>
          <w:highlight w:val="none"/>
          <w:lang w:eastAsia="zh-CN"/>
        </w:rPr>
      </w:pPr>
      <w:r>
        <w:drawing>
          <wp:anchor distT="0" distB="0" distL="114300" distR="114300" simplePos="0" relativeHeight="251661312" behindDoc="1" locked="0" layoutInCell="1" allowOverlap="1">
            <wp:simplePos x="0" y="0"/>
            <wp:positionH relativeFrom="column">
              <wp:posOffset>411480</wp:posOffset>
            </wp:positionH>
            <wp:positionV relativeFrom="paragraph">
              <wp:posOffset>55880</wp:posOffset>
            </wp:positionV>
            <wp:extent cx="4826000" cy="2743200"/>
            <wp:effectExtent l="4445" t="4445" r="8255" b="14605"/>
            <wp:wrapThrough wrapText="bothSides">
              <wp:wrapPolygon>
                <wp:start x="-20" y="-35"/>
                <wp:lineTo x="-20" y="21565"/>
                <wp:lineTo x="21552" y="21565"/>
                <wp:lineTo x="21552" y="-35"/>
                <wp:lineTo x="-20" y="-35"/>
              </wp:wrapPolygon>
            </wp:wrapThrough>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661CF00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p>
    <w:p w14:paraId="6CA5B052">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w:t>
      </w:r>
    </w:p>
    <w:p w14:paraId="26B1239A">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p>
    <w:p w14:paraId="2D1BDF5E">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 xml:space="preserve">      </w:t>
      </w:r>
    </w:p>
    <w:p w14:paraId="79D5EB41">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Times New Roman" w:hAnsi="Times New Roman" w:eastAsia="黑体"/>
          <w:color w:val="auto"/>
          <w:sz w:val="32"/>
          <w:szCs w:val="32"/>
          <w:highlight w:val="none"/>
        </w:rPr>
      </w:pPr>
      <w:bookmarkStart w:id="46" w:name="_Toc15377208"/>
      <w:bookmarkStart w:id="47" w:name="_Toc30230"/>
      <w:bookmarkStart w:id="48" w:name="_Toc2747"/>
      <w:bookmarkStart w:id="49" w:name="_Toc15396606"/>
    </w:p>
    <w:p w14:paraId="73A4B84E">
      <w:pPr>
        <w:keepNext w:val="0"/>
        <w:keepLines w:val="0"/>
        <w:pageBreakBefore w:val="0"/>
        <w:kinsoku/>
        <w:wordWrap/>
        <w:overflowPunct/>
        <w:topLinePunct w:val="0"/>
        <w:bidi w:val="0"/>
        <w:spacing w:line="576" w:lineRule="exact"/>
        <w:jc w:val="both"/>
        <w:textAlignment w:val="auto"/>
        <w:outlineLvl w:val="9"/>
        <w:rPr>
          <w:rFonts w:hint="eastAsia" w:ascii="Times New Roman" w:hAnsi="Times New Roman" w:eastAsia="黑体"/>
          <w:color w:val="auto"/>
          <w:sz w:val="32"/>
          <w:szCs w:val="32"/>
          <w:highlight w:val="none"/>
        </w:rPr>
      </w:pPr>
    </w:p>
    <w:p w14:paraId="0209B715">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Times New Roman" w:hAnsi="Times New Roman" w:eastAsia="黑体"/>
          <w:color w:val="auto"/>
          <w:sz w:val="32"/>
          <w:szCs w:val="32"/>
          <w:highlight w:val="none"/>
        </w:rPr>
      </w:pPr>
    </w:p>
    <w:p w14:paraId="5990D3A9">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46"/>
      <w:bookmarkEnd w:id="47"/>
      <w:bookmarkEnd w:id="48"/>
      <w:bookmarkEnd w:id="49"/>
    </w:p>
    <w:p w14:paraId="6D77D91A">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仿宋" w:hAnsi="仿宋" w:eastAsia="仿宋"/>
          <w:color w:val="auto"/>
          <w:sz w:val="32"/>
          <w:szCs w:val="32"/>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,704.1</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w:t>
      </w:r>
      <w:r>
        <w:rPr>
          <w:rFonts w:hint="eastAsia" w:ascii="仿宋_GB2312" w:hAnsi="仿宋_GB2312" w:eastAsia="仿宋_GB2312" w:cs="仿宋_GB2312"/>
          <w:sz w:val="32"/>
          <w:szCs w:val="32"/>
          <w:lang w:val="en-US" w:eastAsia="zh-CN"/>
        </w:rPr>
        <w:t>政拨款收入、支出总计各减少89.21万元，下降4.97%。主要变动原因</w:t>
      </w:r>
      <w:r>
        <w:rPr>
          <w:rFonts w:hint="eastAsia" w:ascii="Times New Roman" w:hAnsi="Times New Roman" w:eastAsia="仿宋_GB2312" w:cs="仿宋_GB2312"/>
          <w:color w:val="auto"/>
          <w:sz w:val="32"/>
          <w:szCs w:val="32"/>
          <w:highlight w:val="none"/>
        </w:rPr>
        <w:t>是</w:t>
      </w:r>
      <w:r>
        <w:rPr>
          <w:rFonts w:hint="eastAsia" w:eastAsia="仿宋_GB2312" w:cs="仿宋_GB2312"/>
          <w:color w:val="auto"/>
          <w:sz w:val="32"/>
          <w:szCs w:val="32"/>
          <w:highlight w:val="none"/>
          <w:lang w:val="en-US" w:eastAsia="zh-CN"/>
        </w:rPr>
        <w:t>:</w:t>
      </w:r>
      <w:r>
        <w:rPr>
          <w:rFonts w:hint="eastAsia" w:ascii="仿宋" w:hAnsi="仿宋" w:eastAsia="仿宋"/>
          <w:color w:val="auto"/>
          <w:sz w:val="32"/>
          <w:szCs w:val="32"/>
          <w:highlight w:val="none"/>
          <w:lang w:eastAsia="zh-CN"/>
        </w:rPr>
        <w:t>项目投资减少。</w:t>
      </w:r>
    </w:p>
    <w:p w14:paraId="78109CB4">
      <w:pPr>
        <w:keepNext w:val="0"/>
        <w:keepLines w:val="0"/>
        <w:pageBreakBefore w:val="0"/>
        <w:kinsoku/>
        <w:wordWrap/>
        <w:overflowPunct/>
        <w:topLinePunct w:val="0"/>
        <w:bidi w:val="0"/>
        <w:spacing w:line="576" w:lineRule="exact"/>
        <w:ind w:left="0" w:leftChars="0" w:firstLine="42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1" locked="0" layoutInCell="1" allowOverlap="1">
            <wp:simplePos x="0" y="0"/>
            <wp:positionH relativeFrom="column">
              <wp:posOffset>438150</wp:posOffset>
            </wp:positionH>
            <wp:positionV relativeFrom="paragraph">
              <wp:posOffset>233045</wp:posOffset>
            </wp:positionV>
            <wp:extent cx="4819650" cy="2729230"/>
            <wp:effectExtent l="4445" t="4445" r="14605" b="9525"/>
            <wp:wrapThrough wrapText="bothSides">
              <wp:wrapPolygon>
                <wp:start x="-20" y="-35"/>
                <wp:lineTo x="-20" y="21525"/>
                <wp:lineTo x="21580" y="21525"/>
                <wp:lineTo x="21580" y="-35"/>
                <wp:lineTo x="-20" y="-35"/>
              </wp:wrapPolygon>
            </wp:wrapThrough>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2DECA884">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p>
    <w:p w14:paraId="070E803D">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p>
    <w:p w14:paraId="40929D1D">
      <w:pPr>
        <w:pStyle w:val="15"/>
        <w:keepNext w:val="0"/>
        <w:keepLines w:val="0"/>
        <w:pageBreakBefore w:val="0"/>
        <w:kinsoku/>
        <w:wordWrap/>
        <w:overflowPunct/>
        <w:topLinePunct w:val="0"/>
        <w:bidi w:val="0"/>
        <w:spacing w:line="576" w:lineRule="exact"/>
        <w:ind w:left="0" w:leftChars="0" w:firstLine="420" w:firstLineChars="200"/>
        <w:jc w:val="both"/>
        <w:textAlignment w:val="auto"/>
        <w:outlineLvl w:val="9"/>
        <w:rPr>
          <w:rFonts w:hint="default"/>
          <w:lang w:val="en-US" w:eastAsia="zh-CN"/>
        </w:rPr>
      </w:pPr>
      <w:r>
        <w:rPr>
          <w:rFonts w:hint="eastAsia"/>
          <w:lang w:val="en-US" w:eastAsia="zh-CN"/>
        </w:rPr>
        <w:t xml:space="preserve">           </w:t>
      </w:r>
    </w:p>
    <w:p w14:paraId="33C9082E">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Times New Roman" w:hAnsi="Times New Roman" w:eastAsia="黑体"/>
          <w:color w:val="auto"/>
          <w:sz w:val="32"/>
          <w:szCs w:val="32"/>
          <w:highlight w:val="none"/>
        </w:rPr>
      </w:pPr>
      <w:bookmarkStart w:id="50" w:name="_Toc15377209"/>
      <w:bookmarkStart w:id="51" w:name="_Toc19579"/>
      <w:bookmarkStart w:id="52" w:name="_Toc442"/>
      <w:bookmarkStart w:id="53" w:name="_Toc15396607"/>
    </w:p>
    <w:p w14:paraId="14ABAAF9">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Times New Roman" w:hAnsi="Times New Roman" w:eastAsia="黑体"/>
          <w:color w:val="auto"/>
          <w:sz w:val="32"/>
          <w:szCs w:val="32"/>
          <w:highlight w:val="none"/>
        </w:rPr>
      </w:pPr>
    </w:p>
    <w:p w14:paraId="3C7960EE">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Times New Roman" w:hAnsi="Times New Roman" w:eastAsia="黑体"/>
          <w:color w:val="auto"/>
          <w:sz w:val="32"/>
          <w:szCs w:val="32"/>
          <w:highlight w:val="none"/>
        </w:rPr>
      </w:pPr>
    </w:p>
    <w:p w14:paraId="1F5C3D03">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Times New Roman" w:hAnsi="Times New Roman" w:eastAsia="黑体"/>
          <w:color w:val="auto"/>
          <w:sz w:val="32"/>
          <w:szCs w:val="32"/>
          <w:highlight w:val="none"/>
        </w:rPr>
      </w:pPr>
    </w:p>
    <w:p w14:paraId="0D637A55">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50"/>
      <w:bookmarkEnd w:id="51"/>
      <w:bookmarkEnd w:id="52"/>
      <w:bookmarkEnd w:id="53"/>
    </w:p>
    <w:p w14:paraId="763C4184">
      <w:pPr>
        <w:keepNext w:val="0"/>
        <w:keepLines w:val="0"/>
        <w:pageBreakBefore w:val="0"/>
        <w:kinsoku/>
        <w:wordWrap/>
        <w:overflowPunct/>
        <w:topLinePunct w:val="0"/>
        <w:bidi w:val="0"/>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5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4"/>
    </w:p>
    <w:p w14:paraId="48565AD4">
      <w:pPr>
        <w:keepNext w:val="0"/>
        <w:keepLines w:val="0"/>
        <w:pageBreakBefore w:val="0"/>
        <w:kinsoku/>
        <w:wordWrap/>
        <w:overflowPunct/>
        <w:topLinePunct w:val="0"/>
        <w:bidi w:val="0"/>
        <w:spacing w:line="576" w:lineRule="exact"/>
        <w:ind w:left="0" w:leftChars="0" w:firstLine="640" w:firstLineChars="200"/>
        <w:jc w:val="both"/>
        <w:textAlignment w:val="auto"/>
        <w:outlineLvl w:val="9"/>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1,601.54</w:t>
      </w:r>
      <w:r>
        <w:rPr>
          <w:rFonts w:hint="eastAsia" w:ascii="仿宋_GB2312" w:hAnsi="仿宋_GB2312" w:eastAsia="仿宋_GB2312" w:cs="仿宋_GB2312"/>
          <w:color w:val="auto"/>
          <w:kern w:val="2"/>
          <w:sz w:val="32"/>
          <w:szCs w:val="32"/>
          <w:highlight w:val="none"/>
          <w:lang w:val="en-US" w:eastAsia="zh-CN" w:bidi="ar-SA"/>
        </w:rPr>
        <w:t>万元，占本年支出合计的92.19%。与2024年度相比，一般公共预算财政拨款支出减少191.77万元，下降10.69%。</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ascii="Times New Roman" w:hAnsi="Times New Roman" w:eastAsia="仿宋_GB2312" w:cs="仿宋_GB2312"/>
          <w:color w:val="auto"/>
          <w:sz w:val="32"/>
          <w:szCs w:val="32"/>
          <w:highlight w:val="none"/>
        </w:rPr>
        <w:t>是</w:t>
      </w:r>
      <w:r>
        <w:rPr>
          <w:rFonts w:hint="eastAsia" w:eastAsia="仿宋_GB2312" w:cs="仿宋_GB2312"/>
          <w:color w:val="auto"/>
          <w:sz w:val="32"/>
          <w:szCs w:val="32"/>
          <w:highlight w:val="none"/>
          <w:lang w:val="en-US" w:eastAsia="zh-CN"/>
        </w:rPr>
        <w:t>:</w:t>
      </w:r>
      <w:r>
        <w:rPr>
          <w:rFonts w:hint="eastAsia" w:ascii="仿宋" w:hAnsi="仿宋" w:eastAsia="仿宋"/>
          <w:color w:val="auto"/>
          <w:sz w:val="32"/>
          <w:szCs w:val="32"/>
          <w:highlight w:val="none"/>
          <w:lang w:eastAsia="zh-CN"/>
        </w:rPr>
        <w:t>项目投资减少。</w:t>
      </w:r>
    </w:p>
    <w:p w14:paraId="1CCCFD10">
      <w:pPr>
        <w:keepNext w:val="0"/>
        <w:keepLines w:val="0"/>
        <w:pageBreakBefore w:val="0"/>
        <w:kinsoku/>
        <w:wordWrap/>
        <w:overflowPunct/>
        <w:topLinePunct w:val="0"/>
        <w:bidi w:val="0"/>
        <w:spacing w:line="576" w:lineRule="exact"/>
        <w:ind w:left="0" w:leftChars="0" w:firstLine="420" w:firstLineChars="200"/>
        <w:jc w:val="both"/>
        <w:textAlignment w:val="auto"/>
        <w:outlineLvl w:val="9"/>
      </w:pPr>
      <w:r>
        <w:drawing>
          <wp:anchor distT="0" distB="0" distL="114300" distR="114300" simplePos="0" relativeHeight="251663360" behindDoc="1" locked="0" layoutInCell="1" allowOverlap="1">
            <wp:simplePos x="0" y="0"/>
            <wp:positionH relativeFrom="column">
              <wp:posOffset>578485</wp:posOffset>
            </wp:positionH>
            <wp:positionV relativeFrom="paragraph">
              <wp:posOffset>25400</wp:posOffset>
            </wp:positionV>
            <wp:extent cx="4607560" cy="2596515"/>
            <wp:effectExtent l="4445" t="5080" r="17145" b="8255"/>
            <wp:wrapThrough wrapText="bothSides">
              <wp:wrapPolygon>
                <wp:start x="-21" y="-42"/>
                <wp:lineTo x="-21" y="21510"/>
                <wp:lineTo x="21502" y="21510"/>
                <wp:lineTo x="21502" y="-42"/>
                <wp:lineTo x="-21" y="-42"/>
              </wp:wrapPolygon>
            </wp:wrapThrough>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7D777C7">
      <w:pPr>
        <w:keepNext w:val="0"/>
        <w:keepLines w:val="0"/>
        <w:pageBreakBefore w:val="0"/>
        <w:kinsoku/>
        <w:wordWrap/>
        <w:overflowPunct/>
        <w:topLinePunct w:val="0"/>
        <w:bidi w:val="0"/>
        <w:spacing w:line="576" w:lineRule="exact"/>
        <w:ind w:left="0" w:leftChars="0" w:firstLine="420" w:firstLineChars="200"/>
        <w:jc w:val="both"/>
        <w:textAlignment w:val="auto"/>
        <w:outlineLvl w:val="9"/>
      </w:pPr>
    </w:p>
    <w:p w14:paraId="536DEDC7">
      <w:pPr>
        <w:pStyle w:val="15"/>
        <w:keepNext w:val="0"/>
        <w:keepLines w:val="0"/>
        <w:pageBreakBefore w:val="0"/>
        <w:kinsoku/>
        <w:wordWrap/>
        <w:overflowPunct/>
        <w:topLinePunct w:val="0"/>
        <w:bidi w:val="0"/>
        <w:spacing w:line="576" w:lineRule="exact"/>
        <w:ind w:left="0" w:leftChars="0" w:firstLine="420" w:firstLineChars="200"/>
        <w:jc w:val="both"/>
        <w:textAlignment w:val="auto"/>
        <w:outlineLvl w:val="9"/>
      </w:pPr>
    </w:p>
    <w:p w14:paraId="724EEAA6">
      <w:pPr>
        <w:keepNext w:val="0"/>
        <w:keepLines w:val="0"/>
        <w:pageBreakBefore w:val="0"/>
        <w:kinsoku/>
        <w:wordWrap/>
        <w:overflowPunct/>
        <w:topLinePunct w:val="0"/>
        <w:bidi w:val="0"/>
        <w:spacing w:line="576" w:lineRule="exact"/>
        <w:jc w:val="both"/>
        <w:textAlignment w:val="auto"/>
        <w:outlineLvl w:val="9"/>
      </w:pPr>
    </w:p>
    <w:p w14:paraId="596A1AF1">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5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5"/>
    </w:p>
    <w:p w14:paraId="21A9FC5B">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1,601.54</w:t>
      </w:r>
      <w:r>
        <w:rPr>
          <w:rFonts w:hint="eastAsia" w:ascii="仿宋_GB2312" w:hAnsi="仿宋_GB2312" w:eastAsia="仿宋_GB2312" w:cs="仿宋_GB2312"/>
          <w:color w:val="auto"/>
          <w:kern w:val="2"/>
          <w:sz w:val="32"/>
          <w:szCs w:val="32"/>
          <w:highlight w:val="none"/>
          <w:lang w:val="en-US" w:eastAsia="zh-CN" w:bidi="ar-SA"/>
        </w:rPr>
        <w:t>万元，主要用于以下方面：一般公共服务支出599.99万元，占37.46%；社会保障和就业支出117.37万元，占7.33%；卫生健康支出47.52万元，占2.97%；住房保障支出65.38万元，占4.08%；农林水支出771.28万元，占48.16%。</w:t>
      </w:r>
    </w:p>
    <w:p w14:paraId="5722738D">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rPr>
          <w:rFonts w:hint="eastAsia"/>
          <w:lang w:val="en-US" w:eastAsia="zh-CN"/>
        </w:rPr>
      </w:pPr>
      <w:r>
        <w:drawing>
          <wp:anchor distT="0" distB="0" distL="114300" distR="114300" simplePos="0" relativeHeight="251664384" behindDoc="1" locked="0" layoutInCell="1" allowOverlap="1">
            <wp:simplePos x="0" y="0"/>
            <wp:positionH relativeFrom="column">
              <wp:posOffset>454025</wp:posOffset>
            </wp:positionH>
            <wp:positionV relativeFrom="paragraph">
              <wp:posOffset>193040</wp:posOffset>
            </wp:positionV>
            <wp:extent cx="4826000" cy="2743200"/>
            <wp:effectExtent l="4445" t="4445" r="8255" b="14605"/>
            <wp:wrapThrough wrapText="bothSides">
              <wp:wrapPolygon>
                <wp:start x="-20" y="-35"/>
                <wp:lineTo x="-20" y="21565"/>
                <wp:lineTo x="21552" y="21565"/>
                <wp:lineTo x="21552" y="-35"/>
                <wp:lineTo x="-20" y="-35"/>
              </wp:wrapPolygon>
            </wp:wrapThrough>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lang w:val="en-US" w:eastAsia="zh-CN"/>
        </w:rPr>
        <w:t xml:space="preserve">  </w:t>
      </w:r>
    </w:p>
    <w:p w14:paraId="011008AC">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pPr>
    </w:p>
    <w:p w14:paraId="290C895E">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pPr>
    </w:p>
    <w:p w14:paraId="43F85E05">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pPr>
    </w:p>
    <w:p w14:paraId="49D808C0">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pPr>
    </w:p>
    <w:p w14:paraId="7263D924">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pPr>
    </w:p>
    <w:p w14:paraId="04F339C2">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pPr>
    </w:p>
    <w:p w14:paraId="418A88BC">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pPr>
    </w:p>
    <w:p w14:paraId="346BC8AC">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5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6"/>
    </w:p>
    <w:p w14:paraId="5C63338D">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bookmarkStart w:id="57" w:name="_Toc15377444"/>
      <w:bookmarkStart w:id="58" w:name="_Toc15378460"/>
      <w:bookmarkStart w:id="59" w:name="_Toc15377213"/>
      <w:r>
        <w:rPr>
          <w:rFonts w:hint="eastAsia" w:ascii="仿宋_GB2312" w:hAnsi="仿宋_GB2312" w:eastAsia="仿宋_GB2312" w:cs="仿宋_GB2312"/>
          <w:color w:val="auto"/>
          <w:kern w:val="2"/>
          <w:sz w:val="32"/>
          <w:szCs w:val="32"/>
          <w:highlight w:val="none"/>
          <w:lang w:val="en-US" w:eastAsia="zh-CN" w:bidi="ar-SA"/>
        </w:rPr>
        <w:t>2025年度一般公共预算财政拨款支出决算数为</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,601.54</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，完成预算100%。其中：</w:t>
      </w:r>
      <w:bookmarkEnd w:id="57"/>
      <w:bookmarkEnd w:id="58"/>
      <w:bookmarkEnd w:id="59"/>
    </w:p>
    <w:p w14:paraId="1DBBA32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1.一般公共服务（类）人大事务（款）代表工作（项）：支出决算为10万元，完成预算100%，决算数与预算数持平。</w:t>
      </w:r>
    </w:p>
    <w:p w14:paraId="268C726D">
      <w:pPr>
        <w:keepNext w:val="0"/>
        <w:keepLines w:val="0"/>
        <w:pageBreakBefore w:val="0"/>
        <w:widowControl w:val="0"/>
        <w:numPr>
          <w:ilvl w:val="0"/>
          <w:numId w:val="0"/>
        </w:numPr>
        <w:kinsoku/>
        <w:wordWrap/>
        <w:overflowPunct/>
        <w:topLinePunct w:val="0"/>
        <w:autoSpaceDE/>
        <w:autoSpaceDN/>
        <w:bidi w:val="0"/>
        <w:adjustRightInd/>
        <w:snapToGrid/>
        <w:spacing w:line="56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2.一般公共服务（类）政府办公厅（室）及相关机构事务（款）行政运行（项）：支出决算为:447.85万元，完成预算100%，决算数与预算数持平。</w:t>
      </w:r>
    </w:p>
    <w:p w14:paraId="2302C36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3.一般公共服务（类）政府办公厅（室）及相关机构事务 </w:t>
      </w:r>
    </w:p>
    <w:p w14:paraId="4DA28919">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（款）其他政府办公厅（室）及相关机构事务支出（项）：支出决算为121.34万元，完成预算100%，决算数与预算数持平。</w:t>
      </w:r>
    </w:p>
    <w:p w14:paraId="58525459">
      <w:pPr>
        <w:keepNext w:val="0"/>
        <w:keepLines w:val="0"/>
        <w:pageBreakBefore w:val="0"/>
        <w:numPr>
          <w:ilvl w:val="0"/>
          <w:numId w:val="0"/>
        </w:numPr>
        <w:kinsoku/>
        <w:wordWrap/>
        <w:overflowPunct/>
        <w:topLinePunct w:val="0"/>
        <w:bidi w:val="0"/>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bookmarkStart w:id="60" w:name="_Toc15396608"/>
      <w:bookmarkStart w:id="61" w:name="_Toc32164"/>
      <w:bookmarkStart w:id="62" w:name="_Toc11479"/>
      <w:bookmarkStart w:id="63" w:name="_Toc15377214"/>
      <w:r>
        <w:rPr>
          <w:rFonts w:hint="eastAsia" w:ascii="仿宋_GB2312" w:hAnsi="仿宋_GB2312" w:eastAsia="仿宋_GB2312" w:cs="仿宋_GB2312"/>
          <w:color w:val="auto"/>
          <w:kern w:val="2"/>
          <w:sz w:val="32"/>
          <w:szCs w:val="32"/>
          <w:highlight w:val="none"/>
          <w:lang w:val="en-US" w:eastAsia="zh-CN" w:bidi="ar-SA"/>
        </w:rPr>
        <w:t>4.社会保障和就业（类）行政事业单位养老支出（款）机关事业单位基本养老保险缴费支出（项）：支出决算为75.92万元，完成预算100%，决算数与预算数持平。</w:t>
      </w:r>
    </w:p>
    <w:p w14:paraId="5B62C1E5">
      <w:pPr>
        <w:keepNext w:val="0"/>
        <w:keepLines w:val="0"/>
        <w:pageBreakBefore w:val="0"/>
        <w:kinsoku/>
        <w:wordWrap/>
        <w:overflowPunct/>
        <w:topLinePunct w:val="0"/>
        <w:bidi w:val="0"/>
        <w:spacing w:line="576" w:lineRule="exact"/>
        <w:ind w:left="0" w:leftChars="0" w:firstLine="42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color w:val="auto"/>
          <w:kern w:val="2"/>
          <w:sz w:val="32"/>
          <w:szCs w:val="32"/>
          <w:highlight w:val="none"/>
          <w:lang w:val="en-US" w:eastAsia="zh-CN" w:bidi="ar-SA"/>
        </w:rPr>
        <w:t>5.社会保障和就业（类）行政事业单位养老支出（款）机关事业单位职业年金缴费支出（项）：支出决算为37.96万元，完成预算100%，决算数与预算数持平。</w:t>
      </w:r>
    </w:p>
    <w:p w14:paraId="66AD295F">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6.社会保障和就业（类）就业补助（款）公益性岗位补贴（项）：支出决算为2.8万元，完成预算100%，决算数与预算数持平。</w:t>
      </w:r>
    </w:p>
    <w:p w14:paraId="421067E4">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7.社会保障和就业（类）残疾人事业（款）其他残疾人事业支出（项）：支出决算为0.69万元，完成预算100%，决算数与预算数持平。</w:t>
      </w:r>
    </w:p>
    <w:p w14:paraId="0AAAA295">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8.卫生健康（类）行政事业单位医疗（款）行政单位医疗（项）：支出决算为29.8万元，完成预算100%，决算数与预算数持平。</w:t>
      </w:r>
    </w:p>
    <w:p w14:paraId="24657D61">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9.农林水支出（类）农业农村（款）其他农业农村支出（项）：支出决算为90.2万元，完成预算100%，决算数与预算数持平。</w:t>
      </w:r>
    </w:p>
    <w:p w14:paraId="55A0F720">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10.农林水支出（类）巩固脱贫攻坚成果衔接乡村振兴（款）农村基础设施建设（项）：支出决算为14.9万元，完成预算100%，决算数与预算数持平。</w:t>
      </w:r>
    </w:p>
    <w:p w14:paraId="33D8A483">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11.农林水支出（类）巩固脱贫攻坚成果衔接乡村振兴（款）其他巩固脱贫攻坚成果衔接乡村振兴支出（项）：支出决算为202.69万元，完成预算100%，决算数与预算数持平。</w:t>
      </w:r>
    </w:p>
    <w:p w14:paraId="2A81A10E">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12.农林水支出（类）农村综合改革（款）对村民委员会和村党支部的补助（项）：支出决算为230.73万元，完成预算100%，决算数与预算数持平。</w:t>
      </w:r>
    </w:p>
    <w:p w14:paraId="0D16B527">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13.住房保障支出（类）住房改革支出（款）住房公积金（项）：支出决算为65.38万元，完成预算100%，决算数与预算数持平。</w:t>
      </w:r>
    </w:p>
    <w:p w14:paraId="50F9C3A4">
      <w:pPr>
        <w:keepNext w:val="0"/>
        <w:keepLines w:val="0"/>
        <w:pageBreakBefore w:val="0"/>
        <w:widowControl w:val="0"/>
        <w:tabs>
          <w:tab w:val="right" w:pos="8306"/>
        </w:tabs>
        <w:kinsoku/>
        <w:wordWrap/>
        <w:overflowPunct/>
        <w:topLinePunct w:val="0"/>
        <w:autoSpaceDE/>
        <w:autoSpaceDN/>
        <w:bidi w:val="0"/>
        <w:adjustRightInd/>
        <w:snapToGrid/>
        <w:spacing w:line="576" w:lineRule="exact"/>
        <w:ind w:left="0" w:leftChars="0" w:firstLine="640" w:firstLineChars="200"/>
        <w:jc w:val="both"/>
        <w:textAlignment w:val="auto"/>
        <w:outlineLvl w:val="9"/>
        <w:rPr>
          <w:rStyle w:val="30"/>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60"/>
      <w:bookmarkEnd w:id="61"/>
      <w:bookmarkEnd w:id="62"/>
      <w:bookmarkEnd w:id="63"/>
      <w:r>
        <w:rPr>
          <w:rStyle w:val="30"/>
          <w:rFonts w:ascii="Times New Roman" w:hAnsi="Times New Roman" w:eastAsia="黑体"/>
          <w:b w:val="0"/>
          <w:color w:val="auto"/>
          <w:highlight w:val="none"/>
        </w:rPr>
        <w:tab/>
      </w:r>
    </w:p>
    <w:p w14:paraId="558E4F50">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sz w:val="32"/>
          <w:szCs w:val="32"/>
          <w:lang w:val="en-US" w:eastAsia="zh-CN"/>
        </w:rPr>
        <w:t>907.39</w:t>
      </w:r>
      <w:r>
        <w:rPr>
          <w:rFonts w:hint="eastAsia" w:ascii="仿宋_GB2312" w:hAnsi="仿宋_GB2312" w:eastAsia="仿宋_GB2312" w:cs="仿宋_GB2312"/>
          <w:color w:val="auto"/>
          <w:kern w:val="2"/>
          <w:sz w:val="32"/>
          <w:szCs w:val="32"/>
          <w:highlight w:val="none"/>
          <w:lang w:val="en-US" w:eastAsia="zh-CN" w:bidi="ar-SA"/>
        </w:rPr>
        <w:t>万元，其中：</w:t>
      </w:r>
    </w:p>
    <w:p w14:paraId="0BAACCD7">
      <w:pPr>
        <w:keepNext w:val="0"/>
        <w:keepLines w:val="0"/>
        <w:pageBreakBefore w:val="0"/>
        <w:widowControl w:val="0"/>
        <w:kinsoku/>
        <w:wordWrap/>
        <w:overflowPunct/>
        <w:topLinePunct w:val="0"/>
        <w:autoSpaceDE/>
        <w:autoSpaceDN/>
        <w:bidi w:val="0"/>
        <w:adjustRightInd/>
        <w:snapToGrid/>
        <w:spacing w:line="568" w:lineRule="exact"/>
        <w:ind w:left="0" w:lef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51.44</w:t>
      </w:r>
      <w:r>
        <w:rPr>
          <w:rFonts w:hint="eastAsia" w:ascii="仿宋_GB2312" w:hAnsi="仿宋_GB2312"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color w:val="auto"/>
          <w:kern w:val="2"/>
          <w:sz w:val="32"/>
          <w:szCs w:val="32"/>
          <w:highlight w:val="none"/>
          <w:lang w:val="en-US" w:eastAsia="zh-CN" w:bidi="ar-SA"/>
        </w:rPr>
        <w:br w:type="textWrapping"/>
      </w:r>
      <w:r>
        <w:rPr>
          <w:rFonts w:hint="eastAsia" w:ascii="仿宋_GB2312" w:hAnsi="仿宋_GB2312"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55.94</w:t>
      </w:r>
      <w:r>
        <w:rPr>
          <w:rFonts w:hint="eastAsia" w:ascii="仿宋_GB2312" w:hAnsi="仿宋_GB2312"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7768C4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Style w:val="30"/>
          <w:rFonts w:ascii="Times New Roman" w:hAnsi="Times New Roman" w:eastAsia="黑体"/>
          <w:b w:val="0"/>
          <w:color w:val="auto"/>
          <w:highlight w:val="none"/>
        </w:rPr>
      </w:pPr>
      <w:bookmarkStart w:id="64" w:name="_Toc30288"/>
      <w:bookmarkStart w:id="65" w:name="_Toc15377215"/>
      <w:bookmarkStart w:id="66" w:name="_Toc15396609"/>
      <w:bookmarkStart w:id="67" w:name="_Toc614"/>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eastAsia="黑体"/>
          <w:b w:val="0"/>
          <w:color w:val="auto"/>
          <w:highlight w:val="none"/>
          <w:lang w:eastAsia="zh-CN"/>
        </w:rPr>
        <w:t>“</w:t>
      </w:r>
      <w:r>
        <w:rPr>
          <w:rStyle w:val="30"/>
          <w:rFonts w:hint="eastAsia" w:ascii="Times New Roman" w:hAnsi="Times New Roman" w:eastAsia="黑体"/>
          <w:b w:val="0"/>
          <w:color w:val="auto"/>
          <w:highlight w:val="none"/>
        </w:rPr>
        <w:t>三公</w:t>
      </w:r>
      <w:r>
        <w:rPr>
          <w:rStyle w:val="30"/>
          <w:rFonts w:hint="eastAsia" w:eastAsia="黑体"/>
          <w:b w:val="0"/>
          <w:color w:val="auto"/>
          <w:highlight w:val="none"/>
          <w:lang w:eastAsia="zh-CN"/>
        </w:rPr>
        <w:t>”</w:t>
      </w:r>
      <w:r>
        <w:rPr>
          <w:rStyle w:val="30"/>
          <w:rFonts w:hint="eastAsia" w:ascii="Times New Roman" w:hAnsi="Times New Roman" w:eastAsia="黑体"/>
          <w:b w:val="0"/>
          <w:color w:val="auto"/>
          <w:highlight w:val="none"/>
        </w:rPr>
        <w:t>经费支出决算情况说明</w:t>
      </w:r>
      <w:bookmarkEnd w:id="64"/>
      <w:bookmarkEnd w:id="65"/>
      <w:bookmarkEnd w:id="66"/>
      <w:bookmarkEnd w:id="67"/>
    </w:p>
    <w:p w14:paraId="280A840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68"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68"/>
    </w:p>
    <w:p w14:paraId="79DD1C99">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2025年度“三公”经费财政拨款支出决算为</w:t>
      </w:r>
      <w:r>
        <w:rPr>
          <w:rFonts w:hint="eastAsia" w:ascii="仿宋_GB2312" w:hAnsi="仿宋_GB2312" w:eastAsia="仿宋_GB2312" w:cs="仿宋_GB2312"/>
          <w:sz w:val="32"/>
          <w:szCs w:val="32"/>
        </w:rPr>
        <w:t>4</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p>
    <w:p w14:paraId="71D6FAC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69"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69"/>
    </w:p>
    <w:p w14:paraId="26670E47">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2025年度“三公”经费财政拨款支出决算中，公务用车购置及运行维护费支出决算</w:t>
      </w:r>
      <w:r>
        <w:rPr>
          <w:rFonts w:hint="eastAsia" w:ascii="仿宋_GB2312" w:hAnsi="仿宋_GB2312" w:eastAsia="仿宋_GB2312" w:cs="仿宋_GB2312"/>
          <w:sz w:val="32"/>
          <w:szCs w:val="32"/>
        </w:rPr>
        <w:t>4</w:t>
      </w:r>
      <w:r>
        <w:rPr>
          <w:rFonts w:hint="eastAsia" w:ascii="仿宋_GB2312" w:hAnsi="仿宋_GB2312" w:eastAsia="仿宋_GB2312" w:cs="仿宋_GB2312"/>
          <w:color w:val="auto"/>
          <w:kern w:val="2"/>
          <w:sz w:val="32"/>
          <w:szCs w:val="32"/>
          <w:highlight w:val="none"/>
          <w:lang w:val="en-US" w:eastAsia="zh-CN" w:bidi="ar-SA"/>
        </w:rPr>
        <w:t>万元，占100%。具体情况如下：</w:t>
      </w:r>
    </w:p>
    <w:p w14:paraId="64F3EA98">
      <w:pPr>
        <w:ind w:firstLine="1260" w:firstLineChars="600"/>
      </w:pPr>
    </w:p>
    <w:p w14:paraId="55565E67">
      <w:pPr>
        <w:ind w:firstLine="1260" w:firstLineChars="600"/>
        <w:rPr>
          <w:rFonts w:hint="eastAsia" w:eastAsia="仿宋_GB2312" w:cs="仿宋_GB2312"/>
          <w:b/>
          <w:bCs/>
          <w:color w:val="auto"/>
          <w:kern w:val="2"/>
          <w:sz w:val="32"/>
          <w:szCs w:val="32"/>
          <w:highlight w:val="none"/>
          <w:lang w:val="en-US" w:eastAsia="zh-CN" w:bidi="ar-SA"/>
        </w:rPr>
      </w:pPr>
      <w:r>
        <w:object>
          <v:shape id="_x0000_i1025" o:spt="75" type="#_x0000_t75" style="height:180.25pt;width:299.35pt;" o:ole="t" filled="f" o:preferrelative="t" stroked="f" coordsize="21600,21600" o:gfxdata="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">
            <v:path/>
            <v:fill on="f" focussize="0,0"/>
            <v:stroke on="f"/>
            <v:imagedata r:id="rId14" o:title=""/>
            <o:lock v:ext="edit" aspectratio="t"/>
            <w10:wrap type="none"/>
            <w10:anchorlock/>
          </v:shape>
          <o:OLEObject Type="Embed" ProgID="excel.sheet.8" ShapeID="_x0000_i1025" DrawAspect="Content" ObjectID="_1468075725" r:id="rId13">
            <o:LockedField>false</o:LockedField>
          </o:OLEObject>
        </w:object>
      </w:r>
    </w:p>
    <w:p w14:paraId="3ADD87D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3"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14:paraId="0E5F2E0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3"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631F68C1">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b/>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截至2025年12月31日，单位共有公务用车2辆，</w:t>
      </w:r>
      <w:r>
        <w:rPr>
          <w:rFonts w:hint="eastAsia" w:ascii="仿宋_GB2312" w:hAnsi="仿宋_GB2312" w:eastAsia="仿宋_GB2312" w:cs="仿宋_GB2312"/>
          <w:color w:val="auto"/>
          <w:sz w:val="32"/>
          <w:szCs w:val="32"/>
          <w:highlight w:val="none"/>
        </w:rPr>
        <w:t>其中：轿车</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color w:val="auto"/>
          <w:sz w:val="32"/>
          <w:szCs w:val="32"/>
          <w:highlight w:val="none"/>
          <w:lang w:eastAsia="zh-CN"/>
        </w:rPr>
        <w:t>，消防用车</w:t>
      </w:r>
      <w:r>
        <w:rPr>
          <w:rFonts w:hint="eastAsia" w:ascii="仿宋_GB2312" w:hAnsi="仿宋_GB2312" w:eastAsia="仿宋_GB2312" w:cs="仿宋_GB2312"/>
          <w:color w:val="auto"/>
          <w:sz w:val="32"/>
          <w:szCs w:val="32"/>
          <w:highlight w:val="none"/>
          <w:lang w:val="en-US" w:eastAsia="zh-CN"/>
        </w:rPr>
        <w:t>1 辆。</w:t>
      </w:r>
    </w:p>
    <w:p w14:paraId="5F44FB47">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4</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auto"/>
          <w:sz w:val="32"/>
          <w:szCs w:val="32"/>
          <w:highlight w:val="none"/>
        </w:rPr>
        <w:t>主要用于</w:t>
      </w:r>
      <w:r>
        <w:rPr>
          <w:rFonts w:hint="eastAsia" w:ascii="仿宋_GB2312" w:hAnsi="仿宋_GB2312" w:eastAsia="仿宋_GB2312" w:cs="仿宋_GB2312"/>
          <w:color w:val="auto"/>
          <w:sz w:val="32"/>
          <w:szCs w:val="32"/>
          <w:highlight w:val="none"/>
          <w:lang w:eastAsia="zh-CN"/>
        </w:rPr>
        <w:t>职工干部</w:t>
      </w:r>
      <w:r>
        <w:rPr>
          <w:rFonts w:hint="eastAsia" w:ascii="仿宋_GB2312" w:hAnsi="仿宋_GB2312" w:eastAsia="仿宋_GB2312" w:cs="仿宋_GB2312"/>
          <w:color w:val="000000"/>
          <w:sz w:val="32"/>
          <w:szCs w:val="32"/>
          <w:lang w:eastAsia="zh-CN"/>
        </w:rPr>
        <w:t>森林防火、产业发展、下乡扶贫</w:t>
      </w:r>
      <w:r>
        <w:rPr>
          <w:rFonts w:hint="eastAsia" w:ascii="仿宋_GB2312" w:hAnsi="仿宋_GB2312" w:eastAsia="仿宋_GB2312" w:cs="仿宋_GB2312"/>
          <w:color w:val="000000"/>
          <w:sz w:val="32"/>
          <w:szCs w:val="32"/>
        </w:rPr>
        <w:t>等</w:t>
      </w:r>
      <w:r>
        <w:rPr>
          <w:rFonts w:hint="eastAsia" w:ascii="仿宋_GB2312" w:hAnsi="仿宋_GB2312" w:eastAsia="仿宋_GB2312" w:cs="仿宋_GB2312"/>
          <w:color w:val="auto"/>
          <w:sz w:val="32"/>
          <w:szCs w:val="32"/>
          <w:highlight w:val="none"/>
        </w:rPr>
        <w:t>所需的公务用车燃料费、维修费、过路过桥费、保险费等支出。</w:t>
      </w:r>
    </w:p>
    <w:p w14:paraId="5C4FF09B">
      <w:pPr>
        <w:keepNext w:val="0"/>
        <w:keepLines w:val="0"/>
        <w:pageBreakBefore w:val="0"/>
        <w:numPr>
          <w:ilvl w:val="0"/>
          <w:numId w:val="0"/>
        </w:numPr>
        <w:kinsoku/>
        <w:wordWrap/>
        <w:overflowPunct/>
        <w:topLinePunct w:val="0"/>
        <w:bidi w:val="0"/>
        <w:spacing w:line="576" w:lineRule="exact"/>
        <w:ind w:left="0" w:leftChars="0" w:firstLine="643" w:firstLineChars="2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lang w:eastAsia="zh-CN"/>
        </w:rPr>
        <w:t>万元。</w:t>
      </w:r>
      <w:bookmarkStart w:id="70" w:name="_Toc15377218"/>
      <w:bookmarkStart w:id="71" w:name="_Toc15396610"/>
    </w:p>
    <w:p w14:paraId="1E843B05">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Style w:val="30"/>
          <w:rFonts w:ascii="Times New Roman" w:hAnsi="Times New Roman" w:eastAsia="黑体"/>
          <w:color w:val="auto"/>
          <w:highlight w:val="none"/>
        </w:rPr>
      </w:pPr>
      <w:bookmarkStart w:id="72" w:name="_Toc10097"/>
      <w:bookmarkStart w:id="73" w:name="_Toc11336"/>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70"/>
      <w:bookmarkEnd w:id="71"/>
      <w:bookmarkEnd w:id="72"/>
      <w:bookmarkEnd w:id="73"/>
    </w:p>
    <w:p w14:paraId="38BFBD24">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lang w:val="en-US" w:eastAsia="zh-CN"/>
        </w:rPr>
        <w:t>102.56</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5.9</w:t>
      </w:r>
      <w:r>
        <w:rPr>
          <w:rFonts w:hint="eastAsia" w:ascii="仿宋_GB2312" w:hAnsi="仿宋_GB2312" w:eastAsia="仿宋_GB2312" w:cs="仿宋_GB2312"/>
          <w:color w:val="auto"/>
          <w:kern w:val="2"/>
          <w:sz w:val="32"/>
          <w:szCs w:val="32"/>
          <w:highlight w:val="none"/>
          <w:lang w:val="en-US" w:eastAsia="zh-CN" w:bidi="ar-SA"/>
        </w:rPr>
        <w:t>%。与2024年度相比政府性基金预算财政拨款支出增加102.56万元。主要变动原因是：</w:t>
      </w:r>
      <w:bookmarkStart w:id="121" w:name="_GoBack"/>
      <w:bookmarkEnd w:id="121"/>
      <w:r>
        <w:rPr>
          <w:rFonts w:hint="eastAsia" w:ascii="仿宋_GB2312" w:hAnsi="仿宋_GB2312" w:eastAsia="仿宋_GB2312" w:cs="仿宋_GB2312"/>
          <w:color w:val="auto"/>
          <w:kern w:val="2"/>
          <w:sz w:val="32"/>
          <w:szCs w:val="32"/>
          <w:highlight w:val="none"/>
          <w:lang w:val="en-US" w:eastAsia="zh-CN" w:bidi="ar-SA"/>
        </w:rPr>
        <w:t>2025年度新增政府性基金预算资金项目。</w:t>
      </w:r>
    </w:p>
    <w:p w14:paraId="3F90D718">
      <w:pPr>
        <w:keepNext w:val="0"/>
        <w:keepLines w:val="0"/>
        <w:pageBreakBefore w:val="0"/>
        <w:numPr>
          <w:ilvl w:val="0"/>
          <w:numId w:val="0"/>
        </w:numPr>
        <w:kinsoku/>
        <w:wordWrap/>
        <w:overflowPunct/>
        <w:topLinePunct w:val="0"/>
        <w:bidi w:val="0"/>
        <w:spacing w:line="576" w:lineRule="exact"/>
        <w:ind w:left="0" w:leftChars="0" w:firstLine="640" w:firstLineChars="200"/>
        <w:jc w:val="both"/>
        <w:textAlignment w:val="auto"/>
        <w:outlineLvl w:val="9"/>
        <w:rPr>
          <w:rStyle w:val="30"/>
          <w:rFonts w:ascii="Times New Roman" w:hAnsi="Times New Roman" w:eastAsia="黑体"/>
          <w:b w:val="0"/>
          <w:color w:val="auto"/>
          <w:highlight w:val="none"/>
        </w:rPr>
      </w:pPr>
      <w:bookmarkStart w:id="74" w:name="_Toc15396611"/>
      <w:bookmarkStart w:id="75" w:name="_Toc7448"/>
      <w:bookmarkStart w:id="76" w:name="_Toc2008"/>
      <w:bookmarkStart w:id="77"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74"/>
      <w:bookmarkEnd w:id="75"/>
      <w:bookmarkEnd w:id="76"/>
      <w:bookmarkEnd w:id="77"/>
    </w:p>
    <w:p w14:paraId="5EFABD1B">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34532CC2">
      <w:pPr>
        <w:keepNext w:val="0"/>
        <w:keepLines w:val="0"/>
        <w:pageBreakBefore w:val="0"/>
        <w:numPr>
          <w:ilvl w:val="0"/>
          <w:numId w:val="0"/>
        </w:numPr>
        <w:kinsoku/>
        <w:wordWrap/>
        <w:overflowPunct/>
        <w:topLinePunct w:val="0"/>
        <w:bidi w:val="0"/>
        <w:spacing w:line="576" w:lineRule="exact"/>
        <w:ind w:left="0" w:leftChars="0" w:firstLine="640" w:firstLineChars="200"/>
        <w:jc w:val="both"/>
        <w:textAlignment w:val="auto"/>
        <w:outlineLvl w:val="9"/>
        <w:rPr>
          <w:rStyle w:val="30"/>
          <w:rFonts w:hint="eastAsia" w:ascii="Times New Roman" w:hAnsi="Times New Roman" w:eastAsia="黑体"/>
          <w:b w:val="0"/>
          <w:color w:val="auto"/>
          <w:highlight w:val="none"/>
          <w:lang w:eastAsia="zh-CN"/>
        </w:rPr>
      </w:pPr>
      <w:bookmarkStart w:id="78" w:name="_Toc15396612"/>
      <w:bookmarkStart w:id="79" w:name="_Toc31341"/>
      <w:bookmarkStart w:id="80" w:name="_Toc30205"/>
      <w:bookmarkStart w:id="81" w:name="_Toc15377221"/>
      <w:r>
        <w:rPr>
          <w:rStyle w:val="30"/>
          <w:rFonts w:hint="eastAsia" w:ascii="Times New Roman" w:hAnsi="Times New Roman" w:eastAsia="黑体"/>
          <w:b w:val="0"/>
          <w:color w:val="auto"/>
          <w:highlight w:val="none"/>
          <w:lang w:eastAsia="zh-CN"/>
        </w:rPr>
        <w:t>十、其他重要事项的情况说明</w:t>
      </w:r>
      <w:bookmarkEnd w:id="78"/>
      <w:bookmarkEnd w:id="79"/>
      <w:bookmarkEnd w:id="80"/>
      <w:bookmarkEnd w:id="81"/>
    </w:p>
    <w:p w14:paraId="47A0E382">
      <w:pPr>
        <w:keepNext w:val="0"/>
        <w:keepLines w:val="0"/>
        <w:pageBreakBefore w:val="0"/>
        <w:widowControl w:val="0"/>
        <w:kinsoku/>
        <w:wordWrap/>
        <w:overflowPunct/>
        <w:topLinePunct w:val="0"/>
        <w:bidi w:val="0"/>
        <w:snapToGrid/>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82" w:name="_Toc15377222"/>
      <w:r>
        <w:rPr>
          <w:rFonts w:hint="eastAsia" w:ascii="Times New Roman" w:hAnsi="Times New Roman" w:eastAsia="楷体_GB2312" w:cs="楷体_GB2312"/>
          <w:b/>
          <w:color w:val="auto"/>
          <w:sz w:val="32"/>
          <w:szCs w:val="32"/>
          <w:highlight w:val="none"/>
        </w:rPr>
        <w:t>（一）机关运行经费支出情况</w:t>
      </w:r>
      <w:bookmarkEnd w:id="82"/>
    </w:p>
    <w:p w14:paraId="75A898E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茂县沟口镇人民政府</w:t>
      </w:r>
      <w:r>
        <w:rPr>
          <w:rFonts w:hint="eastAsia" w:ascii="仿宋_GB2312" w:hAnsi="仿宋_GB2312" w:eastAsia="仿宋_GB2312" w:cs="仿宋_GB2312"/>
          <w:color w:val="auto"/>
          <w:kern w:val="2"/>
          <w:sz w:val="32"/>
          <w:szCs w:val="32"/>
          <w:highlight w:val="none"/>
          <w:lang w:val="en-US" w:eastAsia="zh-CN" w:bidi="ar-SA"/>
        </w:rPr>
        <w:t>机关运行经费支出37.46万元，与2024年度相比增加12.29万元，增长48.83%。主要原因是：人员增加，日常公用经费增加。</w:t>
      </w:r>
    </w:p>
    <w:p w14:paraId="6A1D347C">
      <w:pPr>
        <w:keepNext w:val="0"/>
        <w:keepLines w:val="0"/>
        <w:pageBreakBefore w:val="0"/>
        <w:widowControl w:val="0"/>
        <w:kinsoku/>
        <w:wordWrap/>
        <w:overflowPunct/>
        <w:topLinePunct w:val="0"/>
        <w:bidi w:val="0"/>
        <w:snapToGrid/>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83" w:name="_Toc15377223"/>
      <w:r>
        <w:rPr>
          <w:rFonts w:hint="eastAsia" w:ascii="Times New Roman" w:hAnsi="Times New Roman" w:eastAsia="楷体_GB2312" w:cs="楷体_GB2312"/>
          <w:b/>
          <w:color w:val="auto"/>
          <w:sz w:val="32"/>
          <w:szCs w:val="32"/>
          <w:highlight w:val="none"/>
        </w:rPr>
        <w:t>（二）政府采购支出情况</w:t>
      </w:r>
      <w:bookmarkEnd w:id="83"/>
    </w:p>
    <w:p w14:paraId="33FAAA26">
      <w:pPr>
        <w:keepNext w:val="0"/>
        <w:keepLines w:val="0"/>
        <w:pageBreakBefore w:val="0"/>
        <w:widowControl w:val="0"/>
        <w:kinsoku/>
        <w:wordWrap/>
        <w:overflowPunct/>
        <w:topLinePunct w:val="0"/>
        <w:bidi w:val="0"/>
        <w:snapToGrid/>
        <w:spacing w:line="576" w:lineRule="exact"/>
        <w:ind w:left="0" w:leftChars="0" w:firstLine="640" w:firstLineChars="200"/>
        <w:jc w:val="both"/>
        <w:textAlignment w:val="auto"/>
        <w:outlineLvl w:val="9"/>
        <w:rPr>
          <w:rFonts w:hint="eastAsia" w:ascii="仿宋_GB2312" w:eastAsia="仿宋_GB2312" w:cs="Times New Roman"/>
          <w:color w:val="auto"/>
          <w:sz w:val="32"/>
          <w:szCs w:val="32"/>
          <w:highlight w:val="none"/>
        </w:rPr>
      </w:pPr>
      <w:bookmarkStart w:id="84" w:name="_Toc15377224"/>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茂县沟口镇人民</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80.96</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80.96</w:t>
      </w:r>
      <w:r>
        <w:rPr>
          <w:rFonts w:hint="eastAsia" w:ascii="仿宋_GB2312" w:eastAsia="仿宋_GB2312"/>
          <w:color w:val="auto"/>
          <w:sz w:val="32"/>
          <w:szCs w:val="32"/>
          <w:highlight w:val="none"/>
        </w:rPr>
        <w:t>万元</w:t>
      </w:r>
      <w:r>
        <w:rPr>
          <w:rFonts w:hint="eastAsia" w:ascii="仿宋_GB2312" w:eastAsia="仿宋_GB2312" w:cs="Times New Roman"/>
          <w:color w:val="auto"/>
          <w:sz w:val="32"/>
          <w:szCs w:val="32"/>
          <w:highlight w:val="none"/>
        </w:rPr>
        <w:t>。主要用于</w:t>
      </w:r>
      <w:r>
        <w:rPr>
          <w:rFonts w:hint="eastAsia" w:ascii="仿宋_GB2312" w:eastAsia="仿宋_GB2312" w:cs="Times New Roman"/>
          <w:color w:val="auto"/>
          <w:sz w:val="32"/>
          <w:szCs w:val="32"/>
          <w:highlight w:val="none"/>
          <w:lang w:eastAsia="zh-CN"/>
        </w:rPr>
        <w:t>沟口镇水草坪村苹果产业示范基地项目采购防雹网、防布草及双边护栏安装工作</w:t>
      </w:r>
      <w:r>
        <w:rPr>
          <w:rFonts w:hint="eastAsia" w:ascii="仿宋_GB2312" w:eastAsia="仿宋_GB2312" w:cs="Times New Roman"/>
          <w:color w:val="auto"/>
          <w:sz w:val="32"/>
          <w:szCs w:val="32"/>
          <w:highlight w:val="none"/>
        </w:rPr>
        <w:t>。</w:t>
      </w:r>
    </w:p>
    <w:p w14:paraId="68D5D096">
      <w:pPr>
        <w:keepNext w:val="0"/>
        <w:keepLines w:val="0"/>
        <w:pageBreakBefore w:val="0"/>
        <w:widowControl w:val="0"/>
        <w:kinsoku/>
        <w:wordWrap/>
        <w:overflowPunct/>
        <w:topLinePunct w:val="0"/>
        <w:bidi w:val="0"/>
        <w:snapToGrid/>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84"/>
    </w:p>
    <w:p w14:paraId="139F3536">
      <w:pPr>
        <w:keepNext w:val="0"/>
        <w:keepLines w:val="0"/>
        <w:pageBreakBefore w:val="0"/>
        <w:widowControl w:val="0"/>
        <w:kinsoku/>
        <w:wordWrap/>
        <w:overflowPunct/>
        <w:topLinePunct w:val="0"/>
        <w:autoSpaceDE w:val="0"/>
        <w:autoSpaceDN w:val="0"/>
        <w:bidi w:val="0"/>
        <w:adjustRightInd w:val="0"/>
        <w:snapToGrid/>
        <w:spacing w:line="576" w:lineRule="exact"/>
        <w:ind w:left="0" w:leftChars="0" w:firstLine="640" w:firstLineChars="200"/>
        <w:jc w:val="both"/>
        <w:textAlignment w:val="auto"/>
        <w:outlineLvl w:val="9"/>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茂县沟口镇人民</w:t>
      </w:r>
      <w:r>
        <w:rPr>
          <w:rFonts w:hint="eastAsia" w:ascii="仿宋_GB2312" w:eastAsia="仿宋_GB2312"/>
          <w:color w:val="auto"/>
          <w:sz w:val="32"/>
          <w:szCs w:val="32"/>
          <w:highlight w:val="none"/>
        </w:rPr>
        <w:t>政府共有车辆</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辆，其中：应急保障用车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p>
    <w:p w14:paraId="2B14165D">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4E01F53">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eastAsia="仿宋_GB2312"/>
          <w:color w:val="000000"/>
          <w:sz w:val="32"/>
          <w:szCs w:val="32"/>
          <w:lang w:val="en-US" w:eastAsia="zh-CN"/>
        </w:rPr>
        <w:t>茂县沟口镇人民</w:t>
      </w:r>
      <w:r>
        <w:rPr>
          <w:rFonts w:hint="eastAsia" w:ascii="仿宋_GB2312" w:eastAsia="仿宋_GB2312"/>
          <w:color w:val="000000"/>
          <w:sz w:val="32"/>
          <w:szCs w:val="32"/>
        </w:rPr>
        <w:t>政府</w:t>
      </w:r>
      <w:r>
        <w:rPr>
          <w:rFonts w:hint="eastAsia" w:ascii="Times New Roman" w:hAnsi="Times New Roman" w:eastAsia="仿宋_GB2312" w:cs="仿宋_GB2312"/>
          <w:color w:val="auto"/>
          <w:kern w:val="2"/>
          <w:sz w:val="32"/>
          <w:szCs w:val="32"/>
          <w:highlight w:val="none"/>
          <w:lang w:val="en-US" w:eastAsia="zh-CN" w:bidi="ar-SA"/>
        </w:rPr>
        <w:t>在2025年度预算编制阶段，组织对</w:t>
      </w:r>
      <w:r>
        <w:rPr>
          <w:rFonts w:hint="eastAsia" w:ascii="仿宋_GB2312" w:hAnsi="仿宋_GB2312" w:eastAsia="仿宋_GB2312" w:cs="仿宋_GB2312"/>
          <w:color w:val="auto"/>
          <w:sz w:val="32"/>
          <w:szCs w:val="32"/>
          <w:highlight w:val="none"/>
          <w:lang w:eastAsia="zh-CN"/>
        </w:rPr>
        <w:t>茂县</w:t>
      </w:r>
      <w:r>
        <w:rPr>
          <w:rFonts w:hint="eastAsia" w:ascii="仿宋_GB2312" w:eastAsia="仿宋_GB2312" w:cs="Times New Roman"/>
          <w:color w:val="auto"/>
          <w:sz w:val="32"/>
          <w:szCs w:val="32"/>
          <w:highlight w:val="none"/>
          <w:lang w:eastAsia="zh-CN"/>
        </w:rPr>
        <w:t>沟口镇水草坪村苹果产业示范基地项目、茂县第二综合应急</w:t>
      </w:r>
      <w:r>
        <w:rPr>
          <w:rFonts w:hint="eastAsia" w:ascii="仿宋_GB2312" w:eastAsia="仿宋_GB2312"/>
          <w:color w:val="auto"/>
          <w:sz w:val="32"/>
          <w:szCs w:val="32"/>
          <w:highlight w:val="none"/>
          <w:lang w:eastAsia="zh-CN"/>
        </w:rPr>
        <w:t>救援</w:t>
      </w:r>
      <w:r>
        <w:rPr>
          <w:rFonts w:hint="eastAsia" w:ascii="仿宋_GB2312" w:eastAsia="仿宋_GB2312" w:cs="Times New Roman"/>
          <w:color w:val="auto"/>
          <w:sz w:val="32"/>
          <w:szCs w:val="32"/>
          <w:highlight w:val="none"/>
          <w:lang w:eastAsia="zh-CN"/>
        </w:rPr>
        <w:t>中心改造项目、沟口镇水若村组道硬化项目、沟口镇城乡环境质量提升示范项目</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项目编制了绩效目标，预算执行过程中，选取</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F60607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黑体"/>
          <w:color w:val="auto"/>
          <w:sz w:val="44"/>
          <w:szCs w:val="44"/>
          <w:highlight w:val="none"/>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ascii="仿宋_GB2312" w:eastAsia="仿宋_GB2312"/>
          <w:color w:val="000000"/>
          <w:sz w:val="32"/>
          <w:szCs w:val="32"/>
          <w:lang w:val="en-US" w:eastAsia="zh-CN"/>
        </w:rPr>
        <w:t>茂县沟口镇人民</w:t>
      </w:r>
      <w:r>
        <w:rPr>
          <w:rFonts w:hint="eastAsia" w:ascii="仿宋_GB2312" w:eastAsia="仿宋_GB2312"/>
          <w:color w:val="000000"/>
          <w:sz w:val="32"/>
          <w:szCs w:val="32"/>
        </w:rPr>
        <w:t>政府</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w:t>
      </w:r>
      <w:r>
        <w:rPr>
          <w:rFonts w:hint="eastAsia" w:ascii="仿宋_GB2312" w:hAnsi="仿宋_GB2312" w:eastAsia="仿宋_GB2312" w:cs="仿宋_GB2312"/>
          <w:color w:val="auto"/>
          <w:sz w:val="32"/>
          <w:szCs w:val="32"/>
          <w:highlight w:val="none"/>
          <w:lang w:eastAsia="zh-CN"/>
        </w:rPr>
        <w:t>茂县</w:t>
      </w:r>
      <w:r>
        <w:rPr>
          <w:rFonts w:hint="eastAsia" w:ascii="仿宋_GB2312" w:eastAsia="仿宋_GB2312" w:cs="Times New Roman"/>
          <w:color w:val="auto"/>
          <w:sz w:val="32"/>
          <w:szCs w:val="32"/>
          <w:highlight w:val="none"/>
          <w:lang w:eastAsia="zh-CN"/>
        </w:rPr>
        <w:t>沟口镇水草坪村苹果产业示范基地项目、茂县第二综合应急救援中心改造项目、沟口镇水若村组道硬化项目、沟口镇城乡环境质量提升示范项目等</w:t>
      </w:r>
      <w:r>
        <w:rPr>
          <w:rFonts w:hint="eastAsia" w:ascii="Times New Roman" w:hAnsi="Times New Roman" w:eastAsia="仿宋_GB2312" w:cs="仿宋_GB2312"/>
          <w:color w:val="auto"/>
          <w:kern w:val="2"/>
          <w:sz w:val="32"/>
          <w:szCs w:val="32"/>
          <w:highlight w:val="none"/>
          <w:lang w:val="en-US" w:eastAsia="zh-CN" w:bidi="ar-SA"/>
        </w:rPr>
        <w:t>专项预算项目绩效自评报告。其中，</w:t>
      </w:r>
      <w:r>
        <w:rPr>
          <w:rFonts w:hint="eastAsia" w:ascii="仿宋_GB2312" w:eastAsia="仿宋_GB2312"/>
          <w:color w:val="000000"/>
          <w:sz w:val="32"/>
          <w:szCs w:val="32"/>
          <w:highlight w:val="none"/>
          <w:lang w:val="en-US" w:eastAsia="zh-CN"/>
        </w:rPr>
        <w:t>茂县沟口镇人民</w:t>
      </w:r>
      <w:r>
        <w:rPr>
          <w:rFonts w:hint="eastAsia" w:ascii="仿宋_GB2312" w:eastAsia="仿宋_GB2312"/>
          <w:color w:val="000000"/>
          <w:sz w:val="32"/>
          <w:szCs w:val="32"/>
          <w:highlight w:val="none"/>
        </w:rPr>
        <w:t>政府</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93</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整体实施优秀</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eastAsia="zh-CN"/>
        </w:rPr>
        <w:t>茂县</w:t>
      </w:r>
      <w:r>
        <w:rPr>
          <w:rFonts w:hint="eastAsia" w:ascii="仿宋_GB2312" w:eastAsia="仿宋_GB2312" w:cs="Times New Roman"/>
          <w:color w:val="auto"/>
          <w:sz w:val="32"/>
          <w:szCs w:val="32"/>
          <w:highlight w:val="none"/>
          <w:lang w:eastAsia="zh-CN"/>
        </w:rPr>
        <w:t>沟口镇水草坪村苹果产业示范基地</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83</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整体实施良好</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Times New Roman"/>
          <w:color w:val="auto"/>
          <w:sz w:val="32"/>
          <w:szCs w:val="32"/>
          <w:highlight w:val="none"/>
          <w:lang w:eastAsia="zh-CN"/>
        </w:rPr>
        <w:t>茂县第二综合应急救援中心改造</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79</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整体实施良好；</w:t>
      </w:r>
      <w:r>
        <w:rPr>
          <w:rFonts w:hint="eastAsia" w:ascii="仿宋_GB2312" w:eastAsia="仿宋_GB2312" w:cs="Times New Roman"/>
          <w:color w:val="auto"/>
          <w:sz w:val="32"/>
          <w:szCs w:val="32"/>
          <w:highlight w:val="none"/>
          <w:lang w:eastAsia="zh-CN"/>
        </w:rPr>
        <w:t>沟口镇水若村组道硬化</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79</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整体实施良好；</w:t>
      </w:r>
      <w:r>
        <w:rPr>
          <w:rFonts w:hint="eastAsia" w:ascii="仿宋_GB2312" w:eastAsia="仿宋_GB2312" w:cs="Times New Roman"/>
          <w:color w:val="auto"/>
          <w:sz w:val="32"/>
          <w:szCs w:val="32"/>
          <w:highlight w:val="none"/>
          <w:lang w:eastAsia="zh-CN"/>
        </w:rPr>
        <w:t>沟口镇城乡环境质量提升示范</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79</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整体实施良好；</w:t>
      </w:r>
      <w:r>
        <w:rPr>
          <w:rFonts w:hint="eastAsia" w:ascii="Times New Roman" w:hAnsi="Times New Roman" w:eastAsia="仿宋_GB2312" w:cs="仿宋_GB2312"/>
          <w:color w:val="auto"/>
          <w:kern w:val="2"/>
          <w:sz w:val="32"/>
          <w:szCs w:val="32"/>
          <w:highlight w:val="none"/>
          <w:lang w:val="en-US" w:eastAsia="zh-CN" w:bidi="ar-SA"/>
        </w:rPr>
        <w:t>绩效自评报告详见第四部分附件。</w:t>
      </w:r>
      <w:bookmarkStart w:id="85" w:name="_Toc23377"/>
      <w:bookmarkStart w:id="86" w:name="_Toc15377225"/>
      <w:bookmarkStart w:id="87" w:name="_Toc15396613"/>
      <w:bookmarkStart w:id="88" w:name="_Toc17324"/>
    </w:p>
    <w:p w14:paraId="6566F26C">
      <w:pPr>
        <w:keepNext w:val="0"/>
        <w:keepLines w:val="0"/>
        <w:pageBreakBefore w:val="0"/>
        <w:numPr>
          <w:ilvl w:val="0"/>
          <w:numId w:val="0"/>
        </w:numPr>
        <w:kinsoku/>
        <w:wordWrap/>
        <w:overflowPunct/>
        <w:topLinePunct w:val="0"/>
        <w:bidi w:val="0"/>
        <w:spacing w:line="576" w:lineRule="exact"/>
        <w:ind w:left="0" w:leftChars="0" w:firstLine="2200" w:firstLineChars="500"/>
        <w:jc w:val="both"/>
        <w:textAlignment w:val="auto"/>
        <w:outlineLvl w:val="9"/>
        <w:rPr>
          <w:rFonts w:hint="eastAsia" w:ascii="Times New Roman" w:hAnsi="Times New Roman" w:eastAsia="黑体"/>
          <w:color w:val="auto"/>
          <w:sz w:val="44"/>
          <w:szCs w:val="44"/>
          <w:highlight w:val="none"/>
        </w:rPr>
      </w:pPr>
    </w:p>
    <w:p w14:paraId="453C11AB">
      <w:pPr>
        <w:keepNext w:val="0"/>
        <w:keepLines w:val="0"/>
        <w:pageBreakBefore w:val="0"/>
        <w:numPr>
          <w:ilvl w:val="0"/>
          <w:numId w:val="0"/>
        </w:numPr>
        <w:kinsoku/>
        <w:wordWrap/>
        <w:overflowPunct/>
        <w:topLinePunct w:val="0"/>
        <w:bidi w:val="0"/>
        <w:spacing w:line="576" w:lineRule="exact"/>
        <w:ind w:left="0" w:leftChars="0" w:firstLine="2200" w:firstLineChars="500"/>
        <w:jc w:val="both"/>
        <w:textAlignment w:val="auto"/>
        <w:outlineLvl w:val="9"/>
        <w:rPr>
          <w:rFonts w:hint="eastAsia" w:ascii="Times New Roman" w:hAnsi="Times New Roman" w:eastAsia="黑体"/>
          <w:color w:val="auto"/>
          <w:sz w:val="44"/>
          <w:szCs w:val="44"/>
          <w:highlight w:val="none"/>
        </w:rPr>
      </w:pPr>
    </w:p>
    <w:p w14:paraId="0A67BFA9">
      <w:pPr>
        <w:keepNext w:val="0"/>
        <w:keepLines w:val="0"/>
        <w:pageBreakBefore w:val="0"/>
        <w:numPr>
          <w:ilvl w:val="0"/>
          <w:numId w:val="0"/>
        </w:numPr>
        <w:kinsoku/>
        <w:wordWrap/>
        <w:overflowPunct/>
        <w:topLinePunct w:val="0"/>
        <w:bidi w:val="0"/>
        <w:spacing w:line="576" w:lineRule="exact"/>
        <w:ind w:left="0" w:leftChars="0" w:firstLine="2200" w:firstLineChars="500"/>
        <w:jc w:val="both"/>
        <w:textAlignment w:val="auto"/>
        <w:outlineLvl w:val="9"/>
        <w:rPr>
          <w:rFonts w:ascii="Times New Roman" w:hAnsi="Times New Roman"/>
          <w:b/>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5"/>
      <w:bookmarkEnd w:id="86"/>
      <w:bookmarkEnd w:id="87"/>
      <w:bookmarkEnd w:id="88"/>
    </w:p>
    <w:p w14:paraId="28B415C7">
      <w:pPr>
        <w:pStyle w:val="27"/>
        <w:keepNext w:val="0"/>
        <w:keepLines w:val="0"/>
        <w:pageBreakBefore w:val="0"/>
        <w:kinsoku/>
        <w:wordWrap/>
        <w:overflowPunct/>
        <w:topLinePunct w:val="0"/>
        <w:bidi w:val="0"/>
        <w:spacing w:line="576" w:lineRule="exact"/>
        <w:ind w:left="0" w:leftChars="0" w:firstLine="880" w:firstLineChars="200"/>
        <w:jc w:val="both"/>
        <w:textAlignment w:val="auto"/>
        <w:outlineLvl w:val="9"/>
        <w:rPr>
          <w:rFonts w:ascii="仿宋_GB2312" w:eastAsia="仿宋_GB2312"/>
          <w:color w:val="auto"/>
          <w:sz w:val="44"/>
          <w:szCs w:val="44"/>
          <w:highlight w:val="none"/>
        </w:rPr>
      </w:pPr>
      <w:bookmarkStart w:id="89" w:name="_Toc12880"/>
    </w:p>
    <w:p w14:paraId="69906A2F">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bookmarkStart w:id="90" w:name="_Toc32699"/>
      <w:bookmarkStart w:id="91" w:name="_Toc14111"/>
      <w:bookmarkStart w:id="92" w:name="_Toc23056"/>
      <w:bookmarkStart w:id="93" w:name="_Toc30061"/>
      <w:bookmarkStart w:id="94" w:name="_Toc2237"/>
      <w:r>
        <w:rPr>
          <w:rFonts w:hint="eastAsia" w:ascii="仿宋_GB2312" w:hAnsi="Times New Roman" w:eastAsia="仿宋_GB2312" w:cs="仿宋_GB2312"/>
          <w:color w:val="000000"/>
          <w:kern w:val="0"/>
          <w:sz w:val="32"/>
          <w:szCs w:val="32"/>
          <w:lang w:val="en-US" w:eastAsia="zh-CN" w:bidi="ar-SA"/>
        </w:rPr>
        <w:t>1.财政拨款收入：指单位从同级财政部门取得的财政预算资金。</w:t>
      </w:r>
      <w:bookmarkEnd w:id="89"/>
      <w:bookmarkEnd w:id="90"/>
      <w:bookmarkEnd w:id="91"/>
      <w:bookmarkEnd w:id="92"/>
      <w:bookmarkEnd w:id="93"/>
      <w:bookmarkEnd w:id="94"/>
    </w:p>
    <w:p w14:paraId="3DDB34B9">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2.事业收入：指事业单位开展专业业务活动及辅助活动取得的收入。</w:t>
      </w:r>
    </w:p>
    <w:p w14:paraId="5F6A4FC8">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3.经营收入：指事业单位在专业业务活动及其辅助活动之外开展非独立核算经营活动取得的收入。</w:t>
      </w:r>
    </w:p>
    <w:p w14:paraId="24401C3E">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bookmarkStart w:id="95" w:name="_Toc14963"/>
      <w:bookmarkStart w:id="96" w:name="_Toc28467"/>
      <w:bookmarkStart w:id="97" w:name="_Toc21558"/>
      <w:bookmarkStart w:id="98" w:name="_Toc21486"/>
      <w:bookmarkStart w:id="99" w:name="_Toc29469"/>
      <w:bookmarkStart w:id="100" w:name="_Toc1732"/>
      <w:r>
        <w:rPr>
          <w:rFonts w:hint="eastAsia" w:ascii="仿宋_GB2312" w:hAnsi="Times New Roman" w:eastAsia="仿宋_GB2312" w:cs="仿宋_GB2312"/>
          <w:color w:val="000000"/>
          <w:kern w:val="0"/>
          <w:sz w:val="32"/>
          <w:szCs w:val="32"/>
          <w:lang w:val="en-US" w:eastAsia="zh-CN" w:bidi="ar-SA"/>
        </w:rPr>
        <w:t>4.其他收入：指单位取得的除上述收入以外的各项收入。</w:t>
      </w:r>
      <w:bookmarkEnd w:id="95"/>
      <w:bookmarkEnd w:id="96"/>
      <w:bookmarkEnd w:id="97"/>
      <w:bookmarkEnd w:id="98"/>
      <w:bookmarkEnd w:id="99"/>
      <w:bookmarkEnd w:id="100"/>
      <w:r>
        <w:rPr>
          <w:rFonts w:hint="eastAsia" w:ascii="仿宋_GB2312" w:hAnsi="Times New Roman" w:eastAsia="仿宋_GB2312" w:cs="仿宋_GB2312"/>
          <w:color w:val="000000"/>
          <w:kern w:val="0"/>
          <w:sz w:val="32"/>
          <w:szCs w:val="32"/>
          <w:lang w:val="en-US" w:eastAsia="zh-CN" w:bidi="ar-SA"/>
        </w:rPr>
        <w:t xml:space="preserve"> </w:t>
      </w:r>
    </w:p>
    <w:p w14:paraId="758F815C">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 xml:space="preserve">5.使用非财政拨款结余（含专用结余）：指事业单位使用以前年度积累的非财政拨款结余弥补当年收支差额的金额。 </w:t>
      </w:r>
    </w:p>
    <w:p w14:paraId="59F5DAD1">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 xml:space="preserve">6.年初结转和结余：指以前年度尚未完成、结转到本年按有关规定继续使用的资金。 </w:t>
      </w:r>
    </w:p>
    <w:p w14:paraId="6BE7B5AF">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7.结余分配：指事业单位按照会计制度规定缴纳的所得税、提取的专用结余以及转入非财政拨款结余的金额等。</w:t>
      </w:r>
    </w:p>
    <w:p w14:paraId="2093B1B1">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8.年末结转和结余：指单位按有关规定结转到下年或以后年度继续使用的资金。</w:t>
      </w:r>
    </w:p>
    <w:p w14:paraId="48828858">
      <w:pPr>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9.一般公共服务（类）人大事务（款）代表工作（项）：指单位人大召开人民代表大会等专门会议的支出。</w:t>
      </w:r>
    </w:p>
    <w:p w14:paraId="70CC1B68">
      <w:pPr>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10.一般公共服务（类）政府办公厅（室）及相关机构事务（款）行政运行（项）：指单位（包括实行公务员管理的事业单位）的基本支出。</w:t>
      </w:r>
    </w:p>
    <w:p w14:paraId="7EF06759">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11.一般公共服务（类）政府办公厅（室）及相关机构事务（款）其他政府办公厅（室）及相关机构事务支出（项）：指单位用于保障机构正常运行、开展日常工作的基本支出。</w:t>
      </w:r>
    </w:p>
    <w:p w14:paraId="328B766E">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12.文化旅游体育与传媒（类）其他文化旅游体育与传媒支出（款）其他文化旅游体育与传媒支出（项）：指单位用于安排的其他文化旅游体育与传媒支出。</w:t>
      </w:r>
    </w:p>
    <w:p w14:paraId="45629A3B">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13.社会保障和就业（类）行政事业单位养老支出（款）机关事业单位基本养老保险缴费支出（项）：指单位实施养老保险制度由单位缴纳的养老保险费的支出。</w:t>
      </w:r>
    </w:p>
    <w:p w14:paraId="5F2F4FFE">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14.文社会保障和就业（类）行政事业单位养老支出（款）机关事业单位职业年金缴费支出（项）：指单位实施养老保险制度由单位缴纳的职业年金的支出。</w:t>
      </w:r>
    </w:p>
    <w:p w14:paraId="48074177">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15.社会保障和就业（类）就业补助（款）公益性岗位补贴（项）：指单位对符合条件的就业困难人员在公益性岗位就业给与的岗位补贴支出。</w:t>
      </w:r>
    </w:p>
    <w:p w14:paraId="645A4414">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16.卫生健康（类）行政事业单位医疗（款）行政单位医疗（项）：指单位安排的行政单位（包括公务员管理的事业单位，同下）基本医疗保险缴纳经费，未参加医疗保险的行政单位的公费医疗经费，按国家规定享受离休人员、红军老战士待遇人员的医疗经费。</w:t>
      </w:r>
    </w:p>
    <w:p w14:paraId="762531A3">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9"/>
          <w:rFonts w:hint="eastAsia" w:ascii="仿宋_GB2312" w:hAnsi="Times New Roman" w:eastAsia="仿宋_GB2312" w:cs="仿宋_GB2312"/>
          <w:b w:val="0"/>
          <w:color w:val="000000"/>
          <w:sz w:val="32"/>
          <w:szCs w:val="32"/>
          <w:lang w:val="en-US" w:eastAsia="zh-CN"/>
        </w:rPr>
      </w:pPr>
      <w:r>
        <w:rPr>
          <w:rFonts w:hint="eastAsia" w:ascii="仿宋_GB2312" w:hAnsi="Times New Roman" w:eastAsia="仿宋_GB2312" w:cs="仿宋_GB2312"/>
          <w:color w:val="000000"/>
          <w:kern w:val="0"/>
          <w:sz w:val="32"/>
          <w:szCs w:val="32"/>
          <w:lang w:val="en-US" w:eastAsia="zh-CN" w:bidi="ar-SA"/>
        </w:rPr>
        <w:t>17.卫生健康（类）行政事业单位医疗（款）事业单位医疗（项）：</w:t>
      </w:r>
      <w:r>
        <w:rPr>
          <w:rStyle w:val="19"/>
          <w:rFonts w:hint="eastAsia" w:ascii="仿宋_GB2312" w:eastAsia="仿宋_GB2312" w:cs="仿宋_GB2312"/>
          <w:b w:val="0"/>
          <w:color w:val="000000"/>
          <w:sz w:val="32"/>
          <w:szCs w:val="32"/>
        </w:rPr>
        <w:t>指</w:t>
      </w:r>
      <w:r>
        <w:rPr>
          <w:rFonts w:hint="eastAsia" w:ascii="仿宋_GB2312" w:eastAsia="仿宋_GB2312" w:cs="仿宋_GB2312"/>
          <w:color w:val="000000"/>
          <w:kern w:val="0"/>
          <w:sz w:val="32"/>
          <w:szCs w:val="32"/>
        </w:rPr>
        <w:t>单位</w:t>
      </w:r>
      <w:r>
        <w:rPr>
          <w:rFonts w:hint="eastAsia" w:ascii="仿宋_GB2312" w:eastAsia="仿宋_GB2312" w:cs="仿宋_GB2312"/>
          <w:color w:val="000000"/>
          <w:kern w:val="0"/>
          <w:sz w:val="32"/>
          <w:szCs w:val="32"/>
          <w:lang w:eastAsia="zh-CN"/>
        </w:rPr>
        <w:t>安排的事业单位基本医疗保险缴纳经费，未参加</w:t>
      </w:r>
      <w:r>
        <w:rPr>
          <w:rStyle w:val="19"/>
          <w:rFonts w:hint="eastAsia" w:ascii="仿宋_GB2312" w:hAnsi="Times New Roman" w:eastAsia="仿宋_GB2312" w:cs="仿宋_GB2312"/>
          <w:b w:val="0"/>
          <w:color w:val="000000"/>
          <w:sz w:val="32"/>
          <w:szCs w:val="32"/>
          <w:lang w:eastAsia="zh-CN"/>
        </w:rPr>
        <w:t>医疗保险的行政单位的公费医疗经费，按国家规定享受离休人员的医疗经费。</w:t>
      </w:r>
    </w:p>
    <w:p w14:paraId="454F5153">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9"/>
          <w:rFonts w:hint="eastAsia" w:ascii="仿宋_GB2312" w:hAnsi="Times New Roman" w:eastAsia="仿宋_GB2312" w:cs="仿宋_GB2312"/>
          <w:b w:val="0"/>
          <w:color w:val="000000"/>
          <w:sz w:val="32"/>
          <w:szCs w:val="32"/>
          <w:lang w:val="en-US" w:eastAsia="zh-CN"/>
        </w:rPr>
      </w:pPr>
      <w:r>
        <w:rPr>
          <w:rStyle w:val="19"/>
          <w:rFonts w:hint="eastAsia" w:ascii="仿宋_GB2312" w:hAnsi="Times New Roman" w:eastAsia="仿宋_GB2312" w:cs="仿宋_GB2312"/>
          <w:b w:val="0"/>
          <w:color w:val="000000"/>
          <w:sz w:val="32"/>
          <w:szCs w:val="32"/>
          <w:lang w:val="en-US" w:eastAsia="zh-CN"/>
        </w:rPr>
        <w:t>18.农林水支出（类）农业农村（款）事业运行（项）：</w:t>
      </w:r>
      <w:r>
        <w:rPr>
          <w:rStyle w:val="19"/>
          <w:rFonts w:hint="eastAsia" w:ascii="仿宋_GB2312" w:hAnsi="Times New Roman" w:eastAsia="仿宋_GB2312" w:cs="仿宋_GB2312"/>
          <w:b w:val="0"/>
          <w:color w:val="000000"/>
          <w:sz w:val="32"/>
          <w:szCs w:val="32"/>
        </w:rPr>
        <w:t>指用于农业事业单位基本支出，事业单位设施、系统运行与资产维护等方面的支出。</w:t>
      </w:r>
    </w:p>
    <w:p w14:paraId="637F16D8">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9"/>
          <w:rFonts w:hint="eastAsia" w:ascii="仿宋_GB2312" w:hAnsi="Times New Roman" w:eastAsia="仿宋_GB2312" w:cs="仿宋_GB2312"/>
          <w:b w:val="0"/>
          <w:color w:val="000000"/>
          <w:sz w:val="32"/>
          <w:szCs w:val="32"/>
          <w:lang w:val="en-US" w:eastAsia="zh-CN"/>
        </w:rPr>
      </w:pPr>
      <w:r>
        <w:rPr>
          <w:rStyle w:val="19"/>
          <w:rFonts w:hint="eastAsia" w:ascii="仿宋_GB2312" w:hAnsi="Times New Roman" w:eastAsia="仿宋_GB2312" w:cs="仿宋_GB2312"/>
          <w:b w:val="0"/>
          <w:color w:val="000000"/>
          <w:sz w:val="32"/>
          <w:szCs w:val="32"/>
          <w:lang w:val="en-US" w:eastAsia="zh-CN"/>
        </w:rPr>
        <w:t>农林水支出（类）农业农村（款）其他农业农村支出（项）：</w:t>
      </w:r>
      <w:r>
        <w:rPr>
          <w:rStyle w:val="19"/>
          <w:rFonts w:hint="eastAsia" w:ascii="仿宋_GB2312" w:hAnsi="Times New Roman" w:eastAsia="仿宋_GB2312" w:cs="仿宋_GB2312"/>
          <w:b w:val="0"/>
          <w:color w:val="000000"/>
          <w:sz w:val="32"/>
          <w:szCs w:val="32"/>
        </w:rPr>
        <w:t>指用于</w:t>
      </w:r>
      <w:r>
        <w:rPr>
          <w:rStyle w:val="19"/>
          <w:rFonts w:hint="eastAsia" w:ascii="仿宋_GB2312" w:hAnsi="Times New Roman" w:eastAsia="仿宋_GB2312" w:cs="仿宋_GB2312"/>
          <w:b w:val="0"/>
          <w:color w:val="000000"/>
          <w:sz w:val="32"/>
          <w:szCs w:val="32"/>
          <w:lang w:eastAsia="zh-CN"/>
        </w:rPr>
        <w:t>上述项目以外的其他用于农业农村方面的支出。</w:t>
      </w:r>
    </w:p>
    <w:p w14:paraId="158B2621">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9"/>
          <w:rFonts w:hint="eastAsia" w:ascii="仿宋_GB2312" w:hAnsi="Times New Roman" w:eastAsia="仿宋_GB2312" w:cs="仿宋_GB2312"/>
          <w:b w:val="0"/>
          <w:color w:val="000000"/>
          <w:sz w:val="32"/>
          <w:szCs w:val="32"/>
          <w:lang w:val="en-US" w:eastAsia="zh-CN"/>
        </w:rPr>
      </w:pPr>
      <w:r>
        <w:rPr>
          <w:rStyle w:val="19"/>
          <w:rFonts w:hint="eastAsia" w:ascii="仿宋_GB2312" w:hAnsi="Times New Roman" w:eastAsia="仿宋_GB2312" w:cs="仿宋_GB2312"/>
          <w:b w:val="0"/>
          <w:color w:val="000000"/>
          <w:sz w:val="32"/>
          <w:szCs w:val="32"/>
          <w:lang w:val="en-US" w:eastAsia="zh-CN"/>
        </w:rPr>
        <w:t>农林水支出（类）巩固脱贫攻坚成果衔接乡村振兴（款）其他巩固脱贫攻坚成果衔接乡村振兴支出（项）：</w:t>
      </w:r>
      <w:r>
        <w:rPr>
          <w:rStyle w:val="19"/>
          <w:rFonts w:hint="eastAsia" w:ascii="仿宋_GB2312" w:hAnsi="Times New Roman" w:eastAsia="仿宋_GB2312" w:cs="仿宋_GB2312"/>
          <w:b w:val="0"/>
          <w:color w:val="000000"/>
          <w:sz w:val="32"/>
          <w:szCs w:val="32"/>
        </w:rPr>
        <w:t>指用于</w:t>
      </w:r>
      <w:r>
        <w:rPr>
          <w:rStyle w:val="19"/>
          <w:rFonts w:hint="eastAsia" w:ascii="仿宋_GB2312" w:hAnsi="Times New Roman" w:eastAsia="仿宋_GB2312" w:cs="仿宋_GB2312"/>
          <w:b w:val="0"/>
          <w:color w:val="000000"/>
          <w:sz w:val="32"/>
          <w:szCs w:val="32"/>
          <w:lang w:eastAsia="zh-CN"/>
        </w:rPr>
        <w:t>上述项目以外的其他用于巩固拓展脱贫攻坚成果同乡村振兴有效衔接方面的支出。</w:t>
      </w:r>
    </w:p>
    <w:p w14:paraId="15576D93">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9"/>
          <w:rFonts w:hint="eastAsia" w:ascii="仿宋_GB2312" w:hAnsi="Times New Roman" w:eastAsia="仿宋_GB2312" w:cs="仿宋_GB2312"/>
          <w:b w:val="0"/>
          <w:color w:val="000000"/>
          <w:sz w:val="32"/>
          <w:szCs w:val="32"/>
          <w:lang w:val="en-US" w:eastAsia="zh-CN"/>
        </w:rPr>
      </w:pPr>
      <w:r>
        <w:rPr>
          <w:rStyle w:val="19"/>
          <w:rFonts w:hint="eastAsia" w:ascii="仿宋_GB2312" w:hAnsi="Times New Roman" w:eastAsia="仿宋_GB2312" w:cs="仿宋_GB2312"/>
          <w:b w:val="0"/>
          <w:color w:val="000000"/>
          <w:sz w:val="32"/>
          <w:szCs w:val="32"/>
          <w:lang w:val="en-US" w:eastAsia="zh-CN"/>
        </w:rPr>
        <w:t>21.农林水支出（类）农村综合改革（款）对村民委员会和村党支部的补助（项）：</w:t>
      </w:r>
      <w:r>
        <w:rPr>
          <w:rStyle w:val="19"/>
          <w:rFonts w:hint="eastAsia" w:ascii="仿宋_GB2312" w:hAnsi="Times New Roman" w:eastAsia="仿宋_GB2312" w:cs="仿宋_GB2312"/>
          <w:b w:val="0"/>
          <w:color w:val="000000"/>
          <w:sz w:val="32"/>
          <w:szCs w:val="32"/>
        </w:rPr>
        <w:t>指对村民委员会和对村党支部的补助支出，以及支持建立县级基本财力保障机制安排的村级组织运转奖补资金。</w:t>
      </w:r>
    </w:p>
    <w:p w14:paraId="50C344CF">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9"/>
          <w:rFonts w:hint="eastAsia" w:ascii="仿宋_GB2312" w:hAnsi="Times New Roman" w:eastAsia="仿宋_GB2312" w:cs="仿宋_GB2312"/>
          <w:b w:val="0"/>
          <w:color w:val="000000"/>
          <w:sz w:val="32"/>
          <w:szCs w:val="32"/>
        </w:rPr>
      </w:pPr>
      <w:r>
        <w:rPr>
          <w:rStyle w:val="19"/>
          <w:rFonts w:hint="eastAsia" w:ascii="仿宋_GB2312" w:hAnsi="Times New Roman" w:eastAsia="仿宋_GB2312" w:cs="仿宋_GB2312"/>
          <w:b w:val="0"/>
          <w:color w:val="000000"/>
          <w:sz w:val="32"/>
          <w:szCs w:val="32"/>
          <w:lang w:val="en-US" w:eastAsia="zh-CN"/>
        </w:rPr>
        <w:t>22.住房保障支出（类）住房改革支出（款）住房公积金（项）：</w:t>
      </w:r>
      <w:r>
        <w:rPr>
          <w:rStyle w:val="19"/>
          <w:rFonts w:hint="eastAsia" w:ascii="仿宋_GB2312" w:hAnsi="Times New Roman" w:eastAsia="仿宋_GB2312" w:cs="仿宋_GB2312"/>
          <w:b w:val="0"/>
          <w:color w:val="000000"/>
          <w:sz w:val="32"/>
          <w:szCs w:val="32"/>
        </w:rPr>
        <w:t>指反映行政事业单位按规定为职工缴纳的住房公积金。</w:t>
      </w:r>
    </w:p>
    <w:p w14:paraId="4E4D5A60">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Style w:val="19"/>
          <w:rFonts w:hint="eastAsia" w:ascii="仿宋_GB2312" w:hAnsi="Times New Roman" w:eastAsia="仿宋_GB2312" w:cs="仿宋_GB2312"/>
          <w:b w:val="0"/>
          <w:color w:val="000000"/>
          <w:sz w:val="32"/>
          <w:szCs w:val="32"/>
          <w:lang w:val="en-US" w:eastAsia="zh-CN"/>
        </w:rPr>
        <w:t>23.住房保障支出（类）住房改革支出（款）购房补贴（项）：指按房改政策规定，行政事业单位向符合条件的职工（含离退休人员）、军队（含武警）向转役复员离退休人员发放的用于购买</w:t>
      </w:r>
      <w:r>
        <w:rPr>
          <w:rFonts w:hint="eastAsia" w:eastAsia="仿宋_GB2312" w:cs="仿宋_GB2312"/>
          <w:color w:val="auto"/>
          <w:kern w:val="2"/>
          <w:sz w:val="32"/>
          <w:szCs w:val="32"/>
          <w:highlight w:val="none"/>
          <w:lang w:val="en-US" w:eastAsia="zh-CN" w:bidi="ar-SA"/>
        </w:rPr>
        <w:t>住房的补贴。</w:t>
      </w:r>
    </w:p>
    <w:p w14:paraId="3128A359">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9"/>
          <w:rFonts w:hint="eastAsia" w:ascii="仿宋_GB2312" w:hAnsi="Times New Roman" w:eastAsia="仿宋_GB2312" w:cs="仿宋_GB2312"/>
          <w:b w:val="0"/>
          <w:color w:val="000000"/>
          <w:sz w:val="32"/>
          <w:szCs w:val="32"/>
          <w:lang w:val="en-US" w:eastAsia="zh-CN"/>
        </w:rPr>
      </w:pPr>
      <w:r>
        <w:rPr>
          <w:rStyle w:val="19"/>
          <w:rFonts w:hint="eastAsia" w:ascii="仿宋_GB2312" w:hAnsi="Times New Roman" w:eastAsia="仿宋_GB2312" w:cs="仿宋_GB2312"/>
          <w:b w:val="0"/>
          <w:color w:val="000000"/>
          <w:sz w:val="32"/>
          <w:szCs w:val="32"/>
          <w:lang w:val="en-US" w:eastAsia="zh-CN"/>
        </w:rPr>
        <w:t>24.灾害防治及应急管理支出（类）自然灾害救灾及恢复重建支出（款）其他自然灾害救灾及恢复重建支出（项）：指除上述项目以外的其他用于自然灾害救灾、灾后恢复重建等方面的支出。</w:t>
      </w:r>
    </w:p>
    <w:p w14:paraId="6C9E0491">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9"/>
          <w:rFonts w:hint="eastAsia" w:ascii="仿宋_GB2312" w:hAnsi="Times New Roman" w:eastAsia="仿宋_GB2312" w:cs="仿宋_GB2312"/>
          <w:b w:val="0"/>
          <w:color w:val="000000"/>
          <w:sz w:val="32"/>
          <w:szCs w:val="32"/>
          <w:lang w:val="en-US" w:eastAsia="zh-CN"/>
        </w:rPr>
      </w:pPr>
      <w:r>
        <w:rPr>
          <w:rStyle w:val="19"/>
          <w:rFonts w:hint="eastAsia" w:ascii="仿宋_GB2312" w:hAnsi="Times New Roman" w:eastAsia="仿宋_GB2312" w:cs="仿宋_GB2312"/>
          <w:b w:val="0"/>
          <w:color w:val="000000"/>
          <w:sz w:val="32"/>
          <w:szCs w:val="32"/>
          <w:lang w:val="en-US" w:eastAsia="zh-CN"/>
        </w:rPr>
        <w:t>25.基本支出：指为保障机构正常运转、完成日常工作任务而发生的人员支出和公用支出。</w:t>
      </w:r>
    </w:p>
    <w:p w14:paraId="0D924486">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9"/>
          <w:rFonts w:hint="eastAsia" w:ascii="仿宋_GB2312" w:hAnsi="Times New Roman" w:eastAsia="仿宋_GB2312" w:cs="仿宋_GB2312"/>
          <w:b w:val="0"/>
          <w:color w:val="000000"/>
          <w:sz w:val="32"/>
          <w:szCs w:val="32"/>
          <w:lang w:val="en-US" w:eastAsia="zh-CN"/>
        </w:rPr>
      </w:pPr>
      <w:r>
        <w:rPr>
          <w:rStyle w:val="19"/>
          <w:rFonts w:hint="eastAsia" w:ascii="仿宋_GB2312" w:hAnsi="Times New Roman" w:eastAsia="仿宋_GB2312" w:cs="仿宋_GB2312"/>
          <w:b w:val="0"/>
          <w:color w:val="000000"/>
          <w:sz w:val="32"/>
          <w:szCs w:val="32"/>
          <w:lang w:val="en-US" w:eastAsia="zh-CN"/>
        </w:rPr>
        <w:t xml:space="preserve">26.项目支出：指在基本支出之外为完成特定行政任务和事业发展目标所发生的支出。 </w:t>
      </w:r>
    </w:p>
    <w:p w14:paraId="1288A3C3">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9"/>
          <w:rFonts w:hint="eastAsia" w:ascii="仿宋_GB2312" w:hAnsi="Times New Roman" w:eastAsia="仿宋_GB2312" w:cs="仿宋_GB2312"/>
          <w:b w:val="0"/>
          <w:color w:val="000000"/>
          <w:sz w:val="32"/>
          <w:szCs w:val="32"/>
          <w:lang w:val="en-US" w:eastAsia="zh-CN"/>
        </w:rPr>
      </w:pPr>
      <w:r>
        <w:rPr>
          <w:rStyle w:val="19"/>
          <w:rFonts w:hint="eastAsia" w:ascii="仿宋_GB2312" w:hAnsi="Times New Roman" w:eastAsia="仿宋_GB2312" w:cs="仿宋_GB2312"/>
          <w:b w:val="0"/>
          <w:color w:val="000000"/>
          <w:sz w:val="32"/>
          <w:szCs w:val="32"/>
          <w:lang w:val="en-US" w:eastAsia="zh-CN"/>
        </w:rPr>
        <w:t>27.经营支出：指事业单位在专业业务活动及其辅助活动之外开展非独立核算经营活动发生的支出。</w:t>
      </w:r>
    </w:p>
    <w:p w14:paraId="42BD691F">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9"/>
          <w:rFonts w:hint="eastAsia" w:ascii="仿宋_GB2312" w:hAnsi="Times New Roman" w:eastAsia="仿宋_GB2312" w:cs="仿宋_GB2312"/>
          <w:b w:val="0"/>
          <w:color w:val="000000"/>
          <w:sz w:val="32"/>
          <w:szCs w:val="32"/>
          <w:lang w:val="en-US" w:eastAsia="zh-CN"/>
        </w:rPr>
      </w:pPr>
      <w:r>
        <w:rPr>
          <w:rStyle w:val="19"/>
          <w:rFonts w:hint="eastAsia" w:ascii="仿宋_GB2312" w:hAnsi="Times New Roman" w:eastAsia="仿宋_GB2312" w:cs="仿宋_GB2312"/>
          <w:b w:val="0"/>
          <w:color w:val="000000"/>
          <w:sz w:val="32"/>
          <w:szCs w:val="32"/>
          <w:lang w:val="en-US" w:eastAsia="zh-CN"/>
        </w:rPr>
        <w:t>28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452338E">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9"/>
          <w:rFonts w:hint="eastAsia" w:ascii="仿宋_GB2312" w:hAnsi="Times New Roman" w:eastAsia="仿宋_GB2312" w:cs="仿宋_GB2312"/>
          <w:b w:val="0"/>
          <w:color w:val="000000"/>
          <w:sz w:val="32"/>
          <w:szCs w:val="32"/>
          <w:lang w:val="en-US" w:eastAsia="zh-CN"/>
        </w:rPr>
      </w:pPr>
      <w:r>
        <w:rPr>
          <w:rStyle w:val="19"/>
          <w:rFonts w:hint="eastAsia" w:ascii="仿宋_GB2312" w:hAnsi="Times New Roman" w:eastAsia="仿宋_GB2312" w:cs="仿宋_GB2312"/>
          <w:b w:val="0"/>
          <w:color w:val="000000"/>
          <w:sz w:val="32"/>
          <w:szCs w:val="32"/>
          <w:lang w:val="en-US" w:eastAsia="zh-CN"/>
        </w:rPr>
        <w:t>29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101" w:name="_Toc15396614"/>
      <w:bookmarkStart w:id="102" w:name="_Toc15377226"/>
    </w:p>
    <w:p w14:paraId="47F40BF1">
      <w:pPr>
        <w:pStyle w:val="14"/>
        <w:keepNext w:val="0"/>
        <w:keepLines w:val="0"/>
        <w:pageBreakBefore w:val="0"/>
        <w:kinsoku/>
        <w:wordWrap/>
        <w:overflowPunct/>
        <w:topLinePunct w:val="0"/>
        <w:bidi w:val="0"/>
        <w:spacing w:after="0" w:line="576" w:lineRule="exact"/>
        <w:ind w:left="0" w:leftChars="0" w:firstLine="0" w:firstLineChars="0"/>
        <w:jc w:val="both"/>
        <w:textAlignment w:val="auto"/>
        <w:outlineLvl w:val="9"/>
        <w:rPr>
          <w:rFonts w:hint="eastAsia"/>
        </w:rPr>
      </w:pPr>
    </w:p>
    <w:bookmarkEnd w:id="101"/>
    <w:p w14:paraId="2574C11A">
      <w:pPr>
        <w:keepNext w:val="0"/>
        <w:keepLines w:val="0"/>
        <w:pageBreakBefore w:val="0"/>
        <w:kinsoku/>
        <w:wordWrap/>
        <w:overflowPunct/>
        <w:topLinePunct w:val="0"/>
        <w:bidi w:val="0"/>
        <w:spacing w:line="576" w:lineRule="exact"/>
        <w:ind w:left="0" w:leftChars="0" w:firstLine="3080" w:firstLineChars="700"/>
        <w:jc w:val="both"/>
        <w:textAlignment w:val="auto"/>
        <w:outlineLvl w:val="9"/>
        <w:rPr>
          <w:rStyle w:val="29"/>
          <w:rFonts w:ascii="黑体" w:hAnsi="黑体" w:eastAsia="黑体"/>
          <w:b w:val="0"/>
          <w:color w:val="auto"/>
          <w:highlight w:val="none"/>
        </w:rPr>
      </w:pPr>
      <w:r>
        <w:rPr>
          <w:rFonts w:hint="eastAsia" w:ascii="黑体" w:hAnsi="黑体" w:eastAsia="黑体"/>
          <w:color w:val="auto"/>
          <w:sz w:val="44"/>
          <w:szCs w:val="44"/>
          <w:highlight w:val="none"/>
        </w:rPr>
        <w:t>第</w:t>
      </w:r>
      <w:r>
        <w:rPr>
          <w:rStyle w:val="29"/>
          <w:rFonts w:hint="eastAsia" w:ascii="黑体" w:hAnsi="黑体" w:eastAsia="黑体"/>
          <w:b w:val="0"/>
          <w:color w:val="auto"/>
          <w:highlight w:val="none"/>
        </w:rPr>
        <w:t>四部分 附件</w:t>
      </w:r>
    </w:p>
    <w:p w14:paraId="13C0F4B6">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outlineLvl w:val="9"/>
        <w:rPr>
          <w:rFonts w:ascii="仿宋_GB2312" w:hAnsi="仿宋_GB2312" w:eastAsia="仿宋_GB2312" w:cs="仿宋_GB2312"/>
          <w:color w:val="auto"/>
          <w:sz w:val="32"/>
          <w:szCs w:val="32"/>
          <w:highlight w:val="none"/>
        </w:rPr>
      </w:pPr>
    </w:p>
    <w:p w14:paraId="654EAB2A">
      <w:pPr>
        <w:keepNext w:val="0"/>
        <w:keepLines w:val="0"/>
        <w:pageBreakBefore w:val="0"/>
        <w:suppressAutoHyphens/>
        <w:kinsoku/>
        <w:wordWrap/>
        <w:overflowPunct/>
        <w:topLinePunct w:val="0"/>
        <w:autoSpaceDE/>
        <w:autoSpaceDN/>
        <w:bidi w:val="0"/>
        <w:spacing w:line="576" w:lineRule="exact"/>
        <w:ind w:left="0" w:leftChars="0" w:firstLine="640" w:firstLineChars="200"/>
        <w:jc w:val="both"/>
        <w:textAlignment w:val="auto"/>
        <w:outlineLvl w:val="9"/>
        <w:rPr>
          <w:rFonts w:hint="eastAsia"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zh-CN"/>
        </w:rPr>
        <w:t>附件</w:t>
      </w:r>
      <w:r>
        <w:rPr>
          <w:rFonts w:hint="eastAsia" w:ascii="Times New Roman" w:hAnsi="Times New Roman" w:eastAsia="黑体" w:cs="Times New Roman"/>
          <w:color w:val="auto"/>
          <w:sz w:val="32"/>
          <w:szCs w:val="32"/>
          <w:highlight w:val="none"/>
          <w:lang w:val="en-US" w:eastAsia="zh-CN"/>
        </w:rPr>
        <w:t>1</w:t>
      </w:r>
    </w:p>
    <w:p w14:paraId="74D2AC24">
      <w:pPr>
        <w:keepNext w:val="0"/>
        <w:keepLines w:val="0"/>
        <w:pageBreakBefore w:val="0"/>
        <w:widowControl/>
        <w:kinsoku/>
        <w:wordWrap/>
        <w:overflowPunct/>
        <w:topLinePunct w:val="0"/>
        <w:bidi w:val="0"/>
        <w:spacing w:line="576" w:lineRule="exact"/>
        <w:ind w:left="0" w:leftChars="0" w:firstLine="883" w:firstLineChars="200"/>
        <w:contextualSpacing/>
        <w:jc w:val="both"/>
        <w:textAlignment w:val="auto"/>
        <w:outlineLvl w:val="9"/>
        <w:rPr>
          <w:rFonts w:eastAsia="宋体"/>
          <w:b/>
          <w:sz w:val="44"/>
          <w:szCs w:val="44"/>
          <w:shd w:val="clear" w:color="auto" w:fill="FFFFFF"/>
        </w:rPr>
      </w:pPr>
    </w:p>
    <w:p w14:paraId="05485310">
      <w:pPr>
        <w:keepNext w:val="0"/>
        <w:keepLines w:val="0"/>
        <w:pageBreakBefore w:val="0"/>
        <w:widowControl/>
        <w:kinsoku/>
        <w:wordWrap/>
        <w:overflowPunct/>
        <w:topLinePunct w:val="0"/>
        <w:bidi w:val="0"/>
        <w:spacing w:line="576" w:lineRule="exact"/>
        <w:ind w:firstLine="2640" w:firstLineChars="600"/>
        <w:contextualSpacing/>
        <w:jc w:val="both"/>
        <w:textAlignment w:val="auto"/>
        <w:outlineLvl w:val="9"/>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14:paraId="49F2F0D9">
      <w:pPr>
        <w:keepNext w:val="0"/>
        <w:keepLines w:val="0"/>
        <w:pageBreakBefore w:val="0"/>
        <w:widowControl/>
        <w:kinsoku/>
        <w:wordWrap/>
        <w:overflowPunct/>
        <w:topLinePunct w:val="0"/>
        <w:bidi w:val="0"/>
        <w:spacing w:line="576" w:lineRule="exact"/>
        <w:ind w:firstLine="2200" w:firstLineChars="500"/>
        <w:contextualSpacing/>
        <w:jc w:val="both"/>
        <w:textAlignment w:val="auto"/>
        <w:outlineLvl w:val="9"/>
        <w:rPr>
          <w:rFonts w:hint="default" w:eastAsia="方正小标宋简体"/>
          <w:bCs/>
          <w:sz w:val="44"/>
          <w:szCs w:val="44"/>
          <w:shd w:val="clear" w:color="auto" w:fill="FFFFFF"/>
          <w:lang w:val="en-US"/>
        </w:rPr>
      </w:pPr>
      <w:r>
        <w:rPr>
          <w:rFonts w:hint="eastAsia" w:eastAsia="方正小标宋简体"/>
          <w:bCs/>
          <w:sz w:val="44"/>
          <w:szCs w:val="44"/>
          <w:shd w:val="clear" w:color="auto" w:fill="FFFFFF"/>
          <w:lang w:eastAsia="zh-CN"/>
        </w:rPr>
        <w:t>（茂县沟口镇人民政府</w:t>
      </w:r>
      <w:r>
        <w:rPr>
          <w:rFonts w:hint="eastAsia" w:eastAsia="方正小标宋简体"/>
          <w:bCs/>
          <w:sz w:val="44"/>
          <w:szCs w:val="44"/>
          <w:shd w:val="clear" w:color="auto" w:fill="FFFFFF"/>
          <w:lang w:val="en-US" w:eastAsia="zh-CN"/>
        </w:rPr>
        <w:t>)</w:t>
      </w:r>
    </w:p>
    <w:p w14:paraId="79ADB98B">
      <w:pPr>
        <w:keepNext w:val="0"/>
        <w:keepLines w:val="0"/>
        <w:pageBreakBefore w:val="0"/>
        <w:widowControl/>
        <w:kinsoku/>
        <w:wordWrap/>
        <w:overflowPunct/>
        <w:topLinePunct w:val="0"/>
        <w:bidi w:val="0"/>
        <w:adjustRightInd w:val="0"/>
        <w:snapToGrid w:val="0"/>
        <w:spacing w:line="576" w:lineRule="exact"/>
        <w:ind w:left="0" w:leftChars="0" w:firstLine="480" w:firstLineChars="200"/>
        <w:contextualSpacing/>
        <w:jc w:val="both"/>
        <w:textAlignment w:val="auto"/>
        <w:outlineLvl w:val="9"/>
        <w:rPr>
          <w:rFonts w:eastAsia="黑体"/>
          <w:color w:val="000000"/>
          <w:kern w:val="0"/>
          <w:sz w:val="24"/>
          <w:szCs w:val="32"/>
          <w:shd w:val="clear" w:color="auto" w:fill="FFFFFF"/>
        </w:rPr>
      </w:pPr>
    </w:p>
    <w:p w14:paraId="3043F1C1">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6" w:lineRule="exact"/>
        <w:ind w:left="0" w:leftChars="0"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14:paraId="721CA527">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jc w:val="both"/>
        <w:textAlignment w:val="auto"/>
        <w:outlineLvl w:val="9"/>
        <w:rPr>
          <w:rFonts w:hint="default" w:ascii="仿宋_GB2312" w:hAnsi="仿宋_GB2312" w:eastAsia="仿宋_GB2312" w:cs="仿宋_GB2312"/>
          <w:sz w:val="32"/>
          <w:szCs w:val="32"/>
          <w:lang w:val="zh-CN"/>
        </w:rPr>
      </w:pPr>
      <w:r>
        <w:rPr>
          <w:rFonts w:hint="default" w:ascii="Times New Roman" w:hAnsi="Times New Roman" w:eastAsia="楷体_GB2312" w:cs="Times New Roman"/>
          <w:b/>
          <w:color w:val="auto"/>
          <w:sz w:val="32"/>
          <w:szCs w:val="32"/>
          <w:highlight w:val="none"/>
          <w:lang w:val="zh-CN"/>
        </w:rPr>
        <w:t>（一）机构组成。</w:t>
      </w:r>
      <w:r>
        <w:rPr>
          <w:rFonts w:hint="eastAsia" w:ascii="仿宋_GB2312" w:hAnsi="仿宋_GB2312" w:eastAsia="仿宋_GB2312" w:cs="仿宋_GB2312"/>
          <w:sz w:val="32"/>
          <w:szCs w:val="32"/>
          <w:lang w:val="zh-CN"/>
        </w:rPr>
        <w:t>沟口镇党委、沟口镇人民政府下设党政综合办事机构7个，分别是：党政办公室、党建工作办公室、社会事务经济发展和乡镇振兴办公室、社会治理和维护稳定办公室、应急管理办公室、综合行政执法和生态环境办公室、财务办公室。</w:t>
      </w:r>
      <w:r>
        <w:rPr>
          <w:rFonts w:hint="eastAsia" w:ascii="仿宋_GB2312" w:hAnsi="仿宋_GB2312" w:eastAsia="仿宋_GB2312" w:cs="仿宋_GB2312"/>
          <w:color w:val="auto"/>
          <w:sz w:val="32"/>
          <w:szCs w:val="32"/>
          <w:highlight w:val="none"/>
        </w:rPr>
        <w:t>其他事业单位</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sz w:val="32"/>
          <w:szCs w:val="32"/>
          <w:lang w:val="zh-CN"/>
        </w:rPr>
        <w:t>下设4个中心，分别为：便民服务中心（退役军人服务站）、村镇规划建设服务中心、农业农村服务中心、文化体育广电和旅游综合服务中心。</w:t>
      </w:r>
    </w:p>
    <w:p w14:paraId="3DE3525E">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both"/>
        <w:textAlignment w:val="auto"/>
        <w:outlineLvl w:val="9"/>
        <w:rPr>
          <w:rFonts w:hint="eastAsia" w:ascii="仿宋_GB2312" w:hAnsi="仿宋_GB2312" w:eastAsia="仿宋_GB2312" w:cs="仿宋_GB2312"/>
          <w:sz w:val="32"/>
          <w:szCs w:val="32"/>
          <w:lang w:val="zh-CN"/>
        </w:rPr>
      </w:pPr>
      <w:r>
        <w:rPr>
          <w:rFonts w:hint="default" w:ascii="Times New Roman" w:hAnsi="Times New Roman" w:eastAsia="楷体_GB2312" w:cs="Times New Roman"/>
          <w:b/>
          <w:color w:val="auto"/>
          <w:sz w:val="32"/>
          <w:szCs w:val="32"/>
          <w:highlight w:val="none"/>
          <w:lang w:val="zh-CN"/>
        </w:rPr>
        <w:t>（二）机构职能。</w:t>
      </w:r>
      <w:r>
        <w:rPr>
          <w:rFonts w:hint="eastAsia" w:ascii="仿宋_GB2312" w:hAnsi="仿宋_GB2312" w:eastAsia="仿宋_GB2312" w:cs="仿宋_GB2312"/>
          <w:sz w:val="32"/>
          <w:szCs w:val="32"/>
          <w:lang w:val="zh-CN"/>
        </w:rPr>
        <w:t>负责调查了解农业产业结构状况及市场走向，及时提供农业结构调整参考信息；做好计划生育宣传教育工作，落实国家计划生育政策，努力提高人口素质；负责组织军烈属慰问、民政救灾救济工作；宣传贯彻国土管理、城建规划的法律法规，拟定全镇国土、城建管理规划措施；宣传教育、文化、科技、卫生等方面的政策、知识；严格按规定做好财务管理工作。</w:t>
      </w:r>
    </w:p>
    <w:p w14:paraId="03FD0B7D">
      <w:pPr>
        <w:keepNext w:val="0"/>
        <w:keepLines w:val="0"/>
        <w:pageBreakBefore w:val="0"/>
        <w:widowControl/>
        <w:kinsoku/>
        <w:wordWrap/>
        <w:overflowPunct/>
        <w:topLinePunct w:val="0"/>
        <w:bidi w:val="0"/>
        <w:adjustRightInd w:val="0"/>
        <w:snapToGrid w:val="0"/>
        <w:spacing w:line="576" w:lineRule="exact"/>
        <w:ind w:left="0" w:leftChars="0" w:firstLine="643" w:firstLineChars="200"/>
        <w:contextualSpacing/>
        <w:jc w:val="both"/>
        <w:textAlignment w:val="auto"/>
        <w:outlineLvl w:val="9"/>
        <w:rPr>
          <w:rFonts w:hint="eastAsia" w:ascii="仿宋_GB2312" w:hAnsi="仿宋_GB2312" w:eastAsia="仿宋_GB2312" w:cs="仿宋_GB2312"/>
          <w:sz w:val="32"/>
          <w:szCs w:val="32"/>
          <w:lang w:val="zh-CN"/>
        </w:rPr>
      </w:pPr>
      <w:r>
        <w:rPr>
          <w:rFonts w:hint="default" w:ascii="Times New Roman" w:hAnsi="Times New Roman" w:eastAsia="楷体_GB2312" w:cs="Times New Roman"/>
          <w:b/>
          <w:color w:val="auto"/>
          <w:sz w:val="32"/>
          <w:szCs w:val="32"/>
          <w:highlight w:val="none"/>
          <w:lang w:val="zh-CN"/>
        </w:rPr>
        <w:t>（三）人员概况。</w:t>
      </w:r>
      <w:r>
        <w:rPr>
          <w:rFonts w:hint="eastAsia" w:ascii="仿宋_GB2312" w:hAnsi="仿宋_GB2312" w:eastAsia="仿宋_GB2312" w:cs="仿宋_GB2312"/>
          <w:sz w:val="32"/>
          <w:szCs w:val="32"/>
          <w:lang w:val="zh-CN"/>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年末，我单位编制数为51人，行政编制27人，行政工勤编制4人，事业编制20人。本年度我单位现有在职职工</w:t>
      </w:r>
      <w:r>
        <w:rPr>
          <w:rFonts w:hint="eastAsia" w:ascii="仿宋_GB2312" w:hAnsi="仿宋_GB2312" w:eastAsia="仿宋_GB2312" w:cs="仿宋_GB2312"/>
          <w:sz w:val="32"/>
          <w:szCs w:val="32"/>
          <w:lang w:val="en-US" w:eastAsia="zh-CN"/>
        </w:rPr>
        <w:t>43</w:t>
      </w:r>
      <w:r>
        <w:rPr>
          <w:rFonts w:hint="eastAsia" w:ascii="仿宋_GB2312" w:hAnsi="仿宋_GB2312" w:eastAsia="仿宋_GB2312" w:cs="仿宋_GB2312"/>
          <w:sz w:val="32"/>
          <w:szCs w:val="32"/>
          <w:lang w:val="zh-CN"/>
        </w:rPr>
        <w:t>人；其中：行政在职2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人，机关工勤在职2人,事业在职1</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人；离退休12人；遗嘱补助人员3人。与上年度相比在职职工</w:t>
      </w:r>
      <w:r>
        <w:rPr>
          <w:rFonts w:hint="eastAsia" w:ascii="仿宋_GB2312" w:hAnsi="仿宋_GB2312" w:eastAsia="仿宋_GB2312" w:cs="仿宋_GB2312"/>
          <w:sz w:val="32"/>
          <w:szCs w:val="32"/>
          <w:lang w:val="zh-CN" w:eastAsia="zh-CN"/>
        </w:rPr>
        <w:t>增加</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人，行政人员增加3人，事业人员增加</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人；主要原因为：人员新进和调进。</w:t>
      </w:r>
    </w:p>
    <w:p w14:paraId="205F8911">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6" w:lineRule="exact"/>
        <w:ind w:left="0" w:leftChars="0"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二、部门资金收支情况</w:t>
      </w:r>
    </w:p>
    <w:p w14:paraId="232C39B9">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default" w:ascii="Times New Roman" w:hAnsi="Times New Roman" w:eastAsia="楷体_GB2312" w:cs="Times New Roman"/>
          <w:b/>
          <w:color w:val="auto"/>
          <w:sz w:val="32"/>
          <w:szCs w:val="32"/>
          <w:highlight w:val="none"/>
          <w:lang w:val="zh-CN"/>
        </w:rPr>
        <w:t>（一）收入情况。</w:t>
      </w:r>
      <w:r>
        <w:rPr>
          <w:rFonts w:hint="eastAsia" w:ascii="仿宋_GB2312" w:hAnsi="仿宋_GB2312" w:eastAsia="仿宋_GB2312" w:cs="仿宋_GB2312"/>
          <w:sz w:val="32"/>
          <w:szCs w:val="32"/>
          <w:lang w:val="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年</w:t>
      </w:r>
      <w:r>
        <w:rPr>
          <w:rFonts w:hint="eastAsia" w:ascii="仿宋_GB2312" w:hAnsi="仿宋_GB2312" w:eastAsia="仿宋_GB2312" w:cs="仿宋_GB2312"/>
          <w:sz w:val="32"/>
          <w:szCs w:val="32"/>
          <w:lang w:val="zh-CN" w:eastAsia="zh-CN"/>
        </w:rPr>
        <w:t>年初预算收入为</w:t>
      </w:r>
      <w:r>
        <w:rPr>
          <w:rFonts w:hint="eastAsia" w:ascii="仿宋_GB2312" w:hAnsi="仿宋_GB2312" w:eastAsia="仿宋_GB2312" w:cs="仿宋_GB2312"/>
          <w:sz w:val="32"/>
          <w:szCs w:val="32"/>
          <w:lang w:val="en-US" w:eastAsia="zh-CN"/>
        </w:rPr>
        <w:t>881.51万</w:t>
      </w:r>
      <w:r>
        <w:rPr>
          <w:rFonts w:hint="eastAsia" w:ascii="仿宋_GB2312" w:hAnsi="仿宋_GB2312" w:eastAsia="仿宋_GB2312" w:cs="仿宋_GB2312"/>
          <w:sz w:val="32"/>
          <w:szCs w:val="32"/>
          <w:lang w:val="zh-CN" w:eastAsia="zh-CN"/>
        </w:rPr>
        <w:t>元，</w:t>
      </w:r>
      <w:r>
        <w:rPr>
          <w:rFonts w:hint="eastAsia" w:ascii="仿宋_GB2312" w:hAnsi="仿宋_GB2312" w:eastAsia="仿宋_GB2312" w:cs="仿宋_GB2312"/>
          <w:sz w:val="32"/>
          <w:szCs w:val="32"/>
          <w:lang w:val="zh-CN"/>
        </w:rPr>
        <w:t>本部门财政拨款收入决算总额为</w:t>
      </w:r>
      <w:r>
        <w:rPr>
          <w:rFonts w:hint="eastAsia" w:ascii="仿宋_GB2312" w:hAnsi="仿宋_GB2312" w:eastAsia="仿宋_GB2312" w:cs="仿宋_GB2312"/>
          <w:sz w:val="32"/>
          <w:szCs w:val="32"/>
          <w:lang w:val="en-US" w:eastAsia="zh-CN"/>
        </w:rPr>
        <w:t>1,704.1万</w:t>
      </w:r>
      <w:r>
        <w:rPr>
          <w:rFonts w:hint="eastAsia" w:ascii="仿宋_GB2312" w:hAnsi="仿宋_GB2312" w:eastAsia="仿宋_GB2312" w:cs="仿宋_GB2312"/>
          <w:sz w:val="32"/>
          <w:szCs w:val="32"/>
          <w:lang w:val="zh-CN"/>
        </w:rPr>
        <w:t>元，其中：当年财政拨款收入</w:t>
      </w:r>
      <w:r>
        <w:rPr>
          <w:rFonts w:hint="eastAsia" w:ascii="仿宋_GB2312" w:hAnsi="仿宋_GB2312" w:eastAsia="仿宋_GB2312" w:cs="仿宋_GB2312"/>
          <w:sz w:val="32"/>
          <w:szCs w:val="32"/>
          <w:lang w:val="en-US" w:eastAsia="zh-CN"/>
        </w:rPr>
        <w:t>1,704.1万</w:t>
      </w:r>
      <w:r>
        <w:rPr>
          <w:rFonts w:hint="eastAsia" w:ascii="仿宋_GB2312" w:hAnsi="仿宋_GB2312" w:eastAsia="仿宋_GB2312" w:cs="仿宋_GB2312"/>
          <w:sz w:val="32"/>
          <w:szCs w:val="32"/>
          <w:lang w:val="zh-CN"/>
        </w:rPr>
        <w:t>元</w:t>
      </w:r>
      <w:r>
        <w:rPr>
          <w:rFonts w:hint="eastAsia" w:ascii="仿宋_GB2312" w:hAnsi="仿宋_GB2312" w:eastAsia="仿宋_GB2312" w:cs="仿宋_GB2312"/>
          <w:sz w:val="32"/>
          <w:szCs w:val="32"/>
          <w:lang w:val="en-US" w:eastAsia="zh-CN"/>
        </w:rPr>
        <w:t>。其中：</w:t>
      </w:r>
      <w:r>
        <w:rPr>
          <w:rFonts w:hint="eastAsia" w:ascii="仿宋_GB2312" w:hAnsi="仿宋_GB2312" w:eastAsia="仿宋_GB2312" w:cs="仿宋_GB2312"/>
          <w:sz w:val="32"/>
          <w:szCs w:val="32"/>
          <w:lang w:val="zh-CN"/>
        </w:rPr>
        <w:t>一般公共预算财政拨款</w:t>
      </w:r>
      <w:r>
        <w:rPr>
          <w:rFonts w:hint="eastAsia" w:ascii="仿宋_GB2312" w:hAnsi="仿宋_GB2312" w:eastAsia="仿宋_GB2312" w:cs="仿宋_GB2312"/>
          <w:sz w:val="32"/>
          <w:szCs w:val="32"/>
          <w:lang w:val="zh-CN" w:eastAsia="zh-CN"/>
        </w:rPr>
        <w:t>收入</w:t>
      </w:r>
      <w:r>
        <w:rPr>
          <w:rFonts w:hint="eastAsia" w:ascii="仿宋_GB2312" w:hAnsi="仿宋_GB2312" w:eastAsia="仿宋_GB2312" w:cs="仿宋_GB2312"/>
          <w:sz w:val="32"/>
          <w:szCs w:val="32"/>
          <w:lang w:val="zh-CN"/>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rPr>
        <w:t>601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rPr>
        <w:t>5</w:t>
      </w:r>
      <w:r>
        <w:rPr>
          <w:rFonts w:hint="eastAsia" w:ascii="仿宋_GB2312" w:hAnsi="仿宋_GB2312" w:eastAsia="仿宋_GB2312" w:cs="仿宋_GB2312"/>
          <w:sz w:val="32"/>
          <w:szCs w:val="32"/>
          <w:lang w:val="en-US" w:eastAsia="zh-CN"/>
        </w:rPr>
        <w:t>4万元；政府性基金预算收入102.56万元。</w:t>
      </w:r>
    </w:p>
    <w:p w14:paraId="6357FD30">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lang w:val="zh-CN"/>
        </w:rPr>
        <w:t>（二）支出情况。</w:t>
      </w:r>
      <w:r>
        <w:rPr>
          <w:rFonts w:hint="eastAsia" w:ascii="仿宋_GB2312" w:hAnsi="仿宋_GB2312" w:eastAsia="仿宋_GB2312" w:cs="仿宋_GB2312"/>
          <w:sz w:val="32"/>
          <w:szCs w:val="32"/>
          <w:lang w:val="en-US" w:eastAsia="zh-CN"/>
        </w:rPr>
        <w:t>2025年部门财政拨款支出总额1,704.1万元。其中：一般公共预算财政拨款支出为1,601.54万元，占93.98%。政府性基金预算支出102.56万元，占6.02%。</w:t>
      </w:r>
    </w:p>
    <w:p w14:paraId="37A6432D">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rPr>
        <w:t>（三）结余分配和结转结余情况</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2025年决算报表无结转结余情况。</w:t>
      </w:r>
    </w:p>
    <w:p w14:paraId="68AE2ACB">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6" w:lineRule="exact"/>
        <w:ind w:left="0" w:leftChars="0"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三、部门预算绩效分析</w:t>
      </w:r>
    </w:p>
    <w:p w14:paraId="5F0D0E12">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leftChars="0" w:firstLine="643" w:firstLineChars="200"/>
        <w:contextualSpacing/>
        <w:jc w:val="both"/>
        <w:textAlignment w:val="auto"/>
        <w:outlineLvl w:val="9"/>
        <w:rPr>
          <w:rFonts w:hint="default" w:ascii="Times New Roman" w:hAnsi="Times New Roman" w:eastAsia="楷体_GB2312" w:cs="Times New Roman"/>
          <w:b/>
          <w:color w:val="auto"/>
          <w:sz w:val="32"/>
          <w:szCs w:val="32"/>
          <w:highlight w:val="none"/>
          <w:lang w:val="zh-CN"/>
        </w:rPr>
      </w:pPr>
      <w:r>
        <w:rPr>
          <w:rFonts w:hint="default" w:ascii="Times New Roman" w:hAnsi="Times New Roman" w:eastAsia="楷体_GB2312" w:cs="Times New Roman"/>
          <w:b/>
          <w:color w:val="auto"/>
          <w:sz w:val="32"/>
          <w:szCs w:val="32"/>
          <w:highlight w:val="none"/>
          <w:lang w:val="zh-CN"/>
        </w:rPr>
        <w:t>（一）部门预算总体绩效分析</w:t>
      </w:r>
    </w:p>
    <w:p w14:paraId="7F6A39C2">
      <w:pPr>
        <w:keepNext w:val="0"/>
        <w:keepLines w:val="0"/>
        <w:pageBreakBefore w:val="0"/>
        <w:widowControl w:val="0"/>
        <w:numPr>
          <w:ilvl w:val="0"/>
          <w:numId w:val="0"/>
        </w:numPr>
        <w:kinsoku/>
        <w:wordWrap/>
        <w:overflowPunct/>
        <w:topLinePunct w:val="0"/>
        <w:autoSpaceDE/>
        <w:autoSpaceDN/>
        <w:bidi w:val="0"/>
        <w:adjustRightInd w:val="0"/>
        <w:snapToGrid w:val="0"/>
        <w:spacing w:line="566" w:lineRule="exact"/>
        <w:ind w:left="0" w:leftChars="0" w:firstLine="640" w:firstLineChars="200"/>
        <w:contextualSpacing/>
        <w:jc w:val="both"/>
        <w:textAlignment w:val="auto"/>
        <w:outlineLvl w:val="9"/>
        <w:rPr>
          <w:rFonts w:hint="eastAsia" w:ascii="仿宋_GB2312" w:hAnsi="仿宋_GB2312" w:eastAsia="仿宋_GB2312" w:cs="仿宋_GB2312"/>
          <w:sz w:val="32"/>
          <w:szCs w:val="32"/>
          <w:lang w:val="zh-CN" w:eastAsia="zh-CN"/>
        </w:rPr>
      </w:pPr>
      <w:r>
        <w:rPr>
          <w:rFonts w:hint="eastAsia" w:ascii="Times New Roman" w:hAnsi="Times New Roman" w:eastAsia="楷体_GB2312" w:cs="Times New Roman"/>
          <w:color w:val="000000"/>
          <w:kern w:val="0"/>
          <w:sz w:val="32"/>
          <w:szCs w:val="32"/>
          <w:shd w:val="clear" w:color="auto" w:fill="FFFFFF"/>
          <w:lang w:val="en-US" w:eastAsia="zh-CN"/>
        </w:rPr>
        <w:t>1.</w:t>
      </w:r>
      <w:r>
        <w:rPr>
          <w:rFonts w:hint="eastAsia" w:ascii="Times New Roman" w:hAnsi="Times New Roman" w:eastAsia="楷体_GB2312" w:cs="Times New Roman"/>
          <w:color w:val="000000"/>
          <w:kern w:val="0"/>
          <w:sz w:val="32"/>
          <w:szCs w:val="32"/>
          <w:shd w:val="clear" w:color="auto" w:fill="FFFFFF"/>
          <w:lang w:val="zh-CN" w:eastAsia="zh-CN"/>
        </w:rPr>
        <w:t>履职效能。</w:t>
      </w:r>
      <w:r>
        <w:rPr>
          <w:rFonts w:hint="eastAsia" w:ascii="仿宋_GB2312" w:hAnsi="仿宋_GB2312" w:eastAsia="仿宋_GB2312" w:cs="仿宋_GB2312"/>
          <w:sz w:val="32"/>
          <w:szCs w:val="32"/>
          <w:lang w:val="zh-CN" w:eastAsia="zh-CN"/>
        </w:rPr>
        <w:t>工作成果方面：项目工作人员能够按时完成任务并达到预期目标；财务人员能够按照项目合同资金支付要求，对验收合格的项目按时足额支付项目资金。工作质量方面</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eastAsia="zh-CN"/>
        </w:rPr>
        <w:t>项目工作人员注重细节，保证工作的准确性和可靠性。执行力方面</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eastAsia="zh-CN"/>
        </w:rPr>
        <w:t>项目工作人员能够按照项目要求主动、迅速地执行工作。</w:t>
      </w:r>
    </w:p>
    <w:p w14:paraId="4E0A7F87">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leftChars="0" w:firstLine="640" w:firstLineChars="200"/>
        <w:contextualSpacing/>
        <w:jc w:val="both"/>
        <w:textAlignment w:val="auto"/>
        <w:outlineLvl w:val="9"/>
        <w:rPr>
          <w:rFonts w:hint="eastAsia" w:ascii="仿宋_GB2312" w:hAnsi="仿宋_GB2312" w:eastAsia="仿宋_GB2312" w:cs="仿宋_GB2312"/>
          <w:sz w:val="32"/>
          <w:szCs w:val="32"/>
          <w:lang w:val="zh-CN" w:eastAsia="zh-CN"/>
        </w:rPr>
      </w:pPr>
      <w:r>
        <w:rPr>
          <w:rFonts w:hint="eastAsia" w:ascii="Times New Roman" w:hAnsi="Times New Roman" w:eastAsia="楷体_GB2312" w:cs="Times New Roman"/>
          <w:color w:val="000000"/>
          <w:kern w:val="0"/>
          <w:sz w:val="32"/>
          <w:szCs w:val="32"/>
          <w:shd w:val="clear" w:color="auto" w:fill="FFFFFF"/>
          <w:lang w:val="en-US" w:eastAsia="zh-CN"/>
        </w:rPr>
        <w:t>2.</w:t>
      </w:r>
      <w:r>
        <w:rPr>
          <w:rFonts w:hint="eastAsia" w:ascii="Times New Roman" w:hAnsi="Times New Roman" w:eastAsia="楷体_GB2312" w:cs="Times New Roman"/>
          <w:color w:val="000000"/>
          <w:kern w:val="0"/>
          <w:sz w:val="32"/>
          <w:szCs w:val="32"/>
          <w:shd w:val="clear" w:color="auto" w:fill="FFFFFF"/>
          <w:lang w:val="zh-CN" w:eastAsia="zh-CN"/>
        </w:rPr>
        <w:t>预算管理。</w:t>
      </w:r>
      <w:r>
        <w:rPr>
          <w:rFonts w:hint="eastAsia" w:ascii="仿宋_GB2312" w:hAnsi="仿宋_GB2312" w:eastAsia="仿宋_GB2312" w:cs="仿宋_GB2312"/>
          <w:sz w:val="32"/>
          <w:szCs w:val="32"/>
          <w:lang w:val="zh-CN" w:eastAsia="zh-CN"/>
        </w:rPr>
        <w:t>我镇严格按照预算编制通知和有关要求，按时完成基础库、项目库报送工作，按时完成20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val="zh-CN" w:eastAsia="zh-CN"/>
        </w:rPr>
        <w:t>年预算编制工作，并按时提交部门预算草案。按规定编制政府采购预算，预算编制全面、科学。</w:t>
      </w:r>
    </w:p>
    <w:p w14:paraId="0E8C7CA7">
      <w:pPr>
        <w:keepNext w:val="0"/>
        <w:keepLines w:val="0"/>
        <w:pageBreakBefore w:val="0"/>
        <w:kinsoku/>
        <w:wordWrap/>
        <w:overflowPunct/>
        <w:topLinePunct w:val="0"/>
        <w:bidi w:val="0"/>
        <w:adjustRightInd w:val="0"/>
        <w:snapToGrid w:val="0"/>
        <w:spacing w:line="576" w:lineRule="exact"/>
        <w:ind w:left="0" w:leftChars="0" w:firstLine="640" w:firstLineChars="200"/>
        <w:contextualSpacing/>
        <w:jc w:val="both"/>
        <w:textAlignment w:val="auto"/>
        <w:outlineLvl w:val="9"/>
        <w:rPr>
          <w:rFonts w:hint="default" w:ascii="Times New Roman" w:hAnsi="Times New Roman" w:eastAsia="仿宋_GB2312" w:cs="Times New Roman"/>
          <w:kern w:val="0"/>
          <w:sz w:val="32"/>
          <w:szCs w:val="32"/>
          <w:lang w:val="zh-CN" w:eastAsia="zh-CN"/>
        </w:rPr>
      </w:pPr>
      <w:r>
        <w:rPr>
          <w:rFonts w:hint="eastAsia" w:ascii="Times New Roman" w:hAnsi="Times New Roman" w:eastAsia="楷体_GB2312" w:cs="Times New Roman"/>
          <w:color w:val="000000"/>
          <w:kern w:val="0"/>
          <w:sz w:val="32"/>
          <w:szCs w:val="32"/>
          <w:shd w:val="clear" w:color="auto" w:fill="FFFFFF"/>
          <w:lang w:val="en-US" w:eastAsia="zh-CN"/>
        </w:rPr>
        <w:t>3.</w:t>
      </w:r>
      <w:r>
        <w:rPr>
          <w:rFonts w:hint="eastAsia" w:ascii="Times New Roman" w:hAnsi="Times New Roman" w:eastAsia="楷体_GB2312" w:cs="Times New Roman"/>
          <w:color w:val="000000"/>
          <w:kern w:val="0"/>
          <w:sz w:val="32"/>
          <w:szCs w:val="32"/>
          <w:shd w:val="clear" w:color="auto" w:fill="FFFFFF"/>
          <w:lang w:val="zh-CN" w:eastAsia="zh-CN"/>
        </w:rPr>
        <w:t>财务管理。</w:t>
      </w:r>
      <w:r>
        <w:rPr>
          <w:rFonts w:hint="default" w:ascii="Times New Roman" w:hAnsi="Times New Roman" w:eastAsia="仿宋_GB2312" w:cs="Times New Roman"/>
          <w:kern w:val="0"/>
          <w:sz w:val="32"/>
          <w:szCs w:val="32"/>
          <w:lang w:val="zh-CN" w:eastAsia="zh-CN"/>
        </w:rPr>
        <w:t>2025年</w:t>
      </w:r>
      <w:r>
        <w:rPr>
          <w:rFonts w:hint="eastAsia" w:eastAsia="仿宋_GB2312" w:cs="Times New Roman"/>
          <w:kern w:val="0"/>
          <w:sz w:val="32"/>
          <w:szCs w:val="32"/>
          <w:lang w:val="zh-CN" w:eastAsia="zh-CN"/>
        </w:rPr>
        <w:t>我</w:t>
      </w:r>
      <w:r>
        <w:rPr>
          <w:rFonts w:hint="eastAsia" w:ascii="Times New Roman" w:hAnsi="Times New Roman" w:eastAsia="仿宋_GB2312" w:cs="Times New Roman"/>
          <w:kern w:val="0"/>
          <w:sz w:val="32"/>
          <w:szCs w:val="32"/>
          <w:lang w:val="zh-CN" w:eastAsia="zh-CN"/>
        </w:rPr>
        <w:t>镇</w:t>
      </w:r>
      <w:r>
        <w:rPr>
          <w:rFonts w:hint="default" w:ascii="Times New Roman" w:hAnsi="Times New Roman" w:eastAsia="仿宋_GB2312" w:cs="Times New Roman"/>
          <w:kern w:val="0"/>
          <w:sz w:val="32"/>
          <w:szCs w:val="32"/>
          <w:lang w:val="zh-CN" w:eastAsia="zh-CN"/>
        </w:rPr>
        <w:t>财务制度健全，资金使用合规，审批流程规范，无截留、挤占、挪用资金情况，财务监控有效，风险防控到位。</w:t>
      </w:r>
    </w:p>
    <w:p w14:paraId="40B54694">
      <w:pPr>
        <w:keepNext w:val="0"/>
        <w:keepLines w:val="0"/>
        <w:pageBreakBefore w:val="0"/>
        <w:kinsoku/>
        <w:wordWrap/>
        <w:overflowPunct/>
        <w:topLinePunct w:val="0"/>
        <w:bidi w:val="0"/>
        <w:adjustRightInd w:val="0"/>
        <w:snapToGrid w:val="0"/>
        <w:spacing w:line="576" w:lineRule="exact"/>
        <w:ind w:left="0" w:leftChars="0" w:firstLine="640" w:firstLineChars="200"/>
        <w:contextualSpacing/>
        <w:jc w:val="both"/>
        <w:textAlignment w:val="auto"/>
        <w:outlineLvl w:val="9"/>
        <w:rPr>
          <w:rFonts w:hint="default" w:ascii="Times New Roman" w:hAnsi="Times New Roman" w:eastAsia="仿宋_GB2312" w:cs="Times New Roman"/>
          <w:kern w:val="0"/>
          <w:sz w:val="32"/>
          <w:szCs w:val="32"/>
          <w:lang w:val="zh-CN" w:eastAsia="zh-CN"/>
        </w:rPr>
      </w:pPr>
      <w:r>
        <w:rPr>
          <w:rFonts w:hint="eastAsia" w:ascii="Times New Roman" w:hAnsi="Times New Roman" w:eastAsia="楷体_GB2312" w:cs="Times New Roman"/>
          <w:color w:val="000000"/>
          <w:kern w:val="0"/>
          <w:sz w:val="32"/>
          <w:szCs w:val="32"/>
          <w:shd w:val="clear" w:color="auto" w:fill="FFFFFF"/>
          <w:lang w:val="en-US" w:eastAsia="zh-CN"/>
        </w:rPr>
        <w:t>4.</w:t>
      </w:r>
      <w:r>
        <w:rPr>
          <w:rFonts w:hint="eastAsia" w:ascii="Times New Roman" w:hAnsi="Times New Roman" w:eastAsia="楷体_GB2312" w:cs="Times New Roman"/>
          <w:color w:val="000000"/>
          <w:kern w:val="0"/>
          <w:sz w:val="32"/>
          <w:szCs w:val="32"/>
          <w:shd w:val="clear" w:color="auto" w:fill="FFFFFF"/>
          <w:lang w:val="zh-CN" w:eastAsia="zh-CN"/>
        </w:rPr>
        <w:t>资产管理。</w:t>
      </w:r>
      <w:r>
        <w:rPr>
          <w:rFonts w:hint="default" w:ascii="Times New Roman" w:hAnsi="Times New Roman" w:eastAsia="仿宋_GB2312" w:cs="Times New Roman"/>
          <w:color w:val="000000"/>
          <w:kern w:val="0"/>
          <w:sz w:val="32"/>
          <w:szCs w:val="32"/>
          <w:shd w:val="clear" w:color="auto" w:fill="FFFFFF"/>
          <w:lang w:val="zh-CN"/>
        </w:rPr>
        <w:t>人均资产无变化，科学合理分配使用资产，资产利用率</w:t>
      </w:r>
      <w:r>
        <w:rPr>
          <w:rFonts w:hint="default" w:ascii="Times New Roman" w:hAnsi="Times New Roman" w:eastAsia="仿宋_GB2312" w:cs="Times New Roman"/>
          <w:color w:val="000000"/>
          <w:kern w:val="0"/>
          <w:sz w:val="32"/>
          <w:szCs w:val="32"/>
          <w:shd w:val="clear" w:color="auto" w:fill="FFFFFF"/>
          <w:lang w:val="en-US" w:eastAsia="zh-CN"/>
        </w:rPr>
        <w:t>100%。</w:t>
      </w:r>
      <w:r>
        <w:rPr>
          <w:rFonts w:hint="default" w:ascii="Times New Roman" w:hAnsi="Times New Roman" w:eastAsia="仿宋_GB2312" w:cs="Times New Roman"/>
          <w:color w:val="000000"/>
          <w:kern w:val="0"/>
          <w:sz w:val="32"/>
          <w:szCs w:val="32"/>
          <w:shd w:val="clear" w:color="auto" w:fill="FFFFFF"/>
          <w:lang w:val="zh-CN"/>
        </w:rPr>
        <w:t>无闲置资产。</w:t>
      </w:r>
    </w:p>
    <w:p w14:paraId="5FDD0062">
      <w:pPr>
        <w:keepNext w:val="0"/>
        <w:keepLines w:val="0"/>
        <w:pageBreakBefore w:val="0"/>
        <w:widowControl/>
        <w:kinsoku/>
        <w:wordWrap/>
        <w:overflowPunct/>
        <w:topLinePunct w:val="0"/>
        <w:bidi w:val="0"/>
        <w:adjustRightInd w:val="0"/>
        <w:snapToGrid w:val="0"/>
        <w:spacing w:line="576" w:lineRule="exact"/>
        <w:ind w:left="0" w:leftChars="0" w:firstLine="640" w:firstLineChars="200"/>
        <w:contextualSpacing/>
        <w:jc w:val="both"/>
        <w:textAlignment w:val="auto"/>
        <w:outlineLvl w:val="9"/>
        <w:rPr>
          <w:rFonts w:hint="eastAsia" w:ascii="仿宋_GB2312" w:hAnsi="仿宋_GB2312" w:eastAsia="仿宋_GB2312" w:cs="仿宋_GB2312"/>
          <w:sz w:val="32"/>
          <w:szCs w:val="32"/>
          <w:lang w:val="zh-CN" w:eastAsia="zh-CN"/>
        </w:rPr>
      </w:pPr>
      <w:r>
        <w:rPr>
          <w:rFonts w:hint="eastAsia" w:ascii="Times New Roman" w:hAnsi="Times New Roman" w:eastAsia="楷体_GB2312" w:cs="Times New Roman"/>
          <w:color w:val="000000"/>
          <w:kern w:val="0"/>
          <w:sz w:val="32"/>
          <w:szCs w:val="32"/>
          <w:shd w:val="clear" w:color="auto" w:fill="FFFFFF"/>
          <w:lang w:val="en-US" w:eastAsia="zh-CN"/>
        </w:rPr>
        <w:t>5.</w:t>
      </w:r>
      <w:r>
        <w:rPr>
          <w:rFonts w:hint="eastAsia" w:ascii="Times New Roman" w:hAnsi="Times New Roman" w:eastAsia="楷体_GB2312" w:cs="Times New Roman"/>
          <w:color w:val="000000"/>
          <w:kern w:val="0"/>
          <w:sz w:val="32"/>
          <w:szCs w:val="32"/>
          <w:shd w:val="clear" w:color="auto" w:fill="FFFFFF"/>
          <w:lang w:val="zh-CN" w:eastAsia="zh-CN"/>
        </w:rPr>
        <w:t>采购管理。</w:t>
      </w:r>
      <w:r>
        <w:rPr>
          <w:rFonts w:hint="eastAsia" w:ascii="仿宋_GB2312" w:hAnsi="仿宋_GB2312" w:eastAsia="仿宋_GB2312" w:cs="仿宋_GB2312"/>
          <w:sz w:val="32"/>
          <w:szCs w:val="32"/>
          <w:lang w:val="en-US" w:eastAsia="zh-CN"/>
        </w:rPr>
        <w:t xml:space="preserve"> </w:t>
      </w:r>
      <w:r>
        <w:rPr>
          <w:rFonts w:hint="default" w:ascii="Times New Roman" w:hAnsi="Times New Roman" w:eastAsia="仿宋_GB2312" w:cs="Times New Roman"/>
          <w:color w:val="000000"/>
          <w:kern w:val="0"/>
          <w:sz w:val="32"/>
          <w:szCs w:val="32"/>
          <w:shd w:val="clear" w:color="auto" w:fill="FFFFFF"/>
          <w:lang w:val="zh-CN" w:eastAsia="zh-CN"/>
        </w:rPr>
        <w:t>严格执行政府采购相关规定，采购流程规范，采购效率高，做到公开、公平、公正</w:t>
      </w:r>
      <w:r>
        <w:rPr>
          <w:rFonts w:hint="eastAsia" w:ascii="Times New Roman" w:hAnsi="Times New Roman" w:eastAsia="仿宋_GB2312" w:cs="Times New Roman"/>
          <w:color w:val="000000"/>
          <w:kern w:val="0"/>
          <w:sz w:val="32"/>
          <w:szCs w:val="32"/>
          <w:shd w:val="clear" w:color="auto" w:fill="FFFFFF"/>
          <w:lang w:val="zh-CN" w:eastAsia="zh-CN"/>
        </w:rPr>
        <w:t>。</w:t>
      </w:r>
    </w:p>
    <w:p w14:paraId="15DE1CB4">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76" w:lineRule="exact"/>
        <w:ind w:left="0" w:leftChars="0"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2FEB8B71">
      <w:pPr>
        <w:keepNext w:val="0"/>
        <w:keepLines w:val="0"/>
        <w:pageBreakBefore w:val="0"/>
        <w:widowControl/>
        <w:kinsoku/>
        <w:wordWrap/>
        <w:overflowPunct/>
        <w:topLinePunct w:val="0"/>
        <w:bidi w:val="0"/>
        <w:adjustRightInd w:val="0"/>
        <w:snapToGrid w:val="0"/>
        <w:spacing w:line="576" w:lineRule="exact"/>
        <w:ind w:left="0" w:leftChars="0" w:firstLine="640" w:firstLineChars="200"/>
        <w:contextualSpacing/>
        <w:jc w:val="both"/>
        <w:textAlignment w:val="auto"/>
        <w:outlineLvl w:val="9"/>
        <w:rPr>
          <w:rFonts w:hint="default" w:ascii="Times New Roman" w:hAnsi="Times New Roman" w:eastAsia="仿宋_GB2312" w:cs="Times New Roman"/>
          <w:color w:val="000000"/>
          <w:kern w:val="0"/>
          <w:sz w:val="32"/>
          <w:szCs w:val="32"/>
          <w:shd w:val="clear" w:color="auto" w:fill="FFFFFF"/>
          <w:lang w:val="zh-CN" w:eastAsia="zh-CN"/>
        </w:rPr>
      </w:pPr>
      <w:r>
        <w:rPr>
          <w:rFonts w:hint="default" w:ascii="Times New Roman" w:hAnsi="Times New Roman" w:eastAsia="仿宋_GB2312" w:cs="Times New Roman"/>
          <w:color w:val="000000"/>
          <w:kern w:val="0"/>
          <w:sz w:val="32"/>
          <w:szCs w:val="32"/>
          <w:shd w:val="clear" w:color="auto" w:fill="FFFFFF"/>
          <w:lang w:val="zh-CN" w:eastAsia="zh-CN"/>
        </w:rPr>
        <w:t>常年项目绩效分析。该类项目总数</w:t>
      </w:r>
      <w:r>
        <w:rPr>
          <w:rFonts w:hint="eastAsia" w:ascii="Times New Roman" w:hAnsi="Times New Roman" w:eastAsia="仿宋_GB2312" w:cs="Times New Roman"/>
          <w:color w:val="000000"/>
          <w:kern w:val="0"/>
          <w:sz w:val="32"/>
          <w:szCs w:val="32"/>
          <w:shd w:val="clear" w:color="auto" w:fill="FFFFFF"/>
          <w:lang w:val="en-US" w:eastAsia="zh-CN"/>
        </w:rPr>
        <w:t>15</w:t>
      </w:r>
      <w:r>
        <w:rPr>
          <w:rFonts w:hint="default" w:ascii="Times New Roman" w:hAnsi="Times New Roman" w:eastAsia="仿宋_GB2312" w:cs="Times New Roman"/>
          <w:color w:val="000000"/>
          <w:kern w:val="0"/>
          <w:sz w:val="32"/>
          <w:szCs w:val="32"/>
          <w:shd w:val="clear" w:color="auto" w:fill="FFFFFF"/>
          <w:lang w:val="zh-CN" w:eastAsia="zh-CN"/>
        </w:rPr>
        <w:t>个</w:t>
      </w:r>
      <w:r>
        <w:rPr>
          <w:rFonts w:hint="eastAsia" w:ascii="Times New Roman" w:hAnsi="Times New Roman" w:eastAsia="仿宋_GB2312" w:cs="Times New Roman"/>
          <w:color w:val="000000"/>
          <w:kern w:val="0"/>
          <w:sz w:val="32"/>
          <w:szCs w:val="32"/>
          <w:shd w:val="clear" w:color="auto" w:fill="FFFFFF"/>
          <w:lang w:val="zh-CN" w:eastAsia="zh-CN"/>
        </w:rPr>
        <w:t>，</w:t>
      </w:r>
      <w:r>
        <w:rPr>
          <w:rFonts w:hint="default" w:ascii="Times New Roman" w:hAnsi="Times New Roman" w:eastAsia="仿宋_GB2312" w:cs="Times New Roman"/>
          <w:color w:val="000000"/>
          <w:kern w:val="0"/>
          <w:sz w:val="32"/>
          <w:szCs w:val="32"/>
          <w:shd w:val="clear" w:color="auto" w:fill="FFFFFF"/>
          <w:lang w:val="zh-CN" w:eastAsia="zh-CN"/>
        </w:rPr>
        <w:t xml:space="preserve">涉及预算总金额 </w:t>
      </w:r>
      <w:r>
        <w:rPr>
          <w:rFonts w:hint="eastAsia" w:ascii="Times New Roman" w:hAnsi="Times New Roman" w:eastAsia="仿宋_GB2312" w:cs="Times New Roman"/>
          <w:color w:val="000000"/>
          <w:kern w:val="0"/>
          <w:sz w:val="32"/>
          <w:szCs w:val="32"/>
          <w:shd w:val="clear" w:color="auto" w:fill="FFFFFF"/>
          <w:lang w:val="en-US" w:eastAsia="zh-CN"/>
        </w:rPr>
        <w:t>485.45</w:t>
      </w:r>
      <w:r>
        <w:rPr>
          <w:rFonts w:hint="default" w:ascii="Times New Roman" w:hAnsi="Times New Roman" w:eastAsia="仿宋_GB2312" w:cs="Times New Roman"/>
          <w:color w:val="000000"/>
          <w:kern w:val="0"/>
          <w:sz w:val="32"/>
          <w:szCs w:val="32"/>
          <w:shd w:val="clear" w:color="auto" w:fill="FFFFFF"/>
          <w:lang w:val="zh-CN" w:eastAsia="zh-CN"/>
        </w:rPr>
        <w:t>万元，1</w:t>
      </w:r>
      <w:r>
        <w:rPr>
          <w:rFonts w:hint="eastAsia" w:ascii="Times New Roman" w:hAnsi="Times New Roman" w:eastAsia="仿宋_GB2312" w:cs="Times New Roman"/>
          <w:color w:val="000000"/>
          <w:kern w:val="0"/>
          <w:sz w:val="32"/>
          <w:szCs w:val="32"/>
          <w:shd w:val="clear" w:color="auto" w:fill="FFFFFF"/>
          <w:lang w:val="zh-CN" w:eastAsia="zh-CN"/>
        </w:rPr>
        <w:t>—</w:t>
      </w:r>
      <w:r>
        <w:rPr>
          <w:rFonts w:hint="default" w:ascii="Times New Roman" w:hAnsi="Times New Roman" w:eastAsia="仿宋_GB2312" w:cs="Times New Roman"/>
          <w:color w:val="000000"/>
          <w:kern w:val="0"/>
          <w:sz w:val="32"/>
          <w:szCs w:val="32"/>
          <w:shd w:val="clear" w:color="auto" w:fill="FFFFFF"/>
          <w:lang w:val="zh-CN" w:eastAsia="zh-CN"/>
        </w:rPr>
        <w:t>12月预算执行总体进度为</w:t>
      </w:r>
      <w:r>
        <w:rPr>
          <w:rFonts w:hint="eastAsia" w:ascii="Times New Roman" w:hAnsi="Times New Roman" w:eastAsia="仿宋_GB2312" w:cs="Times New Roman"/>
          <w:color w:val="000000"/>
          <w:kern w:val="0"/>
          <w:sz w:val="32"/>
          <w:szCs w:val="32"/>
          <w:shd w:val="clear" w:color="auto" w:fill="FFFFFF"/>
          <w:lang w:val="en-US" w:eastAsia="zh-CN"/>
        </w:rPr>
        <w:t>100</w:t>
      </w:r>
      <w:r>
        <w:rPr>
          <w:rFonts w:hint="default" w:ascii="Times New Roman" w:hAnsi="Times New Roman" w:eastAsia="仿宋_GB2312" w:cs="Times New Roman"/>
          <w:color w:val="000000"/>
          <w:kern w:val="0"/>
          <w:sz w:val="32"/>
          <w:szCs w:val="32"/>
          <w:shd w:val="clear" w:color="auto" w:fill="FFFFFF"/>
          <w:lang w:val="zh-CN" w:eastAsia="zh-CN"/>
        </w:rPr>
        <w:t xml:space="preserve"> %，其中：预算结余率大于10%的项目共计</w:t>
      </w:r>
      <w:r>
        <w:rPr>
          <w:rFonts w:hint="eastAsia" w:ascii="Times New Roman" w:hAnsi="Times New Roman" w:eastAsia="仿宋_GB2312" w:cs="Times New Roman"/>
          <w:color w:val="000000"/>
          <w:kern w:val="0"/>
          <w:sz w:val="32"/>
          <w:szCs w:val="32"/>
          <w:shd w:val="clear" w:color="auto" w:fill="FFFFFF"/>
          <w:lang w:val="en-US" w:eastAsia="zh-CN"/>
        </w:rPr>
        <w:t>0</w:t>
      </w:r>
      <w:r>
        <w:rPr>
          <w:rFonts w:hint="default" w:ascii="Times New Roman" w:hAnsi="Times New Roman" w:eastAsia="仿宋_GB2312" w:cs="Times New Roman"/>
          <w:color w:val="000000"/>
          <w:kern w:val="0"/>
          <w:sz w:val="32"/>
          <w:szCs w:val="32"/>
          <w:shd w:val="clear" w:color="auto" w:fill="FFFFFF"/>
          <w:lang w:val="zh-CN" w:eastAsia="zh-CN"/>
        </w:rPr>
        <w:t>个。</w:t>
      </w:r>
    </w:p>
    <w:p w14:paraId="6EC2488D">
      <w:pPr>
        <w:keepNext w:val="0"/>
        <w:keepLines w:val="0"/>
        <w:pageBreakBefore w:val="0"/>
        <w:widowControl/>
        <w:kinsoku/>
        <w:wordWrap/>
        <w:overflowPunct/>
        <w:topLinePunct w:val="0"/>
        <w:bidi w:val="0"/>
        <w:adjustRightInd w:val="0"/>
        <w:snapToGrid w:val="0"/>
        <w:spacing w:line="576" w:lineRule="exact"/>
        <w:ind w:left="0" w:leftChars="0" w:firstLine="640" w:firstLineChars="200"/>
        <w:contextualSpacing/>
        <w:jc w:val="both"/>
        <w:textAlignment w:val="auto"/>
        <w:outlineLvl w:val="9"/>
        <w:rPr>
          <w:rFonts w:hint="default" w:ascii="Times New Roman" w:hAnsi="Times New Roman" w:eastAsia="仿宋_GB2312" w:cs="Times New Roman"/>
          <w:color w:val="000000"/>
          <w:kern w:val="0"/>
          <w:sz w:val="32"/>
          <w:szCs w:val="32"/>
          <w:shd w:val="clear" w:color="auto" w:fill="FFFFFF"/>
          <w:lang w:val="zh-CN" w:eastAsia="zh-CN"/>
        </w:rPr>
      </w:pPr>
      <w:r>
        <w:rPr>
          <w:rFonts w:hint="default" w:ascii="Times New Roman" w:hAnsi="Times New Roman" w:eastAsia="仿宋_GB2312" w:cs="Times New Roman"/>
          <w:color w:val="000000"/>
          <w:kern w:val="0"/>
          <w:sz w:val="32"/>
          <w:szCs w:val="32"/>
          <w:shd w:val="clear" w:color="auto" w:fill="FFFFFF"/>
          <w:lang w:val="zh-CN" w:eastAsia="zh-CN"/>
        </w:rPr>
        <w:t>阶段（</w:t>
      </w:r>
      <w:r>
        <w:rPr>
          <w:rFonts w:hint="eastAsia" w:ascii="Times New Roman" w:hAnsi="Times New Roman" w:eastAsia="仿宋_GB2312" w:cs="Times New Roman"/>
          <w:color w:val="000000"/>
          <w:kern w:val="0"/>
          <w:sz w:val="32"/>
          <w:szCs w:val="32"/>
          <w:shd w:val="clear" w:color="auto" w:fill="FFFFFF"/>
          <w:lang w:val="zh-CN" w:eastAsia="zh-CN"/>
        </w:rPr>
        <w:t>含</w:t>
      </w:r>
      <w:r>
        <w:rPr>
          <w:rFonts w:hint="default" w:ascii="Times New Roman" w:hAnsi="Times New Roman" w:eastAsia="仿宋_GB2312" w:cs="Times New Roman"/>
          <w:color w:val="000000"/>
          <w:kern w:val="0"/>
          <w:sz w:val="32"/>
          <w:szCs w:val="32"/>
          <w:shd w:val="clear" w:color="auto" w:fill="FFFFFF"/>
          <w:lang w:val="zh-CN" w:eastAsia="zh-CN"/>
        </w:rPr>
        <w:t>一次性）项目绩效分析。该类项目总数</w:t>
      </w:r>
      <w:r>
        <w:rPr>
          <w:rFonts w:hint="eastAsia" w:ascii="Times New Roman" w:hAnsi="Times New Roman" w:eastAsia="仿宋_GB2312" w:cs="Times New Roman"/>
          <w:color w:val="000000"/>
          <w:kern w:val="0"/>
          <w:sz w:val="32"/>
          <w:szCs w:val="32"/>
          <w:shd w:val="clear" w:color="auto" w:fill="FFFFFF"/>
          <w:lang w:val="en-US" w:eastAsia="zh-CN"/>
        </w:rPr>
        <w:t>12</w:t>
      </w:r>
      <w:r>
        <w:rPr>
          <w:rFonts w:hint="default" w:ascii="Times New Roman" w:hAnsi="Times New Roman" w:eastAsia="仿宋_GB2312" w:cs="Times New Roman"/>
          <w:color w:val="000000"/>
          <w:kern w:val="0"/>
          <w:sz w:val="32"/>
          <w:szCs w:val="32"/>
          <w:shd w:val="clear" w:color="auto" w:fill="FFFFFF"/>
          <w:lang w:val="zh-CN" w:eastAsia="zh-CN"/>
        </w:rPr>
        <w:t>个，涉及预算总金额</w:t>
      </w:r>
      <w:r>
        <w:rPr>
          <w:rFonts w:hint="eastAsia" w:ascii="Times New Roman" w:hAnsi="Times New Roman" w:eastAsia="仿宋_GB2312" w:cs="Times New Roman"/>
          <w:color w:val="000000"/>
          <w:kern w:val="0"/>
          <w:sz w:val="32"/>
          <w:szCs w:val="32"/>
          <w:shd w:val="clear" w:color="auto" w:fill="FFFFFF"/>
          <w:lang w:val="en-US" w:eastAsia="zh-CN"/>
        </w:rPr>
        <w:t>449.43</w:t>
      </w:r>
      <w:r>
        <w:rPr>
          <w:rFonts w:hint="default" w:ascii="Times New Roman" w:hAnsi="Times New Roman" w:eastAsia="仿宋_GB2312" w:cs="Times New Roman"/>
          <w:color w:val="000000"/>
          <w:kern w:val="0"/>
          <w:sz w:val="32"/>
          <w:szCs w:val="32"/>
          <w:shd w:val="clear" w:color="auto" w:fill="FFFFFF"/>
          <w:lang w:val="zh-CN" w:eastAsia="zh-CN"/>
        </w:rPr>
        <w:t>万元，1</w:t>
      </w:r>
      <w:r>
        <w:rPr>
          <w:rFonts w:hint="eastAsia" w:ascii="Times New Roman" w:hAnsi="Times New Roman" w:eastAsia="仿宋_GB2312" w:cs="Times New Roman"/>
          <w:color w:val="000000"/>
          <w:kern w:val="0"/>
          <w:sz w:val="32"/>
          <w:szCs w:val="32"/>
          <w:shd w:val="clear" w:color="auto" w:fill="FFFFFF"/>
          <w:lang w:val="zh-CN" w:eastAsia="zh-CN"/>
        </w:rPr>
        <w:t>—</w:t>
      </w:r>
      <w:r>
        <w:rPr>
          <w:rFonts w:hint="default" w:ascii="Times New Roman" w:hAnsi="Times New Roman" w:eastAsia="仿宋_GB2312" w:cs="Times New Roman"/>
          <w:color w:val="000000"/>
          <w:kern w:val="0"/>
          <w:sz w:val="32"/>
          <w:szCs w:val="32"/>
          <w:shd w:val="clear" w:color="auto" w:fill="FFFFFF"/>
          <w:lang w:val="zh-CN" w:eastAsia="zh-CN"/>
        </w:rPr>
        <w:t>12月预算执行总体进度为</w:t>
      </w:r>
      <w:r>
        <w:rPr>
          <w:rFonts w:hint="eastAsia" w:ascii="Times New Roman" w:hAnsi="Times New Roman" w:eastAsia="仿宋_GB2312" w:cs="Times New Roman"/>
          <w:color w:val="000000"/>
          <w:kern w:val="0"/>
          <w:sz w:val="32"/>
          <w:szCs w:val="32"/>
          <w:shd w:val="clear" w:color="auto" w:fill="FFFFFF"/>
          <w:lang w:val="en-US" w:eastAsia="zh-CN"/>
        </w:rPr>
        <w:t>100</w:t>
      </w:r>
      <w:r>
        <w:rPr>
          <w:rFonts w:hint="default" w:ascii="Times New Roman" w:hAnsi="Times New Roman" w:eastAsia="仿宋_GB2312" w:cs="Times New Roman"/>
          <w:color w:val="000000"/>
          <w:kern w:val="0"/>
          <w:sz w:val="32"/>
          <w:szCs w:val="32"/>
          <w:shd w:val="clear" w:color="auto" w:fill="FFFFFF"/>
          <w:lang w:val="zh-CN" w:eastAsia="zh-CN"/>
        </w:rPr>
        <w:t xml:space="preserve">%，其中：预算结余率大于10%的项目共计 </w:t>
      </w:r>
      <w:r>
        <w:rPr>
          <w:rFonts w:hint="eastAsia" w:ascii="Times New Roman" w:hAnsi="Times New Roman" w:eastAsia="仿宋_GB2312" w:cs="Times New Roman"/>
          <w:color w:val="000000"/>
          <w:kern w:val="0"/>
          <w:sz w:val="32"/>
          <w:szCs w:val="32"/>
          <w:shd w:val="clear" w:color="auto" w:fill="FFFFFF"/>
          <w:lang w:val="en-US" w:eastAsia="zh-CN"/>
        </w:rPr>
        <w:t>1</w:t>
      </w:r>
      <w:r>
        <w:rPr>
          <w:rFonts w:hint="default" w:ascii="Times New Roman" w:hAnsi="Times New Roman" w:eastAsia="仿宋_GB2312" w:cs="Times New Roman"/>
          <w:color w:val="000000"/>
          <w:kern w:val="0"/>
          <w:sz w:val="32"/>
          <w:szCs w:val="32"/>
          <w:shd w:val="clear" w:color="auto" w:fill="FFFFFF"/>
          <w:lang w:val="zh-CN" w:eastAsia="zh-CN"/>
        </w:rPr>
        <w:t>个。</w:t>
      </w:r>
    </w:p>
    <w:p w14:paraId="095FBCC5">
      <w:pPr>
        <w:keepNext w:val="0"/>
        <w:keepLines w:val="0"/>
        <w:pageBreakBefore w:val="0"/>
        <w:widowControl w:val="0"/>
        <w:numPr>
          <w:ilvl w:val="0"/>
          <w:numId w:val="0"/>
        </w:numPr>
        <w:kinsoku/>
        <w:wordWrap/>
        <w:overflowPunct/>
        <w:topLinePunct w:val="0"/>
        <w:autoSpaceDE/>
        <w:autoSpaceDN/>
        <w:bidi w:val="0"/>
        <w:adjustRightInd/>
        <w:snapToGrid/>
        <w:spacing w:line="566" w:lineRule="exact"/>
        <w:ind w:left="0" w:leftChars="0" w:firstLine="640" w:firstLineChars="200"/>
        <w:jc w:val="both"/>
        <w:textAlignment w:val="auto"/>
        <w:outlineLvl w:val="9"/>
        <w:rPr>
          <w:rFonts w:hint="eastAsia" w:ascii="Times New Roman" w:hAnsi="Times New Roman" w:eastAsia="仿宋_GB2312" w:cs="Times New Roman"/>
          <w:color w:val="000000"/>
          <w:kern w:val="0"/>
          <w:sz w:val="32"/>
          <w:szCs w:val="32"/>
          <w:shd w:val="clear" w:color="auto" w:fill="FFFFFF"/>
          <w:lang w:val="en-US" w:eastAsia="zh-CN"/>
        </w:rPr>
      </w:pPr>
      <w:r>
        <w:rPr>
          <w:rFonts w:hint="eastAsia" w:ascii="Times New Roman" w:hAnsi="Times New Roman" w:eastAsia="仿宋_GB2312" w:cs="Times New Roman"/>
          <w:color w:val="000000"/>
          <w:kern w:val="0"/>
          <w:sz w:val="32"/>
          <w:szCs w:val="32"/>
          <w:shd w:val="clear" w:color="auto" w:fill="FFFFFF"/>
          <w:lang w:val="en-US" w:eastAsia="zh-CN"/>
        </w:rPr>
        <w:t>1.</w:t>
      </w:r>
      <w:r>
        <w:rPr>
          <w:rFonts w:hint="eastAsia" w:ascii="Times New Roman" w:hAnsi="Times New Roman" w:eastAsia="仿宋_GB2312" w:cs="Times New Roman"/>
          <w:color w:val="000000"/>
          <w:kern w:val="0"/>
          <w:sz w:val="32"/>
          <w:szCs w:val="32"/>
          <w:shd w:val="clear" w:color="auto" w:fill="FFFFFF"/>
          <w:lang w:val="zh-CN" w:eastAsia="zh-CN"/>
        </w:rPr>
        <w:t>项目决策。</w:t>
      </w:r>
      <w:r>
        <w:rPr>
          <w:rFonts w:hint="eastAsia" w:ascii="Times New Roman" w:hAnsi="Times New Roman" w:eastAsia="仿宋_GB2312" w:cs="Times New Roman"/>
          <w:color w:val="000000"/>
          <w:kern w:val="0"/>
          <w:sz w:val="32"/>
          <w:szCs w:val="32"/>
          <w:shd w:val="clear" w:color="auto" w:fill="FFFFFF"/>
          <w:lang w:val="en-US" w:eastAsia="zh-CN"/>
        </w:rPr>
        <w:t xml:space="preserve">围绕决策程序、规划论证、资金投向进行绩效分析。采购、施工、服务类项目采用政府集采、签订合同（协议）方式实施。按程序确定承接机构，通过制定实施方案、图纸设计、财评、项目立项等程序，项目由沟口镇组织实施，由具体项目实施单位承办，项目实施完成后，经验收合格，项目资金支付到具体项目实施单位账户。全部项目实施过程中，我镇负责指导和监督。 </w:t>
      </w:r>
    </w:p>
    <w:p w14:paraId="49D1889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en-US" w:eastAsia="zh-CN"/>
        </w:rPr>
        <w:t>2.项目执行</w:t>
      </w:r>
      <w:r>
        <w:rPr>
          <w:rFonts w:hint="eastAsia" w:ascii="Times New Roman" w:hAnsi="Times New Roman" w:eastAsia="仿宋_GB2312" w:cs="Times New Roman"/>
          <w:color w:val="000000"/>
          <w:kern w:val="0"/>
          <w:sz w:val="32"/>
          <w:szCs w:val="32"/>
          <w:shd w:val="clear" w:color="auto" w:fill="FFFFFF"/>
          <w:lang w:val="zh-CN" w:eastAsia="zh-CN"/>
        </w:rPr>
        <w:t>。结合项目特点，按照相关法律法规、项目管理制度，按程序进行实施。在项目建设管理中严格按照相关管理制度执行有关建设标准及规范，严格执行招投标、政府采购、项目公示制等相关规定，加强项目质量与安全管理，切实发挥资金投资效益。</w:t>
      </w:r>
    </w:p>
    <w:p w14:paraId="21B773C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en-US" w:eastAsia="zh-CN"/>
        </w:rPr>
        <w:t>3.</w:t>
      </w:r>
      <w:r>
        <w:rPr>
          <w:rFonts w:hint="eastAsia" w:ascii="Times New Roman" w:hAnsi="Times New Roman" w:eastAsia="仿宋_GB2312" w:cs="Times New Roman"/>
          <w:color w:val="000000"/>
          <w:kern w:val="0"/>
          <w:sz w:val="32"/>
          <w:szCs w:val="32"/>
          <w:shd w:val="clear" w:color="auto" w:fill="FFFFFF"/>
          <w:lang w:val="zh-CN" w:eastAsia="zh-CN"/>
        </w:rPr>
        <w:t>目标实现。</w:t>
      </w:r>
      <w:r>
        <w:rPr>
          <w:rFonts w:hint="eastAsia" w:ascii="Times New Roman" w:hAnsi="Times New Roman" w:eastAsia="仿宋_GB2312" w:cs="Times New Roman"/>
          <w:color w:val="000000"/>
          <w:kern w:val="0"/>
          <w:sz w:val="32"/>
          <w:szCs w:val="32"/>
          <w:shd w:val="clear" w:color="auto" w:fill="FFFFFF"/>
          <w:lang w:val="en-US" w:eastAsia="zh-CN"/>
        </w:rPr>
        <w:t>2025年</w:t>
      </w:r>
      <w:r>
        <w:rPr>
          <w:rFonts w:hint="eastAsia" w:eastAsia="仿宋_GB2312" w:cs="Times New Roman"/>
          <w:color w:val="000000"/>
          <w:kern w:val="0"/>
          <w:sz w:val="32"/>
          <w:szCs w:val="32"/>
          <w:shd w:val="clear" w:color="auto" w:fill="FFFFFF"/>
          <w:lang w:val="en-US" w:eastAsia="zh-CN"/>
        </w:rPr>
        <w:t>我</w:t>
      </w:r>
      <w:r>
        <w:rPr>
          <w:rFonts w:hint="eastAsia" w:ascii="Times New Roman" w:hAnsi="Times New Roman" w:eastAsia="仿宋_GB2312" w:cs="Times New Roman"/>
          <w:color w:val="000000"/>
          <w:kern w:val="0"/>
          <w:sz w:val="32"/>
          <w:szCs w:val="32"/>
          <w:shd w:val="clear" w:color="auto" w:fill="FFFFFF"/>
          <w:lang w:val="en-US" w:eastAsia="zh-CN"/>
        </w:rPr>
        <w:t>镇项目工作符合年初绩效总体目标，未偏离原定计划。下一步工作将继续按照总体绩效目标要求，不断完善制度，落实政策，保障群众利益。</w:t>
      </w:r>
    </w:p>
    <w:p w14:paraId="16132C19">
      <w:pPr>
        <w:keepNext w:val="0"/>
        <w:keepLines w:val="0"/>
        <w:pageBreakBefore w:val="0"/>
        <w:widowControl/>
        <w:kinsoku/>
        <w:wordWrap/>
        <w:overflowPunct/>
        <w:topLinePunct w:val="0"/>
        <w:bidi w:val="0"/>
        <w:adjustRightInd w:val="0"/>
        <w:snapToGrid w:val="0"/>
        <w:spacing w:line="576" w:lineRule="exact"/>
        <w:ind w:left="0" w:leftChars="0" w:firstLine="643" w:firstLineChars="200"/>
        <w:contextualSpacing/>
        <w:jc w:val="both"/>
        <w:textAlignment w:val="auto"/>
        <w:outlineLvl w:val="9"/>
        <w:rPr>
          <w:b/>
          <w:szCs w:val="32"/>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（三）绩效结果应用情况。</w:t>
      </w:r>
      <w:r>
        <w:rPr>
          <w:rFonts w:hint="eastAsia" w:ascii="Times New Roman" w:hAnsi="Times New Roman" w:eastAsia="仿宋_GB2312" w:cs="Times New Roman"/>
          <w:w w:val="95"/>
          <w:kern w:val="0"/>
          <w:sz w:val="32"/>
          <w:szCs w:val="32"/>
          <w:lang w:val="zh-CN" w:eastAsia="zh-CN"/>
        </w:rPr>
        <w:t>我镇</w:t>
      </w:r>
      <w:r>
        <w:rPr>
          <w:rFonts w:hint="default" w:ascii="Times New Roman" w:hAnsi="Times New Roman" w:eastAsia="仿宋_GB2312" w:cs="Times New Roman"/>
          <w:w w:val="95"/>
          <w:kern w:val="0"/>
          <w:sz w:val="32"/>
          <w:szCs w:val="32"/>
          <w:lang w:val="zh-CN" w:eastAsia="zh-CN"/>
        </w:rPr>
        <w:t>认真做好财政资金预算编制工作，强化资金统筹优化、明确开支范围、细化资金用途，有效保障部门职责任务完成和单位正常运转，降低行政运行成本，促进社会和谐稳定，充分发挥财政资金经济效益与社会效益。全年基本支出保障日常工作开展，项目支出支撑重点工作推进，整体完成年初设定绩效目标，自查自评结果良好。针对薄弱环节及时整改，建立长效机制，切实提升绩效管控水平。</w:t>
      </w:r>
    </w:p>
    <w:p w14:paraId="1453FB77">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0" w:lineRule="exact"/>
        <w:ind w:left="0" w:leftChars="0"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四、评价结论及建议</w:t>
      </w:r>
    </w:p>
    <w:p w14:paraId="7E925E00">
      <w:pPr>
        <w:keepNext w:val="0"/>
        <w:keepLines w:val="0"/>
        <w:pageBreakBefore w:val="0"/>
        <w:kinsoku/>
        <w:wordWrap/>
        <w:overflowPunct/>
        <w:topLinePunct w:val="0"/>
        <w:autoSpaceDE/>
        <w:autoSpaceDN/>
        <w:bidi w:val="0"/>
        <w:spacing w:line="570" w:lineRule="exact"/>
        <w:ind w:left="0" w:leftChars="0" w:firstLine="643" w:firstLineChars="200"/>
        <w:jc w:val="both"/>
        <w:textAlignment w:val="auto"/>
        <w:outlineLvl w:val="9"/>
        <w:rPr>
          <w:rFonts w:ascii="仿宋_GB2312" w:hAnsi="仿宋_GB2312" w:eastAsia="仿宋_GB2312"/>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ascii="仿宋_GB2312" w:hAnsi="仿宋_GB2312" w:eastAsia="仿宋_GB2312" w:cs="仿宋_GB2312"/>
          <w:color w:val="000000"/>
          <w:kern w:val="0"/>
          <w:sz w:val="32"/>
          <w:szCs w:val="32"/>
        </w:rPr>
        <w:t>20</w:t>
      </w:r>
      <w:r>
        <w:rPr>
          <w:rFonts w:hint="eastAsia" w:ascii="仿宋_GB2312" w:hAnsi="仿宋_GB2312" w:eastAsia="仿宋_GB2312" w:cs="仿宋_GB2312"/>
          <w:color w:val="000000"/>
          <w:kern w:val="0"/>
          <w:sz w:val="32"/>
          <w:szCs w:val="32"/>
        </w:rPr>
        <w:t>2</w:t>
      </w:r>
      <w:r>
        <w:rPr>
          <w:rFonts w:hint="eastAsia" w:ascii="仿宋_GB2312" w:hAnsi="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年我单位部门整体支出绩效评价自查自评结果良好，全年基本支出保证了部门的正常运行和日常工作的正常</w:t>
      </w:r>
      <w:r>
        <w:rPr>
          <w:rFonts w:hint="eastAsia" w:ascii="仿宋_GB2312" w:hAnsi="仿宋_GB2312" w:eastAsia="仿宋_GB2312" w:cs="仿宋_GB2312"/>
          <w:color w:val="000000"/>
          <w:kern w:val="0"/>
          <w:sz w:val="32"/>
          <w:szCs w:val="32"/>
          <w:lang w:val="zh-CN"/>
        </w:rPr>
        <w:t>开展</w:t>
      </w:r>
      <w:r>
        <w:rPr>
          <w:rFonts w:hint="eastAsia" w:ascii="仿宋_GB2312" w:hAnsi="仿宋_GB2312" w:eastAsia="仿宋_GB2312" w:cs="仿宋_GB2312"/>
          <w:color w:val="000000"/>
          <w:kern w:val="0"/>
          <w:sz w:val="32"/>
          <w:szCs w:val="32"/>
        </w:rPr>
        <w:t>，项目支出保障了重点工作的开展，达到预期绩效目标。</w:t>
      </w:r>
    </w:p>
    <w:p w14:paraId="4E1036E4">
      <w:pPr>
        <w:keepNext w:val="0"/>
        <w:keepLines w:val="0"/>
        <w:pageBreakBefore w:val="0"/>
        <w:widowControl/>
        <w:suppressAutoHyphens/>
        <w:kinsoku/>
        <w:wordWrap/>
        <w:overflowPunct/>
        <w:topLinePunct w:val="0"/>
        <w:autoSpaceDE/>
        <w:autoSpaceDN/>
        <w:bidi w:val="0"/>
        <w:adjustRightInd w:val="0"/>
        <w:snapToGrid w:val="0"/>
        <w:spacing w:line="570" w:lineRule="exact"/>
        <w:ind w:left="0" w:leftChars="0"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（二）存在问题</w:t>
      </w:r>
    </w:p>
    <w:p w14:paraId="696317F7">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jc w:val="both"/>
        <w:textAlignment w:val="auto"/>
        <w:outlineLvl w:val="9"/>
        <w:rPr>
          <w:rFonts w:ascii="仿宋_GB2312" w:hAnsi="仿宋_GB2312" w:eastAsia="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需更进一步规范财务报账资料。</w:t>
      </w:r>
    </w:p>
    <w:p w14:paraId="2ACEB7D1">
      <w:pPr>
        <w:keepNext w:val="0"/>
        <w:keepLines w:val="0"/>
        <w:pageBreakBefore w:val="0"/>
        <w:kinsoku/>
        <w:wordWrap/>
        <w:overflowPunct/>
        <w:topLinePunct w:val="0"/>
        <w:autoSpaceDE/>
        <w:autoSpaceDN/>
        <w:bidi w:val="0"/>
        <w:spacing w:line="570" w:lineRule="exact"/>
        <w:ind w:left="0" w:leftChars="0" w:firstLine="640" w:firstLineChars="200"/>
        <w:jc w:val="both"/>
        <w:textAlignment w:val="auto"/>
        <w:outlineLvl w:val="9"/>
        <w:rPr>
          <w:rFonts w:ascii="仿宋_GB2312" w:hAnsi="仿宋_GB2312" w:eastAsia="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属于公务卡结算目录内的费用</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应加大使用公务卡结算比例。</w:t>
      </w:r>
    </w:p>
    <w:p w14:paraId="0163CCB2">
      <w:pPr>
        <w:keepNext w:val="0"/>
        <w:keepLines w:val="0"/>
        <w:pageBreakBefore w:val="0"/>
        <w:kinsoku/>
        <w:wordWrap/>
        <w:overflowPunct/>
        <w:topLinePunct w:val="0"/>
        <w:autoSpaceDE/>
        <w:autoSpaceDN/>
        <w:bidi w:val="0"/>
        <w:spacing w:line="570" w:lineRule="exact"/>
        <w:ind w:left="0" w:leftChars="0" w:firstLine="640" w:firstLineChars="200"/>
        <w:jc w:val="both"/>
        <w:textAlignment w:val="auto"/>
        <w:outlineLvl w:val="9"/>
        <w:rPr>
          <w:rFonts w:ascii="仿宋_GB2312" w:hAnsi="仿宋_GB2312" w:eastAsia="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需严格报账审批，切实履行各自职能职责，保障会计资料的真实性、完整性。</w:t>
      </w:r>
    </w:p>
    <w:p w14:paraId="6398AC2B">
      <w:pPr>
        <w:keepNext w:val="0"/>
        <w:keepLines w:val="0"/>
        <w:pageBreakBefore w:val="0"/>
        <w:kinsoku/>
        <w:wordWrap/>
        <w:overflowPunct/>
        <w:topLinePunct w:val="0"/>
        <w:autoSpaceDE/>
        <w:autoSpaceDN/>
        <w:bidi w:val="0"/>
        <w:spacing w:line="570" w:lineRule="exact"/>
        <w:ind w:left="0" w:leftChars="0" w:firstLine="640" w:firstLineChars="200"/>
        <w:jc w:val="both"/>
        <w:textAlignment w:val="auto"/>
        <w:outlineLvl w:val="9"/>
        <w:rPr>
          <w:rFonts w:ascii="仿宋_GB2312" w:hAnsi="仿宋_GB2312" w:eastAsia="仿宋_GB2312"/>
          <w:sz w:val="32"/>
          <w:szCs w:val="32"/>
        </w:rPr>
      </w:pPr>
      <w:r>
        <w:rPr>
          <w:rFonts w:ascii="仿宋_GB2312" w:hAnsi="仿宋_GB2312" w:eastAsia="仿宋_GB2312" w:cs="仿宋_GB2312"/>
          <w:sz w:val="32"/>
          <w:szCs w:val="32"/>
        </w:rPr>
        <w:t>4.</w:t>
      </w:r>
      <w:r>
        <w:rPr>
          <w:rFonts w:hint="eastAsia" w:ascii="仿宋_GB2312" w:hAnsi="仿宋_GB2312" w:eastAsia="仿宋_GB2312" w:cs="仿宋_GB2312"/>
          <w:sz w:val="32"/>
          <w:szCs w:val="32"/>
        </w:rPr>
        <w:t>财务核算和档案管理需进一步规范。</w:t>
      </w:r>
    </w:p>
    <w:p w14:paraId="127D6A20">
      <w:pPr>
        <w:keepNext w:val="0"/>
        <w:keepLines w:val="0"/>
        <w:pageBreakBefore w:val="0"/>
        <w:widowControl/>
        <w:kinsoku/>
        <w:wordWrap/>
        <w:overflowPunct/>
        <w:topLinePunct w:val="0"/>
        <w:autoSpaceDE/>
        <w:autoSpaceDN/>
        <w:bidi w:val="0"/>
        <w:adjustRightInd w:val="0"/>
        <w:snapToGrid w:val="0"/>
        <w:spacing w:line="570" w:lineRule="exact"/>
        <w:ind w:left="0" w:leftChars="0" w:firstLine="640" w:firstLineChars="200"/>
        <w:contextualSpacing/>
        <w:jc w:val="both"/>
        <w:textAlignment w:val="auto"/>
        <w:outlineLvl w:val="9"/>
        <w:rPr>
          <w:rFonts w:hint="eastAsia" w:ascii="仿宋_GB2312" w:hAnsi="仿宋_GB2312" w:eastAsia="仿宋_GB2312" w:cs="仿宋_GB2312"/>
          <w:sz w:val="32"/>
          <w:szCs w:val="32"/>
        </w:rPr>
      </w:pPr>
      <w:r>
        <w:rPr>
          <w:rFonts w:ascii="仿宋_GB2312" w:hAnsi="仿宋_GB2312" w:eastAsia="仿宋_GB2312" w:cs="仿宋_GB2312"/>
          <w:sz w:val="32"/>
          <w:szCs w:val="32"/>
        </w:rPr>
        <w:t>5.</w:t>
      </w:r>
      <w:r>
        <w:rPr>
          <w:rFonts w:hint="eastAsia" w:ascii="仿宋_GB2312" w:hAnsi="仿宋_GB2312" w:eastAsia="仿宋_GB2312" w:cs="仿宋_GB2312"/>
          <w:sz w:val="32"/>
          <w:szCs w:val="32"/>
        </w:rPr>
        <w:t>财务人员工作量大、业务水平要求更高，需要进一步提高会计业务水平。</w:t>
      </w:r>
    </w:p>
    <w:p w14:paraId="3093D56E">
      <w:pPr>
        <w:keepNext w:val="0"/>
        <w:keepLines w:val="0"/>
        <w:pageBreakBefore w:val="0"/>
        <w:widowControl/>
        <w:suppressAutoHyphens/>
        <w:kinsoku/>
        <w:wordWrap/>
        <w:overflowPunct/>
        <w:topLinePunct w:val="0"/>
        <w:autoSpaceDE/>
        <w:autoSpaceDN/>
        <w:bidi w:val="0"/>
        <w:adjustRightInd w:val="0"/>
        <w:snapToGrid w:val="0"/>
        <w:spacing w:line="570" w:lineRule="exact"/>
        <w:ind w:left="0" w:leftChars="0"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（三）改进建议</w:t>
      </w:r>
      <w:bookmarkStart w:id="103" w:name="_Hlk110546638"/>
    </w:p>
    <w:p w14:paraId="53C6F2AE">
      <w:pPr>
        <w:keepNext w:val="0"/>
        <w:keepLines w:val="0"/>
        <w:pageBreakBefore w:val="0"/>
        <w:kinsoku/>
        <w:wordWrap/>
        <w:overflowPunct/>
        <w:topLinePunct w:val="0"/>
        <w:autoSpaceDE/>
        <w:autoSpaceDN/>
        <w:bidi w:val="0"/>
        <w:spacing w:line="570" w:lineRule="exact"/>
        <w:ind w:left="0" w:leftChars="0" w:firstLine="640" w:firstLineChars="200"/>
        <w:jc w:val="both"/>
        <w:textAlignment w:val="auto"/>
        <w:outlineLvl w:val="9"/>
        <w:rPr>
          <w:rFonts w:ascii="仿宋_GB2312" w:hAnsi="仿宋_GB2312" w:eastAsia="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进一步加强单位预算编制、支出执行、决算编制等工作的管理，特别是应加快专项资金的预算执行进度。</w:t>
      </w:r>
    </w:p>
    <w:p w14:paraId="36D38F2E">
      <w:pPr>
        <w:keepNext w:val="0"/>
        <w:keepLines w:val="0"/>
        <w:pageBreakBefore w:val="0"/>
        <w:kinsoku/>
        <w:wordWrap/>
        <w:overflowPunct/>
        <w:topLinePunct w:val="0"/>
        <w:autoSpaceDE/>
        <w:autoSpaceDN/>
        <w:bidi w:val="0"/>
        <w:spacing w:line="570" w:lineRule="exact"/>
        <w:ind w:left="0" w:leftChars="0" w:firstLine="640" w:firstLineChars="200"/>
        <w:jc w:val="both"/>
        <w:textAlignment w:val="auto"/>
        <w:outlineLvl w:val="9"/>
        <w:rPr>
          <w:rFonts w:eastAsia="黑体"/>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在会计核算过程中，严格按照单位内控制度、财务管理制度，加强票据审核，报销凭证应为真实、合法、有效的票据；严禁超范围、超标准、进行报销。</w:t>
      </w:r>
      <w:r>
        <w:rPr>
          <w:rFonts w:ascii="仿宋_GB2312" w:hAnsi="仿宋_GB2312" w:eastAsia="仿宋_GB2312"/>
          <w:sz w:val="32"/>
          <w:szCs w:val="32"/>
        </w:rPr>
        <w:tab/>
      </w:r>
    </w:p>
    <w:bookmarkEnd w:id="103"/>
    <w:p w14:paraId="41E82C32">
      <w:pPr>
        <w:keepNext w:val="0"/>
        <w:keepLines w:val="0"/>
        <w:pageBreakBefore w:val="0"/>
        <w:kinsoku/>
        <w:wordWrap/>
        <w:overflowPunct/>
        <w:topLinePunct w:val="0"/>
        <w:autoSpaceDE/>
        <w:autoSpaceDN/>
        <w:bidi w:val="0"/>
        <w:spacing w:line="560" w:lineRule="exact"/>
        <w:jc w:val="both"/>
        <w:textAlignment w:val="auto"/>
        <w:outlineLvl w:val="9"/>
        <w:rPr>
          <w:rFonts w:hint="eastAsia" w:ascii="仿宋_GB2312" w:hAnsi="仿宋_GB2312" w:eastAsia="仿宋_GB2312" w:cs="仿宋_GB2312"/>
          <w:sz w:val="32"/>
          <w:szCs w:val="32"/>
        </w:rPr>
      </w:pPr>
    </w:p>
    <w:p w14:paraId="7FBF89F0">
      <w:pPr>
        <w:keepNext w:val="0"/>
        <w:keepLines w:val="0"/>
        <w:pageBreakBefore w:val="0"/>
        <w:kinsoku/>
        <w:wordWrap/>
        <w:overflowPunct/>
        <w:topLinePunct w:val="0"/>
        <w:autoSpaceDE/>
        <w:autoSpaceDN/>
        <w:bidi w:val="0"/>
        <w:spacing w:line="560" w:lineRule="exact"/>
        <w:ind w:left="0" w:leftChars="0" w:firstLine="420" w:firstLineChars="200"/>
        <w:jc w:val="both"/>
        <w:textAlignment w:val="auto"/>
        <w:outlineLvl w:val="9"/>
        <w:rPr>
          <w:rFonts w:eastAsia="黑体"/>
        </w:rPr>
      </w:pPr>
      <w:r>
        <w:rPr>
          <w:color w:val="000000"/>
          <w:kern w:val="0"/>
          <w:szCs w:val="32"/>
          <w:shd w:val="clear" w:color="auto" w:fill="FFFFFF"/>
        </w:rPr>
        <w:br w:type="page"/>
      </w:r>
      <w:r>
        <w:rPr>
          <w:rFonts w:eastAsia="黑体"/>
        </w:rPr>
        <w:t>附表</w:t>
      </w:r>
      <w:r>
        <w:rPr>
          <w:rFonts w:hint="eastAsia" w:eastAsia="黑体"/>
        </w:rPr>
        <w:t>1</w:t>
      </w:r>
    </w:p>
    <w:p w14:paraId="37F952AD">
      <w:pPr>
        <w:widowControl/>
        <w:spacing w:line="600" w:lineRule="exact"/>
        <w:jc w:val="center"/>
        <w:textAlignment w:val="center"/>
        <w:rPr>
          <w:rFonts w:eastAsia="方正小标宋简体"/>
          <w:color w:val="000000"/>
          <w:kern w:val="0"/>
          <w:sz w:val="44"/>
          <w:szCs w:val="44"/>
          <w:lang w:bidi="ar"/>
        </w:rPr>
      </w:pPr>
      <w:r>
        <w:rPr>
          <w:rFonts w:hint="eastAsia" w:eastAsia="方正小标宋简体"/>
          <w:color w:val="000000"/>
          <w:kern w:val="0"/>
          <w:sz w:val="44"/>
          <w:szCs w:val="44"/>
          <w:lang w:bidi="ar"/>
        </w:rPr>
        <w:t>部门预算绩效自评打分表</w:t>
      </w:r>
    </w:p>
    <w:tbl>
      <w:tblPr>
        <w:tblStyle w:val="17"/>
        <w:tblW w:w="10819" w:type="dxa"/>
        <w:jc w:val="center"/>
        <w:tblLayout w:type="fixed"/>
        <w:tblCellMar>
          <w:top w:w="0" w:type="dxa"/>
          <w:left w:w="108" w:type="dxa"/>
          <w:bottom w:w="0" w:type="dxa"/>
          <w:right w:w="108" w:type="dxa"/>
        </w:tblCellMar>
      </w:tblPr>
      <w:tblGrid>
        <w:gridCol w:w="1004"/>
        <w:gridCol w:w="1462"/>
        <w:gridCol w:w="1665"/>
        <w:gridCol w:w="720"/>
        <w:gridCol w:w="4734"/>
        <w:gridCol w:w="756"/>
        <w:gridCol w:w="478"/>
      </w:tblGrid>
      <w:tr w14:paraId="45A66B73">
        <w:tblPrEx>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noWrap w:val="0"/>
            <w:vAlign w:val="center"/>
          </w:tcPr>
          <w:p w14:paraId="4098AD83">
            <w:pPr>
              <w:widowControl/>
              <w:spacing w:line="240" w:lineRule="exact"/>
              <w:jc w:val="center"/>
              <w:textAlignment w:val="center"/>
              <w:rPr>
                <w:rFonts w:ascii="黑体" w:hAnsi="宋体" w:eastAsia="黑体" w:cs="黑体"/>
                <w:color w:val="000000"/>
                <w:sz w:val="21"/>
                <w:szCs w:val="21"/>
              </w:rPr>
            </w:pPr>
            <w:r>
              <w:rPr>
                <w:rFonts w:hint="eastAsia" w:ascii="黑体" w:hAnsi="宋体" w:eastAsia="黑体" w:cs="黑体"/>
                <w:color w:val="000000"/>
                <w:kern w:val="0"/>
                <w:sz w:val="21"/>
                <w:szCs w:val="21"/>
                <w:lang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noWrap w:val="0"/>
            <w:vAlign w:val="center"/>
          </w:tcPr>
          <w:p w14:paraId="63455299">
            <w:pPr>
              <w:widowControl/>
              <w:spacing w:line="240" w:lineRule="exact"/>
              <w:jc w:val="center"/>
              <w:textAlignment w:val="center"/>
              <w:rPr>
                <w:rFonts w:ascii="黑体" w:hAnsi="宋体" w:eastAsia="黑体" w:cs="黑体"/>
                <w:color w:val="000000"/>
                <w:sz w:val="21"/>
                <w:szCs w:val="21"/>
              </w:rPr>
            </w:pPr>
            <w:r>
              <w:rPr>
                <w:rFonts w:hint="eastAsia" w:ascii="黑体" w:hAnsi="宋体" w:eastAsia="黑体" w:cs="黑体"/>
                <w:color w:val="000000"/>
                <w:kern w:val="0"/>
                <w:sz w:val="21"/>
                <w:szCs w:val="21"/>
                <w:lang w:bidi="ar"/>
              </w:rPr>
              <w:t>指标解释</w:t>
            </w:r>
          </w:p>
        </w:tc>
        <w:tc>
          <w:tcPr>
            <w:tcW w:w="756" w:type="dxa"/>
            <w:vMerge w:val="restart"/>
            <w:tcBorders>
              <w:top w:val="single" w:color="000000" w:sz="4" w:space="0"/>
              <w:left w:val="single" w:color="000000" w:sz="4" w:space="0"/>
              <w:right w:val="single" w:color="000000" w:sz="4" w:space="0"/>
            </w:tcBorders>
            <w:noWrap w:val="0"/>
            <w:vAlign w:val="center"/>
          </w:tcPr>
          <w:p w14:paraId="02831213">
            <w:pPr>
              <w:widowControl/>
              <w:spacing w:line="240" w:lineRule="exact"/>
              <w:jc w:val="center"/>
              <w:textAlignment w:val="center"/>
              <w:rPr>
                <w:rFonts w:ascii="黑体" w:hAnsi="宋体" w:eastAsia="黑体" w:cs="黑体"/>
                <w:color w:val="000000"/>
                <w:kern w:val="0"/>
                <w:sz w:val="21"/>
                <w:szCs w:val="21"/>
                <w:lang w:bidi="ar"/>
              </w:rPr>
            </w:pPr>
            <w:r>
              <w:rPr>
                <w:rFonts w:hint="eastAsia" w:ascii="黑体" w:hAnsi="宋体" w:eastAsia="黑体" w:cs="黑体"/>
                <w:color w:val="000000"/>
                <w:kern w:val="0"/>
                <w:sz w:val="21"/>
                <w:szCs w:val="21"/>
                <w:lang w:bidi="ar"/>
              </w:rPr>
              <w:t>自评得分</w:t>
            </w:r>
          </w:p>
        </w:tc>
        <w:tc>
          <w:tcPr>
            <w:tcW w:w="478" w:type="dxa"/>
            <w:vMerge w:val="restart"/>
            <w:tcBorders>
              <w:top w:val="single" w:color="000000" w:sz="4" w:space="0"/>
              <w:left w:val="single" w:color="000000" w:sz="4" w:space="0"/>
              <w:right w:val="single" w:color="000000" w:sz="4" w:space="0"/>
            </w:tcBorders>
            <w:noWrap w:val="0"/>
            <w:vAlign w:val="center"/>
          </w:tcPr>
          <w:p w14:paraId="744AC77A">
            <w:pPr>
              <w:widowControl/>
              <w:spacing w:line="240" w:lineRule="exact"/>
              <w:jc w:val="center"/>
              <w:textAlignment w:val="center"/>
              <w:rPr>
                <w:rFonts w:ascii="黑体" w:hAnsi="宋体" w:eastAsia="黑体" w:cs="黑体"/>
                <w:color w:val="000000"/>
                <w:kern w:val="0"/>
                <w:sz w:val="21"/>
                <w:szCs w:val="21"/>
                <w:lang w:bidi="ar"/>
              </w:rPr>
            </w:pPr>
            <w:r>
              <w:rPr>
                <w:rFonts w:hint="eastAsia" w:ascii="黑体" w:hAnsi="宋体" w:eastAsia="黑体" w:cs="黑体"/>
                <w:color w:val="000000"/>
                <w:kern w:val="0"/>
                <w:sz w:val="21"/>
                <w:szCs w:val="21"/>
                <w:lang w:bidi="ar"/>
              </w:rPr>
              <w:t>备注</w:t>
            </w:r>
          </w:p>
        </w:tc>
      </w:tr>
      <w:tr w14:paraId="1BE1AE68">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noWrap w:val="0"/>
            <w:vAlign w:val="center"/>
          </w:tcPr>
          <w:p w14:paraId="0CBBA7CC">
            <w:pPr>
              <w:widowControl/>
              <w:spacing w:line="240" w:lineRule="exact"/>
              <w:jc w:val="center"/>
              <w:textAlignment w:val="center"/>
              <w:rPr>
                <w:rFonts w:ascii="黑体" w:hAnsi="宋体" w:eastAsia="黑体" w:cs="黑体"/>
                <w:color w:val="000000"/>
                <w:sz w:val="21"/>
                <w:szCs w:val="21"/>
              </w:rPr>
            </w:pPr>
            <w:r>
              <w:rPr>
                <w:rFonts w:hint="eastAsia" w:ascii="黑体" w:hAnsi="宋体" w:eastAsia="黑体" w:cs="黑体"/>
                <w:color w:val="000000"/>
                <w:kern w:val="0"/>
                <w:sz w:val="21"/>
                <w:szCs w:val="21"/>
                <w:lang w:bidi="ar"/>
              </w:rPr>
              <w:t>一级指标</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2EA9F4B2">
            <w:pPr>
              <w:widowControl/>
              <w:spacing w:line="240" w:lineRule="exact"/>
              <w:jc w:val="center"/>
              <w:textAlignment w:val="center"/>
              <w:rPr>
                <w:rFonts w:ascii="黑体" w:hAnsi="宋体" w:eastAsia="黑体" w:cs="黑体"/>
                <w:color w:val="000000"/>
                <w:sz w:val="21"/>
                <w:szCs w:val="21"/>
              </w:rPr>
            </w:pPr>
            <w:r>
              <w:rPr>
                <w:rFonts w:hint="eastAsia" w:ascii="黑体" w:hAnsi="宋体" w:eastAsia="黑体" w:cs="黑体"/>
                <w:color w:val="000000"/>
                <w:kern w:val="0"/>
                <w:sz w:val="21"/>
                <w:szCs w:val="21"/>
                <w:lang w:bidi="ar"/>
              </w:rPr>
              <w:t>二级指标</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40A18915">
            <w:pPr>
              <w:widowControl/>
              <w:spacing w:line="240" w:lineRule="exact"/>
              <w:jc w:val="center"/>
              <w:textAlignment w:val="center"/>
              <w:rPr>
                <w:rFonts w:ascii="黑体" w:hAnsi="宋体" w:eastAsia="黑体" w:cs="黑体"/>
                <w:color w:val="000000"/>
                <w:sz w:val="21"/>
                <w:szCs w:val="21"/>
              </w:rPr>
            </w:pPr>
            <w:r>
              <w:rPr>
                <w:rFonts w:hint="eastAsia" w:ascii="黑体" w:hAnsi="宋体" w:eastAsia="黑体" w:cs="黑体"/>
                <w:color w:val="000000"/>
                <w:kern w:val="0"/>
                <w:sz w:val="21"/>
                <w:szCs w:val="21"/>
                <w:lang w:bidi="ar"/>
              </w:rPr>
              <w:t>三级指标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92A9B59">
            <w:pPr>
              <w:widowControl/>
              <w:spacing w:line="240" w:lineRule="exact"/>
              <w:jc w:val="center"/>
              <w:textAlignment w:val="center"/>
              <w:rPr>
                <w:rFonts w:ascii="黑体" w:hAnsi="宋体" w:eastAsia="黑体" w:cs="黑体"/>
                <w:color w:val="000000"/>
                <w:sz w:val="21"/>
                <w:szCs w:val="21"/>
              </w:rPr>
            </w:pPr>
            <w:r>
              <w:rPr>
                <w:rFonts w:hint="eastAsia" w:ascii="黑体" w:hAnsi="宋体" w:eastAsia="黑体" w:cs="黑体"/>
                <w:color w:val="000000"/>
                <w:kern w:val="0"/>
                <w:sz w:val="21"/>
                <w:szCs w:val="21"/>
                <w:lang w:bidi="ar"/>
              </w:rPr>
              <w:t>指标</w:t>
            </w:r>
            <w:r>
              <w:rPr>
                <w:rFonts w:hint="eastAsia" w:ascii="黑体" w:hAnsi="宋体" w:eastAsia="黑体" w:cs="黑体"/>
                <w:color w:val="000000"/>
                <w:kern w:val="0"/>
                <w:sz w:val="21"/>
                <w:szCs w:val="21"/>
                <w:lang w:bidi="ar"/>
              </w:rPr>
              <w:br w:type="textWrapping"/>
            </w:r>
            <w:r>
              <w:rPr>
                <w:rFonts w:hint="eastAsia" w:ascii="黑体" w:hAnsi="宋体" w:eastAsia="黑体" w:cs="黑体"/>
                <w:color w:val="000000"/>
                <w:kern w:val="0"/>
                <w:sz w:val="21"/>
                <w:szCs w:val="21"/>
                <w:lang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9EE624">
            <w:pPr>
              <w:widowControl/>
              <w:spacing w:line="240" w:lineRule="exact"/>
              <w:jc w:val="center"/>
              <w:rPr>
                <w:rFonts w:ascii="黑体" w:hAnsi="宋体" w:eastAsia="黑体" w:cs="黑体"/>
                <w:color w:val="000000"/>
                <w:sz w:val="21"/>
                <w:szCs w:val="21"/>
              </w:rPr>
            </w:pPr>
          </w:p>
        </w:tc>
        <w:tc>
          <w:tcPr>
            <w:tcW w:w="756" w:type="dxa"/>
            <w:vMerge w:val="continue"/>
            <w:tcBorders>
              <w:left w:val="single" w:color="000000" w:sz="4" w:space="0"/>
              <w:bottom w:val="single" w:color="000000" w:sz="4" w:space="0"/>
              <w:right w:val="single" w:color="000000" w:sz="4" w:space="0"/>
            </w:tcBorders>
            <w:noWrap w:val="0"/>
            <w:vAlign w:val="center"/>
          </w:tcPr>
          <w:p w14:paraId="142A0CAA">
            <w:pPr>
              <w:widowControl/>
              <w:spacing w:line="240" w:lineRule="exact"/>
              <w:jc w:val="center"/>
              <w:rPr>
                <w:rFonts w:ascii="黑体" w:hAnsi="宋体" w:eastAsia="黑体" w:cs="黑体"/>
                <w:color w:val="000000"/>
                <w:sz w:val="21"/>
                <w:szCs w:val="21"/>
              </w:rPr>
            </w:pPr>
          </w:p>
        </w:tc>
        <w:tc>
          <w:tcPr>
            <w:tcW w:w="478" w:type="dxa"/>
            <w:vMerge w:val="continue"/>
            <w:tcBorders>
              <w:left w:val="single" w:color="000000" w:sz="4" w:space="0"/>
              <w:bottom w:val="single" w:color="000000" w:sz="4" w:space="0"/>
              <w:right w:val="single" w:color="000000" w:sz="4" w:space="0"/>
            </w:tcBorders>
            <w:noWrap w:val="0"/>
            <w:vAlign w:val="center"/>
          </w:tcPr>
          <w:p w14:paraId="168E5115">
            <w:pPr>
              <w:widowControl/>
              <w:spacing w:line="240" w:lineRule="exact"/>
              <w:jc w:val="center"/>
              <w:rPr>
                <w:rFonts w:ascii="黑体" w:hAnsi="宋体" w:eastAsia="黑体" w:cs="黑体"/>
                <w:color w:val="000000"/>
                <w:sz w:val="21"/>
                <w:szCs w:val="21"/>
              </w:rPr>
            </w:pPr>
          </w:p>
        </w:tc>
      </w:tr>
      <w:tr w14:paraId="6DBF99DF">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14:paraId="4FF7FD8D">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总体绩效</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（65分）</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267C5C24">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履职效能</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（15分）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677E968">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履职效果</w:t>
            </w:r>
          </w:p>
        </w:tc>
        <w:tc>
          <w:tcPr>
            <w:tcW w:w="720" w:type="dxa"/>
            <w:tcBorders>
              <w:top w:val="nil"/>
              <w:left w:val="single" w:color="000000" w:sz="4" w:space="0"/>
              <w:bottom w:val="single" w:color="000000" w:sz="4" w:space="0"/>
              <w:right w:val="single" w:color="000000" w:sz="4" w:space="0"/>
            </w:tcBorders>
            <w:noWrap w:val="0"/>
            <w:vAlign w:val="center"/>
          </w:tcPr>
          <w:p w14:paraId="7A6F57F0">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15</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E5AF44A">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CD17C53">
            <w:pPr>
              <w:keepNext w:val="0"/>
              <w:keepLines w:val="0"/>
              <w:widowControl/>
              <w:suppressLineNumbers w:val="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0F5E9C4">
            <w:pPr>
              <w:widowControl/>
              <w:spacing w:line="240" w:lineRule="exact"/>
              <w:jc w:val="left"/>
              <w:textAlignment w:val="center"/>
              <w:rPr>
                <w:rFonts w:ascii="宋体" w:hAnsi="宋体" w:eastAsia="宋体" w:cs="宋体"/>
                <w:color w:val="000000"/>
                <w:kern w:val="0"/>
                <w:sz w:val="21"/>
                <w:szCs w:val="21"/>
                <w:lang w:bidi="ar"/>
              </w:rPr>
            </w:pPr>
          </w:p>
        </w:tc>
      </w:tr>
      <w:tr w14:paraId="68CC592A">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D9B37">
            <w:pPr>
              <w:widowControl/>
              <w:spacing w:line="240" w:lineRule="exact"/>
              <w:jc w:val="center"/>
              <w:rPr>
                <w:rFonts w:ascii="宋体" w:hAnsi="宋体" w:eastAsia="宋体" w:cs="宋体"/>
                <w:b/>
                <w:color w:val="000000"/>
                <w:sz w:val="21"/>
                <w:szCs w:val="21"/>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1E90DF2A">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预算管理</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（25分）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407F7910">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预算编制质量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F0DFD90">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8</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15E84BF1">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E744D2F">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508F2B6">
            <w:pPr>
              <w:widowControl/>
              <w:spacing w:line="240" w:lineRule="exact"/>
              <w:jc w:val="left"/>
              <w:textAlignment w:val="center"/>
              <w:rPr>
                <w:rFonts w:ascii="宋体" w:hAnsi="宋体" w:eastAsia="宋体" w:cs="宋体"/>
                <w:color w:val="000000"/>
                <w:kern w:val="0"/>
                <w:sz w:val="21"/>
                <w:szCs w:val="21"/>
                <w:lang w:bidi="ar"/>
              </w:rPr>
            </w:pPr>
          </w:p>
        </w:tc>
      </w:tr>
      <w:tr w14:paraId="6B0248C8">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247F6">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211AF">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293F85A">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单位收入统筹</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3110573">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05AD0F96">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316D8FD">
            <w:pPr>
              <w:jc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9046A6A">
            <w:pPr>
              <w:widowControl/>
              <w:spacing w:line="240" w:lineRule="exact"/>
              <w:jc w:val="left"/>
              <w:textAlignment w:val="center"/>
              <w:rPr>
                <w:rFonts w:ascii="宋体" w:hAnsi="宋体" w:eastAsia="宋体" w:cs="宋体"/>
                <w:color w:val="000000"/>
                <w:kern w:val="0"/>
                <w:sz w:val="21"/>
                <w:szCs w:val="21"/>
                <w:lang w:bidi="ar"/>
              </w:rPr>
            </w:pPr>
          </w:p>
        </w:tc>
      </w:tr>
      <w:tr w14:paraId="143BED16">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5F532">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03A20">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659B5AC1">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支出执行进度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49CB3D4">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6</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37E1326F">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79D6BFD">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ACB12A4">
            <w:pPr>
              <w:widowControl/>
              <w:spacing w:line="240" w:lineRule="exact"/>
              <w:jc w:val="left"/>
              <w:textAlignment w:val="center"/>
              <w:rPr>
                <w:rFonts w:ascii="宋体" w:hAnsi="宋体" w:eastAsia="宋体" w:cs="宋体"/>
                <w:color w:val="000000"/>
                <w:kern w:val="0"/>
                <w:sz w:val="21"/>
                <w:szCs w:val="21"/>
                <w:lang w:bidi="ar"/>
              </w:rPr>
            </w:pPr>
          </w:p>
        </w:tc>
      </w:tr>
      <w:tr w14:paraId="2A4AE0E3">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A32AD">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ED4DF4">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5CDF9402">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预算年终结余</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E0E79D1">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0596B139">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F14970A">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ADE4215">
            <w:pPr>
              <w:widowControl/>
              <w:spacing w:line="240" w:lineRule="exact"/>
              <w:jc w:val="left"/>
              <w:textAlignment w:val="center"/>
              <w:rPr>
                <w:rFonts w:ascii="宋体" w:hAnsi="宋体" w:eastAsia="宋体" w:cs="宋体"/>
                <w:color w:val="000000"/>
                <w:kern w:val="0"/>
                <w:sz w:val="21"/>
                <w:szCs w:val="21"/>
                <w:lang w:bidi="ar"/>
              </w:rPr>
            </w:pPr>
          </w:p>
        </w:tc>
      </w:tr>
      <w:tr w14:paraId="43EF9CB7">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C2A18C">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D679DD">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C673BB2">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严控一般性支出</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A229F28">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5</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C04EEF7">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D43BD56">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B8F56FF">
            <w:pPr>
              <w:widowControl/>
              <w:spacing w:line="240" w:lineRule="exact"/>
              <w:jc w:val="left"/>
              <w:textAlignment w:val="center"/>
              <w:rPr>
                <w:rFonts w:ascii="宋体" w:hAnsi="宋体" w:eastAsia="宋体" w:cs="宋体"/>
                <w:color w:val="000000"/>
                <w:kern w:val="0"/>
                <w:sz w:val="21"/>
                <w:szCs w:val="21"/>
                <w:lang w:bidi="ar"/>
              </w:rPr>
            </w:pPr>
          </w:p>
        </w:tc>
      </w:tr>
      <w:tr w14:paraId="7E1A8374">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02661D">
            <w:pPr>
              <w:widowControl/>
              <w:spacing w:line="240" w:lineRule="exact"/>
              <w:jc w:val="center"/>
              <w:rPr>
                <w:rFonts w:ascii="宋体" w:hAnsi="宋体" w:eastAsia="宋体" w:cs="宋体"/>
                <w:b/>
                <w:color w:val="000000"/>
                <w:sz w:val="21"/>
                <w:szCs w:val="21"/>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5285A309">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财务管理</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（10分）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408A4F8B">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财务管理制度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79F4C61">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AE28F27">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218013A">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6B7267D">
            <w:pPr>
              <w:widowControl/>
              <w:spacing w:line="240" w:lineRule="exact"/>
              <w:jc w:val="left"/>
              <w:textAlignment w:val="center"/>
              <w:rPr>
                <w:rFonts w:ascii="宋体" w:hAnsi="宋体" w:eastAsia="宋体" w:cs="宋体"/>
                <w:color w:val="000000"/>
                <w:kern w:val="0"/>
                <w:sz w:val="21"/>
                <w:szCs w:val="21"/>
                <w:lang w:bidi="ar"/>
              </w:rPr>
            </w:pPr>
          </w:p>
        </w:tc>
      </w:tr>
      <w:tr w14:paraId="3CFC2E64">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92962">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D46BC1">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0476951D">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财务岗位设置</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4AFB973">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5C5955DE">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5E10D00">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0D325B5">
            <w:pPr>
              <w:widowControl/>
              <w:spacing w:line="240" w:lineRule="exact"/>
              <w:jc w:val="left"/>
              <w:textAlignment w:val="center"/>
              <w:rPr>
                <w:rFonts w:ascii="宋体" w:hAnsi="宋体" w:eastAsia="宋体" w:cs="宋体"/>
                <w:color w:val="000000"/>
                <w:kern w:val="0"/>
                <w:sz w:val="21"/>
                <w:szCs w:val="21"/>
                <w:lang w:bidi="ar"/>
              </w:rPr>
            </w:pPr>
          </w:p>
        </w:tc>
      </w:tr>
      <w:tr w14:paraId="380C71A5">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4457F">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D2E24">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516CF16">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资金使用规范</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ACEF46C">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0562D859">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B533AB0">
            <w:pPr>
              <w:keepNext w:val="0"/>
              <w:keepLines w:val="0"/>
              <w:widowControl/>
              <w:suppressLineNumbers w:val="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1849020">
            <w:pPr>
              <w:widowControl/>
              <w:spacing w:line="240" w:lineRule="exact"/>
              <w:jc w:val="left"/>
              <w:textAlignment w:val="center"/>
              <w:rPr>
                <w:rFonts w:ascii="宋体" w:hAnsi="宋体" w:eastAsia="宋体" w:cs="宋体"/>
                <w:color w:val="000000"/>
                <w:kern w:val="0"/>
                <w:sz w:val="21"/>
                <w:szCs w:val="21"/>
                <w:lang w:bidi="ar"/>
              </w:rPr>
            </w:pPr>
          </w:p>
        </w:tc>
      </w:tr>
      <w:tr w14:paraId="32AAAC34">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1826C">
            <w:pPr>
              <w:widowControl/>
              <w:spacing w:line="240" w:lineRule="exact"/>
              <w:jc w:val="center"/>
              <w:rPr>
                <w:rFonts w:ascii="宋体" w:hAnsi="宋体" w:eastAsia="宋体" w:cs="宋体"/>
                <w:b/>
                <w:color w:val="000000"/>
                <w:sz w:val="21"/>
                <w:szCs w:val="21"/>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3AD1DF23">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资产管理</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（9分）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1838BED">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人均资产变化率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1AEAA6A">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1D12E7DE">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F44A324">
            <w:pPr>
              <w:jc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C004071">
            <w:pPr>
              <w:widowControl/>
              <w:spacing w:line="240" w:lineRule="exact"/>
              <w:jc w:val="left"/>
              <w:textAlignment w:val="center"/>
              <w:rPr>
                <w:rFonts w:ascii="宋体" w:hAnsi="宋体" w:eastAsia="宋体" w:cs="宋体"/>
                <w:color w:val="000000"/>
                <w:kern w:val="0"/>
                <w:sz w:val="21"/>
                <w:szCs w:val="21"/>
                <w:lang w:bidi="ar"/>
              </w:rPr>
            </w:pPr>
          </w:p>
        </w:tc>
      </w:tr>
      <w:tr w14:paraId="1389A6D3">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F55AF">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0D118">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D28AE27">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资产利用率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8461FD5">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D3AB878">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E16FA6C">
            <w:pPr>
              <w:jc w:val="center"/>
              <w:rPr>
                <w:rFonts w:hint="eastAsia" w:ascii="宋体" w:hAnsi="宋体" w:eastAsia="宋体" w:cs="宋体"/>
                <w:color w:val="000000"/>
                <w:kern w:val="0"/>
                <w:sz w:val="21"/>
                <w:szCs w:val="21"/>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18C9B32">
            <w:pPr>
              <w:widowControl/>
              <w:spacing w:line="240" w:lineRule="exact"/>
              <w:jc w:val="left"/>
              <w:textAlignment w:val="center"/>
              <w:rPr>
                <w:rFonts w:ascii="宋体" w:hAnsi="宋体" w:eastAsia="宋体" w:cs="宋体"/>
                <w:color w:val="000000"/>
                <w:kern w:val="0"/>
                <w:sz w:val="21"/>
                <w:szCs w:val="21"/>
                <w:lang w:bidi="ar"/>
              </w:rPr>
            </w:pPr>
          </w:p>
        </w:tc>
      </w:tr>
      <w:tr w14:paraId="7AF1F27E">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14:paraId="1154EAFD">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总体绩效</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（65分）</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6DE4CC15">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资产管理</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（9分）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ACF3CDD">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资产盘活率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53E062E">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0978CD59">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210EB63">
            <w:pPr>
              <w:jc w:val="center"/>
              <w:rPr>
                <w:rFonts w:hint="eastAsia" w:ascii="宋体" w:hAnsi="宋体" w:eastAsia="宋体" w:cs="宋体"/>
                <w:color w:val="000000"/>
                <w:kern w:val="0"/>
                <w:sz w:val="21"/>
                <w:szCs w:val="21"/>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D0D2146">
            <w:pPr>
              <w:widowControl/>
              <w:spacing w:line="240" w:lineRule="exact"/>
              <w:jc w:val="left"/>
              <w:textAlignment w:val="center"/>
              <w:rPr>
                <w:rFonts w:ascii="宋体" w:hAnsi="宋体" w:eastAsia="宋体" w:cs="宋体"/>
                <w:color w:val="000000"/>
                <w:kern w:val="0"/>
                <w:sz w:val="21"/>
                <w:szCs w:val="21"/>
                <w:lang w:bidi="ar"/>
              </w:rPr>
            </w:pPr>
          </w:p>
        </w:tc>
      </w:tr>
      <w:tr w14:paraId="76636FD6">
        <w:tblPrEx>
          <w:tblCellMar>
            <w:top w:w="0" w:type="dxa"/>
            <w:left w:w="108" w:type="dxa"/>
            <w:bottom w:w="0" w:type="dxa"/>
            <w:right w:w="108" w:type="dxa"/>
          </w:tblCellMar>
        </w:tblPrEx>
        <w:trPr>
          <w:trHeight w:val="62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0052ED">
            <w:pPr>
              <w:widowControl/>
              <w:spacing w:line="240" w:lineRule="exact"/>
              <w:jc w:val="center"/>
              <w:rPr>
                <w:rFonts w:ascii="宋体" w:hAnsi="宋体" w:eastAsia="宋体" w:cs="宋体"/>
                <w:b/>
                <w:color w:val="000000"/>
                <w:sz w:val="21"/>
                <w:szCs w:val="21"/>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52B0EFFA">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采购管理</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（6分）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FC13810">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8C0FACF">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1ADC4863">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36B7A39">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9131A78">
            <w:pPr>
              <w:widowControl/>
              <w:spacing w:line="240" w:lineRule="exact"/>
              <w:jc w:val="left"/>
              <w:textAlignment w:val="center"/>
              <w:rPr>
                <w:rFonts w:ascii="宋体" w:hAnsi="宋体" w:eastAsia="宋体" w:cs="宋体"/>
                <w:color w:val="000000"/>
                <w:kern w:val="0"/>
                <w:sz w:val="21"/>
                <w:szCs w:val="21"/>
                <w:lang w:bidi="ar"/>
              </w:rPr>
            </w:pPr>
          </w:p>
        </w:tc>
      </w:tr>
      <w:tr w14:paraId="1D0B4CA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3EC553">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F1E9B">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41C74218">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采购执行率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7DAF046">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5627ECA0">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A4479AD">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005A7F1">
            <w:pPr>
              <w:widowControl/>
              <w:spacing w:line="240" w:lineRule="exact"/>
              <w:jc w:val="left"/>
              <w:textAlignment w:val="center"/>
              <w:rPr>
                <w:rFonts w:ascii="宋体" w:hAnsi="宋体" w:eastAsia="宋体" w:cs="宋体"/>
                <w:color w:val="000000"/>
                <w:kern w:val="0"/>
                <w:sz w:val="21"/>
                <w:szCs w:val="21"/>
                <w:lang w:bidi="ar"/>
              </w:rPr>
            </w:pPr>
          </w:p>
        </w:tc>
      </w:tr>
      <w:tr w14:paraId="03C1B129">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14:paraId="7ED74F1E">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项目绩效</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（35分）</w:t>
            </w:r>
          </w:p>
        </w:tc>
        <w:tc>
          <w:tcPr>
            <w:tcW w:w="1462" w:type="dxa"/>
            <w:vMerge w:val="restart"/>
            <w:tcBorders>
              <w:top w:val="single" w:color="000000" w:sz="4" w:space="0"/>
              <w:left w:val="single" w:color="000000" w:sz="4" w:space="0"/>
              <w:bottom w:val="nil"/>
              <w:right w:val="single" w:color="000000" w:sz="4" w:space="0"/>
            </w:tcBorders>
            <w:noWrap w:val="0"/>
            <w:vAlign w:val="center"/>
          </w:tcPr>
          <w:p w14:paraId="5DEB7E77">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项目决策</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（12分）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46635DF5">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决策程序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DB8A470">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7AFAE38">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1C2EB08">
            <w:pPr>
              <w:jc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8EA6032">
            <w:pPr>
              <w:widowControl/>
              <w:spacing w:line="240" w:lineRule="exact"/>
              <w:jc w:val="left"/>
              <w:textAlignment w:val="center"/>
              <w:rPr>
                <w:rFonts w:ascii="宋体" w:hAnsi="宋体" w:eastAsia="宋体" w:cs="宋体"/>
                <w:color w:val="000000"/>
                <w:kern w:val="0"/>
                <w:sz w:val="21"/>
                <w:szCs w:val="21"/>
                <w:lang w:bidi="ar"/>
              </w:rPr>
            </w:pPr>
          </w:p>
        </w:tc>
      </w:tr>
      <w:tr w14:paraId="4CF7CD56">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ECFF1">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nil"/>
              <w:right w:val="single" w:color="000000" w:sz="4" w:space="0"/>
            </w:tcBorders>
            <w:noWrap w:val="0"/>
            <w:vAlign w:val="center"/>
          </w:tcPr>
          <w:p w14:paraId="3653AF04">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78EF853">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目标设置</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53AF98A">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55EA057C">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512E4AF">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E977E5D">
            <w:pPr>
              <w:widowControl/>
              <w:spacing w:line="240" w:lineRule="exact"/>
              <w:jc w:val="left"/>
              <w:textAlignment w:val="center"/>
              <w:rPr>
                <w:rFonts w:ascii="宋体" w:hAnsi="宋体" w:eastAsia="宋体" w:cs="宋体"/>
                <w:color w:val="000000"/>
                <w:kern w:val="0"/>
                <w:sz w:val="21"/>
                <w:szCs w:val="21"/>
                <w:lang w:bidi="ar"/>
              </w:rPr>
            </w:pPr>
          </w:p>
        </w:tc>
      </w:tr>
      <w:tr w14:paraId="2F218721">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07F58">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nil"/>
              <w:right w:val="single" w:color="000000" w:sz="4" w:space="0"/>
            </w:tcBorders>
            <w:noWrap w:val="0"/>
            <w:vAlign w:val="center"/>
          </w:tcPr>
          <w:p w14:paraId="609393E3">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54F22A58">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项目入库</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D8D2878">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D9BFD1C">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DB46832">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0631C58">
            <w:pPr>
              <w:widowControl/>
              <w:spacing w:line="240" w:lineRule="exact"/>
              <w:jc w:val="left"/>
              <w:textAlignment w:val="center"/>
              <w:rPr>
                <w:rFonts w:ascii="宋体" w:hAnsi="宋体" w:eastAsia="宋体" w:cs="宋体"/>
                <w:color w:val="000000"/>
                <w:kern w:val="0"/>
                <w:sz w:val="21"/>
                <w:szCs w:val="21"/>
                <w:lang w:bidi="ar"/>
              </w:rPr>
            </w:pPr>
          </w:p>
        </w:tc>
      </w:tr>
      <w:tr w14:paraId="7DA358BA">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638C8">
            <w:pPr>
              <w:widowControl/>
              <w:spacing w:line="240" w:lineRule="exact"/>
              <w:jc w:val="center"/>
              <w:rPr>
                <w:rFonts w:ascii="宋体" w:hAnsi="宋体" w:eastAsia="宋体" w:cs="宋体"/>
                <w:b/>
                <w:color w:val="000000"/>
                <w:sz w:val="21"/>
                <w:szCs w:val="21"/>
              </w:rPr>
            </w:pPr>
          </w:p>
        </w:tc>
        <w:tc>
          <w:tcPr>
            <w:tcW w:w="1462" w:type="dxa"/>
            <w:vMerge w:val="restart"/>
            <w:tcBorders>
              <w:top w:val="single" w:color="000000" w:sz="4" w:space="0"/>
              <w:left w:val="single" w:color="000000" w:sz="4" w:space="0"/>
              <w:bottom w:val="nil"/>
              <w:right w:val="single" w:color="000000" w:sz="4" w:space="0"/>
            </w:tcBorders>
            <w:noWrap w:val="0"/>
            <w:vAlign w:val="center"/>
          </w:tcPr>
          <w:p w14:paraId="478FF664">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项目执行</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（12分）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28F3BD2">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执行同向</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071C261">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2D1D00E4">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06DBD7F">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798AD0C">
            <w:pPr>
              <w:widowControl/>
              <w:spacing w:line="240" w:lineRule="exact"/>
              <w:jc w:val="left"/>
              <w:textAlignment w:val="center"/>
              <w:rPr>
                <w:rFonts w:ascii="宋体" w:hAnsi="宋体" w:eastAsia="宋体" w:cs="宋体"/>
                <w:color w:val="000000"/>
                <w:kern w:val="0"/>
                <w:sz w:val="21"/>
                <w:szCs w:val="21"/>
                <w:lang w:bidi="ar"/>
              </w:rPr>
            </w:pPr>
          </w:p>
        </w:tc>
      </w:tr>
      <w:tr w14:paraId="4B2B4642">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46A3E">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nil"/>
              <w:right w:val="single" w:color="000000" w:sz="4" w:space="0"/>
            </w:tcBorders>
            <w:noWrap w:val="0"/>
            <w:vAlign w:val="center"/>
          </w:tcPr>
          <w:p w14:paraId="0A469A9D">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nil"/>
              <w:right w:val="single" w:color="000000" w:sz="4" w:space="0"/>
            </w:tcBorders>
            <w:noWrap w:val="0"/>
            <w:vAlign w:val="center"/>
          </w:tcPr>
          <w:p w14:paraId="41B5830C">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项目调整</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82E08C8">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92DFBDC">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840D806">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54F29B2">
            <w:pPr>
              <w:widowControl/>
              <w:spacing w:line="240" w:lineRule="exact"/>
              <w:jc w:val="left"/>
              <w:textAlignment w:val="center"/>
              <w:rPr>
                <w:rFonts w:ascii="宋体" w:hAnsi="宋体" w:eastAsia="宋体" w:cs="宋体"/>
                <w:color w:val="000000"/>
                <w:kern w:val="0"/>
                <w:sz w:val="21"/>
                <w:szCs w:val="21"/>
                <w:lang w:bidi="ar"/>
              </w:rPr>
            </w:pPr>
          </w:p>
        </w:tc>
      </w:tr>
      <w:tr w14:paraId="7481FA43">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88CBF7">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nil"/>
              <w:right w:val="single" w:color="000000" w:sz="4" w:space="0"/>
            </w:tcBorders>
            <w:noWrap w:val="0"/>
            <w:vAlign w:val="center"/>
          </w:tcPr>
          <w:p w14:paraId="20B37132">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45D729E8">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执行结果</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AD7F13A">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DAB26DE">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394C889">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84E83B0">
            <w:pPr>
              <w:widowControl/>
              <w:spacing w:line="240" w:lineRule="exact"/>
              <w:jc w:val="left"/>
              <w:textAlignment w:val="center"/>
              <w:rPr>
                <w:rFonts w:ascii="宋体" w:hAnsi="宋体" w:eastAsia="宋体" w:cs="宋体"/>
                <w:color w:val="000000"/>
                <w:kern w:val="0"/>
                <w:sz w:val="21"/>
                <w:szCs w:val="21"/>
                <w:lang w:bidi="ar"/>
              </w:rPr>
            </w:pPr>
          </w:p>
        </w:tc>
      </w:tr>
      <w:tr w14:paraId="68B6EF2C">
        <w:tblPrEx>
          <w:tblCellMar>
            <w:top w:w="0" w:type="dxa"/>
            <w:left w:w="108" w:type="dxa"/>
            <w:bottom w:w="0" w:type="dxa"/>
            <w:right w:w="108" w:type="dxa"/>
          </w:tblCellMar>
        </w:tblPrEx>
        <w:trPr>
          <w:trHeight w:val="279"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E79346">
            <w:pPr>
              <w:widowControl/>
              <w:spacing w:line="240" w:lineRule="exact"/>
              <w:jc w:val="center"/>
              <w:rPr>
                <w:rFonts w:ascii="宋体" w:hAnsi="宋体" w:eastAsia="宋体" w:cs="宋体"/>
                <w:b/>
                <w:color w:val="000000"/>
                <w:sz w:val="21"/>
                <w:szCs w:val="21"/>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5AFBE194">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目标实现</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（11分）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01DDFE29">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目标完成</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CB0B03">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082172E5">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B8F66AE">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FAD66E1">
            <w:pPr>
              <w:widowControl/>
              <w:spacing w:line="240" w:lineRule="exact"/>
              <w:jc w:val="left"/>
              <w:textAlignment w:val="center"/>
              <w:rPr>
                <w:rFonts w:ascii="宋体" w:hAnsi="宋体" w:eastAsia="宋体" w:cs="宋体"/>
                <w:color w:val="000000"/>
                <w:kern w:val="0"/>
                <w:sz w:val="21"/>
                <w:szCs w:val="21"/>
                <w:lang w:bidi="ar"/>
              </w:rPr>
            </w:pPr>
          </w:p>
        </w:tc>
      </w:tr>
      <w:tr w14:paraId="45D80728">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BC8C7">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59C3F">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97CABB7">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目标偏离</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2F4968C">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1BFE8207">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A3F71AC">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A16CAC4">
            <w:pPr>
              <w:widowControl/>
              <w:spacing w:line="240" w:lineRule="exact"/>
              <w:jc w:val="left"/>
              <w:textAlignment w:val="center"/>
              <w:rPr>
                <w:rFonts w:ascii="宋体" w:hAnsi="宋体" w:eastAsia="宋体" w:cs="宋体"/>
                <w:color w:val="000000"/>
                <w:kern w:val="0"/>
                <w:sz w:val="21"/>
                <w:szCs w:val="21"/>
                <w:lang w:bidi="ar"/>
              </w:rPr>
            </w:pPr>
          </w:p>
        </w:tc>
      </w:tr>
      <w:tr w14:paraId="77F10795">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E1BF7">
            <w:pPr>
              <w:widowControl/>
              <w:spacing w:line="240" w:lineRule="exact"/>
              <w:jc w:val="center"/>
              <w:rPr>
                <w:rFonts w:ascii="宋体" w:hAnsi="宋体" w:eastAsia="宋体" w:cs="宋体"/>
                <w:b/>
                <w:color w:val="000000"/>
                <w:sz w:val="21"/>
                <w:szCs w:val="21"/>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0CB23">
            <w:pPr>
              <w:widowControl/>
              <w:spacing w:line="240" w:lineRule="exact"/>
              <w:jc w:val="center"/>
              <w:rPr>
                <w:rFonts w:ascii="宋体" w:hAnsi="宋体" w:eastAsia="宋体" w:cs="宋体"/>
                <w:b/>
                <w:color w:val="000000"/>
                <w:sz w:val="21"/>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51B33646">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实现效果</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454986D">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2C716EF">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C4A0649">
            <w:pPr>
              <w:jc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169BBE8">
            <w:pPr>
              <w:widowControl/>
              <w:spacing w:line="240" w:lineRule="exact"/>
              <w:jc w:val="left"/>
              <w:textAlignment w:val="center"/>
              <w:rPr>
                <w:rFonts w:ascii="宋体" w:hAnsi="宋体" w:eastAsia="宋体" w:cs="宋体"/>
                <w:color w:val="000000"/>
                <w:kern w:val="0"/>
                <w:sz w:val="21"/>
                <w:szCs w:val="21"/>
                <w:lang w:bidi="ar"/>
              </w:rPr>
            </w:pPr>
          </w:p>
        </w:tc>
      </w:tr>
      <w:tr w14:paraId="5232418F">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noWrap w:val="0"/>
            <w:vAlign w:val="center"/>
          </w:tcPr>
          <w:p w14:paraId="45BECC77">
            <w:pPr>
              <w:widowControl/>
              <w:spacing w:line="240" w:lineRule="exact"/>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扣分项</w:t>
            </w:r>
            <w:r>
              <w:rPr>
                <w:rFonts w:hint="eastAsia" w:ascii="宋体" w:hAnsi="宋体" w:eastAsia="宋体" w:cs="宋体"/>
                <w:b/>
                <w:color w:val="000000"/>
                <w:kern w:val="0"/>
                <w:sz w:val="21"/>
                <w:szCs w:val="21"/>
                <w:lang w:bidi="ar"/>
              </w:rPr>
              <w:br w:type="textWrapping"/>
            </w:r>
            <w:r>
              <w:rPr>
                <w:rFonts w:hint="eastAsia" w:ascii="宋体" w:hAnsi="宋体" w:eastAsia="宋体" w:cs="宋体"/>
                <w:b/>
                <w:color w:val="000000"/>
                <w:kern w:val="0"/>
                <w:sz w:val="21"/>
                <w:szCs w:val="21"/>
                <w:lang w:bidi="ar"/>
              </w:rPr>
              <w:t>（10分）</w:t>
            </w:r>
          </w:p>
        </w:tc>
        <w:tc>
          <w:tcPr>
            <w:tcW w:w="3127" w:type="dxa"/>
            <w:gridSpan w:val="2"/>
            <w:tcBorders>
              <w:top w:val="single" w:color="000000" w:sz="4" w:space="0"/>
              <w:left w:val="single" w:color="000000" w:sz="4" w:space="0"/>
              <w:bottom w:val="single" w:color="000000" w:sz="4" w:space="0"/>
              <w:right w:val="single" w:color="000000" w:sz="4" w:space="0"/>
            </w:tcBorders>
            <w:noWrap w:val="0"/>
            <w:vAlign w:val="center"/>
          </w:tcPr>
          <w:p w14:paraId="37EB074F">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377BD18">
            <w:pPr>
              <w:widowControl/>
              <w:spacing w:line="24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3739A04">
            <w:pPr>
              <w:widowControl/>
              <w:spacing w:line="240" w:lineRule="exact"/>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8BC97DF">
            <w:pPr>
              <w:jc w:val="center"/>
              <w:rPr>
                <w:rFonts w:ascii="宋体" w:hAnsi="宋体" w:eastAsia="宋体" w:cs="宋体"/>
                <w:color w:val="000000"/>
                <w:kern w:val="0"/>
                <w:sz w:val="21"/>
                <w:szCs w:val="21"/>
                <w:lang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92215CA">
            <w:pPr>
              <w:widowControl/>
              <w:spacing w:line="240" w:lineRule="exact"/>
              <w:jc w:val="left"/>
              <w:textAlignment w:val="center"/>
              <w:rPr>
                <w:rFonts w:ascii="宋体" w:hAnsi="宋体" w:eastAsia="宋体" w:cs="宋体"/>
                <w:color w:val="000000"/>
                <w:kern w:val="0"/>
                <w:sz w:val="21"/>
                <w:szCs w:val="21"/>
                <w:lang w:bidi="ar"/>
              </w:rPr>
            </w:pPr>
          </w:p>
        </w:tc>
      </w:tr>
      <w:tr w14:paraId="54E3F62D">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noWrap w:val="0"/>
            <w:vAlign w:val="center"/>
          </w:tcPr>
          <w:p w14:paraId="6735E9DE">
            <w:pPr>
              <w:widowControl/>
              <w:tabs>
                <w:tab w:val="left" w:pos="575"/>
              </w:tabs>
              <w:spacing w:line="240" w:lineRule="exact"/>
              <w:jc w:val="center"/>
              <w:textAlignment w:val="center"/>
              <w:rPr>
                <w:rFonts w:hint="eastAsia" w:ascii="宋体" w:hAnsi="宋体" w:eastAsia="宋体" w:cs="宋体"/>
                <w:b/>
                <w:color w:val="000000"/>
                <w:kern w:val="0"/>
                <w:sz w:val="21"/>
                <w:szCs w:val="21"/>
                <w:lang w:eastAsia="zh-CN" w:bidi="ar"/>
              </w:rPr>
            </w:pPr>
            <w:r>
              <w:rPr>
                <w:rFonts w:hint="eastAsia" w:ascii="宋体" w:hAnsi="宋体" w:eastAsia="宋体" w:cs="宋体"/>
                <w:b/>
                <w:color w:val="000000"/>
                <w:kern w:val="0"/>
                <w:sz w:val="21"/>
                <w:szCs w:val="21"/>
                <w:lang w:eastAsia="zh-CN" w:bidi="ar"/>
              </w:rPr>
              <w:t>总分</w:t>
            </w:r>
          </w:p>
        </w:tc>
        <w:tc>
          <w:tcPr>
            <w:tcW w:w="3127" w:type="dxa"/>
            <w:gridSpan w:val="2"/>
            <w:tcBorders>
              <w:top w:val="single" w:color="000000" w:sz="4" w:space="0"/>
              <w:left w:val="single" w:color="000000" w:sz="4" w:space="0"/>
              <w:bottom w:val="single" w:color="000000" w:sz="4" w:space="0"/>
              <w:right w:val="single" w:color="000000" w:sz="4" w:space="0"/>
            </w:tcBorders>
            <w:noWrap w:val="0"/>
            <w:vAlign w:val="center"/>
          </w:tcPr>
          <w:p w14:paraId="01D54ED7">
            <w:pPr>
              <w:widowControl/>
              <w:spacing w:line="240" w:lineRule="exact"/>
              <w:jc w:val="center"/>
              <w:textAlignment w:val="center"/>
              <w:rPr>
                <w:rFonts w:hint="eastAsia" w:ascii="宋体" w:hAnsi="宋体" w:eastAsia="宋体" w:cs="宋体"/>
                <w:color w:val="000000"/>
                <w:kern w:val="0"/>
                <w:sz w:val="21"/>
                <w:szCs w:val="21"/>
                <w:lang w:bidi="ar"/>
              </w:rPr>
            </w:pP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693E443">
            <w:pPr>
              <w:widowControl/>
              <w:spacing w:line="240" w:lineRule="exact"/>
              <w:jc w:val="center"/>
              <w:textAlignment w:val="center"/>
              <w:rPr>
                <w:rFonts w:hint="eastAsia" w:ascii="宋体" w:hAnsi="宋体" w:eastAsia="宋体" w:cs="宋体"/>
                <w:color w:val="000000"/>
                <w:kern w:val="0"/>
                <w:sz w:val="21"/>
                <w:szCs w:val="21"/>
                <w:lang w:bidi="ar"/>
              </w:rPr>
            </w:pP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3F1125B">
            <w:pPr>
              <w:widowControl/>
              <w:spacing w:line="240" w:lineRule="exact"/>
              <w:jc w:val="left"/>
              <w:textAlignment w:val="center"/>
              <w:rPr>
                <w:rFonts w:hint="eastAsia" w:ascii="宋体" w:hAnsi="宋体" w:eastAsia="宋体" w:cs="宋体"/>
                <w:color w:val="000000"/>
                <w:kern w:val="0"/>
                <w:sz w:val="21"/>
                <w:szCs w:val="21"/>
                <w:lang w:bidi="ar"/>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96BB56B">
            <w:pPr>
              <w:widowControl/>
              <w:spacing w:line="240" w:lineRule="exact"/>
              <w:ind w:firstLine="210" w:firstLineChars="10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1B7D644">
            <w:pPr>
              <w:widowControl/>
              <w:spacing w:line="240" w:lineRule="exact"/>
              <w:jc w:val="left"/>
              <w:textAlignment w:val="center"/>
              <w:rPr>
                <w:rFonts w:ascii="宋体" w:hAnsi="宋体" w:eastAsia="宋体" w:cs="宋体"/>
                <w:color w:val="000000"/>
                <w:kern w:val="0"/>
                <w:sz w:val="21"/>
                <w:szCs w:val="21"/>
                <w:lang w:bidi="ar"/>
              </w:rPr>
            </w:pPr>
          </w:p>
        </w:tc>
      </w:tr>
    </w:tbl>
    <w:p w14:paraId="59B49BD9">
      <w:pPr>
        <w:rPr>
          <w:rFonts w:eastAsia="黑体"/>
        </w:rPr>
      </w:pPr>
      <w:r>
        <w:rPr>
          <w:rFonts w:eastAsia="黑体"/>
        </w:rPr>
        <w:t>附表</w:t>
      </w:r>
      <w:r>
        <w:rPr>
          <w:rFonts w:hint="eastAsia" w:eastAsia="黑体"/>
        </w:rPr>
        <w:t>2</w:t>
      </w:r>
    </w:p>
    <w:tbl>
      <w:tblPr>
        <w:tblStyle w:val="17"/>
        <w:tblW w:w="14103" w:type="dxa"/>
        <w:jc w:val="center"/>
        <w:tblLayout w:type="fixed"/>
        <w:tblCellMar>
          <w:top w:w="15" w:type="dxa"/>
          <w:left w:w="15" w:type="dxa"/>
          <w:bottom w:w="15" w:type="dxa"/>
          <w:right w:w="15" w:type="dxa"/>
        </w:tblCellMar>
      </w:tblPr>
      <w:tblGrid>
        <w:gridCol w:w="1308"/>
        <w:gridCol w:w="1347"/>
        <w:gridCol w:w="1273"/>
        <w:gridCol w:w="1100"/>
        <w:gridCol w:w="1145"/>
        <w:gridCol w:w="1289"/>
        <w:gridCol w:w="1058"/>
        <w:gridCol w:w="926"/>
        <w:gridCol w:w="1114"/>
      </w:tblGrid>
      <w:tr w14:paraId="1BB2FAED">
        <w:tblPrEx>
          <w:tblCellMar>
            <w:top w:w="15" w:type="dxa"/>
            <w:left w:w="15" w:type="dxa"/>
            <w:bottom w:w="15" w:type="dxa"/>
            <w:right w:w="15" w:type="dxa"/>
          </w:tblCellMar>
        </w:tblPrEx>
        <w:trPr>
          <w:trHeight w:val="762" w:hRule="exact"/>
          <w:jc w:val="center"/>
        </w:trPr>
        <w:tc>
          <w:tcPr>
            <w:tcW w:w="10560" w:type="dxa"/>
            <w:gridSpan w:val="9"/>
            <w:noWrap w:val="0"/>
            <w:vAlign w:val="center"/>
          </w:tcPr>
          <w:p w14:paraId="5F9B4305">
            <w:pPr>
              <w:widowControl/>
              <w:spacing w:line="600" w:lineRule="exact"/>
              <w:jc w:val="center"/>
              <w:textAlignment w:val="center"/>
              <w:rPr>
                <w:rFonts w:eastAsia="黑体"/>
                <w:color w:val="000000"/>
                <w:sz w:val="21"/>
                <w:szCs w:val="21"/>
              </w:rPr>
            </w:pPr>
            <w:r>
              <w:rPr>
                <w:rFonts w:eastAsia="方正小标宋简体"/>
                <w:color w:val="000000"/>
                <w:kern w:val="0"/>
                <w:sz w:val="32"/>
                <w:szCs w:val="32"/>
                <w:lang w:bidi="ar"/>
              </w:rPr>
              <w:t>部门整体绩效目标完成情况自评表</w:t>
            </w:r>
          </w:p>
        </w:tc>
      </w:tr>
      <w:tr w14:paraId="1FD3783D">
        <w:tblPrEx>
          <w:tblCellMar>
            <w:top w:w="15" w:type="dxa"/>
            <w:left w:w="15" w:type="dxa"/>
            <w:bottom w:w="15" w:type="dxa"/>
            <w:right w:w="15" w:type="dxa"/>
          </w:tblCellMar>
        </w:tblPrEx>
        <w:trPr>
          <w:trHeight w:val="23" w:hRule="atLeast"/>
          <w:jc w:val="center"/>
        </w:trPr>
        <w:tc>
          <w:tcPr>
            <w:tcW w:w="10560" w:type="dxa"/>
            <w:gridSpan w:val="9"/>
            <w:noWrap w:val="0"/>
            <w:vAlign w:val="center"/>
          </w:tcPr>
          <w:p w14:paraId="0717D8FB">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（202</w:t>
            </w:r>
            <w:r>
              <w:rPr>
                <w:rFonts w:hint="eastAsia" w:eastAsia="宋体"/>
                <w:color w:val="000000"/>
                <w:kern w:val="0"/>
                <w:sz w:val="21"/>
                <w:szCs w:val="21"/>
                <w:lang w:val="en-US" w:eastAsia="zh-CN" w:bidi="ar"/>
              </w:rPr>
              <w:t>5</w:t>
            </w:r>
            <w:r>
              <w:rPr>
                <w:rFonts w:eastAsia="宋体"/>
                <w:color w:val="000000"/>
                <w:kern w:val="0"/>
                <w:sz w:val="21"/>
                <w:szCs w:val="21"/>
                <w:lang w:bidi="ar"/>
              </w:rPr>
              <w:t>年度）</w:t>
            </w:r>
          </w:p>
        </w:tc>
      </w:tr>
      <w:tr w14:paraId="0DB513FF">
        <w:tblPrEx>
          <w:tblCellMar>
            <w:top w:w="15" w:type="dxa"/>
            <w:left w:w="15" w:type="dxa"/>
            <w:bottom w:w="15" w:type="dxa"/>
            <w:right w:w="15" w:type="dxa"/>
          </w:tblCellMar>
        </w:tblPrEx>
        <w:trPr>
          <w:trHeight w:val="23" w:hRule="atLeast"/>
          <w:jc w:val="center"/>
        </w:trPr>
        <w:tc>
          <w:tcPr>
            <w:tcW w:w="10560" w:type="dxa"/>
            <w:gridSpan w:val="9"/>
            <w:tcBorders>
              <w:bottom w:val="single" w:color="000000" w:sz="4" w:space="0"/>
            </w:tcBorders>
            <w:noWrap w:val="0"/>
            <w:vAlign w:val="center"/>
          </w:tcPr>
          <w:p w14:paraId="7955C017">
            <w:pPr>
              <w:widowControl/>
              <w:spacing w:line="300" w:lineRule="exact"/>
              <w:jc w:val="right"/>
              <w:textAlignment w:val="center"/>
              <w:rPr>
                <w:rFonts w:eastAsia="宋体"/>
                <w:color w:val="000000"/>
                <w:sz w:val="21"/>
                <w:szCs w:val="21"/>
              </w:rPr>
            </w:pPr>
            <w:r>
              <w:rPr>
                <w:rFonts w:eastAsia="宋体"/>
                <w:color w:val="000000"/>
                <w:kern w:val="0"/>
                <w:sz w:val="21"/>
                <w:szCs w:val="21"/>
                <w:lang w:bidi="ar"/>
              </w:rPr>
              <w:t>单位：万元</w:t>
            </w:r>
          </w:p>
        </w:tc>
      </w:tr>
      <w:tr w14:paraId="791FC215">
        <w:tblPrEx>
          <w:tblCellMar>
            <w:top w:w="15" w:type="dxa"/>
            <w:left w:w="15" w:type="dxa"/>
            <w:bottom w:w="15" w:type="dxa"/>
            <w:right w:w="15" w:type="dxa"/>
          </w:tblCellMar>
        </w:tblPrEx>
        <w:trPr>
          <w:trHeight w:val="23" w:hRule="atLeast"/>
          <w:jc w:val="center"/>
        </w:trPr>
        <w:tc>
          <w:tcPr>
            <w:tcW w:w="3928" w:type="dxa"/>
            <w:gridSpan w:val="3"/>
            <w:tcBorders>
              <w:top w:val="single" w:color="000000" w:sz="4" w:space="0"/>
              <w:left w:val="single" w:color="000000" w:sz="4" w:space="0"/>
              <w:bottom w:val="single" w:color="000000" w:sz="4" w:space="0"/>
              <w:right w:val="single" w:color="000000" w:sz="4" w:space="0"/>
            </w:tcBorders>
            <w:noWrap w:val="0"/>
            <w:vAlign w:val="center"/>
          </w:tcPr>
          <w:p w14:paraId="21934449">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部门名称</w:t>
            </w:r>
          </w:p>
        </w:tc>
        <w:tc>
          <w:tcPr>
            <w:tcW w:w="6632" w:type="dxa"/>
            <w:gridSpan w:val="6"/>
            <w:tcBorders>
              <w:top w:val="single" w:color="000000" w:sz="4" w:space="0"/>
              <w:left w:val="single" w:color="000000" w:sz="4" w:space="0"/>
              <w:bottom w:val="single" w:color="000000" w:sz="4" w:space="0"/>
              <w:right w:val="single" w:color="000000" w:sz="4" w:space="0"/>
            </w:tcBorders>
            <w:noWrap w:val="0"/>
            <w:vAlign w:val="center"/>
          </w:tcPr>
          <w:p w14:paraId="6C3ACE21">
            <w:pPr>
              <w:widowControl/>
              <w:spacing w:line="300" w:lineRule="exact"/>
              <w:jc w:val="center"/>
              <w:textAlignment w:val="center"/>
              <w:rPr>
                <w:rFonts w:eastAsia="宋体"/>
                <w:color w:val="000000"/>
                <w:sz w:val="21"/>
                <w:szCs w:val="21"/>
              </w:rPr>
            </w:pPr>
            <w:r>
              <w:rPr>
                <w:rFonts w:hint="eastAsia" w:eastAsia="宋体"/>
                <w:color w:val="000000"/>
                <w:kern w:val="0"/>
                <w:sz w:val="21"/>
                <w:szCs w:val="21"/>
                <w:lang w:eastAsia="zh-CN" w:bidi="ar"/>
              </w:rPr>
              <w:t>茂县沟口镇人民政府</w:t>
            </w:r>
          </w:p>
        </w:tc>
      </w:tr>
      <w:tr w14:paraId="7CBA6648">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noWrap w:val="0"/>
            <w:vAlign w:val="center"/>
          </w:tcPr>
          <w:p w14:paraId="49EF8D8E">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noWrap w:val="0"/>
            <w:vAlign w:val="center"/>
          </w:tcPr>
          <w:p w14:paraId="156E115E">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资金总额</w:t>
            </w:r>
          </w:p>
        </w:tc>
        <w:tc>
          <w:tcPr>
            <w:tcW w:w="2245" w:type="dxa"/>
            <w:gridSpan w:val="2"/>
            <w:tcBorders>
              <w:top w:val="single" w:color="000000" w:sz="4" w:space="0"/>
              <w:left w:val="single" w:color="000000" w:sz="4" w:space="0"/>
              <w:bottom w:val="single" w:color="000000" w:sz="4" w:space="0"/>
              <w:right w:val="single" w:color="000000" w:sz="4" w:space="0"/>
            </w:tcBorders>
            <w:noWrap w:val="0"/>
            <w:vAlign w:val="center"/>
          </w:tcPr>
          <w:p w14:paraId="0E46E47F">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财政拨款</w:t>
            </w:r>
          </w:p>
        </w:tc>
        <w:tc>
          <w:tcPr>
            <w:tcW w:w="4387" w:type="dxa"/>
            <w:gridSpan w:val="4"/>
            <w:tcBorders>
              <w:top w:val="single" w:color="000000" w:sz="4" w:space="0"/>
              <w:left w:val="single" w:color="000000" w:sz="4" w:space="0"/>
              <w:bottom w:val="single" w:color="000000" w:sz="4" w:space="0"/>
              <w:right w:val="single" w:color="000000" w:sz="4" w:space="0"/>
            </w:tcBorders>
            <w:noWrap w:val="0"/>
            <w:vAlign w:val="center"/>
          </w:tcPr>
          <w:p w14:paraId="2FE34812">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其他资金</w:t>
            </w:r>
          </w:p>
        </w:tc>
      </w:tr>
      <w:tr w14:paraId="2D2D6BBF">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9229D">
            <w:pPr>
              <w:widowControl/>
              <w:spacing w:line="300" w:lineRule="exact"/>
              <w:jc w:val="center"/>
              <w:rPr>
                <w:rFonts w:eastAsia="宋体"/>
                <w:color w:val="000000"/>
                <w:sz w:val="21"/>
                <w:szCs w:val="21"/>
              </w:rPr>
            </w:pPr>
          </w:p>
        </w:tc>
        <w:tc>
          <w:tcPr>
            <w:tcW w:w="2620" w:type="dxa"/>
            <w:gridSpan w:val="2"/>
            <w:tcBorders>
              <w:top w:val="single" w:color="000000" w:sz="4" w:space="0"/>
              <w:left w:val="single" w:color="000000" w:sz="4" w:space="0"/>
              <w:bottom w:val="single" w:color="000000" w:sz="4" w:space="0"/>
              <w:right w:val="single" w:color="000000" w:sz="4" w:space="0"/>
            </w:tcBorders>
            <w:noWrap w:val="0"/>
            <w:vAlign w:val="center"/>
          </w:tcPr>
          <w:p w14:paraId="3BA7D50C">
            <w:pPr>
              <w:widowControl/>
              <w:spacing w:line="300" w:lineRule="exact"/>
              <w:jc w:val="center"/>
              <w:textAlignment w:val="center"/>
              <w:rPr>
                <w:rFonts w:eastAsia="宋体"/>
                <w:color w:val="000000"/>
                <w:sz w:val="21"/>
                <w:szCs w:val="21"/>
              </w:rPr>
            </w:pPr>
            <w:r>
              <w:rPr>
                <w:rFonts w:hint="eastAsia" w:ascii="仿宋_GB2312" w:hAnsi="仿宋" w:cs="仿宋"/>
                <w:color w:val="000000"/>
                <w:sz w:val="21"/>
                <w:szCs w:val="21"/>
                <w:lang w:val="en-US" w:eastAsia="zh-CN"/>
              </w:rPr>
              <w:t>1704.1</w:t>
            </w:r>
          </w:p>
        </w:tc>
        <w:tc>
          <w:tcPr>
            <w:tcW w:w="2245" w:type="dxa"/>
            <w:gridSpan w:val="2"/>
            <w:tcBorders>
              <w:top w:val="single" w:color="000000" w:sz="4" w:space="0"/>
              <w:left w:val="single" w:color="000000" w:sz="4" w:space="0"/>
              <w:bottom w:val="single" w:color="000000" w:sz="4" w:space="0"/>
              <w:right w:val="single" w:color="000000" w:sz="4" w:space="0"/>
            </w:tcBorders>
            <w:noWrap w:val="0"/>
            <w:vAlign w:val="center"/>
          </w:tcPr>
          <w:p w14:paraId="6A0C5C8A">
            <w:pPr>
              <w:widowControl/>
              <w:spacing w:line="300" w:lineRule="exact"/>
              <w:jc w:val="center"/>
              <w:textAlignment w:val="center"/>
              <w:rPr>
                <w:rFonts w:eastAsia="宋体"/>
                <w:color w:val="000000"/>
                <w:sz w:val="21"/>
                <w:szCs w:val="21"/>
              </w:rPr>
            </w:pPr>
            <w:r>
              <w:rPr>
                <w:rFonts w:hint="eastAsia" w:ascii="仿宋_GB2312" w:hAnsi="仿宋" w:cs="仿宋"/>
                <w:color w:val="000000"/>
                <w:sz w:val="21"/>
                <w:szCs w:val="21"/>
                <w:lang w:val="en-US" w:eastAsia="zh-CN"/>
              </w:rPr>
              <w:t>1704.1</w:t>
            </w:r>
          </w:p>
        </w:tc>
        <w:tc>
          <w:tcPr>
            <w:tcW w:w="4387" w:type="dxa"/>
            <w:gridSpan w:val="4"/>
            <w:tcBorders>
              <w:top w:val="single" w:color="000000" w:sz="4" w:space="0"/>
              <w:left w:val="single" w:color="000000" w:sz="4" w:space="0"/>
              <w:bottom w:val="single" w:color="000000" w:sz="4" w:space="0"/>
              <w:right w:val="single" w:color="000000" w:sz="4" w:space="0"/>
            </w:tcBorders>
            <w:noWrap w:val="0"/>
            <w:vAlign w:val="center"/>
          </w:tcPr>
          <w:p w14:paraId="189D87FE">
            <w:pPr>
              <w:widowControl/>
              <w:spacing w:line="300" w:lineRule="exact"/>
              <w:jc w:val="center"/>
              <w:textAlignment w:val="center"/>
              <w:rPr>
                <w:rFonts w:hint="eastAsia" w:eastAsia="宋体"/>
                <w:color w:val="000000"/>
                <w:sz w:val="21"/>
                <w:szCs w:val="21"/>
                <w:lang w:eastAsia="zh-CN"/>
              </w:rPr>
            </w:pPr>
            <w:r>
              <w:rPr>
                <w:rFonts w:hint="eastAsia" w:eastAsia="宋体"/>
                <w:color w:val="000000"/>
                <w:kern w:val="0"/>
                <w:sz w:val="21"/>
                <w:szCs w:val="21"/>
                <w:lang w:val="en-US" w:eastAsia="zh-CN" w:bidi="ar"/>
              </w:rPr>
              <w:t>0</w:t>
            </w:r>
          </w:p>
        </w:tc>
      </w:tr>
      <w:tr w14:paraId="49EE2CAE">
        <w:tblPrEx>
          <w:tblCellMar>
            <w:top w:w="15" w:type="dxa"/>
            <w:left w:w="15" w:type="dxa"/>
            <w:bottom w:w="15" w:type="dxa"/>
            <w:right w:w="15"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53D19291">
            <w:pPr>
              <w:widowControl/>
              <w:spacing w:line="300" w:lineRule="exact"/>
              <w:jc w:val="center"/>
              <w:textAlignment w:val="center"/>
              <w:rPr>
                <w:rFonts w:eastAsia="宋体"/>
                <w:color w:val="000000"/>
                <w:kern w:val="0"/>
                <w:sz w:val="21"/>
                <w:szCs w:val="21"/>
                <w:lang w:bidi="ar"/>
              </w:rPr>
            </w:pPr>
            <w:r>
              <w:rPr>
                <w:rFonts w:eastAsia="宋体"/>
                <w:color w:val="000000"/>
                <w:kern w:val="0"/>
                <w:sz w:val="21"/>
                <w:szCs w:val="21"/>
                <w:lang w:bidi="ar"/>
              </w:rPr>
              <w:t>年度总体</w:t>
            </w:r>
          </w:p>
          <w:p w14:paraId="6B904217">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目标</w:t>
            </w:r>
          </w:p>
        </w:tc>
        <w:tc>
          <w:tcPr>
            <w:tcW w:w="9252" w:type="dxa"/>
            <w:gridSpan w:val="8"/>
            <w:tcBorders>
              <w:top w:val="single" w:color="000000" w:sz="4" w:space="0"/>
              <w:left w:val="single" w:color="000000" w:sz="4" w:space="0"/>
              <w:bottom w:val="single" w:color="000000" w:sz="4" w:space="0"/>
              <w:right w:val="single" w:color="000000" w:sz="4" w:space="0"/>
            </w:tcBorders>
            <w:noWrap w:val="0"/>
            <w:vAlign w:val="center"/>
          </w:tcPr>
          <w:p w14:paraId="0B212FA3">
            <w:pPr>
              <w:widowControl/>
              <w:spacing w:line="300" w:lineRule="exact"/>
              <w:jc w:val="left"/>
              <w:textAlignment w:val="center"/>
              <w:rPr>
                <w:rFonts w:hint="eastAsia" w:eastAsia="宋体"/>
                <w:color w:val="000000"/>
                <w:kern w:val="0"/>
                <w:sz w:val="21"/>
                <w:szCs w:val="21"/>
                <w:lang w:bidi="ar"/>
              </w:rPr>
            </w:pPr>
            <w:r>
              <w:rPr>
                <w:rFonts w:hint="eastAsia" w:eastAsia="宋体"/>
                <w:color w:val="000000"/>
                <w:kern w:val="0"/>
                <w:sz w:val="21"/>
                <w:szCs w:val="21"/>
                <w:lang w:eastAsia="zh-CN" w:bidi="ar"/>
              </w:rPr>
              <w:t>目</w:t>
            </w:r>
            <w:r>
              <w:rPr>
                <w:rFonts w:hint="eastAsia" w:eastAsia="宋体"/>
                <w:color w:val="000000"/>
                <w:kern w:val="0"/>
                <w:sz w:val="21"/>
                <w:szCs w:val="21"/>
                <w:lang w:bidi="ar"/>
              </w:rPr>
              <w:t>标1：贯彻执行上级的各项方针政策，抓好基层党建及</w:t>
            </w:r>
            <w:r>
              <w:rPr>
                <w:rFonts w:hint="eastAsia" w:eastAsia="宋体"/>
                <w:color w:val="000000"/>
                <w:kern w:val="0"/>
                <w:sz w:val="21"/>
                <w:szCs w:val="21"/>
                <w:lang w:eastAsia="zh-CN" w:bidi="ar"/>
              </w:rPr>
              <w:t>乡村振兴</w:t>
            </w:r>
            <w:r>
              <w:rPr>
                <w:rFonts w:hint="eastAsia" w:eastAsia="宋体"/>
                <w:color w:val="000000"/>
                <w:kern w:val="0"/>
                <w:sz w:val="21"/>
                <w:szCs w:val="21"/>
                <w:lang w:bidi="ar"/>
              </w:rPr>
              <w:t>工作，稳定和完善政府各项决策部署，加强农业基层设施建设，改善农业生产条件，确保各项工作目标任务圆满完成。</w:t>
            </w:r>
          </w:p>
          <w:p w14:paraId="0AC4DC6B">
            <w:pPr>
              <w:widowControl/>
              <w:spacing w:line="300" w:lineRule="exact"/>
              <w:jc w:val="left"/>
              <w:textAlignment w:val="center"/>
              <w:rPr>
                <w:rFonts w:hint="eastAsia" w:eastAsia="宋体"/>
                <w:color w:val="000000"/>
                <w:kern w:val="0"/>
                <w:sz w:val="21"/>
                <w:szCs w:val="21"/>
                <w:lang w:bidi="ar"/>
              </w:rPr>
            </w:pPr>
            <w:r>
              <w:rPr>
                <w:rFonts w:hint="eastAsia" w:eastAsia="宋体"/>
                <w:color w:val="000000"/>
                <w:kern w:val="0"/>
                <w:sz w:val="21"/>
                <w:szCs w:val="21"/>
                <w:lang w:bidi="ar"/>
              </w:rPr>
              <w:t>目标2：抓好</w:t>
            </w:r>
            <w:r>
              <w:rPr>
                <w:rFonts w:hint="eastAsia" w:eastAsia="宋体"/>
                <w:color w:val="000000"/>
                <w:kern w:val="0"/>
                <w:sz w:val="21"/>
                <w:szCs w:val="21"/>
                <w:lang w:eastAsia="zh-CN" w:bidi="ar"/>
              </w:rPr>
              <w:t>沟口</w:t>
            </w:r>
            <w:r>
              <w:rPr>
                <w:rFonts w:hint="eastAsia" w:eastAsia="宋体"/>
                <w:color w:val="000000"/>
                <w:kern w:val="0"/>
                <w:sz w:val="21"/>
                <w:szCs w:val="21"/>
                <w:lang w:bidi="ar"/>
              </w:rPr>
              <w:t>镇农业、经济、第三产业的发展、安全生产、经济可持续发展等工作，加强农村各项奖扶政策落实到位。</w:t>
            </w:r>
          </w:p>
          <w:p w14:paraId="3819322C">
            <w:pPr>
              <w:widowControl/>
              <w:spacing w:line="300" w:lineRule="exact"/>
              <w:jc w:val="left"/>
              <w:textAlignment w:val="center"/>
              <w:rPr>
                <w:rFonts w:hint="eastAsia" w:eastAsia="宋体"/>
                <w:color w:val="000000"/>
                <w:kern w:val="0"/>
                <w:sz w:val="21"/>
                <w:szCs w:val="21"/>
                <w:lang w:bidi="ar"/>
              </w:rPr>
            </w:pPr>
            <w:r>
              <w:rPr>
                <w:rFonts w:hint="eastAsia" w:eastAsia="宋体"/>
                <w:color w:val="000000"/>
                <w:kern w:val="0"/>
                <w:sz w:val="21"/>
                <w:szCs w:val="21"/>
                <w:lang w:bidi="ar"/>
              </w:rPr>
              <w:t>目标3：抓好</w:t>
            </w:r>
            <w:r>
              <w:rPr>
                <w:rFonts w:hint="eastAsia" w:eastAsia="宋体"/>
                <w:color w:val="000000"/>
                <w:kern w:val="0"/>
                <w:sz w:val="21"/>
                <w:szCs w:val="21"/>
                <w:lang w:eastAsia="zh-CN" w:bidi="ar"/>
              </w:rPr>
              <w:t>沟口</w:t>
            </w:r>
            <w:r>
              <w:rPr>
                <w:rFonts w:hint="eastAsia" w:eastAsia="宋体"/>
                <w:color w:val="000000"/>
                <w:kern w:val="0"/>
                <w:sz w:val="21"/>
                <w:szCs w:val="21"/>
                <w:lang w:bidi="ar"/>
              </w:rPr>
              <w:t>镇的行政事业单位和村级财务的管理、集中核算、全面监督，负责农村医疗合作管理、社会养老保险、卫生整治、绿化环保等上级交办的其他各项工作任务。</w:t>
            </w:r>
          </w:p>
          <w:p w14:paraId="0F6B1BA6">
            <w:pPr>
              <w:widowControl/>
              <w:spacing w:line="300" w:lineRule="exact"/>
              <w:jc w:val="left"/>
              <w:textAlignment w:val="center"/>
              <w:rPr>
                <w:rFonts w:eastAsia="宋体"/>
                <w:color w:val="000000"/>
                <w:sz w:val="21"/>
                <w:szCs w:val="21"/>
              </w:rPr>
            </w:pPr>
            <w:r>
              <w:rPr>
                <w:rFonts w:hint="eastAsia" w:eastAsia="宋体"/>
                <w:color w:val="000000"/>
                <w:kern w:val="0"/>
                <w:sz w:val="21"/>
                <w:szCs w:val="21"/>
                <w:lang w:bidi="ar"/>
              </w:rPr>
              <w:t>目标4：严格执行相关政策，保障工资及时发放。</w:t>
            </w:r>
          </w:p>
        </w:tc>
      </w:tr>
      <w:tr w14:paraId="48C50A9F">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noWrap w:val="0"/>
            <w:vAlign w:val="center"/>
          </w:tcPr>
          <w:p w14:paraId="6D8763D4">
            <w:pPr>
              <w:widowControl/>
              <w:spacing w:line="300" w:lineRule="exact"/>
              <w:jc w:val="center"/>
              <w:textAlignment w:val="center"/>
              <w:rPr>
                <w:rFonts w:eastAsia="宋体"/>
                <w:color w:val="000000"/>
                <w:kern w:val="0"/>
                <w:sz w:val="21"/>
                <w:szCs w:val="21"/>
                <w:lang w:bidi="ar"/>
              </w:rPr>
            </w:pPr>
            <w:r>
              <w:rPr>
                <w:rFonts w:eastAsia="宋体"/>
                <w:color w:val="000000"/>
                <w:kern w:val="0"/>
                <w:sz w:val="21"/>
                <w:szCs w:val="21"/>
                <w:lang w:bidi="ar"/>
              </w:rPr>
              <w:t>年度主要</w:t>
            </w:r>
          </w:p>
          <w:p w14:paraId="15DA0F01">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任务</w:t>
            </w:r>
          </w:p>
        </w:tc>
        <w:tc>
          <w:tcPr>
            <w:tcW w:w="2620" w:type="dxa"/>
            <w:gridSpan w:val="2"/>
            <w:tcBorders>
              <w:top w:val="single" w:color="000000" w:sz="4" w:space="0"/>
              <w:left w:val="single" w:color="000000" w:sz="4" w:space="0"/>
              <w:bottom w:val="single" w:color="000000" w:sz="4" w:space="0"/>
              <w:right w:val="single" w:color="000000" w:sz="4" w:space="0"/>
            </w:tcBorders>
            <w:noWrap w:val="0"/>
            <w:vAlign w:val="center"/>
          </w:tcPr>
          <w:p w14:paraId="3E5B3715">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任务名称</w:t>
            </w:r>
          </w:p>
        </w:tc>
        <w:tc>
          <w:tcPr>
            <w:tcW w:w="6632" w:type="dxa"/>
            <w:gridSpan w:val="6"/>
            <w:tcBorders>
              <w:top w:val="single" w:color="000000" w:sz="4" w:space="0"/>
              <w:left w:val="single" w:color="000000" w:sz="4" w:space="0"/>
              <w:bottom w:val="single" w:color="000000" w:sz="4" w:space="0"/>
              <w:right w:val="single" w:color="000000" w:sz="4" w:space="0"/>
            </w:tcBorders>
            <w:noWrap w:val="0"/>
            <w:vAlign w:val="center"/>
          </w:tcPr>
          <w:p w14:paraId="15A66BE2">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主要内容</w:t>
            </w:r>
          </w:p>
        </w:tc>
      </w:tr>
      <w:tr w14:paraId="30E31619">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83C64">
            <w:pPr>
              <w:widowControl/>
              <w:spacing w:line="300" w:lineRule="exact"/>
              <w:jc w:val="center"/>
              <w:rPr>
                <w:rFonts w:eastAsia="宋体"/>
                <w:color w:val="000000"/>
                <w:sz w:val="21"/>
                <w:szCs w:val="21"/>
              </w:rPr>
            </w:pPr>
          </w:p>
        </w:tc>
        <w:tc>
          <w:tcPr>
            <w:tcW w:w="2620" w:type="dxa"/>
            <w:gridSpan w:val="2"/>
            <w:tcBorders>
              <w:top w:val="single" w:color="000000" w:sz="4" w:space="0"/>
              <w:left w:val="single" w:color="000000" w:sz="4" w:space="0"/>
              <w:bottom w:val="single" w:color="000000" w:sz="4" w:space="0"/>
              <w:right w:val="single" w:color="000000" w:sz="4" w:space="0"/>
            </w:tcBorders>
            <w:noWrap w:val="0"/>
            <w:vAlign w:val="center"/>
          </w:tcPr>
          <w:p w14:paraId="6EE6E8DB">
            <w:pPr>
              <w:widowControl/>
              <w:spacing w:line="300" w:lineRule="exact"/>
              <w:jc w:val="left"/>
              <w:textAlignment w:val="center"/>
              <w:rPr>
                <w:rFonts w:eastAsia="宋体"/>
                <w:color w:val="000000"/>
                <w:sz w:val="21"/>
                <w:szCs w:val="21"/>
              </w:rPr>
            </w:pPr>
            <w:r>
              <w:rPr>
                <w:rFonts w:hint="eastAsia" w:eastAsia="宋体"/>
                <w:color w:val="000000"/>
                <w:kern w:val="0"/>
                <w:sz w:val="21"/>
                <w:szCs w:val="21"/>
                <w:lang w:bidi="ar"/>
              </w:rPr>
              <w:t>抓好基层党建</w:t>
            </w:r>
          </w:p>
        </w:tc>
        <w:tc>
          <w:tcPr>
            <w:tcW w:w="6632" w:type="dxa"/>
            <w:gridSpan w:val="6"/>
            <w:tcBorders>
              <w:top w:val="single" w:color="000000" w:sz="4" w:space="0"/>
              <w:left w:val="single" w:color="000000" w:sz="4" w:space="0"/>
              <w:bottom w:val="single" w:color="000000" w:sz="4" w:space="0"/>
              <w:right w:val="single" w:color="000000" w:sz="4" w:space="0"/>
            </w:tcBorders>
            <w:noWrap w:val="0"/>
            <w:vAlign w:val="center"/>
          </w:tcPr>
          <w:p w14:paraId="3AAEA5A7">
            <w:pPr>
              <w:widowControl/>
              <w:spacing w:line="300" w:lineRule="exact"/>
              <w:jc w:val="left"/>
              <w:textAlignment w:val="center"/>
              <w:rPr>
                <w:rFonts w:eastAsia="宋体"/>
                <w:color w:val="000000"/>
                <w:sz w:val="21"/>
                <w:szCs w:val="21"/>
              </w:rPr>
            </w:pPr>
            <w:r>
              <w:rPr>
                <w:rFonts w:hint="eastAsia" w:eastAsia="宋体"/>
                <w:color w:val="000000"/>
                <w:kern w:val="0"/>
                <w:sz w:val="21"/>
                <w:szCs w:val="21"/>
                <w:lang w:bidi="ar"/>
              </w:rPr>
              <w:t>抓好基层党建，稳定和完善政府各项决策部署，加强农业基层设施建设，改善农业生产条件，确保各项工作目标任务圆满完成。</w:t>
            </w:r>
          </w:p>
        </w:tc>
      </w:tr>
      <w:tr w14:paraId="70E868AE">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A83AAE">
            <w:pPr>
              <w:widowControl/>
              <w:spacing w:line="300" w:lineRule="exact"/>
              <w:jc w:val="center"/>
              <w:rPr>
                <w:rFonts w:eastAsia="宋体"/>
                <w:color w:val="000000"/>
                <w:sz w:val="21"/>
                <w:szCs w:val="21"/>
              </w:rPr>
            </w:pPr>
          </w:p>
        </w:tc>
        <w:tc>
          <w:tcPr>
            <w:tcW w:w="2620" w:type="dxa"/>
            <w:gridSpan w:val="2"/>
            <w:tcBorders>
              <w:top w:val="single" w:color="000000" w:sz="4" w:space="0"/>
              <w:left w:val="single" w:color="000000" w:sz="4" w:space="0"/>
              <w:bottom w:val="single" w:color="000000" w:sz="4" w:space="0"/>
              <w:right w:val="single" w:color="000000" w:sz="4" w:space="0"/>
            </w:tcBorders>
            <w:noWrap w:val="0"/>
            <w:vAlign w:val="center"/>
          </w:tcPr>
          <w:p w14:paraId="3AD46A6F">
            <w:pPr>
              <w:widowControl/>
              <w:spacing w:line="300" w:lineRule="exact"/>
              <w:jc w:val="left"/>
              <w:rPr>
                <w:rFonts w:eastAsia="宋体"/>
                <w:color w:val="000000"/>
                <w:sz w:val="21"/>
                <w:szCs w:val="21"/>
              </w:rPr>
            </w:pPr>
            <w:r>
              <w:rPr>
                <w:rFonts w:hint="eastAsia" w:eastAsia="宋体"/>
                <w:color w:val="000000"/>
                <w:sz w:val="21"/>
                <w:szCs w:val="21"/>
              </w:rPr>
              <w:t>抓好农村基础设施建设</w:t>
            </w:r>
          </w:p>
        </w:tc>
        <w:tc>
          <w:tcPr>
            <w:tcW w:w="6632" w:type="dxa"/>
            <w:gridSpan w:val="6"/>
            <w:tcBorders>
              <w:top w:val="single" w:color="000000" w:sz="4" w:space="0"/>
              <w:left w:val="single" w:color="000000" w:sz="4" w:space="0"/>
              <w:bottom w:val="single" w:color="000000" w:sz="4" w:space="0"/>
              <w:right w:val="single" w:color="000000" w:sz="4" w:space="0"/>
            </w:tcBorders>
            <w:noWrap w:val="0"/>
            <w:vAlign w:val="center"/>
          </w:tcPr>
          <w:p w14:paraId="60D55E5D">
            <w:pPr>
              <w:widowControl/>
              <w:spacing w:line="300" w:lineRule="exact"/>
              <w:jc w:val="left"/>
              <w:rPr>
                <w:rFonts w:eastAsia="宋体"/>
                <w:color w:val="000000"/>
                <w:sz w:val="21"/>
                <w:szCs w:val="21"/>
              </w:rPr>
            </w:pPr>
            <w:r>
              <w:rPr>
                <w:rFonts w:hint="eastAsia" w:eastAsia="宋体"/>
                <w:color w:val="000000"/>
                <w:sz w:val="21"/>
                <w:szCs w:val="21"/>
              </w:rPr>
              <w:t>通过完善基础设施建设，进一步改善了村级的基础设施和公共服务，扩大了农村基层民主，完善了村民自治，密切了党和政府同农民群众的关系，满足了农民群众的需求，也为我镇的村级项目建设起到了示范和引领作用。</w:t>
            </w:r>
          </w:p>
        </w:tc>
      </w:tr>
      <w:tr w14:paraId="6A7727FA">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noWrap w:val="0"/>
            <w:vAlign w:val="center"/>
          </w:tcPr>
          <w:p w14:paraId="145E5CB2">
            <w:pPr>
              <w:widowControl/>
              <w:spacing w:line="300" w:lineRule="exact"/>
              <w:jc w:val="center"/>
              <w:textAlignment w:val="center"/>
              <w:rPr>
                <w:rFonts w:eastAsia="宋体"/>
                <w:color w:val="000000"/>
                <w:kern w:val="0"/>
                <w:sz w:val="21"/>
                <w:szCs w:val="21"/>
                <w:lang w:bidi="ar"/>
              </w:rPr>
            </w:pPr>
            <w:r>
              <w:rPr>
                <w:rFonts w:eastAsia="宋体"/>
                <w:color w:val="000000"/>
                <w:kern w:val="0"/>
                <w:sz w:val="21"/>
                <w:szCs w:val="21"/>
                <w:lang w:bidi="ar"/>
              </w:rPr>
              <w:t>年度绩效</w:t>
            </w:r>
          </w:p>
          <w:p w14:paraId="39D0C407">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指标</w:t>
            </w:r>
          </w:p>
        </w:tc>
        <w:tc>
          <w:tcPr>
            <w:tcW w:w="1347" w:type="dxa"/>
            <w:tcBorders>
              <w:top w:val="single" w:color="000000" w:sz="4" w:space="0"/>
              <w:left w:val="single" w:color="000000" w:sz="4" w:space="0"/>
              <w:bottom w:val="single" w:color="000000" w:sz="4" w:space="0"/>
              <w:right w:val="single" w:color="000000" w:sz="4" w:space="0"/>
            </w:tcBorders>
            <w:noWrap w:val="0"/>
            <w:vAlign w:val="center"/>
          </w:tcPr>
          <w:p w14:paraId="5C3CA1BF">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一级指标</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E1ECEC4">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二级指标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EB05B6D">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三级指标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1D983C4">
            <w:pPr>
              <w:widowControl/>
              <w:spacing w:line="300" w:lineRule="exact"/>
              <w:jc w:val="center"/>
              <w:textAlignment w:val="center"/>
              <w:rPr>
                <w:rFonts w:eastAsia="宋体"/>
                <w:color w:val="000000"/>
                <w:kern w:val="0"/>
                <w:sz w:val="21"/>
                <w:szCs w:val="21"/>
                <w:lang w:bidi="ar"/>
              </w:rPr>
            </w:pPr>
            <w:r>
              <w:rPr>
                <w:rFonts w:eastAsia="宋体"/>
                <w:color w:val="000000"/>
                <w:kern w:val="0"/>
                <w:sz w:val="21"/>
                <w:szCs w:val="21"/>
                <w:lang w:bidi="ar"/>
              </w:rPr>
              <w:t>绩效指标</w:t>
            </w:r>
          </w:p>
          <w:p w14:paraId="2781BFC1">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性质</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0FA9E451">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绩效指标值</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11496057">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绩效度量单位</w:t>
            </w:r>
          </w:p>
        </w:tc>
        <w:tc>
          <w:tcPr>
            <w:tcW w:w="926" w:type="dxa"/>
            <w:tcBorders>
              <w:top w:val="single" w:color="000000" w:sz="4" w:space="0"/>
              <w:left w:val="single" w:color="000000" w:sz="4" w:space="0"/>
              <w:bottom w:val="single" w:color="000000" w:sz="4" w:space="0"/>
            </w:tcBorders>
            <w:noWrap w:val="0"/>
            <w:vAlign w:val="center"/>
          </w:tcPr>
          <w:p w14:paraId="009948A2">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权重</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17A2FA4C">
            <w:pPr>
              <w:widowControl/>
              <w:spacing w:line="300" w:lineRule="exact"/>
              <w:jc w:val="center"/>
              <w:textAlignment w:val="center"/>
              <w:rPr>
                <w:rFonts w:eastAsia="宋体"/>
                <w:color w:val="000000"/>
                <w:kern w:val="0"/>
                <w:sz w:val="21"/>
                <w:szCs w:val="21"/>
                <w:lang w:bidi="ar"/>
              </w:rPr>
            </w:pPr>
            <w:r>
              <w:rPr>
                <w:rFonts w:eastAsia="宋体"/>
                <w:color w:val="000000"/>
                <w:kern w:val="0"/>
                <w:sz w:val="21"/>
                <w:szCs w:val="21"/>
                <w:lang w:bidi="ar"/>
              </w:rPr>
              <w:t>实际完成</w:t>
            </w:r>
          </w:p>
          <w:p w14:paraId="05449B6F">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指标值</w:t>
            </w:r>
          </w:p>
        </w:tc>
      </w:tr>
      <w:tr w14:paraId="129D18DD">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09DC7">
            <w:pPr>
              <w:widowControl/>
              <w:spacing w:line="300" w:lineRule="exact"/>
              <w:jc w:val="center"/>
              <w:rPr>
                <w:rFonts w:eastAsia="宋体"/>
                <w:color w:val="000000"/>
                <w:sz w:val="21"/>
                <w:szCs w:val="21"/>
              </w:rPr>
            </w:pPr>
          </w:p>
        </w:tc>
        <w:tc>
          <w:tcPr>
            <w:tcW w:w="1347" w:type="dxa"/>
            <w:vMerge w:val="restart"/>
            <w:tcBorders>
              <w:top w:val="single" w:color="000000" w:sz="4" w:space="0"/>
              <w:left w:val="single" w:color="000000" w:sz="4" w:space="0"/>
              <w:right w:val="single" w:color="000000" w:sz="4" w:space="0"/>
            </w:tcBorders>
            <w:noWrap w:val="0"/>
            <w:vAlign w:val="center"/>
          </w:tcPr>
          <w:p w14:paraId="5BA2C233">
            <w:pPr>
              <w:widowControl/>
              <w:spacing w:line="300" w:lineRule="exact"/>
              <w:jc w:val="center"/>
              <w:rPr>
                <w:rFonts w:hint="eastAsia" w:eastAsia="宋体"/>
                <w:color w:val="000000"/>
                <w:sz w:val="21"/>
                <w:szCs w:val="21"/>
                <w:lang w:eastAsia="zh-CN"/>
              </w:rPr>
            </w:pPr>
            <w:r>
              <w:rPr>
                <w:rFonts w:hint="eastAsia" w:eastAsia="宋体"/>
                <w:color w:val="000000"/>
                <w:sz w:val="21"/>
                <w:szCs w:val="21"/>
                <w:lang w:eastAsia="zh-CN"/>
              </w:rPr>
              <w:t>产出指标</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BFF0DE4">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质量指标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691BE26F">
            <w:pPr>
              <w:widowControl/>
              <w:spacing w:line="300" w:lineRule="exact"/>
              <w:jc w:val="left"/>
              <w:rPr>
                <w:rFonts w:eastAsia="宋体"/>
                <w:color w:val="000000"/>
                <w:sz w:val="21"/>
                <w:szCs w:val="21"/>
              </w:rPr>
            </w:pPr>
            <w:r>
              <w:rPr>
                <w:rFonts w:hint="eastAsia" w:eastAsia="宋体"/>
                <w:color w:val="000000"/>
                <w:sz w:val="21"/>
                <w:szCs w:val="21"/>
              </w:rPr>
              <w:t>工作成绩突出，质量达标率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EDA0EC1">
            <w:pPr>
              <w:widowControl/>
              <w:spacing w:line="300" w:lineRule="exact"/>
              <w:jc w:val="center"/>
              <w:rPr>
                <w:rFonts w:eastAsia="宋体"/>
                <w:color w:val="000000"/>
                <w:sz w:val="21"/>
                <w:szCs w:val="21"/>
              </w:rPr>
            </w:pPr>
            <w:r>
              <w:rPr>
                <w:rFonts w:hint="eastAsia" w:eastAsia="宋体"/>
                <w:color w:val="000000"/>
                <w:sz w:val="21"/>
                <w:szCs w:val="21"/>
              </w:rPr>
              <w:t>≥</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3862A3F1">
            <w:pPr>
              <w:widowControl/>
              <w:spacing w:line="300" w:lineRule="exact"/>
              <w:jc w:val="center"/>
              <w:rPr>
                <w:rFonts w:eastAsia="宋体"/>
                <w:color w:val="000000"/>
                <w:sz w:val="21"/>
                <w:szCs w:val="21"/>
              </w:rPr>
            </w:pPr>
            <w:r>
              <w:rPr>
                <w:rFonts w:hint="eastAsia" w:eastAsia="宋体"/>
                <w:color w:val="000000"/>
                <w:sz w:val="21"/>
                <w:szCs w:val="21"/>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124F0A6C">
            <w:pPr>
              <w:widowControl/>
              <w:spacing w:line="300" w:lineRule="exact"/>
              <w:jc w:val="center"/>
              <w:rPr>
                <w:rFonts w:hint="eastAsia" w:eastAsia="宋体"/>
                <w:color w:val="000000"/>
                <w:sz w:val="21"/>
                <w:szCs w:val="21"/>
                <w:lang w:val="en-US" w:eastAsia="zh-CN"/>
              </w:rPr>
            </w:pPr>
            <w:r>
              <w:rPr>
                <w:rFonts w:hint="eastAsia" w:eastAsia="宋体"/>
                <w:color w:val="000000"/>
                <w:sz w:val="21"/>
                <w:szCs w:val="21"/>
                <w:lang w:val="en-US" w:eastAsia="zh-CN"/>
              </w:rPr>
              <w:t>%</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6355AD0">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10%</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542D9A29">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100%</w:t>
            </w:r>
          </w:p>
        </w:tc>
      </w:tr>
      <w:tr w14:paraId="5EB12EA4">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30C05A">
            <w:pPr>
              <w:widowControl/>
              <w:spacing w:line="300" w:lineRule="exact"/>
              <w:jc w:val="center"/>
              <w:rPr>
                <w:rFonts w:eastAsia="宋体"/>
                <w:color w:val="000000"/>
                <w:sz w:val="21"/>
                <w:szCs w:val="21"/>
              </w:rPr>
            </w:pPr>
          </w:p>
        </w:tc>
        <w:tc>
          <w:tcPr>
            <w:tcW w:w="13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CF8EF">
            <w:pPr>
              <w:widowControl/>
              <w:spacing w:line="300" w:lineRule="exact"/>
              <w:jc w:val="center"/>
              <w:rPr>
                <w:rFonts w:eastAsia="宋体"/>
                <w:color w:val="000000"/>
                <w:sz w:val="21"/>
                <w:szCs w:val="21"/>
              </w:rPr>
            </w:pP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8A1EB4E">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时效指标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9A7B1C9">
            <w:pPr>
              <w:widowControl/>
              <w:spacing w:line="300" w:lineRule="exact"/>
              <w:jc w:val="left"/>
              <w:rPr>
                <w:rFonts w:eastAsia="宋体"/>
                <w:color w:val="000000"/>
                <w:sz w:val="21"/>
                <w:szCs w:val="21"/>
              </w:rPr>
            </w:pPr>
            <w:r>
              <w:rPr>
                <w:rFonts w:hint="eastAsia" w:eastAsia="宋体"/>
                <w:color w:val="000000"/>
                <w:sz w:val="21"/>
                <w:szCs w:val="21"/>
              </w:rPr>
              <w:t>落实</w:t>
            </w:r>
            <w:r>
              <w:rPr>
                <w:rFonts w:hint="eastAsia" w:eastAsia="宋体"/>
                <w:color w:val="000000"/>
                <w:sz w:val="21"/>
                <w:szCs w:val="21"/>
                <w:lang w:eastAsia="zh-CN"/>
              </w:rPr>
              <w:t>沟口</w:t>
            </w:r>
            <w:r>
              <w:rPr>
                <w:rFonts w:hint="eastAsia" w:eastAsia="宋体"/>
                <w:color w:val="000000"/>
                <w:sz w:val="21"/>
                <w:szCs w:val="21"/>
              </w:rPr>
              <w:t>镇202</w:t>
            </w:r>
            <w:r>
              <w:rPr>
                <w:rFonts w:hint="eastAsia" w:eastAsia="宋体"/>
                <w:color w:val="000000"/>
                <w:sz w:val="21"/>
                <w:szCs w:val="21"/>
                <w:lang w:val="en-US" w:eastAsia="zh-CN"/>
              </w:rPr>
              <w:t>5</w:t>
            </w:r>
            <w:r>
              <w:rPr>
                <w:rFonts w:hint="eastAsia" w:eastAsia="宋体"/>
                <w:color w:val="000000"/>
                <w:sz w:val="21"/>
                <w:szCs w:val="21"/>
              </w:rPr>
              <w:t>年工作目标完成及时率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924BA52">
            <w:pPr>
              <w:widowControl/>
              <w:spacing w:line="300" w:lineRule="exact"/>
              <w:jc w:val="center"/>
              <w:rPr>
                <w:rFonts w:hint="eastAsia" w:eastAsia="宋体"/>
                <w:color w:val="000000"/>
                <w:sz w:val="21"/>
                <w:szCs w:val="21"/>
                <w:lang w:val="en-US" w:eastAsia="zh-CN"/>
              </w:rPr>
            </w:pPr>
            <w:r>
              <w:rPr>
                <w:rFonts w:hint="eastAsia" w:eastAsia="宋体"/>
                <w:color w:val="000000"/>
                <w:sz w:val="21"/>
                <w:szCs w:val="21"/>
                <w:lang w:val="en-US" w:eastAsia="zh-CN"/>
              </w:rPr>
              <w:t>=</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3436174F">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2025</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53C827F4">
            <w:pPr>
              <w:widowControl/>
              <w:spacing w:line="300" w:lineRule="exact"/>
              <w:jc w:val="center"/>
              <w:rPr>
                <w:rFonts w:hint="eastAsia" w:eastAsia="宋体"/>
                <w:color w:val="000000"/>
                <w:sz w:val="21"/>
                <w:szCs w:val="21"/>
                <w:lang w:eastAsia="zh-CN"/>
              </w:rPr>
            </w:pPr>
            <w:r>
              <w:rPr>
                <w:rFonts w:hint="eastAsia" w:eastAsia="宋体"/>
                <w:color w:val="000000"/>
                <w:sz w:val="21"/>
                <w:szCs w:val="21"/>
                <w:lang w:eastAsia="zh-CN"/>
              </w:rPr>
              <w:t>年</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0CE94A">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20%</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711DD2A5">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100%</w:t>
            </w:r>
          </w:p>
        </w:tc>
      </w:tr>
      <w:tr w14:paraId="2FC343EA">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336032">
            <w:pPr>
              <w:widowControl/>
              <w:spacing w:line="300" w:lineRule="exact"/>
              <w:jc w:val="center"/>
              <w:rPr>
                <w:rFonts w:eastAsia="宋体"/>
                <w:color w:val="000000"/>
                <w:sz w:val="21"/>
                <w:szCs w:val="21"/>
              </w:rPr>
            </w:pPr>
          </w:p>
        </w:tc>
        <w:tc>
          <w:tcPr>
            <w:tcW w:w="1347" w:type="dxa"/>
            <w:vMerge w:val="restart"/>
            <w:tcBorders>
              <w:top w:val="single" w:color="000000" w:sz="4" w:space="0"/>
              <w:left w:val="single" w:color="000000" w:sz="4" w:space="0"/>
              <w:bottom w:val="single" w:color="000000" w:sz="4" w:space="0"/>
              <w:right w:val="single" w:color="000000" w:sz="4" w:space="0"/>
            </w:tcBorders>
            <w:noWrap w:val="0"/>
            <w:vAlign w:val="center"/>
          </w:tcPr>
          <w:p w14:paraId="1D6728A4">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效益指标</w:t>
            </w:r>
          </w:p>
        </w:tc>
        <w:tc>
          <w:tcPr>
            <w:tcW w:w="1273" w:type="dxa"/>
            <w:tcBorders>
              <w:top w:val="single" w:color="000000" w:sz="4" w:space="0"/>
              <w:left w:val="single" w:color="000000" w:sz="4" w:space="0"/>
              <w:right w:val="single" w:color="000000" w:sz="4" w:space="0"/>
            </w:tcBorders>
            <w:noWrap w:val="0"/>
            <w:vAlign w:val="center"/>
          </w:tcPr>
          <w:p w14:paraId="450EC054">
            <w:pPr>
              <w:widowControl/>
              <w:spacing w:line="300" w:lineRule="exact"/>
              <w:jc w:val="center"/>
              <w:textAlignment w:val="center"/>
              <w:rPr>
                <w:rFonts w:eastAsia="宋体"/>
                <w:color w:val="000000"/>
                <w:kern w:val="0"/>
                <w:sz w:val="21"/>
                <w:szCs w:val="21"/>
                <w:lang w:bidi="ar"/>
              </w:rPr>
            </w:pPr>
            <w:r>
              <w:rPr>
                <w:rFonts w:eastAsia="宋体"/>
                <w:color w:val="000000"/>
                <w:kern w:val="0"/>
                <w:sz w:val="21"/>
                <w:szCs w:val="21"/>
                <w:lang w:bidi="ar"/>
              </w:rPr>
              <w:t>社会效益</w:t>
            </w:r>
          </w:p>
          <w:p w14:paraId="3FA83EED">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CEF1B47">
            <w:pPr>
              <w:widowControl/>
              <w:spacing w:line="300" w:lineRule="exact"/>
              <w:jc w:val="left"/>
              <w:rPr>
                <w:rFonts w:eastAsia="宋体"/>
                <w:color w:val="000000"/>
                <w:sz w:val="21"/>
                <w:szCs w:val="21"/>
              </w:rPr>
            </w:pPr>
            <w:r>
              <w:rPr>
                <w:rFonts w:hint="eastAsia" w:eastAsia="宋体"/>
                <w:color w:val="000000"/>
                <w:sz w:val="21"/>
                <w:szCs w:val="21"/>
              </w:rPr>
              <w:t>社会效益良好</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8A51FF6">
            <w:pPr>
              <w:widowControl/>
              <w:spacing w:line="300" w:lineRule="exact"/>
              <w:jc w:val="center"/>
              <w:rPr>
                <w:rFonts w:eastAsia="宋体"/>
                <w:color w:val="000000"/>
                <w:sz w:val="21"/>
                <w:szCs w:val="21"/>
              </w:rPr>
            </w:pPr>
            <w:r>
              <w:rPr>
                <w:rFonts w:hint="eastAsia" w:eastAsia="宋体"/>
                <w:color w:val="000000"/>
                <w:sz w:val="21"/>
                <w:szCs w:val="21"/>
                <w:lang w:eastAsia="zh-CN"/>
              </w:rPr>
              <w:t>定性</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2222103A">
            <w:pPr>
              <w:widowControl/>
              <w:spacing w:line="300" w:lineRule="exact"/>
              <w:ind w:firstLine="420" w:firstLineChars="200"/>
              <w:jc w:val="left"/>
              <w:rPr>
                <w:rFonts w:eastAsia="宋体"/>
                <w:color w:val="000000"/>
                <w:sz w:val="21"/>
                <w:szCs w:val="21"/>
              </w:rPr>
            </w:pPr>
            <w:r>
              <w:rPr>
                <w:rFonts w:hint="eastAsia" w:eastAsia="宋体"/>
                <w:color w:val="000000"/>
                <w:sz w:val="21"/>
                <w:szCs w:val="21"/>
              </w:rPr>
              <w:t>优</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6B733B04">
            <w:pPr>
              <w:widowControl/>
              <w:spacing w:line="300" w:lineRule="exact"/>
              <w:jc w:val="left"/>
              <w:rPr>
                <w:rFonts w:eastAsia="宋体"/>
                <w:color w:val="000000"/>
                <w:sz w:val="21"/>
                <w:szCs w:val="21"/>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53DD6BA">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20%</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330033F6">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100%</w:t>
            </w:r>
          </w:p>
        </w:tc>
      </w:tr>
      <w:tr w14:paraId="33733D8E">
        <w:tblPrEx>
          <w:tblCellMar>
            <w:top w:w="15" w:type="dxa"/>
            <w:left w:w="15" w:type="dxa"/>
            <w:bottom w:w="15" w:type="dxa"/>
            <w:right w:w="15" w:type="dxa"/>
          </w:tblCellMar>
        </w:tblPrEx>
        <w:trPr>
          <w:trHeight w:val="1405"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DA8A36">
            <w:pPr>
              <w:widowControl/>
              <w:spacing w:line="300" w:lineRule="exact"/>
              <w:jc w:val="center"/>
              <w:rPr>
                <w:rFonts w:eastAsia="宋体"/>
                <w:color w:val="000000"/>
                <w:sz w:val="21"/>
                <w:szCs w:val="21"/>
              </w:rPr>
            </w:pPr>
          </w:p>
        </w:tc>
        <w:tc>
          <w:tcPr>
            <w:tcW w:w="13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8BA9C2">
            <w:pPr>
              <w:widowControl/>
              <w:spacing w:line="300" w:lineRule="exact"/>
              <w:jc w:val="center"/>
              <w:rPr>
                <w:rFonts w:eastAsia="宋体"/>
                <w:color w:val="000000"/>
                <w:sz w:val="21"/>
                <w:szCs w:val="21"/>
              </w:rPr>
            </w:pP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2B9F95E">
            <w:pPr>
              <w:widowControl/>
              <w:spacing w:line="300" w:lineRule="exact"/>
              <w:jc w:val="center"/>
              <w:textAlignment w:val="center"/>
              <w:rPr>
                <w:rFonts w:eastAsia="宋体"/>
                <w:color w:val="000000"/>
                <w:sz w:val="21"/>
                <w:szCs w:val="21"/>
              </w:rPr>
            </w:pPr>
            <w:r>
              <w:rPr>
                <w:rFonts w:hint="eastAsia" w:eastAsia="宋体"/>
                <w:color w:val="000000"/>
                <w:kern w:val="0"/>
                <w:sz w:val="21"/>
                <w:szCs w:val="21"/>
                <w:lang w:bidi="ar"/>
              </w:rPr>
              <w:t>生态效益指标</w:t>
            </w:r>
            <w:r>
              <w:rPr>
                <w:rFonts w:eastAsia="宋体"/>
                <w:color w:val="000000"/>
                <w:kern w:val="0"/>
                <w:sz w:val="21"/>
                <w:szCs w:val="21"/>
                <w:lang w:bidi="ar"/>
              </w:rPr>
              <w:t>……</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1527DD68">
            <w:pPr>
              <w:widowControl/>
              <w:spacing w:line="300" w:lineRule="exact"/>
              <w:jc w:val="left"/>
              <w:rPr>
                <w:rFonts w:eastAsia="宋体"/>
                <w:color w:val="000000"/>
                <w:sz w:val="21"/>
                <w:szCs w:val="21"/>
              </w:rPr>
            </w:pPr>
            <w:r>
              <w:rPr>
                <w:rFonts w:hint="eastAsia" w:eastAsia="宋体"/>
                <w:color w:val="000000"/>
                <w:sz w:val="21"/>
                <w:szCs w:val="21"/>
              </w:rPr>
              <w:t>环境卫生及国土合理管理，有效地促进生态发展</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E3A02C4">
            <w:pPr>
              <w:widowControl/>
              <w:spacing w:line="300" w:lineRule="exact"/>
              <w:ind w:firstLine="420" w:firstLineChars="200"/>
              <w:jc w:val="left"/>
              <w:rPr>
                <w:rFonts w:hint="eastAsia" w:eastAsia="宋体"/>
                <w:color w:val="000000"/>
                <w:sz w:val="21"/>
                <w:szCs w:val="21"/>
                <w:lang w:eastAsia="zh-CN"/>
              </w:rPr>
            </w:pPr>
            <w:r>
              <w:rPr>
                <w:rFonts w:hint="eastAsia" w:eastAsia="宋体"/>
                <w:color w:val="000000"/>
                <w:sz w:val="21"/>
                <w:szCs w:val="21"/>
                <w:lang w:eastAsia="zh-CN"/>
              </w:rPr>
              <w:t>定性</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534E8133">
            <w:pPr>
              <w:widowControl/>
              <w:spacing w:line="300" w:lineRule="exact"/>
              <w:jc w:val="left"/>
              <w:rPr>
                <w:rFonts w:eastAsia="宋体"/>
                <w:color w:val="000000"/>
                <w:sz w:val="21"/>
                <w:szCs w:val="21"/>
              </w:rPr>
            </w:pPr>
            <w:r>
              <w:rPr>
                <w:rFonts w:hint="eastAsia" w:eastAsia="宋体"/>
                <w:color w:val="000000"/>
                <w:sz w:val="21"/>
                <w:szCs w:val="21"/>
                <w:lang w:eastAsia="zh-CN"/>
              </w:rPr>
              <w:t>进一步保障</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4795DB6F">
            <w:pPr>
              <w:widowControl/>
              <w:spacing w:line="300" w:lineRule="exact"/>
              <w:jc w:val="left"/>
              <w:rPr>
                <w:rFonts w:eastAsia="宋体"/>
                <w:color w:val="000000"/>
                <w:sz w:val="21"/>
                <w:szCs w:val="21"/>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21252D4">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20%</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6AD33F30">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100%</w:t>
            </w:r>
          </w:p>
        </w:tc>
      </w:tr>
      <w:tr w14:paraId="40FC18B8">
        <w:tblPrEx>
          <w:tblCellMar>
            <w:top w:w="15" w:type="dxa"/>
            <w:left w:w="15" w:type="dxa"/>
            <w:bottom w:w="15" w:type="dxa"/>
            <w:right w:w="15" w:type="dxa"/>
          </w:tblCellMar>
        </w:tblPrEx>
        <w:trPr>
          <w:trHeight w:val="941"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4DEB82">
            <w:pPr>
              <w:widowControl/>
              <w:spacing w:line="300" w:lineRule="exact"/>
              <w:jc w:val="center"/>
              <w:rPr>
                <w:rFonts w:eastAsia="宋体"/>
                <w:color w:val="000000"/>
                <w:sz w:val="21"/>
                <w:szCs w:val="21"/>
              </w:rPr>
            </w:pPr>
          </w:p>
        </w:tc>
        <w:tc>
          <w:tcPr>
            <w:tcW w:w="1347" w:type="dxa"/>
            <w:tcBorders>
              <w:top w:val="single" w:color="000000" w:sz="4" w:space="0"/>
              <w:left w:val="single" w:color="000000" w:sz="4" w:space="0"/>
              <w:bottom w:val="single" w:color="000000" w:sz="4" w:space="0"/>
              <w:right w:val="single" w:color="000000" w:sz="4" w:space="0"/>
            </w:tcBorders>
            <w:noWrap w:val="0"/>
            <w:vAlign w:val="center"/>
          </w:tcPr>
          <w:p w14:paraId="4B099850">
            <w:pPr>
              <w:widowControl/>
              <w:spacing w:line="300" w:lineRule="exact"/>
              <w:jc w:val="center"/>
              <w:rPr>
                <w:rFonts w:hint="eastAsia" w:eastAsia="宋体"/>
                <w:color w:val="000000"/>
                <w:sz w:val="21"/>
                <w:szCs w:val="21"/>
                <w:lang w:eastAsia="zh-CN"/>
              </w:rPr>
            </w:pPr>
            <w:r>
              <w:rPr>
                <w:rFonts w:hint="eastAsia" w:eastAsia="宋体"/>
                <w:color w:val="000000"/>
                <w:kern w:val="0"/>
                <w:sz w:val="21"/>
                <w:szCs w:val="21"/>
                <w:lang w:eastAsia="zh-CN" w:bidi="ar"/>
              </w:rPr>
              <w:t>成本指标</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C925367">
            <w:pPr>
              <w:widowControl/>
              <w:spacing w:line="300" w:lineRule="exact"/>
              <w:jc w:val="center"/>
              <w:textAlignment w:val="center"/>
              <w:rPr>
                <w:rFonts w:hint="eastAsia" w:eastAsia="宋体"/>
                <w:color w:val="000000"/>
                <w:kern w:val="0"/>
                <w:sz w:val="21"/>
                <w:szCs w:val="21"/>
                <w:lang w:bidi="ar"/>
              </w:rPr>
            </w:pPr>
            <w:r>
              <w:rPr>
                <w:rFonts w:hint="eastAsia" w:eastAsia="宋体"/>
                <w:color w:val="000000"/>
                <w:kern w:val="0"/>
                <w:sz w:val="21"/>
                <w:szCs w:val="21"/>
                <w:lang w:bidi="ar"/>
              </w:rPr>
              <w:t>经济成本指标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4077A7F">
            <w:pPr>
              <w:widowControl/>
              <w:spacing w:line="300" w:lineRule="exact"/>
              <w:jc w:val="left"/>
              <w:rPr>
                <w:rFonts w:hint="eastAsia" w:eastAsia="宋体"/>
                <w:color w:val="000000"/>
                <w:sz w:val="21"/>
                <w:szCs w:val="21"/>
              </w:rPr>
            </w:pPr>
            <w:r>
              <w:rPr>
                <w:rFonts w:hint="eastAsia" w:eastAsia="宋体"/>
                <w:color w:val="000000"/>
                <w:sz w:val="21"/>
                <w:szCs w:val="21"/>
              </w:rPr>
              <w:t>能有效控制成本，三公经费控制率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1ACCB1A">
            <w:pPr>
              <w:widowControl/>
              <w:spacing w:line="300" w:lineRule="exact"/>
              <w:jc w:val="center"/>
              <w:rPr>
                <w:rFonts w:hint="eastAsia" w:eastAsia="宋体"/>
                <w:color w:val="000000"/>
                <w:sz w:val="21"/>
                <w:szCs w:val="21"/>
                <w:lang w:eastAsia="zh-CN"/>
              </w:rPr>
            </w:pPr>
            <w:r>
              <w:rPr>
                <w:rFonts w:hint="eastAsia" w:eastAsia="宋体"/>
                <w:color w:val="000000"/>
                <w:sz w:val="21"/>
                <w:szCs w:val="21"/>
              </w:rPr>
              <w:t>≥</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4DB4E9C7">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100</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40CE6C30">
            <w:pPr>
              <w:widowControl/>
              <w:spacing w:line="300" w:lineRule="exact"/>
              <w:jc w:val="center"/>
              <w:rPr>
                <w:rFonts w:hint="eastAsia" w:eastAsia="宋体"/>
                <w:color w:val="000000"/>
                <w:sz w:val="21"/>
                <w:szCs w:val="21"/>
                <w:lang w:val="en-US" w:eastAsia="zh-CN"/>
              </w:rPr>
            </w:pPr>
            <w:r>
              <w:rPr>
                <w:rFonts w:hint="eastAsia" w:eastAsia="宋体"/>
                <w:color w:val="000000"/>
                <w:sz w:val="21"/>
                <w:szCs w:val="21"/>
                <w:lang w:val="en-US" w:eastAsia="zh-CN"/>
              </w:rPr>
              <w:t>%</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2BBD4A">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10%</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3D9B0B9A">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100%</w:t>
            </w:r>
          </w:p>
        </w:tc>
      </w:tr>
      <w:tr w14:paraId="115FE0F1">
        <w:tblPrEx>
          <w:tblCellMar>
            <w:top w:w="15" w:type="dxa"/>
            <w:left w:w="15" w:type="dxa"/>
            <w:bottom w:w="15" w:type="dxa"/>
            <w:right w:w="15" w:type="dxa"/>
          </w:tblCellMar>
        </w:tblPrEx>
        <w:trPr>
          <w:trHeight w:val="641"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5CBAE">
            <w:pPr>
              <w:widowControl/>
              <w:spacing w:line="300" w:lineRule="exact"/>
              <w:jc w:val="center"/>
              <w:rPr>
                <w:rFonts w:eastAsia="宋体"/>
                <w:color w:val="000000"/>
                <w:sz w:val="21"/>
                <w:szCs w:val="21"/>
              </w:rPr>
            </w:pPr>
          </w:p>
        </w:tc>
        <w:tc>
          <w:tcPr>
            <w:tcW w:w="1347" w:type="dxa"/>
            <w:tcBorders>
              <w:top w:val="single" w:color="000000" w:sz="4" w:space="0"/>
              <w:left w:val="single" w:color="000000" w:sz="4" w:space="0"/>
              <w:bottom w:val="single" w:color="000000" w:sz="4" w:space="0"/>
              <w:right w:val="single" w:color="000000" w:sz="4" w:space="0"/>
            </w:tcBorders>
            <w:noWrap w:val="0"/>
            <w:vAlign w:val="center"/>
          </w:tcPr>
          <w:p w14:paraId="788ED339">
            <w:pPr>
              <w:widowControl/>
              <w:spacing w:line="300" w:lineRule="exact"/>
              <w:jc w:val="center"/>
              <w:textAlignment w:val="center"/>
              <w:rPr>
                <w:rFonts w:eastAsia="宋体"/>
                <w:color w:val="000000"/>
                <w:sz w:val="21"/>
                <w:szCs w:val="21"/>
              </w:rPr>
            </w:pPr>
          </w:p>
          <w:p w14:paraId="2C723687">
            <w:pPr>
              <w:widowControl/>
              <w:spacing w:line="300" w:lineRule="exact"/>
              <w:jc w:val="center"/>
              <w:textAlignment w:val="center"/>
              <w:rPr>
                <w:rFonts w:eastAsia="宋体"/>
                <w:color w:val="000000"/>
                <w:sz w:val="21"/>
                <w:szCs w:val="21"/>
              </w:rPr>
            </w:pP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D864854">
            <w:pPr>
              <w:widowControl/>
              <w:spacing w:line="300" w:lineRule="exact"/>
              <w:jc w:val="center"/>
              <w:textAlignment w:val="center"/>
              <w:rPr>
                <w:rFonts w:eastAsia="宋体"/>
                <w:color w:val="000000"/>
                <w:sz w:val="21"/>
                <w:szCs w:val="21"/>
              </w:rPr>
            </w:pPr>
            <w:r>
              <w:rPr>
                <w:rFonts w:eastAsia="宋体"/>
                <w:color w:val="000000"/>
                <w:kern w:val="0"/>
                <w:sz w:val="21"/>
                <w:szCs w:val="21"/>
                <w:lang w:bidi="ar"/>
              </w:rPr>
              <w:t>满意度指标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7CC710E">
            <w:pPr>
              <w:widowControl/>
              <w:spacing w:line="300" w:lineRule="exact"/>
              <w:jc w:val="left"/>
              <w:rPr>
                <w:rFonts w:hint="eastAsia" w:eastAsia="宋体"/>
                <w:color w:val="000000"/>
                <w:sz w:val="21"/>
                <w:szCs w:val="21"/>
                <w:lang w:eastAsia="zh-CN"/>
              </w:rPr>
            </w:pPr>
            <w:r>
              <w:rPr>
                <w:rFonts w:hint="eastAsia" w:eastAsia="宋体"/>
                <w:color w:val="000000"/>
                <w:sz w:val="21"/>
                <w:szCs w:val="21"/>
                <w:lang w:eastAsia="zh-CN"/>
              </w:rPr>
              <w:t>收益群众满意度</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7DD8FDD">
            <w:pPr>
              <w:widowControl/>
              <w:spacing w:line="300" w:lineRule="exact"/>
              <w:jc w:val="center"/>
              <w:rPr>
                <w:rFonts w:eastAsia="宋体"/>
                <w:color w:val="000000"/>
                <w:sz w:val="21"/>
                <w:szCs w:val="21"/>
              </w:rPr>
            </w:pPr>
            <w:r>
              <w:rPr>
                <w:rFonts w:hint="eastAsia" w:eastAsia="宋体"/>
                <w:color w:val="000000"/>
                <w:sz w:val="21"/>
                <w:szCs w:val="21"/>
              </w:rPr>
              <w:t>≥</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13EFB98E">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154A1238">
            <w:pPr>
              <w:widowControl/>
              <w:spacing w:line="300" w:lineRule="exact"/>
              <w:jc w:val="center"/>
              <w:rPr>
                <w:rFonts w:hint="eastAsia" w:eastAsia="宋体"/>
                <w:color w:val="000000"/>
                <w:sz w:val="21"/>
                <w:szCs w:val="21"/>
                <w:lang w:val="en-US" w:eastAsia="zh-CN"/>
              </w:rPr>
            </w:pPr>
            <w:r>
              <w:rPr>
                <w:rFonts w:hint="eastAsia" w:eastAsia="宋体"/>
                <w:color w:val="000000"/>
                <w:sz w:val="21"/>
                <w:szCs w:val="21"/>
                <w:lang w:val="en-US" w:eastAsia="zh-CN"/>
              </w:rPr>
              <w:t>%</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26E8848">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10%</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6B4EE4FC">
            <w:pPr>
              <w:widowControl/>
              <w:spacing w:line="300" w:lineRule="exact"/>
              <w:jc w:val="center"/>
              <w:rPr>
                <w:rFonts w:hint="default" w:eastAsia="宋体"/>
                <w:color w:val="000000"/>
                <w:sz w:val="21"/>
                <w:szCs w:val="21"/>
                <w:lang w:val="en-US" w:eastAsia="zh-CN"/>
              </w:rPr>
            </w:pPr>
            <w:r>
              <w:rPr>
                <w:rFonts w:hint="eastAsia" w:eastAsia="宋体"/>
                <w:color w:val="000000"/>
                <w:sz w:val="21"/>
                <w:szCs w:val="21"/>
                <w:lang w:val="en-US" w:eastAsia="zh-CN"/>
              </w:rPr>
              <w:t>100%</w:t>
            </w:r>
          </w:p>
        </w:tc>
      </w:tr>
      <w:bookmarkEnd w:id="102"/>
    </w:tbl>
    <w:p w14:paraId="519ADE0B">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Times New Roman" w:hAnsi="Times New Roman" w:eastAsia="黑体" w:cs="Times New Roman"/>
          <w:sz w:val="24"/>
          <w:szCs w:val="24"/>
          <w:lang w:eastAsia="zh-CN"/>
        </w:rPr>
      </w:pPr>
      <w:bookmarkStart w:id="104" w:name="_Toc79163885"/>
      <w:bookmarkStart w:id="105" w:name="_Toc111208512"/>
      <w:bookmarkStart w:id="106" w:name="_Toc6260"/>
      <w:bookmarkStart w:id="107" w:name="_Toc79163635"/>
    </w:p>
    <w:p w14:paraId="6CD2B7DF">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黑体" w:cs="Times New Roman"/>
          <w:sz w:val="24"/>
          <w:szCs w:val="24"/>
          <w:lang w:val="en-US" w:eastAsia="zh-CN"/>
        </w:rPr>
      </w:pPr>
      <w:r>
        <w:rPr>
          <w:rFonts w:hint="eastAsia" w:ascii="Times New Roman" w:hAnsi="Times New Roman" w:eastAsia="黑体" w:cs="Times New Roman"/>
          <w:sz w:val="24"/>
          <w:szCs w:val="24"/>
          <w:lang w:eastAsia="zh-CN"/>
        </w:rPr>
        <w:t>附表</w:t>
      </w:r>
      <w:r>
        <w:rPr>
          <w:rFonts w:hint="eastAsia" w:ascii="Times New Roman" w:hAnsi="Times New Roman" w:eastAsia="黑体" w:cs="Times New Roman"/>
          <w:sz w:val="24"/>
          <w:szCs w:val="24"/>
          <w:lang w:val="en-US" w:eastAsia="zh-CN"/>
        </w:rPr>
        <w:t>3</w:t>
      </w:r>
    </w:p>
    <w:tbl>
      <w:tblPr>
        <w:tblStyle w:val="17"/>
        <w:tblpPr w:leftFromText="180" w:rightFromText="180" w:vertAnchor="text" w:horzAnchor="page" w:tblpXSpec="center" w:tblpY="1127"/>
        <w:tblOverlap w:val="neve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6"/>
        <w:gridCol w:w="1142"/>
        <w:gridCol w:w="951"/>
        <w:gridCol w:w="1271"/>
        <w:gridCol w:w="426"/>
        <w:gridCol w:w="894"/>
        <w:gridCol w:w="416"/>
        <w:gridCol w:w="947"/>
        <w:gridCol w:w="516"/>
        <w:gridCol w:w="516"/>
        <w:gridCol w:w="1479"/>
      </w:tblGrid>
      <w:tr w14:paraId="5B83F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top"/>
          </w:tcPr>
          <w:p w14:paraId="79F87C9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p w14:paraId="20AB3D7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p w14:paraId="3F4E8381">
            <w:pPr>
              <w:pStyle w:val="14"/>
              <w:keepNext w:val="0"/>
              <w:keepLines w:val="0"/>
              <w:pageBreakBefore w:val="0"/>
              <w:numPr>
                <w:ilvl w:val="0"/>
                <w:numId w:val="0"/>
              </w:numPr>
              <w:kinsoku/>
              <w:wordWrap/>
              <w:overflowPunct/>
              <w:topLinePunct w:val="0"/>
              <w:autoSpaceDE/>
              <w:autoSpaceDN/>
              <w:bidi w:val="0"/>
              <w:spacing w:line="576" w:lineRule="exact"/>
              <w:ind w:firstLine="1506" w:firstLineChars="500"/>
              <w:textAlignment w:val="auto"/>
              <w:rPr>
                <w:rFonts w:hint="eastAsia" w:ascii="Times New Roman" w:hAnsi="Times New Roman" w:eastAsia="宋体" w:cs="Times New Roman"/>
                <w:color w:val="000000"/>
                <w:kern w:val="0"/>
                <w:sz w:val="20"/>
                <w:szCs w:val="20"/>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416E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537FBE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top"/>
          </w:tcPr>
          <w:p w14:paraId="3AB7FC0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51322325T000013758366-沟口镇水若村组道硬化项目</w:t>
            </w:r>
          </w:p>
        </w:tc>
      </w:tr>
      <w:tr w14:paraId="00330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C8620D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p w14:paraId="3C822E3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主管部门</w:t>
            </w:r>
          </w:p>
        </w:tc>
        <w:tc>
          <w:tcPr>
            <w:tcW w:w="2158" w:type="pct"/>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36D5B95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p w14:paraId="3836601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茂县沟口镇人民政府</w:t>
            </w:r>
          </w:p>
        </w:tc>
        <w:tc>
          <w:tcPr>
            <w:tcW w:w="515" w:type="pct"/>
            <w:tcBorders>
              <w:top w:val="nil"/>
              <w:left w:val="nil"/>
              <w:bottom w:val="nil"/>
              <w:right w:val="nil"/>
            </w:tcBorders>
            <w:shd w:val="clear" w:color="auto" w:fill="auto"/>
            <w:vAlign w:val="top"/>
          </w:tcPr>
          <w:p w14:paraId="680A33B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实施单位 （盖章）</w:t>
            </w:r>
          </w:p>
        </w:tc>
        <w:tc>
          <w:tcPr>
            <w:tcW w:w="136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281148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p w14:paraId="53E8FD6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茂县沟口镇人民政府（行政）</w:t>
            </w:r>
          </w:p>
        </w:tc>
      </w:tr>
      <w:tr w14:paraId="2402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5850A9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项目基本情况</w:t>
            </w:r>
          </w:p>
        </w:tc>
        <w:tc>
          <w:tcPr>
            <w:tcW w:w="622"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90CEB7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1.项目年度目标完成情况</w:t>
            </w:r>
          </w:p>
        </w:tc>
        <w:tc>
          <w:tcPr>
            <w:tcW w:w="2158" w:type="pct"/>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23A4EFE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DD87D6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年度目标完成情况</w:t>
            </w:r>
          </w:p>
        </w:tc>
      </w:tr>
      <w:tr w14:paraId="3A7BA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8AAB8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CBD63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2158" w:type="pct"/>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1A30A755">
            <w:pPr>
              <w:widowControl/>
              <w:spacing w:line="240" w:lineRule="exact"/>
              <w:ind w:firstLine="400" w:firstLineChars="200"/>
              <w:jc w:val="left"/>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沟口镇水若村组道硬化项目，财政资金：930000元。</w:t>
            </w:r>
            <w:r>
              <w:rPr>
                <w:rFonts w:hint="eastAsia" w:ascii="Times New Roman" w:hAnsi="Times New Roman" w:eastAsia="宋体" w:cs="Times New Roman"/>
                <w:color w:val="000000"/>
                <w:kern w:val="0"/>
                <w:sz w:val="20"/>
                <w:szCs w:val="20"/>
                <w:lang w:val="en-US" w:eastAsia="zh-CN"/>
              </w:rPr>
              <w:br w:type="textWrapping"/>
            </w:r>
            <w:r>
              <w:rPr>
                <w:rFonts w:hint="eastAsia" w:ascii="Times New Roman" w:hAnsi="Times New Roman" w:cs="Times New Roman"/>
                <w:color w:val="000000"/>
                <w:kern w:val="0"/>
                <w:sz w:val="20"/>
                <w:szCs w:val="20"/>
                <w:lang w:val="en-US" w:eastAsia="zh-CN"/>
              </w:rPr>
              <w:t xml:space="preserve">   </w:t>
            </w:r>
            <w:r>
              <w:rPr>
                <w:rFonts w:hint="eastAsia" w:ascii="Times New Roman" w:hAnsi="Times New Roman" w:eastAsia="宋体" w:cs="Times New Roman"/>
                <w:color w:val="000000"/>
                <w:kern w:val="0"/>
                <w:sz w:val="20"/>
                <w:szCs w:val="20"/>
                <w:lang w:val="en-US" w:eastAsia="zh-CN"/>
              </w:rPr>
              <w:t>该项目利于促进村经济发展，良好的基础设施带动农民增收，促进我镇经济发展，让乡村产业有效有力赋能乡村全面振兴。</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33B5EB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p w14:paraId="2FAD7D4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p w14:paraId="45F9A62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2025年度，完成率100%。</w:t>
            </w:r>
          </w:p>
        </w:tc>
      </w:tr>
      <w:tr w14:paraId="25FF0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C589C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top"/>
          </w:tcPr>
          <w:p w14:paraId="283C9B5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top"/>
          </w:tcPr>
          <w:p w14:paraId="3500B925">
            <w:pPr>
              <w:widowControl/>
              <w:spacing w:line="240" w:lineRule="exact"/>
              <w:ind w:firstLine="400" w:firstLineChars="200"/>
              <w:jc w:val="left"/>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沟口镇水若村组道硬化项目,县财政分配沟口镇93万元。主要用于：水若村实施组道路硬化2268.3立方米，补助标准410元/立方米。</w:t>
            </w:r>
          </w:p>
        </w:tc>
      </w:tr>
      <w:tr w14:paraId="7A21E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C05F0A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预算执行情况（10分）</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top"/>
          </w:tcPr>
          <w:p w14:paraId="6F8EE74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年度预算数（万元）</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60C9A8C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年初预算</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2BEA190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调整后预算数</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AEAB66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预算执行数</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0C423BD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预算执行率</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46D7CEB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权重</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3459B15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得分</w:t>
            </w:r>
          </w:p>
        </w:tc>
        <w:tc>
          <w:tcPr>
            <w:tcW w:w="806" w:type="pct"/>
            <w:tcBorders>
              <w:top w:val="single" w:color="000000" w:sz="4" w:space="0"/>
              <w:left w:val="single" w:color="000000" w:sz="4" w:space="0"/>
              <w:bottom w:val="single" w:color="000000" w:sz="4" w:space="0"/>
              <w:right w:val="single" w:color="000000" w:sz="4" w:space="0"/>
            </w:tcBorders>
            <w:shd w:val="clear" w:color="auto" w:fill="auto"/>
            <w:vAlign w:val="top"/>
          </w:tcPr>
          <w:p w14:paraId="2757729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原因</w:t>
            </w:r>
          </w:p>
        </w:tc>
      </w:tr>
      <w:tr w14:paraId="67DA4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336C2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top"/>
          </w:tcPr>
          <w:p w14:paraId="5E6E6E4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总额</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2DFBCD1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7238901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90.20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506D43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90.20</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70DB1EC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100.00%</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60295B7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34A2C755">
            <w:pPr>
              <w:widowControl/>
              <w:spacing w:line="240" w:lineRule="exact"/>
              <w:jc w:val="center"/>
              <w:textAlignment w:val="center"/>
              <w:rPr>
                <w:rFonts w:hint="default"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80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75B463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无</w:t>
            </w:r>
          </w:p>
        </w:tc>
      </w:tr>
      <w:tr w14:paraId="36069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0AEF4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top"/>
          </w:tcPr>
          <w:p w14:paraId="2A6E50E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其中：财政资金</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5BEAEB7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26321C3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90.20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6D715D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90.20</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7EB4191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100.00%</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60A217C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484086A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80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86122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734D7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E283A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top"/>
          </w:tcPr>
          <w:p w14:paraId="1179297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财政专户管理资金</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1ABC387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77FA558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370498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3E16E75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7F91563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41C28FA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80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EEEC0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74663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7416D4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top"/>
          </w:tcPr>
          <w:p w14:paraId="105A310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单位资金</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116533C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114347D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0DBEEB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0204EA6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4420D9E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207A8A5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80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CCED28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18545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3D820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top"/>
          </w:tcPr>
          <w:p w14:paraId="3256303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其他资金</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4E0E73D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12B4ACD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9BB403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1A17897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39156FD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354DA0B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80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25EC14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2E293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0EC8DF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绩效指标（90分）</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top"/>
          </w:tcPr>
          <w:p w14:paraId="25DEBFC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一级指标</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155630C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二级指标</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5B88B44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三级指标</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top"/>
          </w:tcPr>
          <w:p w14:paraId="25E8F22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指标性质</w:t>
            </w: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top"/>
          </w:tcPr>
          <w:p w14:paraId="3388581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指标值</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top"/>
          </w:tcPr>
          <w:p w14:paraId="07E35CD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度量单位</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642F12B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完成值</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21E6BD1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权重</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60DFBDB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得分</w:t>
            </w:r>
          </w:p>
        </w:tc>
        <w:tc>
          <w:tcPr>
            <w:tcW w:w="806" w:type="pct"/>
            <w:tcBorders>
              <w:top w:val="single" w:color="000000" w:sz="4" w:space="0"/>
              <w:left w:val="single" w:color="000000" w:sz="4" w:space="0"/>
              <w:bottom w:val="single" w:color="000000" w:sz="4" w:space="0"/>
              <w:right w:val="single" w:color="000000" w:sz="4" w:space="0"/>
            </w:tcBorders>
            <w:shd w:val="clear" w:color="auto" w:fill="auto"/>
            <w:vAlign w:val="top"/>
          </w:tcPr>
          <w:p w14:paraId="45A3245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未完成原因分析</w:t>
            </w:r>
          </w:p>
        </w:tc>
      </w:tr>
      <w:tr w14:paraId="62EAB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EB2CD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35CD99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产出指标</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4A496ED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数量指标</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342D394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该项目召开村民会议次数</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top"/>
          </w:tcPr>
          <w:p w14:paraId="4F30F22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top"/>
          </w:tcPr>
          <w:p w14:paraId="643E416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top"/>
          </w:tcPr>
          <w:p w14:paraId="32F5F86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次</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166A0E2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2C55B62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27D07E3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w:t>
            </w:r>
          </w:p>
        </w:tc>
        <w:tc>
          <w:tcPr>
            <w:tcW w:w="806" w:type="pct"/>
            <w:tcBorders>
              <w:top w:val="single" w:color="000000" w:sz="4" w:space="0"/>
              <w:left w:val="single" w:color="000000" w:sz="4" w:space="0"/>
              <w:bottom w:val="single" w:color="000000" w:sz="4" w:space="0"/>
              <w:right w:val="single" w:color="000000" w:sz="4" w:space="0"/>
            </w:tcBorders>
            <w:shd w:val="clear" w:color="auto" w:fill="auto"/>
            <w:vAlign w:val="top"/>
          </w:tcPr>
          <w:p w14:paraId="3A7D336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34827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2E230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F3CDA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07C7AD1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质量指标</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3E0C93C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该项目购进材料符合国家相关标注和规范要求</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top"/>
          </w:tcPr>
          <w:p w14:paraId="2B1EDAE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定性</w:t>
            </w: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top"/>
          </w:tcPr>
          <w:p w14:paraId="09074C6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合格</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top"/>
          </w:tcPr>
          <w:p w14:paraId="23D529A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7BB0199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合格</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74F688F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20</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15A7BBA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20</w:t>
            </w:r>
          </w:p>
        </w:tc>
        <w:tc>
          <w:tcPr>
            <w:tcW w:w="806" w:type="pct"/>
            <w:tcBorders>
              <w:top w:val="single" w:color="000000" w:sz="4" w:space="0"/>
              <w:left w:val="single" w:color="000000" w:sz="4" w:space="0"/>
              <w:bottom w:val="single" w:color="000000" w:sz="4" w:space="0"/>
              <w:right w:val="single" w:color="000000" w:sz="4" w:space="0"/>
            </w:tcBorders>
            <w:shd w:val="clear" w:color="auto" w:fill="auto"/>
            <w:vAlign w:val="top"/>
          </w:tcPr>
          <w:p w14:paraId="006C734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094A0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1CC83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DCD2C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6183083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时效指标</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52A65EF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项目完成年限</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top"/>
          </w:tcPr>
          <w:p w14:paraId="5EE85BD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top"/>
          </w:tcPr>
          <w:p w14:paraId="4E436A4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top"/>
          </w:tcPr>
          <w:p w14:paraId="53F2860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年</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6C39DED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1829053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5456AC2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w:t>
            </w:r>
          </w:p>
        </w:tc>
        <w:tc>
          <w:tcPr>
            <w:tcW w:w="806" w:type="pct"/>
            <w:tcBorders>
              <w:top w:val="single" w:color="000000" w:sz="4" w:space="0"/>
              <w:left w:val="single" w:color="000000" w:sz="4" w:space="0"/>
              <w:bottom w:val="single" w:color="000000" w:sz="4" w:space="0"/>
              <w:right w:val="single" w:color="000000" w:sz="4" w:space="0"/>
            </w:tcBorders>
            <w:shd w:val="clear" w:color="auto" w:fill="auto"/>
            <w:vAlign w:val="top"/>
          </w:tcPr>
          <w:p w14:paraId="7B5E312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2DB68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2FDE9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5FD545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效益指标</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6AB10B3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经济效益指标</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3C40388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该项目有利于带动村民增收致富，良好的交通设施便民利民。</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top"/>
          </w:tcPr>
          <w:p w14:paraId="3FBD0AA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定性</w:t>
            </w: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top"/>
          </w:tcPr>
          <w:p w14:paraId="529A020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进一步提升</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top"/>
          </w:tcPr>
          <w:p w14:paraId="1C9DDC4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5992A00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进一步提升</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45BEE0F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4CACE52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806" w:type="pct"/>
            <w:tcBorders>
              <w:top w:val="single" w:color="000000" w:sz="4" w:space="0"/>
              <w:left w:val="single" w:color="000000" w:sz="4" w:space="0"/>
              <w:bottom w:val="single" w:color="000000" w:sz="4" w:space="0"/>
              <w:right w:val="single" w:color="000000" w:sz="4" w:space="0"/>
            </w:tcBorders>
            <w:shd w:val="clear" w:color="auto" w:fill="auto"/>
            <w:vAlign w:val="top"/>
          </w:tcPr>
          <w:p w14:paraId="4E01829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3022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A25E5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B6E54F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7194997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社会效益指标</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35E1A7C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促进村经济发展，良好的基础设施带动农民增收，促进我镇经济发展，让乡村产业有效有力赋能乡村全面振兴。</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top"/>
          </w:tcPr>
          <w:p w14:paraId="2B4D7D6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定性</w:t>
            </w: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top"/>
          </w:tcPr>
          <w:p w14:paraId="4EEA99E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进一步保障</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top"/>
          </w:tcPr>
          <w:p w14:paraId="6D5CE78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0296A11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进一步保障</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5830CFF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2062873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806" w:type="pct"/>
            <w:tcBorders>
              <w:top w:val="single" w:color="000000" w:sz="4" w:space="0"/>
              <w:left w:val="single" w:color="000000" w:sz="4" w:space="0"/>
              <w:bottom w:val="single" w:color="000000" w:sz="4" w:space="0"/>
              <w:right w:val="single" w:color="000000" w:sz="4" w:space="0"/>
            </w:tcBorders>
            <w:shd w:val="clear" w:color="auto" w:fill="auto"/>
            <w:vAlign w:val="top"/>
          </w:tcPr>
          <w:p w14:paraId="5C1A815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12499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2C29C9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top"/>
          </w:tcPr>
          <w:p w14:paraId="6492B72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满意度指标</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4FD712B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服务对象满意度指标</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43E1FA1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受益群众满意度</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top"/>
          </w:tcPr>
          <w:p w14:paraId="05918E6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top"/>
          </w:tcPr>
          <w:p w14:paraId="5E0A458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96</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top"/>
          </w:tcPr>
          <w:p w14:paraId="5311541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771F83E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96</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2EDA5D4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5308F7C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806" w:type="pct"/>
            <w:tcBorders>
              <w:top w:val="single" w:color="000000" w:sz="4" w:space="0"/>
              <w:left w:val="single" w:color="000000" w:sz="4" w:space="0"/>
              <w:bottom w:val="single" w:color="000000" w:sz="4" w:space="0"/>
              <w:right w:val="single" w:color="000000" w:sz="4" w:space="0"/>
            </w:tcBorders>
            <w:shd w:val="clear" w:color="auto" w:fill="auto"/>
            <w:vAlign w:val="top"/>
          </w:tcPr>
          <w:p w14:paraId="32C9E1C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575C4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7FDF2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top"/>
          </w:tcPr>
          <w:p w14:paraId="74BAD06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成本指标</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top"/>
          </w:tcPr>
          <w:p w14:paraId="575D9BE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经济成本指标</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top"/>
          </w:tcPr>
          <w:p w14:paraId="540F47A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该项目预估经济成本</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top"/>
          </w:tcPr>
          <w:p w14:paraId="0CD4573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top"/>
          </w:tcPr>
          <w:p w14:paraId="0D36634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93</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top"/>
          </w:tcPr>
          <w:p w14:paraId="58B9ED6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万元</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01DDDBC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93</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035D488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0ED794E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806" w:type="pct"/>
            <w:tcBorders>
              <w:top w:val="single" w:color="000000" w:sz="4" w:space="0"/>
              <w:left w:val="single" w:color="000000" w:sz="4" w:space="0"/>
              <w:bottom w:val="single" w:color="000000" w:sz="4" w:space="0"/>
              <w:right w:val="single" w:color="000000" w:sz="4" w:space="0"/>
            </w:tcBorders>
            <w:shd w:val="clear" w:color="auto" w:fill="auto"/>
            <w:vAlign w:val="top"/>
          </w:tcPr>
          <w:p w14:paraId="1C5EC63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524A1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631"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0448364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合计</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29CF0A2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cs="Times New Roman"/>
                <w:color w:val="000000"/>
                <w:kern w:val="0"/>
                <w:sz w:val="20"/>
                <w:szCs w:val="20"/>
                <w:lang w:val="en-US" w:eastAsia="zh-CN"/>
              </w:rPr>
              <w:t>9</w:t>
            </w:r>
            <w:r>
              <w:rPr>
                <w:rFonts w:hint="eastAsia" w:ascii="Times New Roman" w:hAnsi="Times New Roman" w:eastAsia="宋体" w:cs="Times New Roman"/>
                <w:color w:val="000000"/>
                <w:kern w:val="0"/>
                <w:sz w:val="20"/>
                <w:szCs w:val="20"/>
                <w:lang w:val="en-US" w:eastAsia="zh-CN"/>
              </w:rPr>
              <w:t>0</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top"/>
          </w:tcPr>
          <w:p w14:paraId="47042CC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cs="Times New Roman"/>
                <w:color w:val="000000"/>
                <w:kern w:val="0"/>
                <w:sz w:val="20"/>
                <w:szCs w:val="20"/>
                <w:lang w:val="en-US" w:eastAsia="zh-CN"/>
              </w:rPr>
              <w:t>9</w:t>
            </w:r>
            <w:r>
              <w:rPr>
                <w:rFonts w:hint="eastAsia" w:ascii="Times New Roman" w:hAnsi="Times New Roman" w:eastAsia="宋体" w:cs="Times New Roman"/>
                <w:color w:val="000000"/>
                <w:kern w:val="0"/>
                <w:sz w:val="20"/>
                <w:szCs w:val="20"/>
                <w:lang w:val="en-US" w:eastAsia="zh-CN"/>
              </w:rPr>
              <w:t>0</w:t>
            </w:r>
          </w:p>
        </w:tc>
        <w:tc>
          <w:tcPr>
            <w:tcW w:w="806" w:type="pct"/>
            <w:tcBorders>
              <w:top w:val="single" w:color="000000" w:sz="4" w:space="0"/>
              <w:left w:val="single" w:color="000000" w:sz="4" w:space="0"/>
              <w:bottom w:val="single" w:color="000000" w:sz="4" w:space="0"/>
              <w:right w:val="single" w:color="000000" w:sz="4" w:space="0"/>
            </w:tcBorders>
            <w:shd w:val="clear" w:color="auto" w:fill="auto"/>
            <w:vAlign w:val="top"/>
          </w:tcPr>
          <w:p w14:paraId="300811C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7266F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top"/>
          </w:tcPr>
          <w:p w14:paraId="742CE2E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评价结论</w:t>
            </w:r>
          </w:p>
        </w:tc>
        <w:tc>
          <w:tcPr>
            <w:tcW w:w="4664" w:type="pct"/>
            <w:gridSpan w:val="10"/>
            <w:tcBorders>
              <w:top w:val="single" w:color="000000" w:sz="4" w:space="0"/>
              <w:left w:val="single" w:color="000000" w:sz="4" w:space="0"/>
              <w:bottom w:val="single" w:color="000000" w:sz="4" w:space="0"/>
              <w:right w:val="single" w:color="000000" w:sz="4" w:space="0"/>
            </w:tcBorders>
            <w:shd w:val="clear" w:color="auto" w:fill="auto"/>
            <w:vAlign w:val="top"/>
          </w:tcPr>
          <w:p w14:paraId="17A2A34A">
            <w:pPr>
              <w:widowControl/>
              <w:spacing w:line="240" w:lineRule="exact"/>
              <w:ind w:firstLine="400" w:firstLineChars="200"/>
              <w:jc w:val="left"/>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本项目在于乡村振兴产业发展，促进三产融合。有利于乡村党群事业发展，为实现乡村振兴添砖加瓦，为发展经济提供基础指挥平台，能为茂县社会经济带来更多正面影响。</w:t>
            </w:r>
          </w:p>
        </w:tc>
      </w:tr>
      <w:tr w14:paraId="02C96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top"/>
          </w:tcPr>
          <w:p w14:paraId="66B2591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存在问题</w:t>
            </w:r>
          </w:p>
        </w:tc>
        <w:tc>
          <w:tcPr>
            <w:tcW w:w="4664" w:type="pct"/>
            <w:gridSpan w:val="10"/>
            <w:tcBorders>
              <w:top w:val="single" w:color="000000" w:sz="4" w:space="0"/>
              <w:left w:val="single" w:color="000000" w:sz="4" w:space="0"/>
              <w:bottom w:val="single" w:color="000000" w:sz="4" w:space="0"/>
              <w:right w:val="single" w:color="000000" w:sz="4" w:space="0"/>
            </w:tcBorders>
            <w:shd w:val="clear" w:color="auto" w:fill="auto"/>
            <w:vAlign w:val="top"/>
          </w:tcPr>
          <w:p w14:paraId="51878C4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p w14:paraId="144395E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无</w:t>
            </w:r>
          </w:p>
        </w:tc>
      </w:tr>
      <w:tr w14:paraId="22DCE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top"/>
          </w:tcPr>
          <w:p w14:paraId="0510666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改进措施</w:t>
            </w:r>
          </w:p>
        </w:tc>
        <w:tc>
          <w:tcPr>
            <w:tcW w:w="4664" w:type="pct"/>
            <w:gridSpan w:val="10"/>
            <w:tcBorders>
              <w:top w:val="single" w:color="000000" w:sz="4" w:space="0"/>
              <w:left w:val="single" w:color="000000" w:sz="4" w:space="0"/>
              <w:bottom w:val="single" w:color="000000" w:sz="4" w:space="0"/>
              <w:right w:val="single" w:color="000000" w:sz="4" w:space="0"/>
            </w:tcBorders>
            <w:shd w:val="clear" w:color="auto" w:fill="auto"/>
            <w:vAlign w:val="top"/>
          </w:tcPr>
          <w:p w14:paraId="24ED4A1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p w14:paraId="7585ECC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无</w:t>
            </w:r>
          </w:p>
        </w:tc>
      </w:tr>
      <w:tr w14:paraId="15D82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402" w:type="pct"/>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1187779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项目负责人：</w:t>
            </w:r>
            <w:r>
              <w:rPr>
                <w:rFonts w:hint="eastAsia" w:ascii="Times New Roman" w:hAnsi="Times New Roman" w:cs="Times New Roman"/>
                <w:color w:val="000000"/>
                <w:kern w:val="0"/>
                <w:sz w:val="20"/>
                <w:szCs w:val="20"/>
                <w:lang w:val="en-US" w:eastAsia="zh-CN"/>
              </w:rPr>
              <w:t>王红</w:t>
            </w:r>
          </w:p>
        </w:tc>
        <w:tc>
          <w:tcPr>
            <w:tcW w:w="2597"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20EA56A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财务负责人：</w:t>
            </w:r>
            <w:r>
              <w:rPr>
                <w:rFonts w:hint="eastAsia" w:ascii="Times New Roman" w:hAnsi="Times New Roman" w:cs="Times New Roman"/>
                <w:color w:val="000000"/>
                <w:kern w:val="0"/>
                <w:sz w:val="20"/>
                <w:szCs w:val="20"/>
                <w:lang w:val="en-US" w:eastAsia="zh-CN"/>
              </w:rPr>
              <w:t>徐慧</w:t>
            </w:r>
          </w:p>
        </w:tc>
      </w:tr>
    </w:tbl>
    <w:p w14:paraId="4A265D33">
      <w:pPr>
        <w:rPr>
          <w:rFonts w:hint="eastAsia" w:ascii="黑体" w:eastAsia="黑体" w:cs="黑体"/>
          <w:b w:val="0"/>
          <w:bCs w:val="0"/>
        </w:rPr>
      </w:pPr>
    </w:p>
    <w:p w14:paraId="3EB7F39C">
      <w:pPr>
        <w:rPr>
          <w:rFonts w:hint="eastAsia" w:ascii="黑体" w:eastAsia="黑体" w:cs="黑体"/>
          <w:b w:val="0"/>
          <w:bCs w:val="0"/>
        </w:rPr>
      </w:pPr>
    </w:p>
    <w:p w14:paraId="45F63F2C">
      <w:pPr>
        <w:rPr>
          <w:rFonts w:hint="eastAsia" w:ascii="黑体" w:eastAsia="黑体" w:cs="黑体"/>
          <w:b w:val="0"/>
          <w:bCs w:val="0"/>
        </w:rPr>
      </w:pPr>
    </w:p>
    <w:p w14:paraId="5A19A3FA">
      <w:pPr>
        <w:rPr>
          <w:rFonts w:hint="eastAsia" w:ascii="黑体" w:eastAsia="黑体" w:cs="黑体"/>
          <w:b w:val="0"/>
          <w:bCs w:val="0"/>
        </w:rPr>
      </w:pPr>
    </w:p>
    <w:tbl>
      <w:tblPr>
        <w:tblStyle w:val="1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6"/>
        <w:gridCol w:w="1184"/>
        <w:gridCol w:w="1004"/>
        <w:gridCol w:w="1319"/>
        <w:gridCol w:w="416"/>
        <w:gridCol w:w="940"/>
        <w:gridCol w:w="416"/>
        <w:gridCol w:w="933"/>
        <w:gridCol w:w="416"/>
        <w:gridCol w:w="416"/>
        <w:gridCol w:w="1514"/>
      </w:tblGrid>
      <w:tr w14:paraId="64997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EFCC0E2">
            <w:pPr>
              <w:pStyle w:val="14"/>
              <w:keepNext w:val="0"/>
              <w:keepLines w:val="0"/>
              <w:pageBreakBefore w:val="0"/>
              <w:numPr>
                <w:ilvl w:val="0"/>
                <w:numId w:val="0"/>
              </w:numPr>
              <w:kinsoku/>
              <w:wordWrap/>
              <w:overflowPunct/>
              <w:topLinePunct w:val="0"/>
              <w:autoSpaceDE/>
              <w:autoSpaceDN/>
              <w:bidi w:val="0"/>
              <w:spacing w:line="576" w:lineRule="exact"/>
              <w:ind w:firstLine="1506" w:firstLineChars="500"/>
              <w:textAlignment w:val="auto"/>
              <w:rPr>
                <w:rFonts w:hint="eastAsia" w:ascii="Times New Roman" w:hAnsi="Times New Roman" w:eastAsia="宋体" w:cs="Times New Roman"/>
                <w:color w:val="000000"/>
                <w:kern w:val="0"/>
                <w:sz w:val="20"/>
                <w:szCs w:val="20"/>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8577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7168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项目名称</w:t>
            </w:r>
          </w:p>
        </w:tc>
        <w:tc>
          <w:tcPr>
            <w:tcW w:w="403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43FD3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51322325T000014039935-沟口镇水草坪村苹果产业示范基地项目</w:t>
            </w:r>
          </w:p>
        </w:tc>
      </w:tr>
      <w:tr w14:paraId="6A9E7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1308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主管部门</w:t>
            </w:r>
          </w:p>
        </w:tc>
        <w:tc>
          <w:tcPr>
            <w:tcW w:w="238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1A36C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茂县沟口镇人民政府</w:t>
            </w:r>
          </w:p>
        </w:tc>
        <w:tc>
          <w:tcPr>
            <w:tcW w:w="386" w:type="pct"/>
            <w:tcBorders>
              <w:top w:val="nil"/>
              <w:left w:val="nil"/>
              <w:bottom w:val="nil"/>
              <w:right w:val="nil"/>
            </w:tcBorders>
            <w:shd w:val="clear" w:color="auto" w:fill="auto"/>
            <w:vAlign w:val="center"/>
          </w:tcPr>
          <w:p w14:paraId="5A865F6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实施单位 （盖章）</w:t>
            </w:r>
          </w:p>
        </w:tc>
        <w:tc>
          <w:tcPr>
            <w:tcW w:w="12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044BF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茂县沟口镇人民政府（行政）</w:t>
            </w:r>
          </w:p>
        </w:tc>
      </w:tr>
      <w:tr w14:paraId="405EA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3CC5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项目基本情况</w:t>
            </w:r>
          </w:p>
        </w:tc>
        <w:tc>
          <w:tcPr>
            <w:tcW w:w="7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4079D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1.项目年度目标完成情况</w:t>
            </w:r>
          </w:p>
        </w:tc>
        <w:tc>
          <w:tcPr>
            <w:tcW w:w="238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89BE3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项目年度目标</w:t>
            </w:r>
          </w:p>
        </w:tc>
        <w:tc>
          <w:tcPr>
            <w:tcW w:w="16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9022A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年度目标完成情况</w:t>
            </w:r>
          </w:p>
        </w:tc>
      </w:tr>
      <w:tr w14:paraId="2495A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293B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ED9C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238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A1BED1">
            <w:pPr>
              <w:widowControl/>
              <w:spacing w:line="240" w:lineRule="exact"/>
              <w:jc w:val="left"/>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项目名称：沟口镇水草坪村苹果产业示范基地项目。</w:t>
            </w:r>
            <w:r>
              <w:rPr>
                <w:rFonts w:hint="eastAsia" w:ascii="Times New Roman" w:hAnsi="Times New Roman" w:eastAsia="宋体" w:cs="Times New Roman"/>
                <w:color w:val="000000"/>
                <w:kern w:val="0"/>
                <w:sz w:val="20"/>
                <w:szCs w:val="20"/>
                <w:lang w:val="en-US" w:eastAsia="zh-CN"/>
              </w:rPr>
              <w:br w:type="textWrapping"/>
            </w:r>
            <w:r>
              <w:rPr>
                <w:rFonts w:hint="eastAsia" w:ascii="Times New Roman" w:hAnsi="Times New Roman" w:eastAsia="宋体" w:cs="Times New Roman"/>
                <w:color w:val="000000"/>
                <w:kern w:val="0"/>
                <w:sz w:val="20"/>
                <w:szCs w:val="20"/>
                <w:lang w:val="en-US" w:eastAsia="zh-CN"/>
              </w:rPr>
              <w:t>项目地点：水草坪村。</w:t>
            </w:r>
            <w:r>
              <w:rPr>
                <w:rFonts w:hint="eastAsia" w:ascii="Times New Roman" w:hAnsi="Times New Roman" w:eastAsia="宋体" w:cs="Times New Roman"/>
                <w:color w:val="000000"/>
                <w:kern w:val="0"/>
                <w:sz w:val="20"/>
                <w:szCs w:val="20"/>
                <w:lang w:val="en-US" w:eastAsia="zh-CN"/>
              </w:rPr>
              <w:br w:type="textWrapping"/>
            </w:r>
            <w:r>
              <w:rPr>
                <w:rFonts w:hint="eastAsia" w:ascii="Times New Roman" w:hAnsi="Times New Roman" w:eastAsia="宋体" w:cs="Times New Roman"/>
                <w:color w:val="000000"/>
                <w:kern w:val="0"/>
                <w:sz w:val="20"/>
                <w:szCs w:val="20"/>
                <w:lang w:val="en-US" w:eastAsia="zh-CN"/>
              </w:rPr>
              <w:t>项目预算总投入：200万元。</w:t>
            </w:r>
            <w:r>
              <w:rPr>
                <w:rFonts w:hint="eastAsia" w:ascii="Times New Roman" w:hAnsi="Times New Roman" w:eastAsia="宋体" w:cs="Times New Roman"/>
                <w:color w:val="000000"/>
                <w:kern w:val="0"/>
                <w:sz w:val="20"/>
                <w:szCs w:val="20"/>
                <w:lang w:val="en-US" w:eastAsia="zh-CN"/>
              </w:rPr>
              <w:br w:type="textWrapping"/>
            </w:r>
            <w:r>
              <w:rPr>
                <w:rFonts w:hint="eastAsia" w:ascii="Times New Roman" w:hAnsi="Times New Roman" w:eastAsia="宋体" w:cs="Times New Roman"/>
                <w:color w:val="000000"/>
                <w:kern w:val="0"/>
                <w:sz w:val="20"/>
                <w:szCs w:val="20"/>
                <w:lang w:val="en-US" w:eastAsia="zh-CN"/>
              </w:rPr>
              <w:t>项目摘要：土地整治100亩，150亩农田灌溉及防草地布、地钉等。灌溉水源1处，提灌站维护，灌溉水池500立方一口，产业路硬化1500米，底边围栏安装3000米，20亩防爆网。</w:t>
            </w:r>
          </w:p>
        </w:tc>
        <w:tc>
          <w:tcPr>
            <w:tcW w:w="16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CC59B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2025年度，完成率100%。</w:t>
            </w:r>
          </w:p>
        </w:tc>
      </w:tr>
      <w:tr w14:paraId="73982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0D54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A92A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2.项目实施内容及过程概述</w:t>
            </w:r>
          </w:p>
        </w:tc>
        <w:tc>
          <w:tcPr>
            <w:tcW w:w="403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23D9BA">
            <w:pPr>
              <w:widowControl/>
              <w:spacing w:line="240" w:lineRule="exact"/>
              <w:jc w:val="left"/>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cs="Times New Roman"/>
                <w:color w:val="000000"/>
                <w:kern w:val="0"/>
                <w:sz w:val="20"/>
                <w:szCs w:val="20"/>
                <w:lang w:val="en-US" w:eastAsia="zh-CN"/>
              </w:rPr>
              <w:t xml:space="preserve">    </w:t>
            </w:r>
            <w:r>
              <w:rPr>
                <w:rFonts w:hint="eastAsia" w:ascii="Times New Roman" w:hAnsi="Times New Roman" w:eastAsia="宋体" w:cs="Times New Roman"/>
                <w:color w:val="000000"/>
                <w:kern w:val="0"/>
                <w:sz w:val="20"/>
                <w:szCs w:val="20"/>
                <w:lang w:val="en-US" w:eastAsia="zh-CN"/>
              </w:rPr>
              <w:t>2025年沟口镇水草坪村苹果产业示范基地项目,县财政分配沟口镇200万元。主要用于：土地整治100亩；150亩农田灌溉及防草地布、地钉等；灌溉水源1处，提灌站维护，灌溉水池500立方一口；产业路硬化1500米，底边围栏安装3000米，20亩防爆网。</w:t>
            </w:r>
          </w:p>
        </w:tc>
      </w:tr>
      <w:tr w14:paraId="70AEA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90E94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预算执行情况（10分）</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2C79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年度预算数（万元）</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AEA0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年初预算</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780A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调整后预算数</w:t>
            </w:r>
          </w:p>
        </w:tc>
        <w:tc>
          <w:tcPr>
            <w:tcW w:w="96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0B24E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71BA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预算执行率</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1FA0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权重</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BC68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得分</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336F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原因</w:t>
            </w:r>
          </w:p>
        </w:tc>
      </w:tr>
      <w:tr w14:paraId="2F0E1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1228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03B5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总额</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81B6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C03D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172.94</w:t>
            </w:r>
          </w:p>
        </w:tc>
        <w:tc>
          <w:tcPr>
            <w:tcW w:w="96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E30F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172.94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8A87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100.00%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620D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CFBA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9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7920A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 xml:space="preserve">     无</w:t>
            </w:r>
          </w:p>
        </w:tc>
      </w:tr>
      <w:tr w14:paraId="6A890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1D78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8441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其中：财政资金</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1A41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017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172.94</w:t>
            </w:r>
          </w:p>
        </w:tc>
        <w:tc>
          <w:tcPr>
            <w:tcW w:w="96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11A05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172.94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710A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100.00%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C1B1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E0C9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9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60BA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50AE1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13CF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554F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财政专户管理资金</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D153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8857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96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0C374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3DD1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8301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3F12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9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8DFC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7CE01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61F7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B3D4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单位资金</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D3A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711A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96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64C4B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FBD1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0.00%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3F5F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0D3E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9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8FDC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1F983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3D77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EB2D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其他资金</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F62F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C5F6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96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115BF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193A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D252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48C0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9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2FE6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10994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932B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绩效指标（90分）</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3CB8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一级指标</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7152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二级指标</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CB12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6AB0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指标性质</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BF66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2C3A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2452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完成值</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C40C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权重</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FFE0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得分</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883F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未完成原因分析</w:t>
            </w:r>
          </w:p>
        </w:tc>
      </w:tr>
      <w:tr w14:paraId="69B6A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75CE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8133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产出指标</w:t>
            </w:r>
          </w:p>
        </w:tc>
        <w:tc>
          <w:tcPr>
            <w:tcW w:w="6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4CBB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数量指标</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8983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先进技术应用覆盖面积</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91D1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E539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6858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亩</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1DD3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2233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B297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7566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2504A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A080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4743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2448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D596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先进技术应用覆盖率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7C32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A46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EEE2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亩</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233B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E554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FD48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E94D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3F92E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C56C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CE78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A39D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质量指标</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E5E6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产业与质量提升（农产品检测合格率））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1CE6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A452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C9E4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772A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21CA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4C98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F598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20514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65D0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B1FD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ECED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时效指标</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D69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技术落地及时性</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C4A8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51D1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98</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1EBD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4DFB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98</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CA2E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51A0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BAB0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2F628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6AB6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83E02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效益指标</w:t>
            </w:r>
          </w:p>
        </w:tc>
        <w:tc>
          <w:tcPr>
            <w:tcW w:w="6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8D48F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社会效益指标</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804C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增加就业和推动乡村振兴，带动产业链发展。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0BE3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定性</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D5A1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进一步保障</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2E7E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F6C6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进一步保障</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1926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5</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707A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5</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D408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608BB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11F3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0B38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D4B9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727D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直接吸纳本地劳动力人数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A0C5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2CFE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300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F624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A203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300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3D92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5</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381D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5</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58EB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0723F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7C9C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5EB3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5EDA7">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生态效益指标</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8FAC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基地绿化覆盖率提升幅度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D837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C56BC">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F5AC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454D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15</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B3CA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5</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00C2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5</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C7DE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31D6A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CE76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0EB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9658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4B1C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生态环境改善，基地绿化覆盖率提升，减少水土流失。</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37E7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定性</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565B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进一步保障</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07C3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86F0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进一步保障</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D488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5</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B23A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5</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FA83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377F2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8E70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8257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满意度指标</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F3881">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服务对象满意度指标</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D020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受益群众满意度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E212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AE2A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97</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3AF7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83E0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97</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1D60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0E35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3A21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7E7F4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675BA">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C932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成本指标</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0ABD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经济成本指标</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5283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该项目控制经济成本数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C3F5F">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7395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BE39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E7D1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200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7AFA6">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4A840">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10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4171E">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48B41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D05C38">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合计</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9363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cs="Times New Roman"/>
                <w:color w:val="000000"/>
                <w:kern w:val="0"/>
                <w:sz w:val="20"/>
                <w:szCs w:val="20"/>
                <w:lang w:val="en-US" w:eastAsia="zh-CN"/>
              </w:rPr>
              <w:t>9</w:t>
            </w:r>
            <w:r>
              <w:rPr>
                <w:rFonts w:hint="eastAsia" w:ascii="Times New Roman" w:hAnsi="Times New Roman" w:eastAsia="宋体" w:cs="Times New Roman"/>
                <w:color w:val="000000"/>
                <w:kern w:val="0"/>
                <w:sz w:val="20"/>
                <w:szCs w:val="20"/>
                <w:lang w:val="en-US" w:eastAsia="zh-CN"/>
              </w:rPr>
              <w:t>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C51E4">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cs="Times New Roman"/>
                <w:color w:val="000000"/>
                <w:kern w:val="0"/>
                <w:sz w:val="20"/>
                <w:szCs w:val="20"/>
                <w:lang w:val="en-US" w:eastAsia="zh-CN"/>
              </w:rPr>
              <w:t>9</w:t>
            </w:r>
            <w:r>
              <w:rPr>
                <w:rFonts w:hint="eastAsia" w:ascii="Times New Roman" w:hAnsi="Times New Roman" w:eastAsia="宋体" w:cs="Times New Roman"/>
                <w:color w:val="000000"/>
                <w:kern w:val="0"/>
                <w:sz w:val="20"/>
                <w:szCs w:val="20"/>
                <w:lang w:val="en-US" w:eastAsia="zh-CN"/>
              </w:rPr>
              <w:t>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12FE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p>
        </w:tc>
      </w:tr>
      <w:tr w14:paraId="73666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4C3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577F96">
            <w:pPr>
              <w:widowControl/>
              <w:spacing w:line="240" w:lineRule="exact"/>
              <w:ind w:firstLine="400" w:firstLineChars="200"/>
              <w:jc w:val="left"/>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该项目有利于乡村党群事业发展，为实现乡村振兴添砖加瓦，为发展经济提供基础指挥平台，能为茂县社会经济带来更多正面影响。</w:t>
            </w:r>
          </w:p>
        </w:tc>
      </w:tr>
      <w:tr w14:paraId="3CCCF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40185">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EB5BFB">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无</w:t>
            </w:r>
          </w:p>
        </w:tc>
      </w:tr>
      <w:tr w14:paraId="4AB59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9E872">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9ADD49">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无</w:t>
            </w:r>
          </w:p>
        </w:tc>
      </w:tr>
      <w:tr w14:paraId="21089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5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35153D">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项目负责人：</w:t>
            </w:r>
            <w:r>
              <w:rPr>
                <w:rFonts w:hint="eastAsia" w:ascii="Times New Roman" w:hAnsi="Times New Roman" w:cs="Times New Roman"/>
                <w:color w:val="000000"/>
                <w:kern w:val="0"/>
                <w:sz w:val="20"/>
                <w:szCs w:val="20"/>
                <w:lang w:val="en-US" w:eastAsia="zh-CN"/>
              </w:rPr>
              <w:t>王红</w:t>
            </w:r>
          </w:p>
        </w:tc>
        <w:tc>
          <w:tcPr>
            <w:tcW w:w="242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24D283">
            <w:pPr>
              <w:widowControl/>
              <w:spacing w:line="240" w:lineRule="exact"/>
              <w:jc w:val="center"/>
              <w:textAlignment w:val="center"/>
              <w:rPr>
                <w:rFonts w:hint="eastAsia" w:ascii="Times New Roman" w:hAnsi="Times New Roman" w:eastAsia="宋体" w:cs="Times New Roman"/>
                <w:color w:val="000000"/>
                <w:kern w:val="0"/>
                <w:sz w:val="20"/>
                <w:szCs w:val="20"/>
                <w:lang w:val="en-US" w:eastAsia="zh-CN"/>
              </w:rPr>
            </w:pPr>
            <w:r>
              <w:rPr>
                <w:rFonts w:hint="eastAsia" w:ascii="Times New Roman" w:hAnsi="Times New Roman" w:eastAsia="宋体" w:cs="Times New Roman"/>
                <w:color w:val="000000"/>
                <w:kern w:val="0"/>
                <w:sz w:val="20"/>
                <w:szCs w:val="20"/>
                <w:lang w:val="en-US" w:eastAsia="zh-CN"/>
              </w:rPr>
              <w:t>财务负责人：</w:t>
            </w:r>
            <w:r>
              <w:rPr>
                <w:rFonts w:hint="eastAsia" w:ascii="Times New Roman" w:hAnsi="Times New Roman" w:cs="Times New Roman"/>
                <w:color w:val="000000"/>
                <w:kern w:val="0"/>
                <w:sz w:val="20"/>
                <w:szCs w:val="20"/>
                <w:lang w:val="en-US" w:eastAsia="zh-CN"/>
              </w:rPr>
              <w:t>徐慧</w:t>
            </w:r>
          </w:p>
        </w:tc>
      </w:tr>
    </w:tbl>
    <w:p w14:paraId="64E7D348">
      <w:pPr>
        <w:rPr>
          <w:rFonts w:hint="eastAsia" w:ascii="黑体" w:eastAsia="黑体" w:cs="黑体"/>
          <w:b w:val="0"/>
          <w:bCs w:val="0"/>
        </w:rPr>
      </w:pPr>
    </w:p>
    <w:p w14:paraId="7E17334D">
      <w:pPr>
        <w:rPr>
          <w:rFonts w:hint="eastAsia" w:ascii="黑体" w:eastAsia="黑体" w:cs="黑体"/>
          <w:b w:val="0"/>
          <w:bCs w:val="0"/>
        </w:rPr>
      </w:pPr>
    </w:p>
    <w:p w14:paraId="6C8D0DB7">
      <w:pPr>
        <w:rPr>
          <w:rFonts w:hint="eastAsia" w:ascii="黑体" w:eastAsia="黑体" w:cs="黑体"/>
          <w:b w:val="0"/>
          <w:bCs w:val="0"/>
        </w:rPr>
      </w:pP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188"/>
        <w:gridCol w:w="1005"/>
        <w:gridCol w:w="1325"/>
        <w:gridCol w:w="400"/>
        <w:gridCol w:w="941"/>
        <w:gridCol w:w="396"/>
        <w:gridCol w:w="851"/>
        <w:gridCol w:w="483"/>
        <w:gridCol w:w="484"/>
        <w:gridCol w:w="1525"/>
      </w:tblGrid>
      <w:tr w14:paraId="491A1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7DFA1F1">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121D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301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4FF4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51322326T000014132117-茂县第二综合应急救援中心改造项目</w:t>
            </w:r>
          </w:p>
        </w:tc>
      </w:tr>
      <w:tr w14:paraId="384EC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272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1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63C398">
            <w:pPr>
              <w:keepNext w:val="0"/>
              <w:keepLines w:val="0"/>
              <w:widowControl/>
              <w:suppressLineNumbers w:val="0"/>
              <w:ind w:firstLine="720" w:firstLineChars="40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茂县沟口镇人民政府</w:t>
            </w:r>
          </w:p>
        </w:tc>
        <w:tc>
          <w:tcPr>
            <w:tcW w:w="462" w:type="pct"/>
            <w:tcBorders>
              <w:top w:val="nil"/>
              <w:left w:val="nil"/>
              <w:bottom w:val="nil"/>
              <w:right w:val="nil"/>
            </w:tcBorders>
            <w:shd w:val="clear" w:color="auto" w:fill="auto"/>
            <w:vAlign w:val="center"/>
          </w:tcPr>
          <w:p w14:paraId="2799C74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FEE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茂县沟口镇人民政府（行政）</w:t>
            </w:r>
          </w:p>
        </w:tc>
      </w:tr>
      <w:tr w14:paraId="48FD0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7C5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672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1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E43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24FD3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C02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1261F">
            <w:pPr>
              <w:rPr>
                <w:rFonts w:hint="eastAsia" w:ascii="宋体" w:hAnsi="宋体" w:eastAsia="宋体" w:cs="宋体"/>
                <w:i w:val="0"/>
                <w:iCs w:val="0"/>
                <w:color w:val="000000"/>
                <w:sz w:val="18"/>
                <w:szCs w:val="18"/>
                <w:u w:val="none"/>
              </w:rPr>
            </w:pPr>
          </w:p>
        </w:tc>
        <w:tc>
          <w:tcPr>
            <w:tcW w:w="6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6585C">
            <w:pPr>
              <w:rPr>
                <w:rFonts w:hint="eastAsia" w:ascii="宋体" w:hAnsi="宋体" w:eastAsia="宋体" w:cs="宋体"/>
                <w:i w:val="0"/>
                <w:iCs w:val="0"/>
                <w:color w:val="000000"/>
                <w:sz w:val="18"/>
                <w:szCs w:val="18"/>
                <w:u w:val="none"/>
              </w:rPr>
            </w:pPr>
          </w:p>
        </w:tc>
        <w:tc>
          <w:tcPr>
            <w:tcW w:w="221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840C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茂县第二综合应急救援中心改造项目，财政资金投入：958800元。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主要内容为：将原飞虹乡政府办公楼一楼二楼翻新改造，设立应急指挥部、应急物资储备室、临时医疗救助室、受灾群众临时安置室“一部三室”，职工住宿楼重新内装修改建为应急救援队生活住宿，主体外墙真石漆；大门翻新改造，新建停车场及硬化部分地面，项目总占地面积约683.3平方米。</w:t>
            </w:r>
          </w:p>
        </w:tc>
        <w:tc>
          <w:tcPr>
            <w:tcW w:w="18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4690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2025年度，完成率100%。</w:t>
            </w:r>
          </w:p>
        </w:tc>
      </w:tr>
      <w:tr w14:paraId="36F8E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585BA">
            <w:pPr>
              <w:rPr>
                <w:rFonts w:hint="eastAsia" w:ascii="宋体" w:hAnsi="宋体" w:eastAsia="宋体" w:cs="宋体"/>
                <w:i w:val="0"/>
                <w:iCs w:val="0"/>
                <w:color w:val="000000"/>
                <w:sz w:val="18"/>
                <w:szCs w:val="18"/>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6E4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FA4CD4">
            <w:pPr>
              <w:keepNext w:val="0"/>
              <w:keepLines w:val="0"/>
              <w:widowControl/>
              <w:suppressLineNumbers w:val="0"/>
              <w:ind w:firstLine="360" w:firstLineChars="20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第二综合应急救援中心改造项目,县财政下达沟口镇95.88万元。该笔资金用于：将原飞虹乡政府办公楼一楼二楼翻新改造，设立应急指挥部、应急物资储备室、临时医疗救助室、受灾群众临时安置室“一部三室”，职工住宿楼重新内装修建为应急救援队生活住宿，主体外墙真石漆；大门翻新改造，新建立停车场及硬化部分地面，项目总占地面积为683.3平方米。</w:t>
            </w:r>
          </w:p>
        </w:tc>
      </w:tr>
      <w:tr w14:paraId="59664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70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38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63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A9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4BC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14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66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A4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B4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3405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C01A6">
            <w:pPr>
              <w:jc w:val="center"/>
              <w:rPr>
                <w:rFonts w:hint="eastAsia" w:ascii="宋体" w:hAnsi="宋体" w:eastAsia="宋体" w:cs="宋体"/>
                <w:i w:val="0"/>
                <w:iCs w:val="0"/>
                <w:color w:val="000000"/>
                <w:sz w:val="18"/>
                <w:szCs w:val="18"/>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B5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E9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DA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91.78</w:t>
            </w:r>
          </w:p>
        </w:tc>
        <w:tc>
          <w:tcPr>
            <w:tcW w:w="9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9A5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91.78</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E8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C2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F953F">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c>
          <w:tcPr>
            <w:tcW w:w="8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9BB9F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 xml:space="preserve">     无</w:t>
            </w:r>
          </w:p>
        </w:tc>
      </w:tr>
      <w:tr w14:paraId="7985C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CCA62">
            <w:pPr>
              <w:jc w:val="center"/>
              <w:rPr>
                <w:rFonts w:hint="eastAsia" w:ascii="宋体" w:hAnsi="宋体" w:eastAsia="宋体" w:cs="宋体"/>
                <w:i w:val="0"/>
                <w:iCs w:val="0"/>
                <w:color w:val="000000"/>
                <w:sz w:val="18"/>
                <w:szCs w:val="18"/>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A6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00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6E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91.78</w:t>
            </w:r>
          </w:p>
        </w:tc>
        <w:tc>
          <w:tcPr>
            <w:tcW w:w="9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2D2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91.78</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8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2C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8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420C6">
            <w:pPr>
              <w:rPr>
                <w:rFonts w:hint="eastAsia" w:ascii="黑体" w:hAnsi="黑体" w:eastAsia="黑体" w:cs="黑体"/>
                <w:i/>
                <w:iCs/>
                <w:color w:val="000000"/>
                <w:sz w:val="18"/>
                <w:szCs w:val="18"/>
                <w:u w:val="none"/>
              </w:rPr>
            </w:pPr>
          </w:p>
        </w:tc>
      </w:tr>
      <w:tr w14:paraId="11C0B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D6EB1">
            <w:pPr>
              <w:jc w:val="center"/>
              <w:rPr>
                <w:rFonts w:hint="eastAsia" w:ascii="宋体" w:hAnsi="宋体" w:eastAsia="宋体" w:cs="宋体"/>
                <w:i w:val="0"/>
                <w:iCs w:val="0"/>
                <w:color w:val="000000"/>
                <w:sz w:val="18"/>
                <w:szCs w:val="18"/>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AA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5A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7E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7EB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4E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04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FF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B913D">
            <w:pPr>
              <w:rPr>
                <w:rFonts w:hint="eastAsia" w:ascii="黑体" w:hAnsi="黑体" w:eastAsia="黑体" w:cs="黑体"/>
                <w:i/>
                <w:iCs/>
                <w:color w:val="000000"/>
                <w:sz w:val="18"/>
                <w:szCs w:val="18"/>
                <w:u w:val="none"/>
              </w:rPr>
            </w:pPr>
          </w:p>
        </w:tc>
      </w:tr>
      <w:tr w14:paraId="7479F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E0E76">
            <w:pPr>
              <w:jc w:val="center"/>
              <w:rPr>
                <w:rFonts w:hint="eastAsia" w:ascii="宋体" w:hAnsi="宋体" w:eastAsia="宋体" w:cs="宋体"/>
                <w:i w:val="0"/>
                <w:iCs w:val="0"/>
                <w:color w:val="000000"/>
                <w:sz w:val="18"/>
                <w:szCs w:val="18"/>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00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E4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4D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F8C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E1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29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9F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ABE2A">
            <w:pPr>
              <w:rPr>
                <w:rFonts w:hint="eastAsia" w:ascii="黑体" w:hAnsi="黑体" w:eastAsia="黑体" w:cs="黑体"/>
                <w:i/>
                <w:iCs/>
                <w:color w:val="000000"/>
                <w:sz w:val="18"/>
                <w:szCs w:val="18"/>
                <w:u w:val="none"/>
              </w:rPr>
            </w:pPr>
          </w:p>
        </w:tc>
      </w:tr>
      <w:tr w14:paraId="5F01A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6A2AA">
            <w:pPr>
              <w:jc w:val="center"/>
              <w:rPr>
                <w:rFonts w:hint="eastAsia" w:ascii="宋体" w:hAnsi="宋体" w:eastAsia="宋体" w:cs="宋体"/>
                <w:i w:val="0"/>
                <w:iCs w:val="0"/>
                <w:color w:val="000000"/>
                <w:sz w:val="18"/>
                <w:szCs w:val="18"/>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9C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42A5B">
            <w:pPr>
              <w:jc w:val="center"/>
              <w:rPr>
                <w:rFonts w:hint="eastAsia" w:ascii="微软雅黑" w:hAnsi="微软雅黑" w:eastAsia="微软雅黑" w:cs="微软雅黑"/>
                <w:i/>
                <w:iCs/>
                <w:color w:val="000000"/>
                <w:sz w:val="16"/>
                <w:szCs w:val="16"/>
                <w:u w:val="none"/>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8D663">
            <w:pPr>
              <w:jc w:val="center"/>
              <w:rPr>
                <w:rFonts w:hint="eastAsia" w:ascii="微软雅黑" w:hAnsi="微软雅黑" w:eastAsia="微软雅黑" w:cs="微软雅黑"/>
                <w:i/>
                <w:iCs/>
                <w:color w:val="000000"/>
                <w:sz w:val="16"/>
                <w:szCs w:val="16"/>
                <w:u w:val="none"/>
              </w:rPr>
            </w:pPr>
          </w:p>
        </w:tc>
        <w:tc>
          <w:tcPr>
            <w:tcW w:w="9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00142">
            <w:pPr>
              <w:jc w:val="center"/>
              <w:rPr>
                <w:rFonts w:hint="eastAsia" w:ascii="微软雅黑" w:hAnsi="微软雅黑" w:eastAsia="微软雅黑" w:cs="微软雅黑"/>
                <w:i/>
                <w:iCs/>
                <w:color w:val="000000"/>
                <w:sz w:val="16"/>
                <w:szCs w:val="16"/>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3872B">
            <w:pPr>
              <w:jc w:val="center"/>
              <w:rPr>
                <w:rFonts w:hint="eastAsia" w:ascii="微软雅黑" w:hAnsi="微软雅黑" w:eastAsia="微软雅黑" w:cs="微软雅黑"/>
                <w:i/>
                <w:iCs/>
                <w:color w:val="000000"/>
                <w:sz w:val="16"/>
                <w:szCs w:val="16"/>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FF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28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C6463">
            <w:pPr>
              <w:rPr>
                <w:rFonts w:hint="eastAsia" w:ascii="黑体" w:hAnsi="黑体" w:eastAsia="黑体" w:cs="黑体"/>
                <w:i/>
                <w:iCs/>
                <w:color w:val="000000"/>
                <w:sz w:val="18"/>
                <w:szCs w:val="18"/>
                <w:u w:val="none"/>
              </w:rPr>
            </w:pPr>
          </w:p>
        </w:tc>
      </w:tr>
      <w:tr w14:paraId="22946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D2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CE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43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18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FD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5A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AF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87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DD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10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B3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107F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AB7F6">
            <w:pPr>
              <w:jc w:val="center"/>
              <w:rPr>
                <w:rFonts w:hint="eastAsia" w:ascii="宋体" w:hAnsi="宋体" w:eastAsia="宋体" w:cs="宋体"/>
                <w:i w:val="0"/>
                <w:iCs w:val="0"/>
                <w:color w:val="000000"/>
                <w:sz w:val="18"/>
                <w:szCs w:val="18"/>
                <w:u w:val="none"/>
              </w:rPr>
            </w:pPr>
          </w:p>
        </w:tc>
        <w:tc>
          <w:tcPr>
            <w:tcW w:w="6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534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B4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39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检查监督次数</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FD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B0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05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78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AA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BC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61A7D">
            <w:pPr>
              <w:jc w:val="center"/>
              <w:rPr>
                <w:rFonts w:hint="eastAsia" w:ascii="微软雅黑" w:hAnsi="微软雅黑" w:eastAsia="微软雅黑" w:cs="微软雅黑"/>
                <w:i/>
                <w:iCs/>
                <w:color w:val="000000"/>
                <w:sz w:val="16"/>
                <w:szCs w:val="16"/>
                <w:u w:val="none"/>
              </w:rPr>
            </w:pPr>
          </w:p>
        </w:tc>
      </w:tr>
      <w:tr w14:paraId="1264B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78B60">
            <w:pPr>
              <w:jc w:val="center"/>
              <w:rPr>
                <w:rFonts w:hint="eastAsia" w:ascii="宋体" w:hAnsi="宋体" w:eastAsia="宋体" w:cs="宋体"/>
                <w:i w:val="0"/>
                <w:iCs w:val="0"/>
                <w:color w:val="000000"/>
                <w:sz w:val="18"/>
                <w:szCs w:val="18"/>
                <w:u w:val="none"/>
              </w:rPr>
            </w:pPr>
          </w:p>
        </w:tc>
        <w:tc>
          <w:tcPr>
            <w:tcW w:w="6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9E9B4">
            <w:pPr>
              <w:jc w:val="center"/>
              <w:rPr>
                <w:rFonts w:hint="eastAsia" w:ascii="宋体" w:hAns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E8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06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该项目资金支出规范率</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88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D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84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60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D4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28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67293">
            <w:pPr>
              <w:jc w:val="center"/>
              <w:rPr>
                <w:rFonts w:hint="eastAsia" w:ascii="微软雅黑" w:hAnsi="微软雅黑" w:eastAsia="微软雅黑" w:cs="微软雅黑"/>
                <w:i/>
                <w:iCs/>
                <w:color w:val="000000"/>
                <w:sz w:val="16"/>
                <w:szCs w:val="16"/>
                <w:u w:val="none"/>
              </w:rPr>
            </w:pPr>
          </w:p>
        </w:tc>
      </w:tr>
      <w:tr w14:paraId="4D8B8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82792">
            <w:pPr>
              <w:jc w:val="center"/>
              <w:rPr>
                <w:rFonts w:hint="eastAsia" w:ascii="宋体" w:hAnsi="宋体" w:eastAsia="宋体" w:cs="宋体"/>
                <w:i w:val="0"/>
                <w:iCs w:val="0"/>
                <w:color w:val="000000"/>
                <w:sz w:val="18"/>
                <w:szCs w:val="18"/>
                <w:u w:val="none"/>
              </w:rPr>
            </w:pPr>
          </w:p>
        </w:tc>
        <w:tc>
          <w:tcPr>
            <w:tcW w:w="6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0CE13">
            <w:pPr>
              <w:jc w:val="center"/>
              <w:rPr>
                <w:rFonts w:hint="eastAsia" w:ascii="宋体" w:hAns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BC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70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设备设施完成率</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17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51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86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0D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4A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C1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0304F">
            <w:pPr>
              <w:jc w:val="center"/>
              <w:rPr>
                <w:rFonts w:hint="eastAsia" w:ascii="微软雅黑" w:hAnsi="微软雅黑" w:eastAsia="微软雅黑" w:cs="微软雅黑"/>
                <w:i/>
                <w:iCs/>
                <w:color w:val="000000"/>
                <w:sz w:val="16"/>
                <w:szCs w:val="16"/>
                <w:u w:val="none"/>
              </w:rPr>
            </w:pPr>
          </w:p>
        </w:tc>
      </w:tr>
      <w:tr w14:paraId="1D113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7182F">
            <w:pPr>
              <w:jc w:val="center"/>
              <w:rPr>
                <w:rFonts w:hint="eastAsia" w:ascii="宋体" w:hAnsi="宋体" w:eastAsia="宋体" w:cs="宋体"/>
                <w:i w:val="0"/>
                <w:iCs w:val="0"/>
                <w:color w:val="000000"/>
                <w:sz w:val="18"/>
                <w:szCs w:val="18"/>
                <w:u w:val="none"/>
              </w:rPr>
            </w:pPr>
          </w:p>
        </w:tc>
        <w:tc>
          <w:tcPr>
            <w:tcW w:w="6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140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35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C5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提高职工居住环境，促进公共服务水平提升，优化生活环境，提高生活便利度。</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56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FE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进一步保障</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BB0EE">
            <w:pPr>
              <w:jc w:val="center"/>
              <w:rPr>
                <w:rFonts w:hint="eastAsia" w:ascii="宋体" w:hAnsi="宋体" w:eastAsia="宋体" w:cs="宋体"/>
                <w:i w:val="0"/>
                <w:iCs w:val="0"/>
                <w:color w:val="000000"/>
                <w:sz w:val="18"/>
                <w:szCs w:val="18"/>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EC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进一步保障</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1C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23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61A66">
            <w:pPr>
              <w:jc w:val="center"/>
              <w:rPr>
                <w:rFonts w:hint="eastAsia" w:ascii="微软雅黑" w:hAnsi="微软雅黑" w:eastAsia="微软雅黑" w:cs="微软雅黑"/>
                <w:i/>
                <w:iCs/>
                <w:color w:val="000000"/>
                <w:sz w:val="16"/>
                <w:szCs w:val="16"/>
                <w:u w:val="none"/>
              </w:rPr>
            </w:pPr>
          </w:p>
        </w:tc>
      </w:tr>
      <w:tr w14:paraId="0BCF1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6F0B6">
            <w:pPr>
              <w:jc w:val="center"/>
              <w:rPr>
                <w:rFonts w:hint="eastAsia" w:ascii="宋体" w:hAnsi="宋体" w:eastAsia="宋体" w:cs="宋体"/>
                <w:i w:val="0"/>
                <w:iCs w:val="0"/>
                <w:color w:val="000000"/>
                <w:sz w:val="18"/>
                <w:szCs w:val="18"/>
                <w:u w:val="none"/>
              </w:rPr>
            </w:pPr>
          </w:p>
        </w:tc>
        <w:tc>
          <w:tcPr>
            <w:tcW w:w="6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4A9FC">
            <w:pPr>
              <w:jc w:val="center"/>
              <w:rPr>
                <w:rFonts w:hint="eastAsia" w:ascii="宋体" w:hAnsi="宋体" w:eastAsia="宋体" w:cs="宋体"/>
                <w:i w:val="0"/>
                <w:iCs w:val="0"/>
                <w:color w:val="000000"/>
                <w:sz w:val="18"/>
                <w:szCs w:val="18"/>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D0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96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社会工作积极影响更加全面，促进镇村发展，让乡村产业有效有力赋能乡村全面振兴</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5D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36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进一步提升</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D659F">
            <w:pPr>
              <w:jc w:val="center"/>
              <w:rPr>
                <w:rFonts w:hint="eastAsia" w:ascii="宋体" w:hAnsi="宋体" w:eastAsia="宋体" w:cs="宋体"/>
                <w:i w:val="0"/>
                <w:iCs w:val="0"/>
                <w:color w:val="000000"/>
                <w:sz w:val="18"/>
                <w:szCs w:val="18"/>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69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进一步提升</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38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D5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C66FD">
            <w:pPr>
              <w:jc w:val="center"/>
              <w:rPr>
                <w:rFonts w:hint="eastAsia" w:ascii="微软雅黑" w:hAnsi="微软雅黑" w:eastAsia="微软雅黑" w:cs="微软雅黑"/>
                <w:i/>
                <w:iCs/>
                <w:color w:val="000000"/>
                <w:sz w:val="16"/>
                <w:szCs w:val="16"/>
                <w:u w:val="none"/>
              </w:rPr>
            </w:pPr>
          </w:p>
        </w:tc>
      </w:tr>
      <w:tr w14:paraId="71C3A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DA43E">
            <w:pPr>
              <w:jc w:val="center"/>
              <w:rPr>
                <w:rFonts w:hint="eastAsia" w:ascii="宋体" w:hAnsi="宋体" w:eastAsia="宋体" w:cs="宋体"/>
                <w:i w:val="0"/>
                <w:iCs w:val="0"/>
                <w:color w:val="000000"/>
                <w:sz w:val="18"/>
                <w:szCs w:val="18"/>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46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FB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18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受益群众满意度</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07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DB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2C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1E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F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C5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16FA2">
            <w:pPr>
              <w:jc w:val="center"/>
              <w:rPr>
                <w:rFonts w:hint="eastAsia" w:ascii="微软雅黑" w:hAnsi="微软雅黑" w:eastAsia="微软雅黑" w:cs="微软雅黑"/>
                <w:i/>
                <w:iCs/>
                <w:color w:val="000000"/>
                <w:sz w:val="16"/>
                <w:szCs w:val="16"/>
                <w:u w:val="none"/>
              </w:rPr>
            </w:pPr>
          </w:p>
        </w:tc>
      </w:tr>
      <w:tr w14:paraId="66582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B5A50">
            <w:pPr>
              <w:jc w:val="center"/>
              <w:rPr>
                <w:rFonts w:hint="eastAsia" w:ascii="宋体" w:hAnsi="宋体" w:eastAsia="宋体" w:cs="宋体"/>
                <w:i w:val="0"/>
                <w:iCs w:val="0"/>
                <w:color w:val="000000"/>
                <w:sz w:val="18"/>
                <w:szCs w:val="18"/>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2D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0B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AE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本次项目预计经济成本投入</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28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12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95.88</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A2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28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95.88</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AE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73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288D8">
            <w:pPr>
              <w:jc w:val="center"/>
              <w:rPr>
                <w:rFonts w:hint="eastAsia" w:ascii="微软雅黑" w:hAnsi="微软雅黑" w:eastAsia="微软雅黑" w:cs="微软雅黑"/>
                <w:i/>
                <w:iCs/>
                <w:color w:val="000000"/>
                <w:sz w:val="16"/>
                <w:szCs w:val="16"/>
                <w:u w:val="none"/>
              </w:rPr>
            </w:pPr>
          </w:p>
        </w:tc>
      </w:tr>
      <w:tr w14:paraId="179B4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641"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012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D3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r>
              <w:rPr>
                <w:rFonts w:ascii="宋体" w:hAnsi="宋体" w:eastAsia="宋体" w:cs="宋体"/>
                <w:i w:val="0"/>
                <w:iCs w:val="0"/>
                <w:color w:val="000000"/>
                <w:kern w:val="0"/>
                <w:sz w:val="18"/>
                <w:szCs w:val="18"/>
                <w:u w:val="none"/>
                <w:lang w:val="en-US" w:eastAsia="zh-CN" w:bidi="ar"/>
              </w:rPr>
              <w:t>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40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r>
              <w:rPr>
                <w:rFonts w:ascii="宋体" w:hAnsi="宋体" w:eastAsia="宋体" w:cs="宋体"/>
                <w:i w:val="0"/>
                <w:iCs w:val="0"/>
                <w:color w:val="000000"/>
                <w:kern w:val="0"/>
                <w:sz w:val="18"/>
                <w:szCs w:val="18"/>
                <w:u w:val="none"/>
                <w:lang w:val="en-US" w:eastAsia="zh-CN" w:bidi="ar"/>
              </w:rPr>
              <w:t>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8A820">
            <w:pPr>
              <w:rPr>
                <w:rFonts w:hint="eastAsia" w:ascii="宋体" w:hAnsi="宋体" w:eastAsia="宋体" w:cs="宋体"/>
                <w:i w:val="0"/>
                <w:iCs w:val="0"/>
                <w:color w:val="000000"/>
                <w:sz w:val="18"/>
                <w:szCs w:val="18"/>
                <w:u w:val="none"/>
              </w:rPr>
            </w:pPr>
          </w:p>
        </w:tc>
      </w:tr>
      <w:tr w14:paraId="2FB65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D4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8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CAAB4F">
            <w:pPr>
              <w:keepNext w:val="0"/>
              <w:keepLines w:val="0"/>
              <w:widowControl/>
              <w:suppressLineNumbers w:val="0"/>
              <w:ind w:firstLine="360" w:firstLineChars="20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8"/>
                <w:szCs w:val="18"/>
                <w:u w:val="none"/>
                <w:lang w:val="en-US" w:eastAsia="zh-CN" w:bidi="ar"/>
              </w:rPr>
              <w:t>该项目有利于乡村党群事业发展，为实现乡村振兴添砖加瓦，为发展经济提供基础指挥平台，能为茂县社会经济带来更多正面影响。</w:t>
            </w:r>
          </w:p>
        </w:tc>
      </w:tr>
      <w:tr w14:paraId="18EAC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4B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8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E8219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1F387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C9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8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432A4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4DE3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4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45C15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项目负责人：王红</w:t>
            </w:r>
          </w:p>
        </w:tc>
        <w:tc>
          <w:tcPr>
            <w:tcW w:w="255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9CBC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财务负责人：徐慧</w:t>
            </w:r>
          </w:p>
        </w:tc>
      </w:tr>
    </w:tbl>
    <w:p w14:paraId="6D56E537">
      <w:pPr>
        <w:rPr>
          <w:rFonts w:hint="eastAsia" w:ascii="黑体" w:eastAsia="黑体" w:cs="黑体"/>
          <w:b w:val="0"/>
          <w:bCs w:val="0"/>
        </w:rPr>
      </w:pPr>
    </w:p>
    <w:p w14:paraId="1945C763">
      <w:pPr>
        <w:rPr>
          <w:rFonts w:hint="eastAsia" w:ascii="黑体" w:eastAsia="黑体" w:cs="黑体"/>
          <w:b w:val="0"/>
          <w:bCs w:val="0"/>
        </w:rPr>
      </w:pPr>
    </w:p>
    <w:p w14:paraId="48712823">
      <w:pPr>
        <w:rPr>
          <w:rFonts w:hint="eastAsia" w:ascii="黑体" w:eastAsia="黑体" w:cs="黑体"/>
          <w:b w:val="0"/>
          <w:bCs w:val="0"/>
        </w:rPr>
      </w:pPr>
    </w:p>
    <w:p w14:paraId="07EABE3F">
      <w:pPr>
        <w:rPr>
          <w:rFonts w:hint="eastAsia" w:ascii="黑体" w:eastAsia="黑体" w:cs="黑体"/>
          <w:b w:val="0"/>
          <w:bCs w:val="0"/>
        </w:rPr>
      </w:pP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242"/>
        <w:gridCol w:w="1062"/>
        <w:gridCol w:w="1380"/>
        <w:gridCol w:w="396"/>
        <w:gridCol w:w="998"/>
        <w:gridCol w:w="396"/>
        <w:gridCol w:w="756"/>
        <w:gridCol w:w="396"/>
        <w:gridCol w:w="397"/>
        <w:gridCol w:w="1575"/>
      </w:tblGrid>
      <w:tr w14:paraId="2F13F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A88AE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F5BC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0D5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4759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51322326T000014923034-沟口镇城乡环境质量提升示范项目</w:t>
            </w:r>
          </w:p>
        </w:tc>
      </w:tr>
      <w:tr w14:paraId="6B0F1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D8A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E0F4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茂县沟口镇人民政府</w:t>
            </w:r>
          </w:p>
        </w:tc>
        <w:tc>
          <w:tcPr>
            <w:tcW w:w="386" w:type="pct"/>
            <w:tcBorders>
              <w:top w:val="nil"/>
              <w:left w:val="nil"/>
              <w:bottom w:val="nil"/>
              <w:right w:val="nil"/>
            </w:tcBorders>
            <w:shd w:val="clear" w:color="auto" w:fill="auto"/>
            <w:vAlign w:val="center"/>
          </w:tcPr>
          <w:p w14:paraId="71632603">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E97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茂县沟口镇人民政府（行政）</w:t>
            </w:r>
          </w:p>
        </w:tc>
      </w:tr>
      <w:tr w14:paraId="15E5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2AE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B7BB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091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F51AC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E347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D73F7">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83D2E">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6CC4D6">
            <w:pPr>
              <w:keepNext w:val="0"/>
              <w:keepLines w:val="0"/>
              <w:widowControl/>
              <w:suppressLineNumbers w:val="0"/>
              <w:ind w:firstLine="360" w:firstLineChars="20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发展和改革局安排我镇城乡环境质量提升示范项目，资金金额：29万元。结合我镇长安村屋顶分布式光伏项目，开展村容村貌提升、道路硬化、农村庭院整治示范，充分调动群众参与积极性，打造“环境整治+生态保护+集体经济”样板。</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C11A9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2025年度，完成率100%。</w:t>
            </w:r>
          </w:p>
        </w:tc>
      </w:tr>
      <w:tr w14:paraId="5B223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A8DB9">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02B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0981DB">
            <w:pPr>
              <w:keepNext w:val="0"/>
              <w:keepLines w:val="0"/>
              <w:widowControl/>
              <w:suppressLineNumbers w:val="0"/>
              <w:ind w:firstLine="360" w:firstLineChars="20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沟口镇城乡环境质量提升示范项目,我镇向县财政申请代管资金29万元。该笔资金为单位资金（财政代管），主要用于：对沟口镇长安村安装光伏板农户房顶进行修缮；彩钢板打围并喷漆2200平方米、庭院整治1215平方米，采用C20混泥土进行庭院硬化，对138米排水沟埋设200PE管道。</w:t>
            </w:r>
          </w:p>
        </w:tc>
      </w:tr>
      <w:tr w14:paraId="10F94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97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E8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8C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54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47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7D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41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5F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F3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EBE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8035A">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C4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D2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EA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29.00</w:t>
            </w:r>
          </w:p>
        </w:tc>
        <w:tc>
          <w:tcPr>
            <w:tcW w:w="9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36E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27.99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1A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96.52%</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F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79508">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c>
          <w:tcPr>
            <w:tcW w:w="9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2EB3A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 xml:space="preserve">     无</w:t>
            </w:r>
          </w:p>
        </w:tc>
      </w:tr>
      <w:tr w14:paraId="27D96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3B24A">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B7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95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EB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D7B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31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F1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D5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3F69D">
            <w:pPr>
              <w:rPr>
                <w:rFonts w:hint="eastAsia" w:ascii="黑体" w:hAnsi="黑体" w:eastAsia="黑体" w:cs="黑体"/>
                <w:i/>
                <w:iCs/>
                <w:color w:val="000000"/>
                <w:sz w:val="18"/>
                <w:szCs w:val="18"/>
                <w:u w:val="none"/>
              </w:rPr>
            </w:pPr>
          </w:p>
        </w:tc>
      </w:tr>
      <w:tr w14:paraId="5BF33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11AB1">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BB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5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6A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DD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D0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1C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66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C8698">
            <w:pPr>
              <w:rPr>
                <w:rFonts w:hint="eastAsia" w:ascii="黑体" w:hAnsi="黑体" w:eastAsia="黑体" w:cs="黑体"/>
                <w:i/>
                <w:iCs/>
                <w:color w:val="000000"/>
                <w:sz w:val="18"/>
                <w:szCs w:val="18"/>
                <w:u w:val="none"/>
              </w:rPr>
            </w:pPr>
          </w:p>
        </w:tc>
      </w:tr>
      <w:tr w14:paraId="18157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D876A">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86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91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F9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29.00</w:t>
            </w:r>
          </w:p>
        </w:tc>
        <w:tc>
          <w:tcPr>
            <w:tcW w:w="9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929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27.99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3A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96.52%</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0C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BA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9E73F">
            <w:pPr>
              <w:rPr>
                <w:rFonts w:hint="eastAsia" w:ascii="黑体" w:hAnsi="黑体" w:eastAsia="黑体" w:cs="黑体"/>
                <w:i/>
                <w:iCs/>
                <w:color w:val="000000"/>
                <w:sz w:val="18"/>
                <w:szCs w:val="18"/>
                <w:u w:val="none"/>
              </w:rPr>
            </w:pPr>
          </w:p>
        </w:tc>
      </w:tr>
      <w:tr w14:paraId="0182E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85FA2">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21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5E604">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FD9E">
            <w:pPr>
              <w:jc w:val="center"/>
              <w:rPr>
                <w:rFonts w:hint="eastAsia" w:ascii="微软雅黑" w:hAnsi="微软雅黑" w:eastAsia="微软雅黑" w:cs="微软雅黑"/>
                <w:i/>
                <w:iCs/>
                <w:color w:val="000000"/>
                <w:sz w:val="16"/>
                <w:szCs w:val="16"/>
                <w:u w:val="none"/>
              </w:rPr>
            </w:pPr>
          </w:p>
        </w:tc>
        <w:tc>
          <w:tcPr>
            <w:tcW w:w="9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5C7FA6">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EBE87">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98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33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66D1B">
            <w:pPr>
              <w:rPr>
                <w:rFonts w:hint="eastAsia" w:ascii="黑体" w:hAnsi="黑体" w:eastAsia="黑体" w:cs="黑体"/>
                <w:i/>
                <w:iCs/>
                <w:color w:val="000000"/>
                <w:sz w:val="18"/>
                <w:szCs w:val="18"/>
                <w:u w:val="none"/>
              </w:rPr>
            </w:pPr>
          </w:p>
        </w:tc>
      </w:tr>
      <w:tr w14:paraId="62120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2B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A4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F0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89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86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12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F8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79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2E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1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1E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2271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3D007">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9C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65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07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环境卫生改造涉及的村数量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AB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CD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C4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6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F0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B3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E0765">
            <w:pPr>
              <w:jc w:val="center"/>
              <w:rPr>
                <w:rFonts w:hint="eastAsia" w:ascii="微软雅黑" w:hAnsi="微软雅黑" w:eastAsia="微软雅黑" w:cs="微软雅黑"/>
                <w:i/>
                <w:iCs/>
                <w:color w:val="000000"/>
                <w:sz w:val="16"/>
                <w:szCs w:val="16"/>
                <w:u w:val="none"/>
              </w:rPr>
            </w:pPr>
          </w:p>
        </w:tc>
      </w:tr>
      <w:tr w14:paraId="0B205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EA188">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FE1CF">
            <w:pPr>
              <w:jc w:val="center"/>
              <w:rPr>
                <w:rFonts w:hint="eastAsia" w:ascii="宋体" w:hAnsi="宋体" w:eastAsia="宋体" w:cs="宋体"/>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01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FA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环境整治验收合格率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29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3C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A7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EB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B2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99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508E0">
            <w:pPr>
              <w:jc w:val="center"/>
              <w:rPr>
                <w:rFonts w:hint="eastAsia" w:ascii="微软雅黑" w:hAnsi="微软雅黑" w:eastAsia="微软雅黑" w:cs="微软雅黑"/>
                <w:i/>
                <w:iCs/>
                <w:color w:val="000000"/>
                <w:sz w:val="16"/>
                <w:szCs w:val="16"/>
                <w:u w:val="none"/>
              </w:rPr>
            </w:pPr>
          </w:p>
        </w:tc>
      </w:tr>
      <w:tr w14:paraId="3A257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1B890">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5558B">
            <w:pPr>
              <w:jc w:val="center"/>
              <w:rPr>
                <w:rFonts w:hint="eastAsia" w:ascii="宋体" w:hAnsi="宋体" w:eastAsia="宋体" w:cs="宋体"/>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20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F6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E4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B4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86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97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04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AB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B488B">
            <w:pPr>
              <w:jc w:val="center"/>
              <w:rPr>
                <w:rFonts w:hint="eastAsia" w:ascii="微软雅黑" w:hAnsi="微软雅黑" w:eastAsia="微软雅黑" w:cs="微软雅黑"/>
                <w:i/>
                <w:iCs/>
                <w:color w:val="000000"/>
                <w:sz w:val="16"/>
                <w:szCs w:val="16"/>
                <w:u w:val="none"/>
              </w:rPr>
            </w:pPr>
          </w:p>
        </w:tc>
      </w:tr>
      <w:tr w14:paraId="226F9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9E7C4">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E4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A1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F8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打造“环境整治+生态保护+集体经济”样板。增强社会经济发展动力，全面提高居民生活质量。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92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A7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进一步保障</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5AC47">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B9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进一步保障</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9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72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8FAB5">
            <w:pPr>
              <w:jc w:val="center"/>
              <w:rPr>
                <w:rFonts w:hint="eastAsia" w:ascii="微软雅黑" w:hAnsi="微软雅黑" w:eastAsia="微软雅黑" w:cs="微软雅黑"/>
                <w:i/>
                <w:iCs/>
                <w:color w:val="000000"/>
                <w:sz w:val="16"/>
                <w:szCs w:val="16"/>
                <w:u w:val="none"/>
              </w:rPr>
            </w:pPr>
          </w:p>
        </w:tc>
      </w:tr>
      <w:tr w14:paraId="41309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8E904">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AA75A">
            <w:pPr>
              <w:jc w:val="center"/>
              <w:rPr>
                <w:rFonts w:hint="eastAsia" w:ascii="宋体" w:hAnsi="宋体" w:eastAsia="宋体" w:cs="宋体"/>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24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0C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充分调动群众参与积极性，提升旅游业发展，增加村民收入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37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F9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1951F">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29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75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B7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43220">
            <w:pPr>
              <w:jc w:val="center"/>
              <w:rPr>
                <w:rFonts w:hint="eastAsia" w:ascii="微软雅黑" w:hAnsi="微软雅黑" w:eastAsia="微软雅黑" w:cs="微软雅黑"/>
                <w:i/>
                <w:iCs/>
                <w:color w:val="000000"/>
                <w:sz w:val="16"/>
                <w:szCs w:val="16"/>
                <w:u w:val="none"/>
              </w:rPr>
            </w:pPr>
          </w:p>
        </w:tc>
      </w:tr>
      <w:tr w14:paraId="62500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F39FC">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E5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B9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DC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61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9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5A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10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07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B0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7AF70">
            <w:pPr>
              <w:jc w:val="center"/>
              <w:rPr>
                <w:rFonts w:hint="eastAsia" w:ascii="微软雅黑" w:hAnsi="微软雅黑" w:eastAsia="微软雅黑" w:cs="微软雅黑"/>
                <w:i/>
                <w:iCs/>
                <w:color w:val="000000"/>
                <w:sz w:val="16"/>
                <w:szCs w:val="16"/>
                <w:u w:val="none"/>
              </w:rPr>
            </w:pPr>
          </w:p>
        </w:tc>
      </w:tr>
      <w:tr w14:paraId="7CF3A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68F21">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6D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9C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9E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该项目投入经济成本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A0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30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31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8B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10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78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473AD">
            <w:pPr>
              <w:jc w:val="center"/>
              <w:rPr>
                <w:rFonts w:hint="eastAsia" w:ascii="微软雅黑" w:hAnsi="微软雅黑" w:eastAsia="微软雅黑" w:cs="微软雅黑"/>
                <w:i/>
                <w:iCs/>
                <w:color w:val="000000"/>
                <w:sz w:val="16"/>
                <w:szCs w:val="16"/>
                <w:u w:val="none"/>
              </w:rPr>
            </w:pPr>
          </w:p>
        </w:tc>
      </w:tr>
      <w:tr w14:paraId="7D644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0B4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5236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5F6A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6F006">
            <w:pPr>
              <w:rPr>
                <w:rFonts w:hint="eastAsia" w:ascii="宋体" w:hAnsi="宋体" w:eastAsia="宋体" w:cs="宋体"/>
                <w:i w:val="0"/>
                <w:iCs w:val="0"/>
                <w:color w:val="000000"/>
                <w:sz w:val="18"/>
                <w:szCs w:val="18"/>
                <w:u w:val="none"/>
              </w:rPr>
            </w:pPr>
          </w:p>
        </w:tc>
      </w:tr>
      <w:tr w14:paraId="0B946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51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4EC018">
            <w:pPr>
              <w:keepNext w:val="0"/>
              <w:keepLines w:val="0"/>
              <w:widowControl/>
              <w:suppressLineNumbers w:val="0"/>
              <w:ind w:firstLine="360" w:firstLineChars="20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8"/>
                <w:szCs w:val="18"/>
                <w:u w:val="none"/>
                <w:lang w:val="en-US" w:eastAsia="zh-CN" w:bidi="ar"/>
              </w:rPr>
              <w:t>该项目有利于乡村党群事业发展，为实现乡村振兴添砖加瓦，为发展经济提供基础指挥平台，能为茂县社会经济带来更多正面影响。</w:t>
            </w:r>
          </w:p>
        </w:tc>
      </w:tr>
      <w:tr w14:paraId="52C0B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75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E0A17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6BD37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B4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19AC8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71DE4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F10A94">
            <w:pPr>
              <w:keepNext w:val="0"/>
              <w:keepLines w:val="0"/>
              <w:widowControl/>
              <w:suppressLineNumbers w:val="0"/>
              <w:ind w:firstLine="360" w:firstLineChars="20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项目负责人：王红</w:t>
            </w:r>
          </w:p>
        </w:tc>
        <w:tc>
          <w:tcPr>
            <w:tcW w:w="241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C5BE06">
            <w:pPr>
              <w:keepNext w:val="0"/>
              <w:keepLines w:val="0"/>
              <w:widowControl/>
              <w:suppressLineNumbers w:val="0"/>
              <w:ind w:firstLine="360" w:firstLineChars="20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财务负责人：徐慧</w:t>
            </w:r>
          </w:p>
        </w:tc>
      </w:tr>
    </w:tbl>
    <w:p w14:paraId="06850142">
      <w:pPr>
        <w:rPr>
          <w:rFonts w:hint="eastAsia" w:ascii="黑体" w:eastAsia="黑体" w:cs="黑体"/>
          <w:b w:val="0"/>
          <w:bCs w:val="0"/>
        </w:rPr>
      </w:pPr>
    </w:p>
    <w:p w14:paraId="21E4F325">
      <w:pPr>
        <w:rPr>
          <w:rFonts w:hint="eastAsia" w:ascii="黑体" w:eastAsia="黑体" w:cs="黑体"/>
          <w:b w:val="0"/>
          <w:bCs w:val="0"/>
        </w:rPr>
      </w:pPr>
    </w:p>
    <w:p w14:paraId="564C0C2B">
      <w:pPr>
        <w:rPr>
          <w:rFonts w:hint="eastAsia" w:ascii="黑体" w:eastAsia="黑体" w:cs="黑体"/>
          <w:b w:val="0"/>
          <w:bCs w:val="0"/>
        </w:rPr>
      </w:pPr>
    </w:p>
    <w:p w14:paraId="7A91E56E">
      <w:pPr>
        <w:rPr>
          <w:rFonts w:hint="eastAsia" w:ascii="黑体" w:eastAsia="黑体" w:cs="黑体"/>
          <w:b w:val="0"/>
          <w:bCs w:val="0"/>
        </w:rPr>
      </w:pPr>
    </w:p>
    <w:p w14:paraId="2B4D10C9">
      <w:pPr>
        <w:rPr>
          <w:rFonts w:hint="eastAsia" w:ascii="黑体" w:eastAsia="黑体" w:cs="黑体"/>
          <w:b w:val="0"/>
          <w:bCs w:val="0"/>
        </w:rPr>
      </w:pPr>
    </w:p>
    <w:p w14:paraId="0D268DB6">
      <w:pPr>
        <w:rPr>
          <w:rFonts w:hint="eastAsia" w:ascii="黑体" w:eastAsia="黑体" w:cs="黑体"/>
          <w:b w:val="0"/>
          <w:bCs w:val="0"/>
        </w:rPr>
      </w:pPr>
    </w:p>
    <w:p w14:paraId="6DFC38D7">
      <w:pPr>
        <w:rPr>
          <w:rFonts w:hint="eastAsia" w:ascii="黑体" w:eastAsia="黑体" w:cs="黑体"/>
          <w:b w:val="0"/>
          <w:bCs w:val="0"/>
        </w:rPr>
      </w:pPr>
    </w:p>
    <w:p w14:paraId="6D237016">
      <w:pPr>
        <w:rPr>
          <w:rFonts w:hint="eastAsia" w:ascii="黑体" w:eastAsia="黑体" w:cs="黑体"/>
          <w:b w:val="0"/>
          <w:bCs w:val="0"/>
        </w:rPr>
      </w:pPr>
    </w:p>
    <w:p w14:paraId="268CB916">
      <w:pPr>
        <w:rPr>
          <w:rFonts w:hint="eastAsia" w:ascii="黑体" w:eastAsia="黑体" w:cs="黑体"/>
          <w:b w:val="0"/>
          <w:bCs w:val="0"/>
        </w:rPr>
      </w:pPr>
    </w:p>
    <w:p w14:paraId="6A65664E">
      <w:pPr>
        <w:pStyle w:val="2"/>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附件2：</w:t>
      </w:r>
    </w:p>
    <w:p w14:paraId="12C7A650">
      <w:pPr>
        <w:rPr>
          <w:rFonts w:hint="eastAsia" w:ascii="Times New Roman" w:hAnsi="Times New Roman" w:eastAsia="仿宋_GB2312" w:cs="Times New Roman"/>
          <w:b/>
          <w:bCs/>
          <w:kern w:val="0"/>
          <w:position w:val="0"/>
          <w:sz w:val="36"/>
          <w:szCs w:val="36"/>
          <w:highlight w:val="none"/>
          <w:lang w:val="en-US" w:eastAsia="zh-CN" w:bidi="ar-SA"/>
        </w:rPr>
      </w:pPr>
      <w:r>
        <w:rPr>
          <w:rFonts w:hint="eastAsia" w:ascii="黑体" w:eastAsia="黑体" w:cs="黑体"/>
          <w:b w:val="0"/>
          <w:bCs w:val="0"/>
          <w:lang w:val="en-US" w:eastAsia="zh-CN"/>
        </w:rPr>
        <w:t xml:space="preserve">                    </w:t>
      </w:r>
      <w:r>
        <w:rPr>
          <w:rFonts w:hint="eastAsia" w:ascii="Times New Roman" w:hAnsi="Times New Roman" w:eastAsia="仿宋_GB2312" w:cs="Times New Roman"/>
          <w:b/>
          <w:bCs/>
          <w:kern w:val="0"/>
          <w:position w:val="0"/>
          <w:sz w:val="36"/>
          <w:szCs w:val="36"/>
          <w:highlight w:val="none"/>
          <w:lang w:val="en-US" w:eastAsia="zh-CN" w:bidi="ar-SA"/>
        </w:rPr>
        <w:t xml:space="preserve"> 专项预算项目绩效评价报告</w:t>
      </w:r>
    </w:p>
    <w:p w14:paraId="007DB540">
      <w:pPr>
        <w:rPr>
          <w:rFonts w:hint="eastAsia" w:ascii="黑体" w:eastAsia="黑体" w:cs="黑体"/>
          <w:b w:val="0"/>
          <w:bCs w:val="0"/>
          <w:lang w:val="en-US" w:eastAsia="zh-CN"/>
        </w:rPr>
      </w:pPr>
      <w:r>
        <w:rPr>
          <w:rFonts w:hint="eastAsia" w:ascii="黑体" w:eastAsia="黑体" w:cs="黑体"/>
          <w:b w:val="0"/>
          <w:bCs w:val="0"/>
          <w:lang w:val="en-US" w:eastAsia="zh-CN"/>
        </w:rPr>
        <w:t xml:space="preserve">                       </w:t>
      </w:r>
    </w:p>
    <w:p w14:paraId="61FED104">
      <w:pPr>
        <w:ind w:firstLine="2310" w:firstLineChars="1100"/>
        <w:rPr>
          <w:rFonts w:hint="default" w:ascii="Arial" w:hAnsi="Arial" w:eastAsia="仿宋_GB2312" w:cs="Times New Roman"/>
          <w:b w:val="0"/>
          <w:bCs w:val="0"/>
          <w:kern w:val="0"/>
          <w:position w:val="0"/>
          <w:sz w:val="32"/>
          <w:szCs w:val="32"/>
          <w:highlight w:val="none"/>
          <w:lang w:val="en-US" w:eastAsia="zh-CN" w:bidi="ar-SA"/>
        </w:rPr>
      </w:pPr>
      <w:r>
        <w:rPr>
          <w:rFonts w:hint="eastAsia" w:ascii="黑体" w:eastAsia="黑体" w:cs="黑体"/>
          <w:b w:val="0"/>
          <w:bCs w:val="0"/>
          <w:lang w:val="en-US" w:eastAsia="zh-CN"/>
        </w:rPr>
        <w:t xml:space="preserve">  </w:t>
      </w:r>
      <w:r>
        <w:rPr>
          <w:rFonts w:hint="eastAsia" w:ascii="Arial" w:hAnsi="Arial" w:eastAsia="仿宋_GB2312" w:cs="Times New Roman"/>
          <w:b w:val="0"/>
          <w:bCs w:val="0"/>
          <w:kern w:val="0"/>
          <w:position w:val="0"/>
          <w:sz w:val="32"/>
          <w:szCs w:val="32"/>
          <w:highlight w:val="none"/>
          <w:lang w:val="en-US" w:eastAsia="zh-CN" w:bidi="ar-SA"/>
        </w:rPr>
        <w:t xml:space="preserve"> （本部门不涉及此类项目）</w:t>
      </w:r>
    </w:p>
    <w:p w14:paraId="0B25971A">
      <w:pPr>
        <w:pStyle w:val="3"/>
        <w:jc w:val="center"/>
        <w:rPr>
          <w:rFonts w:ascii="黑体" w:eastAsia="黑体" w:cs="黑体"/>
          <w:b w:val="0"/>
          <w:bCs w:val="0"/>
        </w:rPr>
      </w:pPr>
      <w:r>
        <w:rPr>
          <w:rFonts w:hint="eastAsia" w:ascii="黑体" w:eastAsia="黑体" w:cs="黑体"/>
          <w:b w:val="0"/>
          <w:bCs w:val="0"/>
        </w:rPr>
        <w:t>第五部分 附表</w:t>
      </w:r>
      <w:bookmarkEnd w:id="104"/>
      <w:bookmarkEnd w:id="105"/>
      <w:bookmarkEnd w:id="106"/>
      <w:bookmarkEnd w:id="107"/>
    </w:p>
    <w:p w14:paraId="75A3A8C4">
      <w:pPr>
        <w:pStyle w:val="4"/>
        <w:ind w:firstLine="640" w:firstLineChars="200"/>
        <w:rPr>
          <w:rFonts w:hint="eastAsia" w:ascii="黑体" w:eastAsia="黑体" w:cs="Times New Roman"/>
          <w:b w:val="0"/>
          <w:bCs w:val="0"/>
          <w:color w:val="000000"/>
        </w:rPr>
      </w:pPr>
      <w:bookmarkStart w:id="108" w:name="_Toc10262"/>
      <w:r>
        <w:rPr>
          <w:rFonts w:hint="eastAsia" w:ascii="黑体" w:eastAsia="黑体" w:cs="Times New Roman"/>
          <w:b w:val="0"/>
          <w:bCs w:val="0"/>
          <w:color w:val="000000"/>
        </w:rPr>
        <w:t>一、收入支出决算总表</w:t>
      </w:r>
      <w:bookmarkEnd w:id="108"/>
    </w:p>
    <w:p w14:paraId="0C753F59">
      <w:pPr>
        <w:pStyle w:val="4"/>
        <w:ind w:firstLine="640" w:firstLineChars="200"/>
        <w:rPr>
          <w:rFonts w:hint="eastAsia" w:ascii="黑体" w:eastAsia="黑体" w:cs="Times New Roman"/>
          <w:b w:val="0"/>
          <w:bCs w:val="0"/>
          <w:color w:val="000000"/>
        </w:rPr>
      </w:pPr>
      <w:bookmarkStart w:id="109" w:name="_Toc1559"/>
      <w:r>
        <w:rPr>
          <w:rFonts w:hint="eastAsia" w:ascii="黑体" w:eastAsia="黑体" w:cs="Times New Roman"/>
          <w:b w:val="0"/>
          <w:bCs w:val="0"/>
          <w:color w:val="000000"/>
        </w:rPr>
        <w:t>二、收入决算表</w:t>
      </w:r>
      <w:bookmarkEnd w:id="109"/>
    </w:p>
    <w:p w14:paraId="4686A91E">
      <w:pPr>
        <w:pStyle w:val="4"/>
        <w:ind w:firstLine="640" w:firstLineChars="200"/>
        <w:rPr>
          <w:rFonts w:hint="eastAsia" w:ascii="黑体" w:eastAsia="黑体" w:cs="Times New Roman"/>
          <w:b w:val="0"/>
          <w:bCs w:val="0"/>
          <w:color w:val="000000"/>
        </w:rPr>
      </w:pPr>
      <w:bookmarkStart w:id="110" w:name="_Toc21000"/>
      <w:r>
        <w:rPr>
          <w:rFonts w:hint="eastAsia" w:ascii="黑体" w:eastAsia="黑体" w:cs="Times New Roman"/>
          <w:b w:val="0"/>
          <w:bCs w:val="0"/>
          <w:color w:val="000000"/>
        </w:rPr>
        <w:t>三、支出决算表</w:t>
      </w:r>
      <w:bookmarkEnd w:id="110"/>
    </w:p>
    <w:p w14:paraId="4E6D1D41">
      <w:pPr>
        <w:pStyle w:val="4"/>
        <w:ind w:firstLine="640" w:firstLineChars="200"/>
        <w:rPr>
          <w:rFonts w:hint="eastAsia" w:ascii="黑体" w:eastAsia="黑体" w:cs="Times New Roman"/>
          <w:b w:val="0"/>
          <w:bCs w:val="0"/>
          <w:color w:val="000000"/>
        </w:rPr>
      </w:pPr>
      <w:bookmarkStart w:id="111" w:name="_Toc25926"/>
      <w:r>
        <w:rPr>
          <w:rFonts w:hint="eastAsia" w:ascii="黑体" w:eastAsia="黑体" w:cs="Times New Roman"/>
          <w:b w:val="0"/>
          <w:bCs w:val="0"/>
          <w:color w:val="000000"/>
        </w:rPr>
        <w:t>四、财政拨款收入支出决算总表</w:t>
      </w:r>
      <w:bookmarkEnd w:id="111"/>
    </w:p>
    <w:p w14:paraId="3FE06D3B">
      <w:pPr>
        <w:pStyle w:val="4"/>
        <w:ind w:firstLine="640" w:firstLineChars="200"/>
        <w:rPr>
          <w:rFonts w:hint="eastAsia" w:ascii="黑体" w:eastAsia="黑体" w:cs="Times New Roman"/>
          <w:b w:val="0"/>
          <w:bCs w:val="0"/>
          <w:color w:val="000000"/>
        </w:rPr>
      </w:pPr>
      <w:bookmarkStart w:id="112" w:name="_Toc2957"/>
      <w:r>
        <w:rPr>
          <w:rFonts w:hint="eastAsia" w:ascii="黑体" w:eastAsia="黑体" w:cs="Times New Roman"/>
          <w:b w:val="0"/>
          <w:bCs w:val="0"/>
          <w:color w:val="000000"/>
        </w:rPr>
        <w:t>五、财政拨款支出决算明细表</w:t>
      </w:r>
      <w:bookmarkEnd w:id="112"/>
    </w:p>
    <w:p w14:paraId="0F64B0AD">
      <w:pPr>
        <w:pStyle w:val="4"/>
        <w:ind w:firstLine="640" w:firstLineChars="200"/>
        <w:rPr>
          <w:rFonts w:hint="eastAsia" w:ascii="黑体" w:eastAsia="黑体" w:cs="Times New Roman"/>
          <w:b w:val="0"/>
          <w:bCs w:val="0"/>
          <w:color w:val="000000"/>
        </w:rPr>
      </w:pPr>
      <w:bookmarkStart w:id="113" w:name="_Toc26915"/>
      <w:r>
        <w:rPr>
          <w:rFonts w:hint="eastAsia" w:ascii="黑体" w:eastAsia="黑体" w:cs="Times New Roman"/>
          <w:b w:val="0"/>
          <w:bCs w:val="0"/>
          <w:color w:val="000000"/>
        </w:rPr>
        <w:t>六、一般公共预算财政拨款支出决算表</w:t>
      </w:r>
      <w:bookmarkEnd w:id="113"/>
    </w:p>
    <w:p w14:paraId="0D6A91CC">
      <w:pPr>
        <w:pStyle w:val="4"/>
        <w:ind w:firstLine="640" w:firstLineChars="200"/>
        <w:rPr>
          <w:rFonts w:hint="eastAsia" w:ascii="黑体" w:eastAsia="黑体" w:cs="Times New Roman"/>
          <w:b w:val="0"/>
          <w:bCs w:val="0"/>
          <w:color w:val="000000"/>
        </w:rPr>
      </w:pPr>
      <w:bookmarkStart w:id="114" w:name="_Toc19918"/>
      <w:r>
        <w:rPr>
          <w:rFonts w:hint="eastAsia" w:ascii="黑体" w:eastAsia="黑体" w:cs="Times New Roman"/>
          <w:b w:val="0"/>
          <w:bCs w:val="0"/>
          <w:color w:val="000000"/>
        </w:rPr>
        <w:t>七、一般公共预算财政拨款支出决算明细表</w:t>
      </w:r>
      <w:bookmarkEnd w:id="114"/>
    </w:p>
    <w:p w14:paraId="5FC2A9AC">
      <w:pPr>
        <w:pStyle w:val="4"/>
        <w:ind w:firstLine="640" w:firstLineChars="200"/>
        <w:rPr>
          <w:rFonts w:hint="eastAsia" w:ascii="黑体" w:eastAsia="黑体" w:cs="Times New Roman"/>
          <w:b w:val="0"/>
          <w:bCs w:val="0"/>
          <w:color w:val="000000"/>
        </w:rPr>
      </w:pPr>
      <w:bookmarkStart w:id="115" w:name="_Toc7031"/>
      <w:r>
        <w:rPr>
          <w:rFonts w:hint="eastAsia" w:ascii="黑体" w:eastAsia="黑体" w:cs="Times New Roman"/>
          <w:b w:val="0"/>
          <w:bCs w:val="0"/>
          <w:color w:val="000000"/>
        </w:rPr>
        <w:t>八、一般公共预算财政拨款基本支出决算表</w:t>
      </w:r>
      <w:bookmarkEnd w:id="115"/>
    </w:p>
    <w:p w14:paraId="1A660CCC">
      <w:pPr>
        <w:pStyle w:val="4"/>
        <w:ind w:firstLine="640" w:firstLineChars="200"/>
        <w:rPr>
          <w:rFonts w:hint="eastAsia" w:ascii="黑体" w:eastAsia="黑体" w:cs="Times New Roman"/>
          <w:b w:val="0"/>
          <w:bCs w:val="0"/>
          <w:color w:val="000000"/>
        </w:rPr>
      </w:pPr>
      <w:bookmarkStart w:id="116" w:name="_Toc9131"/>
      <w:r>
        <w:rPr>
          <w:rFonts w:hint="eastAsia" w:ascii="黑体" w:eastAsia="黑体" w:cs="Times New Roman"/>
          <w:b w:val="0"/>
          <w:bCs w:val="0"/>
          <w:color w:val="000000"/>
        </w:rPr>
        <w:t>九、一般公共预算财政拨款项目支出决算表</w:t>
      </w:r>
      <w:bookmarkEnd w:id="116"/>
    </w:p>
    <w:p w14:paraId="36EA5953">
      <w:pPr>
        <w:pStyle w:val="4"/>
        <w:ind w:firstLine="640" w:firstLineChars="200"/>
        <w:rPr>
          <w:rFonts w:hint="eastAsia" w:ascii="黑体" w:eastAsia="黑体" w:cs="Times New Roman"/>
          <w:b w:val="0"/>
          <w:bCs w:val="0"/>
          <w:color w:val="000000"/>
        </w:rPr>
      </w:pPr>
      <w:bookmarkStart w:id="117" w:name="_Toc19190"/>
      <w:r>
        <w:rPr>
          <w:rFonts w:hint="eastAsia" w:ascii="黑体" w:eastAsia="黑体" w:cs="Times New Roman"/>
          <w:b w:val="0"/>
          <w:bCs w:val="0"/>
          <w:color w:val="000000"/>
        </w:rPr>
        <w:t>十、政府性基金预算财政拨款收入支出决算表</w:t>
      </w:r>
      <w:bookmarkEnd w:id="117"/>
    </w:p>
    <w:p w14:paraId="47D182F2">
      <w:pPr>
        <w:pStyle w:val="4"/>
        <w:ind w:firstLine="640" w:firstLineChars="200"/>
        <w:rPr>
          <w:rFonts w:hint="eastAsia" w:ascii="黑体" w:eastAsia="黑体" w:cs="Times New Roman"/>
          <w:b w:val="0"/>
          <w:bCs w:val="0"/>
          <w:color w:val="000000"/>
        </w:rPr>
      </w:pPr>
      <w:bookmarkStart w:id="118" w:name="_Toc6932"/>
      <w:r>
        <w:rPr>
          <w:rFonts w:hint="eastAsia" w:ascii="黑体" w:eastAsia="黑体" w:cs="Times New Roman"/>
          <w:b w:val="0"/>
          <w:bCs w:val="0"/>
          <w:color w:val="000000"/>
        </w:rPr>
        <w:t>十一、国有资本经营预算财政拨款收入支出决算表</w:t>
      </w:r>
      <w:bookmarkEnd w:id="118"/>
    </w:p>
    <w:p w14:paraId="48EFDB21">
      <w:pPr>
        <w:pStyle w:val="4"/>
        <w:ind w:firstLine="640" w:firstLineChars="200"/>
        <w:rPr>
          <w:rFonts w:hint="eastAsia" w:ascii="黑体" w:eastAsia="黑体" w:cs="Times New Roman"/>
          <w:b w:val="0"/>
          <w:bCs w:val="0"/>
          <w:color w:val="000000"/>
        </w:rPr>
      </w:pPr>
      <w:bookmarkStart w:id="119" w:name="_Toc1966"/>
      <w:r>
        <w:rPr>
          <w:rFonts w:hint="eastAsia" w:ascii="黑体" w:eastAsia="黑体" w:cs="Times New Roman"/>
          <w:b w:val="0"/>
          <w:bCs w:val="0"/>
          <w:color w:val="000000"/>
        </w:rPr>
        <w:t>十二、国有资本经营预算财政拨款支出决算表</w:t>
      </w:r>
      <w:bookmarkEnd w:id="119"/>
    </w:p>
    <w:p w14:paraId="38FBB2B2">
      <w:pPr>
        <w:pStyle w:val="4"/>
        <w:ind w:firstLine="640" w:firstLineChars="200"/>
        <w:rPr>
          <w:rFonts w:hint="eastAsia" w:ascii="黑体" w:eastAsia="黑体" w:cs="Times New Roman"/>
          <w:b w:val="0"/>
          <w:bCs w:val="0"/>
          <w:color w:val="000000"/>
          <w:lang w:eastAsia="zh-CN"/>
        </w:rPr>
      </w:pPr>
      <w:bookmarkStart w:id="120" w:name="_Toc24118"/>
      <w:r>
        <w:rPr>
          <w:rFonts w:hint="eastAsia" w:ascii="黑体" w:eastAsia="黑体" w:cs="Times New Roman"/>
          <w:b w:val="0"/>
          <w:bCs w:val="0"/>
          <w:color w:val="000000"/>
        </w:rPr>
        <w:t>十三、财政拨款“三公”经费支出决算表</w:t>
      </w:r>
      <w:bookmarkEnd w:id="120"/>
    </w:p>
    <w:sectPr>
      <w:footerReference r:id="rId5" w:type="first"/>
      <w:headerReference r:id="rId3" w:type="default"/>
      <w:footerReference r:id="rId4" w:type="default"/>
      <w:pgSz w:w="11906" w:h="16838"/>
      <w:pgMar w:top="2154" w:right="1417" w:bottom="2041" w:left="1531" w:header="851" w:footer="992" w:gutter="0"/>
      <w:pgNumType w:fmt="numberInDash" w:start="1"/>
      <w:cols w:space="425"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3E941">
    <w:pPr>
      <w:pStyle w:val="10"/>
      <w:jc w:val="center"/>
    </w:pPr>
  </w:p>
  <w:p w14:paraId="164A03AE">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706E2">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A706E2">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1E9C6F7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38DBC">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4EC36F">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64EC36F">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FA562">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31530C"/>
    <w:multiLevelType w:val="singleLevel"/>
    <w:tmpl w:val="BE31530C"/>
    <w:lvl w:ilvl="0" w:tentative="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5"/>
  <w:bordersDoNotSurroundHeader w:val="0"/>
  <w:bordersDoNotSurroundFooter w:val="0"/>
  <w:documentProtection w:enforcement="0"/>
  <w:defaultTabStop w:val="419"/>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zMzdkOWRlZjBmNzM5Y2E3YTRjYzk2MThhNjNlND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C08BB"/>
    <w:rsid w:val="002D6D05"/>
    <w:rsid w:val="002F1818"/>
    <w:rsid w:val="002F567B"/>
    <w:rsid w:val="003216A9"/>
    <w:rsid w:val="00335A74"/>
    <w:rsid w:val="003550AC"/>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A1B"/>
    <w:rsid w:val="00434489"/>
    <w:rsid w:val="00437085"/>
    <w:rsid w:val="00443880"/>
    <w:rsid w:val="004464F4"/>
    <w:rsid w:val="00471401"/>
    <w:rsid w:val="00473F31"/>
    <w:rsid w:val="0048263A"/>
    <w:rsid w:val="00487E5D"/>
    <w:rsid w:val="004A711F"/>
    <w:rsid w:val="004B199D"/>
    <w:rsid w:val="004B4690"/>
    <w:rsid w:val="004E0A2D"/>
    <w:rsid w:val="004E206B"/>
    <w:rsid w:val="004E629B"/>
    <w:rsid w:val="004E6DF7"/>
    <w:rsid w:val="004F0FBD"/>
    <w:rsid w:val="004F1218"/>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27F9F"/>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C757B"/>
    <w:rsid w:val="00BD0E25"/>
    <w:rsid w:val="00BF52BD"/>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A4258"/>
    <w:rsid w:val="00CB4E70"/>
    <w:rsid w:val="00CC09B6"/>
    <w:rsid w:val="00CC666F"/>
    <w:rsid w:val="00CD1E3F"/>
    <w:rsid w:val="00CE44F6"/>
    <w:rsid w:val="00CE49DA"/>
    <w:rsid w:val="00CE7B61"/>
    <w:rsid w:val="00D00095"/>
    <w:rsid w:val="00D02529"/>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B47A6"/>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347A59"/>
    <w:rsid w:val="013712F7"/>
    <w:rsid w:val="015975B8"/>
    <w:rsid w:val="015A390A"/>
    <w:rsid w:val="015E6C1E"/>
    <w:rsid w:val="016F283F"/>
    <w:rsid w:val="019A3D07"/>
    <w:rsid w:val="01B21B90"/>
    <w:rsid w:val="01E64116"/>
    <w:rsid w:val="020852DE"/>
    <w:rsid w:val="02092C94"/>
    <w:rsid w:val="0224362A"/>
    <w:rsid w:val="02682509"/>
    <w:rsid w:val="028458A5"/>
    <w:rsid w:val="028926DF"/>
    <w:rsid w:val="02B56978"/>
    <w:rsid w:val="02D93672"/>
    <w:rsid w:val="02FEBE30"/>
    <w:rsid w:val="032C4E8C"/>
    <w:rsid w:val="035D3297"/>
    <w:rsid w:val="03822CFE"/>
    <w:rsid w:val="0389238A"/>
    <w:rsid w:val="03B64756"/>
    <w:rsid w:val="03CC5D27"/>
    <w:rsid w:val="03DD5B2F"/>
    <w:rsid w:val="03E05C02"/>
    <w:rsid w:val="03F36308"/>
    <w:rsid w:val="04387860"/>
    <w:rsid w:val="04447FB3"/>
    <w:rsid w:val="04916F1E"/>
    <w:rsid w:val="04C335CE"/>
    <w:rsid w:val="04CA5578"/>
    <w:rsid w:val="04D76DC3"/>
    <w:rsid w:val="05304992"/>
    <w:rsid w:val="055974DB"/>
    <w:rsid w:val="057E12A3"/>
    <w:rsid w:val="05AA6B81"/>
    <w:rsid w:val="05CE5343"/>
    <w:rsid w:val="05F957BA"/>
    <w:rsid w:val="060545B5"/>
    <w:rsid w:val="06077172"/>
    <w:rsid w:val="061E35DE"/>
    <w:rsid w:val="06456265"/>
    <w:rsid w:val="065D535C"/>
    <w:rsid w:val="0667220B"/>
    <w:rsid w:val="066E0107"/>
    <w:rsid w:val="0688299D"/>
    <w:rsid w:val="068A098C"/>
    <w:rsid w:val="069B7700"/>
    <w:rsid w:val="06E049A3"/>
    <w:rsid w:val="071F1DBD"/>
    <w:rsid w:val="072B3896"/>
    <w:rsid w:val="072C0F70"/>
    <w:rsid w:val="077978E7"/>
    <w:rsid w:val="077C4159"/>
    <w:rsid w:val="07996F6E"/>
    <w:rsid w:val="07DFD8BA"/>
    <w:rsid w:val="07FE66CB"/>
    <w:rsid w:val="07FF74D2"/>
    <w:rsid w:val="0808579C"/>
    <w:rsid w:val="08431698"/>
    <w:rsid w:val="08495703"/>
    <w:rsid w:val="084D2F63"/>
    <w:rsid w:val="08510867"/>
    <w:rsid w:val="0865674A"/>
    <w:rsid w:val="08670714"/>
    <w:rsid w:val="086F1438"/>
    <w:rsid w:val="08787EDC"/>
    <w:rsid w:val="0882327F"/>
    <w:rsid w:val="08843074"/>
    <w:rsid w:val="08AA7259"/>
    <w:rsid w:val="08DA5BD3"/>
    <w:rsid w:val="09073595"/>
    <w:rsid w:val="092363AB"/>
    <w:rsid w:val="098560BB"/>
    <w:rsid w:val="09867E8F"/>
    <w:rsid w:val="09871869"/>
    <w:rsid w:val="099537C9"/>
    <w:rsid w:val="09E3201C"/>
    <w:rsid w:val="0A0D5F9E"/>
    <w:rsid w:val="0A0E549B"/>
    <w:rsid w:val="0A2032A3"/>
    <w:rsid w:val="0A346F4D"/>
    <w:rsid w:val="0A4F1460"/>
    <w:rsid w:val="0A52600B"/>
    <w:rsid w:val="0A9410DD"/>
    <w:rsid w:val="0B071D3B"/>
    <w:rsid w:val="0B107332"/>
    <w:rsid w:val="0B572252"/>
    <w:rsid w:val="0B8D0BBC"/>
    <w:rsid w:val="0B9E1294"/>
    <w:rsid w:val="0BA457DB"/>
    <w:rsid w:val="0BD47E6F"/>
    <w:rsid w:val="0BD926FA"/>
    <w:rsid w:val="0C0F616A"/>
    <w:rsid w:val="0C104C1F"/>
    <w:rsid w:val="0C1B382B"/>
    <w:rsid w:val="0C2C3490"/>
    <w:rsid w:val="0C5A608F"/>
    <w:rsid w:val="0CA8290A"/>
    <w:rsid w:val="0CC46135"/>
    <w:rsid w:val="0CDC358F"/>
    <w:rsid w:val="0CE162BC"/>
    <w:rsid w:val="0D2A1D10"/>
    <w:rsid w:val="0D35B1ED"/>
    <w:rsid w:val="0D4A5F0F"/>
    <w:rsid w:val="0D63594E"/>
    <w:rsid w:val="0D95AED1"/>
    <w:rsid w:val="0DA02988"/>
    <w:rsid w:val="0DB00467"/>
    <w:rsid w:val="0DCF4D92"/>
    <w:rsid w:val="0DD21CF3"/>
    <w:rsid w:val="0DEE0D57"/>
    <w:rsid w:val="0E254B6B"/>
    <w:rsid w:val="0E481E5C"/>
    <w:rsid w:val="0E590AFF"/>
    <w:rsid w:val="0E7C47EE"/>
    <w:rsid w:val="0E7F4F01"/>
    <w:rsid w:val="0EBA2E73"/>
    <w:rsid w:val="0EBC4BEA"/>
    <w:rsid w:val="0EEE01B5"/>
    <w:rsid w:val="0EFF7548"/>
    <w:rsid w:val="0F063405"/>
    <w:rsid w:val="0F2033CB"/>
    <w:rsid w:val="0F4D1A8A"/>
    <w:rsid w:val="0F662BDE"/>
    <w:rsid w:val="0F722315"/>
    <w:rsid w:val="0F961864"/>
    <w:rsid w:val="0F98263C"/>
    <w:rsid w:val="0FAC0D64"/>
    <w:rsid w:val="0FD20DA7"/>
    <w:rsid w:val="0FFC1FC5"/>
    <w:rsid w:val="101860EC"/>
    <w:rsid w:val="101F47CC"/>
    <w:rsid w:val="10321608"/>
    <w:rsid w:val="10C055FF"/>
    <w:rsid w:val="10CA7D05"/>
    <w:rsid w:val="10FD4D66"/>
    <w:rsid w:val="112D33E4"/>
    <w:rsid w:val="112E0021"/>
    <w:rsid w:val="1146124D"/>
    <w:rsid w:val="115B2DE0"/>
    <w:rsid w:val="11694EBD"/>
    <w:rsid w:val="11772AA4"/>
    <w:rsid w:val="118107EC"/>
    <w:rsid w:val="11BD76CA"/>
    <w:rsid w:val="11D92708"/>
    <w:rsid w:val="120001E8"/>
    <w:rsid w:val="120B2110"/>
    <w:rsid w:val="12527D3F"/>
    <w:rsid w:val="12D53DDF"/>
    <w:rsid w:val="12E24EE2"/>
    <w:rsid w:val="13082AF4"/>
    <w:rsid w:val="13134ACB"/>
    <w:rsid w:val="137D0DEC"/>
    <w:rsid w:val="13D50BC4"/>
    <w:rsid w:val="13DB5F89"/>
    <w:rsid w:val="13EE479A"/>
    <w:rsid w:val="13FA23B8"/>
    <w:rsid w:val="140432BB"/>
    <w:rsid w:val="140851DE"/>
    <w:rsid w:val="14160E02"/>
    <w:rsid w:val="14265EA5"/>
    <w:rsid w:val="14304689"/>
    <w:rsid w:val="147D6BCA"/>
    <w:rsid w:val="14AE0B98"/>
    <w:rsid w:val="14B17F78"/>
    <w:rsid w:val="14D02BF1"/>
    <w:rsid w:val="150F4227"/>
    <w:rsid w:val="15404361"/>
    <w:rsid w:val="15A1784D"/>
    <w:rsid w:val="15AB651B"/>
    <w:rsid w:val="15BA3754"/>
    <w:rsid w:val="15C52F1A"/>
    <w:rsid w:val="161812A0"/>
    <w:rsid w:val="16207BE8"/>
    <w:rsid w:val="162E4683"/>
    <w:rsid w:val="16573B76"/>
    <w:rsid w:val="165E0673"/>
    <w:rsid w:val="16814185"/>
    <w:rsid w:val="16B25250"/>
    <w:rsid w:val="16B831D5"/>
    <w:rsid w:val="16BB723D"/>
    <w:rsid w:val="16F74D90"/>
    <w:rsid w:val="16FC27E7"/>
    <w:rsid w:val="171C7F4A"/>
    <w:rsid w:val="17334565"/>
    <w:rsid w:val="17343EB7"/>
    <w:rsid w:val="1740460A"/>
    <w:rsid w:val="174165D4"/>
    <w:rsid w:val="17437514"/>
    <w:rsid w:val="17817670"/>
    <w:rsid w:val="17865A01"/>
    <w:rsid w:val="17915AA3"/>
    <w:rsid w:val="17B9260F"/>
    <w:rsid w:val="17E50567"/>
    <w:rsid w:val="17FB23B0"/>
    <w:rsid w:val="17FE026B"/>
    <w:rsid w:val="18041ADC"/>
    <w:rsid w:val="18104155"/>
    <w:rsid w:val="185508FC"/>
    <w:rsid w:val="186504BB"/>
    <w:rsid w:val="18D81A33"/>
    <w:rsid w:val="18DC3EFA"/>
    <w:rsid w:val="18DF42F7"/>
    <w:rsid w:val="18EA6F23"/>
    <w:rsid w:val="19153875"/>
    <w:rsid w:val="191C59B6"/>
    <w:rsid w:val="193C22F3"/>
    <w:rsid w:val="193F21E0"/>
    <w:rsid w:val="198D5B01"/>
    <w:rsid w:val="19A445FC"/>
    <w:rsid w:val="1A165AF6"/>
    <w:rsid w:val="1A4C6224"/>
    <w:rsid w:val="1A694BBF"/>
    <w:rsid w:val="1A9A2283"/>
    <w:rsid w:val="1A9B2956"/>
    <w:rsid w:val="1AC663B6"/>
    <w:rsid w:val="1AD46734"/>
    <w:rsid w:val="1AEB1D63"/>
    <w:rsid w:val="1B102545"/>
    <w:rsid w:val="1B285AE1"/>
    <w:rsid w:val="1B4A4F0A"/>
    <w:rsid w:val="1B6E2A2D"/>
    <w:rsid w:val="1B9B331D"/>
    <w:rsid w:val="1B9C202B"/>
    <w:rsid w:val="1BA13EBC"/>
    <w:rsid w:val="1BA355D1"/>
    <w:rsid w:val="1BB72A59"/>
    <w:rsid w:val="1BBFA336"/>
    <w:rsid w:val="1BC7354C"/>
    <w:rsid w:val="1BCC108E"/>
    <w:rsid w:val="1BE13EE2"/>
    <w:rsid w:val="1BE44EAC"/>
    <w:rsid w:val="1BE8440E"/>
    <w:rsid w:val="1C0540A5"/>
    <w:rsid w:val="1C067E9E"/>
    <w:rsid w:val="1C30331C"/>
    <w:rsid w:val="1C747556"/>
    <w:rsid w:val="1C76287C"/>
    <w:rsid w:val="1C95252F"/>
    <w:rsid w:val="1CAC75DE"/>
    <w:rsid w:val="1CB735C0"/>
    <w:rsid w:val="1CE237E4"/>
    <w:rsid w:val="1CE26164"/>
    <w:rsid w:val="1CE7377A"/>
    <w:rsid w:val="1D155CEE"/>
    <w:rsid w:val="1D1638FE"/>
    <w:rsid w:val="1D306ECF"/>
    <w:rsid w:val="1D620F44"/>
    <w:rsid w:val="1D6628F1"/>
    <w:rsid w:val="1D756F42"/>
    <w:rsid w:val="1DC84414"/>
    <w:rsid w:val="1E173551"/>
    <w:rsid w:val="1E312DEB"/>
    <w:rsid w:val="1E34479D"/>
    <w:rsid w:val="1E514C5C"/>
    <w:rsid w:val="1E5270BF"/>
    <w:rsid w:val="1E6A399F"/>
    <w:rsid w:val="1E6A62F1"/>
    <w:rsid w:val="1E740ACF"/>
    <w:rsid w:val="1E81189E"/>
    <w:rsid w:val="1EDA68F9"/>
    <w:rsid w:val="1F066077"/>
    <w:rsid w:val="1F3F1241"/>
    <w:rsid w:val="1F4E188E"/>
    <w:rsid w:val="1F501AAA"/>
    <w:rsid w:val="1F617814"/>
    <w:rsid w:val="1F7D334F"/>
    <w:rsid w:val="1F810169"/>
    <w:rsid w:val="1FAC799E"/>
    <w:rsid w:val="1FDFF8DF"/>
    <w:rsid w:val="1FF35744"/>
    <w:rsid w:val="1FF6BC77"/>
    <w:rsid w:val="20084971"/>
    <w:rsid w:val="2052571F"/>
    <w:rsid w:val="208630ED"/>
    <w:rsid w:val="208A6927"/>
    <w:rsid w:val="20D12777"/>
    <w:rsid w:val="20E97AC1"/>
    <w:rsid w:val="21050673"/>
    <w:rsid w:val="213C6752"/>
    <w:rsid w:val="213D7E0C"/>
    <w:rsid w:val="21460A2B"/>
    <w:rsid w:val="217F21D3"/>
    <w:rsid w:val="21824F16"/>
    <w:rsid w:val="2186353C"/>
    <w:rsid w:val="218D7844"/>
    <w:rsid w:val="21CB18BC"/>
    <w:rsid w:val="21CB1B55"/>
    <w:rsid w:val="21D56325"/>
    <w:rsid w:val="224D533F"/>
    <w:rsid w:val="22A9485C"/>
    <w:rsid w:val="22B968B0"/>
    <w:rsid w:val="22BA5BB9"/>
    <w:rsid w:val="22D14DC5"/>
    <w:rsid w:val="22E42C35"/>
    <w:rsid w:val="22E60B64"/>
    <w:rsid w:val="22F42D36"/>
    <w:rsid w:val="23072480"/>
    <w:rsid w:val="230C3F3A"/>
    <w:rsid w:val="233B037C"/>
    <w:rsid w:val="236271B7"/>
    <w:rsid w:val="23647222"/>
    <w:rsid w:val="23860B96"/>
    <w:rsid w:val="239570C5"/>
    <w:rsid w:val="23D076FB"/>
    <w:rsid w:val="23E503BD"/>
    <w:rsid w:val="240371BF"/>
    <w:rsid w:val="240F17D6"/>
    <w:rsid w:val="240F3CE2"/>
    <w:rsid w:val="242E3B26"/>
    <w:rsid w:val="244F3473"/>
    <w:rsid w:val="24575689"/>
    <w:rsid w:val="246A53BC"/>
    <w:rsid w:val="24860B11"/>
    <w:rsid w:val="24AD5508"/>
    <w:rsid w:val="24B93C4E"/>
    <w:rsid w:val="24BE361B"/>
    <w:rsid w:val="24BF349D"/>
    <w:rsid w:val="24C97D99"/>
    <w:rsid w:val="251D41DD"/>
    <w:rsid w:val="2535374E"/>
    <w:rsid w:val="25445C0D"/>
    <w:rsid w:val="25447D99"/>
    <w:rsid w:val="2557740C"/>
    <w:rsid w:val="256911D0"/>
    <w:rsid w:val="25862F06"/>
    <w:rsid w:val="25891872"/>
    <w:rsid w:val="25A718F0"/>
    <w:rsid w:val="25BB59F6"/>
    <w:rsid w:val="25F07709"/>
    <w:rsid w:val="260B04D9"/>
    <w:rsid w:val="260F557C"/>
    <w:rsid w:val="26970054"/>
    <w:rsid w:val="26C04E12"/>
    <w:rsid w:val="26C92BC5"/>
    <w:rsid w:val="26FE3B9A"/>
    <w:rsid w:val="277B51EB"/>
    <w:rsid w:val="27840543"/>
    <w:rsid w:val="27910EB2"/>
    <w:rsid w:val="279B4250"/>
    <w:rsid w:val="27E07EC4"/>
    <w:rsid w:val="27EB6878"/>
    <w:rsid w:val="27FB01E4"/>
    <w:rsid w:val="281101F7"/>
    <w:rsid w:val="281408E2"/>
    <w:rsid w:val="281F29D4"/>
    <w:rsid w:val="284F6DA3"/>
    <w:rsid w:val="287700A8"/>
    <w:rsid w:val="28AC5FA3"/>
    <w:rsid w:val="28C22A00"/>
    <w:rsid w:val="28D36FBE"/>
    <w:rsid w:val="28EB4394"/>
    <w:rsid w:val="291E69B1"/>
    <w:rsid w:val="29606395"/>
    <w:rsid w:val="296D0649"/>
    <w:rsid w:val="29734F00"/>
    <w:rsid w:val="29870D4C"/>
    <w:rsid w:val="29890093"/>
    <w:rsid w:val="298C36DF"/>
    <w:rsid w:val="29EE19DD"/>
    <w:rsid w:val="29EE439A"/>
    <w:rsid w:val="29FA689B"/>
    <w:rsid w:val="29FD04D3"/>
    <w:rsid w:val="2A262E65"/>
    <w:rsid w:val="2A2C6C70"/>
    <w:rsid w:val="2A367640"/>
    <w:rsid w:val="2A8645D2"/>
    <w:rsid w:val="2ABB47AF"/>
    <w:rsid w:val="2ABF11E3"/>
    <w:rsid w:val="2AC1785E"/>
    <w:rsid w:val="2AC8717F"/>
    <w:rsid w:val="2B020CA2"/>
    <w:rsid w:val="2B1179C2"/>
    <w:rsid w:val="2B277B63"/>
    <w:rsid w:val="2B2C517A"/>
    <w:rsid w:val="2B365FF8"/>
    <w:rsid w:val="2B8C029D"/>
    <w:rsid w:val="2B8C67CE"/>
    <w:rsid w:val="2B9866A5"/>
    <w:rsid w:val="2BA51F9A"/>
    <w:rsid w:val="2BF67536"/>
    <w:rsid w:val="2BFF7BC6"/>
    <w:rsid w:val="2C026B8F"/>
    <w:rsid w:val="2C047EA4"/>
    <w:rsid w:val="2C0F090D"/>
    <w:rsid w:val="2C3C763E"/>
    <w:rsid w:val="2C541BB1"/>
    <w:rsid w:val="2C8A61B5"/>
    <w:rsid w:val="2CA86A82"/>
    <w:rsid w:val="2CB74404"/>
    <w:rsid w:val="2CC677D4"/>
    <w:rsid w:val="2D482227"/>
    <w:rsid w:val="2D4D587B"/>
    <w:rsid w:val="2D59759C"/>
    <w:rsid w:val="2D7828F8"/>
    <w:rsid w:val="2D83304B"/>
    <w:rsid w:val="2DF04E50"/>
    <w:rsid w:val="2DF14458"/>
    <w:rsid w:val="2DF83A39"/>
    <w:rsid w:val="2DF857E7"/>
    <w:rsid w:val="2E3F5F5E"/>
    <w:rsid w:val="2E513149"/>
    <w:rsid w:val="2E586DFA"/>
    <w:rsid w:val="2E8E43E9"/>
    <w:rsid w:val="2E911E03"/>
    <w:rsid w:val="2EA81CB8"/>
    <w:rsid w:val="2EA850C9"/>
    <w:rsid w:val="2EAC6DFB"/>
    <w:rsid w:val="2ED95618"/>
    <w:rsid w:val="2EE713B8"/>
    <w:rsid w:val="2EEBA80D"/>
    <w:rsid w:val="2EFC30B5"/>
    <w:rsid w:val="2F0401BB"/>
    <w:rsid w:val="2F040D46"/>
    <w:rsid w:val="2F0F103A"/>
    <w:rsid w:val="2F212B1B"/>
    <w:rsid w:val="2F2A30B8"/>
    <w:rsid w:val="2F634EE2"/>
    <w:rsid w:val="2F6B035B"/>
    <w:rsid w:val="2F7D40EF"/>
    <w:rsid w:val="2F81180C"/>
    <w:rsid w:val="2F846934"/>
    <w:rsid w:val="2FAE5751"/>
    <w:rsid w:val="2FB052CF"/>
    <w:rsid w:val="2FB1A395"/>
    <w:rsid w:val="2FBB5577"/>
    <w:rsid w:val="2FD22068"/>
    <w:rsid w:val="2FD9A7D8"/>
    <w:rsid w:val="2FDBF714"/>
    <w:rsid w:val="3043555D"/>
    <w:rsid w:val="304720AE"/>
    <w:rsid w:val="30AB6865"/>
    <w:rsid w:val="30CC59E1"/>
    <w:rsid w:val="312608BD"/>
    <w:rsid w:val="313D2EAB"/>
    <w:rsid w:val="31436D79"/>
    <w:rsid w:val="314851F1"/>
    <w:rsid w:val="31490108"/>
    <w:rsid w:val="31541D0B"/>
    <w:rsid w:val="3155096C"/>
    <w:rsid w:val="319770C5"/>
    <w:rsid w:val="319F7F4E"/>
    <w:rsid w:val="31B937C3"/>
    <w:rsid w:val="31D41044"/>
    <w:rsid w:val="31E124A4"/>
    <w:rsid w:val="31F237FB"/>
    <w:rsid w:val="321626E0"/>
    <w:rsid w:val="32862AEE"/>
    <w:rsid w:val="329A6E6D"/>
    <w:rsid w:val="32BD1EF1"/>
    <w:rsid w:val="3304709D"/>
    <w:rsid w:val="33492641"/>
    <w:rsid w:val="33712E8C"/>
    <w:rsid w:val="33721B98"/>
    <w:rsid w:val="33A773CB"/>
    <w:rsid w:val="33AA7583"/>
    <w:rsid w:val="33DA14EB"/>
    <w:rsid w:val="340329A9"/>
    <w:rsid w:val="34366C11"/>
    <w:rsid w:val="34567B88"/>
    <w:rsid w:val="345B262C"/>
    <w:rsid w:val="34873421"/>
    <w:rsid w:val="34901306"/>
    <w:rsid w:val="349D6851"/>
    <w:rsid w:val="34DD4918"/>
    <w:rsid w:val="34F55FD3"/>
    <w:rsid w:val="35064C8D"/>
    <w:rsid w:val="35104158"/>
    <w:rsid w:val="354D5524"/>
    <w:rsid w:val="35585E1E"/>
    <w:rsid w:val="355D6D9F"/>
    <w:rsid w:val="356B5681"/>
    <w:rsid w:val="357E601E"/>
    <w:rsid w:val="35820EC3"/>
    <w:rsid w:val="3583008C"/>
    <w:rsid w:val="35CF5C80"/>
    <w:rsid w:val="35D87705"/>
    <w:rsid w:val="360F7B72"/>
    <w:rsid w:val="361965FA"/>
    <w:rsid w:val="36295062"/>
    <w:rsid w:val="3639798F"/>
    <w:rsid w:val="363E2205"/>
    <w:rsid w:val="365E7F82"/>
    <w:rsid w:val="367E6AA5"/>
    <w:rsid w:val="36AA5135"/>
    <w:rsid w:val="36BE0DA7"/>
    <w:rsid w:val="371816ED"/>
    <w:rsid w:val="376B6AA6"/>
    <w:rsid w:val="376D39B2"/>
    <w:rsid w:val="37887BDC"/>
    <w:rsid w:val="37E16F03"/>
    <w:rsid w:val="37F53A3B"/>
    <w:rsid w:val="382F62A9"/>
    <w:rsid w:val="384358B1"/>
    <w:rsid w:val="384B188A"/>
    <w:rsid w:val="38877211"/>
    <w:rsid w:val="389B6C89"/>
    <w:rsid w:val="389B749B"/>
    <w:rsid w:val="389C7973"/>
    <w:rsid w:val="38A74091"/>
    <w:rsid w:val="38AC16A8"/>
    <w:rsid w:val="38D469F0"/>
    <w:rsid w:val="38F2730A"/>
    <w:rsid w:val="390C0CA3"/>
    <w:rsid w:val="391D25A6"/>
    <w:rsid w:val="392E3ED3"/>
    <w:rsid w:val="39537572"/>
    <w:rsid w:val="39617003"/>
    <w:rsid w:val="39627CCD"/>
    <w:rsid w:val="39717700"/>
    <w:rsid w:val="397BAF1F"/>
    <w:rsid w:val="397C3F4B"/>
    <w:rsid w:val="39C94D81"/>
    <w:rsid w:val="39CB382F"/>
    <w:rsid w:val="39D32C64"/>
    <w:rsid w:val="39E135D3"/>
    <w:rsid w:val="3A282BE0"/>
    <w:rsid w:val="3A914FF9"/>
    <w:rsid w:val="3AB79AF3"/>
    <w:rsid w:val="3ACF78CF"/>
    <w:rsid w:val="3AE834C0"/>
    <w:rsid w:val="3B046B78"/>
    <w:rsid w:val="3B05373E"/>
    <w:rsid w:val="3B190B4B"/>
    <w:rsid w:val="3B7D3434"/>
    <w:rsid w:val="3B7EF35A"/>
    <w:rsid w:val="3B843992"/>
    <w:rsid w:val="3B9FDB6C"/>
    <w:rsid w:val="3BC51E23"/>
    <w:rsid w:val="3BF25D27"/>
    <w:rsid w:val="3BF5BC2F"/>
    <w:rsid w:val="3C045180"/>
    <w:rsid w:val="3C2D1349"/>
    <w:rsid w:val="3C2F4ACA"/>
    <w:rsid w:val="3C473DD3"/>
    <w:rsid w:val="3C741088"/>
    <w:rsid w:val="3C92157B"/>
    <w:rsid w:val="3CEBA265"/>
    <w:rsid w:val="3D1309AC"/>
    <w:rsid w:val="3D2C012D"/>
    <w:rsid w:val="3D505308"/>
    <w:rsid w:val="3D814219"/>
    <w:rsid w:val="3D9170BE"/>
    <w:rsid w:val="3D98207C"/>
    <w:rsid w:val="3DBE7D8F"/>
    <w:rsid w:val="3DEE7CF3"/>
    <w:rsid w:val="3DFD5C8D"/>
    <w:rsid w:val="3E0F71B0"/>
    <w:rsid w:val="3E1A5306"/>
    <w:rsid w:val="3E324EE5"/>
    <w:rsid w:val="3E38233A"/>
    <w:rsid w:val="3E587BDC"/>
    <w:rsid w:val="3E740A63"/>
    <w:rsid w:val="3E78745D"/>
    <w:rsid w:val="3E8726CD"/>
    <w:rsid w:val="3ED21DD7"/>
    <w:rsid w:val="3ED7494E"/>
    <w:rsid w:val="3EE17838"/>
    <w:rsid w:val="3EE54794"/>
    <w:rsid w:val="3F392CE3"/>
    <w:rsid w:val="3F55381A"/>
    <w:rsid w:val="3F6530F9"/>
    <w:rsid w:val="3F7F7599"/>
    <w:rsid w:val="3FAC4683"/>
    <w:rsid w:val="3FCE0156"/>
    <w:rsid w:val="3FE71A79"/>
    <w:rsid w:val="3FEF65DD"/>
    <w:rsid w:val="3FF4CAE0"/>
    <w:rsid w:val="3FF7B227"/>
    <w:rsid w:val="3FFB29DE"/>
    <w:rsid w:val="405818FB"/>
    <w:rsid w:val="409D0FBF"/>
    <w:rsid w:val="40B52255"/>
    <w:rsid w:val="40BA4B7E"/>
    <w:rsid w:val="40BC4452"/>
    <w:rsid w:val="40C724E3"/>
    <w:rsid w:val="40D03A45"/>
    <w:rsid w:val="40DD2097"/>
    <w:rsid w:val="40F91C31"/>
    <w:rsid w:val="40F956A6"/>
    <w:rsid w:val="40FB4D0F"/>
    <w:rsid w:val="411D40F5"/>
    <w:rsid w:val="413A30CA"/>
    <w:rsid w:val="4148218A"/>
    <w:rsid w:val="4180170D"/>
    <w:rsid w:val="41C537DA"/>
    <w:rsid w:val="41FE3350"/>
    <w:rsid w:val="420A062C"/>
    <w:rsid w:val="42127FFC"/>
    <w:rsid w:val="4227255A"/>
    <w:rsid w:val="42435874"/>
    <w:rsid w:val="425E2F4E"/>
    <w:rsid w:val="42821601"/>
    <w:rsid w:val="42D6495D"/>
    <w:rsid w:val="42DF267A"/>
    <w:rsid w:val="42FC322C"/>
    <w:rsid w:val="430F0ADF"/>
    <w:rsid w:val="434150E2"/>
    <w:rsid w:val="434157D4"/>
    <w:rsid w:val="43572B58"/>
    <w:rsid w:val="43665029"/>
    <w:rsid w:val="439E2535"/>
    <w:rsid w:val="43A21908"/>
    <w:rsid w:val="43AA6E20"/>
    <w:rsid w:val="43D16466"/>
    <w:rsid w:val="43D877F5"/>
    <w:rsid w:val="44511BFB"/>
    <w:rsid w:val="445A010C"/>
    <w:rsid w:val="44605C18"/>
    <w:rsid w:val="446D160A"/>
    <w:rsid w:val="449C4CC6"/>
    <w:rsid w:val="44A76D73"/>
    <w:rsid w:val="44CD4E80"/>
    <w:rsid w:val="44E268DA"/>
    <w:rsid w:val="450D13D7"/>
    <w:rsid w:val="45157C4D"/>
    <w:rsid w:val="45181E73"/>
    <w:rsid w:val="45506656"/>
    <w:rsid w:val="45755466"/>
    <w:rsid w:val="457A6B98"/>
    <w:rsid w:val="45905EAD"/>
    <w:rsid w:val="459873F0"/>
    <w:rsid w:val="45A35BE1"/>
    <w:rsid w:val="45B57ED7"/>
    <w:rsid w:val="46127979"/>
    <w:rsid w:val="464142C7"/>
    <w:rsid w:val="46625A9C"/>
    <w:rsid w:val="46C46EB5"/>
    <w:rsid w:val="46C6602A"/>
    <w:rsid w:val="46F16D10"/>
    <w:rsid w:val="47011EF2"/>
    <w:rsid w:val="47172C63"/>
    <w:rsid w:val="47245577"/>
    <w:rsid w:val="4724643E"/>
    <w:rsid w:val="47303470"/>
    <w:rsid w:val="4734033C"/>
    <w:rsid w:val="473A4323"/>
    <w:rsid w:val="475028AA"/>
    <w:rsid w:val="47A34AA6"/>
    <w:rsid w:val="47BD091D"/>
    <w:rsid w:val="47C4466D"/>
    <w:rsid w:val="47CE7061"/>
    <w:rsid w:val="47D32A73"/>
    <w:rsid w:val="47FA7BD0"/>
    <w:rsid w:val="48115204"/>
    <w:rsid w:val="48210086"/>
    <w:rsid w:val="484A41C3"/>
    <w:rsid w:val="486A6C7A"/>
    <w:rsid w:val="48715FBB"/>
    <w:rsid w:val="488717E9"/>
    <w:rsid w:val="48931F3C"/>
    <w:rsid w:val="48A82FB3"/>
    <w:rsid w:val="48AC2FFE"/>
    <w:rsid w:val="498D1081"/>
    <w:rsid w:val="498D509B"/>
    <w:rsid w:val="49D82F4D"/>
    <w:rsid w:val="49E7024F"/>
    <w:rsid w:val="4A627F82"/>
    <w:rsid w:val="4A782D22"/>
    <w:rsid w:val="4A9401EE"/>
    <w:rsid w:val="4AEC002A"/>
    <w:rsid w:val="4B0A4C46"/>
    <w:rsid w:val="4B0E749A"/>
    <w:rsid w:val="4B2477C4"/>
    <w:rsid w:val="4B4F25DA"/>
    <w:rsid w:val="4BE068DB"/>
    <w:rsid w:val="4BE807F1"/>
    <w:rsid w:val="4C425A91"/>
    <w:rsid w:val="4C4B0D80"/>
    <w:rsid w:val="4C4F6AC2"/>
    <w:rsid w:val="4C5530E5"/>
    <w:rsid w:val="4C896AE6"/>
    <w:rsid w:val="4CE10ECD"/>
    <w:rsid w:val="4CEB6F64"/>
    <w:rsid w:val="4D577224"/>
    <w:rsid w:val="4D5D68AB"/>
    <w:rsid w:val="4D864324"/>
    <w:rsid w:val="4D961293"/>
    <w:rsid w:val="4DBF1CEB"/>
    <w:rsid w:val="4DE463DE"/>
    <w:rsid w:val="4DF0007C"/>
    <w:rsid w:val="4DF210E2"/>
    <w:rsid w:val="4E0538DC"/>
    <w:rsid w:val="4E127DA7"/>
    <w:rsid w:val="4E5254F9"/>
    <w:rsid w:val="4EAB630A"/>
    <w:rsid w:val="4EBE1CDD"/>
    <w:rsid w:val="4EC529A2"/>
    <w:rsid w:val="4ECE2238"/>
    <w:rsid w:val="4EE259CC"/>
    <w:rsid w:val="4EE77910"/>
    <w:rsid w:val="4EFF657E"/>
    <w:rsid w:val="4F1A3377"/>
    <w:rsid w:val="4F1B3040"/>
    <w:rsid w:val="4F833267"/>
    <w:rsid w:val="4FAB400F"/>
    <w:rsid w:val="4FCD042A"/>
    <w:rsid w:val="4FCE7A0A"/>
    <w:rsid w:val="4FE30485"/>
    <w:rsid w:val="4FE9BD67"/>
    <w:rsid w:val="4FFB052F"/>
    <w:rsid w:val="50412BC6"/>
    <w:rsid w:val="50587AA5"/>
    <w:rsid w:val="50642410"/>
    <w:rsid w:val="507C59AC"/>
    <w:rsid w:val="50874A7C"/>
    <w:rsid w:val="5093764E"/>
    <w:rsid w:val="50C73053"/>
    <w:rsid w:val="50EB0766"/>
    <w:rsid w:val="50FC089B"/>
    <w:rsid w:val="512325CF"/>
    <w:rsid w:val="51281690"/>
    <w:rsid w:val="512953B4"/>
    <w:rsid w:val="51B5057E"/>
    <w:rsid w:val="52217969"/>
    <w:rsid w:val="523C53F3"/>
    <w:rsid w:val="525335B6"/>
    <w:rsid w:val="526037D7"/>
    <w:rsid w:val="526112FD"/>
    <w:rsid w:val="52741030"/>
    <w:rsid w:val="529C6F07"/>
    <w:rsid w:val="52B82114"/>
    <w:rsid w:val="52CB14BF"/>
    <w:rsid w:val="52D054FF"/>
    <w:rsid w:val="52DB4C79"/>
    <w:rsid w:val="52DC6BD6"/>
    <w:rsid w:val="52EA6974"/>
    <w:rsid w:val="531A0520"/>
    <w:rsid w:val="532439D9"/>
    <w:rsid w:val="53247454"/>
    <w:rsid w:val="533B41A1"/>
    <w:rsid w:val="534471A0"/>
    <w:rsid w:val="534C1566"/>
    <w:rsid w:val="53640943"/>
    <w:rsid w:val="536413C1"/>
    <w:rsid w:val="53677AF3"/>
    <w:rsid w:val="537D3F15"/>
    <w:rsid w:val="537E6D0A"/>
    <w:rsid w:val="53A0483E"/>
    <w:rsid w:val="53AB6755"/>
    <w:rsid w:val="53B76D66"/>
    <w:rsid w:val="53F51452"/>
    <w:rsid w:val="53F74C96"/>
    <w:rsid w:val="54191EF5"/>
    <w:rsid w:val="541D223B"/>
    <w:rsid w:val="545F438F"/>
    <w:rsid w:val="54602B84"/>
    <w:rsid w:val="54705BD7"/>
    <w:rsid w:val="548E3DB8"/>
    <w:rsid w:val="54B12E18"/>
    <w:rsid w:val="54F13B29"/>
    <w:rsid w:val="55170BA8"/>
    <w:rsid w:val="552471A3"/>
    <w:rsid w:val="552615B0"/>
    <w:rsid w:val="553218C9"/>
    <w:rsid w:val="55390EB8"/>
    <w:rsid w:val="55434CEA"/>
    <w:rsid w:val="554539FD"/>
    <w:rsid w:val="554967A4"/>
    <w:rsid w:val="55943798"/>
    <w:rsid w:val="55A71640"/>
    <w:rsid w:val="55BD684B"/>
    <w:rsid w:val="55F3226C"/>
    <w:rsid w:val="55F34962"/>
    <w:rsid w:val="56292E25"/>
    <w:rsid w:val="565A22EB"/>
    <w:rsid w:val="567E1AA5"/>
    <w:rsid w:val="568E6439"/>
    <w:rsid w:val="56C66E8C"/>
    <w:rsid w:val="56CD67B5"/>
    <w:rsid w:val="56E06530"/>
    <w:rsid w:val="56E47B74"/>
    <w:rsid w:val="57175D52"/>
    <w:rsid w:val="57284198"/>
    <w:rsid w:val="57621D8D"/>
    <w:rsid w:val="578749AA"/>
    <w:rsid w:val="578B5A58"/>
    <w:rsid w:val="57BD3DD4"/>
    <w:rsid w:val="57E97DCB"/>
    <w:rsid w:val="581B3CFC"/>
    <w:rsid w:val="582232DD"/>
    <w:rsid w:val="58372679"/>
    <w:rsid w:val="5880636C"/>
    <w:rsid w:val="588653B2"/>
    <w:rsid w:val="58CA0FB8"/>
    <w:rsid w:val="58D04AE7"/>
    <w:rsid w:val="58E81E30"/>
    <w:rsid w:val="58E97957"/>
    <w:rsid w:val="58F2491B"/>
    <w:rsid w:val="590173E6"/>
    <w:rsid w:val="59266B6D"/>
    <w:rsid w:val="593037D7"/>
    <w:rsid w:val="594F2A06"/>
    <w:rsid w:val="596C2A61"/>
    <w:rsid w:val="59C208D3"/>
    <w:rsid w:val="59CC0D4E"/>
    <w:rsid w:val="59DF3EB6"/>
    <w:rsid w:val="5A3D09A9"/>
    <w:rsid w:val="5A470DD9"/>
    <w:rsid w:val="5A4968FF"/>
    <w:rsid w:val="5A6E01C6"/>
    <w:rsid w:val="5A726E5B"/>
    <w:rsid w:val="5AB77ABD"/>
    <w:rsid w:val="5ACC7D43"/>
    <w:rsid w:val="5AF92295"/>
    <w:rsid w:val="5B0C6D0C"/>
    <w:rsid w:val="5B150ED7"/>
    <w:rsid w:val="5B250254"/>
    <w:rsid w:val="5B392E17"/>
    <w:rsid w:val="5B4B7989"/>
    <w:rsid w:val="5B6A7475"/>
    <w:rsid w:val="5B7D41AB"/>
    <w:rsid w:val="5BC00E43"/>
    <w:rsid w:val="5BC92E17"/>
    <w:rsid w:val="5BC94719"/>
    <w:rsid w:val="5BDD79E6"/>
    <w:rsid w:val="5BF31218"/>
    <w:rsid w:val="5BF561CA"/>
    <w:rsid w:val="5BF85E98"/>
    <w:rsid w:val="5BFF5DFC"/>
    <w:rsid w:val="5C2B7526"/>
    <w:rsid w:val="5C3319F4"/>
    <w:rsid w:val="5C445E6A"/>
    <w:rsid w:val="5C5773BA"/>
    <w:rsid w:val="5C6553ED"/>
    <w:rsid w:val="5C907B7A"/>
    <w:rsid w:val="5C9612B9"/>
    <w:rsid w:val="5CD71FC4"/>
    <w:rsid w:val="5D1E0517"/>
    <w:rsid w:val="5D1F11B5"/>
    <w:rsid w:val="5D2F619F"/>
    <w:rsid w:val="5D695134"/>
    <w:rsid w:val="5D7A7717"/>
    <w:rsid w:val="5D83037A"/>
    <w:rsid w:val="5D911DAB"/>
    <w:rsid w:val="5DAE1B18"/>
    <w:rsid w:val="5DD7667C"/>
    <w:rsid w:val="5DE132F2"/>
    <w:rsid w:val="5DE7D9E5"/>
    <w:rsid w:val="5E0A66DE"/>
    <w:rsid w:val="5E105B43"/>
    <w:rsid w:val="5E251431"/>
    <w:rsid w:val="5E3B2A02"/>
    <w:rsid w:val="5E425832"/>
    <w:rsid w:val="5E4B5F90"/>
    <w:rsid w:val="5E4B6E46"/>
    <w:rsid w:val="5E8E347A"/>
    <w:rsid w:val="5EC9338A"/>
    <w:rsid w:val="5ECEC941"/>
    <w:rsid w:val="5ED26194"/>
    <w:rsid w:val="5EE368BA"/>
    <w:rsid w:val="5EE4327E"/>
    <w:rsid w:val="5EE92875"/>
    <w:rsid w:val="5EF13A09"/>
    <w:rsid w:val="5F0279C4"/>
    <w:rsid w:val="5F3D09FC"/>
    <w:rsid w:val="5F5024DD"/>
    <w:rsid w:val="5F683CCB"/>
    <w:rsid w:val="5F750196"/>
    <w:rsid w:val="5F93061C"/>
    <w:rsid w:val="5FAC5A57"/>
    <w:rsid w:val="5FAC5B38"/>
    <w:rsid w:val="5FAE4E4D"/>
    <w:rsid w:val="5FBF9FF3"/>
    <w:rsid w:val="5FCA04E2"/>
    <w:rsid w:val="5FCD310F"/>
    <w:rsid w:val="5FCD4E2C"/>
    <w:rsid w:val="5FEE767C"/>
    <w:rsid w:val="5FEF394A"/>
    <w:rsid w:val="5FF67715"/>
    <w:rsid w:val="5FF7504F"/>
    <w:rsid w:val="60073A6B"/>
    <w:rsid w:val="60171CB7"/>
    <w:rsid w:val="601C3366"/>
    <w:rsid w:val="603E67DA"/>
    <w:rsid w:val="60592C21"/>
    <w:rsid w:val="6074208F"/>
    <w:rsid w:val="607B03DD"/>
    <w:rsid w:val="607E624F"/>
    <w:rsid w:val="608605A7"/>
    <w:rsid w:val="60A078D4"/>
    <w:rsid w:val="60AA3E6F"/>
    <w:rsid w:val="61306A6A"/>
    <w:rsid w:val="61652C2D"/>
    <w:rsid w:val="61654AAB"/>
    <w:rsid w:val="61870A0B"/>
    <w:rsid w:val="618B5A4F"/>
    <w:rsid w:val="61B551C2"/>
    <w:rsid w:val="620D6DAC"/>
    <w:rsid w:val="62203C3B"/>
    <w:rsid w:val="6229523A"/>
    <w:rsid w:val="62435525"/>
    <w:rsid w:val="626D7CE5"/>
    <w:rsid w:val="62B80AC5"/>
    <w:rsid w:val="62BF3928"/>
    <w:rsid w:val="62E25CE4"/>
    <w:rsid w:val="62EE098B"/>
    <w:rsid w:val="62FD6A68"/>
    <w:rsid w:val="63013E7B"/>
    <w:rsid w:val="632B6611"/>
    <w:rsid w:val="63381C06"/>
    <w:rsid w:val="633960E1"/>
    <w:rsid w:val="6343411C"/>
    <w:rsid w:val="635B4B4A"/>
    <w:rsid w:val="63640C4D"/>
    <w:rsid w:val="638D5C5B"/>
    <w:rsid w:val="63B14C20"/>
    <w:rsid w:val="63B3701E"/>
    <w:rsid w:val="63D95197"/>
    <w:rsid w:val="647F5392"/>
    <w:rsid w:val="64800672"/>
    <w:rsid w:val="64994927"/>
    <w:rsid w:val="64AD3BDA"/>
    <w:rsid w:val="64BC23C3"/>
    <w:rsid w:val="64C319A4"/>
    <w:rsid w:val="64F60EF6"/>
    <w:rsid w:val="65001E19"/>
    <w:rsid w:val="65184F7F"/>
    <w:rsid w:val="653463FD"/>
    <w:rsid w:val="65362175"/>
    <w:rsid w:val="658C6239"/>
    <w:rsid w:val="659375C8"/>
    <w:rsid w:val="65BD4645"/>
    <w:rsid w:val="65C95A3A"/>
    <w:rsid w:val="65E66580"/>
    <w:rsid w:val="66081D64"/>
    <w:rsid w:val="66262E1D"/>
    <w:rsid w:val="664B1D71"/>
    <w:rsid w:val="664B4E8E"/>
    <w:rsid w:val="665905FC"/>
    <w:rsid w:val="665C3E5E"/>
    <w:rsid w:val="66A6332B"/>
    <w:rsid w:val="66A80E51"/>
    <w:rsid w:val="66AD46B9"/>
    <w:rsid w:val="66D41C46"/>
    <w:rsid w:val="66D85D11"/>
    <w:rsid w:val="66D9725C"/>
    <w:rsid w:val="67254250"/>
    <w:rsid w:val="67277B67"/>
    <w:rsid w:val="67670D0C"/>
    <w:rsid w:val="67925890"/>
    <w:rsid w:val="67AA3209"/>
    <w:rsid w:val="67B751C8"/>
    <w:rsid w:val="67CA2E3C"/>
    <w:rsid w:val="67D3114F"/>
    <w:rsid w:val="67DA7730"/>
    <w:rsid w:val="6817003C"/>
    <w:rsid w:val="681F67D0"/>
    <w:rsid w:val="68674F05"/>
    <w:rsid w:val="68757459"/>
    <w:rsid w:val="687F76CE"/>
    <w:rsid w:val="68895C5D"/>
    <w:rsid w:val="68A87665"/>
    <w:rsid w:val="690C1B6B"/>
    <w:rsid w:val="691B0EFE"/>
    <w:rsid w:val="698D0931"/>
    <w:rsid w:val="69A15835"/>
    <w:rsid w:val="69B47B0D"/>
    <w:rsid w:val="69D435AA"/>
    <w:rsid w:val="69F477BD"/>
    <w:rsid w:val="69F97043"/>
    <w:rsid w:val="6A282B5F"/>
    <w:rsid w:val="6A7FE5F3"/>
    <w:rsid w:val="6A975464"/>
    <w:rsid w:val="6ABD66AF"/>
    <w:rsid w:val="6AC10733"/>
    <w:rsid w:val="6AFD1070"/>
    <w:rsid w:val="6B053271"/>
    <w:rsid w:val="6B100DD2"/>
    <w:rsid w:val="6B4F62C2"/>
    <w:rsid w:val="6B5A3003"/>
    <w:rsid w:val="6B5B6548"/>
    <w:rsid w:val="6B9474AA"/>
    <w:rsid w:val="6B9A47AC"/>
    <w:rsid w:val="6BBF2CB3"/>
    <w:rsid w:val="6BC56001"/>
    <w:rsid w:val="6BDD78B3"/>
    <w:rsid w:val="6BF24841"/>
    <w:rsid w:val="6C101972"/>
    <w:rsid w:val="6C1227AE"/>
    <w:rsid w:val="6C435E52"/>
    <w:rsid w:val="6C487092"/>
    <w:rsid w:val="6C492DBB"/>
    <w:rsid w:val="6C4A05C8"/>
    <w:rsid w:val="6C821877"/>
    <w:rsid w:val="6C8742B8"/>
    <w:rsid w:val="6C9D3372"/>
    <w:rsid w:val="6CE54BAD"/>
    <w:rsid w:val="6CFDF5C7"/>
    <w:rsid w:val="6D062181"/>
    <w:rsid w:val="6D100873"/>
    <w:rsid w:val="6D5C7F9A"/>
    <w:rsid w:val="6D5D0751"/>
    <w:rsid w:val="6D842D5C"/>
    <w:rsid w:val="6D920165"/>
    <w:rsid w:val="6DA528C6"/>
    <w:rsid w:val="6DBA3368"/>
    <w:rsid w:val="6DBF5E93"/>
    <w:rsid w:val="6DCC41AE"/>
    <w:rsid w:val="6DDE15FC"/>
    <w:rsid w:val="6DFF077E"/>
    <w:rsid w:val="6E0A1258"/>
    <w:rsid w:val="6E2C05BA"/>
    <w:rsid w:val="6E69536A"/>
    <w:rsid w:val="6E714EF0"/>
    <w:rsid w:val="6E7E3605"/>
    <w:rsid w:val="6E7FDCC7"/>
    <w:rsid w:val="6E906B41"/>
    <w:rsid w:val="6E946B8C"/>
    <w:rsid w:val="6E9543B1"/>
    <w:rsid w:val="6ED6A62E"/>
    <w:rsid w:val="6EE00B15"/>
    <w:rsid w:val="6EF015E7"/>
    <w:rsid w:val="6F1F0D85"/>
    <w:rsid w:val="6F2D60F4"/>
    <w:rsid w:val="6F402188"/>
    <w:rsid w:val="6F585AF5"/>
    <w:rsid w:val="6F5C0DC4"/>
    <w:rsid w:val="6F6FB3EB"/>
    <w:rsid w:val="6F700DD4"/>
    <w:rsid w:val="6F8306AD"/>
    <w:rsid w:val="6F8731EA"/>
    <w:rsid w:val="6F8A285D"/>
    <w:rsid w:val="6FA81EC2"/>
    <w:rsid w:val="6FBD10E0"/>
    <w:rsid w:val="6FCE6052"/>
    <w:rsid w:val="6FD577DD"/>
    <w:rsid w:val="6FD57C00"/>
    <w:rsid w:val="6FEFFFD8"/>
    <w:rsid w:val="6FF5CC65"/>
    <w:rsid w:val="6FF91595"/>
    <w:rsid w:val="6FFB47EC"/>
    <w:rsid w:val="6FFE36AB"/>
    <w:rsid w:val="6FFE4179"/>
    <w:rsid w:val="6FFF034A"/>
    <w:rsid w:val="701769DC"/>
    <w:rsid w:val="70314C03"/>
    <w:rsid w:val="70384FF4"/>
    <w:rsid w:val="7040468A"/>
    <w:rsid w:val="70452A02"/>
    <w:rsid w:val="70484440"/>
    <w:rsid w:val="704E4817"/>
    <w:rsid w:val="706202C3"/>
    <w:rsid w:val="7073669D"/>
    <w:rsid w:val="70812E3F"/>
    <w:rsid w:val="708C3591"/>
    <w:rsid w:val="70C84A9F"/>
    <w:rsid w:val="70EA44E4"/>
    <w:rsid w:val="711A6DEF"/>
    <w:rsid w:val="711C2C28"/>
    <w:rsid w:val="712A28F1"/>
    <w:rsid w:val="71337C1F"/>
    <w:rsid w:val="71402F50"/>
    <w:rsid w:val="71407AB8"/>
    <w:rsid w:val="715C0E4B"/>
    <w:rsid w:val="716345F2"/>
    <w:rsid w:val="7170468F"/>
    <w:rsid w:val="718633AD"/>
    <w:rsid w:val="71992E7C"/>
    <w:rsid w:val="71B42DA0"/>
    <w:rsid w:val="71F11D87"/>
    <w:rsid w:val="72213D09"/>
    <w:rsid w:val="72233669"/>
    <w:rsid w:val="722F6C03"/>
    <w:rsid w:val="72347A3D"/>
    <w:rsid w:val="72734D90"/>
    <w:rsid w:val="727B1C21"/>
    <w:rsid w:val="7280121E"/>
    <w:rsid w:val="72B702CF"/>
    <w:rsid w:val="72BB015E"/>
    <w:rsid w:val="72D33A90"/>
    <w:rsid w:val="72D82ABE"/>
    <w:rsid w:val="72E158F4"/>
    <w:rsid w:val="73025D8D"/>
    <w:rsid w:val="730D6C0C"/>
    <w:rsid w:val="73160E6D"/>
    <w:rsid w:val="732950C8"/>
    <w:rsid w:val="7332FE48"/>
    <w:rsid w:val="733C304D"/>
    <w:rsid w:val="734B14E2"/>
    <w:rsid w:val="73AB61DA"/>
    <w:rsid w:val="73AD55C1"/>
    <w:rsid w:val="73AD73D5"/>
    <w:rsid w:val="73B6EB34"/>
    <w:rsid w:val="73F90F3E"/>
    <w:rsid w:val="73FA497D"/>
    <w:rsid w:val="74071A51"/>
    <w:rsid w:val="744731E5"/>
    <w:rsid w:val="745213E3"/>
    <w:rsid w:val="74707355"/>
    <w:rsid w:val="747B2A32"/>
    <w:rsid w:val="74894F81"/>
    <w:rsid w:val="74924EA1"/>
    <w:rsid w:val="74B65081"/>
    <w:rsid w:val="74BBD01D"/>
    <w:rsid w:val="74DA2B1D"/>
    <w:rsid w:val="74E801BA"/>
    <w:rsid w:val="74ED5379"/>
    <w:rsid w:val="74FA31C0"/>
    <w:rsid w:val="7507768A"/>
    <w:rsid w:val="75193242"/>
    <w:rsid w:val="753922F4"/>
    <w:rsid w:val="753B1060"/>
    <w:rsid w:val="756059AC"/>
    <w:rsid w:val="75812EAD"/>
    <w:rsid w:val="75BA37DA"/>
    <w:rsid w:val="75D73501"/>
    <w:rsid w:val="75DEEEC2"/>
    <w:rsid w:val="75E32345"/>
    <w:rsid w:val="75F61EF0"/>
    <w:rsid w:val="7606723B"/>
    <w:rsid w:val="7612539C"/>
    <w:rsid w:val="761402B1"/>
    <w:rsid w:val="765468FF"/>
    <w:rsid w:val="766617FE"/>
    <w:rsid w:val="76AE6EEB"/>
    <w:rsid w:val="76C770D1"/>
    <w:rsid w:val="76D3214E"/>
    <w:rsid w:val="76E3355F"/>
    <w:rsid w:val="76EEEECB"/>
    <w:rsid w:val="76FF5125"/>
    <w:rsid w:val="770056C4"/>
    <w:rsid w:val="77065E4C"/>
    <w:rsid w:val="771542E1"/>
    <w:rsid w:val="77346241"/>
    <w:rsid w:val="7736236F"/>
    <w:rsid w:val="77640DC4"/>
    <w:rsid w:val="776F6FFA"/>
    <w:rsid w:val="778769C8"/>
    <w:rsid w:val="77A75DCA"/>
    <w:rsid w:val="77DC22F5"/>
    <w:rsid w:val="78245F88"/>
    <w:rsid w:val="783E271A"/>
    <w:rsid w:val="784A507C"/>
    <w:rsid w:val="78616DE9"/>
    <w:rsid w:val="786D3CA8"/>
    <w:rsid w:val="78961451"/>
    <w:rsid w:val="78E875D7"/>
    <w:rsid w:val="78EA019E"/>
    <w:rsid w:val="79086DAD"/>
    <w:rsid w:val="791C679A"/>
    <w:rsid w:val="79517126"/>
    <w:rsid w:val="797C4840"/>
    <w:rsid w:val="798778C7"/>
    <w:rsid w:val="79940632"/>
    <w:rsid w:val="79B55907"/>
    <w:rsid w:val="79C30EA7"/>
    <w:rsid w:val="79CD2C51"/>
    <w:rsid w:val="79D7FD79"/>
    <w:rsid w:val="79DC1FE9"/>
    <w:rsid w:val="79E30BDB"/>
    <w:rsid w:val="79EE5BA4"/>
    <w:rsid w:val="7A1791A5"/>
    <w:rsid w:val="7A22512D"/>
    <w:rsid w:val="7A2A69EA"/>
    <w:rsid w:val="7A2B26BA"/>
    <w:rsid w:val="7A31152D"/>
    <w:rsid w:val="7A542CE8"/>
    <w:rsid w:val="7A707A80"/>
    <w:rsid w:val="7A810FFC"/>
    <w:rsid w:val="7A894339"/>
    <w:rsid w:val="7A9609AA"/>
    <w:rsid w:val="7A9C2623"/>
    <w:rsid w:val="7AAD0720"/>
    <w:rsid w:val="7AAE020C"/>
    <w:rsid w:val="7AC810FF"/>
    <w:rsid w:val="7AD184EC"/>
    <w:rsid w:val="7AD284E8"/>
    <w:rsid w:val="7AD41DBD"/>
    <w:rsid w:val="7AD87AFF"/>
    <w:rsid w:val="7AFF7572"/>
    <w:rsid w:val="7B4E5EB8"/>
    <w:rsid w:val="7B6C7DFB"/>
    <w:rsid w:val="7B744D1A"/>
    <w:rsid w:val="7B821819"/>
    <w:rsid w:val="7BBD9B52"/>
    <w:rsid w:val="7BBFBED0"/>
    <w:rsid w:val="7BC3E394"/>
    <w:rsid w:val="7C1F3737"/>
    <w:rsid w:val="7C457EE7"/>
    <w:rsid w:val="7C61195D"/>
    <w:rsid w:val="7C72188D"/>
    <w:rsid w:val="7C7272D0"/>
    <w:rsid w:val="7CB02B98"/>
    <w:rsid w:val="7CBFC87B"/>
    <w:rsid w:val="7CC3658D"/>
    <w:rsid w:val="7CCC3693"/>
    <w:rsid w:val="7CCE5A9F"/>
    <w:rsid w:val="7CE4229A"/>
    <w:rsid w:val="7CEF1130"/>
    <w:rsid w:val="7CEF43FE"/>
    <w:rsid w:val="7CF50079"/>
    <w:rsid w:val="7CFE0F48"/>
    <w:rsid w:val="7D0B7ECF"/>
    <w:rsid w:val="7D252DA4"/>
    <w:rsid w:val="7D272ABC"/>
    <w:rsid w:val="7D2F59D0"/>
    <w:rsid w:val="7D631DB2"/>
    <w:rsid w:val="7D7EC23E"/>
    <w:rsid w:val="7DB66A83"/>
    <w:rsid w:val="7DBA50D3"/>
    <w:rsid w:val="7DE642E1"/>
    <w:rsid w:val="7DF06D5E"/>
    <w:rsid w:val="7DFD66CD"/>
    <w:rsid w:val="7E1178E2"/>
    <w:rsid w:val="7E4B05E8"/>
    <w:rsid w:val="7E520CE5"/>
    <w:rsid w:val="7E70004F"/>
    <w:rsid w:val="7E7A42F4"/>
    <w:rsid w:val="7E7AACD1"/>
    <w:rsid w:val="7E7F928E"/>
    <w:rsid w:val="7E867872"/>
    <w:rsid w:val="7E8ADEBF"/>
    <w:rsid w:val="7ECD9107"/>
    <w:rsid w:val="7EEF11D3"/>
    <w:rsid w:val="7EFE4840"/>
    <w:rsid w:val="7F052E8D"/>
    <w:rsid w:val="7F0971A6"/>
    <w:rsid w:val="7F144E7E"/>
    <w:rsid w:val="7F160230"/>
    <w:rsid w:val="7F1D62E7"/>
    <w:rsid w:val="7F215C79"/>
    <w:rsid w:val="7F343772"/>
    <w:rsid w:val="7F3814CA"/>
    <w:rsid w:val="7F3F679B"/>
    <w:rsid w:val="7F4FC4EF"/>
    <w:rsid w:val="7F5E4D54"/>
    <w:rsid w:val="7F680525"/>
    <w:rsid w:val="7F6E0135"/>
    <w:rsid w:val="7F79F205"/>
    <w:rsid w:val="7F9F1CDB"/>
    <w:rsid w:val="7FA30C79"/>
    <w:rsid w:val="7FA67453"/>
    <w:rsid w:val="7FA79C44"/>
    <w:rsid w:val="7FAF8ABF"/>
    <w:rsid w:val="7FB7269E"/>
    <w:rsid w:val="7FC96657"/>
    <w:rsid w:val="7FD665D7"/>
    <w:rsid w:val="7FDA9588"/>
    <w:rsid w:val="7FDD4FC3"/>
    <w:rsid w:val="7FDF220F"/>
    <w:rsid w:val="7FE90D2C"/>
    <w:rsid w:val="7FE9630A"/>
    <w:rsid w:val="7FEDC5F7"/>
    <w:rsid w:val="7FEDD9DE"/>
    <w:rsid w:val="7FF5890D"/>
    <w:rsid w:val="7FF93490"/>
    <w:rsid w:val="7FFDFEEF"/>
    <w:rsid w:val="7FFEFE82"/>
    <w:rsid w:val="7FFF6DB3"/>
    <w:rsid w:val="99FF2014"/>
    <w:rsid w:val="9F7E7150"/>
    <w:rsid w:val="A6DD0D7F"/>
    <w:rsid w:val="ACFF4FBB"/>
    <w:rsid w:val="ADC6F725"/>
    <w:rsid w:val="B597CD2C"/>
    <w:rsid w:val="B7CF06AB"/>
    <w:rsid w:val="B7CFA926"/>
    <w:rsid w:val="B7F8786B"/>
    <w:rsid w:val="BABB6AA1"/>
    <w:rsid w:val="BB2F4199"/>
    <w:rsid w:val="BBE75A66"/>
    <w:rsid w:val="BCFFB442"/>
    <w:rsid w:val="BD079C78"/>
    <w:rsid w:val="BD733540"/>
    <w:rsid w:val="BEFFF528"/>
    <w:rsid w:val="BF3735D5"/>
    <w:rsid w:val="BF7F09AC"/>
    <w:rsid w:val="BFD475C3"/>
    <w:rsid w:val="BFDE5EA6"/>
    <w:rsid w:val="BFEF9B32"/>
    <w:rsid w:val="CBB4873A"/>
    <w:rsid w:val="CDF430FB"/>
    <w:rsid w:val="CF6FC6F3"/>
    <w:rsid w:val="CFBE5075"/>
    <w:rsid w:val="CFD3D3D7"/>
    <w:rsid w:val="CFDF1009"/>
    <w:rsid w:val="D3F71287"/>
    <w:rsid w:val="D7D7B16A"/>
    <w:rsid w:val="D8D6DB89"/>
    <w:rsid w:val="D9463415"/>
    <w:rsid w:val="DA9E3EA0"/>
    <w:rsid w:val="DB6F4CAB"/>
    <w:rsid w:val="DB777682"/>
    <w:rsid w:val="DBE7823A"/>
    <w:rsid w:val="DD1FB521"/>
    <w:rsid w:val="DDBF5AC7"/>
    <w:rsid w:val="DEFBFEAE"/>
    <w:rsid w:val="DF1F3B80"/>
    <w:rsid w:val="DF6F9789"/>
    <w:rsid w:val="DF8944F6"/>
    <w:rsid w:val="DFA3CC3A"/>
    <w:rsid w:val="DFE9BE81"/>
    <w:rsid w:val="DFEBEF68"/>
    <w:rsid w:val="DFFFA9E8"/>
    <w:rsid w:val="E3FEC05D"/>
    <w:rsid w:val="E5F4E9DC"/>
    <w:rsid w:val="E70FE695"/>
    <w:rsid w:val="E7E7DD11"/>
    <w:rsid w:val="EB2E368B"/>
    <w:rsid w:val="EBDF3296"/>
    <w:rsid w:val="ECFED1BC"/>
    <w:rsid w:val="ED1D69BB"/>
    <w:rsid w:val="ED3DBD97"/>
    <w:rsid w:val="ED7FD312"/>
    <w:rsid w:val="EEFFA92C"/>
    <w:rsid w:val="EF2E1AC6"/>
    <w:rsid w:val="EF53993F"/>
    <w:rsid w:val="EF5F26BF"/>
    <w:rsid w:val="EF6FD633"/>
    <w:rsid w:val="EFBFB2F4"/>
    <w:rsid w:val="EFBFFA21"/>
    <w:rsid w:val="EFFF7382"/>
    <w:rsid w:val="F0DF5647"/>
    <w:rsid w:val="F2BEBCB8"/>
    <w:rsid w:val="F36FB518"/>
    <w:rsid w:val="F3DE1A04"/>
    <w:rsid w:val="F3F722E5"/>
    <w:rsid w:val="F477EC9B"/>
    <w:rsid w:val="F4FBCD07"/>
    <w:rsid w:val="F76ECDDE"/>
    <w:rsid w:val="F9FE4928"/>
    <w:rsid w:val="FA5F1E70"/>
    <w:rsid w:val="FA5FDB97"/>
    <w:rsid w:val="FADA6B9D"/>
    <w:rsid w:val="FB7F486A"/>
    <w:rsid w:val="FBFF5B2E"/>
    <w:rsid w:val="FD7FFE2B"/>
    <w:rsid w:val="FDD9F1C8"/>
    <w:rsid w:val="FDEE196B"/>
    <w:rsid w:val="FDFE6575"/>
    <w:rsid w:val="FEA06749"/>
    <w:rsid w:val="FEDBE9C0"/>
    <w:rsid w:val="FEDFDDC2"/>
    <w:rsid w:val="FEED32F6"/>
    <w:rsid w:val="FEEFD2CF"/>
    <w:rsid w:val="FEF781DD"/>
    <w:rsid w:val="FF3F7E3F"/>
    <w:rsid w:val="FFAFDE41"/>
    <w:rsid w:val="FFBA12D7"/>
    <w:rsid w:val="FFCBD314"/>
    <w:rsid w:val="FFDF9EF2"/>
    <w:rsid w:val="FFDFF91C"/>
    <w:rsid w:val="FFDFFAEE"/>
    <w:rsid w:val="FFEF6777"/>
    <w:rsid w:val="FFF9B57B"/>
    <w:rsid w:val="FFFD170D"/>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7"/>
    <w:unhideWhenUsed/>
    <w:qFormat/>
    <w:uiPriority w:val="99"/>
    <w:pPr>
      <w:ind w:firstLine="420" w:firstLineChars="200"/>
    </w:pPr>
  </w:style>
  <w:style w:type="paragraph" w:styleId="15">
    <w:name w:val="table of figures"/>
    <w:basedOn w:val="1"/>
    <w:next w:val="1"/>
    <w:qFormat/>
    <w:uiPriority w:val="0"/>
    <w:pPr>
      <w:ind w:left="400" w:leftChars="200" w:hanging="200" w:hangingChars="200"/>
    </w:p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9"/>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G:\2026&#24180;&#24037;&#20316;\2025&#24180;&#24230;&#20915;&#31639;&#20844;&#24320;\2025&#24180;&#24230;&#20915;&#31639;&#20844;&#24320;\&#22270;&#26631;&#21046;&#20316;.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6700;&#38754;\&#22270;&#26631;&#21046;&#20316;.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6700;&#38754;\&#22270;&#26631;&#21046;&#20316;.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6700;&#38754;\&#22270;&#26631;&#21046;&#20316;.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D:\&#26700;&#38754;\&#22270;&#26631;&#21046;&#20316;.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6700;&#38754;\&#22270;&#26631;&#21046;&#203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[图标制作.xlsx]Sheet1!$B$37</c:f>
              <c:strCache>
                <c:ptCount val="1"/>
                <c:pt idx="0">
                  <c:v>收入、支出决算总计 （单位：万元）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[图标制作.xlsx]Sheet1!$A$38:$A$39</c:f>
              <c:strCache>
                <c:ptCount val="2"/>
                <c:pt idx="0">
                  <c:v>2024年</c:v>
                </c:pt>
                <c:pt idx="1">
                  <c:v>2025年</c:v>
                </c:pt>
              </c:strCache>
            </c:strRef>
          </c:cat>
          <c:val>
            <c:numRef>
              <c:f>[图标制作.xlsx]Sheet1!$B$38:$B$39</c:f>
              <c:numCache>
                <c:formatCode>General</c:formatCode>
                <c:ptCount val="2"/>
                <c:pt idx="0">
                  <c:v>1793.31</c:v>
                </c:pt>
                <c:pt idx="1">
                  <c:v>1738.1</c:v>
                </c:pt>
              </c:numCache>
            </c:numRef>
          </c:val>
        </c:ser>
        <c:dLbls>
          <c:showLegendKey val="0"/>
          <c:showVal val="1"/>
          <c:showCatName val="0"/>
          <c:showSerName val="0"/>
          <c:showPercent val="0"/>
          <c:showBubbleSize val="0"/>
        </c:dLbls>
        <c:gapWidth val="246"/>
        <c:overlap val="-28"/>
        <c:axId val="440868722"/>
        <c:axId val="110781289"/>
      </c:barChart>
      <c:catAx>
        <c:axId val="44086872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0781289"/>
        <c:crosses val="autoZero"/>
        <c:auto val="1"/>
        <c:lblAlgn val="ctr"/>
        <c:lblOffset val="100"/>
        <c:noMultiLvlLbl val="0"/>
      </c:catAx>
      <c:valAx>
        <c:axId val="11078128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86872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597b38d-b01e-4845-8a6a-597393b9b24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[图标制作.xlsx]Sheet1!$B$1</c:f>
              <c:strCache>
                <c:ptCount val="1"/>
                <c:pt idx="0">
                  <c:v>本年收入（单位：万元）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[图标制作.xlsx]Sheet1!$A$2:$A$4</c:f>
              <c:strCache>
                <c:ptCount val="3"/>
                <c:pt idx="0">
                  <c:v>一般公共预算财政拨款收入</c:v>
                </c:pt>
                <c:pt idx="1">
                  <c:v>政府性基金预算财政拨款收入</c:v>
                </c:pt>
                <c:pt idx="2">
                  <c:v>其他收入</c:v>
                </c:pt>
              </c:strCache>
            </c:strRef>
          </c:cat>
          <c:val>
            <c:numRef>
              <c:f>[图标制作.xlsx]Sheet1!$B$2:$B$4</c:f>
              <c:numCache>
                <c:formatCode>General</c:formatCode>
                <c:ptCount val="3"/>
                <c:pt idx="0">
                  <c:v>1601.54</c:v>
                </c:pt>
                <c:pt idx="1">
                  <c:v>102.56</c:v>
                </c:pt>
                <c:pt idx="2">
                  <c:v>34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9bfb4a0-1811-42cc-a8b9-d6fd0565f8e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本年支出（单位：万元）</a:t>
            </a:r>
          </a:p>
        </c:rich>
      </c:tx>
      <c:layout/>
      <c:overlay val="0"/>
      <c:spPr>
        <a:noFill/>
        <a:ln>
          <a:noFill/>
        </a:ln>
        <a:effectLst/>
      </c:spPr>
    </c:title>
    <c:autoTitleDeleted val="0"/>
    <c:plotArea>
      <c:layout/>
      <c:pieChart>
        <c:varyColors val="1"/>
        <c:ser>
          <c:idx val="0"/>
          <c:order val="0"/>
          <c:tx>
            <c:strRef>
              <c:f>[图标制作.xlsx]Sheet1!$B$10:$B$11</c:f>
              <c:strCache>
                <c:ptCount val="1"/>
                <c:pt idx="0">
                  <c:v>本年收入（单位：万元）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[图标制作.xlsx]Sheet1!$A$12:$A$13</c:f>
              <c:strCache>
                <c:ptCount val="2"/>
                <c:pt idx="0">
                  <c:v>基本支出</c:v>
                </c:pt>
                <c:pt idx="1">
                  <c:v>项目支出</c:v>
                </c:pt>
              </c:strCache>
            </c:strRef>
          </c:cat>
          <c:val>
            <c:numRef>
              <c:f>[图标制作.xlsx]Sheet1!$B$12:$B$13</c:f>
              <c:numCache>
                <c:formatCode>General</c:formatCode>
                <c:ptCount val="2"/>
                <c:pt idx="0">
                  <c:v>907.39</c:v>
                </c:pt>
                <c:pt idx="1">
                  <c:v>829.69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674c7df-be08-46d0-8361-0f391548e4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财政拨款收入、支出总计</a:t>
            </a:r>
            <a:r>
              <a:rPr lang="en-US" altLang="zh-CN"/>
              <a:t>      </a:t>
            </a:r>
            <a:r>
              <a:t>单位：（万元）</a:t>
            </a:r>
          </a:p>
        </c:rich>
      </c:tx>
      <c:layout/>
      <c:overlay val="0"/>
      <c:spPr>
        <a:noFill/>
        <a:ln>
          <a:noFill/>
        </a:ln>
        <a:effectLst/>
      </c:spPr>
    </c:title>
    <c:autoTitleDeleted val="0"/>
    <c:plotArea>
      <c:layout/>
      <c:barChart>
        <c:barDir val="col"/>
        <c:grouping val="clustered"/>
        <c:varyColors val="0"/>
        <c:ser>
          <c:idx val="0"/>
          <c:order val="0"/>
          <c:tx>
            <c:strRef>
              <c:f>[图标制作.xlsx]Sheet1!$B$18</c:f>
              <c:strCache>
                <c:ptCount val="1"/>
                <c:pt idx="0">
                  <c:v>财政拨款收入、支出    总计单位：（万元）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[图标制作.xlsx]Sheet1!$A$19:$A$21</c:f>
              <c:strCache>
                <c:ptCount val="3"/>
                <c:pt idx="0">
                  <c:v>2024年</c:v>
                </c:pt>
                <c:pt idx="1">
                  <c:v>2025年</c:v>
                </c:pt>
              </c:strCache>
            </c:strRef>
          </c:cat>
          <c:val>
            <c:numRef>
              <c:f>[图标制作.xlsx]Sheet1!$B$19:$B$21</c:f>
              <c:numCache>
                <c:formatCode>General</c:formatCode>
                <c:ptCount val="3"/>
                <c:pt idx="0">
                  <c:v>1793.31</c:v>
                </c:pt>
                <c:pt idx="1">
                  <c:v>1704.1</c:v>
                </c:pt>
              </c:numCache>
            </c:numRef>
          </c:val>
        </c:ser>
        <c:dLbls>
          <c:showLegendKey val="0"/>
          <c:showVal val="1"/>
          <c:showCatName val="0"/>
          <c:showSerName val="0"/>
          <c:showPercent val="0"/>
          <c:showBubbleSize val="0"/>
        </c:dLbls>
        <c:gapWidth val="246"/>
        <c:overlap val="-28"/>
        <c:axId val="801765755"/>
        <c:axId val="642335611"/>
      </c:barChart>
      <c:catAx>
        <c:axId val="80176575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2335611"/>
        <c:crosses val="autoZero"/>
        <c:auto val="1"/>
        <c:lblAlgn val="ctr"/>
        <c:lblOffset val="100"/>
        <c:noMultiLvlLbl val="0"/>
      </c:catAx>
      <c:valAx>
        <c:axId val="64233561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1765755"/>
        <c:crosses val="autoZero"/>
        <c:crossBetween val="between"/>
      </c:valAx>
      <c:spPr>
        <a:noFill/>
        <a:ln>
          <a:noFill/>
        </a:ln>
        <a:effectLst/>
      </c:spPr>
    </c:plotArea>
    <c:legend>
      <c:legendPos val="b"/>
      <c:layout>
        <c:manualLayout>
          <c:xMode val="edge"/>
          <c:yMode val="edge"/>
          <c:x val="0.241578947368421"/>
          <c:y val="0.91550925925925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74a5f3-c9f5-4ba0-a8af-ac4ccbb6da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0680815876516"/>
          <c:y val="0.00733675715333822"/>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[图标制作.xlsx]Sheet1!$B$25</c:f>
              <c:strCache>
                <c:ptCount val="1"/>
                <c:pt idx="0">
                  <c:v>一般公共预算财政拨款支出决算变动情况（单位：万元)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[图标制作.xlsx]Sheet1!$A$26:$A$27</c:f>
              <c:strCache>
                <c:ptCount val="2"/>
                <c:pt idx="0">
                  <c:v>2024年</c:v>
                </c:pt>
                <c:pt idx="1">
                  <c:v>2025年</c:v>
                </c:pt>
              </c:strCache>
            </c:strRef>
          </c:cat>
          <c:val>
            <c:numRef>
              <c:f>[图标制作.xlsx]Sheet1!$B$26:$B$27</c:f>
              <c:numCache>
                <c:formatCode>General</c:formatCode>
                <c:ptCount val="2"/>
                <c:pt idx="0">
                  <c:v>1793.31</c:v>
                </c:pt>
                <c:pt idx="1">
                  <c:v>1601.54</c:v>
                </c:pt>
              </c:numCache>
            </c:numRef>
          </c:val>
        </c:ser>
        <c:dLbls>
          <c:showLegendKey val="0"/>
          <c:showVal val="1"/>
          <c:showCatName val="0"/>
          <c:showSerName val="0"/>
          <c:showPercent val="0"/>
          <c:showBubbleSize val="0"/>
        </c:dLbls>
        <c:gapWidth val="246"/>
        <c:overlap val="-28"/>
        <c:axId val="27809902"/>
        <c:axId val="144078425"/>
      </c:barChart>
      <c:catAx>
        <c:axId val="2780990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4078425"/>
        <c:crosses val="autoZero"/>
        <c:auto val="1"/>
        <c:lblAlgn val="ctr"/>
        <c:lblOffset val="100"/>
        <c:noMultiLvlLbl val="0"/>
      </c:catAx>
      <c:valAx>
        <c:axId val="14407842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809902"/>
        <c:crosses val="autoZero"/>
        <c:crossBetween val="between"/>
      </c:valAx>
      <c:spPr>
        <a:noFill/>
        <a:ln>
          <a:noFill/>
        </a:ln>
        <a:effectLst/>
      </c:spPr>
    </c:plotArea>
    <c:legend>
      <c:legendPos val="b"/>
      <c:layout>
        <c:manualLayout>
          <c:xMode val="edge"/>
          <c:yMode val="edge"/>
          <c:x val="0.208092105263158"/>
          <c:y val="0.91550925925925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fcdd9b6-a67b-45c4-ac20-dc41a9c7f7a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23815789473684"/>
          <c:y val="0.00694444444444444"/>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[图标制作.xlsx]Sheet1!$B$30</c:f>
              <c:strCache>
                <c:ptCount val="1"/>
                <c:pt idx="0">
                  <c:v>一般公共预算财政拨款支出决算结构  单位：万元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[图标制作.xlsx]Sheet1!$A$31:$A$36</c:f>
              <c:strCache>
                <c:ptCount val="6"/>
                <c:pt idx="0">
                  <c:v>一般公共服务支出</c:v>
                </c:pt>
                <c:pt idx="1">
                  <c:v>社会保障和就业支出</c:v>
                </c:pt>
                <c:pt idx="2">
                  <c:v>卫生健康支出</c:v>
                </c:pt>
                <c:pt idx="3">
                  <c:v>住房保障支出</c:v>
                </c:pt>
                <c:pt idx="4">
                  <c:v>农林水支出</c:v>
                </c:pt>
              </c:strCache>
            </c:strRef>
          </c:cat>
          <c:val>
            <c:numRef>
              <c:f>[图标制作.xlsx]Sheet1!$B$31:$B$36</c:f>
              <c:numCache>
                <c:formatCode>General</c:formatCode>
                <c:ptCount val="6"/>
                <c:pt idx="0">
                  <c:v>599.99</c:v>
                </c:pt>
                <c:pt idx="1">
                  <c:v>117.37</c:v>
                </c:pt>
                <c:pt idx="2">
                  <c:v>47.52</c:v>
                </c:pt>
                <c:pt idx="3">
                  <c:v>65.38</c:v>
                </c:pt>
                <c:pt idx="4">
                  <c:v>771.28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f98349c-5722-487b-8e45-77e049a638d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34</Pages>
  <Words>6615</Words>
  <Characters>7142</Characters>
  <Lines>61</Lines>
  <Paragraphs>17</Paragraphs>
  <TotalTime>0</TotalTime>
  <ScaleCrop>false</ScaleCrop>
  <LinksUpToDate>false</LinksUpToDate>
  <CharactersWithSpaces>7394</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2020-08-11T09:49:00Z</dcterms:created>
  <dc:creator>曹颖</dc:creator>
  <cp:lastModifiedBy>WPS_1694850168</cp:lastModifiedBy>
  <cp:lastPrinted>2026-09-04T05:43:00Z</cp:lastPrinted>
  <dcterms:modified xsi:type="dcterms:W3CDTF">2026-09-07T11:29:57Z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8A669DA5036B4B4284CA4D05F8F67DD0_13</vt:lpwstr>
  </property>
  <property fmtid="{D5CDD505-2E9C-101B-9397-08002B2CF9AE}" pid="4" name="KSOTemplateDocerSaveRecord">
    <vt:lpwstr>eyJoZGlkIjoiMmRlMDUzYTA2YTQ2NDg3MWFkNTVkN2E1Y2ViMmQxNTciLCJ1c2VySWQiOiIyODA3MTc5NjgifQ==</vt:lpwstr>
  </property>
</Properties>
</file>