
<file path=[Content_Types].xml><?xml version="1.0" encoding="utf-8"?>
<Types xmlns="http://schemas.openxmlformats.org/package/2006/content-types">
  <Default Extension="xlsx" ContentType="application/vnd.openxmlformats-officedocument.spreadsheetml.sheet"/>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C3C8BA">
      <w:pPr>
        <w:rPr>
          <w:rFonts w:ascii="宋体" w:eastAsia="宋体"/>
          <w:b/>
          <w:sz w:val="72"/>
          <w:szCs w:val="72"/>
        </w:rPr>
      </w:pPr>
      <w:bookmarkStart w:id="0" w:name="_Toc15306267"/>
      <w:bookmarkStart w:id="1" w:name="_Toc15378441"/>
      <w:bookmarkStart w:id="2" w:name="_Toc15377193"/>
      <w:bookmarkStart w:id="3" w:name="_Toc15396597"/>
      <w:bookmarkStart w:id="4" w:name="_Toc15396475"/>
      <w:bookmarkStart w:id="5" w:name="_Toc15377425"/>
    </w:p>
    <w:p w14:paraId="658911C6">
      <w:pPr>
        <w:pStyle w:val="6"/>
        <w:ind w:firstLine="0"/>
      </w:pPr>
    </w:p>
    <w:bookmarkEnd w:id="0"/>
    <w:bookmarkEnd w:id="1"/>
    <w:bookmarkEnd w:id="2"/>
    <w:bookmarkEnd w:id="3"/>
    <w:bookmarkEnd w:id="4"/>
    <w:bookmarkEnd w:id="5"/>
    <w:p w14:paraId="135AD933">
      <w:pPr>
        <w:pageBreakBefore w:val="0"/>
        <w:widowControl w:val="0"/>
        <w:kinsoku/>
        <w:wordWrap/>
        <w:overflowPunct/>
        <w:topLinePunct w:val="0"/>
        <w:bidi w:val="0"/>
        <w:spacing w:line="576" w:lineRule="exact"/>
        <w:jc w:val="center"/>
        <w:textAlignment w:val="auto"/>
        <w:rPr>
          <w:rFonts w:hint="eastAsia" w:ascii="方正小标宋简体" w:eastAsia="方正小标宋简体" w:cs="方正小标宋简体"/>
          <w:sz w:val="48"/>
          <w:szCs w:val="48"/>
        </w:rPr>
      </w:pPr>
      <w:r>
        <w:rPr>
          <w:rFonts w:hint="eastAsia" w:ascii="方正小标宋简体" w:eastAsia="方正小标宋简体" w:cs="方正小标宋简体"/>
          <w:sz w:val="48"/>
          <w:szCs w:val="48"/>
          <w:lang w:eastAsia="zh-CN"/>
        </w:rPr>
        <w:t>202</w:t>
      </w:r>
      <w:r>
        <w:rPr>
          <w:rFonts w:hint="eastAsia" w:ascii="方正小标宋简体" w:eastAsia="方正小标宋简体" w:cs="方正小标宋简体"/>
          <w:sz w:val="48"/>
          <w:szCs w:val="48"/>
          <w:lang w:val="en-US" w:eastAsia="zh-CN"/>
        </w:rPr>
        <w:t>5</w:t>
      </w:r>
      <w:r>
        <w:rPr>
          <w:rFonts w:hint="eastAsia" w:ascii="方正小标宋简体" w:eastAsia="方正小标宋简体" w:cs="方正小标宋简体"/>
          <w:sz w:val="48"/>
          <w:szCs w:val="48"/>
        </w:rPr>
        <w:t>年度</w:t>
      </w:r>
    </w:p>
    <w:p w14:paraId="1D64FAF6">
      <w:pPr>
        <w:pageBreakBefore w:val="0"/>
        <w:widowControl w:val="0"/>
        <w:kinsoku/>
        <w:wordWrap/>
        <w:overflowPunct/>
        <w:topLinePunct w:val="0"/>
        <w:bidi w:val="0"/>
        <w:spacing w:line="576" w:lineRule="exact"/>
        <w:jc w:val="center"/>
        <w:textAlignment w:val="auto"/>
        <w:rPr>
          <w:rFonts w:hint="eastAsia" w:ascii="方正小标宋简体" w:eastAsia="方正小标宋简体" w:cs="方正小标宋简体"/>
          <w:sz w:val="48"/>
          <w:szCs w:val="48"/>
        </w:rPr>
      </w:pPr>
      <w:r>
        <w:rPr>
          <w:rFonts w:hint="eastAsia" w:ascii="方正小标宋简体" w:eastAsia="方正小标宋简体" w:cs="方正小标宋简体"/>
          <w:sz w:val="48"/>
          <w:szCs w:val="48"/>
        </w:rPr>
        <w:t>四川省阿坝州茂县</w:t>
      </w:r>
      <w:r>
        <w:rPr>
          <w:rFonts w:hint="eastAsia" w:ascii="方正小标宋简体" w:eastAsia="方正小标宋简体" w:cs="方正小标宋简体"/>
          <w:sz w:val="48"/>
          <w:szCs w:val="48"/>
          <w:lang w:eastAsia="zh-CN"/>
        </w:rPr>
        <w:t>黑虎镇</w:t>
      </w:r>
      <w:r>
        <w:rPr>
          <w:rFonts w:hint="eastAsia" w:ascii="方正小标宋简体" w:eastAsia="方正小标宋简体" w:cs="方正小标宋简体"/>
          <w:sz w:val="48"/>
          <w:szCs w:val="48"/>
        </w:rPr>
        <w:t>部门决算</w:t>
      </w:r>
    </w:p>
    <w:p w14:paraId="60E7C9CF">
      <w:pPr>
        <w:pStyle w:val="6"/>
      </w:pPr>
    </w:p>
    <w:p w14:paraId="657C8E5C">
      <w:pPr>
        <w:pStyle w:val="6"/>
      </w:pPr>
    </w:p>
    <w:p w14:paraId="24C02F28">
      <w:pPr>
        <w:pStyle w:val="6"/>
      </w:pPr>
    </w:p>
    <w:p w14:paraId="435C7DD5">
      <w:pPr>
        <w:pStyle w:val="6"/>
      </w:pPr>
    </w:p>
    <w:p w14:paraId="1663FC51">
      <w:pPr>
        <w:pStyle w:val="6"/>
      </w:pPr>
    </w:p>
    <w:p w14:paraId="479ADCA2">
      <w:pPr>
        <w:pStyle w:val="6"/>
      </w:pPr>
    </w:p>
    <w:p w14:paraId="38E0A1F8">
      <w:pPr>
        <w:pStyle w:val="6"/>
      </w:pPr>
    </w:p>
    <w:p w14:paraId="7AA4FAB8">
      <w:pPr>
        <w:pStyle w:val="6"/>
      </w:pPr>
    </w:p>
    <w:p w14:paraId="5691B300">
      <w:pPr>
        <w:pStyle w:val="6"/>
      </w:pPr>
    </w:p>
    <w:p w14:paraId="1D84189F">
      <w:pPr>
        <w:pStyle w:val="6"/>
        <w:tabs>
          <w:tab w:val="left" w:pos="3600"/>
        </w:tabs>
      </w:pPr>
      <w:r>
        <w:tab/>
      </w:r>
    </w:p>
    <w:p w14:paraId="6DF55466">
      <w:pPr>
        <w:pStyle w:val="6"/>
      </w:pPr>
    </w:p>
    <w:p w14:paraId="4AF4C5E5">
      <w:pPr>
        <w:pStyle w:val="6"/>
      </w:pPr>
    </w:p>
    <w:p w14:paraId="479809F9">
      <w:pPr>
        <w:pStyle w:val="6"/>
      </w:pPr>
    </w:p>
    <w:p w14:paraId="02B1B5A2">
      <w:pPr>
        <w:pStyle w:val="6"/>
      </w:pPr>
    </w:p>
    <w:p w14:paraId="61A95B4B">
      <w:pPr>
        <w:pStyle w:val="6"/>
        <w:jc w:val="center"/>
        <w:rPr>
          <w:rFonts w:hint="default" w:eastAsia="宋体"/>
          <w:b/>
          <w:bCs/>
          <w:sz w:val="44"/>
          <w:szCs w:val="44"/>
          <w:lang w:val="en-US" w:eastAsia="zh-CN"/>
        </w:rPr>
      </w:pPr>
    </w:p>
    <w:p w14:paraId="18A5D8D8">
      <w:pPr>
        <w:pStyle w:val="6"/>
      </w:pPr>
    </w:p>
    <w:p w14:paraId="0CAB7652">
      <w:pPr>
        <w:pStyle w:val="6"/>
      </w:pPr>
    </w:p>
    <w:p w14:paraId="5176F8BF">
      <w:pPr>
        <w:pStyle w:val="6"/>
      </w:pPr>
    </w:p>
    <w:p w14:paraId="1C093159">
      <w:pPr>
        <w:pStyle w:val="6"/>
      </w:pPr>
    </w:p>
    <w:p w14:paraId="2DA237C7">
      <w:pPr>
        <w:autoSpaceDE w:val="0"/>
        <w:autoSpaceDN w:val="0"/>
        <w:adjustRightInd w:val="0"/>
        <w:ind w:left="420" w:leftChars="200"/>
        <w:jc w:val="left"/>
        <w:rPr>
          <w:rFonts w:ascii="宋体"/>
          <w:sz w:val="32"/>
          <w:szCs w:val="32"/>
        </w:rPr>
      </w:pPr>
    </w:p>
    <w:p w14:paraId="63262853">
      <w:pPr>
        <w:widowControl/>
        <w:jc w:val="center"/>
        <w:rPr>
          <w:rFonts w:hint="eastAsia" w:ascii="黑体" w:eastAsia="黑体"/>
          <w:color w:val="000000"/>
          <w:sz w:val="48"/>
          <w:szCs w:val="48"/>
        </w:rPr>
      </w:pPr>
      <w:r>
        <w:rPr>
          <w:rFonts w:ascii="方正小标宋简体" w:eastAsia="方正小标宋简体"/>
          <w:color w:val="000000"/>
          <w:sz w:val="36"/>
          <w:szCs w:val="36"/>
        </w:rPr>
        <w:br w:type="page"/>
      </w:r>
      <w:r>
        <w:rPr>
          <w:rFonts w:hint="eastAsia" w:ascii="黑体" w:eastAsia="黑体"/>
          <w:color w:val="000000"/>
          <w:sz w:val="48"/>
          <w:szCs w:val="48"/>
        </w:rPr>
        <w:t>目录</w:t>
      </w:r>
      <w:bookmarkStart w:id="6" w:name="_Toc15377196"/>
    </w:p>
    <w:p w14:paraId="3ADA0E27">
      <w:pPr>
        <w:pStyle w:val="15"/>
        <w:rPr>
          <w:rFonts w:hint="eastAsia"/>
        </w:rPr>
      </w:pPr>
    </w:p>
    <w:p w14:paraId="7D07AA36">
      <w:pPr>
        <w:pStyle w:val="14"/>
        <w:suppressAutoHyphens/>
        <w:bidi w:val="0"/>
      </w:pPr>
      <w:r>
        <w:rPr>
          <w:rFonts w:hint="eastAsia" w:hAnsi="仿宋"/>
          <w:color w:val="auto"/>
          <w:highlight w:val="none"/>
          <w:lang w:eastAsia="zh-CN"/>
        </w:rPr>
        <w:t>公开时间：</w:t>
      </w:r>
      <w:r>
        <w:rPr>
          <w:rFonts w:hint="eastAsia" w:hAnsi="仿宋"/>
          <w:color w:val="auto"/>
          <w:highlight w:val="none"/>
        </w:rPr>
        <w:t>202</w:t>
      </w:r>
      <w:r>
        <w:rPr>
          <w:rFonts w:hint="eastAsia" w:hAnsi="仿宋"/>
          <w:color w:val="auto"/>
          <w:highlight w:val="none"/>
          <w:lang w:val="en-US" w:eastAsia="zh-CN"/>
        </w:rPr>
        <w:t>6</w:t>
      </w:r>
      <w:r>
        <w:rPr>
          <w:rFonts w:hint="eastAsia" w:hAnsi="仿宋"/>
          <w:color w:val="auto"/>
          <w:highlight w:val="none"/>
        </w:rPr>
        <w:t>年9月</w:t>
      </w:r>
      <w:r>
        <w:rPr>
          <w:rFonts w:hint="eastAsia" w:hAnsi="仿宋"/>
          <w:color w:val="auto"/>
          <w:highlight w:val="none"/>
          <w:lang w:val="en-US" w:eastAsia="zh-CN"/>
        </w:rPr>
        <w:t>4</w:t>
      </w:r>
      <w:r>
        <w:rPr>
          <w:rFonts w:hint="eastAsia" w:hAnsi="仿宋"/>
          <w:color w:val="auto"/>
          <w:highlight w:val="none"/>
        </w:rPr>
        <w:t>日</w:t>
      </w:r>
    </w:p>
    <w:p w14:paraId="18795641">
      <w:pPr>
        <w:pStyle w:val="14"/>
        <w:tabs>
          <w:tab w:val="right" w:leader="dot" w:pos="8306"/>
          <w:tab w:val="clear" w:pos="8296"/>
        </w:tabs>
      </w:pPr>
      <w:r>
        <w:rPr>
          <w:caps w:val="0"/>
          <w:smallCaps/>
          <w:sz w:val="20"/>
          <w:szCs w:val="20"/>
        </w:rPr>
        <w:fldChar w:fldCharType="begin"/>
      </w:r>
      <w:r>
        <w:rPr>
          <w:caps w:val="0"/>
          <w:smallCaps/>
          <w:sz w:val="20"/>
          <w:szCs w:val="20"/>
        </w:rPr>
        <w:instrText xml:space="preserve"> TOC \o "1-2" \h \z \u </w:instrText>
      </w:r>
      <w:r>
        <w:rPr>
          <w:caps w:val="0"/>
          <w:smallCaps/>
          <w:sz w:val="20"/>
          <w:szCs w:val="20"/>
        </w:rPr>
        <w:fldChar w:fldCharType="separate"/>
      </w:r>
      <w:r>
        <w:rPr>
          <w:caps w:val="0"/>
          <w:smallCaps/>
          <w:szCs w:val="20"/>
        </w:rPr>
        <w:fldChar w:fldCharType="begin"/>
      </w:r>
      <w:r>
        <w:rPr>
          <w:caps w:val="0"/>
          <w:smallCaps/>
          <w:szCs w:val="20"/>
        </w:rPr>
        <w:instrText xml:space="preserve"> HYPERLINK \l _Toc12625 </w:instrText>
      </w:r>
      <w:r>
        <w:rPr>
          <w:caps w:val="0"/>
          <w:smallCaps/>
          <w:szCs w:val="20"/>
        </w:rPr>
        <w:fldChar w:fldCharType="separate"/>
      </w:r>
      <w:r>
        <w:rPr>
          <w:rFonts w:hint="eastAsia" w:ascii="黑体" w:hAnsi="Times New Roman" w:eastAsia="黑体" w:cs="黑体"/>
          <w:bCs w:val="0"/>
        </w:rPr>
        <w:t>第一部分 部门概况</w:t>
      </w:r>
      <w:r>
        <w:tab/>
      </w:r>
      <w:r>
        <w:fldChar w:fldCharType="begin"/>
      </w:r>
      <w:r>
        <w:instrText xml:space="preserve"> PAGEREF _Toc12625 \h </w:instrText>
      </w:r>
      <w:r>
        <w:fldChar w:fldCharType="separate"/>
      </w:r>
      <w:r>
        <w:t>3</w:t>
      </w:r>
      <w:r>
        <w:fldChar w:fldCharType="end"/>
      </w:r>
      <w:r>
        <w:rPr>
          <w:caps w:val="0"/>
          <w:smallCaps/>
          <w:szCs w:val="20"/>
        </w:rPr>
        <w:fldChar w:fldCharType="end"/>
      </w:r>
    </w:p>
    <w:p w14:paraId="22902201">
      <w:pPr>
        <w:pStyle w:val="17"/>
        <w:tabs>
          <w:tab w:val="right" w:leader="dot" w:pos="8306"/>
          <w:tab w:val="clear" w:pos="8296"/>
        </w:tabs>
        <w:ind w:left="0" w:leftChars="0" w:firstLine="420" w:firstLineChars="200"/>
      </w:pPr>
      <w:r>
        <w:rPr>
          <w:caps w:val="0"/>
          <w:smallCaps/>
          <w:szCs w:val="20"/>
        </w:rPr>
        <w:fldChar w:fldCharType="begin"/>
      </w:r>
      <w:r>
        <w:rPr>
          <w:caps w:val="0"/>
          <w:smallCaps/>
          <w:szCs w:val="20"/>
        </w:rPr>
        <w:instrText xml:space="preserve"> HYPERLINK \l _Toc29532 </w:instrText>
      </w:r>
      <w:r>
        <w:rPr>
          <w:caps w:val="0"/>
          <w:smallCaps/>
          <w:szCs w:val="20"/>
        </w:rPr>
        <w:fldChar w:fldCharType="separate"/>
      </w:r>
      <w:r>
        <w:rPr>
          <w:rFonts w:hint="eastAsia" w:ascii="黑体" w:eastAsia="黑体" w:cs="Times New Roman"/>
          <w:bCs w:val="0"/>
        </w:rPr>
        <w:t>一、部门职责</w:t>
      </w:r>
      <w:r>
        <w:tab/>
      </w:r>
      <w:r>
        <w:fldChar w:fldCharType="begin"/>
      </w:r>
      <w:r>
        <w:instrText xml:space="preserve"> PAGEREF _Toc29532 \h </w:instrText>
      </w:r>
      <w:r>
        <w:fldChar w:fldCharType="separate"/>
      </w:r>
      <w:r>
        <w:t>3</w:t>
      </w:r>
      <w:r>
        <w:fldChar w:fldCharType="end"/>
      </w:r>
      <w:r>
        <w:rPr>
          <w:caps w:val="0"/>
          <w:smallCaps/>
          <w:szCs w:val="20"/>
        </w:rPr>
        <w:fldChar w:fldCharType="end"/>
      </w:r>
    </w:p>
    <w:p w14:paraId="109EBCC1">
      <w:pPr>
        <w:pStyle w:val="17"/>
        <w:tabs>
          <w:tab w:val="right" w:leader="dot" w:pos="8306"/>
          <w:tab w:val="clear" w:pos="8296"/>
        </w:tabs>
      </w:pPr>
      <w:r>
        <w:rPr>
          <w:caps w:val="0"/>
          <w:smallCaps/>
          <w:szCs w:val="20"/>
        </w:rPr>
        <w:fldChar w:fldCharType="begin"/>
      </w:r>
      <w:r>
        <w:rPr>
          <w:caps w:val="0"/>
          <w:smallCaps/>
          <w:szCs w:val="20"/>
        </w:rPr>
        <w:instrText xml:space="preserve"> HYPERLINK \l _Toc11616 </w:instrText>
      </w:r>
      <w:r>
        <w:rPr>
          <w:caps w:val="0"/>
          <w:smallCaps/>
          <w:szCs w:val="20"/>
        </w:rPr>
        <w:fldChar w:fldCharType="separate"/>
      </w:r>
      <w:r>
        <w:rPr>
          <w:rFonts w:hint="eastAsia" w:ascii="黑体" w:eastAsia="黑体" w:cs="Times New Roman"/>
          <w:bCs w:val="0"/>
        </w:rPr>
        <w:t>二、机构设置</w:t>
      </w:r>
      <w:r>
        <w:tab/>
      </w:r>
      <w:r>
        <w:fldChar w:fldCharType="begin"/>
      </w:r>
      <w:r>
        <w:instrText xml:space="preserve"> PAGEREF _Toc11616 \h </w:instrText>
      </w:r>
      <w:r>
        <w:fldChar w:fldCharType="separate"/>
      </w:r>
      <w:r>
        <w:t>3</w:t>
      </w:r>
      <w:r>
        <w:fldChar w:fldCharType="end"/>
      </w:r>
      <w:r>
        <w:rPr>
          <w:caps w:val="0"/>
          <w:smallCaps/>
          <w:szCs w:val="20"/>
        </w:rPr>
        <w:fldChar w:fldCharType="end"/>
      </w:r>
    </w:p>
    <w:p w14:paraId="10060F64">
      <w:pPr>
        <w:pStyle w:val="14"/>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textAlignment w:val="auto"/>
      </w:pPr>
      <w:r>
        <w:rPr>
          <w:caps w:val="0"/>
          <w:smallCaps/>
          <w:szCs w:val="20"/>
        </w:rPr>
        <w:fldChar w:fldCharType="begin"/>
      </w:r>
      <w:r>
        <w:rPr>
          <w:caps w:val="0"/>
          <w:smallCaps/>
          <w:szCs w:val="20"/>
        </w:rPr>
        <w:instrText xml:space="preserve"> HYPERLINK \l _Toc28568 </w:instrText>
      </w:r>
      <w:r>
        <w:rPr>
          <w:caps w:val="0"/>
          <w:smallCaps/>
          <w:szCs w:val="20"/>
        </w:rPr>
        <w:fldChar w:fldCharType="separate"/>
      </w:r>
      <w:r>
        <w:rPr>
          <w:rFonts w:hint="eastAsia" w:ascii="黑体" w:eastAsia="黑体" w:cs="黑体"/>
          <w:highlight w:val="none"/>
        </w:rPr>
        <w:t>第二部分</w:t>
      </w:r>
      <w:r>
        <w:rPr>
          <w:rFonts w:ascii="黑体" w:eastAsia="黑体" w:cs="黑体"/>
          <w:highlight w:val="none"/>
        </w:rPr>
        <w:t xml:space="preserve"> </w:t>
      </w:r>
      <w:r>
        <w:rPr>
          <w:rFonts w:hint="eastAsia" w:ascii="黑体" w:eastAsia="黑体" w:cs="黑体"/>
          <w:highlight w:val="none"/>
          <w:lang w:eastAsia="zh-CN"/>
        </w:rPr>
        <w:t>202</w:t>
      </w:r>
      <w:r>
        <w:rPr>
          <w:rFonts w:hint="eastAsia" w:ascii="黑体" w:eastAsia="黑体" w:cs="黑体"/>
          <w:highlight w:val="none"/>
          <w:lang w:val="en-US" w:eastAsia="zh-CN"/>
        </w:rPr>
        <w:t>5</w:t>
      </w:r>
      <w:r>
        <w:rPr>
          <w:rFonts w:ascii="黑体" w:eastAsia="黑体" w:cs="黑体"/>
          <w:highlight w:val="none"/>
        </w:rPr>
        <w:t>年度部门决算情况说明</w:t>
      </w:r>
      <w:r>
        <w:tab/>
      </w:r>
      <w:r>
        <w:rPr>
          <w:rFonts w:hint="default" w:ascii="Times New Roman" w:hAnsi="Times New Roman" w:cs="Times New Roman"/>
        </w:rPr>
        <w:fldChar w:fldCharType="begin"/>
      </w:r>
      <w:r>
        <w:rPr>
          <w:rFonts w:hint="default" w:ascii="Times New Roman" w:hAnsi="Times New Roman" w:cs="Times New Roman"/>
        </w:rPr>
        <w:instrText xml:space="preserve"> PAGEREF _Toc28568 \h </w:instrText>
      </w:r>
      <w:r>
        <w:rPr>
          <w:rFonts w:hint="default" w:ascii="Times New Roman" w:hAnsi="Times New Roman" w:cs="Times New Roman"/>
        </w:rPr>
        <w:fldChar w:fldCharType="separate"/>
      </w:r>
      <w:r>
        <w:rPr>
          <w:rFonts w:hint="default" w:ascii="Times New Roman" w:hAnsi="Times New Roman" w:cs="Times New Roman"/>
        </w:rPr>
        <w:t>4</w:t>
      </w:r>
      <w:r>
        <w:rPr>
          <w:rFonts w:hint="default" w:ascii="Times New Roman" w:hAnsi="Times New Roman" w:cs="Times New Roman"/>
        </w:rPr>
        <w:fldChar w:fldCharType="end"/>
      </w:r>
      <w:r>
        <w:rPr>
          <w:caps w:val="0"/>
          <w:smallCaps/>
          <w:szCs w:val="20"/>
        </w:rPr>
        <w:fldChar w:fldCharType="end"/>
      </w:r>
    </w:p>
    <w:p w14:paraId="0272FAE9">
      <w:pPr>
        <w:pStyle w:val="14"/>
        <w:keepNext w:val="0"/>
        <w:keepLines w:val="0"/>
        <w:pageBreakBefore w:val="0"/>
        <w:widowControl w:val="0"/>
        <w:tabs>
          <w:tab w:val="right" w:leader="dot" w:pos="8306"/>
          <w:tab w:val="clear" w:pos="8296"/>
        </w:tabs>
        <w:kinsoku/>
        <w:wordWrap/>
        <w:overflowPunct/>
        <w:topLinePunct w:val="0"/>
        <w:autoSpaceDE/>
        <w:autoSpaceDN/>
        <w:bidi w:val="0"/>
        <w:adjustRightInd/>
        <w:snapToGrid/>
        <w:spacing w:before="0"/>
        <w:textAlignment w:val="auto"/>
      </w:pPr>
      <w:r>
        <w:rPr>
          <w:rFonts w:hint="eastAsia"/>
          <w:caps w:val="0"/>
          <w:smallCaps/>
          <w:szCs w:val="20"/>
          <w:lang w:val="en-US" w:eastAsia="zh-CN"/>
        </w:rPr>
        <w:t xml:space="preserve">    </w:t>
      </w:r>
      <w:r>
        <w:rPr>
          <w:caps w:val="0"/>
          <w:smallCaps/>
          <w:szCs w:val="20"/>
        </w:rPr>
        <w:fldChar w:fldCharType="begin"/>
      </w:r>
      <w:r>
        <w:rPr>
          <w:caps w:val="0"/>
          <w:smallCaps/>
          <w:szCs w:val="20"/>
        </w:rPr>
        <w:instrText xml:space="preserve"> HYPERLINK \l _Toc17942 </w:instrText>
      </w:r>
      <w:r>
        <w:rPr>
          <w:caps w:val="0"/>
          <w:smallCaps/>
          <w:szCs w:val="20"/>
        </w:rPr>
        <w:fldChar w:fldCharType="separate"/>
      </w:r>
      <w:r>
        <w:rPr>
          <w:rFonts w:hint="eastAsia" w:ascii="黑体" w:hAnsi="Times New Roman" w:eastAsia="黑体" w:cs="Times New Roman"/>
          <w:bCs w:val="0"/>
          <w:kern w:val="2"/>
          <w:sz w:val="21"/>
          <w:szCs w:val="24"/>
          <w:highlight w:val="none"/>
          <w:lang w:val="en-US" w:eastAsia="zh-CN" w:bidi="ar-SA"/>
        </w:rPr>
        <w:t>一、收入支出决算总体情况说</w:t>
      </w:r>
      <w:r>
        <w:rPr>
          <w:rFonts w:hint="default" w:ascii="Times New Roman" w:hAnsi="Times New Roman" w:cs="Times New Roman"/>
          <w:b w:val="0"/>
          <w:bCs w:val="0"/>
          <w:sz w:val="24"/>
          <w:szCs w:val="24"/>
        </w:rPr>
        <w:tab/>
      </w: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PAGEREF _Toc17942 \h </w:instrText>
      </w:r>
      <w:r>
        <w:rPr>
          <w:rFonts w:hint="default" w:ascii="Times New Roman" w:hAnsi="Times New Roman" w:cs="Times New Roman"/>
          <w:sz w:val="21"/>
          <w:szCs w:val="21"/>
        </w:rPr>
        <w:fldChar w:fldCharType="separate"/>
      </w:r>
      <w:r>
        <w:rPr>
          <w:rFonts w:hint="default" w:ascii="Times New Roman" w:hAnsi="Times New Roman" w:cs="Times New Roman"/>
          <w:sz w:val="21"/>
          <w:szCs w:val="21"/>
        </w:rPr>
        <w:t>4</w:t>
      </w:r>
      <w:r>
        <w:rPr>
          <w:rFonts w:hint="default" w:ascii="Times New Roman" w:hAnsi="Times New Roman" w:cs="Times New Roman"/>
          <w:sz w:val="21"/>
          <w:szCs w:val="21"/>
        </w:rPr>
        <w:fldChar w:fldCharType="end"/>
      </w:r>
      <w:r>
        <w:rPr>
          <w:caps w:val="0"/>
          <w:smallCaps/>
          <w:szCs w:val="20"/>
        </w:rPr>
        <w:fldChar w:fldCharType="end"/>
      </w:r>
    </w:p>
    <w:p w14:paraId="591BD0ED">
      <w:pPr>
        <w:pStyle w:val="17"/>
        <w:tabs>
          <w:tab w:val="right" w:leader="dot" w:pos="8306"/>
          <w:tab w:val="clear" w:pos="8296"/>
        </w:tabs>
        <w:ind w:left="0" w:leftChars="0" w:firstLine="420" w:firstLineChars="200"/>
      </w:pPr>
      <w:r>
        <w:rPr>
          <w:caps w:val="0"/>
          <w:smallCaps/>
          <w:szCs w:val="20"/>
        </w:rPr>
        <w:fldChar w:fldCharType="begin"/>
      </w:r>
      <w:r>
        <w:rPr>
          <w:caps w:val="0"/>
          <w:smallCaps/>
          <w:szCs w:val="20"/>
        </w:rPr>
        <w:instrText xml:space="preserve"> HYPERLINK \l _Toc24918 </w:instrText>
      </w:r>
      <w:r>
        <w:rPr>
          <w:caps w:val="0"/>
          <w:smallCaps/>
          <w:szCs w:val="20"/>
        </w:rPr>
        <w:fldChar w:fldCharType="separate"/>
      </w:r>
      <w:r>
        <w:rPr>
          <w:rFonts w:hint="eastAsia" w:ascii="黑体" w:eastAsia="黑体" w:cs="Times New Roman"/>
          <w:bCs w:val="0"/>
          <w:highlight w:val="none"/>
        </w:rPr>
        <w:t>二、收入决算情况说明</w:t>
      </w:r>
      <w:r>
        <w:tab/>
      </w:r>
      <w:r>
        <w:fldChar w:fldCharType="begin"/>
      </w:r>
      <w:r>
        <w:instrText xml:space="preserve"> PAGEREF _Toc24918 \h </w:instrText>
      </w:r>
      <w:r>
        <w:fldChar w:fldCharType="separate"/>
      </w:r>
      <w:r>
        <w:t>4</w:t>
      </w:r>
      <w:r>
        <w:fldChar w:fldCharType="end"/>
      </w:r>
      <w:r>
        <w:rPr>
          <w:caps w:val="0"/>
          <w:smallCaps/>
          <w:szCs w:val="20"/>
        </w:rPr>
        <w:fldChar w:fldCharType="end"/>
      </w:r>
    </w:p>
    <w:p w14:paraId="56C8F0E0">
      <w:pPr>
        <w:pStyle w:val="17"/>
        <w:tabs>
          <w:tab w:val="right" w:leader="dot" w:pos="8306"/>
          <w:tab w:val="clear" w:pos="8296"/>
        </w:tabs>
      </w:pPr>
      <w:r>
        <w:rPr>
          <w:caps w:val="0"/>
          <w:smallCaps/>
          <w:szCs w:val="20"/>
        </w:rPr>
        <w:fldChar w:fldCharType="begin"/>
      </w:r>
      <w:r>
        <w:rPr>
          <w:caps w:val="0"/>
          <w:smallCaps/>
          <w:szCs w:val="20"/>
        </w:rPr>
        <w:instrText xml:space="preserve"> HYPERLINK \l _Toc4318 </w:instrText>
      </w:r>
      <w:r>
        <w:rPr>
          <w:caps w:val="0"/>
          <w:smallCaps/>
          <w:szCs w:val="20"/>
        </w:rPr>
        <w:fldChar w:fldCharType="separate"/>
      </w:r>
      <w:r>
        <w:rPr>
          <w:rFonts w:hint="eastAsia" w:ascii="黑体" w:eastAsia="黑体" w:cs="Times New Roman"/>
          <w:bCs w:val="0"/>
          <w:highlight w:val="none"/>
        </w:rPr>
        <w:t>三、支出决算情况说明</w:t>
      </w:r>
      <w:r>
        <w:tab/>
      </w:r>
      <w:r>
        <w:fldChar w:fldCharType="begin"/>
      </w:r>
      <w:r>
        <w:instrText xml:space="preserve"> PAGEREF _Toc4318 \h </w:instrText>
      </w:r>
      <w:r>
        <w:fldChar w:fldCharType="separate"/>
      </w:r>
      <w:r>
        <w:t>5</w:t>
      </w:r>
      <w:r>
        <w:fldChar w:fldCharType="end"/>
      </w:r>
      <w:r>
        <w:rPr>
          <w:caps w:val="0"/>
          <w:smallCaps/>
          <w:szCs w:val="20"/>
        </w:rPr>
        <w:fldChar w:fldCharType="end"/>
      </w:r>
    </w:p>
    <w:p w14:paraId="7284E328">
      <w:pPr>
        <w:pStyle w:val="17"/>
        <w:tabs>
          <w:tab w:val="right" w:leader="dot" w:pos="8306"/>
          <w:tab w:val="clear" w:pos="8296"/>
        </w:tabs>
      </w:pPr>
      <w:r>
        <w:rPr>
          <w:caps w:val="0"/>
          <w:smallCaps/>
          <w:szCs w:val="20"/>
        </w:rPr>
        <w:fldChar w:fldCharType="begin"/>
      </w:r>
      <w:r>
        <w:rPr>
          <w:caps w:val="0"/>
          <w:smallCaps/>
          <w:szCs w:val="20"/>
        </w:rPr>
        <w:instrText xml:space="preserve"> HYPERLINK \l _Toc9763 </w:instrText>
      </w:r>
      <w:r>
        <w:rPr>
          <w:caps w:val="0"/>
          <w:smallCaps/>
          <w:szCs w:val="20"/>
        </w:rPr>
        <w:fldChar w:fldCharType="separate"/>
      </w:r>
      <w:r>
        <w:rPr>
          <w:rFonts w:hint="eastAsia" w:ascii="黑体" w:eastAsia="黑体" w:cs="Times New Roman"/>
          <w:bCs w:val="0"/>
          <w:highlight w:val="none"/>
        </w:rPr>
        <w:t>四、财政拨款收入支出决算总体情况说明</w:t>
      </w:r>
      <w:r>
        <w:tab/>
      </w:r>
      <w:r>
        <w:fldChar w:fldCharType="begin"/>
      </w:r>
      <w:r>
        <w:instrText xml:space="preserve"> PAGEREF _Toc9763 \h </w:instrText>
      </w:r>
      <w:r>
        <w:fldChar w:fldCharType="separate"/>
      </w:r>
      <w:r>
        <w:t>5</w:t>
      </w:r>
      <w:r>
        <w:fldChar w:fldCharType="end"/>
      </w:r>
      <w:r>
        <w:rPr>
          <w:caps w:val="0"/>
          <w:smallCaps/>
          <w:szCs w:val="20"/>
        </w:rPr>
        <w:fldChar w:fldCharType="end"/>
      </w:r>
    </w:p>
    <w:p w14:paraId="26AD5CBD">
      <w:pPr>
        <w:pStyle w:val="17"/>
        <w:tabs>
          <w:tab w:val="right" w:leader="dot" w:pos="8306"/>
          <w:tab w:val="clear" w:pos="8296"/>
        </w:tabs>
      </w:pPr>
      <w:r>
        <w:rPr>
          <w:caps w:val="0"/>
          <w:smallCaps/>
          <w:szCs w:val="20"/>
        </w:rPr>
        <w:fldChar w:fldCharType="begin"/>
      </w:r>
      <w:r>
        <w:rPr>
          <w:caps w:val="0"/>
          <w:smallCaps/>
          <w:szCs w:val="20"/>
        </w:rPr>
        <w:instrText xml:space="preserve"> HYPERLINK \l _Toc17322 </w:instrText>
      </w:r>
      <w:r>
        <w:rPr>
          <w:caps w:val="0"/>
          <w:smallCaps/>
          <w:szCs w:val="20"/>
        </w:rPr>
        <w:fldChar w:fldCharType="separate"/>
      </w:r>
      <w:r>
        <w:rPr>
          <w:rFonts w:hint="eastAsia" w:ascii="黑体" w:eastAsia="黑体" w:cs="Times New Roman"/>
          <w:bCs w:val="0"/>
          <w:highlight w:val="none"/>
        </w:rPr>
        <w:t>五、一般公共预算财政拨款支出决算情况说明</w:t>
      </w:r>
      <w:r>
        <w:tab/>
      </w:r>
      <w:r>
        <w:fldChar w:fldCharType="begin"/>
      </w:r>
      <w:r>
        <w:instrText xml:space="preserve"> PAGEREF _Toc17322 \h </w:instrText>
      </w:r>
      <w:r>
        <w:fldChar w:fldCharType="separate"/>
      </w:r>
      <w:r>
        <w:t>6</w:t>
      </w:r>
      <w:r>
        <w:fldChar w:fldCharType="end"/>
      </w:r>
      <w:r>
        <w:rPr>
          <w:caps w:val="0"/>
          <w:smallCaps/>
          <w:szCs w:val="20"/>
        </w:rPr>
        <w:fldChar w:fldCharType="end"/>
      </w:r>
    </w:p>
    <w:p w14:paraId="2EF9EE5A">
      <w:pPr>
        <w:pStyle w:val="17"/>
        <w:tabs>
          <w:tab w:val="right" w:leader="dot" w:pos="8306"/>
          <w:tab w:val="clear" w:pos="8296"/>
        </w:tabs>
      </w:pPr>
      <w:r>
        <w:rPr>
          <w:caps w:val="0"/>
          <w:smallCaps/>
          <w:szCs w:val="20"/>
        </w:rPr>
        <w:fldChar w:fldCharType="begin"/>
      </w:r>
      <w:r>
        <w:rPr>
          <w:caps w:val="0"/>
          <w:smallCaps/>
          <w:szCs w:val="20"/>
        </w:rPr>
        <w:instrText xml:space="preserve"> HYPERLINK \l _Toc14398 </w:instrText>
      </w:r>
      <w:r>
        <w:rPr>
          <w:caps w:val="0"/>
          <w:smallCaps/>
          <w:szCs w:val="20"/>
        </w:rPr>
        <w:fldChar w:fldCharType="separate"/>
      </w:r>
      <w:r>
        <w:rPr>
          <w:rFonts w:hint="eastAsia" w:ascii="黑体" w:eastAsia="黑体" w:cs="Times New Roman"/>
          <w:bCs w:val="0"/>
          <w:highlight w:val="none"/>
        </w:rPr>
        <w:t>六、一般公共预算财政拨款基本支出决算情况说明</w:t>
      </w:r>
      <w:r>
        <w:tab/>
      </w:r>
      <w:r>
        <w:fldChar w:fldCharType="begin"/>
      </w:r>
      <w:r>
        <w:instrText xml:space="preserve"> PAGEREF _Toc14398 \h </w:instrText>
      </w:r>
      <w:r>
        <w:fldChar w:fldCharType="separate"/>
      </w:r>
      <w:r>
        <w:t>10</w:t>
      </w:r>
      <w:r>
        <w:fldChar w:fldCharType="end"/>
      </w:r>
      <w:r>
        <w:rPr>
          <w:caps w:val="0"/>
          <w:smallCaps/>
          <w:szCs w:val="20"/>
        </w:rPr>
        <w:fldChar w:fldCharType="end"/>
      </w:r>
    </w:p>
    <w:p w14:paraId="6DC4A92D">
      <w:pPr>
        <w:pStyle w:val="17"/>
        <w:tabs>
          <w:tab w:val="right" w:leader="dot" w:pos="8306"/>
          <w:tab w:val="clear" w:pos="8296"/>
        </w:tabs>
      </w:pPr>
      <w:r>
        <w:rPr>
          <w:caps w:val="0"/>
          <w:smallCaps/>
          <w:szCs w:val="20"/>
        </w:rPr>
        <w:fldChar w:fldCharType="begin"/>
      </w:r>
      <w:r>
        <w:rPr>
          <w:caps w:val="0"/>
          <w:smallCaps/>
          <w:szCs w:val="20"/>
        </w:rPr>
        <w:instrText xml:space="preserve"> HYPERLINK \l _Toc886 </w:instrText>
      </w:r>
      <w:r>
        <w:rPr>
          <w:caps w:val="0"/>
          <w:smallCaps/>
          <w:szCs w:val="20"/>
        </w:rPr>
        <w:fldChar w:fldCharType="separate"/>
      </w:r>
      <w:r>
        <w:rPr>
          <w:rFonts w:hint="eastAsia" w:ascii="黑体" w:eastAsia="黑体" w:cs="Times New Roman"/>
          <w:bCs w:val="0"/>
          <w:highlight w:val="none"/>
        </w:rPr>
        <w:t>七、“三公”经费财政拨款支出决算情况说明</w:t>
      </w:r>
      <w:r>
        <w:tab/>
      </w:r>
      <w:r>
        <w:fldChar w:fldCharType="begin"/>
      </w:r>
      <w:r>
        <w:instrText xml:space="preserve"> PAGEREF _Toc886 \h </w:instrText>
      </w:r>
      <w:r>
        <w:fldChar w:fldCharType="separate"/>
      </w:r>
      <w:r>
        <w:t>10</w:t>
      </w:r>
      <w:r>
        <w:fldChar w:fldCharType="end"/>
      </w:r>
      <w:r>
        <w:rPr>
          <w:caps w:val="0"/>
          <w:smallCaps/>
          <w:szCs w:val="20"/>
        </w:rPr>
        <w:fldChar w:fldCharType="end"/>
      </w:r>
    </w:p>
    <w:p w14:paraId="71979605">
      <w:pPr>
        <w:pStyle w:val="17"/>
        <w:tabs>
          <w:tab w:val="right" w:leader="dot" w:pos="8306"/>
          <w:tab w:val="clear" w:pos="8296"/>
        </w:tabs>
      </w:pPr>
      <w:r>
        <w:rPr>
          <w:caps w:val="0"/>
          <w:smallCaps/>
          <w:szCs w:val="20"/>
        </w:rPr>
        <w:fldChar w:fldCharType="begin"/>
      </w:r>
      <w:r>
        <w:rPr>
          <w:caps w:val="0"/>
          <w:smallCaps/>
          <w:szCs w:val="20"/>
        </w:rPr>
        <w:instrText xml:space="preserve"> HYPERLINK \l _Toc13730 </w:instrText>
      </w:r>
      <w:r>
        <w:rPr>
          <w:caps w:val="0"/>
          <w:smallCaps/>
          <w:szCs w:val="20"/>
        </w:rPr>
        <w:fldChar w:fldCharType="separate"/>
      </w:r>
      <w:r>
        <w:rPr>
          <w:rFonts w:hint="eastAsia" w:ascii="黑体" w:eastAsia="黑体" w:cs="Times New Roman"/>
          <w:bCs w:val="0"/>
          <w:highlight w:val="none"/>
        </w:rPr>
        <w:t>八、政府性基金预算支出决算情况说明</w:t>
      </w:r>
      <w:r>
        <w:tab/>
      </w:r>
      <w:r>
        <w:fldChar w:fldCharType="begin"/>
      </w:r>
      <w:r>
        <w:instrText xml:space="preserve"> PAGEREF _Toc13730 \h </w:instrText>
      </w:r>
      <w:r>
        <w:fldChar w:fldCharType="separate"/>
      </w:r>
      <w:r>
        <w:t>11</w:t>
      </w:r>
      <w:r>
        <w:fldChar w:fldCharType="end"/>
      </w:r>
      <w:r>
        <w:rPr>
          <w:caps w:val="0"/>
          <w:smallCaps/>
          <w:szCs w:val="20"/>
        </w:rPr>
        <w:fldChar w:fldCharType="end"/>
      </w:r>
    </w:p>
    <w:p w14:paraId="6254072A">
      <w:pPr>
        <w:pStyle w:val="17"/>
        <w:tabs>
          <w:tab w:val="right" w:leader="dot" w:pos="8306"/>
          <w:tab w:val="clear" w:pos="8296"/>
        </w:tabs>
      </w:pPr>
      <w:r>
        <w:rPr>
          <w:caps w:val="0"/>
          <w:smallCaps/>
          <w:szCs w:val="20"/>
        </w:rPr>
        <w:fldChar w:fldCharType="begin"/>
      </w:r>
      <w:r>
        <w:rPr>
          <w:caps w:val="0"/>
          <w:smallCaps/>
          <w:szCs w:val="20"/>
        </w:rPr>
        <w:instrText xml:space="preserve"> HYPERLINK \l _Toc30609 </w:instrText>
      </w:r>
      <w:r>
        <w:rPr>
          <w:caps w:val="0"/>
          <w:smallCaps/>
          <w:szCs w:val="20"/>
        </w:rPr>
        <w:fldChar w:fldCharType="separate"/>
      </w:r>
      <w:r>
        <w:rPr>
          <w:rFonts w:hint="eastAsia" w:ascii="黑体" w:eastAsia="黑体" w:cs="Times New Roman"/>
          <w:bCs w:val="0"/>
          <w:highlight w:val="none"/>
        </w:rPr>
        <w:t>九、国有资本经营预算支出决算情况说明</w:t>
      </w:r>
      <w:r>
        <w:tab/>
      </w:r>
      <w:r>
        <w:fldChar w:fldCharType="begin"/>
      </w:r>
      <w:r>
        <w:instrText xml:space="preserve"> PAGEREF _Toc30609 \h </w:instrText>
      </w:r>
      <w:r>
        <w:fldChar w:fldCharType="separate"/>
      </w:r>
      <w:r>
        <w:t>11</w:t>
      </w:r>
      <w:r>
        <w:fldChar w:fldCharType="end"/>
      </w:r>
      <w:r>
        <w:rPr>
          <w:caps w:val="0"/>
          <w:smallCaps/>
          <w:szCs w:val="20"/>
        </w:rPr>
        <w:fldChar w:fldCharType="end"/>
      </w:r>
    </w:p>
    <w:p w14:paraId="51274AC0">
      <w:pPr>
        <w:pStyle w:val="17"/>
        <w:tabs>
          <w:tab w:val="right" w:leader="dot" w:pos="8306"/>
          <w:tab w:val="clear" w:pos="8296"/>
        </w:tabs>
      </w:pPr>
      <w:r>
        <w:rPr>
          <w:caps w:val="0"/>
          <w:smallCaps/>
          <w:szCs w:val="20"/>
        </w:rPr>
        <w:fldChar w:fldCharType="begin"/>
      </w:r>
      <w:r>
        <w:rPr>
          <w:caps w:val="0"/>
          <w:smallCaps/>
          <w:szCs w:val="20"/>
        </w:rPr>
        <w:instrText xml:space="preserve"> HYPERLINK \l _Toc11418 </w:instrText>
      </w:r>
      <w:r>
        <w:rPr>
          <w:caps w:val="0"/>
          <w:smallCaps/>
          <w:szCs w:val="20"/>
        </w:rPr>
        <w:fldChar w:fldCharType="separate"/>
      </w:r>
      <w:r>
        <w:rPr>
          <w:rFonts w:hint="eastAsia" w:ascii="黑体" w:eastAsia="黑体" w:cs="Times New Roman"/>
          <w:bCs w:val="0"/>
          <w:highlight w:val="none"/>
        </w:rPr>
        <w:t>十、其他重要事项的情况说明</w:t>
      </w:r>
      <w:r>
        <w:tab/>
      </w:r>
      <w:r>
        <w:fldChar w:fldCharType="begin"/>
      </w:r>
      <w:r>
        <w:instrText xml:space="preserve"> PAGEREF _Toc11418 \h </w:instrText>
      </w:r>
      <w:r>
        <w:fldChar w:fldCharType="separate"/>
      </w:r>
      <w:r>
        <w:t>11</w:t>
      </w:r>
      <w:r>
        <w:fldChar w:fldCharType="end"/>
      </w:r>
      <w:r>
        <w:rPr>
          <w:caps w:val="0"/>
          <w:smallCaps/>
          <w:szCs w:val="20"/>
        </w:rPr>
        <w:fldChar w:fldCharType="end"/>
      </w:r>
    </w:p>
    <w:p w14:paraId="76219311">
      <w:pPr>
        <w:pStyle w:val="14"/>
        <w:tabs>
          <w:tab w:val="right" w:leader="dot" w:pos="8306"/>
          <w:tab w:val="clear" w:pos="8296"/>
        </w:tabs>
      </w:pPr>
      <w:r>
        <w:rPr>
          <w:caps w:val="0"/>
          <w:smallCaps/>
          <w:szCs w:val="20"/>
        </w:rPr>
        <w:fldChar w:fldCharType="begin"/>
      </w:r>
      <w:r>
        <w:rPr>
          <w:caps w:val="0"/>
          <w:smallCaps/>
          <w:szCs w:val="20"/>
        </w:rPr>
        <w:instrText xml:space="preserve"> HYPERLINK \l _Toc20590 </w:instrText>
      </w:r>
      <w:r>
        <w:rPr>
          <w:caps w:val="0"/>
          <w:smallCaps/>
          <w:szCs w:val="20"/>
        </w:rPr>
        <w:fldChar w:fldCharType="separate"/>
      </w:r>
      <w:r>
        <w:rPr>
          <w:rFonts w:hint="eastAsia" w:ascii="黑体" w:hAnsi="黑体" w:eastAsia="黑体" w:cs="黑体"/>
          <w:szCs w:val="44"/>
        </w:rPr>
        <w:t xml:space="preserve">第三部分 </w:t>
      </w:r>
      <w:r>
        <w:rPr>
          <w:rFonts w:hint="eastAsia" w:ascii="黑体" w:hAnsi="黑体" w:eastAsia="黑体"/>
          <w:szCs w:val="44"/>
          <w:highlight w:val="none"/>
        </w:rPr>
        <w:t>名</w:t>
      </w:r>
      <w:r>
        <w:rPr>
          <w:rFonts w:hint="eastAsia" w:ascii="黑体" w:hAnsi="黑体" w:eastAsia="黑体"/>
          <w:highlight w:val="none"/>
        </w:rPr>
        <w:t>词解释</w:t>
      </w:r>
      <w:r>
        <w:tab/>
      </w:r>
      <w:r>
        <w:fldChar w:fldCharType="begin"/>
      </w:r>
      <w:r>
        <w:instrText xml:space="preserve"> PAGEREF _Toc20590 \h </w:instrText>
      </w:r>
      <w:r>
        <w:fldChar w:fldCharType="separate"/>
      </w:r>
      <w:r>
        <w:t>13</w:t>
      </w:r>
      <w:r>
        <w:fldChar w:fldCharType="end"/>
      </w:r>
      <w:r>
        <w:rPr>
          <w:caps w:val="0"/>
          <w:smallCaps/>
          <w:szCs w:val="20"/>
        </w:rPr>
        <w:fldChar w:fldCharType="end"/>
      </w:r>
    </w:p>
    <w:p w14:paraId="16138F82">
      <w:pPr>
        <w:pStyle w:val="14"/>
        <w:tabs>
          <w:tab w:val="right" w:leader="dot" w:pos="8306"/>
          <w:tab w:val="clear" w:pos="8296"/>
        </w:tabs>
        <w:rPr>
          <w:rFonts w:hint="eastAsia" w:eastAsia="仿宋"/>
          <w:lang w:val="en-US" w:eastAsia="zh-CN"/>
        </w:rPr>
      </w:pPr>
      <w:r>
        <w:rPr>
          <w:caps w:val="0"/>
          <w:smallCaps/>
          <w:szCs w:val="20"/>
        </w:rPr>
        <w:fldChar w:fldCharType="begin"/>
      </w:r>
      <w:r>
        <w:rPr>
          <w:caps w:val="0"/>
          <w:smallCaps/>
          <w:szCs w:val="20"/>
        </w:rPr>
        <w:instrText xml:space="preserve"> HYPERLINK \l _Toc16858 </w:instrText>
      </w:r>
      <w:r>
        <w:rPr>
          <w:caps w:val="0"/>
          <w:smallCaps/>
          <w:szCs w:val="20"/>
        </w:rPr>
        <w:fldChar w:fldCharType="separate"/>
      </w:r>
      <w:r>
        <w:rPr>
          <w:rFonts w:hint="eastAsia" w:ascii="黑体" w:eastAsia="黑体" w:cs="黑体"/>
          <w:highlight w:val="none"/>
        </w:rPr>
        <w:t>第四部分 附件</w:t>
      </w:r>
      <w:r>
        <w:tab/>
      </w:r>
      <w:r>
        <w:rPr>
          <w:rFonts w:hint="eastAsia"/>
          <w:lang w:val="en-US" w:eastAsia="zh-CN"/>
        </w:rPr>
        <w:t>1</w:t>
      </w:r>
      <w:r>
        <w:rPr>
          <w:caps w:val="0"/>
          <w:smallCaps/>
          <w:szCs w:val="20"/>
        </w:rPr>
        <w:fldChar w:fldCharType="end"/>
      </w:r>
      <w:r>
        <w:rPr>
          <w:rFonts w:hint="eastAsia"/>
          <w:caps w:val="0"/>
          <w:smallCaps/>
          <w:szCs w:val="20"/>
          <w:lang w:val="en-US" w:eastAsia="zh-CN"/>
        </w:rPr>
        <w:t>8</w:t>
      </w:r>
    </w:p>
    <w:p w14:paraId="22729034">
      <w:pPr>
        <w:pStyle w:val="14"/>
        <w:tabs>
          <w:tab w:val="right" w:leader="dot" w:pos="8306"/>
          <w:tab w:val="clear" w:pos="8296"/>
        </w:tabs>
        <w:rPr>
          <w:rFonts w:hint="eastAsia" w:eastAsia="仿宋"/>
          <w:lang w:val="en-US" w:eastAsia="zh-CN"/>
        </w:rPr>
      </w:pPr>
      <w:r>
        <w:rPr>
          <w:caps w:val="0"/>
          <w:smallCaps/>
          <w:szCs w:val="20"/>
        </w:rPr>
        <w:fldChar w:fldCharType="begin"/>
      </w:r>
      <w:r>
        <w:rPr>
          <w:caps w:val="0"/>
          <w:smallCaps/>
          <w:szCs w:val="20"/>
        </w:rPr>
        <w:instrText xml:space="preserve"> HYPERLINK \l _Toc9681 </w:instrText>
      </w:r>
      <w:r>
        <w:rPr>
          <w:caps w:val="0"/>
          <w:smallCaps/>
          <w:szCs w:val="20"/>
        </w:rPr>
        <w:fldChar w:fldCharType="separate"/>
      </w:r>
      <w:r>
        <w:rPr>
          <w:rFonts w:hint="eastAsia" w:ascii="黑体" w:eastAsia="黑体" w:cs="黑体"/>
          <w:bCs w:val="0"/>
        </w:rPr>
        <w:t>第五部分 附表</w:t>
      </w:r>
      <w:r>
        <w:tab/>
      </w:r>
      <w:r>
        <w:rPr>
          <w:rFonts w:hint="eastAsia"/>
          <w:lang w:val="en-US" w:eastAsia="zh-CN"/>
        </w:rPr>
        <w:t>3</w:t>
      </w:r>
      <w:r>
        <w:rPr>
          <w:caps w:val="0"/>
          <w:smallCaps/>
          <w:szCs w:val="20"/>
        </w:rPr>
        <w:fldChar w:fldCharType="end"/>
      </w:r>
      <w:r>
        <w:rPr>
          <w:rFonts w:hint="eastAsia"/>
          <w:caps w:val="0"/>
          <w:smallCaps/>
          <w:szCs w:val="20"/>
          <w:lang w:val="en-US" w:eastAsia="zh-CN"/>
        </w:rPr>
        <w:t>3</w:t>
      </w:r>
    </w:p>
    <w:p w14:paraId="0982228A">
      <w:pPr>
        <w:pStyle w:val="17"/>
        <w:tabs>
          <w:tab w:val="right" w:leader="dot" w:pos="8306"/>
          <w:tab w:val="clear" w:pos="8296"/>
        </w:tabs>
        <w:rPr>
          <w:rFonts w:hint="eastAsia" w:eastAsia="宋体"/>
          <w:lang w:val="en-US" w:eastAsia="zh-CN"/>
        </w:rPr>
      </w:pPr>
      <w:r>
        <w:rPr>
          <w:caps w:val="0"/>
          <w:smallCaps/>
          <w:szCs w:val="20"/>
        </w:rPr>
        <w:fldChar w:fldCharType="begin"/>
      </w:r>
      <w:r>
        <w:rPr>
          <w:caps w:val="0"/>
          <w:smallCaps/>
          <w:szCs w:val="20"/>
        </w:rPr>
        <w:instrText xml:space="preserve"> HYPERLINK \l _Toc9322 </w:instrText>
      </w:r>
      <w:r>
        <w:rPr>
          <w:caps w:val="0"/>
          <w:smallCaps/>
          <w:szCs w:val="20"/>
        </w:rPr>
        <w:fldChar w:fldCharType="separate"/>
      </w:r>
      <w:r>
        <w:rPr>
          <w:rFonts w:hint="eastAsia" w:ascii="黑体" w:eastAsia="黑体" w:cs="Times New Roman"/>
          <w:bCs w:val="0"/>
        </w:rPr>
        <w:t>一、收入支出决算总表</w:t>
      </w:r>
      <w:r>
        <w:tab/>
      </w:r>
      <w:r>
        <w:rPr>
          <w:rFonts w:hint="eastAsia"/>
          <w:lang w:val="en-US" w:eastAsia="zh-CN"/>
        </w:rPr>
        <w:t>33</w:t>
      </w:r>
      <w:r>
        <w:rPr>
          <w:caps w:val="0"/>
          <w:smallCaps/>
          <w:szCs w:val="20"/>
        </w:rPr>
        <w:fldChar w:fldCharType="end"/>
      </w:r>
    </w:p>
    <w:p w14:paraId="2D12833D">
      <w:pPr>
        <w:pStyle w:val="17"/>
        <w:tabs>
          <w:tab w:val="right" w:leader="dot" w:pos="8306"/>
          <w:tab w:val="clear" w:pos="8296"/>
        </w:tabs>
        <w:rPr>
          <w:rFonts w:hint="eastAsia" w:eastAsia="宋体"/>
          <w:lang w:val="en-US" w:eastAsia="zh-CN"/>
        </w:rPr>
      </w:pPr>
      <w:r>
        <w:rPr>
          <w:caps w:val="0"/>
          <w:smallCaps/>
          <w:szCs w:val="20"/>
        </w:rPr>
        <w:fldChar w:fldCharType="begin"/>
      </w:r>
      <w:r>
        <w:rPr>
          <w:caps w:val="0"/>
          <w:smallCaps/>
          <w:szCs w:val="20"/>
        </w:rPr>
        <w:instrText xml:space="preserve"> HYPERLINK \l _Toc28564 </w:instrText>
      </w:r>
      <w:r>
        <w:rPr>
          <w:caps w:val="0"/>
          <w:smallCaps/>
          <w:szCs w:val="20"/>
        </w:rPr>
        <w:fldChar w:fldCharType="separate"/>
      </w:r>
      <w:r>
        <w:rPr>
          <w:rFonts w:hint="eastAsia" w:ascii="黑体" w:eastAsia="黑体" w:cs="Times New Roman"/>
          <w:bCs w:val="0"/>
        </w:rPr>
        <w:t>二、收入决算表</w:t>
      </w:r>
      <w:r>
        <w:tab/>
      </w:r>
      <w:r>
        <w:rPr>
          <w:rFonts w:hint="eastAsia"/>
          <w:lang w:val="en-US" w:eastAsia="zh-CN"/>
        </w:rPr>
        <w:t>33</w:t>
      </w:r>
      <w:r>
        <w:rPr>
          <w:caps w:val="0"/>
          <w:smallCaps/>
          <w:szCs w:val="20"/>
        </w:rPr>
        <w:fldChar w:fldCharType="end"/>
      </w:r>
    </w:p>
    <w:p w14:paraId="7DC26951">
      <w:pPr>
        <w:pStyle w:val="17"/>
        <w:tabs>
          <w:tab w:val="right" w:leader="dot" w:pos="8306"/>
          <w:tab w:val="clear" w:pos="8296"/>
        </w:tabs>
        <w:rPr>
          <w:rFonts w:hint="eastAsia" w:eastAsia="宋体"/>
          <w:lang w:val="en-US" w:eastAsia="zh-CN"/>
        </w:rPr>
      </w:pPr>
      <w:r>
        <w:rPr>
          <w:caps w:val="0"/>
          <w:smallCaps/>
          <w:szCs w:val="20"/>
        </w:rPr>
        <w:fldChar w:fldCharType="begin"/>
      </w:r>
      <w:r>
        <w:rPr>
          <w:caps w:val="0"/>
          <w:smallCaps/>
          <w:szCs w:val="20"/>
        </w:rPr>
        <w:instrText xml:space="preserve"> HYPERLINK \l _Toc9707 </w:instrText>
      </w:r>
      <w:r>
        <w:rPr>
          <w:caps w:val="0"/>
          <w:smallCaps/>
          <w:szCs w:val="20"/>
        </w:rPr>
        <w:fldChar w:fldCharType="separate"/>
      </w:r>
      <w:r>
        <w:rPr>
          <w:rFonts w:hint="eastAsia" w:ascii="黑体" w:eastAsia="黑体" w:cs="Times New Roman"/>
          <w:bCs w:val="0"/>
        </w:rPr>
        <w:t>三、支出决算表</w:t>
      </w:r>
      <w:r>
        <w:tab/>
      </w:r>
      <w:r>
        <w:rPr>
          <w:rFonts w:hint="eastAsia"/>
          <w:lang w:val="en-US" w:eastAsia="zh-CN"/>
        </w:rPr>
        <w:t>33</w:t>
      </w:r>
      <w:r>
        <w:rPr>
          <w:caps w:val="0"/>
          <w:smallCaps/>
          <w:szCs w:val="20"/>
        </w:rPr>
        <w:fldChar w:fldCharType="end"/>
      </w:r>
    </w:p>
    <w:p w14:paraId="5E70CB45">
      <w:pPr>
        <w:pStyle w:val="17"/>
        <w:tabs>
          <w:tab w:val="right" w:leader="dot" w:pos="8306"/>
          <w:tab w:val="clear" w:pos="8296"/>
        </w:tabs>
        <w:rPr>
          <w:rFonts w:hint="eastAsia" w:eastAsia="宋体"/>
          <w:lang w:val="en-US" w:eastAsia="zh-CN"/>
        </w:rPr>
      </w:pPr>
      <w:r>
        <w:rPr>
          <w:caps w:val="0"/>
          <w:smallCaps/>
          <w:szCs w:val="20"/>
        </w:rPr>
        <w:fldChar w:fldCharType="begin"/>
      </w:r>
      <w:r>
        <w:rPr>
          <w:caps w:val="0"/>
          <w:smallCaps/>
          <w:szCs w:val="20"/>
        </w:rPr>
        <w:instrText xml:space="preserve"> HYPERLINK \l _Toc13652 </w:instrText>
      </w:r>
      <w:r>
        <w:rPr>
          <w:caps w:val="0"/>
          <w:smallCaps/>
          <w:szCs w:val="20"/>
        </w:rPr>
        <w:fldChar w:fldCharType="separate"/>
      </w:r>
      <w:r>
        <w:rPr>
          <w:rFonts w:hint="eastAsia" w:ascii="黑体" w:eastAsia="黑体" w:cs="Times New Roman"/>
          <w:bCs w:val="0"/>
        </w:rPr>
        <w:t>四、财政拨款收入支出决算总表</w:t>
      </w:r>
      <w:r>
        <w:tab/>
      </w:r>
      <w:r>
        <w:rPr>
          <w:rFonts w:hint="eastAsia"/>
          <w:lang w:val="en-US" w:eastAsia="zh-CN"/>
        </w:rPr>
        <w:t>33</w:t>
      </w:r>
      <w:r>
        <w:rPr>
          <w:caps w:val="0"/>
          <w:smallCaps/>
          <w:szCs w:val="20"/>
        </w:rPr>
        <w:fldChar w:fldCharType="end"/>
      </w:r>
    </w:p>
    <w:p w14:paraId="464A4849">
      <w:pPr>
        <w:pStyle w:val="17"/>
        <w:tabs>
          <w:tab w:val="right" w:leader="dot" w:pos="8306"/>
          <w:tab w:val="clear" w:pos="8296"/>
        </w:tabs>
        <w:rPr>
          <w:rFonts w:hint="eastAsia" w:eastAsia="宋体"/>
          <w:lang w:val="en-US" w:eastAsia="zh-CN"/>
        </w:rPr>
      </w:pPr>
      <w:r>
        <w:rPr>
          <w:caps w:val="0"/>
          <w:smallCaps/>
          <w:szCs w:val="20"/>
        </w:rPr>
        <w:fldChar w:fldCharType="begin"/>
      </w:r>
      <w:r>
        <w:rPr>
          <w:caps w:val="0"/>
          <w:smallCaps/>
          <w:szCs w:val="20"/>
        </w:rPr>
        <w:instrText xml:space="preserve"> HYPERLINK \l _Toc16893 </w:instrText>
      </w:r>
      <w:r>
        <w:rPr>
          <w:caps w:val="0"/>
          <w:smallCaps/>
          <w:szCs w:val="20"/>
        </w:rPr>
        <w:fldChar w:fldCharType="separate"/>
      </w:r>
      <w:r>
        <w:rPr>
          <w:rFonts w:hint="eastAsia" w:ascii="黑体" w:eastAsia="黑体" w:cs="Times New Roman"/>
          <w:bCs w:val="0"/>
        </w:rPr>
        <w:t>五、财政拨款支出决算明细表</w:t>
      </w:r>
      <w:r>
        <w:tab/>
      </w:r>
      <w:r>
        <w:rPr>
          <w:rFonts w:hint="eastAsia"/>
          <w:lang w:val="en-US" w:eastAsia="zh-CN"/>
        </w:rPr>
        <w:t>33</w:t>
      </w:r>
      <w:r>
        <w:rPr>
          <w:caps w:val="0"/>
          <w:smallCaps/>
          <w:szCs w:val="20"/>
        </w:rPr>
        <w:fldChar w:fldCharType="end"/>
      </w:r>
    </w:p>
    <w:p w14:paraId="35D9F3EC">
      <w:pPr>
        <w:pStyle w:val="17"/>
        <w:tabs>
          <w:tab w:val="right" w:leader="dot" w:pos="8306"/>
          <w:tab w:val="clear" w:pos="8296"/>
        </w:tabs>
        <w:rPr>
          <w:rFonts w:hint="eastAsia" w:eastAsia="宋体"/>
          <w:lang w:val="en-US" w:eastAsia="zh-CN"/>
        </w:rPr>
      </w:pPr>
      <w:r>
        <w:rPr>
          <w:caps w:val="0"/>
          <w:smallCaps/>
          <w:szCs w:val="20"/>
        </w:rPr>
        <w:fldChar w:fldCharType="begin"/>
      </w:r>
      <w:r>
        <w:rPr>
          <w:caps w:val="0"/>
          <w:smallCaps/>
          <w:szCs w:val="20"/>
        </w:rPr>
        <w:instrText xml:space="preserve"> HYPERLINK \l _Toc13511 </w:instrText>
      </w:r>
      <w:r>
        <w:rPr>
          <w:caps w:val="0"/>
          <w:smallCaps/>
          <w:szCs w:val="20"/>
        </w:rPr>
        <w:fldChar w:fldCharType="separate"/>
      </w:r>
      <w:r>
        <w:rPr>
          <w:rFonts w:hint="eastAsia" w:ascii="黑体" w:eastAsia="黑体" w:cs="Times New Roman"/>
          <w:bCs w:val="0"/>
        </w:rPr>
        <w:t>六、一般公共预算财政拨款支出决算表</w:t>
      </w:r>
      <w:r>
        <w:tab/>
      </w:r>
      <w:r>
        <w:rPr>
          <w:rFonts w:hint="eastAsia"/>
          <w:lang w:val="en-US" w:eastAsia="zh-CN"/>
        </w:rPr>
        <w:t>33</w:t>
      </w:r>
      <w:r>
        <w:rPr>
          <w:caps w:val="0"/>
          <w:smallCaps/>
          <w:szCs w:val="20"/>
        </w:rPr>
        <w:fldChar w:fldCharType="end"/>
      </w:r>
    </w:p>
    <w:p w14:paraId="24587350">
      <w:pPr>
        <w:pStyle w:val="17"/>
        <w:tabs>
          <w:tab w:val="right" w:leader="dot" w:pos="8306"/>
          <w:tab w:val="clear" w:pos="8296"/>
        </w:tabs>
        <w:rPr>
          <w:rFonts w:hint="eastAsia" w:eastAsia="宋体"/>
          <w:lang w:val="en-US" w:eastAsia="zh-CN"/>
        </w:rPr>
      </w:pPr>
      <w:r>
        <w:rPr>
          <w:caps w:val="0"/>
          <w:smallCaps/>
          <w:szCs w:val="20"/>
        </w:rPr>
        <w:fldChar w:fldCharType="begin"/>
      </w:r>
      <w:r>
        <w:rPr>
          <w:caps w:val="0"/>
          <w:smallCaps/>
          <w:szCs w:val="20"/>
        </w:rPr>
        <w:instrText xml:space="preserve"> HYPERLINK \l _Toc30154 </w:instrText>
      </w:r>
      <w:r>
        <w:rPr>
          <w:caps w:val="0"/>
          <w:smallCaps/>
          <w:szCs w:val="20"/>
        </w:rPr>
        <w:fldChar w:fldCharType="separate"/>
      </w:r>
      <w:r>
        <w:rPr>
          <w:rFonts w:hint="eastAsia" w:ascii="黑体" w:eastAsia="黑体" w:cs="Times New Roman"/>
          <w:bCs w:val="0"/>
        </w:rPr>
        <w:t>七、一般公共预算财政拨款支出决算明细表</w:t>
      </w:r>
      <w:r>
        <w:tab/>
      </w:r>
      <w:r>
        <w:rPr>
          <w:rFonts w:hint="eastAsia"/>
          <w:lang w:val="en-US" w:eastAsia="zh-CN"/>
        </w:rPr>
        <w:t>33</w:t>
      </w:r>
      <w:r>
        <w:rPr>
          <w:caps w:val="0"/>
          <w:smallCaps/>
          <w:szCs w:val="20"/>
        </w:rPr>
        <w:fldChar w:fldCharType="end"/>
      </w:r>
    </w:p>
    <w:p w14:paraId="64D17949">
      <w:pPr>
        <w:pStyle w:val="17"/>
        <w:tabs>
          <w:tab w:val="right" w:leader="dot" w:pos="8306"/>
          <w:tab w:val="clear" w:pos="8296"/>
        </w:tabs>
        <w:rPr>
          <w:rFonts w:hint="eastAsia" w:eastAsia="宋体"/>
          <w:lang w:val="en-US" w:eastAsia="zh-CN"/>
        </w:rPr>
      </w:pPr>
      <w:r>
        <w:rPr>
          <w:caps w:val="0"/>
          <w:smallCaps/>
          <w:szCs w:val="20"/>
        </w:rPr>
        <w:fldChar w:fldCharType="begin"/>
      </w:r>
      <w:r>
        <w:rPr>
          <w:caps w:val="0"/>
          <w:smallCaps/>
          <w:szCs w:val="20"/>
        </w:rPr>
        <w:instrText xml:space="preserve"> HYPERLINK \l _Toc31629 </w:instrText>
      </w:r>
      <w:r>
        <w:rPr>
          <w:caps w:val="0"/>
          <w:smallCaps/>
          <w:szCs w:val="20"/>
        </w:rPr>
        <w:fldChar w:fldCharType="separate"/>
      </w:r>
      <w:r>
        <w:rPr>
          <w:rFonts w:hint="eastAsia" w:ascii="黑体" w:eastAsia="黑体" w:cs="Times New Roman"/>
          <w:bCs w:val="0"/>
        </w:rPr>
        <w:t>八、一般公共预算财政拨款基本支出决算表</w:t>
      </w:r>
      <w:r>
        <w:tab/>
      </w:r>
      <w:r>
        <w:rPr>
          <w:rFonts w:hint="eastAsia"/>
          <w:lang w:val="en-US" w:eastAsia="zh-CN"/>
        </w:rPr>
        <w:t>33</w:t>
      </w:r>
      <w:r>
        <w:rPr>
          <w:caps w:val="0"/>
          <w:smallCaps/>
          <w:szCs w:val="20"/>
        </w:rPr>
        <w:fldChar w:fldCharType="end"/>
      </w:r>
    </w:p>
    <w:p w14:paraId="291C0976">
      <w:pPr>
        <w:pStyle w:val="17"/>
        <w:tabs>
          <w:tab w:val="right" w:leader="dot" w:pos="8306"/>
          <w:tab w:val="clear" w:pos="8296"/>
        </w:tabs>
        <w:rPr>
          <w:rFonts w:hint="eastAsia" w:eastAsia="宋体"/>
          <w:lang w:val="en-US" w:eastAsia="zh-CN"/>
        </w:rPr>
      </w:pPr>
      <w:r>
        <w:rPr>
          <w:caps w:val="0"/>
          <w:smallCaps/>
          <w:szCs w:val="20"/>
        </w:rPr>
        <w:fldChar w:fldCharType="begin"/>
      </w:r>
      <w:r>
        <w:rPr>
          <w:caps w:val="0"/>
          <w:smallCaps/>
          <w:szCs w:val="20"/>
        </w:rPr>
        <w:instrText xml:space="preserve"> HYPERLINK \l _Toc4361 </w:instrText>
      </w:r>
      <w:r>
        <w:rPr>
          <w:caps w:val="0"/>
          <w:smallCaps/>
          <w:szCs w:val="20"/>
        </w:rPr>
        <w:fldChar w:fldCharType="separate"/>
      </w:r>
      <w:r>
        <w:rPr>
          <w:rFonts w:hint="eastAsia" w:ascii="黑体" w:eastAsia="黑体" w:cs="Times New Roman"/>
          <w:bCs w:val="0"/>
        </w:rPr>
        <w:t>九、一般公共预算财政拨款项目支出决算表</w:t>
      </w:r>
      <w:r>
        <w:tab/>
      </w:r>
      <w:r>
        <w:rPr>
          <w:rFonts w:hint="eastAsia"/>
          <w:lang w:val="en-US" w:eastAsia="zh-CN"/>
        </w:rPr>
        <w:t>33</w:t>
      </w:r>
      <w:r>
        <w:rPr>
          <w:caps w:val="0"/>
          <w:smallCaps/>
          <w:szCs w:val="20"/>
        </w:rPr>
        <w:fldChar w:fldCharType="end"/>
      </w:r>
    </w:p>
    <w:p w14:paraId="2CE8054A">
      <w:pPr>
        <w:pStyle w:val="17"/>
        <w:tabs>
          <w:tab w:val="right" w:leader="dot" w:pos="8306"/>
          <w:tab w:val="clear" w:pos="8296"/>
        </w:tabs>
        <w:rPr>
          <w:rFonts w:hint="eastAsia" w:eastAsia="宋体"/>
          <w:lang w:val="en-US" w:eastAsia="zh-CN"/>
        </w:rPr>
      </w:pPr>
      <w:r>
        <w:rPr>
          <w:caps w:val="0"/>
          <w:smallCaps/>
          <w:szCs w:val="20"/>
        </w:rPr>
        <w:fldChar w:fldCharType="begin"/>
      </w:r>
      <w:r>
        <w:rPr>
          <w:caps w:val="0"/>
          <w:smallCaps/>
          <w:szCs w:val="20"/>
        </w:rPr>
        <w:instrText xml:space="preserve"> HYPERLINK \l _Toc6328 </w:instrText>
      </w:r>
      <w:r>
        <w:rPr>
          <w:caps w:val="0"/>
          <w:smallCaps/>
          <w:szCs w:val="20"/>
        </w:rPr>
        <w:fldChar w:fldCharType="separate"/>
      </w:r>
      <w:r>
        <w:rPr>
          <w:rFonts w:hint="eastAsia" w:ascii="黑体" w:eastAsia="黑体" w:cs="Times New Roman"/>
          <w:bCs w:val="0"/>
        </w:rPr>
        <w:t>十、政府性基金预算财政拨款收入支出决算表</w:t>
      </w:r>
      <w:r>
        <w:tab/>
      </w:r>
      <w:r>
        <w:rPr>
          <w:rFonts w:hint="eastAsia"/>
          <w:lang w:val="en-US" w:eastAsia="zh-CN"/>
        </w:rPr>
        <w:t>33</w:t>
      </w:r>
      <w:r>
        <w:rPr>
          <w:caps w:val="0"/>
          <w:smallCaps/>
          <w:szCs w:val="20"/>
        </w:rPr>
        <w:fldChar w:fldCharType="end"/>
      </w:r>
    </w:p>
    <w:p w14:paraId="581091B4">
      <w:pPr>
        <w:pStyle w:val="17"/>
        <w:tabs>
          <w:tab w:val="right" w:leader="dot" w:pos="8306"/>
          <w:tab w:val="clear" w:pos="8296"/>
        </w:tabs>
        <w:rPr>
          <w:rFonts w:hint="eastAsia" w:eastAsia="宋体"/>
          <w:lang w:val="en-US" w:eastAsia="zh-CN"/>
        </w:rPr>
      </w:pPr>
      <w:r>
        <w:rPr>
          <w:caps w:val="0"/>
          <w:smallCaps/>
          <w:szCs w:val="20"/>
        </w:rPr>
        <w:fldChar w:fldCharType="begin"/>
      </w:r>
      <w:r>
        <w:rPr>
          <w:caps w:val="0"/>
          <w:smallCaps/>
          <w:szCs w:val="20"/>
        </w:rPr>
        <w:instrText xml:space="preserve"> HYPERLINK \l _Toc13298 </w:instrText>
      </w:r>
      <w:r>
        <w:rPr>
          <w:caps w:val="0"/>
          <w:smallCaps/>
          <w:szCs w:val="20"/>
        </w:rPr>
        <w:fldChar w:fldCharType="separate"/>
      </w:r>
      <w:r>
        <w:rPr>
          <w:rFonts w:hint="eastAsia" w:ascii="黑体" w:eastAsia="黑体" w:cs="Times New Roman"/>
          <w:bCs w:val="0"/>
        </w:rPr>
        <w:t>十一、国有资本经营预算财政拨款收入支出决算表</w:t>
      </w:r>
      <w:r>
        <w:tab/>
      </w:r>
      <w:r>
        <w:rPr>
          <w:rFonts w:hint="eastAsia"/>
          <w:lang w:val="en-US" w:eastAsia="zh-CN"/>
        </w:rPr>
        <w:t>33</w:t>
      </w:r>
      <w:r>
        <w:rPr>
          <w:caps w:val="0"/>
          <w:smallCaps/>
          <w:szCs w:val="20"/>
        </w:rPr>
        <w:fldChar w:fldCharType="end"/>
      </w:r>
    </w:p>
    <w:p w14:paraId="40364E30">
      <w:pPr>
        <w:pStyle w:val="17"/>
        <w:tabs>
          <w:tab w:val="right" w:leader="dot" w:pos="8306"/>
          <w:tab w:val="clear" w:pos="8296"/>
        </w:tabs>
        <w:rPr>
          <w:rFonts w:hint="eastAsia" w:eastAsia="宋体"/>
          <w:lang w:val="en-US" w:eastAsia="zh-CN"/>
        </w:rPr>
      </w:pPr>
      <w:r>
        <w:rPr>
          <w:caps w:val="0"/>
          <w:smallCaps/>
          <w:szCs w:val="20"/>
        </w:rPr>
        <w:fldChar w:fldCharType="begin"/>
      </w:r>
      <w:r>
        <w:rPr>
          <w:caps w:val="0"/>
          <w:smallCaps/>
          <w:szCs w:val="20"/>
        </w:rPr>
        <w:instrText xml:space="preserve"> HYPERLINK \l _Toc27487 </w:instrText>
      </w:r>
      <w:r>
        <w:rPr>
          <w:caps w:val="0"/>
          <w:smallCaps/>
          <w:szCs w:val="20"/>
        </w:rPr>
        <w:fldChar w:fldCharType="separate"/>
      </w:r>
      <w:r>
        <w:rPr>
          <w:rFonts w:hint="eastAsia" w:ascii="黑体" w:eastAsia="黑体" w:cs="Times New Roman"/>
          <w:bCs w:val="0"/>
        </w:rPr>
        <w:t>十二、国有资本经营预算财政拨款支出决算表</w:t>
      </w:r>
      <w:r>
        <w:tab/>
      </w:r>
      <w:r>
        <w:rPr>
          <w:rFonts w:hint="eastAsia"/>
          <w:lang w:val="en-US" w:eastAsia="zh-CN"/>
        </w:rPr>
        <w:t>33</w:t>
      </w:r>
      <w:r>
        <w:rPr>
          <w:caps w:val="0"/>
          <w:smallCaps/>
          <w:szCs w:val="20"/>
        </w:rPr>
        <w:fldChar w:fldCharType="end"/>
      </w:r>
    </w:p>
    <w:p w14:paraId="2228B9F7">
      <w:pPr>
        <w:pStyle w:val="17"/>
        <w:tabs>
          <w:tab w:val="right" w:leader="dot" w:pos="8306"/>
          <w:tab w:val="clear" w:pos="8296"/>
        </w:tabs>
        <w:rPr>
          <w:rFonts w:hint="eastAsia" w:eastAsia="宋体"/>
          <w:lang w:val="en-US" w:eastAsia="zh-CN"/>
        </w:rPr>
      </w:pPr>
      <w:r>
        <w:rPr>
          <w:caps w:val="0"/>
          <w:smallCaps/>
          <w:szCs w:val="20"/>
        </w:rPr>
        <w:fldChar w:fldCharType="begin"/>
      </w:r>
      <w:r>
        <w:rPr>
          <w:caps w:val="0"/>
          <w:smallCaps/>
          <w:szCs w:val="20"/>
        </w:rPr>
        <w:instrText xml:space="preserve"> HYPERLINK \l _Toc2555 </w:instrText>
      </w:r>
      <w:r>
        <w:rPr>
          <w:caps w:val="0"/>
          <w:smallCaps/>
          <w:szCs w:val="20"/>
        </w:rPr>
        <w:fldChar w:fldCharType="separate"/>
      </w:r>
      <w:r>
        <w:rPr>
          <w:rFonts w:hint="eastAsia" w:ascii="黑体" w:eastAsia="黑体" w:cs="Times New Roman"/>
          <w:bCs w:val="0"/>
        </w:rPr>
        <w:t>十三、财政拨款“三公”经费支出决算表</w:t>
      </w:r>
      <w:r>
        <w:tab/>
      </w:r>
      <w:r>
        <w:rPr>
          <w:rFonts w:hint="eastAsia"/>
          <w:lang w:val="en-US" w:eastAsia="zh-CN"/>
        </w:rPr>
        <w:t>33</w:t>
      </w:r>
      <w:r>
        <w:rPr>
          <w:caps w:val="0"/>
          <w:smallCaps/>
          <w:szCs w:val="20"/>
        </w:rPr>
        <w:fldChar w:fldCharType="end"/>
      </w:r>
    </w:p>
    <w:p w14:paraId="439F3DBF">
      <w:pPr>
        <w:pStyle w:val="6"/>
        <w:rPr>
          <w:caps w:val="0"/>
          <w:smallCaps/>
          <w:szCs w:val="20"/>
        </w:rPr>
      </w:pPr>
      <w:r>
        <w:rPr>
          <w:caps w:val="0"/>
          <w:smallCaps/>
          <w:szCs w:val="20"/>
        </w:rPr>
        <w:fldChar w:fldCharType="end"/>
      </w:r>
    </w:p>
    <w:p w14:paraId="4322FCD7">
      <w:pPr>
        <w:pStyle w:val="6"/>
        <w:rPr>
          <w:caps w:val="0"/>
          <w:smallCaps/>
          <w:szCs w:val="20"/>
        </w:rPr>
      </w:pPr>
    </w:p>
    <w:p w14:paraId="7C0EE783">
      <w:pPr>
        <w:jc w:val="center"/>
        <w:rPr>
          <w:rFonts w:ascii="黑体" w:eastAsia="黑体" w:cs="黑体"/>
          <w:b w:val="0"/>
          <w:bCs w:val="0"/>
        </w:rPr>
      </w:pPr>
      <w:bookmarkStart w:id="7" w:name="_Toc12625"/>
      <w:bookmarkStart w:id="8" w:name="_Toc111208495"/>
      <w:r>
        <w:rPr>
          <w:rStyle w:val="26"/>
          <w:rFonts w:hint="eastAsia" w:ascii="黑体" w:hAnsi="Times New Roman" w:eastAsia="黑体" w:cs="黑体"/>
          <w:b/>
          <w:bCs w:val="0"/>
        </w:rPr>
        <w:t>第一部分 部门概况</w:t>
      </w:r>
      <w:bookmarkEnd w:id="6"/>
      <w:bookmarkEnd w:id="7"/>
      <w:bookmarkEnd w:id="8"/>
    </w:p>
    <w:p w14:paraId="544F9772">
      <w:pPr>
        <w:pStyle w:val="4"/>
        <w:keepNext/>
        <w:keepLines/>
        <w:pageBreakBefore w:val="0"/>
        <w:widowControl w:val="0"/>
        <w:kinsoku/>
        <w:wordWrap/>
        <w:overflowPunct/>
        <w:topLinePunct w:val="0"/>
        <w:autoSpaceDE/>
        <w:autoSpaceDN/>
        <w:bidi w:val="0"/>
        <w:adjustRightInd/>
        <w:snapToGrid/>
        <w:spacing w:before="0" w:after="0" w:line="576" w:lineRule="exact"/>
        <w:ind w:firstLine="643" w:firstLineChars="200"/>
        <w:textAlignment w:val="auto"/>
      </w:pPr>
      <w:bookmarkStart w:id="9" w:name="_Toc111208496"/>
      <w:bookmarkStart w:id="10" w:name="_Toc15377197"/>
      <w:bookmarkStart w:id="11" w:name="_Toc29532"/>
      <w:r>
        <w:rPr>
          <w:rFonts w:hint="eastAsia" w:ascii="黑体" w:eastAsia="黑体" w:cs="Times New Roman"/>
          <w:bCs w:val="0"/>
          <w:color w:val="000000"/>
        </w:rPr>
        <w:t>一、</w:t>
      </w:r>
      <w:bookmarkEnd w:id="9"/>
      <w:bookmarkEnd w:id="10"/>
      <w:bookmarkStart w:id="12" w:name="_Toc15378445"/>
      <w:bookmarkStart w:id="13" w:name="_Toc15377198"/>
      <w:r>
        <w:rPr>
          <w:rFonts w:hint="eastAsia" w:ascii="黑体" w:eastAsia="黑体" w:cs="Times New Roman"/>
          <w:bCs w:val="0"/>
          <w:color w:val="000000"/>
        </w:rPr>
        <w:t>部门职责</w:t>
      </w:r>
      <w:bookmarkEnd w:id="11"/>
    </w:p>
    <w:bookmarkEnd w:id="12"/>
    <w:bookmarkEnd w:id="13"/>
    <w:p w14:paraId="450CEC60">
      <w:pPr>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Times New Roman" w:eastAsia="仿宋_GB2312" w:cs="仿宋_GB2312"/>
          <w:sz w:val="32"/>
          <w:szCs w:val="32"/>
          <w:lang w:eastAsia="zh-CN"/>
        </w:rPr>
      </w:pPr>
      <w:bookmarkStart w:id="14" w:name="_Toc15377200"/>
      <w:bookmarkStart w:id="15" w:name="_Toc111208497"/>
      <w:r>
        <w:rPr>
          <w:rFonts w:hint="eastAsia" w:ascii="仿宋_GB2312" w:hAnsi="仿宋_GB2312" w:eastAsia="仿宋_GB2312" w:cs="仿宋_GB2312"/>
          <w:sz w:val="32"/>
          <w:szCs w:val="32"/>
          <w:lang w:val="en-US" w:eastAsia="zh-CN"/>
        </w:rPr>
        <w:t>1.</w:t>
      </w:r>
      <w:r>
        <w:rPr>
          <w:rFonts w:hint="eastAsia" w:ascii="仿宋_GB2312" w:eastAsia="仿宋_GB2312"/>
          <w:sz w:val="32"/>
          <w:szCs w:val="32"/>
          <w:shd w:val="clear" w:color="auto" w:fill="FFFFFF"/>
        </w:rPr>
        <w:t xml:space="preserve">制定并组织实施村镇建设规划，部署重点工程建设，地方道路建设及公共设施，水利设施的管理，负责土地、林木、水等自然资源和生态环境的保护，做好护林防火、安全生产工作。 </w:t>
      </w:r>
    </w:p>
    <w:p w14:paraId="6890F865">
      <w:pPr>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Times New Roman" w:eastAsia="仿宋_GB2312" w:cs="仿宋_GB2312"/>
          <w:sz w:val="32"/>
          <w:szCs w:val="32"/>
        </w:rPr>
      </w:pPr>
      <w:r>
        <w:rPr>
          <w:rFonts w:hint="eastAsia" w:ascii="仿宋_GB2312" w:hAnsi="Times New Roman" w:eastAsia="仿宋_GB2312" w:cs="仿宋_GB2312"/>
          <w:sz w:val="32"/>
          <w:szCs w:val="32"/>
        </w:rPr>
        <w:t>2.</w:t>
      </w:r>
      <w:r>
        <w:rPr>
          <w:rFonts w:hint="eastAsia" w:ascii="仿宋_GB2312" w:eastAsia="仿宋_GB2312"/>
          <w:sz w:val="32"/>
          <w:szCs w:val="32"/>
          <w:shd w:val="clear" w:color="auto" w:fill="FFFFFF"/>
        </w:rPr>
        <w:t>负责本行政区域内的民政、计划生育、文化教育、卫生、体育等社会公益事业的综合性工作，维护一切经济单位和个人的正当经济权益，取缔非法经济活动，调解和处理民事纠纷，打击刑事犯罪维护社会稳定。</w:t>
      </w:r>
    </w:p>
    <w:p w14:paraId="247F5944">
      <w:pPr>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Times New Roman" w:eastAsia="仿宋_GB2312" w:cs="仿宋_GB2312"/>
          <w:sz w:val="32"/>
          <w:szCs w:val="32"/>
        </w:rPr>
      </w:pPr>
      <w:r>
        <w:rPr>
          <w:rFonts w:hint="eastAsia" w:ascii="仿宋_GB2312" w:hAnsi="Times New Roman" w:eastAsia="仿宋_GB2312" w:cs="仿宋_GB2312"/>
          <w:sz w:val="32"/>
          <w:szCs w:val="32"/>
        </w:rPr>
        <w:t xml:space="preserve">3. </w:t>
      </w:r>
      <w:r>
        <w:rPr>
          <w:rFonts w:hint="eastAsia" w:ascii="仿宋_GB2312" w:eastAsia="仿宋_GB2312"/>
          <w:sz w:val="32"/>
          <w:szCs w:val="32"/>
          <w:shd w:val="clear" w:color="auto" w:fill="FFFFFF"/>
        </w:rPr>
        <w:t xml:space="preserve">优化公共服务。推进服务型政府建设，组织实施并优化教育、卫生健康、文化、民政、社会保障、退役军人事务等各项公共服务。 </w:t>
      </w:r>
      <w:r>
        <w:rPr>
          <w:rFonts w:hint="eastAsia" w:ascii="仿宋_GB2312" w:hAnsi="Times New Roman" w:eastAsia="仿宋_GB2312" w:cs="仿宋_GB2312"/>
          <w:sz w:val="32"/>
          <w:szCs w:val="32"/>
        </w:rPr>
        <w:t xml:space="preserve"> </w:t>
      </w:r>
    </w:p>
    <w:p w14:paraId="6BB25623">
      <w:pPr>
        <w:adjustRightInd w:val="0"/>
        <w:snapToGrid w:val="0"/>
        <w:spacing w:after="100" w:line="576" w:lineRule="exact"/>
        <w:ind w:firstLine="640" w:firstLineChars="200"/>
        <w:rPr>
          <w:rFonts w:hint="eastAsia" w:ascii="仿宋_GB2312" w:hAnsi="Times New Roman" w:eastAsia="仿宋_GB2312" w:cs="仿宋_GB2312"/>
          <w:sz w:val="32"/>
          <w:szCs w:val="32"/>
        </w:rPr>
      </w:pPr>
      <w:r>
        <w:rPr>
          <w:rFonts w:hint="eastAsia" w:ascii="仿宋_GB2312" w:hAnsi="Times New Roman" w:eastAsia="仿宋_GB2312" w:cs="仿宋_GB2312"/>
          <w:sz w:val="32"/>
          <w:szCs w:val="32"/>
        </w:rPr>
        <w:t>4.</w:t>
      </w:r>
      <w:r>
        <w:rPr>
          <w:rFonts w:hint="eastAsia" w:ascii="仿宋_GB2312" w:eastAsia="仿宋_GB2312"/>
          <w:sz w:val="32"/>
          <w:szCs w:val="32"/>
          <w:shd w:val="clear" w:color="auto" w:fill="FFFFFF"/>
        </w:rPr>
        <w:t xml:space="preserve">抓好精神文明建设，丰富群众文化生活，提倡移风易俗，反对封建迷信，破除陈规陋习，树立社会主义新风尚。 </w:t>
      </w:r>
      <w:r>
        <w:rPr>
          <w:rFonts w:hint="eastAsia" w:ascii="仿宋_GB2312" w:hAnsi="Times New Roman" w:eastAsia="仿宋_GB2312" w:cs="仿宋_GB2312"/>
          <w:sz w:val="32"/>
          <w:szCs w:val="32"/>
        </w:rPr>
        <w:t xml:space="preserve"> </w:t>
      </w:r>
    </w:p>
    <w:p w14:paraId="5A26961B">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rPr>
      </w:pPr>
      <w:r>
        <w:rPr>
          <w:rFonts w:hint="eastAsia" w:ascii="仿宋_GB2312" w:hAnsi="Times New Roman" w:eastAsia="仿宋_GB2312" w:cs="仿宋_GB2312"/>
          <w:sz w:val="32"/>
          <w:szCs w:val="32"/>
        </w:rPr>
        <w:t>5.完成上级政府交办的其它事项。</w:t>
      </w:r>
    </w:p>
    <w:p w14:paraId="79F29415">
      <w:pPr>
        <w:pStyle w:val="4"/>
        <w:keepNext/>
        <w:keepLines/>
        <w:pageBreakBefore w:val="0"/>
        <w:widowControl w:val="0"/>
        <w:kinsoku/>
        <w:wordWrap/>
        <w:overflowPunct/>
        <w:topLinePunct w:val="0"/>
        <w:autoSpaceDE/>
        <w:autoSpaceDN/>
        <w:bidi w:val="0"/>
        <w:adjustRightInd/>
        <w:snapToGrid/>
        <w:spacing w:before="0" w:after="0" w:line="576" w:lineRule="exact"/>
        <w:ind w:firstLine="643" w:firstLineChars="200"/>
        <w:textAlignment w:val="auto"/>
        <w:rPr>
          <w:rFonts w:hint="eastAsia" w:ascii="黑体" w:eastAsia="黑体" w:cs="Times New Roman"/>
          <w:bCs w:val="0"/>
          <w:color w:val="000000"/>
        </w:rPr>
      </w:pPr>
      <w:bookmarkStart w:id="16" w:name="_Toc11616"/>
      <w:r>
        <w:rPr>
          <w:rFonts w:hint="eastAsia" w:ascii="黑体" w:eastAsia="黑体" w:cs="Times New Roman"/>
          <w:bCs w:val="0"/>
          <w:color w:val="000000"/>
        </w:rPr>
        <w:t>二、机构设置</w:t>
      </w:r>
      <w:bookmarkEnd w:id="14"/>
      <w:bookmarkEnd w:id="15"/>
      <w:bookmarkEnd w:id="16"/>
    </w:p>
    <w:p w14:paraId="176BCFB2">
      <w:pPr>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仿宋_GB2312" w:cs="仿宋_GB2312"/>
          <w:color w:val="auto"/>
          <w:sz w:val="32"/>
          <w:szCs w:val="32"/>
          <w:highlight w:val="none"/>
        </w:rPr>
      </w:pPr>
      <w:bookmarkStart w:id="17" w:name="_Toc15377204"/>
      <w:r>
        <w:rPr>
          <w:rFonts w:hint="eastAsia" w:ascii="仿宋_GB2312" w:hAnsi="Times New Roman" w:eastAsia="仿宋_GB2312" w:cs="仿宋_GB2312"/>
          <w:sz w:val="32"/>
          <w:szCs w:val="32"/>
        </w:rPr>
        <w:t>茂县</w:t>
      </w:r>
      <w:r>
        <w:rPr>
          <w:rFonts w:hint="eastAsia" w:ascii="仿宋_GB2312" w:hAnsi="Times New Roman" w:eastAsia="仿宋_GB2312" w:cs="仿宋_GB2312"/>
          <w:sz w:val="32"/>
          <w:szCs w:val="32"/>
          <w:lang w:eastAsia="zh-CN"/>
        </w:rPr>
        <w:t>黑虎镇人民政府</w:t>
      </w:r>
      <w:r>
        <w:rPr>
          <w:rFonts w:hint="eastAsia" w:ascii="仿宋_GB2312" w:hAnsi="Times New Roman" w:eastAsia="仿宋_GB2312" w:cs="仿宋_GB2312"/>
          <w:sz w:val="32"/>
          <w:szCs w:val="32"/>
        </w:rPr>
        <w:t>下属二级</w:t>
      </w:r>
      <w:r>
        <w:rPr>
          <w:rFonts w:hint="eastAsia" w:ascii="仿宋_GB2312" w:eastAsia="仿宋_GB2312" w:cs="仿宋_GB2312"/>
          <w:sz w:val="32"/>
          <w:szCs w:val="32"/>
          <w:lang w:val="en-US" w:eastAsia="zh-CN"/>
        </w:rPr>
        <w:t>预算</w:t>
      </w:r>
      <w:r>
        <w:rPr>
          <w:rFonts w:hint="eastAsia" w:ascii="仿宋_GB2312" w:hAnsi="Times New Roman" w:eastAsia="仿宋_GB2312" w:cs="仿宋_GB2312"/>
          <w:sz w:val="32"/>
          <w:szCs w:val="32"/>
        </w:rPr>
        <w:t>单位</w:t>
      </w:r>
      <w:r>
        <w:rPr>
          <w:rFonts w:hint="eastAsia" w:ascii="仿宋_GB2312" w:eastAsia="仿宋_GB2312" w:cs="仿宋_GB2312"/>
          <w:sz w:val="32"/>
          <w:szCs w:val="32"/>
          <w:lang w:val="en-US" w:eastAsia="zh-CN"/>
        </w:rPr>
        <w:t>2</w:t>
      </w:r>
      <w:r>
        <w:rPr>
          <w:rFonts w:hint="eastAsia" w:ascii="仿宋_GB2312" w:hAnsi="Times New Roman" w:eastAsia="仿宋_GB2312" w:cs="仿宋_GB2312"/>
          <w:sz w:val="32"/>
          <w:szCs w:val="32"/>
        </w:rPr>
        <w:t>个</w:t>
      </w:r>
      <w:r>
        <w:rPr>
          <w:rFonts w:hint="eastAsia" w:ascii="Times New Roman" w:hAnsi="Times New Roman" w:eastAsia="仿宋_GB2312" w:cs="仿宋_GB2312"/>
          <w:color w:val="auto"/>
          <w:sz w:val="32"/>
          <w:szCs w:val="32"/>
          <w:highlight w:val="none"/>
        </w:rPr>
        <w:t>，其中行政单位</w:t>
      </w:r>
      <w:r>
        <w:rPr>
          <w:rFonts w:hint="eastAsia"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t>个，</w:t>
      </w:r>
      <w:r>
        <w:rPr>
          <w:rFonts w:hint="eastAsia" w:eastAsia="仿宋_GB2312" w:cs="仿宋_GB2312"/>
          <w:color w:val="auto"/>
          <w:sz w:val="32"/>
          <w:szCs w:val="32"/>
          <w:highlight w:val="none"/>
          <w:lang w:val="en-US" w:eastAsia="zh-CN"/>
        </w:rPr>
        <w:t>参照公务员法管理的事业单位0个，</w:t>
      </w:r>
      <w:r>
        <w:rPr>
          <w:rFonts w:hint="eastAsia" w:ascii="Times New Roman" w:hAnsi="Times New Roman" w:eastAsia="仿宋_GB2312" w:cs="仿宋_GB2312"/>
          <w:color w:val="auto"/>
          <w:sz w:val="32"/>
          <w:szCs w:val="32"/>
          <w:highlight w:val="none"/>
        </w:rPr>
        <w:t>其他事业单位</w:t>
      </w:r>
      <w:r>
        <w:rPr>
          <w:rFonts w:hint="eastAsia" w:eastAsia="仿宋_GB2312" w:cs="仿宋_GB2312"/>
          <w:color w:val="auto"/>
          <w:sz w:val="32"/>
          <w:szCs w:val="32"/>
          <w:highlight w:val="none"/>
          <w:lang w:val="en-US" w:eastAsia="zh-CN"/>
        </w:rPr>
        <w:t>1</w:t>
      </w:r>
      <w:r>
        <w:rPr>
          <w:rFonts w:hint="eastAsia" w:ascii="Times New Roman" w:hAnsi="Times New Roman" w:eastAsia="仿宋_GB2312" w:cs="仿宋_GB2312"/>
          <w:color w:val="auto"/>
          <w:sz w:val="32"/>
          <w:szCs w:val="32"/>
          <w:highlight w:val="none"/>
        </w:rPr>
        <w:t>个。</w:t>
      </w:r>
    </w:p>
    <w:p w14:paraId="0C0E01CA">
      <w:pPr>
        <w:pStyle w:val="16"/>
        <w:ind w:left="0" w:leftChars="0" w:firstLine="640" w:firstLineChars="200"/>
        <w:rPr>
          <w:rFonts w:hint="eastAsia" w:ascii="仿宋_GB2312" w:eastAsia="仿宋_GB2312" w:cs="仿宋_GB2312"/>
          <w:sz w:val="32"/>
          <w:szCs w:val="32"/>
          <w:lang w:val="en-US" w:eastAsia="zh-CN"/>
        </w:rPr>
      </w:pPr>
      <w:r>
        <w:rPr>
          <w:rFonts w:hint="eastAsia" w:ascii="仿宋_GB2312" w:eastAsia="仿宋_GB2312" w:cs="仿宋_GB2312"/>
          <w:sz w:val="32"/>
          <w:szCs w:val="32"/>
          <w:lang w:val="en-US" w:eastAsia="zh-CN"/>
        </w:rPr>
        <w:t>纳入黑虎镇人民政府2025年度部门决算编制范围的二级预算单位包括：</w:t>
      </w:r>
    </w:p>
    <w:p w14:paraId="7B51F54E">
      <w:pPr>
        <w:rPr>
          <w:rFonts w:hint="default"/>
          <w:lang w:val="en-US" w:eastAsia="zh-CN"/>
        </w:rPr>
      </w:pPr>
      <w:r>
        <w:rPr>
          <w:rFonts w:hint="eastAsia" w:ascii="仿宋_GB2312" w:eastAsia="仿宋_GB2312" w:cs="仿宋_GB2312"/>
          <w:sz w:val="32"/>
          <w:szCs w:val="32"/>
          <w:lang w:val="en-US" w:eastAsia="zh-CN"/>
        </w:rPr>
        <w:t xml:space="preserve">    1.茂县黑虎镇人民政府（行政）</w:t>
      </w:r>
    </w:p>
    <w:p w14:paraId="40466DD2">
      <w:pPr>
        <w:pStyle w:val="16"/>
        <w:numPr>
          <w:ilvl w:val="0"/>
          <w:numId w:val="0"/>
        </w:numPr>
        <w:ind w:firstLine="640" w:firstLineChars="200"/>
        <w:rPr>
          <w:rFonts w:hint="default"/>
          <w:lang w:val="en-US" w:eastAsia="zh-CN"/>
        </w:rPr>
      </w:pPr>
      <w:r>
        <w:rPr>
          <w:rFonts w:hint="eastAsia" w:ascii="仿宋_GB2312" w:eastAsia="仿宋_GB2312" w:cs="仿宋_GB2312"/>
          <w:sz w:val="32"/>
          <w:szCs w:val="32"/>
          <w:lang w:val="en-US" w:eastAsia="zh-CN"/>
        </w:rPr>
        <w:t>2.茂县黑虎镇便民服务中心（事业）</w:t>
      </w:r>
    </w:p>
    <w:p w14:paraId="21424610">
      <w:pPr>
        <w:pStyle w:val="3"/>
        <w:keepNext/>
        <w:keepLines/>
        <w:pageBreakBefore w:val="0"/>
        <w:widowControl w:val="0"/>
        <w:numPr>
          <w:ilvl w:val="0"/>
          <w:numId w:val="1"/>
        </w:numPr>
        <w:kinsoku/>
        <w:wordWrap/>
        <w:overflowPunct/>
        <w:topLinePunct w:val="0"/>
        <w:autoSpaceDE/>
        <w:autoSpaceDN/>
        <w:bidi w:val="0"/>
        <w:adjustRightInd/>
        <w:snapToGrid/>
        <w:spacing w:before="0" w:after="0" w:line="576" w:lineRule="exact"/>
        <w:ind w:firstLine="442" w:firstLineChars="100"/>
        <w:jc w:val="center"/>
        <w:textAlignment w:val="auto"/>
        <w:rPr>
          <w:rFonts w:hint="eastAsia" w:ascii="黑体" w:eastAsia="黑体" w:cs="Times New Roman"/>
          <w:bCs w:val="0"/>
          <w:color w:val="000000"/>
          <w:highlight w:val="none"/>
        </w:rPr>
      </w:pPr>
      <w:bookmarkStart w:id="18" w:name="_Toc111208498"/>
      <w:bookmarkStart w:id="19" w:name="_Toc28568"/>
      <w:r>
        <w:rPr>
          <w:rFonts w:hint="eastAsia" w:ascii="黑体" w:eastAsia="黑体" w:cs="黑体"/>
          <w:highlight w:val="none"/>
          <w:lang w:eastAsia="zh-CN"/>
        </w:rPr>
        <w:t>202</w:t>
      </w:r>
      <w:r>
        <w:rPr>
          <w:rFonts w:hint="eastAsia" w:ascii="黑体" w:eastAsia="黑体" w:cs="黑体"/>
          <w:highlight w:val="none"/>
          <w:lang w:val="en-US" w:eastAsia="zh-CN"/>
        </w:rPr>
        <w:t>5</w:t>
      </w:r>
      <w:r>
        <w:rPr>
          <w:rFonts w:ascii="黑体" w:eastAsia="黑体" w:cs="黑体"/>
          <w:highlight w:val="none"/>
          <w:u w:color="auto"/>
        </w:rPr>
        <w:t>年度部门决算情况说明</w:t>
      </w:r>
      <w:bookmarkEnd w:id="17"/>
      <w:bookmarkEnd w:id="18"/>
      <w:bookmarkEnd w:id="19"/>
      <w:bookmarkStart w:id="20" w:name="_Toc15377205"/>
      <w:bookmarkStart w:id="21" w:name="_Toc111208499"/>
      <w:bookmarkStart w:id="22" w:name="_Toc17942"/>
    </w:p>
    <w:p w14:paraId="0E4B29C6">
      <w:pPr>
        <w:pStyle w:val="4"/>
        <w:keepNext/>
        <w:keepLines/>
        <w:pageBreakBefore w:val="0"/>
        <w:widowControl w:val="0"/>
        <w:kinsoku/>
        <w:wordWrap/>
        <w:overflowPunct/>
        <w:topLinePunct w:val="0"/>
        <w:autoSpaceDE/>
        <w:autoSpaceDN/>
        <w:bidi w:val="0"/>
        <w:adjustRightInd/>
        <w:snapToGrid/>
        <w:spacing w:before="0" w:after="0" w:line="576" w:lineRule="exact"/>
        <w:ind w:firstLine="643" w:firstLineChars="200"/>
        <w:textAlignment w:val="auto"/>
        <w:rPr>
          <w:rFonts w:hint="eastAsia" w:ascii="黑体" w:eastAsia="黑体" w:cs="Times New Roman"/>
          <w:bCs w:val="0"/>
          <w:color w:val="000000"/>
        </w:rPr>
      </w:pPr>
      <w:r>
        <w:rPr>
          <w:rFonts w:hint="eastAsia" w:ascii="黑体" w:eastAsia="黑体" w:cs="Times New Roman"/>
          <w:bCs w:val="0"/>
          <w:color w:val="000000"/>
        </w:rPr>
        <w:t>一、收入支出决算总体情况说</w:t>
      </w:r>
      <w:bookmarkEnd w:id="20"/>
      <w:r>
        <w:rPr>
          <w:rFonts w:hint="eastAsia" w:ascii="黑体" w:eastAsia="黑体" w:cs="Times New Roman"/>
          <w:bCs w:val="0"/>
          <w:color w:val="000000"/>
        </w:rPr>
        <w:t>明</w:t>
      </w:r>
      <w:bookmarkEnd w:id="21"/>
      <w:bookmarkEnd w:id="22"/>
    </w:p>
    <w:p w14:paraId="75311F7B">
      <w:pPr>
        <w:pStyle w:val="3"/>
        <w:keepNext/>
        <w:keepLines/>
        <w:pageBreakBefore w:val="0"/>
        <w:widowControl w:val="0"/>
        <w:kinsoku/>
        <w:wordWrap/>
        <w:overflowPunct/>
        <w:topLinePunct w:val="0"/>
        <w:autoSpaceDE/>
        <w:autoSpaceDN/>
        <w:bidi w:val="0"/>
        <w:adjustRightInd/>
        <w:snapToGrid/>
        <w:spacing w:before="0" w:after="0" w:afterAutospacing="0" w:line="576" w:lineRule="exact"/>
        <w:ind w:firstLine="640" w:firstLineChars="200"/>
        <w:jc w:val="both"/>
        <w:textAlignment w:val="auto"/>
        <w:rPr>
          <w:rFonts w:hint="eastAsia" w:ascii="仿宋_GB2312" w:hAnsi="Times New Roman" w:eastAsia="仿宋_GB2312" w:cs="仿宋_GB2312"/>
          <w:sz w:val="32"/>
          <w:szCs w:val="32"/>
          <w:lang w:val="en-US" w:eastAsia="zh-CN"/>
        </w:rPr>
      </w:pPr>
      <w:r>
        <w:rPr>
          <w:rFonts w:hint="eastAsia" w:ascii="仿宋_GB2312" w:hAnsi="Times New Roman" w:eastAsia="仿宋_GB2312" w:cs="仿宋_GB2312"/>
          <w:b w:val="0"/>
          <w:bCs w:val="0"/>
          <w:sz w:val="32"/>
          <w:szCs w:val="32"/>
          <w:lang w:val="en-US" w:eastAsia="zh-CN"/>
        </w:rPr>
        <w:t>202</w:t>
      </w:r>
      <w:r>
        <w:rPr>
          <w:rFonts w:hint="eastAsia" w:ascii="仿宋_GB2312" w:eastAsia="仿宋_GB2312" w:cs="仿宋_GB2312"/>
          <w:b w:val="0"/>
          <w:bCs w:val="0"/>
          <w:sz w:val="32"/>
          <w:szCs w:val="32"/>
          <w:lang w:val="en-US" w:eastAsia="zh-CN"/>
        </w:rPr>
        <w:t>5</w:t>
      </w:r>
      <w:r>
        <w:rPr>
          <w:rFonts w:hint="eastAsia" w:ascii="仿宋_GB2312" w:hAnsi="Times New Roman" w:eastAsia="仿宋_GB2312" w:cs="仿宋_GB2312"/>
          <w:b w:val="0"/>
          <w:bCs w:val="0"/>
          <w:sz w:val="32"/>
          <w:szCs w:val="32"/>
          <w:lang w:val="en-US" w:eastAsia="zh-CN"/>
        </w:rPr>
        <w:t>年度收</w:t>
      </w:r>
      <w:r>
        <w:rPr>
          <w:rFonts w:hint="eastAsia" w:ascii="仿宋_GB2312" w:eastAsia="仿宋_GB2312" w:cs="仿宋_GB2312"/>
          <w:b w:val="0"/>
          <w:bCs w:val="0"/>
          <w:sz w:val="32"/>
          <w:szCs w:val="32"/>
          <w:lang w:val="en-US" w:eastAsia="zh-CN"/>
        </w:rPr>
        <w:t>入</w:t>
      </w:r>
      <w:r>
        <w:rPr>
          <w:rFonts w:hint="eastAsia" w:ascii="仿宋_GB2312" w:hAnsi="Times New Roman" w:eastAsia="仿宋_GB2312" w:cs="仿宋_GB2312"/>
          <w:b w:val="0"/>
          <w:bCs w:val="0"/>
          <w:sz w:val="32"/>
          <w:szCs w:val="32"/>
          <w:lang w:val="en-US" w:eastAsia="zh-CN"/>
        </w:rPr>
        <w:t>、支</w:t>
      </w:r>
      <w:r>
        <w:rPr>
          <w:rFonts w:hint="eastAsia" w:ascii="仿宋_GB2312" w:eastAsia="仿宋_GB2312" w:cs="仿宋_GB2312"/>
          <w:b w:val="0"/>
          <w:bCs w:val="0"/>
          <w:sz w:val="32"/>
          <w:szCs w:val="32"/>
          <w:lang w:val="en-US" w:eastAsia="zh-CN"/>
        </w:rPr>
        <w:t>出</w:t>
      </w:r>
      <w:r>
        <w:rPr>
          <w:rFonts w:hint="eastAsia" w:ascii="仿宋_GB2312" w:hAnsi="Times New Roman" w:eastAsia="仿宋_GB2312" w:cs="仿宋_GB2312"/>
          <w:b w:val="0"/>
          <w:bCs w:val="0"/>
          <w:sz w:val="32"/>
          <w:szCs w:val="32"/>
          <w:lang w:val="en-US" w:eastAsia="zh-CN"/>
        </w:rPr>
        <w:t>总计</w:t>
      </w:r>
      <w:r>
        <w:rPr>
          <w:rFonts w:hint="eastAsia" w:ascii="仿宋_GB2312" w:eastAsia="仿宋_GB2312" w:cs="仿宋_GB2312"/>
          <w:b w:val="0"/>
          <w:bCs w:val="0"/>
          <w:sz w:val="32"/>
          <w:szCs w:val="32"/>
          <w:lang w:val="en-US" w:eastAsia="zh-CN"/>
        </w:rPr>
        <w:t>均为1119.64</w:t>
      </w:r>
      <w:r>
        <w:rPr>
          <w:rFonts w:hint="eastAsia" w:ascii="仿宋_GB2312" w:hAnsi="Times New Roman" w:eastAsia="仿宋_GB2312" w:cs="仿宋_GB2312"/>
          <w:b w:val="0"/>
          <w:bCs w:val="0"/>
          <w:sz w:val="32"/>
          <w:szCs w:val="32"/>
          <w:lang w:val="en-US" w:eastAsia="zh-CN"/>
        </w:rPr>
        <w:t>万元。与</w:t>
      </w:r>
      <w:r>
        <w:rPr>
          <w:rFonts w:hint="eastAsia" w:ascii="仿宋_GB2312" w:eastAsia="仿宋_GB2312" w:cs="仿宋_GB2312"/>
          <w:b w:val="0"/>
          <w:bCs w:val="0"/>
          <w:sz w:val="32"/>
          <w:szCs w:val="32"/>
          <w:lang w:val="en-US" w:eastAsia="zh-CN"/>
        </w:rPr>
        <w:t>上年度</w:t>
      </w:r>
      <w:r>
        <w:rPr>
          <w:rFonts w:hint="eastAsia" w:ascii="仿宋_GB2312" w:hAnsi="Times New Roman" w:eastAsia="仿宋_GB2312" w:cs="仿宋_GB2312"/>
          <w:b w:val="0"/>
          <w:bCs w:val="0"/>
          <w:sz w:val="32"/>
          <w:szCs w:val="32"/>
          <w:lang w:val="en-US" w:eastAsia="zh-CN"/>
        </w:rPr>
        <w:t>年相比，收</w:t>
      </w:r>
      <w:r>
        <w:rPr>
          <w:rFonts w:hint="eastAsia" w:ascii="仿宋_GB2312" w:eastAsia="仿宋_GB2312" w:cs="仿宋_GB2312"/>
          <w:b w:val="0"/>
          <w:bCs w:val="0"/>
          <w:sz w:val="32"/>
          <w:szCs w:val="32"/>
          <w:lang w:val="en-US" w:eastAsia="zh-CN"/>
        </w:rPr>
        <w:t>入</w:t>
      </w:r>
      <w:r>
        <w:rPr>
          <w:rFonts w:hint="eastAsia" w:ascii="仿宋_GB2312" w:hAnsi="Times New Roman" w:eastAsia="仿宋_GB2312" w:cs="仿宋_GB2312"/>
          <w:b w:val="0"/>
          <w:bCs w:val="0"/>
          <w:sz w:val="32"/>
          <w:szCs w:val="32"/>
          <w:lang w:val="en-US" w:eastAsia="zh-CN"/>
        </w:rPr>
        <w:t>、支</w:t>
      </w:r>
      <w:r>
        <w:rPr>
          <w:rFonts w:hint="eastAsia" w:ascii="仿宋_GB2312" w:eastAsia="仿宋_GB2312" w:cs="仿宋_GB2312"/>
          <w:b w:val="0"/>
          <w:bCs w:val="0"/>
          <w:sz w:val="32"/>
          <w:szCs w:val="32"/>
          <w:lang w:val="en-US" w:eastAsia="zh-CN"/>
        </w:rPr>
        <w:t>出</w:t>
      </w:r>
      <w:r>
        <w:rPr>
          <w:rFonts w:hint="eastAsia" w:ascii="仿宋_GB2312" w:hAnsi="Times New Roman" w:eastAsia="仿宋_GB2312" w:cs="仿宋_GB2312"/>
          <w:b w:val="0"/>
          <w:bCs w:val="0"/>
          <w:sz w:val="32"/>
          <w:szCs w:val="32"/>
          <w:lang w:val="en-US" w:eastAsia="zh-CN"/>
        </w:rPr>
        <w:t>总计各</w:t>
      </w:r>
      <w:r>
        <w:rPr>
          <w:rFonts w:hint="eastAsia" w:ascii="仿宋_GB2312" w:eastAsia="仿宋_GB2312" w:cs="仿宋_GB2312"/>
          <w:b w:val="0"/>
          <w:bCs w:val="0"/>
          <w:sz w:val="32"/>
          <w:szCs w:val="32"/>
          <w:lang w:val="en-US" w:eastAsia="zh-CN"/>
        </w:rPr>
        <w:t>减少158.79</w:t>
      </w:r>
      <w:r>
        <w:rPr>
          <w:rFonts w:hint="eastAsia" w:ascii="仿宋_GB2312" w:hAnsi="Times New Roman" w:eastAsia="仿宋_GB2312" w:cs="仿宋_GB2312"/>
          <w:b w:val="0"/>
          <w:bCs w:val="0"/>
          <w:sz w:val="32"/>
          <w:szCs w:val="32"/>
          <w:lang w:val="en-US" w:eastAsia="zh-CN"/>
        </w:rPr>
        <w:t>万元，</w:t>
      </w:r>
      <w:r>
        <w:rPr>
          <w:rFonts w:hint="eastAsia" w:ascii="仿宋_GB2312" w:eastAsia="仿宋_GB2312" w:cs="仿宋_GB2312"/>
          <w:b w:val="0"/>
          <w:bCs w:val="0"/>
          <w:sz w:val="32"/>
          <w:szCs w:val="32"/>
          <w:lang w:val="en-US" w:eastAsia="zh-CN"/>
        </w:rPr>
        <w:t>下降</w:t>
      </w:r>
      <w:r>
        <w:rPr>
          <w:rFonts w:hint="eastAsia" w:ascii="仿宋_GB2312" w:hAnsi="Times New Roman" w:eastAsia="仿宋_GB2312" w:cs="仿宋_GB2312"/>
          <w:b w:val="0"/>
          <w:bCs w:val="0"/>
          <w:sz w:val="32"/>
          <w:szCs w:val="32"/>
          <w:lang w:val="en-US" w:eastAsia="zh-CN"/>
        </w:rPr>
        <w:t>12.4</w:t>
      </w:r>
      <w:r>
        <w:rPr>
          <w:rFonts w:hint="eastAsia" w:ascii="仿宋_GB2312" w:eastAsia="仿宋_GB2312" w:cs="仿宋_GB2312"/>
          <w:b w:val="0"/>
          <w:bCs w:val="0"/>
          <w:sz w:val="32"/>
          <w:szCs w:val="32"/>
          <w:lang w:val="en-US" w:eastAsia="zh-CN"/>
        </w:rPr>
        <w:t>2</w:t>
      </w:r>
      <w:r>
        <w:rPr>
          <w:rFonts w:hint="eastAsia" w:ascii="仿宋_GB2312" w:hAnsi="Times New Roman" w:eastAsia="仿宋_GB2312" w:cs="仿宋_GB2312"/>
          <w:b w:val="0"/>
          <w:bCs w:val="0"/>
          <w:sz w:val="32"/>
          <w:szCs w:val="32"/>
          <w:lang w:val="en-US" w:eastAsia="zh-CN"/>
        </w:rPr>
        <w:t>%。主要变动原因是：</w:t>
      </w:r>
      <w:r>
        <w:rPr>
          <w:rFonts w:hint="eastAsia" w:ascii="仿宋_GB2312" w:eastAsia="仿宋_GB2312" w:cs="仿宋_GB2312"/>
          <w:b w:val="0"/>
          <w:bCs w:val="0"/>
          <w:sz w:val="32"/>
          <w:szCs w:val="32"/>
          <w:lang w:val="en-US" w:eastAsia="zh-CN"/>
        </w:rPr>
        <w:t>保险变动、项目减少</w:t>
      </w:r>
      <w:r>
        <w:rPr>
          <w:rFonts w:hint="eastAsia" w:ascii="仿宋_GB2312" w:hAnsi="Times New Roman" w:eastAsia="仿宋_GB2312" w:cs="仿宋_GB2312"/>
          <w:b w:val="0"/>
          <w:bCs w:val="0"/>
          <w:sz w:val="32"/>
          <w:szCs w:val="32"/>
          <w:lang w:val="en-US" w:eastAsia="zh-CN"/>
        </w:rPr>
        <w:t>。</w:t>
      </w:r>
    </w:p>
    <w:p w14:paraId="169C0C15">
      <w:pPr>
        <w:pStyle w:val="6"/>
        <w:rPr>
          <w:highlight w:val="yellow"/>
        </w:rPr>
      </w:pPr>
      <w:r>
        <w:rPr>
          <w:rFonts w:hint="eastAsia" w:eastAsia="仿宋"/>
          <w:highlight w:val="none"/>
          <w:lang w:eastAsia="zh-CN"/>
        </w:rPr>
        <w:drawing>
          <wp:inline distT="0" distB="0" distL="114300" distR="114300">
            <wp:extent cx="5256530" cy="2988310"/>
            <wp:effectExtent l="5080" t="4445" r="15240" b="17145"/>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6B31E8E3">
      <w:pPr>
        <w:pStyle w:val="4"/>
        <w:keepNext/>
        <w:keepLines/>
        <w:pageBreakBefore w:val="0"/>
        <w:widowControl w:val="0"/>
        <w:kinsoku/>
        <w:wordWrap/>
        <w:overflowPunct/>
        <w:topLinePunct w:val="0"/>
        <w:autoSpaceDE/>
        <w:autoSpaceDN/>
        <w:bidi w:val="0"/>
        <w:adjustRightInd/>
        <w:snapToGrid/>
        <w:spacing w:after="0" w:afterAutospacing="0" w:line="300" w:lineRule="exact"/>
        <w:ind w:firstLine="643" w:firstLineChars="200"/>
        <w:textAlignment w:val="auto"/>
        <w:rPr>
          <w:rFonts w:ascii="黑体" w:eastAsia="黑体" w:cs="Times New Roman"/>
          <w:bCs w:val="0"/>
          <w:color w:val="000000"/>
          <w:highlight w:val="none"/>
        </w:rPr>
      </w:pPr>
      <w:bookmarkStart w:id="23" w:name="_Toc111208500"/>
      <w:bookmarkStart w:id="24" w:name="_Toc15377206"/>
      <w:bookmarkStart w:id="25" w:name="_Toc24918"/>
      <w:r>
        <w:rPr>
          <w:rFonts w:hint="eastAsia" w:ascii="黑体" w:eastAsia="黑体" w:cs="Times New Roman"/>
          <w:bCs w:val="0"/>
          <w:color w:val="000000"/>
          <w:highlight w:val="none"/>
        </w:rPr>
        <w:t>二、收入决算情况说明</w:t>
      </w:r>
      <w:bookmarkEnd w:id="23"/>
      <w:bookmarkEnd w:id="24"/>
      <w:bookmarkEnd w:id="25"/>
    </w:p>
    <w:p w14:paraId="487E5A49">
      <w:pPr>
        <w:spacing w:beforeAutospacing="0" w:line="600" w:lineRule="exact"/>
        <w:ind w:firstLine="640" w:firstLineChars="200"/>
        <w:rPr>
          <w:rFonts w:hint="default" w:ascii="仿宋" w:eastAsia="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eastAsia="zh-CN"/>
        </w:rPr>
        <w:t>202</w:t>
      </w:r>
      <w:r>
        <w:rPr>
          <w:rFonts w:hint="eastAsia" w:ascii="仿宋_GB2312" w:hAnsi="仿宋_GB2312" w:eastAsia="仿宋_GB2312" w:cs="仿宋_GB2312"/>
          <w:color w:val="000000"/>
          <w:sz w:val="32"/>
          <w:szCs w:val="32"/>
          <w:highlight w:val="none"/>
          <w:lang w:val="en-US" w:eastAsia="zh-CN"/>
        </w:rPr>
        <w:t>5</w:t>
      </w:r>
      <w:r>
        <w:rPr>
          <w:rFonts w:hint="eastAsia" w:ascii="仿宋_GB2312" w:hAnsi="仿宋_GB2312" w:eastAsia="仿宋_GB2312" w:cs="仿宋_GB2312"/>
          <w:color w:val="000000"/>
          <w:sz w:val="32"/>
          <w:highlight w:val="none"/>
          <w:u w:color="auto"/>
        </w:rPr>
        <w:t>年收入合计</w:t>
      </w:r>
      <w:r>
        <w:rPr>
          <w:rFonts w:hint="eastAsia" w:ascii="仿宋_GB2312" w:hAnsi="仿宋_GB2312" w:eastAsia="仿宋_GB2312" w:cs="仿宋_GB2312"/>
          <w:color w:val="000000"/>
          <w:sz w:val="32"/>
          <w:highlight w:val="none"/>
          <w:u w:color="auto"/>
          <w:lang w:val="en-US" w:eastAsia="zh-CN"/>
        </w:rPr>
        <w:t>1119.64</w:t>
      </w:r>
      <w:r>
        <w:rPr>
          <w:rFonts w:hint="eastAsia" w:ascii="仿宋_GB2312" w:hAnsi="仿宋_GB2312" w:eastAsia="仿宋_GB2312" w:cs="仿宋_GB2312"/>
          <w:color w:val="000000"/>
          <w:sz w:val="32"/>
          <w:highlight w:val="none"/>
          <w:u w:color="auto"/>
        </w:rPr>
        <w:t>万元，其中：一般公共预算财政拨款收入</w:t>
      </w:r>
      <w:r>
        <w:rPr>
          <w:rFonts w:hint="eastAsia" w:ascii="仿宋_GB2312" w:hAnsi="仿宋_GB2312" w:eastAsia="仿宋_GB2312" w:cs="仿宋_GB2312"/>
          <w:color w:val="000000"/>
          <w:sz w:val="32"/>
          <w:highlight w:val="none"/>
          <w:u w:color="auto"/>
          <w:lang w:val="en-US" w:eastAsia="zh-CN"/>
        </w:rPr>
        <w:t>1113.32</w:t>
      </w:r>
      <w:r>
        <w:rPr>
          <w:rFonts w:hint="eastAsia" w:ascii="仿宋_GB2312" w:hAnsi="仿宋_GB2312" w:eastAsia="仿宋_GB2312" w:cs="仿宋_GB2312"/>
          <w:color w:val="000000"/>
          <w:sz w:val="32"/>
          <w:highlight w:val="none"/>
          <w:u w:color="auto"/>
        </w:rPr>
        <w:t>万元，占</w:t>
      </w:r>
      <w:r>
        <w:rPr>
          <w:rFonts w:hint="eastAsia" w:ascii="仿宋_GB2312" w:hAnsi="仿宋_GB2312" w:eastAsia="仿宋_GB2312" w:cs="仿宋_GB2312"/>
          <w:color w:val="000000"/>
          <w:sz w:val="32"/>
          <w:highlight w:val="none"/>
          <w:u w:color="auto"/>
          <w:lang w:val="en-US" w:eastAsia="zh-CN"/>
        </w:rPr>
        <w:t>99.44</w:t>
      </w:r>
      <w:r>
        <w:rPr>
          <w:rFonts w:hint="eastAsia" w:ascii="仿宋_GB2312" w:hAnsi="仿宋_GB2312" w:eastAsia="仿宋_GB2312" w:cs="仿宋_GB2312"/>
          <w:color w:val="000000"/>
          <w:sz w:val="32"/>
          <w:highlight w:val="none"/>
          <w:u w:color="auto"/>
        </w:rPr>
        <w:t>%</w:t>
      </w:r>
      <w:r>
        <w:rPr>
          <w:rFonts w:hint="eastAsia" w:ascii="仿宋_GB2312" w:hAnsi="仿宋_GB2312" w:eastAsia="仿宋_GB2312" w:cs="仿宋_GB2312"/>
          <w:color w:val="000000"/>
          <w:sz w:val="32"/>
          <w:highlight w:val="none"/>
          <w:u w:color="auto"/>
          <w:lang w:eastAsia="zh-CN"/>
        </w:rPr>
        <w:t>，政府性基金预算财政拨款收入</w:t>
      </w:r>
      <w:r>
        <w:rPr>
          <w:rFonts w:hint="eastAsia" w:ascii="仿宋_GB2312" w:hAnsi="仿宋_GB2312" w:eastAsia="仿宋_GB2312" w:cs="仿宋_GB2312"/>
          <w:color w:val="000000"/>
          <w:sz w:val="32"/>
          <w:highlight w:val="none"/>
          <w:u w:color="auto"/>
          <w:lang w:val="en-US" w:eastAsia="zh-CN"/>
        </w:rPr>
        <w:t>4.32万元，占0.39%，其他收入2万元，占0.18%。</w:t>
      </w:r>
    </w:p>
    <w:p w14:paraId="6CAC3C7F">
      <w:pPr>
        <w:pStyle w:val="16"/>
        <w:ind w:left="0" w:leftChars="0" w:firstLine="0" w:firstLineChars="0"/>
        <w:jc w:val="left"/>
        <w:rPr>
          <w:rFonts w:hint="eastAsia" w:eastAsia="宋体"/>
          <w:highlight w:val="yellow"/>
          <w:lang w:eastAsia="zh-CN"/>
        </w:rPr>
      </w:pPr>
      <w:r>
        <w:rPr>
          <w:rFonts w:hint="eastAsia" w:eastAsia="宋体"/>
          <w:highlight w:val="yellow"/>
          <w:lang w:eastAsia="zh-CN"/>
        </w:rPr>
        <w:drawing>
          <wp:inline distT="0" distB="0" distL="114300" distR="114300">
            <wp:extent cx="5365115" cy="3047365"/>
            <wp:effectExtent l="4445" t="4445" r="21590" b="15240"/>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26A0127C">
      <w:pPr>
        <w:pStyle w:val="4"/>
        <w:keepNext/>
        <w:keepLines/>
        <w:pageBreakBefore w:val="0"/>
        <w:widowControl w:val="0"/>
        <w:kinsoku/>
        <w:wordWrap/>
        <w:overflowPunct/>
        <w:topLinePunct w:val="0"/>
        <w:autoSpaceDE/>
        <w:autoSpaceDN/>
        <w:bidi w:val="0"/>
        <w:adjustRightInd/>
        <w:snapToGrid/>
        <w:spacing w:after="0" w:afterAutospacing="0" w:line="300" w:lineRule="exact"/>
        <w:ind w:firstLine="643" w:firstLineChars="200"/>
        <w:textAlignment w:val="auto"/>
        <w:rPr>
          <w:rFonts w:ascii="黑体" w:eastAsia="黑体" w:cs="Times New Roman"/>
          <w:bCs w:val="0"/>
          <w:color w:val="000000"/>
          <w:highlight w:val="none"/>
        </w:rPr>
      </w:pPr>
      <w:bookmarkStart w:id="26" w:name="_Toc4318"/>
      <w:bookmarkStart w:id="27" w:name="_Toc15377207"/>
      <w:bookmarkStart w:id="28" w:name="_Toc111208501"/>
      <w:r>
        <w:rPr>
          <w:rFonts w:hint="eastAsia" w:ascii="黑体" w:eastAsia="黑体" w:cs="Times New Roman"/>
          <w:bCs w:val="0"/>
          <w:color w:val="000000"/>
          <w:highlight w:val="none"/>
        </w:rPr>
        <w:t>三、支出决算情况说明</w:t>
      </w:r>
      <w:bookmarkEnd w:id="26"/>
      <w:bookmarkEnd w:id="27"/>
      <w:bookmarkEnd w:id="28"/>
    </w:p>
    <w:p w14:paraId="7BA65CC2">
      <w:pPr>
        <w:pStyle w:val="6"/>
        <w:spacing w:beforeAutospacing="0"/>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lang w:eastAsia="zh-CN"/>
        </w:rPr>
        <w:t>202</w:t>
      </w:r>
      <w:r>
        <w:rPr>
          <w:rFonts w:hint="eastAsia" w:ascii="仿宋_GB2312" w:hAnsi="仿宋_GB2312" w:eastAsia="仿宋_GB2312" w:cs="仿宋_GB2312"/>
          <w:color w:val="000000"/>
          <w:sz w:val="32"/>
          <w:szCs w:val="32"/>
          <w:highlight w:val="none"/>
          <w:lang w:val="en-US" w:eastAsia="zh-CN"/>
        </w:rPr>
        <w:t>5</w:t>
      </w:r>
      <w:r>
        <w:rPr>
          <w:rFonts w:hint="eastAsia" w:ascii="仿宋_GB2312" w:hAnsi="仿宋_GB2312" w:eastAsia="仿宋_GB2312" w:cs="仿宋_GB2312"/>
          <w:color w:val="000000"/>
          <w:sz w:val="32"/>
          <w:szCs w:val="32"/>
          <w:highlight w:val="none"/>
        </w:rPr>
        <w:t>年支出合计</w:t>
      </w:r>
      <w:r>
        <w:rPr>
          <w:rFonts w:hint="eastAsia" w:ascii="仿宋_GB2312" w:hAnsi="仿宋_GB2312" w:eastAsia="仿宋_GB2312" w:cs="仿宋_GB2312"/>
          <w:color w:val="000000"/>
          <w:sz w:val="32"/>
          <w:szCs w:val="32"/>
          <w:highlight w:val="none"/>
          <w:lang w:val="en-US" w:eastAsia="zh-CN"/>
        </w:rPr>
        <w:t>1119.64</w:t>
      </w:r>
      <w:r>
        <w:rPr>
          <w:rFonts w:hint="eastAsia" w:ascii="仿宋_GB2312" w:hAnsi="仿宋_GB2312" w:eastAsia="仿宋_GB2312" w:cs="仿宋_GB2312"/>
          <w:color w:val="000000"/>
          <w:sz w:val="32"/>
          <w:szCs w:val="32"/>
          <w:highlight w:val="none"/>
        </w:rPr>
        <w:t>万元，其中：基本支出</w:t>
      </w:r>
      <w:r>
        <w:rPr>
          <w:rFonts w:hint="eastAsia" w:ascii="仿宋_GB2312" w:hAnsi="仿宋_GB2312" w:eastAsia="仿宋_GB2312" w:cs="仿宋_GB2312"/>
          <w:color w:val="000000"/>
          <w:sz w:val="32"/>
          <w:szCs w:val="32"/>
          <w:highlight w:val="none"/>
          <w:lang w:val="en-US" w:eastAsia="zh-CN"/>
        </w:rPr>
        <w:t>836.88</w:t>
      </w:r>
      <w:r>
        <w:rPr>
          <w:rFonts w:hint="eastAsia" w:ascii="仿宋_GB2312" w:hAnsi="仿宋_GB2312" w:eastAsia="仿宋_GB2312" w:cs="仿宋_GB2312"/>
          <w:color w:val="000000"/>
          <w:sz w:val="32"/>
          <w:szCs w:val="32"/>
          <w:highlight w:val="none"/>
        </w:rPr>
        <w:t>万元，占</w:t>
      </w:r>
      <w:r>
        <w:rPr>
          <w:rFonts w:hint="eastAsia" w:ascii="仿宋_GB2312" w:hAnsi="仿宋_GB2312" w:eastAsia="仿宋_GB2312" w:cs="仿宋_GB2312"/>
          <w:color w:val="000000"/>
          <w:sz w:val="32"/>
          <w:szCs w:val="32"/>
          <w:highlight w:val="none"/>
          <w:lang w:val="en-US" w:eastAsia="zh-CN"/>
        </w:rPr>
        <w:t>74.75</w:t>
      </w:r>
      <w:r>
        <w:rPr>
          <w:rFonts w:hint="eastAsia" w:ascii="仿宋_GB2312" w:hAnsi="仿宋_GB2312" w:eastAsia="仿宋_GB2312" w:cs="仿宋_GB2312"/>
          <w:color w:val="000000"/>
          <w:sz w:val="32"/>
          <w:szCs w:val="32"/>
          <w:highlight w:val="none"/>
        </w:rPr>
        <w:t>%；项目支出</w:t>
      </w:r>
      <w:r>
        <w:rPr>
          <w:rFonts w:hint="eastAsia" w:ascii="仿宋_GB2312" w:hAnsi="仿宋_GB2312" w:eastAsia="仿宋_GB2312" w:cs="仿宋_GB2312"/>
          <w:color w:val="000000"/>
          <w:sz w:val="32"/>
          <w:szCs w:val="32"/>
          <w:highlight w:val="none"/>
          <w:lang w:val="en-US" w:eastAsia="zh-CN"/>
        </w:rPr>
        <w:t>282.76</w:t>
      </w:r>
      <w:r>
        <w:rPr>
          <w:rFonts w:hint="eastAsia" w:ascii="仿宋_GB2312" w:hAnsi="仿宋_GB2312" w:eastAsia="仿宋_GB2312" w:cs="仿宋_GB2312"/>
          <w:color w:val="000000"/>
          <w:sz w:val="32"/>
          <w:szCs w:val="32"/>
          <w:highlight w:val="none"/>
        </w:rPr>
        <w:t>万元，占</w:t>
      </w:r>
      <w:r>
        <w:rPr>
          <w:rFonts w:hint="eastAsia" w:ascii="仿宋_GB2312" w:hAnsi="仿宋_GB2312" w:eastAsia="仿宋_GB2312" w:cs="仿宋_GB2312"/>
          <w:color w:val="000000"/>
          <w:sz w:val="32"/>
          <w:szCs w:val="32"/>
          <w:highlight w:val="none"/>
          <w:lang w:val="en-US" w:eastAsia="zh-CN"/>
        </w:rPr>
        <w:t>25.25</w:t>
      </w:r>
      <w:r>
        <w:rPr>
          <w:rFonts w:hint="eastAsia" w:ascii="仿宋_GB2312" w:hAnsi="仿宋_GB2312" w:eastAsia="仿宋_GB2312" w:cs="仿宋_GB2312"/>
          <w:color w:val="000000"/>
          <w:sz w:val="32"/>
          <w:szCs w:val="32"/>
          <w:highlight w:val="none"/>
        </w:rPr>
        <w:t>%。</w:t>
      </w:r>
    </w:p>
    <w:p w14:paraId="2A03233A">
      <w:pPr>
        <w:jc w:val="center"/>
        <w:rPr>
          <w:rFonts w:ascii="仿宋_GB2312" w:eastAsia="仿宋_GB2312"/>
          <w:color w:val="FF0000"/>
          <w:sz w:val="32"/>
          <w:szCs w:val="32"/>
          <w:highlight w:val="yellow"/>
        </w:rPr>
      </w:pPr>
      <w:r>
        <w:rPr>
          <w:rFonts w:hint="eastAsia" w:ascii="仿宋" w:hAnsi="仿宋" w:eastAsia="仿宋"/>
          <w:sz w:val="32"/>
          <w:szCs w:val="32"/>
          <w:highlight w:val="none"/>
          <w:shd w:val="pct10" w:color="auto" w:fill="FFFFFF"/>
          <w:lang w:eastAsia="zh-CN"/>
        </w:rPr>
        <w:drawing>
          <wp:inline distT="0" distB="0" distL="114300" distR="114300">
            <wp:extent cx="5256530" cy="2988310"/>
            <wp:effectExtent l="5080" t="4445" r="15240" b="17145"/>
            <wp:docPr id="10"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2400FCF5">
      <w:pPr>
        <w:pStyle w:val="6"/>
        <w:rPr>
          <w:highlight w:val="yellow"/>
        </w:rPr>
      </w:pPr>
    </w:p>
    <w:p w14:paraId="17504D8B">
      <w:pPr>
        <w:pStyle w:val="4"/>
        <w:keepNext/>
        <w:keepLines/>
        <w:pageBreakBefore w:val="0"/>
        <w:widowControl w:val="0"/>
        <w:kinsoku/>
        <w:wordWrap/>
        <w:overflowPunct/>
        <w:topLinePunct w:val="0"/>
        <w:autoSpaceDE/>
        <w:autoSpaceDN/>
        <w:bidi w:val="0"/>
        <w:adjustRightInd/>
        <w:snapToGrid/>
        <w:spacing w:after="0" w:afterAutospacing="0" w:line="300" w:lineRule="exact"/>
        <w:ind w:firstLine="643" w:firstLineChars="200"/>
        <w:textAlignment w:val="auto"/>
        <w:rPr>
          <w:rFonts w:hint="eastAsia" w:ascii="黑体" w:eastAsia="黑体" w:cs="Times New Roman"/>
          <w:bCs w:val="0"/>
          <w:color w:val="000000"/>
          <w:highlight w:val="none"/>
        </w:rPr>
      </w:pPr>
      <w:bookmarkStart w:id="29" w:name="_Toc15377208"/>
      <w:bookmarkStart w:id="30" w:name="_Toc111208502"/>
      <w:bookmarkStart w:id="31" w:name="_Toc9763"/>
      <w:r>
        <w:rPr>
          <w:rFonts w:hint="eastAsia" w:ascii="黑体" w:eastAsia="黑体" w:cs="Times New Roman"/>
          <w:bCs w:val="0"/>
          <w:color w:val="000000"/>
          <w:highlight w:val="none"/>
        </w:rPr>
        <w:t>四、财政拨款收入支出决算总体情况说明</w:t>
      </w:r>
      <w:bookmarkEnd w:id="29"/>
      <w:bookmarkEnd w:id="30"/>
      <w:bookmarkEnd w:id="31"/>
    </w:p>
    <w:p w14:paraId="44FF8E9C">
      <w:pPr>
        <w:spacing w:beforeAutospacing="0" w:line="600" w:lineRule="exact"/>
        <w:ind w:firstLine="640" w:firstLineChars="200"/>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lang w:eastAsia="zh-CN"/>
        </w:rPr>
        <w:t>202</w:t>
      </w:r>
      <w:r>
        <w:rPr>
          <w:rFonts w:hint="eastAsia" w:ascii="仿宋_GB2312" w:hAnsi="仿宋_GB2312" w:eastAsia="仿宋_GB2312" w:cs="仿宋_GB2312"/>
          <w:color w:val="000000"/>
          <w:sz w:val="32"/>
          <w:szCs w:val="32"/>
          <w:highlight w:val="none"/>
          <w:lang w:val="en-US" w:eastAsia="zh-CN"/>
        </w:rPr>
        <w:t>5</w:t>
      </w:r>
      <w:r>
        <w:rPr>
          <w:rFonts w:hint="eastAsia" w:ascii="仿宋_GB2312" w:hAnsi="仿宋_GB2312" w:eastAsia="仿宋_GB2312" w:cs="仿宋_GB2312"/>
          <w:color w:val="000000"/>
          <w:sz w:val="32"/>
          <w:highlight w:val="none"/>
          <w:u w:color="auto"/>
        </w:rPr>
        <w:t>年</w:t>
      </w:r>
      <w:r>
        <w:rPr>
          <w:rFonts w:hint="eastAsia" w:ascii="仿宋_GB2312" w:hAnsi="仿宋_GB2312" w:eastAsia="仿宋_GB2312" w:cs="仿宋_GB2312"/>
          <w:color w:val="000000"/>
          <w:sz w:val="32"/>
          <w:highlight w:val="none"/>
          <w:u w:color="auto"/>
          <w:lang w:val="en-US" w:eastAsia="zh-CN"/>
        </w:rPr>
        <w:t>度</w:t>
      </w:r>
      <w:r>
        <w:rPr>
          <w:rFonts w:hint="eastAsia" w:ascii="仿宋_GB2312" w:hAnsi="仿宋_GB2312" w:eastAsia="仿宋_GB2312" w:cs="仿宋_GB2312"/>
          <w:color w:val="000000"/>
          <w:sz w:val="32"/>
          <w:highlight w:val="none"/>
          <w:u w:color="auto"/>
        </w:rPr>
        <w:t>财政拨款收</w:t>
      </w:r>
      <w:r>
        <w:rPr>
          <w:rFonts w:hint="eastAsia" w:ascii="仿宋_GB2312" w:hAnsi="仿宋_GB2312" w:eastAsia="仿宋_GB2312" w:cs="仿宋_GB2312"/>
          <w:color w:val="000000"/>
          <w:sz w:val="32"/>
          <w:highlight w:val="none"/>
          <w:u w:color="auto"/>
          <w:lang w:val="en-US" w:eastAsia="zh-CN"/>
        </w:rPr>
        <w:t>入</w:t>
      </w:r>
      <w:r>
        <w:rPr>
          <w:rFonts w:hint="eastAsia" w:ascii="仿宋_GB2312" w:hAnsi="仿宋_GB2312" w:eastAsia="仿宋_GB2312" w:cs="仿宋_GB2312"/>
          <w:color w:val="000000"/>
          <w:sz w:val="32"/>
          <w:highlight w:val="none"/>
          <w:u w:color="auto"/>
        </w:rPr>
        <w:t>、支</w:t>
      </w:r>
      <w:r>
        <w:rPr>
          <w:rFonts w:hint="eastAsia" w:ascii="仿宋_GB2312" w:hAnsi="仿宋_GB2312" w:eastAsia="仿宋_GB2312" w:cs="仿宋_GB2312"/>
          <w:color w:val="000000"/>
          <w:sz w:val="32"/>
          <w:highlight w:val="none"/>
          <w:u w:color="auto"/>
          <w:lang w:val="en-US" w:eastAsia="zh-CN"/>
        </w:rPr>
        <w:t>出</w:t>
      </w:r>
      <w:r>
        <w:rPr>
          <w:rFonts w:hint="eastAsia" w:ascii="仿宋_GB2312" w:hAnsi="仿宋_GB2312" w:eastAsia="仿宋_GB2312" w:cs="仿宋_GB2312"/>
          <w:color w:val="000000"/>
          <w:sz w:val="32"/>
          <w:highlight w:val="none"/>
          <w:u w:color="auto"/>
        </w:rPr>
        <w:t>总计</w:t>
      </w:r>
      <w:r>
        <w:rPr>
          <w:rFonts w:hint="eastAsia" w:ascii="仿宋_GB2312" w:hAnsi="仿宋_GB2312" w:eastAsia="仿宋_GB2312" w:cs="仿宋_GB2312"/>
          <w:color w:val="000000"/>
          <w:sz w:val="32"/>
          <w:highlight w:val="none"/>
          <w:u w:color="auto"/>
          <w:lang w:val="en-US" w:eastAsia="zh-CN"/>
        </w:rPr>
        <w:t>均为1119.64</w:t>
      </w:r>
      <w:r>
        <w:rPr>
          <w:rFonts w:hint="eastAsia" w:ascii="仿宋_GB2312" w:hAnsi="仿宋_GB2312" w:eastAsia="仿宋_GB2312" w:cs="仿宋_GB2312"/>
          <w:color w:val="000000"/>
          <w:sz w:val="32"/>
          <w:highlight w:val="none"/>
          <w:u w:color="auto"/>
        </w:rPr>
        <w:t>万元。与</w:t>
      </w:r>
      <w:r>
        <w:rPr>
          <w:rFonts w:hint="eastAsia" w:ascii="仿宋_GB2312" w:hAnsi="仿宋_GB2312" w:eastAsia="仿宋_GB2312" w:cs="仿宋_GB2312"/>
          <w:color w:val="000000"/>
          <w:sz w:val="32"/>
          <w:highlight w:val="none"/>
          <w:u w:color="auto"/>
          <w:lang w:val="en-US" w:eastAsia="zh-CN"/>
        </w:rPr>
        <w:t>上年度</w:t>
      </w:r>
      <w:r>
        <w:rPr>
          <w:rFonts w:hint="eastAsia" w:ascii="仿宋_GB2312" w:hAnsi="仿宋_GB2312" w:eastAsia="仿宋_GB2312" w:cs="仿宋_GB2312"/>
          <w:color w:val="000000"/>
          <w:sz w:val="32"/>
          <w:highlight w:val="none"/>
          <w:u w:color="auto"/>
        </w:rPr>
        <w:t>相比，财政拨款收</w:t>
      </w:r>
      <w:r>
        <w:rPr>
          <w:rFonts w:hint="eastAsia" w:ascii="仿宋_GB2312" w:hAnsi="仿宋_GB2312" w:eastAsia="仿宋_GB2312" w:cs="仿宋_GB2312"/>
          <w:color w:val="000000"/>
          <w:sz w:val="32"/>
          <w:highlight w:val="none"/>
          <w:u w:color="auto"/>
          <w:lang w:val="en-US" w:eastAsia="zh-CN"/>
        </w:rPr>
        <w:t>入</w:t>
      </w:r>
      <w:r>
        <w:rPr>
          <w:rFonts w:hint="eastAsia" w:ascii="仿宋_GB2312" w:hAnsi="仿宋_GB2312" w:eastAsia="仿宋_GB2312" w:cs="仿宋_GB2312"/>
          <w:color w:val="000000"/>
          <w:sz w:val="32"/>
          <w:highlight w:val="none"/>
          <w:u w:color="auto"/>
        </w:rPr>
        <w:t>、支</w:t>
      </w:r>
      <w:r>
        <w:rPr>
          <w:rFonts w:hint="eastAsia" w:ascii="仿宋_GB2312" w:hAnsi="仿宋_GB2312" w:eastAsia="仿宋_GB2312" w:cs="仿宋_GB2312"/>
          <w:color w:val="000000"/>
          <w:sz w:val="32"/>
          <w:highlight w:val="none"/>
          <w:u w:color="auto"/>
          <w:lang w:val="en-US" w:eastAsia="zh-CN"/>
        </w:rPr>
        <w:t>出</w:t>
      </w:r>
      <w:r>
        <w:rPr>
          <w:rFonts w:hint="eastAsia" w:ascii="仿宋_GB2312" w:hAnsi="仿宋_GB2312" w:eastAsia="仿宋_GB2312" w:cs="仿宋_GB2312"/>
          <w:color w:val="000000"/>
          <w:sz w:val="32"/>
          <w:highlight w:val="none"/>
          <w:u w:color="auto"/>
        </w:rPr>
        <w:t>总计</w:t>
      </w:r>
      <w:r>
        <w:rPr>
          <w:rFonts w:hint="eastAsia" w:ascii="仿宋_GB2312" w:hAnsi="仿宋_GB2312" w:eastAsia="仿宋_GB2312" w:cs="仿宋_GB2312"/>
          <w:color w:val="000000"/>
          <w:sz w:val="32"/>
          <w:highlight w:val="none"/>
          <w:u w:color="auto"/>
          <w:lang w:eastAsia="zh-CN"/>
        </w:rPr>
        <w:t>各</w:t>
      </w:r>
      <w:r>
        <w:rPr>
          <w:rFonts w:hint="eastAsia" w:ascii="仿宋_GB2312" w:hAnsi="仿宋_GB2312" w:eastAsia="仿宋_GB2312" w:cs="仿宋_GB2312"/>
          <w:color w:val="000000"/>
          <w:sz w:val="32"/>
          <w:szCs w:val="32"/>
          <w:highlight w:val="none"/>
          <w:lang w:eastAsia="zh-CN"/>
        </w:rPr>
        <w:t>减少</w:t>
      </w:r>
      <w:r>
        <w:rPr>
          <w:rFonts w:hint="eastAsia" w:ascii="仿宋_GB2312" w:hAnsi="仿宋_GB2312" w:eastAsia="仿宋_GB2312" w:cs="仿宋_GB2312"/>
          <w:color w:val="000000"/>
          <w:sz w:val="32"/>
          <w:szCs w:val="32"/>
          <w:highlight w:val="none"/>
          <w:lang w:val="en-US" w:eastAsia="zh-CN"/>
        </w:rPr>
        <w:t>158.79</w:t>
      </w:r>
      <w:r>
        <w:rPr>
          <w:rFonts w:hint="eastAsia" w:ascii="仿宋_GB2312" w:hAnsi="仿宋_GB2312" w:eastAsia="仿宋_GB2312" w:cs="仿宋_GB2312"/>
          <w:color w:val="000000"/>
          <w:sz w:val="32"/>
          <w:szCs w:val="32"/>
          <w:highlight w:val="none"/>
        </w:rPr>
        <w:t>万元，</w:t>
      </w:r>
      <w:r>
        <w:rPr>
          <w:rFonts w:hint="eastAsia" w:ascii="仿宋_GB2312" w:hAnsi="仿宋_GB2312" w:eastAsia="仿宋_GB2312" w:cs="仿宋_GB2312"/>
          <w:color w:val="000000"/>
          <w:sz w:val="32"/>
          <w:szCs w:val="32"/>
          <w:highlight w:val="none"/>
          <w:lang w:val="en-US" w:eastAsia="zh-CN"/>
        </w:rPr>
        <w:t>下降12.42</w:t>
      </w:r>
      <w:r>
        <w:rPr>
          <w:rFonts w:hint="eastAsia" w:ascii="仿宋_GB2312" w:hAnsi="仿宋_GB2312" w:eastAsia="仿宋_GB2312" w:cs="仿宋_GB2312"/>
          <w:color w:val="000000"/>
          <w:sz w:val="32"/>
          <w:szCs w:val="32"/>
          <w:highlight w:val="none"/>
        </w:rPr>
        <w:t>%</w:t>
      </w:r>
      <w:r>
        <w:rPr>
          <w:rFonts w:hint="eastAsia" w:ascii="仿宋_GB2312" w:hAnsi="仿宋_GB2312" w:eastAsia="仿宋_GB2312" w:cs="仿宋_GB2312"/>
          <w:color w:val="000000"/>
          <w:sz w:val="32"/>
          <w:highlight w:val="none"/>
          <w:u w:color="auto"/>
        </w:rPr>
        <w:t>。主要变动原因是</w:t>
      </w:r>
      <w:r>
        <w:rPr>
          <w:rFonts w:hint="eastAsia" w:ascii="仿宋_GB2312" w:hAnsi="仿宋_GB2312" w:eastAsia="仿宋_GB2312" w:cs="仿宋_GB2312"/>
          <w:color w:val="000000"/>
          <w:sz w:val="32"/>
          <w:highlight w:val="none"/>
          <w:u w:color="auto"/>
          <w:lang w:eastAsia="zh-CN"/>
        </w:rPr>
        <w:t>：</w:t>
      </w:r>
      <w:r>
        <w:rPr>
          <w:rFonts w:hint="eastAsia" w:ascii="仿宋_GB2312" w:hAnsi="仿宋_GB2312" w:eastAsia="仿宋_GB2312" w:cs="仿宋_GB2312"/>
          <w:color w:val="000000"/>
          <w:sz w:val="32"/>
          <w:highlight w:val="none"/>
          <w:u w:color="auto"/>
          <w:lang w:val="en-US" w:eastAsia="zh-CN"/>
        </w:rPr>
        <w:t>保险变动、</w:t>
      </w:r>
      <w:r>
        <w:rPr>
          <w:rFonts w:hint="eastAsia" w:ascii="仿宋_GB2312" w:hAnsi="仿宋_GB2312" w:eastAsia="仿宋_GB2312" w:cs="仿宋_GB2312"/>
          <w:color w:val="000000"/>
          <w:sz w:val="32"/>
          <w:highlight w:val="none"/>
          <w:u w:color="auto"/>
          <w:lang w:eastAsia="zh-CN"/>
        </w:rPr>
        <w:t>项目减少。</w:t>
      </w:r>
    </w:p>
    <w:p w14:paraId="4D641A7E">
      <w:pPr>
        <w:pStyle w:val="6"/>
        <w:ind w:firstLine="0"/>
        <w:rPr>
          <w:highlight w:val="none"/>
        </w:rPr>
      </w:pPr>
    </w:p>
    <w:p w14:paraId="5295BFC7">
      <w:pPr>
        <w:pStyle w:val="6"/>
        <w:jc w:val="left"/>
        <w:rPr>
          <w:highlight w:val="none"/>
        </w:rPr>
      </w:pPr>
      <w:r>
        <w:rPr>
          <w:rFonts w:hint="eastAsia" w:eastAsia="仿宋"/>
          <w:highlight w:val="none"/>
          <w:lang w:eastAsia="zh-CN"/>
        </w:rPr>
        <w:drawing>
          <wp:inline distT="0" distB="0" distL="114300" distR="114300">
            <wp:extent cx="5256530" cy="2988310"/>
            <wp:effectExtent l="5080" t="4445" r="15240" b="17145"/>
            <wp:docPr id="12"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56A4EB98">
      <w:pPr>
        <w:pStyle w:val="6"/>
        <w:jc w:val="center"/>
        <w:rPr>
          <w:highlight w:val="yellow"/>
        </w:rPr>
      </w:pPr>
    </w:p>
    <w:p w14:paraId="1ECFA5AF">
      <w:pPr>
        <w:pStyle w:val="4"/>
        <w:keepNext/>
        <w:keepLines/>
        <w:pageBreakBefore w:val="0"/>
        <w:widowControl w:val="0"/>
        <w:kinsoku/>
        <w:wordWrap/>
        <w:overflowPunct/>
        <w:topLinePunct w:val="0"/>
        <w:autoSpaceDE/>
        <w:autoSpaceDN/>
        <w:bidi w:val="0"/>
        <w:adjustRightInd/>
        <w:snapToGrid/>
        <w:spacing w:after="0" w:afterAutospacing="0" w:line="300" w:lineRule="exact"/>
        <w:ind w:firstLine="643" w:firstLineChars="200"/>
        <w:textAlignment w:val="auto"/>
        <w:rPr>
          <w:rFonts w:hint="eastAsia" w:ascii="黑体" w:eastAsia="黑体" w:cs="Times New Roman"/>
          <w:bCs w:val="0"/>
          <w:color w:val="000000"/>
          <w:highlight w:val="none"/>
        </w:rPr>
      </w:pPr>
      <w:bookmarkStart w:id="32" w:name="_Toc15377209"/>
      <w:bookmarkStart w:id="33" w:name="_Toc111208503"/>
      <w:bookmarkStart w:id="34" w:name="_Toc17322"/>
      <w:r>
        <w:rPr>
          <w:rFonts w:hint="eastAsia" w:ascii="黑体" w:eastAsia="黑体" w:cs="Times New Roman"/>
          <w:bCs w:val="0"/>
          <w:color w:val="000000"/>
          <w:highlight w:val="none"/>
        </w:rPr>
        <w:t>五、一般公共预算财政拨款支出决算情况说</w:t>
      </w:r>
      <w:bookmarkEnd w:id="32"/>
      <w:r>
        <w:rPr>
          <w:rFonts w:hint="eastAsia" w:ascii="黑体" w:eastAsia="黑体" w:cs="Times New Roman"/>
          <w:bCs w:val="0"/>
          <w:color w:val="000000"/>
          <w:highlight w:val="none"/>
        </w:rPr>
        <w:t>明</w:t>
      </w:r>
      <w:bookmarkEnd w:id="33"/>
      <w:bookmarkEnd w:id="34"/>
    </w:p>
    <w:p w14:paraId="63ADCAAA">
      <w:pPr>
        <w:pageBreakBefore w:val="0"/>
        <w:kinsoku/>
        <w:wordWrap/>
        <w:overflowPunct/>
        <w:topLinePunct w:val="0"/>
        <w:bidi w:val="0"/>
        <w:spacing w:line="576" w:lineRule="exact"/>
        <w:ind w:firstLine="643" w:firstLineChars="200"/>
        <w:textAlignment w:val="auto"/>
        <w:outlineLvl w:val="2"/>
        <w:rPr>
          <w:rFonts w:hint="eastAsia" w:ascii="Times New Roman" w:hAnsi="Times New Roman" w:eastAsia="楷体_GB2312" w:cs="Times New Roman"/>
          <w:b/>
          <w:color w:val="auto"/>
          <w:sz w:val="32"/>
          <w:szCs w:val="32"/>
          <w:highlight w:val="none"/>
        </w:rPr>
      </w:pPr>
      <w:bookmarkStart w:id="35" w:name="_Toc15377210"/>
      <w:r>
        <w:rPr>
          <w:rFonts w:hint="eastAsia" w:ascii="Times New Roman" w:hAnsi="Times New Roman" w:eastAsia="楷体_GB2312" w:cs="Times New Roman"/>
          <w:b/>
          <w:color w:val="auto"/>
          <w:sz w:val="32"/>
          <w:szCs w:val="32"/>
          <w:highlight w:val="none"/>
        </w:rPr>
        <w:t>（一）一般公共预算财政拨款支出决算总体情况</w:t>
      </w:r>
      <w:bookmarkEnd w:id="35"/>
    </w:p>
    <w:p w14:paraId="12232023">
      <w:pPr>
        <w:spacing w:line="600" w:lineRule="exact"/>
        <w:ind w:firstLine="640" w:firstLineChars="200"/>
        <w:rPr>
          <w:rFonts w:hint="eastAsia" w:ascii="仿宋_GB2312" w:hAnsi="仿宋_GB2312" w:eastAsia="仿宋_GB2312" w:cs="仿宋_GB2312"/>
          <w:b/>
          <w:bCs/>
          <w:color w:val="000000"/>
          <w:sz w:val="32"/>
          <w:szCs w:val="32"/>
          <w:highlight w:val="none"/>
        </w:rPr>
      </w:pPr>
      <w:bookmarkStart w:id="36" w:name="_Toc15377211"/>
      <w:r>
        <w:rPr>
          <w:rFonts w:hint="eastAsia" w:ascii="仿宋_GB2312" w:hAnsi="仿宋_GB2312" w:eastAsia="仿宋_GB2312" w:cs="仿宋_GB2312"/>
          <w:color w:val="000000"/>
          <w:sz w:val="32"/>
          <w:szCs w:val="32"/>
          <w:highlight w:val="none"/>
          <w:lang w:eastAsia="zh-CN"/>
        </w:rPr>
        <w:t>202</w:t>
      </w:r>
      <w:r>
        <w:rPr>
          <w:rFonts w:hint="eastAsia" w:ascii="仿宋_GB2312" w:hAnsi="仿宋_GB2312" w:eastAsia="仿宋_GB2312" w:cs="仿宋_GB2312"/>
          <w:color w:val="000000"/>
          <w:sz w:val="32"/>
          <w:szCs w:val="32"/>
          <w:highlight w:val="none"/>
          <w:lang w:val="en-US" w:eastAsia="zh-CN"/>
        </w:rPr>
        <w:t>5</w:t>
      </w:r>
      <w:r>
        <w:rPr>
          <w:rFonts w:hint="eastAsia" w:ascii="仿宋_GB2312" w:hAnsi="仿宋_GB2312" w:eastAsia="仿宋_GB2312" w:cs="仿宋_GB2312"/>
          <w:color w:val="000000"/>
          <w:sz w:val="32"/>
          <w:highlight w:val="none"/>
          <w:u w:color="auto"/>
        </w:rPr>
        <w:t>年</w:t>
      </w:r>
      <w:r>
        <w:rPr>
          <w:rFonts w:hint="eastAsia" w:ascii="仿宋_GB2312" w:hAnsi="仿宋_GB2312" w:eastAsia="仿宋_GB2312" w:cs="仿宋_GB2312"/>
          <w:color w:val="000000"/>
          <w:sz w:val="32"/>
          <w:highlight w:val="none"/>
          <w:u w:color="auto"/>
          <w:lang w:val="en-US" w:eastAsia="zh-CN"/>
        </w:rPr>
        <w:t>度</w:t>
      </w:r>
      <w:r>
        <w:rPr>
          <w:rFonts w:hint="eastAsia" w:ascii="仿宋_GB2312" w:hAnsi="仿宋_GB2312" w:eastAsia="仿宋_GB2312" w:cs="仿宋_GB2312"/>
          <w:color w:val="000000"/>
          <w:sz w:val="32"/>
          <w:highlight w:val="none"/>
          <w:u w:color="auto"/>
        </w:rPr>
        <w:t>一般公共预算财政拨款支出</w:t>
      </w:r>
      <w:r>
        <w:rPr>
          <w:rFonts w:hint="eastAsia" w:ascii="仿宋_GB2312" w:hAnsi="仿宋_GB2312" w:eastAsia="仿宋_GB2312" w:cs="仿宋_GB2312"/>
          <w:color w:val="000000"/>
          <w:sz w:val="32"/>
          <w:highlight w:val="none"/>
          <w:u w:color="auto"/>
          <w:lang w:val="en-US" w:eastAsia="zh-CN"/>
        </w:rPr>
        <w:t>1113.32</w:t>
      </w:r>
      <w:r>
        <w:rPr>
          <w:rFonts w:hint="eastAsia" w:ascii="仿宋_GB2312" w:hAnsi="仿宋_GB2312" w:eastAsia="仿宋_GB2312" w:cs="仿宋_GB2312"/>
          <w:color w:val="000000"/>
          <w:sz w:val="32"/>
          <w:szCs w:val="32"/>
          <w:highlight w:val="none"/>
        </w:rPr>
        <w:t>万元，占本年支出合计的</w:t>
      </w:r>
      <w:r>
        <w:rPr>
          <w:rFonts w:hint="eastAsia" w:ascii="仿宋_GB2312" w:hAnsi="仿宋_GB2312" w:eastAsia="仿宋_GB2312" w:cs="仿宋_GB2312"/>
          <w:color w:val="000000"/>
          <w:sz w:val="32"/>
          <w:highlight w:val="none"/>
          <w:u w:color="auto"/>
          <w:lang w:val="en-US" w:eastAsia="zh-CN"/>
        </w:rPr>
        <w:t>99.44</w:t>
      </w:r>
      <w:r>
        <w:rPr>
          <w:rFonts w:hint="eastAsia" w:ascii="仿宋_GB2312" w:hAnsi="仿宋_GB2312" w:eastAsia="仿宋_GB2312" w:cs="仿宋_GB2312"/>
          <w:color w:val="000000"/>
          <w:sz w:val="32"/>
          <w:szCs w:val="32"/>
          <w:highlight w:val="none"/>
        </w:rPr>
        <w:t>%</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与</w:t>
      </w:r>
      <w:r>
        <w:rPr>
          <w:rFonts w:hint="eastAsia" w:ascii="仿宋_GB2312" w:hAnsi="仿宋_GB2312" w:eastAsia="仿宋_GB2312" w:cs="仿宋_GB2312"/>
          <w:color w:val="000000"/>
          <w:sz w:val="32"/>
          <w:szCs w:val="32"/>
          <w:highlight w:val="none"/>
          <w:lang w:val="en-US" w:eastAsia="zh-CN"/>
        </w:rPr>
        <w:t>上年度</w:t>
      </w:r>
      <w:r>
        <w:rPr>
          <w:rFonts w:hint="eastAsia" w:ascii="仿宋_GB2312" w:hAnsi="仿宋_GB2312" w:eastAsia="仿宋_GB2312" w:cs="仿宋_GB2312"/>
          <w:color w:val="000000"/>
          <w:sz w:val="32"/>
          <w:highlight w:val="none"/>
          <w:u w:color="auto"/>
        </w:rPr>
        <w:t>相比</w:t>
      </w:r>
      <w:r>
        <w:rPr>
          <w:rFonts w:hint="eastAsia" w:ascii="仿宋_GB2312" w:hAnsi="仿宋_GB2312" w:eastAsia="仿宋_GB2312" w:cs="仿宋_GB2312"/>
          <w:color w:val="000000"/>
          <w:sz w:val="32"/>
          <w:highlight w:val="none"/>
          <w:u w:color="auto"/>
          <w:lang w:eastAsia="zh-CN"/>
        </w:rPr>
        <w:t>，</w:t>
      </w:r>
      <w:r>
        <w:rPr>
          <w:rFonts w:hint="eastAsia" w:ascii="仿宋_GB2312" w:hAnsi="仿宋_GB2312" w:eastAsia="仿宋_GB2312" w:cs="仿宋_GB2312"/>
          <w:color w:val="000000"/>
          <w:sz w:val="32"/>
          <w:highlight w:val="none"/>
          <w:u w:color="auto"/>
          <w:lang w:val="en-US" w:eastAsia="zh-CN"/>
        </w:rPr>
        <w:t>一般公共预算财政拨款支出</w:t>
      </w:r>
      <w:r>
        <w:rPr>
          <w:rFonts w:hint="eastAsia" w:ascii="仿宋_GB2312" w:hAnsi="仿宋_GB2312" w:eastAsia="仿宋_GB2312" w:cs="仿宋_GB2312"/>
          <w:color w:val="000000"/>
          <w:sz w:val="32"/>
          <w:highlight w:val="none"/>
          <w:u w:color="auto"/>
          <w:lang w:eastAsia="zh-CN"/>
        </w:rPr>
        <w:t>减少</w:t>
      </w:r>
      <w:r>
        <w:rPr>
          <w:rFonts w:hint="eastAsia" w:ascii="仿宋_GB2312" w:hAnsi="仿宋_GB2312" w:eastAsia="仿宋_GB2312" w:cs="仿宋_GB2312"/>
          <w:color w:val="000000"/>
          <w:sz w:val="32"/>
          <w:highlight w:val="none"/>
          <w:u w:color="auto"/>
          <w:lang w:val="en-US" w:eastAsia="zh-CN"/>
        </w:rPr>
        <w:t>165.11万元</w:t>
      </w:r>
      <w:r>
        <w:rPr>
          <w:rFonts w:hint="eastAsia" w:ascii="仿宋_GB2312" w:hAnsi="仿宋_GB2312" w:eastAsia="仿宋_GB2312" w:cs="仿宋_GB2312"/>
          <w:color w:val="000000"/>
          <w:sz w:val="32"/>
          <w:highlight w:val="none"/>
          <w:u w:color="auto"/>
        </w:rPr>
        <w:t>，</w:t>
      </w:r>
      <w:r>
        <w:rPr>
          <w:rFonts w:hint="eastAsia" w:ascii="仿宋_GB2312" w:hAnsi="仿宋_GB2312" w:eastAsia="仿宋_GB2312" w:cs="仿宋_GB2312"/>
          <w:color w:val="000000"/>
          <w:sz w:val="32"/>
          <w:highlight w:val="none"/>
          <w:u w:color="auto"/>
          <w:lang w:val="en-US" w:eastAsia="zh-CN"/>
        </w:rPr>
        <w:t>下降12.92%。</w:t>
      </w:r>
      <w:r>
        <w:rPr>
          <w:rFonts w:hint="eastAsia" w:ascii="仿宋_GB2312" w:hAnsi="仿宋_GB2312" w:eastAsia="仿宋_GB2312" w:cs="仿宋_GB2312"/>
          <w:color w:val="000000"/>
          <w:sz w:val="32"/>
          <w:highlight w:val="none"/>
          <w:u w:color="auto"/>
        </w:rPr>
        <w:t>主要变动原因是</w:t>
      </w:r>
      <w:r>
        <w:rPr>
          <w:rFonts w:hint="eastAsia" w:ascii="仿宋_GB2312" w:hAnsi="仿宋_GB2312" w:eastAsia="仿宋_GB2312" w:cs="仿宋_GB2312"/>
          <w:color w:val="000000"/>
          <w:sz w:val="32"/>
          <w:highlight w:val="none"/>
          <w:u w:color="auto"/>
          <w:lang w:eastAsia="zh-CN"/>
        </w:rPr>
        <w:t>：人员、</w:t>
      </w:r>
      <w:r>
        <w:rPr>
          <w:rFonts w:hint="eastAsia" w:ascii="仿宋_GB2312" w:eastAsia="仿宋_GB2312" w:cs="仿宋_GB2312"/>
          <w:b w:val="0"/>
          <w:bCs w:val="0"/>
          <w:sz w:val="32"/>
          <w:szCs w:val="32"/>
          <w:lang w:val="en-US" w:eastAsia="zh-CN"/>
        </w:rPr>
        <w:t>保险变动。</w:t>
      </w:r>
    </w:p>
    <w:p w14:paraId="6B2D88A9">
      <w:pPr>
        <w:pStyle w:val="6"/>
        <w:ind w:firstLine="0"/>
        <w:rPr>
          <w:rFonts w:ascii="仿宋_GB2312" w:eastAsia="仿宋_GB2312"/>
          <w:b/>
          <w:color w:val="000000"/>
          <w:sz w:val="32"/>
          <w:szCs w:val="32"/>
          <w:highlight w:val="none"/>
        </w:rPr>
      </w:pPr>
      <w:r>
        <w:rPr>
          <w:rFonts w:hint="eastAsia" w:eastAsia="仿宋"/>
          <w:highlight w:val="none"/>
          <w:lang w:eastAsia="zh-CN"/>
        </w:rPr>
        <w:drawing>
          <wp:inline distT="0" distB="0" distL="114300" distR="114300">
            <wp:extent cx="5256530" cy="2988310"/>
            <wp:effectExtent l="5080" t="4445" r="15240" b="17145"/>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286954F7">
      <w:pPr>
        <w:pStyle w:val="6"/>
        <w:ind w:firstLine="0"/>
        <w:rPr>
          <w:rFonts w:ascii="仿宋_GB2312" w:eastAsia="仿宋_GB2312"/>
          <w:b/>
          <w:color w:val="000000"/>
          <w:sz w:val="32"/>
          <w:szCs w:val="32"/>
          <w:highlight w:val="none"/>
        </w:rPr>
      </w:pPr>
    </w:p>
    <w:p w14:paraId="04BA365E">
      <w:pPr>
        <w:spacing w:line="600" w:lineRule="exact"/>
        <w:ind w:firstLine="643" w:firstLineChars="200"/>
        <w:outlineLvl w:val="2"/>
        <w:rPr>
          <w:rFonts w:hint="eastAsia" w:ascii="Times New Roman" w:hAnsi="Times New Roman" w:eastAsia="楷体_GB2312" w:cs="Times New Roman"/>
          <w:b/>
          <w:color w:val="auto"/>
          <w:sz w:val="32"/>
          <w:szCs w:val="32"/>
          <w:highlight w:val="none"/>
        </w:rPr>
      </w:pPr>
      <w:r>
        <w:rPr>
          <w:rFonts w:hint="eastAsia" w:ascii="Times New Roman" w:hAnsi="Times New Roman" w:eastAsia="楷体_GB2312" w:cs="Times New Roman"/>
          <w:b/>
          <w:color w:val="auto"/>
          <w:sz w:val="32"/>
          <w:szCs w:val="32"/>
          <w:highlight w:val="none"/>
        </w:rPr>
        <w:t>（二）一般公共预算财政拨款支出决算结构情况</w:t>
      </w:r>
      <w:bookmarkEnd w:id="36"/>
    </w:p>
    <w:p w14:paraId="1122C30C">
      <w:pPr>
        <w:spacing w:line="600" w:lineRule="exact"/>
        <w:ind w:firstLine="640" w:firstLineChars="200"/>
        <w:rPr>
          <w:rFonts w:hint="eastAsia" w:ascii="仿宋_GB2312" w:hAnsi="仿宋_GB2312" w:eastAsia="仿宋_GB2312" w:cs="仿宋_GB2312"/>
          <w:color w:val="000000"/>
          <w:sz w:val="32"/>
          <w:szCs w:val="32"/>
          <w:highlight w:val="none"/>
          <w:lang w:eastAsia="zh-CN"/>
        </w:rPr>
      </w:pPr>
      <w:r>
        <w:rPr>
          <w:rFonts w:hint="eastAsia" w:ascii="仿宋_GB2312" w:hAnsi="仿宋_GB2312" w:eastAsia="仿宋_GB2312" w:cs="仿宋_GB2312"/>
          <w:color w:val="000000"/>
          <w:sz w:val="32"/>
          <w:szCs w:val="32"/>
          <w:highlight w:val="none"/>
          <w:lang w:eastAsia="zh-CN"/>
        </w:rPr>
        <w:t>202</w:t>
      </w:r>
      <w:r>
        <w:rPr>
          <w:rFonts w:hint="eastAsia" w:ascii="仿宋_GB2312" w:hAnsi="仿宋_GB2312" w:eastAsia="仿宋_GB2312" w:cs="仿宋_GB2312"/>
          <w:color w:val="000000"/>
          <w:sz w:val="32"/>
          <w:szCs w:val="32"/>
          <w:highlight w:val="none"/>
          <w:lang w:val="en-US" w:eastAsia="zh-CN"/>
        </w:rPr>
        <w:t>5</w:t>
      </w:r>
      <w:r>
        <w:rPr>
          <w:rFonts w:hint="eastAsia" w:ascii="仿宋_GB2312" w:hAnsi="仿宋_GB2312" w:eastAsia="仿宋_GB2312" w:cs="仿宋_GB2312"/>
          <w:color w:val="000000"/>
          <w:sz w:val="32"/>
          <w:highlight w:val="none"/>
          <w:u w:color="auto"/>
        </w:rPr>
        <w:t>年</w:t>
      </w:r>
      <w:r>
        <w:rPr>
          <w:rFonts w:hint="eastAsia" w:ascii="仿宋_GB2312" w:hAnsi="仿宋_GB2312" w:eastAsia="仿宋_GB2312" w:cs="仿宋_GB2312"/>
          <w:color w:val="000000"/>
          <w:sz w:val="32"/>
          <w:highlight w:val="none"/>
          <w:u w:color="auto"/>
          <w:lang w:val="en-US" w:eastAsia="zh-CN"/>
        </w:rPr>
        <w:t>度</w:t>
      </w:r>
      <w:r>
        <w:rPr>
          <w:rFonts w:hint="eastAsia" w:ascii="仿宋_GB2312" w:hAnsi="仿宋_GB2312" w:eastAsia="仿宋_GB2312" w:cs="仿宋_GB2312"/>
          <w:color w:val="000000"/>
          <w:sz w:val="32"/>
          <w:highlight w:val="none"/>
          <w:u w:color="auto"/>
        </w:rPr>
        <w:t>一般公共预算财政拨款支出</w:t>
      </w:r>
      <w:r>
        <w:rPr>
          <w:rFonts w:hint="eastAsia" w:ascii="仿宋_GB2312" w:hAnsi="仿宋_GB2312" w:eastAsia="仿宋_GB2312" w:cs="仿宋_GB2312"/>
          <w:color w:val="000000"/>
          <w:sz w:val="32"/>
          <w:highlight w:val="none"/>
          <w:u w:color="auto"/>
          <w:lang w:val="en-US" w:eastAsia="zh-CN"/>
        </w:rPr>
        <w:t>1113.32</w:t>
      </w:r>
      <w:r>
        <w:rPr>
          <w:rFonts w:hint="eastAsia" w:ascii="仿宋_GB2312" w:hAnsi="仿宋_GB2312" w:eastAsia="仿宋_GB2312" w:cs="仿宋_GB2312"/>
          <w:color w:val="000000"/>
          <w:sz w:val="32"/>
          <w:szCs w:val="32"/>
          <w:highlight w:val="none"/>
        </w:rPr>
        <w:t>万元，主要用于以下方面:</w:t>
      </w:r>
      <w:r>
        <w:rPr>
          <w:rFonts w:hint="eastAsia" w:ascii="仿宋_GB2312" w:hAnsi="仿宋_GB2312" w:eastAsia="仿宋_GB2312" w:cs="仿宋_GB2312"/>
          <w:b/>
          <w:bCs/>
          <w:color w:val="000000"/>
          <w:sz w:val="32"/>
          <w:highlight w:val="none"/>
          <w:u w:color="auto"/>
        </w:rPr>
        <w:t>一般公共服务支出</w:t>
      </w:r>
      <w:r>
        <w:rPr>
          <w:rFonts w:hint="eastAsia" w:ascii="仿宋_GB2312" w:hAnsi="仿宋_GB2312" w:eastAsia="仿宋_GB2312" w:cs="仿宋_GB2312"/>
          <w:b/>
          <w:bCs/>
          <w:color w:val="000000"/>
          <w:sz w:val="32"/>
          <w:highlight w:val="none"/>
          <w:u w:color="auto"/>
          <w:lang w:val="en-US" w:eastAsia="zh-CN"/>
        </w:rPr>
        <w:t>464.23</w:t>
      </w:r>
      <w:r>
        <w:rPr>
          <w:rFonts w:hint="eastAsia" w:ascii="仿宋_GB2312" w:hAnsi="仿宋_GB2312" w:eastAsia="仿宋_GB2312" w:cs="仿宋_GB2312"/>
          <w:color w:val="000000"/>
          <w:sz w:val="32"/>
          <w:highlight w:val="none"/>
          <w:u w:color="auto"/>
        </w:rPr>
        <w:t>万元，占</w:t>
      </w:r>
      <w:r>
        <w:rPr>
          <w:rFonts w:hint="eastAsia" w:ascii="仿宋_GB2312" w:hAnsi="仿宋_GB2312" w:eastAsia="仿宋_GB2312" w:cs="仿宋_GB2312"/>
          <w:b/>
          <w:bCs/>
          <w:color w:val="000000"/>
          <w:sz w:val="32"/>
          <w:highlight w:val="none"/>
          <w:u w:color="auto"/>
          <w:lang w:val="en-US" w:eastAsia="zh-CN"/>
        </w:rPr>
        <w:t>41.7</w:t>
      </w:r>
      <w:r>
        <w:rPr>
          <w:rFonts w:hint="eastAsia" w:ascii="仿宋_GB2312" w:hAnsi="仿宋_GB2312" w:eastAsia="仿宋_GB2312" w:cs="仿宋_GB2312"/>
          <w:b/>
          <w:bCs/>
          <w:color w:val="000000"/>
          <w:sz w:val="32"/>
          <w:highlight w:val="none"/>
          <w:u w:color="auto"/>
        </w:rPr>
        <w:t>%</w:t>
      </w:r>
      <w:r>
        <w:rPr>
          <w:rFonts w:hint="eastAsia" w:ascii="仿宋_GB2312" w:hAnsi="仿宋_GB2312" w:eastAsia="仿宋_GB2312" w:cs="仿宋_GB2312"/>
          <w:color w:val="000000"/>
          <w:sz w:val="32"/>
          <w:highlight w:val="none"/>
          <w:u w:color="auto"/>
        </w:rPr>
        <w:t>；</w:t>
      </w:r>
      <w:r>
        <w:rPr>
          <w:rFonts w:hint="eastAsia" w:ascii="仿宋_GB2312" w:hAnsi="仿宋_GB2312" w:eastAsia="仿宋_GB2312" w:cs="仿宋_GB2312"/>
          <w:b/>
          <w:bCs/>
          <w:color w:val="000000"/>
          <w:sz w:val="32"/>
          <w:highlight w:val="none"/>
          <w:u w:color="auto"/>
        </w:rPr>
        <w:t>社会保障和就业支出</w:t>
      </w:r>
      <w:r>
        <w:rPr>
          <w:rFonts w:hint="eastAsia" w:ascii="仿宋_GB2312" w:hAnsi="仿宋_GB2312" w:eastAsia="仿宋_GB2312" w:cs="仿宋_GB2312"/>
          <w:b/>
          <w:bCs/>
          <w:color w:val="000000"/>
          <w:sz w:val="32"/>
          <w:highlight w:val="none"/>
          <w:u w:color="auto"/>
          <w:lang w:val="en-US" w:eastAsia="zh-CN"/>
        </w:rPr>
        <w:t>107.01</w:t>
      </w:r>
      <w:r>
        <w:rPr>
          <w:rFonts w:hint="eastAsia" w:ascii="仿宋_GB2312" w:hAnsi="仿宋_GB2312" w:eastAsia="仿宋_GB2312" w:cs="仿宋_GB2312"/>
          <w:color w:val="000000"/>
          <w:sz w:val="32"/>
          <w:highlight w:val="none"/>
          <w:u w:color="auto"/>
        </w:rPr>
        <w:t>万元，占</w:t>
      </w:r>
      <w:r>
        <w:rPr>
          <w:rFonts w:hint="eastAsia" w:ascii="仿宋_GB2312" w:hAnsi="仿宋_GB2312" w:eastAsia="仿宋_GB2312" w:cs="仿宋_GB2312"/>
          <w:b/>
          <w:bCs/>
          <w:color w:val="000000"/>
          <w:sz w:val="32"/>
          <w:highlight w:val="none"/>
          <w:u w:color="auto"/>
          <w:lang w:val="en-US" w:eastAsia="zh-CN"/>
        </w:rPr>
        <w:t>9.61</w:t>
      </w:r>
      <w:r>
        <w:rPr>
          <w:rFonts w:hint="eastAsia" w:ascii="仿宋_GB2312" w:hAnsi="仿宋_GB2312" w:eastAsia="仿宋_GB2312" w:cs="仿宋_GB2312"/>
          <w:b/>
          <w:bCs/>
          <w:color w:val="000000"/>
          <w:sz w:val="32"/>
          <w:highlight w:val="none"/>
          <w:u w:color="auto"/>
        </w:rPr>
        <w:t>%</w:t>
      </w:r>
      <w:r>
        <w:rPr>
          <w:rFonts w:hint="eastAsia" w:ascii="仿宋_GB2312" w:hAnsi="仿宋_GB2312" w:eastAsia="仿宋_GB2312" w:cs="仿宋_GB2312"/>
          <w:color w:val="000000"/>
          <w:sz w:val="32"/>
          <w:highlight w:val="none"/>
          <w:u w:color="auto"/>
        </w:rPr>
        <w:t>；</w:t>
      </w:r>
      <w:r>
        <w:rPr>
          <w:rFonts w:hint="eastAsia" w:ascii="仿宋_GB2312" w:hAnsi="仿宋_GB2312" w:eastAsia="仿宋_GB2312" w:cs="仿宋_GB2312"/>
          <w:b/>
          <w:bCs/>
          <w:color w:val="000000"/>
          <w:sz w:val="32"/>
          <w:highlight w:val="none"/>
          <w:u w:color="auto"/>
        </w:rPr>
        <w:t>卫生健康支出</w:t>
      </w:r>
      <w:r>
        <w:rPr>
          <w:rFonts w:hint="eastAsia" w:ascii="仿宋_GB2312" w:hAnsi="仿宋_GB2312" w:eastAsia="仿宋_GB2312" w:cs="仿宋_GB2312"/>
          <w:b/>
          <w:bCs/>
          <w:color w:val="000000"/>
          <w:sz w:val="32"/>
          <w:highlight w:val="none"/>
          <w:u w:color="auto"/>
          <w:lang w:val="en-US" w:eastAsia="zh-CN"/>
        </w:rPr>
        <w:t>44.26</w:t>
      </w:r>
      <w:r>
        <w:rPr>
          <w:rFonts w:hint="eastAsia" w:ascii="仿宋_GB2312" w:hAnsi="仿宋_GB2312" w:eastAsia="仿宋_GB2312" w:cs="仿宋_GB2312"/>
          <w:color w:val="000000"/>
          <w:sz w:val="32"/>
          <w:highlight w:val="none"/>
          <w:u w:color="auto"/>
        </w:rPr>
        <w:t>万元，占</w:t>
      </w:r>
      <w:r>
        <w:rPr>
          <w:rFonts w:hint="eastAsia" w:ascii="仿宋_GB2312" w:hAnsi="仿宋_GB2312" w:eastAsia="仿宋_GB2312" w:cs="仿宋_GB2312"/>
          <w:b/>
          <w:bCs/>
          <w:color w:val="000000"/>
          <w:sz w:val="32"/>
          <w:highlight w:val="none"/>
          <w:u w:color="auto"/>
          <w:lang w:val="en-US" w:eastAsia="zh-CN"/>
        </w:rPr>
        <w:t>3.98</w:t>
      </w:r>
      <w:r>
        <w:rPr>
          <w:rFonts w:hint="eastAsia" w:ascii="仿宋_GB2312" w:hAnsi="仿宋_GB2312" w:eastAsia="仿宋_GB2312" w:cs="仿宋_GB2312"/>
          <w:b/>
          <w:bCs/>
          <w:color w:val="000000"/>
          <w:sz w:val="32"/>
          <w:highlight w:val="none"/>
          <w:u w:color="auto"/>
        </w:rPr>
        <w:t>%</w:t>
      </w:r>
      <w:r>
        <w:rPr>
          <w:rFonts w:hint="eastAsia" w:ascii="仿宋_GB2312" w:hAnsi="仿宋_GB2312" w:eastAsia="仿宋_GB2312" w:cs="仿宋_GB2312"/>
          <w:color w:val="000000"/>
          <w:sz w:val="32"/>
          <w:highlight w:val="none"/>
          <w:u w:color="auto"/>
        </w:rPr>
        <w:t>；</w:t>
      </w:r>
      <w:r>
        <w:rPr>
          <w:rFonts w:hint="eastAsia" w:ascii="仿宋_GB2312" w:hAnsi="仿宋_GB2312" w:eastAsia="仿宋_GB2312" w:cs="仿宋_GB2312"/>
          <w:b/>
          <w:bCs/>
          <w:color w:val="000000"/>
          <w:sz w:val="32"/>
          <w:highlight w:val="none"/>
          <w:u w:color="auto"/>
        </w:rPr>
        <w:t>农林水支出</w:t>
      </w:r>
      <w:r>
        <w:rPr>
          <w:rFonts w:hint="eastAsia" w:ascii="仿宋_GB2312" w:hAnsi="仿宋_GB2312" w:eastAsia="仿宋_GB2312" w:cs="仿宋_GB2312"/>
          <w:b/>
          <w:bCs/>
          <w:color w:val="000000"/>
          <w:sz w:val="32"/>
          <w:highlight w:val="none"/>
          <w:u w:color="auto"/>
          <w:lang w:val="en-US" w:eastAsia="zh-CN"/>
        </w:rPr>
        <w:t>436.03</w:t>
      </w:r>
      <w:r>
        <w:rPr>
          <w:rFonts w:hint="eastAsia" w:ascii="仿宋_GB2312" w:hAnsi="仿宋_GB2312" w:eastAsia="仿宋_GB2312" w:cs="仿宋_GB2312"/>
          <w:color w:val="000000"/>
          <w:sz w:val="32"/>
          <w:highlight w:val="none"/>
          <w:u w:color="auto"/>
        </w:rPr>
        <w:t>万元，占</w:t>
      </w:r>
      <w:r>
        <w:rPr>
          <w:rFonts w:hint="eastAsia" w:ascii="仿宋_GB2312" w:hAnsi="仿宋_GB2312" w:eastAsia="仿宋_GB2312" w:cs="仿宋_GB2312"/>
          <w:b/>
          <w:bCs/>
          <w:color w:val="000000"/>
          <w:sz w:val="32"/>
          <w:highlight w:val="none"/>
          <w:u w:color="auto"/>
          <w:lang w:val="en-US" w:eastAsia="zh-CN"/>
        </w:rPr>
        <w:t>39.16</w:t>
      </w:r>
      <w:r>
        <w:rPr>
          <w:rFonts w:hint="eastAsia" w:ascii="仿宋_GB2312" w:hAnsi="仿宋_GB2312" w:eastAsia="仿宋_GB2312" w:cs="仿宋_GB2312"/>
          <w:b/>
          <w:bCs/>
          <w:color w:val="000000"/>
          <w:sz w:val="32"/>
          <w:highlight w:val="none"/>
          <w:u w:color="auto"/>
        </w:rPr>
        <w:t>%</w:t>
      </w:r>
      <w:r>
        <w:rPr>
          <w:rFonts w:hint="eastAsia" w:ascii="仿宋_GB2312" w:hAnsi="仿宋_GB2312" w:eastAsia="仿宋_GB2312" w:cs="仿宋_GB2312"/>
          <w:color w:val="000000"/>
          <w:sz w:val="32"/>
          <w:highlight w:val="none"/>
          <w:u w:color="auto"/>
        </w:rPr>
        <w:t>；</w:t>
      </w:r>
      <w:r>
        <w:rPr>
          <w:rFonts w:hint="eastAsia" w:ascii="仿宋_GB2312" w:hAnsi="仿宋_GB2312" w:eastAsia="仿宋_GB2312" w:cs="仿宋_GB2312"/>
          <w:b/>
          <w:bCs/>
          <w:color w:val="000000"/>
          <w:sz w:val="32"/>
          <w:highlight w:val="none"/>
          <w:u w:color="auto"/>
        </w:rPr>
        <w:t>住房保障支出</w:t>
      </w:r>
      <w:r>
        <w:rPr>
          <w:rFonts w:hint="eastAsia" w:ascii="仿宋_GB2312" w:hAnsi="仿宋_GB2312" w:eastAsia="仿宋_GB2312" w:cs="仿宋_GB2312"/>
          <w:b/>
          <w:bCs/>
          <w:color w:val="000000"/>
          <w:sz w:val="32"/>
          <w:highlight w:val="none"/>
          <w:u w:color="auto"/>
          <w:lang w:val="en-US" w:eastAsia="zh-CN"/>
        </w:rPr>
        <w:t>61.8</w:t>
      </w:r>
      <w:r>
        <w:rPr>
          <w:rFonts w:hint="eastAsia" w:ascii="仿宋_GB2312" w:hAnsi="仿宋_GB2312" w:eastAsia="仿宋_GB2312" w:cs="仿宋_GB2312"/>
          <w:color w:val="000000"/>
          <w:sz w:val="32"/>
          <w:highlight w:val="none"/>
          <w:u w:color="auto"/>
        </w:rPr>
        <w:t>万元，占</w:t>
      </w:r>
      <w:r>
        <w:rPr>
          <w:rFonts w:hint="eastAsia" w:ascii="仿宋_GB2312" w:hAnsi="仿宋_GB2312" w:eastAsia="仿宋_GB2312" w:cs="仿宋_GB2312"/>
          <w:b/>
          <w:bCs/>
          <w:color w:val="000000"/>
          <w:sz w:val="32"/>
          <w:highlight w:val="none"/>
          <w:u w:color="auto"/>
          <w:lang w:val="en-US" w:eastAsia="zh-CN"/>
        </w:rPr>
        <w:t>5.55</w:t>
      </w:r>
      <w:r>
        <w:rPr>
          <w:rFonts w:hint="eastAsia" w:ascii="仿宋_GB2312" w:hAnsi="仿宋_GB2312" w:eastAsia="仿宋_GB2312" w:cs="仿宋_GB2312"/>
          <w:b/>
          <w:bCs/>
          <w:color w:val="000000"/>
          <w:sz w:val="32"/>
          <w:highlight w:val="none"/>
          <w:u w:color="auto"/>
        </w:rPr>
        <w:t>%</w:t>
      </w:r>
      <w:r>
        <w:rPr>
          <w:rFonts w:hint="eastAsia" w:ascii="仿宋_GB2312" w:hAnsi="仿宋_GB2312" w:eastAsia="仿宋_GB2312" w:cs="仿宋_GB2312"/>
          <w:color w:val="000000"/>
          <w:sz w:val="32"/>
          <w:highlight w:val="none"/>
          <w:u w:color="auto"/>
          <w:lang w:eastAsia="zh-CN"/>
        </w:rPr>
        <w:t>。</w:t>
      </w:r>
    </w:p>
    <w:p w14:paraId="1886C0AB">
      <w:pPr>
        <w:pStyle w:val="6"/>
        <w:rPr>
          <w:highlight w:val="yellow"/>
        </w:rPr>
      </w:pPr>
      <w:bookmarkStart w:id="37" w:name="_Toc15377212"/>
      <w:r>
        <w:rPr>
          <w:rFonts w:hint="eastAsia" w:ascii="仿宋" w:hAnsi="仿宋" w:eastAsia="仿宋"/>
          <w:sz w:val="32"/>
          <w:szCs w:val="32"/>
          <w:highlight w:val="none"/>
          <w:lang w:eastAsia="zh-CN"/>
        </w:rPr>
        <w:drawing>
          <wp:inline distT="0" distB="0" distL="114300" distR="114300">
            <wp:extent cx="4709795" cy="2916555"/>
            <wp:effectExtent l="4445" t="4445" r="10160" b="12700"/>
            <wp:docPr id="15"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7B3596E8">
      <w:pPr>
        <w:pageBreakBefore w:val="0"/>
        <w:kinsoku/>
        <w:wordWrap/>
        <w:overflowPunct/>
        <w:topLinePunct w:val="0"/>
        <w:bidi w:val="0"/>
        <w:spacing w:line="576" w:lineRule="exact"/>
        <w:ind w:firstLine="643" w:firstLineChars="200"/>
        <w:textAlignment w:val="auto"/>
        <w:outlineLvl w:val="2"/>
        <w:rPr>
          <w:rFonts w:hint="eastAsia" w:ascii="Times New Roman" w:hAnsi="Times New Roman" w:eastAsia="楷体_GB2312" w:cs="Times New Roman"/>
          <w:b/>
          <w:color w:val="auto"/>
          <w:sz w:val="32"/>
          <w:szCs w:val="32"/>
          <w:highlight w:val="none"/>
        </w:rPr>
      </w:pPr>
      <w:r>
        <w:rPr>
          <w:rFonts w:hint="eastAsia" w:ascii="Times New Roman" w:hAnsi="Times New Roman" w:eastAsia="楷体_GB2312" w:cs="Times New Roman"/>
          <w:b/>
          <w:color w:val="auto"/>
          <w:sz w:val="32"/>
          <w:szCs w:val="32"/>
          <w:highlight w:val="none"/>
        </w:rPr>
        <w:t>（三）一般公共预算财政拨款支出决算具体情况</w:t>
      </w:r>
      <w:bookmarkEnd w:id="37"/>
    </w:p>
    <w:p w14:paraId="1821DF55">
      <w:pPr>
        <w:spacing w:line="600" w:lineRule="exact"/>
        <w:ind w:firstLine="640"/>
        <w:rPr>
          <w:rFonts w:hint="eastAsia" w:ascii="仿宋_GB2312" w:hAnsi="仿宋_GB2312" w:eastAsia="仿宋_GB2312" w:cs="仿宋_GB2312"/>
          <w:color w:val="000000"/>
          <w:sz w:val="32"/>
          <w:szCs w:val="32"/>
          <w:highlight w:val="none"/>
        </w:rPr>
      </w:pPr>
      <w:bookmarkStart w:id="38" w:name="_Toc15378460"/>
      <w:bookmarkStart w:id="39" w:name="_Toc15377213"/>
      <w:bookmarkStart w:id="40" w:name="_Toc15377444"/>
      <w:r>
        <w:rPr>
          <w:rFonts w:hint="eastAsia" w:ascii="仿宋_GB2312" w:hAnsi="仿宋_GB2312" w:eastAsia="仿宋_GB2312" w:cs="仿宋_GB2312"/>
          <w:color w:val="000000"/>
          <w:sz w:val="32"/>
          <w:szCs w:val="32"/>
          <w:highlight w:val="none"/>
          <w:lang w:eastAsia="zh-CN"/>
        </w:rPr>
        <w:t>202</w:t>
      </w:r>
      <w:r>
        <w:rPr>
          <w:rFonts w:hint="eastAsia" w:ascii="仿宋_GB2312" w:hAnsi="仿宋_GB2312" w:eastAsia="仿宋_GB2312" w:cs="仿宋_GB2312"/>
          <w:color w:val="000000"/>
          <w:sz w:val="32"/>
          <w:szCs w:val="32"/>
          <w:highlight w:val="none"/>
          <w:lang w:val="en-US" w:eastAsia="zh-CN"/>
        </w:rPr>
        <w:t>5</w:t>
      </w:r>
      <w:r>
        <w:rPr>
          <w:rFonts w:hint="eastAsia" w:ascii="仿宋_GB2312" w:hAnsi="仿宋_GB2312" w:eastAsia="仿宋_GB2312" w:cs="仿宋_GB2312"/>
          <w:color w:val="000000"/>
          <w:sz w:val="32"/>
          <w:highlight w:val="none"/>
          <w:u w:color="auto"/>
        </w:rPr>
        <w:t>年</w:t>
      </w:r>
      <w:r>
        <w:rPr>
          <w:rFonts w:hint="eastAsia" w:ascii="仿宋_GB2312" w:hAnsi="仿宋_GB2312" w:eastAsia="仿宋_GB2312" w:cs="仿宋_GB2312"/>
          <w:color w:val="000000"/>
          <w:sz w:val="32"/>
          <w:highlight w:val="none"/>
          <w:u w:color="auto"/>
          <w:lang w:val="en-US" w:eastAsia="zh-CN"/>
        </w:rPr>
        <w:t>度</w:t>
      </w:r>
      <w:r>
        <w:rPr>
          <w:rFonts w:hint="eastAsia" w:ascii="仿宋_GB2312" w:hAnsi="仿宋_GB2312" w:eastAsia="仿宋_GB2312" w:cs="仿宋_GB2312"/>
          <w:color w:val="000000"/>
          <w:sz w:val="32"/>
          <w:highlight w:val="none"/>
          <w:u w:color="auto"/>
        </w:rPr>
        <w:t>一般公共预算支出决算数为</w:t>
      </w:r>
      <w:r>
        <w:rPr>
          <w:rFonts w:hint="eastAsia" w:ascii="仿宋_GB2312" w:hAnsi="仿宋_GB2312" w:eastAsia="仿宋_GB2312" w:cs="仿宋_GB2312"/>
          <w:color w:val="000000"/>
          <w:sz w:val="32"/>
          <w:highlight w:val="none"/>
          <w:u w:color="auto"/>
          <w:lang w:val="en-US" w:eastAsia="zh-CN"/>
        </w:rPr>
        <w:t>1113.32</w:t>
      </w:r>
      <w:r>
        <w:rPr>
          <w:rFonts w:hint="eastAsia" w:ascii="仿宋_GB2312" w:hAnsi="仿宋_GB2312" w:eastAsia="仿宋_GB2312" w:cs="仿宋_GB2312"/>
          <w:color w:val="000000"/>
          <w:sz w:val="32"/>
          <w:szCs w:val="32"/>
          <w:highlight w:val="none"/>
        </w:rPr>
        <w:t>万</w:t>
      </w:r>
      <w:r>
        <w:rPr>
          <w:rFonts w:hint="eastAsia" w:ascii="仿宋_GB2312" w:hAnsi="仿宋_GB2312" w:eastAsia="仿宋_GB2312" w:cs="仿宋_GB2312"/>
          <w:color w:val="000000"/>
          <w:sz w:val="32"/>
          <w:szCs w:val="32"/>
          <w:highlight w:val="none"/>
          <w:lang w:eastAsia="zh-CN"/>
        </w:rPr>
        <w:t>元</w:t>
      </w:r>
      <w:r>
        <w:rPr>
          <w:rFonts w:hint="eastAsia" w:ascii="仿宋_GB2312" w:hAnsi="仿宋_GB2312" w:eastAsia="仿宋_GB2312" w:cs="仿宋_GB2312"/>
          <w:color w:val="000000"/>
          <w:sz w:val="32"/>
          <w:szCs w:val="32"/>
          <w:highlight w:val="none"/>
        </w:rPr>
        <w:t>，完成预算100%。其中：</w:t>
      </w:r>
      <w:bookmarkEnd w:id="38"/>
      <w:bookmarkEnd w:id="39"/>
      <w:bookmarkEnd w:id="40"/>
    </w:p>
    <w:p w14:paraId="553312EB">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b/>
          <w:bCs/>
          <w:color w:val="000000"/>
          <w:sz w:val="32"/>
          <w:szCs w:val="32"/>
          <w:highlight w:val="none"/>
          <w:lang w:val="en-US" w:eastAsia="zh-CN"/>
        </w:rPr>
        <w:t>1.</w:t>
      </w:r>
      <w:r>
        <w:rPr>
          <w:rFonts w:hint="eastAsia" w:ascii="仿宋_GB2312" w:hAnsi="仿宋_GB2312" w:eastAsia="仿宋_GB2312" w:cs="仿宋_GB2312"/>
          <w:b/>
          <w:bCs/>
          <w:color w:val="000000"/>
          <w:sz w:val="32"/>
          <w:szCs w:val="32"/>
          <w:highlight w:val="none"/>
        </w:rPr>
        <w:t>一般公共服务支出（</w:t>
      </w:r>
      <w:r>
        <w:rPr>
          <w:rFonts w:hint="eastAsia" w:ascii="仿宋_GB2312" w:hAnsi="仿宋_GB2312" w:eastAsia="仿宋_GB2312" w:cs="仿宋_GB2312"/>
          <w:b/>
          <w:bCs/>
          <w:color w:val="000000"/>
          <w:sz w:val="32"/>
          <w:szCs w:val="32"/>
          <w:highlight w:val="none"/>
          <w:lang w:val="en-US" w:eastAsia="zh-CN"/>
        </w:rPr>
        <w:t>类</w:t>
      </w:r>
      <w:r>
        <w:rPr>
          <w:rFonts w:hint="eastAsia" w:ascii="仿宋_GB2312" w:hAnsi="仿宋_GB2312" w:eastAsia="仿宋_GB2312" w:cs="仿宋_GB2312"/>
          <w:b/>
          <w:bCs/>
          <w:color w:val="000000"/>
          <w:sz w:val="32"/>
          <w:szCs w:val="32"/>
          <w:highlight w:val="none"/>
        </w:rPr>
        <w:t>）人大事务</w:t>
      </w:r>
      <w:r>
        <w:rPr>
          <w:rFonts w:hint="eastAsia" w:ascii="仿宋_GB2312" w:hAnsi="仿宋_GB2312" w:eastAsia="仿宋_GB2312" w:cs="仿宋_GB2312"/>
          <w:b/>
          <w:bCs/>
          <w:color w:val="000000"/>
          <w:sz w:val="32"/>
          <w:szCs w:val="32"/>
          <w:highlight w:val="none"/>
          <w:lang w:val="en-US" w:eastAsia="zh-CN"/>
        </w:rPr>
        <w:t>(款)代表工作(项)</w:t>
      </w:r>
      <w:r>
        <w:rPr>
          <w:rFonts w:hint="eastAsia" w:ascii="仿宋_GB2312" w:hAnsi="仿宋_GB2312" w:eastAsia="仿宋_GB2312" w:cs="仿宋_GB2312"/>
          <w:color w:val="000000"/>
          <w:sz w:val="32"/>
          <w:szCs w:val="32"/>
          <w:highlight w:val="none"/>
        </w:rPr>
        <w:t>支出决算</w:t>
      </w:r>
      <w:r>
        <w:rPr>
          <w:rFonts w:hint="eastAsia" w:ascii="仿宋_GB2312" w:hAnsi="仿宋_GB2312" w:eastAsia="仿宋_GB2312" w:cs="仿宋_GB2312"/>
          <w:color w:val="000000"/>
          <w:sz w:val="32"/>
          <w:szCs w:val="32"/>
          <w:highlight w:val="none"/>
          <w:lang w:val="en-US" w:eastAsia="zh-CN"/>
        </w:rPr>
        <w:t>10万元，</w:t>
      </w:r>
      <w:r>
        <w:rPr>
          <w:rFonts w:hint="eastAsia" w:ascii="仿宋_GB2312" w:hAnsi="仿宋_GB2312" w:eastAsia="仿宋_GB2312" w:cs="仿宋_GB2312"/>
          <w:color w:val="000000"/>
          <w:sz w:val="32"/>
          <w:szCs w:val="32"/>
          <w:highlight w:val="none"/>
        </w:rPr>
        <w:t>完成预算100%</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lang w:val="en-US" w:eastAsia="zh-CN"/>
        </w:rPr>
        <w:t>决算数与预算数持平。</w:t>
      </w:r>
    </w:p>
    <w:p w14:paraId="15E4409E">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b/>
          <w:bCs/>
          <w:color w:val="000000"/>
          <w:sz w:val="32"/>
          <w:szCs w:val="32"/>
          <w:highlight w:val="none"/>
          <w:lang w:val="en-US" w:eastAsia="zh-CN"/>
        </w:rPr>
        <w:t>2.</w:t>
      </w:r>
      <w:r>
        <w:rPr>
          <w:rFonts w:hint="eastAsia" w:ascii="仿宋_GB2312" w:hAnsi="仿宋_GB2312" w:eastAsia="仿宋_GB2312" w:cs="仿宋_GB2312"/>
          <w:b/>
          <w:bCs/>
          <w:color w:val="000000"/>
          <w:sz w:val="32"/>
          <w:szCs w:val="32"/>
          <w:highlight w:val="none"/>
        </w:rPr>
        <w:t>一般公共服务支出（</w:t>
      </w:r>
      <w:r>
        <w:rPr>
          <w:rFonts w:hint="eastAsia" w:ascii="仿宋_GB2312" w:hAnsi="仿宋_GB2312" w:eastAsia="仿宋_GB2312" w:cs="仿宋_GB2312"/>
          <w:b/>
          <w:bCs/>
          <w:color w:val="000000"/>
          <w:sz w:val="32"/>
          <w:szCs w:val="32"/>
          <w:highlight w:val="none"/>
          <w:lang w:val="en-US" w:eastAsia="zh-CN"/>
        </w:rPr>
        <w:t>类</w:t>
      </w:r>
      <w:r>
        <w:rPr>
          <w:rFonts w:hint="eastAsia" w:ascii="仿宋_GB2312" w:hAnsi="仿宋_GB2312" w:eastAsia="仿宋_GB2312" w:cs="仿宋_GB2312"/>
          <w:b/>
          <w:bCs/>
          <w:color w:val="000000"/>
          <w:sz w:val="32"/>
          <w:szCs w:val="32"/>
          <w:highlight w:val="none"/>
        </w:rPr>
        <w:t>）政府办公厅（室）及相关机构事务</w:t>
      </w:r>
      <w:r>
        <w:rPr>
          <w:rFonts w:hint="eastAsia" w:ascii="仿宋_GB2312" w:hAnsi="仿宋_GB2312" w:eastAsia="仿宋_GB2312" w:cs="仿宋_GB2312"/>
          <w:b/>
          <w:bCs/>
          <w:color w:val="000000"/>
          <w:sz w:val="32"/>
          <w:szCs w:val="32"/>
          <w:highlight w:val="none"/>
          <w:lang w:val="en-US" w:eastAsia="zh-CN"/>
        </w:rPr>
        <w:t>(款)</w:t>
      </w:r>
      <w:r>
        <w:rPr>
          <w:rFonts w:hint="eastAsia" w:ascii="仿宋_GB2312" w:hAnsi="仿宋_GB2312" w:eastAsia="仿宋_GB2312" w:cs="仿宋_GB2312"/>
          <w:b/>
          <w:bCs/>
          <w:color w:val="000000"/>
          <w:sz w:val="32"/>
          <w:szCs w:val="32"/>
          <w:highlight w:val="none"/>
        </w:rPr>
        <w:t>行政运行</w:t>
      </w:r>
      <w:r>
        <w:rPr>
          <w:rFonts w:hint="eastAsia" w:ascii="仿宋_GB2312" w:hAnsi="仿宋_GB2312" w:eastAsia="仿宋_GB2312" w:cs="仿宋_GB2312"/>
          <w:b/>
          <w:bCs/>
          <w:color w:val="000000"/>
          <w:sz w:val="32"/>
          <w:szCs w:val="32"/>
          <w:highlight w:val="none"/>
          <w:lang w:val="en-US" w:eastAsia="zh-CN"/>
        </w:rPr>
        <w:t>(项)</w:t>
      </w:r>
      <w:r>
        <w:rPr>
          <w:rFonts w:hint="eastAsia" w:ascii="仿宋_GB2312" w:hAnsi="仿宋_GB2312" w:eastAsia="仿宋_GB2312" w:cs="仿宋_GB2312"/>
          <w:color w:val="000000"/>
          <w:sz w:val="32"/>
          <w:szCs w:val="32"/>
          <w:highlight w:val="none"/>
        </w:rPr>
        <w:t>支出决算</w:t>
      </w:r>
      <w:r>
        <w:rPr>
          <w:rFonts w:hint="eastAsia" w:ascii="仿宋_GB2312" w:hAnsi="仿宋_GB2312" w:eastAsia="仿宋_GB2312" w:cs="仿宋_GB2312"/>
          <w:color w:val="000000"/>
          <w:sz w:val="32"/>
          <w:szCs w:val="32"/>
          <w:highlight w:val="none"/>
          <w:lang w:val="en-US" w:eastAsia="zh-CN"/>
        </w:rPr>
        <w:t>422.64</w:t>
      </w:r>
      <w:r>
        <w:rPr>
          <w:rFonts w:hint="eastAsia" w:ascii="仿宋_GB2312" w:hAnsi="仿宋_GB2312" w:eastAsia="仿宋_GB2312" w:cs="仿宋_GB2312"/>
          <w:color w:val="000000"/>
          <w:sz w:val="32"/>
          <w:szCs w:val="32"/>
          <w:highlight w:val="none"/>
        </w:rPr>
        <w:t>万元，完成预算100%</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lang w:val="en-US" w:eastAsia="zh-CN"/>
        </w:rPr>
        <w:t>决算数与预算数持平。</w:t>
      </w:r>
    </w:p>
    <w:p w14:paraId="621BCFAB">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b/>
          <w:bCs/>
          <w:color w:val="000000"/>
          <w:sz w:val="32"/>
          <w:szCs w:val="32"/>
          <w:highlight w:val="none"/>
          <w:lang w:val="en-US" w:eastAsia="zh-CN"/>
        </w:rPr>
        <w:t>3.</w:t>
      </w:r>
      <w:r>
        <w:rPr>
          <w:rFonts w:hint="eastAsia" w:ascii="仿宋_GB2312" w:hAnsi="仿宋_GB2312" w:eastAsia="仿宋_GB2312" w:cs="仿宋_GB2312"/>
          <w:b/>
          <w:bCs/>
          <w:color w:val="000000"/>
          <w:sz w:val="32"/>
          <w:szCs w:val="32"/>
          <w:highlight w:val="none"/>
        </w:rPr>
        <w:t>一般公共服务支出（</w:t>
      </w:r>
      <w:r>
        <w:rPr>
          <w:rFonts w:hint="eastAsia" w:ascii="仿宋_GB2312" w:hAnsi="仿宋_GB2312" w:eastAsia="仿宋_GB2312" w:cs="仿宋_GB2312"/>
          <w:b/>
          <w:bCs/>
          <w:color w:val="000000"/>
          <w:sz w:val="32"/>
          <w:szCs w:val="32"/>
          <w:highlight w:val="none"/>
          <w:lang w:val="en-US" w:eastAsia="zh-CN"/>
        </w:rPr>
        <w:t>类</w:t>
      </w:r>
      <w:r>
        <w:rPr>
          <w:rFonts w:hint="eastAsia" w:ascii="仿宋_GB2312" w:hAnsi="仿宋_GB2312" w:eastAsia="仿宋_GB2312" w:cs="仿宋_GB2312"/>
          <w:b/>
          <w:bCs/>
          <w:color w:val="000000"/>
          <w:sz w:val="32"/>
          <w:szCs w:val="32"/>
          <w:highlight w:val="none"/>
        </w:rPr>
        <w:t>）政府办公厅（室）及相关机构事务</w:t>
      </w:r>
      <w:r>
        <w:rPr>
          <w:rFonts w:hint="eastAsia" w:ascii="仿宋_GB2312" w:hAnsi="仿宋_GB2312" w:eastAsia="仿宋_GB2312" w:cs="仿宋_GB2312"/>
          <w:b/>
          <w:bCs/>
          <w:color w:val="000000"/>
          <w:sz w:val="32"/>
          <w:szCs w:val="32"/>
          <w:highlight w:val="none"/>
          <w:lang w:val="en-US" w:eastAsia="zh-CN"/>
        </w:rPr>
        <w:t>(款)</w:t>
      </w:r>
      <w:r>
        <w:rPr>
          <w:rFonts w:hint="eastAsia" w:ascii="仿宋_GB2312" w:hAnsi="仿宋_GB2312" w:eastAsia="仿宋_GB2312" w:cs="仿宋_GB2312"/>
          <w:b/>
          <w:bCs/>
          <w:color w:val="000000"/>
          <w:sz w:val="32"/>
          <w:szCs w:val="32"/>
          <w:highlight w:val="none"/>
        </w:rPr>
        <w:t>其他政府办公厅（室）及相关机构事务支出</w:t>
      </w:r>
      <w:r>
        <w:rPr>
          <w:rFonts w:hint="eastAsia" w:ascii="仿宋_GB2312" w:hAnsi="仿宋_GB2312" w:eastAsia="仿宋_GB2312" w:cs="仿宋_GB2312"/>
          <w:b/>
          <w:bCs/>
          <w:color w:val="000000"/>
          <w:sz w:val="32"/>
          <w:szCs w:val="32"/>
          <w:highlight w:val="none"/>
          <w:lang w:val="en-US" w:eastAsia="zh-CN"/>
        </w:rPr>
        <w:t>(项)</w:t>
      </w:r>
      <w:r>
        <w:rPr>
          <w:rFonts w:hint="eastAsia" w:ascii="仿宋_GB2312" w:hAnsi="仿宋_GB2312" w:eastAsia="仿宋_GB2312" w:cs="仿宋_GB2312"/>
          <w:color w:val="000000"/>
          <w:sz w:val="32"/>
          <w:szCs w:val="32"/>
          <w:highlight w:val="none"/>
        </w:rPr>
        <w:t>支出决算</w:t>
      </w:r>
      <w:r>
        <w:rPr>
          <w:rFonts w:hint="eastAsia" w:ascii="仿宋_GB2312" w:hAnsi="仿宋_GB2312" w:eastAsia="仿宋_GB2312" w:cs="仿宋_GB2312"/>
          <w:color w:val="000000"/>
          <w:sz w:val="32"/>
          <w:szCs w:val="32"/>
          <w:highlight w:val="none"/>
          <w:lang w:val="en-US" w:eastAsia="zh-CN"/>
        </w:rPr>
        <w:t>3.43</w:t>
      </w:r>
      <w:r>
        <w:rPr>
          <w:rFonts w:hint="eastAsia" w:ascii="仿宋_GB2312" w:hAnsi="仿宋_GB2312" w:eastAsia="仿宋_GB2312" w:cs="仿宋_GB2312"/>
          <w:color w:val="000000"/>
          <w:sz w:val="32"/>
          <w:szCs w:val="32"/>
          <w:highlight w:val="none"/>
        </w:rPr>
        <w:t>万元，完成预算100%</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lang w:val="en-US" w:eastAsia="zh-CN"/>
        </w:rPr>
        <w:t>决算数与预算数持平。</w:t>
      </w:r>
    </w:p>
    <w:p w14:paraId="1C509B0C">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b/>
          <w:bCs/>
          <w:color w:val="000000"/>
          <w:sz w:val="32"/>
          <w:szCs w:val="32"/>
          <w:highlight w:val="none"/>
          <w:lang w:val="en-US" w:eastAsia="zh-CN"/>
        </w:rPr>
        <w:t>4.</w:t>
      </w:r>
      <w:r>
        <w:rPr>
          <w:rFonts w:hint="eastAsia" w:ascii="仿宋_GB2312" w:hAnsi="仿宋_GB2312" w:eastAsia="仿宋_GB2312" w:cs="仿宋_GB2312"/>
          <w:b/>
          <w:bCs/>
          <w:color w:val="000000"/>
          <w:sz w:val="32"/>
          <w:szCs w:val="32"/>
          <w:highlight w:val="none"/>
        </w:rPr>
        <w:t>一般公共服务支出（</w:t>
      </w:r>
      <w:r>
        <w:rPr>
          <w:rFonts w:hint="eastAsia" w:ascii="仿宋_GB2312" w:hAnsi="仿宋_GB2312" w:eastAsia="仿宋_GB2312" w:cs="仿宋_GB2312"/>
          <w:b/>
          <w:bCs/>
          <w:color w:val="000000"/>
          <w:sz w:val="32"/>
          <w:szCs w:val="32"/>
          <w:highlight w:val="none"/>
          <w:lang w:val="en-US" w:eastAsia="zh-CN"/>
        </w:rPr>
        <w:t>类</w:t>
      </w:r>
      <w:r>
        <w:rPr>
          <w:rFonts w:hint="eastAsia" w:ascii="仿宋_GB2312" w:hAnsi="仿宋_GB2312" w:eastAsia="仿宋_GB2312" w:cs="仿宋_GB2312"/>
          <w:b/>
          <w:bCs/>
          <w:color w:val="000000"/>
          <w:sz w:val="32"/>
          <w:szCs w:val="32"/>
          <w:highlight w:val="none"/>
        </w:rPr>
        <w:t>）社会工作事务</w:t>
      </w:r>
      <w:r>
        <w:rPr>
          <w:rFonts w:hint="eastAsia" w:ascii="仿宋_GB2312" w:hAnsi="仿宋_GB2312" w:eastAsia="仿宋_GB2312" w:cs="仿宋_GB2312"/>
          <w:b/>
          <w:bCs/>
          <w:color w:val="000000"/>
          <w:sz w:val="32"/>
          <w:szCs w:val="32"/>
          <w:highlight w:val="none"/>
          <w:lang w:val="en-US" w:eastAsia="zh-CN"/>
        </w:rPr>
        <w:t>(款)</w:t>
      </w:r>
      <w:r>
        <w:rPr>
          <w:rFonts w:hint="eastAsia" w:ascii="仿宋_GB2312" w:hAnsi="仿宋_GB2312" w:eastAsia="仿宋_GB2312" w:cs="仿宋_GB2312"/>
          <w:b/>
          <w:bCs/>
          <w:color w:val="000000"/>
          <w:sz w:val="32"/>
          <w:szCs w:val="32"/>
          <w:highlight w:val="none"/>
        </w:rPr>
        <w:t>其他其他社会工作事务支出</w:t>
      </w:r>
      <w:r>
        <w:rPr>
          <w:rFonts w:hint="eastAsia" w:ascii="仿宋_GB2312" w:hAnsi="仿宋_GB2312" w:eastAsia="仿宋_GB2312" w:cs="仿宋_GB2312"/>
          <w:b/>
          <w:bCs/>
          <w:color w:val="000000"/>
          <w:sz w:val="32"/>
          <w:szCs w:val="32"/>
          <w:highlight w:val="none"/>
          <w:lang w:val="en-US" w:eastAsia="zh-CN"/>
        </w:rPr>
        <w:t>(项)</w:t>
      </w:r>
      <w:r>
        <w:rPr>
          <w:rFonts w:hint="eastAsia" w:ascii="仿宋_GB2312" w:hAnsi="仿宋_GB2312" w:eastAsia="仿宋_GB2312" w:cs="仿宋_GB2312"/>
          <w:color w:val="000000"/>
          <w:sz w:val="32"/>
          <w:szCs w:val="32"/>
          <w:highlight w:val="none"/>
        </w:rPr>
        <w:t>支出决算</w:t>
      </w:r>
      <w:r>
        <w:rPr>
          <w:rFonts w:hint="eastAsia" w:ascii="仿宋_GB2312" w:hAnsi="仿宋_GB2312" w:eastAsia="仿宋_GB2312" w:cs="仿宋_GB2312"/>
          <w:color w:val="000000"/>
          <w:sz w:val="32"/>
          <w:szCs w:val="32"/>
          <w:highlight w:val="none"/>
          <w:lang w:val="en-US" w:eastAsia="zh-CN"/>
        </w:rPr>
        <w:t>28.16</w:t>
      </w:r>
      <w:r>
        <w:rPr>
          <w:rFonts w:hint="eastAsia" w:ascii="仿宋_GB2312" w:hAnsi="仿宋_GB2312" w:eastAsia="仿宋_GB2312" w:cs="仿宋_GB2312"/>
          <w:color w:val="000000"/>
          <w:sz w:val="32"/>
          <w:szCs w:val="32"/>
          <w:highlight w:val="none"/>
        </w:rPr>
        <w:t>万元，完成预算100%</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lang w:val="en-US" w:eastAsia="zh-CN"/>
        </w:rPr>
        <w:t>决算数与预算数持平。</w:t>
      </w:r>
    </w:p>
    <w:p w14:paraId="26A5BA6F">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b/>
          <w:bCs/>
          <w:color w:val="000000"/>
          <w:sz w:val="32"/>
          <w:szCs w:val="32"/>
          <w:highlight w:val="none"/>
          <w:lang w:val="en-US" w:eastAsia="zh-CN"/>
        </w:rPr>
        <w:t>5.</w:t>
      </w:r>
      <w:r>
        <w:rPr>
          <w:rFonts w:hint="eastAsia" w:ascii="仿宋_GB2312" w:hAnsi="仿宋_GB2312" w:eastAsia="仿宋_GB2312" w:cs="仿宋_GB2312"/>
          <w:b/>
          <w:bCs/>
          <w:color w:val="000000"/>
          <w:sz w:val="32"/>
          <w:szCs w:val="32"/>
          <w:highlight w:val="none"/>
        </w:rPr>
        <w:t>社会保障和就业支出（</w:t>
      </w:r>
      <w:r>
        <w:rPr>
          <w:rFonts w:hint="eastAsia" w:ascii="仿宋_GB2312" w:hAnsi="仿宋_GB2312" w:eastAsia="仿宋_GB2312" w:cs="仿宋_GB2312"/>
          <w:b/>
          <w:bCs/>
          <w:color w:val="000000"/>
          <w:sz w:val="32"/>
          <w:szCs w:val="32"/>
          <w:highlight w:val="none"/>
          <w:lang w:val="en-US" w:eastAsia="zh-CN"/>
        </w:rPr>
        <w:t>类</w:t>
      </w:r>
      <w:r>
        <w:rPr>
          <w:rFonts w:hint="eastAsia" w:ascii="仿宋_GB2312" w:hAnsi="仿宋_GB2312" w:eastAsia="仿宋_GB2312" w:cs="仿宋_GB2312"/>
          <w:b/>
          <w:bCs/>
          <w:color w:val="000000"/>
          <w:sz w:val="32"/>
          <w:szCs w:val="32"/>
          <w:highlight w:val="none"/>
        </w:rPr>
        <w:t>）行政事业单位养老支出</w:t>
      </w:r>
      <w:r>
        <w:rPr>
          <w:rFonts w:hint="eastAsia" w:ascii="仿宋_GB2312" w:hAnsi="仿宋_GB2312" w:eastAsia="仿宋_GB2312" w:cs="仿宋_GB2312"/>
          <w:b/>
          <w:bCs/>
          <w:color w:val="000000"/>
          <w:sz w:val="32"/>
          <w:szCs w:val="32"/>
          <w:highlight w:val="none"/>
          <w:lang w:val="en-US" w:eastAsia="zh-CN"/>
        </w:rPr>
        <w:t>(款)</w:t>
      </w:r>
      <w:r>
        <w:rPr>
          <w:rFonts w:hint="eastAsia" w:ascii="仿宋_GB2312" w:hAnsi="仿宋_GB2312" w:eastAsia="仿宋_GB2312" w:cs="仿宋_GB2312"/>
          <w:b/>
          <w:bCs/>
          <w:color w:val="000000"/>
          <w:sz w:val="32"/>
          <w:szCs w:val="32"/>
          <w:highlight w:val="none"/>
        </w:rPr>
        <w:t>机关事业单位基本养老保险缴费支出</w:t>
      </w:r>
      <w:r>
        <w:rPr>
          <w:rFonts w:hint="eastAsia" w:ascii="仿宋_GB2312" w:hAnsi="仿宋_GB2312" w:eastAsia="仿宋_GB2312" w:cs="仿宋_GB2312"/>
          <w:b/>
          <w:bCs/>
          <w:color w:val="000000"/>
          <w:sz w:val="32"/>
          <w:szCs w:val="32"/>
          <w:highlight w:val="none"/>
          <w:lang w:val="en-US" w:eastAsia="zh-CN"/>
        </w:rPr>
        <w:t>(项)</w:t>
      </w:r>
      <w:r>
        <w:rPr>
          <w:rFonts w:hint="eastAsia" w:ascii="仿宋_GB2312" w:hAnsi="仿宋_GB2312" w:eastAsia="仿宋_GB2312" w:cs="仿宋_GB2312"/>
          <w:color w:val="000000"/>
          <w:sz w:val="32"/>
          <w:szCs w:val="32"/>
          <w:highlight w:val="none"/>
        </w:rPr>
        <w:t>支出决算</w:t>
      </w:r>
      <w:r>
        <w:rPr>
          <w:rFonts w:hint="eastAsia" w:ascii="仿宋_GB2312" w:hAnsi="仿宋_GB2312" w:eastAsia="仿宋_GB2312" w:cs="仿宋_GB2312"/>
          <w:color w:val="000000"/>
          <w:sz w:val="32"/>
          <w:szCs w:val="32"/>
          <w:highlight w:val="none"/>
          <w:lang w:val="en-US" w:eastAsia="zh-CN"/>
        </w:rPr>
        <w:t>70.01</w:t>
      </w:r>
      <w:r>
        <w:rPr>
          <w:rFonts w:hint="eastAsia" w:ascii="仿宋_GB2312" w:hAnsi="仿宋_GB2312" w:eastAsia="仿宋_GB2312" w:cs="仿宋_GB2312"/>
          <w:color w:val="000000"/>
          <w:sz w:val="32"/>
          <w:szCs w:val="32"/>
          <w:highlight w:val="none"/>
        </w:rPr>
        <w:t>万元，完成预算100%</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lang w:val="en-US" w:eastAsia="zh-CN"/>
        </w:rPr>
        <w:t>决算数与预算数持平。</w:t>
      </w:r>
    </w:p>
    <w:p w14:paraId="07C62CE2">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b/>
          <w:bCs/>
          <w:color w:val="000000"/>
          <w:sz w:val="32"/>
          <w:szCs w:val="32"/>
          <w:highlight w:val="none"/>
          <w:lang w:val="en-US" w:eastAsia="zh-CN"/>
        </w:rPr>
        <w:t>6.</w:t>
      </w:r>
      <w:r>
        <w:rPr>
          <w:rFonts w:hint="eastAsia" w:ascii="仿宋_GB2312" w:hAnsi="仿宋_GB2312" w:eastAsia="仿宋_GB2312" w:cs="仿宋_GB2312"/>
          <w:b/>
          <w:bCs/>
          <w:color w:val="000000"/>
          <w:sz w:val="32"/>
          <w:szCs w:val="32"/>
          <w:highlight w:val="none"/>
        </w:rPr>
        <w:t>社会保障和就业支出（</w:t>
      </w:r>
      <w:r>
        <w:rPr>
          <w:rFonts w:hint="eastAsia" w:ascii="仿宋_GB2312" w:hAnsi="仿宋_GB2312" w:eastAsia="仿宋_GB2312" w:cs="仿宋_GB2312"/>
          <w:b/>
          <w:bCs/>
          <w:color w:val="000000"/>
          <w:sz w:val="32"/>
          <w:szCs w:val="32"/>
          <w:highlight w:val="none"/>
          <w:lang w:val="en-US" w:eastAsia="zh-CN"/>
        </w:rPr>
        <w:t>类</w:t>
      </w:r>
      <w:r>
        <w:rPr>
          <w:rFonts w:hint="eastAsia" w:ascii="仿宋_GB2312" w:hAnsi="仿宋_GB2312" w:eastAsia="仿宋_GB2312" w:cs="仿宋_GB2312"/>
          <w:b/>
          <w:bCs/>
          <w:color w:val="000000"/>
          <w:sz w:val="32"/>
          <w:szCs w:val="32"/>
          <w:highlight w:val="none"/>
        </w:rPr>
        <w:t>）行政事业单位养老支出</w:t>
      </w:r>
      <w:r>
        <w:rPr>
          <w:rFonts w:hint="eastAsia" w:ascii="仿宋_GB2312" w:hAnsi="仿宋_GB2312" w:eastAsia="仿宋_GB2312" w:cs="仿宋_GB2312"/>
          <w:b/>
          <w:bCs/>
          <w:color w:val="000000"/>
          <w:sz w:val="32"/>
          <w:szCs w:val="32"/>
          <w:highlight w:val="none"/>
          <w:lang w:val="en-US" w:eastAsia="zh-CN"/>
        </w:rPr>
        <w:t>(款)</w:t>
      </w:r>
      <w:r>
        <w:rPr>
          <w:rFonts w:hint="eastAsia" w:ascii="仿宋_GB2312" w:hAnsi="仿宋_GB2312" w:eastAsia="仿宋_GB2312" w:cs="仿宋_GB2312"/>
          <w:b/>
          <w:bCs/>
          <w:color w:val="000000"/>
          <w:sz w:val="32"/>
          <w:szCs w:val="32"/>
          <w:highlight w:val="none"/>
        </w:rPr>
        <w:t>机关事业单位职业年金缴费支出</w:t>
      </w:r>
      <w:r>
        <w:rPr>
          <w:rFonts w:hint="eastAsia" w:ascii="仿宋_GB2312" w:hAnsi="仿宋_GB2312" w:eastAsia="仿宋_GB2312" w:cs="仿宋_GB2312"/>
          <w:b/>
          <w:bCs/>
          <w:color w:val="000000"/>
          <w:sz w:val="32"/>
          <w:szCs w:val="32"/>
          <w:highlight w:val="none"/>
          <w:lang w:val="en-US" w:eastAsia="zh-CN"/>
        </w:rPr>
        <w:t>(项)</w:t>
      </w:r>
      <w:r>
        <w:rPr>
          <w:rFonts w:hint="eastAsia" w:ascii="仿宋_GB2312" w:hAnsi="仿宋_GB2312" w:eastAsia="仿宋_GB2312" w:cs="仿宋_GB2312"/>
          <w:color w:val="000000"/>
          <w:sz w:val="32"/>
          <w:szCs w:val="32"/>
          <w:highlight w:val="none"/>
        </w:rPr>
        <w:t>支出决算</w:t>
      </w:r>
      <w:r>
        <w:rPr>
          <w:rFonts w:hint="eastAsia" w:ascii="仿宋_GB2312" w:hAnsi="仿宋_GB2312" w:eastAsia="仿宋_GB2312" w:cs="仿宋_GB2312"/>
          <w:color w:val="000000"/>
          <w:sz w:val="32"/>
          <w:szCs w:val="32"/>
          <w:highlight w:val="none"/>
          <w:lang w:val="en-US" w:eastAsia="zh-CN"/>
        </w:rPr>
        <w:t>35</w:t>
      </w:r>
      <w:r>
        <w:rPr>
          <w:rFonts w:hint="eastAsia" w:ascii="仿宋_GB2312" w:hAnsi="仿宋_GB2312" w:eastAsia="仿宋_GB2312" w:cs="仿宋_GB2312"/>
          <w:color w:val="000000"/>
          <w:sz w:val="32"/>
          <w:szCs w:val="32"/>
          <w:highlight w:val="none"/>
        </w:rPr>
        <w:t>万元，完成预算100%</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lang w:val="en-US" w:eastAsia="zh-CN"/>
        </w:rPr>
        <w:t>决算数与预算数持平。</w:t>
      </w:r>
    </w:p>
    <w:p w14:paraId="657181D3">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b/>
          <w:bCs/>
          <w:color w:val="000000"/>
          <w:kern w:val="2"/>
          <w:sz w:val="32"/>
          <w:szCs w:val="32"/>
          <w:highlight w:val="none"/>
          <w:lang w:val="en-US" w:eastAsia="zh-CN" w:bidi="ar-SA"/>
        </w:rPr>
        <w:t>7.</w:t>
      </w:r>
      <w:r>
        <w:rPr>
          <w:rFonts w:hint="eastAsia" w:ascii="仿宋_GB2312" w:hAnsi="仿宋_GB2312" w:eastAsia="仿宋_GB2312" w:cs="仿宋_GB2312"/>
          <w:b/>
          <w:bCs/>
          <w:color w:val="000000"/>
          <w:sz w:val="32"/>
          <w:szCs w:val="32"/>
          <w:highlight w:val="none"/>
          <w:lang w:val="en-US" w:eastAsia="zh-CN"/>
        </w:rPr>
        <w:t>社会保障和就业支出</w:t>
      </w:r>
      <w:r>
        <w:rPr>
          <w:rFonts w:hint="eastAsia" w:ascii="仿宋_GB2312" w:hAnsi="仿宋_GB2312" w:eastAsia="仿宋_GB2312" w:cs="仿宋_GB2312"/>
          <w:b/>
          <w:bCs/>
          <w:color w:val="000000"/>
          <w:sz w:val="32"/>
          <w:szCs w:val="32"/>
          <w:highlight w:val="none"/>
        </w:rPr>
        <w:t>（</w:t>
      </w:r>
      <w:r>
        <w:rPr>
          <w:rFonts w:hint="eastAsia" w:ascii="仿宋_GB2312" w:hAnsi="仿宋_GB2312" w:eastAsia="仿宋_GB2312" w:cs="仿宋_GB2312"/>
          <w:b/>
          <w:bCs/>
          <w:color w:val="000000"/>
          <w:sz w:val="32"/>
          <w:szCs w:val="32"/>
          <w:highlight w:val="none"/>
          <w:lang w:val="en-US" w:eastAsia="zh-CN"/>
        </w:rPr>
        <w:t>类</w:t>
      </w:r>
      <w:r>
        <w:rPr>
          <w:rFonts w:hint="eastAsia" w:ascii="仿宋_GB2312" w:hAnsi="仿宋_GB2312" w:eastAsia="仿宋_GB2312" w:cs="仿宋_GB2312"/>
          <w:b/>
          <w:bCs/>
          <w:color w:val="000000"/>
          <w:sz w:val="32"/>
          <w:szCs w:val="32"/>
          <w:highlight w:val="none"/>
        </w:rPr>
        <w:t>）</w:t>
      </w:r>
      <w:r>
        <w:rPr>
          <w:rFonts w:hint="eastAsia" w:ascii="仿宋_GB2312" w:hAnsi="仿宋_GB2312" w:eastAsia="仿宋_GB2312" w:cs="仿宋_GB2312"/>
          <w:b/>
          <w:bCs/>
          <w:color w:val="000000"/>
          <w:sz w:val="32"/>
          <w:szCs w:val="32"/>
          <w:highlight w:val="none"/>
          <w:lang w:val="en-US" w:eastAsia="zh-CN"/>
        </w:rPr>
        <w:t>就业补助(款)重公益性岗位补贴(项)</w:t>
      </w:r>
      <w:r>
        <w:rPr>
          <w:rFonts w:hint="eastAsia" w:ascii="仿宋_GB2312" w:hAnsi="仿宋_GB2312" w:eastAsia="仿宋_GB2312" w:cs="仿宋_GB2312"/>
          <w:color w:val="000000"/>
          <w:sz w:val="32"/>
          <w:szCs w:val="32"/>
          <w:highlight w:val="none"/>
        </w:rPr>
        <w:t>支出决算</w:t>
      </w:r>
      <w:r>
        <w:rPr>
          <w:rFonts w:hint="eastAsia" w:ascii="仿宋_GB2312" w:hAnsi="仿宋_GB2312" w:eastAsia="仿宋_GB2312" w:cs="仿宋_GB2312"/>
          <w:color w:val="000000"/>
          <w:sz w:val="32"/>
          <w:szCs w:val="32"/>
          <w:highlight w:val="none"/>
          <w:lang w:val="en-US" w:eastAsia="zh-CN"/>
        </w:rPr>
        <w:t>1.6</w:t>
      </w:r>
      <w:r>
        <w:rPr>
          <w:rFonts w:hint="eastAsia" w:ascii="仿宋_GB2312" w:hAnsi="仿宋_GB2312" w:eastAsia="仿宋_GB2312" w:cs="仿宋_GB2312"/>
          <w:color w:val="000000"/>
          <w:sz w:val="32"/>
          <w:szCs w:val="32"/>
          <w:highlight w:val="none"/>
        </w:rPr>
        <w:t>万元，完成预算100%</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lang w:val="en-US" w:eastAsia="zh-CN"/>
        </w:rPr>
        <w:t>决算数与预算数持平。</w:t>
      </w:r>
    </w:p>
    <w:p w14:paraId="43CE47D6">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color w:val="000000"/>
          <w:kern w:val="2"/>
          <w:sz w:val="32"/>
          <w:szCs w:val="32"/>
          <w:highlight w:val="none"/>
          <w:lang w:val="en-US" w:eastAsia="zh-CN" w:bidi="ar-SA"/>
        </w:rPr>
      </w:pPr>
      <w:r>
        <w:rPr>
          <w:rFonts w:hint="eastAsia" w:ascii="仿宋_GB2312" w:hAnsi="仿宋_GB2312" w:eastAsia="仿宋_GB2312" w:cs="仿宋_GB2312"/>
          <w:b/>
          <w:bCs/>
          <w:color w:val="000000"/>
          <w:kern w:val="2"/>
          <w:sz w:val="32"/>
          <w:szCs w:val="32"/>
          <w:highlight w:val="none"/>
          <w:lang w:val="en-US" w:eastAsia="zh-CN" w:bidi="ar-SA"/>
        </w:rPr>
        <w:t>8.</w:t>
      </w:r>
      <w:r>
        <w:rPr>
          <w:rFonts w:hint="eastAsia" w:ascii="仿宋_GB2312" w:hAnsi="仿宋_GB2312" w:eastAsia="仿宋_GB2312" w:cs="仿宋_GB2312"/>
          <w:b/>
          <w:bCs/>
          <w:color w:val="000000"/>
          <w:sz w:val="32"/>
          <w:szCs w:val="32"/>
          <w:highlight w:val="none"/>
          <w:lang w:val="en-US" w:eastAsia="zh-CN"/>
        </w:rPr>
        <w:t>社会保障和就业支出</w:t>
      </w:r>
      <w:r>
        <w:rPr>
          <w:rFonts w:hint="eastAsia" w:ascii="仿宋_GB2312" w:hAnsi="仿宋_GB2312" w:eastAsia="仿宋_GB2312" w:cs="仿宋_GB2312"/>
          <w:b/>
          <w:bCs/>
          <w:color w:val="000000"/>
          <w:sz w:val="32"/>
          <w:szCs w:val="32"/>
          <w:highlight w:val="none"/>
        </w:rPr>
        <w:t>（</w:t>
      </w:r>
      <w:r>
        <w:rPr>
          <w:rFonts w:hint="eastAsia" w:ascii="仿宋_GB2312" w:hAnsi="仿宋_GB2312" w:eastAsia="仿宋_GB2312" w:cs="仿宋_GB2312"/>
          <w:b/>
          <w:bCs/>
          <w:color w:val="000000"/>
          <w:sz w:val="32"/>
          <w:szCs w:val="32"/>
          <w:highlight w:val="none"/>
          <w:lang w:val="en-US" w:eastAsia="zh-CN"/>
        </w:rPr>
        <w:t>类</w:t>
      </w:r>
      <w:r>
        <w:rPr>
          <w:rFonts w:hint="eastAsia" w:ascii="仿宋_GB2312" w:hAnsi="仿宋_GB2312" w:eastAsia="仿宋_GB2312" w:cs="仿宋_GB2312"/>
          <w:b/>
          <w:bCs/>
          <w:color w:val="000000"/>
          <w:sz w:val="32"/>
          <w:szCs w:val="32"/>
          <w:highlight w:val="none"/>
        </w:rPr>
        <w:t>）</w:t>
      </w:r>
      <w:r>
        <w:rPr>
          <w:rFonts w:hint="eastAsia" w:ascii="仿宋_GB2312" w:hAnsi="仿宋_GB2312" w:eastAsia="仿宋_GB2312" w:cs="仿宋_GB2312"/>
          <w:b/>
          <w:bCs/>
          <w:color w:val="000000"/>
          <w:sz w:val="32"/>
          <w:szCs w:val="32"/>
          <w:highlight w:val="none"/>
          <w:lang w:val="en-US" w:eastAsia="zh-CN"/>
        </w:rPr>
        <w:t>残疾人事业(款)其他残疾人事业支出(项)</w:t>
      </w:r>
      <w:r>
        <w:rPr>
          <w:rFonts w:hint="eastAsia" w:ascii="仿宋_GB2312" w:hAnsi="仿宋_GB2312" w:eastAsia="仿宋_GB2312" w:cs="仿宋_GB2312"/>
          <w:color w:val="000000"/>
          <w:sz w:val="32"/>
          <w:szCs w:val="32"/>
          <w:highlight w:val="none"/>
        </w:rPr>
        <w:t>支出决算</w:t>
      </w:r>
      <w:r>
        <w:rPr>
          <w:rFonts w:hint="eastAsia" w:ascii="仿宋_GB2312" w:hAnsi="仿宋_GB2312" w:eastAsia="仿宋_GB2312" w:cs="仿宋_GB2312"/>
          <w:color w:val="000000"/>
          <w:sz w:val="32"/>
          <w:szCs w:val="32"/>
          <w:highlight w:val="none"/>
          <w:lang w:val="en-US" w:eastAsia="zh-CN"/>
        </w:rPr>
        <w:t>0.4</w:t>
      </w:r>
      <w:r>
        <w:rPr>
          <w:rFonts w:hint="eastAsia" w:ascii="仿宋_GB2312" w:hAnsi="仿宋_GB2312" w:eastAsia="仿宋_GB2312" w:cs="仿宋_GB2312"/>
          <w:color w:val="000000"/>
          <w:sz w:val="32"/>
          <w:szCs w:val="32"/>
          <w:highlight w:val="none"/>
        </w:rPr>
        <w:t>万元，完成预算100%</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lang w:val="en-US" w:eastAsia="zh-CN"/>
        </w:rPr>
        <w:t>决算数与预算数持平。</w:t>
      </w:r>
    </w:p>
    <w:p w14:paraId="5F7130B0">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color w:val="000000"/>
          <w:kern w:val="2"/>
          <w:sz w:val="32"/>
          <w:szCs w:val="32"/>
          <w:highlight w:val="none"/>
          <w:lang w:val="en-US" w:eastAsia="zh-CN" w:bidi="ar-SA"/>
        </w:rPr>
      </w:pPr>
      <w:r>
        <w:rPr>
          <w:rFonts w:hint="eastAsia" w:ascii="仿宋_GB2312" w:hAnsi="仿宋_GB2312" w:eastAsia="仿宋_GB2312" w:cs="仿宋_GB2312"/>
          <w:b/>
          <w:bCs/>
          <w:color w:val="000000"/>
          <w:kern w:val="2"/>
          <w:sz w:val="32"/>
          <w:szCs w:val="32"/>
          <w:highlight w:val="none"/>
          <w:lang w:val="en-US" w:eastAsia="zh-CN" w:bidi="ar-SA"/>
        </w:rPr>
        <w:t>9.卫生健康支出</w:t>
      </w:r>
      <w:r>
        <w:rPr>
          <w:rFonts w:hint="eastAsia" w:ascii="仿宋_GB2312" w:hAnsi="仿宋_GB2312" w:eastAsia="仿宋_GB2312" w:cs="仿宋_GB2312"/>
          <w:b/>
          <w:bCs/>
          <w:color w:val="000000"/>
          <w:sz w:val="32"/>
          <w:szCs w:val="32"/>
          <w:highlight w:val="none"/>
        </w:rPr>
        <w:t>（</w:t>
      </w:r>
      <w:r>
        <w:rPr>
          <w:rFonts w:hint="eastAsia" w:ascii="仿宋_GB2312" w:hAnsi="仿宋_GB2312" w:eastAsia="仿宋_GB2312" w:cs="仿宋_GB2312"/>
          <w:b/>
          <w:bCs/>
          <w:color w:val="000000"/>
          <w:sz w:val="32"/>
          <w:szCs w:val="32"/>
          <w:highlight w:val="none"/>
          <w:lang w:val="en-US" w:eastAsia="zh-CN"/>
        </w:rPr>
        <w:t>类</w:t>
      </w:r>
      <w:r>
        <w:rPr>
          <w:rFonts w:hint="eastAsia" w:ascii="仿宋_GB2312" w:hAnsi="仿宋_GB2312" w:eastAsia="仿宋_GB2312" w:cs="仿宋_GB2312"/>
          <w:b/>
          <w:bCs/>
          <w:color w:val="000000"/>
          <w:sz w:val="32"/>
          <w:szCs w:val="32"/>
          <w:highlight w:val="none"/>
        </w:rPr>
        <w:t>）</w:t>
      </w:r>
      <w:r>
        <w:rPr>
          <w:rFonts w:hint="eastAsia" w:ascii="仿宋_GB2312" w:hAnsi="仿宋_GB2312" w:eastAsia="仿宋_GB2312" w:cs="仿宋_GB2312"/>
          <w:b/>
          <w:bCs/>
          <w:color w:val="000000"/>
          <w:kern w:val="2"/>
          <w:sz w:val="32"/>
          <w:szCs w:val="32"/>
          <w:highlight w:val="none"/>
          <w:lang w:val="en-US" w:eastAsia="zh-CN" w:bidi="ar-SA"/>
        </w:rPr>
        <w:t>行政事业单位医疗</w:t>
      </w:r>
      <w:r>
        <w:rPr>
          <w:rFonts w:hint="eastAsia" w:ascii="仿宋_GB2312" w:hAnsi="仿宋_GB2312" w:eastAsia="仿宋_GB2312" w:cs="仿宋_GB2312"/>
          <w:b/>
          <w:bCs/>
          <w:color w:val="000000"/>
          <w:sz w:val="32"/>
          <w:szCs w:val="32"/>
          <w:highlight w:val="none"/>
          <w:lang w:val="en-US" w:eastAsia="zh-CN"/>
        </w:rPr>
        <w:t>(款)</w:t>
      </w:r>
      <w:r>
        <w:rPr>
          <w:rFonts w:hint="eastAsia" w:ascii="仿宋_GB2312" w:hAnsi="仿宋_GB2312" w:eastAsia="仿宋_GB2312" w:cs="仿宋_GB2312"/>
          <w:b/>
          <w:bCs/>
          <w:color w:val="000000"/>
          <w:kern w:val="2"/>
          <w:sz w:val="32"/>
          <w:szCs w:val="32"/>
          <w:highlight w:val="none"/>
          <w:lang w:val="en-US" w:eastAsia="zh-CN" w:bidi="ar-SA"/>
        </w:rPr>
        <w:t>行政单位医疗</w:t>
      </w:r>
      <w:r>
        <w:rPr>
          <w:rFonts w:hint="eastAsia" w:ascii="仿宋_GB2312" w:hAnsi="仿宋_GB2312" w:eastAsia="仿宋_GB2312" w:cs="仿宋_GB2312"/>
          <w:b/>
          <w:bCs/>
          <w:color w:val="000000"/>
          <w:sz w:val="32"/>
          <w:szCs w:val="32"/>
          <w:highlight w:val="none"/>
          <w:lang w:val="en-US" w:eastAsia="zh-CN"/>
        </w:rPr>
        <w:t>(项)</w:t>
      </w:r>
      <w:r>
        <w:rPr>
          <w:rFonts w:hint="eastAsia" w:ascii="仿宋_GB2312" w:hAnsi="仿宋_GB2312" w:eastAsia="仿宋_GB2312" w:cs="仿宋_GB2312"/>
          <w:color w:val="000000"/>
          <w:kern w:val="2"/>
          <w:sz w:val="32"/>
          <w:szCs w:val="32"/>
          <w:highlight w:val="none"/>
          <w:lang w:val="en-US" w:eastAsia="zh-CN" w:bidi="ar-SA"/>
        </w:rPr>
        <w:t>支出决算30.1万元，完成预算100%</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lang w:val="en-US" w:eastAsia="zh-CN"/>
        </w:rPr>
        <w:t>决算数与预算数持平。</w:t>
      </w:r>
    </w:p>
    <w:p w14:paraId="4CA2E4BC">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color w:val="000000"/>
          <w:kern w:val="2"/>
          <w:sz w:val="32"/>
          <w:szCs w:val="32"/>
          <w:highlight w:val="none"/>
          <w:lang w:val="en-US" w:eastAsia="zh-CN" w:bidi="ar-SA"/>
        </w:rPr>
      </w:pPr>
      <w:r>
        <w:rPr>
          <w:rFonts w:hint="eastAsia" w:ascii="仿宋_GB2312" w:hAnsi="仿宋_GB2312" w:eastAsia="仿宋_GB2312" w:cs="仿宋_GB2312"/>
          <w:b/>
          <w:bCs/>
          <w:color w:val="000000"/>
          <w:kern w:val="2"/>
          <w:sz w:val="32"/>
          <w:szCs w:val="32"/>
          <w:highlight w:val="none"/>
          <w:lang w:val="en-US" w:eastAsia="zh-CN" w:bidi="ar-SA"/>
        </w:rPr>
        <w:t>10.卫生健康支出</w:t>
      </w:r>
      <w:r>
        <w:rPr>
          <w:rFonts w:hint="eastAsia" w:ascii="仿宋_GB2312" w:hAnsi="仿宋_GB2312" w:eastAsia="仿宋_GB2312" w:cs="仿宋_GB2312"/>
          <w:b/>
          <w:bCs/>
          <w:color w:val="000000"/>
          <w:sz w:val="32"/>
          <w:szCs w:val="32"/>
          <w:highlight w:val="none"/>
        </w:rPr>
        <w:t>（</w:t>
      </w:r>
      <w:r>
        <w:rPr>
          <w:rFonts w:hint="eastAsia" w:ascii="仿宋_GB2312" w:hAnsi="仿宋_GB2312" w:eastAsia="仿宋_GB2312" w:cs="仿宋_GB2312"/>
          <w:b/>
          <w:bCs/>
          <w:color w:val="000000"/>
          <w:sz w:val="32"/>
          <w:szCs w:val="32"/>
          <w:highlight w:val="none"/>
          <w:lang w:val="en-US" w:eastAsia="zh-CN"/>
        </w:rPr>
        <w:t>类</w:t>
      </w:r>
      <w:r>
        <w:rPr>
          <w:rFonts w:hint="eastAsia" w:ascii="仿宋_GB2312" w:hAnsi="仿宋_GB2312" w:eastAsia="仿宋_GB2312" w:cs="仿宋_GB2312"/>
          <w:b/>
          <w:bCs/>
          <w:color w:val="000000"/>
          <w:sz w:val="32"/>
          <w:szCs w:val="32"/>
          <w:highlight w:val="none"/>
        </w:rPr>
        <w:t>）</w:t>
      </w:r>
      <w:r>
        <w:rPr>
          <w:rFonts w:hint="eastAsia" w:ascii="仿宋_GB2312" w:hAnsi="仿宋_GB2312" w:eastAsia="仿宋_GB2312" w:cs="仿宋_GB2312"/>
          <w:b/>
          <w:bCs/>
          <w:color w:val="000000"/>
          <w:kern w:val="2"/>
          <w:sz w:val="32"/>
          <w:szCs w:val="32"/>
          <w:highlight w:val="none"/>
          <w:lang w:val="en-US" w:eastAsia="zh-CN" w:bidi="ar-SA"/>
        </w:rPr>
        <w:t>行政事业单位医疗</w:t>
      </w:r>
      <w:r>
        <w:rPr>
          <w:rFonts w:hint="eastAsia" w:ascii="仿宋_GB2312" w:hAnsi="仿宋_GB2312" w:eastAsia="仿宋_GB2312" w:cs="仿宋_GB2312"/>
          <w:b/>
          <w:bCs/>
          <w:color w:val="000000"/>
          <w:sz w:val="32"/>
          <w:szCs w:val="32"/>
          <w:highlight w:val="none"/>
          <w:lang w:val="en-US" w:eastAsia="zh-CN"/>
        </w:rPr>
        <w:t>(款)</w:t>
      </w:r>
      <w:r>
        <w:rPr>
          <w:rFonts w:hint="eastAsia" w:ascii="仿宋_GB2312" w:hAnsi="仿宋_GB2312" w:eastAsia="仿宋_GB2312" w:cs="仿宋_GB2312"/>
          <w:b/>
          <w:bCs/>
          <w:color w:val="000000"/>
          <w:kern w:val="2"/>
          <w:sz w:val="32"/>
          <w:szCs w:val="32"/>
          <w:highlight w:val="none"/>
          <w:lang w:val="en-US" w:eastAsia="zh-CN" w:bidi="ar-SA"/>
        </w:rPr>
        <w:t>事业单位医疗</w:t>
      </w:r>
      <w:r>
        <w:rPr>
          <w:rFonts w:hint="eastAsia" w:ascii="仿宋_GB2312" w:hAnsi="仿宋_GB2312" w:eastAsia="仿宋_GB2312" w:cs="仿宋_GB2312"/>
          <w:b/>
          <w:bCs/>
          <w:color w:val="000000"/>
          <w:sz w:val="32"/>
          <w:szCs w:val="32"/>
          <w:highlight w:val="none"/>
          <w:lang w:val="en-US" w:eastAsia="zh-CN"/>
        </w:rPr>
        <w:t>(项)</w:t>
      </w:r>
      <w:r>
        <w:rPr>
          <w:rFonts w:hint="eastAsia" w:ascii="仿宋_GB2312" w:hAnsi="仿宋_GB2312" w:eastAsia="仿宋_GB2312" w:cs="仿宋_GB2312"/>
          <w:color w:val="000000"/>
          <w:kern w:val="2"/>
          <w:sz w:val="32"/>
          <w:szCs w:val="32"/>
          <w:highlight w:val="none"/>
          <w:lang w:val="en-US" w:eastAsia="zh-CN" w:bidi="ar-SA"/>
        </w:rPr>
        <w:t>支出决算14.16万元，完成预算100%</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lang w:val="en-US" w:eastAsia="zh-CN"/>
        </w:rPr>
        <w:t>决算数与预算数持平。</w:t>
      </w:r>
    </w:p>
    <w:p w14:paraId="00B29F2F">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color w:val="000000"/>
          <w:kern w:val="2"/>
          <w:sz w:val="32"/>
          <w:szCs w:val="32"/>
          <w:highlight w:val="none"/>
          <w:lang w:val="en-US" w:eastAsia="zh-CN" w:bidi="ar-SA"/>
        </w:rPr>
      </w:pPr>
      <w:r>
        <w:rPr>
          <w:rFonts w:hint="eastAsia" w:ascii="仿宋_GB2312" w:hAnsi="仿宋_GB2312" w:eastAsia="仿宋_GB2312" w:cs="仿宋_GB2312"/>
          <w:b/>
          <w:bCs/>
          <w:color w:val="000000"/>
          <w:kern w:val="2"/>
          <w:sz w:val="32"/>
          <w:szCs w:val="32"/>
          <w:highlight w:val="none"/>
          <w:lang w:val="en-US" w:eastAsia="zh-CN" w:bidi="ar-SA"/>
        </w:rPr>
        <w:t>11.农林水支出</w:t>
      </w:r>
      <w:r>
        <w:rPr>
          <w:rFonts w:hint="eastAsia" w:ascii="仿宋_GB2312" w:hAnsi="仿宋_GB2312" w:eastAsia="仿宋_GB2312" w:cs="仿宋_GB2312"/>
          <w:b/>
          <w:bCs/>
          <w:color w:val="000000"/>
          <w:sz w:val="32"/>
          <w:szCs w:val="32"/>
          <w:highlight w:val="none"/>
        </w:rPr>
        <w:t>（</w:t>
      </w:r>
      <w:r>
        <w:rPr>
          <w:rFonts w:hint="eastAsia" w:ascii="仿宋_GB2312" w:hAnsi="仿宋_GB2312" w:eastAsia="仿宋_GB2312" w:cs="仿宋_GB2312"/>
          <w:b/>
          <w:bCs/>
          <w:color w:val="000000"/>
          <w:sz w:val="32"/>
          <w:szCs w:val="32"/>
          <w:highlight w:val="none"/>
          <w:lang w:val="en-US" w:eastAsia="zh-CN"/>
        </w:rPr>
        <w:t>类</w:t>
      </w:r>
      <w:r>
        <w:rPr>
          <w:rFonts w:hint="eastAsia" w:ascii="仿宋_GB2312" w:hAnsi="仿宋_GB2312" w:eastAsia="仿宋_GB2312" w:cs="仿宋_GB2312"/>
          <w:b/>
          <w:bCs/>
          <w:color w:val="000000"/>
          <w:sz w:val="32"/>
          <w:szCs w:val="32"/>
          <w:highlight w:val="none"/>
        </w:rPr>
        <w:t>）</w:t>
      </w:r>
      <w:r>
        <w:rPr>
          <w:rFonts w:hint="eastAsia" w:ascii="仿宋_GB2312" w:hAnsi="仿宋_GB2312" w:eastAsia="仿宋_GB2312" w:cs="仿宋_GB2312"/>
          <w:b/>
          <w:bCs/>
          <w:color w:val="000000"/>
          <w:kern w:val="2"/>
          <w:sz w:val="32"/>
          <w:szCs w:val="32"/>
          <w:highlight w:val="none"/>
          <w:lang w:val="en-US" w:eastAsia="zh-CN" w:bidi="ar-SA"/>
        </w:rPr>
        <w:t>农业农村</w:t>
      </w:r>
      <w:r>
        <w:rPr>
          <w:rFonts w:hint="eastAsia" w:ascii="仿宋_GB2312" w:hAnsi="仿宋_GB2312" w:eastAsia="仿宋_GB2312" w:cs="仿宋_GB2312"/>
          <w:b/>
          <w:bCs/>
          <w:color w:val="000000"/>
          <w:sz w:val="32"/>
          <w:szCs w:val="32"/>
          <w:highlight w:val="none"/>
          <w:lang w:val="en-US" w:eastAsia="zh-CN"/>
        </w:rPr>
        <w:t>(款)</w:t>
      </w:r>
      <w:r>
        <w:rPr>
          <w:rFonts w:hint="eastAsia" w:ascii="仿宋_GB2312" w:hAnsi="仿宋_GB2312" w:eastAsia="仿宋_GB2312" w:cs="仿宋_GB2312"/>
          <w:b/>
          <w:bCs/>
          <w:color w:val="000000"/>
          <w:kern w:val="2"/>
          <w:sz w:val="32"/>
          <w:szCs w:val="32"/>
          <w:highlight w:val="none"/>
          <w:lang w:val="en-US" w:eastAsia="zh-CN" w:bidi="ar-SA"/>
        </w:rPr>
        <w:t>事业运行</w:t>
      </w:r>
      <w:r>
        <w:rPr>
          <w:rFonts w:hint="eastAsia" w:ascii="仿宋_GB2312" w:hAnsi="仿宋_GB2312" w:eastAsia="仿宋_GB2312" w:cs="仿宋_GB2312"/>
          <w:b/>
          <w:bCs/>
          <w:color w:val="000000"/>
          <w:sz w:val="32"/>
          <w:szCs w:val="32"/>
          <w:highlight w:val="none"/>
          <w:lang w:val="en-US" w:eastAsia="zh-CN"/>
        </w:rPr>
        <w:t>(项)</w:t>
      </w:r>
      <w:r>
        <w:rPr>
          <w:rFonts w:hint="eastAsia" w:ascii="仿宋_GB2312" w:hAnsi="仿宋_GB2312" w:eastAsia="仿宋_GB2312" w:cs="仿宋_GB2312"/>
          <w:color w:val="000000"/>
          <w:kern w:val="2"/>
          <w:sz w:val="32"/>
          <w:szCs w:val="32"/>
          <w:highlight w:val="none"/>
          <w:lang w:val="en-US" w:eastAsia="zh-CN" w:bidi="ar-SA"/>
        </w:rPr>
        <w:t>支出决算199.49万元，完成预算100%</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lang w:val="en-US" w:eastAsia="zh-CN"/>
        </w:rPr>
        <w:t>决算数与预算数持平。</w:t>
      </w:r>
    </w:p>
    <w:p w14:paraId="03DEECB3">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b/>
          <w:bCs/>
          <w:color w:val="000000"/>
          <w:kern w:val="2"/>
          <w:sz w:val="32"/>
          <w:szCs w:val="32"/>
          <w:highlight w:val="none"/>
          <w:lang w:val="en-US" w:eastAsia="zh-CN" w:bidi="ar-SA"/>
        </w:rPr>
        <w:t>12.农林水支出</w:t>
      </w:r>
      <w:r>
        <w:rPr>
          <w:rFonts w:hint="eastAsia" w:ascii="仿宋_GB2312" w:hAnsi="仿宋_GB2312" w:eastAsia="仿宋_GB2312" w:cs="仿宋_GB2312"/>
          <w:b/>
          <w:bCs/>
          <w:color w:val="000000"/>
          <w:sz w:val="32"/>
          <w:szCs w:val="32"/>
          <w:highlight w:val="none"/>
        </w:rPr>
        <w:t>（</w:t>
      </w:r>
      <w:r>
        <w:rPr>
          <w:rFonts w:hint="eastAsia" w:ascii="仿宋_GB2312" w:hAnsi="仿宋_GB2312" w:eastAsia="仿宋_GB2312" w:cs="仿宋_GB2312"/>
          <w:b/>
          <w:bCs/>
          <w:color w:val="000000"/>
          <w:sz w:val="32"/>
          <w:szCs w:val="32"/>
          <w:highlight w:val="none"/>
          <w:lang w:val="en-US" w:eastAsia="zh-CN"/>
        </w:rPr>
        <w:t>类</w:t>
      </w:r>
      <w:r>
        <w:rPr>
          <w:rFonts w:hint="eastAsia" w:ascii="仿宋_GB2312" w:hAnsi="仿宋_GB2312" w:eastAsia="仿宋_GB2312" w:cs="仿宋_GB2312"/>
          <w:b/>
          <w:bCs/>
          <w:color w:val="000000"/>
          <w:sz w:val="32"/>
          <w:szCs w:val="32"/>
          <w:highlight w:val="none"/>
        </w:rPr>
        <w:t>）</w:t>
      </w:r>
      <w:r>
        <w:rPr>
          <w:rFonts w:hint="eastAsia" w:ascii="仿宋_GB2312" w:hAnsi="仿宋_GB2312" w:eastAsia="仿宋_GB2312" w:cs="仿宋_GB2312"/>
          <w:b/>
          <w:bCs/>
          <w:color w:val="000000"/>
          <w:kern w:val="2"/>
          <w:sz w:val="32"/>
          <w:szCs w:val="32"/>
          <w:highlight w:val="none"/>
          <w:lang w:val="en-US" w:eastAsia="zh-CN" w:bidi="ar-SA"/>
        </w:rPr>
        <w:t>农业农村</w:t>
      </w:r>
      <w:r>
        <w:rPr>
          <w:rFonts w:hint="eastAsia" w:ascii="仿宋_GB2312" w:hAnsi="仿宋_GB2312" w:eastAsia="仿宋_GB2312" w:cs="仿宋_GB2312"/>
          <w:b/>
          <w:bCs/>
          <w:color w:val="000000"/>
          <w:sz w:val="32"/>
          <w:szCs w:val="32"/>
          <w:highlight w:val="none"/>
          <w:lang w:val="en-US" w:eastAsia="zh-CN"/>
        </w:rPr>
        <w:t>(款)</w:t>
      </w:r>
      <w:r>
        <w:rPr>
          <w:rFonts w:hint="eastAsia" w:ascii="仿宋_GB2312" w:hAnsi="仿宋_GB2312" w:eastAsia="仿宋_GB2312" w:cs="仿宋_GB2312"/>
          <w:b/>
          <w:bCs/>
          <w:color w:val="000000"/>
          <w:kern w:val="2"/>
          <w:sz w:val="32"/>
          <w:szCs w:val="32"/>
          <w:highlight w:val="none"/>
          <w:lang w:val="en-US" w:eastAsia="zh-CN" w:bidi="ar-SA"/>
        </w:rPr>
        <w:t>其他农业农村支出</w:t>
      </w:r>
      <w:r>
        <w:rPr>
          <w:rFonts w:hint="eastAsia" w:ascii="仿宋_GB2312" w:hAnsi="仿宋_GB2312" w:eastAsia="仿宋_GB2312" w:cs="仿宋_GB2312"/>
          <w:b/>
          <w:bCs/>
          <w:color w:val="000000"/>
          <w:sz w:val="32"/>
          <w:szCs w:val="32"/>
          <w:highlight w:val="none"/>
          <w:lang w:val="en-US" w:eastAsia="zh-CN"/>
        </w:rPr>
        <w:t>(项)</w:t>
      </w:r>
      <w:r>
        <w:rPr>
          <w:rFonts w:hint="eastAsia" w:ascii="仿宋_GB2312" w:hAnsi="仿宋_GB2312" w:eastAsia="仿宋_GB2312" w:cs="仿宋_GB2312"/>
          <w:color w:val="000000"/>
          <w:kern w:val="2"/>
          <w:sz w:val="32"/>
          <w:szCs w:val="32"/>
          <w:highlight w:val="none"/>
          <w:lang w:val="en-US" w:eastAsia="zh-CN" w:bidi="ar-SA"/>
        </w:rPr>
        <w:t>支出决算17.46万元，完成预算100%</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lang w:val="en-US" w:eastAsia="zh-CN"/>
        </w:rPr>
        <w:t>决算数与预算数持平。</w:t>
      </w:r>
    </w:p>
    <w:p w14:paraId="0E56F0B4">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color w:val="000000"/>
          <w:kern w:val="2"/>
          <w:sz w:val="32"/>
          <w:szCs w:val="32"/>
          <w:highlight w:val="none"/>
          <w:lang w:val="en-US" w:eastAsia="zh-CN" w:bidi="ar-SA"/>
        </w:rPr>
      </w:pPr>
      <w:r>
        <w:rPr>
          <w:rFonts w:hint="eastAsia" w:ascii="仿宋_GB2312" w:hAnsi="仿宋_GB2312" w:eastAsia="仿宋_GB2312" w:cs="仿宋_GB2312"/>
          <w:b/>
          <w:bCs/>
          <w:color w:val="000000"/>
          <w:kern w:val="2"/>
          <w:sz w:val="32"/>
          <w:szCs w:val="32"/>
          <w:highlight w:val="none"/>
          <w:lang w:val="en-US" w:eastAsia="zh-CN" w:bidi="ar-SA"/>
        </w:rPr>
        <w:t>13.农林水支出</w:t>
      </w:r>
      <w:r>
        <w:rPr>
          <w:rFonts w:hint="eastAsia" w:ascii="仿宋_GB2312" w:hAnsi="仿宋_GB2312" w:eastAsia="仿宋_GB2312" w:cs="仿宋_GB2312"/>
          <w:b/>
          <w:bCs/>
          <w:color w:val="000000"/>
          <w:sz w:val="32"/>
          <w:szCs w:val="32"/>
          <w:highlight w:val="none"/>
        </w:rPr>
        <w:t>（</w:t>
      </w:r>
      <w:r>
        <w:rPr>
          <w:rFonts w:hint="eastAsia" w:ascii="仿宋_GB2312" w:hAnsi="仿宋_GB2312" w:eastAsia="仿宋_GB2312" w:cs="仿宋_GB2312"/>
          <w:b/>
          <w:bCs/>
          <w:color w:val="000000"/>
          <w:sz w:val="32"/>
          <w:szCs w:val="32"/>
          <w:highlight w:val="none"/>
          <w:lang w:val="en-US" w:eastAsia="zh-CN"/>
        </w:rPr>
        <w:t>类</w:t>
      </w:r>
      <w:r>
        <w:rPr>
          <w:rFonts w:hint="eastAsia" w:ascii="仿宋_GB2312" w:hAnsi="仿宋_GB2312" w:eastAsia="仿宋_GB2312" w:cs="仿宋_GB2312"/>
          <w:b/>
          <w:bCs/>
          <w:color w:val="000000"/>
          <w:sz w:val="32"/>
          <w:szCs w:val="32"/>
          <w:highlight w:val="none"/>
        </w:rPr>
        <w:t>）</w:t>
      </w:r>
      <w:r>
        <w:rPr>
          <w:rFonts w:hint="eastAsia" w:ascii="仿宋_GB2312" w:hAnsi="仿宋_GB2312" w:eastAsia="仿宋_GB2312" w:cs="仿宋_GB2312"/>
          <w:b/>
          <w:bCs/>
          <w:color w:val="000000"/>
          <w:kern w:val="2"/>
          <w:sz w:val="32"/>
          <w:szCs w:val="32"/>
          <w:highlight w:val="none"/>
          <w:lang w:val="en-US" w:eastAsia="zh-CN" w:bidi="ar-SA"/>
        </w:rPr>
        <w:t>巩固脱贫攻坚成果衔接乡村振兴</w:t>
      </w:r>
      <w:r>
        <w:rPr>
          <w:rFonts w:hint="eastAsia" w:ascii="仿宋_GB2312" w:hAnsi="仿宋_GB2312" w:eastAsia="仿宋_GB2312" w:cs="仿宋_GB2312"/>
          <w:b/>
          <w:bCs/>
          <w:color w:val="000000"/>
          <w:sz w:val="32"/>
          <w:szCs w:val="32"/>
          <w:highlight w:val="none"/>
          <w:lang w:val="en-US" w:eastAsia="zh-CN"/>
        </w:rPr>
        <w:t>(款)</w:t>
      </w:r>
      <w:r>
        <w:rPr>
          <w:rFonts w:hint="eastAsia" w:ascii="仿宋_GB2312" w:hAnsi="仿宋_GB2312" w:eastAsia="仿宋_GB2312" w:cs="仿宋_GB2312"/>
          <w:b/>
          <w:bCs/>
          <w:color w:val="000000"/>
          <w:kern w:val="2"/>
          <w:sz w:val="32"/>
          <w:szCs w:val="32"/>
          <w:highlight w:val="none"/>
          <w:lang w:val="en-US" w:eastAsia="zh-CN" w:bidi="ar-SA"/>
        </w:rPr>
        <w:t>农村基础设施建设</w:t>
      </w:r>
      <w:r>
        <w:rPr>
          <w:rFonts w:hint="eastAsia" w:ascii="仿宋_GB2312" w:hAnsi="仿宋_GB2312" w:eastAsia="仿宋_GB2312" w:cs="仿宋_GB2312"/>
          <w:b/>
          <w:bCs/>
          <w:color w:val="000000"/>
          <w:sz w:val="32"/>
          <w:szCs w:val="32"/>
          <w:highlight w:val="none"/>
          <w:lang w:val="en-US" w:eastAsia="zh-CN"/>
        </w:rPr>
        <w:t>(项)</w:t>
      </w:r>
      <w:r>
        <w:rPr>
          <w:rFonts w:hint="eastAsia" w:ascii="仿宋_GB2312" w:hAnsi="仿宋_GB2312" w:eastAsia="仿宋_GB2312" w:cs="仿宋_GB2312"/>
          <w:color w:val="000000"/>
          <w:kern w:val="2"/>
          <w:sz w:val="32"/>
          <w:szCs w:val="32"/>
          <w:highlight w:val="none"/>
          <w:lang w:val="en-US" w:eastAsia="zh-CN" w:bidi="ar-SA"/>
        </w:rPr>
        <w:t>支出决算4万元，完成预算100%</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lang w:val="en-US" w:eastAsia="zh-CN"/>
        </w:rPr>
        <w:t>决算数与预算数持平。</w:t>
      </w:r>
    </w:p>
    <w:p w14:paraId="7B22AE24">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b/>
          <w:bCs/>
          <w:color w:val="000000"/>
          <w:kern w:val="2"/>
          <w:sz w:val="32"/>
          <w:szCs w:val="32"/>
          <w:highlight w:val="none"/>
          <w:lang w:val="en-US" w:eastAsia="zh-CN" w:bidi="ar-SA"/>
        </w:rPr>
        <w:t>14.农林水支出</w:t>
      </w:r>
      <w:r>
        <w:rPr>
          <w:rFonts w:hint="eastAsia" w:ascii="仿宋_GB2312" w:hAnsi="仿宋_GB2312" w:eastAsia="仿宋_GB2312" w:cs="仿宋_GB2312"/>
          <w:b/>
          <w:bCs/>
          <w:color w:val="000000"/>
          <w:sz w:val="32"/>
          <w:szCs w:val="32"/>
          <w:highlight w:val="none"/>
        </w:rPr>
        <w:t>（</w:t>
      </w:r>
      <w:r>
        <w:rPr>
          <w:rFonts w:hint="eastAsia" w:ascii="仿宋_GB2312" w:hAnsi="仿宋_GB2312" w:eastAsia="仿宋_GB2312" w:cs="仿宋_GB2312"/>
          <w:b/>
          <w:bCs/>
          <w:color w:val="000000"/>
          <w:sz w:val="32"/>
          <w:szCs w:val="32"/>
          <w:highlight w:val="none"/>
          <w:lang w:val="en-US" w:eastAsia="zh-CN"/>
        </w:rPr>
        <w:t>类</w:t>
      </w:r>
      <w:r>
        <w:rPr>
          <w:rFonts w:hint="eastAsia" w:ascii="仿宋_GB2312" w:hAnsi="仿宋_GB2312" w:eastAsia="仿宋_GB2312" w:cs="仿宋_GB2312"/>
          <w:b/>
          <w:bCs/>
          <w:color w:val="000000"/>
          <w:sz w:val="32"/>
          <w:szCs w:val="32"/>
          <w:highlight w:val="none"/>
        </w:rPr>
        <w:t>）</w:t>
      </w:r>
      <w:r>
        <w:rPr>
          <w:rFonts w:hint="eastAsia" w:ascii="仿宋_GB2312" w:hAnsi="仿宋_GB2312" w:eastAsia="仿宋_GB2312" w:cs="仿宋_GB2312"/>
          <w:b/>
          <w:bCs/>
          <w:color w:val="000000"/>
          <w:kern w:val="2"/>
          <w:sz w:val="32"/>
          <w:szCs w:val="32"/>
          <w:highlight w:val="none"/>
          <w:lang w:val="en-US" w:eastAsia="zh-CN" w:bidi="ar-SA"/>
        </w:rPr>
        <w:t>巩固脱贫攻坚成果衔接乡村振兴</w:t>
      </w:r>
      <w:r>
        <w:rPr>
          <w:rFonts w:hint="eastAsia" w:ascii="仿宋_GB2312" w:hAnsi="仿宋_GB2312" w:eastAsia="仿宋_GB2312" w:cs="仿宋_GB2312"/>
          <w:b/>
          <w:bCs/>
          <w:color w:val="000000"/>
          <w:sz w:val="32"/>
          <w:szCs w:val="32"/>
          <w:highlight w:val="none"/>
          <w:lang w:val="en-US" w:eastAsia="zh-CN"/>
        </w:rPr>
        <w:t>(款)</w:t>
      </w:r>
      <w:r>
        <w:rPr>
          <w:rFonts w:hint="eastAsia" w:ascii="仿宋_GB2312" w:hAnsi="仿宋_GB2312" w:eastAsia="仿宋_GB2312" w:cs="仿宋_GB2312"/>
          <w:b/>
          <w:bCs/>
          <w:color w:val="000000"/>
          <w:kern w:val="2"/>
          <w:sz w:val="32"/>
          <w:szCs w:val="32"/>
          <w:highlight w:val="none"/>
          <w:lang w:val="en-US" w:eastAsia="zh-CN" w:bidi="ar-SA"/>
        </w:rPr>
        <w:t>其他巩固脱贫攻坚成果衔接乡村振兴支出</w:t>
      </w:r>
      <w:r>
        <w:rPr>
          <w:rFonts w:hint="eastAsia" w:ascii="仿宋_GB2312" w:hAnsi="仿宋_GB2312" w:eastAsia="仿宋_GB2312" w:cs="仿宋_GB2312"/>
          <w:b/>
          <w:bCs/>
          <w:color w:val="000000"/>
          <w:sz w:val="32"/>
          <w:szCs w:val="32"/>
          <w:highlight w:val="none"/>
          <w:lang w:val="en-US" w:eastAsia="zh-CN"/>
        </w:rPr>
        <w:t>(项)</w:t>
      </w:r>
      <w:r>
        <w:rPr>
          <w:rFonts w:hint="eastAsia" w:ascii="仿宋_GB2312" w:hAnsi="仿宋_GB2312" w:eastAsia="仿宋_GB2312" w:cs="仿宋_GB2312"/>
          <w:color w:val="000000"/>
          <w:kern w:val="2"/>
          <w:sz w:val="32"/>
          <w:szCs w:val="32"/>
          <w:highlight w:val="none"/>
          <w:lang w:val="en-US" w:eastAsia="zh-CN" w:bidi="ar-SA"/>
        </w:rPr>
        <w:t>支出决算81.5万元，完成预算100%</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lang w:val="en-US" w:eastAsia="zh-CN"/>
        </w:rPr>
        <w:t>决算数与预算数持平。</w:t>
      </w:r>
    </w:p>
    <w:p w14:paraId="5BB8E756">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default"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b/>
          <w:bCs/>
          <w:color w:val="000000"/>
          <w:sz w:val="32"/>
          <w:szCs w:val="32"/>
          <w:highlight w:val="none"/>
          <w:lang w:val="en-US" w:eastAsia="zh-CN"/>
        </w:rPr>
        <w:t>15.</w:t>
      </w:r>
      <w:r>
        <w:rPr>
          <w:rFonts w:hint="eastAsia" w:ascii="仿宋_GB2312" w:hAnsi="仿宋_GB2312" w:eastAsia="仿宋_GB2312" w:cs="仿宋_GB2312"/>
          <w:b/>
          <w:bCs/>
          <w:color w:val="000000"/>
          <w:kern w:val="2"/>
          <w:sz w:val="32"/>
          <w:szCs w:val="32"/>
          <w:highlight w:val="none"/>
          <w:lang w:val="en-US" w:eastAsia="zh-CN" w:bidi="ar-SA"/>
        </w:rPr>
        <w:t>农林水支出</w:t>
      </w:r>
      <w:r>
        <w:rPr>
          <w:rFonts w:hint="eastAsia" w:ascii="仿宋_GB2312" w:hAnsi="仿宋_GB2312" w:eastAsia="仿宋_GB2312" w:cs="仿宋_GB2312"/>
          <w:b/>
          <w:bCs/>
          <w:color w:val="000000"/>
          <w:sz w:val="32"/>
          <w:szCs w:val="32"/>
          <w:highlight w:val="none"/>
        </w:rPr>
        <w:t>（</w:t>
      </w:r>
      <w:r>
        <w:rPr>
          <w:rFonts w:hint="eastAsia" w:ascii="仿宋_GB2312" w:hAnsi="仿宋_GB2312" w:eastAsia="仿宋_GB2312" w:cs="仿宋_GB2312"/>
          <w:b/>
          <w:bCs/>
          <w:color w:val="000000"/>
          <w:sz w:val="32"/>
          <w:szCs w:val="32"/>
          <w:highlight w:val="none"/>
          <w:lang w:val="en-US" w:eastAsia="zh-CN"/>
        </w:rPr>
        <w:t>类</w:t>
      </w:r>
      <w:r>
        <w:rPr>
          <w:rFonts w:hint="eastAsia" w:ascii="仿宋_GB2312" w:hAnsi="仿宋_GB2312" w:eastAsia="仿宋_GB2312" w:cs="仿宋_GB2312"/>
          <w:b/>
          <w:bCs/>
          <w:color w:val="000000"/>
          <w:sz w:val="32"/>
          <w:szCs w:val="32"/>
          <w:highlight w:val="none"/>
        </w:rPr>
        <w:t>）</w:t>
      </w:r>
      <w:r>
        <w:rPr>
          <w:rFonts w:hint="eastAsia" w:ascii="仿宋_GB2312" w:hAnsi="仿宋_GB2312" w:eastAsia="仿宋_GB2312" w:cs="仿宋_GB2312"/>
          <w:b/>
          <w:bCs/>
          <w:color w:val="000000"/>
          <w:kern w:val="2"/>
          <w:sz w:val="32"/>
          <w:szCs w:val="32"/>
          <w:highlight w:val="none"/>
          <w:lang w:val="en-US" w:eastAsia="zh-CN" w:bidi="ar-SA"/>
        </w:rPr>
        <w:t>农村综合改革</w:t>
      </w:r>
      <w:r>
        <w:rPr>
          <w:rFonts w:hint="eastAsia" w:ascii="仿宋_GB2312" w:hAnsi="仿宋_GB2312" w:eastAsia="仿宋_GB2312" w:cs="仿宋_GB2312"/>
          <w:b/>
          <w:bCs/>
          <w:color w:val="000000"/>
          <w:sz w:val="32"/>
          <w:szCs w:val="32"/>
          <w:highlight w:val="none"/>
          <w:lang w:val="en-US" w:eastAsia="zh-CN"/>
        </w:rPr>
        <w:t>(款)</w:t>
      </w:r>
      <w:r>
        <w:rPr>
          <w:rFonts w:hint="eastAsia" w:ascii="仿宋_GB2312" w:hAnsi="仿宋_GB2312" w:eastAsia="仿宋_GB2312" w:cs="仿宋_GB2312"/>
          <w:b/>
          <w:bCs/>
          <w:color w:val="000000"/>
          <w:kern w:val="2"/>
          <w:sz w:val="32"/>
          <w:szCs w:val="32"/>
          <w:highlight w:val="none"/>
          <w:lang w:val="en-US" w:eastAsia="zh-CN" w:bidi="ar-SA"/>
        </w:rPr>
        <w:t>对村民委员会和村党支部的补助</w:t>
      </w:r>
      <w:r>
        <w:rPr>
          <w:rFonts w:hint="eastAsia" w:ascii="仿宋_GB2312" w:hAnsi="仿宋_GB2312" w:eastAsia="仿宋_GB2312" w:cs="仿宋_GB2312"/>
          <w:b/>
          <w:bCs/>
          <w:color w:val="000000"/>
          <w:sz w:val="32"/>
          <w:szCs w:val="32"/>
          <w:highlight w:val="none"/>
          <w:lang w:val="en-US" w:eastAsia="zh-CN"/>
        </w:rPr>
        <w:t>(项)</w:t>
      </w:r>
      <w:r>
        <w:rPr>
          <w:rFonts w:hint="eastAsia" w:ascii="仿宋_GB2312" w:hAnsi="仿宋_GB2312" w:eastAsia="仿宋_GB2312" w:cs="仿宋_GB2312"/>
          <w:color w:val="000000"/>
          <w:kern w:val="2"/>
          <w:sz w:val="32"/>
          <w:szCs w:val="32"/>
          <w:highlight w:val="none"/>
          <w:lang w:val="en-US" w:eastAsia="zh-CN" w:bidi="ar-SA"/>
        </w:rPr>
        <w:t>支出决算133.58万元，完成预算100%</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lang w:val="en-US" w:eastAsia="zh-CN"/>
        </w:rPr>
        <w:t>决算数与预算数持平。</w:t>
      </w:r>
    </w:p>
    <w:p w14:paraId="0A9F24C5">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color w:val="000000"/>
          <w:kern w:val="2"/>
          <w:sz w:val="32"/>
          <w:szCs w:val="32"/>
          <w:highlight w:val="none"/>
          <w:lang w:val="en-US" w:eastAsia="zh-CN" w:bidi="ar-SA"/>
        </w:rPr>
      </w:pPr>
      <w:r>
        <w:rPr>
          <w:rFonts w:hint="eastAsia" w:ascii="仿宋_GB2312" w:hAnsi="仿宋_GB2312" w:eastAsia="仿宋_GB2312" w:cs="仿宋_GB2312"/>
          <w:b/>
          <w:bCs/>
          <w:color w:val="000000"/>
          <w:kern w:val="2"/>
          <w:sz w:val="32"/>
          <w:szCs w:val="32"/>
          <w:highlight w:val="none"/>
          <w:lang w:val="en-US" w:eastAsia="zh-CN" w:bidi="ar-SA"/>
        </w:rPr>
        <w:t>16.住房保障支出</w:t>
      </w:r>
      <w:r>
        <w:rPr>
          <w:rFonts w:hint="eastAsia" w:ascii="仿宋_GB2312" w:hAnsi="仿宋_GB2312" w:eastAsia="仿宋_GB2312" w:cs="仿宋_GB2312"/>
          <w:b/>
          <w:bCs/>
          <w:color w:val="000000"/>
          <w:sz w:val="32"/>
          <w:szCs w:val="32"/>
          <w:highlight w:val="none"/>
        </w:rPr>
        <w:t>（</w:t>
      </w:r>
      <w:r>
        <w:rPr>
          <w:rFonts w:hint="eastAsia" w:ascii="仿宋_GB2312" w:hAnsi="仿宋_GB2312" w:eastAsia="仿宋_GB2312" w:cs="仿宋_GB2312"/>
          <w:b/>
          <w:bCs/>
          <w:color w:val="000000"/>
          <w:sz w:val="32"/>
          <w:szCs w:val="32"/>
          <w:highlight w:val="none"/>
          <w:lang w:val="en-US" w:eastAsia="zh-CN"/>
        </w:rPr>
        <w:t>类</w:t>
      </w:r>
      <w:r>
        <w:rPr>
          <w:rFonts w:hint="eastAsia" w:ascii="仿宋_GB2312" w:hAnsi="仿宋_GB2312" w:eastAsia="仿宋_GB2312" w:cs="仿宋_GB2312"/>
          <w:b/>
          <w:bCs/>
          <w:color w:val="000000"/>
          <w:sz w:val="32"/>
          <w:szCs w:val="32"/>
          <w:highlight w:val="none"/>
        </w:rPr>
        <w:t>）</w:t>
      </w:r>
      <w:r>
        <w:rPr>
          <w:rFonts w:hint="eastAsia" w:ascii="仿宋_GB2312" w:hAnsi="仿宋_GB2312" w:eastAsia="仿宋_GB2312" w:cs="仿宋_GB2312"/>
          <w:b/>
          <w:bCs/>
          <w:color w:val="000000"/>
          <w:kern w:val="2"/>
          <w:sz w:val="32"/>
          <w:szCs w:val="32"/>
          <w:highlight w:val="none"/>
          <w:lang w:val="en-US" w:eastAsia="zh-CN" w:bidi="ar-SA"/>
        </w:rPr>
        <w:t>住房改革支出</w:t>
      </w:r>
      <w:r>
        <w:rPr>
          <w:rFonts w:hint="eastAsia" w:ascii="仿宋_GB2312" w:hAnsi="仿宋_GB2312" w:eastAsia="仿宋_GB2312" w:cs="仿宋_GB2312"/>
          <w:b/>
          <w:bCs/>
          <w:color w:val="000000"/>
          <w:sz w:val="32"/>
          <w:szCs w:val="32"/>
          <w:highlight w:val="none"/>
          <w:lang w:val="en-US" w:eastAsia="zh-CN"/>
        </w:rPr>
        <w:t>(款)</w:t>
      </w:r>
      <w:r>
        <w:rPr>
          <w:rFonts w:hint="eastAsia" w:ascii="仿宋_GB2312" w:hAnsi="仿宋_GB2312" w:eastAsia="仿宋_GB2312" w:cs="仿宋_GB2312"/>
          <w:b/>
          <w:bCs/>
          <w:color w:val="000000"/>
          <w:kern w:val="2"/>
          <w:sz w:val="32"/>
          <w:szCs w:val="32"/>
          <w:highlight w:val="none"/>
          <w:lang w:val="en-US" w:eastAsia="zh-CN" w:bidi="ar-SA"/>
        </w:rPr>
        <w:t>住房公积金</w:t>
      </w:r>
      <w:r>
        <w:rPr>
          <w:rFonts w:hint="eastAsia" w:ascii="仿宋_GB2312" w:hAnsi="仿宋_GB2312" w:eastAsia="仿宋_GB2312" w:cs="仿宋_GB2312"/>
          <w:b/>
          <w:bCs/>
          <w:color w:val="000000"/>
          <w:sz w:val="32"/>
          <w:szCs w:val="32"/>
          <w:highlight w:val="none"/>
          <w:lang w:val="en-US" w:eastAsia="zh-CN"/>
        </w:rPr>
        <w:t>(项)</w:t>
      </w:r>
      <w:r>
        <w:rPr>
          <w:rFonts w:hint="eastAsia" w:ascii="仿宋_GB2312" w:hAnsi="仿宋_GB2312" w:eastAsia="仿宋_GB2312" w:cs="仿宋_GB2312"/>
          <w:color w:val="000000"/>
          <w:kern w:val="2"/>
          <w:sz w:val="32"/>
          <w:szCs w:val="32"/>
          <w:highlight w:val="none"/>
          <w:lang w:val="en-US" w:eastAsia="zh-CN" w:bidi="ar-SA"/>
        </w:rPr>
        <w:t>支出决算61.8万元，完成预算100%</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lang w:val="en-US" w:eastAsia="zh-CN"/>
        </w:rPr>
        <w:t>决算数与预算数持平。</w:t>
      </w:r>
    </w:p>
    <w:p w14:paraId="68391BB4">
      <w:pPr>
        <w:pStyle w:val="4"/>
        <w:keepNext/>
        <w:keepLines/>
        <w:pageBreakBefore w:val="0"/>
        <w:widowControl w:val="0"/>
        <w:kinsoku/>
        <w:wordWrap/>
        <w:overflowPunct/>
        <w:topLinePunct w:val="0"/>
        <w:autoSpaceDE/>
        <w:autoSpaceDN/>
        <w:bidi w:val="0"/>
        <w:adjustRightInd/>
        <w:snapToGrid/>
        <w:spacing w:after="0" w:afterAutospacing="0" w:line="300" w:lineRule="exact"/>
        <w:ind w:firstLine="643" w:firstLineChars="200"/>
        <w:textAlignment w:val="auto"/>
        <w:rPr>
          <w:rFonts w:hint="eastAsia" w:ascii="黑体" w:eastAsia="黑体" w:cs="Times New Roman"/>
          <w:bCs w:val="0"/>
          <w:color w:val="000000"/>
          <w:highlight w:val="none"/>
        </w:rPr>
      </w:pPr>
      <w:bookmarkStart w:id="41" w:name="_Toc15377214"/>
      <w:bookmarkStart w:id="42" w:name="_Toc14398"/>
      <w:bookmarkStart w:id="43" w:name="_Toc111208504"/>
      <w:r>
        <w:rPr>
          <w:rFonts w:hint="eastAsia" w:ascii="黑体" w:eastAsia="黑体" w:cs="Times New Roman"/>
          <w:bCs w:val="0"/>
          <w:color w:val="000000"/>
          <w:highlight w:val="none"/>
        </w:rPr>
        <w:t>六、一般公共预算财政拨款基本支出决算情况说</w:t>
      </w:r>
      <w:bookmarkEnd w:id="41"/>
      <w:r>
        <w:rPr>
          <w:rFonts w:hint="eastAsia" w:ascii="黑体" w:eastAsia="黑体" w:cs="Times New Roman"/>
          <w:bCs w:val="0"/>
          <w:color w:val="000000"/>
          <w:highlight w:val="none"/>
        </w:rPr>
        <w:t>明</w:t>
      </w:r>
      <w:bookmarkEnd w:id="42"/>
      <w:bookmarkEnd w:id="43"/>
    </w:p>
    <w:p w14:paraId="0BF6FE0A">
      <w:pPr>
        <w:spacing w:beforeAutospacing="0" w:line="600" w:lineRule="exact"/>
        <w:ind w:firstLine="64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202</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highlight w:val="none"/>
          <w:u w:color="auto"/>
        </w:rPr>
        <w:t>年</w:t>
      </w:r>
      <w:r>
        <w:rPr>
          <w:rFonts w:hint="eastAsia" w:ascii="仿宋_GB2312" w:hAnsi="仿宋_GB2312" w:eastAsia="仿宋_GB2312" w:cs="仿宋_GB2312"/>
          <w:color w:val="auto"/>
          <w:sz w:val="32"/>
          <w:highlight w:val="none"/>
          <w:u w:color="auto"/>
          <w:lang w:val="en-US" w:eastAsia="zh-CN"/>
        </w:rPr>
        <w:t>度</w:t>
      </w:r>
      <w:r>
        <w:rPr>
          <w:rFonts w:hint="eastAsia" w:ascii="仿宋_GB2312" w:hAnsi="仿宋_GB2312" w:eastAsia="仿宋_GB2312" w:cs="仿宋_GB2312"/>
          <w:color w:val="auto"/>
          <w:sz w:val="32"/>
          <w:highlight w:val="none"/>
          <w:u w:color="auto"/>
        </w:rPr>
        <w:t>一般公共预算财政拨款基本支出</w:t>
      </w:r>
      <w:r>
        <w:rPr>
          <w:rFonts w:hint="eastAsia" w:ascii="仿宋_GB2312" w:hAnsi="仿宋_GB2312" w:eastAsia="仿宋_GB2312" w:cs="仿宋_GB2312"/>
          <w:color w:val="auto"/>
          <w:sz w:val="32"/>
          <w:highlight w:val="none"/>
          <w:u w:color="auto"/>
          <w:lang w:val="en-US" w:eastAsia="zh-CN"/>
        </w:rPr>
        <w:t>836.88</w:t>
      </w:r>
      <w:r>
        <w:rPr>
          <w:rFonts w:hint="eastAsia" w:ascii="仿宋_GB2312" w:hAnsi="仿宋_GB2312" w:eastAsia="仿宋_GB2312" w:cs="仿宋_GB2312"/>
          <w:color w:val="auto"/>
          <w:sz w:val="32"/>
          <w:szCs w:val="32"/>
          <w:highlight w:val="none"/>
        </w:rPr>
        <w:t>万元，其中：</w:t>
      </w:r>
    </w:p>
    <w:p w14:paraId="270D88EB">
      <w:pPr>
        <w:spacing w:line="600" w:lineRule="exact"/>
        <w:ind w:firstLine="640"/>
        <w:jc w:val="both"/>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auto"/>
          <w:sz w:val="32"/>
          <w:szCs w:val="32"/>
          <w:highlight w:val="none"/>
        </w:rPr>
        <w:t>人员经费</w:t>
      </w:r>
      <w:r>
        <w:rPr>
          <w:rFonts w:hint="eastAsia" w:ascii="仿宋_GB2312" w:hAnsi="仿宋_GB2312" w:eastAsia="仿宋_GB2312" w:cs="仿宋_GB2312"/>
          <w:color w:val="auto"/>
          <w:sz w:val="32"/>
          <w:highlight w:val="none"/>
          <w:u w:color="auto"/>
          <w:lang w:val="en-US" w:eastAsia="zh-CN"/>
        </w:rPr>
        <w:t>791.06</w:t>
      </w:r>
      <w:r>
        <w:rPr>
          <w:rFonts w:hint="eastAsia" w:ascii="仿宋_GB2312" w:hAnsi="仿宋_GB2312" w:eastAsia="仿宋_GB2312" w:cs="仿宋_GB2312"/>
          <w:color w:val="auto"/>
          <w:sz w:val="32"/>
          <w:szCs w:val="32"/>
          <w:highlight w:val="none"/>
        </w:rPr>
        <w:t>万元，主要包括：</w:t>
      </w:r>
      <w:r>
        <w:rPr>
          <w:rFonts w:hint="eastAsia" w:ascii="仿宋_GB2312" w:hAnsi="仿宋_GB2312" w:eastAsia="仿宋_GB2312" w:cs="仿宋_GB2312"/>
          <w:color w:val="auto"/>
          <w:sz w:val="32"/>
          <w:highlight w:val="none"/>
          <w:u w:color="auto"/>
        </w:rPr>
        <w:t>基本工资、津贴补贴、</w:t>
      </w:r>
      <w:r>
        <w:rPr>
          <w:rFonts w:hint="eastAsia" w:ascii="仿宋_GB2312" w:hAnsi="仿宋_GB2312" w:eastAsia="仿宋_GB2312" w:cs="仿宋_GB2312"/>
          <w:color w:val="000000"/>
          <w:sz w:val="32"/>
          <w:highlight w:val="none"/>
          <w:u w:color="auto"/>
        </w:rPr>
        <w:t>奖金</w:t>
      </w:r>
      <w:r>
        <w:rPr>
          <w:rFonts w:hint="eastAsia" w:ascii="仿宋_GB2312" w:hAnsi="仿宋_GB2312" w:eastAsia="仿宋_GB2312" w:cs="仿宋_GB2312"/>
          <w:color w:val="000000"/>
          <w:sz w:val="32"/>
          <w:highlight w:val="none"/>
          <w:u w:color="auto"/>
          <w:lang w:eastAsia="zh-CN"/>
        </w:rPr>
        <w:t>、绩效工资</w:t>
      </w:r>
      <w:r>
        <w:rPr>
          <w:rFonts w:hint="eastAsia" w:ascii="仿宋_GB2312" w:hAnsi="仿宋_GB2312" w:eastAsia="仿宋_GB2312" w:cs="仿宋_GB2312"/>
          <w:color w:val="000000"/>
          <w:sz w:val="32"/>
          <w:highlight w:val="none"/>
          <w:u w:color="auto"/>
        </w:rPr>
        <w:t>、机关事业单位基本养老保险缴费、职业年金缴费、职工基本医疗保险缴费</w:t>
      </w:r>
      <w:r>
        <w:rPr>
          <w:rFonts w:hint="eastAsia" w:ascii="仿宋_GB2312" w:hAnsi="仿宋_GB2312" w:eastAsia="仿宋_GB2312" w:cs="仿宋_GB2312"/>
          <w:color w:val="000000"/>
          <w:sz w:val="32"/>
          <w:highlight w:val="none"/>
          <w:u w:color="auto"/>
          <w:lang w:eastAsia="zh-CN"/>
        </w:rPr>
        <w:t>、</w:t>
      </w:r>
      <w:r>
        <w:rPr>
          <w:rFonts w:hint="eastAsia" w:ascii="仿宋_GB2312" w:hAnsi="仿宋_GB2312" w:eastAsia="仿宋_GB2312" w:cs="仿宋_GB2312"/>
          <w:color w:val="000000"/>
          <w:sz w:val="32"/>
          <w:highlight w:val="none"/>
          <w:u w:color="auto"/>
        </w:rPr>
        <w:t>其他社会保障缴费、住房公积金、医疗费、生活补助</w:t>
      </w:r>
      <w:r>
        <w:rPr>
          <w:rFonts w:hint="eastAsia" w:ascii="仿宋_GB2312" w:hAnsi="仿宋_GB2312" w:eastAsia="仿宋_GB2312" w:cs="仿宋_GB2312"/>
          <w:color w:val="000000"/>
          <w:sz w:val="32"/>
          <w:highlight w:val="none"/>
          <w:u w:color="auto"/>
          <w:lang w:val="en-US" w:eastAsia="zh-CN"/>
        </w:rPr>
        <w:t>等</w:t>
      </w:r>
      <w:r>
        <w:rPr>
          <w:rFonts w:hint="eastAsia" w:ascii="仿宋_GB2312" w:hAnsi="仿宋_GB2312" w:eastAsia="仿宋_GB2312" w:cs="仿宋_GB2312"/>
          <w:color w:val="000000"/>
          <w:sz w:val="32"/>
          <w:highlight w:val="none"/>
          <w:u w:color="auto"/>
        </w:rPr>
        <w:t>。</w:t>
      </w:r>
    </w:p>
    <w:p w14:paraId="1ED703FF">
      <w:pPr>
        <w:spacing w:line="600" w:lineRule="exact"/>
        <w:ind w:firstLine="640"/>
        <w:jc w:val="both"/>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公用经费</w:t>
      </w:r>
      <w:r>
        <w:rPr>
          <w:rFonts w:hint="eastAsia" w:ascii="仿宋_GB2312" w:hAnsi="仿宋_GB2312" w:eastAsia="仿宋_GB2312" w:cs="仿宋_GB2312"/>
          <w:color w:val="000000"/>
          <w:sz w:val="32"/>
          <w:highlight w:val="none"/>
          <w:u w:color="auto"/>
          <w:lang w:val="en-US" w:eastAsia="zh-CN"/>
        </w:rPr>
        <w:t>45.82</w:t>
      </w:r>
      <w:r>
        <w:rPr>
          <w:rFonts w:hint="eastAsia" w:ascii="仿宋_GB2312" w:hAnsi="仿宋_GB2312" w:eastAsia="仿宋_GB2312" w:cs="仿宋_GB2312"/>
          <w:color w:val="000000"/>
          <w:sz w:val="32"/>
          <w:szCs w:val="32"/>
          <w:highlight w:val="none"/>
        </w:rPr>
        <w:t>万元，主要包括：</w:t>
      </w:r>
      <w:r>
        <w:rPr>
          <w:rFonts w:hint="eastAsia" w:ascii="仿宋_GB2312" w:hAnsi="仿宋_GB2312" w:eastAsia="仿宋_GB2312" w:cs="仿宋_GB2312"/>
          <w:color w:val="000000"/>
          <w:sz w:val="32"/>
          <w:highlight w:val="none"/>
          <w:u w:color="auto"/>
        </w:rPr>
        <w:t>办公费、电费、</w:t>
      </w:r>
      <w:r>
        <w:rPr>
          <w:rFonts w:hint="eastAsia" w:ascii="仿宋_GB2312" w:hAnsi="仿宋_GB2312" w:eastAsia="仿宋_GB2312" w:cs="仿宋_GB2312"/>
          <w:color w:val="000000"/>
          <w:sz w:val="32"/>
          <w:highlight w:val="none"/>
          <w:u w:color="auto"/>
          <w:lang w:eastAsia="zh-CN"/>
        </w:rPr>
        <w:t>邮</w:t>
      </w:r>
      <w:r>
        <w:rPr>
          <w:rFonts w:hint="eastAsia" w:ascii="仿宋_GB2312" w:hAnsi="仿宋_GB2312" w:eastAsia="仿宋_GB2312" w:cs="仿宋_GB2312"/>
          <w:color w:val="000000"/>
          <w:sz w:val="32"/>
          <w:highlight w:val="none"/>
          <w:u w:color="auto"/>
        </w:rPr>
        <w:t>电费</w:t>
      </w:r>
      <w:r>
        <w:rPr>
          <w:rFonts w:hint="eastAsia" w:ascii="仿宋_GB2312" w:hAnsi="仿宋_GB2312" w:eastAsia="仿宋_GB2312" w:cs="仿宋_GB2312"/>
          <w:color w:val="000000"/>
          <w:sz w:val="32"/>
          <w:highlight w:val="none"/>
          <w:u w:color="auto"/>
          <w:lang w:eastAsia="zh-CN"/>
        </w:rPr>
        <w:t>、</w:t>
      </w:r>
      <w:r>
        <w:rPr>
          <w:rFonts w:hint="eastAsia" w:ascii="仿宋_GB2312" w:hAnsi="仿宋_GB2312" w:eastAsia="仿宋_GB2312" w:cs="仿宋_GB2312"/>
          <w:color w:val="000000"/>
          <w:sz w:val="32"/>
          <w:highlight w:val="none"/>
          <w:u w:color="auto"/>
        </w:rPr>
        <w:t>差旅费、公务用车运行维护费</w:t>
      </w:r>
      <w:r>
        <w:rPr>
          <w:rFonts w:hint="eastAsia" w:ascii="仿宋_GB2312" w:hAnsi="仿宋_GB2312" w:eastAsia="仿宋_GB2312" w:cs="仿宋_GB2312"/>
          <w:color w:val="000000"/>
          <w:sz w:val="32"/>
          <w:highlight w:val="none"/>
          <w:u w:color="auto"/>
          <w:lang w:eastAsia="zh-CN"/>
        </w:rPr>
        <w:t>、其他商品和服务支出</w:t>
      </w:r>
      <w:r>
        <w:rPr>
          <w:rFonts w:hint="eastAsia" w:ascii="仿宋_GB2312" w:hAnsi="仿宋_GB2312" w:eastAsia="仿宋_GB2312" w:cs="仿宋_GB2312"/>
          <w:color w:val="000000"/>
          <w:sz w:val="32"/>
          <w:highlight w:val="none"/>
          <w:u w:color="auto"/>
          <w:lang w:val="en-US" w:eastAsia="zh-CN"/>
        </w:rPr>
        <w:t>等</w:t>
      </w:r>
      <w:r>
        <w:rPr>
          <w:rFonts w:hint="eastAsia" w:ascii="仿宋_GB2312" w:hAnsi="仿宋_GB2312" w:eastAsia="仿宋_GB2312" w:cs="仿宋_GB2312"/>
          <w:color w:val="000000"/>
          <w:sz w:val="32"/>
          <w:szCs w:val="32"/>
          <w:highlight w:val="none"/>
        </w:rPr>
        <w:t>。</w:t>
      </w:r>
    </w:p>
    <w:p w14:paraId="78159C5C">
      <w:pPr>
        <w:pStyle w:val="4"/>
        <w:keepNext/>
        <w:keepLines/>
        <w:pageBreakBefore w:val="0"/>
        <w:widowControl w:val="0"/>
        <w:kinsoku/>
        <w:wordWrap/>
        <w:overflowPunct/>
        <w:topLinePunct w:val="0"/>
        <w:autoSpaceDE/>
        <w:autoSpaceDN/>
        <w:bidi w:val="0"/>
        <w:adjustRightInd/>
        <w:snapToGrid/>
        <w:spacing w:after="0" w:afterAutospacing="0" w:line="300" w:lineRule="exact"/>
        <w:ind w:firstLine="643" w:firstLineChars="200"/>
        <w:textAlignment w:val="auto"/>
        <w:rPr>
          <w:rFonts w:hint="eastAsia" w:ascii="黑体" w:eastAsia="黑体" w:cs="Times New Roman"/>
          <w:bCs w:val="0"/>
          <w:color w:val="000000"/>
          <w:highlight w:val="none"/>
        </w:rPr>
      </w:pPr>
      <w:bookmarkStart w:id="44" w:name="_Toc111208505"/>
      <w:bookmarkStart w:id="45" w:name="_Toc15377215"/>
      <w:bookmarkStart w:id="46" w:name="_Toc886"/>
      <w:r>
        <w:rPr>
          <w:rFonts w:hint="eastAsia" w:ascii="黑体" w:eastAsia="黑体" w:cs="Times New Roman"/>
          <w:bCs w:val="0"/>
          <w:color w:val="000000"/>
          <w:highlight w:val="none"/>
        </w:rPr>
        <w:t>七、“三公”经费财政拨款支出决算情况说明</w:t>
      </w:r>
      <w:bookmarkEnd w:id="44"/>
      <w:bookmarkEnd w:id="45"/>
      <w:bookmarkEnd w:id="46"/>
    </w:p>
    <w:p w14:paraId="43080F10">
      <w:pPr>
        <w:pageBreakBefore w:val="0"/>
        <w:kinsoku/>
        <w:wordWrap/>
        <w:overflowPunct/>
        <w:topLinePunct w:val="0"/>
        <w:bidi w:val="0"/>
        <w:spacing w:line="576" w:lineRule="exact"/>
        <w:ind w:firstLine="643" w:firstLineChars="200"/>
        <w:textAlignment w:val="auto"/>
        <w:outlineLvl w:val="2"/>
        <w:rPr>
          <w:rFonts w:hint="eastAsia" w:ascii="Times New Roman" w:hAnsi="Times New Roman" w:eastAsia="楷体_GB2312" w:cs="Times New Roman"/>
          <w:b/>
          <w:color w:val="auto"/>
          <w:sz w:val="32"/>
          <w:szCs w:val="32"/>
          <w:highlight w:val="none"/>
        </w:rPr>
      </w:pPr>
      <w:bookmarkStart w:id="47" w:name="_Toc15377216"/>
      <w:r>
        <w:rPr>
          <w:rFonts w:hint="eastAsia" w:ascii="Times New Roman" w:hAnsi="Times New Roman" w:eastAsia="楷体_GB2312" w:cs="Times New Roman"/>
          <w:b/>
          <w:color w:val="auto"/>
          <w:sz w:val="32"/>
          <w:szCs w:val="32"/>
          <w:highlight w:val="none"/>
        </w:rPr>
        <w:t>（一）“三公”经费财政拨款支出决算总体情况说明</w:t>
      </w:r>
      <w:bookmarkEnd w:id="47"/>
    </w:p>
    <w:p w14:paraId="58D0B61A">
      <w:pPr>
        <w:spacing w:line="600" w:lineRule="exact"/>
        <w:ind w:firstLine="640" w:firstLineChars="200"/>
        <w:rPr>
          <w:rFonts w:hint="eastAsia" w:ascii="仿宋_GB2312" w:hAnsi="仿宋_GB2312" w:eastAsia="仿宋_GB2312" w:cs="仿宋_GB2312"/>
          <w:b/>
          <w:bCs/>
          <w:color w:val="000000"/>
          <w:sz w:val="32"/>
          <w:szCs w:val="32"/>
          <w:highlight w:val="none"/>
        </w:rPr>
      </w:pPr>
      <w:r>
        <w:rPr>
          <w:rFonts w:hint="eastAsia" w:ascii="仿宋_GB2312" w:hAnsi="仿宋_GB2312" w:eastAsia="仿宋_GB2312" w:cs="仿宋_GB2312"/>
          <w:color w:val="000000"/>
          <w:sz w:val="32"/>
          <w:szCs w:val="32"/>
          <w:highlight w:val="none"/>
          <w:lang w:eastAsia="zh-CN"/>
        </w:rPr>
        <w:t>202</w:t>
      </w:r>
      <w:r>
        <w:rPr>
          <w:rFonts w:hint="eastAsia" w:ascii="仿宋_GB2312" w:hAnsi="仿宋_GB2312" w:eastAsia="仿宋_GB2312" w:cs="仿宋_GB2312"/>
          <w:color w:val="000000"/>
          <w:sz w:val="32"/>
          <w:szCs w:val="32"/>
          <w:highlight w:val="none"/>
          <w:lang w:val="en-US" w:eastAsia="zh-CN"/>
        </w:rPr>
        <w:t>5</w:t>
      </w:r>
      <w:r>
        <w:rPr>
          <w:rFonts w:hint="eastAsia" w:ascii="仿宋_GB2312" w:hAnsi="仿宋_GB2312" w:eastAsia="仿宋_GB2312" w:cs="仿宋_GB2312"/>
          <w:color w:val="000000"/>
          <w:sz w:val="32"/>
          <w:highlight w:val="none"/>
          <w:u w:color="auto"/>
        </w:rPr>
        <w:t>年</w:t>
      </w:r>
      <w:r>
        <w:rPr>
          <w:rFonts w:hint="eastAsia" w:ascii="仿宋_GB2312" w:hAnsi="仿宋_GB2312" w:eastAsia="仿宋_GB2312" w:cs="仿宋_GB2312"/>
          <w:color w:val="000000"/>
          <w:sz w:val="32"/>
          <w:highlight w:val="none"/>
          <w:u w:color="auto"/>
          <w:lang w:val="en-US" w:eastAsia="zh-CN"/>
        </w:rPr>
        <w:t>度财政拨款</w:t>
      </w:r>
      <w:r>
        <w:rPr>
          <w:rFonts w:hint="eastAsia" w:ascii="仿宋_GB2312" w:hAnsi="仿宋_GB2312" w:eastAsia="仿宋_GB2312" w:cs="仿宋_GB2312"/>
          <w:color w:val="000000"/>
          <w:sz w:val="32"/>
          <w:highlight w:val="none"/>
          <w:u w:color="auto"/>
        </w:rPr>
        <w:t>“三公”经费支出决算为</w:t>
      </w:r>
      <w:r>
        <w:rPr>
          <w:rFonts w:hint="eastAsia" w:ascii="仿宋_GB2312" w:hAnsi="仿宋_GB2312" w:eastAsia="仿宋_GB2312" w:cs="仿宋_GB2312"/>
          <w:color w:val="000000"/>
          <w:sz w:val="32"/>
          <w:highlight w:val="none"/>
          <w:u w:color="auto"/>
          <w:lang w:val="en-US" w:eastAsia="zh-CN"/>
        </w:rPr>
        <w:t>6.98</w:t>
      </w:r>
      <w:r>
        <w:rPr>
          <w:rFonts w:hint="eastAsia" w:ascii="仿宋_GB2312" w:hAnsi="仿宋_GB2312" w:eastAsia="仿宋_GB2312" w:cs="仿宋_GB2312"/>
          <w:color w:val="000000"/>
          <w:sz w:val="32"/>
          <w:szCs w:val="32"/>
          <w:highlight w:val="none"/>
        </w:rPr>
        <w:t>万元，</w:t>
      </w:r>
      <w:r>
        <w:rPr>
          <w:rFonts w:hint="eastAsia" w:ascii="仿宋_GB2312" w:hAnsi="仿宋_GB2312" w:eastAsia="仿宋_GB2312" w:cs="仿宋_GB2312"/>
          <w:color w:val="000000"/>
          <w:sz w:val="32"/>
          <w:szCs w:val="32"/>
          <w:highlight w:val="none"/>
          <w:lang w:val="en-US" w:eastAsia="zh-CN"/>
        </w:rPr>
        <w:t>与上年度相比减少0.02万元，下降0.29%，</w:t>
      </w:r>
      <w:bookmarkStart w:id="48" w:name="_Toc15377217"/>
      <w:r>
        <w:rPr>
          <w:rFonts w:hint="eastAsia" w:ascii="仿宋_GB2312" w:hAnsi="仿宋_GB2312" w:eastAsia="仿宋_GB2312" w:cs="仿宋_GB2312"/>
          <w:color w:val="000000"/>
          <w:sz w:val="32"/>
          <w:highlight w:val="none"/>
          <w:u w:color="auto"/>
        </w:rPr>
        <w:t>主要原因是</w:t>
      </w:r>
      <w:r>
        <w:rPr>
          <w:rFonts w:hint="eastAsia" w:ascii="仿宋_GB2312" w:hAnsi="仿宋_GB2312" w:eastAsia="仿宋_GB2312" w:cs="仿宋_GB2312"/>
          <w:color w:val="000000"/>
          <w:sz w:val="32"/>
          <w:highlight w:val="none"/>
          <w:u w:color="auto"/>
          <w:lang w:eastAsia="zh-CN"/>
        </w:rPr>
        <w:t>：</w:t>
      </w:r>
      <w:r>
        <w:rPr>
          <w:rFonts w:hint="eastAsia" w:ascii="仿宋_GB2312" w:hAnsi="仿宋_GB2312" w:eastAsia="仿宋_GB2312" w:cs="仿宋_GB2312"/>
          <w:color w:val="000000"/>
          <w:sz w:val="32"/>
          <w:szCs w:val="32"/>
          <w:highlight w:val="none"/>
        </w:rPr>
        <w:t>公务用车购置及运行维护费支出</w:t>
      </w:r>
      <w:r>
        <w:rPr>
          <w:rFonts w:hint="eastAsia" w:ascii="仿宋_GB2312" w:hAnsi="仿宋_GB2312" w:eastAsia="仿宋_GB2312" w:cs="仿宋_GB2312"/>
          <w:color w:val="000000"/>
          <w:sz w:val="32"/>
          <w:szCs w:val="32"/>
          <w:highlight w:val="none"/>
          <w:lang w:val="en-US" w:eastAsia="zh-CN"/>
        </w:rPr>
        <w:t>减少</w:t>
      </w:r>
      <w:r>
        <w:rPr>
          <w:rFonts w:hint="eastAsia" w:ascii="仿宋_GB2312" w:eastAsia="仿宋_GB2312" w:cs="仿宋_GB2312"/>
          <w:b w:val="0"/>
          <w:bCs w:val="0"/>
          <w:sz w:val="32"/>
          <w:szCs w:val="32"/>
          <w:lang w:val="en-US" w:eastAsia="zh-CN"/>
        </w:rPr>
        <w:t>。</w:t>
      </w:r>
    </w:p>
    <w:p w14:paraId="2A3F2EB2">
      <w:pPr>
        <w:pageBreakBefore w:val="0"/>
        <w:kinsoku/>
        <w:wordWrap/>
        <w:overflowPunct/>
        <w:topLinePunct w:val="0"/>
        <w:bidi w:val="0"/>
        <w:spacing w:line="576" w:lineRule="exact"/>
        <w:ind w:firstLine="643" w:firstLineChars="200"/>
        <w:textAlignment w:val="auto"/>
        <w:outlineLvl w:val="2"/>
        <w:rPr>
          <w:rFonts w:hint="eastAsia" w:ascii="Times New Roman" w:hAnsi="Times New Roman" w:eastAsia="楷体_GB2312" w:cs="Times New Roman"/>
          <w:b/>
          <w:color w:val="auto"/>
          <w:sz w:val="32"/>
          <w:szCs w:val="32"/>
          <w:highlight w:val="none"/>
        </w:rPr>
      </w:pPr>
      <w:r>
        <w:rPr>
          <w:rFonts w:hint="eastAsia" w:ascii="Times New Roman" w:hAnsi="Times New Roman" w:eastAsia="楷体_GB2312" w:cs="Times New Roman"/>
          <w:b/>
          <w:color w:val="auto"/>
          <w:sz w:val="32"/>
          <w:szCs w:val="32"/>
          <w:highlight w:val="none"/>
        </w:rPr>
        <w:t>（二）“三公”经费财政拨款支出决算具体情况说明</w:t>
      </w:r>
      <w:bookmarkEnd w:id="48"/>
    </w:p>
    <w:p w14:paraId="1B26A01D">
      <w:pPr>
        <w:spacing w:line="600" w:lineRule="exact"/>
        <w:ind w:firstLine="640"/>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lang w:eastAsia="zh-CN"/>
        </w:rPr>
        <w:t>202</w:t>
      </w:r>
      <w:r>
        <w:rPr>
          <w:rFonts w:hint="eastAsia" w:ascii="仿宋_GB2312" w:hAnsi="仿宋_GB2312" w:eastAsia="仿宋_GB2312" w:cs="仿宋_GB2312"/>
          <w:color w:val="000000"/>
          <w:sz w:val="32"/>
          <w:szCs w:val="32"/>
          <w:highlight w:val="none"/>
          <w:lang w:val="en-US" w:eastAsia="zh-CN"/>
        </w:rPr>
        <w:t>5</w:t>
      </w:r>
      <w:r>
        <w:rPr>
          <w:rFonts w:hint="eastAsia" w:ascii="仿宋_GB2312" w:hAnsi="仿宋_GB2312" w:eastAsia="仿宋_GB2312" w:cs="仿宋_GB2312"/>
          <w:color w:val="000000"/>
          <w:sz w:val="32"/>
          <w:highlight w:val="none"/>
          <w:u w:color="auto"/>
        </w:rPr>
        <w:t>年</w:t>
      </w:r>
      <w:r>
        <w:rPr>
          <w:rFonts w:hint="eastAsia" w:ascii="仿宋_GB2312" w:hAnsi="仿宋_GB2312" w:eastAsia="仿宋_GB2312" w:cs="仿宋_GB2312"/>
          <w:color w:val="000000"/>
          <w:sz w:val="32"/>
          <w:highlight w:val="none"/>
          <w:u w:color="auto"/>
          <w:lang w:val="en-US" w:eastAsia="zh-CN"/>
        </w:rPr>
        <w:t>度</w:t>
      </w:r>
      <w:r>
        <w:rPr>
          <w:rFonts w:hint="eastAsia" w:ascii="仿宋_GB2312" w:hAnsi="仿宋_GB2312" w:eastAsia="仿宋_GB2312" w:cs="仿宋_GB2312"/>
          <w:color w:val="000000"/>
          <w:sz w:val="32"/>
          <w:highlight w:val="none"/>
          <w:u w:color="auto"/>
        </w:rPr>
        <w:t>“三公”经费财政拨款支出</w:t>
      </w:r>
      <w:r>
        <w:rPr>
          <w:rFonts w:hint="eastAsia" w:ascii="仿宋_GB2312" w:hAnsi="仿宋_GB2312" w:eastAsia="仿宋_GB2312" w:cs="仿宋_GB2312"/>
          <w:color w:val="000000"/>
          <w:sz w:val="32"/>
          <w:highlight w:val="none"/>
          <w:u w:color="auto"/>
          <w:lang w:val="en-US" w:eastAsia="zh-CN"/>
        </w:rPr>
        <w:t>决算中</w:t>
      </w:r>
      <w:r>
        <w:rPr>
          <w:rFonts w:hint="eastAsia" w:ascii="仿宋_GB2312" w:hAnsi="仿宋_GB2312" w:eastAsia="仿宋_GB2312" w:cs="仿宋_GB2312"/>
          <w:color w:val="000000"/>
          <w:sz w:val="32"/>
          <w:szCs w:val="32"/>
          <w:highlight w:val="none"/>
        </w:rPr>
        <w:t>，因公出国（境）费支出决算</w:t>
      </w:r>
      <w:r>
        <w:rPr>
          <w:rFonts w:hint="eastAsia" w:ascii="仿宋_GB2312" w:hAnsi="仿宋_GB2312" w:eastAsia="仿宋_GB2312" w:cs="仿宋_GB2312"/>
          <w:color w:val="000000"/>
          <w:sz w:val="32"/>
          <w:highlight w:val="none"/>
          <w:u w:color="auto"/>
          <w:lang w:eastAsia="zh-CN"/>
        </w:rPr>
        <w:t>0</w:t>
      </w:r>
      <w:r>
        <w:rPr>
          <w:rFonts w:hint="eastAsia" w:ascii="仿宋_GB2312" w:hAnsi="仿宋_GB2312" w:eastAsia="仿宋_GB2312" w:cs="仿宋_GB2312"/>
          <w:color w:val="000000"/>
          <w:sz w:val="32"/>
          <w:szCs w:val="32"/>
          <w:highlight w:val="none"/>
        </w:rPr>
        <w:t>万元</w:t>
      </w:r>
      <w:r>
        <w:rPr>
          <w:rFonts w:hint="eastAsia" w:ascii="仿宋_GB2312" w:hAnsi="仿宋_GB2312" w:eastAsia="仿宋_GB2312" w:cs="仿宋_GB2312"/>
          <w:color w:val="000000"/>
          <w:sz w:val="32"/>
          <w:szCs w:val="32"/>
          <w:highlight w:val="none"/>
          <w:lang w:eastAsia="zh-CN"/>
        </w:rPr>
        <w:t>，</w:t>
      </w:r>
      <w:r>
        <w:rPr>
          <w:rFonts w:hint="default" w:ascii="Times New Roman" w:hAnsi="Times New Roman" w:eastAsia="仿宋" w:cs="Times New Roman"/>
          <w:color w:val="auto"/>
          <w:sz w:val="32"/>
          <w:szCs w:val="32"/>
          <w:highlight w:val="none"/>
        </w:rPr>
        <w:t>占</w:t>
      </w:r>
      <w:r>
        <w:rPr>
          <w:rFonts w:hint="default" w:ascii="Times New Roman" w:hAnsi="Times New Roman" w:eastAsia="仿宋" w:cs="Times New Roman"/>
          <w:color w:val="auto"/>
          <w:sz w:val="32"/>
          <w:szCs w:val="32"/>
          <w:highlight w:val="none"/>
          <w:lang w:val="en-US" w:eastAsia="zh-CN"/>
        </w:rPr>
        <w:t>0</w:t>
      </w:r>
      <w:r>
        <w:rPr>
          <w:rFonts w:hint="default" w:ascii="Times New Roman" w:hAnsi="Times New Roman" w:eastAsia="仿宋" w:cs="Times New Roman"/>
          <w:color w:val="auto"/>
          <w:sz w:val="32"/>
          <w:szCs w:val="32"/>
          <w:highlight w:val="none"/>
        </w:rPr>
        <w:t>%；</w:t>
      </w:r>
      <w:r>
        <w:rPr>
          <w:rFonts w:hint="eastAsia" w:ascii="仿宋_GB2312" w:hAnsi="仿宋_GB2312" w:eastAsia="仿宋_GB2312" w:cs="仿宋_GB2312"/>
          <w:color w:val="000000"/>
          <w:sz w:val="32"/>
          <w:szCs w:val="32"/>
          <w:highlight w:val="none"/>
        </w:rPr>
        <w:t>公务用车购置及运行维护费支出决算</w:t>
      </w:r>
      <w:r>
        <w:rPr>
          <w:rFonts w:hint="eastAsia" w:ascii="仿宋_GB2312" w:hAnsi="仿宋_GB2312" w:eastAsia="仿宋_GB2312" w:cs="仿宋_GB2312"/>
          <w:color w:val="000000"/>
          <w:sz w:val="32"/>
          <w:highlight w:val="none"/>
          <w:u w:color="auto"/>
          <w:lang w:val="en-US" w:eastAsia="zh-CN"/>
        </w:rPr>
        <w:t>6.98</w:t>
      </w:r>
      <w:r>
        <w:rPr>
          <w:rFonts w:hint="eastAsia" w:ascii="仿宋_GB2312" w:hAnsi="仿宋_GB2312" w:eastAsia="仿宋_GB2312" w:cs="仿宋_GB2312"/>
          <w:color w:val="000000"/>
          <w:sz w:val="32"/>
          <w:szCs w:val="32"/>
          <w:highlight w:val="none"/>
        </w:rPr>
        <w:t>万元，占</w:t>
      </w:r>
      <w:r>
        <w:rPr>
          <w:rFonts w:hint="eastAsia" w:ascii="仿宋_GB2312" w:hAnsi="仿宋_GB2312" w:eastAsia="仿宋_GB2312" w:cs="仿宋_GB2312"/>
          <w:color w:val="000000"/>
          <w:sz w:val="32"/>
          <w:highlight w:val="none"/>
          <w:u w:color="auto"/>
        </w:rPr>
        <w:t>10</w:t>
      </w:r>
      <w:r>
        <w:rPr>
          <w:rFonts w:hint="eastAsia" w:ascii="仿宋_GB2312" w:hAnsi="仿宋_GB2312" w:eastAsia="仿宋_GB2312" w:cs="仿宋_GB2312"/>
          <w:color w:val="000000"/>
          <w:sz w:val="32"/>
          <w:highlight w:val="none"/>
          <w:u w:color="auto"/>
          <w:lang w:eastAsia="zh-CN"/>
        </w:rPr>
        <w:t>0</w:t>
      </w:r>
      <w:r>
        <w:rPr>
          <w:rFonts w:hint="eastAsia" w:ascii="仿宋_GB2312" w:hAnsi="仿宋_GB2312" w:eastAsia="仿宋_GB2312" w:cs="仿宋_GB2312"/>
          <w:color w:val="000000"/>
          <w:sz w:val="32"/>
          <w:szCs w:val="32"/>
          <w:highlight w:val="none"/>
        </w:rPr>
        <w:t>%；公务接待费支出决算</w:t>
      </w:r>
      <w:r>
        <w:rPr>
          <w:rFonts w:hint="eastAsia" w:ascii="仿宋_GB2312" w:hAnsi="仿宋_GB2312" w:eastAsia="仿宋_GB2312" w:cs="仿宋_GB2312"/>
          <w:color w:val="000000"/>
          <w:sz w:val="32"/>
          <w:highlight w:val="none"/>
          <w:u w:color="auto"/>
          <w:lang w:eastAsia="zh-CN"/>
        </w:rPr>
        <w:t>0</w:t>
      </w:r>
      <w:r>
        <w:rPr>
          <w:rFonts w:hint="eastAsia" w:ascii="仿宋_GB2312" w:hAnsi="仿宋_GB2312" w:eastAsia="仿宋_GB2312" w:cs="仿宋_GB2312"/>
          <w:color w:val="000000"/>
          <w:sz w:val="32"/>
          <w:szCs w:val="32"/>
          <w:highlight w:val="none"/>
        </w:rPr>
        <w:t>万元</w:t>
      </w:r>
      <w:r>
        <w:rPr>
          <w:rFonts w:hint="eastAsia" w:ascii="仿宋_GB2312" w:hAnsi="仿宋_GB2312" w:eastAsia="仿宋_GB2312" w:cs="仿宋_GB2312"/>
          <w:color w:val="000000"/>
          <w:sz w:val="32"/>
          <w:szCs w:val="32"/>
          <w:highlight w:val="none"/>
          <w:lang w:eastAsia="zh-CN"/>
        </w:rPr>
        <w:t>，</w:t>
      </w:r>
      <w:r>
        <w:rPr>
          <w:rFonts w:hint="default" w:ascii="Times New Roman" w:hAnsi="Times New Roman" w:eastAsia="仿宋" w:cs="Times New Roman"/>
          <w:color w:val="auto"/>
          <w:sz w:val="32"/>
          <w:szCs w:val="32"/>
          <w:highlight w:val="none"/>
        </w:rPr>
        <w:t>占</w:t>
      </w:r>
      <w:r>
        <w:rPr>
          <w:rFonts w:hint="default" w:ascii="Times New Roman" w:hAnsi="Times New Roman" w:eastAsia="仿宋" w:cs="Times New Roman"/>
          <w:color w:val="auto"/>
          <w:sz w:val="32"/>
          <w:szCs w:val="32"/>
          <w:highlight w:val="none"/>
          <w:lang w:val="en-US" w:eastAsia="zh-CN"/>
        </w:rPr>
        <w:t>0</w:t>
      </w:r>
      <w:r>
        <w:rPr>
          <w:rFonts w:hint="default" w:ascii="Times New Roman" w:hAnsi="Times New Roman" w:eastAsia="仿宋" w:cs="Times New Roman"/>
          <w:color w:val="auto"/>
          <w:sz w:val="32"/>
          <w:szCs w:val="32"/>
          <w:highlight w:val="none"/>
        </w:rPr>
        <w:t>%</w:t>
      </w:r>
      <w:r>
        <w:rPr>
          <w:rFonts w:hint="eastAsia" w:ascii="仿宋_GB2312" w:hAnsi="仿宋_GB2312" w:eastAsia="仿宋_GB2312" w:cs="仿宋_GB2312"/>
          <w:color w:val="000000"/>
          <w:sz w:val="32"/>
          <w:szCs w:val="32"/>
          <w:highlight w:val="none"/>
        </w:rPr>
        <w:t>。具体情况如下：</w:t>
      </w:r>
    </w:p>
    <w:p w14:paraId="005A9CB4">
      <w:pPr>
        <w:pStyle w:val="6"/>
        <w:rPr>
          <w:rFonts w:ascii="仿宋_GB2312" w:eastAsia="仿宋_GB2312"/>
          <w:color w:val="000000"/>
          <w:sz w:val="32"/>
          <w:szCs w:val="32"/>
          <w:highlight w:val="none"/>
        </w:rPr>
      </w:pPr>
      <w:r>
        <w:rPr>
          <w:rFonts w:hint="eastAsia" w:eastAsia="仿宋"/>
          <w:highlight w:val="none"/>
          <w:lang w:eastAsia="zh-CN"/>
        </w:rPr>
        <w:drawing>
          <wp:inline distT="0" distB="0" distL="114300" distR="114300">
            <wp:extent cx="5256530" cy="2988310"/>
            <wp:effectExtent l="5080" t="4445" r="15240" b="17145"/>
            <wp:docPr id="4" name="图表 4" descr="7b0a202020202263686172745265734964223a20223230343735353430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654E5728">
      <w:pPr>
        <w:numPr>
          <w:ilvl w:val="0"/>
          <w:numId w:val="0"/>
        </w:numPr>
        <w:spacing w:line="600" w:lineRule="exact"/>
        <w:ind w:firstLine="643" w:firstLineChars="200"/>
        <w:jc w:val="both"/>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b/>
          <w:bCs/>
          <w:color w:val="000000"/>
          <w:sz w:val="32"/>
          <w:szCs w:val="32"/>
          <w:highlight w:val="none"/>
          <w:lang w:val="en-US" w:eastAsia="zh-CN"/>
        </w:rPr>
        <w:t>1.</w:t>
      </w:r>
      <w:r>
        <w:rPr>
          <w:rFonts w:hint="eastAsia" w:ascii="仿宋_GB2312" w:hAnsi="仿宋_GB2312" w:eastAsia="仿宋_GB2312" w:cs="仿宋_GB2312"/>
          <w:b/>
          <w:bCs/>
          <w:color w:val="000000"/>
          <w:sz w:val="32"/>
          <w:szCs w:val="32"/>
          <w:highlight w:val="none"/>
        </w:rPr>
        <w:t>因公出国（境）经费支出</w:t>
      </w:r>
      <w:r>
        <w:rPr>
          <w:rFonts w:hint="eastAsia" w:ascii="仿宋_GB2312" w:hAnsi="仿宋_GB2312" w:eastAsia="仿宋_GB2312" w:cs="仿宋_GB2312"/>
          <w:b/>
          <w:bCs/>
          <w:color w:val="000000"/>
          <w:sz w:val="32"/>
          <w:highlight w:val="none"/>
          <w:u w:color="auto"/>
          <w:lang w:eastAsia="zh-CN"/>
        </w:rPr>
        <w:t>0</w:t>
      </w:r>
      <w:r>
        <w:rPr>
          <w:rFonts w:hint="eastAsia" w:ascii="仿宋_GB2312" w:hAnsi="仿宋_GB2312" w:eastAsia="仿宋_GB2312" w:cs="仿宋_GB2312"/>
          <w:b/>
          <w:bCs/>
          <w:color w:val="000000"/>
          <w:sz w:val="32"/>
          <w:szCs w:val="32"/>
          <w:highlight w:val="none"/>
        </w:rPr>
        <w:t>万元</w:t>
      </w:r>
      <w:r>
        <w:rPr>
          <w:rFonts w:hint="eastAsia" w:ascii="仿宋_GB2312" w:hAnsi="仿宋_GB2312" w:eastAsia="仿宋_GB2312" w:cs="仿宋_GB2312"/>
          <w:b/>
          <w:bCs/>
          <w:color w:val="000000"/>
          <w:sz w:val="32"/>
          <w:szCs w:val="32"/>
          <w:highlight w:val="none"/>
          <w:lang w:eastAsia="zh-CN"/>
        </w:rPr>
        <w:t>，</w:t>
      </w:r>
      <w:r>
        <w:rPr>
          <w:rFonts w:hint="eastAsia" w:ascii="仿宋_GB2312" w:hAnsi="仿宋_GB2312" w:eastAsia="仿宋_GB2312" w:cs="仿宋_GB2312"/>
          <w:b/>
          <w:bCs/>
          <w:color w:val="000000"/>
          <w:sz w:val="32"/>
          <w:szCs w:val="32"/>
          <w:highlight w:val="none"/>
          <w:lang w:val="en-US" w:eastAsia="zh-CN"/>
        </w:rPr>
        <w:t>完成预算数的0%</w:t>
      </w:r>
      <w:r>
        <w:rPr>
          <w:rFonts w:hint="eastAsia" w:ascii="仿宋_GB2312" w:hAnsi="仿宋_GB2312" w:eastAsia="仿宋_GB2312" w:cs="仿宋_GB2312"/>
          <w:b/>
          <w:bCs/>
          <w:color w:val="000000"/>
          <w:sz w:val="32"/>
          <w:szCs w:val="32"/>
          <w:highlight w:val="none"/>
        </w:rPr>
        <w:t>。</w:t>
      </w:r>
      <w:r>
        <w:rPr>
          <w:rFonts w:hint="eastAsia" w:ascii="仿宋_GB2312" w:hAnsi="仿宋_GB2312" w:eastAsia="仿宋_GB2312" w:cs="仿宋_GB2312"/>
          <w:color w:val="000000"/>
          <w:sz w:val="32"/>
          <w:szCs w:val="32"/>
          <w:highlight w:val="none"/>
        </w:rPr>
        <w:t>全年安排因公出国（境）团组</w:t>
      </w:r>
      <w:r>
        <w:rPr>
          <w:rFonts w:hint="eastAsia" w:ascii="仿宋_GB2312" w:hAnsi="仿宋_GB2312" w:eastAsia="仿宋_GB2312" w:cs="仿宋_GB2312"/>
          <w:color w:val="000000"/>
          <w:sz w:val="32"/>
          <w:highlight w:val="none"/>
          <w:u w:color="auto"/>
        </w:rPr>
        <w:t>0</w:t>
      </w:r>
      <w:r>
        <w:rPr>
          <w:rFonts w:hint="eastAsia" w:ascii="仿宋_GB2312" w:hAnsi="仿宋_GB2312" w:eastAsia="仿宋_GB2312" w:cs="仿宋_GB2312"/>
          <w:color w:val="000000"/>
          <w:sz w:val="32"/>
          <w:szCs w:val="32"/>
          <w:highlight w:val="none"/>
        </w:rPr>
        <w:t>次，出国（境）</w:t>
      </w:r>
      <w:r>
        <w:rPr>
          <w:rFonts w:hint="eastAsia" w:ascii="仿宋_GB2312" w:hAnsi="仿宋_GB2312" w:eastAsia="仿宋_GB2312" w:cs="仿宋_GB2312"/>
          <w:color w:val="000000"/>
          <w:sz w:val="32"/>
          <w:highlight w:val="none"/>
          <w:u w:color="auto"/>
        </w:rPr>
        <w:t>0</w:t>
      </w:r>
      <w:r>
        <w:rPr>
          <w:rFonts w:hint="eastAsia" w:ascii="仿宋_GB2312" w:hAnsi="仿宋_GB2312" w:eastAsia="仿宋_GB2312" w:cs="仿宋_GB2312"/>
          <w:color w:val="000000"/>
          <w:sz w:val="32"/>
          <w:szCs w:val="32"/>
          <w:highlight w:val="none"/>
        </w:rPr>
        <w:t>人。</w:t>
      </w:r>
    </w:p>
    <w:p w14:paraId="3E7DBF2E">
      <w:pPr>
        <w:numPr>
          <w:ilvl w:val="0"/>
          <w:numId w:val="0"/>
        </w:numPr>
        <w:spacing w:line="600" w:lineRule="exact"/>
        <w:ind w:firstLine="643" w:firstLineChars="200"/>
        <w:jc w:val="both"/>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b/>
          <w:bCs/>
          <w:color w:val="000000"/>
          <w:sz w:val="32"/>
          <w:szCs w:val="32"/>
          <w:highlight w:val="none"/>
        </w:rPr>
        <w:t>2.公务用车购置及运行维护费支出</w:t>
      </w:r>
      <w:r>
        <w:rPr>
          <w:rFonts w:hint="eastAsia" w:ascii="仿宋_GB2312" w:hAnsi="仿宋_GB2312" w:eastAsia="仿宋_GB2312" w:cs="仿宋_GB2312"/>
          <w:b/>
          <w:bCs/>
          <w:color w:val="000000"/>
          <w:sz w:val="32"/>
          <w:szCs w:val="32"/>
          <w:highlight w:val="none"/>
          <w:lang w:val="en-US" w:eastAsia="zh-CN"/>
        </w:rPr>
        <w:t>6.98</w:t>
      </w:r>
      <w:r>
        <w:rPr>
          <w:rFonts w:hint="eastAsia" w:ascii="仿宋_GB2312" w:hAnsi="仿宋_GB2312" w:eastAsia="仿宋_GB2312" w:cs="仿宋_GB2312"/>
          <w:b/>
          <w:bCs/>
          <w:color w:val="000000"/>
          <w:sz w:val="32"/>
          <w:szCs w:val="32"/>
          <w:highlight w:val="none"/>
        </w:rPr>
        <w:t>万元,完成预算10</w:t>
      </w:r>
      <w:r>
        <w:rPr>
          <w:rFonts w:hint="eastAsia" w:ascii="仿宋_GB2312" w:hAnsi="仿宋_GB2312" w:eastAsia="仿宋_GB2312" w:cs="仿宋_GB2312"/>
          <w:b/>
          <w:bCs/>
          <w:color w:val="000000"/>
          <w:sz w:val="32"/>
          <w:szCs w:val="32"/>
          <w:highlight w:val="none"/>
          <w:lang w:eastAsia="zh-CN"/>
        </w:rPr>
        <w:t>0</w:t>
      </w:r>
      <w:r>
        <w:rPr>
          <w:rFonts w:hint="eastAsia" w:ascii="仿宋_GB2312" w:hAnsi="仿宋_GB2312" w:eastAsia="仿宋_GB2312" w:cs="仿宋_GB2312"/>
          <w:b/>
          <w:bCs/>
          <w:color w:val="000000"/>
          <w:sz w:val="32"/>
          <w:szCs w:val="32"/>
          <w:highlight w:val="none"/>
        </w:rPr>
        <w:t>%。</w:t>
      </w:r>
      <w:r>
        <w:rPr>
          <w:rFonts w:hint="eastAsia" w:ascii="仿宋_GB2312" w:hAnsi="仿宋_GB2312" w:eastAsia="仿宋_GB2312" w:cs="仿宋_GB2312"/>
          <w:color w:val="000000"/>
          <w:sz w:val="32"/>
          <w:highlight w:val="none"/>
          <w:u w:color="auto"/>
        </w:rPr>
        <w:t>截至</w:t>
      </w:r>
      <w:r>
        <w:rPr>
          <w:rFonts w:hint="eastAsia" w:ascii="仿宋_GB2312" w:hAnsi="仿宋_GB2312" w:eastAsia="仿宋_GB2312" w:cs="仿宋_GB2312"/>
          <w:color w:val="000000"/>
          <w:sz w:val="32"/>
          <w:szCs w:val="32"/>
          <w:highlight w:val="none"/>
          <w:lang w:val="en-US" w:eastAsia="zh-CN"/>
        </w:rPr>
        <w:t>2025年</w:t>
      </w:r>
      <w:r>
        <w:rPr>
          <w:rFonts w:hint="default" w:ascii="Times New Roman" w:hAnsi="Times New Roman" w:eastAsia="仿宋_GB2312" w:cs="Times New Roman"/>
          <w:color w:val="auto"/>
          <w:kern w:val="2"/>
          <w:sz w:val="32"/>
          <w:szCs w:val="32"/>
          <w:highlight w:val="none"/>
          <w:lang w:val="en-US" w:eastAsia="zh-CN" w:bidi="ar-SA"/>
        </w:rPr>
        <w:t>12月31日</w:t>
      </w:r>
      <w:r>
        <w:rPr>
          <w:rFonts w:hint="eastAsia" w:ascii="仿宋_GB2312" w:hAnsi="仿宋_GB2312" w:eastAsia="仿宋_GB2312" w:cs="仿宋_GB2312"/>
          <w:color w:val="000000"/>
          <w:sz w:val="32"/>
          <w:szCs w:val="32"/>
          <w:highlight w:val="none"/>
        </w:rPr>
        <w:t>，单位共有公务用车</w:t>
      </w:r>
      <w:r>
        <w:rPr>
          <w:rFonts w:hint="eastAsia" w:ascii="仿宋_GB2312" w:hAnsi="仿宋_GB2312" w:eastAsia="仿宋_GB2312" w:cs="仿宋_GB2312"/>
          <w:color w:val="000000"/>
          <w:sz w:val="32"/>
          <w:szCs w:val="32"/>
          <w:highlight w:val="none"/>
          <w:lang w:val="en-US" w:eastAsia="zh-CN"/>
        </w:rPr>
        <w:t>4</w:t>
      </w:r>
      <w:r>
        <w:rPr>
          <w:rFonts w:hint="eastAsia" w:ascii="仿宋_GB2312" w:hAnsi="仿宋_GB2312" w:eastAsia="仿宋_GB2312" w:cs="仿宋_GB2312"/>
          <w:color w:val="000000"/>
          <w:sz w:val="32"/>
          <w:szCs w:val="32"/>
          <w:highlight w:val="none"/>
        </w:rPr>
        <w:t>辆，其中：轿车</w:t>
      </w:r>
      <w:r>
        <w:rPr>
          <w:rFonts w:hint="eastAsia" w:ascii="仿宋_GB2312" w:hAnsi="仿宋_GB2312" w:eastAsia="仿宋_GB2312" w:cs="仿宋_GB2312"/>
          <w:color w:val="000000"/>
          <w:sz w:val="32"/>
          <w:highlight w:val="none"/>
          <w:u w:color="auto"/>
        </w:rPr>
        <w:t>0辆、越野车</w:t>
      </w:r>
      <w:r>
        <w:rPr>
          <w:rFonts w:hint="eastAsia" w:ascii="仿宋_GB2312" w:hAnsi="仿宋_GB2312" w:eastAsia="仿宋_GB2312" w:cs="仿宋_GB2312"/>
          <w:color w:val="000000"/>
          <w:sz w:val="32"/>
          <w:highlight w:val="none"/>
          <w:u w:color="auto"/>
          <w:lang w:val="en-US" w:eastAsia="zh-CN"/>
        </w:rPr>
        <w:t>4</w:t>
      </w:r>
      <w:r>
        <w:rPr>
          <w:rFonts w:hint="eastAsia" w:ascii="仿宋_GB2312" w:hAnsi="仿宋_GB2312" w:eastAsia="仿宋_GB2312" w:cs="仿宋_GB2312"/>
          <w:color w:val="000000"/>
          <w:sz w:val="32"/>
          <w:highlight w:val="none"/>
          <w:u w:color="auto"/>
        </w:rPr>
        <w:t>辆、载客汽车0辆。</w:t>
      </w:r>
    </w:p>
    <w:p w14:paraId="2FC85D6A">
      <w:pPr>
        <w:spacing w:line="600" w:lineRule="exact"/>
        <w:ind w:firstLine="640"/>
        <w:jc w:val="both"/>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公务用车运行维护费支出</w:t>
      </w:r>
      <w:r>
        <w:rPr>
          <w:rFonts w:hint="eastAsia" w:ascii="仿宋_GB2312" w:hAnsi="仿宋_GB2312" w:eastAsia="仿宋_GB2312" w:cs="仿宋_GB2312"/>
          <w:color w:val="000000"/>
          <w:sz w:val="32"/>
          <w:highlight w:val="none"/>
          <w:u w:color="auto"/>
          <w:lang w:val="en-US" w:eastAsia="zh-CN"/>
        </w:rPr>
        <w:t>6.98</w:t>
      </w:r>
      <w:r>
        <w:rPr>
          <w:rFonts w:hint="eastAsia" w:ascii="仿宋_GB2312" w:hAnsi="仿宋_GB2312" w:eastAsia="仿宋_GB2312" w:cs="仿宋_GB2312"/>
          <w:color w:val="000000"/>
          <w:sz w:val="32"/>
          <w:szCs w:val="32"/>
          <w:highlight w:val="none"/>
        </w:rPr>
        <w:t>万元。</w:t>
      </w:r>
      <w:r>
        <w:rPr>
          <w:rFonts w:hint="eastAsia" w:ascii="仿宋_GB2312" w:hAnsi="仿宋_GB2312" w:eastAsia="仿宋_GB2312" w:cs="仿宋_GB2312"/>
          <w:color w:val="000000"/>
          <w:sz w:val="32"/>
          <w:highlight w:val="none"/>
          <w:u w:color="auto"/>
        </w:rPr>
        <w:t>主要</w:t>
      </w:r>
      <w:r>
        <w:rPr>
          <w:rFonts w:hint="eastAsia" w:ascii="仿宋_GB2312" w:hAnsi="仿宋_GB2312" w:eastAsia="仿宋_GB2312" w:cs="仿宋_GB2312"/>
          <w:color w:val="000000"/>
          <w:sz w:val="32"/>
          <w:highlight w:val="none"/>
          <w:u w:color="auto"/>
          <w:lang w:val="en-US" w:eastAsia="zh-CN"/>
        </w:rPr>
        <w:t>原因是：</w:t>
      </w:r>
      <w:r>
        <w:rPr>
          <w:rFonts w:hint="eastAsia" w:ascii="仿宋_GB2312" w:hAnsi="仿宋_GB2312" w:eastAsia="仿宋_GB2312" w:cs="仿宋_GB2312"/>
          <w:color w:val="000000"/>
          <w:sz w:val="32"/>
          <w:highlight w:val="none"/>
          <w:u w:color="auto"/>
        </w:rPr>
        <w:t>用于</w:t>
      </w:r>
      <w:r>
        <w:rPr>
          <w:rFonts w:hint="eastAsia" w:ascii="仿宋_GB2312" w:hAnsi="仿宋_GB2312" w:eastAsia="仿宋_GB2312" w:cs="仿宋_GB2312"/>
          <w:color w:val="000000"/>
          <w:sz w:val="32"/>
          <w:highlight w:val="none"/>
          <w:u w:color="auto"/>
          <w:lang w:eastAsia="zh-CN"/>
        </w:rPr>
        <w:t>下村等工作所需的公务用车燃料费、维修费、过路过桥费、保险费等支出</w:t>
      </w:r>
      <w:r>
        <w:rPr>
          <w:rFonts w:hint="eastAsia" w:ascii="仿宋_GB2312" w:hAnsi="仿宋_GB2312" w:eastAsia="仿宋_GB2312" w:cs="仿宋_GB2312"/>
          <w:color w:val="000000"/>
          <w:sz w:val="32"/>
          <w:highlight w:val="none"/>
          <w:u w:color="auto"/>
        </w:rPr>
        <w:t xml:space="preserve">。 </w:t>
      </w:r>
    </w:p>
    <w:p w14:paraId="1F677B61">
      <w:pPr>
        <w:numPr>
          <w:ilvl w:val="0"/>
          <w:numId w:val="0"/>
        </w:numPr>
        <w:spacing w:line="600" w:lineRule="exact"/>
        <w:ind w:firstLine="643" w:firstLineChars="200"/>
        <w:jc w:val="both"/>
        <w:rPr>
          <w:rFonts w:hint="default" w:ascii="Times New Roman" w:hAnsi="Times New Roman" w:eastAsia="仿宋_GB2312" w:cs="Times New Roman"/>
          <w:color w:val="auto"/>
          <w:sz w:val="32"/>
          <w:szCs w:val="32"/>
          <w:highlight w:val="none"/>
        </w:rPr>
      </w:pPr>
      <w:r>
        <w:rPr>
          <w:rFonts w:hint="eastAsia" w:ascii="仿宋_GB2312" w:hAnsi="仿宋_GB2312" w:eastAsia="仿宋_GB2312" w:cs="仿宋_GB2312"/>
          <w:b/>
          <w:bCs/>
          <w:color w:val="000000"/>
          <w:sz w:val="32"/>
          <w:szCs w:val="32"/>
          <w:highlight w:val="none"/>
          <w:lang w:val="en-US" w:eastAsia="zh-CN"/>
        </w:rPr>
        <w:t>3.</w:t>
      </w:r>
      <w:r>
        <w:rPr>
          <w:rFonts w:hint="eastAsia" w:ascii="仿宋_GB2312" w:hAnsi="仿宋_GB2312" w:eastAsia="仿宋_GB2312" w:cs="仿宋_GB2312"/>
          <w:b/>
          <w:bCs/>
          <w:color w:val="000000"/>
          <w:sz w:val="32"/>
          <w:szCs w:val="32"/>
          <w:highlight w:val="none"/>
        </w:rPr>
        <w:t>公务接待费</w:t>
      </w:r>
      <w:r>
        <w:rPr>
          <w:rFonts w:hint="default" w:ascii="Times New Roman" w:hAnsi="Times New Roman" w:eastAsia="仿宋_GB2312" w:cs="Times New Roman"/>
          <w:b/>
          <w:bCs/>
          <w:color w:val="auto"/>
          <w:sz w:val="32"/>
          <w:szCs w:val="32"/>
          <w:highlight w:val="none"/>
        </w:rPr>
        <w:t>支出</w:t>
      </w:r>
      <w:r>
        <w:rPr>
          <w:rFonts w:hint="eastAsia" w:eastAsia="仿宋_GB2312" w:cs="Times New Roman"/>
          <w:b/>
          <w:bCs/>
          <w:color w:val="auto"/>
          <w:sz w:val="32"/>
          <w:szCs w:val="32"/>
          <w:highlight w:val="none"/>
          <w:lang w:val="en-US" w:eastAsia="zh-CN"/>
        </w:rPr>
        <w:t>0万元</w:t>
      </w:r>
      <w:r>
        <w:rPr>
          <w:rFonts w:hint="default" w:ascii="Times New Roman" w:hAnsi="Times New Roman" w:eastAsia="仿宋_GB2312" w:cs="Times New Roman"/>
          <w:color w:val="auto"/>
          <w:sz w:val="32"/>
          <w:szCs w:val="32"/>
          <w:highlight w:val="none"/>
        </w:rPr>
        <w:t>。</w:t>
      </w:r>
    </w:p>
    <w:p w14:paraId="4DAE9FBD">
      <w:pPr>
        <w:pStyle w:val="4"/>
        <w:pageBreakBefore w:val="0"/>
        <w:widowControl w:val="0"/>
        <w:kinsoku/>
        <w:wordWrap/>
        <w:overflowPunct/>
        <w:topLinePunct w:val="0"/>
        <w:autoSpaceDE/>
        <w:autoSpaceDN/>
        <w:bidi w:val="0"/>
        <w:adjustRightInd/>
        <w:snapToGrid/>
        <w:spacing w:line="300" w:lineRule="exact"/>
        <w:ind w:firstLine="643" w:firstLineChars="200"/>
        <w:jc w:val="both"/>
        <w:textAlignment w:val="auto"/>
        <w:rPr>
          <w:rFonts w:ascii="黑体" w:eastAsia="黑体" w:cs="Times New Roman"/>
          <w:bCs w:val="0"/>
          <w:color w:val="000000"/>
          <w:highlight w:val="none"/>
        </w:rPr>
      </w:pPr>
      <w:bookmarkStart w:id="49" w:name="_Toc15377218"/>
      <w:bookmarkStart w:id="50" w:name="_Toc13730"/>
      <w:bookmarkStart w:id="51" w:name="_Toc111208506"/>
      <w:r>
        <w:rPr>
          <w:rFonts w:hint="eastAsia" w:ascii="黑体" w:eastAsia="黑体" w:cs="Times New Roman"/>
          <w:bCs w:val="0"/>
          <w:color w:val="000000"/>
          <w:highlight w:val="none"/>
        </w:rPr>
        <w:t>八、政府性基金预算支出决算情况说明</w:t>
      </w:r>
      <w:bookmarkEnd w:id="49"/>
      <w:bookmarkEnd w:id="50"/>
      <w:bookmarkEnd w:id="51"/>
    </w:p>
    <w:p w14:paraId="21EDD17E">
      <w:pPr>
        <w:pageBreakBefore w:val="0"/>
        <w:widowControl w:val="0"/>
        <w:kinsoku/>
        <w:wordWrap/>
        <w:overflowPunct/>
        <w:topLinePunct w:val="0"/>
        <w:autoSpaceDE/>
        <w:autoSpaceDN/>
        <w:bidi w:val="0"/>
        <w:adjustRightInd/>
        <w:snapToGrid/>
        <w:spacing w:line="300" w:lineRule="exact"/>
        <w:ind w:firstLine="640"/>
        <w:jc w:val="both"/>
        <w:textAlignment w:val="auto"/>
        <w:rPr>
          <w:rFonts w:ascii="仿宋" w:eastAsia="仿宋"/>
          <w:highlight w:val="none"/>
        </w:rPr>
      </w:pPr>
      <w:r>
        <w:rPr>
          <w:rFonts w:hint="eastAsia" w:ascii="仿宋_GB2312" w:hAnsi="仿宋_GB2312" w:eastAsia="仿宋_GB2312" w:cs="仿宋_GB2312"/>
          <w:color w:val="000000"/>
          <w:sz w:val="32"/>
          <w:szCs w:val="32"/>
          <w:highlight w:val="none"/>
          <w:lang w:eastAsia="zh-CN"/>
        </w:rPr>
        <w:t>202</w:t>
      </w:r>
      <w:r>
        <w:rPr>
          <w:rFonts w:hint="eastAsia" w:ascii="仿宋_GB2312" w:hAnsi="仿宋_GB2312" w:eastAsia="仿宋_GB2312" w:cs="仿宋_GB2312"/>
          <w:color w:val="000000"/>
          <w:sz w:val="32"/>
          <w:szCs w:val="32"/>
          <w:highlight w:val="none"/>
          <w:lang w:val="en-US" w:eastAsia="zh-CN"/>
        </w:rPr>
        <w:t>5</w:t>
      </w:r>
      <w:r>
        <w:rPr>
          <w:rFonts w:hint="eastAsia" w:ascii="仿宋_GB2312" w:hAnsi="仿宋_GB2312" w:eastAsia="仿宋_GB2312" w:cs="仿宋_GB2312"/>
          <w:color w:val="000000"/>
          <w:sz w:val="32"/>
          <w:highlight w:val="none"/>
          <w:u w:color="auto"/>
        </w:rPr>
        <w:t>年政府性基金预算拨款支出</w:t>
      </w:r>
      <w:r>
        <w:rPr>
          <w:rFonts w:hint="eastAsia" w:ascii="仿宋_GB2312" w:hAnsi="仿宋_GB2312" w:eastAsia="仿宋_GB2312" w:cs="仿宋_GB2312"/>
          <w:color w:val="000000"/>
          <w:sz w:val="32"/>
          <w:highlight w:val="none"/>
          <w:u w:color="auto"/>
          <w:lang w:val="en-US" w:eastAsia="zh-CN"/>
        </w:rPr>
        <w:t>4.32</w:t>
      </w:r>
      <w:r>
        <w:rPr>
          <w:rFonts w:hint="eastAsia" w:ascii="仿宋_GB2312" w:hAnsi="仿宋_GB2312" w:eastAsia="仿宋_GB2312" w:cs="仿宋_GB2312"/>
          <w:color w:val="000000"/>
          <w:sz w:val="32"/>
          <w:szCs w:val="32"/>
          <w:highlight w:val="none"/>
        </w:rPr>
        <w:t>万元。</w:t>
      </w:r>
      <w:bookmarkStart w:id="52" w:name="_Toc15377219"/>
    </w:p>
    <w:p w14:paraId="15F094FC">
      <w:pPr>
        <w:pStyle w:val="4"/>
        <w:pageBreakBefore w:val="0"/>
        <w:widowControl w:val="0"/>
        <w:numPr>
          <w:ilvl w:val="0"/>
          <w:numId w:val="2"/>
        </w:numPr>
        <w:kinsoku/>
        <w:wordWrap/>
        <w:overflowPunct/>
        <w:topLinePunct w:val="0"/>
        <w:autoSpaceDE/>
        <w:autoSpaceDN/>
        <w:bidi w:val="0"/>
        <w:adjustRightInd/>
        <w:snapToGrid/>
        <w:spacing w:line="300" w:lineRule="exact"/>
        <w:ind w:firstLine="643" w:firstLineChars="200"/>
        <w:jc w:val="both"/>
        <w:textAlignment w:val="auto"/>
      </w:pPr>
      <w:bookmarkStart w:id="53" w:name="_Toc30609"/>
      <w:bookmarkStart w:id="54" w:name="_Toc111208507"/>
      <w:r>
        <w:rPr>
          <w:rFonts w:hint="eastAsia" w:ascii="黑体" w:eastAsia="黑体" w:cs="Times New Roman"/>
          <w:bCs w:val="0"/>
          <w:color w:val="000000"/>
          <w:highlight w:val="none"/>
        </w:rPr>
        <w:t>国有资本经营预算支出决算情况说明</w:t>
      </w:r>
      <w:bookmarkEnd w:id="52"/>
      <w:bookmarkEnd w:id="53"/>
      <w:bookmarkEnd w:id="54"/>
    </w:p>
    <w:p w14:paraId="5B75C9C6">
      <w:pPr>
        <w:pageBreakBefore w:val="0"/>
        <w:widowControl w:val="0"/>
        <w:kinsoku/>
        <w:wordWrap/>
        <w:overflowPunct/>
        <w:topLinePunct w:val="0"/>
        <w:autoSpaceDE/>
        <w:autoSpaceDN/>
        <w:bidi w:val="0"/>
        <w:adjustRightInd/>
        <w:snapToGrid/>
        <w:spacing w:line="300" w:lineRule="exact"/>
        <w:ind w:firstLine="640"/>
        <w:jc w:val="both"/>
        <w:textAlignment w:val="auto"/>
        <w:rPr>
          <w:rFonts w:hint="eastAsia"/>
        </w:rPr>
      </w:pPr>
      <w:r>
        <w:rPr>
          <w:rFonts w:hint="eastAsia" w:ascii="仿宋_GB2312" w:hAnsi="仿宋_GB2312" w:eastAsia="仿宋_GB2312" w:cs="仿宋_GB2312"/>
          <w:color w:val="000000"/>
          <w:sz w:val="32"/>
          <w:szCs w:val="32"/>
          <w:highlight w:val="none"/>
          <w:lang w:eastAsia="zh-CN"/>
        </w:rPr>
        <w:t>202</w:t>
      </w:r>
      <w:r>
        <w:rPr>
          <w:rFonts w:hint="eastAsia" w:ascii="仿宋_GB2312" w:hAnsi="仿宋_GB2312" w:eastAsia="仿宋_GB2312" w:cs="仿宋_GB2312"/>
          <w:color w:val="000000"/>
          <w:sz w:val="32"/>
          <w:szCs w:val="32"/>
          <w:highlight w:val="none"/>
          <w:lang w:val="en-US" w:eastAsia="zh-CN"/>
        </w:rPr>
        <w:t>5</w:t>
      </w:r>
      <w:r>
        <w:rPr>
          <w:rFonts w:hint="eastAsia" w:ascii="仿宋_GB2312" w:hAnsi="仿宋_GB2312" w:eastAsia="仿宋_GB2312" w:cs="仿宋_GB2312"/>
          <w:color w:val="000000"/>
          <w:sz w:val="32"/>
          <w:highlight w:val="none"/>
          <w:u w:color="auto"/>
        </w:rPr>
        <w:t>年国有资本经营预算拨款支出</w:t>
      </w:r>
      <w:r>
        <w:rPr>
          <w:rFonts w:hint="eastAsia" w:ascii="仿宋_GB2312" w:hAnsi="仿宋_GB2312" w:eastAsia="仿宋_GB2312" w:cs="仿宋_GB2312"/>
          <w:color w:val="000000"/>
          <w:sz w:val="32"/>
          <w:highlight w:val="none"/>
          <w:u w:color="auto"/>
          <w:lang w:eastAsia="zh-CN"/>
        </w:rPr>
        <w:t>0</w:t>
      </w:r>
      <w:r>
        <w:rPr>
          <w:rFonts w:hint="eastAsia" w:ascii="仿宋_GB2312" w:hAnsi="仿宋_GB2312" w:eastAsia="仿宋_GB2312" w:cs="仿宋_GB2312"/>
          <w:color w:val="000000"/>
          <w:sz w:val="32"/>
          <w:szCs w:val="32"/>
          <w:highlight w:val="none"/>
        </w:rPr>
        <w:t>万元。</w:t>
      </w:r>
    </w:p>
    <w:p w14:paraId="1D8AEA97">
      <w:pPr>
        <w:pStyle w:val="4"/>
        <w:pageBreakBefore w:val="0"/>
        <w:widowControl w:val="0"/>
        <w:numPr>
          <w:ilvl w:val="0"/>
          <w:numId w:val="2"/>
        </w:numPr>
        <w:kinsoku/>
        <w:wordWrap/>
        <w:overflowPunct/>
        <w:topLinePunct w:val="0"/>
        <w:autoSpaceDE/>
        <w:autoSpaceDN/>
        <w:bidi w:val="0"/>
        <w:adjustRightInd/>
        <w:snapToGrid/>
        <w:spacing w:after="0" w:afterAutospacing="0" w:line="300" w:lineRule="exact"/>
        <w:ind w:left="0" w:leftChars="0" w:firstLine="643" w:firstLineChars="200"/>
        <w:textAlignment w:val="auto"/>
        <w:rPr>
          <w:rFonts w:hint="eastAsia" w:ascii="黑体" w:eastAsia="黑体" w:cs="Times New Roman"/>
          <w:bCs w:val="0"/>
          <w:color w:val="000000"/>
          <w:highlight w:val="none"/>
        </w:rPr>
      </w:pPr>
      <w:bookmarkStart w:id="55" w:name="_Toc15377221"/>
      <w:bookmarkStart w:id="56" w:name="_Toc111208508"/>
      <w:bookmarkStart w:id="57" w:name="_Toc11418"/>
      <w:r>
        <w:rPr>
          <w:rFonts w:hint="eastAsia" w:ascii="黑体" w:eastAsia="黑体" w:cs="Times New Roman"/>
          <w:bCs w:val="0"/>
          <w:color w:val="000000"/>
          <w:highlight w:val="none"/>
        </w:rPr>
        <w:t>其他重要事项的情况说明</w:t>
      </w:r>
      <w:bookmarkEnd w:id="55"/>
      <w:bookmarkEnd w:id="56"/>
      <w:bookmarkEnd w:id="57"/>
    </w:p>
    <w:p w14:paraId="145170D7">
      <w:pPr>
        <w:numPr>
          <w:ilvl w:val="0"/>
          <w:numId w:val="0"/>
        </w:numPr>
        <w:ind w:leftChars="200"/>
      </w:pPr>
    </w:p>
    <w:p w14:paraId="1BA2A7DE">
      <w:pPr>
        <w:pageBreakBefore w:val="0"/>
        <w:kinsoku/>
        <w:wordWrap/>
        <w:overflowPunct/>
        <w:topLinePunct w:val="0"/>
        <w:bidi w:val="0"/>
        <w:spacing w:line="576" w:lineRule="exact"/>
        <w:ind w:firstLine="643" w:firstLineChars="200"/>
        <w:textAlignment w:val="auto"/>
        <w:outlineLvl w:val="2"/>
        <w:rPr>
          <w:rFonts w:hint="eastAsia" w:ascii="Times New Roman" w:hAnsi="Times New Roman" w:eastAsia="楷体_GB2312" w:cs="Times New Roman"/>
          <w:b/>
          <w:color w:val="auto"/>
          <w:sz w:val="32"/>
          <w:szCs w:val="32"/>
          <w:highlight w:val="none"/>
        </w:rPr>
      </w:pPr>
      <w:bookmarkStart w:id="58" w:name="_Toc15377222"/>
      <w:r>
        <w:rPr>
          <w:rFonts w:hint="eastAsia" w:ascii="Times New Roman" w:hAnsi="Times New Roman" w:eastAsia="楷体_GB2312" w:cs="Times New Roman"/>
          <w:b/>
          <w:color w:val="auto"/>
          <w:sz w:val="32"/>
          <w:szCs w:val="32"/>
          <w:highlight w:val="none"/>
        </w:rPr>
        <w:t>（一）机关运行经费支出情况</w:t>
      </w:r>
      <w:bookmarkEnd w:id="58"/>
    </w:p>
    <w:p w14:paraId="33538D9D">
      <w:pPr>
        <w:spacing w:line="600" w:lineRule="exact"/>
        <w:ind w:firstLine="640"/>
        <w:rPr>
          <w:rFonts w:hint="eastAsia" w:ascii="仿宋_GB2312" w:hAnsi="仿宋_GB2312" w:eastAsia="仿宋_GB2312" w:cs="仿宋_GB2312"/>
          <w:color w:val="000000" w:themeColor="text1"/>
          <w:sz w:val="32"/>
          <w:szCs w:val="32"/>
          <w:highlight w:val="none"/>
          <w14:textFill>
            <w14:solidFill>
              <w14:schemeClr w14:val="tx1"/>
            </w14:solidFill>
          </w14:textFill>
        </w:rPr>
      </w:pPr>
      <w:r>
        <w:rPr>
          <w:rFonts w:hint="eastAsia" w:ascii="仿宋_GB2312" w:hAnsi="仿宋_GB2312" w:eastAsia="仿宋_GB2312" w:cs="仿宋_GB2312"/>
          <w:color w:val="000000" w:themeColor="text1"/>
          <w:sz w:val="32"/>
          <w:szCs w:val="32"/>
          <w:highlight w:val="none"/>
          <w:lang w:eastAsia="zh-CN"/>
          <w14:textFill>
            <w14:solidFill>
              <w14:schemeClr w14:val="tx1"/>
            </w14:solidFill>
          </w14:textFill>
        </w:rPr>
        <w:t>202</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5</w:t>
      </w:r>
      <w:r>
        <w:rPr>
          <w:rFonts w:hint="eastAsia" w:ascii="仿宋_GB2312" w:hAnsi="仿宋_GB2312" w:eastAsia="仿宋_GB2312" w:cs="仿宋_GB2312"/>
          <w:color w:val="000000" w:themeColor="text1"/>
          <w:sz w:val="32"/>
          <w:highlight w:val="none"/>
          <w:u w:color="auto"/>
          <w14:textFill>
            <w14:solidFill>
              <w14:schemeClr w14:val="tx1"/>
            </w14:solidFill>
          </w14:textFill>
        </w:rPr>
        <w:t>年，</w:t>
      </w:r>
      <w:r>
        <w:rPr>
          <w:rFonts w:hint="eastAsia" w:ascii="仿宋_GB2312" w:hAnsi="仿宋_GB2312" w:eastAsia="仿宋_GB2312" w:cs="仿宋_GB2312"/>
          <w:color w:val="000000" w:themeColor="text1"/>
          <w:sz w:val="32"/>
          <w:highlight w:val="none"/>
          <w:u w:color="auto"/>
          <w:lang w:val="en-US" w:eastAsia="zh-CN"/>
          <w14:textFill>
            <w14:solidFill>
              <w14:schemeClr w14:val="tx1"/>
            </w14:solidFill>
          </w14:textFill>
        </w:rPr>
        <w:t>茂县黑虎镇人民政府</w:t>
      </w:r>
      <w:r>
        <w:rPr>
          <w:rFonts w:hint="eastAsia" w:ascii="仿宋_GB2312" w:hAnsi="仿宋_GB2312" w:eastAsia="仿宋_GB2312" w:cs="仿宋_GB2312"/>
          <w:color w:val="000000" w:themeColor="text1"/>
          <w:sz w:val="32"/>
          <w:highlight w:val="none"/>
          <w:u w:color="auto"/>
          <w14:textFill>
            <w14:solidFill>
              <w14:schemeClr w14:val="tx1"/>
            </w14:solidFill>
          </w14:textFill>
        </w:rPr>
        <w:t>机关运行经费支出</w:t>
      </w:r>
      <w:r>
        <w:rPr>
          <w:rFonts w:hint="eastAsia" w:ascii="仿宋_GB2312" w:hAnsi="仿宋_GB2312" w:eastAsia="仿宋_GB2312" w:cs="仿宋_GB2312"/>
          <w:color w:val="000000" w:themeColor="text1"/>
          <w:sz w:val="32"/>
          <w:highlight w:val="none"/>
          <w:u w:color="auto"/>
          <w:lang w:val="en-US" w:eastAsia="zh-CN"/>
          <w14:textFill>
            <w14:solidFill>
              <w14:schemeClr w14:val="tx1"/>
            </w14:solidFill>
          </w14:textFill>
        </w:rPr>
        <w:t>45.82</w:t>
      </w:r>
      <w:r>
        <w:rPr>
          <w:rFonts w:hint="eastAsia" w:ascii="仿宋_GB2312" w:hAnsi="仿宋_GB2312" w:eastAsia="仿宋_GB2312" w:cs="仿宋_GB2312"/>
          <w:color w:val="000000" w:themeColor="text1"/>
          <w:sz w:val="32"/>
          <w:szCs w:val="32"/>
          <w:highlight w:val="none"/>
          <w14:textFill>
            <w14:solidFill>
              <w14:schemeClr w14:val="tx1"/>
            </w14:solidFill>
          </w14:textFill>
        </w:rPr>
        <w:t>万元，</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与</w:t>
      </w:r>
      <w:r>
        <w:rPr>
          <w:rFonts w:hint="eastAsia" w:ascii="仿宋_GB2312" w:hAnsi="仿宋_GB2312" w:eastAsia="仿宋_GB2312" w:cs="仿宋_GB2312"/>
          <w:color w:val="000000" w:themeColor="text1"/>
          <w:sz w:val="32"/>
          <w:highlight w:val="none"/>
          <w:u w:color="auto"/>
          <w:lang w:eastAsia="zh-CN"/>
          <w14:textFill>
            <w14:solidFill>
              <w14:schemeClr w14:val="tx1"/>
            </w14:solidFill>
          </w14:textFill>
        </w:rPr>
        <w:t>202</w:t>
      </w:r>
      <w:r>
        <w:rPr>
          <w:rFonts w:hint="eastAsia" w:ascii="仿宋_GB2312" w:hAnsi="仿宋_GB2312" w:eastAsia="仿宋_GB2312" w:cs="仿宋_GB2312"/>
          <w:color w:val="000000" w:themeColor="text1"/>
          <w:sz w:val="32"/>
          <w:highlight w:val="none"/>
          <w:u w:color="auto"/>
          <w:lang w:val="en-US" w:eastAsia="zh-CN"/>
          <w14:textFill>
            <w14:solidFill>
              <w14:schemeClr w14:val="tx1"/>
            </w14:solidFill>
          </w14:textFill>
        </w:rPr>
        <w:t>4</w:t>
      </w:r>
      <w:r>
        <w:rPr>
          <w:rFonts w:hint="eastAsia" w:ascii="仿宋_GB2312" w:hAnsi="仿宋_GB2312" w:eastAsia="仿宋_GB2312" w:cs="仿宋_GB2312"/>
          <w:color w:val="000000" w:themeColor="text1"/>
          <w:sz w:val="32"/>
          <w:highlight w:val="none"/>
          <w:u w:color="auto"/>
          <w14:textFill>
            <w14:solidFill>
              <w14:schemeClr w14:val="tx1"/>
            </w14:solidFill>
          </w14:textFill>
        </w:rPr>
        <w:t>年</w:t>
      </w:r>
      <w:r>
        <w:rPr>
          <w:rFonts w:hint="eastAsia" w:ascii="仿宋_GB2312" w:hAnsi="仿宋_GB2312" w:eastAsia="仿宋_GB2312" w:cs="仿宋_GB2312"/>
          <w:color w:val="000000" w:themeColor="text1"/>
          <w:sz w:val="32"/>
          <w:highlight w:val="none"/>
          <w:u w:color="auto"/>
          <w:lang w:val="en-US" w:eastAsia="zh-CN"/>
          <w14:textFill>
            <w14:solidFill>
              <w14:schemeClr w14:val="tx1"/>
            </w14:solidFill>
          </w14:textFill>
        </w:rPr>
        <w:t>相比</w:t>
      </w:r>
      <w:r>
        <w:rPr>
          <w:rFonts w:hint="eastAsia" w:ascii="仿宋_GB2312" w:hAnsi="仿宋_GB2312" w:eastAsia="仿宋_GB2312" w:cs="仿宋_GB2312"/>
          <w:color w:val="000000" w:themeColor="text1"/>
          <w:sz w:val="32"/>
          <w:highlight w:val="none"/>
          <w:u w:color="auto"/>
          <w14:textFill>
            <w14:solidFill>
              <w14:schemeClr w14:val="tx1"/>
            </w14:solidFill>
          </w14:textFill>
        </w:rPr>
        <w:t>增加</w:t>
      </w:r>
      <w:r>
        <w:rPr>
          <w:rFonts w:hint="eastAsia" w:ascii="仿宋_GB2312" w:hAnsi="仿宋_GB2312" w:eastAsia="仿宋_GB2312" w:cs="仿宋_GB2312"/>
          <w:color w:val="000000" w:themeColor="text1"/>
          <w:sz w:val="32"/>
          <w:highlight w:val="none"/>
          <w:u w:color="auto"/>
          <w:lang w:val="en-US" w:eastAsia="zh-CN"/>
          <w14:textFill>
            <w14:solidFill>
              <w14:schemeClr w14:val="tx1"/>
            </w14:solidFill>
          </w14:textFill>
        </w:rPr>
        <w:t>13.68</w:t>
      </w:r>
      <w:r>
        <w:rPr>
          <w:rFonts w:hint="eastAsia" w:ascii="仿宋_GB2312" w:hAnsi="仿宋_GB2312" w:eastAsia="仿宋_GB2312" w:cs="仿宋_GB2312"/>
          <w:color w:val="000000" w:themeColor="text1"/>
          <w:sz w:val="32"/>
          <w:szCs w:val="32"/>
          <w:highlight w:val="none"/>
          <w14:textFill>
            <w14:solidFill>
              <w14:schemeClr w14:val="tx1"/>
            </w14:solidFill>
          </w14:textFill>
        </w:rPr>
        <w:t>万元，</w:t>
      </w:r>
      <w:r>
        <w:rPr>
          <w:rFonts w:hint="eastAsia" w:ascii="仿宋_GB2312" w:hAnsi="仿宋_GB2312" w:eastAsia="仿宋_GB2312" w:cs="仿宋_GB2312"/>
          <w:color w:val="000000" w:themeColor="text1"/>
          <w:sz w:val="32"/>
          <w:highlight w:val="none"/>
          <w:u w:color="auto"/>
          <w14:textFill>
            <w14:solidFill>
              <w14:schemeClr w14:val="tx1"/>
            </w14:solidFill>
          </w14:textFill>
        </w:rPr>
        <w:t>增</w:t>
      </w:r>
      <w:r>
        <w:rPr>
          <w:rFonts w:hint="eastAsia" w:ascii="仿宋_GB2312" w:hAnsi="仿宋_GB2312" w:eastAsia="仿宋_GB2312" w:cs="仿宋_GB2312"/>
          <w:color w:val="000000" w:themeColor="text1"/>
          <w:sz w:val="32"/>
          <w:highlight w:val="none"/>
          <w:u w:color="auto"/>
          <w:lang w:val="en-US" w:eastAsia="zh-CN"/>
          <w14:textFill>
            <w14:solidFill>
              <w14:schemeClr w14:val="tx1"/>
            </w14:solidFill>
          </w14:textFill>
        </w:rPr>
        <w:t>长42.56</w:t>
      </w:r>
      <w:r>
        <w:rPr>
          <w:rFonts w:hint="eastAsia" w:ascii="仿宋_GB2312" w:hAnsi="仿宋_GB2312" w:eastAsia="仿宋_GB2312" w:cs="仿宋_GB2312"/>
          <w:color w:val="000000" w:themeColor="text1"/>
          <w:sz w:val="32"/>
          <w:highlight w:val="none"/>
          <w:u w:color="auto"/>
          <w14:textFill>
            <w14:solidFill>
              <w14:schemeClr w14:val="tx1"/>
            </w14:solidFill>
          </w14:textFill>
        </w:rPr>
        <w:t>%。</w:t>
      </w:r>
      <w:r>
        <w:rPr>
          <w:rFonts w:hint="default" w:ascii="Times New Roman" w:hAnsi="Times New Roman" w:eastAsia="仿宋_GB2312" w:cs="Times New Roman"/>
          <w:color w:val="auto"/>
          <w:kern w:val="2"/>
          <w:sz w:val="32"/>
          <w:szCs w:val="32"/>
          <w:highlight w:val="none"/>
          <w:lang w:val="en-US" w:eastAsia="zh-CN" w:bidi="ar-SA"/>
        </w:rPr>
        <w:t>主要原因是</w:t>
      </w:r>
      <w:r>
        <w:rPr>
          <w:rFonts w:hint="eastAsia" w:eastAsia="仿宋_GB2312" w:cs="Times New Roman"/>
          <w:color w:val="auto"/>
          <w:kern w:val="2"/>
          <w:sz w:val="32"/>
          <w:szCs w:val="32"/>
          <w:highlight w:val="none"/>
          <w:lang w:val="en-US" w:eastAsia="zh-CN" w:bidi="ar-SA"/>
        </w:rPr>
        <w:t>：</w:t>
      </w:r>
      <w:r>
        <w:rPr>
          <w:rFonts w:hint="default" w:ascii="Times New Roman" w:hAnsi="Times New Roman" w:eastAsia="仿宋_GB2312" w:cs="Times New Roman"/>
          <w:color w:val="auto"/>
          <w:kern w:val="2"/>
          <w:sz w:val="32"/>
          <w:szCs w:val="32"/>
          <w:highlight w:val="none"/>
          <w:lang w:val="en-US" w:eastAsia="zh-CN" w:bidi="ar-SA"/>
        </w:rPr>
        <w:t>办公费</w:t>
      </w:r>
      <w:r>
        <w:rPr>
          <w:rFonts w:hint="eastAsia" w:eastAsia="仿宋_GB2312" w:cs="Times New Roman"/>
          <w:color w:val="auto"/>
          <w:kern w:val="2"/>
          <w:sz w:val="32"/>
          <w:szCs w:val="32"/>
          <w:highlight w:val="none"/>
          <w:lang w:val="en-US" w:eastAsia="zh-CN" w:bidi="ar-SA"/>
        </w:rPr>
        <w:t>、电费、邮电费、差旅费、其他商品和服务支出</w:t>
      </w:r>
      <w:r>
        <w:rPr>
          <w:rFonts w:hint="default" w:ascii="Times New Roman" w:hAnsi="Times New Roman" w:eastAsia="仿宋_GB2312" w:cs="Times New Roman"/>
          <w:color w:val="auto"/>
          <w:kern w:val="2"/>
          <w:sz w:val="32"/>
          <w:szCs w:val="32"/>
          <w:highlight w:val="none"/>
          <w:lang w:val="en-US" w:eastAsia="zh-CN" w:bidi="ar-SA"/>
        </w:rPr>
        <w:t>增加。</w:t>
      </w:r>
      <w:r>
        <w:rPr>
          <w:rFonts w:hint="eastAsia" w:ascii="仿宋_GB2312" w:hAnsi="仿宋_GB2312" w:eastAsia="仿宋_GB2312" w:cs="仿宋_GB2312"/>
          <w:color w:val="000000" w:themeColor="text1"/>
          <w:sz w:val="32"/>
          <w:highlight w:val="none"/>
          <w:u w:color="auto"/>
          <w14:textFill>
            <w14:solidFill>
              <w14:schemeClr w14:val="tx1"/>
            </w14:solidFill>
          </w14:textFill>
        </w:rPr>
        <w:t xml:space="preserve"> </w:t>
      </w:r>
    </w:p>
    <w:p w14:paraId="4918223E">
      <w:pPr>
        <w:pageBreakBefore w:val="0"/>
        <w:kinsoku/>
        <w:wordWrap/>
        <w:overflowPunct/>
        <w:topLinePunct w:val="0"/>
        <w:bidi w:val="0"/>
        <w:spacing w:line="576" w:lineRule="exact"/>
        <w:ind w:firstLine="643" w:firstLineChars="200"/>
        <w:textAlignment w:val="auto"/>
        <w:outlineLvl w:val="2"/>
        <w:rPr>
          <w:rFonts w:hint="eastAsia" w:ascii="Times New Roman" w:hAnsi="Times New Roman" w:eastAsia="楷体_GB2312" w:cs="Times New Roman"/>
          <w:b/>
          <w:color w:val="auto"/>
          <w:sz w:val="32"/>
          <w:szCs w:val="32"/>
          <w:highlight w:val="none"/>
        </w:rPr>
      </w:pPr>
      <w:bookmarkStart w:id="59" w:name="_Toc15377223"/>
      <w:r>
        <w:rPr>
          <w:rFonts w:hint="eastAsia" w:ascii="Times New Roman" w:hAnsi="Times New Roman" w:eastAsia="楷体_GB2312" w:cs="Times New Roman"/>
          <w:b/>
          <w:color w:val="auto"/>
          <w:sz w:val="32"/>
          <w:szCs w:val="32"/>
          <w:highlight w:val="none"/>
        </w:rPr>
        <w:t>（二）政府采购支出情况</w:t>
      </w:r>
      <w:bookmarkEnd w:id="59"/>
    </w:p>
    <w:p w14:paraId="6EE68C8A">
      <w:pPr>
        <w:spacing w:line="600" w:lineRule="exact"/>
        <w:ind w:firstLine="640"/>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eastAsia="zh-CN"/>
        </w:rPr>
        <w:t>202</w:t>
      </w:r>
      <w:r>
        <w:rPr>
          <w:rFonts w:hint="eastAsia" w:ascii="仿宋_GB2312" w:hAnsi="仿宋_GB2312" w:eastAsia="仿宋_GB2312" w:cs="仿宋_GB2312"/>
          <w:color w:val="000000"/>
          <w:sz w:val="32"/>
          <w:szCs w:val="32"/>
          <w:highlight w:val="none"/>
          <w:lang w:val="en-US" w:eastAsia="zh-CN"/>
        </w:rPr>
        <w:t>5</w:t>
      </w:r>
      <w:r>
        <w:rPr>
          <w:rFonts w:hint="eastAsia" w:ascii="仿宋_GB2312" w:hAnsi="仿宋_GB2312" w:eastAsia="仿宋_GB2312" w:cs="仿宋_GB2312"/>
          <w:color w:val="000000"/>
          <w:sz w:val="32"/>
          <w:highlight w:val="none"/>
          <w:u w:color="auto"/>
        </w:rPr>
        <w:t>年</w:t>
      </w:r>
      <w:r>
        <w:rPr>
          <w:rFonts w:hint="eastAsia" w:ascii="仿宋_GB2312" w:hAnsi="仿宋_GB2312" w:eastAsia="仿宋_GB2312" w:cs="仿宋_GB2312"/>
          <w:color w:val="000000"/>
          <w:sz w:val="32"/>
          <w:highlight w:val="none"/>
          <w:u w:color="auto"/>
          <w:lang w:val="en-US" w:eastAsia="zh-CN"/>
        </w:rPr>
        <w:t>度</w:t>
      </w:r>
      <w:r>
        <w:rPr>
          <w:rFonts w:hint="eastAsia" w:ascii="仿宋_GB2312" w:hAnsi="仿宋_GB2312" w:eastAsia="仿宋_GB2312" w:cs="仿宋_GB2312"/>
          <w:color w:val="000000"/>
          <w:sz w:val="32"/>
          <w:highlight w:val="none"/>
          <w:u w:color="auto"/>
        </w:rPr>
        <w:t>，</w:t>
      </w:r>
      <w:r>
        <w:rPr>
          <w:rFonts w:hint="eastAsia" w:ascii="仿宋_GB2312" w:hAnsi="仿宋_GB2312" w:eastAsia="仿宋_GB2312" w:cs="仿宋_GB2312"/>
          <w:color w:val="000000"/>
          <w:sz w:val="32"/>
          <w:highlight w:val="none"/>
          <w:u w:color="auto"/>
          <w:lang w:val="en-US" w:eastAsia="zh-CN"/>
        </w:rPr>
        <w:t>茂县黑虎镇人民</w:t>
      </w:r>
      <w:r>
        <w:rPr>
          <w:rFonts w:hint="eastAsia" w:ascii="仿宋_GB2312" w:hAnsi="仿宋_GB2312" w:eastAsia="仿宋_GB2312" w:cs="仿宋_GB2312"/>
          <w:color w:val="000000"/>
          <w:sz w:val="32"/>
          <w:highlight w:val="none"/>
          <w:u w:color="auto"/>
        </w:rPr>
        <w:t>政府采购支出总额</w:t>
      </w:r>
      <w:r>
        <w:rPr>
          <w:rFonts w:hint="eastAsia" w:ascii="仿宋_GB2312" w:hAnsi="仿宋_GB2312" w:eastAsia="仿宋_GB2312" w:cs="仿宋_GB2312"/>
          <w:color w:val="000000"/>
          <w:sz w:val="32"/>
          <w:highlight w:val="none"/>
          <w:u w:color="auto"/>
          <w:lang w:eastAsia="zh-CN"/>
        </w:rPr>
        <w:t>0</w:t>
      </w:r>
      <w:r>
        <w:rPr>
          <w:rFonts w:hint="eastAsia" w:ascii="仿宋_GB2312" w:hAnsi="仿宋_GB2312" w:eastAsia="仿宋_GB2312" w:cs="仿宋_GB2312"/>
          <w:color w:val="000000"/>
          <w:sz w:val="32"/>
          <w:szCs w:val="32"/>
          <w:highlight w:val="none"/>
        </w:rPr>
        <w:t>万元</w:t>
      </w:r>
      <w:r>
        <w:rPr>
          <w:rFonts w:hint="eastAsia" w:eastAsia="仿宋_GB2312" w:cs="Times New Roman"/>
          <w:color w:val="auto"/>
          <w:sz w:val="32"/>
          <w:szCs w:val="32"/>
          <w:highlight w:val="none"/>
          <w:lang w:eastAsia="zh-CN"/>
        </w:rPr>
        <w:t>。</w:t>
      </w:r>
    </w:p>
    <w:p w14:paraId="55FB248E">
      <w:pPr>
        <w:pageBreakBefore w:val="0"/>
        <w:kinsoku/>
        <w:wordWrap/>
        <w:overflowPunct/>
        <w:topLinePunct w:val="0"/>
        <w:bidi w:val="0"/>
        <w:spacing w:line="576" w:lineRule="exact"/>
        <w:ind w:firstLine="643" w:firstLineChars="200"/>
        <w:textAlignment w:val="auto"/>
        <w:outlineLvl w:val="2"/>
        <w:rPr>
          <w:rFonts w:hint="eastAsia" w:ascii="Times New Roman" w:hAnsi="Times New Roman" w:eastAsia="楷体_GB2312" w:cs="Times New Roman"/>
          <w:b/>
          <w:color w:val="auto"/>
          <w:sz w:val="32"/>
          <w:szCs w:val="32"/>
          <w:highlight w:val="none"/>
        </w:rPr>
      </w:pPr>
      <w:bookmarkStart w:id="60" w:name="_Toc15377224"/>
      <w:r>
        <w:rPr>
          <w:rFonts w:hint="eastAsia" w:ascii="Times New Roman" w:hAnsi="Times New Roman" w:eastAsia="楷体_GB2312" w:cs="Times New Roman"/>
          <w:b/>
          <w:color w:val="auto"/>
          <w:sz w:val="32"/>
          <w:szCs w:val="32"/>
          <w:highlight w:val="none"/>
        </w:rPr>
        <w:t>（三）国有资产占有使用情况</w:t>
      </w:r>
      <w:bookmarkEnd w:id="60"/>
    </w:p>
    <w:p w14:paraId="538B00AD">
      <w:pPr>
        <w:spacing w:line="600" w:lineRule="exact"/>
        <w:ind w:firstLine="640"/>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截至</w:t>
      </w:r>
      <w:r>
        <w:rPr>
          <w:rFonts w:hint="eastAsia" w:ascii="仿宋_GB2312" w:hAnsi="仿宋_GB2312" w:eastAsia="仿宋_GB2312" w:cs="仿宋_GB2312"/>
          <w:color w:val="000000"/>
          <w:sz w:val="32"/>
          <w:highlight w:val="none"/>
          <w:u w:color="auto"/>
          <w:lang w:eastAsia="zh-CN"/>
        </w:rPr>
        <w:t>202</w:t>
      </w:r>
      <w:r>
        <w:rPr>
          <w:rFonts w:hint="eastAsia" w:ascii="仿宋_GB2312" w:hAnsi="仿宋_GB2312" w:eastAsia="仿宋_GB2312" w:cs="仿宋_GB2312"/>
          <w:color w:val="000000"/>
          <w:sz w:val="32"/>
          <w:highlight w:val="none"/>
          <w:u w:color="auto"/>
          <w:lang w:val="en-US" w:eastAsia="zh-CN"/>
        </w:rPr>
        <w:t>5</w:t>
      </w:r>
      <w:r>
        <w:rPr>
          <w:rFonts w:hint="eastAsia" w:ascii="仿宋_GB2312" w:hAnsi="仿宋_GB2312" w:eastAsia="仿宋_GB2312" w:cs="仿宋_GB2312"/>
          <w:color w:val="000000"/>
          <w:sz w:val="32"/>
          <w:highlight w:val="none"/>
          <w:u w:color="auto"/>
        </w:rPr>
        <w:t>年</w:t>
      </w:r>
      <w:r>
        <w:rPr>
          <w:rFonts w:hint="eastAsia" w:ascii="仿宋_GB2312" w:hAnsi="仿宋_GB2312" w:eastAsia="仿宋_GB2312" w:cs="仿宋_GB2312"/>
          <w:color w:val="000000"/>
          <w:sz w:val="32"/>
          <w:szCs w:val="32"/>
          <w:highlight w:val="none"/>
        </w:rPr>
        <w:t>12月31日，</w:t>
      </w:r>
      <w:r>
        <w:rPr>
          <w:rFonts w:hint="eastAsia" w:ascii="仿宋_GB2312" w:hAnsi="仿宋_GB2312" w:eastAsia="仿宋_GB2312" w:cs="仿宋_GB2312"/>
          <w:color w:val="000000"/>
          <w:sz w:val="32"/>
          <w:szCs w:val="32"/>
          <w:highlight w:val="none"/>
          <w:lang w:val="en-US" w:eastAsia="zh-CN"/>
        </w:rPr>
        <w:t>茂县黑虎镇人民政府</w:t>
      </w:r>
      <w:r>
        <w:rPr>
          <w:rFonts w:hint="eastAsia" w:ascii="仿宋_GB2312" w:hAnsi="仿宋_GB2312" w:eastAsia="仿宋_GB2312" w:cs="仿宋_GB2312"/>
          <w:color w:val="000000"/>
          <w:sz w:val="32"/>
          <w:szCs w:val="32"/>
          <w:highlight w:val="none"/>
        </w:rPr>
        <w:t>共有车辆</w:t>
      </w:r>
      <w:r>
        <w:rPr>
          <w:rFonts w:hint="eastAsia" w:ascii="仿宋_GB2312" w:hAnsi="仿宋_GB2312" w:eastAsia="仿宋_GB2312" w:cs="仿宋_GB2312"/>
          <w:color w:val="000000"/>
          <w:sz w:val="32"/>
          <w:highlight w:val="none"/>
          <w:u w:color="auto"/>
        </w:rPr>
        <w:t>4辆，其中：主要领导干部用车0</w:t>
      </w:r>
      <w:r>
        <w:rPr>
          <w:rFonts w:hint="eastAsia" w:ascii="仿宋_GB2312" w:hAnsi="仿宋_GB2312" w:eastAsia="仿宋_GB2312" w:cs="仿宋_GB2312"/>
          <w:color w:val="000000"/>
          <w:sz w:val="32"/>
          <w:szCs w:val="32"/>
          <w:highlight w:val="none"/>
        </w:rPr>
        <w:t>辆、机要通信用车</w:t>
      </w:r>
      <w:r>
        <w:rPr>
          <w:rFonts w:hint="eastAsia" w:ascii="仿宋_GB2312" w:hAnsi="仿宋_GB2312" w:eastAsia="仿宋_GB2312" w:cs="仿宋_GB2312"/>
          <w:color w:val="000000"/>
          <w:sz w:val="32"/>
          <w:highlight w:val="none"/>
          <w:u w:color="auto"/>
        </w:rPr>
        <w:t>0</w:t>
      </w:r>
      <w:r>
        <w:rPr>
          <w:rFonts w:hint="eastAsia" w:ascii="仿宋_GB2312" w:hAnsi="仿宋_GB2312" w:eastAsia="仿宋_GB2312" w:cs="仿宋_GB2312"/>
          <w:color w:val="000000"/>
          <w:sz w:val="32"/>
          <w:szCs w:val="32"/>
          <w:highlight w:val="none"/>
        </w:rPr>
        <w:t>辆、应急保障用车</w:t>
      </w:r>
      <w:r>
        <w:rPr>
          <w:rFonts w:hint="eastAsia" w:ascii="仿宋_GB2312" w:hAnsi="仿宋_GB2312" w:eastAsia="仿宋_GB2312" w:cs="仿宋_GB2312"/>
          <w:color w:val="000000"/>
          <w:sz w:val="32"/>
          <w:highlight w:val="none"/>
          <w:u w:color="auto"/>
        </w:rPr>
        <w:t>4</w:t>
      </w:r>
      <w:r>
        <w:rPr>
          <w:rFonts w:hint="eastAsia" w:ascii="仿宋_GB2312" w:hAnsi="仿宋_GB2312" w:eastAsia="仿宋_GB2312" w:cs="仿宋_GB2312"/>
          <w:color w:val="000000"/>
          <w:sz w:val="32"/>
          <w:szCs w:val="32"/>
          <w:highlight w:val="none"/>
        </w:rPr>
        <w:t>辆、其他用车</w:t>
      </w:r>
      <w:r>
        <w:rPr>
          <w:rFonts w:hint="eastAsia" w:ascii="仿宋_GB2312" w:hAnsi="仿宋_GB2312" w:eastAsia="仿宋_GB2312" w:cs="仿宋_GB2312"/>
          <w:color w:val="000000"/>
          <w:sz w:val="32"/>
          <w:highlight w:val="none"/>
          <w:u w:color="auto"/>
        </w:rPr>
        <w:t>0</w:t>
      </w:r>
      <w:r>
        <w:rPr>
          <w:rFonts w:hint="eastAsia" w:ascii="仿宋_GB2312" w:hAnsi="仿宋_GB2312" w:eastAsia="仿宋_GB2312" w:cs="仿宋_GB2312"/>
          <w:color w:val="000000"/>
          <w:sz w:val="32"/>
          <w:szCs w:val="32"/>
          <w:highlight w:val="none"/>
        </w:rPr>
        <w:t>辆</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rPr>
        <w:t>应急保障用车</w:t>
      </w:r>
      <w:r>
        <w:rPr>
          <w:rFonts w:hint="default" w:ascii="Times New Roman" w:hAnsi="Times New Roman" w:eastAsia="仿宋_GB2312" w:cs="Times New Roman"/>
          <w:color w:val="auto"/>
          <w:sz w:val="32"/>
          <w:szCs w:val="32"/>
          <w:highlight w:val="none"/>
        </w:rPr>
        <w:t>主要是用于</w:t>
      </w:r>
      <w:r>
        <w:rPr>
          <w:rFonts w:hint="default" w:ascii="Times New Roman" w:hAnsi="Times New Roman" w:eastAsia="仿宋_GB2312" w:cs="Times New Roman"/>
          <w:color w:val="auto"/>
          <w:sz w:val="32"/>
          <w:szCs w:val="32"/>
          <w:highlight w:val="none"/>
          <w:lang w:eastAsia="zh-CN"/>
        </w:rPr>
        <w:t>后勤</w:t>
      </w:r>
      <w:r>
        <w:rPr>
          <w:rFonts w:hint="eastAsia" w:eastAsia="仿宋_GB2312" w:cs="Times New Roman"/>
          <w:color w:val="auto"/>
          <w:sz w:val="32"/>
          <w:szCs w:val="32"/>
          <w:highlight w:val="none"/>
          <w:lang w:eastAsia="zh-CN"/>
        </w:rPr>
        <w:t>、</w:t>
      </w:r>
      <w:r>
        <w:rPr>
          <w:rFonts w:hint="eastAsia" w:eastAsia="仿宋_GB2312" w:cs="Times New Roman"/>
          <w:color w:val="auto"/>
          <w:sz w:val="32"/>
          <w:szCs w:val="32"/>
          <w:highlight w:val="none"/>
          <w:lang w:val="en-US" w:eastAsia="zh-CN"/>
        </w:rPr>
        <w:t>下村等</w:t>
      </w:r>
      <w:r>
        <w:rPr>
          <w:rFonts w:hint="default" w:ascii="Times New Roman" w:hAnsi="Times New Roman" w:eastAsia="仿宋_GB2312" w:cs="Times New Roman"/>
          <w:color w:val="auto"/>
          <w:sz w:val="32"/>
          <w:szCs w:val="32"/>
          <w:highlight w:val="none"/>
          <w:lang w:eastAsia="zh-CN"/>
        </w:rPr>
        <w:t>保障。</w:t>
      </w:r>
    </w:p>
    <w:p w14:paraId="5EC41071">
      <w:pPr>
        <w:pageBreakBefore w:val="0"/>
        <w:kinsoku/>
        <w:wordWrap/>
        <w:overflowPunct/>
        <w:topLinePunct w:val="0"/>
        <w:bidi w:val="0"/>
        <w:spacing w:line="576" w:lineRule="exact"/>
        <w:ind w:firstLine="643" w:firstLineChars="200"/>
        <w:textAlignment w:val="auto"/>
        <w:outlineLvl w:val="2"/>
        <w:rPr>
          <w:rFonts w:hint="eastAsia" w:ascii="Times New Roman" w:hAnsi="Times New Roman" w:eastAsia="楷体_GB2312" w:cs="Times New Roman"/>
          <w:b/>
          <w:color w:val="auto"/>
          <w:sz w:val="32"/>
          <w:szCs w:val="32"/>
          <w:highlight w:val="none"/>
        </w:rPr>
      </w:pPr>
      <w:r>
        <w:rPr>
          <w:rFonts w:hint="eastAsia" w:ascii="Times New Roman" w:hAnsi="Times New Roman" w:eastAsia="楷体_GB2312" w:cs="Times New Roman"/>
          <w:b/>
          <w:color w:val="auto"/>
          <w:sz w:val="32"/>
          <w:szCs w:val="32"/>
          <w:highlight w:val="none"/>
        </w:rPr>
        <w:t>（四）预算绩效管理情况</w:t>
      </w:r>
    </w:p>
    <w:p w14:paraId="445DA0CA">
      <w:pPr>
        <w:ind w:firstLine="640" w:firstLineChars="200"/>
        <w:rPr>
          <w:rFonts w:hint="eastAsia" w:ascii="仿宋_GB2312" w:hAnsi="仿宋_GB2312" w:eastAsia="仿宋_GB2312" w:cs="仿宋_GB2312"/>
          <w:highlight w:val="none"/>
        </w:rPr>
      </w:pPr>
      <w:r>
        <w:rPr>
          <w:rFonts w:hint="eastAsia" w:ascii="仿宋_GB2312" w:hAnsi="仿宋_GB2312" w:eastAsia="仿宋_GB2312" w:cs="仿宋_GB2312"/>
          <w:sz w:val="32"/>
          <w:szCs w:val="32"/>
          <w:highlight w:val="none"/>
        </w:rPr>
        <w:t>根据预算绩效管理要求，本</w:t>
      </w:r>
      <w:r>
        <w:rPr>
          <w:rFonts w:hint="eastAsia" w:ascii="仿宋_GB2312" w:hAnsi="仿宋_GB2312" w:eastAsia="仿宋_GB2312" w:cs="仿宋_GB2312"/>
          <w:sz w:val="32"/>
          <w:szCs w:val="32"/>
          <w:highlight w:val="none"/>
          <w:lang w:eastAsia="zh-CN"/>
        </w:rPr>
        <w:t>部门</w:t>
      </w:r>
      <w:r>
        <w:rPr>
          <w:rFonts w:hint="eastAsia" w:ascii="仿宋_GB2312" w:hAnsi="仿宋_GB2312" w:eastAsia="仿宋_GB2312" w:cs="仿宋_GB2312"/>
          <w:sz w:val="32"/>
          <w:szCs w:val="32"/>
          <w:highlight w:val="none"/>
        </w:rPr>
        <w:t>在</w:t>
      </w:r>
      <w:r>
        <w:rPr>
          <w:rFonts w:hint="eastAsia" w:ascii="仿宋_GB2312" w:hAnsi="仿宋_GB2312" w:eastAsia="仿宋_GB2312" w:cs="仿宋_GB2312"/>
          <w:sz w:val="32"/>
          <w:szCs w:val="32"/>
          <w:highlight w:val="none"/>
          <w:lang w:eastAsia="zh-CN"/>
        </w:rPr>
        <w:t>202</w:t>
      </w:r>
      <w:r>
        <w:rPr>
          <w:rFonts w:hint="eastAsia" w:ascii="仿宋_GB2312" w:hAnsi="仿宋_GB2312" w:eastAsia="仿宋_GB2312" w:cs="仿宋_GB2312"/>
          <w:sz w:val="32"/>
          <w:szCs w:val="32"/>
          <w:highlight w:val="none"/>
          <w:lang w:val="en-US" w:eastAsia="zh-CN"/>
        </w:rPr>
        <w:t>5</w:t>
      </w:r>
      <w:r>
        <w:rPr>
          <w:rFonts w:hint="eastAsia" w:ascii="仿宋_GB2312" w:hAnsi="仿宋_GB2312" w:eastAsia="仿宋_GB2312" w:cs="仿宋_GB2312"/>
          <w:sz w:val="32"/>
          <w:szCs w:val="32"/>
          <w:highlight w:val="none"/>
        </w:rPr>
        <w:t>年度预算编制阶段，组织对</w:t>
      </w:r>
      <w:r>
        <w:rPr>
          <w:rFonts w:hint="eastAsia" w:ascii="仿宋_GB2312" w:hAnsi="仿宋_GB2312" w:eastAsia="仿宋_GB2312" w:cs="仿宋_GB2312"/>
          <w:sz w:val="32"/>
          <w:szCs w:val="32"/>
          <w:highlight w:val="none"/>
          <w:lang w:eastAsia="zh-CN"/>
        </w:rPr>
        <w:t>黑虎镇霭紫关村村内路灯建设</w:t>
      </w:r>
      <w:r>
        <w:rPr>
          <w:rFonts w:hint="eastAsia" w:ascii="仿宋_GB2312" w:hAnsi="仿宋_GB2312" w:eastAsia="仿宋_GB2312" w:cs="仿宋_GB2312"/>
          <w:sz w:val="32"/>
          <w:szCs w:val="32"/>
          <w:highlight w:val="none"/>
        </w:rPr>
        <w:t>项目</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2025年紧急避险转移临时生活补助</w:t>
      </w:r>
      <w:r>
        <w:rPr>
          <w:rFonts w:hint="eastAsia" w:ascii="仿宋_GB2312" w:hAnsi="仿宋_GB2312" w:eastAsia="仿宋_GB2312" w:cs="仿宋_GB2312"/>
          <w:sz w:val="32"/>
          <w:szCs w:val="32"/>
          <w:highlight w:val="none"/>
        </w:rPr>
        <w:t>等</w:t>
      </w:r>
      <w:r>
        <w:rPr>
          <w:rFonts w:hint="eastAsia" w:ascii="仿宋_GB2312" w:hAnsi="仿宋_GB2312" w:eastAsia="仿宋_GB2312" w:cs="仿宋_GB2312"/>
          <w:sz w:val="32"/>
          <w:szCs w:val="32"/>
          <w:highlight w:val="none"/>
          <w:lang w:val="en-US" w:eastAsia="zh-CN"/>
        </w:rPr>
        <w:t>20</w:t>
      </w:r>
      <w:r>
        <w:rPr>
          <w:rFonts w:hint="eastAsia" w:ascii="仿宋_GB2312" w:hAnsi="仿宋_GB2312" w:eastAsia="仿宋_GB2312" w:cs="仿宋_GB2312"/>
          <w:sz w:val="32"/>
          <w:szCs w:val="32"/>
          <w:highlight w:val="none"/>
        </w:rPr>
        <w:t>个项目开展了预算事前绩效评估，对</w:t>
      </w:r>
      <w:r>
        <w:rPr>
          <w:rFonts w:hint="eastAsia" w:ascii="仿宋_GB2312" w:hAnsi="仿宋_GB2312" w:eastAsia="仿宋_GB2312" w:cs="仿宋_GB2312"/>
          <w:sz w:val="32"/>
          <w:szCs w:val="32"/>
          <w:highlight w:val="none"/>
          <w:lang w:val="en-US" w:eastAsia="zh-CN"/>
        </w:rPr>
        <w:t>20</w:t>
      </w:r>
      <w:r>
        <w:rPr>
          <w:rFonts w:hint="eastAsia" w:ascii="仿宋_GB2312" w:hAnsi="仿宋_GB2312" w:eastAsia="仿宋_GB2312" w:cs="仿宋_GB2312"/>
          <w:sz w:val="32"/>
          <w:szCs w:val="32"/>
          <w:highlight w:val="none"/>
        </w:rPr>
        <w:t>个项目编制了绩效目标</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预算执行过程中，选取</w:t>
      </w:r>
      <w:r>
        <w:rPr>
          <w:rFonts w:hint="eastAsia" w:ascii="仿宋_GB2312" w:hAnsi="仿宋_GB2312" w:eastAsia="仿宋_GB2312" w:cs="仿宋_GB2312"/>
          <w:sz w:val="32"/>
          <w:szCs w:val="32"/>
          <w:highlight w:val="none"/>
          <w:lang w:val="en-US" w:eastAsia="zh-CN"/>
        </w:rPr>
        <w:t>20</w:t>
      </w:r>
      <w:r>
        <w:rPr>
          <w:rFonts w:hint="eastAsia" w:ascii="仿宋_GB2312" w:hAnsi="仿宋_GB2312" w:eastAsia="仿宋_GB2312" w:cs="仿宋_GB2312"/>
          <w:sz w:val="32"/>
          <w:szCs w:val="32"/>
          <w:highlight w:val="none"/>
        </w:rPr>
        <w:t>个项目开展绩效监控，组织对</w:t>
      </w:r>
      <w:r>
        <w:rPr>
          <w:rFonts w:hint="eastAsia" w:ascii="仿宋_GB2312" w:hAnsi="仿宋_GB2312" w:eastAsia="仿宋_GB2312" w:cs="仿宋_GB2312"/>
          <w:sz w:val="32"/>
          <w:szCs w:val="32"/>
          <w:highlight w:val="none"/>
          <w:lang w:val="en-US" w:eastAsia="zh-CN"/>
        </w:rPr>
        <w:t>20</w:t>
      </w:r>
      <w:r>
        <w:rPr>
          <w:rFonts w:hint="eastAsia" w:ascii="仿宋_GB2312" w:hAnsi="仿宋_GB2312" w:eastAsia="仿宋_GB2312" w:cs="仿宋_GB2312"/>
          <w:sz w:val="32"/>
          <w:szCs w:val="32"/>
          <w:highlight w:val="none"/>
        </w:rPr>
        <w:t>个项目开展绩效自评，绩效自评表详见第四部分附件。</w:t>
      </w:r>
    </w:p>
    <w:p w14:paraId="1F978526">
      <w:pPr>
        <w:widowControl/>
        <w:jc w:val="left"/>
        <w:rPr>
          <w:rFonts w:hint="eastAsia" w:ascii="仿宋_GB2312" w:hAnsi="仿宋_GB2312" w:eastAsia="仿宋_GB2312" w:cs="仿宋_GB2312"/>
          <w:b/>
          <w:color w:val="000000"/>
          <w:sz w:val="32"/>
          <w:szCs w:val="32"/>
          <w:highlight w:val="yellow"/>
        </w:rPr>
      </w:pPr>
      <w:r>
        <w:rPr>
          <w:rFonts w:hint="eastAsia" w:ascii="仿宋_GB2312" w:hAnsi="仿宋_GB2312" w:eastAsia="仿宋_GB2312" w:cs="仿宋_GB2312"/>
          <w:b/>
          <w:color w:val="000000"/>
          <w:sz w:val="32"/>
          <w:szCs w:val="32"/>
          <w:highlight w:val="yellow"/>
        </w:rPr>
        <w:br w:type="page"/>
      </w:r>
    </w:p>
    <w:p w14:paraId="40AF9DA0">
      <w:pPr>
        <w:numPr>
          <w:ilvl w:val="0"/>
          <w:numId w:val="3"/>
        </w:numPr>
        <w:spacing w:line="600" w:lineRule="exact"/>
        <w:ind w:firstLine="660" w:firstLineChars="150"/>
        <w:jc w:val="center"/>
        <w:outlineLvl w:val="0"/>
        <w:rPr>
          <w:rStyle w:val="34"/>
          <w:rFonts w:ascii="黑体" w:hAnsi="黑体" w:eastAsia="黑体"/>
          <w:b w:val="0"/>
          <w:highlight w:val="none"/>
        </w:rPr>
      </w:pPr>
      <w:bookmarkStart w:id="61" w:name="_Toc15396613"/>
      <w:bookmarkStart w:id="62" w:name="_Toc20590"/>
      <w:bookmarkStart w:id="63" w:name="_Toc15377225"/>
      <w:bookmarkStart w:id="64" w:name="_Toc111208510"/>
      <w:r>
        <w:rPr>
          <w:rFonts w:hint="eastAsia" w:ascii="黑体" w:hAnsi="黑体" w:eastAsia="黑体"/>
          <w:sz w:val="44"/>
          <w:szCs w:val="44"/>
          <w:highlight w:val="none"/>
        </w:rPr>
        <w:t>名</w:t>
      </w:r>
      <w:r>
        <w:rPr>
          <w:rStyle w:val="34"/>
          <w:rFonts w:hint="eastAsia" w:ascii="黑体" w:hAnsi="黑体" w:eastAsia="黑体"/>
          <w:b w:val="0"/>
          <w:highlight w:val="none"/>
        </w:rPr>
        <w:t>词解释</w:t>
      </w:r>
      <w:bookmarkEnd w:id="61"/>
      <w:bookmarkEnd w:id="62"/>
      <w:bookmarkEnd w:id="63"/>
    </w:p>
    <w:p w14:paraId="099A9A6E">
      <w:pPr>
        <w:spacing w:line="600" w:lineRule="exact"/>
        <w:jc w:val="left"/>
        <w:rPr>
          <w:rFonts w:ascii="宋体"/>
          <w:b/>
          <w:sz w:val="44"/>
          <w:szCs w:val="44"/>
          <w:highlight w:val="none"/>
        </w:rPr>
      </w:pPr>
    </w:p>
    <w:p w14:paraId="68E75BB0">
      <w:pPr>
        <w:pStyle w:val="27"/>
        <w:spacing w:line="560" w:lineRule="exact"/>
        <w:ind w:firstLine="640" w:firstLineChars="200"/>
        <w:rPr>
          <w:rFonts w:ascii="仿宋_GB2312" w:eastAsia="仿宋_GB2312"/>
          <w:sz w:val="32"/>
          <w:szCs w:val="32"/>
          <w:highlight w:val="none"/>
        </w:rPr>
      </w:pPr>
      <w:r>
        <w:rPr>
          <w:rFonts w:ascii="仿宋_GB2312" w:eastAsia="仿宋_GB2312"/>
          <w:sz w:val="32"/>
          <w:szCs w:val="32"/>
          <w:highlight w:val="none"/>
        </w:rPr>
        <w:t>1.</w:t>
      </w:r>
      <w:r>
        <w:rPr>
          <w:rFonts w:hint="eastAsia" w:ascii="仿宋_GB2312" w:eastAsia="仿宋_GB2312"/>
          <w:sz w:val="32"/>
          <w:szCs w:val="32"/>
          <w:highlight w:val="none"/>
        </w:rPr>
        <w:t>财政拨款收入：指单位从同级财政部门取得的财政预算资金。</w:t>
      </w:r>
    </w:p>
    <w:p w14:paraId="5DC261BD">
      <w:pPr>
        <w:pStyle w:val="27"/>
        <w:spacing w:line="560" w:lineRule="exact"/>
        <w:ind w:firstLine="640" w:firstLineChars="200"/>
        <w:rPr>
          <w:rFonts w:ascii="仿宋_GB2312" w:eastAsia="仿宋_GB2312"/>
          <w:sz w:val="32"/>
          <w:szCs w:val="32"/>
          <w:highlight w:val="none"/>
        </w:rPr>
      </w:pPr>
      <w:r>
        <w:rPr>
          <w:rFonts w:ascii="仿宋_GB2312" w:eastAsia="仿宋_GB2312"/>
          <w:sz w:val="32"/>
          <w:szCs w:val="32"/>
          <w:highlight w:val="none"/>
        </w:rPr>
        <w:t>2.</w:t>
      </w:r>
      <w:r>
        <w:rPr>
          <w:rFonts w:hint="eastAsia" w:ascii="仿宋_GB2312" w:eastAsia="仿宋_GB2312"/>
          <w:sz w:val="32"/>
          <w:szCs w:val="32"/>
          <w:highlight w:val="none"/>
        </w:rPr>
        <w:t>事业收入：指事业单位开展专业业务活动及辅助活动取得的收入。</w:t>
      </w:r>
    </w:p>
    <w:p w14:paraId="4899871C">
      <w:pPr>
        <w:pStyle w:val="27"/>
        <w:spacing w:line="560" w:lineRule="exact"/>
        <w:ind w:firstLine="640" w:firstLineChars="200"/>
        <w:rPr>
          <w:rFonts w:hint="eastAsia" w:ascii="仿宋_GB2312" w:eastAsia="仿宋_GB2312"/>
          <w:sz w:val="32"/>
          <w:szCs w:val="32"/>
          <w:highlight w:val="none"/>
        </w:rPr>
      </w:pPr>
      <w:r>
        <w:rPr>
          <w:rFonts w:ascii="仿宋_GB2312" w:eastAsia="仿宋_GB2312"/>
          <w:sz w:val="32"/>
          <w:szCs w:val="32"/>
          <w:highlight w:val="none"/>
        </w:rPr>
        <w:t>3.</w:t>
      </w:r>
      <w:r>
        <w:rPr>
          <w:rFonts w:hint="eastAsia" w:ascii="仿宋_GB2312" w:eastAsia="仿宋_GB2312"/>
          <w:sz w:val="32"/>
          <w:szCs w:val="32"/>
          <w:highlight w:val="none"/>
        </w:rPr>
        <w:t>经营收入：指事业单位在专业业务活动及其辅助活动之外开展非独立核算经营活动取得的收入。</w:t>
      </w:r>
    </w:p>
    <w:p w14:paraId="6FE453A4">
      <w:pPr>
        <w:pStyle w:val="27"/>
        <w:spacing w:line="560" w:lineRule="exact"/>
        <w:ind w:firstLine="640" w:firstLineChars="200"/>
        <w:rPr>
          <w:rFonts w:ascii="仿宋_GB2312" w:eastAsia="仿宋_GB2312"/>
          <w:sz w:val="32"/>
          <w:szCs w:val="32"/>
          <w:highlight w:val="none"/>
        </w:rPr>
      </w:pPr>
      <w:r>
        <w:rPr>
          <w:rFonts w:ascii="仿宋_GB2312" w:eastAsia="仿宋_GB2312"/>
          <w:sz w:val="32"/>
          <w:szCs w:val="32"/>
          <w:highlight w:val="none"/>
        </w:rPr>
        <w:t>4.</w:t>
      </w:r>
      <w:r>
        <w:rPr>
          <w:rFonts w:hint="eastAsia" w:ascii="仿宋_GB2312" w:eastAsia="仿宋_GB2312"/>
          <w:sz w:val="32"/>
          <w:szCs w:val="32"/>
          <w:highlight w:val="none"/>
        </w:rPr>
        <w:t>其他收入：指单位取得的除上述收入以外的各项收入。</w:t>
      </w:r>
      <w:r>
        <w:rPr>
          <w:rFonts w:ascii="仿宋_GB2312" w:eastAsia="仿宋_GB2312"/>
          <w:sz w:val="32"/>
          <w:szCs w:val="32"/>
          <w:highlight w:val="none"/>
        </w:rPr>
        <w:t xml:space="preserve"> </w:t>
      </w:r>
    </w:p>
    <w:p w14:paraId="4D3E8A84">
      <w:pPr>
        <w:pStyle w:val="27"/>
        <w:spacing w:line="560" w:lineRule="exact"/>
        <w:ind w:firstLine="640" w:firstLineChars="200"/>
        <w:rPr>
          <w:rFonts w:ascii="仿宋_GB2312" w:eastAsia="仿宋_GB2312"/>
          <w:sz w:val="32"/>
          <w:szCs w:val="32"/>
          <w:highlight w:val="none"/>
        </w:rPr>
      </w:pPr>
      <w:r>
        <w:rPr>
          <w:rFonts w:ascii="仿宋_GB2312" w:eastAsia="仿宋_GB2312"/>
          <w:sz w:val="32"/>
          <w:szCs w:val="32"/>
          <w:highlight w:val="none"/>
        </w:rPr>
        <w:t>5.</w:t>
      </w:r>
      <w:r>
        <w:rPr>
          <w:rFonts w:hint="eastAsia" w:ascii="仿宋_GB2312" w:eastAsia="仿宋_GB2312"/>
          <w:sz w:val="32"/>
          <w:szCs w:val="32"/>
          <w:highlight w:val="none"/>
        </w:rPr>
        <w:t>使用非财政拨款结余：指事业单位使用以前年度积累的非财政拨款结余弥补当年收支差额的金额。</w:t>
      </w:r>
      <w:r>
        <w:rPr>
          <w:rFonts w:ascii="仿宋_GB2312" w:eastAsia="仿宋_GB2312"/>
          <w:sz w:val="32"/>
          <w:szCs w:val="32"/>
          <w:highlight w:val="none"/>
        </w:rPr>
        <w:t xml:space="preserve"> </w:t>
      </w:r>
    </w:p>
    <w:p w14:paraId="19C7F473">
      <w:pPr>
        <w:pStyle w:val="27"/>
        <w:spacing w:line="560" w:lineRule="exact"/>
        <w:ind w:firstLine="640" w:firstLineChars="200"/>
        <w:rPr>
          <w:rFonts w:ascii="仿宋_GB2312" w:eastAsia="仿宋_GB2312"/>
          <w:sz w:val="32"/>
          <w:szCs w:val="32"/>
          <w:highlight w:val="none"/>
        </w:rPr>
      </w:pPr>
      <w:r>
        <w:rPr>
          <w:rFonts w:ascii="仿宋_GB2312" w:eastAsia="仿宋_GB2312"/>
          <w:sz w:val="32"/>
          <w:szCs w:val="32"/>
          <w:highlight w:val="none"/>
        </w:rPr>
        <w:t>6.</w:t>
      </w:r>
      <w:r>
        <w:rPr>
          <w:rFonts w:hint="eastAsia" w:ascii="仿宋_GB2312" w:eastAsia="仿宋_GB2312"/>
          <w:sz w:val="32"/>
          <w:szCs w:val="32"/>
          <w:highlight w:val="none"/>
        </w:rPr>
        <w:t>年初结转和结余：指以前年度尚未完成、结转到本年按有关规定继续使用的资金。</w:t>
      </w:r>
      <w:r>
        <w:rPr>
          <w:rFonts w:ascii="仿宋_GB2312" w:eastAsia="仿宋_GB2312"/>
          <w:sz w:val="32"/>
          <w:szCs w:val="32"/>
          <w:highlight w:val="none"/>
        </w:rPr>
        <w:t xml:space="preserve"> </w:t>
      </w:r>
    </w:p>
    <w:p w14:paraId="76575745">
      <w:pPr>
        <w:pStyle w:val="27"/>
        <w:spacing w:line="560" w:lineRule="exact"/>
        <w:ind w:firstLine="640" w:firstLineChars="200"/>
        <w:rPr>
          <w:rFonts w:ascii="仿宋_GB2312" w:eastAsia="仿宋_GB2312"/>
          <w:sz w:val="32"/>
          <w:szCs w:val="32"/>
          <w:highlight w:val="none"/>
        </w:rPr>
      </w:pPr>
      <w:r>
        <w:rPr>
          <w:rFonts w:ascii="仿宋_GB2312" w:eastAsia="仿宋_GB2312"/>
          <w:sz w:val="32"/>
          <w:szCs w:val="32"/>
          <w:highlight w:val="none"/>
        </w:rPr>
        <w:t>7.</w:t>
      </w:r>
      <w:r>
        <w:rPr>
          <w:rFonts w:hint="eastAsia" w:ascii="仿宋_GB2312" w:eastAsia="仿宋_GB2312"/>
          <w:sz w:val="32"/>
          <w:szCs w:val="32"/>
          <w:highlight w:val="none"/>
        </w:rPr>
        <w:t>结余分配：指事业单位按照会计制度规定缴纳的所得税、提取的专用结余以及转入非财政拨款结余的金额等。</w:t>
      </w:r>
    </w:p>
    <w:p w14:paraId="2C49B40E">
      <w:pPr>
        <w:pStyle w:val="27"/>
        <w:spacing w:line="560" w:lineRule="exact"/>
        <w:ind w:firstLine="640" w:firstLineChars="200"/>
        <w:rPr>
          <w:rFonts w:ascii="仿宋_GB2312" w:eastAsia="仿宋_GB2312"/>
          <w:sz w:val="32"/>
          <w:szCs w:val="32"/>
          <w:highlight w:val="none"/>
        </w:rPr>
      </w:pPr>
      <w:r>
        <w:rPr>
          <w:rFonts w:ascii="仿宋_GB2312" w:eastAsia="仿宋_GB2312"/>
          <w:sz w:val="32"/>
          <w:szCs w:val="32"/>
          <w:highlight w:val="none"/>
        </w:rPr>
        <w:t>8</w:t>
      </w:r>
      <w:r>
        <w:rPr>
          <w:rFonts w:hint="eastAsia" w:ascii="仿宋_GB2312" w:eastAsia="仿宋_GB2312"/>
          <w:sz w:val="32"/>
          <w:szCs w:val="32"/>
          <w:highlight w:val="none"/>
        </w:rPr>
        <w:t>、年末结转和结余：指单位按有关规定结转到下年或以后年度继续使用的资金。</w:t>
      </w:r>
    </w:p>
    <w:p w14:paraId="4E65D831">
      <w:pPr>
        <w:spacing w:line="576" w:lineRule="atLeast"/>
        <w:ind w:firstLine="640" w:firstLineChars="200"/>
        <w:rPr>
          <w:rStyle w:val="23"/>
          <w:rFonts w:ascii="仿宋_GB2312" w:hAnsi="仿宋_GB2312" w:eastAsia="仿宋_GB2312"/>
          <w:b w:val="0"/>
          <w:color w:val="0000FF"/>
          <w:sz w:val="32"/>
          <w:szCs w:val="32"/>
          <w:highlight w:val="none"/>
        </w:rPr>
      </w:pPr>
      <w:r>
        <w:rPr>
          <w:rStyle w:val="23"/>
          <w:rFonts w:ascii="仿宋_GB2312" w:hAnsi="仿宋_GB2312" w:eastAsia="仿宋_GB2312" w:cs="仿宋_GB2312"/>
          <w:b w:val="0"/>
          <w:color w:val="000000"/>
          <w:sz w:val="32"/>
          <w:szCs w:val="32"/>
          <w:highlight w:val="none"/>
        </w:rPr>
        <w:t>9.</w:t>
      </w:r>
      <w:r>
        <w:rPr>
          <w:rStyle w:val="23"/>
          <w:rFonts w:hint="eastAsia" w:ascii="仿宋_GB2312" w:hAnsi="仿宋_GB2312" w:eastAsia="仿宋_GB2312" w:cs="仿宋_GB2312"/>
          <w:b w:val="0"/>
          <w:color w:val="000000"/>
          <w:sz w:val="32"/>
          <w:szCs w:val="32"/>
          <w:highlight w:val="none"/>
        </w:rPr>
        <w:t>一般公共服务（类）人大事务（款）人大会议（项）</w:t>
      </w:r>
      <w:r>
        <w:rPr>
          <w:rStyle w:val="23"/>
          <w:rFonts w:ascii="仿宋_GB2312" w:hAnsi="仿宋_GB2312" w:eastAsia="仿宋_GB2312" w:cs="仿宋_GB2312"/>
          <w:b w:val="0"/>
          <w:color w:val="000000"/>
          <w:sz w:val="32"/>
          <w:szCs w:val="32"/>
          <w:highlight w:val="none"/>
        </w:rPr>
        <w:t xml:space="preserve">: </w:t>
      </w:r>
      <w:r>
        <w:rPr>
          <w:rStyle w:val="23"/>
          <w:rFonts w:hint="eastAsia" w:ascii="仿宋_GB2312" w:hAnsi="仿宋_GB2312" w:eastAsia="仿宋_GB2312" w:cs="仿宋_GB2312"/>
          <w:b w:val="0"/>
          <w:color w:val="000000"/>
          <w:sz w:val="32"/>
          <w:szCs w:val="32"/>
          <w:highlight w:val="none"/>
        </w:rPr>
        <w:t>指</w:t>
      </w:r>
      <w:r>
        <w:rPr>
          <w:rFonts w:hint="eastAsia" w:ascii="仿宋_GB2312" w:eastAsia="仿宋_GB2312" w:cs="仿宋_GB2312"/>
          <w:color w:val="000000"/>
          <w:sz w:val="32"/>
          <w:szCs w:val="32"/>
          <w:highlight w:val="none"/>
        </w:rPr>
        <w:t>单位人大召开人民代表大会等专门会议的支出</w:t>
      </w:r>
      <w:r>
        <w:rPr>
          <w:rStyle w:val="23"/>
          <w:rFonts w:hint="eastAsia" w:ascii="仿宋_GB2312" w:hAnsi="仿宋_GB2312" w:eastAsia="仿宋_GB2312" w:cs="仿宋_GB2312"/>
          <w:b w:val="0"/>
          <w:color w:val="0000FF"/>
          <w:sz w:val="32"/>
          <w:szCs w:val="32"/>
          <w:highlight w:val="none"/>
        </w:rPr>
        <w:t>。</w:t>
      </w:r>
    </w:p>
    <w:p w14:paraId="37F3E951">
      <w:pPr>
        <w:spacing w:line="576" w:lineRule="atLeast"/>
        <w:ind w:firstLine="640" w:firstLineChars="200"/>
        <w:rPr>
          <w:rStyle w:val="23"/>
          <w:rFonts w:ascii="仿宋_GB2312" w:hAnsi="仿宋_GB2312" w:eastAsia="仿宋_GB2312"/>
          <w:b w:val="0"/>
          <w:color w:val="000000"/>
          <w:sz w:val="32"/>
          <w:szCs w:val="32"/>
          <w:highlight w:val="none"/>
        </w:rPr>
      </w:pPr>
      <w:r>
        <w:rPr>
          <w:rStyle w:val="23"/>
          <w:rFonts w:ascii="仿宋_GB2312" w:hAnsi="仿宋_GB2312" w:eastAsia="仿宋_GB2312" w:cs="仿宋_GB2312"/>
          <w:b w:val="0"/>
          <w:color w:val="000000"/>
          <w:sz w:val="32"/>
          <w:szCs w:val="32"/>
          <w:highlight w:val="none"/>
        </w:rPr>
        <w:t>10.</w:t>
      </w:r>
      <w:r>
        <w:rPr>
          <w:rStyle w:val="23"/>
          <w:rFonts w:hint="eastAsia" w:ascii="仿宋_GB2312" w:hAnsi="仿宋_GB2312" w:eastAsia="仿宋_GB2312" w:cs="仿宋_GB2312"/>
          <w:b w:val="0"/>
          <w:color w:val="000000"/>
          <w:sz w:val="32"/>
          <w:szCs w:val="32"/>
          <w:highlight w:val="none"/>
        </w:rPr>
        <w:t>一般公共服务（类）政府办公厅（室）及相关机构事务（款）行政运行（项）</w:t>
      </w:r>
      <w:r>
        <w:rPr>
          <w:rStyle w:val="23"/>
          <w:rFonts w:ascii="仿宋_GB2312" w:hAnsi="仿宋_GB2312" w:eastAsia="仿宋_GB2312" w:cs="仿宋_GB2312"/>
          <w:b w:val="0"/>
          <w:color w:val="000000"/>
          <w:sz w:val="32"/>
          <w:szCs w:val="32"/>
          <w:highlight w:val="none"/>
        </w:rPr>
        <w:t xml:space="preserve">: </w:t>
      </w:r>
      <w:r>
        <w:rPr>
          <w:rStyle w:val="23"/>
          <w:rFonts w:hint="eastAsia" w:ascii="仿宋_GB2312" w:hAnsi="仿宋_GB2312" w:eastAsia="仿宋_GB2312" w:cs="仿宋_GB2312"/>
          <w:b w:val="0"/>
          <w:color w:val="000000"/>
          <w:sz w:val="32"/>
          <w:szCs w:val="32"/>
          <w:highlight w:val="none"/>
        </w:rPr>
        <w:t>指单位（包括实行公务员管理的事业单位）的基本支出。</w:t>
      </w:r>
    </w:p>
    <w:p w14:paraId="7ED49376">
      <w:pPr>
        <w:spacing w:line="576" w:lineRule="atLeast"/>
        <w:ind w:firstLine="640" w:firstLineChars="200"/>
        <w:rPr>
          <w:rStyle w:val="23"/>
          <w:rFonts w:ascii="仿宋_GB2312" w:hAnsi="仿宋_GB2312" w:eastAsia="仿宋_GB2312"/>
          <w:b w:val="0"/>
          <w:color w:val="000000"/>
          <w:sz w:val="32"/>
          <w:szCs w:val="32"/>
          <w:highlight w:val="none"/>
        </w:rPr>
      </w:pPr>
      <w:r>
        <w:rPr>
          <w:rStyle w:val="23"/>
          <w:rFonts w:ascii="仿宋_GB2312" w:hAnsi="仿宋_GB2312" w:eastAsia="仿宋_GB2312" w:cs="仿宋_GB2312"/>
          <w:b w:val="0"/>
          <w:color w:val="000000"/>
          <w:sz w:val="32"/>
          <w:szCs w:val="32"/>
          <w:highlight w:val="none"/>
        </w:rPr>
        <w:t>11.</w:t>
      </w:r>
      <w:r>
        <w:rPr>
          <w:rStyle w:val="23"/>
          <w:rFonts w:hint="eastAsia" w:ascii="仿宋_GB2312" w:hAnsi="仿宋_GB2312" w:eastAsia="仿宋_GB2312" w:cs="仿宋_GB2312"/>
          <w:b w:val="0"/>
          <w:color w:val="000000"/>
          <w:sz w:val="32"/>
          <w:szCs w:val="32"/>
          <w:highlight w:val="none"/>
        </w:rPr>
        <w:t>一般公共服务（类）财政事务（款）事业运行（项）</w:t>
      </w:r>
      <w:r>
        <w:rPr>
          <w:rStyle w:val="23"/>
          <w:rFonts w:ascii="仿宋_GB2312" w:hAnsi="仿宋_GB2312" w:eastAsia="仿宋_GB2312" w:cs="仿宋_GB2312"/>
          <w:b w:val="0"/>
          <w:color w:val="000000"/>
          <w:sz w:val="32"/>
          <w:szCs w:val="32"/>
          <w:highlight w:val="none"/>
        </w:rPr>
        <w:t xml:space="preserve">: </w:t>
      </w:r>
      <w:r>
        <w:rPr>
          <w:rStyle w:val="23"/>
          <w:rFonts w:hint="eastAsia" w:ascii="仿宋_GB2312" w:hAnsi="仿宋_GB2312" w:eastAsia="仿宋_GB2312" w:cs="仿宋_GB2312"/>
          <w:b w:val="0"/>
          <w:color w:val="000000"/>
          <w:sz w:val="32"/>
          <w:szCs w:val="32"/>
          <w:highlight w:val="none"/>
        </w:rPr>
        <w:t>指</w:t>
      </w:r>
      <w:r>
        <w:rPr>
          <w:rFonts w:hint="eastAsia" w:ascii="仿宋_GB2312" w:hAnsi="仿宋_GB2312" w:eastAsia="仿宋_GB2312" w:cs="仿宋_GB2312"/>
          <w:color w:val="000000"/>
          <w:kern w:val="0"/>
          <w:sz w:val="32"/>
          <w:szCs w:val="32"/>
          <w:highlight w:val="none"/>
        </w:rPr>
        <w:t>单位机关及参公管理事业单位用于保障机构正常运行、开展日常工作的基本支出</w:t>
      </w:r>
      <w:r>
        <w:rPr>
          <w:rStyle w:val="23"/>
          <w:rFonts w:hint="eastAsia" w:ascii="仿宋_GB2312" w:hAnsi="仿宋_GB2312" w:eastAsia="仿宋_GB2312" w:cs="仿宋_GB2312"/>
          <w:b w:val="0"/>
          <w:color w:val="000000"/>
          <w:sz w:val="32"/>
          <w:szCs w:val="32"/>
          <w:highlight w:val="none"/>
        </w:rPr>
        <w:t>。</w:t>
      </w:r>
    </w:p>
    <w:p w14:paraId="4EE1AE2C">
      <w:pPr>
        <w:spacing w:line="576" w:lineRule="atLeast"/>
        <w:ind w:firstLine="640" w:firstLineChars="200"/>
        <w:rPr>
          <w:rStyle w:val="23"/>
          <w:rFonts w:ascii="仿宋_GB2312" w:hAnsi="仿宋_GB2312" w:eastAsia="仿宋_GB2312"/>
          <w:b w:val="0"/>
          <w:color w:val="000000"/>
          <w:sz w:val="32"/>
          <w:szCs w:val="32"/>
          <w:highlight w:val="none"/>
        </w:rPr>
      </w:pPr>
      <w:r>
        <w:rPr>
          <w:rStyle w:val="23"/>
          <w:rFonts w:ascii="仿宋_GB2312" w:hAnsi="仿宋_GB2312" w:eastAsia="仿宋_GB2312" w:cs="仿宋_GB2312"/>
          <w:b w:val="0"/>
          <w:color w:val="000000"/>
          <w:sz w:val="32"/>
          <w:szCs w:val="32"/>
          <w:highlight w:val="none"/>
        </w:rPr>
        <w:t>12.</w:t>
      </w:r>
      <w:r>
        <w:rPr>
          <w:rStyle w:val="23"/>
          <w:rFonts w:hint="eastAsia" w:ascii="仿宋_GB2312" w:hAnsi="仿宋_GB2312" w:eastAsia="仿宋_GB2312" w:cs="仿宋_GB2312"/>
          <w:b w:val="0"/>
          <w:color w:val="000000"/>
          <w:sz w:val="32"/>
          <w:szCs w:val="32"/>
          <w:highlight w:val="none"/>
        </w:rPr>
        <w:t>一般公共服务（类）民族事务（款）其他民族事务支出（项）</w:t>
      </w:r>
      <w:r>
        <w:rPr>
          <w:rStyle w:val="23"/>
          <w:rFonts w:ascii="仿宋_GB2312" w:hAnsi="仿宋_GB2312" w:eastAsia="仿宋_GB2312" w:cs="仿宋_GB2312"/>
          <w:b w:val="0"/>
          <w:color w:val="000000"/>
          <w:sz w:val="32"/>
          <w:szCs w:val="32"/>
          <w:highlight w:val="none"/>
        </w:rPr>
        <w:t xml:space="preserve">: </w:t>
      </w:r>
      <w:r>
        <w:rPr>
          <w:rStyle w:val="23"/>
          <w:rFonts w:hint="eastAsia" w:ascii="仿宋_GB2312" w:hAnsi="仿宋_GB2312" w:eastAsia="仿宋_GB2312" w:cs="仿宋_GB2312"/>
          <w:b w:val="0"/>
          <w:color w:val="000000"/>
          <w:sz w:val="32"/>
          <w:szCs w:val="32"/>
          <w:highlight w:val="none"/>
        </w:rPr>
        <w:t>指单位除上述项目以外其他用于民族事务方面的支出。</w:t>
      </w:r>
    </w:p>
    <w:p w14:paraId="1E30A44F">
      <w:pPr>
        <w:spacing w:line="576" w:lineRule="atLeast"/>
        <w:ind w:firstLine="640" w:firstLineChars="200"/>
        <w:rPr>
          <w:rStyle w:val="23"/>
          <w:rFonts w:ascii="仿宋_GB2312" w:hAnsi="仿宋_GB2312" w:eastAsia="仿宋_GB2312"/>
          <w:b w:val="0"/>
          <w:color w:val="000000"/>
          <w:sz w:val="32"/>
          <w:szCs w:val="32"/>
          <w:highlight w:val="none"/>
        </w:rPr>
      </w:pPr>
      <w:r>
        <w:rPr>
          <w:rStyle w:val="23"/>
          <w:rFonts w:ascii="仿宋_GB2312" w:hAnsi="仿宋_GB2312" w:eastAsia="仿宋_GB2312" w:cs="仿宋_GB2312"/>
          <w:b w:val="0"/>
          <w:color w:val="000000"/>
          <w:sz w:val="32"/>
          <w:szCs w:val="32"/>
          <w:highlight w:val="none"/>
        </w:rPr>
        <w:t>13.</w:t>
      </w:r>
      <w:r>
        <w:rPr>
          <w:rStyle w:val="23"/>
          <w:rFonts w:hint="eastAsia" w:ascii="仿宋_GB2312" w:hAnsi="仿宋_GB2312" w:eastAsia="仿宋_GB2312" w:cs="仿宋_GB2312"/>
          <w:b w:val="0"/>
          <w:color w:val="000000"/>
          <w:sz w:val="32"/>
          <w:szCs w:val="32"/>
          <w:highlight w:val="none"/>
        </w:rPr>
        <w:t>一般公共服务（类）党委办公厅（室）及相关机构事务（款）行政运行（项）</w:t>
      </w:r>
      <w:r>
        <w:rPr>
          <w:rStyle w:val="23"/>
          <w:rFonts w:ascii="仿宋_GB2312" w:hAnsi="仿宋_GB2312" w:eastAsia="仿宋_GB2312" w:cs="仿宋_GB2312"/>
          <w:b w:val="0"/>
          <w:color w:val="000000"/>
          <w:sz w:val="32"/>
          <w:szCs w:val="32"/>
          <w:highlight w:val="none"/>
        </w:rPr>
        <w:t xml:space="preserve">: </w:t>
      </w:r>
      <w:r>
        <w:rPr>
          <w:rStyle w:val="23"/>
          <w:rFonts w:hint="eastAsia" w:ascii="仿宋_GB2312" w:hAnsi="仿宋_GB2312" w:eastAsia="仿宋_GB2312" w:cs="仿宋_GB2312"/>
          <w:b w:val="0"/>
          <w:color w:val="000000"/>
          <w:sz w:val="32"/>
          <w:szCs w:val="32"/>
          <w:highlight w:val="none"/>
        </w:rPr>
        <w:t>指单位</w:t>
      </w:r>
      <w:r>
        <w:rPr>
          <w:rFonts w:hint="eastAsia" w:ascii="仿宋_GB2312" w:hAnsi="仿宋_GB2312" w:eastAsia="仿宋_GB2312" w:cs="仿宋_GB2312"/>
          <w:color w:val="000000"/>
          <w:kern w:val="0"/>
          <w:sz w:val="32"/>
          <w:szCs w:val="32"/>
          <w:highlight w:val="none"/>
        </w:rPr>
        <w:t>用于保障机构正常运行、开展日常工作的基本支出</w:t>
      </w:r>
      <w:r>
        <w:rPr>
          <w:rStyle w:val="23"/>
          <w:rFonts w:hint="eastAsia" w:ascii="仿宋_GB2312" w:hAnsi="仿宋_GB2312" w:eastAsia="仿宋_GB2312" w:cs="仿宋_GB2312"/>
          <w:b w:val="0"/>
          <w:color w:val="000000"/>
          <w:sz w:val="32"/>
          <w:szCs w:val="32"/>
          <w:highlight w:val="none"/>
        </w:rPr>
        <w:t>。</w:t>
      </w:r>
    </w:p>
    <w:p w14:paraId="1EE19099">
      <w:pPr>
        <w:spacing w:line="576" w:lineRule="atLeast"/>
        <w:ind w:firstLine="640" w:firstLineChars="200"/>
        <w:rPr>
          <w:rStyle w:val="23"/>
          <w:rFonts w:ascii="仿宋_GB2312" w:hAnsi="仿宋_GB2312" w:eastAsia="仿宋_GB2312"/>
          <w:b w:val="0"/>
          <w:color w:val="000000"/>
          <w:sz w:val="32"/>
          <w:szCs w:val="32"/>
          <w:highlight w:val="none"/>
        </w:rPr>
      </w:pPr>
      <w:r>
        <w:rPr>
          <w:rStyle w:val="23"/>
          <w:rFonts w:ascii="仿宋_GB2312" w:hAnsi="仿宋_GB2312" w:eastAsia="仿宋_GB2312" w:cs="仿宋_GB2312"/>
          <w:b w:val="0"/>
          <w:color w:val="000000"/>
          <w:sz w:val="32"/>
          <w:szCs w:val="32"/>
          <w:highlight w:val="none"/>
        </w:rPr>
        <w:t>14.</w:t>
      </w:r>
      <w:r>
        <w:rPr>
          <w:rStyle w:val="23"/>
          <w:rFonts w:hint="eastAsia" w:ascii="仿宋_GB2312" w:hAnsi="仿宋_GB2312" w:eastAsia="仿宋_GB2312" w:cs="仿宋_GB2312"/>
          <w:b w:val="0"/>
          <w:color w:val="000000"/>
          <w:sz w:val="32"/>
          <w:szCs w:val="32"/>
          <w:highlight w:val="none"/>
        </w:rPr>
        <w:t>国防支出（类）其他国防支出（款）其他国防支出（项）</w:t>
      </w:r>
      <w:r>
        <w:rPr>
          <w:rStyle w:val="23"/>
          <w:rFonts w:ascii="仿宋_GB2312" w:hAnsi="仿宋_GB2312" w:eastAsia="仿宋_GB2312" w:cs="仿宋_GB2312"/>
          <w:b w:val="0"/>
          <w:color w:val="000000"/>
          <w:sz w:val="32"/>
          <w:szCs w:val="32"/>
          <w:highlight w:val="none"/>
        </w:rPr>
        <w:t xml:space="preserve">: </w:t>
      </w:r>
      <w:r>
        <w:rPr>
          <w:rStyle w:val="23"/>
          <w:rFonts w:hint="eastAsia" w:ascii="仿宋_GB2312" w:hAnsi="仿宋_GB2312" w:eastAsia="仿宋_GB2312" w:cs="仿宋_GB2312"/>
          <w:b w:val="0"/>
          <w:color w:val="000000"/>
          <w:sz w:val="32"/>
          <w:szCs w:val="32"/>
          <w:highlight w:val="none"/>
        </w:rPr>
        <w:t>指单位其他用于国防方面的支出。</w:t>
      </w:r>
    </w:p>
    <w:p w14:paraId="7D2F1726">
      <w:pPr>
        <w:spacing w:line="576" w:lineRule="atLeast"/>
        <w:ind w:firstLine="640" w:firstLineChars="200"/>
        <w:rPr>
          <w:rStyle w:val="23"/>
          <w:rFonts w:ascii="仿宋_GB2312" w:hAnsi="仿宋_GB2312" w:eastAsia="仿宋_GB2312"/>
          <w:b w:val="0"/>
          <w:color w:val="000000"/>
          <w:sz w:val="32"/>
          <w:szCs w:val="32"/>
          <w:highlight w:val="none"/>
        </w:rPr>
      </w:pPr>
      <w:r>
        <w:rPr>
          <w:rStyle w:val="23"/>
          <w:rFonts w:ascii="仿宋_GB2312" w:hAnsi="仿宋_GB2312" w:eastAsia="仿宋_GB2312" w:cs="仿宋_GB2312"/>
          <w:b w:val="0"/>
          <w:color w:val="000000"/>
          <w:sz w:val="32"/>
          <w:szCs w:val="32"/>
          <w:highlight w:val="none"/>
        </w:rPr>
        <w:t>1</w:t>
      </w:r>
      <w:r>
        <w:rPr>
          <w:rStyle w:val="23"/>
          <w:rFonts w:hint="eastAsia" w:ascii="仿宋_GB2312" w:hAnsi="仿宋_GB2312" w:eastAsia="仿宋_GB2312" w:cs="仿宋_GB2312"/>
          <w:b w:val="0"/>
          <w:color w:val="000000"/>
          <w:sz w:val="32"/>
          <w:szCs w:val="32"/>
          <w:highlight w:val="none"/>
        </w:rPr>
        <w:t>5</w:t>
      </w:r>
      <w:r>
        <w:rPr>
          <w:rStyle w:val="23"/>
          <w:rFonts w:ascii="仿宋_GB2312" w:hAnsi="仿宋_GB2312" w:eastAsia="仿宋_GB2312" w:cs="仿宋_GB2312"/>
          <w:b w:val="0"/>
          <w:color w:val="000000"/>
          <w:sz w:val="32"/>
          <w:szCs w:val="32"/>
          <w:highlight w:val="none"/>
        </w:rPr>
        <w:t>.</w:t>
      </w:r>
      <w:r>
        <w:rPr>
          <w:rStyle w:val="23"/>
          <w:rFonts w:hint="eastAsia" w:ascii="仿宋_GB2312" w:hAnsi="仿宋_GB2312" w:eastAsia="仿宋_GB2312" w:cs="仿宋_GB2312"/>
          <w:b w:val="0"/>
          <w:color w:val="000000"/>
          <w:sz w:val="32"/>
          <w:szCs w:val="32"/>
          <w:highlight w:val="none"/>
        </w:rPr>
        <w:t>社会保障和就业（类）行政事业单位离退休（款）机关事业单位基本养老保险缴费支出（项）</w:t>
      </w:r>
      <w:r>
        <w:rPr>
          <w:rStyle w:val="23"/>
          <w:rFonts w:ascii="仿宋_GB2312" w:hAnsi="仿宋_GB2312" w:eastAsia="仿宋_GB2312" w:cs="仿宋_GB2312"/>
          <w:b w:val="0"/>
          <w:color w:val="000000"/>
          <w:sz w:val="32"/>
          <w:szCs w:val="32"/>
          <w:highlight w:val="none"/>
        </w:rPr>
        <w:t xml:space="preserve">: </w:t>
      </w:r>
      <w:r>
        <w:rPr>
          <w:rStyle w:val="23"/>
          <w:rFonts w:hint="eastAsia" w:ascii="仿宋_GB2312" w:hAnsi="仿宋_GB2312" w:eastAsia="仿宋_GB2312" w:cs="仿宋_GB2312"/>
          <w:b w:val="0"/>
          <w:color w:val="000000"/>
          <w:sz w:val="32"/>
          <w:szCs w:val="32"/>
          <w:highlight w:val="none"/>
        </w:rPr>
        <w:t>指</w:t>
      </w:r>
      <w:r>
        <w:rPr>
          <w:rFonts w:hint="eastAsia" w:ascii="仿宋_GB2312" w:hAnsi="仿宋_GB2312" w:eastAsia="仿宋_GB2312" w:cs="仿宋_GB2312"/>
          <w:color w:val="000000"/>
          <w:kern w:val="0"/>
          <w:sz w:val="32"/>
          <w:szCs w:val="32"/>
          <w:highlight w:val="none"/>
        </w:rPr>
        <w:t>单位实施养老保险制度由单位缴纳的养老保险费的支出</w:t>
      </w:r>
      <w:r>
        <w:rPr>
          <w:rStyle w:val="23"/>
          <w:rFonts w:hint="eastAsia" w:ascii="仿宋_GB2312" w:hAnsi="仿宋_GB2312" w:eastAsia="仿宋_GB2312" w:cs="仿宋_GB2312"/>
          <w:b w:val="0"/>
          <w:color w:val="000000"/>
          <w:sz w:val="32"/>
          <w:szCs w:val="32"/>
          <w:highlight w:val="none"/>
        </w:rPr>
        <w:t>。</w:t>
      </w:r>
    </w:p>
    <w:p w14:paraId="678AFA91">
      <w:pPr>
        <w:spacing w:line="576" w:lineRule="atLeast"/>
        <w:ind w:firstLine="640" w:firstLineChars="200"/>
        <w:rPr>
          <w:rStyle w:val="23"/>
          <w:rFonts w:ascii="仿宋_GB2312" w:hAnsi="仿宋_GB2312" w:eastAsia="仿宋_GB2312"/>
          <w:b w:val="0"/>
          <w:color w:val="000000"/>
          <w:sz w:val="32"/>
          <w:szCs w:val="32"/>
          <w:highlight w:val="none"/>
        </w:rPr>
      </w:pPr>
      <w:r>
        <w:rPr>
          <w:rStyle w:val="23"/>
          <w:rFonts w:hint="eastAsia" w:ascii="仿宋_GB2312" w:hAnsi="仿宋_GB2312" w:eastAsia="仿宋_GB2312" w:cs="仿宋_GB2312"/>
          <w:b w:val="0"/>
          <w:color w:val="000000"/>
          <w:sz w:val="32"/>
          <w:szCs w:val="32"/>
          <w:highlight w:val="none"/>
        </w:rPr>
        <w:t>16</w:t>
      </w:r>
      <w:r>
        <w:rPr>
          <w:rStyle w:val="23"/>
          <w:rFonts w:ascii="仿宋_GB2312" w:hAnsi="仿宋_GB2312" w:eastAsia="仿宋_GB2312" w:cs="仿宋_GB2312"/>
          <w:b w:val="0"/>
          <w:color w:val="000000"/>
          <w:sz w:val="32"/>
          <w:szCs w:val="32"/>
          <w:highlight w:val="none"/>
        </w:rPr>
        <w:t>.</w:t>
      </w:r>
      <w:r>
        <w:rPr>
          <w:rStyle w:val="23"/>
          <w:rFonts w:hint="eastAsia" w:ascii="仿宋_GB2312" w:hAnsi="仿宋_GB2312" w:eastAsia="仿宋_GB2312" w:cs="仿宋_GB2312"/>
          <w:b w:val="0"/>
          <w:color w:val="000000"/>
          <w:sz w:val="32"/>
          <w:szCs w:val="32"/>
          <w:highlight w:val="none"/>
        </w:rPr>
        <w:t>社会保障和就业（类）行政事业单位离退休（款）机关事业单位职业年金缴费支出（项）</w:t>
      </w:r>
      <w:r>
        <w:rPr>
          <w:rStyle w:val="23"/>
          <w:rFonts w:ascii="仿宋_GB2312" w:hAnsi="仿宋_GB2312" w:eastAsia="仿宋_GB2312" w:cs="仿宋_GB2312"/>
          <w:b w:val="0"/>
          <w:color w:val="000000"/>
          <w:sz w:val="32"/>
          <w:szCs w:val="32"/>
          <w:highlight w:val="none"/>
        </w:rPr>
        <w:t xml:space="preserve">: </w:t>
      </w:r>
      <w:r>
        <w:rPr>
          <w:rStyle w:val="23"/>
          <w:rFonts w:hint="eastAsia" w:ascii="仿宋_GB2312" w:hAnsi="仿宋_GB2312" w:eastAsia="仿宋_GB2312" w:cs="仿宋_GB2312"/>
          <w:b w:val="0"/>
          <w:color w:val="000000"/>
          <w:sz w:val="32"/>
          <w:szCs w:val="32"/>
          <w:highlight w:val="none"/>
        </w:rPr>
        <w:t>指</w:t>
      </w:r>
      <w:r>
        <w:rPr>
          <w:rFonts w:hint="eastAsia" w:ascii="仿宋_GB2312" w:hAnsi="仿宋_GB2312" w:eastAsia="仿宋_GB2312" w:cs="仿宋_GB2312"/>
          <w:color w:val="000000"/>
          <w:kern w:val="0"/>
          <w:sz w:val="32"/>
          <w:szCs w:val="32"/>
          <w:highlight w:val="none"/>
        </w:rPr>
        <w:t>单位实施养老保险制度由单位缴纳的职业年金的支出</w:t>
      </w:r>
      <w:r>
        <w:rPr>
          <w:rStyle w:val="23"/>
          <w:rFonts w:hint="eastAsia" w:ascii="仿宋_GB2312" w:hAnsi="仿宋_GB2312" w:eastAsia="仿宋_GB2312" w:cs="仿宋_GB2312"/>
          <w:b w:val="0"/>
          <w:color w:val="000000"/>
          <w:sz w:val="32"/>
          <w:szCs w:val="32"/>
          <w:highlight w:val="none"/>
        </w:rPr>
        <w:t>。</w:t>
      </w:r>
    </w:p>
    <w:p w14:paraId="1009C4F5">
      <w:pPr>
        <w:spacing w:line="576" w:lineRule="atLeast"/>
        <w:ind w:firstLine="640" w:firstLineChars="200"/>
        <w:rPr>
          <w:rStyle w:val="23"/>
          <w:rFonts w:ascii="仿宋_GB2312" w:hAnsi="仿宋_GB2312" w:eastAsia="仿宋_GB2312"/>
          <w:b w:val="0"/>
          <w:color w:val="000000"/>
          <w:sz w:val="32"/>
          <w:szCs w:val="32"/>
          <w:highlight w:val="none"/>
        </w:rPr>
      </w:pPr>
      <w:r>
        <w:rPr>
          <w:rStyle w:val="23"/>
          <w:rFonts w:hint="eastAsia" w:ascii="仿宋_GB2312" w:hAnsi="仿宋_GB2312" w:eastAsia="仿宋_GB2312" w:cs="仿宋_GB2312"/>
          <w:b w:val="0"/>
          <w:color w:val="000000"/>
          <w:sz w:val="32"/>
          <w:szCs w:val="32"/>
          <w:highlight w:val="none"/>
        </w:rPr>
        <w:t>17</w:t>
      </w:r>
      <w:r>
        <w:rPr>
          <w:rStyle w:val="23"/>
          <w:rFonts w:ascii="仿宋_GB2312" w:hAnsi="仿宋_GB2312" w:eastAsia="仿宋_GB2312" w:cs="仿宋_GB2312"/>
          <w:b w:val="0"/>
          <w:color w:val="000000"/>
          <w:sz w:val="32"/>
          <w:szCs w:val="32"/>
          <w:highlight w:val="none"/>
        </w:rPr>
        <w:t>.</w:t>
      </w:r>
      <w:r>
        <w:rPr>
          <w:rStyle w:val="23"/>
          <w:rFonts w:hint="eastAsia" w:ascii="仿宋_GB2312" w:hAnsi="仿宋_GB2312" w:eastAsia="仿宋_GB2312" w:cs="仿宋_GB2312"/>
          <w:b w:val="0"/>
          <w:color w:val="000000"/>
          <w:sz w:val="32"/>
          <w:szCs w:val="32"/>
          <w:highlight w:val="none"/>
        </w:rPr>
        <w:t>社会保障和就业（类）社会福利（款）老年福利（项）</w:t>
      </w:r>
      <w:r>
        <w:rPr>
          <w:rStyle w:val="23"/>
          <w:rFonts w:ascii="仿宋_GB2312" w:hAnsi="仿宋_GB2312" w:eastAsia="仿宋_GB2312" w:cs="仿宋_GB2312"/>
          <w:b w:val="0"/>
          <w:color w:val="000000"/>
          <w:sz w:val="32"/>
          <w:szCs w:val="32"/>
          <w:highlight w:val="none"/>
        </w:rPr>
        <w:t xml:space="preserve">: </w:t>
      </w:r>
      <w:r>
        <w:rPr>
          <w:rStyle w:val="23"/>
          <w:rFonts w:hint="eastAsia" w:ascii="仿宋_GB2312" w:hAnsi="仿宋_GB2312" w:eastAsia="仿宋_GB2312" w:cs="仿宋_GB2312"/>
          <w:b w:val="0"/>
          <w:color w:val="000000"/>
          <w:sz w:val="32"/>
          <w:szCs w:val="32"/>
          <w:highlight w:val="none"/>
        </w:rPr>
        <w:t>指对老年人提供福利服务方面的支出。</w:t>
      </w:r>
    </w:p>
    <w:p w14:paraId="69D0750C">
      <w:pPr>
        <w:spacing w:line="576" w:lineRule="atLeast"/>
        <w:ind w:firstLine="640" w:firstLineChars="200"/>
        <w:rPr>
          <w:rStyle w:val="23"/>
          <w:rFonts w:ascii="仿宋_GB2312" w:hAnsi="仿宋_GB2312" w:eastAsia="仿宋_GB2312"/>
          <w:b w:val="0"/>
          <w:color w:val="000000"/>
          <w:sz w:val="32"/>
          <w:szCs w:val="32"/>
          <w:highlight w:val="none"/>
        </w:rPr>
      </w:pPr>
      <w:r>
        <w:rPr>
          <w:rStyle w:val="23"/>
          <w:rFonts w:hint="eastAsia" w:ascii="仿宋_GB2312" w:hAnsi="仿宋_GB2312" w:eastAsia="仿宋_GB2312" w:cs="仿宋_GB2312"/>
          <w:b w:val="0"/>
          <w:color w:val="000000"/>
          <w:sz w:val="32"/>
          <w:szCs w:val="32"/>
          <w:highlight w:val="none"/>
        </w:rPr>
        <w:t>18</w:t>
      </w:r>
      <w:r>
        <w:rPr>
          <w:rStyle w:val="23"/>
          <w:rFonts w:ascii="仿宋_GB2312" w:hAnsi="仿宋_GB2312" w:eastAsia="仿宋_GB2312" w:cs="仿宋_GB2312"/>
          <w:b w:val="0"/>
          <w:color w:val="000000"/>
          <w:sz w:val="32"/>
          <w:szCs w:val="32"/>
          <w:highlight w:val="none"/>
        </w:rPr>
        <w:t>.</w:t>
      </w:r>
      <w:r>
        <w:rPr>
          <w:rStyle w:val="23"/>
          <w:rFonts w:hint="eastAsia" w:ascii="仿宋_GB2312" w:hAnsi="仿宋_GB2312" w:eastAsia="仿宋_GB2312" w:cs="仿宋_GB2312"/>
          <w:b w:val="0"/>
          <w:color w:val="000000"/>
          <w:sz w:val="32"/>
          <w:szCs w:val="32"/>
          <w:highlight w:val="none"/>
        </w:rPr>
        <w:t>社会保障和就业（类）社会福利（款）其他社会福利支出（项）</w:t>
      </w:r>
      <w:r>
        <w:rPr>
          <w:rStyle w:val="23"/>
          <w:rFonts w:ascii="仿宋_GB2312" w:hAnsi="仿宋_GB2312" w:eastAsia="仿宋_GB2312" w:cs="仿宋_GB2312"/>
          <w:b w:val="0"/>
          <w:color w:val="000000"/>
          <w:sz w:val="32"/>
          <w:szCs w:val="32"/>
          <w:highlight w:val="none"/>
        </w:rPr>
        <w:t xml:space="preserve">: </w:t>
      </w:r>
      <w:r>
        <w:rPr>
          <w:rStyle w:val="23"/>
          <w:rFonts w:hint="eastAsia" w:ascii="仿宋_GB2312" w:hAnsi="仿宋_GB2312" w:eastAsia="仿宋_GB2312" w:cs="仿宋_GB2312"/>
          <w:b w:val="0"/>
          <w:color w:val="000000"/>
          <w:sz w:val="32"/>
          <w:szCs w:val="32"/>
          <w:highlight w:val="none"/>
        </w:rPr>
        <w:t>指除上述项目以外其他用于社会福利方面的支出。</w:t>
      </w:r>
    </w:p>
    <w:p w14:paraId="5EFB63EF">
      <w:pPr>
        <w:spacing w:line="576" w:lineRule="atLeast"/>
        <w:ind w:firstLine="640" w:firstLineChars="200"/>
        <w:rPr>
          <w:rStyle w:val="23"/>
          <w:rFonts w:ascii="仿宋_GB2312" w:hAnsi="仿宋_GB2312" w:eastAsia="仿宋_GB2312"/>
          <w:b w:val="0"/>
          <w:color w:val="000000"/>
          <w:sz w:val="32"/>
          <w:szCs w:val="32"/>
          <w:highlight w:val="none"/>
        </w:rPr>
      </w:pPr>
      <w:r>
        <w:rPr>
          <w:rStyle w:val="23"/>
          <w:rFonts w:hint="eastAsia" w:ascii="仿宋_GB2312" w:hAnsi="仿宋_GB2312" w:eastAsia="仿宋_GB2312" w:cs="仿宋_GB2312"/>
          <w:b w:val="0"/>
          <w:color w:val="000000"/>
          <w:sz w:val="32"/>
          <w:szCs w:val="32"/>
          <w:highlight w:val="none"/>
        </w:rPr>
        <w:t>19</w:t>
      </w:r>
      <w:r>
        <w:rPr>
          <w:rStyle w:val="23"/>
          <w:rFonts w:ascii="仿宋_GB2312" w:hAnsi="仿宋_GB2312" w:eastAsia="仿宋_GB2312" w:cs="仿宋_GB2312"/>
          <w:b w:val="0"/>
          <w:color w:val="000000"/>
          <w:sz w:val="32"/>
          <w:szCs w:val="32"/>
          <w:highlight w:val="none"/>
        </w:rPr>
        <w:t>.</w:t>
      </w:r>
      <w:r>
        <w:rPr>
          <w:rStyle w:val="23"/>
          <w:rFonts w:hint="eastAsia" w:ascii="仿宋_GB2312" w:hAnsi="仿宋_GB2312" w:eastAsia="仿宋_GB2312" w:cs="仿宋_GB2312"/>
          <w:b w:val="0"/>
          <w:color w:val="000000"/>
          <w:sz w:val="32"/>
          <w:szCs w:val="32"/>
          <w:highlight w:val="none"/>
        </w:rPr>
        <w:t>医疗卫生与计划生育（类）基层医疗卫生机构（款）镇镇卫生院（项）</w:t>
      </w:r>
      <w:r>
        <w:rPr>
          <w:rStyle w:val="23"/>
          <w:rFonts w:ascii="仿宋_GB2312" w:hAnsi="仿宋_GB2312" w:eastAsia="仿宋_GB2312" w:cs="仿宋_GB2312"/>
          <w:b w:val="0"/>
          <w:color w:val="000000"/>
          <w:sz w:val="32"/>
          <w:szCs w:val="32"/>
          <w:highlight w:val="none"/>
        </w:rPr>
        <w:t>:</w:t>
      </w:r>
      <w:r>
        <w:rPr>
          <w:rStyle w:val="23"/>
          <w:rFonts w:hint="eastAsia" w:ascii="仿宋_GB2312" w:hAnsi="仿宋_GB2312" w:eastAsia="仿宋_GB2312" w:cs="仿宋_GB2312"/>
          <w:b w:val="0"/>
          <w:color w:val="000000"/>
          <w:sz w:val="32"/>
          <w:szCs w:val="32"/>
          <w:highlight w:val="none"/>
        </w:rPr>
        <w:t>指用于镇镇卫生院支出。</w:t>
      </w:r>
    </w:p>
    <w:p w14:paraId="0B90BE0A">
      <w:pPr>
        <w:spacing w:line="576" w:lineRule="atLeast"/>
        <w:ind w:firstLine="640" w:firstLineChars="200"/>
        <w:rPr>
          <w:rStyle w:val="23"/>
          <w:rFonts w:ascii="仿宋_GB2312" w:hAnsi="仿宋_GB2312" w:eastAsia="仿宋_GB2312"/>
          <w:b w:val="0"/>
          <w:color w:val="000000"/>
          <w:sz w:val="32"/>
          <w:szCs w:val="32"/>
          <w:highlight w:val="none"/>
        </w:rPr>
      </w:pPr>
      <w:r>
        <w:rPr>
          <w:rStyle w:val="23"/>
          <w:rFonts w:hint="eastAsia" w:ascii="仿宋_GB2312" w:hAnsi="仿宋_GB2312" w:eastAsia="仿宋_GB2312" w:cs="仿宋_GB2312"/>
          <w:b w:val="0"/>
          <w:color w:val="000000"/>
          <w:sz w:val="32"/>
          <w:szCs w:val="32"/>
          <w:highlight w:val="none"/>
        </w:rPr>
        <w:t>20</w:t>
      </w:r>
      <w:r>
        <w:rPr>
          <w:rStyle w:val="23"/>
          <w:rFonts w:ascii="仿宋_GB2312" w:hAnsi="仿宋_GB2312" w:eastAsia="仿宋_GB2312" w:cs="仿宋_GB2312"/>
          <w:b w:val="0"/>
          <w:color w:val="000000"/>
          <w:sz w:val="32"/>
          <w:szCs w:val="32"/>
          <w:highlight w:val="none"/>
        </w:rPr>
        <w:t>.</w:t>
      </w:r>
      <w:r>
        <w:rPr>
          <w:rStyle w:val="23"/>
          <w:rFonts w:hint="eastAsia" w:ascii="仿宋_GB2312" w:hAnsi="仿宋_GB2312" w:eastAsia="仿宋_GB2312" w:cs="仿宋_GB2312"/>
          <w:b w:val="0"/>
          <w:color w:val="000000"/>
          <w:sz w:val="32"/>
          <w:szCs w:val="32"/>
          <w:highlight w:val="none"/>
        </w:rPr>
        <w:t>医疗卫生与计划生育（类）行政事业单位医疗（款）行政单位医疗（项）</w:t>
      </w:r>
      <w:r>
        <w:rPr>
          <w:rStyle w:val="23"/>
          <w:rFonts w:ascii="仿宋_GB2312" w:hAnsi="仿宋_GB2312" w:eastAsia="仿宋_GB2312" w:cs="仿宋_GB2312"/>
          <w:b w:val="0"/>
          <w:color w:val="000000"/>
          <w:sz w:val="32"/>
          <w:szCs w:val="32"/>
          <w:highlight w:val="none"/>
        </w:rPr>
        <w:t>:</w:t>
      </w:r>
      <w:r>
        <w:rPr>
          <w:rStyle w:val="23"/>
          <w:rFonts w:hint="eastAsia" w:ascii="仿宋_GB2312" w:hAnsi="仿宋_GB2312" w:eastAsia="仿宋_GB2312" w:cs="仿宋_GB2312"/>
          <w:b w:val="0"/>
          <w:color w:val="000000"/>
          <w:sz w:val="32"/>
          <w:szCs w:val="32"/>
          <w:highlight w:val="none"/>
        </w:rPr>
        <w:t>指</w:t>
      </w:r>
      <w:r>
        <w:rPr>
          <w:rFonts w:hint="eastAsia" w:ascii="仿宋_GB2312" w:hAnsi="仿宋_GB2312" w:eastAsia="仿宋_GB2312" w:cs="仿宋_GB2312"/>
          <w:color w:val="000000"/>
          <w:kern w:val="0"/>
          <w:sz w:val="32"/>
          <w:szCs w:val="32"/>
          <w:highlight w:val="none"/>
        </w:rPr>
        <w:t>行政单位用于缴纳单位基本医疗保险支出</w:t>
      </w:r>
      <w:r>
        <w:rPr>
          <w:rStyle w:val="23"/>
          <w:rFonts w:hint="eastAsia" w:ascii="仿宋_GB2312" w:hAnsi="仿宋_GB2312" w:eastAsia="仿宋_GB2312" w:cs="仿宋_GB2312"/>
          <w:b w:val="0"/>
          <w:color w:val="000000"/>
          <w:sz w:val="32"/>
          <w:szCs w:val="32"/>
          <w:highlight w:val="none"/>
        </w:rPr>
        <w:t>。</w:t>
      </w:r>
    </w:p>
    <w:p w14:paraId="17F81B1D">
      <w:pPr>
        <w:spacing w:line="576" w:lineRule="atLeast"/>
        <w:ind w:firstLine="640" w:firstLineChars="200"/>
        <w:rPr>
          <w:rStyle w:val="23"/>
          <w:rFonts w:ascii="仿宋_GB2312" w:hAnsi="仿宋_GB2312" w:eastAsia="仿宋_GB2312"/>
          <w:b w:val="0"/>
          <w:color w:val="000000"/>
          <w:sz w:val="32"/>
          <w:szCs w:val="32"/>
          <w:highlight w:val="none"/>
        </w:rPr>
      </w:pPr>
      <w:r>
        <w:rPr>
          <w:rStyle w:val="23"/>
          <w:rFonts w:hint="eastAsia" w:ascii="仿宋_GB2312" w:hAnsi="仿宋_GB2312" w:eastAsia="仿宋_GB2312" w:cs="仿宋_GB2312"/>
          <w:b w:val="0"/>
          <w:color w:val="000000"/>
          <w:sz w:val="32"/>
          <w:szCs w:val="32"/>
          <w:highlight w:val="none"/>
        </w:rPr>
        <w:t>21</w:t>
      </w:r>
      <w:r>
        <w:rPr>
          <w:rStyle w:val="23"/>
          <w:rFonts w:ascii="仿宋_GB2312" w:hAnsi="仿宋_GB2312" w:eastAsia="仿宋_GB2312" w:cs="仿宋_GB2312"/>
          <w:b w:val="0"/>
          <w:color w:val="000000"/>
          <w:sz w:val="32"/>
          <w:szCs w:val="32"/>
          <w:highlight w:val="none"/>
        </w:rPr>
        <w:t>.</w:t>
      </w:r>
      <w:r>
        <w:rPr>
          <w:rStyle w:val="23"/>
          <w:rFonts w:hint="eastAsia" w:ascii="仿宋_GB2312" w:hAnsi="仿宋_GB2312" w:eastAsia="仿宋_GB2312" w:cs="仿宋_GB2312"/>
          <w:b w:val="0"/>
          <w:color w:val="000000"/>
          <w:sz w:val="32"/>
          <w:szCs w:val="32"/>
          <w:highlight w:val="none"/>
        </w:rPr>
        <w:t>医疗卫生与计划生育（类）行政事业单位医疗（款）事业单位医疗（项）</w:t>
      </w:r>
      <w:r>
        <w:rPr>
          <w:rStyle w:val="23"/>
          <w:rFonts w:ascii="仿宋_GB2312" w:hAnsi="仿宋_GB2312" w:eastAsia="仿宋_GB2312" w:cs="仿宋_GB2312"/>
          <w:b w:val="0"/>
          <w:color w:val="000000"/>
          <w:sz w:val="32"/>
          <w:szCs w:val="32"/>
          <w:highlight w:val="none"/>
        </w:rPr>
        <w:t>:</w:t>
      </w:r>
      <w:r>
        <w:rPr>
          <w:rStyle w:val="23"/>
          <w:rFonts w:hint="eastAsia" w:ascii="仿宋_GB2312" w:hAnsi="仿宋_GB2312" w:eastAsia="仿宋_GB2312" w:cs="仿宋_GB2312"/>
          <w:b w:val="0"/>
          <w:color w:val="000000"/>
          <w:sz w:val="32"/>
          <w:szCs w:val="32"/>
          <w:highlight w:val="none"/>
        </w:rPr>
        <w:t>指</w:t>
      </w:r>
      <w:r>
        <w:rPr>
          <w:rFonts w:hint="eastAsia" w:ascii="仿宋_GB2312" w:hAnsi="仿宋_GB2312" w:eastAsia="仿宋_GB2312" w:cs="仿宋_GB2312"/>
          <w:color w:val="000000"/>
          <w:kern w:val="0"/>
          <w:sz w:val="32"/>
          <w:szCs w:val="32"/>
          <w:highlight w:val="none"/>
        </w:rPr>
        <w:t>事业单位用于缴纳单位基本医疗保险支出</w:t>
      </w:r>
      <w:r>
        <w:rPr>
          <w:rStyle w:val="23"/>
          <w:rFonts w:hint="eastAsia" w:ascii="仿宋_GB2312" w:hAnsi="仿宋_GB2312" w:eastAsia="仿宋_GB2312" w:cs="仿宋_GB2312"/>
          <w:b w:val="0"/>
          <w:color w:val="000000"/>
          <w:sz w:val="32"/>
          <w:szCs w:val="32"/>
          <w:highlight w:val="none"/>
        </w:rPr>
        <w:t>。</w:t>
      </w:r>
    </w:p>
    <w:p w14:paraId="76141FE7">
      <w:pPr>
        <w:spacing w:line="576" w:lineRule="atLeast"/>
        <w:ind w:firstLine="640" w:firstLineChars="200"/>
        <w:rPr>
          <w:rStyle w:val="23"/>
          <w:rFonts w:ascii="仿宋_GB2312" w:hAnsi="仿宋_GB2312" w:eastAsia="仿宋_GB2312"/>
          <w:b w:val="0"/>
          <w:color w:val="000000"/>
          <w:sz w:val="32"/>
          <w:szCs w:val="32"/>
          <w:highlight w:val="none"/>
        </w:rPr>
      </w:pPr>
      <w:r>
        <w:rPr>
          <w:rStyle w:val="23"/>
          <w:rFonts w:hint="eastAsia" w:ascii="仿宋_GB2312" w:hAnsi="仿宋_GB2312" w:eastAsia="仿宋_GB2312" w:cs="仿宋_GB2312"/>
          <w:b w:val="0"/>
          <w:color w:val="000000"/>
          <w:sz w:val="32"/>
          <w:szCs w:val="32"/>
          <w:highlight w:val="none"/>
        </w:rPr>
        <w:t>22</w:t>
      </w:r>
      <w:r>
        <w:rPr>
          <w:rStyle w:val="23"/>
          <w:rFonts w:ascii="仿宋_GB2312" w:hAnsi="仿宋_GB2312" w:eastAsia="仿宋_GB2312" w:cs="仿宋_GB2312"/>
          <w:b w:val="0"/>
          <w:color w:val="000000"/>
          <w:sz w:val="32"/>
          <w:szCs w:val="32"/>
          <w:highlight w:val="none"/>
        </w:rPr>
        <w:t>.</w:t>
      </w:r>
      <w:r>
        <w:rPr>
          <w:rStyle w:val="23"/>
          <w:rFonts w:hint="eastAsia" w:ascii="仿宋_GB2312" w:hAnsi="仿宋_GB2312" w:eastAsia="仿宋_GB2312" w:cs="仿宋_GB2312"/>
          <w:b w:val="0"/>
          <w:color w:val="000000"/>
          <w:sz w:val="32"/>
          <w:szCs w:val="32"/>
          <w:highlight w:val="none"/>
        </w:rPr>
        <w:t>农林水支出（类）农业（款）事业运行（项）</w:t>
      </w:r>
      <w:r>
        <w:rPr>
          <w:rStyle w:val="23"/>
          <w:rFonts w:ascii="仿宋_GB2312" w:hAnsi="仿宋_GB2312" w:eastAsia="仿宋_GB2312" w:cs="仿宋_GB2312"/>
          <w:b w:val="0"/>
          <w:color w:val="000000"/>
          <w:sz w:val="32"/>
          <w:szCs w:val="32"/>
          <w:highlight w:val="none"/>
        </w:rPr>
        <w:t xml:space="preserve">: </w:t>
      </w:r>
      <w:r>
        <w:rPr>
          <w:rStyle w:val="23"/>
          <w:rFonts w:hint="eastAsia" w:ascii="仿宋_GB2312" w:hAnsi="仿宋_GB2312" w:eastAsia="仿宋_GB2312" w:cs="仿宋_GB2312"/>
          <w:b w:val="0"/>
          <w:color w:val="000000"/>
          <w:sz w:val="32"/>
          <w:szCs w:val="32"/>
          <w:highlight w:val="none"/>
        </w:rPr>
        <w:t>指用于农业事业单位基本支出，事业单位设施、系统运行与资产维护等方面的支出。</w:t>
      </w:r>
    </w:p>
    <w:p w14:paraId="58AA8D78">
      <w:pPr>
        <w:spacing w:line="576" w:lineRule="atLeast"/>
        <w:ind w:firstLine="640" w:firstLineChars="200"/>
        <w:rPr>
          <w:rStyle w:val="23"/>
          <w:rFonts w:ascii="仿宋_GB2312" w:hAnsi="仿宋_GB2312" w:eastAsia="仿宋_GB2312"/>
          <w:b w:val="0"/>
          <w:color w:val="000000"/>
          <w:sz w:val="32"/>
          <w:szCs w:val="32"/>
          <w:highlight w:val="none"/>
        </w:rPr>
      </w:pPr>
      <w:r>
        <w:rPr>
          <w:rStyle w:val="23"/>
          <w:rFonts w:hint="eastAsia" w:ascii="仿宋_GB2312" w:hAnsi="仿宋_GB2312" w:eastAsia="仿宋_GB2312" w:cs="仿宋_GB2312"/>
          <w:b w:val="0"/>
          <w:color w:val="000000"/>
          <w:sz w:val="32"/>
          <w:szCs w:val="32"/>
          <w:highlight w:val="none"/>
        </w:rPr>
        <w:t>23</w:t>
      </w:r>
      <w:r>
        <w:rPr>
          <w:rStyle w:val="23"/>
          <w:rFonts w:ascii="仿宋_GB2312" w:hAnsi="仿宋_GB2312" w:eastAsia="仿宋_GB2312" w:cs="仿宋_GB2312"/>
          <w:b w:val="0"/>
          <w:color w:val="000000"/>
          <w:sz w:val="32"/>
          <w:szCs w:val="32"/>
          <w:highlight w:val="none"/>
        </w:rPr>
        <w:t>.</w:t>
      </w:r>
      <w:r>
        <w:rPr>
          <w:rStyle w:val="23"/>
          <w:rFonts w:hint="eastAsia" w:ascii="仿宋_GB2312" w:hAnsi="仿宋_GB2312" w:eastAsia="仿宋_GB2312" w:cs="仿宋_GB2312"/>
          <w:b w:val="0"/>
          <w:color w:val="000000"/>
          <w:sz w:val="32"/>
          <w:szCs w:val="32"/>
          <w:highlight w:val="none"/>
        </w:rPr>
        <w:t>农林水支出（类）农业（款）农业资源保护修复与利用（项）</w:t>
      </w:r>
      <w:r>
        <w:rPr>
          <w:rStyle w:val="23"/>
          <w:rFonts w:ascii="仿宋_GB2312" w:hAnsi="仿宋_GB2312" w:eastAsia="仿宋_GB2312" w:cs="仿宋_GB2312"/>
          <w:b w:val="0"/>
          <w:color w:val="000000"/>
          <w:sz w:val="32"/>
          <w:szCs w:val="32"/>
          <w:highlight w:val="none"/>
        </w:rPr>
        <w:t xml:space="preserve">: </w:t>
      </w:r>
      <w:r>
        <w:rPr>
          <w:rStyle w:val="23"/>
          <w:rFonts w:hint="eastAsia" w:ascii="仿宋_GB2312" w:hAnsi="仿宋_GB2312" w:eastAsia="仿宋_GB2312" w:cs="仿宋_GB2312"/>
          <w:b w:val="0"/>
          <w:color w:val="000000"/>
          <w:sz w:val="32"/>
          <w:szCs w:val="32"/>
          <w:highlight w:val="none"/>
        </w:rPr>
        <w:t>指用于农业耕地保护、修复与建设，草原草场生态保护、改良、利用及建设，渔业水产及水生生物资源保护与利用等方面的支出。</w:t>
      </w:r>
    </w:p>
    <w:p w14:paraId="2462B8C4">
      <w:pPr>
        <w:spacing w:line="576" w:lineRule="atLeast"/>
        <w:ind w:firstLine="640" w:firstLineChars="200"/>
        <w:rPr>
          <w:rStyle w:val="23"/>
          <w:rFonts w:ascii="仿宋_GB2312" w:hAnsi="仿宋_GB2312" w:eastAsia="仿宋_GB2312"/>
          <w:b w:val="0"/>
          <w:color w:val="000000"/>
          <w:sz w:val="32"/>
          <w:szCs w:val="32"/>
          <w:highlight w:val="none"/>
        </w:rPr>
      </w:pPr>
      <w:r>
        <w:rPr>
          <w:rStyle w:val="23"/>
          <w:rFonts w:hint="eastAsia" w:ascii="仿宋_GB2312" w:hAnsi="仿宋_GB2312" w:eastAsia="仿宋_GB2312" w:cs="仿宋_GB2312"/>
          <w:b w:val="0"/>
          <w:color w:val="000000"/>
          <w:sz w:val="32"/>
          <w:szCs w:val="32"/>
          <w:highlight w:val="none"/>
        </w:rPr>
        <w:t>24</w:t>
      </w:r>
      <w:r>
        <w:rPr>
          <w:rStyle w:val="23"/>
          <w:rFonts w:ascii="仿宋_GB2312" w:hAnsi="仿宋_GB2312" w:eastAsia="仿宋_GB2312" w:cs="仿宋_GB2312"/>
          <w:b w:val="0"/>
          <w:color w:val="000000"/>
          <w:sz w:val="32"/>
          <w:szCs w:val="32"/>
          <w:highlight w:val="none"/>
        </w:rPr>
        <w:t>.</w:t>
      </w:r>
      <w:r>
        <w:rPr>
          <w:rStyle w:val="23"/>
          <w:rFonts w:hint="eastAsia" w:ascii="仿宋_GB2312" w:hAnsi="仿宋_GB2312" w:eastAsia="仿宋_GB2312" w:cs="仿宋_GB2312"/>
          <w:b w:val="0"/>
          <w:color w:val="000000"/>
          <w:sz w:val="32"/>
          <w:szCs w:val="32"/>
          <w:highlight w:val="none"/>
        </w:rPr>
        <w:t>农林水支出（类）农业（款）其他农业支出（项）</w:t>
      </w:r>
      <w:r>
        <w:rPr>
          <w:rStyle w:val="23"/>
          <w:rFonts w:ascii="仿宋_GB2312" w:hAnsi="仿宋_GB2312" w:eastAsia="仿宋_GB2312" w:cs="仿宋_GB2312"/>
          <w:b w:val="0"/>
          <w:color w:val="000000"/>
          <w:sz w:val="32"/>
          <w:szCs w:val="32"/>
          <w:highlight w:val="none"/>
        </w:rPr>
        <w:t xml:space="preserve">: </w:t>
      </w:r>
      <w:r>
        <w:rPr>
          <w:rStyle w:val="23"/>
          <w:rFonts w:hint="eastAsia" w:ascii="仿宋_GB2312" w:hAnsi="仿宋_GB2312" w:eastAsia="仿宋_GB2312" w:cs="仿宋_GB2312"/>
          <w:b w:val="0"/>
          <w:color w:val="000000"/>
          <w:sz w:val="32"/>
          <w:szCs w:val="32"/>
          <w:highlight w:val="none"/>
        </w:rPr>
        <w:t>指除上述项目以外其他用于农业方面的支出。</w:t>
      </w:r>
    </w:p>
    <w:p w14:paraId="77540070">
      <w:pPr>
        <w:spacing w:line="576" w:lineRule="atLeast"/>
        <w:ind w:firstLine="640" w:firstLineChars="200"/>
        <w:rPr>
          <w:rStyle w:val="23"/>
          <w:rFonts w:ascii="仿宋_GB2312" w:hAnsi="仿宋_GB2312" w:eastAsia="仿宋_GB2312"/>
          <w:b w:val="0"/>
          <w:color w:val="000000"/>
          <w:sz w:val="32"/>
          <w:szCs w:val="32"/>
          <w:highlight w:val="none"/>
        </w:rPr>
      </w:pPr>
      <w:r>
        <w:rPr>
          <w:rStyle w:val="23"/>
          <w:rFonts w:hint="eastAsia" w:ascii="仿宋_GB2312" w:hAnsi="仿宋_GB2312" w:eastAsia="仿宋_GB2312" w:cs="仿宋_GB2312"/>
          <w:b w:val="0"/>
          <w:color w:val="000000"/>
          <w:sz w:val="32"/>
          <w:szCs w:val="32"/>
          <w:highlight w:val="none"/>
        </w:rPr>
        <w:t>25</w:t>
      </w:r>
      <w:r>
        <w:rPr>
          <w:rStyle w:val="23"/>
          <w:rFonts w:ascii="仿宋_GB2312" w:hAnsi="仿宋_GB2312" w:eastAsia="仿宋_GB2312" w:cs="仿宋_GB2312"/>
          <w:b w:val="0"/>
          <w:color w:val="000000"/>
          <w:sz w:val="32"/>
          <w:szCs w:val="32"/>
          <w:highlight w:val="none"/>
        </w:rPr>
        <w:t>.</w:t>
      </w:r>
      <w:r>
        <w:rPr>
          <w:rStyle w:val="23"/>
          <w:rFonts w:hint="eastAsia" w:ascii="仿宋_GB2312" w:hAnsi="仿宋_GB2312" w:eastAsia="仿宋_GB2312" w:cs="仿宋_GB2312"/>
          <w:b w:val="0"/>
          <w:color w:val="000000"/>
          <w:sz w:val="32"/>
          <w:szCs w:val="32"/>
          <w:highlight w:val="none"/>
        </w:rPr>
        <w:t>农林水支出（类）扶贫（款）农村基础设施建设（项）</w:t>
      </w:r>
      <w:r>
        <w:rPr>
          <w:rStyle w:val="23"/>
          <w:rFonts w:ascii="仿宋_GB2312" w:hAnsi="仿宋_GB2312" w:eastAsia="仿宋_GB2312" w:cs="仿宋_GB2312"/>
          <w:b w:val="0"/>
          <w:color w:val="000000"/>
          <w:sz w:val="32"/>
          <w:szCs w:val="32"/>
          <w:highlight w:val="none"/>
        </w:rPr>
        <w:t xml:space="preserve">: </w:t>
      </w:r>
      <w:r>
        <w:rPr>
          <w:rStyle w:val="23"/>
          <w:rFonts w:hint="eastAsia" w:ascii="仿宋_GB2312" w:hAnsi="仿宋_GB2312" w:eastAsia="仿宋_GB2312" w:cs="仿宋_GB2312"/>
          <w:b w:val="0"/>
          <w:color w:val="000000"/>
          <w:sz w:val="32"/>
          <w:szCs w:val="32"/>
          <w:highlight w:val="none"/>
        </w:rPr>
        <w:t>指用于农村贫困地区镇村道路、住房、基本农田、水利设施、人蓄饮水、生态环境保护等生产生活条件改善方面的支出。</w:t>
      </w:r>
    </w:p>
    <w:p w14:paraId="777C6F4E">
      <w:pPr>
        <w:spacing w:line="576" w:lineRule="atLeast"/>
        <w:ind w:firstLine="640" w:firstLineChars="200"/>
        <w:rPr>
          <w:rStyle w:val="23"/>
          <w:rFonts w:ascii="仿宋_GB2312" w:hAnsi="仿宋_GB2312" w:eastAsia="仿宋_GB2312"/>
          <w:b w:val="0"/>
          <w:color w:val="000000"/>
          <w:sz w:val="32"/>
          <w:szCs w:val="32"/>
          <w:highlight w:val="none"/>
        </w:rPr>
      </w:pPr>
      <w:r>
        <w:rPr>
          <w:rStyle w:val="23"/>
          <w:rFonts w:hint="eastAsia" w:ascii="仿宋_GB2312" w:hAnsi="仿宋_GB2312" w:eastAsia="仿宋_GB2312" w:cs="仿宋_GB2312"/>
          <w:b w:val="0"/>
          <w:color w:val="000000"/>
          <w:sz w:val="32"/>
          <w:szCs w:val="32"/>
          <w:highlight w:val="none"/>
        </w:rPr>
        <w:t>26</w:t>
      </w:r>
      <w:r>
        <w:rPr>
          <w:rStyle w:val="23"/>
          <w:rFonts w:ascii="仿宋_GB2312" w:hAnsi="仿宋_GB2312" w:eastAsia="仿宋_GB2312" w:cs="仿宋_GB2312"/>
          <w:b w:val="0"/>
          <w:color w:val="000000"/>
          <w:sz w:val="32"/>
          <w:szCs w:val="32"/>
          <w:highlight w:val="none"/>
        </w:rPr>
        <w:t>.</w:t>
      </w:r>
      <w:r>
        <w:rPr>
          <w:rStyle w:val="23"/>
          <w:rFonts w:hint="eastAsia" w:ascii="仿宋_GB2312" w:hAnsi="仿宋_GB2312" w:eastAsia="仿宋_GB2312" w:cs="仿宋_GB2312"/>
          <w:b w:val="0"/>
          <w:color w:val="000000"/>
          <w:sz w:val="32"/>
          <w:szCs w:val="32"/>
          <w:highlight w:val="none"/>
        </w:rPr>
        <w:t>农林水支出（类）扶贫（款）其他扶贫支出（项）</w:t>
      </w:r>
      <w:r>
        <w:rPr>
          <w:rStyle w:val="23"/>
          <w:rFonts w:ascii="仿宋_GB2312" w:hAnsi="仿宋_GB2312" w:eastAsia="仿宋_GB2312" w:cs="仿宋_GB2312"/>
          <w:b w:val="0"/>
          <w:color w:val="000000"/>
          <w:sz w:val="32"/>
          <w:szCs w:val="32"/>
          <w:highlight w:val="none"/>
        </w:rPr>
        <w:t xml:space="preserve">: </w:t>
      </w:r>
      <w:r>
        <w:rPr>
          <w:rStyle w:val="23"/>
          <w:rFonts w:hint="eastAsia" w:ascii="仿宋_GB2312" w:hAnsi="仿宋_GB2312" w:eastAsia="仿宋_GB2312" w:cs="仿宋_GB2312"/>
          <w:b w:val="0"/>
          <w:color w:val="000000"/>
          <w:sz w:val="32"/>
          <w:szCs w:val="32"/>
          <w:highlight w:val="none"/>
        </w:rPr>
        <w:t>指农业综合开发部门的其他支出。</w:t>
      </w:r>
    </w:p>
    <w:p w14:paraId="702AFEA0">
      <w:pPr>
        <w:spacing w:line="576" w:lineRule="atLeast"/>
        <w:ind w:firstLine="640" w:firstLineChars="200"/>
        <w:rPr>
          <w:rStyle w:val="23"/>
          <w:rFonts w:ascii="仿宋_GB2312" w:hAnsi="仿宋_GB2312" w:eastAsia="仿宋_GB2312"/>
          <w:b w:val="0"/>
          <w:color w:val="000000"/>
          <w:sz w:val="32"/>
          <w:szCs w:val="32"/>
          <w:highlight w:val="none"/>
        </w:rPr>
      </w:pPr>
      <w:r>
        <w:rPr>
          <w:rStyle w:val="23"/>
          <w:rFonts w:hint="eastAsia" w:ascii="仿宋_GB2312" w:hAnsi="仿宋_GB2312" w:eastAsia="仿宋_GB2312" w:cs="仿宋_GB2312"/>
          <w:b w:val="0"/>
          <w:color w:val="000000"/>
          <w:sz w:val="32"/>
          <w:szCs w:val="32"/>
          <w:highlight w:val="none"/>
        </w:rPr>
        <w:t>27</w:t>
      </w:r>
      <w:r>
        <w:rPr>
          <w:rStyle w:val="23"/>
          <w:rFonts w:ascii="仿宋_GB2312" w:hAnsi="仿宋_GB2312" w:eastAsia="仿宋_GB2312" w:cs="仿宋_GB2312"/>
          <w:b w:val="0"/>
          <w:color w:val="000000"/>
          <w:sz w:val="32"/>
          <w:szCs w:val="32"/>
          <w:highlight w:val="none"/>
        </w:rPr>
        <w:t>.</w:t>
      </w:r>
      <w:r>
        <w:rPr>
          <w:rStyle w:val="23"/>
          <w:rFonts w:hint="eastAsia" w:ascii="仿宋_GB2312" w:hAnsi="仿宋_GB2312" w:eastAsia="仿宋_GB2312" w:cs="仿宋_GB2312"/>
          <w:b w:val="0"/>
          <w:color w:val="000000"/>
          <w:sz w:val="32"/>
          <w:szCs w:val="32"/>
          <w:highlight w:val="none"/>
        </w:rPr>
        <w:t>农林水支出（类）农村综合改革（款）对村委会和村党支部的补助（项）</w:t>
      </w:r>
      <w:r>
        <w:rPr>
          <w:rStyle w:val="23"/>
          <w:rFonts w:ascii="仿宋_GB2312" w:hAnsi="仿宋_GB2312" w:eastAsia="仿宋_GB2312" w:cs="仿宋_GB2312"/>
          <w:b w:val="0"/>
          <w:color w:val="000000"/>
          <w:sz w:val="32"/>
          <w:szCs w:val="32"/>
          <w:highlight w:val="none"/>
        </w:rPr>
        <w:t xml:space="preserve">: </w:t>
      </w:r>
      <w:r>
        <w:rPr>
          <w:rStyle w:val="23"/>
          <w:rFonts w:hint="eastAsia" w:ascii="仿宋_GB2312" w:hAnsi="仿宋_GB2312" w:eastAsia="仿宋_GB2312" w:cs="仿宋_GB2312"/>
          <w:b w:val="0"/>
          <w:color w:val="000000"/>
          <w:sz w:val="32"/>
          <w:szCs w:val="32"/>
          <w:highlight w:val="none"/>
        </w:rPr>
        <w:t>指对村民委员会和对村党支部的补助支出，以及支持建立县级基本财力保障机制安排的村级组织运转奖补资金。</w:t>
      </w:r>
    </w:p>
    <w:p w14:paraId="5C476660">
      <w:pPr>
        <w:spacing w:line="576" w:lineRule="atLeast"/>
        <w:ind w:firstLine="640" w:firstLineChars="200"/>
        <w:rPr>
          <w:rStyle w:val="23"/>
          <w:rFonts w:ascii="仿宋_GB2312" w:hAnsi="仿宋_GB2312" w:eastAsia="仿宋_GB2312"/>
          <w:b w:val="0"/>
          <w:color w:val="000000"/>
          <w:sz w:val="32"/>
          <w:szCs w:val="32"/>
          <w:highlight w:val="none"/>
        </w:rPr>
      </w:pPr>
      <w:r>
        <w:rPr>
          <w:rStyle w:val="23"/>
          <w:rFonts w:hint="eastAsia" w:ascii="仿宋_GB2312" w:hAnsi="仿宋_GB2312" w:eastAsia="仿宋_GB2312" w:cs="仿宋_GB2312"/>
          <w:b w:val="0"/>
          <w:color w:val="000000"/>
          <w:sz w:val="32"/>
          <w:szCs w:val="32"/>
          <w:highlight w:val="none"/>
        </w:rPr>
        <w:t>28</w:t>
      </w:r>
      <w:r>
        <w:rPr>
          <w:rStyle w:val="23"/>
          <w:rFonts w:ascii="仿宋_GB2312" w:hAnsi="仿宋_GB2312" w:eastAsia="仿宋_GB2312" w:cs="仿宋_GB2312"/>
          <w:b w:val="0"/>
          <w:color w:val="000000"/>
          <w:sz w:val="32"/>
          <w:szCs w:val="32"/>
          <w:highlight w:val="none"/>
        </w:rPr>
        <w:t>.</w:t>
      </w:r>
      <w:r>
        <w:rPr>
          <w:rStyle w:val="23"/>
          <w:rFonts w:hint="eastAsia" w:ascii="仿宋_GB2312" w:hAnsi="仿宋_GB2312" w:eastAsia="仿宋_GB2312" w:cs="仿宋_GB2312"/>
          <w:b w:val="0"/>
          <w:color w:val="000000"/>
          <w:sz w:val="32"/>
          <w:szCs w:val="32"/>
          <w:highlight w:val="none"/>
        </w:rPr>
        <w:t>农林水支出（类）其他农林水支出（款）其他农林水支出（项）</w:t>
      </w:r>
      <w:r>
        <w:rPr>
          <w:rStyle w:val="23"/>
          <w:rFonts w:ascii="仿宋_GB2312" w:hAnsi="仿宋_GB2312" w:eastAsia="仿宋_GB2312" w:cs="仿宋_GB2312"/>
          <w:b w:val="0"/>
          <w:color w:val="000000"/>
          <w:sz w:val="32"/>
          <w:szCs w:val="32"/>
          <w:highlight w:val="none"/>
        </w:rPr>
        <w:t xml:space="preserve">: </w:t>
      </w:r>
      <w:r>
        <w:rPr>
          <w:rStyle w:val="23"/>
          <w:rFonts w:hint="eastAsia" w:ascii="仿宋_GB2312" w:hAnsi="仿宋_GB2312" w:eastAsia="仿宋_GB2312" w:cs="仿宋_GB2312"/>
          <w:b w:val="0"/>
          <w:color w:val="000000"/>
          <w:sz w:val="32"/>
          <w:szCs w:val="32"/>
          <w:highlight w:val="none"/>
        </w:rPr>
        <w:t>指除上述项目以外其他用于农林水方面的支出。</w:t>
      </w:r>
    </w:p>
    <w:p w14:paraId="59A3CB7E">
      <w:pPr>
        <w:spacing w:line="576" w:lineRule="atLeast"/>
        <w:ind w:firstLine="640" w:firstLineChars="200"/>
        <w:rPr>
          <w:rFonts w:ascii="仿宋_GB2312" w:hAnsi="仿宋_GB2312" w:eastAsia="仿宋_GB2312"/>
          <w:color w:val="000000"/>
          <w:sz w:val="32"/>
          <w:szCs w:val="32"/>
          <w:highlight w:val="none"/>
        </w:rPr>
      </w:pPr>
      <w:r>
        <w:rPr>
          <w:rStyle w:val="23"/>
          <w:rFonts w:hint="eastAsia" w:ascii="仿宋_GB2312" w:hAnsi="仿宋_GB2312" w:eastAsia="仿宋_GB2312" w:cs="仿宋_GB2312"/>
          <w:b w:val="0"/>
          <w:color w:val="000000"/>
          <w:sz w:val="32"/>
          <w:szCs w:val="32"/>
          <w:highlight w:val="none"/>
        </w:rPr>
        <w:t>29</w:t>
      </w:r>
      <w:r>
        <w:rPr>
          <w:rStyle w:val="23"/>
          <w:rFonts w:ascii="仿宋_GB2312" w:hAnsi="仿宋_GB2312" w:eastAsia="仿宋_GB2312" w:cs="仿宋_GB2312"/>
          <w:b w:val="0"/>
          <w:color w:val="000000"/>
          <w:sz w:val="32"/>
          <w:szCs w:val="32"/>
          <w:highlight w:val="none"/>
        </w:rPr>
        <w:t>.</w:t>
      </w:r>
      <w:r>
        <w:rPr>
          <w:rStyle w:val="23"/>
          <w:rFonts w:hint="eastAsia" w:ascii="仿宋_GB2312" w:hAnsi="仿宋_GB2312" w:eastAsia="仿宋_GB2312" w:cs="仿宋_GB2312"/>
          <w:b w:val="0"/>
          <w:color w:val="000000"/>
          <w:sz w:val="32"/>
          <w:szCs w:val="32"/>
          <w:highlight w:val="none"/>
        </w:rPr>
        <w:t>住房保障支出（类）住房改革支出（款）住房公积金（项）</w:t>
      </w:r>
      <w:r>
        <w:rPr>
          <w:rStyle w:val="23"/>
          <w:rFonts w:ascii="仿宋_GB2312" w:hAnsi="仿宋_GB2312" w:eastAsia="仿宋_GB2312" w:cs="仿宋_GB2312"/>
          <w:b w:val="0"/>
          <w:color w:val="000000"/>
          <w:sz w:val="32"/>
          <w:szCs w:val="32"/>
          <w:highlight w:val="none"/>
        </w:rPr>
        <w:t xml:space="preserve">: </w:t>
      </w:r>
      <w:r>
        <w:rPr>
          <w:rStyle w:val="23"/>
          <w:rFonts w:hint="eastAsia" w:ascii="仿宋_GB2312" w:hAnsi="仿宋_GB2312" w:eastAsia="仿宋_GB2312" w:cs="仿宋_GB2312"/>
          <w:b w:val="0"/>
          <w:color w:val="000000"/>
          <w:sz w:val="32"/>
          <w:szCs w:val="32"/>
          <w:highlight w:val="none"/>
        </w:rPr>
        <w:t>指</w:t>
      </w:r>
      <w:r>
        <w:rPr>
          <w:rFonts w:hint="eastAsia" w:ascii="仿宋_GB2312" w:hAnsi="仿宋_GB2312" w:eastAsia="仿宋_GB2312" w:cs="仿宋_GB2312"/>
          <w:color w:val="000000"/>
          <w:kern w:val="0"/>
          <w:sz w:val="32"/>
          <w:szCs w:val="32"/>
          <w:highlight w:val="none"/>
        </w:rPr>
        <w:t>反映行政事业单位按规定为职工缴纳的住房公积金</w:t>
      </w:r>
      <w:r>
        <w:rPr>
          <w:rStyle w:val="23"/>
          <w:rFonts w:hint="eastAsia" w:ascii="仿宋_GB2312" w:hAnsi="仿宋_GB2312" w:eastAsia="仿宋_GB2312" w:cs="仿宋_GB2312"/>
          <w:b w:val="0"/>
          <w:color w:val="000000"/>
          <w:sz w:val="32"/>
          <w:szCs w:val="32"/>
          <w:highlight w:val="none"/>
        </w:rPr>
        <w:t>。</w:t>
      </w:r>
    </w:p>
    <w:p w14:paraId="0EF8F1B9">
      <w:pPr>
        <w:spacing w:line="576" w:lineRule="atLeast"/>
        <w:ind w:firstLine="640" w:firstLineChars="200"/>
        <w:rPr>
          <w:rFonts w:ascii="仿宋_GB2312" w:eastAsia="仿宋_GB2312"/>
          <w:color w:val="000000"/>
          <w:sz w:val="32"/>
          <w:szCs w:val="32"/>
          <w:highlight w:val="none"/>
        </w:rPr>
      </w:pPr>
      <w:r>
        <w:rPr>
          <w:rFonts w:hint="eastAsia" w:ascii="仿宋_GB2312" w:eastAsia="仿宋_GB2312" w:cs="仿宋_GB2312"/>
          <w:color w:val="000000"/>
          <w:sz w:val="32"/>
          <w:szCs w:val="32"/>
          <w:highlight w:val="none"/>
        </w:rPr>
        <w:t>30</w:t>
      </w:r>
      <w:r>
        <w:rPr>
          <w:rFonts w:ascii="仿宋_GB2312" w:eastAsia="仿宋_GB2312" w:cs="仿宋_GB2312"/>
          <w:color w:val="000000"/>
          <w:sz w:val="32"/>
          <w:szCs w:val="32"/>
          <w:highlight w:val="none"/>
        </w:rPr>
        <w:t>.</w:t>
      </w:r>
      <w:r>
        <w:rPr>
          <w:rFonts w:hint="eastAsia" w:ascii="仿宋_GB2312" w:eastAsia="仿宋_GB2312" w:cs="仿宋_GB2312"/>
          <w:color w:val="000000"/>
          <w:sz w:val="32"/>
          <w:szCs w:val="32"/>
          <w:highlight w:val="none"/>
        </w:rPr>
        <w:t>基本支出：指为保障机构正常运转、完成日常工作任务而发生的人员支出和公用支出。</w:t>
      </w:r>
    </w:p>
    <w:p w14:paraId="1034C52F">
      <w:pPr>
        <w:spacing w:line="576" w:lineRule="atLeast"/>
        <w:ind w:firstLine="640" w:firstLineChars="200"/>
        <w:rPr>
          <w:rFonts w:ascii="仿宋_GB2312" w:eastAsia="仿宋_GB2312"/>
          <w:color w:val="000000"/>
          <w:sz w:val="32"/>
          <w:szCs w:val="32"/>
          <w:highlight w:val="none"/>
        </w:rPr>
      </w:pPr>
      <w:r>
        <w:rPr>
          <w:rFonts w:hint="eastAsia" w:ascii="仿宋_GB2312" w:eastAsia="仿宋_GB2312" w:cs="仿宋_GB2312"/>
          <w:color w:val="000000"/>
          <w:sz w:val="32"/>
          <w:szCs w:val="32"/>
          <w:highlight w:val="none"/>
        </w:rPr>
        <w:t>31</w:t>
      </w:r>
      <w:r>
        <w:rPr>
          <w:rFonts w:ascii="仿宋_GB2312" w:eastAsia="仿宋_GB2312" w:cs="仿宋_GB2312"/>
          <w:color w:val="000000"/>
          <w:sz w:val="32"/>
          <w:szCs w:val="32"/>
          <w:highlight w:val="none"/>
        </w:rPr>
        <w:t>.</w:t>
      </w:r>
      <w:r>
        <w:rPr>
          <w:rFonts w:hint="eastAsia" w:ascii="仿宋_GB2312" w:eastAsia="仿宋_GB2312" w:cs="仿宋_GB2312"/>
          <w:color w:val="000000"/>
          <w:sz w:val="32"/>
          <w:szCs w:val="32"/>
          <w:highlight w:val="none"/>
        </w:rPr>
        <w:t>项目支出：指在基本支出之外为完成特定行政任务和事业发展目标所发生的支出。</w:t>
      </w:r>
    </w:p>
    <w:p w14:paraId="20998760">
      <w:pPr>
        <w:spacing w:line="576" w:lineRule="atLeast"/>
        <w:ind w:firstLine="640" w:firstLineChars="200"/>
        <w:rPr>
          <w:rFonts w:ascii="仿宋_GB2312" w:eastAsia="仿宋_GB2312"/>
          <w:color w:val="000000"/>
          <w:sz w:val="32"/>
          <w:szCs w:val="32"/>
          <w:highlight w:val="none"/>
        </w:rPr>
      </w:pPr>
      <w:r>
        <w:rPr>
          <w:rFonts w:hint="eastAsia" w:ascii="仿宋_GB2312" w:eastAsia="仿宋_GB2312" w:cs="仿宋_GB2312"/>
          <w:color w:val="000000"/>
          <w:sz w:val="32"/>
          <w:szCs w:val="32"/>
          <w:highlight w:val="none"/>
        </w:rPr>
        <w:t>32</w:t>
      </w:r>
      <w:r>
        <w:rPr>
          <w:rFonts w:ascii="仿宋_GB2312" w:eastAsia="仿宋_GB2312" w:cs="仿宋_GB2312"/>
          <w:color w:val="000000"/>
          <w:sz w:val="32"/>
          <w:szCs w:val="32"/>
          <w:highlight w:val="none"/>
        </w:rPr>
        <w:t>.</w:t>
      </w:r>
      <w:r>
        <w:rPr>
          <w:rFonts w:hint="eastAsia" w:ascii="仿宋_GB2312" w:eastAsia="仿宋_GB2312" w:cs="仿宋_GB2312"/>
          <w:color w:val="000000"/>
          <w:sz w:val="32"/>
          <w:szCs w:val="32"/>
          <w:highlight w:val="none"/>
        </w:rPr>
        <w:t>经营支出：指事业单位在专业业务活动及其辅助活动之外开展非独立核算经营活动发生的支出。</w:t>
      </w:r>
    </w:p>
    <w:p w14:paraId="2873356A">
      <w:pPr>
        <w:pStyle w:val="27"/>
        <w:spacing w:line="576" w:lineRule="atLeast"/>
        <w:ind w:firstLine="640" w:firstLineChars="200"/>
        <w:jc w:val="both"/>
        <w:rPr>
          <w:rFonts w:ascii="仿宋_GB2312" w:eastAsia="仿宋_GB2312" w:cs="Times New Roman"/>
          <w:sz w:val="32"/>
          <w:szCs w:val="32"/>
          <w:highlight w:val="none"/>
        </w:rPr>
      </w:pPr>
      <w:r>
        <w:rPr>
          <w:rFonts w:hint="eastAsia" w:ascii="仿宋_GB2312" w:eastAsia="仿宋_GB2312" w:cs="仿宋_GB2312"/>
          <w:sz w:val="32"/>
          <w:szCs w:val="32"/>
          <w:highlight w:val="none"/>
        </w:rPr>
        <w:t>33</w:t>
      </w:r>
      <w:r>
        <w:rPr>
          <w:rFonts w:ascii="仿宋_GB2312" w:eastAsia="仿宋_GB2312" w:cs="仿宋_GB2312"/>
          <w:sz w:val="32"/>
          <w:szCs w:val="32"/>
          <w:highlight w:val="none"/>
        </w:rPr>
        <w:t>.</w:t>
      </w:r>
      <w:r>
        <w:rPr>
          <w:rFonts w:hint="eastAsia" w:ascii="仿宋_GB2312" w:eastAsia="仿宋_GB2312" w:cs="仿宋_GB2312"/>
          <w:sz w:val="32"/>
          <w:szCs w:val="32"/>
          <w:highlight w:val="none"/>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bookmarkEnd w:id="64"/>
    <w:p w14:paraId="397870E3">
      <w:pPr>
        <w:rPr>
          <w:rFonts w:ascii="仿宋_GB2312" w:eastAsia="仿宋_GB2312"/>
          <w:sz w:val="32"/>
          <w:szCs w:val="32"/>
          <w:highlight w:val="yellow"/>
        </w:rPr>
      </w:pPr>
      <w:r>
        <w:rPr>
          <w:rFonts w:ascii="仿宋_GB2312" w:eastAsia="仿宋_GB2312"/>
          <w:sz w:val="32"/>
          <w:szCs w:val="32"/>
          <w:highlight w:val="yellow"/>
        </w:rPr>
        <w:br w:type="page"/>
      </w:r>
    </w:p>
    <w:p w14:paraId="2A4D2E06">
      <w:pPr>
        <w:pStyle w:val="3"/>
        <w:numPr>
          <w:ilvl w:val="0"/>
          <w:numId w:val="3"/>
        </w:numPr>
        <w:ind w:left="0" w:leftChars="0" w:firstLine="663" w:firstLineChars="150"/>
        <w:jc w:val="center"/>
        <w:rPr>
          <w:rFonts w:hint="eastAsia" w:ascii="黑体" w:eastAsia="黑体" w:cs="黑体"/>
          <w:highlight w:val="none"/>
        </w:rPr>
      </w:pPr>
      <w:bookmarkStart w:id="65" w:name="_Toc15396614"/>
      <w:r>
        <w:rPr>
          <w:rFonts w:hint="eastAsia" w:ascii="黑体" w:eastAsia="黑体" w:cs="黑体"/>
          <w:highlight w:val="none"/>
        </w:rPr>
        <w:t xml:space="preserve"> 附件</w:t>
      </w:r>
      <w:bookmarkEnd w:id="65"/>
    </w:p>
    <w:p w14:paraId="0741C984">
      <w:pPr>
        <w:keepNext w:val="0"/>
        <w:keepLines w:val="0"/>
        <w:pageBreakBefore w:val="0"/>
        <w:kinsoku/>
        <w:wordWrap/>
        <w:overflowPunct/>
        <w:topLinePunct w:val="0"/>
        <w:autoSpaceDE/>
        <w:autoSpaceDN/>
        <w:bidi w:val="0"/>
        <w:spacing w:line="576" w:lineRule="exact"/>
        <w:jc w:val="left"/>
        <w:textAlignment w:val="auto"/>
        <w:outlineLvl w:val="0"/>
        <w:rPr>
          <w:rFonts w:hint="default" w:ascii="Times New Roman" w:hAnsi="Times New Roman" w:eastAsia="黑体" w:cs="Times New Roman"/>
          <w:color w:val="auto"/>
          <w:sz w:val="32"/>
          <w:szCs w:val="32"/>
          <w:highlight w:val="none"/>
          <w:lang w:val="en-US" w:eastAsia="zh-CN"/>
        </w:rPr>
      </w:pPr>
      <w:bookmarkStart w:id="66" w:name="_Toc24492"/>
      <w:r>
        <w:rPr>
          <w:rFonts w:hint="default" w:ascii="Times New Roman" w:hAnsi="Times New Roman" w:eastAsia="黑体" w:cs="Times New Roman"/>
          <w:color w:val="auto"/>
          <w:sz w:val="32"/>
          <w:szCs w:val="32"/>
          <w:highlight w:val="none"/>
        </w:rPr>
        <w:t>附件</w:t>
      </w:r>
      <w:r>
        <w:rPr>
          <w:rFonts w:hint="default" w:ascii="Times New Roman" w:hAnsi="Times New Roman" w:eastAsia="黑体" w:cs="Times New Roman"/>
          <w:color w:val="auto"/>
          <w:sz w:val="32"/>
          <w:szCs w:val="32"/>
          <w:highlight w:val="none"/>
          <w:lang w:val="en-US" w:eastAsia="zh-CN"/>
        </w:rPr>
        <w:t>1</w:t>
      </w:r>
      <w:bookmarkEnd w:id="66"/>
    </w:p>
    <w:p w14:paraId="0CBE400C">
      <w:pPr>
        <w:pStyle w:val="2"/>
        <w:rPr>
          <w:rFonts w:hint="default"/>
          <w:lang w:val="en-US" w:eastAsia="zh-CN"/>
        </w:rPr>
      </w:pPr>
    </w:p>
    <w:p w14:paraId="58072D27">
      <w:pPr>
        <w:widowControl/>
        <w:spacing w:line="578" w:lineRule="exact"/>
        <w:contextualSpacing/>
        <w:jc w:val="center"/>
        <w:rPr>
          <w:rFonts w:hint="eastAsia" w:ascii="Times New Roman" w:hAnsi="Times New Roman" w:eastAsia="方正小标宋简体" w:cs="Times New Roman"/>
          <w:bCs/>
          <w:sz w:val="44"/>
          <w:szCs w:val="44"/>
          <w:shd w:val="clear" w:color="auto" w:fill="FFFFFF"/>
          <w:lang w:eastAsia="zh-CN"/>
        </w:rPr>
      </w:pPr>
      <w:r>
        <w:rPr>
          <w:rFonts w:hint="eastAsia" w:ascii="Times New Roman" w:hAnsi="Times New Roman" w:eastAsia="方正小标宋简体" w:cs="Times New Roman"/>
          <w:bCs/>
          <w:sz w:val="44"/>
          <w:szCs w:val="44"/>
          <w:shd w:val="clear" w:color="auto" w:fill="FFFFFF"/>
          <w:lang w:eastAsia="zh-CN"/>
        </w:rPr>
        <w:t>部门预算绩效评价报告</w:t>
      </w:r>
    </w:p>
    <w:p w14:paraId="618D6617">
      <w:pPr>
        <w:pStyle w:val="16"/>
        <w:rPr>
          <w:rFonts w:hint="eastAsia" w:ascii="黑体" w:hAnsi="黑体" w:eastAsia="黑体" w:cs="黑体"/>
          <w:sz w:val="21"/>
          <w:szCs w:val="21"/>
        </w:rPr>
      </w:pPr>
    </w:p>
    <w:p w14:paraId="47BF3636">
      <w:pPr>
        <w:widowControl/>
        <w:adjustRightInd w:val="0"/>
        <w:snapToGrid w:val="0"/>
        <w:spacing w:line="580" w:lineRule="exact"/>
        <w:ind w:firstLine="643" w:firstLineChars="200"/>
        <w:contextualSpacing/>
        <w:jc w:val="both"/>
        <w:rPr>
          <w:rFonts w:hint="eastAsia" w:ascii="黑体" w:hAnsi="黑体" w:eastAsia="黑体" w:cs="黑体"/>
          <w:b/>
          <w:bCs/>
          <w:color w:val="000000"/>
          <w:kern w:val="0"/>
          <w:sz w:val="32"/>
          <w:szCs w:val="32"/>
          <w:shd w:val="clear" w:color="auto" w:fill="FFFFFF"/>
        </w:rPr>
      </w:pPr>
      <w:r>
        <w:rPr>
          <w:rFonts w:hint="eastAsia" w:ascii="黑体" w:hAnsi="黑体" w:eastAsia="黑体" w:cs="黑体"/>
          <w:b/>
          <w:bCs/>
          <w:color w:val="000000"/>
          <w:kern w:val="0"/>
          <w:sz w:val="32"/>
          <w:szCs w:val="32"/>
          <w:shd w:val="clear" w:color="auto" w:fill="FFFFFF"/>
          <w:lang w:val="zh-CN"/>
        </w:rPr>
        <w:t>一、部门（单位）基本情况</w:t>
      </w:r>
    </w:p>
    <w:p w14:paraId="683CB173">
      <w:pPr>
        <w:pageBreakBefore w:val="0"/>
        <w:kinsoku/>
        <w:wordWrap/>
        <w:overflowPunct/>
        <w:topLinePunct w:val="0"/>
        <w:bidi w:val="0"/>
        <w:spacing w:line="576" w:lineRule="exact"/>
        <w:ind w:firstLine="643" w:firstLineChars="200"/>
        <w:jc w:val="both"/>
        <w:textAlignment w:val="auto"/>
        <w:outlineLvl w:val="2"/>
        <w:rPr>
          <w:rFonts w:hint="eastAsia" w:ascii="Times New Roman" w:hAnsi="Times New Roman" w:eastAsia="楷体_GB2312" w:cs="Times New Roman"/>
          <w:b/>
          <w:color w:val="auto"/>
          <w:sz w:val="32"/>
          <w:szCs w:val="32"/>
          <w:highlight w:val="none"/>
          <w:lang w:val="zh-CN"/>
        </w:rPr>
      </w:pPr>
      <w:r>
        <w:rPr>
          <w:rFonts w:hint="eastAsia" w:ascii="Times New Roman" w:hAnsi="Times New Roman" w:eastAsia="楷体_GB2312" w:cs="Times New Roman"/>
          <w:b/>
          <w:color w:val="auto"/>
          <w:sz w:val="32"/>
          <w:szCs w:val="32"/>
          <w:highlight w:val="none"/>
          <w:lang w:val="zh-CN"/>
        </w:rPr>
        <w:t>（一）机构组成</w:t>
      </w:r>
    </w:p>
    <w:p w14:paraId="5E583C5A">
      <w:pPr>
        <w:pageBreakBefore w:val="0"/>
        <w:kinsoku/>
        <w:wordWrap/>
        <w:overflowPunct/>
        <w:topLinePunct w:val="0"/>
        <w:bidi w:val="0"/>
        <w:spacing w:line="576" w:lineRule="exact"/>
        <w:ind w:firstLine="800" w:firstLineChars="250"/>
        <w:jc w:val="both"/>
        <w:textAlignment w:val="auto"/>
        <w:rPr>
          <w:rFonts w:hint="eastAsia" w:ascii="仿宋_GB2312" w:hAnsi="仿宋_GB2312" w:eastAsia="仿宋_GB2312" w:cs="仿宋_GB2312"/>
          <w:sz w:val="32"/>
          <w:szCs w:val="32"/>
          <w:lang w:val="zh-CN" w:eastAsia="zh-CN"/>
        </w:rPr>
      </w:pPr>
      <w:r>
        <w:rPr>
          <w:rFonts w:hint="eastAsia" w:eastAsia="仿宋_GB2312" w:cs="Times New Roman"/>
          <w:color w:val="auto"/>
          <w:sz w:val="32"/>
          <w:szCs w:val="32"/>
          <w:highlight w:val="none"/>
          <w:lang w:val="en-US" w:eastAsia="zh-CN"/>
        </w:rPr>
        <w:t>茂县黑虎镇人民政府</w:t>
      </w:r>
      <w:r>
        <w:rPr>
          <w:rFonts w:hint="default" w:ascii="Times New Roman" w:hAnsi="Times New Roman" w:eastAsia="仿宋_GB2312" w:cs="Times New Roman"/>
          <w:color w:val="auto"/>
          <w:sz w:val="32"/>
          <w:szCs w:val="32"/>
          <w:highlight w:val="none"/>
        </w:rPr>
        <w:t>下属二级</w:t>
      </w:r>
      <w:r>
        <w:rPr>
          <w:rFonts w:hint="default" w:ascii="Times New Roman" w:hAnsi="Times New Roman" w:eastAsia="仿宋_GB2312" w:cs="Times New Roman"/>
          <w:color w:val="auto"/>
          <w:sz w:val="32"/>
          <w:szCs w:val="32"/>
          <w:highlight w:val="none"/>
          <w:lang w:eastAsia="zh-CN"/>
        </w:rPr>
        <w:t>预算</w:t>
      </w:r>
      <w:r>
        <w:rPr>
          <w:rFonts w:hint="default" w:ascii="Times New Roman" w:hAnsi="Times New Roman" w:eastAsia="仿宋_GB2312" w:cs="Times New Roman"/>
          <w:color w:val="auto"/>
          <w:sz w:val="32"/>
          <w:szCs w:val="32"/>
          <w:highlight w:val="none"/>
        </w:rPr>
        <w:t>单位</w:t>
      </w:r>
      <w:r>
        <w:rPr>
          <w:rFonts w:hint="default" w:ascii="Times New Roman" w:hAnsi="Times New Roman" w:eastAsia="仿宋_GB2312" w:cs="Times New Roman"/>
          <w:color w:val="auto"/>
          <w:sz w:val="32"/>
          <w:szCs w:val="32"/>
          <w:highlight w:val="none"/>
          <w:lang w:val="en-US" w:eastAsia="zh-CN"/>
        </w:rPr>
        <w:t>2</w:t>
      </w:r>
      <w:r>
        <w:rPr>
          <w:rFonts w:hint="default" w:ascii="Times New Roman" w:hAnsi="Times New Roman" w:eastAsia="仿宋_GB2312" w:cs="Times New Roman"/>
          <w:color w:val="auto"/>
          <w:sz w:val="32"/>
          <w:szCs w:val="32"/>
          <w:highlight w:val="none"/>
        </w:rPr>
        <w:t>个，其中行政单位</w:t>
      </w:r>
      <w:r>
        <w:rPr>
          <w:rFonts w:hint="default" w:ascii="Times New Roman" w:hAnsi="Times New Roman" w:eastAsia="仿宋_GB2312" w:cs="Times New Roman"/>
          <w:color w:val="auto"/>
          <w:sz w:val="32"/>
          <w:szCs w:val="32"/>
          <w:highlight w:val="none"/>
          <w:lang w:val="en-US" w:eastAsia="zh-CN"/>
        </w:rPr>
        <w:t>1</w:t>
      </w:r>
      <w:r>
        <w:rPr>
          <w:rFonts w:hint="default" w:ascii="Times New Roman" w:hAnsi="Times New Roman" w:eastAsia="仿宋_GB2312" w:cs="Times New Roman"/>
          <w:color w:val="auto"/>
          <w:sz w:val="32"/>
          <w:szCs w:val="32"/>
          <w:highlight w:val="none"/>
        </w:rPr>
        <w:t>个，参照公务员法管理的事业单位</w:t>
      </w:r>
      <w:r>
        <w:rPr>
          <w:rFonts w:hint="default" w:ascii="Times New Roman" w:hAnsi="Times New Roman" w:eastAsia="仿宋_GB2312" w:cs="Times New Roman"/>
          <w:bCs/>
          <w:color w:val="auto"/>
          <w:sz w:val="32"/>
          <w:szCs w:val="32"/>
          <w:highlight w:val="none"/>
          <w:lang w:val="en-US" w:eastAsia="zh-CN"/>
        </w:rPr>
        <w:t>0</w:t>
      </w:r>
      <w:r>
        <w:rPr>
          <w:rFonts w:hint="default" w:ascii="Times New Roman" w:hAnsi="Times New Roman" w:eastAsia="仿宋_GB2312" w:cs="Times New Roman"/>
          <w:color w:val="auto"/>
          <w:sz w:val="32"/>
          <w:szCs w:val="32"/>
          <w:highlight w:val="none"/>
        </w:rPr>
        <w:t>个，其他事业单位</w:t>
      </w:r>
      <w:r>
        <w:rPr>
          <w:rFonts w:hint="default" w:ascii="Times New Roman" w:hAnsi="Times New Roman" w:eastAsia="仿宋_GB2312" w:cs="Times New Roman"/>
          <w:color w:val="auto"/>
          <w:sz w:val="32"/>
          <w:szCs w:val="32"/>
          <w:highlight w:val="none"/>
          <w:lang w:val="en-US" w:eastAsia="zh-CN"/>
        </w:rPr>
        <w:t>1</w:t>
      </w:r>
      <w:r>
        <w:rPr>
          <w:rFonts w:hint="default" w:ascii="Times New Roman" w:hAnsi="Times New Roman" w:eastAsia="仿宋_GB2312" w:cs="Times New Roman"/>
          <w:color w:val="auto"/>
          <w:sz w:val="32"/>
          <w:szCs w:val="32"/>
          <w:highlight w:val="none"/>
        </w:rPr>
        <w:t>个。</w:t>
      </w:r>
    </w:p>
    <w:p w14:paraId="65C1B6D0">
      <w:pPr>
        <w:pageBreakBefore w:val="0"/>
        <w:kinsoku/>
        <w:wordWrap/>
        <w:overflowPunct/>
        <w:topLinePunct w:val="0"/>
        <w:bidi w:val="0"/>
        <w:spacing w:line="576" w:lineRule="exact"/>
        <w:ind w:firstLine="643" w:firstLineChars="200"/>
        <w:jc w:val="both"/>
        <w:textAlignment w:val="auto"/>
        <w:outlineLvl w:val="2"/>
        <w:rPr>
          <w:rFonts w:hint="eastAsia" w:ascii="Times New Roman" w:hAnsi="Times New Roman" w:eastAsia="楷体_GB2312" w:cs="Times New Roman"/>
          <w:b/>
          <w:color w:val="auto"/>
          <w:sz w:val="32"/>
          <w:szCs w:val="32"/>
          <w:highlight w:val="none"/>
          <w:lang w:val="zh-CN"/>
        </w:rPr>
      </w:pPr>
      <w:r>
        <w:rPr>
          <w:rFonts w:hint="eastAsia" w:ascii="Times New Roman" w:hAnsi="Times New Roman" w:eastAsia="楷体_GB2312" w:cs="Times New Roman"/>
          <w:b/>
          <w:color w:val="auto"/>
          <w:sz w:val="32"/>
          <w:szCs w:val="32"/>
          <w:highlight w:val="none"/>
          <w:lang w:val="zh-CN"/>
        </w:rPr>
        <w:t>（二）机构职能</w:t>
      </w:r>
    </w:p>
    <w:p w14:paraId="5B496200">
      <w:pPr>
        <w:keepNext w:val="0"/>
        <w:keepLines w:val="0"/>
        <w:widowControl/>
        <w:suppressLineNumbers w:val="0"/>
        <w:ind w:firstLine="640" w:firstLineChars="200"/>
        <w:jc w:val="both"/>
        <w:rPr>
          <w:rFonts w:hint="eastAsia" w:ascii="仿宋_GB2312" w:hAnsi="仿宋_GB2312" w:eastAsia="仿宋_GB2312" w:cs="仿宋_GB2312"/>
          <w:color w:val="auto"/>
          <w:kern w:val="2"/>
          <w:sz w:val="32"/>
          <w:szCs w:val="32"/>
          <w:lang w:eastAsia="zh-CN"/>
        </w:rPr>
      </w:pPr>
      <w:r>
        <w:rPr>
          <w:rFonts w:hint="eastAsia" w:ascii="仿宋_GB2312" w:hAnsi="仿宋_GB2312" w:eastAsia="仿宋_GB2312" w:cs="仿宋_GB2312"/>
          <w:color w:val="auto"/>
          <w:kern w:val="2"/>
          <w:sz w:val="32"/>
          <w:szCs w:val="32"/>
          <w:lang w:val="en-US" w:eastAsia="zh-CN"/>
        </w:rPr>
        <w:t>1.</w:t>
      </w:r>
      <w:r>
        <w:rPr>
          <w:rFonts w:hint="eastAsia" w:ascii="仿宋_GB2312" w:hAnsi="仿宋_GB2312" w:eastAsia="仿宋_GB2312" w:cs="仿宋_GB2312"/>
          <w:color w:val="auto"/>
          <w:kern w:val="2"/>
          <w:sz w:val="32"/>
          <w:szCs w:val="32"/>
          <w:lang w:eastAsia="zh-CN"/>
        </w:rPr>
        <w:t xml:space="preserve">制定并组织实施村镇建设规划，部署重点工程建设，管理地方道路建设及公共设施，负责自然资源和生态环境的保护，做好护林防火、疫情防控工作。 </w:t>
      </w:r>
    </w:p>
    <w:p w14:paraId="28CFB31D">
      <w:pPr>
        <w:keepNext w:val="0"/>
        <w:keepLines w:val="0"/>
        <w:widowControl/>
        <w:suppressLineNumbers w:val="0"/>
        <w:ind w:firstLine="640" w:firstLineChars="200"/>
        <w:jc w:val="both"/>
        <w:rPr>
          <w:rFonts w:hint="eastAsia" w:ascii="仿宋_GB2312" w:hAnsi="仿宋_GB2312" w:eastAsia="仿宋_GB2312" w:cs="仿宋_GB2312"/>
          <w:color w:val="auto"/>
          <w:kern w:val="2"/>
          <w:sz w:val="32"/>
          <w:szCs w:val="32"/>
          <w:lang w:eastAsia="zh-CN"/>
        </w:rPr>
      </w:pPr>
      <w:r>
        <w:rPr>
          <w:rFonts w:hint="eastAsia" w:ascii="仿宋_GB2312" w:hAnsi="仿宋_GB2312" w:eastAsia="仿宋_GB2312" w:cs="仿宋_GB2312"/>
          <w:color w:val="auto"/>
          <w:kern w:val="2"/>
          <w:sz w:val="32"/>
          <w:szCs w:val="32"/>
          <w:lang w:val="en-US" w:eastAsia="zh-CN"/>
        </w:rPr>
        <w:t>2.</w:t>
      </w:r>
      <w:r>
        <w:rPr>
          <w:rFonts w:hint="eastAsia" w:ascii="仿宋_GB2312" w:hAnsi="仿宋_GB2312" w:eastAsia="仿宋_GB2312" w:cs="仿宋_GB2312"/>
          <w:color w:val="auto"/>
          <w:kern w:val="2"/>
          <w:sz w:val="32"/>
          <w:szCs w:val="32"/>
          <w:lang w:eastAsia="zh-CN"/>
        </w:rPr>
        <w:t xml:space="preserve">负责本行政区域内的民政、计划生育、文化教育、卫生、体育等社会公益事业的综合性工作。 </w:t>
      </w:r>
    </w:p>
    <w:p w14:paraId="7D107AD7">
      <w:pPr>
        <w:keepNext w:val="0"/>
        <w:keepLines w:val="0"/>
        <w:widowControl/>
        <w:suppressLineNumbers w:val="0"/>
        <w:ind w:firstLine="640" w:firstLineChars="200"/>
        <w:jc w:val="both"/>
        <w:rPr>
          <w:rFonts w:hint="eastAsia" w:ascii="仿宋_GB2312" w:hAnsi="仿宋_GB2312" w:eastAsia="仿宋_GB2312" w:cs="仿宋_GB2312"/>
          <w:color w:val="auto"/>
          <w:kern w:val="2"/>
          <w:sz w:val="32"/>
          <w:szCs w:val="32"/>
          <w:lang w:eastAsia="zh-CN"/>
        </w:rPr>
      </w:pPr>
      <w:r>
        <w:rPr>
          <w:rFonts w:hint="eastAsia" w:ascii="仿宋_GB2312" w:hAnsi="仿宋_GB2312" w:eastAsia="仿宋_GB2312" w:cs="仿宋_GB2312"/>
          <w:color w:val="auto"/>
          <w:kern w:val="2"/>
          <w:sz w:val="32"/>
          <w:szCs w:val="32"/>
          <w:lang w:val="en-US" w:eastAsia="zh-CN"/>
        </w:rPr>
        <w:t>3.</w:t>
      </w:r>
      <w:r>
        <w:rPr>
          <w:rFonts w:hint="eastAsia" w:ascii="仿宋_GB2312" w:hAnsi="仿宋_GB2312" w:eastAsia="仿宋_GB2312" w:cs="仿宋_GB2312"/>
          <w:color w:val="auto"/>
          <w:kern w:val="2"/>
          <w:sz w:val="32"/>
          <w:szCs w:val="32"/>
          <w:lang w:eastAsia="zh-CN"/>
        </w:rPr>
        <w:t xml:space="preserve">优化公共服务，推进服务型政府建设。 </w:t>
      </w:r>
    </w:p>
    <w:p w14:paraId="368DE82C">
      <w:pPr>
        <w:keepNext w:val="0"/>
        <w:keepLines w:val="0"/>
        <w:widowControl/>
        <w:suppressLineNumbers w:val="0"/>
        <w:ind w:firstLine="640" w:firstLineChars="200"/>
        <w:jc w:val="both"/>
        <w:rPr>
          <w:rFonts w:hint="eastAsia" w:ascii="仿宋_GB2312" w:hAnsi="仿宋_GB2312" w:eastAsia="仿宋_GB2312" w:cs="仿宋_GB2312"/>
          <w:color w:val="auto"/>
          <w:kern w:val="2"/>
          <w:sz w:val="32"/>
          <w:szCs w:val="32"/>
          <w:lang w:eastAsia="zh-CN"/>
        </w:rPr>
      </w:pPr>
      <w:r>
        <w:rPr>
          <w:rFonts w:hint="eastAsia" w:ascii="仿宋_GB2312" w:hAnsi="仿宋_GB2312" w:eastAsia="仿宋_GB2312" w:cs="仿宋_GB2312"/>
          <w:color w:val="auto"/>
          <w:kern w:val="2"/>
          <w:sz w:val="32"/>
          <w:szCs w:val="32"/>
          <w:lang w:val="en-US" w:eastAsia="zh-CN"/>
        </w:rPr>
        <w:t>4.</w:t>
      </w:r>
      <w:r>
        <w:rPr>
          <w:rFonts w:hint="eastAsia" w:ascii="仿宋_GB2312" w:hAnsi="仿宋_GB2312" w:eastAsia="仿宋_GB2312" w:cs="仿宋_GB2312"/>
          <w:color w:val="auto"/>
          <w:kern w:val="2"/>
          <w:sz w:val="32"/>
          <w:szCs w:val="32"/>
          <w:lang w:eastAsia="zh-CN"/>
        </w:rPr>
        <w:t xml:space="preserve">抓好精神文明建设，丰富群众文化生活，破除陈规陋习，树立社会主义新风尚。 </w:t>
      </w:r>
    </w:p>
    <w:p w14:paraId="516697AB">
      <w:pPr>
        <w:keepNext w:val="0"/>
        <w:keepLines w:val="0"/>
        <w:widowControl/>
        <w:suppressLineNumbers w:val="0"/>
        <w:ind w:firstLine="640" w:firstLineChars="200"/>
        <w:jc w:val="both"/>
        <w:rPr>
          <w:rFonts w:hint="eastAsia" w:ascii="仿宋_GB2312" w:hAnsi="仿宋_GB2312" w:eastAsia="仿宋_GB2312" w:cs="仿宋_GB2312"/>
          <w:color w:val="auto"/>
          <w:kern w:val="2"/>
          <w:sz w:val="32"/>
          <w:szCs w:val="32"/>
          <w:lang w:val="zh-CN" w:eastAsia="zh-CN"/>
        </w:rPr>
      </w:pPr>
      <w:r>
        <w:rPr>
          <w:rFonts w:hint="eastAsia" w:ascii="仿宋_GB2312" w:hAnsi="仿宋_GB2312" w:eastAsia="仿宋_GB2312" w:cs="仿宋_GB2312"/>
          <w:color w:val="auto"/>
          <w:kern w:val="2"/>
          <w:sz w:val="32"/>
          <w:szCs w:val="32"/>
          <w:lang w:val="en-US" w:eastAsia="zh-CN"/>
        </w:rPr>
        <w:t>5.</w:t>
      </w:r>
      <w:r>
        <w:rPr>
          <w:rFonts w:hint="eastAsia" w:ascii="仿宋_GB2312" w:hAnsi="仿宋_GB2312" w:eastAsia="仿宋_GB2312" w:cs="仿宋_GB2312"/>
          <w:color w:val="auto"/>
          <w:kern w:val="2"/>
          <w:sz w:val="32"/>
          <w:szCs w:val="32"/>
          <w:lang w:eastAsia="zh-CN"/>
        </w:rPr>
        <w:t xml:space="preserve">完成上级政府交办的其它事项。 </w:t>
      </w:r>
    </w:p>
    <w:p w14:paraId="2ACBFA18">
      <w:pPr>
        <w:pageBreakBefore w:val="0"/>
        <w:kinsoku/>
        <w:wordWrap/>
        <w:overflowPunct/>
        <w:topLinePunct w:val="0"/>
        <w:bidi w:val="0"/>
        <w:spacing w:line="576" w:lineRule="exact"/>
        <w:ind w:firstLine="643" w:firstLineChars="200"/>
        <w:jc w:val="both"/>
        <w:textAlignment w:val="auto"/>
        <w:outlineLvl w:val="2"/>
        <w:rPr>
          <w:rFonts w:hint="eastAsia" w:ascii="Times New Roman" w:hAnsi="Times New Roman" w:eastAsia="楷体_GB2312" w:cs="Times New Roman"/>
          <w:b/>
          <w:color w:val="auto"/>
          <w:sz w:val="32"/>
          <w:szCs w:val="32"/>
          <w:highlight w:val="none"/>
          <w:lang w:val="zh-CN"/>
        </w:rPr>
      </w:pPr>
      <w:r>
        <w:rPr>
          <w:rFonts w:hint="eastAsia" w:ascii="Times New Roman" w:hAnsi="Times New Roman" w:eastAsia="楷体_GB2312" w:cs="Times New Roman"/>
          <w:b/>
          <w:color w:val="auto"/>
          <w:sz w:val="32"/>
          <w:szCs w:val="32"/>
          <w:highlight w:val="none"/>
          <w:lang w:val="zh-CN"/>
        </w:rPr>
        <w:t>（三）人员概况</w:t>
      </w:r>
    </w:p>
    <w:p w14:paraId="2E6B502B">
      <w:pPr>
        <w:spacing w:line="600" w:lineRule="exact"/>
        <w:ind w:firstLine="640" w:firstLineChars="200"/>
        <w:jc w:val="both"/>
        <w:rPr>
          <w:rFonts w:hint="eastAsia" w:ascii="仿宋_GB2312" w:hAnsi="仿宋_GB2312" w:eastAsia="仿宋_GB2312" w:cs="仿宋_GB2312"/>
          <w:color w:val="auto"/>
          <w:kern w:val="2"/>
          <w:sz w:val="32"/>
          <w:szCs w:val="32"/>
          <w:lang w:eastAsia="zh-CN"/>
        </w:rPr>
      </w:pPr>
      <w:r>
        <w:rPr>
          <w:rFonts w:hint="eastAsia" w:ascii="仿宋_GB2312" w:hAnsi="仿宋_GB2312" w:eastAsia="仿宋_GB2312" w:cs="仿宋_GB2312"/>
          <w:color w:val="auto"/>
          <w:kern w:val="2"/>
          <w:sz w:val="32"/>
          <w:szCs w:val="32"/>
          <w:lang w:val="zh-CN" w:eastAsia="zh-CN"/>
        </w:rPr>
        <w:t>截</w:t>
      </w:r>
      <w:r>
        <w:rPr>
          <w:rFonts w:hint="eastAsia" w:ascii="仿宋_GB2312" w:hAnsi="仿宋_GB2312" w:eastAsia="仿宋_GB2312" w:cs="仿宋_GB2312"/>
          <w:color w:val="auto"/>
          <w:kern w:val="2"/>
          <w:sz w:val="32"/>
          <w:szCs w:val="32"/>
          <w:lang w:val="en-US" w:eastAsia="zh-CN"/>
        </w:rPr>
        <w:t>至2025年末，</w:t>
      </w:r>
      <w:r>
        <w:rPr>
          <w:rFonts w:hint="eastAsia" w:ascii="仿宋_GB2312" w:hAnsi="仿宋_GB2312" w:eastAsia="仿宋_GB2312" w:cs="仿宋_GB2312"/>
          <w:color w:val="auto"/>
          <w:kern w:val="2"/>
          <w:sz w:val="32"/>
          <w:szCs w:val="32"/>
          <w:lang w:eastAsia="zh-CN"/>
        </w:rPr>
        <w:t>黑虎镇人民政府总编制4</w:t>
      </w:r>
      <w:r>
        <w:rPr>
          <w:rFonts w:hint="eastAsia" w:ascii="仿宋_GB2312" w:hAnsi="仿宋_GB2312" w:eastAsia="仿宋_GB2312" w:cs="仿宋_GB2312"/>
          <w:color w:val="auto"/>
          <w:kern w:val="2"/>
          <w:sz w:val="32"/>
          <w:szCs w:val="32"/>
          <w:lang w:val="en-US" w:eastAsia="zh-CN"/>
        </w:rPr>
        <w:t>6</w:t>
      </w:r>
      <w:r>
        <w:rPr>
          <w:rFonts w:hint="eastAsia" w:ascii="仿宋_GB2312" w:hAnsi="仿宋_GB2312" w:eastAsia="仿宋_GB2312" w:cs="仿宋_GB2312"/>
          <w:color w:val="auto"/>
          <w:kern w:val="2"/>
          <w:sz w:val="32"/>
          <w:szCs w:val="32"/>
          <w:lang w:eastAsia="zh-CN"/>
        </w:rPr>
        <w:t>名，其中：行政编制25名，行政工勤</w:t>
      </w:r>
      <w:r>
        <w:rPr>
          <w:rFonts w:hint="eastAsia" w:ascii="仿宋_GB2312" w:hAnsi="仿宋_GB2312" w:eastAsia="仿宋_GB2312" w:cs="仿宋_GB2312"/>
          <w:color w:val="auto"/>
          <w:kern w:val="2"/>
          <w:sz w:val="32"/>
          <w:szCs w:val="32"/>
          <w:lang w:val="en-US" w:eastAsia="zh-CN"/>
        </w:rPr>
        <w:t>2</w:t>
      </w:r>
      <w:r>
        <w:rPr>
          <w:rFonts w:hint="eastAsia" w:ascii="仿宋_GB2312" w:hAnsi="仿宋_GB2312" w:eastAsia="仿宋_GB2312" w:cs="仿宋_GB2312"/>
          <w:color w:val="auto"/>
          <w:kern w:val="2"/>
          <w:sz w:val="32"/>
          <w:szCs w:val="32"/>
          <w:lang w:eastAsia="zh-CN"/>
        </w:rPr>
        <w:t>名，其他事业编制19名。在职人员总数</w:t>
      </w:r>
      <w:r>
        <w:rPr>
          <w:rFonts w:hint="eastAsia" w:ascii="仿宋_GB2312" w:hAnsi="仿宋_GB2312" w:eastAsia="仿宋_GB2312" w:cs="仿宋_GB2312"/>
          <w:color w:val="auto"/>
          <w:kern w:val="2"/>
          <w:sz w:val="32"/>
          <w:szCs w:val="32"/>
          <w:lang w:val="en-US" w:eastAsia="zh-CN"/>
        </w:rPr>
        <w:t>38</w:t>
      </w:r>
      <w:r>
        <w:rPr>
          <w:rFonts w:hint="eastAsia" w:ascii="仿宋_GB2312" w:hAnsi="仿宋_GB2312" w:eastAsia="仿宋_GB2312" w:cs="仿宋_GB2312"/>
          <w:color w:val="auto"/>
          <w:kern w:val="2"/>
          <w:sz w:val="32"/>
          <w:szCs w:val="32"/>
          <w:lang w:eastAsia="zh-CN"/>
        </w:rPr>
        <w:t>人，其中：行政人员2</w:t>
      </w:r>
      <w:r>
        <w:rPr>
          <w:rFonts w:hint="eastAsia" w:ascii="仿宋_GB2312" w:hAnsi="仿宋_GB2312" w:eastAsia="仿宋_GB2312" w:cs="仿宋_GB2312"/>
          <w:color w:val="auto"/>
          <w:kern w:val="2"/>
          <w:sz w:val="32"/>
          <w:szCs w:val="32"/>
          <w:lang w:val="en-US" w:eastAsia="zh-CN"/>
        </w:rPr>
        <w:t>3</w:t>
      </w:r>
      <w:r>
        <w:rPr>
          <w:rFonts w:hint="eastAsia" w:ascii="仿宋_GB2312" w:hAnsi="仿宋_GB2312" w:eastAsia="仿宋_GB2312" w:cs="仿宋_GB2312"/>
          <w:color w:val="auto"/>
          <w:kern w:val="2"/>
          <w:sz w:val="32"/>
          <w:szCs w:val="32"/>
          <w:lang w:eastAsia="zh-CN"/>
        </w:rPr>
        <w:t>人，行政工勤人员2人，其他事业人员1</w:t>
      </w:r>
      <w:r>
        <w:rPr>
          <w:rFonts w:hint="eastAsia" w:ascii="仿宋_GB2312" w:hAnsi="仿宋_GB2312" w:eastAsia="仿宋_GB2312" w:cs="仿宋_GB2312"/>
          <w:color w:val="auto"/>
          <w:kern w:val="2"/>
          <w:sz w:val="32"/>
          <w:szCs w:val="32"/>
          <w:lang w:val="en-US" w:eastAsia="zh-CN"/>
        </w:rPr>
        <w:t>3</w:t>
      </w:r>
      <w:r>
        <w:rPr>
          <w:rFonts w:hint="eastAsia" w:ascii="仿宋_GB2312" w:hAnsi="仿宋_GB2312" w:eastAsia="仿宋_GB2312" w:cs="仿宋_GB2312"/>
          <w:color w:val="auto"/>
          <w:kern w:val="2"/>
          <w:sz w:val="32"/>
          <w:szCs w:val="32"/>
          <w:lang w:eastAsia="zh-CN"/>
        </w:rPr>
        <w:t>人。退休人员6人，遗属3人。</w:t>
      </w:r>
    </w:p>
    <w:p w14:paraId="392FACD7">
      <w:pPr>
        <w:adjustRightInd w:val="0"/>
        <w:snapToGrid w:val="0"/>
        <w:spacing w:line="578" w:lineRule="exact"/>
        <w:ind w:firstLine="643" w:firstLineChars="200"/>
        <w:jc w:val="both"/>
        <w:rPr>
          <w:rFonts w:hint="eastAsia" w:ascii="黑体" w:hAnsi="黑体" w:eastAsia="黑体" w:cs="黑体"/>
          <w:b/>
          <w:bCs/>
          <w:sz w:val="32"/>
          <w:szCs w:val="32"/>
          <w:lang w:val="zh-CN"/>
        </w:rPr>
      </w:pPr>
      <w:r>
        <w:rPr>
          <w:rFonts w:hint="eastAsia" w:ascii="黑体" w:hAnsi="黑体" w:eastAsia="黑体" w:cs="黑体"/>
          <w:b/>
          <w:bCs/>
          <w:sz w:val="32"/>
          <w:szCs w:val="32"/>
          <w:lang w:val="zh-CN"/>
        </w:rPr>
        <w:t>二、部门资金收支情况</w:t>
      </w:r>
    </w:p>
    <w:p w14:paraId="1D665C26">
      <w:pPr>
        <w:spacing w:line="560" w:lineRule="exact"/>
        <w:ind w:firstLine="643" w:firstLineChars="200"/>
        <w:jc w:val="both"/>
        <w:rPr>
          <w:rFonts w:hint="eastAsia" w:ascii="仿宋_GB2312" w:hAnsi="仿宋_GB2312" w:eastAsia="仿宋_GB2312" w:cs="仿宋_GB2312"/>
          <w:b/>
          <w:sz w:val="32"/>
          <w:szCs w:val="32"/>
          <w:lang w:val="zh-CN"/>
        </w:rPr>
      </w:pPr>
      <w:r>
        <w:rPr>
          <w:rFonts w:hint="eastAsia" w:ascii="仿宋_GB2312" w:hAnsi="仿宋_GB2312" w:eastAsia="仿宋_GB2312" w:cs="仿宋_GB2312"/>
          <w:b/>
          <w:sz w:val="32"/>
          <w:szCs w:val="32"/>
          <w:lang w:val="zh-CN"/>
        </w:rPr>
        <w:t>（一）收入情况</w:t>
      </w:r>
    </w:p>
    <w:p w14:paraId="3670FC54">
      <w:pPr>
        <w:pStyle w:val="31"/>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both"/>
        <w:textAlignment w:val="auto"/>
        <w:outlineLvl w:val="1"/>
        <w:rPr>
          <w:rFonts w:hint="default" w:ascii="Times New Roman" w:hAnsi="Times New Roman" w:eastAsia="仿宋_GB2312" w:cs="Times New Roman"/>
          <w:bCs/>
          <w:sz w:val="32"/>
          <w:szCs w:val="32"/>
          <w:lang w:eastAsia="zh-CN"/>
        </w:rPr>
      </w:pPr>
      <w:r>
        <w:rPr>
          <w:rFonts w:hint="default" w:ascii="Times New Roman" w:hAnsi="Times New Roman" w:eastAsia="仿宋_GB2312" w:cs="Times New Roman"/>
          <w:bCs/>
          <w:sz w:val="32"/>
          <w:szCs w:val="32"/>
          <w:lang w:eastAsia="zh-CN"/>
        </w:rPr>
        <w:t>2025年年初预算收入</w:t>
      </w:r>
      <w:r>
        <w:rPr>
          <w:rFonts w:hint="eastAsia" w:ascii="仿宋_GB2312" w:hAnsi="仿宋_GB2312" w:eastAsia="仿宋_GB2312" w:cs="仿宋_GB2312"/>
          <w:color w:val="auto"/>
          <w:kern w:val="2"/>
          <w:sz w:val="32"/>
          <w:szCs w:val="32"/>
          <w:lang w:val="en-US" w:eastAsia="zh-CN"/>
        </w:rPr>
        <w:t>合计779.79万</w:t>
      </w:r>
      <w:r>
        <w:rPr>
          <w:rFonts w:hint="eastAsia" w:ascii="仿宋_GB2312" w:hAnsi="仿宋_GB2312" w:eastAsia="仿宋_GB2312" w:cs="仿宋_GB2312"/>
          <w:color w:val="auto"/>
          <w:kern w:val="2"/>
          <w:sz w:val="32"/>
          <w:szCs w:val="32"/>
          <w:lang w:eastAsia="zh-CN"/>
        </w:rPr>
        <w:t>元，</w:t>
      </w:r>
      <w:r>
        <w:rPr>
          <w:rFonts w:hint="default" w:ascii="Times New Roman" w:hAnsi="Times New Roman" w:eastAsia="仿宋_GB2312" w:cs="Times New Roman"/>
          <w:bCs/>
          <w:sz w:val="32"/>
          <w:szCs w:val="32"/>
          <w:lang w:eastAsia="zh-CN"/>
        </w:rPr>
        <w:t>其中：一般公共预算财政拨款收入</w:t>
      </w:r>
      <w:r>
        <w:rPr>
          <w:rFonts w:hint="eastAsia" w:eastAsia="仿宋_GB2312" w:cs="Times New Roman"/>
          <w:bCs/>
          <w:sz w:val="32"/>
          <w:szCs w:val="32"/>
          <w:lang w:val="en-US" w:eastAsia="zh-CN"/>
        </w:rPr>
        <w:t>779.79</w:t>
      </w:r>
      <w:r>
        <w:rPr>
          <w:rFonts w:hint="default" w:ascii="Times New Roman" w:hAnsi="Times New Roman" w:eastAsia="仿宋_GB2312" w:cs="Times New Roman"/>
          <w:bCs/>
          <w:sz w:val="32"/>
          <w:szCs w:val="32"/>
          <w:lang w:eastAsia="zh-CN"/>
        </w:rPr>
        <w:t>万元，占</w:t>
      </w:r>
      <w:r>
        <w:rPr>
          <w:rFonts w:hint="default" w:ascii="Times New Roman" w:hAnsi="Times New Roman" w:eastAsia="仿宋_GB2312" w:cs="Times New Roman"/>
          <w:bCs/>
          <w:sz w:val="32"/>
          <w:szCs w:val="32"/>
          <w:lang w:val="en-US" w:eastAsia="zh-CN"/>
        </w:rPr>
        <w:t>100</w:t>
      </w:r>
      <w:r>
        <w:rPr>
          <w:rFonts w:hint="default" w:ascii="Times New Roman" w:hAnsi="Times New Roman" w:eastAsia="仿宋_GB2312" w:cs="Times New Roman"/>
          <w:bCs/>
          <w:sz w:val="32"/>
          <w:szCs w:val="32"/>
          <w:lang w:eastAsia="zh-CN"/>
        </w:rPr>
        <w:t>%；年初结转和结余0万元。</w:t>
      </w:r>
      <w:r>
        <w:rPr>
          <w:rFonts w:hint="default" w:ascii="Times New Roman" w:hAnsi="Times New Roman" w:eastAsia="仿宋_GB2312" w:cs="Times New Roman"/>
          <w:sz w:val="32"/>
          <w:szCs w:val="32"/>
          <w:lang w:val="en-US" w:eastAsia="zh-CN"/>
        </w:rPr>
        <w:t>决算报表收入</w:t>
      </w:r>
      <w:r>
        <w:rPr>
          <w:rFonts w:hint="default" w:ascii="Times New Roman" w:hAnsi="Times New Roman" w:eastAsia="仿宋_GB2312" w:cs="Times New Roman"/>
          <w:color w:val="auto"/>
          <w:sz w:val="32"/>
          <w:szCs w:val="32"/>
          <w:highlight w:val="none"/>
          <w:lang w:eastAsia="zh-CN"/>
        </w:rPr>
        <w:t>合计</w:t>
      </w:r>
      <w:r>
        <w:rPr>
          <w:rFonts w:hint="eastAsia" w:eastAsia="仿宋_GB2312" w:cs="Times New Roman"/>
          <w:color w:val="auto"/>
          <w:sz w:val="32"/>
          <w:szCs w:val="32"/>
          <w:highlight w:val="none"/>
          <w:lang w:val="en-US" w:eastAsia="zh-CN"/>
        </w:rPr>
        <w:t>1119.64</w:t>
      </w:r>
      <w:r>
        <w:rPr>
          <w:rFonts w:hint="default" w:ascii="Times New Roman" w:hAnsi="Times New Roman" w:eastAsia="仿宋_GB2312" w:cs="Times New Roman"/>
          <w:color w:val="auto"/>
          <w:sz w:val="32"/>
          <w:szCs w:val="32"/>
          <w:highlight w:val="none"/>
          <w:lang w:eastAsia="zh-CN"/>
        </w:rPr>
        <w:t>万元，其中：一般公共预算财政拨款收入</w:t>
      </w:r>
      <w:r>
        <w:rPr>
          <w:rFonts w:hint="eastAsia" w:eastAsia="仿宋_GB2312" w:cs="Times New Roman"/>
          <w:color w:val="auto"/>
          <w:sz w:val="32"/>
          <w:szCs w:val="32"/>
          <w:highlight w:val="none"/>
          <w:lang w:val="en-US" w:eastAsia="zh-CN"/>
        </w:rPr>
        <w:t>1113.32</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color w:val="auto"/>
          <w:sz w:val="32"/>
          <w:szCs w:val="32"/>
          <w:highlight w:val="none"/>
          <w:lang w:val="en-US" w:eastAsia="zh-CN"/>
        </w:rPr>
        <w:t>9</w:t>
      </w:r>
      <w:r>
        <w:rPr>
          <w:rFonts w:hint="eastAsia" w:eastAsia="仿宋_GB2312" w:cs="Times New Roman"/>
          <w:color w:val="auto"/>
          <w:sz w:val="32"/>
          <w:szCs w:val="32"/>
          <w:highlight w:val="none"/>
          <w:lang w:val="en-US" w:eastAsia="zh-CN"/>
        </w:rPr>
        <w:t>9.44</w:t>
      </w:r>
      <w:r>
        <w:rPr>
          <w:rFonts w:hint="default" w:ascii="Times New Roman" w:hAnsi="Times New Roman" w:eastAsia="仿宋_GB2312" w:cs="Times New Roman"/>
          <w:color w:val="auto"/>
          <w:sz w:val="32"/>
          <w:szCs w:val="32"/>
          <w:highlight w:val="none"/>
          <w:lang w:eastAsia="zh-CN"/>
        </w:rPr>
        <w:t>%；政府性基金预算财政拨款收入</w:t>
      </w:r>
      <w:r>
        <w:rPr>
          <w:rFonts w:hint="eastAsia" w:eastAsia="仿宋_GB2312" w:cs="Times New Roman"/>
          <w:color w:val="auto"/>
          <w:sz w:val="32"/>
          <w:szCs w:val="32"/>
          <w:highlight w:val="none"/>
          <w:lang w:val="en-US" w:eastAsia="zh-CN"/>
        </w:rPr>
        <w:t>4.32万元，占0.38%；</w:t>
      </w:r>
      <w:r>
        <w:rPr>
          <w:rFonts w:hint="default" w:ascii="Times New Roman" w:hAnsi="Times New Roman" w:eastAsia="仿宋_GB2312" w:cs="Times New Roman"/>
          <w:color w:val="auto"/>
          <w:sz w:val="32"/>
          <w:szCs w:val="32"/>
          <w:highlight w:val="none"/>
          <w:lang w:eastAsia="zh-CN"/>
        </w:rPr>
        <w:t>其他收入</w:t>
      </w:r>
      <w:r>
        <w:rPr>
          <w:rFonts w:hint="eastAsia" w:eastAsia="仿宋_GB2312" w:cs="Times New Roman"/>
          <w:color w:val="auto"/>
          <w:sz w:val="32"/>
          <w:szCs w:val="32"/>
          <w:highlight w:val="none"/>
          <w:lang w:val="en-US" w:eastAsia="zh-CN"/>
        </w:rPr>
        <w:t>2</w:t>
      </w:r>
      <w:r>
        <w:rPr>
          <w:rFonts w:hint="default" w:ascii="Times New Roman" w:hAnsi="Times New Roman" w:eastAsia="仿宋_GB2312" w:cs="Times New Roman"/>
          <w:color w:val="auto"/>
          <w:sz w:val="32"/>
          <w:szCs w:val="32"/>
          <w:highlight w:val="none"/>
          <w:lang w:eastAsia="zh-CN"/>
        </w:rPr>
        <w:t>万元，占</w:t>
      </w:r>
      <w:r>
        <w:rPr>
          <w:rFonts w:hint="eastAsia" w:eastAsia="仿宋_GB2312" w:cs="Times New Roman"/>
          <w:color w:val="auto"/>
          <w:sz w:val="32"/>
          <w:szCs w:val="32"/>
          <w:highlight w:val="none"/>
          <w:lang w:val="en-US" w:eastAsia="zh-CN"/>
        </w:rPr>
        <w:t>0.18</w:t>
      </w:r>
      <w:r>
        <w:rPr>
          <w:rFonts w:hint="default" w:ascii="Times New Roman" w:hAnsi="Times New Roman" w:eastAsia="仿宋_GB2312" w:cs="Times New Roman"/>
          <w:color w:val="auto"/>
          <w:sz w:val="32"/>
          <w:szCs w:val="32"/>
          <w:highlight w:val="none"/>
          <w:lang w:eastAsia="zh-CN"/>
        </w:rPr>
        <w:t>%。</w:t>
      </w:r>
    </w:p>
    <w:p w14:paraId="34DEB0BB">
      <w:pPr>
        <w:pageBreakBefore w:val="0"/>
        <w:numPr>
          <w:ilvl w:val="0"/>
          <w:numId w:val="4"/>
        </w:numPr>
        <w:kinsoku/>
        <w:wordWrap/>
        <w:overflowPunct/>
        <w:topLinePunct w:val="0"/>
        <w:bidi w:val="0"/>
        <w:spacing w:line="576" w:lineRule="exact"/>
        <w:ind w:firstLine="643" w:firstLineChars="200"/>
        <w:jc w:val="both"/>
        <w:textAlignment w:val="auto"/>
        <w:outlineLvl w:val="2"/>
        <w:rPr>
          <w:rFonts w:hint="eastAsia" w:ascii="Times New Roman" w:hAnsi="Times New Roman" w:eastAsia="楷体_GB2312" w:cs="Times New Roman"/>
          <w:b/>
          <w:color w:val="auto"/>
          <w:sz w:val="32"/>
          <w:szCs w:val="32"/>
          <w:highlight w:val="none"/>
          <w:lang w:val="zh-CN"/>
        </w:rPr>
      </w:pPr>
      <w:r>
        <w:rPr>
          <w:rFonts w:hint="eastAsia" w:ascii="Times New Roman" w:hAnsi="Times New Roman" w:eastAsia="楷体_GB2312" w:cs="Times New Roman"/>
          <w:b/>
          <w:color w:val="auto"/>
          <w:sz w:val="32"/>
          <w:szCs w:val="32"/>
          <w:highlight w:val="none"/>
          <w:lang w:val="zh-CN"/>
        </w:rPr>
        <w:t>支出情况</w:t>
      </w:r>
    </w:p>
    <w:p w14:paraId="7307DC02">
      <w:pPr>
        <w:keepNext w:val="0"/>
        <w:keepLines w:val="0"/>
        <w:pageBreakBefore w:val="0"/>
        <w:widowControl/>
        <w:kinsoku/>
        <w:wordWrap/>
        <w:overflowPunct/>
        <w:topLinePunct w:val="0"/>
        <w:autoSpaceDE/>
        <w:autoSpaceDN/>
        <w:bidi w:val="0"/>
        <w:adjustRightInd w:val="0"/>
        <w:snapToGrid w:val="0"/>
        <w:spacing w:line="576" w:lineRule="exact"/>
        <w:ind w:firstLine="640" w:firstLineChars="200"/>
        <w:contextualSpacing/>
        <w:jc w:val="both"/>
        <w:textAlignment w:val="auto"/>
        <w:outlineLvl w:val="9"/>
        <w:rPr>
          <w:rFonts w:hint="default" w:ascii="Times New Roman" w:hAnsi="Times New Roman" w:cs="Times New Roman"/>
          <w:szCs w:val="32"/>
          <w:lang w:val="zh-CN" w:eastAsia="zh-CN"/>
        </w:rPr>
      </w:pPr>
      <w:r>
        <w:rPr>
          <w:rFonts w:hint="default" w:ascii="Times New Roman" w:hAnsi="Times New Roman" w:eastAsia="仿宋_GB2312" w:cs="Times New Roman"/>
          <w:bCs/>
          <w:sz w:val="32"/>
          <w:szCs w:val="32"/>
          <w:lang w:val="zh-CN" w:eastAsia="zh-CN"/>
        </w:rPr>
        <w:t>2025年年初预算支出合计</w:t>
      </w:r>
      <w:r>
        <w:rPr>
          <w:rFonts w:hint="eastAsia" w:eastAsia="仿宋_GB2312" w:cs="Times New Roman"/>
          <w:bCs/>
          <w:sz w:val="32"/>
          <w:szCs w:val="32"/>
          <w:lang w:val="en-US" w:eastAsia="zh-CN"/>
        </w:rPr>
        <w:t>779.79</w:t>
      </w:r>
      <w:r>
        <w:rPr>
          <w:rFonts w:hint="default" w:ascii="Times New Roman" w:hAnsi="Times New Roman" w:eastAsia="仿宋_GB2312" w:cs="Times New Roman"/>
          <w:bCs/>
          <w:sz w:val="32"/>
          <w:szCs w:val="32"/>
          <w:lang w:val="zh-CN" w:eastAsia="zh-CN"/>
        </w:rPr>
        <w:t>万元，其中：一般公共服务支出</w:t>
      </w:r>
      <w:r>
        <w:rPr>
          <w:rFonts w:hint="eastAsia" w:eastAsia="仿宋_GB2312" w:cs="Times New Roman"/>
          <w:bCs/>
          <w:sz w:val="32"/>
          <w:szCs w:val="32"/>
          <w:lang w:val="en-US" w:eastAsia="zh-CN"/>
        </w:rPr>
        <w:t>350.87</w:t>
      </w:r>
      <w:r>
        <w:rPr>
          <w:rFonts w:hint="default" w:ascii="Times New Roman" w:hAnsi="Times New Roman" w:eastAsia="仿宋_GB2312" w:cs="Times New Roman"/>
          <w:bCs/>
          <w:sz w:val="32"/>
          <w:szCs w:val="32"/>
          <w:lang w:val="zh-CN" w:eastAsia="zh-CN"/>
        </w:rPr>
        <w:t>万元，占</w:t>
      </w:r>
      <w:r>
        <w:rPr>
          <w:rFonts w:hint="eastAsia" w:eastAsia="仿宋_GB2312" w:cs="Times New Roman"/>
          <w:bCs/>
          <w:sz w:val="32"/>
          <w:szCs w:val="32"/>
          <w:lang w:val="en-US" w:eastAsia="zh-CN"/>
        </w:rPr>
        <w:t>44.99</w:t>
      </w:r>
      <w:r>
        <w:rPr>
          <w:rFonts w:hint="default" w:ascii="Times New Roman" w:hAnsi="Times New Roman" w:eastAsia="仿宋_GB2312" w:cs="Times New Roman"/>
          <w:bCs/>
          <w:sz w:val="32"/>
          <w:szCs w:val="32"/>
          <w:lang w:val="zh-CN" w:eastAsia="zh-CN"/>
        </w:rPr>
        <w:t>%；社会保障和就业支出</w:t>
      </w:r>
      <w:r>
        <w:rPr>
          <w:rFonts w:hint="eastAsia" w:eastAsia="仿宋_GB2312" w:cs="Times New Roman"/>
          <w:bCs/>
          <w:sz w:val="32"/>
          <w:szCs w:val="32"/>
          <w:lang w:val="en-US" w:eastAsia="zh-CN"/>
        </w:rPr>
        <w:t>79.86</w:t>
      </w:r>
      <w:r>
        <w:rPr>
          <w:rFonts w:hint="default" w:ascii="Times New Roman" w:hAnsi="Times New Roman" w:eastAsia="仿宋_GB2312" w:cs="Times New Roman"/>
          <w:bCs/>
          <w:sz w:val="32"/>
          <w:szCs w:val="32"/>
          <w:lang w:val="zh-CN" w:eastAsia="zh-CN"/>
        </w:rPr>
        <w:t>万元，占</w:t>
      </w:r>
      <w:r>
        <w:rPr>
          <w:rFonts w:hint="eastAsia" w:eastAsia="仿宋_GB2312" w:cs="Times New Roman"/>
          <w:bCs/>
          <w:sz w:val="32"/>
          <w:szCs w:val="32"/>
          <w:lang w:val="en-US" w:eastAsia="zh-CN"/>
        </w:rPr>
        <w:t>10.24</w:t>
      </w:r>
      <w:r>
        <w:rPr>
          <w:rFonts w:hint="default" w:ascii="Times New Roman" w:hAnsi="Times New Roman" w:eastAsia="仿宋_GB2312" w:cs="Times New Roman"/>
          <w:bCs/>
          <w:sz w:val="32"/>
          <w:szCs w:val="32"/>
          <w:lang w:val="zh-CN" w:eastAsia="zh-CN"/>
        </w:rPr>
        <w:t>%；卫生健康</w:t>
      </w:r>
      <w:r>
        <w:rPr>
          <w:rFonts w:hint="eastAsia" w:eastAsia="仿宋_GB2312" w:cs="Times New Roman"/>
          <w:bCs/>
          <w:sz w:val="32"/>
          <w:szCs w:val="32"/>
          <w:lang w:val="en-US" w:eastAsia="zh-CN"/>
        </w:rPr>
        <w:t>支出39.57万元，</w:t>
      </w:r>
      <w:r>
        <w:rPr>
          <w:rFonts w:hint="default" w:ascii="Times New Roman" w:hAnsi="Times New Roman" w:eastAsia="仿宋_GB2312" w:cs="Times New Roman"/>
          <w:bCs/>
          <w:sz w:val="32"/>
          <w:szCs w:val="32"/>
          <w:lang w:val="zh-CN" w:eastAsia="zh-CN"/>
        </w:rPr>
        <w:t>占</w:t>
      </w:r>
      <w:r>
        <w:rPr>
          <w:rFonts w:hint="eastAsia" w:eastAsia="仿宋_GB2312" w:cs="Times New Roman"/>
          <w:bCs/>
          <w:sz w:val="32"/>
          <w:szCs w:val="32"/>
          <w:lang w:val="en-US" w:eastAsia="zh-CN"/>
        </w:rPr>
        <w:t>5.07</w:t>
      </w:r>
      <w:r>
        <w:rPr>
          <w:rFonts w:hint="default" w:ascii="Times New Roman" w:hAnsi="Times New Roman" w:eastAsia="仿宋_GB2312" w:cs="Times New Roman"/>
          <w:bCs/>
          <w:sz w:val="32"/>
          <w:szCs w:val="32"/>
          <w:lang w:val="zh-CN" w:eastAsia="zh-CN"/>
        </w:rPr>
        <w:t>%；农林水支出</w:t>
      </w:r>
      <w:r>
        <w:rPr>
          <w:rFonts w:hint="eastAsia" w:eastAsia="仿宋_GB2312" w:cs="Times New Roman"/>
          <w:bCs/>
          <w:sz w:val="32"/>
          <w:szCs w:val="32"/>
          <w:lang w:val="en-US" w:eastAsia="zh-CN"/>
        </w:rPr>
        <w:t>249.6</w:t>
      </w:r>
      <w:r>
        <w:rPr>
          <w:rFonts w:hint="default" w:ascii="Times New Roman" w:hAnsi="Times New Roman" w:eastAsia="仿宋_GB2312" w:cs="Times New Roman"/>
          <w:bCs/>
          <w:sz w:val="32"/>
          <w:szCs w:val="32"/>
          <w:lang w:val="zh-CN" w:eastAsia="zh-CN"/>
        </w:rPr>
        <w:t>万元，占</w:t>
      </w:r>
      <w:r>
        <w:rPr>
          <w:rFonts w:hint="eastAsia" w:eastAsia="仿宋_GB2312" w:cs="Times New Roman"/>
          <w:bCs/>
          <w:sz w:val="32"/>
          <w:szCs w:val="32"/>
          <w:lang w:val="en-US" w:eastAsia="zh-CN"/>
        </w:rPr>
        <w:t>31.01</w:t>
      </w:r>
      <w:r>
        <w:rPr>
          <w:rFonts w:hint="default" w:ascii="Times New Roman" w:hAnsi="Times New Roman" w:eastAsia="仿宋_GB2312" w:cs="Times New Roman"/>
          <w:bCs/>
          <w:sz w:val="32"/>
          <w:szCs w:val="32"/>
          <w:lang w:val="zh-CN" w:eastAsia="zh-CN"/>
        </w:rPr>
        <w:t>%</w:t>
      </w:r>
      <w:r>
        <w:rPr>
          <w:rFonts w:hint="eastAsia" w:eastAsia="仿宋_GB2312" w:cs="Times New Roman"/>
          <w:bCs/>
          <w:sz w:val="32"/>
          <w:szCs w:val="32"/>
          <w:lang w:val="zh-CN" w:eastAsia="zh-CN"/>
        </w:rPr>
        <w:t>；住房保障支出</w:t>
      </w:r>
      <w:r>
        <w:rPr>
          <w:rFonts w:hint="eastAsia" w:eastAsia="仿宋_GB2312" w:cs="Times New Roman"/>
          <w:bCs/>
          <w:sz w:val="32"/>
          <w:szCs w:val="32"/>
          <w:lang w:val="en-US" w:eastAsia="zh-CN"/>
        </w:rPr>
        <w:t>59.89万元，占7.68%</w:t>
      </w:r>
      <w:r>
        <w:rPr>
          <w:rFonts w:hint="default" w:ascii="Times New Roman" w:hAnsi="Times New Roman" w:eastAsia="仿宋_GB2312" w:cs="Times New Roman"/>
          <w:bCs/>
          <w:sz w:val="32"/>
          <w:szCs w:val="32"/>
          <w:lang w:val="zh-CN" w:eastAsia="zh-CN"/>
        </w:rPr>
        <w:t>。</w:t>
      </w:r>
    </w:p>
    <w:p w14:paraId="798868E9">
      <w:pPr>
        <w:pageBreakBefore w:val="0"/>
        <w:kinsoku/>
        <w:wordWrap/>
        <w:overflowPunct/>
        <w:topLinePunct w:val="0"/>
        <w:bidi w:val="0"/>
        <w:spacing w:line="576" w:lineRule="exact"/>
        <w:ind w:firstLine="643" w:firstLineChars="200"/>
        <w:jc w:val="both"/>
        <w:textAlignment w:val="auto"/>
        <w:outlineLvl w:val="2"/>
        <w:rPr>
          <w:rFonts w:hint="eastAsia" w:ascii="Times New Roman" w:hAnsi="Times New Roman" w:eastAsia="楷体_GB2312" w:cs="Times New Roman"/>
          <w:b/>
          <w:color w:val="auto"/>
          <w:sz w:val="32"/>
          <w:szCs w:val="32"/>
          <w:highlight w:val="none"/>
          <w:lang w:val="zh-CN"/>
        </w:rPr>
      </w:pPr>
      <w:r>
        <w:rPr>
          <w:rFonts w:hint="eastAsia" w:ascii="Times New Roman" w:hAnsi="Times New Roman" w:eastAsia="楷体_GB2312" w:cs="Times New Roman"/>
          <w:b/>
          <w:color w:val="auto"/>
          <w:sz w:val="32"/>
          <w:szCs w:val="32"/>
          <w:highlight w:val="none"/>
          <w:lang w:val="zh-CN"/>
        </w:rPr>
        <w:t>（三）结余分配和结转结余情况</w:t>
      </w:r>
    </w:p>
    <w:p w14:paraId="7D4B0529">
      <w:pPr>
        <w:keepNext w:val="0"/>
        <w:keepLines w:val="0"/>
        <w:widowControl/>
        <w:suppressLineNumbers w:val="0"/>
        <w:ind w:firstLine="640" w:firstLineChars="200"/>
        <w:jc w:val="both"/>
        <w:rPr>
          <w:rFonts w:hint="eastAsia" w:ascii="仿宋_GB2312" w:hAnsi="仿宋_GB2312" w:eastAsia="仿宋_GB2312" w:cs="仿宋_GB2312"/>
          <w:color w:val="auto"/>
          <w:kern w:val="2"/>
          <w:sz w:val="32"/>
          <w:szCs w:val="32"/>
          <w:lang w:val="zh-CN" w:eastAsia="zh-CN"/>
        </w:rPr>
      </w:pPr>
      <w:r>
        <w:rPr>
          <w:rFonts w:hint="eastAsia" w:ascii="仿宋_GB2312" w:hAnsi="仿宋_GB2312" w:eastAsia="仿宋_GB2312" w:cs="仿宋_GB2312"/>
          <w:color w:val="auto"/>
          <w:kern w:val="2"/>
          <w:sz w:val="32"/>
          <w:szCs w:val="32"/>
          <w:lang w:val="en-US" w:eastAsia="zh-CN"/>
        </w:rPr>
        <w:t>茂县</w:t>
      </w:r>
      <w:r>
        <w:rPr>
          <w:rFonts w:hint="eastAsia" w:ascii="仿宋_GB2312" w:hAnsi="仿宋_GB2312" w:eastAsia="仿宋_GB2312" w:cs="仿宋_GB2312"/>
          <w:color w:val="auto"/>
          <w:kern w:val="2"/>
          <w:sz w:val="32"/>
          <w:szCs w:val="32"/>
          <w:lang w:eastAsia="zh-CN"/>
        </w:rPr>
        <w:t>黑虎镇人民政府无结</w:t>
      </w:r>
      <w:r>
        <w:rPr>
          <w:rFonts w:hint="eastAsia" w:ascii="仿宋_GB2312" w:hAnsi="仿宋_GB2312" w:eastAsia="仿宋_GB2312" w:cs="仿宋_GB2312"/>
          <w:color w:val="auto"/>
          <w:kern w:val="2"/>
          <w:sz w:val="32"/>
          <w:szCs w:val="32"/>
          <w:lang w:val="en-US" w:eastAsia="zh-CN"/>
        </w:rPr>
        <w:t>余</w:t>
      </w:r>
      <w:r>
        <w:rPr>
          <w:rFonts w:hint="eastAsia" w:ascii="仿宋_GB2312" w:hAnsi="仿宋_GB2312" w:eastAsia="仿宋_GB2312" w:cs="仿宋_GB2312"/>
          <w:color w:val="auto"/>
          <w:kern w:val="2"/>
          <w:sz w:val="32"/>
          <w:szCs w:val="32"/>
          <w:lang w:eastAsia="zh-CN"/>
        </w:rPr>
        <w:t>结</w:t>
      </w:r>
      <w:r>
        <w:rPr>
          <w:rFonts w:hint="eastAsia" w:ascii="仿宋_GB2312" w:hAnsi="仿宋_GB2312" w:eastAsia="仿宋_GB2312" w:cs="仿宋_GB2312"/>
          <w:color w:val="auto"/>
          <w:kern w:val="2"/>
          <w:sz w:val="32"/>
          <w:szCs w:val="32"/>
          <w:lang w:val="en-US" w:eastAsia="zh-CN"/>
        </w:rPr>
        <w:t>转</w:t>
      </w:r>
      <w:r>
        <w:rPr>
          <w:rFonts w:hint="eastAsia" w:ascii="仿宋_GB2312" w:hAnsi="仿宋_GB2312" w:eastAsia="仿宋_GB2312" w:cs="仿宋_GB2312"/>
          <w:color w:val="auto"/>
          <w:kern w:val="2"/>
          <w:sz w:val="32"/>
          <w:szCs w:val="32"/>
          <w:lang w:eastAsia="zh-CN"/>
        </w:rPr>
        <w:t>。</w:t>
      </w:r>
    </w:p>
    <w:p w14:paraId="4FBBD503">
      <w:pPr>
        <w:spacing w:line="560" w:lineRule="exact"/>
        <w:ind w:firstLine="643" w:firstLineChars="200"/>
        <w:jc w:val="both"/>
        <w:rPr>
          <w:rFonts w:hint="eastAsia" w:ascii="黑体" w:hAnsi="黑体" w:eastAsia="黑体" w:cs="黑体"/>
          <w:b/>
          <w:sz w:val="32"/>
          <w:szCs w:val="32"/>
          <w:lang w:val="zh-CN"/>
        </w:rPr>
      </w:pPr>
      <w:r>
        <w:rPr>
          <w:rFonts w:hint="eastAsia" w:ascii="黑体" w:hAnsi="黑体" w:eastAsia="黑体" w:cs="黑体"/>
          <w:b/>
          <w:sz w:val="32"/>
          <w:szCs w:val="32"/>
          <w:lang w:val="zh-CN"/>
        </w:rPr>
        <w:t>三、部门预算绩效分析</w:t>
      </w:r>
    </w:p>
    <w:p w14:paraId="71201616">
      <w:pPr>
        <w:pageBreakBefore w:val="0"/>
        <w:kinsoku/>
        <w:wordWrap/>
        <w:overflowPunct/>
        <w:topLinePunct w:val="0"/>
        <w:bidi w:val="0"/>
        <w:spacing w:line="576" w:lineRule="exact"/>
        <w:ind w:firstLine="643" w:firstLineChars="200"/>
        <w:jc w:val="both"/>
        <w:textAlignment w:val="auto"/>
        <w:outlineLvl w:val="2"/>
        <w:rPr>
          <w:rFonts w:hint="eastAsia" w:ascii="Times New Roman" w:hAnsi="Times New Roman" w:eastAsia="楷体_GB2312" w:cs="Times New Roman"/>
          <w:b/>
          <w:color w:val="auto"/>
          <w:sz w:val="32"/>
          <w:szCs w:val="32"/>
          <w:highlight w:val="none"/>
          <w:lang w:val="zh-CN"/>
        </w:rPr>
      </w:pPr>
      <w:r>
        <w:rPr>
          <w:rFonts w:hint="eastAsia" w:ascii="Times New Roman" w:hAnsi="Times New Roman" w:eastAsia="楷体_GB2312" w:cs="Times New Roman"/>
          <w:b/>
          <w:color w:val="auto"/>
          <w:sz w:val="32"/>
          <w:szCs w:val="32"/>
          <w:highlight w:val="none"/>
          <w:lang w:val="zh-CN"/>
        </w:rPr>
        <w:t>（一）部门预算总体绩效分析</w:t>
      </w:r>
    </w:p>
    <w:p w14:paraId="59116BC4">
      <w:pPr>
        <w:spacing w:line="560" w:lineRule="exact"/>
        <w:ind w:firstLine="640" w:firstLineChars="200"/>
        <w:jc w:val="both"/>
        <w:rPr>
          <w:rFonts w:hint="eastAsia" w:ascii="仿宋_GB2312" w:hAnsi="仿宋_GB2312" w:eastAsia="仿宋_GB2312" w:cs="仿宋_GB2312"/>
          <w:color w:val="auto"/>
          <w:kern w:val="2"/>
          <w:sz w:val="32"/>
          <w:szCs w:val="32"/>
          <w:lang w:val="zh-CN" w:eastAsia="zh-CN"/>
        </w:rPr>
      </w:pPr>
      <w:r>
        <w:rPr>
          <w:rFonts w:hint="eastAsia" w:ascii="仿宋_GB2312" w:hAnsi="仿宋_GB2312" w:eastAsia="仿宋_GB2312" w:cs="仿宋_GB2312"/>
          <w:b w:val="0"/>
          <w:bCs/>
          <w:sz w:val="32"/>
          <w:szCs w:val="32"/>
          <w:lang w:val="zh-CN"/>
        </w:rPr>
        <w:t>1.履职效能。</w:t>
      </w:r>
      <w:r>
        <w:rPr>
          <w:rFonts w:hint="eastAsia" w:ascii="仿宋_GB2312" w:hAnsi="仿宋_GB2312" w:eastAsia="仿宋_GB2312" w:cs="仿宋_GB2312"/>
          <w:color w:val="auto"/>
          <w:kern w:val="2"/>
          <w:sz w:val="32"/>
          <w:szCs w:val="32"/>
          <w:lang w:val="zh-CN" w:eastAsia="zh-CN"/>
        </w:rPr>
        <w:t>工作成果方面，项目工作人员能够按时完成任务并达到预期目标；财务人员能够按照项目合同资金支付要求，对验收合格的项目按时足额支付项目资金。工作质量方面，项目工作人员注重细节，保证工作的准确性和可靠性。执行力方面，项目工作人员能够按照项目要求主动、迅速地执行工作。</w:t>
      </w:r>
    </w:p>
    <w:p w14:paraId="7922B855">
      <w:pPr>
        <w:keepNext w:val="0"/>
        <w:keepLines w:val="0"/>
        <w:pageBreakBefore w:val="0"/>
        <w:widowControl/>
        <w:suppressLineNumbers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color w:val="auto"/>
          <w:kern w:val="2"/>
          <w:sz w:val="32"/>
          <w:szCs w:val="32"/>
          <w:lang w:eastAsia="zh-CN"/>
        </w:rPr>
      </w:pPr>
      <w:r>
        <w:rPr>
          <w:rFonts w:hint="eastAsia" w:ascii="仿宋_GB2312" w:hAnsi="仿宋_GB2312" w:eastAsia="仿宋_GB2312" w:cs="仿宋_GB2312"/>
          <w:b w:val="0"/>
          <w:bCs/>
          <w:sz w:val="32"/>
          <w:szCs w:val="32"/>
          <w:lang w:val="en-US" w:eastAsia="zh-CN"/>
        </w:rPr>
        <w:t>2.</w:t>
      </w:r>
      <w:r>
        <w:rPr>
          <w:rFonts w:hint="eastAsia" w:ascii="仿宋_GB2312" w:hAnsi="仿宋_GB2312" w:eastAsia="仿宋_GB2312" w:cs="仿宋_GB2312"/>
          <w:b w:val="0"/>
          <w:bCs/>
          <w:sz w:val="32"/>
          <w:szCs w:val="32"/>
          <w:lang w:val="zh-CN"/>
        </w:rPr>
        <w:t>预算管理。</w:t>
      </w:r>
      <w:r>
        <w:rPr>
          <w:rFonts w:hint="default" w:ascii="Times New Roman" w:hAnsi="Times New Roman" w:eastAsia="仿宋_GB2312" w:cs="Times New Roman"/>
          <w:kern w:val="0"/>
          <w:sz w:val="32"/>
          <w:szCs w:val="32"/>
          <w:lang w:val="en-US" w:eastAsia="zh-CN"/>
        </w:rPr>
        <w:t>2025年预算管理紧扣提质增效、统筹管控要求，抓实绩效管控。预算编制科学规范，执行进度均衡，调整程序合规，预算完成率达98%以上，“三公”经费严格控制。</w:t>
      </w:r>
    </w:p>
    <w:p w14:paraId="3C9B91C4">
      <w:pPr>
        <w:pageBreakBefore w:val="0"/>
        <w:kinsoku/>
        <w:wordWrap/>
        <w:overflowPunct/>
        <w:topLinePunct w:val="0"/>
        <w:bidi w:val="0"/>
        <w:adjustRightInd w:val="0"/>
        <w:snapToGrid w:val="0"/>
        <w:spacing w:line="576" w:lineRule="exact"/>
        <w:ind w:firstLine="640" w:firstLineChars="200"/>
        <w:contextualSpacing/>
        <w:jc w:val="both"/>
        <w:textAlignment w:val="auto"/>
        <w:rPr>
          <w:rFonts w:hint="eastAsia" w:ascii="仿宋_GB2312" w:hAnsi="仿宋_GB2312" w:eastAsia="仿宋_GB2312" w:cs="仿宋_GB2312"/>
          <w:b/>
          <w:sz w:val="32"/>
          <w:szCs w:val="32"/>
          <w:lang w:val="en-US" w:eastAsia="zh-CN"/>
        </w:rPr>
      </w:pPr>
      <w:r>
        <w:rPr>
          <w:rFonts w:hint="eastAsia" w:ascii="仿宋_GB2312" w:hAnsi="仿宋_GB2312" w:eastAsia="仿宋_GB2312" w:cs="仿宋_GB2312"/>
          <w:b w:val="0"/>
          <w:bCs/>
          <w:sz w:val="32"/>
          <w:szCs w:val="32"/>
          <w:lang w:val="en-US" w:eastAsia="zh-CN"/>
        </w:rPr>
        <w:t>3.</w:t>
      </w:r>
      <w:r>
        <w:rPr>
          <w:rFonts w:hint="eastAsia" w:ascii="仿宋_GB2312" w:hAnsi="仿宋_GB2312" w:eastAsia="仿宋_GB2312" w:cs="仿宋_GB2312"/>
          <w:b w:val="0"/>
          <w:bCs/>
          <w:sz w:val="32"/>
          <w:szCs w:val="32"/>
          <w:lang w:val="zh-CN"/>
        </w:rPr>
        <w:t>财务管理。</w:t>
      </w:r>
      <w:r>
        <w:rPr>
          <w:rFonts w:hint="default" w:ascii="Times New Roman" w:hAnsi="Times New Roman" w:eastAsia="仿宋_GB2312" w:cs="Times New Roman"/>
          <w:kern w:val="0"/>
          <w:sz w:val="32"/>
          <w:szCs w:val="32"/>
          <w:lang w:val="zh-CN" w:eastAsia="zh-CN"/>
        </w:rPr>
        <w:t>2025年</w:t>
      </w:r>
      <w:r>
        <w:rPr>
          <w:rFonts w:hint="eastAsia" w:eastAsia="仿宋_GB2312" w:cs="Times New Roman"/>
          <w:kern w:val="0"/>
          <w:sz w:val="32"/>
          <w:szCs w:val="32"/>
          <w:lang w:val="en-US" w:eastAsia="zh-CN"/>
        </w:rPr>
        <w:t>黑虎镇</w:t>
      </w:r>
      <w:r>
        <w:rPr>
          <w:rFonts w:hint="default" w:ascii="Times New Roman" w:hAnsi="Times New Roman" w:eastAsia="仿宋_GB2312" w:cs="Times New Roman"/>
          <w:kern w:val="0"/>
          <w:sz w:val="32"/>
          <w:szCs w:val="32"/>
          <w:lang w:val="zh-CN" w:eastAsia="zh-CN"/>
        </w:rPr>
        <w:t>财务制度健全，资金使用合规，审批流程规范，无截留、挤占、挪用资金情况，财务监控有效，风险防控到位。</w:t>
      </w:r>
      <w:r>
        <w:rPr>
          <w:rFonts w:hint="eastAsia" w:ascii="仿宋_GB2312" w:hAnsi="仿宋_GB2312" w:eastAsia="仿宋_GB2312" w:cs="仿宋_GB2312"/>
          <w:b/>
          <w:sz w:val="32"/>
          <w:szCs w:val="32"/>
          <w:lang w:val="en-US" w:eastAsia="zh-CN"/>
        </w:rPr>
        <w:t xml:space="preserve">              </w:t>
      </w:r>
    </w:p>
    <w:p w14:paraId="75ABDB0C">
      <w:pPr>
        <w:pStyle w:val="16"/>
        <w:ind w:left="0" w:leftChars="0" w:firstLine="0" w:firstLineChars="0"/>
        <w:jc w:val="both"/>
        <w:rPr>
          <w:rFonts w:hint="default" w:ascii="Times New Roman" w:hAnsi="Times New Roman" w:eastAsia="仿宋_GB2312" w:cs="Times New Roman"/>
          <w:color w:val="000000"/>
          <w:kern w:val="0"/>
          <w:sz w:val="32"/>
          <w:szCs w:val="32"/>
          <w:shd w:val="clear" w:color="auto" w:fill="FFFFFF"/>
          <w:lang w:val="zh-CN"/>
        </w:rPr>
      </w:pPr>
      <w:r>
        <w:rPr>
          <w:rFonts w:hint="eastAsia" w:ascii="仿宋_GB2312" w:hAnsi="仿宋_GB2312" w:eastAsia="仿宋_GB2312" w:cs="仿宋_GB2312"/>
          <w:b/>
          <w:sz w:val="32"/>
          <w:szCs w:val="32"/>
          <w:lang w:val="en-US" w:eastAsia="zh-CN"/>
        </w:rPr>
        <w:t xml:space="preserve">    </w:t>
      </w:r>
      <w:r>
        <w:rPr>
          <w:rFonts w:hint="eastAsia" w:ascii="仿宋_GB2312" w:hAnsi="仿宋_GB2312" w:eastAsia="仿宋_GB2312" w:cs="仿宋_GB2312"/>
          <w:b w:val="0"/>
          <w:bCs/>
          <w:sz w:val="32"/>
          <w:szCs w:val="32"/>
          <w:lang w:val="en-US" w:eastAsia="zh-CN"/>
        </w:rPr>
        <w:t>4.资产管理。</w:t>
      </w:r>
      <w:r>
        <w:rPr>
          <w:rFonts w:hint="default" w:ascii="Times New Roman" w:hAnsi="Times New Roman" w:eastAsia="仿宋_GB2312" w:cs="Times New Roman"/>
          <w:color w:val="000000"/>
          <w:kern w:val="0"/>
          <w:sz w:val="32"/>
          <w:szCs w:val="32"/>
          <w:shd w:val="clear" w:color="auto" w:fill="FFFFFF"/>
          <w:lang w:val="zh-CN"/>
        </w:rPr>
        <w:t>人均资产无变化，科学合理分配使用资产，资产利用率</w:t>
      </w:r>
      <w:r>
        <w:rPr>
          <w:rFonts w:hint="default" w:ascii="Times New Roman" w:hAnsi="Times New Roman" w:eastAsia="仿宋_GB2312" w:cs="Times New Roman"/>
          <w:color w:val="000000"/>
          <w:kern w:val="0"/>
          <w:sz w:val="32"/>
          <w:szCs w:val="32"/>
          <w:shd w:val="clear" w:color="auto" w:fill="FFFFFF"/>
          <w:lang w:val="en-US" w:eastAsia="zh-CN"/>
        </w:rPr>
        <w:t>100%。</w:t>
      </w:r>
      <w:r>
        <w:rPr>
          <w:rFonts w:hint="default" w:ascii="Times New Roman" w:hAnsi="Times New Roman" w:eastAsia="仿宋_GB2312" w:cs="Times New Roman"/>
          <w:color w:val="000000"/>
          <w:kern w:val="0"/>
          <w:sz w:val="32"/>
          <w:szCs w:val="32"/>
          <w:shd w:val="clear" w:color="auto" w:fill="FFFFFF"/>
          <w:lang w:val="zh-CN"/>
        </w:rPr>
        <w:t>无闲置资产。</w:t>
      </w:r>
    </w:p>
    <w:p w14:paraId="6650C9FE">
      <w:pPr>
        <w:pageBreakBefore w:val="0"/>
        <w:widowControl/>
        <w:kinsoku/>
        <w:wordWrap/>
        <w:overflowPunct/>
        <w:topLinePunct w:val="0"/>
        <w:bidi w:val="0"/>
        <w:adjustRightInd w:val="0"/>
        <w:snapToGrid w:val="0"/>
        <w:spacing w:line="576" w:lineRule="exact"/>
        <w:ind w:firstLine="640" w:firstLineChars="200"/>
        <w:contextualSpacing/>
        <w:jc w:val="both"/>
        <w:textAlignment w:val="auto"/>
        <w:rPr>
          <w:rFonts w:hint="eastAsia" w:ascii="仿宋_GB2312" w:hAnsi="仿宋_GB2312" w:eastAsia="仿宋_GB2312" w:cs="仿宋_GB2312"/>
          <w:color w:val="auto"/>
          <w:kern w:val="2"/>
          <w:sz w:val="32"/>
          <w:szCs w:val="32"/>
          <w:lang w:val="zh-CN" w:eastAsia="zh-CN"/>
        </w:rPr>
      </w:pPr>
      <w:r>
        <w:rPr>
          <w:rFonts w:hint="eastAsia" w:ascii="仿宋_GB2312" w:hAnsi="仿宋_GB2312" w:eastAsia="仿宋_GB2312" w:cs="仿宋_GB2312"/>
          <w:b w:val="0"/>
          <w:bCs/>
          <w:sz w:val="32"/>
          <w:szCs w:val="32"/>
          <w:lang w:val="zh-CN" w:eastAsia="zh-CN"/>
        </w:rPr>
        <w:t>5.采购管理。</w:t>
      </w:r>
      <w:r>
        <w:rPr>
          <w:rFonts w:hint="default" w:ascii="Times New Roman" w:hAnsi="Times New Roman" w:eastAsia="仿宋_GB2312" w:cs="Times New Roman"/>
          <w:color w:val="000000"/>
          <w:kern w:val="0"/>
          <w:sz w:val="32"/>
          <w:szCs w:val="32"/>
          <w:shd w:val="clear" w:color="auto" w:fill="FFFFFF"/>
          <w:lang w:val="zh-CN" w:eastAsia="zh-CN"/>
        </w:rPr>
        <w:t>严格执行政府采购相关规定，采购流程规范，采购效率高，做到公开、公平、公正。</w:t>
      </w:r>
    </w:p>
    <w:p w14:paraId="0E6DA3AE">
      <w:pPr>
        <w:pageBreakBefore w:val="0"/>
        <w:kinsoku/>
        <w:wordWrap/>
        <w:overflowPunct/>
        <w:topLinePunct w:val="0"/>
        <w:bidi w:val="0"/>
        <w:spacing w:line="576" w:lineRule="exact"/>
        <w:ind w:firstLine="643" w:firstLineChars="200"/>
        <w:jc w:val="both"/>
        <w:textAlignment w:val="auto"/>
        <w:outlineLvl w:val="2"/>
        <w:rPr>
          <w:rFonts w:hint="eastAsia" w:ascii="Times New Roman" w:hAnsi="Times New Roman" w:eastAsia="楷体_GB2312" w:cs="Times New Roman"/>
          <w:b/>
          <w:color w:val="auto"/>
          <w:sz w:val="32"/>
          <w:szCs w:val="32"/>
          <w:highlight w:val="none"/>
          <w:lang w:val="zh-CN"/>
        </w:rPr>
      </w:pPr>
      <w:r>
        <w:rPr>
          <w:rFonts w:hint="eastAsia" w:ascii="Times New Roman" w:hAnsi="Times New Roman" w:eastAsia="楷体_GB2312" w:cs="Times New Roman"/>
          <w:b/>
          <w:color w:val="auto"/>
          <w:sz w:val="32"/>
          <w:szCs w:val="32"/>
          <w:highlight w:val="none"/>
          <w:lang w:val="zh-CN"/>
        </w:rPr>
        <w:t>（二）部门预算项目绩效分析</w:t>
      </w:r>
    </w:p>
    <w:p w14:paraId="0C17589C">
      <w:pPr>
        <w:keepNext w:val="0"/>
        <w:keepLines w:val="0"/>
        <w:widowControl/>
        <w:suppressLineNumbers w:val="0"/>
        <w:ind w:firstLine="640" w:firstLineChars="200"/>
        <w:jc w:val="both"/>
        <w:rPr>
          <w:rFonts w:hint="eastAsia" w:ascii="仿宋_GB2312" w:hAnsi="仿宋_GB2312" w:eastAsia="仿宋_GB2312" w:cs="仿宋_GB2312"/>
          <w:color w:val="auto"/>
          <w:kern w:val="2"/>
          <w:sz w:val="32"/>
          <w:szCs w:val="32"/>
          <w:lang w:val="zh-CN" w:eastAsia="zh-CN"/>
        </w:rPr>
      </w:pPr>
      <w:r>
        <w:rPr>
          <w:rFonts w:hint="eastAsia" w:ascii="仿宋_GB2312" w:hAnsi="仿宋_GB2312" w:eastAsia="仿宋_GB2312" w:cs="仿宋_GB2312"/>
          <w:color w:val="auto"/>
          <w:kern w:val="2"/>
          <w:sz w:val="32"/>
          <w:szCs w:val="32"/>
          <w:lang w:val="zh-CN" w:eastAsia="zh-CN"/>
        </w:rPr>
        <w:t>常年项目绩效分析。该类项目总数</w:t>
      </w:r>
      <w:r>
        <w:rPr>
          <w:rFonts w:hint="eastAsia" w:ascii="仿宋_GB2312" w:hAnsi="仿宋_GB2312" w:eastAsia="仿宋_GB2312" w:cs="仿宋_GB2312"/>
          <w:color w:val="auto"/>
          <w:kern w:val="2"/>
          <w:sz w:val="32"/>
          <w:szCs w:val="32"/>
          <w:lang w:val="en-US" w:eastAsia="zh-CN"/>
        </w:rPr>
        <w:t>5</w:t>
      </w:r>
      <w:r>
        <w:rPr>
          <w:rFonts w:hint="eastAsia" w:ascii="仿宋_GB2312" w:hAnsi="仿宋_GB2312" w:eastAsia="仿宋_GB2312" w:cs="仿宋_GB2312"/>
          <w:color w:val="auto"/>
          <w:kern w:val="2"/>
          <w:sz w:val="32"/>
          <w:szCs w:val="32"/>
          <w:lang w:val="zh-CN" w:eastAsia="zh-CN"/>
        </w:rPr>
        <w:t>个，涉及预算总金额</w:t>
      </w:r>
      <w:r>
        <w:rPr>
          <w:rFonts w:hint="eastAsia" w:ascii="仿宋_GB2312" w:hAnsi="仿宋_GB2312" w:eastAsia="仿宋_GB2312" w:cs="仿宋_GB2312"/>
          <w:color w:val="auto"/>
          <w:kern w:val="2"/>
          <w:sz w:val="32"/>
          <w:szCs w:val="32"/>
          <w:lang w:val="en-US" w:eastAsia="zh-CN"/>
        </w:rPr>
        <w:t>76.2</w:t>
      </w:r>
      <w:r>
        <w:rPr>
          <w:rFonts w:hint="eastAsia" w:ascii="仿宋_GB2312" w:hAnsi="仿宋_GB2312" w:eastAsia="仿宋_GB2312" w:cs="仿宋_GB2312"/>
          <w:color w:val="auto"/>
          <w:kern w:val="2"/>
          <w:sz w:val="32"/>
          <w:szCs w:val="32"/>
          <w:lang w:val="zh-CN" w:eastAsia="zh-CN"/>
        </w:rPr>
        <w:t>万元，1—12月预算执行总体进度为100%，其中：预算结余率大于10%的项目共计0个。</w:t>
      </w:r>
    </w:p>
    <w:p w14:paraId="4A407809">
      <w:pPr>
        <w:keepNext w:val="0"/>
        <w:keepLines w:val="0"/>
        <w:widowControl/>
        <w:suppressLineNumbers w:val="0"/>
        <w:ind w:firstLine="640" w:firstLineChars="200"/>
        <w:jc w:val="both"/>
        <w:rPr>
          <w:rFonts w:hint="eastAsia" w:ascii="仿宋_GB2312" w:hAnsi="仿宋_GB2312" w:eastAsia="仿宋_GB2312" w:cs="仿宋_GB2312"/>
          <w:color w:val="auto"/>
          <w:kern w:val="2"/>
          <w:sz w:val="32"/>
          <w:szCs w:val="32"/>
          <w:lang w:val="zh-CN" w:eastAsia="zh-CN"/>
        </w:rPr>
      </w:pPr>
      <w:r>
        <w:rPr>
          <w:rFonts w:hint="eastAsia" w:ascii="仿宋_GB2312" w:hAnsi="仿宋_GB2312" w:eastAsia="仿宋_GB2312" w:cs="仿宋_GB2312"/>
          <w:color w:val="auto"/>
          <w:kern w:val="2"/>
          <w:sz w:val="32"/>
          <w:szCs w:val="32"/>
          <w:lang w:val="zh-CN" w:eastAsia="zh-CN"/>
        </w:rPr>
        <w:t>阶段（</w:t>
      </w:r>
      <w:r>
        <w:rPr>
          <w:rFonts w:hint="eastAsia" w:ascii="仿宋_GB2312" w:hAnsi="仿宋_GB2312" w:eastAsia="仿宋_GB2312" w:cs="仿宋_GB2312"/>
          <w:color w:val="auto"/>
          <w:kern w:val="2"/>
          <w:sz w:val="32"/>
          <w:szCs w:val="32"/>
          <w:lang w:val="en-US" w:eastAsia="zh-CN"/>
        </w:rPr>
        <w:t>含</w:t>
      </w:r>
      <w:r>
        <w:rPr>
          <w:rFonts w:hint="eastAsia" w:ascii="仿宋_GB2312" w:hAnsi="仿宋_GB2312" w:eastAsia="仿宋_GB2312" w:cs="仿宋_GB2312"/>
          <w:color w:val="auto"/>
          <w:kern w:val="2"/>
          <w:sz w:val="32"/>
          <w:szCs w:val="32"/>
          <w:lang w:val="zh-CN" w:eastAsia="zh-CN"/>
        </w:rPr>
        <w:t>一次性）项目绩效分析。该类项目总数</w:t>
      </w:r>
      <w:r>
        <w:rPr>
          <w:rFonts w:hint="eastAsia" w:ascii="仿宋_GB2312" w:hAnsi="仿宋_GB2312" w:eastAsia="仿宋_GB2312" w:cs="仿宋_GB2312"/>
          <w:color w:val="auto"/>
          <w:kern w:val="2"/>
          <w:sz w:val="32"/>
          <w:szCs w:val="32"/>
          <w:lang w:val="en-US" w:eastAsia="zh-CN"/>
        </w:rPr>
        <w:t>6</w:t>
      </w:r>
      <w:r>
        <w:rPr>
          <w:rFonts w:hint="eastAsia" w:ascii="仿宋_GB2312" w:hAnsi="仿宋_GB2312" w:eastAsia="仿宋_GB2312" w:cs="仿宋_GB2312"/>
          <w:color w:val="auto"/>
          <w:kern w:val="2"/>
          <w:sz w:val="32"/>
          <w:szCs w:val="32"/>
          <w:lang w:val="zh-CN" w:eastAsia="zh-CN"/>
        </w:rPr>
        <w:t>个，涉及预算总金额</w:t>
      </w:r>
      <w:r>
        <w:rPr>
          <w:rFonts w:hint="eastAsia" w:ascii="仿宋_GB2312" w:hAnsi="仿宋_GB2312" w:eastAsia="仿宋_GB2312" w:cs="仿宋_GB2312"/>
          <w:color w:val="auto"/>
          <w:kern w:val="2"/>
          <w:sz w:val="32"/>
          <w:szCs w:val="32"/>
          <w:lang w:val="en-US" w:eastAsia="zh-CN"/>
        </w:rPr>
        <w:t>66.59</w:t>
      </w:r>
      <w:r>
        <w:rPr>
          <w:rFonts w:hint="eastAsia" w:ascii="仿宋_GB2312" w:hAnsi="仿宋_GB2312" w:eastAsia="仿宋_GB2312" w:cs="仿宋_GB2312"/>
          <w:color w:val="auto"/>
          <w:kern w:val="2"/>
          <w:sz w:val="32"/>
          <w:szCs w:val="32"/>
          <w:lang w:val="zh-CN" w:eastAsia="zh-CN"/>
        </w:rPr>
        <w:t>万元，1—12月预算执行总体进度为100%，其中：预算结余率大于10%的项目共计0个。</w:t>
      </w:r>
    </w:p>
    <w:p w14:paraId="7F3C3888">
      <w:pPr>
        <w:spacing w:line="560" w:lineRule="exact"/>
        <w:ind w:firstLine="640" w:firstLineChars="200"/>
        <w:jc w:val="both"/>
        <w:rPr>
          <w:rFonts w:hint="eastAsia" w:ascii="仿宋_GB2312" w:hAnsi="仿宋_GB2312" w:eastAsia="仿宋_GB2312" w:cs="仿宋_GB2312"/>
          <w:color w:val="auto"/>
          <w:kern w:val="2"/>
          <w:sz w:val="32"/>
          <w:szCs w:val="32"/>
          <w:lang w:eastAsia="zh-CN"/>
        </w:rPr>
      </w:pPr>
      <w:r>
        <w:rPr>
          <w:rFonts w:hint="eastAsia" w:ascii="仿宋_GB2312" w:hAnsi="仿宋_GB2312" w:eastAsia="仿宋_GB2312" w:cs="仿宋_GB2312"/>
          <w:b w:val="0"/>
          <w:bCs/>
          <w:sz w:val="32"/>
          <w:szCs w:val="32"/>
          <w:lang w:val="en-US" w:eastAsia="zh-CN"/>
        </w:rPr>
        <w:t>1.</w:t>
      </w:r>
      <w:r>
        <w:rPr>
          <w:rFonts w:hint="eastAsia" w:ascii="仿宋_GB2312" w:hAnsi="仿宋_GB2312" w:eastAsia="仿宋_GB2312" w:cs="仿宋_GB2312"/>
          <w:b w:val="0"/>
          <w:bCs/>
          <w:sz w:val="32"/>
          <w:szCs w:val="32"/>
          <w:lang w:val="zh-CN"/>
        </w:rPr>
        <w:t>项目决策。</w:t>
      </w:r>
      <w:r>
        <w:rPr>
          <w:rFonts w:hint="eastAsia" w:ascii="仿宋_GB2312" w:hAnsi="仿宋_GB2312" w:eastAsia="仿宋_GB2312" w:cs="仿宋_GB2312"/>
          <w:color w:val="auto"/>
          <w:kern w:val="2"/>
          <w:sz w:val="32"/>
          <w:szCs w:val="32"/>
          <w:lang w:eastAsia="zh-CN"/>
        </w:rPr>
        <w:t xml:space="preserve">采购、施工、服务类项目采用政府集采、签订合同（协议）方式实施。按程序确定承接机构，通过制定实施方案、图纸设计、财评、项目立项等程序，项目由黑虎镇组织实施，由具体项目实施单位承办，项目实施完成后，经验收合格，项目资金支付到具体项目实施单位账户。全部项目实施过程中，我镇负责指导和监督。 </w:t>
      </w:r>
    </w:p>
    <w:p w14:paraId="47B7EE3D">
      <w:pPr>
        <w:spacing w:line="560" w:lineRule="exact"/>
        <w:ind w:firstLine="640" w:firstLineChars="200"/>
        <w:rPr>
          <w:rFonts w:hint="eastAsia" w:ascii="仿宋_GB2312" w:hAnsi="仿宋_GB2312" w:eastAsia="仿宋_GB2312" w:cs="仿宋_GB2312"/>
          <w:b w:val="0"/>
          <w:bCs/>
          <w:sz w:val="32"/>
          <w:szCs w:val="32"/>
          <w:lang w:val="zh-CN"/>
        </w:rPr>
      </w:pPr>
      <w:r>
        <w:rPr>
          <w:rFonts w:hint="eastAsia" w:ascii="仿宋_GB2312" w:hAnsi="仿宋_GB2312" w:eastAsia="仿宋_GB2312" w:cs="仿宋_GB2312"/>
          <w:b w:val="0"/>
          <w:bCs/>
          <w:sz w:val="32"/>
          <w:szCs w:val="32"/>
          <w:lang w:val="en-US" w:eastAsia="zh-CN"/>
        </w:rPr>
        <w:t>2.</w:t>
      </w:r>
      <w:r>
        <w:rPr>
          <w:rFonts w:hint="eastAsia" w:ascii="仿宋_GB2312" w:hAnsi="仿宋_GB2312" w:eastAsia="仿宋_GB2312" w:cs="仿宋_GB2312"/>
          <w:b w:val="0"/>
          <w:bCs/>
          <w:sz w:val="32"/>
          <w:szCs w:val="32"/>
          <w:lang w:val="zh-CN"/>
        </w:rPr>
        <w:t>项目执行</w:t>
      </w:r>
    </w:p>
    <w:p w14:paraId="0A044B85">
      <w:pPr>
        <w:pageBreakBefore w:val="0"/>
        <w:widowControl w:val="0"/>
        <w:kinsoku/>
        <w:wordWrap/>
        <w:overflowPunct/>
        <w:topLinePunct w:val="0"/>
        <w:bidi w:val="0"/>
        <w:spacing w:before="0" w:beforeLines="0" w:line="576" w:lineRule="exact"/>
        <w:ind w:left="0" w:leftChars="0" w:firstLine="640" w:firstLineChars="200"/>
        <w:jc w:val="both"/>
        <w:textAlignment w:val="auto"/>
        <w:rPr>
          <w:rFonts w:hint="default" w:ascii="Times New Roman" w:hAnsi="Times New Roman" w:eastAsia="仿宋_GB2312" w:cs="Times New Roman"/>
          <w:color w:val="000000"/>
          <w:kern w:val="0"/>
          <w:sz w:val="32"/>
          <w:szCs w:val="32"/>
          <w:shd w:val="clear" w:color="auto" w:fill="FFFFFF"/>
          <w:lang w:val="en-US" w:eastAsia="zh-CN" w:bidi="ar-SA"/>
        </w:rPr>
      </w:pPr>
      <w:r>
        <w:rPr>
          <w:rFonts w:hint="eastAsia" w:ascii="Times New Roman" w:hAnsi="Times New Roman" w:eastAsia="仿宋_GB2312" w:cs="Times New Roman"/>
          <w:color w:val="000000"/>
          <w:kern w:val="0"/>
          <w:sz w:val="32"/>
          <w:szCs w:val="32"/>
          <w:shd w:val="clear" w:color="auto" w:fill="FFFFFF"/>
          <w:lang w:val="zh-CN" w:eastAsia="zh-CN" w:bidi="ar-SA"/>
        </w:rPr>
        <w:t>2024年茂县农村公路县级配套养护资金，</w:t>
      </w:r>
      <w:r>
        <w:rPr>
          <w:rFonts w:hint="default" w:ascii="Times New Roman" w:hAnsi="Times New Roman" w:eastAsia="仿宋_GB2312" w:cs="Times New Roman"/>
          <w:color w:val="000000"/>
          <w:kern w:val="0"/>
          <w:sz w:val="32"/>
          <w:szCs w:val="32"/>
          <w:shd w:val="clear" w:color="auto" w:fill="FFFFFF"/>
          <w:lang w:val="en-US" w:eastAsia="zh-CN" w:bidi="ar-SA"/>
        </w:rPr>
        <w:t>预算数</w:t>
      </w:r>
      <w:r>
        <w:rPr>
          <w:rFonts w:hint="eastAsia" w:ascii="Times New Roman" w:hAnsi="Times New Roman" w:eastAsia="仿宋_GB2312" w:cs="Times New Roman"/>
          <w:color w:val="000000"/>
          <w:kern w:val="0"/>
          <w:sz w:val="32"/>
          <w:szCs w:val="32"/>
          <w:shd w:val="clear" w:color="auto" w:fill="FFFFFF"/>
          <w:lang w:val="en-US" w:eastAsia="zh-CN" w:bidi="ar-SA"/>
        </w:rPr>
        <w:t>4.32</w:t>
      </w:r>
      <w:r>
        <w:rPr>
          <w:rFonts w:hint="default" w:ascii="Times New Roman" w:hAnsi="Times New Roman" w:eastAsia="仿宋_GB2312" w:cs="Times New Roman"/>
          <w:color w:val="000000"/>
          <w:kern w:val="0"/>
          <w:sz w:val="32"/>
          <w:szCs w:val="32"/>
          <w:shd w:val="clear" w:color="auto" w:fill="FFFFFF"/>
          <w:lang w:val="en-US" w:eastAsia="zh-CN" w:bidi="ar-SA"/>
        </w:rPr>
        <w:t>万元，支付数</w:t>
      </w:r>
      <w:r>
        <w:rPr>
          <w:rFonts w:hint="eastAsia" w:ascii="Times New Roman" w:hAnsi="Times New Roman" w:eastAsia="仿宋_GB2312" w:cs="Times New Roman"/>
          <w:color w:val="000000"/>
          <w:kern w:val="0"/>
          <w:sz w:val="32"/>
          <w:szCs w:val="32"/>
          <w:shd w:val="clear" w:color="auto" w:fill="FFFFFF"/>
          <w:lang w:val="en-US" w:eastAsia="zh-CN" w:bidi="ar-SA"/>
        </w:rPr>
        <w:t>4.32</w:t>
      </w:r>
      <w:r>
        <w:rPr>
          <w:rFonts w:hint="default" w:ascii="Times New Roman" w:hAnsi="Times New Roman" w:eastAsia="仿宋_GB2312" w:cs="Times New Roman"/>
          <w:color w:val="000000"/>
          <w:kern w:val="0"/>
          <w:sz w:val="32"/>
          <w:szCs w:val="32"/>
          <w:shd w:val="clear" w:color="auto" w:fill="FFFFFF"/>
          <w:lang w:val="en-US" w:eastAsia="zh-CN" w:bidi="ar-SA"/>
        </w:rPr>
        <w:t>万元，执行进度100%。</w:t>
      </w:r>
    </w:p>
    <w:p w14:paraId="15F69750">
      <w:pPr>
        <w:pageBreakBefore w:val="0"/>
        <w:widowControl w:val="0"/>
        <w:kinsoku/>
        <w:wordWrap/>
        <w:overflowPunct/>
        <w:topLinePunct w:val="0"/>
        <w:bidi w:val="0"/>
        <w:spacing w:before="0" w:beforeLines="0" w:line="576" w:lineRule="exact"/>
        <w:ind w:left="0" w:leftChars="0" w:firstLine="640" w:firstLineChars="200"/>
        <w:jc w:val="both"/>
        <w:textAlignment w:val="auto"/>
        <w:rPr>
          <w:rFonts w:hint="default" w:ascii="Times New Roman" w:hAnsi="Times New Roman" w:eastAsia="仿宋_GB2312" w:cs="Times New Roman"/>
          <w:color w:val="000000"/>
          <w:kern w:val="0"/>
          <w:sz w:val="32"/>
          <w:szCs w:val="32"/>
          <w:shd w:val="clear" w:color="auto" w:fill="FFFFFF"/>
          <w:lang w:val="en-US" w:eastAsia="zh-CN" w:bidi="ar-SA"/>
        </w:rPr>
      </w:pPr>
      <w:r>
        <w:rPr>
          <w:rFonts w:hint="eastAsia" w:ascii="Times New Roman" w:hAnsi="Times New Roman" w:eastAsia="仿宋_GB2312" w:cs="Times New Roman"/>
          <w:color w:val="000000"/>
          <w:kern w:val="0"/>
          <w:sz w:val="32"/>
          <w:szCs w:val="32"/>
          <w:shd w:val="clear" w:color="auto" w:fill="FFFFFF"/>
          <w:lang w:val="zh-CN" w:eastAsia="zh-CN" w:bidi="ar-SA"/>
        </w:rPr>
        <w:t>2024年驻村工作队工作经费，</w:t>
      </w:r>
      <w:r>
        <w:rPr>
          <w:rFonts w:hint="default" w:ascii="Times New Roman" w:hAnsi="Times New Roman" w:eastAsia="仿宋_GB2312" w:cs="Times New Roman"/>
          <w:color w:val="000000"/>
          <w:kern w:val="0"/>
          <w:sz w:val="32"/>
          <w:szCs w:val="32"/>
          <w:shd w:val="clear" w:color="auto" w:fill="FFFFFF"/>
          <w:lang w:val="en-US" w:eastAsia="zh-CN" w:bidi="ar-SA"/>
        </w:rPr>
        <w:t>预算数</w:t>
      </w:r>
      <w:r>
        <w:rPr>
          <w:rFonts w:hint="eastAsia" w:ascii="Times New Roman" w:hAnsi="Times New Roman" w:eastAsia="仿宋_GB2312" w:cs="Times New Roman"/>
          <w:color w:val="000000"/>
          <w:kern w:val="0"/>
          <w:sz w:val="32"/>
          <w:szCs w:val="32"/>
          <w:shd w:val="clear" w:color="auto" w:fill="FFFFFF"/>
          <w:lang w:val="en-US" w:eastAsia="zh-CN" w:bidi="ar-SA"/>
        </w:rPr>
        <w:t>3.5</w:t>
      </w:r>
      <w:r>
        <w:rPr>
          <w:rFonts w:hint="default" w:ascii="Times New Roman" w:hAnsi="Times New Roman" w:eastAsia="仿宋_GB2312" w:cs="Times New Roman"/>
          <w:color w:val="000000"/>
          <w:kern w:val="0"/>
          <w:sz w:val="32"/>
          <w:szCs w:val="32"/>
          <w:shd w:val="clear" w:color="auto" w:fill="FFFFFF"/>
          <w:lang w:val="en-US" w:eastAsia="zh-CN" w:bidi="ar-SA"/>
        </w:rPr>
        <w:t>万元，支付数</w:t>
      </w:r>
      <w:r>
        <w:rPr>
          <w:rFonts w:hint="eastAsia" w:ascii="Times New Roman" w:hAnsi="Times New Roman" w:eastAsia="仿宋_GB2312" w:cs="Times New Roman"/>
          <w:color w:val="000000"/>
          <w:kern w:val="0"/>
          <w:sz w:val="32"/>
          <w:szCs w:val="32"/>
          <w:shd w:val="clear" w:color="auto" w:fill="FFFFFF"/>
          <w:lang w:val="en-US" w:eastAsia="zh-CN" w:bidi="ar-SA"/>
        </w:rPr>
        <w:t>3.5</w:t>
      </w:r>
      <w:r>
        <w:rPr>
          <w:rFonts w:hint="default" w:ascii="Times New Roman" w:hAnsi="Times New Roman" w:eastAsia="仿宋_GB2312" w:cs="Times New Roman"/>
          <w:color w:val="000000"/>
          <w:kern w:val="0"/>
          <w:sz w:val="32"/>
          <w:szCs w:val="32"/>
          <w:shd w:val="clear" w:color="auto" w:fill="FFFFFF"/>
          <w:lang w:val="en-US" w:eastAsia="zh-CN" w:bidi="ar-SA"/>
        </w:rPr>
        <w:t>万元，执行进度100%。</w:t>
      </w:r>
    </w:p>
    <w:p w14:paraId="12A0AFCB">
      <w:pPr>
        <w:pageBreakBefore w:val="0"/>
        <w:widowControl w:val="0"/>
        <w:kinsoku/>
        <w:wordWrap/>
        <w:overflowPunct/>
        <w:topLinePunct w:val="0"/>
        <w:bidi w:val="0"/>
        <w:spacing w:before="0" w:beforeLines="0" w:line="576" w:lineRule="exact"/>
        <w:ind w:left="0" w:leftChars="0" w:firstLine="640" w:firstLineChars="200"/>
        <w:jc w:val="both"/>
        <w:textAlignment w:val="auto"/>
        <w:rPr>
          <w:rFonts w:hint="default" w:ascii="Times New Roman" w:hAnsi="Times New Roman" w:eastAsia="仿宋_GB2312" w:cs="Times New Roman"/>
          <w:color w:val="000000"/>
          <w:kern w:val="0"/>
          <w:sz w:val="32"/>
          <w:szCs w:val="32"/>
          <w:shd w:val="clear" w:color="auto" w:fill="FFFFFF"/>
          <w:lang w:val="en-US" w:eastAsia="zh-CN" w:bidi="ar-SA"/>
        </w:rPr>
      </w:pPr>
      <w:r>
        <w:rPr>
          <w:rFonts w:hint="eastAsia" w:ascii="Times New Roman" w:hAnsi="Times New Roman" w:eastAsia="仿宋_GB2312" w:cs="Times New Roman"/>
          <w:color w:val="000000"/>
          <w:kern w:val="0"/>
          <w:sz w:val="32"/>
          <w:szCs w:val="32"/>
          <w:shd w:val="clear" w:color="auto" w:fill="FFFFFF"/>
          <w:lang w:val="zh-CN" w:eastAsia="zh-CN" w:bidi="ar-SA"/>
        </w:rPr>
        <w:t>开展11镇值守单位慰问活动，</w:t>
      </w:r>
      <w:r>
        <w:rPr>
          <w:rFonts w:hint="default" w:ascii="Times New Roman" w:hAnsi="Times New Roman" w:eastAsia="仿宋_GB2312" w:cs="Times New Roman"/>
          <w:color w:val="000000"/>
          <w:kern w:val="0"/>
          <w:sz w:val="32"/>
          <w:szCs w:val="32"/>
          <w:shd w:val="clear" w:color="auto" w:fill="FFFFFF"/>
          <w:lang w:val="en-US" w:eastAsia="zh-CN" w:bidi="ar-SA"/>
        </w:rPr>
        <w:t>预算数</w:t>
      </w:r>
      <w:r>
        <w:rPr>
          <w:rFonts w:hint="eastAsia" w:ascii="Times New Roman" w:hAnsi="Times New Roman" w:eastAsia="仿宋_GB2312" w:cs="Times New Roman"/>
          <w:color w:val="000000"/>
          <w:kern w:val="0"/>
          <w:sz w:val="32"/>
          <w:szCs w:val="32"/>
          <w:shd w:val="clear" w:color="auto" w:fill="FFFFFF"/>
          <w:lang w:val="en-US" w:eastAsia="zh-CN" w:bidi="ar-SA"/>
        </w:rPr>
        <w:t>0.5</w:t>
      </w:r>
      <w:r>
        <w:rPr>
          <w:rFonts w:hint="default" w:ascii="Times New Roman" w:hAnsi="Times New Roman" w:eastAsia="仿宋_GB2312" w:cs="Times New Roman"/>
          <w:color w:val="000000"/>
          <w:kern w:val="0"/>
          <w:sz w:val="32"/>
          <w:szCs w:val="32"/>
          <w:shd w:val="clear" w:color="auto" w:fill="FFFFFF"/>
          <w:lang w:val="en-US" w:eastAsia="zh-CN" w:bidi="ar-SA"/>
        </w:rPr>
        <w:t>万元，支付数</w:t>
      </w:r>
      <w:r>
        <w:rPr>
          <w:rFonts w:hint="eastAsia" w:ascii="Times New Roman" w:hAnsi="Times New Roman" w:eastAsia="仿宋_GB2312" w:cs="Times New Roman"/>
          <w:color w:val="000000"/>
          <w:kern w:val="0"/>
          <w:sz w:val="32"/>
          <w:szCs w:val="32"/>
          <w:shd w:val="clear" w:color="auto" w:fill="FFFFFF"/>
          <w:lang w:val="en-US" w:eastAsia="zh-CN" w:bidi="ar-SA"/>
        </w:rPr>
        <w:t>0.5</w:t>
      </w:r>
      <w:r>
        <w:rPr>
          <w:rFonts w:hint="default" w:ascii="Times New Roman" w:hAnsi="Times New Roman" w:eastAsia="仿宋_GB2312" w:cs="Times New Roman"/>
          <w:color w:val="000000"/>
          <w:kern w:val="0"/>
          <w:sz w:val="32"/>
          <w:szCs w:val="32"/>
          <w:shd w:val="clear" w:color="auto" w:fill="FFFFFF"/>
          <w:lang w:val="en-US" w:eastAsia="zh-CN" w:bidi="ar-SA"/>
        </w:rPr>
        <w:t>万元，执行进度100%。</w:t>
      </w:r>
    </w:p>
    <w:p w14:paraId="63151E39">
      <w:pPr>
        <w:pageBreakBefore w:val="0"/>
        <w:widowControl w:val="0"/>
        <w:kinsoku/>
        <w:wordWrap/>
        <w:overflowPunct/>
        <w:topLinePunct w:val="0"/>
        <w:bidi w:val="0"/>
        <w:spacing w:before="0" w:beforeLines="0" w:line="576" w:lineRule="exact"/>
        <w:ind w:left="0" w:leftChars="0" w:firstLine="640" w:firstLineChars="200"/>
        <w:jc w:val="both"/>
        <w:textAlignment w:val="auto"/>
        <w:rPr>
          <w:rFonts w:hint="default" w:ascii="Times New Roman" w:hAnsi="Times New Roman" w:eastAsia="仿宋_GB2312" w:cs="Times New Roman"/>
          <w:color w:val="000000"/>
          <w:kern w:val="0"/>
          <w:sz w:val="32"/>
          <w:szCs w:val="32"/>
          <w:shd w:val="clear" w:color="auto" w:fill="FFFFFF"/>
          <w:lang w:val="en-US" w:eastAsia="zh-CN" w:bidi="ar-SA"/>
        </w:rPr>
      </w:pPr>
      <w:r>
        <w:rPr>
          <w:rFonts w:hint="eastAsia" w:ascii="Times New Roman" w:hAnsi="Times New Roman" w:eastAsia="仿宋_GB2312" w:cs="Times New Roman"/>
          <w:color w:val="000000"/>
          <w:kern w:val="0"/>
          <w:sz w:val="32"/>
          <w:szCs w:val="32"/>
          <w:shd w:val="clear" w:color="auto" w:fill="FFFFFF"/>
          <w:lang w:val="zh-CN" w:eastAsia="zh-CN" w:bidi="ar-SA"/>
        </w:rPr>
        <w:t>省级村级公共服务经费补助资金，</w:t>
      </w:r>
      <w:r>
        <w:rPr>
          <w:rFonts w:hint="default" w:ascii="Times New Roman" w:hAnsi="Times New Roman" w:eastAsia="仿宋_GB2312" w:cs="Times New Roman"/>
          <w:color w:val="000000"/>
          <w:kern w:val="0"/>
          <w:sz w:val="32"/>
          <w:szCs w:val="32"/>
          <w:shd w:val="clear" w:color="auto" w:fill="FFFFFF"/>
          <w:lang w:val="en-US" w:eastAsia="zh-CN" w:bidi="ar-SA"/>
        </w:rPr>
        <w:t>预算数</w:t>
      </w:r>
      <w:r>
        <w:rPr>
          <w:rFonts w:hint="eastAsia" w:ascii="Times New Roman" w:hAnsi="Times New Roman" w:eastAsia="仿宋_GB2312" w:cs="Times New Roman"/>
          <w:color w:val="000000"/>
          <w:kern w:val="0"/>
          <w:sz w:val="32"/>
          <w:szCs w:val="32"/>
          <w:shd w:val="clear" w:color="auto" w:fill="FFFFFF"/>
          <w:lang w:val="en-US" w:eastAsia="zh-CN" w:bidi="ar-SA"/>
        </w:rPr>
        <w:t>40</w:t>
      </w:r>
      <w:r>
        <w:rPr>
          <w:rFonts w:hint="default" w:ascii="Times New Roman" w:hAnsi="Times New Roman" w:eastAsia="仿宋_GB2312" w:cs="Times New Roman"/>
          <w:color w:val="000000"/>
          <w:kern w:val="0"/>
          <w:sz w:val="32"/>
          <w:szCs w:val="32"/>
          <w:shd w:val="clear" w:color="auto" w:fill="FFFFFF"/>
          <w:lang w:val="en-US" w:eastAsia="zh-CN" w:bidi="ar-SA"/>
        </w:rPr>
        <w:t>万元，支付数</w:t>
      </w:r>
      <w:r>
        <w:rPr>
          <w:rFonts w:hint="eastAsia" w:ascii="Times New Roman" w:hAnsi="Times New Roman" w:eastAsia="仿宋_GB2312" w:cs="Times New Roman"/>
          <w:color w:val="000000"/>
          <w:kern w:val="0"/>
          <w:sz w:val="32"/>
          <w:szCs w:val="32"/>
          <w:shd w:val="clear" w:color="auto" w:fill="FFFFFF"/>
          <w:lang w:val="en-US" w:eastAsia="zh-CN" w:bidi="ar-SA"/>
        </w:rPr>
        <w:t>40</w:t>
      </w:r>
      <w:r>
        <w:rPr>
          <w:rFonts w:hint="default" w:ascii="Times New Roman" w:hAnsi="Times New Roman" w:eastAsia="仿宋_GB2312" w:cs="Times New Roman"/>
          <w:color w:val="000000"/>
          <w:kern w:val="0"/>
          <w:sz w:val="32"/>
          <w:szCs w:val="32"/>
          <w:shd w:val="clear" w:color="auto" w:fill="FFFFFF"/>
          <w:lang w:val="en-US" w:eastAsia="zh-CN" w:bidi="ar-SA"/>
        </w:rPr>
        <w:t>万元，执行进度100%。</w:t>
      </w:r>
    </w:p>
    <w:p w14:paraId="662723E0">
      <w:pPr>
        <w:pageBreakBefore w:val="0"/>
        <w:widowControl w:val="0"/>
        <w:kinsoku/>
        <w:wordWrap/>
        <w:overflowPunct/>
        <w:topLinePunct w:val="0"/>
        <w:bidi w:val="0"/>
        <w:spacing w:before="0" w:beforeLines="0" w:line="576" w:lineRule="exact"/>
        <w:ind w:left="0" w:leftChars="0" w:firstLine="640" w:firstLineChars="200"/>
        <w:jc w:val="both"/>
        <w:textAlignment w:val="auto"/>
        <w:rPr>
          <w:rFonts w:hint="default" w:ascii="Times New Roman" w:hAnsi="Times New Roman" w:eastAsia="仿宋_GB2312" w:cs="Times New Roman"/>
          <w:color w:val="000000"/>
          <w:kern w:val="0"/>
          <w:sz w:val="32"/>
          <w:szCs w:val="32"/>
          <w:shd w:val="clear" w:color="auto" w:fill="FFFFFF"/>
          <w:lang w:val="en-US" w:eastAsia="zh-CN" w:bidi="ar-SA"/>
        </w:rPr>
      </w:pPr>
      <w:r>
        <w:rPr>
          <w:rFonts w:hint="eastAsia" w:ascii="Times New Roman" w:hAnsi="Times New Roman" w:eastAsia="仿宋_GB2312" w:cs="Times New Roman"/>
          <w:color w:val="000000"/>
          <w:kern w:val="0"/>
          <w:sz w:val="32"/>
          <w:szCs w:val="32"/>
          <w:shd w:val="clear" w:color="auto" w:fill="FFFFFF"/>
          <w:lang w:val="zh-CN" w:eastAsia="zh-CN" w:bidi="ar-SA"/>
        </w:rPr>
        <w:t>黑虎镇垃圾转运费，</w:t>
      </w:r>
      <w:r>
        <w:rPr>
          <w:rFonts w:hint="default" w:ascii="Times New Roman" w:hAnsi="Times New Roman" w:eastAsia="仿宋_GB2312" w:cs="Times New Roman"/>
          <w:color w:val="000000"/>
          <w:kern w:val="0"/>
          <w:sz w:val="32"/>
          <w:szCs w:val="32"/>
          <w:shd w:val="clear" w:color="auto" w:fill="FFFFFF"/>
          <w:lang w:val="en-US" w:eastAsia="zh-CN" w:bidi="ar-SA"/>
        </w:rPr>
        <w:t>预算数</w:t>
      </w:r>
      <w:r>
        <w:rPr>
          <w:rFonts w:hint="eastAsia" w:ascii="Times New Roman" w:hAnsi="Times New Roman" w:eastAsia="仿宋_GB2312" w:cs="Times New Roman"/>
          <w:color w:val="000000"/>
          <w:kern w:val="0"/>
          <w:sz w:val="32"/>
          <w:szCs w:val="32"/>
          <w:shd w:val="clear" w:color="auto" w:fill="FFFFFF"/>
          <w:lang w:val="en-US" w:eastAsia="zh-CN" w:bidi="ar-SA"/>
        </w:rPr>
        <w:t>0.27</w:t>
      </w:r>
      <w:r>
        <w:rPr>
          <w:rFonts w:hint="default" w:ascii="Times New Roman" w:hAnsi="Times New Roman" w:eastAsia="仿宋_GB2312" w:cs="Times New Roman"/>
          <w:color w:val="000000"/>
          <w:kern w:val="0"/>
          <w:sz w:val="32"/>
          <w:szCs w:val="32"/>
          <w:shd w:val="clear" w:color="auto" w:fill="FFFFFF"/>
          <w:lang w:val="en-US" w:eastAsia="zh-CN" w:bidi="ar-SA"/>
        </w:rPr>
        <w:t>万元，支付数</w:t>
      </w:r>
      <w:r>
        <w:rPr>
          <w:rFonts w:hint="eastAsia" w:ascii="Times New Roman" w:hAnsi="Times New Roman" w:eastAsia="仿宋_GB2312" w:cs="Times New Roman"/>
          <w:color w:val="000000"/>
          <w:kern w:val="0"/>
          <w:sz w:val="32"/>
          <w:szCs w:val="32"/>
          <w:shd w:val="clear" w:color="auto" w:fill="FFFFFF"/>
          <w:lang w:val="en-US" w:eastAsia="zh-CN" w:bidi="ar-SA"/>
        </w:rPr>
        <w:t>0.27</w:t>
      </w:r>
      <w:r>
        <w:rPr>
          <w:rFonts w:hint="default" w:ascii="Times New Roman" w:hAnsi="Times New Roman" w:eastAsia="仿宋_GB2312" w:cs="Times New Roman"/>
          <w:color w:val="000000"/>
          <w:kern w:val="0"/>
          <w:sz w:val="32"/>
          <w:szCs w:val="32"/>
          <w:shd w:val="clear" w:color="auto" w:fill="FFFFFF"/>
          <w:lang w:val="en-US" w:eastAsia="zh-CN" w:bidi="ar-SA"/>
        </w:rPr>
        <w:t>万元，执行进度100%。</w:t>
      </w:r>
    </w:p>
    <w:p w14:paraId="3601F5A1">
      <w:pPr>
        <w:pageBreakBefore w:val="0"/>
        <w:widowControl w:val="0"/>
        <w:kinsoku/>
        <w:wordWrap/>
        <w:overflowPunct/>
        <w:topLinePunct w:val="0"/>
        <w:bidi w:val="0"/>
        <w:spacing w:before="0" w:beforeLines="0" w:line="576" w:lineRule="exact"/>
        <w:ind w:left="0" w:leftChars="0" w:firstLine="640" w:firstLineChars="200"/>
        <w:jc w:val="both"/>
        <w:textAlignment w:val="auto"/>
        <w:rPr>
          <w:rFonts w:hint="eastAsia" w:ascii="Times New Roman" w:hAnsi="Times New Roman" w:eastAsia="仿宋_GB2312" w:cs="Times New Roman"/>
          <w:color w:val="000000"/>
          <w:kern w:val="0"/>
          <w:sz w:val="32"/>
          <w:szCs w:val="32"/>
          <w:shd w:val="clear" w:color="auto" w:fill="FFFFFF"/>
          <w:lang w:val="zh-CN" w:eastAsia="zh-CN" w:bidi="ar-SA"/>
        </w:rPr>
      </w:pPr>
      <w:r>
        <w:rPr>
          <w:rFonts w:hint="eastAsia" w:ascii="Times New Roman" w:hAnsi="Times New Roman" w:eastAsia="仿宋_GB2312" w:cs="Times New Roman"/>
          <w:color w:val="000000"/>
          <w:kern w:val="0"/>
          <w:sz w:val="32"/>
          <w:szCs w:val="32"/>
          <w:shd w:val="clear" w:color="auto" w:fill="FFFFFF"/>
          <w:lang w:val="zh-CN" w:eastAsia="zh-CN" w:bidi="ar-SA"/>
        </w:rPr>
        <w:t>黑虎镇霭紫关村村内路灯建设项目，</w:t>
      </w:r>
      <w:r>
        <w:rPr>
          <w:rFonts w:hint="default" w:ascii="Times New Roman" w:hAnsi="Times New Roman" w:eastAsia="仿宋_GB2312" w:cs="Times New Roman"/>
          <w:color w:val="000000"/>
          <w:kern w:val="0"/>
          <w:sz w:val="32"/>
          <w:szCs w:val="32"/>
          <w:shd w:val="clear" w:color="auto" w:fill="FFFFFF"/>
          <w:lang w:val="en-US" w:eastAsia="zh-CN" w:bidi="ar-SA"/>
        </w:rPr>
        <w:t>预算数</w:t>
      </w:r>
      <w:r>
        <w:rPr>
          <w:rFonts w:hint="eastAsia" w:ascii="Times New Roman" w:hAnsi="Times New Roman" w:eastAsia="仿宋_GB2312" w:cs="Times New Roman"/>
          <w:color w:val="000000"/>
          <w:kern w:val="0"/>
          <w:sz w:val="32"/>
          <w:szCs w:val="32"/>
          <w:shd w:val="clear" w:color="auto" w:fill="FFFFFF"/>
          <w:lang w:val="en-US" w:eastAsia="zh-CN" w:bidi="ar-SA"/>
        </w:rPr>
        <w:t>18</w:t>
      </w:r>
      <w:r>
        <w:rPr>
          <w:rFonts w:hint="default" w:ascii="Times New Roman" w:hAnsi="Times New Roman" w:eastAsia="仿宋_GB2312" w:cs="Times New Roman"/>
          <w:color w:val="000000"/>
          <w:kern w:val="0"/>
          <w:sz w:val="32"/>
          <w:szCs w:val="32"/>
          <w:shd w:val="clear" w:color="auto" w:fill="FFFFFF"/>
          <w:lang w:val="en-US" w:eastAsia="zh-CN" w:bidi="ar-SA"/>
        </w:rPr>
        <w:t>万元，支付数</w:t>
      </w:r>
      <w:r>
        <w:rPr>
          <w:rFonts w:hint="eastAsia" w:ascii="Times New Roman" w:hAnsi="Times New Roman" w:eastAsia="仿宋_GB2312" w:cs="Times New Roman"/>
          <w:color w:val="000000"/>
          <w:kern w:val="0"/>
          <w:sz w:val="32"/>
          <w:szCs w:val="32"/>
          <w:shd w:val="clear" w:color="auto" w:fill="FFFFFF"/>
          <w:lang w:val="en-US" w:eastAsia="zh-CN" w:bidi="ar-SA"/>
        </w:rPr>
        <w:t>18</w:t>
      </w:r>
      <w:r>
        <w:rPr>
          <w:rFonts w:hint="default" w:ascii="Times New Roman" w:hAnsi="Times New Roman" w:eastAsia="仿宋_GB2312" w:cs="Times New Roman"/>
          <w:color w:val="000000"/>
          <w:kern w:val="0"/>
          <w:sz w:val="32"/>
          <w:szCs w:val="32"/>
          <w:shd w:val="clear" w:color="auto" w:fill="FFFFFF"/>
          <w:lang w:val="en-US" w:eastAsia="zh-CN" w:bidi="ar-SA"/>
        </w:rPr>
        <w:t>万元，执行进度100%。</w:t>
      </w:r>
      <w:bookmarkStart w:id="85" w:name="_GoBack"/>
      <w:bookmarkEnd w:id="85"/>
    </w:p>
    <w:p w14:paraId="0C33C12B">
      <w:pPr>
        <w:spacing w:line="560" w:lineRule="exact"/>
        <w:ind w:firstLine="640" w:firstLineChars="200"/>
        <w:rPr>
          <w:rFonts w:hint="eastAsia" w:ascii="仿宋_GB2312" w:hAnsi="仿宋_GB2312" w:eastAsia="仿宋_GB2312" w:cs="仿宋_GB2312"/>
          <w:color w:val="auto"/>
          <w:kern w:val="2"/>
          <w:sz w:val="32"/>
          <w:szCs w:val="32"/>
          <w:lang w:val="zh-CN" w:eastAsia="zh-CN"/>
        </w:rPr>
      </w:pPr>
      <w:r>
        <w:rPr>
          <w:rFonts w:hint="eastAsia" w:ascii="仿宋_GB2312" w:hAnsi="仿宋_GB2312" w:eastAsia="仿宋_GB2312" w:cs="仿宋_GB2312"/>
          <w:b w:val="0"/>
          <w:bCs/>
          <w:sz w:val="32"/>
          <w:szCs w:val="32"/>
          <w:lang w:val="en-US" w:eastAsia="zh-CN"/>
        </w:rPr>
        <w:t>3.</w:t>
      </w:r>
      <w:r>
        <w:rPr>
          <w:rFonts w:hint="eastAsia" w:ascii="仿宋_GB2312" w:hAnsi="仿宋_GB2312" w:eastAsia="仿宋_GB2312" w:cs="仿宋_GB2312"/>
          <w:b w:val="0"/>
          <w:bCs/>
          <w:sz w:val="32"/>
          <w:szCs w:val="32"/>
          <w:lang w:val="zh-CN" w:eastAsia="zh-CN"/>
        </w:rPr>
        <w:t>目标实现。</w:t>
      </w:r>
      <w:r>
        <w:rPr>
          <w:rFonts w:hint="eastAsia" w:ascii="仿宋_GB2312" w:hAnsi="仿宋_GB2312" w:eastAsia="仿宋_GB2312" w:cs="仿宋_GB2312"/>
          <w:color w:val="auto"/>
          <w:kern w:val="2"/>
          <w:sz w:val="32"/>
          <w:szCs w:val="32"/>
          <w:lang w:val="en-US" w:eastAsia="zh-CN"/>
        </w:rPr>
        <w:t>2025年黑虎镇项目工作符合年初绩效总体目标，未偏离原定计划。下一步工作将继续按照总体绩效目标要求，不断完善制度，落实政策，保障群众利益。</w:t>
      </w:r>
    </w:p>
    <w:p w14:paraId="1E589AA5">
      <w:pPr>
        <w:keepNext w:val="0"/>
        <w:keepLines w:val="0"/>
        <w:pageBreakBefore w:val="0"/>
        <w:widowControl w:val="0"/>
        <w:numPr>
          <w:ilvl w:val="0"/>
          <w:numId w:val="0"/>
        </w:numPr>
        <w:kinsoku/>
        <w:wordWrap/>
        <w:overflowPunct/>
        <w:topLinePunct w:val="0"/>
        <w:autoSpaceDE/>
        <w:autoSpaceDN/>
        <w:bidi w:val="0"/>
        <w:adjustRightInd w:val="0"/>
        <w:snapToGrid w:val="0"/>
        <w:spacing w:line="576" w:lineRule="exact"/>
        <w:ind w:firstLine="640" w:firstLineChars="200"/>
        <w:contextualSpacing/>
        <w:jc w:val="both"/>
        <w:textAlignment w:val="auto"/>
        <w:outlineLvl w:val="9"/>
        <w:rPr>
          <w:rFonts w:hint="eastAsia" w:ascii="仿宋_GB2312" w:hAnsi="仿宋_GB2312" w:eastAsia="仿宋_GB2312" w:cs="仿宋_GB2312"/>
          <w:color w:val="auto"/>
          <w:kern w:val="2"/>
          <w:sz w:val="32"/>
          <w:szCs w:val="32"/>
          <w:lang w:eastAsia="zh-CN"/>
        </w:rPr>
      </w:pPr>
      <w:r>
        <w:rPr>
          <w:rFonts w:hint="default" w:ascii="Times New Roman" w:hAnsi="Times New Roman" w:eastAsia="仿宋_GB2312" w:cs="Times New Roman"/>
          <w:sz w:val="32"/>
          <w:szCs w:val="32"/>
          <w:lang w:eastAsia="zh-CN"/>
        </w:rPr>
        <w:t>我</w:t>
      </w:r>
      <w:r>
        <w:rPr>
          <w:rFonts w:hint="eastAsia" w:eastAsia="仿宋_GB2312" w:cs="Times New Roman"/>
          <w:sz w:val="32"/>
          <w:szCs w:val="32"/>
          <w:lang w:val="en-US" w:eastAsia="zh-CN"/>
        </w:rPr>
        <w:t>镇</w:t>
      </w:r>
      <w:r>
        <w:rPr>
          <w:rFonts w:hint="default" w:ascii="Times New Roman" w:hAnsi="Times New Roman" w:eastAsia="仿宋_GB2312" w:cs="Times New Roman"/>
          <w:sz w:val="32"/>
          <w:szCs w:val="32"/>
          <w:lang w:eastAsia="zh-CN"/>
        </w:rPr>
        <w:t>无</w:t>
      </w:r>
      <w:r>
        <w:rPr>
          <w:rFonts w:hint="default" w:ascii="Times New Roman" w:hAnsi="Times New Roman" w:eastAsia="仿宋_GB2312" w:cs="Times New Roman"/>
          <w:sz w:val="32"/>
          <w:szCs w:val="32"/>
        </w:rPr>
        <w:t>省级部门对202</w:t>
      </w:r>
      <w:r>
        <w:rPr>
          <w:rFonts w:hint="eastAsia" w:eastAsia="仿宋_GB2312" w:cs="Times New Roman"/>
          <w:sz w:val="32"/>
          <w:szCs w:val="32"/>
          <w:lang w:val="en-US" w:eastAsia="zh-CN"/>
        </w:rPr>
        <w:t>5</w:t>
      </w:r>
      <w:r>
        <w:rPr>
          <w:rFonts w:hint="default" w:ascii="Times New Roman" w:hAnsi="Times New Roman" w:eastAsia="仿宋_GB2312" w:cs="Times New Roman"/>
          <w:sz w:val="32"/>
          <w:szCs w:val="32"/>
        </w:rPr>
        <w:t>年度一般公共预算、政府性基金预算、国有资本经营预算</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以及债券资金、政府购买服务。</w:t>
      </w:r>
    </w:p>
    <w:p w14:paraId="2132177A">
      <w:pPr>
        <w:pageBreakBefore w:val="0"/>
        <w:numPr>
          <w:ilvl w:val="0"/>
          <w:numId w:val="4"/>
        </w:numPr>
        <w:kinsoku/>
        <w:wordWrap/>
        <w:overflowPunct/>
        <w:topLinePunct w:val="0"/>
        <w:bidi w:val="0"/>
        <w:spacing w:line="576" w:lineRule="exact"/>
        <w:ind w:left="0" w:leftChars="0" w:firstLine="643" w:firstLineChars="200"/>
        <w:textAlignment w:val="auto"/>
        <w:outlineLvl w:val="2"/>
        <w:rPr>
          <w:rFonts w:hint="eastAsia" w:eastAsia="楷体_GB2312" w:cs="Times New Roman"/>
          <w:b/>
          <w:color w:val="auto"/>
          <w:sz w:val="32"/>
          <w:szCs w:val="32"/>
          <w:highlight w:val="none"/>
          <w:lang w:val="zh-CN" w:eastAsia="zh-CN"/>
        </w:rPr>
      </w:pPr>
      <w:r>
        <w:rPr>
          <w:rFonts w:hint="eastAsia" w:ascii="Times New Roman" w:hAnsi="Times New Roman" w:eastAsia="楷体_GB2312" w:cs="Times New Roman"/>
          <w:b/>
          <w:color w:val="auto"/>
          <w:sz w:val="32"/>
          <w:szCs w:val="32"/>
          <w:highlight w:val="none"/>
          <w:lang w:val="zh-CN" w:eastAsia="zh-CN"/>
        </w:rPr>
        <w:t>绩效结果应用情况</w:t>
      </w:r>
    </w:p>
    <w:p w14:paraId="6ED703BD">
      <w:pPr>
        <w:pageBreakBefore w:val="0"/>
        <w:numPr>
          <w:ilvl w:val="0"/>
          <w:numId w:val="0"/>
        </w:numPr>
        <w:kinsoku/>
        <w:wordWrap/>
        <w:overflowPunct/>
        <w:topLinePunct w:val="0"/>
        <w:bidi w:val="0"/>
        <w:spacing w:line="576" w:lineRule="exact"/>
        <w:ind w:firstLine="640" w:firstLineChars="200"/>
        <w:textAlignment w:val="auto"/>
        <w:outlineLvl w:val="2"/>
        <w:rPr>
          <w:rFonts w:hint="eastAsia" w:ascii="仿宋_GB2312" w:hAnsi="仿宋_GB2312" w:eastAsia="仿宋_GB2312" w:cs="仿宋_GB2312"/>
          <w:color w:val="auto"/>
          <w:kern w:val="2"/>
          <w:sz w:val="32"/>
          <w:szCs w:val="32"/>
          <w:lang w:val="zh-CN" w:eastAsia="zh-CN"/>
        </w:rPr>
      </w:pPr>
      <w:r>
        <w:rPr>
          <w:rFonts w:hint="eastAsia" w:ascii="仿宋_GB2312" w:hAnsi="仿宋_GB2312" w:eastAsia="仿宋_GB2312" w:cs="仿宋_GB2312"/>
          <w:color w:val="auto"/>
          <w:kern w:val="2"/>
          <w:sz w:val="32"/>
          <w:szCs w:val="32"/>
          <w:lang w:val="zh-CN" w:eastAsia="zh-CN"/>
        </w:rPr>
        <w:t>我镇严格按照项目资金管理办法对资金进行计划申请、划拨、使用，全面推行信息公开、公告、告示制度，确保项目建设资金使用公正透明，项目资金实行单独核算、专项使用，对项目资金的拨付都要求用途合理，手续齐全，极力避免专项资金被挤占、截留、挪用。按照计划，分工明确、仔细，完成计划工作。</w:t>
      </w:r>
    </w:p>
    <w:p w14:paraId="733CD159">
      <w:pPr>
        <w:spacing w:line="560" w:lineRule="exact"/>
        <w:ind w:firstLine="643" w:firstLineChars="200"/>
        <w:rPr>
          <w:rFonts w:hint="eastAsia" w:ascii="黑体" w:hAnsi="黑体" w:eastAsia="黑体" w:cs="黑体"/>
          <w:b/>
          <w:sz w:val="32"/>
          <w:szCs w:val="32"/>
          <w:lang w:val="zh-CN"/>
        </w:rPr>
      </w:pPr>
      <w:r>
        <w:rPr>
          <w:rFonts w:hint="eastAsia" w:ascii="黑体" w:hAnsi="黑体" w:eastAsia="黑体" w:cs="黑体"/>
          <w:b/>
          <w:sz w:val="32"/>
          <w:szCs w:val="32"/>
          <w:lang w:val="zh-CN"/>
        </w:rPr>
        <w:t>四、评价结论及建议</w:t>
      </w:r>
    </w:p>
    <w:p w14:paraId="07379A5A">
      <w:pPr>
        <w:pageBreakBefore w:val="0"/>
        <w:kinsoku/>
        <w:wordWrap/>
        <w:overflowPunct/>
        <w:topLinePunct w:val="0"/>
        <w:bidi w:val="0"/>
        <w:spacing w:line="576" w:lineRule="exact"/>
        <w:ind w:firstLine="643" w:firstLineChars="200"/>
        <w:textAlignment w:val="auto"/>
        <w:outlineLvl w:val="2"/>
        <w:rPr>
          <w:rFonts w:hint="eastAsia" w:ascii="仿宋_GB2312" w:hAnsi="仿宋_GB2312" w:eastAsia="仿宋_GB2312" w:cs="仿宋_GB2312"/>
          <w:color w:val="auto"/>
          <w:kern w:val="2"/>
          <w:sz w:val="32"/>
          <w:szCs w:val="32"/>
          <w:lang w:eastAsia="zh-CN"/>
        </w:rPr>
      </w:pPr>
      <w:r>
        <w:rPr>
          <w:rFonts w:hint="eastAsia" w:ascii="Times New Roman" w:hAnsi="Times New Roman" w:eastAsia="楷体_GB2312" w:cs="Times New Roman"/>
          <w:b/>
          <w:color w:val="auto"/>
          <w:sz w:val="32"/>
          <w:szCs w:val="32"/>
          <w:highlight w:val="none"/>
          <w:lang w:val="zh-CN" w:eastAsia="zh-CN"/>
        </w:rPr>
        <w:t>（一）评价结论</w:t>
      </w:r>
      <w:r>
        <w:rPr>
          <w:rFonts w:hint="eastAsia" w:eastAsia="楷体_GB2312" w:cs="Times New Roman"/>
          <w:b/>
          <w:color w:val="auto"/>
          <w:sz w:val="32"/>
          <w:szCs w:val="32"/>
          <w:highlight w:val="none"/>
          <w:lang w:val="zh-CN" w:eastAsia="zh-CN"/>
        </w:rPr>
        <w:t>。</w:t>
      </w:r>
      <w:r>
        <w:rPr>
          <w:rFonts w:hint="eastAsia" w:ascii="仿宋_GB2312" w:hAnsi="仿宋_GB2312" w:eastAsia="仿宋_GB2312" w:cs="仿宋_GB2312"/>
          <w:color w:val="auto"/>
          <w:kern w:val="2"/>
          <w:sz w:val="32"/>
          <w:szCs w:val="32"/>
          <w:lang w:eastAsia="zh-CN"/>
        </w:rPr>
        <w:t>本年度财政资金支出符合国家的政策，与实际需求高度相关；项目资金到位及时，项目实施过程中严格按实际需要实施，具有较好的经济效益和社会效益，项目实施效果较好；项目后期政策、资金、人员的落实，为项目可持续运行提供了较好的保障，具有高度可持续性。项目资金支出充分提升了广大困难群众的幸福感、获得感和安全感，切实解决了群众的服务需求，改善了居住环境。项目整体社会评价反馈良好，通过自评综合得分91.4。</w:t>
      </w:r>
    </w:p>
    <w:p w14:paraId="681A5426">
      <w:pPr>
        <w:pageBreakBefore w:val="0"/>
        <w:kinsoku/>
        <w:wordWrap/>
        <w:overflowPunct/>
        <w:topLinePunct w:val="0"/>
        <w:bidi w:val="0"/>
        <w:spacing w:line="576" w:lineRule="exact"/>
        <w:ind w:firstLine="643" w:firstLineChars="200"/>
        <w:textAlignment w:val="auto"/>
        <w:outlineLvl w:val="2"/>
        <w:rPr>
          <w:rFonts w:hint="eastAsia" w:ascii="仿宋_GB2312" w:hAnsi="仿宋_GB2312" w:eastAsia="仿宋_GB2312" w:cs="仿宋_GB2312"/>
          <w:color w:val="auto"/>
          <w:kern w:val="2"/>
          <w:sz w:val="32"/>
          <w:szCs w:val="32"/>
          <w:lang w:eastAsia="zh-CN"/>
        </w:rPr>
      </w:pPr>
      <w:r>
        <w:rPr>
          <w:rFonts w:hint="eastAsia" w:ascii="Times New Roman" w:hAnsi="Times New Roman" w:eastAsia="楷体_GB2312" w:cs="Times New Roman"/>
          <w:b/>
          <w:color w:val="auto"/>
          <w:sz w:val="32"/>
          <w:szCs w:val="32"/>
          <w:highlight w:val="none"/>
          <w:lang w:val="zh-CN" w:eastAsia="zh-CN"/>
        </w:rPr>
        <w:t>（二）存在问题</w:t>
      </w:r>
      <w:r>
        <w:rPr>
          <w:rFonts w:hint="eastAsia" w:eastAsia="楷体_GB2312" w:cs="Times New Roman"/>
          <w:b/>
          <w:color w:val="auto"/>
          <w:sz w:val="32"/>
          <w:szCs w:val="32"/>
          <w:highlight w:val="none"/>
          <w:lang w:val="zh-CN" w:eastAsia="zh-CN"/>
        </w:rPr>
        <w:t>。</w:t>
      </w:r>
      <w:r>
        <w:rPr>
          <w:rFonts w:hint="eastAsia" w:ascii="仿宋_GB2312" w:hAnsi="仿宋_GB2312" w:eastAsia="仿宋_GB2312" w:cs="仿宋_GB2312"/>
          <w:color w:val="auto"/>
          <w:kern w:val="2"/>
          <w:sz w:val="32"/>
          <w:szCs w:val="32"/>
          <w:lang w:val="en-US" w:eastAsia="zh-CN"/>
        </w:rPr>
        <w:t>注重项目资金的争取，项目建设工作，轻视对项目后续绩效评价工作。</w:t>
      </w:r>
    </w:p>
    <w:p w14:paraId="552A930A">
      <w:pPr>
        <w:pageBreakBefore w:val="0"/>
        <w:kinsoku/>
        <w:wordWrap/>
        <w:overflowPunct/>
        <w:topLinePunct w:val="0"/>
        <w:bidi w:val="0"/>
        <w:spacing w:line="576" w:lineRule="exact"/>
        <w:ind w:firstLine="643" w:firstLineChars="200"/>
        <w:textAlignment w:val="auto"/>
        <w:outlineLvl w:val="2"/>
        <w:rPr>
          <w:rFonts w:eastAsia="黑体"/>
        </w:rPr>
      </w:pPr>
      <w:r>
        <w:rPr>
          <w:rFonts w:hint="eastAsia" w:ascii="Times New Roman" w:hAnsi="Times New Roman" w:eastAsia="楷体_GB2312" w:cs="Times New Roman"/>
          <w:b/>
          <w:color w:val="auto"/>
          <w:sz w:val="32"/>
          <w:szCs w:val="32"/>
          <w:highlight w:val="none"/>
          <w:lang w:val="zh-CN" w:eastAsia="zh-CN"/>
        </w:rPr>
        <w:t>（三）改进建议</w:t>
      </w:r>
      <w:bookmarkStart w:id="67" w:name="_Hlk110546638"/>
      <w:r>
        <w:rPr>
          <w:rFonts w:hint="eastAsia" w:eastAsia="楷体_GB2312" w:cs="Times New Roman"/>
          <w:b/>
          <w:color w:val="auto"/>
          <w:sz w:val="32"/>
          <w:szCs w:val="32"/>
          <w:highlight w:val="none"/>
          <w:lang w:val="zh-CN" w:eastAsia="zh-CN"/>
        </w:rPr>
        <w:t>。</w:t>
      </w:r>
      <w:r>
        <w:rPr>
          <w:rFonts w:hint="eastAsia" w:ascii="仿宋_GB2312" w:hAnsi="仿宋_GB2312" w:eastAsia="仿宋_GB2312" w:cs="仿宋_GB2312"/>
          <w:b w:val="0"/>
          <w:bCs w:val="0"/>
          <w:kern w:val="0"/>
          <w:position w:val="0"/>
          <w:sz w:val="32"/>
          <w:szCs w:val="32"/>
          <w:highlight w:val="none"/>
          <w:lang w:val="en-US" w:eastAsia="zh-CN" w:bidi="ar-SA"/>
        </w:rPr>
        <w:t>加强部门预算绩效评价报告编写工作培训。</w:t>
      </w:r>
      <w:bookmarkEnd w:id="67"/>
    </w:p>
    <w:p w14:paraId="18195CA0">
      <w:pPr>
        <w:spacing w:line="578" w:lineRule="exact"/>
        <w:jc w:val="left"/>
        <w:rPr>
          <w:rFonts w:eastAsia="黑体"/>
        </w:rPr>
      </w:pPr>
    </w:p>
    <w:p w14:paraId="71AE448F">
      <w:pPr>
        <w:pStyle w:val="2"/>
        <w:rPr>
          <w:rFonts w:eastAsia="黑体"/>
        </w:rPr>
      </w:pPr>
    </w:p>
    <w:p w14:paraId="55029E30">
      <w:pPr>
        <w:rPr>
          <w:rFonts w:eastAsia="黑体"/>
        </w:rPr>
      </w:pPr>
    </w:p>
    <w:p w14:paraId="63A2543E">
      <w:pPr>
        <w:pStyle w:val="2"/>
      </w:pPr>
    </w:p>
    <w:p w14:paraId="2ABA3E84">
      <w:pPr>
        <w:rPr>
          <w:rFonts w:eastAsia="黑体"/>
        </w:rPr>
      </w:pPr>
    </w:p>
    <w:p w14:paraId="597B6819">
      <w:pPr>
        <w:pStyle w:val="19"/>
        <w:keepNext w:val="0"/>
        <w:keepLines w:val="0"/>
        <w:pageBreakBefore w:val="0"/>
        <w:numPr>
          <w:ilvl w:val="0"/>
          <w:numId w:val="0"/>
        </w:numPr>
        <w:kinsoku/>
        <w:wordWrap/>
        <w:overflowPunct/>
        <w:topLinePunct w:val="0"/>
        <w:autoSpaceDE/>
        <w:autoSpaceDN/>
        <w:bidi w:val="0"/>
        <w:spacing w:line="576" w:lineRule="exact"/>
        <w:textAlignment w:val="auto"/>
        <w:rPr>
          <w:rFonts w:hint="eastAsia" w:ascii="方正小标宋简体" w:hAnsi="方正小标宋简体" w:eastAsia="方正小标宋简体" w:cs="方正小标宋简体"/>
          <w:kern w:val="2"/>
          <w:sz w:val="28"/>
          <w:szCs w:val="28"/>
          <w:u w:val="none"/>
          <w:lang w:val="en-US" w:eastAsia="zh-CN" w:bidi="ar"/>
        </w:rPr>
      </w:pPr>
      <w:r>
        <w:rPr>
          <w:rFonts w:hint="eastAsia" w:ascii="方正小标宋简体" w:hAnsi="方正小标宋简体" w:eastAsia="方正小标宋简体" w:cs="方正小标宋简体"/>
          <w:kern w:val="2"/>
          <w:sz w:val="44"/>
          <w:szCs w:val="44"/>
          <w:u w:val="none"/>
          <w:lang w:val="en-US" w:eastAsia="zh-CN" w:bidi="ar"/>
        </w:rPr>
        <w:t>部门预算项目支出绩效自评表（2025年度）</w:t>
      </w:r>
    </w:p>
    <w:p w14:paraId="04BCC527">
      <w:pPr>
        <w:pStyle w:val="19"/>
        <w:keepNext w:val="0"/>
        <w:keepLines w:val="0"/>
        <w:pageBreakBefore w:val="0"/>
        <w:numPr>
          <w:ilvl w:val="0"/>
          <w:numId w:val="0"/>
        </w:numPr>
        <w:kinsoku/>
        <w:wordWrap/>
        <w:overflowPunct/>
        <w:topLinePunct w:val="0"/>
        <w:autoSpaceDE/>
        <w:autoSpaceDN/>
        <w:bidi w:val="0"/>
        <w:spacing w:line="576" w:lineRule="exact"/>
        <w:textAlignment w:val="auto"/>
        <w:rPr>
          <w:rFonts w:hint="eastAsia" w:ascii="方正小标宋简体" w:hAnsi="方正小标宋简体" w:eastAsia="方正小标宋简体" w:cs="方正小标宋简体"/>
          <w:kern w:val="2"/>
          <w:sz w:val="28"/>
          <w:szCs w:val="28"/>
          <w:u w:val="none"/>
          <w:lang w:val="en-US" w:eastAsia="zh-CN" w:bidi="ar"/>
        </w:rPr>
      </w:pPr>
    </w:p>
    <w:p w14:paraId="23B79B7F">
      <w:pPr>
        <w:rPr>
          <w:rFonts w:eastAsia="黑体"/>
        </w:rPr>
      </w:pPr>
    </w:p>
    <w:tbl>
      <w:tblPr>
        <w:tblStyle w:val="20"/>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76"/>
        <w:gridCol w:w="1036"/>
        <w:gridCol w:w="868"/>
        <w:gridCol w:w="1158"/>
        <w:gridCol w:w="396"/>
        <w:gridCol w:w="815"/>
        <w:gridCol w:w="396"/>
        <w:gridCol w:w="846"/>
        <w:gridCol w:w="486"/>
        <w:gridCol w:w="396"/>
        <w:gridCol w:w="1331"/>
      </w:tblGrid>
      <w:tr w14:paraId="237DFF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EC5C4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27"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85E2C0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51322325T000012592342-2024年茂县农村公路县级配套养护资金</w:t>
            </w:r>
          </w:p>
        </w:tc>
      </w:tr>
      <w:tr w14:paraId="766CCC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9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1A533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61FFB4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茂县黑虎镇人民政府</w:t>
            </w:r>
          </w:p>
        </w:tc>
        <w:tc>
          <w:tcPr>
            <w:tcW w:w="387" w:type="pct"/>
            <w:tcBorders>
              <w:top w:val="nil"/>
              <w:left w:val="nil"/>
              <w:bottom w:val="nil"/>
              <w:right w:val="nil"/>
            </w:tcBorders>
            <w:shd w:val="clear" w:color="auto" w:fill="auto"/>
            <w:vAlign w:val="center"/>
          </w:tcPr>
          <w:p w14:paraId="308FCF82">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5F7A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茂县黑虎镇人民政府（行政）</w:t>
            </w:r>
          </w:p>
        </w:tc>
      </w:tr>
      <w:tr w14:paraId="7B118C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3EFB3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58B67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622C7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3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76289FD">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427059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2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86B79C">
            <w:pP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E5EAF2">
            <w:pPr>
              <w:rPr>
                <w:rFonts w:hint="eastAsia" w:ascii="宋体" w:hAnsi="宋体" w:eastAsia="宋体" w:cs="宋体"/>
                <w:i w:val="0"/>
                <w:iCs w:val="0"/>
                <w:color w:val="000000"/>
                <w:sz w:val="18"/>
                <w:szCs w:val="18"/>
                <w:u w:val="none"/>
              </w:rPr>
            </w:pP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877C41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2024年茂县农村公路县级配套养护资金，实际养护里程，村道20.295公里，松黑路8.5公里。合计28.795公里</w:t>
            </w:r>
          </w:p>
        </w:tc>
        <w:tc>
          <w:tcPr>
            <w:tcW w:w="163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69DBBB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实际养护里程，村道20.295公里，松黑路8.5公里。合计28.795公里</w:t>
            </w:r>
          </w:p>
        </w:tc>
      </w:tr>
      <w:tr w14:paraId="2AD810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2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9ED20E">
            <w:pP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1ACEE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27"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BB14048">
            <w:pPr>
              <w:rPr>
                <w:rFonts w:hint="eastAsia" w:ascii="宋体" w:hAnsi="宋体" w:eastAsia="宋体" w:cs="宋体"/>
                <w:i w:val="0"/>
                <w:iCs w:val="0"/>
                <w:color w:val="000000"/>
                <w:sz w:val="18"/>
                <w:szCs w:val="18"/>
                <w:u w:val="none"/>
              </w:rPr>
            </w:pPr>
          </w:p>
        </w:tc>
      </w:tr>
      <w:tr w14:paraId="697B71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2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F3CC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0EAB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AB0F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3F7A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C939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8630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C9E6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FEC0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36D6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6C44F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2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51BF37">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790A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1AFA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CDC6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4.32</w:t>
            </w:r>
          </w:p>
        </w:tc>
        <w:tc>
          <w:tcPr>
            <w:tcW w:w="96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B5F9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4.32</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2C89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454B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3EB9B">
            <w:pPr>
              <w:jc w:val="center"/>
              <w:rPr>
                <w:rFonts w:hint="eastAsia" w:ascii="宋体" w:hAnsi="宋体" w:eastAsia="宋体" w:cs="宋体"/>
                <w:i w:val="0"/>
                <w:iCs w:val="0"/>
                <w:color w:val="000000"/>
                <w:sz w:val="18"/>
                <w:szCs w:val="18"/>
                <w:u w:val="none"/>
              </w:rPr>
            </w:pPr>
          </w:p>
        </w:tc>
        <w:tc>
          <w:tcPr>
            <w:tcW w:w="90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AE8AB1">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D45D6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2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E478C6">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E3DC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53C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D0F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4.32</w:t>
            </w:r>
          </w:p>
        </w:tc>
        <w:tc>
          <w:tcPr>
            <w:tcW w:w="96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25AE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4.32</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6C23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667C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EF04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37B15F">
            <w:pPr>
              <w:rPr>
                <w:rFonts w:hint="eastAsia" w:ascii="黑体" w:hAnsi="黑体" w:eastAsia="黑体" w:cs="黑体"/>
                <w:i/>
                <w:iCs/>
                <w:color w:val="000000"/>
                <w:sz w:val="18"/>
                <w:szCs w:val="18"/>
                <w:u w:val="none"/>
              </w:rPr>
            </w:pPr>
          </w:p>
        </w:tc>
      </w:tr>
      <w:tr w14:paraId="11E040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2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1BCB84">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009C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6A30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48D3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9E13F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ACBC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BAA8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309D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53F38E">
            <w:pPr>
              <w:rPr>
                <w:rFonts w:hint="eastAsia" w:ascii="黑体" w:hAnsi="黑体" w:eastAsia="黑体" w:cs="黑体"/>
                <w:i/>
                <w:iCs/>
                <w:color w:val="000000"/>
                <w:sz w:val="18"/>
                <w:szCs w:val="18"/>
                <w:u w:val="none"/>
              </w:rPr>
            </w:pPr>
          </w:p>
        </w:tc>
      </w:tr>
      <w:tr w14:paraId="5B32E2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2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2CDEED">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5D91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B7E1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3B19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61D7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64F2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BF0C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581D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585C0D">
            <w:pPr>
              <w:rPr>
                <w:rFonts w:hint="eastAsia" w:ascii="黑体" w:hAnsi="黑体" w:eastAsia="黑体" w:cs="黑体"/>
                <w:i/>
                <w:iCs/>
                <w:color w:val="000000"/>
                <w:sz w:val="18"/>
                <w:szCs w:val="18"/>
                <w:u w:val="none"/>
              </w:rPr>
            </w:pPr>
          </w:p>
        </w:tc>
      </w:tr>
      <w:tr w14:paraId="19E297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2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679E55">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AD97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F6265">
            <w:pPr>
              <w:jc w:val="center"/>
              <w:rPr>
                <w:rFonts w:hint="eastAsia" w:ascii="微软雅黑" w:hAnsi="微软雅黑" w:eastAsia="微软雅黑" w:cs="微软雅黑"/>
                <w:i/>
                <w:iCs/>
                <w:color w:val="000000"/>
                <w:sz w:val="16"/>
                <w:szCs w:val="16"/>
                <w:u w:val="none"/>
              </w:rPr>
            </w:pP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8AC8D4">
            <w:pPr>
              <w:jc w:val="center"/>
              <w:rPr>
                <w:rFonts w:hint="eastAsia" w:ascii="微软雅黑" w:hAnsi="微软雅黑" w:eastAsia="微软雅黑" w:cs="微软雅黑"/>
                <w:i/>
                <w:iCs/>
                <w:color w:val="000000"/>
                <w:sz w:val="16"/>
                <w:szCs w:val="16"/>
                <w:u w:val="none"/>
              </w:rPr>
            </w:pPr>
          </w:p>
        </w:tc>
        <w:tc>
          <w:tcPr>
            <w:tcW w:w="96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723766">
            <w:pPr>
              <w:jc w:val="center"/>
              <w:rPr>
                <w:rFonts w:hint="eastAsia" w:ascii="微软雅黑" w:hAnsi="微软雅黑" w:eastAsia="微软雅黑" w:cs="微软雅黑"/>
                <w:i/>
                <w:iCs/>
                <w:color w:val="000000"/>
                <w:sz w:val="16"/>
                <w:szCs w:val="16"/>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C29CDB">
            <w:pPr>
              <w:jc w:val="center"/>
              <w:rPr>
                <w:rFonts w:hint="eastAsia" w:ascii="微软雅黑" w:hAnsi="微软雅黑" w:eastAsia="微软雅黑" w:cs="微软雅黑"/>
                <w:i/>
                <w:iCs/>
                <w:color w:val="000000"/>
                <w:sz w:val="16"/>
                <w:szCs w:val="16"/>
                <w:u w:val="none"/>
              </w:rPr>
            </w:pP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F236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5669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61874E">
            <w:pPr>
              <w:rPr>
                <w:rFonts w:hint="eastAsia" w:ascii="黑体" w:hAnsi="黑体" w:eastAsia="黑体" w:cs="黑体"/>
                <w:i/>
                <w:iCs/>
                <w:color w:val="000000"/>
                <w:sz w:val="18"/>
                <w:szCs w:val="18"/>
                <w:u w:val="none"/>
              </w:rPr>
            </w:pPr>
          </w:p>
        </w:tc>
      </w:tr>
      <w:tr w14:paraId="464EEE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5910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AE60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B333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3FAA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6E4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4290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2768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DC9D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4CD3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02A0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DEE5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91430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9A0CD3">
            <w:pPr>
              <w:jc w:val="center"/>
              <w:rPr>
                <w:rFonts w:hint="eastAsia" w:ascii="宋体" w:hAnsi="宋体" w:eastAsia="宋体" w:cs="宋体"/>
                <w:i w:val="0"/>
                <w:iCs w:val="0"/>
                <w:color w:val="000000"/>
                <w:sz w:val="18"/>
                <w:szCs w:val="18"/>
                <w:u w:val="none"/>
              </w:rPr>
            </w:pP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BF0B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6CC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7606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实际养护里程</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9A10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435A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28.795</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E065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公里</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AAE957">
            <w:pPr>
              <w:jc w:val="center"/>
              <w:rPr>
                <w:rFonts w:hint="eastAsia" w:ascii="微软雅黑" w:hAnsi="微软雅黑" w:eastAsia="微软雅黑" w:cs="微软雅黑"/>
                <w:i/>
                <w:iCs/>
                <w:color w:val="000000"/>
                <w:sz w:val="16"/>
                <w:szCs w:val="16"/>
                <w:u w:val="none"/>
              </w:rPr>
            </w:pP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A89E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7B6600">
            <w:pPr>
              <w:jc w:val="center"/>
              <w:rPr>
                <w:rFonts w:hint="eastAsia" w:ascii="宋体" w:hAnsi="宋体" w:eastAsia="宋体" w:cs="宋体"/>
                <w:i w:val="0"/>
                <w:iCs w:val="0"/>
                <w:color w:val="000000"/>
                <w:sz w:val="18"/>
                <w:szCs w:val="18"/>
                <w:u w:val="none"/>
              </w:rPr>
            </w:pP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81D13">
            <w:pPr>
              <w:jc w:val="center"/>
              <w:rPr>
                <w:rFonts w:hint="eastAsia" w:ascii="微软雅黑" w:hAnsi="微软雅黑" w:eastAsia="微软雅黑" w:cs="微软雅黑"/>
                <w:i/>
                <w:iCs/>
                <w:color w:val="000000"/>
                <w:sz w:val="16"/>
                <w:szCs w:val="16"/>
                <w:u w:val="none"/>
              </w:rPr>
            </w:pPr>
          </w:p>
        </w:tc>
      </w:tr>
      <w:tr w14:paraId="124B59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A0A196">
            <w:pPr>
              <w:jc w:val="cente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E843DF">
            <w:pPr>
              <w:jc w:val="center"/>
              <w:rPr>
                <w:rFonts w:hint="eastAsia" w:ascii="宋体" w:hAnsi="宋体" w:eastAsia="宋体" w:cs="宋体"/>
                <w:i w:val="0"/>
                <w:iCs w:val="0"/>
                <w:color w:val="000000"/>
                <w:sz w:val="18"/>
                <w:szCs w:val="18"/>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044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3016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项目验收合格率</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63A2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1C52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0075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3D519D">
            <w:pPr>
              <w:jc w:val="center"/>
              <w:rPr>
                <w:rFonts w:hint="eastAsia" w:ascii="微软雅黑" w:hAnsi="微软雅黑" w:eastAsia="微软雅黑" w:cs="微软雅黑"/>
                <w:i/>
                <w:iCs/>
                <w:color w:val="000000"/>
                <w:sz w:val="16"/>
                <w:szCs w:val="16"/>
                <w:u w:val="none"/>
              </w:rPr>
            </w:pP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AD7C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81E008">
            <w:pPr>
              <w:jc w:val="center"/>
              <w:rPr>
                <w:rFonts w:hint="eastAsia" w:ascii="宋体" w:hAnsi="宋体" w:eastAsia="宋体" w:cs="宋体"/>
                <w:i w:val="0"/>
                <w:iCs w:val="0"/>
                <w:color w:val="000000"/>
                <w:sz w:val="18"/>
                <w:szCs w:val="18"/>
                <w:u w:val="none"/>
              </w:rPr>
            </w:pP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BE555D">
            <w:pPr>
              <w:jc w:val="center"/>
              <w:rPr>
                <w:rFonts w:hint="eastAsia" w:ascii="微软雅黑" w:hAnsi="微软雅黑" w:eastAsia="微软雅黑" w:cs="微软雅黑"/>
                <w:i/>
                <w:iCs/>
                <w:color w:val="000000"/>
                <w:sz w:val="16"/>
                <w:szCs w:val="16"/>
                <w:u w:val="none"/>
              </w:rPr>
            </w:pPr>
          </w:p>
        </w:tc>
      </w:tr>
      <w:tr w14:paraId="6EFDB8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00F90D">
            <w:pPr>
              <w:jc w:val="cente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D35F46">
            <w:pPr>
              <w:jc w:val="center"/>
              <w:rPr>
                <w:rFonts w:hint="eastAsia" w:ascii="宋体" w:hAnsi="宋体" w:eastAsia="宋体" w:cs="宋体"/>
                <w:i w:val="0"/>
                <w:iCs w:val="0"/>
                <w:color w:val="000000"/>
                <w:sz w:val="18"/>
                <w:szCs w:val="18"/>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5CCF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9C30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完成年度</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534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8747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FBC4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16F0C3">
            <w:pPr>
              <w:jc w:val="center"/>
              <w:rPr>
                <w:rFonts w:hint="eastAsia" w:ascii="微软雅黑" w:hAnsi="微软雅黑" w:eastAsia="微软雅黑" w:cs="微软雅黑"/>
                <w:i/>
                <w:iCs/>
                <w:color w:val="000000"/>
                <w:sz w:val="16"/>
                <w:szCs w:val="16"/>
                <w:u w:val="none"/>
              </w:rPr>
            </w:pP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62BE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3B5ED1">
            <w:pPr>
              <w:jc w:val="center"/>
              <w:rPr>
                <w:rFonts w:hint="eastAsia" w:ascii="宋体" w:hAnsi="宋体" w:eastAsia="宋体" w:cs="宋体"/>
                <w:i w:val="0"/>
                <w:iCs w:val="0"/>
                <w:color w:val="000000"/>
                <w:sz w:val="18"/>
                <w:szCs w:val="18"/>
                <w:u w:val="none"/>
              </w:rPr>
            </w:pP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23EFFF">
            <w:pPr>
              <w:jc w:val="center"/>
              <w:rPr>
                <w:rFonts w:hint="eastAsia" w:ascii="微软雅黑" w:hAnsi="微软雅黑" w:eastAsia="微软雅黑" w:cs="微软雅黑"/>
                <w:i/>
                <w:iCs/>
                <w:color w:val="000000"/>
                <w:sz w:val="16"/>
                <w:szCs w:val="16"/>
                <w:u w:val="none"/>
              </w:rPr>
            </w:pPr>
          </w:p>
        </w:tc>
      </w:tr>
      <w:tr w14:paraId="0C1C87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D62CE3">
            <w:pPr>
              <w:jc w:val="center"/>
              <w:rPr>
                <w:rFonts w:hint="eastAsia" w:ascii="宋体" w:hAnsi="宋体" w:eastAsia="宋体" w:cs="宋体"/>
                <w:i w:val="0"/>
                <w:iCs w:val="0"/>
                <w:color w:val="000000"/>
                <w:sz w:val="18"/>
                <w:szCs w:val="18"/>
                <w:u w:val="none"/>
              </w:rPr>
            </w:pP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9B1A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B7E6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4DE9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促进农村产业发展</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AF6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8C1E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高</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4AEC61">
            <w:pPr>
              <w:jc w:val="center"/>
              <w:rPr>
                <w:rFonts w:hint="eastAsia" w:ascii="宋体" w:hAnsi="宋体" w:eastAsia="宋体" w:cs="宋体"/>
                <w:i w:val="0"/>
                <w:iCs w:val="0"/>
                <w:color w:val="000000"/>
                <w:sz w:val="18"/>
                <w:szCs w:val="18"/>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95DAB9">
            <w:pPr>
              <w:jc w:val="center"/>
              <w:rPr>
                <w:rFonts w:hint="eastAsia" w:ascii="微软雅黑" w:hAnsi="微软雅黑" w:eastAsia="微软雅黑" w:cs="微软雅黑"/>
                <w:i/>
                <w:iCs/>
                <w:color w:val="000000"/>
                <w:sz w:val="16"/>
                <w:szCs w:val="16"/>
                <w:u w:val="none"/>
              </w:rPr>
            </w:pP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B78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CD7E66">
            <w:pPr>
              <w:jc w:val="center"/>
              <w:rPr>
                <w:rFonts w:hint="eastAsia" w:ascii="宋体" w:hAnsi="宋体" w:eastAsia="宋体" w:cs="宋体"/>
                <w:i w:val="0"/>
                <w:iCs w:val="0"/>
                <w:color w:val="000000"/>
                <w:sz w:val="18"/>
                <w:szCs w:val="18"/>
                <w:u w:val="none"/>
              </w:rPr>
            </w:pP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054081">
            <w:pPr>
              <w:jc w:val="center"/>
              <w:rPr>
                <w:rFonts w:hint="eastAsia" w:ascii="微软雅黑" w:hAnsi="微软雅黑" w:eastAsia="微软雅黑" w:cs="微软雅黑"/>
                <w:i/>
                <w:iCs/>
                <w:color w:val="000000"/>
                <w:sz w:val="16"/>
                <w:szCs w:val="16"/>
                <w:u w:val="none"/>
              </w:rPr>
            </w:pPr>
          </w:p>
        </w:tc>
      </w:tr>
      <w:tr w14:paraId="499FB8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E9E136">
            <w:pPr>
              <w:jc w:val="cente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5BE5FE">
            <w:pPr>
              <w:jc w:val="center"/>
              <w:rPr>
                <w:rFonts w:hint="eastAsia" w:ascii="宋体" w:hAnsi="宋体" w:eastAsia="宋体" w:cs="宋体"/>
                <w:i w:val="0"/>
                <w:iCs w:val="0"/>
                <w:color w:val="000000"/>
                <w:sz w:val="18"/>
                <w:szCs w:val="18"/>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0203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0F2A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推动乡村旅游发展</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2E1E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807A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7EA3B9">
            <w:pPr>
              <w:jc w:val="center"/>
              <w:rPr>
                <w:rFonts w:hint="eastAsia" w:ascii="宋体" w:hAnsi="宋体" w:eastAsia="宋体" w:cs="宋体"/>
                <w:i w:val="0"/>
                <w:iCs w:val="0"/>
                <w:color w:val="000000"/>
                <w:sz w:val="18"/>
                <w:szCs w:val="18"/>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191C3F">
            <w:pPr>
              <w:jc w:val="center"/>
              <w:rPr>
                <w:rFonts w:hint="eastAsia" w:ascii="微软雅黑" w:hAnsi="微软雅黑" w:eastAsia="微软雅黑" w:cs="微软雅黑"/>
                <w:i/>
                <w:iCs/>
                <w:color w:val="000000"/>
                <w:sz w:val="16"/>
                <w:szCs w:val="16"/>
                <w:u w:val="none"/>
              </w:rPr>
            </w:pP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0C4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FAE089">
            <w:pPr>
              <w:jc w:val="center"/>
              <w:rPr>
                <w:rFonts w:hint="eastAsia" w:ascii="宋体" w:hAnsi="宋体" w:eastAsia="宋体" w:cs="宋体"/>
                <w:i w:val="0"/>
                <w:iCs w:val="0"/>
                <w:color w:val="000000"/>
                <w:sz w:val="18"/>
                <w:szCs w:val="18"/>
                <w:u w:val="none"/>
              </w:rPr>
            </w:pP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E70EC2">
            <w:pPr>
              <w:jc w:val="center"/>
              <w:rPr>
                <w:rFonts w:hint="eastAsia" w:ascii="微软雅黑" w:hAnsi="微软雅黑" w:eastAsia="微软雅黑" w:cs="微软雅黑"/>
                <w:i/>
                <w:iCs/>
                <w:color w:val="000000"/>
                <w:sz w:val="16"/>
                <w:szCs w:val="16"/>
                <w:u w:val="none"/>
              </w:rPr>
            </w:pPr>
          </w:p>
        </w:tc>
      </w:tr>
      <w:tr w14:paraId="0A049F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58F3F2">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6731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1D47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B8A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群众满意度</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3D6A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ECC3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AE59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333B32">
            <w:pPr>
              <w:jc w:val="center"/>
              <w:rPr>
                <w:rFonts w:hint="eastAsia" w:ascii="微软雅黑" w:hAnsi="微软雅黑" w:eastAsia="微软雅黑" w:cs="微软雅黑"/>
                <w:i/>
                <w:iCs/>
                <w:color w:val="000000"/>
                <w:sz w:val="16"/>
                <w:szCs w:val="16"/>
                <w:u w:val="none"/>
              </w:rPr>
            </w:pP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ED72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55BCBA">
            <w:pPr>
              <w:jc w:val="center"/>
              <w:rPr>
                <w:rFonts w:hint="eastAsia" w:ascii="宋体" w:hAnsi="宋体" w:eastAsia="宋体" w:cs="宋体"/>
                <w:i w:val="0"/>
                <w:iCs w:val="0"/>
                <w:color w:val="000000"/>
                <w:sz w:val="18"/>
                <w:szCs w:val="18"/>
                <w:u w:val="none"/>
              </w:rPr>
            </w:pP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75643F">
            <w:pPr>
              <w:jc w:val="center"/>
              <w:rPr>
                <w:rFonts w:hint="eastAsia" w:ascii="微软雅黑" w:hAnsi="微软雅黑" w:eastAsia="微软雅黑" w:cs="微软雅黑"/>
                <w:i/>
                <w:iCs/>
                <w:color w:val="000000"/>
                <w:sz w:val="16"/>
                <w:szCs w:val="16"/>
                <w:u w:val="none"/>
              </w:rPr>
            </w:pPr>
          </w:p>
        </w:tc>
      </w:tr>
      <w:tr w14:paraId="2D3513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066FA1">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E104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7134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0B3A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下达资金数</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E85E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7486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43193</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79C4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477B59">
            <w:pPr>
              <w:jc w:val="center"/>
              <w:rPr>
                <w:rFonts w:hint="eastAsia" w:ascii="微软雅黑" w:hAnsi="微软雅黑" w:eastAsia="微软雅黑" w:cs="微软雅黑"/>
                <w:i/>
                <w:iCs/>
                <w:color w:val="000000"/>
                <w:sz w:val="16"/>
                <w:szCs w:val="16"/>
                <w:u w:val="none"/>
              </w:rPr>
            </w:pP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B08A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ABD389">
            <w:pPr>
              <w:jc w:val="center"/>
              <w:rPr>
                <w:rFonts w:hint="eastAsia" w:ascii="宋体" w:hAnsi="宋体" w:eastAsia="宋体" w:cs="宋体"/>
                <w:i w:val="0"/>
                <w:iCs w:val="0"/>
                <w:color w:val="000000"/>
                <w:sz w:val="18"/>
                <w:szCs w:val="18"/>
                <w:u w:val="none"/>
              </w:rPr>
            </w:pP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A87437">
            <w:pPr>
              <w:jc w:val="center"/>
              <w:rPr>
                <w:rFonts w:hint="eastAsia" w:ascii="微软雅黑" w:hAnsi="微软雅黑" w:eastAsia="微软雅黑" w:cs="微软雅黑"/>
                <w:i/>
                <w:iCs/>
                <w:color w:val="000000"/>
                <w:sz w:val="16"/>
                <w:szCs w:val="16"/>
                <w:u w:val="none"/>
              </w:rPr>
            </w:pPr>
          </w:p>
        </w:tc>
      </w:tr>
      <w:tr w14:paraId="1DA19C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756"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C10C1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8BC3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FF1D1">
            <w:pPr>
              <w:rPr>
                <w:rFonts w:hint="eastAsia" w:ascii="宋体" w:hAnsi="宋体" w:eastAsia="宋体" w:cs="宋体"/>
                <w:i w:val="0"/>
                <w:iCs w:val="0"/>
                <w:color w:val="000000"/>
                <w:sz w:val="18"/>
                <w:szCs w:val="18"/>
                <w:u w:val="none"/>
              </w:rPr>
            </w:pP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F5144B">
            <w:pPr>
              <w:rPr>
                <w:rFonts w:hint="eastAsia" w:ascii="宋体" w:hAnsi="宋体" w:eastAsia="宋体" w:cs="宋体"/>
                <w:i w:val="0"/>
                <w:iCs w:val="0"/>
                <w:color w:val="000000"/>
                <w:sz w:val="18"/>
                <w:szCs w:val="18"/>
                <w:u w:val="none"/>
              </w:rPr>
            </w:pPr>
          </w:p>
        </w:tc>
      </w:tr>
      <w:tr w14:paraId="095966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2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8FB3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DB9CD4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实际养护里程，村道20.295公里，松黑路8.5公里。合计28.795公里</w:t>
            </w:r>
          </w:p>
        </w:tc>
      </w:tr>
      <w:tr w14:paraId="36396F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2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97AC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067C8E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3FB6FD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2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13A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CFEE94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3BC07E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58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D82D32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07743A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6D60A2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58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D1307F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24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6FAFCD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51322325T000012926823-2024年驻村工作队工作经费</w:t>
            </w:r>
          </w:p>
        </w:tc>
      </w:tr>
      <w:tr w14:paraId="3048D9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9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D8E98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61745A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茂县黑虎镇人民政府</w:t>
            </w:r>
          </w:p>
        </w:tc>
        <w:tc>
          <w:tcPr>
            <w:tcW w:w="387" w:type="pct"/>
            <w:tcBorders>
              <w:top w:val="nil"/>
              <w:left w:val="nil"/>
              <w:bottom w:val="nil"/>
              <w:right w:val="nil"/>
            </w:tcBorders>
            <w:shd w:val="clear" w:color="auto" w:fill="auto"/>
            <w:vAlign w:val="center"/>
          </w:tcPr>
          <w:p w14:paraId="0C5AF735">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45DC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茂县黑虎镇人民政府（行政）</w:t>
            </w:r>
          </w:p>
        </w:tc>
      </w:tr>
      <w:tr w14:paraId="6F098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DDACA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C6B24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8FA0B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3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AFFFAD4">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241029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2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02CC70">
            <w:pP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CAC272">
            <w:pPr>
              <w:rPr>
                <w:rFonts w:hint="eastAsia" w:ascii="宋体" w:hAnsi="宋体" w:eastAsia="宋体" w:cs="宋体"/>
                <w:i w:val="0"/>
                <w:iCs w:val="0"/>
                <w:color w:val="000000"/>
                <w:sz w:val="18"/>
                <w:szCs w:val="18"/>
                <w:u w:val="none"/>
              </w:rPr>
            </w:pP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900DDA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为更好的开展驻村工作队的工作，下达驻村工作队工作经费。</w:t>
            </w:r>
          </w:p>
        </w:tc>
        <w:tc>
          <w:tcPr>
            <w:tcW w:w="163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C68270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更好的开展驻村工作队的工作，下达驻村工作队工作经费。</w:t>
            </w:r>
          </w:p>
        </w:tc>
      </w:tr>
      <w:tr w14:paraId="1360AC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2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2F06B2">
            <w:pP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35BF9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27"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3766D47">
            <w:pPr>
              <w:rPr>
                <w:rFonts w:hint="eastAsia" w:ascii="宋体" w:hAnsi="宋体" w:eastAsia="宋体" w:cs="宋体"/>
                <w:i w:val="0"/>
                <w:iCs w:val="0"/>
                <w:color w:val="000000"/>
                <w:sz w:val="18"/>
                <w:szCs w:val="18"/>
                <w:u w:val="none"/>
              </w:rPr>
            </w:pPr>
          </w:p>
        </w:tc>
      </w:tr>
      <w:tr w14:paraId="613536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2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3499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8776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319B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CA5B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029D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855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88DD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ABC8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E4E9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7B69C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2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B591FF">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E1CA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2DEA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9802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4.95</w:t>
            </w:r>
          </w:p>
        </w:tc>
        <w:tc>
          <w:tcPr>
            <w:tcW w:w="96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BC23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4.95</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EE04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1F44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F94B42">
            <w:pPr>
              <w:jc w:val="center"/>
              <w:rPr>
                <w:rFonts w:hint="eastAsia" w:ascii="宋体" w:hAnsi="宋体" w:eastAsia="宋体" w:cs="宋体"/>
                <w:i w:val="0"/>
                <w:iCs w:val="0"/>
                <w:color w:val="000000"/>
                <w:sz w:val="18"/>
                <w:szCs w:val="18"/>
                <w:u w:val="none"/>
              </w:rPr>
            </w:pPr>
          </w:p>
        </w:tc>
        <w:tc>
          <w:tcPr>
            <w:tcW w:w="90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180A86">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0870F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2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60B101">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AEFD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414D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0B3C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4.95</w:t>
            </w:r>
          </w:p>
        </w:tc>
        <w:tc>
          <w:tcPr>
            <w:tcW w:w="96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8E17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4.95</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8B9F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355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E422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576EE3">
            <w:pPr>
              <w:rPr>
                <w:rFonts w:hint="eastAsia" w:ascii="黑体" w:hAnsi="黑体" w:eastAsia="黑体" w:cs="黑体"/>
                <w:i/>
                <w:iCs/>
                <w:color w:val="000000"/>
                <w:sz w:val="18"/>
                <w:szCs w:val="18"/>
                <w:u w:val="none"/>
              </w:rPr>
            </w:pPr>
          </w:p>
        </w:tc>
      </w:tr>
      <w:tr w14:paraId="4F6BB3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2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E64183">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D30D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2ECF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A20C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38F7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08E9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AD2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B33D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D104E8">
            <w:pPr>
              <w:rPr>
                <w:rFonts w:hint="eastAsia" w:ascii="黑体" w:hAnsi="黑体" w:eastAsia="黑体" w:cs="黑体"/>
                <w:i/>
                <w:iCs/>
                <w:color w:val="000000"/>
                <w:sz w:val="18"/>
                <w:szCs w:val="18"/>
                <w:u w:val="none"/>
              </w:rPr>
            </w:pPr>
          </w:p>
        </w:tc>
      </w:tr>
      <w:tr w14:paraId="550C41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2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C648DC">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EF92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2936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6D22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2C11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DFB4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51F8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CA1D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576B7C">
            <w:pPr>
              <w:rPr>
                <w:rFonts w:hint="eastAsia" w:ascii="黑体" w:hAnsi="黑体" w:eastAsia="黑体" w:cs="黑体"/>
                <w:i/>
                <w:iCs/>
                <w:color w:val="000000"/>
                <w:sz w:val="18"/>
                <w:szCs w:val="18"/>
                <w:u w:val="none"/>
              </w:rPr>
            </w:pPr>
          </w:p>
        </w:tc>
      </w:tr>
      <w:tr w14:paraId="6E20C7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D956F2">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A0A6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28057">
            <w:pPr>
              <w:jc w:val="center"/>
              <w:rPr>
                <w:rFonts w:hint="eastAsia" w:ascii="微软雅黑" w:hAnsi="微软雅黑" w:eastAsia="微软雅黑" w:cs="微软雅黑"/>
                <w:i/>
                <w:iCs/>
                <w:color w:val="000000"/>
                <w:sz w:val="16"/>
                <w:szCs w:val="16"/>
                <w:u w:val="none"/>
              </w:rPr>
            </w:pP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E18901">
            <w:pPr>
              <w:jc w:val="center"/>
              <w:rPr>
                <w:rFonts w:hint="eastAsia" w:ascii="微软雅黑" w:hAnsi="微软雅黑" w:eastAsia="微软雅黑" w:cs="微软雅黑"/>
                <w:i/>
                <w:iCs/>
                <w:color w:val="000000"/>
                <w:sz w:val="16"/>
                <w:szCs w:val="16"/>
                <w:u w:val="none"/>
              </w:rPr>
            </w:pPr>
          </w:p>
        </w:tc>
        <w:tc>
          <w:tcPr>
            <w:tcW w:w="96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64088A">
            <w:pPr>
              <w:jc w:val="center"/>
              <w:rPr>
                <w:rFonts w:hint="eastAsia" w:ascii="微软雅黑" w:hAnsi="微软雅黑" w:eastAsia="微软雅黑" w:cs="微软雅黑"/>
                <w:i/>
                <w:iCs/>
                <w:color w:val="000000"/>
                <w:sz w:val="16"/>
                <w:szCs w:val="16"/>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9848B0">
            <w:pPr>
              <w:jc w:val="center"/>
              <w:rPr>
                <w:rFonts w:hint="eastAsia" w:ascii="微软雅黑" w:hAnsi="微软雅黑" w:eastAsia="微软雅黑" w:cs="微软雅黑"/>
                <w:i/>
                <w:iCs/>
                <w:color w:val="000000"/>
                <w:sz w:val="16"/>
                <w:szCs w:val="16"/>
                <w:u w:val="none"/>
              </w:rPr>
            </w:pP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35D9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C703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F23C15">
            <w:pPr>
              <w:rPr>
                <w:rFonts w:hint="eastAsia" w:ascii="黑体" w:hAnsi="黑体" w:eastAsia="黑体" w:cs="黑体"/>
                <w:i/>
                <w:iCs/>
                <w:color w:val="000000"/>
                <w:sz w:val="18"/>
                <w:szCs w:val="18"/>
                <w:u w:val="none"/>
              </w:rPr>
            </w:pPr>
          </w:p>
        </w:tc>
      </w:tr>
      <w:tr w14:paraId="0966B4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73F7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0E3A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2D08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BE2B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1AC2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4DF5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2BBC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E3B1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FC15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19B8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B197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A79E0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591331">
            <w:pPr>
              <w:jc w:val="center"/>
              <w:rPr>
                <w:rFonts w:hint="eastAsia" w:ascii="宋体" w:hAnsi="宋体" w:eastAsia="宋体" w:cs="宋体"/>
                <w:i w:val="0"/>
                <w:iCs w:val="0"/>
                <w:color w:val="000000"/>
                <w:sz w:val="18"/>
                <w:szCs w:val="18"/>
                <w:u w:val="none"/>
              </w:rPr>
            </w:pP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3400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3D62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C00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所涉及2个贫困村，一个非贫困村</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3F3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AD0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A43D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5EA885">
            <w:pPr>
              <w:jc w:val="center"/>
              <w:rPr>
                <w:rFonts w:hint="eastAsia" w:ascii="微软雅黑" w:hAnsi="微软雅黑" w:eastAsia="微软雅黑" w:cs="微软雅黑"/>
                <w:i/>
                <w:iCs/>
                <w:color w:val="000000"/>
                <w:sz w:val="16"/>
                <w:szCs w:val="16"/>
                <w:u w:val="none"/>
              </w:rPr>
            </w:pP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C999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AD80A2">
            <w:pPr>
              <w:jc w:val="center"/>
              <w:rPr>
                <w:rFonts w:hint="eastAsia" w:ascii="宋体" w:hAnsi="宋体" w:eastAsia="宋体" w:cs="宋体"/>
                <w:i w:val="0"/>
                <w:iCs w:val="0"/>
                <w:color w:val="000000"/>
                <w:sz w:val="18"/>
                <w:szCs w:val="18"/>
                <w:u w:val="none"/>
              </w:rPr>
            </w:pP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2571FC">
            <w:pPr>
              <w:jc w:val="center"/>
              <w:rPr>
                <w:rFonts w:hint="eastAsia" w:ascii="微软雅黑" w:hAnsi="微软雅黑" w:eastAsia="微软雅黑" w:cs="微软雅黑"/>
                <w:i/>
                <w:iCs/>
                <w:color w:val="000000"/>
                <w:sz w:val="16"/>
                <w:szCs w:val="16"/>
                <w:u w:val="none"/>
              </w:rPr>
            </w:pPr>
          </w:p>
        </w:tc>
      </w:tr>
      <w:tr w14:paraId="2BDFAC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E17A30">
            <w:pPr>
              <w:jc w:val="cente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335B52">
            <w:pPr>
              <w:jc w:val="center"/>
              <w:rPr>
                <w:rFonts w:hint="eastAsia" w:ascii="宋体" w:hAnsi="宋体" w:eastAsia="宋体" w:cs="宋体"/>
                <w:i w:val="0"/>
                <w:iCs w:val="0"/>
                <w:color w:val="000000"/>
                <w:sz w:val="18"/>
                <w:szCs w:val="18"/>
                <w:u w:val="none"/>
              </w:rPr>
            </w:pPr>
          </w:p>
        </w:tc>
        <w:tc>
          <w:tcPr>
            <w:tcW w:w="6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4373C0">
            <w:pPr>
              <w:jc w:val="center"/>
              <w:rPr>
                <w:rFonts w:hint="eastAsia" w:ascii="宋体" w:hAnsi="宋体" w:eastAsia="宋体" w:cs="宋体"/>
                <w:i w:val="0"/>
                <w:iCs w:val="0"/>
                <w:color w:val="000000"/>
                <w:sz w:val="18"/>
                <w:szCs w:val="18"/>
                <w:u w:val="none"/>
              </w:rPr>
            </w:pP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4F78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保障行政村正常运转数量</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D308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F4C8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0B6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BDA610">
            <w:pPr>
              <w:jc w:val="center"/>
              <w:rPr>
                <w:rFonts w:hint="eastAsia" w:ascii="微软雅黑" w:hAnsi="微软雅黑" w:eastAsia="微软雅黑" w:cs="微软雅黑"/>
                <w:i/>
                <w:iCs/>
                <w:color w:val="000000"/>
                <w:sz w:val="16"/>
                <w:szCs w:val="16"/>
                <w:u w:val="none"/>
              </w:rPr>
            </w:pP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DBD8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167DA4">
            <w:pPr>
              <w:jc w:val="center"/>
              <w:rPr>
                <w:rFonts w:hint="eastAsia" w:ascii="宋体" w:hAnsi="宋体" w:eastAsia="宋体" w:cs="宋体"/>
                <w:i w:val="0"/>
                <w:iCs w:val="0"/>
                <w:color w:val="000000"/>
                <w:sz w:val="18"/>
                <w:szCs w:val="18"/>
                <w:u w:val="none"/>
              </w:rPr>
            </w:pP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8D8733">
            <w:pPr>
              <w:jc w:val="center"/>
              <w:rPr>
                <w:rFonts w:hint="eastAsia" w:ascii="微软雅黑" w:hAnsi="微软雅黑" w:eastAsia="微软雅黑" w:cs="微软雅黑"/>
                <w:i/>
                <w:iCs/>
                <w:color w:val="000000"/>
                <w:sz w:val="16"/>
                <w:szCs w:val="16"/>
                <w:u w:val="none"/>
              </w:rPr>
            </w:pPr>
          </w:p>
        </w:tc>
      </w:tr>
      <w:tr w14:paraId="6BD60B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2A008A">
            <w:pPr>
              <w:jc w:val="cente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49A200">
            <w:pPr>
              <w:jc w:val="center"/>
              <w:rPr>
                <w:rFonts w:hint="eastAsia" w:ascii="宋体" w:hAnsi="宋体" w:eastAsia="宋体" w:cs="宋体"/>
                <w:i w:val="0"/>
                <w:iCs w:val="0"/>
                <w:color w:val="000000"/>
                <w:sz w:val="18"/>
                <w:szCs w:val="18"/>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2920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6040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资金使用合规率</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12F6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DEB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7EDF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D3BA9D">
            <w:pPr>
              <w:jc w:val="center"/>
              <w:rPr>
                <w:rFonts w:hint="eastAsia" w:ascii="微软雅黑" w:hAnsi="微软雅黑" w:eastAsia="微软雅黑" w:cs="微软雅黑"/>
                <w:i/>
                <w:iCs/>
                <w:color w:val="000000"/>
                <w:sz w:val="16"/>
                <w:szCs w:val="16"/>
                <w:u w:val="none"/>
              </w:rPr>
            </w:pP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1D17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61DB99">
            <w:pPr>
              <w:jc w:val="center"/>
              <w:rPr>
                <w:rFonts w:hint="eastAsia" w:ascii="宋体" w:hAnsi="宋体" w:eastAsia="宋体" w:cs="宋体"/>
                <w:i w:val="0"/>
                <w:iCs w:val="0"/>
                <w:color w:val="000000"/>
                <w:sz w:val="18"/>
                <w:szCs w:val="18"/>
                <w:u w:val="none"/>
              </w:rPr>
            </w:pP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34FDA3">
            <w:pPr>
              <w:jc w:val="center"/>
              <w:rPr>
                <w:rFonts w:hint="eastAsia" w:ascii="微软雅黑" w:hAnsi="微软雅黑" w:eastAsia="微软雅黑" w:cs="微软雅黑"/>
                <w:i/>
                <w:iCs/>
                <w:color w:val="000000"/>
                <w:sz w:val="16"/>
                <w:szCs w:val="16"/>
                <w:u w:val="none"/>
              </w:rPr>
            </w:pPr>
          </w:p>
        </w:tc>
      </w:tr>
      <w:tr w14:paraId="3DCA1A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F7164F">
            <w:pPr>
              <w:jc w:val="cente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40BD0A">
            <w:pPr>
              <w:jc w:val="center"/>
              <w:rPr>
                <w:rFonts w:hint="eastAsia" w:ascii="宋体" w:hAnsi="宋体" w:eastAsia="宋体" w:cs="宋体"/>
                <w:i w:val="0"/>
                <w:iCs w:val="0"/>
                <w:color w:val="000000"/>
                <w:sz w:val="18"/>
                <w:szCs w:val="18"/>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12C7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A4C0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完成年度</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C142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D84E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DC8F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665C0C">
            <w:pPr>
              <w:jc w:val="center"/>
              <w:rPr>
                <w:rFonts w:hint="eastAsia" w:ascii="微软雅黑" w:hAnsi="微软雅黑" w:eastAsia="微软雅黑" w:cs="微软雅黑"/>
                <w:i/>
                <w:iCs/>
                <w:color w:val="000000"/>
                <w:sz w:val="16"/>
                <w:szCs w:val="16"/>
                <w:u w:val="none"/>
              </w:rPr>
            </w:pP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357E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4D1F0D">
            <w:pPr>
              <w:jc w:val="center"/>
              <w:rPr>
                <w:rFonts w:hint="eastAsia" w:ascii="宋体" w:hAnsi="宋体" w:eastAsia="宋体" w:cs="宋体"/>
                <w:i w:val="0"/>
                <w:iCs w:val="0"/>
                <w:color w:val="000000"/>
                <w:sz w:val="18"/>
                <w:szCs w:val="18"/>
                <w:u w:val="none"/>
              </w:rPr>
            </w:pP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2A3E59">
            <w:pPr>
              <w:jc w:val="center"/>
              <w:rPr>
                <w:rFonts w:hint="eastAsia" w:ascii="微软雅黑" w:hAnsi="微软雅黑" w:eastAsia="微软雅黑" w:cs="微软雅黑"/>
                <w:i/>
                <w:iCs/>
                <w:color w:val="000000"/>
                <w:sz w:val="16"/>
                <w:szCs w:val="16"/>
                <w:u w:val="none"/>
              </w:rPr>
            </w:pPr>
          </w:p>
        </w:tc>
      </w:tr>
      <w:tr w14:paraId="172711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46CF86">
            <w:pPr>
              <w:jc w:val="center"/>
              <w:rPr>
                <w:rFonts w:hint="eastAsia" w:ascii="宋体" w:hAnsi="宋体" w:eastAsia="宋体" w:cs="宋体"/>
                <w:i w:val="0"/>
                <w:iCs w:val="0"/>
                <w:color w:val="000000"/>
                <w:sz w:val="18"/>
                <w:szCs w:val="18"/>
                <w:u w:val="none"/>
              </w:rPr>
            </w:pP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DE5F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A47F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D14B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更好的统筹驻村工作的开展</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6D90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6754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高</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CF8956">
            <w:pPr>
              <w:jc w:val="center"/>
              <w:rPr>
                <w:rFonts w:hint="eastAsia" w:ascii="宋体" w:hAnsi="宋体" w:eastAsia="宋体" w:cs="宋体"/>
                <w:i w:val="0"/>
                <w:iCs w:val="0"/>
                <w:color w:val="000000"/>
                <w:sz w:val="18"/>
                <w:szCs w:val="18"/>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EB8DF6">
            <w:pPr>
              <w:jc w:val="center"/>
              <w:rPr>
                <w:rFonts w:hint="eastAsia" w:ascii="微软雅黑" w:hAnsi="微软雅黑" w:eastAsia="微软雅黑" w:cs="微软雅黑"/>
                <w:i/>
                <w:iCs/>
                <w:color w:val="000000"/>
                <w:sz w:val="16"/>
                <w:szCs w:val="16"/>
                <w:u w:val="none"/>
              </w:rPr>
            </w:pP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C0EC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4AF611">
            <w:pPr>
              <w:jc w:val="center"/>
              <w:rPr>
                <w:rFonts w:hint="eastAsia" w:ascii="宋体" w:hAnsi="宋体" w:eastAsia="宋体" w:cs="宋体"/>
                <w:i w:val="0"/>
                <w:iCs w:val="0"/>
                <w:color w:val="000000"/>
                <w:sz w:val="18"/>
                <w:szCs w:val="18"/>
                <w:u w:val="none"/>
              </w:rPr>
            </w:pP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C68109">
            <w:pPr>
              <w:jc w:val="center"/>
              <w:rPr>
                <w:rFonts w:hint="eastAsia" w:ascii="微软雅黑" w:hAnsi="微软雅黑" w:eastAsia="微软雅黑" w:cs="微软雅黑"/>
                <w:i/>
                <w:iCs/>
                <w:color w:val="000000"/>
                <w:sz w:val="16"/>
                <w:szCs w:val="16"/>
                <w:u w:val="none"/>
              </w:rPr>
            </w:pPr>
          </w:p>
        </w:tc>
      </w:tr>
      <w:tr w14:paraId="0E8A1E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EB91F9">
            <w:pPr>
              <w:jc w:val="cente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F29653">
            <w:pPr>
              <w:jc w:val="center"/>
              <w:rPr>
                <w:rFonts w:hint="eastAsia" w:ascii="宋体" w:hAnsi="宋体" w:eastAsia="宋体" w:cs="宋体"/>
                <w:i w:val="0"/>
                <w:iCs w:val="0"/>
                <w:color w:val="000000"/>
                <w:sz w:val="18"/>
                <w:szCs w:val="18"/>
                <w:u w:val="none"/>
              </w:rPr>
            </w:pPr>
          </w:p>
        </w:tc>
        <w:tc>
          <w:tcPr>
            <w:tcW w:w="62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A9FD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315F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保障我镇两个村的驻村工作顺利开展</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8CCC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94F7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高</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DFC6BE">
            <w:pPr>
              <w:jc w:val="center"/>
              <w:rPr>
                <w:rFonts w:hint="eastAsia" w:ascii="宋体" w:hAnsi="宋体" w:eastAsia="宋体" w:cs="宋体"/>
                <w:i w:val="0"/>
                <w:iCs w:val="0"/>
                <w:color w:val="000000"/>
                <w:sz w:val="18"/>
                <w:szCs w:val="18"/>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AF61E2">
            <w:pPr>
              <w:jc w:val="center"/>
              <w:rPr>
                <w:rFonts w:hint="eastAsia" w:ascii="微软雅黑" w:hAnsi="微软雅黑" w:eastAsia="微软雅黑" w:cs="微软雅黑"/>
                <w:i/>
                <w:iCs/>
                <w:color w:val="000000"/>
                <w:sz w:val="16"/>
                <w:szCs w:val="16"/>
                <w:u w:val="none"/>
              </w:rPr>
            </w:pP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A5F1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216DC9">
            <w:pPr>
              <w:jc w:val="center"/>
              <w:rPr>
                <w:rFonts w:hint="eastAsia" w:ascii="宋体" w:hAnsi="宋体" w:eastAsia="宋体" w:cs="宋体"/>
                <w:i w:val="0"/>
                <w:iCs w:val="0"/>
                <w:color w:val="000000"/>
                <w:sz w:val="18"/>
                <w:szCs w:val="18"/>
                <w:u w:val="none"/>
              </w:rPr>
            </w:pP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B322F4">
            <w:pPr>
              <w:jc w:val="center"/>
              <w:rPr>
                <w:rFonts w:hint="eastAsia" w:ascii="微软雅黑" w:hAnsi="微软雅黑" w:eastAsia="微软雅黑" w:cs="微软雅黑"/>
                <w:i/>
                <w:iCs/>
                <w:color w:val="000000"/>
                <w:sz w:val="16"/>
                <w:szCs w:val="16"/>
                <w:u w:val="none"/>
              </w:rPr>
            </w:pPr>
          </w:p>
        </w:tc>
      </w:tr>
      <w:tr w14:paraId="2B8C32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557304">
            <w:pPr>
              <w:jc w:val="cente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741FCB">
            <w:pPr>
              <w:jc w:val="center"/>
              <w:rPr>
                <w:rFonts w:hint="eastAsia" w:ascii="宋体" w:hAnsi="宋体" w:eastAsia="宋体" w:cs="宋体"/>
                <w:i w:val="0"/>
                <w:iCs w:val="0"/>
                <w:color w:val="000000"/>
                <w:sz w:val="18"/>
                <w:szCs w:val="18"/>
                <w:u w:val="none"/>
              </w:rPr>
            </w:pPr>
          </w:p>
        </w:tc>
        <w:tc>
          <w:tcPr>
            <w:tcW w:w="6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DAE067">
            <w:pPr>
              <w:jc w:val="center"/>
              <w:rPr>
                <w:rFonts w:hint="eastAsia" w:ascii="宋体" w:hAnsi="宋体" w:eastAsia="宋体" w:cs="宋体"/>
                <w:i w:val="0"/>
                <w:iCs w:val="0"/>
                <w:color w:val="000000"/>
                <w:sz w:val="18"/>
                <w:szCs w:val="18"/>
                <w:u w:val="none"/>
              </w:rPr>
            </w:pP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E7A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保障资金及时发放率</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3A33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0FB4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15B0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C4E7A3">
            <w:pPr>
              <w:jc w:val="center"/>
              <w:rPr>
                <w:rFonts w:hint="eastAsia" w:ascii="微软雅黑" w:hAnsi="微软雅黑" w:eastAsia="微软雅黑" w:cs="微软雅黑"/>
                <w:i/>
                <w:iCs/>
                <w:color w:val="000000"/>
                <w:sz w:val="16"/>
                <w:szCs w:val="16"/>
                <w:u w:val="none"/>
              </w:rPr>
            </w:pP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0F2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9C695F">
            <w:pPr>
              <w:jc w:val="center"/>
              <w:rPr>
                <w:rFonts w:hint="eastAsia" w:ascii="宋体" w:hAnsi="宋体" w:eastAsia="宋体" w:cs="宋体"/>
                <w:i w:val="0"/>
                <w:iCs w:val="0"/>
                <w:color w:val="000000"/>
                <w:sz w:val="18"/>
                <w:szCs w:val="18"/>
                <w:u w:val="none"/>
              </w:rPr>
            </w:pP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9DF658">
            <w:pPr>
              <w:jc w:val="center"/>
              <w:rPr>
                <w:rFonts w:hint="eastAsia" w:ascii="微软雅黑" w:hAnsi="微软雅黑" w:eastAsia="微软雅黑" w:cs="微软雅黑"/>
                <w:i/>
                <w:iCs/>
                <w:color w:val="000000"/>
                <w:sz w:val="16"/>
                <w:szCs w:val="16"/>
                <w:u w:val="none"/>
              </w:rPr>
            </w:pPr>
          </w:p>
        </w:tc>
      </w:tr>
      <w:tr w14:paraId="3563B4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0FEE9D">
            <w:pPr>
              <w:jc w:val="cente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57880E">
            <w:pPr>
              <w:jc w:val="center"/>
              <w:rPr>
                <w:rFonts w:hint="eastAsia" w:ascii="宋体" w:hAnsi="宋体" w:eastAsia="宋体" w:cs="宋体"/>
                <w:i w:val="0"/>
                <w:iCs w:val="0"/>
                <w:color w:val="000000"/>
                <w:sz w:val="18"/>
                <w:szCs w:val="18"/>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4B1D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9E38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加强驻村工作顺利推进</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476C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6608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3764CC">
            <w:pPr>
              <w:jc w:val="center"/>
              <w:rPr>
                <w:rFonts w:hint="eastAsia" w:ascii="宋体" w:hAnsi="宋体" w:eastAsia="宋体" w:cs="宋体"/>
                <w:i w:val="0"/>
                <w:iCs w:val="0"/>
                <w:color w:val="000000"/>
                <w:sz w:val="18"/>
                <w:szCs w:val="18"/>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CA141C">
            <w:pPr>
              <w:jc w:val="center"/>
              <w:rPr>
                <w:rFonts w:hint="eastAsia" w:ascii="微软雅黑" w:hAnsi="微软雅黑" w:eastAsia="微软雅黑" w:cs="微软雅黑"/>
                <w:i/>
                <w:iCs/>
                <w:color w:val="000000"/>
                <w:sz w:val="16"/>
                <w:szCs w:val="16"/>
                <w:u w:val="none"/>
              </w:rPr>
            </w:pP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5659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9440B8">
            <w:pPr>
              <w:jc w:val="center"/>
              <w:rPr>
                <w:rFonts w:hint="eastAsia" w:ascii="宋体" w:hAnsi="宋体" w:eastAsia="宋体" w:cs="宋体"/>
                <w:i w:val="0"/>
                <w:iCs w:val="0"/>
                <w:color w:val="000000"/>
                <w:sz w:val="18"/>
                <w:szCs w:val="18"/>
                <w:u w:val="none"/>
              </w:rPr>
            </w:pP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281343">
            <w:pPr>
              <w:jc w:val="center"/>
              <w:rPr>
                <w:rFonts w:hint="eastAsia" w:ascii="微软雅黑" w:hAnsi="微软雅黑" w:eastAsia="微软雅黑" w:cs="微软雅黑"/>
                <w:i/>
                <w:iCs/>
                <w:color w:val="000000"/>
                <w:sz w:val="16"/>
                <w:szCs w:val="16"/>
                <w:u w:val="none"/>
              </w:rPr>
            </w:pPr>
          </w:p>
        </w:tc>
      </w:tr>
      <w:tr w14:paraId="3C6408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2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706B55">
            <w:pPr>
              <w:jc w:val="center"/>
              <w:rPr>
                <w:rFonts w:hint="eastAsia" w:ascii="宋体" w:hAnsi="宋体" w:eastAsia="宋体" w:cs="宋体"/>
                <w:i w:val="0"/>
                <w:iCs w:val="0"/>
                <w:color w:val="000000"/>
                <w:sz w:val="18"/>
                <w:szCs w:val="18"/>
                <w:u w:val="none"/>
              </w:rPr>
            </w:pP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E730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2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1351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DA3A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更好的为群众服务</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E47F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A842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3C99C8">
            <w:pPr>
              <w:jc w:val="center"/>
              <w:rPr>
                <w:rFonts w:hint="eastAsia" w:ascii="宋体" w:hAnsi="宋体" w:eastAsia="宋体" w:cs="宋体"/>
                <w:i w:val="0"/>
                <w:iCs w:val="0"/>
                <w:color w:val="000000"/>
                <w:sz w:val="18"/>
                <w:szCs w:val="18"/>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761F9C">
            <w:pPr>
              <w:jc w:val="center"/>
              <w:rPr>
                <w:rFonts w:hint="eastAsia" w:ascii="微软雅黑" w:hAnsi="微软雅黑" w:eastAsia="微软雅黑" w:cs="微软雅黑"/>
                <w:i/>
                <w:iCs/>
                <w:color w:val="000000"/>
                <w:sz w:val="16"/>
                <w:szCs w:val="16"/>
                <w:u w:val="none"/>
              </w:rPr>
            </w:pP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3202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39C5A4">
            <w:pPr>
              <w:jc w:val="center"/>
              <w:rPr>
                <w:rFonts w:hint="eastAsia" w:ascii="宋体" w:hAnsi="宋体" w:eastAsia="宋体" w:cs="宋体"/>
                <w:i w:val="0"/>
                <w:iCs w:val="0"/>
                <w:color w:val="000000"/>
                <w:sz w:val="18"/>
                <w:szCs w:val="18"/>
                <w:u w:val="none"/>
              </w:rPr>
            </w:pP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C7BC3">
            <w:pPr>
              <w:jc w:val="center"/>
              <w:rPr>
                <w:rFonts w:hint="eastAsia" w:ascii="微软雅黑" w:hAnsi="微软雅黑" w:eastAsia="微软雅黑" w:cs="微软雅黑"/>
                <w:i/>
                <w:iCs/>
                <w:color w:val="000000"/>
                <w:sz w:val="16"/>
                <w:szCs w:val="16"/>
                <w:u w:val="none"/>
              </w:rPr>
            </w:pPr>
          </w:p>
        </w:tc>
      </w:tr>
      <w:tr w14:paraId="7FFA6D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E8813C">
            <w:pPr>
              <w:jc w:val="cente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BDA3CA">
            <w:pPr>
              <w:jc w:val="center"/>
              <w:rPr>
                <w:rFonts w:hint="eastAsia" w:ascii="宋体" w:hAnsi="宋体" w:eastAsia="宋体" w:cs="宋体"/>
                <w:i w:val="0"/>
                <w:iCs w:val="0"/>
                <w:color w:val="000000"/>
                <w:sz w:val="18"/>
                <w:szCs w:val="18"/>
                <w:u w:val="none"/>
              </w:rPr>
            </w:pPr>
          </w:p>
        </w:tc>
        <w:tc>
          <w:tcPr>
            <w:tcW w:w="6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442C14">
            <w:pPr>
              <w:jc w:val="center"/>
              <w:rPr>
                <w:rFonts w:hint="eastAsia" w:ascii="宋体" w:hAnsi="宋体" w:eastAsia="宋体" w:cs="宋体"/>
                <w:i w:val="0"/>
                <w:iCs w:val="0"/>
                <w:color w:val="000000"/>
                <w:sz w:val="18"/>
                <w:szCs w:val="18"/>
                <w:u w:val="none"/>
              </w:rPr>
            </w:pP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8434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群众满意度</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FA0D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02C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ED2F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42991B">
            <w:pPr>
              <w:jc w:val="center"/>
              <w:rPr>
                <w:rFonts w:hint="eastAsia" w:ascii="微软雅黑" w:hAnsi="微软雅黑" w:eastAsia="微软雅黑" w:cs="微软雅黑"/>
                <w:i/>
                <w:iCs/>
                <w:color w:val="000000"/>
                <w:sz w:val="16"/>
                <w:szCs w:val="16"/>
                <w:u w:val="none"/>
              </w:rPr>
            </w:pP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F888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358045">
            <w:pPr>
              <w:jc w:val="center"/>
              <w:rPr>
                <w:rFonts w:hint="eastAsia" w:ascii="宋体" w:hAnsi="宋体" w:eastAsia="宋体" w:cs="宋体"/>
                <w:i w:val="0"/>
                <w:iCs w:val="0"/>
                <w:color w:val="000000"/>
                <w:sz w:val="18"/>
                <w:szCs w:val="18"/>
                <w:u w:val="none"/>
              </w:rPr>
            </w:pP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2E13FA">
            <w:pPr>
              <w:jc w:val="center"/>
              <w:rPr>
                <w:rFonts w:hint="eastAsia" w:ascii="微软雅黑" w:hAnsi="微软雅黑" w:eastAsia="微软雅黑" w:cs="微软雅黑"/>
                <w:i/>
                <w:iCs/>
                <w:color w:val="000000"/>
                <w:sz w:val="16"/>
                <w:szCs w:val="16"/>
                <w:u w:val="none"/>
              </w:rPr>
            </w:pPr>
          </w:p>
        </w:tc>
      </w:tr>
      <w:tr w14:paraId="1C8B4D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248206">
            <w:pPr>
              <w:jc w:val="cente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1BD27D">
            <w:pPr>
              <w:jc w:val="center"/>
              <w:rPr>
                <w:rFonts w:hint="eastAsia" w:ascii="宋体" w:hAnsi="宋体" w:eastAsia="宋体" w:cs="宋体"/>
                <w:i w:val="0"/>
                <w:iCs w:val="0"/>
                <w:color w:val="000000"/>
                <w:sz w:val="18"/>
                <w:szCs w:val="18"/>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825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3427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群众满意度</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228F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B944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3215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6C2FA5">
            <w:pPr>
              <w:jc w:val="center"/>
              <w:rPr>
                <w:rFonts w:hint="eastAsia" w:ascii="微软雅黑" w:hAnsi="微软雅黑" w:eastAsia="微软雅黑" w:cs="微软雅黑"/>
                <w:i/>
                <w:iCs/>
                <w:color w:val="000000"/>
                <w:sz w:val="16"/>
                <w:szCs w:val="16"/>
                <w:u w:val="none"/>
              </w:rPr>
            </w:pP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5433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406A9A">
            <w:pPr>
              <w:jc w:val="center"/>
              <w:rPr>
                <w:rFonts w:hint="eastAsia" w:ascii="宋体" w:hAnsi="宋体" w:eastAsia="宋体" w:cs="宋体"/>
                <w:i w:val="0"/>
                <w:iCs w:val="0"/>
                <w:color w:val="000000"/>
                <w:sz w:val="18"/>
                <w:szCs w:val="18"/>
                <w:u w:val="none"/>
              </w:rPr>
            </w:pP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1767E9">
            <w:pPr>
              <w:jc w:val="center"/>
              <w:rPr>
                <w:rFonts w:hint="eastAsia" w:ascii="微软雅黑" w:hAnsi="微软雅黑" w:eastAsia="微软雅黑" w:cs="微软雅黑"/>
                <w:i/>
                <w:iCs/>
                <w:color w:val="000000"/>
                <w:sz w:val="16"/>
                <w:szCs w:val="16"/>
                <w:u w:val="none"/>
              </w:rPr>
            </w:pPr>
          </w:p>
        </w:tc>
      </w:tr>
      <w:tr w14:paraId="7458B1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1F14F9">
            <w:pPr>
              <w:jc w:val="center"/>
              <w:rPr>
                <w:rFonts w:hint="eastAsia" w:ascii="宋体" w:hAnsi="宋体" w:eastAsia="宋体" w:cs="宋体"/>
                <w:i w:val="0"/>
                <w:iCs w:val="0"/>
                <w:color w:val="000000"/>
                <w:sz w:val="18"/>
                <w:szCs w:val="18"/>
                <w:u w:val="none"/>
              </w:rPr>
            </w:pP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ECB7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62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F9E5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61AA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项目工作经费</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F786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6078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FE99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064D2B">
            <w:pPr>
              <w:jc w:val="center"/>
              <w:rPr>
                <w:rFonts w:hint="eastAsia" w:ascii="微软雅黑" w:hAnsi="微软雅黑" w:eastAsia="微软雅黑" w:cs="微软雅黑"/>
                <w:i/>
                <w:iCs/>
                <w:color w:val="000000"/>
                <w:sz w:val="16"/>
                <w:szCs w:val="16"/>
                <w:u w:val="none"/>
              </w:rPr>
            </w:pP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6125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F88686">
            <w:pPr>
              <w:jc w:val="center"/>
              <w:rPr>
                <w:rFonts w:hint="eastAsia" w:ascii="宋体" w:hAnsi="宋体" w:eastAsia="宋体" w:cs="宋体"/>
                <w:i w:val="0"/>
                <w:iCs w:val="0"/>
                <w:color w:val="000000"/>
                <w:sz w:val="18"/>
                <w:szCs w:val="18"/>
                <w:u w:val="none"/>
              </w:rPr>
            </w:pP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E8D4EF">
            <w:pPr>
              <w:jc w:val="center"/>
              <w:rPr>
                <w:rFonts w:hint="eastAsia" w:ascii="微软雅黑" w:hAnsi="微软雅黑" w:eastAsia="微软雅黑" w:cs="微软雅黑"/>
                <w:i/>
                <w:iCs/>
                <w:color w:val="000000"/>
                <w:sz w:val="16"/>
                <w:szCs w:val="16"/>
                <w:u w:val="none"/>
              </w:rPr>
            </w:pPr>
          </w:p>
        </w:tc>
      </w:tr>
      <w:tr w14:paraId="63ADD9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5F661A">
            <w:pPr>
              <w:jc w:val="cente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486DDD">
            <w:pPr>
              <w:jc w:val="center"/>
              <w:rPr>
                <w:rFonts w:hint="eastAsia" w:ascii="宋体" w:hAnsi="宋体" w:eastAsia="宋体" w:cs="宋体"/>
                <w:i w:val="0"/>
                <w:iCs w:val="0"/>
                <w:color w:val="000000"/>
                <w:sz w:val="18"/>
                <w:szCs w:val="18"/>
                <w:u w:val="none"/>
              </w:rPr>
            </w:pPr>
          </w:p>
        </w:tc>
        <w:tc>
          <w:tcPr>
            <w:tcW w:w="6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DE88AC">
            <w:pPr>
              <w:jc w:val="center"/>
              <w:rPr>
                <w:rFonts w:hint="eastAsia" w:ascii="宋体" w:hAnsi="宋体" w:eastAsia="宋体" w:cs="宋体"/>
                <w:i w:val="0"/>
                <w:iCs w:val="0"/>
                <w:color w:val="000000"/>
                <w:sz w:val="18"/>
                <w:szCs w:val="18"/>
                <w:u w:val="none"/>
              </w:rPr>
            </w:pP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BCD2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驻村工作队经费</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0A87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7E13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35000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27F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2C77B1">
            <w:pPr>
              <w:jc w:val="center"/>
              <w:rPr>
                <w:rFonts w:hint="eastAsia" w:ascii="微软雅黑" w:hAnsi="微软雅黑" w:eastAsia="微软雅黑" w:cs="微软雅黑"/>
                <w:i/>
                <w:iCs/>
                <w:color w:val="000000"/>
                <w:sz w:val="16"/>
                <w:szCs w:val="16"/>
                <w:u w:val="none"/>
              </w:rPr>
            </w:pP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015C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555D7D">
            <w:pPr>
              <w:jc w:val="center"/>
              <w:rPr>
                <w:rFonts w:hint="eastAsia" w:ascii="宋体" w:hAnsi="宋体" w:eastAsia="宋体" w:cs="宋体"/>
                <w:i w:val="0"/>
                <w:iCs w:val="0"/>
                <w:color w:val="000000"/>
                <w:sz w:val="18"/>
                <w:szCs w:val="18"/>
                <w:u w:val="none"/>
              </w:rPr>
            </w:pP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F91FB9">
            <w:pPr>
              <w:jc w:val="center"/>
              <w:rPr>
                <w:rFonts w:hint="eastAsia" w:ascii="微软雅黑" w:hAnsi="微软雅黑" w:eastAsia="微软雅黑" w:cs="微软雅黑"/>
                <w:i/>
                <w:iCs/>
                <w:color w:val="000000"/>
                <w:sz w:val="16"/>
                <w:szCs w:val="16"/>
                <w:u w:val="none"/>
              </w:rPr>
            </w:pPr>
          </w:p>
        </w:tc>
      </w:tr>
      <w:tr w14:paraId="453C9C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3756"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8B4CB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4CDC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DE71C5">
            <w:pPr>
              <w:rPr>
                <w:rFonts w:hint="eastAsia" w:ascii="宋体" w:hAnsi="宋体" w:eastAsia="宋体" w:cs="宋体"/>
                <w:i w:val="0"/>
                <w:iCs w:val="0"/>
                <w:color w:val="000000"/>
                <w:sz w:val="18"/>
                <w:szCs w:val="18"/>
                <w:u w:val="none"/>
              </w:rPr>
            </w:pP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1176BE">
            <w:pPr>
              <w:rPr>
                <w:rFonts w:hint="eastAsia" w:ascii="宋体" w:hAnsi="宋体" w:eastAsia="宋体" w:cs="宋体"/>
                <w:i w:val="0"/>
                <w:iCs w:val="0"/>
                <w:color w:val="000000"/>
                <w:sz w:val="18"/>
                <w:szCs w:val="18"/>
                <w:u w:val="none"/>
              </w:rPr>
            </w:pPr>
          </w:p>
        </w:tc>
      </w:tr>
      <w:tr w14:paraId="791E34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2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ED0D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9EB128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更好的开展驻村工作队的工作，下达驻村工作队工作经费。</w:t>
            </w:r>
          </w:p>
        </w:tc>
      </w:tr>
      <w:tr w14:paraId="1971A1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2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1301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773FE6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7875D3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2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4EA8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4FBEB8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lang w:val="en-US" w:eastAsia="zh-CN"/>
              </w:rPr>
            </w:pPr>
            <w:r>
              <w:rPr>
                <w:rFonts w:hint="eastAsia" w:ascii="微软雅黑" w:hAnsi="微软雅黑" w:eastAsia="微软雅黑" w:cs="微软雅黑"/>
                <w:i/>
                <w:iCs/>
                <w:color w:val="000000"/>
                <w:sz w:val="16"/>
                <w:szCs w:val="16"/>
                <w:u w:val="none"/>
                <w:lang w:val="en-US" w:eastAsia="zh-CN"/>
              </w:rPr>
              <w:t>无</w:t>
            </w:r>
          </w:p>
        </w:tc>
      </w:tr>
      <w:tr w14:paraId="4B6D27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258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67F336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326320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075828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58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83444F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24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D6608F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51322325T000013397102-开展11镇值守单位慰问活动</w:t>
            </w:r>
          </w:p>
        </w:tc>
      </w:tr>
      <w:tr w14:paraId="31D227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9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828AA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CEC0F3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茂县黑虎镇人民政府</w:t>
            </w:r>
          </w:p>
        </w:tc>
        <w:tc>
          <w:tcPr>
            <w:tcW w:w="387" w:type="pct"/>
            <w:tcBorders>
              <w:top w:val="nil"/>
              <w:left w:val="nil"/>
              <w:bottom w:val="nil"/>
              <w:right w:val="nil"/>
            </w:tcBorders>
            <w:shd w:val="clear" w:color="auto" w:fill="auto"/>
            <w:vAlign w:val="center"/>
          </w:tcPr>
          <w:p w14:paraId="13A140B7">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326D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茂县黑虎镇人民政府（行政）</w:t>
            </w:r>
          </w:p>
        </w:tc>
      </w:tr>
      <w:tr w14:paraId="4BF5D4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49943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CE51E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A03C8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3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E86CBB2">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481FC8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2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0092D7">
            <w:pP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12359F">
            <w:pPr>
              <w:rPr>
                <w:rFonts w:hint="eastAsia" w:ascii="宋体" w:hAnsi="宋体" w:eastAsia="宋体" w:cs="宋体"/>
                <w:i w:val="0"/>
                <w:iCs w:val="0"/>
                <w:color w:val="000000"/>
                <w:sz w:val="18"/>
                <w:szCs w:val="18"/>
                <w:u w:val="none"/>
              </w:rPr>
            </w:pP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4D328E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表达对值班人员的关心关爱，让他们过一个欢快祥和的节日</w:t>
            </w:r>
          </w:p>
        </w:tc>
        <w:tc>
          <w:tcPr>
            <w:tcW w:w="163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DC3ACB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表达对值班人员的关心关爱，让他们过一个欢快祥和的节日</w:t>
            </w:r>
          </w:p>
        </w:tc>
      </w:tr>
      <w:tr w14:paraId="56D257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2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2A4B4B">
            <w:pP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AA5A8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27"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34E35C2">
            <w:pPr>
              <w:rPr>
                <w:rFonts w:hint="eastAsia" w:ascii="宋体" w:hAnsi="宋体" w:eastAsia="宋体" w:cs="宋体"/>
                <w:i w:val="0"/>
                <w:iCs w:val="0"/>
                <w:color w:val="000000"/>
                <w:sz w:val="18"/>
                <w:szCs w:val="18"/>
                <w:u w:val="none"/>
              </w:rPr>
            </w:pPr>
          </w:p>
        </w:tc>
      </w:tr>
      <w:tr w14:paraId="6FF9B7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2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45D8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E504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1030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5270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638A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3855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C0F6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5394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89A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12F260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2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F5E64F">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1C73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03F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7D6D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0.50</w:t>
            </w:r>
          </w:p>
        </w:tc>
        <w:tc>
          <w:tcPr>
            <w:tcW w:w="96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21D2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0.50</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EC07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6C5F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304E6D">
            <w:pPr>
              <w:jc w:val="center"/>
              <w:rPr>
                <w:rFonts w:hint="eastAsia" w:ascii="宋体" w:hAnsi="宋体" w:eastAsia="宋体" w:cs="宋体"/>
                <w:i w:val="0"/>
                <w:iCs w:val="0"/>
                <w:color w:val="000000"/>
                <w:sz w:val="18"/>
                <w:szCs w:val="18"/>
                <w:u w:val="none"/>
              </w:rPr>
            </w:pPr>
          </w:p>
        </w:tc>
        <w:tc>
          <w:tcPr>
            <w:tcW w:w="90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5DC261">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42C59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2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BA5315">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A44A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5030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E6AC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0.50</w:t>
            </w:r>
          </w:p>
        </w:tc>
        <w:tc>
          <w:tcPr>
            <w:tcW w:w="96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F2B0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0.50</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E015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EF86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04DC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7EB35D">
            <w:pPr>
              <w:rPr>
                <w:rFonts w:hint="eastAsia" w:ascii="黑体" w:hAnsi="黑体" w:eastAsia="黑体" w:cs="黑体"/>
                <w:i/>
                <w:iCs/>
                <w:color w:val="000000"/>
                <w:sz w:val="18"/>
                <w:szCs w:val="18"/>
                <w:u w:val="none"/>
              </w:rPr>
            </w:pPr>
          </w:p>
        </w:tc>
      </w:tr>
      <w:tr w14:paraId="569F9F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2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0517BB">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0260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45FB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72F9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E715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0E3A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8EA9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EF96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83EF06">
            <w:pPr>
              <w:rPr>
                <w:rFonts w:hint="eastAsia" w:ascii="黑体" w:hAnsi="黑体" w:eastAsia="黑体" w:cs="黑体"/>
                <w:i/>
                <w:iCs/>
                <w:color w:val="000000"/>
                <w:sz w:val="18"/>
                <w:szCs w:val="18"/>
                <w:u w:val="none"/>
              </w:rPr>
            </w:pPr>
          </w:p>
        </w:tc>
      </w:tr>
      <w:tr w14:paraId="7A52E2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2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7326B9">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3DEC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EA01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E752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E602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208C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6315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C4D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F169D7">
            <w:pPr>
              <w:rPr>
                <w:rFonts w:hint="eastAsia" w:ascii="黑体" w:hAnsi="黑体" w:eastAsia="黑体" w:cs="黑体"/>
                <w:i/>
                <w:iCs/>
                <w:color w:val="000000"/>
                <w:sz w:val="18"/>
                <w:szCs w:val="18"/>
                <w:u w:val="none"/>
              </w:rPr>
            </w:pPr>
          </w:p>
        </w:tc>
      </w:tr>
      <w:tr w14:paraId="1DFD66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EBE5CE">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C7F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DD2F03">
            <w:pPr>
              <w:jc w:val="center"/>
              <w:rPr>
                <w:rFonts w:hint="eastAsia" w:ascii="微软雅黑" w:hAnsi="微软雅黑" w:eastAsia="微软雅黑" w:cs="微软雅黑"/>
                <w:i/>
                <w:iCs/>
                <w:color w:val="000000"/>
                <w:sz w:val="16"/>
                <w:szCs w:val="16"/>
                <w:u w:val="none"/>
              </w:rPr>
            </w:pP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28D5E1">
            <w:pPr>
              <w:jc w:val="center"/>
              <w:rPr>
                <w:rFonts w:hint="eastAsia" w:ascii="微软雅黑" w:hAnsi="微软雅黑" w:eastAsia="微软雅黑" w:cs="微软雅黑"/>
                <w:i/>
                <w:iCs/>
                <w:color w:val="000000"/>
                <w:sz w:val="16"/>
                <w:szCs w:val="16"/>
                <w:u w:val="none"/>
              </w:rPr>
            </w:pPr>
          </w:p>
        </w:tc>
        <w:tc>
          <w:tcPr>
            <w:tcW w:w="96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A69268">
            <w:pPr>
              <w:jc w:val="center"/>
              <w:rPr>
                <w:rFonts w:hint="eastAsia" w:ascii="微软雅黑" w:hAnsi="微软雅黑" w:eastAsia="微软雅黑" w:cs="微软雅黑"/>
                <w:i/>
                <w:iCs/>
                <w:color w:val="000000"/>
                <w:sz w:val="16"/>
                <w:szCs w:val="16"/>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110738">
            <w:pPr>
              <w:jc w:val="center"/>
              <w:rPr>
                <w:rFonts w:hint="eastAsia" w:ascii="微软雅黑" w:hAnsi="微软雅黑" w:eastAsia="微软雅黑" w:cs="微软雅黑"/>
                <w:i/>
                <w:iCs/>
                <w:color w:val="000000"/>
                <w:sz w:val="16"/>
                <w:szCs w:val="16"/>
                <w:u w:val="none"/>
              </w:rPr>
            </w:pP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1CFE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2970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6B00D8">
            <w:pPr>
              <w:rPr>
                <w:rFonts w:hint="eastAsia" w:ascii="黑体" w:hAnsi="黑体" w:eastAsia="黑体" w:cs="黑体"/>
                <w:i/>
                <w:iCs/>
                <w:color w:val="000000"/>
                <w:sz w:val="18"/>
                <w:szCs w:val="18"/>
                <w:u w:val="none"/>
              </w:rPr>
            </w:pPr>
          </w:p>
        </w:tc>
      </w:tr>
      <w:tr w14:paraId="58873D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0303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2D92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074F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3B1E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C12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4007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1F6D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D5DD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D124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BC17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306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F4410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42BBBB">
            <w:pPr>
              <w:jc w:val="center"/>
              <w:rPr>
                <w:rFonts w:hint="eastAsia" w:ascii="宋体" w:hAnsi="宋体" w:eastAsia="宋体" w:cs="宋体"/>
                <w:i w:val="0"/>
                <w:iCs w:val="0"/>
                <w:color w:val="000000"/>
                <w:sz w:val="18"/>
                <w:szCs w:val="18"/>
                <w:u w:val="none"/>
              </w:rPr>
            </w:pP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4CFF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21FC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2022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镇职工人数</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A8C8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F6E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39</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3000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392F76">
            <w:pPr>
              <w:jc w:val="center"/>
              <w:rPr>
                <w:rFonts w:hint="eastAsia" w:ascii="微软雅黑" w:hAnsi="微软雅黑" w:eastAsia="微软雅黑" w:cs="微软雅黑"/>
                <w:i/>
                <w:iCs/>
                <w:color w:val="000000"/>
                <w:sz w:val="16"/>
                <w:szCs w:val="16"/>
                <w:u w:val="none"/>
              </w:rPr>
            </w:pP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EE12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802398">
            <w:pPr>
              <w:jc w:val="center"/>
              <w:rPr>
                <w:rFonts w:hint="eastAsia" w:ascii="宋体" w:hAnsi="宋体" w:eastAsia="宋体" w:cs="宋体"/>
                <w:i w:val="0"/>
                <w:iCs w:val="0"/>
                <w:color w:val="000000"/>
                <w:sz w:val="18"/>
                <w:szCs w:val="18"/>
                <w:u w:val="none"/>
              </w:rPr>
            </w:pP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9866F6">
            <w:pPr>
              <w:jc w:val="center"/>
              <w:rPr>
                <w:rFonts w:hint="eastAsia" w:ascii="微软雅黑" w:hAnsi="微软雅黑" w:eastAsia="微软雅黑" w:cs="微软雅黑"/>
                <w:i/>
                <w:iCs/>
                <w:color w:val="000000"/>
                <w:sz w:val="16"/>
                <w:szCs w:val="16"/>
                <w:u w:val="none"/>
              </w:rPr>
            </w:pPr>
          </w:p>
        </w:tc>
      </w:tr>
      <w:tr w14:paraId="311C87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B86B12">
            <w:pPr>
              <w:jc w:val="cente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E2D005">
            <w:pPr>
              <w:jc w:val="center"/>
              <w:rPr>
                <w:rFonts w:hint="eastAsia" w:ascii="宋体" w:hAnsi="宋体" w:eastAsia="宋体" w:cs="宋体"/>
                <w:i w:val="0"/>
                <w:iCs w:val="0"/>
                <w:color w:val="000000"/>
                <w:sz w:val="18"/>
                <w:szCs w:val="18"/>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3F36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459C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慰问金足额发放率</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336B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B215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CF02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72CF26">
            <w:pPr>
              <w:jc w:val="center"/>
              <w:rPr>
                <w:rFonts w:hint="eastAsia" w:ascii="微软雅黑" w:hAnsi="微软雅黑" w:eastAsia="微软雅黑" w:cs="微软雅黑"/>
                <w:i/>
                <w:iCs/>
                <w:color w:val="000000"/>
                <w:sz w:val="16"/>
                <w:szCs w:val="16"/>
                <w:u w:val="none"/>
              </w:rPr>
            </w:pP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B24E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0E3676">
            <w:pPr>
              <w:jc w:val="center"/>
              <w:rPr>
                <w:rFonts w:hint="eastAsia" w:ascii="宋体" w:hAnsi="宋体" w:eastAsia="宋体" w:cs="宋体"/>
                <w:i w:val="0"/>
                <w:iCs w:val="0"/>
                <w:color w:val="000000"/>
                <w:sz w:val="18"/>
                <w:szCs w:val="18"/>
                <w:u w:val="none"/>
              </w:rPr>
            </w:pP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229823">
            <w:pPr>
              <w:jc w:val="center"/>
              <w:rPr>
                <w:rFonts w:hint="eastAsia" w:ascii="微软雅黑" w:hAnsi="微软雅黑" w:eastAsia="微软雅黑" w:cs="微软雅黑"/>
                <w:i/>
                <w:iCs/>
                <w:color w:val="000000"/>
                <w:sz w:val="16"/>
                <w:szCs w:val="16"/>
                <w:u w:val="none"/>
              </w:rPr>
            </w:pPr>
          </w:p>
        </w:tc>
      </w:tr>
      <w:tr w14:paraId="67A71C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8D6BB4">
            <w:pPr>
              <w:jc w:val="cente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D1B551">
            <w:pPr>
              <w:jc w:val="center"/>
              <w:rPr>
                <w:rFonts w:hint="eastAsia" w:ascii="宋体" w:hAnsi="宋体" w:eastAsia="宋体" w:cs="宋体"/>
                <w:i w:val="0"/>
                <w:iCs w:val="0"/>
                <w:color w:val="000000"/>
                <w:sz w:val="18"/>
                <w:szCs w:val="18"/>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1773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F667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项目完成时间</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CEED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9C1E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D5E8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029A99">
            <w:pPr>
              <w:jc w:val="center"/>
              <w:rPr>
                <w:rFonts w:hint="eastAsia" w:ascii="微软雅黑" w:hAnsi="微软雅黑" w:eastAsia="微软雅黑" w:cs="微软雅黑"/>
                <w:i/>
                <w:iCs/>
                <w:color w:val="000000"/>
                <w:sz w:val="16"/>
                <w:szCs w:val="16"/>
                <w:u w:val="none"/>
              </w:rPr>
            </w:pP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0D39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5DF97">
            <w:pPr>
              <w:jc w:val="center"/>
              <w:rPr>
                <w:rFonts w:hint="eastAsia" w:ascii="宋体" w:hAnsi="宋体" w:eastAsia="宋体" w:cs="宋体"/>
                <w:i w:val="0"/>
                <w:iCs w:val="0"/>
                <w:color w:val="000000"/>
                <w:sz w:val="18"/>
                <w:szCs w:val="18"/>
                <w:u w:val="none"/>
              </w:rPr>
            </w:pP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7D40CC">
            <w:pPr>
              <w:jc w:val="center"/>
              <w:rPr>
                <w:rFonts w:hint="eastAsia" w:ascii="微软雅黑" w:hAnsi="微软雅黑" w:eastAsia="微软雅黑" w:cs="微软雅黑"/>
                <w:i/>
                <w:iCs/>
                <w:color w:val="000000"/>
                <w:sz w:val="16"/>
                <w:szCs w:val="16"/>
                <w:u w:val="none"/>
              </w:rPr>
            </w:pPr>
          </w:p>
        </w:tc>
      </w:tr>
      <w:tr w14:paraId="020A19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E72CAB">
            <w:pPr>
              <w:jc w:val="center"/>
              <w:rPr>
                <w:rFonts w:hint="eastAsia" w:ascii="宋体" w:hAnsi="宋体" w:eastAsia="宋体" w:cs="宋体"/>
                <w:i w:val="0"/>
                <w:iCs w:val="0"/>
                <w:color w:val="000000"/>
                <w:sz w:val="18"/>
                <w:szCs w:val="18"/>
                <w:u w:val="none"/>
              </w:rPr>
            </w:pP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25C8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3C7B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561C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更积极地开展工作</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3500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0B54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2CA3AF">
            <w:pPr>
              <w:jc w:val="center"/>
              <w:rPr>
                <w:rFonts w:hint="eastAsia" w:ascii="宋体" w:hAnsi="宋体" w:eastAsia="宋体" w:cs="宋体"/>
                <w:i w:val="0"/>
                <w:iCs w:val="0"/>
                <w:color w:val="000000"/>
                <w:sz w:val="18"/>
                <w:szCs w:val="18"/>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54BD6E">
            <w:pPr>
              <w:jc w:val="center"/>
              <w:rPr>
                <w:rFonts w:hint="eastAsia" w:ascii="微软雅黑" w:hAnsi="微软雅黑" w:eastAsia="微软雅黑" w:cs="微软雅黑"/>
                <w:i/>
                <w:iCs/>
                <w:color w:val="000000"/>
                <w:sz w:val="16"/>
                <w:szCs w:val="16"/>
                <w:u w:val="none"/>
              </w:rPr>
            </w:pP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F849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215D45">
            <w:pPr>
              <w:jc w:val="center"/>
              <w:rPr>
                <w:rFonts w:hint="eastAsia" w:ascii="宋体" w:hAnsi="宋体" w:eastAsia="宋体" w:cs="宋体"/>
                <w:i w:val="0"/>
                <w:iCs w:val="0"/>
                <w:color w:val="000000"/>
                <w:sz w:val="18"/>
                <w:szCs w:val="18"/>
                <w:u w:val="none"/>
              </w:rPr>
            </w:pP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8B1F30">
            <w:pPr>
              <w:jc w:val="center"/>
              <w:rPr>
                <w:rFonts w:hint="eastAsia" w:ascii="微软雅黑" w:hAnsi="微软雅黑" w:eastAsia="微软雅黑" w:cs="微软雅黑"/>
                <w:i/>
                <w:iCs/>
                <w:color w:val="000000"/>
                <w:sz w:val="16"/>
                <w:szCs w:val="16"/>
                <w:u w:val="none"/>
              </w:rPr>
            </w:pPr>
          </w:p>
        </w:tc>
      </w:tr>
      <w:tr w14:paraId="75269A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0C647C">
            <w:pPr>
              <w:jc w:val="cente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DBA5C6">
            <w:pPr>
              <w:jc w:val="center"/>
              <w:rPr>
                <w:rFonts w:hint="eastAsia" w:ascii="宋体" w:hAnsi="宋体" w:eastAsia="宋体" w:cs="宋体"/>
                <w:i w:val="0"/>
                <w:iCs w:val="0"/>
                <w:color w:val="000000"/>
                <w:sz w:val="18"/>
                <w:szCs w:val="18"/>
                <w:u w:val="none"/>
              </w:rPr>
            </w:pPr>
          </w:p>
        </w:tc>
        <w:tc>
          <w:tcPr>
            <w:tcW w:w="62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762A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F8B5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体现对干部职工的关心</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B190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580B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高</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89181D">
            <w:pPr>
              <w:jc w:val="center"/>
              <w:rPr>
                <w:rFonts w:hint="eastAsia" w:ascii="宋体" w:hAnsi="宋体" w:eastAsia="宋体" w:cs="宋体"/>
                <w:i w:val="0"/>
                <w:iCs w:val="0"/>
                <w:color w:val="000000"/>
                <w:sz w:val="18"/>
                <w:szCs w:val="18"/>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B363A2">
            <w:pPr>
              <w:jc w:val="center"/>
              <w:rPr>
                <w:rFonts w:hint="eastAsia" w:ascii="微软雅黑" w:hAnsi="微软雅黑" w:eastAsia="微软雅黑" w:cs="微软雅黑"/>
                <w:i/>
                <w:iCs/>
                <w:color w:val="000000"/>
                <w:sz w:val="16"/>
                <w:szCs w:val="16"/>
                <w:u w:val="none"/>
              </w:rPr>
            </w:pP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5CEC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20A038">
            <w:pPr>
              <w:jc w:val="center"/>
              <w:rPr>
                <w:rFonts w:hint="eastAsia" w:ascii="宋体" w:hAnsi="宋体" w:eastAsia="宋体" w:cs="宋体"/>
                <w:i w:val="0"/>
                <w:iCs w:val="0"/>
                <w:color w:val="000000"/>
                <w:sz w:val="18"/>
                <w:szCs w:val="18"/>
                <w:u w:val="none"/>
              </w:rPr>
            </w:pP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66D0A2">
            <w:pPr>
              <w:jc w:val="center"/>
              <w:rPr>
                <w:rFonts w:hint="eastAsia" w:ascii="微软雅黑" w:hAnsi="微软雅黑" w:eastAsia="微软雅黑" w:cs="微软雅黑"/>
                <w:i/>
                <w:iCs/>
                <w:color w:val="000000"/>
                <w:sz w:val="16"/>
                <w:szCs w:val="16"/>
                <w:u w:val="none"/>
              </w:rPr>
            </w:pPr>
          </w:p>
        </w:tc>
      </w:tr>
      <w:tr w14:paraId="7628D2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785437">
            <w:pPr>
              <w:jc w:val="cente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34B366">
            <w:pPr>
              <w:jc w:val="center"/>
              <w:rPr>
                <w:rFonts w:hint="eastAsia" w:ascii="宋体" w:hAnsi="宋体" w:eastAsia="宋体" w:cs="宋体"/>
                <w:i w:val="0"/>
                <w:iCs w:val="0"/>
                <w:color w:val="000000"/>
                <w:sz w:val="18"/>
                <w:szCs w:val="18"/>
                <w:u w:val="none"/>
              </w:rPr>
            </w:pPr>
          </w:p>
        </w:tc>
        <w:tc>
          <w:tcPr>
            <w:tcW w:w="6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D50B8E">
            <w:pPr>
              <w:jc w:val="center"/>
              <w:rPr>
                <w:rFonts w:hint="eastAsia" w:ascii="宋体" w:hAnsi="宋体" w:eastAsia="宋体" w:cs="宋体"/>
                <w:i w:val="0"/>
                <w:iCs w:val="0"/>
                <w:color w:val="000000"/>
                <w:sz w:val="18"/>
                <w:szCs w:val="18"/>
                <w:u w:val="none"/>
              </w:rPr>
            </w:pP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1584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对工作的积极性</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ACA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9830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高</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21BAA2">
            <w:pPr>
              <w:jc w:val="center"/>
              <w:rPr>
                <w:rFonts w:hint="eastAsia" w:ascii="宋体" w:hAnsi="宋体" w:eastAsia="宋体" w:cs="宋体"/>
                <w:i w:val="0"/>
                <w:iCs w:val="0"/>
                <w:color w:val="000000"/>
                <w:sz w:val="18"/>
                <w:szCs w:val="18"/>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FC6B68">
            <w:pPr>
              <w:jc w:val="center"/>
              <w:rPr>
                <w:rFonts w:hint="eastAsia" w:ascii="微软雅黑" w:hAnsi="微软雅黑" w:eastAsia="微软雅黑" w:cs="微软雅黑"/>
                <w:i/>
                <w:iCs/>
                <w:color w:val="000000"/>
                <w:sz w:val="16"/>
                <w:szCs w:val="16"/>
                <w:u w:val="none"/>
              </w:rPr>
            </w:pP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D118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52594">
            <w:pPr>
              <w:jc w:val="center"/>
              <w:rPr>
                <w:rFonts w:hint="eastAsia" w:ascii="宋体" w:hAnsi="宋体" w:eastAsia="宋体" w:cs="宋体"/>
                <w:i w:val="0"/>
                <w:iCs w:val="0"/>
                <w:color w:val="000000"/>
                <w:sz w:val="18"/>
                <w:szCs w:val="18"/>
                <w:u w:val="none"/>
              </w:rPr>
            </w:pP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488E7B">
            <w:pPr>
              <w:jc w:val="center"/>
              <w:rPr>
                <w:rFonts w:hint="eastAsia" w:ascii="微软雅黑" w:hAnsi="微软雅黑" w:eastAsia="微软雅黑" w:cs="微软雅黑"/>
                <w:i/>
                <w:iCs/>
                <w:color w:val="000000"/>
                <w:sz w:val="16"/>
                <w:szCs w:val="16"/>
                <w:u w:val="none"/>
              </w:rPr>
            </w:pPr>
          </w:p>
        </w:tc>
      </w:tr>
      <w:tr w14:paraId="478249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472FDA">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BFE9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697B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EF00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干部职工满意度</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C956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2E9C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2AB4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C99E2E">
            <w:pPr>
              <w:jc w:val="center"/>
              <w:rPr>
                <w:rFonts w:hint="eastAsia" w:ascii="微软雅黑" w:hAnsi="微软雅黑" w:eastAsia="微软雅黑" w:cs="微软雅黑"/>
                <w:i/>
                <w:iCs/>
                <w:color w:val="000000"/>
                <w:sz w:val="16"/>
                <w:szCs w:val="16"/>
                <w:u w:val="none"/>
              </w:rPr>
            </w:pP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D85F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F3A84D">
            <w:pPr>
              <w:jc w:val="center"/>
              <w:rPr>
                <w:rFonts w:hint="eastAsia" w:ascii="宋体" w:hAnsi="宋体" w:eastAsia="宋体" w:cs="宋体"/>
                <w:i w:val="0"/>
                <w:iCs w:val="0"/>
                <w:color w:val="000000"/>
                <w:sz w:val="18"/>
                <w:szCs w:val="18"/>
                <w:u w:val="none"/>
              </w:rPr>
            </w:pP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3E990C">
            <w:pPr>
              <w:jc w:val="center"/>
              <w:rPr>
                <w:rFonts w:hint="eastAsia" w:ascii="微软雅黑" w:hAnsi="微软雅黑" w:eastAsia="微软雅黑" w:cs="微软雅黑"/>
                <w:i/>
                <w:iCs/>
                <w:color w:val="000000"/>
                <w:sz w:val="16"/>
                <w:szCs w:val="16"/>
                <w:u w:val="none"/>
              </w:rPr>
            </w:pPr>
          </w:p>
        </w:tc>
      </w:tr>
      <w:tr w14:paraId="4A9C4F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EEB261">
            <w:pPr>
              <w:jc w:val="center"/>
              <w:rPr>
                <w:rFonts w:hint="eastAsia" w:ascii="宋体" w:hAnsi="宋体" w:eastAsia="宋体" w:cs="宋体"/>
                <w:i w:val="0"/>
                <w:iCs w:val="0"/>
                <w:color w:val="000000"/>
                <w:sz w:val="18"/>
                <w:szCs w:val="18"/>
                <w:u w:val="none"/>
              </w:rPr>
            </w:pP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9414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62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9D4F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0297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项目成本</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4380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D062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A9F5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E6078F">
            <w:pPr>
              <w:jc w:val="center"/>
              <w:rPr>
                <w:rFonts w:hint="eastAsia" w:ascii="微软雅黑" w:hAnsi="微软雅黑" w:eastAsia="微软雅黑" w:cs="微软雅黑"/>
                <w:i/>
                <w:iCs/>
                <w:color w:val="000000"/>
                <w:sz w:val="16"/>
                <w:szCs w:val="16"/>
                <w:u w:val="none"/>
              </w:rPr>
            </w:pP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5298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A6D4A">
            <w:pPr>
              <w:jc w:val="center"/>
              <w:rPr>
                <w:rFonts w:hint="eastAsia" w:ascii="宋体" w:hAnsi="宋体" w:eastAsia="宋体" w:cs="宋体"/>
                <w:i w:val="0"/>
                <w:iCs w:val="0"/>
                <w:color w:val="000000"/>
                <w:sz w:val="18"/>
                <w:szCs w:val="18"/>
                <w:u w:val="none"/>
              </w:rPr>
            </w:pP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9E02DC">
            <w:pPr>
              <w:jc w:val="center"/>
              <w:rPr>
                <w:rFonts w:hint="eastAsia" w:ascii="微软雅黑" w:hAnsi="微软雅黑" w:eastAsia="微软雅黑" w:cs="微软雅黑"/>
                <w:i/>
                <w:iCs/>
                <w:color w:val="000000"/>
                <w:sz w:val="16"/>
                <w:szCs w:val="16"/>
                <w:u w:val="none"/>
              </w:rPr>
            </w:pPr>
          </w:p>
        </w:tc>
      </w:tr>
      <w:tr w14:paraId="715213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8" w:hRule="atLeast"/>
        </w:trPr>
        <w:tc>
          <w:tcPr>
            <w:tcW w:w="2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3BDC8D">
            <w:pPr>
              <w:jc w:val="cente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7A2AF9">
            <w:pPr>
              <w:jc w:val="center"/>
              <w:rPr>
                <w:rFonts w:hint="eastAsia" w:ascii="宋体" w:hAnsi="宋体" w:eastAsia="宋体" w:cs="宋体"/>
                <w:i w:val="0"/>
                <w:iCs w:val="0"/>
                <w:color w:val="000000"/>
                <w:sz w:val="18"/>
                <w:szCs w:val="18"/>
                <w:u w:val="none"/>
              </w:rPr>
            </w:pPr>
          </w:p>
        </w:tc>
        <w:tc>
          <w:tcPr>
            <w:tcW w:w="6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79739C">
            <w:pPr>
              <w:jc w:val="center"/>
              <w:rPr>
                <w:rFonts w:hint="eastAsia" w:ascii="宋体" w:hAnsi="宋体" w:eastAsia="宋体" w:cs="宋体"/>
                <w:i w:val="0"/>
                <w:iCs w:val="0"/>
                <w:color w:val="000000"/>
                <w:sz w:val="18"/>
                <w:szCs w:val="18"/>
                <w:u w:val="none"/>
              </w:rPr>
            </w:pP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B67B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项目金额</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B3AD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C8A0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85A7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6E8E6A">
            <w:pPr>
              <w:jc w:val="center"/>
              <w:rPr>
                <w:rFonts w:hint="eastAsia" w:ascii="微软雅黑" w:hAnsi="微软雅黑" w:eastAsia="微软雅黑" w:cs="微软雅黑"/>
                <w:i/>
                <w:iCs/>
                <w:color w:val="000000"/>
                <w:sz w:val="16"/>
                <w:szCs w:val="16"/>
                <w:u w:val="none"/>
              </w:rPr>
            </w:pP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1D32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42E22">
            <w:pPr>
              <w:jc w:val="center"/>
              <w:rPr>
                <w:rFonts w:hint="eastAsia" w:ascii="宋体" w:hAnsi="宋体" w:eastAsia="宋体" w:cs="宋体"/>
                <w:i w:val="0"/>
                <w:iCs w:val="0"/>
                <w:color w:val="000000"/>
                <w:sz w:val="18"/>
                <w:szCs w:val="18"/>
                <w:u w:val="none"/>
              </w:rPr>
            </w:pP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B8991">
            <w:pPr>
              <w:jc w:val="center"/>
              <w:rPr>
                <w:rFonts w:hint="eastAsia" w:ascii="微软雅黑" w:hAnsi="微软雅黑" w:eastAsia="微软雅黑" w:cs="微软雅黑"/>
                <w:i/>
                <w:iCs/>
                <w:color w:val="000000"/>
                <w:sz w:val="16"/>
                <w:szCs w:val="16"/>
                <w:u w:val="none"/>
              </w:rPr>
            </w:pPr>
          </w:p>
        </w:tc>
      </w:tr>
      <w:tr w14:paraId="757DBE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756"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A10A6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CC61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CCC49B">
            <w:pPr>
              <w:rPr>
                <w:rFonts w:hint="eastAsia" w:ascii="宋体" w:hAnsi="宋体" w:eastAsia="宋体" w:cs="宋体"/>
                <w:i w:val="0"/>
                <w:iCs w:val="0"/>
                <w:color w:val="000000"/>
                <w:sz w:val="18"/>
                <w:szCs w:val="18"/>
                <w:u w:val="none"/>
              </w:rPr>
            </w:pP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1CAA38">
            <w:pPr>
              <w:rPr>
                <w:rFonts w:hint="eastAsia" w:ascii="宋体" w:hAnsi="宋体" w:eastAsia="宋体" w:cs="宋体"/>
                <w:i w:val="0"/>
                <w:iCs w:val="0"/>
                <w:color w:val="000000"/>
                <w:sz w:val="18"/>
                <w:szCs w:val="18"/>
                <w:u w:val="none"/>
              </w:rPr>
            </w:pPr>
          </w:p>
        </w:tc>
      </w:tr>
      <w:tr w14:paraId="1E5720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2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3FCA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DA068D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表达</w:t>
            </w:r>
            <w:r>
              <w:rPr>
                <w:rFonts w:hint="eastAsia" w:ascii="宋体" w:hAnsi="宋体" w:cs="宋体"/>
                <w:i w:val="0"/>
                <w:iCs w:val="0"/>
                <w:color w:val="000000"/>
                <w:kern w:val="0"/>
                <w:sz w:val="18"/>
                <w:szCs w:val="18"/>
                <w:u w:val="none"/>
                <w:lang w:val="en-US" w:eastAsia="zh-CN" w:bidi="ar"/>
              </w:rPr>
              <w:t>了</w:t>
            </w:r>
            <w:r>
              <w:rPr>
                <w:rFonts w:ascii="宋体" w:hAnsi="宋体" w:eastAsia="宋体" w:cs="宋体"/>
                <w:i w:val="0"/>
                <w:iCs w:val="0"/>
                <w:color w:val="000000"/>
                <w:kern w:val="0"/>
                <w:sz w:val="18"/>
                <w:szCs w:val="18"/>
                <w:u w:val="none"/>
                <w:lang w:val="en-US" w:eastAsia="zh-CN" w:bidi="ar"/>
              </w:rPr>
              <w:t>对值班人员的关心关爱，让他们过一个欢快祥和的节日</w:t>
            </w:r>
          </w:p>
        </w:tc>
      </w:tr>
      <w:tr w14:paraId="3A691A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2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0253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D115FA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5DA830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2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B0D0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3FD4A0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109AD4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58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C70FD1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E3514D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4E6D53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58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118EE1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24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EC9B79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51322325T000013656673-省级村级公共服务经费补助资金</w:t>
            </w:r>
          </w:p>
        </w:tc>
      </w:tr>
      <w:tr w14:paraId="403A53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9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65572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CA041D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茂县黑虎镇人民政府</w:t>
            </w:r>
          </w:p>
        </w:tc>
        <w:tc>
          <w:tcPr>
            <w:tcW w:w="387" w:type="pct"/>
            <w:tcBorders>
              <w:top w:val="nil"/>
              <w:left w:val="nil"/>
              <w:bottom w:val="nil"/>
              <w:right w:val="nil"/>
            </w:tcBorders>
            <w:shd w:val="clear" w:color="auto" w:fill="auto"/>
            <w:vAlign w:val="center"/>
          </w:tcPr>
          <w:p w14:paraId="1773D19F">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896A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茂县黑虎镇人民政府（行政）</w:t>
            </w:r>
          </w:p>
        </w:tc>
      </w:tr>
      <w:tr w14:paraId="5604D7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30685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DA238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CC8CC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3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D91C5E4">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23E41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2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43CF5F">
            <w:pP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AAD773">
            <w:pPr>
              <w:rPr>
                <w:rFonts w:hint="eastAsia" w:ascii="宋体" w:hAnsi="宋体" w:eastAsia="宋体" w:cs="宋体"/>
                <w:i w:val="0"/>
                <w:iCs w:val="0"/>
                <w:color w:val="000000"/>
                <w:sz w:val="18"/>
                <w:szCs w:val="18"/>
                <w:u w:val="none"/>
              </w:rPr>
            </w:pP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F750D8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省级村级公共服务资金：省级村级公共服务经费补助资金、为了大力推进农村公共服务保障能力建设，提升农村公共服务和社会管理水平，促进农村繁荣稳定和长治久安，着力解决村内最急需的问题</w:t>
            </w:r>
          </w:p>
        </w:tc>
        <w:tc>
          <w:tcPr>
            <w:tcW w:w="163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A98BF0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推进</w:t>
            </w:r>
            <w:r>
              <w:rPr>
                <w:rFonts w:hint="eastAsia" w:ascii="宋体" w:hAnsi="宋体" w:cs="宋体"/>
                <w:i w:val="0"/>
                <w:iCs w:val="0"/>
                <w:color w:val="000000"/>
                <w:kern w:val="0"/>
                <w:sz w:val="18"/>
                <w:szCs w:val="18"/>
                <w:u w:val="none"/>
                <w:lang w:val="en-US" w:eastAsia="zh-CN" w:bidi="ar"/>
              </w:rPr>
              <w:t>了</w:t>
            </w:r>
            <w:r>
              <w:rPr>
                <w:rFonts w:ascii="宋体" w:hAnsi="宋体" w:eastAsia="宋体" w:cs="宋体"/>
                <w:i w:val="0"/>
                <w:iCs w:val="0"/>
                <w:color w:val="000000"/>
                <w:kern w:val="0"/>
                <w:sz w:val="18"/>
                <w:szCs w:val="18"/>
                <w:u w:val="none"/>
                <w:lang w:val="en-US" w:eastAsia="zh-CN" w:bidi="ar"/>
              </w:rPr>
              <w:t>农村公共服务保障能力建设，提升</w:t>
            </w:r>
            <w:r>
              <w:rPr>
                <w:rFonts w:hint="eastAsia" w:ascii="宋体" w:hAnsi="宋体" w:cs="宋体"/>
                <w:i w:val="0"/>
                <w:iCs w:val="0"/>
                <w:color w:val="000000"/>
                <w:kern w:val="0"/>
                <w:sz w:val="18"/>
                <w:szCs w:val="18"/>
                <w:u w:val="none"/>
                <w:lang w:val="en-US" w:eastAsia="zh-CN" w:bidi="ar"/>
              </w:rPr>
              <w:t>了</w:t>
            </w:r>
            <w:r>
              <w:rPr>
                <w:rFonts w:ascii="宋体" w:hAnsi="宋体" w:eastAsia="宋体" w:cs="宋体"/>
                <w:i w:val="0"/>
                <w:iCs w:val="0"/>
                <w:color w:val="000000"/>
                <w:kern w:val="0"/>
                <w:sz w:val="18"/>
                <w:szCs w:val="18"/>
                <w:u w:val="none"/>
                <w:lang w:val="en-US" w:eastAsia="zh-CN" w:bidi="ar"/>
              </w:rPr>
              <w:t>农村公共服务和社会管理水平，促进</w:t>
            </w:r>
            <w:r>
              <w:rPr>
                <w:rFonts w:hint="eastAsia" w:ascii="宋体" w:hAnsi="宋体" w:cs="宋体"/>
                <w:i w:val="0"/>
                <w:iCs w:val="0"/>
                <w:color w:val="000000"/>
                <w:kern w:val="0"/>
                <w:sz w:val="18"/>
                <w:szCs w:val="18"/>
                <w:u w:val="none"/>
                <w:lang w:val="en-US" w:eastAsia="zh-CN" w:bidi="ar"/>
              </w:rPr>
              <w:t>了</w:t>
            </w:r>
            <w:r>
              <w:rPr>
                <w:rFonts w:ascii="宋体" w:hAnsi="宋体" w:eastAsia="宋体" w:cs="宋体"/>
                <w:i w:val="0"/>
                <w:iCs w:val="0"/>
                <w:color w:val="000000"/>
                <w:kern w:val="0"/>
                <w:sz w:val="18"/>
                <w:szCs w:val="18"/>
                <w:u w:val="none"/>
                <w:lang w:val="en-US" w:eastAsia="zh-CN" w:bidi="ar"/>
              </w:rPr>
              <w:t>农村繁荣稳定和长治久安，解决</w:t>
            </w:r>
            <w:r>
              <w:rPr>
                <w:rFonts w:hint="eastAsia" w:ascii="宋体" w:hAnsi="宋体" w:cs="宋体"/>
                <w:i w:val="0"/>
                <w:iCs w:val="0"/>
                <w:color w:val="000000"/>
                <w:kern w:val="0"/>
                <w:sz w:val="18"/>
                <w:szCs w:val="18"/>
                <w:u w:val="none"/>
                <w:lang w:val="en-US" w:eastAsia="zh-CN" w:bidi="ar"/>
              </w:rPr>
              <w:t>了</w:t>
            </w:r>
            <w:r>
              <w:rPr>
                <w:rFonts w:ascii="宋体" w:hAnsi="宋体" w:eastAsia="宋体" w:cs="宋体"/>
                <w:i w:val="0"/>
                <w:iCs w:val="0"/>
                <w:color w:val="000000"/>
                <w:kern w:val="0"/>
                <w:sz w:val="18"/>
                <w:szCs w:val="18"/>
                <w:u w:val="none"/>
                <w:lang w:val="en-US" w:eastAsia="zh-CN" w:bidi="ar"/>
              </w:rPr>
              <w:t>村内最急需的问题</w:t>
            </w:r>
          </w:p>
        </w:tc>
      </w:tr>
      <w:tr w14:paraId="05EB44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2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A19E49">
            <w:pP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88016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27"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007CC48">
            <w:pPr>
              <w:rPr>
                <w:rFonts w:hint="eastAsia" w:ascii="宋体" w:hAnsi="宋体" w:eastAsia="宋体" w:cs="宋体"/>
                <w:i w:val="0"/>
                <w:iCs w:val="0"/>
                <w:color w:val="000000"/>
                <w:sz w:val="18"/>
                <w:szCs w:val="18"/>
                <w:u w:val="none"/>
              </w:rPr>
            </w:pPr>
          </w:p>
        </w:tc>
      </w:tr>
      <w:tr w14:paraId="708CB4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2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B7F6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B348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0DFE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4D5D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2FA1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FAF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FFF7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00E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0FA7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1F529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2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263CF6">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4C4F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5E56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6E20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40.00</w:t>
            </w:r>
          </w:p>
        </w:tc>
        <w:tc>
          <w:tcPr>
            <w:tcW w:w="96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5FB2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40.00</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51E6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C2AD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660050">
            <w:pPr>
              <w:jc w:val="center"/>
              <w:rPr>
                <w:rFonts w:hint="eastAsia" w:ascii="宋体" w:hAnsi="宋体" w:eastAsia="宋体" w:cs="宋体"/>
                <w:i w:val="0"/>
                <w:iCs w:val="0"/>
                <w:color w:val="000000"/>
                <w:sz w:val="18"/>
                <w:szCs w:val="18"/>
                <w:u w:val="none"/>
              </w:rPr>
            </w:pPr>
          </w:p>
        </w:tc>
        <w:tc>
          <w:tcPr>
            <w:tcW w:w="90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08EA31">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2FC8D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2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841C3D">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83D6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6A60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14AD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40.00</w:t>
            </w:r>
          </w:p>
        </w:tc>
        <w:tc>
          <w:tcPr>
            <w:tcW w:w="96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F6DF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40.00</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B7F4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EA36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0D63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600CDD">
            <w:pPr>
              <w:rPr>
                <w:rFonts w:hint="eastAsia" w:ascii="黑体" w:hAnsi="黑体" w:eastAsia="黑体" w:cs="黑体"/>
                <w:i/>
                <w:iCs/>
                <w:color w:val="000000"/>
                <w:sz w:val="18"/>
                <w:szCs w:val="18"/>
                <w:u w:val="none"/>
              </w:rPr>
            </w:pPr>
          </w:p>
        </w:tc>
      </w:tr>
      <w:tr w14:paraId="3456CC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2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9D3084">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3359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026C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9806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E067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D2A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CE7A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59F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75A8A8">
            <w:pPr>
              <w:rPr>
                <w:rFonts w:hint="eastAsia" w:ascii="黑体" w:hAnsi="黑体" w:eastAsia="黑体" w:cs="黑体"/>
                <w:i/>
                <w:iCs/>
                <w:color w:val="000000"/>
                <w:sz w:val="18"/>
                <w:szCs w:val="18"/>
                <w:u w:val="none"/>
              </w:rPr>
            </w:pPr>
          </w:p>
        </w:tc>
      </w:tr>
      <w:tr w14:paraId="20F40C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2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38F9DF">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D579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C4D8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61FC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4EAF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0209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11FA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30ED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2B33B3">
            <w:pPr>
              <w:rPr>
                <w:rFonts w:hint="eastAsia" w:ascii="黑体" w:hAnsi="黑体" w:eastAsia="黑体" w:cs="黑体"/>
                <w:i/>
                <w:iCs/>
                <w:color w:val="000000"/>
                <w:sz w:val="18"/>
                <w:szCs w:val="18"/>
                <w:u w:val="none"/>
              </w:rPr>
            </w:pPr>
          </w:p>
        </w:tc>
      </w:tr>
      <w:tr w14:paraId="04DFDF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A18CFE">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F559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7E6FDC">
            <w:pPr>
              <w:jc w:val="center"/>
              <w:rPr>
                <w:rFonts w:hint="eastAsia" w:ascii="微软雅黑" w:hAnsi="微软雅黑" w:eastAsia="微软雅黑" w:cs="微软雅黑"/>
                <w:i/>
                <w:iCs/>
                <w:color w:val="000000"/>
                <w:sz w:val="16"/>
                <w:szCs w:val="16"/>
                <w:u w:val="none"/>
              </w:rPr>
            </w:pP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FF5DBB">
            <w:pPr>
              <w:jc w:val="center"/>
              <w:rPr>
                <w:rFonts w:hint="eastAsia" w:ascii="微软雅黑" w:hAnsi="微软雅黑" w:eastAsia="微软雅黑" w:cs="微软雅黑"/>
                <w:i/>
                <w:iCs/>
                <w:color w:val="000000"/>
                <w:sz w:val="16"/>
                <w:szCs w:val="16"/>
                <w:u w:val="none"/>
              </w:rPr>
            </w:pPr>
          </w:p>
        </w:tc>
        <w:tc>
          <w:tcPr>
            <w:tcW w:w="96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911C2C">
            <w:pPr>
              <w:jc w:val="center"/>
              <w:rPr>
                <w:rFonts w:hint="eastAsia" w:ascii="微软雅黑" w:hAnsi="微软雅黑" w:eastAsia="微软雅黑" w:cs="微软雅黑"/>
                <w:i/>
                <w:iCs/>
                <w:color w:val="000000"/>
                <w:sz w:val="16"/>
                <w:szCs w:val="16"/>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3E0F66">
            <w:pPr>
              <w:jc w:val="center"/>
              <w:rPr>
                <w:rFonts w:hint="eastAsia" w:ascii="微软雅黑" w:hAnsi="微软雅黑" w:eastAsia="微软雅黑" w:cs="微软雅黑"/>
                <w:i/>
                <w:iCs/>
                <w:color w:val="000000"/>
                <w:sz w:val="16"/>
                <w:szCs w:val="16"/>
                <w:u w:val="none"/>
              </w:rPr>
            </w:pP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D6D6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A070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A6DE66">
            <w:pPr>
              <w:rPr>
                <w:rFonts w:hint="eastAsia" w:ascii="黑体" w:hAnsi="黑体" w:eastAsia="黑体" w:cs="黑体"/>
                <w:i/>
                <w:iCs/>
                <w:color w:val="000000"/>
                <w:sz w:val="18"/>
                <w:szCs w:val="18"/>
                <w:u w:val="none"/>
              </w:rPr>
            </w:pPr>
          </w:p>
        </w:tc>
      </w:tr>
      <w:tr w14:paraId="22AA2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B857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060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F436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30D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488B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CEEA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9A89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BC2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12B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CFCE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E833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7FFDBC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5F20C0">
            <w:pPr>
              <w:jc w:val="center"/>
              <w:rPr>
                <w:rFonts w:hint="eastAsia" w:ascii="宋体" w:hAnsi="宋体" w:eastAsia="宋体" w:cs="宋体"/>
                <w:i w:val="0"/>
                <w:iCs w:val="0"/>
                <w:color w:val="000000"/>
                <w:sz w:val="18"/>
                <w:szCs w:val="18"/>
                <w:u w:val="none"/>
              </w:rPr>
            </w:pP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729A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0E3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CE9F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黑虎镇各村</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83E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4BF5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78D9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BF291A">
            <w:pPr>
              <w:jc w:val="center"/>
              <w:rPr>
                <w:rFonts w:hint="eastAsia" w:ascii="微软雅黑" w:hAnsi="微软雅黑" w:eastAsia="微软雅黑" w:cs="微软雅黑"/>
                <w:i/>
                <w:iCs/>
                <w:color w:val="000000"/>
                <w:sz w:val="16"/>
                <w:szCs w:val="16"/>
                <w:u w:val="none"/>
              </w:rPr>
            </w:pP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0895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94DB6B">
            <w:pPr>
              <w:jc w:val="center"/>
              <w:rPr>
                <w:rFonts w:hint="eastAsia" w:ascii="宋体" w:hAnsi="宋体" w:eastAsia="宋体" w:cs="宋体"/>
                <w:i w:val="0"/>
                <w:iCs w:val="0"/>
                <w:color w:val="000000"/>
                <w:sz w:val="18"/>
                <w:szCs w:val="18"/>
                <w:u w:val="none"/>
              </w:rPr>
            </w:pP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C583B2">
            <w:pPr>
              <w:jc w:val="center"/>
              <w:rPr>
                <w:rFonts w:hint="eastAsia" w:ascii="微软雅黑" w:hAnsi="微软雅黑" w:eastAsia="微软雅黑" w:cs="微软雅黑"/>
                <w:i/>
                <w:iCs/>
                <w:color w:val="000000"/>
                <w:sz w:val="16"/>
                <w:szCs w:val="16"/>
                <w:u w:val="none"/>
              </w:rPr>
            </w:pPr>
          </w:p>
        </w:tc>
      </w:tr>
      <w:tr w14:paraId="2BE579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A55836">
            <w:pPr>
              <w:jc w:val="cente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133F7D">
            <w:pPr>
              <w:jc w:val="center"/>
              <w:rPr>
                <w:rFonts w:hint="eastAsia" w:ascii="宋体" w:hAnsi="宋体" w:eastAsia="宋体" w:cs="宋体"/>
                <w:i w:val="0"/>
                <w:iCs w:val="0"/>
                <w:color w:val="000000"/>
                <w:sz w:val="18"/>
                <w:szCs w:val="18"/>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A93F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7D61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各村基础设施维护率</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647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1B2C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97</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0F22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EC69F2">
            <w:pPr>
              <w:jc w:val="center"/>
              <w:rPr>
                <w:rFonts w:hint="eastAsia" w:ascii="微软雅黑" w:hAnsi="微软雅黑" w:eastAsia="微软雅黑" w:cs="微软雅黑"/>
                <w:i/>
                <w:iCs/>
                <w:color w:val="000000"/>
                <w:sz w:val="16"/>
                <w:szCs w:val="16"/>
                <w:u w:val="none"/>
              </w:rPr>
            </w:pP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9919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846EBB">
            <w:pPr>
              <w:jc w:val="center"/>
              <w:rPr>
                <w:rFonts w:hint="eastAsia" w:ascii="宋体" w:hAnsi="宋体" w:eastAsia="宋体" w:cs="宋体"/>
                <w:i w:val="0"/>
                <w:iCs w:val="0"/>
                <w:color w:val="000000"/>
                <w:sz w:val="18"/>
                <w:szCs w:val="18"/>
                <w:u w:val="none"/>
              </w:rPr>
            </w:pP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6457AA">
            <w:pPr>
              <w:jc w:val="center"/>
              <w:rPr>
                <w:rFonts w:hint="eastAsia" w:ascii="微软雅黑" w:hAnsi="微软雅黑" w:eastAsia="微软雅黑" w:cs="微软雅黑"/>
                <w:i/>
                <w:iCs/>
                <w:color w:val="000000"/>
                <w:sz w:val="16"/>
                <w:szCs w:val="16"/>
                <w:u w:val="none"/>
              </w:rPr>
            </w:pPr>
          </w:p>
        </w:tc>
      </w:tr>
      <w:tr w14:paraId="38EBBE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3B6017">
            <w:pPr>
              <w:jc w:val="cente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5467D7">
            <w:pPr>
              <w:jc w:val="center"/>
              <w:rPr>
                <w:rFonts w:hint="eastAsia" w:ascii="宋体" w:hAnsi="宋体" w:eastAsia="宋体" w:cs="宋体"/>
                <w:i w:val="0"/>
                <w:iCs w:val="0"/>
                <w:color w:val="000000"/>
                <w:sz w:val="18"/>
                <w:szCs w:val="18"/>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9509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CC5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完成年度</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63DD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82E1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14C4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9DF779">
            <w:pPr>
              <w:jc w:val="center"/>
              <w:rPr>
                <w:rFonts w:hint="eastAsia" w:ascii="微软雅黑" w:hAnsi="微软雅黑" w:eastAsia="微软雅黑" w:cs="微软雅黑"/>
                <w:i/>
                <w:iCs/>
                <w:color w:val="000000"/>
                <w:sz w:val="16"/>
                <w:szCs w:val="16"/>
                <w:u w:val="none"/>
              </w:rPr>
            </w:pP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A3E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B24ACE">
            <w:pPr>
              <w:jc w:val="center"/>
              <w:rPr>
                <w:rFonts w:hint="eastAsia" w:ascii="宋体" w:hAnsi="宋体" w:eastAsia="宋体" w:cs="宋体"/>
                <w:i w:val="0"/>
                <w:iCs w:val="0"/>
                <w:color w:val="000000"/>
                <w:sz w:val="18"/>
                <w:szCs w:val="18"/>
                <w:u w:val="none"/>
              </w:rPr>
            </w:pP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A832BF">
            <w:pPr>
              <w:jc w:val="center"/>
              <w:rPr>
                <w:rFonts w:hint="eastAsia" w:ascii="微软雅黑" w:hAnsi="微软雅黑" w:eastAsia="微软雅黑" w:cs="微软雅黑"/>
                <w:i/>
                <w:iCs/>
                <w:color w:val="000000"/>
                <w:sz w:val="16"/>
                <w:szCs w:val="16"/>
                <w:u w:val="none"/>
              </w:rPr>
            </w:pPr>
          </w:p>
        </w:tc>
      </w:tr>
      <w:tr w14:paraId="13C399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473223">
            <w:pPr>
              <w:jc w:val="center"/>
              <w:rPr>
                <w:rFonts w:hint="eastAsia" w:ascii="宋体" w:hAnsi="宋体" w:eastAsia="宋体" w:cs="宋体"/>
                <w:i w:val="0"/>
                <w:iCs w:val="0"/>
                <w:color w:val="000000"/>
                <w:sz w:val="18"/>
                <w:szCs w:val="18"/>
                <w:u w:val="none"/>
              </w:rPr>
            </w:pP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7AEA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ABD6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322E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提高群众生活水平</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2510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6D24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高</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A6B028">
            <w:pPr>
              <w:jc w:val="center"/>
              <w:rPr>
                <w:rFonts w:hint="eastAsia" w:ascii="宋体" w:hAnsi="宋体" w:eastAsia="宋体" w:cs="宋体"/>
                <w:i w:val="0"/>
                <w:iCs w:val="0"/>
                <w:color w:val="000000"/>
                <w:sz w:val="18"/>
                <w:szCs w:val="18"/>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DB4496">
            <w:pPr>
              <w:jc w:val="center"/>
              <w:rPr>
                <w:rFonts w:hint="eastAsia" w:ascii="微软雅黑" w:hAnsi="微软雅黑" w:eastAsia="微软雅黑" w:cs="微软雅黑"/>
                <w:i/>
                <w:iCs/>
                <w:color w:val="000000"/>
                <w:sz w:val="16"/>
                <w:szCs w:val="16"/>
                <w:u w:val="none"/>
              </w:rPr>
            </w:pP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6F63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A28263">
            <w:pPr>
              <w:jc w:val="center"/>
              <w:rPr>
                <w:rFonts w:hint="eastAsia" w:ascii="宋体" w:hAnsi="宋体" w:eastAsia="宋体" w:cs="宋体"/>
                <w:i w:val="0"/>
                <w:iCs w:val="0"/>
                <w:color w:val="000000"/>
                <w:sz w:val="18"/>
                <w:szCs w:val="18"/>
                <w:u w:val="none"/>
              </w:rPr>
            </w:pP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612608">
            <w:pPr>
              <w:jc w:val="center"/>
              <w:rPr>
                <w:rFonts w:hint="eastAsia" w:ascii="微软雅黑" w:hAnsi="微软雅黑" w:eastAsia="微软雅黑" w:cs="微软雅黑"/>
                <w:i/>
                <w:iCs/>
                <w:color w:val="000000"/>
                <w:sz w:val="16"/>
                <w:szCs w:val="16"/>
                <w:u w:val="none"/>
              </w:rPr>
            </w:pPr>
          </w:p>
        </w:tc>
      </w:tr>
      <w:tr w14:paraId="549D67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27E64E">
            <w:pPr>
              <w:jc w:val="cente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C13786">
            <w:pPr>
              <w:jc w:val="center"/>
              <w:rPr>
                <w:rFonts w:hint="eastAsia" w:ascii="宋体" w:hAnsi="宋体" w:eastAsia="宋体" w:cs="宋体"/>
                <w:i w:val="0"/>
                <w:iCs w:val="0"/>
                <w:color w:val="000000"/>
                <w:sz w:val="18"/>
                <w:szCs w:val="18"/>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ABA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可持续发展指标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01DE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促进农村繁荣稳定</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75F7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216D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A77AA">
            <w:pPr>
              <w:jc w:val="center"/>
              <w:rPr>
                <w:rFonts w:hint="eastAsia" w:ascii="宋体" w:hAnsi="宋体" w:eastAsia="宋体" w:cs="宋体"/>
                <w:i w:val="0"/>
                <w:iCs w:val="0"/>
                <w:color w:val="000000"/>
                <w:sz w:val="18"/>
                <w:szCs w:val="18"/>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835CB4">
            <w:pPr>
              <w:jc w:val="center"/>
              <w:rPr>
                <w:rFonts w:hint="eastAsia" w:ascii="微软雅黑" w:hAnsi="微软雅黑" w:eastAsia="微软雅黑" w:cs="微软雅黑"/>
                <w:i/>
                <w:iCs/>
                <w:color w:val="000000"/>
                <w:sz w:val="16"/>
                <w:szCs w:val="16"/>
                <w:u w:val="none"/>
              </w:rPr>
            </w:pP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6E57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DE4BA2">
            <w:pPr>
              <w:jc w:val="center"/>
              <w:rPr>
                <w:rFonts w:hint="eastAsia" w:ascii="宋体" w:hAnsi="宋体" w:eastAsia="宋体" w:cs="宋体"/>
                <w:i w:val="0"/>
                <w:iCs w:val="0"/>
                <w:color w:val="000000"/>
                <w:sz w:val="18"/>
                <w:szCs w:val="18"/>
                <w:u w:val="none"/>
              </w:rPr>
            </w:pP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2B30A9">
            <w:pPr>
              <w:jc w:val="center"/>
              <w:rPr>
                <w:rFonts w:hint="eastAsia" w:ascii="微软雅黑" w:hAnsi="微软雅黑" w:eastAsia="微软雅黑" w:cs="微软雅黑"/>
                <w:i/>
                <w:iCs/>
                <w:color w:val="000000"/>
                <w:sz w:val="16"/>
                <w:szCs w:val="16"/>
                <w:u w:val="none"/>
              </w:rPr>
            </w:pPr>
          </w:p>
        </w:tc>
      </w:tr>
      <w:tr w14:paraId="46A5B5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1C8C4A">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06E2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BFDB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94E3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群众满意度</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F736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3FAD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9E46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128DA6">
            <w:pPr>
              <w:jc w:val="center"/>
              <w:rPr>
                <w:rFonts w:hint="eastAsia" w:ascii="微软雅黑" w:hAnsi="微软雅黑" w:eastAsia="微软雅黑" w:cs="微软雅黑"/>
                <w:i/>
                <w:iCs/>
                <w:color w:val="000000"/>
                <w:sz w:val="16"/>
                <w:szCs w:val="16"/>
                <w:u w:val="none"/>
              </w:rPr>
            </w:pP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9ACC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7E460A">
            <w:pPr>
              <w:jc w:val="center"/>
              <w:rPr>
                <w:rFonts w:hint="eastAsia" w:ascii="宋体" w:hAnsi="宋体" w:eastAsia="宋体" w:cs="宋体"/>
                <w:i w:val="0"/>
                <w:iCs w:val="0"/>
                <w:color w:val="000000"/>
                <w:sz w:val="18"/>
                <w:szCs w:val="18"/>
                <w:u w:val="none"/>
              </w:rPr>
            </w:pP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07D06">
            <w:pPr>
              <w:jc w:val="center"/>
              <w:rPr>
                <w:rFonts w:hint="eastAsia" w:ascii="微软雅黑" w:hAnsi="微软雅黑" w:eastAsia="微软雅黑" w:cs="微软雅黑"/>
                <w:i/>
                <w:iCs/>
                <w:color w:val="000000"/>
                <w:sz w:val="16"/>
                <w:szCs w:val="16"/>
                <w:u w:val="none"/>
              </w:rPr>
            </w:pPr>
          </w:p>
        </w:tc>
      </w:tr>
      <w:tr w14:paraId="6408C8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208D0C">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B250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7957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2C7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预算资金</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67CA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9DA9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400000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5B9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D04DE2">
            <w:pPr>
              <w:jc w:val="center"/>
              <w:rPr>
                <w:rFonts w:hint="eastAsia" w:ascii="微软雅黑" w:hAnsi="微软雅黑" w:eastAsia="微软雅黑" w:cs="微软雅黑"/>
                <w:i/>
                <w:iCs/>
                <w:color w:val="000000"/>
                <w:sz w:val="16"/>
                <w:szCs w:val="16"/>
                <w:u w:val="none"/>
              </w:rPr>
            </w:pP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59FB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9CD903">
            <w:pPr>
              <w:jc w:val="center"/>
              <w:rPr>
                <w:rFonts w:hint="eastAsia" w:ascii="宋体" w:hAnsi="宋体" w:eastAsia="宋体" w:cs="宋体"/>
                <w:i w:val="0"/>
                <w:iCs w:val="0"/>
                <w:color w:val="000000"/>
                <w:sz w:val="18"/>
                <w:szCs w:val="18"/>
                <w:u w:val="none"/>
              </w:rPr>
            </w:pP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E057A">
            <w:pPr>
              <w:jc w:val="center"/>
              <w:rPr>
                <w:rFonts w:hint="eastAsia" w:ascii="微软雅黑" w:hAnsi="微软雅黑" w:eastAsia="微软雅黑" w:cs="微软雅黑"/>
                <w:i/>
                <w:iCs/>
                <w:color w:val="000000"/>
                <w:sz w:val="16"/>
                <w:szCs w:val="16"/>
                <w:u w:val="none"/>
              </w:rPr>
            </w:pPr>
          </w:p>
        </w:tc>
      </w:tr>
      <w:tr w14:paraId="3F6BD0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756"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B0156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2FCF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1344AA">
            <w:pPr>
              <w:rPr>
                <w:rFonts w:hint="eastAsia" w:ascii="宋体" w:hAnsi="宋体" w:eastAsia="宋体" w:cs="宋体"/>
                <w:i w:val="0"/>
                <w:iCs w:val="0"/>
                <w:color w:val="000000"/>
                <w:sz w:val="18"/>
                <w:szCs w:val="18"/>
                <w:u w:val="none"/>
              </w:rPr>
            </w:pP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0E4BC0">
            <w:pPr>
              <w:rPr>
                <w:rFonts w:hint="eastAsia" w:ascii="宋体" w:hAnsi="宋体" w:eastAsia="宋体" w:cs="宋体"/>
                <w:i w:val="0"/>
                <w:iCs w:val="0"/>
                <w:color w:val="000000"/>
                <w:sz w:val="18"/>
                <w:szCs w:val="18"/>
                <w:u w:val="none"/>
              </w:rPr>
            </w:pPr>
          </w:p>
        </w:tc>
      </w:tr>
      <w:tr w14:paraId="46879F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2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BA7D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CB2269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推进</w:t>
            </w:r>
            <w:r>
              <w:rPr>
                <w:rFonts w:hint="eastAsia" w:ascii="宋体" w:hAnsi="宋体" w:cs="宋体"/>
                <w:i w:val="0"/>
                <w:iCs w:val="0"/>
                <w:color w:val="000000"/>
                <w:kern w:val="0"/>
                <w:sz w:val="18"/>
                <w:szCs w:val="18"/>
                <w:u w:val="none"/>
                <w:lang w:val="en-US" w:eastAsia="zh-CN" w:bidi="ar"/>
              </w:rPr>
              <w:t>了</w:t>
            </w:r>
            <w:r>
              <w:rPr>
                <w:rFonts w:ascii="宋体" w:hAnsi="宋体" w:eastAsia="宋体" w:cs="宋体"/>
                <w:i w:val="0"/>
                <w:iCs w:val="0"/>
                <w:color w:val="000000"/>
                <w:kern w:val="0"/>
                <w:sz w:val="18"/>
                <w:szCs w:val="18"/>
                <w:u w:val="none"/>
                <w:lang w:val="en-US" w:eastAsia="zh-CN" w:bidi="ar"/>
              </w:rPr>
              <w:t>农村公共服务保障能力建设，提升</w:t>
            </w:r>
            <w:r>
              <w:rPr>
                <w:rFonts w:hint="eastAsia" w:ascii="宋体" w:hAnsi="宋体" w:cs="宋体"/>
                <w:i w:val="0"/>
                <w:iCs w:val="0"/>
                <w:color w:val="000000"/>
                <w:kern w:val="0"/>
                <w:sz w:val="18"/>
                <w:szCs w:val="18"/>
                <w:u w:val="none"/>
                <w:lang w:val="en-US" w:eastAsia="zh-CN" w:bidi="ar"/>
              </w:rPr>
              <w:t>了</w:t>
            </w:r>
            <w:r>
              <w:rPr>
                <w:rFonts w:ascii="宋体" w:hAnsi="宋体" w:eastAsia="宋体" w:cs="宋体"/>
                <w:i w:val="0"/>
                <w:iCs w:val="0"/>
                <w:color w:val="000000"/>
                <w:kern w:val="0"/>
                <w:sz w:val="18"/>
                <w:szCs w:val="18"/>
                <w:u w:val="none"/>
                <w:lang w:val="en-US" w:eastAsia="zh-CN" w:bidi="ar"/>
              </w:rPr>
              <w:t>农村公共服务和社会管理水平，促进</w:t>
            </w:r>
            <w:r>
              <w:rPr>
                <w:rFonts w:hint="eastAsia" w:ascii="宋体" w:hAnsi="宋体" w:cs="宋体"/>
                <w:i w:val="0"/>
                <w:iCs w:val="0"/>
                <w:color w:val="000000"/>
                <w:kern w:val="0"/>
                <w:sz w:val="18"/>
                <w:szCs w:val="18"/>
                <w:u w:val="none"/>
                <w:lang w:val="en-US" w:eastAsia="zh-CN" w:bidi="ar"/>
              </w:rPr>
              <w:t>了</w:t>
            </w:r>
            <w:r>
              <w:rPr>
                <w:rFonts w:ascii="宋体" w:hAnsi="宋体" w:eastAsia="宋体" w:cs="宋体"/>
                <w:i w:val="0"/>
                <w:iCs w:val="0"/>
                <w:color w:val="000000"/>
                <w:kern w:val="0"/>
                <w:sz w:val="18"/>
                <w:szCs w:val="18"/>
                <w:u w:val="none"/>
                <w:lang w:val="en-US" w:eastAsia="zh-CN" w:bidi="ar"/>
              </w:rPr>
              <w:t>农村繁荣稳定和长治久安，解决</w:t>
            </w:r>
            <w:r>
              <w:rPr>
                <w:rFonts w:hint="eastAsia" w:ascii="宋体" w:hAnsi="宋体" w:cs="宋体"/>
                <w:i w:val="0"/>
                <w:iCs w:val="0"/>
                <w:color w:val="000000"/>
                <w:kern w:val="0"/>
                <w:sz w:val="18"/>
                <w:szCs w:val="18"/>
                <w:u w:val="none"/>
                <w:lang w:val="en-US" w:eastAsia="zh-CN" w:bidi="ar"/>
              </w:rPr>
              <w:t>了</w:t>
            </w:r>
            <w:r>
              <w:rPr>
                <w:rFonts w:ascii="宋体" w:hAnsi="宋体" w:eastAsia="宋体" w:cs="宋体"/>
                <w:i w:val="0"/>
                <w:iCs w:val="0"/>
                <w:color w:val="000000"/>
                <w:kern w:val="0"/>
                <w:sz w:val="18"/>
                <w:szCs w:val="18"/>
                <w:u w:val="none"/>
                <w:lang w:val="en-US" w:eastAsia="zh-CN" w:bidi="ar"/>
              </w:rPr>
              <w:t>村内最急需的问题</w:t>
            </w:r>
          </w:p>
        </w:tc>
      </w:tr>
      <w:tr w14:paraId="1C38E5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2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C8A2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6D4BBEF">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07E8ED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2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3AA6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2D1F6B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lang w:val="en-US" w:eastAsia="zh-CN"/>
              </w:rPr>
            </w:pPr>
            <w:r>
              <w:rPr>
                <w:rFonts w:hint="eastAsia" w:ascii="微软雅黑" w:hAnsi="微软雅黑" w:eastAsia="微软雅黑" w:cs="微软雅黑"/>
                <w:i/>
                <w:iCs/>
                <w:color w:val="000000"/>
                <w:sz w:val="16"/>
                <w:szCs w:val="16"/>
                <w:u w:val="none"/>
                <w:lang w:val="en-US" w:eastAsia="zh-CN"/>
              </w:rPr>
              <w:t>无</w:t>
            </w:r>
          </w:p>
        </w:tc>
      </w:tr>
      <w:tr w14:paraId="704AF8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58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BB7AD65">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370012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03186F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58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5E5032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24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6B4C2E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51322325T000013710949-黑虎镇垃圾转运费</w:t>
            </w:r>
          </w:p>
        </w:tc>
      </w:tr>
      <w:tr w14:paraId="54DD98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972" w:type="pct"/>
            <w:gridSpan w:val="2"/>
            <w:tcBorders>
              <w:top w:val="single" w:color="000000" w:sz="4" w:space="0"/>
              <w:left w:val="single" w:color="000000" w:sz="4" w:space="0"/>
              <w:bottom w:val="single" w:color="000000" w:sz="4" w:space="0"/>
              <w:right w:val="single" w:color="auto" w:sz="4" w:space="0"/>
            </w:tcBorders>
            <w:shd w:val="clear" w:color="auto" w:fill="auto"/>
            <w:vAlign w:val="center"/>
          </w:tcPr>
          <w:p w14:paraId="587D9DA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6" w:type="pct"/>
            <w:gridSpan w:val="5"/>
            <w:tcBorders>
              <w:top w:val="single" w:color="auto" w:sz="4" w:space="0"/>
              <w:left w:val="single" w:color="auto" w:sz="4" w:space="0"/>
              <w:bottom w:val="single" w:color="auto" w:sz="4" w:space="0"/>
              <w:right w:val="single" w:color="auto" w:sz="4" w:space="0"/>
            </w:tcBorders>
            <w:shd w:val="clear" w:color="auto" w:fill="auto"/>
            <w:vAlign w:val="center"/>
          </w:tcPr>
          <w:p w14:paraId="0EB7768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茂县黑虎镇人民政府</w:t>
            </w:r>
          </w:p>
        </w:tc>
        <w:tc>
          <w:tcPr>
            <w:tcW w:w="387" w:type="pct"/>
            <w:tcBorders>
              <w:top w:val="single" w:color="auto" w:sz="4" w:space="0"/>
              <w:left w:val="single" w:color="auto" w:sz="4" w:space="0"/>
              <w:bottom w:val="single" w:color="auto" w:sz="4" w:space="0"/>
              <w:right w:val="single" w:color="auto" w:sz="4" w:space="0"/>
            </w:tcBorders>
            <w:shd w:val="clear" w:color="auto" w:fill="auto"/>
            <w:vAlign w:val="center"/>
          </w:tcPr>
          <w:p w14:paraId="25A51BA1">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3" w:type="pct"/>
            <w:gridSpan w:val="3"/>
            <w:tcBorders>
              <w:top w:val="single" w:color="auto" w:sz="4" w:space="0"/>
              <w:left w:val="single" w:color="auto" w:sz="4" w:space="0"/>
              <w:bottom w:val="single" w:color="auto" w:sz="4" w:space="0"/>
              <w:right w:val="single" w:color="auto" w:sz="4" w:space="0"/>
            </w:tcBorders>
            <w:shd w:val="clear" w:color="auto" w:fill="auto"/>
            <w:vAlign w:val="center"/>
          </w:tcPr>
          <w:p w14:paraId="4BBA59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茂县黑虎镇人民政府（行政）</w:t>
            </w:r>
          </w:p>
        </w:tc>
      </w:tr>
      <w:tr w14:paraId="152B94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61AE2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82D02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6" w:type="pct"/>
            <w:gridSpan w:val="5"/>
            <w:tcBorders>
              <w:top w:val="single" w:color="auto" w:sz="4" w:space="0"/>
              <w:left w:val="single" w:color="000000" w:sz="4" w:space="0"/>
              <w:bottom w:val="single" w:color="000000" w:sz="4" w:space="0"/>
              <w:right w:val="single" w:color="000000" w:sz="4" w:space="0"/>
            </w:tcBorders>
            <w:shd w:val="clear" w:color="auto" w:fill="auto"/>
            <w:vAlign w:val="center"/>
          </w:tcPr>
          <w:p w14:paraId="7FF082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31" w:type="pct"/>
            <w:gridSpan w:val="4"/>
            <w:tcBorders>
              <w:top w:val="single" w:color="auto" w:sz="4" w:space="0"/>
              <w:left w:val="single" w:color="000000" w:sz="4" w:space="0"/>
              <w:bottom w:val="single" w:color="000000" w:sz="4" w:space="0"/>
              <w:right w:val="single" w:color="000000" w:sz="4" w:space="0"/>
            </w:tcBorders>
            <w:shd w:val="clear" w:color="auto" w:fill="auto"/>
            <w:vAlign w:val="center"/>
          </w:tcPr>
          <w:p w14:paraId="48917ACF">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3BE6F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2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0BD797">
            <w:pP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FE1958">
            <w:pPr>
              <w:rPr>
                <w:rFonts w:hint="eastAsia" w:ascii="宋体" w:hAnsi="宋体" w:eastAsia="宋体" w:cs="宋体"/>
                <w:i w:val="0"/>
                <w:iCs w:val="0"/>
                <w:color w:val="000000"/>
                <w:sz w:val="18"/>
                <w:szCs w:val="18"/>
                <w:u w:val="none"/>
              </w:rPr>
            </w:pP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F92C29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用于全镇垃圾转运的费用。</w:t>
            </w:r>
          </w:p>
        </w:tc>
        <w:tc>
          <w:tcPr>
            <w:tcW w:w="163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2B65555">
            <w:pPr>
              <w:keepNext w:val="0"/>
              <w:keepLines w:val="0"/>
              <w:widowControl/>
              <w:suppressLineNumbers w:val="0"/>
              <w:jc w:val="left"/>
              <w:textAlignment w:val="center"/>
              <w:rPr>
                <w:rFonts w:hint="default" w:ascii="黑体" w:hAnsi="黑体" w:eastAsia="黑体" w:cs="黑体"/>
                <w:i w:val="0"/>
                <w:iCs w:val="0"/>
                <w:color w:val="000000"/>
                <w:sz w:val="18"/>
                <w:szCs w:val="18"/>
                <w:u w:val="none"/>
                <w:lang w:val="en-US"/>
              </w:rPr>
            </w:pPr>
            <w:r>
              <w:rPr>
                <w:rFonts w:hint="eastAsia" w:ascii="黑体" w:hAnsi="黑体" w:eastAsia="黑体" w:cs="黑体"/>
                <w:i w:val="0"/>
                <w:iCs w:val="0"/>
                <w:color w:val="000000"/>
                <w:kern w:val="0"/>
                <w:sz w:val="18"/>
                <w:szCs w:val="18"/>
                <w:u w:val="none"/>
                <w:lang w:val="en-US" w:eastAsia="zh-CN" w:bidi="ar"/>
              </w:rPr>
              <w:t>使得全镇环境更美好</w:t>
            </w:r>
          </w:p>
        </w:tc>
      </w:tr>
      <w:tr w14:paraId="187BF9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2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DA7877">
            <w:pP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08291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27"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00BB35A">
            <w:pPr>
              <w:rPr>
                <w:rFonts w:hint="eastAsia" w:ascii="宋体" w:hAnsi="宋体" w:eastAsia="宋体" w:cs="宋体"/>
                <w:i w:val="0"/>
                <w:iCs w:val="0"/>
                <w:color w:val="000000"/>
                <w:sz w:val="18"/>
                <w:szCs w:val="18"/>
                <w:u w:val="none"/>
              </w:rPr>
            </w:pPr>
          </w:p>
        </w:tc>
      </w:tr>
      <w:tr w14:paraId="7B31E1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2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505B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D241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419F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BA08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C34A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0A81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9CD6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ABD7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2A84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A1DAA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2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745EF6">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B42E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1CA6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6FA7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0.27</w:t>
            </w:r>
          </w:p>
        </w:tc>
        <w:tc>
          <w:tcPr>
            <w:tcW w:w="96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E6E2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0.27</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DBF5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42AD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87937B">
            <w:pPr>
              <w:jc w:val="center"/>
              <w:rPr>
                <w:rFonts w:hint="eastAsia" w:ascii="宋体" w:hAnsi="宋体" w:eastAsia="宋体" w:cs="宋体"/>
                <w:i w:val="0"/>
                <w:iCs w:val="0"/>
                <w:color w:val="000000"/>
                <w:sz w:val="18"/>
                <w:szCs w:val="18"/>
                <w:u w:val="none"/>
              </w:rPr>
            </w:pPr>
          </w:p>
        </w:tc>
        <w:tc>
          <w:tcPr>
            <w:tcW w:w="90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0085B9">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DF3E1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2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1D0716">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A5C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0B01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665D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0.27</w:t>
            </w:r>
          </w:p>
        </w:tc>
        <w:tc>
          <w:tcPr>
            <w:tcW w:w="96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7CDA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0.27</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396F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297A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FF3D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2B0702">
            <w:pPr>
              <w:rPr>
                <w:rFonts w:hint="eastAsia" w:ascii="黑体" w:hAnsi="黑体" w:eastAsia="黑体" w:cs="黑体"/>
                <w:i/>
                <w:iCs/>
                <w:color w:val="000000"/>
                <w:sz w:val="18"/>
                <w:szCs w:val="18"/>
                <w:u w:val="none"/>
              </w:rPr>
            </w:pPr>
          </w:p>
        </w:tc>
      </w:tr>
      <w:tr w14:paraId="3B147C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2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032081">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47E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839B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A884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59D5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18F6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0CB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CD5F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7232C1">
            <w:pPr>
              <w:rPr>
                <w:rFonts w:hint="eastAsia" w:ascii="黑体" w:hAnsi="黑体" w:eastAsia="黑体" w:cs="黑体"/>
                <w:i/>
                <w:iCs/>
                <w:color w:val="000000"/>
                <w:sz w:val="18"/>
                <w:szCs w:val="18"/>
                <w:u w:val="none"/>
              </w:rPr>
            </w:pPr>
          </w:p>
        </w:tc>
      </w:tr>
      <w:tr w14:paraId="2BE3CD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2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956FBB">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F043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81AF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C42B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33F3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5F67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B8F7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A660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CF6FB8">
            <w:pPr>
              <w:rPr>
                <w:rFonts w:hint="eastAsia" w:ascii="黑体" w:hAnsi="黑体" w:eastAsia="黑体" w:cs="黑体"/>
                <w:i/>
                <w:iCs/>
                <w:color w:val="000000"/>
                <w:sz w:val="18"/>
                <w:szCs w:val="18"/>
                <w:u w:val="none"/>
              </w:rPr>
            </w:pPr>
          </w:p>
        </w:tc>
      </w:tr>
      <w:tr w14:paraId="479851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2162C9">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6D39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97082D">
            <w:pPr>
              <w:jc w:val="center"/>
              <w:rPr>
                <w:rFonts w:hint="eastAsia" w:ascii="微软雅黑" w:hAnsi="微软雅黑" w:eastAsia="微软雅黑" w:cs="微软雅黑"/>
                <w:i/>
                <w:iCs/>
                <w:color w:val="000000"/>
                <w:sz w:val="16"/>
                <w:szCs w:val="16"/>
                <w:u w:val="none"/>
              </w:rPr>
            </w:pP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F83B65">
            <w:pPr>
              <w:jc w:val="center"/>
              <w:rPr>
                <w:rFonts w:hint="eastAsia" w:ascii="微软雅黑" w:hAnsi="微软雅黑" w:eastAsia="微软雅黑" w:cs="微软雅黑"/>
                <w:i/>
                <w:iCs/>
                <w:color w:val="000000"/>
                <w:sz w:val="16"/>
                <w:szCs w:val="16"/>
                <w:u w:val="none"/>
              </w:rPr>
            </w:pPr>
          </w:p>
        </w:tc>
        <w:tc>
          <w:tcPr>
            <w:tcW w:w="96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4802F2">
            <w:pPr>
              <w:jc w:val="center"/>
              <w:rPr>
                <w:rFonts w:hint="eastAsia" w:ascii="微软雅黑" w:hAnsi="微软雅黑" w:eastAsia="微软雅黑" w:cs="微软雅黑"/>
                <w:i/>
                <w:iCs/>
                <w:color w:val="000000"/>
                <w:sz w:val="16"/>
                <w:szCs w:val="16"/>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8299C7">
            <w:pPr>
              <w:jc w:val="center"/>
              <w:rPr>
                <w:rFonts w:hint="eastAsia" w:ascii="微软雅黑" w:hAnsi="微软雅黑" w:eastAsia="微软雅黑" w:cs="微软雅黑"/>
                <w:i/>
                <w:iCs/>
                <w:color w:val="000000"/>
                <w:sz w:val="16"/>
                <w:szCs w:val="16"/>
                <w:u w:val="none"/>
              </w:rPr>
            </w:pP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DFDE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E63C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820B58">
            <w:pPr>
              <w:rPr>
                <w:rFonts w:hint="eastAsia" w:ascii="黑体" w:hAnsi="黑体" w:eastAsia="黑体" w:cs="黑体"/>
                <w:i/>
                <w:iCs/>
                <w:color w:val="000000"/>
                <w:sz w:val="18"/>
                <w:szCs w:val="18"/>
                <w:u w:val="none"/>
              </w:rPr>
            </w:pPr>
          </w:p>
        </w:tc>
      </w:tr>
      <w:tr w14:paraId="015194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9164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77C8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0E95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F530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A08D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D988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F0BE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7E81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3006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7D9C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9DF2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A6EE0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76E275">
            <w:pPr>
              <w:jc w:val="center"/>
              <w:rPr>
                <w:rFonts w:hint="eastAsia" w:ascii="宋体" w:hAnsi="宋体" w:eastAsia="宋体" w:cs="宋体"/>
                <w:i w:val="0"/>
                <w:iCs w:val="0"/>
                <w:color w:val="000000"/>
                <w:sz w:val="18"/>
                <w:szCs w:val="18"/>
                <w:u w:val="none"/>
              </w:rPr>
            </w:pP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E043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71A1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FD0C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村个数</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3E59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2F2F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5957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729D01">
            <w:pPr>
              <w:jc w:val="center"/>
              <w:rPr>
                <w:rFonts w:hint="eastAsia" w:ascii="微软雅黑" w:hAnsi="微软雅黑" w:eastAsia="微软雅黑" w:cs="微软雅黑"/>
                <w:i/>
                <w:iCs/>
                <w:color w:val="000000"/>
                <w:sz w:val="16"/>
                <w:szCs w:val="16"/>
                <w:u w:val="none"/>
              </w:rPr>
            </w:pP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85A1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5B459E">
            <w:pPr>
              <w:jc w:val="center"/>
              <w:rPr>
                <w:rFonts w:hint="eastAsia" w:ascii="宋体" w:hAnsi="宋体" w:eastAsia="宋体" w:cs="宋体"/>
                <w:i w:val="0"/>
                <w:iCs w:val="0"/>
                <w:color w:val="000000"/>
                <w:sz w:val="18"/>
                <w:szCs w:val="18"/>
                <w:u w:val="none"/>
              </w:rPr>
            </w:pP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9231A6">
            <w:pPr>
              <w:jc w:val="center"/>
              <w:rPr>
                <w:rFonts w:hint="eastAsia" w:ascii="微软雅黑" w:hAnsi="微软雅黑" w:eastAsia="微软雅黑" w:cs="微软雅黑"/>
                <w:i/>
                <w:iCs/>
                <w:color w:val="000000"/>
                <w:sz w:val="16"/>
                <w:szCs w:val="16"/>
                <w:u w:val="none"/>
              </w:rPr>
            </w:pPr>
          </w:p>
        </w:tc>
      </w:tr>
      <w:tr w14:paraId="097290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84DA17">
            <w:pPr>
              <w:jc w:val="cente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1B0C86">
            <w:pPr>
              <w:jc w:val="center"/>
              <w:rPr>
                <w:rFonts w:hint="eastAsia" w:ascii="宋体" w:hAnsi="宋体" w:eastAsia="宋体" w:cs="宋体"/>
                <w:i w:val="0"/>
                <w:iCs w:val="0"/>
                <w:color w:val="000000"/>
                <w:sz w:val="18"/>
                <w:szCs w:val="18"/>
                <w:u w:val="none"/>
              </w:rPr>
            </w:pPr>
          </w:p>
        </w:tc>
        <w:tc>
          <w:tcPr>
            <w:tcW w:w="6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02AC92">
            <w:pPr>
              <w:jc w:val="center"/>
              <w:rPr>
                <w:rFonts w:hint="eastAsia" w:ascii="宋体" w:hAnsi="宋体" w:eastAsia="宋体" w:cs="宋体"/>
                <w:i w:val="0"/>
                <w:iCs w:val="0"/>
                <w:color w:val="000000"/>
                <w:sz w:val="18"/>
                <w:szCs w:val="18"/>
                <w:u w:val="none"/>
              </w:rPr>
            </w:pP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40B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垃圾转运涉及村个数</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7AA7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5AE6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A462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99F899">
            <w:pPr>
              <w:jc w:val="center"/>
              <w:rPr>
                <w:rFonts w:hint="eastAsia" w:ascii="微软雅黑" w:hAnsi="微软雅黑" w:eastAsia="微软雅黑" w:cs="微软雅黑"/>
                <w:i/>
                <w:iCs/>
                <w:color w:val="000000"/>
                <w:sz w:val="16"/>
                <w:szCs w:val="16"/>
                <w:u w:val="none"/>
              </w:rPr>
            </w:pP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6158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055D6">
            <w:pPr>
              <w:jc w:val="center"/>
              <w:rPr>
                <w:rFonts w:hint="eastAsia" w:ascii="宋体" w:hAnsi="宋体" w:eastAsia="宋体" w:cs="宋体"/>
                <w:i w:val="0"/>
                <w:iCs w:val="0"/>
                <w:color w:val="000000"/>
                <w:sz w:val="18"/>
                <w:szCs w:val="18"/>
                <w:u w:val="none"/>
              </w:rPr>
            </w:pP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BFCD1">
            <w:pPr>
              <w:jc w:val="center"/>
              <w:rPr>
                <w:rFonts w:hint="eastAsia" w:ascii="微软雅黑" w:hAnsi="微软雅黑" w:eastAsia="微软雅黑" w:cs="微软雅黑"/>
                <w:i/>
                <w:iCs/>
                <w:color w:val="000000"/>
                <w:sz w:val="16"/>
                <w:szCs w:val="16"/>
                <w:u w:val="none"/>
              </w:rPr>
            </w:pPr>
          </w:p>
        </w:tc>
      </w:tr>
      <w:tr w14:paraId="772C76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39F6F7">
            <w:pPr>
              <w:jc w:val="cente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F71284">
            <w:pPr>
              <w:jc w:val="center"/>
              <w:rPr>
                <w:rFonts w:hint="eastAsia" w:ascii="宋体" w:hAnsi="宋体" w:eastAsia="宋体" w:cs="宋体"/>
                <w:i w:val="0"/>
                <w:iCs w:val="0"/>
                <w:color w:val="000000"/>
                <w:sz w:val="18"/>
                <w:szCs w:val="18"/>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1BFB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C059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项目完成率</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B879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4D6A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2FF8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9A21C4">
            <w:pPr>
              <w:jc w:val="center"/>
              <w:rPr>
                <w:rFonts w:hint="eastAsia" w:ascii="微软雅黑" w:hAnsi="微软雅黑" w:eastAsia="微软雅黑" w:cs="微软雅黑"/>
                <w:i/>
                <w:iCs/>
                <w:color w:val="000000"/>
                <w:sz w:val="16"/>
                <w:szCs w:val="16"/>
                <w:u w:val="none"/>
              </w:rPr>
            </w:pP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116B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9CA44B">
            <w:pPr>
              <w:jc w:val="center"/>
              <w:rPr>
                <w:rFonts w:hint="eastAsia" w:ascii="宋体" w:hAnsi="宋体" w:eastAsia="宋体" w:cs="宋体"/>
                <w:i w:val="0"/>
                <w:iCs w:val="0"/>
                <w:color w:val="000000"/>
                <w:sz w:val="18"/>
                <w:szCs w:val="18"/>
                <w:u w:val="none"/>
              </w:rPr>
            </w:pP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AFA103">
            <w:pPr>
              <w:jc w:val="center"/>
              <w:rPr>
                <w:rFonts w:hint="eastAsia" w:ascii="微软雅黑" w:hAnsi="微软雅黑" w:eastAsia="微软雅黑" w:cs="微软雅黑"/>
                <w:i/>
                <w:iCs/>
                <w:color w:val="000000"/>
                <w:sz w:val="16"/>
                <w:szCs w:val="16"/>
                <w:u w:val="none"/>
              </w:rPr>
            </w:pPr>
          </w:p>
        </w:tc>
      </w:tr>
      <w:tr w14:paraId="1E6847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066AFD">
            <w:pPr>
              <w:jc w:val="cente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F33EE6">
            <w:pPr>
              <w:jc w:val="center"/>
              <w:rPr>
                <w:rFonts w:hint="eastAsia" w:ascii="宋体" w:hAnsi="宋体" w:eastAsia="宋体" w:cs="宋体"/>
                <w:i w:val="0"/>
                <w:iCs w:val="0"/>
                <w:color w:val="000000"/>
                <w:sz w:val="18"/>
                <w:szCs w:val="18"/>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149E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AD20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完成年度</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ADBB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1F33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BB6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2823FF">
            <w:pPr>
              <w:jc w:val="center"/>
              <w:rPr>
                <w:rFonts w:hint="eastAsia" w:ascii="微软雅黑" w:hAnsi="微软雅黑" w:eastAsia="微软雅黑" w:cs="微软雅黑"/>
                <w:i/>
                <w:iCs/>
                <w:color w:val="000000"/>
                <w:sz w:val="16"/>
                <w:szCs w:val="16"/>
                <w:u w:val="none"/>
              </w:rPr>
            </w:pP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135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EC7BC1">
            <w:pPr>
              <w:jc w:val="center"/>
              <w:rPr>
                <w:rFonts w:hint="eastAsia" w:ascii="宋体" w:hAnsi="宋体" w:eastAsia="宋体" w:cs="宋体"/>
                <w:i w:val="0"/>
                <w:iCs w:val="0"/>
                <w:color w:val="000000"/>
                <w:sz w:val="18"/>
                <w:szCs w:val="18"/>
                <w:u w:val="none"/>
              </w:rPr>
            </w:pP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BCC2D5">
            <w:pPr>
              <w:jc w:val="center"/>
              <w:rPr>
                <w:rFonts w:hint="eastAsia" w:ascii="微软雅黑" w:hAnsi="微软雅黑" w:eastAsia="微软雅黑" w:cs="微软雅黑"/>
                <w:i/>
                <w:iCs/>
                <w:color w:val="000000"/>
                <w:sz w:val="16"/>
                <w:szCs w:val="16"/>
                <w:u w:val="none"/>
              </w:rPr>
            </w:pPr>
          </w:p>
        </w:tc>
      </w:tr>
      <w:tr w14:paraId="5AAE40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B46867">
            <w:pPr>
              <w:jc w:val="center"/>
              <w:rPr>
                <w:rFonts w:hint="eastAsia" w:ascii="宋体" w:hAnsi="宋体" w:eastAsia="宋体" w:cs="宋体"/>
                <w:i w:val="0"/>
                <w:iCs w:val="0"/>
                <w:color w:val="000000"/>
                <w:sz w:val="18"/>
                <w:szCs w:val="18"/>
                <w:u w:val="none"/>
              </w:rPr>
            </w:pP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06C8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52CD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8FF9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改善全镇环境卫生</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A6AC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0B0D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B41F1">
            <w:pPr>
              <w:jc w:val="center"/>
              <w:rPr>
                <w:rFonts w:hint="eastAsia" w:ascii="宋体" w:hAnsi="宋体" w:eastAsia="宋体" w:cs="宋体"/>
                <w:i w:val="0"/>
                <w:iCs w:val="0"/>
                <w:color w:val="000000"/>
                <w:sz w:val="18"/>
                <w:szCs w:val="18"/>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6BE26A">
            <w:pPr>
              <w:jc w:val="center"/>
              <w:rPr>
                <w:rFonts w:hint="eastAsia" w:ascii="微软雅黑" w:hAnsi="微软雅黑" w:eastAsia="微软雅黑" w:cs="微软雅黑"/>
                <w:i/>
                <w:iCs/>
                <w:color w:val="000000"/>
                <w:sz w:val="16"/>
                <w:szCs w:val="16"/>
                <w:u w:val="none"/>
              </w:rPr>
            </w:pP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287B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CD1B83">
            <w:pPr>
              <w:jc w:val="center"/>
              <w:rPr>
                <w:rFonts w:hint="eastAsia" w:ascii="宋体" w:hAnsi="宋体" w:eastAsia="宋体" w:cs="宋体"/>
                <w:i w:val="0"/>
                <w:iCs w:val="0"/>
                <w:color w:val="000000"/>
                <w:sz w:val="18"/>
                <w:szCs w:val="18"/>
                <w:u w:val="none"/>
              </w:rPr>
            </w:pP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3ACBA4">
            <w:pPr>
              <w:jc w:val="center"/>
              <w:rPr>
                <w:rFonts w:hint="eastAsia" w:ascii="微软雅黑" w:hAnsi="微软雅黑" w:eastAsia="微软雅黑" w:cs="微软雅黑"/>
                <w:i/>
                <w:iCs/>
                <w:color w:val="000000"/>
                <w:sz w:val="16"/>
                <w:szCs w:val="16"/>
                <w:u w:val="none"/>
              </w:rPr>
            </w:pPr>
          </w:p>
        </w:tc>
      </w:tr>
      <w:tr w14:paraId="01873D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BA3A58">
            <w:pPr>
              <w:jc w:val="cente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FB2C0C">
            <w:pPr>
              <w:jc w:val="center"/>
              <w:rPr>
                <w:rFonts w:hint="eastAsia" w:ascii="宋体" w:hAnsi="宋体" w:eastAsia="宋体" w:cs="宋体"/>
                <w:i w:val="0"/>
                <w:iCs w:val="0"/>
                <w:color w:val="000000"/>
                <w:sz w:val="18"/>
                <w:szCs w:val="18"/>
                <w:u w:val="none"/>
              </w:rPr>
            </w:pPr>
          </w:p>
        </w:tc>
        <w:tc>
          <w:tcPr>
            <w:tcW w:w="62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984C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A6AC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促进乡村卫生发展</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C9FB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A078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高</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42FAB6">
            <w:pPr>
              <w:jc w:val="center"/>
              <w:rPr>
                <w:rFonts w:hint="eastAsia" w:ascii="宋体" w:hAnsi="宋体" w:eastAsia="宋体" w:cs="宋体"/>
                <w:i w:val="0"/>
                <w:iCs w:val="0"/>
                <w:color w:val="000000"/>
                <w:sz w:val="18"/>
                <w:szCs w:val="18"/>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482EC3">
            <w:pPr>
              <w:jc w:val="center"/>
              <w:rPr>
                <w:rFonts w:hint="eastAsia" w:ascii="微软雅黑" w:hAnsi="微软雅黑" w:eastAsia="微软雅黑" w:cs="微软雅黑"/>
                <w:i/>
                <w:iCs/>
                <w:color w:val="000000"/>
                <w:sz w:val="16"/>
                <w:szCs w:val="16"/>
                <w:u w:val="none"/>
              </w:rPr>
            </w:pP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48E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638E19">
            <w:pPr>
              <w:jc w:val="center"/>
              <w:rPr>
                <w:rFonts w:hint="eastAsia" w:ascii="宋体" w:hAnsi="宋体" w:eastAsia="宋体" w:cs="宋体"/>
                <w:i w:val="0"/>
                <w:iCs w:val="0"/>
                <w:color w:val="000000"/>
                <w:sz w:val="18"/>
                <w:szCs w:val="18"/>
                <w:u w:val="none"/>
              </w:rPr>
            </w:pP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88D95">
            <w:pPr>
              <w:jc w:val="center"/>
              <w:rPr>
                <w:rFonts w:hint="eastAsia" w:ascii="微软雅黑" w:hAnsi="微软雅黑" w:eastAsia="微软雅黑" w:cs="微软雅黑"/>
                <w:i/>
                <w:iCs/>
                <w:color w:val="000000"/>
                <w:sz w:val="16"/>
                <w:szCs w:val="16"/>
                <w:u w:val="none"/>
              </w:rPr>
            </w:pPr>
          </w:p>
        </w:tc>
      </w:tr>
      <w:tr w14:paraId="4DD6A4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3E691D">
            <w:pPr>
              <w:jc w:val="cente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BCB3B6">
            <w:pPr>
              <w:jc w:val="center"/>
              <w:rPr>
                <w:rFonts w:hint="eastAsia" w:ascii="宋体" w:hAnsi="宋体" w:eastAsia="宋体" w:cs="宋体"/>
                <w:i w:val="0"/>
                <w:iCs w:val="0"/>
                <w:color w:val="000000"/>
                <w:sz w:val="18"/>
                <w:szCs w:val="18"/>
                <w:u w:val="none"/>
              </w:rPr>
            </w:pPr>
          </w:p>
        </w:tc>
        <w:tc>
          <w:tcPr>
            <w:tcW w:w="6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E4F7F3">
            <w:pPr>
              <w:jc w:val="center"/>
              <w:rPr>
                <w:rFonts w:hint="eastAsia" w:ascii="宋体" w:hAnsi="宋体" w:eastAsia="宋体" w:cs="宋体"/>
                <w:i w:val="0"/>
                <w:iCs w:val="0"/>
                <w:color w:val="000000"/>
                <w:sz w:val="18"/>
                <w:szCs w:val="18"/>
                <w:u w:val="none"/>
              </w:rPr>
            </w:pP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629A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促进乡村环境卫生发展</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F4A2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395A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高</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D23C11">
            <w:pPr>
              <w:jc w:val="center"/>
              <w:rPr>
                <w:rFonts w:hint="eastAsia" w:ascii="宋体" w:hAnsi="宋体" w:eastAsia="宋体" w:cs="宋体"/>
                <w:i w:val="0"/>
                <w:iCs w:val="0"/>
                <w:color w:val="000000"/>
                <w:sz w:val="18"/>
                <w:szCs w:val="18"/>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24134E">
            <w:pPr>
              <w:jc w:val="center"/>
              <w:rPr>
                <w:rFonts w:hint="eastAsia" w:ascii="微软雅黑" w:hAnsi="微软雅黑" w:eastAsia="微软雅黑" w:cs="微软雅黑"/>
                <w:i/>
                <w:iCs/>
                <w:color w:val="000000"/>
                <w:sz w:val="16"/>
                <w:szCs w:val="16"/>
                <w:u w:val="none"/>
              </w:rPr>
            </w:pP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DAA7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1A8CC9">
            <w:pPr>
              <w:jc w:val="center"/>
              <w:rPr>
                <w:rFonts w:hint="eastAsia" w:ascii="宋体" w:hAnsi="宋体" w:eastAsia="宋体" w:cs="宋体"/>
                <w:i w:val="0"/>
                <w:iCs w:val="0"/>
                <w:color w:val="000000"/>
                <w:sz w:val="18"/>
                <w:szCs w:val="18"/>
                <w:u w:val="none"/>
              </w:rPr>
            </w:pP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BAF0E">
            <w:pPr>
              <w:jc w:val="center"/>
              <w:rPr>
                <w:rFonts w:hint="eastAsia" w:ascii="微软雅黑" w:hAnsi="微软雅黑" w:eastAsia="微软雅黑" w:cs="微软雅黑"/>
                <w:i/>
                <w:iCs/>
                <w:color w:val="000000"/>
                <w:sz w:val="16"/>
                <w:szCs w:val="16"/>
                <w:u w:val="none"/>
              </w:rPr>
            </w:pPr>
          </w:p>
        </w:tc>
      </w:tr>
      <w:tr w14:paraId="587B75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A5BADF">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4E91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0E53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994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群众满意度</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DAC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A6C3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69FE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54F185">
            <w:pPr>
              <w:jc w:val="center"/>
              <w:rPr>
                <w:rFonts w:hint="eastAsia" w:ascii="微软雅黑" w:hAnsi="微软雅黑" w:eastAsia="微软雅黑" w:cs="微软雅黑"/>
                <w:i/>
                <w:iCs/>
                <w:color w:val="000000"/>
                <w:sz w:val="16"/>
                <w:szCs w:val="16"/>
                <w:u w:val="none"/>
              </w:rPr>
            </w:pP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5F19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36F329">
            <w:pPr>
              <w:jc w:val="center"/>
              <w:rPr>
                <w:rFonts w:hint="eastAsia" w:ascii="宋体" w:hAnsi="宋体" w:eastAsia="宋体" w:cs="宋体"/>
                <w:i w:val="0"/>
                <w:iCs w:val="0"/>
                <w:color w:val="000000"/>
                <w:sz w:val="18"/>
                <w:szCs w:val="18"/>
                <w:u w:val="none"/>
              </w:rPr>
            </w:pP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2E5DF1">
            <w:pPr>
              <w:jc w:val="center"/>
              <w:rPr>
                <w:rFonts w:hint="eastAsia" w:ascii="微软雅黑" w:hAnsi="微软雅黑" w:eastAsia="微软雅黑" w:cs="微软雅黑"/>
                <w:i/>
                <w:iCs/>
                <w:color w:val="000000"/>
                <w:sz w:val="16"/>
                <w:szCs w:val="16"/>
                <w:u w:val="none"/>
              </w:rPr>
            </w:pPr>
          </w:p>
        </w:tc>
      </w:tr>
      <w:tr w14:paraId="50DB5E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EEEFA5">
            <w:pPr>
              <w:jc w:val="center"/>
              <w:rPr>
                <w:rFonts w:hint="eastAsia" w:ascii="宋体" w:hAnsi="宋体" w:eastAsia="宋体" w:cs="宋体"/>
                <w:i w:val="0"/>
                <w:iCs w:val="0"/>
                <w:color w:val="000000"/>
                <w:sz w:val="18"/>
                <w:szCs w:val="18"/>
                <w:u w:val="none"/>
              </w:rPr>
            </w:pP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467B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62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E2C9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8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55B0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预算资金</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BE58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F9F7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2677.5</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5432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B6367D">
            <w:pPr>
              <w:jc w:val="center"/>
              <w:rPr>
                <w:rFonts w:hint="eastAsia" w:ascii="微软雅黑" w:hAnsi="微软雅黑" w:eastAsia="微软雅黑" w:cs="微软雅黑"/>
                <w:i/>
                <w:iCs/>
                <w:color w:val="000000"/>
                <w:sz w:val="16"/>
                <w:szCs w:val="16"/>
                <w:u w:val="none"/>
              </w:rPr>
            </w:pP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5A21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382D3F">
            <w:pPr>
              <w:jc w:val="center"/>
              <w:rPr>
                <w:rFonts w:hint="eastAsia" w:ascii="宋体" w:hAnsi="宋体" w:eastAsia="宋体" w:cs="宋体"/>
                <w:i w:val="0"/>
                <w:iCs w:val="0"/>
                <w:color w:val="000000"/>
                <w:sz w:val="18"/>
                <w:szCs w:val="18"/>
                <w:u w:val="none"/>
              </w:rPr>
            </w:pP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3216D8">
            <w:pPr>
              <w:jc w:val="center"/>
              <w:rPr>
                <w:rFonts w:hint="eastAsia" w:ascii="微软雅黑" w:hAnsi="微软雅黑" w:eastAsia="微软雅黑" w:cs="微软雅黑"/>
                <w:i/>
                <w:iCs/>
                <w:color w:val="000000"/>
                <w:sz w:val="16"/>
                <w:szCs w:val="16"/>
                <w:u w:val="none"/>
              </w:rPr>
            </w:pPr>
          </w:p>
        </w:tc>
      </w:tr>
      <w:tr w14:paraId="084355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6496E9">
            <w:pPr>
              <w:jc w:val="cente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7A6CFF">
            <w:pPr>
              <w:jc w:val="center"/>
              <w:rPr>
                <w:rFonts w:hint="eastAsia" w:ascii="宋体" w:hAnsi="宋体" w:eastAsia="宋体" w:cs="宋体"/>
                <w:i w:val="0"/>
                <w:iCs w:val="0"/>
                <w:color w:val="000000"/>
                <w:sz w:val="18"/>
                <w:szCs w:val="18"/>
                <w:u w:val="none"/>
              </w:rPr>
            </w:pPr>
          </w:p>
        </w:tc>
        <w:tc>
          <w:tcPr>
            <w:tcW w:w="62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FAD7B2">
            <w:pPr>
              <w:jc w:val="center"/>
              <w:rPr>
                <w:rFonts w:hint="eastAsia" w:ascii="宋体" w:hAnsi="宋体" w:eastAsia="宋体" w:cs="宋体"/>
                <w:i w:val="0"/>
                <w:iCs w:val="0"/>
                <w:color w:val="000000"/>
                <w:sz w:val="18"/>
                <w:szCs w:val="18"/>
                <w:u w:val="none"/>
              </w:rPr>
            </w:pPr>
          </w:p>
        </w:tc>
        <w:tc>
          <w:tcPr>
            <w:tcW w:w="8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B0130C">
            <w:pPr>
              <w:jc w:val="center"/>
              <w:rPr>
                <w:rFonts w:hint="eastAsia" w:ascii="宋体" w:hAnsi="宋体" w:eastAsia="宋体" w:cs="宋体"/>
                <w:i w:val="0"/>
                <w:iCs w:val="0"/>
                <w:color w:val="000000"/>
                <w:sz w:val="18"/>
                <w:szCs w:val="18"/>
                <w:u w:val="none"/>
              </w:rPr>
            </w:pP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5AD8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5B56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2677.5</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D085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62E61E">
            <w:pPr>
              <w:jc w:val="center"/>
              <w:rPr>
                <w:rFonts w:hint="eastAsia" w:ascii="微软雅黑" w:hAnsi="微软雅黑" w:eastAsia="微软雅黑" w:cs="微软雅黑"/>
                <w:i/>
                <w:iCs/>
                <w:color w:val="000000"/>
                <w:sz w:val="16"/>
                <w:szCs w:val="16"/>
                <w:u w:val="none"/>
              </w:rPr>
            </w:pP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C196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A5B888">
            <w:pPr>
              <w:jc w:val="center"/>
              <w:rPr>
                <w:rFonts w:hint="eastAsia" w:ascii="宋体" w:hAnsi="宋体" w:eastAsia="宋体" w:cs="宋体"/>
                <w:i w:val="0"/>
                <w:iCs w:val="0"/>
                <w:color w:val="000000"/>
                <w:sz w:val="18"/>
                <w:szCs w:val="18"/>
                <w:u w:val="none"/>
              </w:rPr>
            </w:pP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B78FFA">
            <w:pPr>
              <w:jc w:val="center"/>
              <w:rPr>
                <w:rFonts w:hint="eastAsia" w:ascii="微软雅黑" w:hAnsi="微软雅黑" w:eastAsia="微软雅黑" w:cs="微软雅黑"/>
                <w:i/>
                <w:iCs/>
                <w:color w:val="000000"/>
                <w:sz w:val="16"/>
                <w:szCs w:val="16"/>
                <w:u w:val="none"/>
              </w:rPr>
            </w:pPr>
          </w:p>
        </w:tc>
      </w:tr>
      <w:tr w14:paraId="5A23CF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756"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F2A59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3ED0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B89FB6">
            <w:pPr>
              <w:rPr>
                <w:rFonts w:hint="eastAsia" w:ascii="宋体" w:hAnsi="宋体" w:eastAsia="宋体" w:cs="宋体"/>
                <w:i w:val="0"/>
                <w:iCs w:val="0"/>
                <w:color w:val="000000"/>
                <w:sz w:val="18"/>
                <w:szCs w:val="18"/>
                <w:u w:val="none"/>
              </w:rPr>
            </w:pP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5744C2">
            <w:pPr>
              <w:rPr>
                <w:rFonts w:hint="eastAsia" w:ascii="宋体" w:hAnsi="宋体" w:eastAsia="宋体" w:cs="宋体"/>
                <w:i w:val="0"/>
                <w:iCs w:val="0"/>
                <w:color w:val="000000"/>
                <w:sz w:val="18"/>
                <w:szCs w:val="18"/>
                <w:u w:val="none"/>
              </w:rPr>
            </w:pPr>
          </w:p>
        </w:tc>
      </w:tr>
      <w:tr w14:paraId="4D1810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2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97B9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D47D4F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黑体" w:hAnsi="黑体" w:eastAsia="黑体" w:cs="黑体"/>
                <w:i w:val="0"/>
                <w:iCs w:val="0"/>
                <w:color w:val="000000"/>
                <w:kern w:val="0"/>
                <w:sz w:val="18"/>
                <w:szCs w:val="18"/>
                <w:u w:val="none"/>
                <w:lang w:val="en-US" w:eastAsia="zh-CN" w:bidi="ar"/>
              </w:rPr>
              <w:t>使得全镇环境更美好</w:t>
            </w:r>
          </w:p>
        </w:tc>
      </w:tr>
      <w:tr w14:paraId="767A58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2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243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AC8AEE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2EB78C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2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2D91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1D9CF30">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606462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58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DAD27E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BCA776C">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r w14:paraId="564DAF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58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F4A48D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24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F72A0A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51322325T000013759862-黑虎镇霭紫关村村内路灯建设项目</w:t>
            </w:r>
          </w:p>
        </w:tc>
      </w:tr>
      <w:tr w14:paraId="34E281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4" w:hRule="atLeast"/>
        </w:trPr>
        <w:tc>
          <w:tcPr>
            <w:tcW w:w="9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55ADD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F034D7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茂县黑虎镇人民政府</w:t>
            </w:r>
          </w:p>
        </w:tc>
        <w:tc>
          <w:tcPr>
            <w:tcW w:w="387" w:type="pct"/>
            <w:tcBorders>
              <w:top w:val="nil"/>
              <w:left w:val="nil"/>
              <w:bottom w:val="nil"/>
              <w:right w:val="nil"/>
            </w:tcBorders>
            <w:shd w:val="clear" w:color="auto" w:fill="auto"/>
            <w:vAlign w:val="center"/>
          </w:tcPr>
          <w:p w14:paraId="02771C06">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243"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D8F7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茂县黑虎镇人民政府（行政）</w:t>
            </w:r>
          </w:p>
        </w:tc>
      </w:tr>
      <w:tr w14:paraId="77459A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5D355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B3061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9606F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3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EFBD20B">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8815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9" w:hRule="atLeast"/>
        </w:trPr>
        <w:tc>
          <w:tcPr>
            <w:tcW w:w="2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9291E0">
            <w:pP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822C89">
            <w:pPr>
              <w:rPr>
                <w:rFonts w:hint="eastAsia" w:ascii="宋体" w:hAnsi="宋体" w:eastAsia="宋体" w:cs="宋体"/>
                <w:i w:val="0"/>
                <w:iCs w:val="0"/>
                <w:color w:val="000000"/>
                <w:sz w:val="18"/>
                <w:szCs w:val="18"/>
                <w:u w:val="none"/>
              </w:rPr>
            </w:pPr>
          </w:p>
        </w:tc>
        <w:tc>
          <w:tcPr>
            <w:tcW w:w="239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598498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为霭紫关村提升夜间行车环境，保障夜间行车交通安全，提供舒适的夜间活动空间，助力农村旅游发展。</w:t>
            </w:r>
          </w:p>
        </w:tc>
        <w:tc>
          <w:tcPr>
            <w:tcW w:w="1631"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EE104B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w:t>
            </w:r>
            <w:r>
              <w:rPr>
                <w:rFonts w:hint="eastAsia" w:ascii="宋体" w:hAnsi="宋体" w:cs="宋体"/>
                <w:i w:val="0"/>
                <w:iCs w:val="0"/>
                <w:color w:val="000000"/>
                <w:kern w:val="0"/>
                <w:sz w:val="18"/>
                <w:szCs w:val="18"/>
                <w:u w:val="none"/>
                <w:lang w:val="en-US" w:eastAsia="zh-CN" w:bidi="ar"/>
              </w:rPr>
              <w:t>了</w:t>
            </w:r>
            <w:r>
              <w:rPr>
                <w:rFonts w:ascii="宋体" w:hAnsi="宋体" w:eastAsia="宋体" w:cs="宋体"/>
                <w:i w:val="0"/>
                <w:iCs w:val="0"/>
                <w:color w:val="000000"/>
                <w:kern w:val="0"/>
                <w:sz w:val="18"/>
                <w:szCs w:val="18"/>
                <w:u w:val="none"/>
                <w:lang w:val="en-US" w:eastAsia="zh-CN" w:bidi="ar"/>
              </w:rPr>
              <w:t>夜间行车环境，保障</w:t>
            </w:r>
            <w:r>
              <w:rPr>
                <w:rFonts w:hint="eastAsia" w:ascii="宋体" w:hAnsi="宋体" w:cs="宋体"/>
                <w:i w:val="0"/>
                <w:iCs w:val="0"/>
                <w:color w:val="000000"/>
                <w:kern w:val="0"/>
                <w:sz w:val="18"/>
                <w:szCs w:val="18"/>
                <w:u w:val="none"/>
                <w:lang w:val="en-US" w:eastAsia="zh-CN" w:bidi="ar"/>
              </w:rPr>
              <w:t>了</w:t>
            </w:r>
            <w:r>
              <w:rPr>
                <w:rFonts w:ascii="宋体" w:hAnsi="宋体" w:eastAsia="宋体" w:cs="宋体"/>
                <w:i w:val="0"/>
                <w:iCs w:val="0"/>
                <w:color w:val="000000"/>
                <w:kern w:val="0"/>
                <w:sz w:val="18"/>
                <w:szCs w:val="18"/>
                <w:u w:val="none"/>
                <w:lang w:val="en-US" w:eastAsia="zh-CN" w:bidi="ar"/>
              </w:rPr>
              <w:t>夜间行车交通安全，提供</w:t>
            </w:r>
            <w:r>
              <w:rPr>
                <w:rFonts w:hint="eastAsia" w:ascii="宋体" w:hAnsi="宋体" w:cs="宋体"/>
                <w:i w:val="0"/>
                <w:iCs w:val="0"/>
                <w:color w:val="000000"/>
                <w:kern w:val="0"/>
                <w:sz w:val="18"/>
                <w:szCs w:val="18"/>
                <w:u w:val="none"/>
                <w:lang w:val="en-US" w:eastAsia="zh-CN" w:bidi="ar"/>
              </w:rPr>
              <w:t>了</w:t>
            </w:r>
            <w:r>
              <w:rPr>
                <w:rFonts w:ascii="宋体" w:hAnsi="宋体" w:eastAsia="宋体" w:cs="宋体"/>
                <w:i w:val="0"/>
                <w:iCs w:val="0"/>
                <w:color w:val="000000"/>
                <w:kern w:val="0"/>
                <w:sz w:val="18"/>
                <w:szCs w:val="18"/>
                <w:u w:val="none"/>
                <w:lang w:val="en-US" w:eastAsia="zh-CN" w:bidi="ar"/>
              </w:rPr>
              <w:t>舒适的夜间活动空间，助力</w:t>
            </w:r>
            <w:r>
              <w:rPr>
                <w:rFonts w:hint="eastAsia" w:ascii="宋体" w:hAnsi="宋体" w:cs="宋体"/>
                <w:i w:val="0"/>
                <w:iCs w:val="0"/>
                <w:color w:val="000000"/>
                <w:kern w:val="0"/>
                <w:sz w:val="18"/>
                <w:szCs w:val="18"/>
                <w:u w:val="none"/>
                <w:lang w:val="en-US" w:eastAsia="zh-CN" w:bidi="ar"/>
              </w:rPr>
              <w:t>了</w:t>
            </w:r>
            <w:r>
              <w:rPr>
                <w:rFonts w:ascii="宋体" w:hAnsi="宋体" w:eastAsia="宋体" w:cs="宋体"/>
                <w:i w:val="0"/>
                <w:iCs w:val="0"/>
                <w:color w:val="000000"/>
                <w:kern w:val="0"/>
                <w:sz w:val="18"/>
                <w:szCs w:val="18"/>
                <w:u w:val="none"/>
                <w:lang w:val="en-US" w:eastAsia="zh-CN" w:bidi="ar"/>
              </w:rPr>
              <w:t>农村旅游发展。</w:t>
            </w:r>
          </w:p>
        </w:tc>
      </w:tr>
      <w:tr w14:paraId="3A73DD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2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E5242B">
            <w:pP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E6217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27"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04C009E">
            <w:pPr>
              <w:rPr>
                <w:rFonts w:hint="eastAsia" w:ascii="宋体" w:hAnsi="宋体" w:eastAsia="宋体" w:cs="宋体"/>
                <w:i w:val="0"/>
                <w:iCs w:val="0"/>
                <w:color w:val="000000"/>
                <w:sz w:val="18"/>
                <w:szCs w:val="18"/>
                <w:u w:val="none"/>
              </w:rPr>
            </w:pPr>
          </w:p>
        </w:tc>
      </w:tr>
      <w:tr w14:paraId="6BCB6C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2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EAA6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72A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6B02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E47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C20F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C7D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157D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F5A2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8791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A4AA3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2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F4F3BB">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616C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864A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6307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17.46</w:t>
            </w:r>
          </w:p>
        </w:tc>
        <w:tc>
          <w:tcPr>
            <w:tcW w:w="96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9F2C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17.46</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4F3C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376D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2A4537">
            <w:pPr>
              <w:jc w:val="center"/>
              <w:rPr>
                <w:rFonts w:hint="eastAsia" w:ascii="宋体" w:hAnsi="宋体" w:eastAsia="宋体" w:cs="宋体"/>
                <w:i w:val="0"/>
                <w:iCs w:val="0"/>
                <w:color w:val="000000"/>
                <w:sz w:val="18"/>
                <w:szCs w:val="18"/>
                <w:u w:val="none"/>
              </w:rPr>
            </w:pPr>
          </w:p>
        </w:tc>
        <w:tc>
          <w:tcPr>
            <w:tcW w:w="90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F03812">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CF969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2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5FA4F9">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3B3D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E010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0575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17.46</w:t>
            </w:r>
          </w:p>
        </w:tc>
        <w:tc>
          <w:tcPr>
            <w:tcW w:w="96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8A33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17.46</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B5D4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C65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1C30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4F43E8">
            <w:pPr>
              <w:rPr>
                <w:rFonts w:hint="eastAsia" w:ascii="黑体" w:hAnsi="黑体" w:eastAsia="黑体" w:cs="黑体"/>
                <w:i/>
                <w:iCs/>
                <w:color w:val="000000"/>
                <w:sz w:val="18"/>
                <w:szCs w:val="18"/>
                <w:u w:val="none"/>
              </w:rPr>
            </w:pPr>
          </w:p>
        </w:tc>
      </w:tr>
      <w:tr w14:paraId="5D1F2F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9" w:hRule="atLeast"/>
        </w:trPr>
        <w:tc>
          <w:tcPr>
            <w:tcW w:w="2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B2A46D">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8686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6F2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B417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8822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2BA6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952D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D8B1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B2A53C">
            <w:pPr>
              <w:rPr>
                <w:rFonts w:hint="eastAsia" w:ascii="黑体" w:hAnsi="黑体" w:eastAsia="黑体" w:cs="黑体"/>
                <w:i/>
                <w:iCs/>
                <w:color w:val="000000"/>
                <w:sz w:val="18"/>
                <w:szCs w:val="18"/>
                <w:u w:val="none"/>
              </w:rPr>
            </w:pPr>
          </w:p>
        </w:tc>
      </w:tr>
      <w:tr w14:paraId="21E1A6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2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A94A63">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59AA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0AFF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CB13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B466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2E53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EFC9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08F3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614322">
            <w:pPr>
              <w:rPr>
                <w:rFonts w:hint="eastAsia" w:ascii="黑体" w:hAnsi="黑体" w:eastAsia="黑体" w:cs="黑体"/>
                <w:i/>
                <w:iCs/>
                <w:color w:val="000000"/>
                <w:sz w:val="18"/>
                <w:szCs w:val="18"/>
                <w:u w:val="none"/>
              </w:rPr>
            </w:pPr>
          </w:p>
        </w:tc>
      </w:tr>
      <w:tr w14:paraId="43DC1C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0089E6">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0633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0BDB39">
            <w:pPr>
              <w:jc w:val="center"/>
              <w:rPr>
                <w:rFonts w:hint="eastAsia" w:ascii="微软雅黑" w:hAnsi="微软雅黑" w:eastAsia="微软雅黑" w:cs="微软雅黑"/>
                <w:i/>
                <w:iCs/>
                <w:color w:val="000000"/>
                <w:sz w:val="16"/>
                <w:szCs w:val="16"/>
                <w:u w:val="none"/>
              </w:rPr>
            </w:pP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7E866D">
            <w:pPr>
              <w:jc w:val="center"/>
              <w:rPr>
                <w:rFonts w:hint="eastAsia" w:ascii="微软雅黑" w:hAnsi="微软雅黑" w:eastAsia="微软雅黑" w:cs="微软雅黑"/>
                <w:i/>
                <w:iCs/>
                <w:color w:val="000000"/>
                <w:sz w:val="16"/>
                <w:szCs w:val="16"/>
                <w:u w:val="none"/>
              </w:rPr>
            </w:pPr>
          </w:p>
        </w:tc>
        <w:tc>
          <w:tcPr>
            <w:tcW w:w="967"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0F6567">
            <w:pPr>
              <w:jc w:val="center"/>
              <w:rPr>
                <w:rFonts w:hint="eastAsia" w:ascii="微软雅黑" w:hAnsi="微软雅黑" w:eastAsia="微软雅黑" w:cs="微软雅黑"/>
                <w:i/>
                <w:iCs/>
                <w:color w:val="000000"/>
                <w:sz w:val="16"/>
                <w:szCs w:val="16"/>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3FDFEA">
            <w:pPr>
              <w:jc w:val="center"/>
              <w:rPr>
                <w:rFonts w:hint="eastAsia" w:ascii="微软雅黑" w:hAnsi="微软雅黑" w:eastAsia="微软雅黑" w:cs="微软雅黑"/>
                <w:i/>
                <w:iCs/>
                <w:color w:val="000000"/>
                <w:sz w:val="16"/>
                <w:szCs w:val="16"/>
                <w:u w:val="none"/>
              </w:rPr>
            </w:pP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F303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F7A1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9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2943B6">
            <w:pPr>
              <w:rPr>
                <w:rFonts w:hint="eastAsia" w:ascii="黑体" w:hAnsi="黑体" w:eastAsia="黑体" w:cs="黑体"/>
                <w:i/>
                <w:iCs/>
                <w:color w:val="000000"/>
                <w:sz w:val="18"/>
                <w:szCs w:val="18"/>
                <w:u w:val="none"/>
              </w:rPr>
            </w:pPr>
          </w:p>
        </w:tc>
      </w:tr>
      <w:tr w14:paraId="6941C8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52ED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6CE0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CCB6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5CCC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8024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F823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3420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8553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4988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974D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6749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6C9EC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9C605B">
            <w:pPr>
              <w:jc w:val="center"/>
              <w:rPr>
                <w:rFonts w:hint="eastAsia" w:ascii="宋体" w:hAnsi="宋体" w:eastAsia="宋体" w:cs="宋体"/>
                <w:i w:val="0"/>
                <w:iCs w:val="0"/>
                <w:color w:val="000000"/>
                <w:sz w:val="18"/>
                <w:szCs w:val="18"/>
                <w:u w:val="none"/>
              </w:rPr>
            </w:pP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FE4B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7AB9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352B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建设路灯个数</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034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4380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DFE8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盏</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99BC9D">
            <w:pPr>
              <w:jc w:val="center"/>
              <w:rPr>
                <w:rFonts w:hint="eastAsia" w:ascii="微软雅黑" w:hAnsi="微软雅黑" w:eastAsia="微软雅黑" w:cs="微软雅黑"/>
                <w:i/>
                <w:iCs/>
                <w:color w:val="000000"/>
                <w:sz w:val="16"/>
                <w:szCs w:val="16"/>
                <w:u w:val="none"/>
              </w:rPr>
            </w:pP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B35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20F085">
            <w:pPr>
              <w:jc w:val="center"/>
              <w:rPr>
                <w:rFonts w:hint="eastAsia" w:ascii="宋体" w:hAnsi="宋体" w:eastAsia="宋体" w:cs="宋体"/>
                <w:i w:val="0"/>
                <w:iCs w:val="0"/>
                <w:color w:val="000000"/>
                <w:sz w:val="18"/>
                <w:szCs w:val="18"/>
                <w:u w:val="none"/>
              </w:rPr>
            </w:pP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F48E20">
            <w:pPr>
              <w:jc w:val="center"/>
              <w:rPr>
                <w:rFonts w:hint="eastAsia" w:ascii="微软雅黑" w:hAnsi="微软雅黑" w:eastAsia="微软雅黑" w:cs="微软雅黑"/>
                <w:i/>
                <w:iCs/>
                <w:color w:val="000000"/>
                <w:sz w:val="16"/>
                <w:szCs w:val="16"/>
                <w:u w:val="none"/>
              </w:rPr>
            </w:pPr>
          </w:p>
        </w:tc>
      </w:tr>
      <w:tr w14:paraId="60A30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6AEDFB">
            <w:pPr>
              <w:jc w:val="cente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B0D952">
            <w:pPr>
              <w:jc w:val="center"/>
              <w:rPr>
                <w:rFonts w:hint="eastAsia" w:ascii="宋体" w:hAnsi="宋体" w:eastAsia="宋体" w:cs="宋体"/>
                <w:i w:val="0"/>
                <w:iCs w:val="0"/>
                <w:color w:val="000000"/>
                <w:sz w:val="18"/>
                <w:szCs w:val="18"/>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9867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773E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达到路灯建设规定质量</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E43D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0403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高</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5ACFB0">
            <w:pPr>
              <w:jc w:val="center"/>
              <w:rPr>
                <w:rFonts w:hint="eastAsia" w:ascii="宋体" w:hAnsi="宋体" w:eastAsia="宋体" w:cs="宋体"/>
                <w:i w:val="0"/>
                <w:iCs w:val="0"/>
                <w:color w:val="000000"/>
                <w:sz w:val="18"/>
                <w:szCs w:val="18"/>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89BE6C">
            <w:pPr>
              <w:jc w:val="center"/>
              <w:rPr>
                <w:rFonts w:hint="eastAsia" w:ascii="微软雅黑" w:hAnsi="微软雅黑" w:eastAsia="微软雅黑" w:cs="微软雅黑"/>
                <w:i/>
                <w:iCs/>
                <w:color w:val="000000"/>
                <w:sz w:val="16"/>
                <w:szCs w:val="16"/>
                <w:u w:val="none"/>
              </w:rPr>
            </w:pP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4975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725998">
            <w:pPr>
              <w:jc w:val="center"/>
              <w:rPr>
                <w:rFonts w:hint="eastAsia" w:ascii="宋体" w:hAnsi="宋体" w:eastAsia="宋体" w:cs="宋体"/>
                <w:i w:val="0"/>
                <w:iCs w:val="0"/>
                <w:color w:val="000000"/>
                <w:sz w:val="18"/>
                <w:szCs w:val="18"/>
                <w:u w:val="none"/>
              </w:rPr>
            </w:pP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F31B5C">
            <w:pPr>
              <w:jc w:val="center"/>
              <w:rPr>
                <w:rFonts w:hint="eastAsia" w:ascii="微软雅黑" w:hAnsi="微软雅黑" w:eastAsia="微软雅黑" w:cs="微软雅黑"/>
                <w:i/>
                <w:iCs/>
                <w:color w:val="000000"/>
                <w:sz w:val="16"/>
                <w:szCs w:val="16"/>
                <w:u w:val="none"/>
              </w:rPr>
            </w:pPr>
          </w:p>
        </w:tc>
      </w:tr>
      <w:tr w14:paraId="33234C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D9CED3">
            <w:pPr>
              <w:jc w:val="cente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25D77E">
            <w:pPr>
              <w:jc w:val="center"/>
              <w:rPr>
                <w:rFonts w:hint="eastAsia" w:ascii="宋体" w:hAnsi="宋体" w:eastAsia="宋体" w:cs="宋体"/>
                <w:i w:val="0"/>
                <w:iCs w:val="0"/>
                <w:color w:val="000000"/>
                <w:sz w:val="18"/>
                <w:szCs w:val="18"/>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5B18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649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项目完成年度</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07AD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DAF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BBFC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767209">
            <w:pPr>
              <w:jc w:val="center"/>
              <w:rPr>
                <w:rFonts w:hint="eastAsia" w:ascii="微软雅黑" w:hAnsi="微软雅黑" w:eastAsia="微软雅黑" w:cs="微软雅黑"/>
                <w:i/>
                <w:iCs/>
                <w:color w:val="000000"/>
                <w:sz w:val="16"/>
                <w:szCs w:val="16"/>
                <w:u w:val="none"/>
              </w:rPr>
            </w:pP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18B3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D0CF38">
            <w:pPr>
              <w:jc w:val="center"/>
              <w:rPr>
                <w:rFonts w:hint="eastAsia" w:ascii="宋体" w:hAnsi="宋体" w:eastAsia="宋体" w:cs="宋体"/>
                <w:i w:val="0"/>
                <w:iCs w:val="0"/>
                <w:color w:val="000000"/>
                <w:sz w:val="18"/>
                <w:szCs w:val="18"/>
                <w:u w:val="none"/>
              </w:rPr>
            </w:pP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628F59">
            <w:pPr>
              <w:jc w:val="center"/>
              <w:rPr>
                <w:rFonts w:hint="eastAsia" w:ascii="微软雅黑" w:hAnsi="微软雅黑" w:eastAsia="微软雅黑" w:cs="微软雅黑"/>
                <w:i/>
                <w:iCs/>
                <w:color w:val="000000"/>
                <w:sz w:val="16"/>
                <w:szCs w:val="16"/>
                <w:u w:val="none"/>
              </w:rPr>
            </w:pPr>
          </w:p>
        </w:tc>
      </w:tr>
      <w:tr w14:paraId="3F1AA2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2DD3B9">
            <w:pPr>
              <w:jc w:val="center"/>
              <w:rPr>
                <w:rFonts w:hint="eastAsia" w:ascii="宋体" w:hAnsi="宋体" w:eastAsia="宋体" w:cs="宋体"/>
                <w:i w:val="0"/>
                <w:iCs w:val="0"/>
                <w:color w:val="000000"/>
                <w:sz w:val="18"/>
                <w:szCs w:val="18"/>
                <w:u w:val="none"/>
              </w:rPr>
            </w:pPr>
          </w:p>
        </w:tc>
        <w:tc>
          <w:tcPr>
            <w:tcW w:w="72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3B50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AC57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3C1D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提高农村宜居水平</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3D56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D85C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高</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F0D807">
            <w:pPr>
              <w:jc w:val="center"/>
              <w:rPr>
                <w:rFonts w:hint="eastAsia" w:ascii="宋体" w:hAnsi="宋体" w:eastAsia="宋体" w:cs="宋体"/>
                <w:i w:val="0"/>
                <w:iCs w:val="0"/>
                <w:color w:val="000000"/>
                <w:sz w:val="18"/>
                <w:szCs w:val="18"/>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245D15">
            <w:pPr>
              <w:jc w:val="center"/>
              <w:rPr>
                <w:rFonts w:hint="eastAsia" w:ascii="微软雅黑" w:hAnsi="微软雅黑" w:eastAsia="微软雅黑" w:cs="微软雅黑"/>
                <w:i/>
                <w:iCs/>
                <w:color w:val="000000"/>
                <w:sz w:val="16"/>
                <w:szCs w:val="16"/>
                <w:u w:val="none"/>
              </w:rPr>
            </w:pP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B973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2F78ED">
            <w:pPr>
              <w:jc w:val="center"/>
              <w:rPr>
                <w:rFonts w:hint="eastAsia" w:ascii="宋体" w:hAnsi="宋体" w:eastAsia="宋体" w:cs="宋体"/>
                <w:i w:val="0"/>
                <w:iCs w:val="0"/>
                <w:color w:val="000000"/>
                <w:sz w:val="18"/>
                <w:szCs w:val="18"/>
                <w:u w:val="none"/>
              </w:rPr>
            </w:pP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174319">
            <w:pPr>
              <w:jc w:val="center"/>
              <w:rPr>
                <w:rFonts w:hint="eastAsia" w:ascii="微软雅黑" w:hAnsi="微软雅黑" w:eastAsia="微软雅黑" w:cs="微软雅黑"/>
                <w:i/>
                <w:iCs/>
                <w:color w:val="000000"/>
                <w:sz w:val="16"/>
                <w:szCs w:val="16"/>
                <w:u w:val="none"/>
              </w:rPr>
            </w:pPr>
          </w:p>
        </w:tc>
      </w:tr>
      <w:tr w14:paraId="6F5E0D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2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673946">
            <w:pPr>
              <w:jc w:val="center"/>
              <w:rPr>
                <w:rFonts w:hint="eastAsia" w:ascii="宋体" w:hAnsi="宋体" w:eastAsia="宋体" w:cs="宋体"/>
                <w:i w:val="0"/>
                <w:iCs w:val="0"/>
                <w:color w:val="000000"/>
                <w:sz w:val="18"/>
                <w:szCs w:val="18"/>
                <w:u w:val="none"/>
              </w:rPr>
            </w:pPr>
          </w:p>
        </w:tc>
        <w:tc>
          <w:tcPr>
            <w:tcW w:w="72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314ADB">
            <w:pPr>
              <w:jc w:val="center"/>
              <w:rPr>
                <w:rFonts w:hint="eastAsia" w:ascii="宋体" w:hAnsi="宋体" w:eastAsia="宋体" w:cs="宋体"/>
                <w:i w:val="0"/>
                <w:iCs w:val="0"/>
                <w:color w:val="000000"/>
                <w:sz w:val="18"/>
                <w:szCs w:val="18"/>
                <w:u w:val="none"/>
              </w:rPr>
            </w:pP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F291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DB6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增强农民幸福感</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233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B918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37274E">
            <w:pPr>
              <w:jc w:val="center"/>
              <w:rPr>
                <w:rFonts w:hint="eastAsia" w:ascii="宋体" w:hAnsi="宋体" w:eastAsia="宋体" w:cs="宋体"/>
                <w:i w:val="0"/>
                <w:iCs w:val="0"/>
                <w:color w:val="000000"/>
                <w:sz w:val="18"/>
                <w:szCs w:val="18"/>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F73BCC">
            <w:pPr>
              <w:jc w:val="center"/>
              <w:rPr>
                <w:rFonts w:hint="eastAsia" w:ascii="微软雅黑" w:hAnsi="微软雅黑" w:eastAsia="微软雅黑" w:cs="微软雅黑"/>
                <w:i/>
                <w:iCs/>
                <w:color w:val="000000"/>
                <w:sz w:val="16"/>
                <w:szCs w:val="16"/>
                <w:u w:val="none"/>
              </w:rPr>
            </w:pP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201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3D358">
            <w:pPr>
              <w:jc w:val="center"/>
              <w:rPr>
                <w:rFonts w:hint="eastAsia" w:ascii="宋体" w:hAnsi="宋体" w:eastAsia="宋体" w:cs="宋体"/>
                <w:i w:val="0"/>
                <w:iCs w:val="0"/>
                <w:color w:val="000000"/>
                <w:sz w:val="18"/>
                <w:szCs w:val="18"/>
                <w:u w:val="none"/>
              </w:rPr>
            </w:pP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B8BD21">
            <w:pPr>
              <w:jc w:val="center"/>
              <w:rPr>
                <w:rFonts w:hint="eastAsia" w:ascii="微软雅黑" w:hAnsi="微软雅黑" w:eastAsia="微软雅黑" w:cs="微软雅黑"/>
                <w:i/>
                <w:iCs/>
                <w:color w:val="000000"/>
                <w:sz w:val="16"/>
                <w:szCs w:val="16"/>
                <w:u w:val="none"/>
              </w:rPr>
            </w:pPr>
          </w:p>
        </w:tc>
      </w:tr>
      <w:tr w14:paraId="48CEC4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9CA0A3">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AC43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34EF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46E2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提高群众满意度</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29CB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F80B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4AC3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F435B7">
            <w:pPr>
              <w:jc w:val="center"/>
              <w:rPr>
                <w:rFonts w:hint="eastAsia" w:ascii="微软雅黑" w:hAnsi="微软雅黑" w:eastAsia="微软雅黑" w:cs="微软雅黑"/>
                <w:i/>
                <w:iCs/>
                <w:color w:val="000000"/>
                <w:sz w:val="16"/>
                <w:szCs w:val="16"/>
                <w:u w:val="none"/>
              </w:rPr>
            </w:pP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8D92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AF13C3">
            <w:pPr>
              <w:jc w:val="center"/>
              <w:rPr>
                <w:rFonts w:hint="eastAsia" w:ascii="宋体" w:hAnsi="宋体" w:eastAsia="宋体" w:cs="宋体"/>
                <w:i w:val="0"/>
                <w:iCs w:val="0"/>
                <w:color w:val="000000"/>
                <w:sz w:val="18"/>
                <w:szCs w:val="18"/>
                <w:u w:val="none"/>
              </w:rPr>
            </w:pP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FC9637">
            <w:pPr>
              <w:jc w:val="center"/>
              <w:rPr>
                <w:rFonts w:hint="eastAsia" w:ascii="微软雅黑" w:hAnsi="微软雅黑" w:eastAsia="微软雅黑" w:cs="微软雅黑"/>
                <w:i/>
                <w:iCs/>
                <w:color w:val="000000"/>
                <w:sz w:val="16"/>
                <w:szCs w:val="16"/>
                <w:u w:val="none"/>
              </w:rPr>
            </w:pPr>
          </w:p>
        </w:tc>
      </w:tr>
      <w:tr w14:paraId="2029F3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AC37BE">
            <w:pPr>
              <w:jc w:val="center"/>
              <w:rPr>
                <w:rFonts w:hint="eastAsia" w:ascii="宋体" w:hAnsi="宋体" w:eastAsia="宋体" w:cs="宋体"/>
                <w:i w:val="0"/>
                <w:iCs w:val="0"/>
                <w:color w:val="000000"/>
                <w:sz w:val="18"/>
                <w:szCs w:val="18"/>
                <w:u w:val="none"/>
              </w:rPr>
            </w:pPr>
          </w:p>
        </w:tc>
        <w:tc>
          <w:tcPr>
            <w:tcW w:w="7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58E5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6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0465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8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3145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2025年霭紫关村村内路灯建设项目经费</w:t>
            </w:r>
          </w:p>
        </w:tc>
        <w:tc>
          <w:tcPr>
            <w:tcW w:w="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D140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64E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w:t>
            </w:r>
          </w:p>
        </w:tc>
        <w:tc>
          <w:tcPr>
            <w:tcW w:w="1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04FF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万元</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DA18A5">
            <w:pPr>
              <w:jc w:val="center"/>
              <w:rPr>
                <w:rFonts w:hint="eastAsia" w:ascii="微软雅黑" w:hAnsi="微软雅黑" w:eastAsia="微软雅黑" w:cs="微软雅黑"/>
                <w:i/>
                <w:iCs/>
                <w:color w:val="000000"/>
                <w:sz w:val="16"/>
                <w:szCs w:val="16"/>
                <w:u w:val="none"/>
              </w:rPr>
            </w:pP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A936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679AE9">
            <w:pPr>
              <w:jc w:val="center"/>
              <w:rPr>
                <w:rFonts w:hint="eastAsia" w:ascii="宋体" w:hAnsi="宋体" w:eastAsia="宋体" w:cs="宋体"/>
                <w:i w:val="0"/>
                <w:iCs w:val="0"/>
                <w:color w:val="000000"/>
                <w:sz w:val="18"/>
                <w:szCs w:val="18"/>
                <w:u w:val="none"/>
              </w:rPr>
            </w:pP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03ADF1">
            <w:pPr>
              <w:jc w:val="center"/>
              <w:rPr>
                <w:rFonts w:hint="eastAsia" w:ascii="微软雅黑" w:hAnsi="微软雅黑" w:eastAsia="微软雅黑" w:cs="微软雅黑"/>
                <w:i/>
                <w:iCs/>
                <w:color w:val="000000"/>
                <w:sz w:val="16"/>
                <w:szCs w:val="16"/>
                <w:u w:val="none"/>
              </w:rPr>
            </w:pPr>
          </w:p>
        </w:tc>
      </w:tr>
      <w:tr w14:paraId="68B51F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756"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FF9CF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1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DFE1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1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A93899">
            <w:pPr>
              <w:rPr>
                <w:rFonts w:hint="eastAsia" w:ascii="宋体" w:hAnsi="宋体" w:eastAsia="宋体" w:cs="宋体"/>
                <w:i w:val="0"/>
                <w:iCs w:val="0"/>
                <w:color w:val="000000"/>
                <w:sz w:val="18"/>
                <w:szCs w:val="18"/>
                <w:u w:val="none"/>
              </w:rPr>
            </w:pPr>
          </w:p>
        </w:tc>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F796C2">
            <w:pPr>
              <w:rPr>
                <w:rFonts w:hint="eastAsia" w:ascii="宋体" w:hAnsi="宋体" w:eastAsia="宋体" w:cs="宋体"/>
                <w:i w:val="0"/>
                <w:iCs w:val="0"/>
                <w:color w:val="000000"/>
                <w:sz w:val="18"/>
                <w:szCs w:val="18"/>
                <w:u w:val="none"/>
              </w:rPr>
            </w:pPr>
          </w:p>
        </w:tc>
      </w:tr>
      <w:tr w14:paraId="3588C3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4" w:hRule="atLeast"/>
        </w:trPr>
        <w:tc>
          <w:tcPr>
            <w:tcW w:w="2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5E88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5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3A0DE9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ascii="宋体" w:hAnsi="宋体" w:eastAsia="宋体" w:cs="宋体"/>
                <w:i w:val="0"/>
                <w:iCs w:val="0"/>
                <w:color w:val="000000"/>
                <w:kern w:val="0"/>
                <w:sz w:val="18"/>
                <w:szCs w:val="18"/>
                <w:u w:val="none"/>
                <w:lang w:val="en-US" w:eastAsia="zh-CN" w:bidi="ar"/>
              </w:rPr>
              <w:t>提升</w:t>
            </w:r>
            <w:r>
              <w:rPr>
                <w:rFonts w:hint="eastAsia" w:ascii="宋体" w:hAnsi="宋体" w:cs="宋体"/>
                <w:i w:val="0"/>
                <w:iCs w:val="0"/>
                <w:color w:val="000000"/>
                <w:kern w:val="0"/>
                <w:sz w:val="18"/>
                <w:szCs w:val="18"/>
                <w:u w:val="none"/>
                <w:lang w:val="en-US" w:eastAsia="zh-CN" w:bidi="ar"/>
              </w:rPr>
              <w:t>了</w:t>
            </w:r>
            <w:r>
              <w:rPr>
                <w:rFonts w:ascii="宋体" w:hAnsi="宋体" w:eastAsia="宋体" w:cs="宋体"/>
                <w:i w:val="0"/>
                <w:iCs w:val="0"/>
                <w:color w:val="000000"/>
                <w:kern w:val="0"/>
                <w:sz w:val="18"/>
                <w:szCs w:val="18"/>
                <w:u w:val="none"/>
                <w:lang w:val="en-US" w:eastAsia="zh-CN" w:bidi="ar"/>
              </w:rPr>
              <w:t>夜间行车环境，保障</w:t>
            </w:r>
            <w:r>
              <w:rPr>
                <w:rFonts w:hint="eastAsia" w:ascii="宋体" w:hAnsi="宋体" w:cs="宋体"/>
                <w:i w:val="0"/>
                <w:iCs w:val="0"/>
                <w:color w:val="000000"/>
                <w:kern w:val="0"/>
                <w:sz w:val="18"/>
                <w:szCs w:val="18"/>
                <w:u w:val="none"/>
                <w:lang w:val="en-US" w:eastAsia="zh-CN" w:bidi="ar"/>
              </w:rPr>
              <w:t>了</w:t>
            </w:r>
            <w:r>
              <w:rPr>
                <w:rFonts w:ascii="宋体" w:hAnsi="宋体" w:eastAsia="宋体" w:cs="宋体"/>
                <w:i w:val="0"/>
                <w:iCs w:val="0"/>
                <w:color w:val="000000"/>
                <w:kern w:val="0"/>
                <w:sz w:val="18"/>
                <w:szCs w:val="18"/>
                <w:u w:val="none"/>
                <w:lang w:val="en-US" w:eastAsia="zh-CN" w:bidi="ar"/>
              </w:rPr>
              <w:t>夜间行车交通安全，提供</w:t>
            </w:r>
            <w:r>
              <w:rPr>
                <w:rFonts w:hint="eastAsia" w:ascii="宋体" w:hAnsi="宋体" w:cs="宋体"/>
                <w:i w:val="0"/>
                <w:iCs w:val="0"/>
                <w:color w:val="000000"/>
                <w:kern w:val="0"/>
                <w:sz w:val="18"/>
                <w:szCs w:val="18"/>
                <w:u w:val="none"/>
                <w:lang w:val="en-US" w:eastAsia="zh-CN" w:bidi="ar"/>
              </w:rPr>
              <w:t>了</w:t>
            </w:r>
            <w:r>
              <w:rPr>
                <w:rFonts w:ascii="宋体" w:hAnsi="宋体" w:eastAsia="宋体" w:cs="宋体"/>
                <w:i w:val="0"/>
                <w:iCs w:val="0"/>
                <w:color w:val="000000"/>
                <w:kern w:val="0"/>
                <w:sz w:val="18"/>
                <w:szCs w:val="18"/>
                <w:u w:val="none"/>
                <w:lang w:val="en-US" w:eastAsia="zh-CN" w:bidi="ar"/>
              </w:rPr>
              <w:t>舒适的夜间活动空间，助力</w:t>
            </w:r>
            <w:r>
              <w:rPr>
                <w:rFonts w:hint="eastAsia" w:ascii="宋体" w:hAnsi="宋体" w:cs="宋体"/>
                <w:i w:val="0"/>
                <w:iCs w:val="0"/>
                <w:color w:val="000000"/>
                <w:kern w:val="0"/>
                <w:sz w:val="18"/>
                <w:szCs w:val="18"/>
                <w:u w:val="none"/>
                <w:lang w:val="en-US" w:eastAsia="zh-CN" w:bidi="ar"/>
              </w:rPr>
              <w:t>了</w:t>
            </w:r>
            <w:r>
              <w:rPr>
                <w:rFonts w:ascii="宋体" w:hAnsi="宋体" w:eastAsia="宋体" w:cs="宋体"/>
                <w:i w:val="0"/>
                <w:iCs w:val="0"/>
                <w:color w:val="000000"/>
                <w:kern w:val="0"/>
                <w:sz w:val="18"/>
                <w:szCs w:val="18"/>
                <w:u w:val="none"/>
                <w:lang w:val="en-US" w:eastAsia="zh-CN" w:bidi="ar"/>
              </w:rPr>
              <w:t>农村旅游发展。</w:t>
            </w:r>
          </w:p>
        </w:tc>
      </w:tr>
      <w:tr w14:paraId="70388E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2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A14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5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995CF1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2F17E3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4" w:hRule="atLeast"/>
        </w:trPr>
        <w:tc>
          <w:tcPr>
            <w:tcW w:w="2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C203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5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224820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lang w:val="en-US" w:eastAsia="zh-CN"/>
              </w:rPr>
            </w:pPr>
            <w:r>
              <w:rPr>
                <w:rFonts w:hint="eastAsia" w:ascii="微软雅黑" w:hAnsi="微软雅黑" w:eastAsia="微软雅黑" w:cs="微软雅黑"/>
                <w:i/>
                <w:iCs/>
                <w:color w:val="000000"/>
                <w:sz w:val="16"/>
                <w:szCs w:val="16"/>
                <w:u w:val="none"/>
                <w:lang w:val="en-US" w:eastAsia="zh-CN"/>
              </w:rPr>
              <w:t>无</w:t>
            </w:r>
          </w:p>
        </w:tc>
      </w:tr>
      <w:tr w14:paraId="7A2502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2586"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37D56B6">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w:t>
            </w:r>
          </w:p>
        </w:tc>
        <w:tc>
          <w:tcPr>
            <w:tcW w:w="24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E0E0F1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w:t>
            </w:r>
          </w:p>
        </w:tc>
      </w:tr>
    </w:tbl>
    <w:p w14:paraId="7B114EAD">
      <w:pPr>
        <w:pStyle w:val="2"/>
      </w:pPr>
    </w:p>
    <w:p w14:paraId="2E666ED1">
      <w:pPr>
        <w:pStyle w:val="2"/>
        <w:rPr>
          <w:rFonts w:eastAsia="黑体"/>
        </w:rPr>
      </w:pPr>
    </w:p>
    <w:p w14:paraId="089DBC8C">
      <w:pPr>
        <w:rPr>
          <w:rFonts w:eastAsia="黑体"/>
        </w:rPr>
      </w:pPr>
    </w:p>
    <w:p w14:paraId="22A796BE">
      <w:pPr>
        <w:pStyle w:val="2"/>
        <w:rPr>
          <w:rFonts w:eastAsia="黑体"/>
        </w:rPr>
      </w:pPr>
    </w:p>
    <w:p w14:paraId="452CBAFE"/>
    <w:p w14:paraId="7B44A4C3"/>
    <w:p w14:paraId="75573D4C">
      <w:pPr>
        <w:pStyle w:val="8"/>
        <w:rPr>
          <w:rFonts w:hint="eastAsia" w:ascii="Times New Roman" w:hAnsi="Times New Roman" w:cs="宋体"/>
          <w:color w:val="FF0000"/>
          <w:kern w:val="0"/>
          <w:sz w:val="32"/>
          <w:szCs w:val="32"/>
          <w:highlight w:val="yellow"/>
          <w:shd w:val="clear" w:color="auto" w:fill="FFFFFF"/>
          <w:lang w:val="zh-CN"/>
        </w:rPr>
      </w:pPr>
    </w:p>
    <w:p w14:paraId="41619C61">
      <w:pPr>
        <w:pStyle w:val="2"/>
        <w:rPr>
          <w:rFonts w:hint="eastAsia" w:ascii="Times New Roman" w:hAnsi="Times New Roman" w:eastAsia="仿宋_GB2312" w:cs="Times New Roman"/>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br w:type="page"/>
      </w:r>
      <w:r>
        <w:rPr>
          <w:rFonts w:hint="eastAsia" w:ascii="Times New Roman" w:hAnsi="Times New Roman" w:eastAsia="仿宋_GB2312" w:cs="Times New Roman"/>
          <w:b w:val="0"/>
          <w:bCs w:val="0"/>
          <w:kern w:val="0"/>
          <w:position w:val="0"/>
          <w:sz w:val="32"/>
          <w:szCs w:val="32"/>
          <w:highlight w:val="none"/>
          <w:lang w:val="en-US" w:eastAsia="zh-CN" w:bidi="ar-SA"/>
        </w:rPr>
        <w:t>附件2:</w:t>
      </w:r>
    </w:p>
    <w:p w14:paraId="1F34A90F">
      <w:pPr>
        <w:jc w:val="center"/>
        <w:rPr>
          <w:rFonts w:hint="eastAsia" w:eastAsia="仿宋_GB2312" w:cs="Times New Roman"/>
          <w:b w:val="0"/>
          <w:bCs w:val="0"/>
          <w:kern w:val="0"/>
          <w:position w:val="0"/>
          <w:sz w:val="32"/>
          <w:szCs w:val="32"/>
          <w:highlight w:val="none"/>
          <w:lang w:val="en-US" w:eastAsia="zh-CN" w:bidi="ar-SA"/>
        </w:rPr>
      </w:pPr>
      <w:r>
        <w:rPr>
          <w:rFonts w:hint="eastAsia" w:eastAsia="仿宋_GB2312" w:cs="Times New Roman"/>
          <w:b/>
          <w:bCs/>
          <w:kern w:val="0"/>
          <w:position w:val="0"/>
          <w:sz w:val="36"/>
          <w:szCs w:val="36"/>
          <w:highlight w:val="none"/>
          <w:lang w:val="en-US" w:eastAsia="zh-CN" w:bidi="ar-SA"/>
        </w:rPr>
        <w:t>专项预算项目绩效评价报告</w:t>
      </w:r>
    </w:p>
    <w:p w14:paraId="09465B4A">
      <w:pPr>
        <w:pStyle w:val="2"/>
        <w:jc w:val="center"/>
        <w:rPr>
          <w:rFonts w:hint="default"/>
          <w:lang w:val="en-US" w:eastAsia="zh-CN"/>
        </w:rPr>
      </w:pPr>
      <w:r>
        <w:rPr>
          <w:rFonts w:hint="eastAsia" w:eastAsia="仿宋_GB2312" w:cs="Times New Roman"/>
          <w:b w:val="0"/>
          <w:bCs w:val="0"/>
          <w:kern w:val="0"/>
          <w:position w:val="0"/>
          <w:sz w:val="32"/>
          <w:szCs w:val="32"/>
          <w:highlight w:val="none"/>
          <w:lang w:val="en-US" w:eastAsia="zh-CN" w:bidi="ar-SA"/>
        </w:rPr>
        <w:t>（本部门不涉及此类项目）</w:t>
      </w:r>
    </w:p>
    <w:p w14:paraId="3E2F3F87">
      <w:pPr>
        <w:rPr>
          <w:rFonts w:hint="eastAsia" w:ascii="Times New Roman" w:hAnsi="Times New Roman" w:eastAsia="仿宋_GB2312" w:cs="仿宋_GB2312"/>
          <w:b w:val="0"/>
          <w:bCs w:val="0"/>
          <w:kern w:val="0"/>
          <w:position w:val="0"/>
          <w:sz w:val="32"/>
          <w:szCs w:val="32"/>
          <w:highlight w:val="none"/>
          <w:lang w:val="en-US" w:eastAsia="zh-CN" w:bidi="ar-SA"/>
        </w:rPr>
      </w:pPr>
    </w:p>
    <w:p w14:paraId="676BFBC2">
      <w:pPr>
        <w:pStyle w:val="3"/>
        <w:jc w:val="center"/>
        <w:rPr>
          <w:rFonts w:ascii="黑体" w:eastAsia="黑体" w:cs="黑体"/>
          <w:b w:val="0"/>
          <w:bCs w:val="0"/>
        </w:rPr>
      </w:pPr>
      <w:bookmarkStart w:id="68" w:name="_Toc79163885"/>
      <w:bookmarkStart w:id="69" w:name="_Toc9681"/>
      <w:bookmarkStart w:id="70" w:name="_Toc111208512"/>
      <w:bookmarkStart w:id="71" w:name="_Toc79163635"/>
      <w:r>
        <w:rPr>
          <w:rFonts w:hint="eastAsia" w:ascii="黑体" w:eastAsia="黑体" w:cs="黑体"/>
          <w:b w:val="0"/>
          <w:bCs w:val="0"/>
        </w:rPr>
        <w:t>第五部分 附表</w:t>
      </w:r>
      <w:bookmarkEnd w:id="68"/>
      <w:bookmarkEnd w:id="69"/>
      <w:bookmarkEnd w:id="70"/>
      <w:bookmarkEnd w:id="71"/>
    </w:p>
    <w:p w14:paraId="32F127C7">
      <w:pPr>
        <w:pStyle w:val="4"/>
        <w:ind w:firstLine="640" w:firstLineChars="200"/>
        <w:rPr>
          <w:rFonts w:hint="eastAsia" w:ascii="黑体" w:eastAsia="黑体" w:cs="Times New Roman"/>
          <w:b w:val="0"/>
          <w:bCs w:val="0"/>
          <w:color w:val="000000"/>
        </w:rPr>
      </w:pPr>
      <w:bookmarkStart w:id="72" w:name="_Toc9322"/>
      <w:r>
        <w:rPr>
          <w:rFonts w:hint="eastAsia" w:ascii="黑体" w:eastAsia="黑体" w:cs="Times New Roman"/>
          <w:b w:val="0"/>
          <w:bCs w:val="0"/>
          <w:color w:val="000000"/>
        </w:rPr>
        <w:t>一、收入支出决算总表</w:t>
      </w:r>
      <w:bookmarkEnd w:id="72"/>
    </w:p>
    <w:p w14:paraId="77855576">
      <w:pPr>
        <w:pStyle w:val="4"/>
        <w:ind w:firstLine="640" w:firstLineChars="200"/>
        <w:rPr>
          <w:rFonts w:hint="eastAsia" w:ascii="黑体" w:eastAsia="黑体" w:cs="Times New Roman"/>
          <w:b w:val="0"/>
          <w:bCs w:val="0"/>
          <w:color w:val="000000"/>
        </w:rPr>
      </w:pPr>
      <w:bookmarkStart w:id="73" w:name="_Toc28564"/>
      <w:r>
        <w:rPr>
          <w:rFonts w:hint="eastAsia" w:ascii="黑体" w:eastAsia="黑体" w:cs="Times New Roman"/>
          <w:b w:val="0"/>
          <w:bCs w:val="0"/>
          <w:color w:val="000000"/>
        </w:rPr>
        <w:t>二、收入决算表</w:t>
      </w:r>
      <w:bookmarkEnd w:id="73"/>
    </w:p>
    <w:p w14:paraId="61D5A5B8">
      <w:pPr>
        <w:pStyle w:val="4"/>
        <w:ind w:firstLine="640" w:firstLineChars="200"/>
        <w:rPr>
          <w:rFonts w:hint="eastAsia" w:ascii="黑体" w:eastAsia="黑体" w:cs="Times New Roman"/>
          <w:b w:val="0"/>
          <w:bCs w:val="0"/>
          <w:color w:val="000000"/>
        </w:rPr>
      </w:pPr>
      <w:bookmarkStart w:id="74" w:name="_Toc9707"/>
      <w:r>
        <w:rPr>
          <w:rFonts w:hint="eastAsia" w:ascii="黑体" w:eastAsia="黑体" w:cs="Times New Roman"/>
          <w:b w:val="0"/>
          <w:bCs w:val="0"/>
          <w:color w:val="000000"/>
        </w:rPr>
        <w:t>三、支出决算表</w:t>
      </w:r>
      <w:bookmarkEnd w:id="74"/>
    </w:p>
    <w:p w14:paraId="256F549C">
      <w:pPr>
        <w:pStyle w:val="4"/>
        <w:ind w:firstLine="640" w:firstLineChars="200"/>
        <w:rPr>
          <w:rFonts w:hint="eastAsia" w:ascii="黑体" w:eastAsia="黑体" w:cs="Times New Roman"/>
          <w:b w:val="0"/>
          <w:bCs w:val="0"/>
          <w:color w:val="000000"/>
        </w:rPr>
      </w:pPr>
      <w:bookmarkStart w:id="75" w:name="_Toc13652"/>
      <w:r>
        <w:rPr>
          <w:rFonts w:hint="eastAsia" w:ascii="黑体" w:eastAsia="黑体" w:cs="Times New Roman"/>
          <w:b w:val="0"/>
          <w:bCs w:val="0"/>
          <w:color w:val="000000"/>
        </w:rPr>
        <w:t>四、财政拨款收入支出决算总表</w:t>
      </w:r>
      <w:bookmarkEnd w:id="75"/>
    </w:p>
    <w:p w14:paraId="7BE1F5B3">
      <w:pPr>
        <w:pStyle w:val="4"/>
        <w:ind w:firstLine="640" w:firstLineChars="200"/>
        <w:rPr>
          <w:rFonts w:hint="eastAsia" w:ascii="黑体" w:eastAsia="黑体" w:cs="Times New Roman"/>
          <w:b w:val="0"/>
          <w:bCs w:val="0"/>
          <w:color w:val="000000"/>
        </w:rPr>
      </w:pPr>
      <w:bookmarkStart w:id="76" w:name="_Toc16893"/>
      <w:r>
        <w:rPr>
          <w:rFonts w:hint="eastAsia" w:ascii="黑体" w:eastAsia="黑体" w:cs="Times New Roman"/>
          <w:b w:val="0"/>
          <w:bCs w:val="0"/>
          <w:color w:val="000000"/>
        </w:rPr>
        <w:t>五、财政拨款支出决算明细表</w:t>
      </w:r>
      <w:bookmarkEnd w:id="76"/>
    </w:p>
    <w:p w14:paraId="236C05E4">
      <w:pPr>
        <w:pStyle w:val="4"/>
        <w:ind w:firstLine="640" w:firstLineChars="200"/>
        <w:rPr>
          <w:rFonts w:hint="eastAsia" w:ascii="黑体" w:eastAsia="黑体" w:cs="Times New Roman"/>
          <w:b w:val="0"/>
          <w:bCs w:val="0"/>
          <w:color w:val="000000"/>
        </w:rPr>
      </w:pPr>
      <w:bookmarkStart w:id="77" w:name="_Toc13511"/>
      <w:r>
        <w:rPr>
          <w:rFonts w:hint="eastAsia" w:ascii="黑体" w:eastAsia="黑体" w:cs="Times New Roman"/>
          <w:b w:val="0"/>
          <w:bCs w:val="0"/>
          <w:color w:val="000000"/>
        </w:rPr>
        <w:t>六、一般公共预算财政拨款支出决算表</w:t>
      </w:r>
      <w:bookmarkEnd w:id="77"/>
    </w:p>
    <w:p w14:paraId="04DF021E">
      <w:pPr>
        <w:pStyle w:val="4"/>
        <w:ind w:firstLine="640" w:firstLineChars="200"/>
        <w:rPr>
          <w:rFonts w:hint="eastAsia" w:ascii="黑体" w:eastAsia="黑体" w:cs="Times New Roman"/>
          <w:b w:val="0"/>
          <w:bCs w:val="0"/>
          <w:color w:val="000000"/>
        </w:rPr>
      </w:pPr>
      <w:bookmarkStart w:id="78" w:name="_Toc30154"/>
      <w:r>
        <w:rPr>
          <w:rFonts w:hint="eastAsia" w:ascii="黑体" w:eastAsia="黑体" w:cs="Times New Roman"/>
          <w:b w:val="0"/>
          <w:bCs w:val="0"/>
          <w:color w:val="000000"/>
        </w:rPr>
        <w:t>七、一般公共预算财政拨款支出决算明细表</w:t>
      </w:r>
      <w:bookmarkEnd w:id="78"/>
    </w:p>
    <w:p w14:paraId="6207A559">
      <w:pPr>
        <w:pStyle w:val="4"/>
        <w:ind w:firstLine="640" w:firstLineChars="200"/>
        <w:rPr>
          <w:rFonts w:hint="eastAsia" w:ascii="黑体" w:eastAsia="黑体" w:cs="Times New Roman"/>
          <w:b w:val="0"/>
          <w:bCs w:val="0"/>
          <w:color w:val="000000"/>
        </w:rPr>
      </w:pPr>
      <w:bookmarkStart w:id="79" w:name="_Toc31629"/>
      <w:r>
        <w:rPr>
          <w:rFonts w:hint="eastAsia" w:ascii="黑体" w:eastAsia="黑体" w:cs="Times New Roman"/>
          <w:b w:val="0"/>
          <w:bCs w:val="0"/>
          <w:color w:val="000000"/>
        </w:rPr>
        <w:t>八、一般公共预算财政拨款基本支出决算表</w:t>
      </w:r>
      <w:bookmarkEnd w:id="79"/>
    </w:p>
    <w:p w14:paraId="4C8F759F">
      <w:pPr>
        <w:pStyle w:val="4"/>
        <w:ind w:firstLine="640" w:firstLineChars="200"/>
        <w:rPr>
          <w:rFonts w:hint="eastAsia" w:ascii="黑体" w:eastAsia="黑体" w:cs="Times New Roman"/>
          <w:b w:val="0"/>
          <w:bCs w:val="0"/>
          <w:color w:val="000000"/>
        </w:rPr>
      </w:pPr>
      <w:bookmarkStart w:id="80" w:name="_Toc4361"/>
      <w:r>
        <w:rPr>
          <w:rFonts w:hint="eastAsia" w:ascii="黑体" w:eastAsia="黑体" w:cs="Times New Roman"/>
          <w:b w:val="0"/>
          <w:bCs w:val="0"/>
          <w:color w:val="000000"/>
        </w:rPr>
        <w:t>九、一般公共预算财政拨款项目支出决算表</w:t>
      </w:r>
      <w:bookmarkEnd w:id="80"/>
    </w:p>
    <w:p w14:paraId="6D2D3404">
      <w:pPr>
        <w:pStyle w:val="4"/>
        <w:ind w:firstLine="640" w:firstLineChars="200"/>
        <w:rPr>
          <w:rFonts w:hint="eastAsia" w:ascii="黑体" w:eastAsia="黑体" w:cs="Times New Roman"/>
          <w:b w:val="0"/>
          <w:bCs w:val="0"/>
          <w:color w:val="000000"/>
        </w:rPr>
      </w:pPr>
      <w:bookmarkStart w:id="81" w:name="_Toc6328"/>
      <w:r>
        <w:rPr>
          <w:rFonts w:hint="eastAsia" w:ascii="黑体" w:eastAsia="黑体" w:cs="Times New Roman"/>
          <w:b w:val="0"/>
          <w:bCs w:val="0"/>
          <w:color w:val="000000"/>
        </w:rPr>
        <w:t>十、政府性基金预算财政拨款收入支出决算表</w:t>
      </w:r>
      <w:bookmarkEnd w:id="81"/>
    </w:p>
    <w:p w14:paraId="123CF7DE">
      <w:pPr>
        <w:pStyle w:val="4"/>
        <w:ind w:firstLine="640" w:firstLineChars="200"/>
        <w:rPr>
          <w:rFonts w:hint="eastAsia" w:ascii="黑体" w:eastAsia="黑体" w:cs="Times New Roman"/>
          <w:b w:val="0"/>
          <w:bCs w:val="0"/>
          <w:color w:val="000000"/>
        </w:rPr>
      </w:pPr>
      <w:bookmarkStart w:id="82" w:name="_Toc13298"/>
      <w:r>
        <w:rPr>
          <w:rFonts w:hint="eastAsia" w:ascii="黑体" w:eastAsia="黑体" w:cs="Times New Roman"/>
          <w:b w:val="0"/>
          <w:bCs w:val="0"/>
          <w:color w:val="000000"/>
        </w:rPr>
        <w:t>十一、国有资本经营预算财政拨款收入支出决算表</w:t>
      </w:r>
      <w:bookmarkEnd w:id="82"/>
    </w:p>
    <w:p w14:paraId="07E0A5B2">
      <w:pPr>
        <w:pStyle w:val="4"/>
        <w:ind w:firstLine="640" w:firstLineChars="200"/>
        <w:rPr>
          <w:rFonts w:hint="eastAsia" w:ascii="黑体" w:eastAsia="黑体" w:cs="Times New Roman"/>
          <w:b w:val="0"/>
          <w:bCs w:val="0"/>
          <w:color w:val="000000"/>
        </w:rPr>
      </w:pPr>
      <w:bookmarkStart w:id="83" w:name="_Toc27487"/>
      <w:r>
        <w:rPr>
          <w:rFonts w:hint="eastAsia" w:ascii="黑体" w:eastAsia="黑体" w:cs="Times New Roman"/>
          <w:b w:val="0"/>
          <w:bCs w:val="0"/>
          <w:color w:val="000000"/>
        </w:rPr>
        <w:t>十二、国有资本经营预算财政拨款支出决算表</w:t>
      </w:r>
      <w:bookmarkEnd w:id="83"/>
    </w:p>
    <w:p w14:paraId="562A5E9A">
      <w:pPr>
        <w:pStyle w:val="4"/>
        <w:ind w:firstLine="640" w:firstLineChars="200"/>
        <w:rPr>
          <w:rFonts w:ascii="黑体" w:eastAsia="黑体" w:cs="Times New Roman"/>
          <w:b w:val="0"/>
          <w:bCs w:val="0"/>
          <w:color w:val="000000"/>
        </w:rPr>
      </w:pPr>
      <w:bookmarkStart w:id="84" w:name="_Toc2555"/>
      <w:r>
        <w:rPr>
          <w:rFonts w:hint="eastAsia" w:ascii="黑体" w:eastAsia="黑体" w:cs="Times New Roman"/>
          <w:b w:val="0"/>
          <w:bCs w:val="0"/>
          <w:color w:val="000000"/>
        </w:rPr>
        <w:t>十三、财政拨款“三公”经费支出决算表</w:t>
      </w:r>
      <w:bookmarkEnd w:id="84"/>
    </w:p>
    <w:sectPr>
      <w:headerReference r:id="rId3" w:type="default"/>
      <w:footerReference r:id="rId4" w:type="default"/>
      <w:pgSz w:w="11906" w:h="16838"/>
      <w:pgMar w:top="1440" w:right="1800" w:bottom="1440" w:left="1800" w:header="851" w:footer="992" w:gutter="0"/>
      <w:pgNumType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仿宋"/>
    <w:panose1 w:val="00000000000000000000"/>
    <w:charset w:val="00"/>
    <w:family w:val="roman"/>
    <w:pitch w:val="default"/>
    <w:sig w:usb0="00000000" w:usb1="00000000" w:usb2="00000000" w:usb3="00000000" w:csb0="00000000" w:csb1="00000000"/>
  </w:font>
  <w:font w:name="方正小标宋简体">
    <w:panose1 w:val="02000000000000000000"/>
    <w:charset w:val="86"/>
    <w:family w:val="script"/>
    <w:pitch w:val="default"/>
    <w:sig w:usb0="A00002BF" w:usb1="184F6CFA" w:usb2="00000012"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p w14:paraId="14F1D0F4">
        <w:pPr>
          <w:pStyle w:val="12"/>
          <w:jc w:val="center"/>
        </w:pPr>
        <w:r>
          <w:fldChar w:fldCharType="begin"/>
        </w:r>
        <w:r>
          <w:instrText xml:space="preserve">PAGE   \* MERGEFORMAT</w:instrText>
        </w:r>
        <w:r>
          <w:fldChar w:fldCharType="separate"/>
        </w:r>
        <w:r>
          <w:rPr>
            <w:lang w:val="zh-CN"/>
          </w:rPr>
          <w:t>4</w:t>
        </w:r>
        <w:r>
          <w:fldChar w:fldCharType="end"/>
        </w:r>
      </w:p>
    </w:sdtContent>
  </w:sdt>
  <w:p w14:paraId="349C15DB">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67422B">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F65446"/>
    <w:multiLevelType w:val="singleLevel"/>
    <w:tmpl w:val="8DF65446"/>
    <w:lvl w:ilvl="0" w:tentative="0">
      <w:start w:val="2"/>
      <w:numFmt w:val="chineseCounting"/>
      <w:suff w:val="nothing"/>
      <w:lvlText w:val="（%1）"/>
      <w:lvlJc w:val="left"/>
      <w:rPr>
        <w:rFonts w:hint="eastAsia"/>
      </w:rPr>
    </w:lvl>
  </w:abstractNum>
  <w:abstractNum w:abstractNumId="1">
    <w:nsid w:val="D33580FA"/>
    <w:multiLevelType w:val="singleLevel"/>
    <w:tmpl w:val="D33580FA"/>
    <w:lvl w:ilvl="0" w:tentative="0">
      <w:start w:val="2"/>
      <w:numFmt w:val="chineseCounting"/>
      <w:suff w:val="space"/>
      <w:lvlText w:val="第%1部分"/>
      <w:lvlJc w:val="left"/>
      <w:rPr>
        <w:rFonts w:hint="eastAsia"/>
      </w:rPr>
    </w:lvl>
  </w:abstractNum>
  <w:abstractNum w:abstractNumId="2">
    <w:nsid w:val="E2FA047D"/>
    <w:multiLevelType w:val="singleLevel"/>
    <w:tmpl w:val="E2FA047D"/>
    <w:lvl w:ilvl="0" w:tentative="0">
      <w:start w:val="3"/>
      <w:numFmt w:val="chineseCounting"/>
      <w:suff w:val="space"/>
      <w:lvlText w:val="第%1部分"/>
      <w:lvlJc w:val="left"/>
      <w:rPr>
        <w:rFonts w:hint="eastAsia" w:ascii="黑体" w:hAnsi="黑体" w:eastAsia="黑体" w:cs="黑体"/>
        <w:sz w:val="44"/>
        <w:szCs w:val="44"/>
      </w:rPr>
    </w:lvl>
  </w:abstractNum>
  <w:abstractNum w:abstractNumId="3">
    <w:nsid w:val="F67C4FEC"/>
    <w:multiLevelType w:val="singleLevel"/>
    <w:tmpl w:val="F67C4FEC"/>
    <w:lvl w:ilvl="0" w:tentative="0">
      <w:start w:val="9"/>
      <w:numFmt w:val="chineseCounting"/>
      <w:suff w:val="nothing"/>
      <w:lvlText w:val="%1、"/>
      <w:lvlJc w:val="left"/>
      <w:rPr>
        <w:rFonts w:hint="eastAsia"/>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bordersDoNotSurroundHeader w:val="0"/>
  <w:bordersDoNotSurroundFooter w:val="0"/>
  <w:documentProtection w:edit="readOnly"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ulTrailSpace/>
    <w:doNotExpandShiftReturn/>
    <w:adjustLineHeightInTable/>
    <w:doNotWrapTextWithPunct/>
    <w:doNotUseEastAsianBreakRules/>
    <w:useFELayout/>
    <w:doNotUseIndentAsNumberingTabStop/>
    <w:compatSetting w:name="compatibilityMode" w:uri="http://schemas.microsoft.com/office/word" w:val="15"/>
  </w:compat>
  <w:docVars>
    <w:docVar w:name="commondata" w:val="eyJoZGlkIjoiNTNkMGQ3MDkyOTg0ZDZiNWRhOGE4ZTg3NzZmZDIzZDAifQ=="/>
  </w:docVars>
  <w:rsids>
    <w:rsidRoot w:val="00000000"/>
    <w:rsid w:val="01680E90"/>
    <w:rsid w:val="01AC3A93"/>
    <w:rsid w:val="029A795E"/>
    <w:rsid w:val="04C428F3"/>
    <w:rsid w:val="05B8696F"/>
    <w:rsid w:val="063D4476"/>
    <w:rsid w:val="0BA72FE7"/>
    <w:rsid w:val="0C0C2D55"/>
    <w:rsid w:val="0C9C03F6"/>
    <w:rsid w:val="0E8C1493"/>
    <w:rsid w:val="15DD3DC4"/>
    <w:rsid w:val="163505E3"/>
    <w:rsid w:val="170F0A7C"/>
    <w:rsid w:val="19D92AF4"/>
    <w:rsid w:val="1A493575"/>
    <w:rsid w:val="1AE31E7C"/>
    <w:rsid w:val="1AEB72B4"/>
    <w:rsid w:val="1BFB4FA4"/>
    <w:rsid w:val="1D322F3A"/>
    <w:rsid w:val="1F161E8F"/>
    <w:rsid w:val="1F172877"/>
    <w:rsid w:val="1F327079"/>
    <w:rsid w:val="1F43734F"/>
    <w:rsid w:val="215F65C5"/>
    <w:rsid w:val="21881B1F"/>
    <w:rsid w:val="22590F60"/>
    <w:rsid w:val="228E0F4B"/>
    <w:rsid w:val="239D5BF2"/>
    <w:rsid w:val="24B21BE6"/>
    <w:rsid w:val="25414557"/>
    <w:rsid w:val="26EE0D30"/>
    <w:rsid w:val="28270C1E"/>
    <w:rsid w:val="28C4394A"/>
    <w:rsid w:val="2A9165B0"/>
    <w:rsid w:val="2AF07C9E"/>
    <w:rsid w:val="2C040341"/>
    <w:rsid w:val="2DA74F8B"/>
    <w:rsid w:val="2ECC331B"/>
    <w:rsid w:val="2F145784"/>
    <w:rsid w:val="32002097"/>
    <w:rsid w:val="33295C31"/>
    <w:rsid w:val="34246CC3"/>
    <w:rsid w:val="34785310"/>
    <w:rsid w:val="34FB24E0"/>
    <w:rsid w:val="35446AF8"/>
    <w:rsid w:val="36175DA3"/>
    <w:rsid w:val="374E2101"/>
    <w:rsid w:val="375021F0"/>
    <w:rsid w:val="39A407C6"/>
    <w:rsid w:val="3CEE4A16"/>
    <w:rsid w:val="3CF313DF"/>
    <w:rsid w:val="3D4A1F4E"/>
    <w:rsid w:val="3E5830D3"/>
    <w:rsid w:val="3F85170B"/>
    <w:rsid w:val="431F0CA0"/>
    <w:rsid w:val="478D414D"/>
    <w:rsid w:val="49C94F4C"/>
    <w:rsid w:val="4B732421"/>
    <w:rsid w:val="4C8936D2"/>
    <w:rsid w:val="4E154AAB"/>
    <w:rsid w:val="4F543B82"/>
    <w:rsid w:val="52A24B7E"/>
    <w:rsid w:val="56957F9B"/>
    <w:rsid w:val="59F7625F"/>
    <w:rsid w:val="5CB470B6"/>
    <w:rsid w:val="60A76A75"/>
    <w:rsid w:val="62FE5997"/>
    <w:rsid w:val="65042DD4"/>
    <w:rsid w:val="65D16FE1"/>
    <w:rsid w:val="6693376E"/>
    <w:rsid w:val="674B61CB"/>
    <w:rsid w:val="67C95523"/>
    <w:rsid w:val="6B9D6AAA"/>
    <w:rsid w:val="6C095987"/>
    <w:rsid w:val="6D403BDC"/>
    <w:rsid w:val="6EA30B48"/>
    <w:rsid w:val="6FCE1C7C"/>
    <w:rsid w:val="7244727B"/>
    <w:rsid w:val="73204F23"/>
    <w:rsid w:val="741714DE"/>
    <w:rsid w:val="75912B64"/>
    <w:rsid w:val="77560441"/>
    <w:rsid w:val="782151DC"/>
    <w:rsid w:val="79142376"/>
    <w:rsid w:val="793F4261"/>
    <w:rsid w:val="798C01D3"/>
    <w:rsid w:val="7AB452B0"/>
    <w:rsid w:val="7AEF2EEE"/>
    <w:rsid w:val="7B1A7B8C"/>
    <w:rsid w:val="7C417D35"/>
    <w:rsid w:val="7E6611EF"/>
    <w:rsid w:val="7FD8FB6A"/>
    <w:rsid w:val="DEFFD8B2"/>
    <w:rsid w:val="EFEF7E7F"/>
    <w:rsid w:val="FDAF9CC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4"/>
    <w:qFormat/>
    <w:uiPriority w:val="0"/>
    <w:pPr>
      <w:keepNext/>
      <w:keepLines/>
      <w:widowControl w:val="0"/>
      <w:spacing w:before="340" w:after="330" w:line="578" w:lineRule="auto"/>
      <w:outlineLvl w:val="0"/>
    </w:pPr>
    <w:rPr>
      <w:b/>
      <w:bCs/>
      <w:kern w:val="44"/>
      <w:sz w:val="44"/>
      <w:szCs w:val="44"/>
    </w:rPr>
  </w:style>
  <w:style w:type="paragraph" w:styleId="4">
    <w:name w:val="heading 2"/>
    <w:basedOn w:val="1"/>
    <w:next w:val="1"/>
    <w:qFormat/>
    <w:uiPriority w:val="0"/>
    <w:pPr>
      <w:keepNext/>
      <w:keepLines/>
      <w:widowControl w:val="0"/>
      <w:spacing w:before="260" w:after="260" w:line="415" w:lineRule="auto"/>
      <w:outlineLvl w:val="1"/>
    </w:pPr>
    <w:rPr>
      <w:rFonts w:ascii="Cambria" w:hAnsi="Cambria" w:eastAsia="宋体" w:cs="Times New Roman"/>
      <w:b/>
      <w:bCs/>
      <w:sz w:val="32"/>
      <w:szCs w:val="32"/>
    </w:rPr>
  </w:style>
  <w:style w:type="paragraph" w:styleId="5">
    <w:name w:val="heading 3"/>
    <w:basedOn w:val="1"/>
    <w:next w:val="1"/>
    <w:qFormat/>
    <w:uiPriority w:val="0"/>
    <w:pPr>
      <w:keepNext/>
      <w:keepLines/>
      <w:widowControl w:val="0"/>
      <w:spacing w:before="260" w:after="260" w:line="415" w:lineRule="auto"/>
      <w:outlineLvl w:val="2"/>
    </w:pPr>
    <w:rPr>
      <w:b/>
      <w:bCs/>
      <w:sz w:val="32"/>
      <w:szCs w:val="32"/>
    </w:rPr>
  </w:style>
  <w:style w:type="character" w:default="1" w:styleId="22">
    <w:name w:val="Default Paragraph Font"/>
    <w:qFormat/>
    <w:uiPriority w:val="0"/>
  </w:style>
  <w:style w:type="table" w:default="1" w:styleId="20">
    <w:name w:val="Normal Table"/>
    <w:semiHidden/>
    <w:qFormat/>
    <w:uiPriority w:val="0"/>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styleId="6">
    <w:name w:val="Normal Indent"/>
    <w:basedOn w:val="1"/>
    <w:qFormat/>
    <w:uiPriority w:val="0"/>
    <w:pPr>
      <w:ind w:firstLine="680"/>
    </w:pPr>
  </w:style>
  <w:style w:type="paragraph" w:styleId="7">
    <w:name w:val="annotation text"/>
    <w:basedOn w:val="1"/>
    <w:qFormat/>
    <w:uiPriority w:val="0"/>
    <w:pPr>
      <w:jc w:val="left"/>
    </w:pPr>
  </w:style>
  <w:style w:type="paragraph" w:styleId="8">
    <w:name w:val="Body Text"/>
    <w:basedOn w:val="1"/>
    <w:qFormat/>
    <w:uiPriority w:val="0"/>
    <w:pPr>
      <w:spacing w:before="30" w:beforeLines="30"/>
    </w:pPr>
    <w:rPr>
      <w:rFonts w:ascii="仿宋_GB2312" w:eastAsia="仿宋_GB2312"/>
      <w:kern w:val="0"/>
      <w:sz w:val="30"/>
    </w:rPr>
  </w:style>
  <w:style w:type="paragraph" w:styleId="9">
    <w:name w:val="Body Text Indent"/>
    <w:basedOn w:val="1"/>
    <w:qFormat/>
    <w:uiPriority w:val="0"/>
    <w:pPr>
      <w:spacing w:after="120"/>
      <w:ind w:leftChars="200"/>
    </w:pPr>
    <w:rPr>
      <w:rFonts w:ascii="仿宋_GB2312"/>
      <w:szCs w:val="32"/>
    </w:rPr>
  </w:style>
  <w:style w:type="paragraph" w:styleId="10">
    <w:name w:val="toc 3"/>
    <w:basedOn w:val="1"/>
    <w:next w:val="1"/>
    <w:qFormat/>
    <w:uiPriority w:val="0"/>
    <w:pPr>
      <w:tabs>
        <w:tab w:val="right" w:leader="dot" w:pos="8296"/>
      </w:tabs>
      <w:ind w:left="400" w:leftChars="400"/>
    </w:pPr>
  </w:style>
  <w:style w:type="paragraph" w:styleId="11">
    <w:name w:val="Balloon Text"/>
    <w:basedOn w:val="1"/>
    <w:qFormat/>
    <w:uiPriority w:val="0"/>
    <w:rPr>
      <w:sz w:val="18"/>
      <w:szCs w:val="18"/>
    </w:rPr>
  </w:style>
  <w:style w:type="paragraph" w:styleId="12">
    <w:name w:val="footer"/>
    <w:basedOn w:val="1"/>
    <w:qFormat/>
    <w:uiPriority w:val="0"/>
    <w:pPr>
      <w:tabs>
        <w:tab w:val="center" w:pos="4153"/>
        <w:tab w:val="right" w:pos="8306"/>
      </w:tabs>
      <w:snapToGrid w:val="0"/>
      <w:jc w:val="left"/>
    </w:pPr>
    <w:rPr>
      <w:rFonts w:ascii="Calibri" w:hAnsi="Calibri"/>
      <w:kern w:val="0"/>
      <w:sz w:val="18"/>
      <w:szCs w:val="18"/>
    </w:rPr>
  </w:style>
  <w:style w:type="paragraph" w:styleId="13">
    <w:name w:val="header"/>
    <w:basedOn w:val="1"/>
    <w:qFormat/>
    <w:uiPriority w:val="0"/>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4">
    <w:name w:val="toc 1"/>
    <w:basedOn w:val="1"/>
    <w:next w:val="1"/>
    <w:qFormat/>
    <w:uiPriority w:val="0"/>
    <w:pPr>
      <w:tabs>
        <w:tab w:val="right" w:leader="dot" w:pos="8296"/>
      </w:tabs>
      <w:spacing w:before="93"/>
      <w:jc w:val="center"/>
    </w:pPr>
    <w:rPr>
      <w:rFonts w:ascii="仿宋" w:eastAsia="仿宋"/>
      <w:sz w:val="28"/>
      <w:szCs w:val="28"/>
    </w:rPr>
  </w:style>
  <w:style w:type="paragraph" w:styleId="15">
    <w:name w:val="footnote text"/>
    <w:basedOn w:val="1"/>
    <w:semiHidden/>
    <w:qFormat/>
    <w:uiPriority w:val="0"/>
    <w:pPr>
      <w:snapToGrid w:val="0"/>
      <w:jc w:val="left"/>
    </w:pPr>
    <w:rPr>
      <w:sz w:val="18"/>
      <w:szCs w:val="18"/>
    </w:rPr>
  </w:style>
  <w:style w:type="paragraph" w:styleId="16">
    <w:name w:val="table of figures"/>
    <w:basedOn w:val="1"/>
    <w:next w:val="1"/>
    <w:qFormat/>
    <w:uiPriority w:val="0"/>
    <w:pPr>
      <w:ind w:left="400" w:leftChars="200" w:hanging="200" w:hangingChars="200"/>
    </w:pPr>
  </w:style>
  <w:style w:type="paragraph" w:styleId="17">
    <w:name w:val="toc 2"/>
    <w:basedOn w:val="1"/>
    <w:next w:val="1"/>
    <w:qFormat/>
    <w:uiPriority w:val="0"/>
    <w:pPr>
      <w:tabs>
        <w:tab w:val="right" w:leader="dot" w:pos="8296"/>
      </w:tabs>
      <w:ind w:left="200" w:leftChars="200"/>
    </w:pPr>
  </w:style>
  <w:style w:type="paragraph" w:styleId="18">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19">
    <w:name w:val="Body Text First Indent 2"/>
    <w:basedOn w:val="9"/>
    <w:unhideWhenUsed/>
    <w:qFormat/>
    <w:uiPriority w:val="99"/>
    <w:pPr>
      <w:ind w:firstLine="420" w:firstLineChars="200"/>
    </w:pPr>
  </w:style>
  <w:style w:type="table" w:styleId="21">
    <w:name w:val="Table Grid"/>
    <w:basedOn w:val="2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3">
    <w:name w:val="Strong"/>
    <w:basedOn w:val="22"/>
    <w:qFormat/>
    <w:uiPriority w:val="0"/>
    <w:rPr>
      <w:b/>
    </w:rPr>
  </w:style>
  <w:style w:type="character" w:styleId="24">
    <w:name w:val="Hyperlink"/>
    <w:basedOn w:val="22"/>
    <w:qFormat/>
    <w:uiPriority w:val="0"/>
    <w:rPr>
      <w:color w:val="0000FF"/>
      <w:u w:val="single"/>
    </w:rPr>
  </w:style>
  <w:style w:type="character" w:styleId="25">
    <w:name w:val="annotation reference"/>
    <w:basedOn w:val="22"/>
    <w:qFormat/>
    <w:uiPriority w:val="0"/>
    <w:rPr>
      <w:sz w:val="21"/>
      <w:szCs w:val="21"/>
    </w:rPr>
  </w:style>
  <w:style w:type="character" w:customStyle="1" w:styleId="26">
    <w:name w:val="heading 1 Char"/>
    <w:basedOn w:val="22"/>
    <w:link w:val="3"/>
    <w:qFormat/>
    <w:uiPriority w:val="0"/>
    <w:rPr>
      <w:rFonts w:ascii="Times New Roman" w:hAnsi="Times New Roman" w:eastAsia="宋体" w:cs="Times New Roman"/>
      <w:b/>
      <w:bCs/>
      <w:kern w:val="44"/>
      <w:sz w:val="44"/>
      <w:szCs w:val="44"/>
      <w:lang w:val="en-US" w:eastAsia="zh-CN" w:bidi="ar-SA"/>
    </w:rPr>
  </w:style>
  <w:style w:type="paragraph" w:customStyle="1" w:styleId="27">
    <w:name w:val="Default"/>
    <w:qFormat/>
    <w:uiPriority w:val="0"/>
    <w:pPr>
      <w:widowControl w:val="0"/>
      <w:autoSpaceDE w:val="0"/>
      <w:autoSpaceDN w:val="0"/>
      <w:adjustRightInd w:val="0"/>
    </w:pPr>
    <w:rPr>
      <w:rFonts w:ascii="仿宋" w:hAnsi="Times New Roman" w:eastAsia="仿宋" w:cs="仿宋"/>
      <w:color w:val="000000"/>
      <w:sz w:val="24"/>
      <w:szCs w:val="24"/>
      <w:lang w:val="en-US" w:eastAsia="zh-CN" w:bidi="ar-SA"/>
    </w:rPr>
  </w:style>
  <w:style w:type="character" w:customStyle="1" w:styleId="28">
    <w:name w:val="Header Char"/>
    <w:basedOn w:val="22"/>
    <w:qFormat/>
    <w:uiPriority w:val="0"/>
    <w:rPr>
      <w:rFonts w:ascii="Times New Roman" w:hAnsi="Times New Roman"/>
      <w:sz w:val="18"/>
      <w:szCs w:val="18"/>
    </w:rPr>
  </w:style>
  <w:style w:type="character" w:customStyle="1" w:styleId="29">
    <w:name w:val="Footer Char"/>
    <w:basedOn w:val="22"/>
    <w:qFormat/>
    <w:uiPriority w:val="0"/>
    <w:rPr>
      <w:rFonts w:ascii="Times New Roman" w:hAnsi="Times New Roman"/>
      <w:sz w:val="18"/>
      <w:szCs w:val="18"/>
    </w:rPr>
  </w:style>
  <w:style w:type="character" w:customStyle="1" w:styleId="30">
    <w:name w:val="Body Text Char"/>
    <w:basedOn w:val="22"/>
    <w:qFormat/>
    <w:uiPriority w:val="0"/>
    <w:rPr>
      <w:rFonts w:ascii="Times New Roman" w:hAnsi="Times New Roman"/>
      <w:szCs w:val="24"/>
    </w:rPr>
  </w:style>
  <w:style w:type="paragraph" w:styleId="31">
    <w:name w:val="List Paragraph"/>
    <w:basedOn w:val="1"/>
    <w:qFormat/>
    <w:uiPriority w:val="0"/>
    <w:pPr>
      <w:ind w:firstLine="200" w:firstLineChars="200"/>
    </w:pPr>
  </w:style>
  <w:style w:type="paragraph" w:customStyle="1" w:styleId="32">
    <w:name w:val="TOC 标题1"/>
    <w:basedOn w:val="3"/>
    <w:next w:val="1"/>
    <w:qFormat/>
    <w:uiPriority w:val="0"/>
    <w:pPr>
      <w:keepNext/>
      <w:keepLines/>
      <w:widowControl/>
      <w:spacing w:before="480" w:after="0" w:line="276" w:lineRule="auto"/>
      <w:jc w:val="left"/>
      <w:outlineLvl w:val="9"/>
    </w:pPr>
    <w:rPr>
      <w:rFonts w:ascii="Cambria" w:hAnsi="Cambria" w:eastAsia="宋体" w:cs="Times New Roman"/>
      <w:color w:val="376092"/>
      <w:kern w:val="0"/>
      <w:sz w:val="28"/>
      <w:szCs w:val="28"/>
    </w:rPr>
  </w:style>
  <w:style w:type="paragraph" w:customStyle="1" w:styleId="33">
    <w:name w:val="四号正文"/>
    <w:basedOn w:val="1"/>
    <w:qFormat/>
    <w:uiPriority w:val="0"/>
    <w:pPr>
      <w:spacing w:line="360" w:lineRule="auto"/>
    </w:pPr>
    <w:rPr>
      <w:rFonts w:ascii="??" w:hAnsi="??" w:eastAsia="宋体"/>
      <w:color w:val="000000"/>
      <w:kern w:val="0"/>
      <w:sz w:val="28"/>
      <w:szCs w:val="21"/>
      <w:lang w:val="zh-CN"/>
    </w:rPr>
  </w:style>
  <w:style w:type="character" w:customStyle="1" w:styleId="34">
    <w:name w:val="标题 1 字符"/>
    <w:basedOn w:val="22"/>
    <w:link w:val="3"/>
    <w:qFormat/>
    <w:uiPriority w:val="9"/>
    <w:rPr>
      <w:rFonts w:ascii="Times New Roman" w:hAnsi="Times New Roman"/>
      <w:b/>
      <w:bCs/>
      <w:kern w:val="44"/>
      <w:sz w:val="44"/>
      <w:szCs w:val="44"/>
    </w:rPr>
  </w:style>
</w:styles>
</file>

<file path=word/_rels/document.xml.rels><?xml version="1.0" encoding="UTF-8" standalone="yes"?>
<Relationships xmlns="http://schemas.openxmlformats.org/package/2006/relationships"><Relationship Id="rId9" Type="http://schemas.openxmlformats.org/officeDocument/2006/relationships/chart" Target="charts/chart4.xml"/><Relationship Id="rId8" Type="http://schemas.openxmlformats.org/officeDocument/2006/relationships/chart" Target="charts/chart3.xml"/><Relationship Id="rId7" Type="http://schemas.openxmlformats.org/officeDocument/2006/relationships/chart" Target="charts/chart2.xml"/><Relationship Id="rId6" Type="http://schemas.openxmlformats.org/officeDocument/2006/relationships/chart" Target="charts/chart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hart" Target="charts/chart7.xml"/><Relationship Id="rId11" Type="http://schemas.openxmlformats.org/officeDocument/2006/relationships/chart" Target="charts/chart6.xml"/><Relationship Id="rId10" Type="http://schemas.openxmlformats.org/officeDocument/2006/relationships/chart" Target="charts/chart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2.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5.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6.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7.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spcFirstLastPara="0" vertOverflow="ellipsis" vert="horz" wrap="square" anchor="ctr" anchorCtr="1"/>
          <a:lstStyle/>
          <a:p>
            <a:pPr defTabSz="914400">
              <a:defRPr lang="zh-CN" sz="1400" b="1" i="0" u="none" strike="noStrike" kern="1200" baseline="0">
                <a:solidFill>
                  <a:schemeClr val="dk1">
                    <a:lumMod val="75000"/>
                    <a:lumOff val="25000"/>
                  </a:schemeClr>
                </a:solidFill>
                <a:latin typeface="+mn-lt"/>
                <a:ea typeface="+mn-ea"/>
                <a:cs typeface="+mn-cs"/>
              </a:defRPr>
            </a:pPr>
            <a:r>
              <a:t>收、支决算总计变动情况表</a:t>
            </a:r>
          </a:p>
          <a:p>
            <a:pPr defTabSz="914400">
              <a:defRPr lang="zh-CN" sz="1400" b="1" i="0" u="none" strike="noStrike" kern="1200" baseline="0">
                <a:solidFill>
                  <a:schemeClr val="dk1">
                    <a:lumMod val="75000"/>
                    <a:lumOff val="25000"/>
                  </a:schemeClr>
                </a:solidFill>
                <a:latin typeface="+mn-lt"/>
                <a:ea typeface="+mn-ea"/>
                <a:cs typeface="+mn-cs"/>
              </a:defRPr>
            </a:pPr>
          </a:p>
        </c:rich>
      </c:tx>
      <c:layout/>
      <c:overlay val="0"/>
      <c:spPr>
        <a:noFill/>
        <a:ln>
          <a:noFill/>
        </a:ln>
        <a:effectLst/>
      </c:spPr>
    </c:title>
    <c:autoTitleDeleted val="0"/>
    <c:plotArea>
      <c:layout/>
      <c:barChart>
        <c:barDir val="col"/>
        <c:grouping val="stacked"/>
        <c:varyColors val="0"/>
        <c:ser>
          <c:idx val="0"/>
          <c:order val="0"/>
          <c:tx>
            <c:strRef>
              <c:f>Sheet1!$B$1</c:f>
              <c:strCache>
                <c:ptCount val="1"/>
                <c:pt idx="0">
                  <c:v>收、支决算总计变动情况图</c:v>
                </c:pt>
              </c:strCache>
            </c:strRef>
          </c:tx>
          <c:spPr>
            <a:gradFill>
              <a:gsLst>
                <a:gs pos="100000">
                  <a:schemeClr val="accent2"/>
                </a:gs>
                <a:gs pos="0">
                  <a:schemeClr val="accent2">
                    <a:hueOff val="-1670000"/>
                  </a:schemeClr>
                </a:gs>
              </a:gsLst>
              <a:lin ang="5400000" scaled="0"/>
            </a:gradFill>
            <a:ln>
              <a:gradFill>
                <a:gsLst>
                  <a:gs pos="100000">
                    <a:schemeClr val="accent2">
                      <a:lumMod val="75000"/>
                    </a:schemeClr>
                  </a:gs>
                  <a:gs pos="0">
                    <a:schemeClr val="accent2">
                      <a:lumMod val="75000"/>
                      <a:hueOff val="-1670000"/>
                    </a:schemeClr>
                  </a:gs>
                </a:gsLst>
                <a:lin ang="4620000" scaled="0"/>
              </a:gradFill>
            </a:ln>
            <a:effectLst/>
          </c:spPr>
          <c:invertIfNegative val="0"/>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dk1">
                            <a:lumMod val="75000"/>
                            <a:lumOff val="25000"/>
                          </a:schemeClr>
                        </a:solidFill>
                        <a:latin typeface="+mn-lt"/>
                        <a:ea typeface="+mn-ea"/>
                        <a:cs typeface="+mn-cs"/>
                      </a:defRPr>
                    </a:pPr>
                    <a:r>
                      <a:rPr lang="en-US" altLang="zh-CN"/>
                      <a:t>1278.43</a:t>
                    </a:r>
                    <a:endParaRPr lang="en-US" altLang="zh-CN"/>
                  </a:p>
                </c:rich>
              </c:tx>
              <c:dLblPos val="ctr"/>
              <c:showLegendKey val="0"/>
              <c:showVal val="1"/>
              <c:showCatName val="0"/>
              <c:showSerName val="0"/>
              <c:showPercent val="0"/>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dk1">
                            <a:lumMod val="75000"/>
                            <a:lumOff val="25000"/>
                          </a:schemeClr>
                        </a:solidFill>
                        <a:latin typeface="+mn-lt"/>
                        <a:ea typeface="+mn-ea"/>
                        <a:cs typeface="+mn-cs"/>
                      </a:defRPr>
                    </a:pPr>
                    <a:r>
                      <a:rPr lang="en-US" altLang="zh-CN"/>
                      <a:t>1119.64</a:t>
                    </a:r>
                    <a:endParaRPr lang="en-US" altLang="zh-CN"/>
                  </a:p>
                </c:rich>
              </c:tx>
              <c:dLblPos val="ctr"/>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dk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35000"/>
                          <a:lumOff val="65000"/>
                        </a:schemeClr>
                      </a:solidFill>
                    </a:ln>
                    <a:effectLst/>
                  </c:spPr>
                </c15:leaderLines>
              </c:ext>
            </c:extLst>
          </c:dLbls>
          <c:cat>
            <c:strRef>
              <c:f>Sheet1!$A$2:$A$3</c:f>
              <c:strCache>
                <c:ptCount val="2"/>
                <c:pt idx="0">
                  <c:v>2024年</c:v>
                </c:pt>
                <c:pt idx="1">
                  <c:v>2025年</c:v>
                </c:pt>
              </c:strCache>
            </c:strRef>
          </c:cat>
          <c:val>
            <c:numRef>
              <c:f>Sheet1!$B$2:$B$3</c:f>
              <c:numCache>
                <c:formatCode>General</c:formatCode>
                <c:ptCount val="2"/>
                <c:pt idx="0">
                  <c:v>1278.43</c:v>
                </c:pt>
                <c:pt idx="1">
                  <c:v>1119.64</c:v>
                </c:pt>
              </c:numCache>
            </c:numRef>
          </c:val>
        </c:ser>
        <c:dLbls>
          <c:showLegendKey val="0"/>
          <c:showVal val="1"/>
          <c:showCatName val="0"/>
          <c:showSerName val="0"/>
          <c:showPercent val="0"/>
          <c:showBubbleSize val="0"/>
        </c:dLbls>
        <c:gapWidth val="500"/>
        <c:overlap val="100"/>
        <c:axId val="996309692"/>
        <c:axId val="753378695"/>
      </c:barChart>
      <c:catAx>
        <c:axId val="996309692"/>
        <c:scaling>
          <c:orientation val="minMax"/>
        </c:scaling>
        <c:delete val="0"/>
        <c:axPos val="b"/>
        <c:majorTickMark val="none"/>
        <c:minorTickMark val="none"/>
        <c:tickLblPos val="nextTo"/>
        <c:spPr>
          <a:noFill/>
          <a:ln w="9525" cap="flat" cmpd="sng" algn="ctr">
            <a:solidFill>
              <a:schemeClr val="dk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dk1">
                    <a:lumMod val="65000"/>
                    <a:lumOff val="35000"/>
                  </a:schemeClr>
                </a:solidFill>
                <a:latin typeface="+mn-lt"/>
                <a:ea typeface="+mn-ea"/>
                <a:cs typeface="+mn-cs"/>
              </a:defRPr>
            </a:pPr>
          </a:p>
        </c:txPr>
        <c:crossAx val="753378695"/>
        <c:crosses val="autoZero"/>
        <c:auto val="1"/>
        <c:lblAlgn val="ctr"/>
        <c:lblOffset val="100"/>
        <c:noMultiLvlLbl val="0"/>
      </c:catAx>
      <c:valAx>
        <c:axId val="753378695"/>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dk1">
                    <a:lumMod val="65000"/>
                    <a:lumOff val="35000"/>
                  </a:schemeClr>
                </a:solidFill>
                <a:latin typeface="+mn-lt"/>
                <a:ea typeface="+mn-ea"/>
                <a:cs typeface="+mn-cs"/>
              </a:defRPr>
            </a:pPr>
          </a:p>
        </c:txPr>
        <c:crossAx val="99630969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dk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17077c9-a284-46f7-bcee-d413b5e54818}"/>
      </c:ext>
    </c:extLst>
  </c:chart>
  <c:spPr>
    <a:solidFill>
      <a:schemeClr val="lt1">
        <a:lumMod val="96000"/>
      </a:schemeClr>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manualLayout>
          <c:layoutTarget val="inner"/>
          <c:xMode val="edge"/>
          <c:yMode val="edge"/>
          <c:x val="0.214108178482661"/>
          <c:y val="0.286101271098145"/>
          <c:w val="0.398627056456385"/>
          <c:h val="0.701812877682851"/>
        </c:manualLayout>
      </c:layout>
      <c:pieChart>
        <c:varyColors val="1"/>
        <c:ser>
          <c:idx val="0"/>
          <c:order val="0"/>
          <c:tx>
            <c:strRef>
              <c:f>Sheet1!$B$1</c:f>
              <c:strCache>
                <c:ptCount val="1"/>
                <c:pt idx="0">
                  <c:v>收入决算结构图</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Pt>
            <c:idx val="6"/>
            <c:bubble3D val="0"/>
            <c:spPr>
              <a:solidFill>
                <a:schemeClr val="accent1">
                  <a:lumMod val="60000"/>
                </a:schemeClr>
              </a:solidFill>
              <a:ln>
                <a:solidFill>
                  <a:schemeClr val="bg1"/>
                </a:solidFill>
              </a:ln>
              <a:effectLst/>
            </c:spPr>
          </c:dPt>
          <c:dPt>
            <c:idx val="7"/>
            <c:bubble3D val="0"/>
            <c:spPr>
              <a:solidFill>
                <a:schemeClr val="accent2">
                  <a:lumMod val="60000"/>
                </a:schemeClr>
              </a:solidFill>
              <a:ln>
                <a:solidFill>
                  <a:schemeClr val="bg1"/>
                </a:solidFill>
              </a:ln>
              <a:effectLst/>
            </c:spPr>
          </c:dPt>
          <c:dLbls>
            <c:dLbl>
              <c:idx val="0"/>
              <c:layout>
                <c:manualLayout>
                  <c:x val="0.23266489490215"/>
                  <c:y val="0"/>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 </a:t>
                    </a:r>
                    <a:r>
                      <a:rPr lang="en-US" altLang="zh-CN"/>
                      <a:t>99.44</a:t>
                    </a:r>
                    <a:r>
                      <a:t>%</a:t>
                    </a:r>
                  </a:p>
                </c:rich>
              </c:tx>
              <c:dLblPos val="bestFit"/>
              <c:showLegendKey val="0"/>
              <c:showVal val="1"/>
              <c:showCatName val="0"/>
              <c:showSerName val="0"/>
              <c:showPercent val="1"/>
              <c:showBubbleSize val="0"/>
              <c:extLst>
                <c:ext xmlns:c15="http://schemas.microsoft.com/office/drawing/2012/chart" uri="{CE6537A1-D6FC-4f65-9D91-7224C49458BB}">
                  <c15:layout/>
                </c:ext>
              </c:extLst>
            </c:dLbl>
            <c:dLbl>
              <c:idx val="1"/>
              <c:delete val="1"/>
            </c:dLbl>
            <c:dLbl>
              <c:idx val="2"/>
              <c:delete val="1"/>
            </c:dLbl>
            <c:dLbl>
              <c:idx val="3"/>
              <c:delete val="1"/>
            </c:dLbl>
            <c:dLbl>
              <c:idx val="4"/>
              <c:layout>
                <c:manualLayout>
                  <c:x val="0.125875815414351"/>
                  <c:y val="-0.036761580960476"/>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0.39</a:t>
                    </a:r>
                    <a:r>
                      <a:t>%</a:t>
                    </a:r>
                  </a:p>
                </c:rich>
              </c:tx>
              <c:dLblPos val="bestFit"/>
              <c:showLegendKey val="0"/>
              <c:showVal val="1"/>
              <c:showCatName val="0"/>
              <c:showSerName val="0"/>
              <c:showPercent val="1"/>
              <c:showBubbleSize val="0"/>
              <c:extLst>
                <c:ext xmlns:c15="http://schemas.microsoft.com/office/drawing/2012/chart" uri="{CE6537A1-D6FC-4f65-9D91-7224C49458BB}">
                  <c15:layout/>
                </c:ext>
              </c:extLst>
            </c:dLbl>
            <c:dLbl>
              <c:idx val="5"/>
              <c:layout>
                <c:manualLayout>
                  <c:x val="-0.0648707417250544"/>
                  <c:y val="-0.0771355716107097"/>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0.18</a:t>
                    </a:r>
                    <a:r>
                      <a:t>%</a:t>
                    </a:r>
                  </a:p>
                </c:rich>
              </c:tx>
              <c:dLblPos val="bestFit"/>
              <c:showLegendKey val="0"/>
              <c:showVal val="1"/>
              <c:showCatName val="0"/>
              <c:showSerName val="0"/>
              <c:showPercent val="1"/>
              <c:showBubbleSize val="0"/>
              <c:extLst>
                <c:ext xmlns:c15="http://schemas.microsoft.com/office/drawing/2012/chart" uri="{CE6537A1-D6FC-4f65-9D91-7224C49458BB}">
                  <c15:layout/>
                </c:ext>
              </c:extLst>
            </c:dLbl>
            <c:dLbl>
              <c:idx val="6"/>
              <c:delete val="1"/>
            </c:dLbl>
            <c:dLbl>
              <c:idx val="7"/>
              <c:delete val="1"/>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一般公共预算财政拨款收入</c:v>
                </c:pt>
                <c:pt idx="1">
                  <c:v>政府性基金预算财政拨款收入</c:v>
                </c:pt>
                <c:pt idx="2">
                  <c:v>国有资本经营预算财政拨款收入</c:v>
                </c:pt>
                <c:pt idx="3">
                  <c:v>上级补助收入</c:v>
                </c:pt>
                <c:pt idx="4">
                  <c:v>事业收入</c:v>
                </c:pt>
                <c:pt idx="5">
                  <c:v>经营收入</c:v>
                </c:pt>
                <c:pt idx="6">
                  <c:v>附属单位上缴收入</c:v>
                </c:pt>
                <c:pt idx="7">
                  <c:v>其他收入</c:v>
                </c:pt>
              </c:strCache>
            </c:strRef>
          </c:cat>
          <c:val>
            <c:numRef>
              <c:f>Sheet1!$B$2:$B$9</c:f>
              <c:numCache>
                <c:formatCode>General</c:formatCode>
                <c:ptCount val="8"/>
                <c:pt idx="0">
                  <c:v>1113.32</c:v>
                </c:pt>
                <c:pt idx="1">
                  <c:v>4.32</c:v>
                </c:pt>
                <c:pt idx="2">
                  <c:v>0</c:v>
                </c:pt>
                <c:pt idx="3">
                  <c:v>0</c:v>
                </c:pt>
                <c:pt idx="4">
                  <c:v>0</c:v>
                </c:pt>
                <c:pt idx="5">
                  <c:v>0</c:v>
                </c:pt>
                <c:pt idx="6">
                  <c:v>0</c:v>
                </c:pt>
                <c:pt idx="7">
                  <c:v>2</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manualLayout>
          <c:xMode val="edge"/>
          <c:yMode val="edge"/>
          <c:x val="0.704580423718783"/>
          <c:y val="0.103979995832465"/>
          <c:w val="0.285122499704107"/>
          <c:h val="0.821837882892269"/>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0d46f23-723c-4e22-a494-febfd21e86f9}"/>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支出决算结构图</a:t>
            </a:r>
          </a:p>
        </c:rich>
      </c:tx>
      <c:layout/>
      <c:overlay val="0"/>
      <c:spPr>
        <a:noFill/>
        <a:ln>
          <a:noFill/>
        </a:ln>
        <a:effectLst/>
      </c:spPr>
    </c:title>
    <c:autoTitleDeleted val="0"/>
    <c:plotArea>
      <c:layout/>
      <c:pieChart>
        <c:varyColors val="1"/>
        <c:ser>
          <c:idx val="0"/>
          <c:order val="0"/>
          <c:tx>
            <c:strRef>
              <c:f>Sheet1!$B$1</c:f>
              <c:strCache>
                <c:ptCount val="1"/>
                <c:pt idx="0">
                  <c:v>支出决算结构图</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dLbl>
              <c:idx val="0"/>
              <c:layout/>
              <c:tx>
                <c:rich>
                  <a:bodyPr rot="0" spcFirstLastPara="0" vertOverflow="ellipsis" vert="horz" wrap="square" lIns="38100" tIns="19050" rIns="38100" bIns="19050" anchor="ctr" anchorCtr="1"/>
                  <a:lstStyle/>
                  <a:p>
                    <a:pPr defTabSz="914400">
                      <a:defRPr lang="zh-CN" sz="1000" b="1" i="0" u="none" strike="noStrike" kern="1200" spc="0" baseline="0">
                        <a:solidFill>
                          <a:schemeClr val="accent1"/>
                        </a:solidFill>
                        <a:latin typeface="+mn-lt"/>
                        <a:ea typeface="+mn-ea"/>
                        <a:cs typeface="+mn-cs"/>
                      </a:defRPr>
                    </a:pPr>
                    <a:r>
                      <a:t>基本支出, </a:t>
                    </a:r>
                    <a:r>
                      <a:rPr lang="en-US" altLang="zh-CN"/>
                      <a:t>836.88</a:t>
                    </a:r>
                    <a:endParaRPr lang="en-US" altLang="zh-CN"/>
                  </a:p>
                </c:rich>
              </c:tx>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1000" b="1" i="0" u="none" strike="noStrike" kern="1200" spc="0" baseline="0">
                        <a:solidFill>
                          <a:schemeClr val="accent2"/>
                        </a:solidFill>
                        <a:latin typeface="+mn-lt"/>
                        <a:ea typeface="+mn-ea"/>
                        <a:cs typeface="+mn-cs"/>
                      </a:defRPr>
                    </a:pPr>
                    <a:r>
                      <a:t>项目支出, </a:t>
                    </a:r>
                    <a:r>
                      <a:rPr lang="en-US" altLang="zh-CN"/>
                      <a:t>282.76</a:t>
                    </a:r>
                    <a:endParaRPr lang="en-US" altLang="zh-CN"/>
                  </a:p>
                </c:rich>
              </c:tx>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2"/>
                      </a:solidFill>
                      <a:latin typeface="+mn-lt"/>
                      <a:ea typeface="+mn-ea"/>
                      <a:cs typeface="+mn-cs"/>
                    </a:defRPr>
                  </a:pPr>
                </a:p>
              </c:txPr>
              <c:dLblPos val="outEnd"/>
              <c:showLegendKey val="0"/>
              <c:showVal val="1"/>
              <c:showCatName val="1"/>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基本支出</c:v>
                </c:pt>
                <c:pt idx="1">
                  <c:v>项目支出</c:v>
                </c:pt>
              </c:strCache>
            </c:strRef>
          </c:cat>
          <c:val>
            <c:numRef>
              <c:f>Sheet1!$B$2:$B$3</c:f>
              <c:numCache>
                <c:formatCode>General</c:formatCode>
                <c:ptCount val="2"/>
                <c:pt idx="0">
                  <c:v>836.88</c:v>
                </c:pt>
                <c:pt idx="1">
                  <c:v>282.76</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extLst>
      <c:ext uri="{0b15fc19-7d7d-44ad-8c2d-2c3a37ce22c3}">
        <chartProps xmlns="https://web.wps.cn/et/2018/main" chartId="{80b280d8-881c-4762-8853-13a40965c530}"/>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spcFirstLastPara="0" vertOverflow="ellipsis" vert="horz" wrap="square" anchor="ctr" anchorCtr="1"/>
          <a:lstStyle/>
          <a:p>
            <a:pPr defTabSz="914400">
              <a:defRPr lang="zh-CN" sz="1400" b="1" i="0" u="none" strike="noStrike" kern="1200" baseline="0">
                <a:solidFill>
                  <a:schemeClr val="dk1">
                    <a:lumMod val="75000"/>
                    <a:lumOff val="25000"/>
                  </a:schemeClr>
                </a:solidFill>
                <a:latin typeface="+mn-lt"/>
                <a:ea typeface="+mn-ea"/>
                <a:cs typeface="+mn-cs"/>
              </a:defRPr>
            </a:pPr>
            <a:r>
              <a:t>收、支决算总计变动情况表</a:t>
            </a:r>
          </a:p>
          <a:p>
            <a:pPr defTabSz="914400">
              <a:defRPr lang="zh-CN" sz="1400" b="1" i="0" u="none" strike="noStrike" kern="1200" baseline="0">
                <a:solidFill>
                  <a:schemeClr val="dk1">
                    <a:lumMod val="75000"/>
                    <a:lumOff val="25000"/>
                  </a:schemeClr>
                </a:solidFill>
                <a:latin typeface="+mn-lt"/>
                <a:ea typeface="+mn-ea"/>
                <a:cs typeface="+mn-cs"/>
              </a:defRPr>
            </a:pPr>
          </a:p>
        </c:rich>
      </c:tx>
      <c:layout/>
      <c:overlay val="0"/>
      <c:spPr>
        <a:noFill/>
        <a:ln>
          <a:noFill/>
        </a:ln>
        <a:effectLst/>
      </c:spPr>
    </c:title>
    <c:autoTitleDeleted val="0"/>
    <c:plotArea>
      <c:layout/>
      <c:barChart>
        <c:barDir val="col"/>
        <c:grouping val="stacked"/>
        <c:varyColors val="0"/>
        <c:ser>
          <c:idx val="0"/>
          <c:order val="0"/>
          <c:tx>
            <c:strRef>
              <c:f>Sheet1!$B$1</c:f>
              <c:strCache>
                <c:ptCount val="1"/>
                <c:pt idx="0">
                  <c:v>收、支决算总计变动情况图</c:v>
                </c:pt>
              </c:strCache>
            </c:strRef>
          </c:tx>
          <c:spPr>
            <a:gradFill>
              <a:gsLst>
                <a:gs pos="100000">
                  <a:schemeClr val="accent2"/>
                </a:gs>
                <a:gs pos="0">
                  <a:schemeClr val="accent2">
                    <a:hueOff val="-1670000"/>
                  </a:schemeClr>
                </a:gs>
              </a:gsLst>
              <a:lin ang="5400000" scaled="0"/>
            </a:gradFill>
            <a:ln>
              <a:gradFill>
                <a:gsLst>
                  <a:gs pos="100000">
                    <a:schemeClr val="accent2">
                      <a:lumMod val="75000"/>
                    </a:schemeClr>
                  </a:gs>
                  <a:gs pos="0">
                    <a:schemeClr val="accent2">
                      <a:lumMod val="75000"/>
                      <a:hueOff val="-1670000"/>
                    </a:schemeClr>
                  </a:gs>
                </a:gsLst>
                <a:lin ang="4620000" scaled="0"/>
              </a:gradFill>
            </a:ln>
            <a:effectLst/>
          </c:spPr>
          <c:invertIfNegative val="0"/>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dk1">
                            <a:lumMod val="75000"/>
                            <a:lumOff val="25000"/>
                          </a:schemeClr>
                        </a:solidFill>
                        <a:latin typeface="+mn-lt"/>
                        <a:ea typeface="+mn-ea"/>
                        <a:cs typeface="+mn-cs"/>
                      </a:defRPr>
                    </a:pPr>
                    <a:r>
                      <a:rPr lang="en-US" altLang="zh-CN"/>
                      <a:t>1278.43</a:t>
                    </a:r>
                    <a:endParaRPr lang="en-US" altLang="zh-CN"/>
                  </a:p>
                </c:rich>
              </c:tx>
              <c:dLblPos val="ctr"/>
              <c:showLegendKey val="0"/>
              <c:showVal val="1"/>
              <c:showCatName val="0"/>
              <c:showSerName val="0"/>
              <c:showPercent val="0"/>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dk1">
                            <a:lumMod val="75000"/>
                            <a:lumOff val="25000"/>
                          </a:schemeClr>
                        </a:solidFill>
                        <a:latin typeface="+mn-lt"/>
                        <a:ea typeface="+mn-ea"/>
                        <a:cs typeface="+mn-cs"/>
                      </a:defRPr>
                    </a:pPr>
                    <a:r>
                      <a:rPr lang="en-US" altLang="zh-CN"/>
                      <a:t>1119.64</a:t>
                    </a:r>
                    <a:endParaRPr lang="en-US" altLang="zh-CN"/>
                  </a:p>
                </c:rich>
              </c:tx>
              <c:dLblPos val="ctr"/>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dk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35000"/>
                          <a:lumOff val="65000"/>
                        </a:schemeClr>
                      </a:solidFill>
                    </a:ln>
                    <a:effectLst/>
                  </c:spPr>
                </c15:leaderLines>
              </c:ext>
            </c:extLst>
          </c:dLbls>
          <c:cat>
            <c:strRef>
              <c:f>Sheet1!$A$2:$A$3</c:f>
              <c:strCache>
                <c:ptCount val="2"/>
                <c:pt idx="0">
                  <c:v>2024年</c:v>
                </c:pt>
                <c:pt idx="1">
                  <c:v>2025年</c:v>
                </c:pt>
              </c:strCache>
            </c:strRef>
          </c:cat>
          <c:val>
            <c:numRef>
              <c:f>Sheet1!$B$2:$B$3</c:f>
              <c:numCache>
                <c:formatCode>General</c:formatCode>
                <c:ptCount val="2"/>
                <c:pt idx="0">
                  <c:v>1278.43</c:v>
                </c:pt>
                <c:pt idx="1">
                  <c:v>1119.64</c:v>
                </c:pt>
              </c:numCache>
            </c:numRef>
          </c:val>
        </c:ser>
        <c:dLbls>
          <c:showLegendKey val="0"/>
          <c:showVal val="1"/>
          <c:showCatName val="0"/>
          <c:showSerName val="0"/>
          <c:showPercent val="0"/>
          <c:showBubbleSize val="0"/>
        </c:dLbls>
        <c:gapWidth val="500"/>
        <c:overlap val="100"/>
        <c:axId val="996309692"/>
        <c:axId val="753378695"/>
      </c:barChart>
      <c:catAx>
        <c:axId val="996309692"/>
        <c:scaling>
          <c:orientation val="minMax"/>
        </c:scaling>
        <c:delete val="0"/>
        <c:axPos val="b"/>
        <c:majorTickMark val="none"/>
        <c:minorTickMark val="none"/>
        <c:tickLblPos val="nextTo"/>
        <c:spPr>
          <a:noFill/>
          <a:ln w="9525" cap="flat" cmpd="sng" algn="ctr">
            <a:solidFill>
              <a:schemeClr val="dk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dk1">
                    <a:lumMod val="65000"/>
                    <a:lumOff val="35000"/>
                  </a:schemeClr>
                </a:solidFill>
                <a:latin typeface="+mn-lt"/>
                <a:ea typeface="+mn-ea"/>
                <a:cs typeface="+mn-cs"/>
              </a:defRPr>
            </a:pPr>
          </a:p>
        </c:txPr>
        <c:crossAx val="753378695"/>
        <c:crosses val="autoZero"/>
        <c:auto val="1"/>
        <c:lblAlgn val="ctr"/>
        <c:lblOffset val="100"/>
        <c:noMultiLvlLbl val="0"/>
      </c:catAx>
      <c:valAx>
        <c:axId val="753378695"/>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dk1">
                    <a:lumMod val="65000"/>
                    <a:lumOff val="35000"/>
                  </a:schemeClr>
                </a:solidFill>
                <a:latin typeface="+mn-lt"/>
                <a:ea typeface="+mn-ea"/>
                <a:cs typeface="+mn-cs"/>
              </a:defRPr>
            </a:pPr>
          </a:p>
        </c:txPr>
        <c:crossAx val="99630969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dk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2bb189e7-747b-49a8-93e6-3405b38ff287}"/>
      </c:ext>
    </c:extLst>
  </c:chart>
  <c:spPr>
    <a:solidFill>
      <a:schemeClr val="lt1">
        <a:lumMod val="96000"/>
      </a:schemeClr>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一般公共预算财政拨款支出决算变动情况</a:t>
            </a:r>
          </a:p>
        </c:rich>
      </c:tx>
      <c:layout>
        <c:manualLayout>
          <c:xMode val="edge"/>
          <c:yMode val="edge"/>
          <c:x val="0.210074897318193"/>
          <c:y val="0.0212494687632809"/>
        </c:manualLayout>
      </c:layout>
      <c:overlay val="0"/>
      <c:spPr>
        <a:noFill/>
        <a:ln>
          <a:noFill/>
        </a:ln>
        <a:effectLst/>
      </c:spPr>
    </c:title>
    <c:autoTitleDeleted val="0"/>
    <c:plotArea>
      <c:layout/>
      <c:barChart>
        <c:barDir val="col"/>
        <c:grouping val="clustered"/>
        <c:varyColors val="0"/>
        <c:ser>
          <c:idx val="2"/>
          <c:order val="0"/>
          <c:tx>
            <c:strRef>
              <c:f>Sheet1!$B$1</c:f>
              <c:strCache>
                <c:ptCount val="1"/>
                <c:pt idx="0">
                  <c:v>一般公共预算财政拨款支出决算变动情况图</c:v>
                </c:pt>
              </c:strCache>
            </c:strRef>
          </c:tx>
          <c:spPr>
            <a:solidFill>
              <a:schemeClr val="accent3"/>
            </a:solidFill>
            <a:ln>
              <a:noFill/>
            </a:ln>
            <a:effectLst/>
          </c:spPr>
          <c:invertIfNegative val="0"/>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1278.43</a:t>
                    </a:r>
                    <a:endParaRPr lang="en-US" altLang="zh-CN"/>
                  </a:p>
                </c:rich>
              </c:tx>
              <c:dLblPos val="outEnd"/>
              <c:showLegendKey val="0"/>
              <c:showVal val="1"/>
              <c:showCatName val="0"/>
              <c:showSerName val="0"/>
              <c:showPercent val="0"/>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rPr lang="en-US" altLang="zh-CN"/>
                      <a:t>1113.32</a:t>
                    </a:r>
                    <a:endParaRPr lang="en-US" altLang="zh-CN"/>
                  </a:p>
                </c:rich>
              </c:tx>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c:v>
                </c:pt>
                <c:pt idx="1">
                  <c:v>2025年</c:v>
                </c:pt>
              </c:strCache>
            </c:strRef>
          </c:cat>
          <c:val>
            <c:numRef>
              <c:f>Sheet1!$B$2:$B$3</c:f>
              <c:numCache>
                <c:formatCode>General</c:formatCode>
                <c:ptCount val="2"/>
                <c:pt idx="0">
                  <c:v>1278.43</c:v>
                </c:pt>
                <c:pt idx="1">
                  <c:v>1113.32</c:v>
                </c:pt>
              </c:numCache>
            </c:numRef>
          </c:val>
        </c:ser>
        <c:dLbls>
          <c:showLegendKey val="0"/>
          <c:showVal val="1"/>
          <c:showCatName val="0"/>
          <c:showSerName val="0"/>
          <c:showPercent val="0"/>
          <c:showBubbleSize val="0"/>
        </c:dLbls>
        <c:gapWidth val="246"/>
        <c:overlap val="-28"/>
        <c:axId val="277025957"/>
        <c:axId val="47227912"/>
      </c:barChart>
      <c:catAx>
        <c:axId val="277025957"/>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7227912"/>
        <c:crosses val="autoZero"/>
        <c:auto val="1"/>
        <c:lblAlgn val="ctr"/>
        <c:lblOffset val="100"/>
        <c:noMultiLvlLbl val="0"/>
      </c:catAx>
      <c:valAx>
        <c:axId val="4722791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77025957"/>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1621f516-397c-4173-9ee1-a5e8b43362e9}"/>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dk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一般公共预算财政拨款支出决算结构</c:v>
                </c:pt>
              </c:strCache>
            </c:strRef>
          </c:tx>
          <c:spPr/>
          <c:explosion val="0"/>
          <c:dPt>
            <c:idx val="0"/>
            <c:bubble3D val="0"/>
            <c:spPr>
              <a:gradFill>
                <a:gsLst>
                  <a:gs pos="0">
                    <a:schemeClr val="accent1">
                      <a:hueOff val="-1670000"/>
                    </a:schemeClr>
                  </a:gs>
                  <a:gs pos="100000">
                    <a:schemeClr val="accent1"/>
                  </a:gs>
                </a:gsLst>
                <a:lin ang="5400000" scaled="0"/>
              </a:gradFill>
              <a:ln>
                <a:gradFill>
                  <a:gsLst>
                    <a:gs pos="0">
                      <a:schemeClr val="accent1">
                        <a:lumMod val="75000"/>
                        <a:hueOff val="-1670000"/>
                      </a:schemeClr>
                    </a:gs>
                    <a:gs pos="100000">
                      <a:schemeClr val="accent1">
                        <a:lumMod val="75000"/>
                      </a:schemeClr>
                    </a:gs>
                  </a:gsLst>
                  <a:lin ang="5400000" scaled="1"/>
                </a:gradFill>
              </a:ln>
              <a:effectLst/>
            </c:spPr>
          </c:dPt>
          <c:dPt>
            <c:idx val="1"/>
            <c:bubble3D val="0"/>
            <c:spPr>
              <a:gradFill>
                <a:gsLst>
                  <a:gs pos="0">
                    <a:schemeClr val="accent2">
                      <a:hueOff val="-1670000"/>
                    </a:schemeClr>
                  </a:gs>
                  <a:gs pos="100000">
                    <a:schemeClr val="accent2"/>
                  </a:gs>
                </a:gsLst>
                <a:lin ang="5400000" scaled="0"/>
              </a:gradFill>
              <a:ln>
                <a:gradFill>
                  <a:gsLst>
                    <a:gs pos="0">
                      <a:schemeClr val="accent2">
                        <a:lumMod val="75000"/>
                        <a:hueOff val="-1670000"/>
                      </a:schemeClr>
                    </a:gs>
                    <a:gs pos="100000">
                      <a:schemeClr val="accent2">
                        <a:lumMod val="75000"/>
                      </a:schemeClr>
                    </a:gs>
                  </a:gsLst>
                  <a:lin ang="5400000" scaled="1"/>
                </a:gradFill>
              </a:ln>
              <a:effectLst/>
            </c:spPr>
          </c:dPt>
          <c:dPt>
            <c:idx val="2"/>
            <c:bubble3D val="0"/>
            <c:spPr>
              <a:gradFill>
                <a:gsLst>
                  <a:gs pos="0">
                    <a:schemeClr val="accent3">
                      <a:hueOff val="-1670000"/>
                    </a:schemeClr>
                  </a:gs>
                  <a:gs pos="100000">
                    <a:schemeClr val="accent3"/>
                  </a:gs>
                </a:gsLst>
                <a:lin ang="5400000" scaled="0"/>
              </a:gradFill>
              <a:ln>
                <a:gradFill>
                  <a:gsLst>
                    <a:gs pos="0">
                      <a:schemeClr val="accent3">
                        <a:lumMod val="75000"/>
                        <a:hueOff val="-1670000"/>
                      </a:schemeClr>
                    </a:gs>
                    <a:gs pos="100000">
                      <a:schemeClr val="accent3">
                        <a:lumMod val="75000"/>
                      </a:schemeClr>
                    </a:gs>
                  </a:gsLst>
                  <a:lin ang="5400000" scaled="1"/>
                </a:gradFill>
              </a:ln>
              <a:effectLst/>
            </c:spPr>
          </c:dPt>
          <c:dPt>
            <c:idx val="3"/>
            <c:bubble3D val="0"/>
            <c:spPr>
              <a:gradFill>
                <a:gsLst>
                  <a:gs pos="0">
                    <a:schemeClr val="accent4">
                      <a:hueOff val="-1670000"/>
                    </a:schemeClr>
                  </a:gs>
                  <a:gs pos="100000">
                    <a:schemeClr val="accent4"/>
                  </a:gs>
                </a:gsLst>
                <a:lin ang="5400000" scaled="0"/>
              </a:gradFill>
              <a:ln>
                <a:gradFill>
                  <a:gsLst>
                    <a:gs pos="0">
                      <a:schemeClr val="accent4">
                        <a:lumMod val="75000"/>
                        <a:hueOff val="-1670000"/>
                      </a:schemeClr>
                    </a:gs>
                    <a:gs pos="100000">
                      <a:schemeClr val="accent4">
                        <a:lumMod val="75000"/>
                      </a:schemeClr>
                    </a:gs>
                  </a:gsLst>
                  <a:lin ang="5400000" scaled="1"/>
                </a:gradFill>
              </a:ln>
              <a:effectLst/>
            </c:spPr>
          </c:dPt>
          <c:dPt>
            <c:idx val="4"/>
            <c:bubble3D val="0"/>
            <c:spPr>
              <a:gradFill>
                <a:gsLst>
                  <a:gs pos="0">
                    <a:schemeClr val="accent5">
                      <a:hueOff val="-1670000"/>
                    </a:schemeClr>
                  </a:gs>
                  <a:gs pos="100000">
                    <a:schemeClr val="accent5"/>
                  </a:gs>
                </a:gsLst>
                <a:lin ang="5400000" scaled="0"/>
              </a:gradFill>
              <a:ln>
                <a:gradFill>
                  <a:gsLst>
                    <a:gs pos="0">
                      <a:schemeClr val="accent5">
                        <a:lumMod val="75000"/>
                        <a:hueOff val="-1670000"/>
                      </a:schemeClr>
                    </a:gs>
                    <a:gs pos="100000">
                      <a:schemeClr val="accent5">
                        <a:lumMod val="75000"/>
                      </a:schemeClr>
                    </a:gs>
                  </a:gsLst>
                  <a:lin ang="5400000" scaled="1"/>
                </a:gradFill>
              </a:ln>
              <a:effectLst/>
            </c:spPr>
          </c:dPt>
          <c:dPt>
            <c:idx val="5"/>
            <c:bubble3D val="0"/>
            <c:spPr>
              <a:gradFill>
                <a:gsLst>
                  <a:gs pos="0">
                    <a:schemeClr val="accent6">
                      <a:hueOff val="-1670000"/>
                    </a:schemeClr>
                  </a:gs>
                  <a:gs pos="100000">
                    <a:schemeClr val="accent6"/>
                  </a:gs>
                </a:gsLst>
                <a:lin ang="5400000" scaled="0"/>
              </a:gradFill>
              <a:ln>
                <a:gradFill>
                  <a:gsLst>
                    <a:gs pos="0">
                      <a:schemeClr val="accent6">
                        <a:lumMod val="75000"/>
                        <a:hueOff val="-1670000"/>
                      </a:schemeClr>
                    </a:gs>
                    <a:gs pos="100000">
                      <a:schemeClr val="accent6">
                        <a:lumMod val="75000"/>
                      </a:schemeClr>
                    </a:gs>
                  </a:gsLst>
                  <a:lin ang="5400000" scaled="1"/>
                </a:gradFill>
              </a:ln>
              <a:effectLst/>
            </c:spPr>
          </c:dPt>
          <c:dPt>
            <c:idx val="6"/>
            <c:bubble3D val="0"/>
            <c:spPr>
              <a:gradFill>
                <a:gsLst>
                  <a:gs pos="0">
                    <a:schemeClr val="accent1">
                      <a:lumMod val="60000"/>
                      <a:hueOff val="-1670000"/>
                    </a:schemeClr>
                  </a:gs>
                  <a:gs pos="100000">
                    <a:schemeClr val="accent1">
                      <a:lumMod val="60000"/>
                    </a:schemeClr>
                  </a:gs>
                </a:gsLst>
                <a:lin ang="5400000" scaled="0"/>
              </a:gradFill>
              <a:ln>
                <a:gradFill>
                  <a:gsLst>
                    <a:gs pos="0">
                      <a:schemeClr val="accent1">
                        <a:lumMod val="60000"/>
                        <a:lumMod val="75000"/>
                        <a:hueOff val="-1670000"/>
                      </a:schemeClr>
                    </a:gs>
                    <a:gs pos="100000">
                      <a:schemeClr val="accent1">
                        <a:lumMod val="60000"/>
                        <a:lumMod val="75000"/>
                      </a:schemeClr>
                    </a:gs>
                  </a:gsLst>
                  <a:lin ang="5400000" scaled="1"/>
                </a:gradFill>
              </a:ln>
              <a:effectLst/>
            </c:spPr>
          </c:dPt>
          <c:dLbls>
            <c:dLbl>
              <c:idx val="0"/>
              <c:layout/>
              <c:tx>
                <c:rich>
                  <a:bodyPr rot="0" spcFirstLastPara="0" vertOverflow="ellipsis" vert="horz" wrap="square" lIns="38100" tIns="19050" rIns="38100" bIns="19050" anchor="ctr" anchorCtr="1"/>
                  <a:lstStyle/>
                  <a:p>
                    <a:pPr defTabSz="914400">
                      <a:defRPr lang="zh-CN" sz="1000" b="1" i="0" u="none" strike="noStrike" kern="1200" spc="0" baseline="0">
                        <a:solidFill>
                          <a:schemeClr val="accent1"/>
                        </a:solidFill>
                        <a:latin typeface="+mn-lt"/>
                        <a:ea typeface="+mn-ea"/>
                        <a:cs typeface="+mn-cs"/>
                      </a:defRPr>
                    </a:pPr>
                    <a:r>
                      <a:t>一般公共服务（类）支出</a:t>
                    </a:r>
                  </a:p>
                  <a:p>
                    <a:pPr defTabSz="914400">
                      <a:defRPr lang="zh-CN" sz="1000" b="1" i="0" u="none" strike="noStrike" kern="1200" spc="0" baseline="0">
                        <a:solidFill>
                          <a:schemeClr val="accent1"/>
                        </a:solidFill>
                        <a:latin typeface="+mn-lt"/>
                        <a:ea typeface="+mn-ea"/>
                        <a:cs typeface="+mn-cs"/>
                      </a:defRPr>
                    </a:pPr>
                    <a:r>
                      <a:rPr lang="en-US" altLang="zh-CN"/>
                      <a:t>41.70</a:t>
                    </a:r>
                    <a:r>
                      <a:t>%</a:t>
                    </a:r>
                  </a:p>
                </c:rich>
              </c:tx>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1"/>
              <c:layout>
                <c:manualLayout>
                  <c:x val="0.249426992045301"/>
                  <c:y val="-0.0788155889396911"/>
                </c:manualLayout>
              </c:layout>
              <c:tx>
                <c:rich>
                  <a:bodyPr rot="0" spcFirstLastPara="0" vertOverflow="ellipsis" vert="horz" wrap="square" lIns="38100" tIns="19050" rIns="38100" bIns="19050" anchor="ctr" anchorCtr="1"/>
                  <a:lstStyle/>
                  <a:p>
                    <a:pPr defTabSz="914400">
                      <a:defRPr lang="zh-CN" sz="1000" b="1" i="0" u="none" strike="noStrike" kern="1200" spc="0" baseline="0">
                        <a:solidFill>
                          <a:schemeClr val="accent2"/>
                        </a:solidFill>
                        <a:latin typeface="+mn-lt"/>
                        <a:ea typeface="+mn-ea"/>
                        <a:cs typeface="+mn-cs"/>
                      </a:defRPr>
                    </a:pPr>
                    <a:r>
                      <a:t>社会保障和就业（类）支出</a:t>
                    </a:r>
                  </a:p>
                  <a:p>
                    <a:pPr defTabSz="914400">
                      <a:defRPr lang="zh-CN" sz="1000" b="1" i="0" u="none" strike="noStrike" kern="1200" spc="0" baseline="0">
                        <a:solidFill>
                          <a:schemeClr val="accent2"/>
                        </a:solidFill>
                        <a:latin typeface="+mn-lt"/>
                        <a:ea typeface="+mn-ea"/>
                        <a:cs typeface="+mn-cs"/>
                      </a:defRPr>
                    </a:pPr>
                    <a:r>
                      <a:rPr lang="en-US" altLang="zh-CN"/>
                      <a:t>9.61</a:t>
                    </a:r>
                    <a:r>
                      <a:t>%</a:t>
                    </a:r>
                  </a:p>
                </c:rich>
              </c:tx>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2"/>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220169880005393"/>
                  <c:y val="-0.0304811669932506"/>
                </c:manualLayout>
              </c:layout>
              <c:tx>
                <c:rich>
                  <a:bodyPr rot="0" spcFirstLastPara="0" vertOverflow="ellipsis" vert="horz" wrap="square" lIns="38100" tIns="19050" rIns="38100" bIns="19050" anchor="ctr" anchorCtr="1"/>
                  <a:lstStyle/>
                  <a:p>
                    <a:pPr defTabSz="914400">
                      <a:defRPr lang="zh-CN" sz="1000" b="1" i="0" u="none" strike="noStrike" kern="1200" spc="0" baseline="0">
                        <a:solidFill>
                          <a:schemeClr val="accent3"/>
                        </a:solidFill>
                        <a:latin typeface="+mn-lt"/>
                        <a:ea typeface="+mn-ea"/>
                        <a:cs typeface="+mn-cs"/>
                      </a:defRPr>
                    </a:pPr>
                    <a:r>
                      <a:t>卫生健康（类）支出</a:t>
                    </a:r>
                  </a:p>
                  <a:p>
                    <a:pPr defTabSz="914400">
                      <a:defRPr lang="zh-CN" sz="1000" b="1" i="0" u="none" strike="noStrike" kern="1200" spc="0" baseline="0">
                        <a:solidFill>
                          <a:schemeClr val="accent3"/>
                        </a:solidFill>
                        <a:latin typeface="+mn-lt"/>
                        <a:ea typeface="+mn-ea"/>
                        <a:cs typeface="+mn-cs"/>
                      </a:defRPr>
                    </a:pPr>
                    <a:r>
                      <a:rPr lang="en-US" altLang="zh-CN"/>
                      <a:t>3.98%</a:t>
                    </a:r>
                    <a:endParaRPr lang="en-US" altLang="zh-CN"/>
                  </a:p>
                </c:rich>
              </c:tx>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3"/>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024673048402319"/>
                  <c:y val="0.00790802517825492"/>
                </c:manualLayout>
              </c:layout>
              <c:tx>
                <c:rich>
                  <a:bodyPr rot="0" spcFirstLastPara="0" vertOverflow="ellipsis" vert="horz" wrap="square" lIns="38100" tIns="19050" rIns="38100" bIns="19050" anchor="ctr" anchorCtr="1"/>
                  <a:lstStyle/>
                  <a:p>
                    <a:pPr defTabSz="914400">
                      <a:defRPr lang="zh-CN" sz="1000" b="1" i="0" u="none" strike="noStrike" kern="1200" spc="0" baseline="0">
                        <a:solidFill>
                          <a:schemeClr val="accent4"/>
                        </a:solidFill>
                        <a:latin typeface="+mn-lt"/>
                        <a:ea typeface="+mn-ea"/>
                        <a:cs typeface="+mn-cs"/>
                      </a:defRPr>
                    </a:pPr>
                    <a:r>
                      <a:t>灾害防治及应急管理（类）支出1</a:t>
                    </a:r>
                    <a:r>
                      <a:rPr lang="en-US" altLang="zh-CN"/>
                      <a:t>.17</a:t>
                    </a:r>
                    <a:r>
                      <a:t>%</a:t>
                    </a:r>
                  </a:p>
                </c:rich>
              </c:tx>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4"/>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manualLayout>
                      <c:w val="0.418093568828367"/>
                      <c:h val="0.159155236229044"/>
                    </c:manualLayout>
                  </c15:layout>
                </c:ext>
              </c:extLst>
            </c:dLbl>
            <c:dLbl>
              <c:idx val="4"/>
              <c:layout>
                <c:manualLayout>
                  <c:x val="-0.112309559120938"/>
                  <c:y val="0"/>
                </c:manualLayout>
              </c:layout>
              <c:tx>
                <c:rich>
                  <a:bodyPr rot="0" spcFirstLastPara="0" vertOverflow="ellipsis" vert="horz" wrap="square" lIns="38100" tIns="19050" rIns="38100" bIns="19050" anchor="ctr" anchorCtr="1"/>
                  <a:lstStyle/>
                  <a:p>
                    <a:pPr defTabSz="914400">
                      <a:defRPr lang="zh-CN" sz="1000" b="1" i="0" u="none" strike="noStrike" kern="1200" spc="0" baseline="0">
                        <a:solidFill>
                          <a:schemeClr val="accent5"/>
                        </a:solidFill>
                        <a:latin typeface="+mn-lt"/>
                        <a:ea typeface="+mn-ea"/>
                        <a:cs typeface="+mn-cs"/>
                      </a:defRPr>
                    </a:pPr>
                    <a:r>
                      <a:t>农林水（类）支出</a:t>
                    </a:r>
                  </a:p>
                  <a:p>
                    <a:pPr defTabSz="914400">
                      <a:defRPr lang="zh-CN" sz="1000" b="1" i="0" u="none" strike="noStrike" kern="1200" spc="0" baseline="0">
                        <a:solidFill>
                          <a:schemeClr val="accent5"/>
                        </a:solidFill>
                        <a:latin typeface="+mn-lt"/>
                        <a:ea typeface="+mn-ea"/>
                        <a:cs typeface="+mn-cs"/>
                      </a:defRPr>
                    </a:pPr>
                    <a:r>
                      <a:rPr lang="en-US" altLang="zh-CN"/>
                      <a:t>39.16</a:t>
                    </a:r>
                    <a:r>
                      <a:t>%</a:t>
                    </a:r>
                  </a:p>
                </c:rich>
              </c:tx>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5"/>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5"/>
              <c:layout>
                <c:manualLayout>
                  <c:x val="-0.247000134825401"/>
                  <c:y val="0.0683649031134335"/>
                </c:manualLayout>
              </c:layout>
              <c:tx>
                <c:rich>
                  <a:bodyPr rot="0" spcFirstLastPara="0" vertOverflow="ellipsis" vert="horz" wrap="square" lIns="38100" tIns="19050" rIns="38100" bIns="19050" anchor="ctr" anchorCtr="1"/>
                  <a:lstStyle/>
                  <a:p>
                    <a:pPr defTabSz="914400">
                      <a:defRPr lang="zh-CN" sz="1000" b="1" i="0" u="none" strike="noStrike" kern="1200" spc="0" baseline="0">
                        <a:solidFill>
                          <a:schemeClr val="accent6"/>
                        </a:solidFill>
                        <a:latin typeface="+mn-lt"/>
                        <a:ea typeface="+mn-ea"/>
                        <a:cs typeface="+mn-cs"/>
                      </a:defRPr>
                    </a:pPr>
                    <a:r>
                      <a:t>住房保障（类）支出</a:t>
                    </a:r>
                  </a:p>
                  <a:p>
                    <a:pPr defTabSz="914400">
                      <a:defRPr lang="zh-CN" sz="1000" b="1" i="0" u="none" strike="noStrike" kern="1200" spc="0" baseline="0">
                        <a:solidFill>
                          <a:schemeClr val="accent6"/>
                        </a:solidFill>
                        <a:latin typeface="+mn-lt"/>
                        <a:ea typeface="+mn-ea"/>
                        <a:cs typeface="+mn-cs"/>
                      </a:defRPr>
                    </a:pPr>
                    <a:r>
                      <a:rPr lang="en-US" altLang="zh-CN"/>
                      <a:t>5.55</a:t>
                    </a:r>
                    <a:r>
                      <a:t>%</a:t>
                    </a:r>
                  </a:p>
                </c:rich>
              </c:tx>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6"/>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manualLayout>
                      <c:w val="0.284616421733855"/>
                      <c:h val="0.140866536033094"/>
                    </c:manualLayout>
                  </c15:layout>
                </c:ext>
              </c:extLst>
            </c:dLbl>
            <c:dLbl>
              <c:idx val="6"/>
              <c:layout/>
              <c:tx>
                <c:rich>
                  <a:bodyPr rot="0" spcFirstLastPara="0" vertOverflow="ellipsis" vert="horz" wrap="square" lIns="38100" tIns="19050" rIns="38100" bIns="19050" anchor="ctr" anchorCtr="1"/>
                  <a:lstStyle/>
                  <a:p>
                    <a:pPr defTabSz="914400">
                      <a:defRPr lang="zh-CN" sz="1000" b="1" i="0" u="none" strike="noStrike" kern="1200" spc="0" baseline="0">
                        <a:solidFill>
                          <a:schemeClr val="accent1"/>
                        </a:solidFill>
                        <a:latin typeface="+mn-lt"/>
                        <a:ea typeface="+mn-ea"/>
                        <a:cs typeface="+mn-cs"/>
                      </a:defRPr>
                    </a:pPr>
                    <a:r>
                      <a:t>文化旅游体育与传媒（类）支出</a:t>
                    </a:r>
                  </a:p>
                  <a:p>
                    <a:pPr defTabSz="914400">
                      <a:defRPr lang="zh-CN" sz="1000" b="1" i="0" u="none" strike="noStrike" kern="1200" spc="0" baseline="0">
                        <a:solidFill>
                          <a:schemeClr val="accent1"/>
                        </a:solidFill>
                        <a:latin typeface="+mn-lt"/>
                        <a:ea typeface="+mn-ea"/>
                        <a:cs typeface="+mn-cs"/>
                      </a:defRPr>
                    </a:pPr>
                    <a:r>
                      <a:rPr lang="en-US" altLang="zh-CN"/>
                      <a:t>22.76</a:t>
                    </a:r>
                    <a:r>
                      <a:t>%</a:t>
                    </a:r>
                  </a:p>
                </c:rich>
              </c:tx>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a:solidFill>
                        <a:schemeClr val="dk1">
                          <a:lumMod val="35000"/>
                          <a:lumOff val="65000"/>
                        </a:schemeClr>
                      </a:solidFill>
                    </a:ln>
                    <a:effectLst/>
                  </c:spPr>
                </c15:leaderLines>
              </c:ext>
            </c:extLst>
          </c:dLbls>
          <c:cat>
            <c:strRef>
              <c:f>Sheet1!$A$2:$A$8</c:f>
              <c:strCache>
                <c:ptCount val="7"/>
                <c:pt idx="0">
                  <c:v>一般公共服务（类）支出</c:v>
                </c:pt>
                <c:pt idx="1">
                  <c:v>社会保障和就业（类）支出</c:v>
                </c:pt>
                <c:pt idx="2">
                  <c:v>卫生健康（类）支出</c:v>
                </c:pt>
                <c:pt idx="4">
                  <c:v>农林水（类）支出</c:v>
                </c:pt>
                <c:pt idx="5">
                  <c:v>住房保障（类）支出</c:v>
                </c:pt>
              </c:strCache>
            </c:strRef>
          </c:cat>
          <c:val>
            <c:numRef>
              <c:f>Sheet1!$B$2:$B$8</c:f>
              <c:numCache>
                <c:formatCode>General</c:formatCode>
                <c:ptCount val="7"/>
                <c:pt idx="0">
                  <c:v>464.23</c:v>
                </c:pt>
                <c:pt idx="1">
                  <c:v>107.01</c:v>
                </c:pt>
                <c:pt idx="2">
                  <c:v>44.26</c:v>
                </c:pt>
                <c:pt idx="4">
                  <c:v>436.03</c:v>
                </c:pt>
                <c:pt idx="5">
                  <c:v>61.8</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extLst>
      <c:ext uri="{0b15fc19-7d7d-44ad-8c2d-2c3a37ce22c3}">
        <chartProps xmlns="https://web.wps.cn/et/2018/main" chartId="{c4534427-124f-4d66-83e5-cc8a7ddecc88}"/>
      </c:ext>
    </c:extLst>
  </c:chart>
  <c:spPr>
    <a:solidFill>
      <a:schemeClr val="lt1">
        <a:lumMod val="96000"/>
      </a:schemeClr>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forceAA="0"/>
          <a:lstStyle/>
          <a:p>
            <a:pPr defTabSz="914400">
              <a:defRPr lang="zh-CN" sz="1400" b="0" i="0" u="none" strike="noStrike" kern="1200" spc="0" baseline="0">
                <a:solidFill>
                  <a:schemeClr val="bg1"/>
                </a:solidFill>
                <a:latin typeface="+mn-lt"/>
                <a:ea typeface="+mn-ea"/>
                <a:cs typeface="+mn-cs"/>
              </a:defRPr>
            </a:pPr>
            <a:r>
              <a:rPr lang="en-US" altLang="zh-CN"/>
              <a:t>“</a:t>
            </a:r>
            <a:r>
              <a:rPr altLang="en-US"/>
              <a:t>三公</a:t>
            </a:r>
            <a:r>
              <a:rPr lang="en-US" altLang="zh-CN"/>
              <a:t>”</a:t>
            </a:r>
            <a:r>
              <a:rPr altLang="en-US"/>
              <a:t>经费财政拨款支出结构图</a:t>
            </a:r>
            <a:endParaRPr altLang="en-US"/>
          </a:p>
        </c:rich>
      </c:tx>
      <c:layout/>
      <c:overlay val="0"/>
      <c:spPr>
        <a:noFill/>
        <a:ln>
          <a:noFill/>
        </a:ln>
        <a:effectLst/>
      </c:spPr>
    </c:title>
    <c:autoTitleDeleted val="0"/>
    <c:plotArea>
      <c:layout/>
      <c:pieChart>
        <c:varyColors val="1"/>
        <c:ser>
          <c:idx val="0"/>
          <c:order val="0"/>
          <c:tx>
            <c:strRef>
              <c:f>Sheet1!$B$1</c:f>
              <c:strCache>
                <c:ptCount val="1"/>
                <c:pt idx="0">
                  <c:v>“三公”经费财政拨款支出结构</c:v>
                </c:pt>
              </c:strCache>
            </c:strRef>
          </c:tx>
          <c:spPr>
            <a:ln w="22225" cmpd="sng">
              <a:solidFill>
                <a:schemeClr val="bg1"/>
              </a:solidFill>
              <a:prstDash val="solid"/>
            </a:ln>
            <a:effectLst>
              <a:outerShdw blurRad="50800" dist="38100" dir="2700000" algn="tl" rotWithShape="0">
                <a:prstClr val="black">
                  <a:alpha val="40000"/>
                </a:prstClr>
              </a:outerShdw>
            </a:effectLst>
            <a:sp3d contourW="22225"/>
          </c:spPr>
          <c:explosion val="0"/>
          <c:dPt>
            <c:idx val="0"/>
            <c:bubble3D val="0"/>
            <c:explosion val="5"/>
            <c:spPr>
              <a:gradFill>
                <a:gsLst>
                  <a:gs pos="0">
                    <a:schemeClr val="accent1">
                      <a:lumMod val="60000"/>
                      <a:lumOff val="40000"/>
                    </a:schemeClr>
                  </a:gs>
                  <a:gs pos="50000">
                    <a:schemeClr val="accent1"/>
                  </a:gs>
                </a:gsLst>
                <a:lin ang="2700000" scaled="0"/>
              </a:gradFill>
              <a:ln w="22225" cmpd="sng">
                <a:solidFill>
                  <a:schemeClr val="bg1"/>
                </a:solidFill>
                <a:prstDash val="solid"/>
              </a:ln>
              <a:effectLst>
                <a:outerShdw blurRad="50800" dist="38100" dir="2700000" algn="tl" rotWithShape="0">
                  <a:prstClr val="black">
                    <a:alpha val="40000"/>
                  </a:prstClr>
                </a:outerShdw>
              </a:effectLst>
              <a:sp3d contourW="22225"/>
            </c:spPr>
          </c:dPt>
          <c:dPt>
            <c:idx val="1"/>
            <c:bubble3D val="0"/>
            <c:explosion val="5"/>
            <c:spPr>
              <a:gradFill>
                <a:gsLst>
                  <a:gs pos="0">
                    <a:schemeClr val="accent2">
                      <a:lumMod val="60000"/>
                      <a:lumOff val="40000"/>
                    </a:schemeClr>
                  </a:gs>
                  <a:gs pos="60000">
                    <a:schemeClr val="accent2"/>
                  </a:gs>
                </a:gsLst>
                <a:lin ang="2700000" scaled="0"/>
              </a:gradFill>
              <a:ln w="22225" cmpd="sng">
                <a:solidFill>
                  <a:schemeClr val="bg1"/>
                </a:solidFill>
                <a:prstDash val="solid"/>
              </a:ln>
              <a:effectLst>
                <a:outerShdw blurRad="50800" dist="38100" dir="2700000" algn="tl" rotWithShape="0">
                  <a:prstClr val="black">
                    <a:alpha val="40000"/>
                  </a:prstClr>
                </a:outerShdw>
              </a:effectLst>
              <a:sp3d contourW="22225"/>
            </c:spPr>
          </c:dPt>
          <c:dPt>
            <c:idx val="2"/>
            <c:bubble3D val="0"/>
            <c:explosion val="5"/>
            <c:spPr>
              <a:gradFill>
                <a:gsLst>
                  <a:gs pos="0">
                    <a:schemeClr val="accent6">
                      <a:lumMod val="60000"/>
                      <a:lumOff val="40000"/>
                    </a:schemeClr>
                  </a:gs>
                  <a:gs pos="60000">
                    <a:schemeClr val="accent6"/>
                  </a:gs>
                </a:gsLst>
                <a:lin ang="2700000" scaled="0"/>
              </a:gradFill>
              <a:ln w="22225" cmpd="sng">
                <a:solidFill>
                  <a:schemeClr val="bg1"/>
                </a:solidFill>
                <a:prstDash val="solid"/>
              </a:ln>
              <a:effectLst>
                <a:outerShdw blurRad="50800" dist="38100" dir="2700000" algn="tl" rotWithShape="0">
                  <a:prstClr val="black">
                    <a:alpha val="40000"/>
                  </a:prstClr>
                </a:outerShdw>
              </a:effectLst>
              <a:sp3d contourW="22225"/>
            </c:spPr>
          </c:dPt>
          <c:dLbls>
            <c:numFmt formatCode="General" sourceLinked="1"/>
            <c:spPr>
              <a:noFill/>
              <a:ln>
                <a:noFill/>
              </a:ln>
              <a:effectLst/>
            </c:spPr>
            <c:txPr>
              <a:bodyPr rot="0" spcFirstLastPara="0" vertOverflow="ellipsis" vert="horz" wrap="square" lIns="38100" tIns="19050" rIns="38100" bIns="19050" anchor="ctr" anchorCtr="1" forceAA="0"/>
              <a:lstStyle/>
              <a:p>
                <a:pPr>
                  <a:defRPr lang="zh-CN" sz="900" b="0" i="0" u="none" strike="noStrike" kern="1200" baseline="0">
                    <a:solidFill>
                      <a:schemeClr val="bg1"/>
                    </a:solidFill>
                    <a:effectLst>
                      <a:outerShdw blurRad="50800" dist="38100" dir="2700000" algn="tl" rotWithShape="0">
                        <a:prstClr val="black">
                          <a:alpha val="40000"/>
                        </a:prstClr>
                      </a:outerShdw>
                    </a:effectLst>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公务用车购置及运行维护费支出</c:v>
                </c:pt>
                <c:pt idx="1">
                  <c:v>因公出国（境）费支出</c:v>
                </c:pt>
                <c:pt idx="2">
                  <c:v>公务接待费支出</c:v>
                </c:pt>
              </c:strCache>
            </c:strRef>
          </c:cat>
          <c:val>
            <c:numRef>
              <c:f>Sheet1!$B$2:$B$4</c:f>
              <c:numCache>
                <c:formatCode>General</c:formatCode>
                <c:ptCount val="3"/>
                <c:pt idx="0">
                  <c:v>7</c:v>
                </c:pt>
                <c:pt idx="1">
                  <c:v>0</c:v>
                </c:pt>
                <c:pt idx="2">
                  <c:v>0</c:v>
                </c:pt>
              </c:numCache>
            </c:numRef>
          </c:val>
        </c:ser>
        <c:dLbls>
          <c:showLegendKey val="0"/>
          <c:showVal val="1"/>
          <c:showCatName val="0"/>
          <c:showSerName val="0"/>
          <c:showPercent val="0"/>
          <c:showBubbleSize val="0"/>
          <c:showLeaderLines val="1"/>
        </c:dLbls>
        <c:firstSliceAng val="285"/>
      </c:pieChart>
      <c:spPr>
        <a:noFill/>
        <a:ln>
          <a:noFill/>
        </a:ln>
        <a:effectLst/>
      </c:spPr>
    </c:plotArea>
    <c:legend>
      <c:legendPos val="r"/>
      <c:layou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bg1">
                  <a:lumMod val="75000"/>
                </a:schemeClr>
              </a:solidFill>
              <a:latin typeface="+mn-lt"/>
              <a:ea typeface="+mn-ea"/>
              <a:cs typeface="+mn-cs"/>
            </a:defRPr>
          </a:pPr>
        </a:p>
      </c:txPr>
    </c:legend>
    <c:plotVisOnly val="1"/>
    <c:dispBlanksAs val="gap"/>
    <c:showDLblsOverMax val="0"/>
    <c:extLst>
      <c:ext uri="{0b15fc19-7d7d-44ad-8c2d-2c3a37ce22c3}">
        <chartProps xmlns="https://web.wps.cn/et/2018/main" chartId="{c9db66ae-cf9b-471a-961b-6b36ba2edc18}"/>
      </c:ext>
    </c:extLst>
  </c:chart>
  <c:spPr>
    <a:gradFill>
      <a:gsLst>
        <a:gs pos="0">
          <a:schemeClr val="dk1">
            <a:lumMod val="65000"/>
            <a:lumOff val="35000"/>
          </a:schemeClr>
        </a:gs>
        <a:gs pos="100000">
          <a:schemeClr val="dk1">
            <a:lumMod val="85000"/>
            <a:lumOff val="15000"/>
          </a:schemeClr>
        </a:gs>
      </a:gsLst>
      <a:path path="circle">
        <a:fillToRect l="50000" t="50000" r="50000" b="50000"/>
      </a:path>
      <a:tileRect/>
    </a:gradFill>
    <a:ln w="9525" cap="flat" cmpd="sng" algn="ctr">
      <a:solidFill>
        <a:schemeClr val="bg1">
          <a:lumMod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withinLinear" id="15">
  <a:schemeClr val="accent2"/>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withinLinear" id="15">
  <a:schemeClr val="accent2"/>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16">
  <cs:axisTitle>
    <cs:lnRef idx="0"/>
    <cs:fillRef idx="0"/>
    <cs:effectRef idx="0"/>
    <cs:fontRef idx="minor">
      <a:schemeClr val="dk1">
        <a:lumMod val="65000"/>
        <a:lumOff val="35000"/>
      </a:schemeClr>
    </cs:fontRef>
    <cs:defRPr sz="1000"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lt1">
          <a:lumMod val="96000"/>
        </a:schemeClr>
      </a:solidFill>
      <a:ln w="9525" cap="flat" cmpd="sng" algn="ctr">
        <a:solidFill>
          <a:schemeClr val="tx1">
            <a:lumMod val="15000"/>
            <a:lumOff val="85000"/>
          </a:schemeClr>
        </a:solidFill>
        <a:round/>
      </a:ln>
    </cs:spPr>
    <cs:defRPr sz="1000" kern="1200"/>
  </cs:chartArea>
  <cs:dataLabel>
    <cs:lnRef idx="0"/>
    <cs:fillRef idx="0"/>
    <cs:effectRef idx="0"/>
    <cs:fontRef idx="minor">
      <a:schemeClr val="dk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gradFill>
        <a:gsLst>
          <a:gs pos="100000">
            <a:schemeClr val="phClr"/>
          </a:gs>
          <a:gs pos="0">
            <a:schemeClr val="phClr">
              <a:hueOff val="-1670000"/>
            </a:schemeClr>
          </a:gs>
        </a:gsLst>
        <a:lin ang="5400000" scaled="0"/>
      </a:gradFill>
      <a:ln>
        <a:gradFill>
          <a:gsLst>
            <a:gs pos="100000">
              <a:schemeClr val="phClr">
                <a:lumMod val="75000"/>
              </a:schemeClr>
            </a:gs>
            <a:gs pos="0">
              <a:schemeClr val="phClr">
                <a:lumMod val="75000"/>
                <a:hueOff val="-1670000"/>
              </a:schemeClr>
            </a:gs>
          </a:gsLst>
          <a:lin ang="4620000" scaled="0"/>
        </a:grad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a:solidFill>
          <a:schemeClr val="dk1">
            <a:lumMod val="35000"/>
            <a:lumOff val="65000"/>
          </a:schemeClr>
        </a:solidFill>
      </a:ln>
    </cs:spPr>
  </cs:dropLine>
  <cs:errorBar>
    <cs:lnRef idx="0"/>
    <cs:fillRef idx="0"/>
    <cs:effectRef idx="0"/>
    <cs:fontRef idx="minor">
      <a:schemeClr val="tx1"/>
    </cs:fontRef>
    <cs:spPr>
      <a:ln w="9525" cap="flat" cmpd="sng" algn="ctr">
        <a:solidFill>
          <a:schemeClr val="dk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a:solidFill>
          <a:schemeClr val="dk1">
            <a:lumMod val="75000"/>
            <a:lumOff val="25000"/>
          </a:schemeClr>
        </a:solidFill>
      </a:ln>
    </cs:spPr>
  </cs:hiLoLine>
  <cs:leaderLine>
    <cs:lnRef idx="0"/>
    <cs:fillRef idx="0"/>
    <cs:effectRef idx="0"/>
    <cs:fontRef idx="minor">
      <a:schemeClr val="tx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tx1"/>
    </cs:fontRef>
    <cs:spPr>
      <a:ln w="9525">
        <a:solidFill>
          <a:schemeClr val="dk1">
            <a:lumMod val="35000"/>
            <a:lumOff val="65000"/>
          </a:schemeClr>
        </a:solidFill>
      </a:ln>
    </cs:spPr>
  </cs:seriesLine>
  <cs:title>
    <cs:lnRef idx="0"/>
    <cs:fillRef idx="0"/>
    <cs:effectRef idx="0"/>
    <cs:fontRef idx="minor">
      <a:schemeClr val="dk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4">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cs:styleClr val="auto"/>
    </cs:fontRef>
    <cs:defRPr sz="1000" b="1" i="0" u="none" strike="noStrike" kern="1200" spc="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16">
  <cs:axisTitle>
    <cs:lnRef idx="0"/>
    <cs:fillRef idx="0"/>
    <cs:effectRef idx="0"/>
    <cs:fontRef idx="minor">
      <a:schemeClr val="dk1">
        <a:lumMod val="65000"/>
        <a:lumOff val="35000"/>
      </a:schemeClr>
    </cs:fontRef>
    <cs:defRPr sz="1000"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lt1">
          <a:lumMod val="96000"/>
        </a:schemeClr>
      </a:solidFill>
      <a:ln w="9525" cap="flat" cmpd="sng" algn="ctr">
        <a:solidFill>
          <a:schemeClr val="tx1">
            <a:lumMod val="15000"/>
            <a:lumOff val="85000"/>
          </a:schemeClr>
        </a:solidFill>
        <a:round/>
      </a:ln>
    </cs:spPr>
    <cs:defRPr sz="1000" kern="1200"/>
  </cs:chartArea>
  <cs:dataLabel>
    <cs:lnRef idx="0"/>
    <cs:fillRef idx="0"/>
    <cs:effectRef idx="0"/>
    <cs:fontRef idx="minor">
      <a:schemeClr val="dk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gradFill>
        <a:gsLst>
          <a:gs pos="100000">
            <a:schemeClr val="phClr"/>
          </a:gs>
          <a:gs pos="0">
            <a:schemeClr val="phClr">
              <a:hueOff val="-1670000"/>
            </a:schemeClr>
          </a:gs>
        </a:gsLst>
        <a:lin ang="5400000" scaled="0"/>
      </a:gradFill>
      <a:ln>
        <a:gradFill>
          <a:gsLst>
            <a:gs pos="100000">
              <a:schemeClr val="phClr">
                <a:lumMod val="75000"/>
              </a:schemeClr>
            </a:gs>
            <a:gs pos="0">
              <a:schemeClr val="phClr">
                <a:lumMod val="75000"/>
                <a:hueOff val="-1670000"/>
              </a:schemeClr>
            </a:gs>
          </a:gsLst>
          <a:lin ang="4620000" scaled="0"/>
        </a:grad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a:solidFill>
          <a:schemeClr val="dk1">
            <a:lumMod val="35000"/>
            <a:lumOff val="65000"/>
          </a:schemeClr>
        </a:solidFill>
      </a:ln>
    </cs:spPr>
  </cs:dropLine>
  <cs:errorBar>
    <cs:lnRef idx="0"/>
    <cs:fillRef idx="0"/>
    <cs:effectRef idx="0"/>
    <cs:fontRef idx="minor">
      <a:schemeClr val="tx1"/>
    </cs:fontRef>
    <cs:spPr>
      <a:ln w="9525" cap="flat" cmpd="sng" algn="ctr">
        <a:solidFill>
          <a:schemeClr val="dk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a:solidFill>
          <a:schemeClr val="dk1">
            <a:lumMod val="75000"/>
            <a:lumOff val="25000"/>
          </a:schemeClr>
        </a:solidFill>
      </a:ln>
    </cs:spPr>
  </cs:hiLoLine>
  <cs:leaderLine>
    <cs:lnRef idx="0"/>
    <cs:fillRef idx="0"/>
    <cs:effectRef idx="0"/>
    <cs:fontRef idx="minor">
      <a:schemeClr val="tx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tx1"/>
    </cs:fontRef>
    <cs:spPr>
      <a:ln w="9525">
        <a:solidFill>
          <a:schemeClr val="dk1">
            <a:lumMod val="35000"/>
            <a:lumOff val="65000"/>
          </a:schemeClr>
        </a:solidFill>
      </a:ln>
    </cs:spPr>
  </cs:seriesLine>
  <cs:title>
    <cs:lnRef idx="0"/>
    <cs:fillRef idx="0"/>
    <cs:effectRef idx="0"/>
    <cs:fontRef idx="minor">
      <a:schemeClr val="dk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90">
  <cs:axisTitle>
    <cs:lnRef idx="0"/>
    <cs:fillRef idx="0"/>
    <cs:effectRef idx="0"/>
    <cs:fontRef idx="minor">
      <a:schemeClr val="dk1">
        <a:lumMod val="65000"/>
        <a:lumOff val="35000"/>
      </a:schemeClr>
    </cs:fontRef>
    <cs:defRPr sz="1000"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lt1">
          <a:lumMod val="96000"/>
        </a:schemeClr>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gradFill>
        <a:gsLst>
          <a:gs pos="0">
            <a:schemeClr val="phClr">
              <a:hueOff val="-1670000"/>
            </a:schemeClr>
          </a:gs>
          <a:gs pos="100000">
            <a:schemeClr val="phClr"/>
          </a:gs>
        </a:gsLst>
        <a:lin ang="5400000" scaled="0"/>
      </a:gradFill>
      <a:ln>
        <a:gradFill>
          <a:gsLst>
            <a:gs pos="0">
              <a:schemeClr val="phClr">
                <a:lumMod val="75000"/>
                <a:hueOff val="-1670000"/>
              </a:schemeClr>
            </a:gs>
            <a:gs pos="100000">
              <a:schemeClr val="phClr">
                <a:lumMod val="75000"/>
              </a:schemeClr>
            </a:gs>
          </a:gsLst>
          <a:lin ang="5400000" scaled="1"/>
        </a:gra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a:solidFill>
          <a:schemeClr val="dk1">
            <a:lumMod val="35000"/>
            <a:lumOff val="65000"/>
          </a:schemeClr>
        </a:solidFill>
      </a:ln>
    </cs:spPr>
  </cs:dropLine>
  <cs:errorBar>
    <cs:lnRef idx="0"/>
    <cs:fillRef idx="0"/>
    <cs:effectRef idx="0"/>
    <cs:fontRef idx="minor">
      <a:schemeClr val="tx1"/>
    </cs:fontRef>
    <cs:spPr>
      <a:ln w="9525" cap="flat" cmpd="sng" algn="ctr">
        <a:solidFill>
          <a:schemeClr val="dk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a:solidFill>
          <a:schemeClr val="dk1">
            <a:lumMod val="75000"/>
            <a:lumOff val="25000"/>
          </a:schemeClr>
        </a:solidFill>
      </a:ln>
    </cs:spPr>
  </cs:hiLoLine>
  <cs:leaderLine>
    <cs:lnRef idx="0"/>
    <cs:fillRef idx="0"/>
    <cs:effectRef idx="0"/>
    <cs:fontRef idx="minor">
      <a:schemeClr val="tx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tx1"/>
    </cs:fontRef>
    <cs:spPr>
      <a:ln w="9525">
        <a:solidFill>
          <a:schemeClr val="dk1">
            <a:lumMod val="35000"/>
            <a:lumOff val="65000"/>
          </a:schemeClr>
        </a:solidFill>
      </a:ln>
    </cs:spPr>
  </cs:seriesLine>
  <cs:title>
    <cs:lnRef idx="0"/>
    <cs:fillRef idx="0"/>
    <cs:effectRef idx="0"/>
    <cs:fontRef idx="minor">
      <a:schemeClr val="dk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Normal.eit</Template>
  <Company>四川省财政厅</Company>
  <Pages>33</Pages>
  <Words>7361</Words>
  <Characters>8106</Characters>
  <Lines>1</Lines>
  <Paragraphs>1</Paragraphs>
  <TotalTime>8</TotalTime>
  <ScaleCrop>false</ScaleCrop>
  <LinksUpToDate>false</LinksUpToDate>
  <CharactersWithSpaces>8206</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2023-08-19T15:28:00Z</dcterms:created>
  <dc:creator>pjf</dc:creator>
  <cp:lastModifiedBy>苏苏大人</cp:lastModifiedBy>
  <cp:lastPrinted>2026-09-02T01:24:59Z</cp:lastPrinted>
  <dcterms:modified xsi:type="dcterms:W3CDTF">2026-09-02T01:25:04Z</dcterms:modified>
  <dc:title>四川省决算编制说明</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4034679F354142AD9EFD55F89CCFEF25_13</vt:lpwstr>
  </property>
  <property fmtid="{D5CDD505-2E9C-101B-9397-08002B2CF9AE}" pid="4" name="KSOTemplateDocerSaveRecord">
    <vt:lpwstr>eyJoZGlkIjoiYmRkM2I0ZTMzN2QyZGNmNjdhYWU1NGNhMTQ2NGY1MGUiLCJ1c2VySWQiOiI0OTE5MDI3NjUifQ==</vt:lpwstr>
  </property>
</Properties>
</file>