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培育茂县市场主体升规入统</w:t>
      </w:r>
      <w:r>
        <w:rPr>
          <w:rFonts w:hint="eastAsia" w:ascii="方正小标宋简体" w:hAnsi="方正小标宋简体" w:eastAsia="方正小标宋简体" w:cs="方正小标宋简体"/>
          <w:color w:val="auto"/>
          <w:sz w:val="44"/>
          <w:szCs w:val="44"/>
          <w:lang w:val="en-US" w:eastAsia="zh-CN"/>
        </w:rPr>
        <w:t>实施意见</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(征求意见稿)</w:t>
      </w: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suppressLineNumbers w:val="0"/>
        <w:kinsoku/>
        <w:wordWrap/>
        <w:overflowPunct/>
        <w:topLinePunct w:val="0"/>
        <w:autoSpaceDE/>
        <w:autoSpaceDN/>
        <w:bidi w:val="0"/>
        <w:spacing w:line="560" w:lineRule="exact"/>
        <w:ind w:firstLine="620" w:firstLineChars="200"/>
        <w:jc w:val="left"/>
        <w:textAlignment w:val="auto"/>
        <w:rPr>
          <w:color w:val="auto"/>
        </w:rPr>
      </w:pPr>
      <w:r>
        <w:rPr>
          <w:rFonts w:ascii="仿宋_GB2312" w:hAnsi="宋体" w:eastAsia="仿宋_GB2312" w:cs="仿宋_GB2312"/>
          <w:color w:val="auto"/>
          <w:kern w:val="0"/>
          <w:sz w:val="31"/>
          <w:szCs w:val="31"/>
          <w:lang w:val="en-US" w:eastAsia="zh-CN" w:bidi="ar"/>
        </w:rPr>
        <w:t>为贯彻落实党的二十大精神，加快构建新发展格局，</w:t>
      </w:r>
      <w:r>
        <w:rPr>
          <w:rFonts w:hint="eastAsia" w:ascii="仿宋_GB2312" w:hAnsi="宋体" w:eastAsia="仿宋_GB2312" w:cs="仿宋_GB2312"/>
          <w:color w:val="auto"/>
          <w:kern w:val="0"/>
          <w:sz w:val="31"/>
          <w:szCs w:val="31"/>
          <w:lang w:val="en-US" w:eastAsia="zh-CN" w:bidi="ar"/>
        </w:rPr>
        <w:t>加大对服务业的扶持力度、支持服务业企业发展壮大，进一步提升我县服务业发展能级，推动经济高质量发展。现结合我县实际，制定本实施意见。</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黑体" w:hAnsi="黑体" w:eastAsia="黑体"/>
          <w:b w:val="0"/>
          <w:bCs/>
          <w:color w:val="auto"/>
          <w:sz w:val="32"/>
          <w:szCs w:val="32"/>
        </w:rPr>
      </w:pPr>
      <w:r>
        <w:rPr>
          <w:rFonts w:hint="eastAsia" w:ascii="黑体" w:hAnsi="黑体" w:eastAsia="黑体"/>
          <w:b w:val="0"/>
          <w:bCs/>
          <w:color w:val="auto"/>
          <w:sz w:val="32"/>
          <w:szCs w:val="32"/>
        </w:rPr>
        <w:t>一、</w:t>
      </w:r>
      <w:r>
        <w:rPr>
          <w:rFonts w:hint="eastAsia" w:ascii="黑体" w:hAnsi="黑体" w:eastAsia="黑体"/>
          <w:b w:val="0"/>
          <w:bCs/>
          <w:color w:val="auto"/>
          <w:sz w:val="32"/>
          <w:szCs w:val="32"/>
          <w:lang w:eastAsia="zh-CN"/>
        </w:rPr>
        <w:t>入库</w:t>
      </w:r>
      <w:r>
        <w:rPr>
          <w:rFonts w:hint="eastAsia" w:ascii="黑体" w:hAnsi="黑体" w:eastAsia="黑体"/>
          <w:b w:val="0"/>
          <w:bCs/>
          <w:color w:val="auto"/>
          <w:sz w:val="32"/>
          <w:szCs w:val="32"/>
        </w:rPr>
        <w:t>标准</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hint="eastAsia" w:ascii="楷体_GB2312" w:eastAsia="楷体_GB2312"/>
          <w:b/>
          <w:color w:val="auto"/>
          <w:sz w:val="32"/>
          <w:szCs w:val="32"/>
          <w:lang w:eastAsia="zh-CN"/>
        </w:rPr>
      </w:pPr>
      <w:r>
        <w:rPr>
          <w:rFonts w:hint="eastAsia" w:ascii="楷体_GB2312" w:eastAsia="楷体_GB2312"/>
          <w:b/>
          <w:color w:val="auto"/>
          <w:sz w:val="32"/>
          <w:szCs w:val="32"/>
        </w:rPr>
        <w:t>（一）限额以上</w:t>
      </w:r>
      <w:r>
        <w:rPr>
          <w:rFonts w:hint="eastAsia" w:ascii="楷体_GB2312" w:eastAsia="楷体_GB2312"/>
          <w:b/>
          <w:color w:val="auto"/>
          <w:sz w:val="32"/>
          <w:szCs w:val="32"/>
          <w:lang w:eastAsia="zh-CN"/>
        </w:rPr>
        <w:t>社消零</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1.批发业：全年主营业务收入达到2000万元及以上;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2.零售业：全年主营业务收入达到500万元及以上;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3.住宿业：全年主营业务收入达到200万元及以上;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4.餐饮业：全年主营业务收入达到200万元及以上。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3" w:firstLineChars="200"/>
        <w:textAlignment w:val="auto"/>
        <w:rPr>
          <w:rFonts w:ascii="楷体_GB2312" w:eastAsia="楷体_GB2312"/>
          <w:b/>
          <w:color w:val="auto"/>
          <w:sz w:val="32"/>
          <w:szCs w:val="32"/>
        </w:rPr>
      </w:pPr>
      <w:r>
        <w:rPr>
          <w:rFonts w:hint="eastAsia" w:ascii="楷体_GB2312" w:eastAsia="楷体_GB2312"/>
          <w:b/>
          <w:color w:val="auto"/>
          <w:sz w:val="32"/>
          <w:szCs w:val="32"/>
        </w:rPr>
        <w:t>（二）规模以上服务业</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1.交通运输、仓储和邮政业，信息传输、软件和信息技术服务业，水利、环境和公共设施管理业，卫生，全年营业收入达到2000万元及以上。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2.租赁和商务服务业，科学研究和技术服务业，教育，以及物业管理、房地产中介服务、房地产租赁经营，全年营业收入达到1000万元及以上。</w:t>
      </w:r>
    </w:p>
    <w:p>
      <w:pPr>
        <w:pStyle w:val="2"/>
        <w:keepNext w:val="0"/>
        <w:keepLines w:val="0"/>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3.居民服务、修理和其他服务业，文化、体育和娱乐业，社会工作，全年营业收入达到500万元及以上。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b w:val="0"/>
          <w:bCs/>
          <w:color w:val="auto"/>
          <w:sz w:val="32"/>
          <w:szCs w:val="32"/>
        </w:rPr>
      </w:pPr>
      <w:r>
        <w:rPr>
          <w:rFonts w:hint="eastAsia" w:ascii="黑体" w:hAnsi="黑体" w:eastAsia="黑体"/>
          <w:b w:val="0"/>
          <w:bCs/>
          <w:color w:val="auto"/>
          <w:sz w:val="32"/>
          <w:szCs w:val="32"/>
        </w:rPr>
        <w:t>二、奖励</w:t>
      </w:r>
      <w:r>
        <w:rPr>
          <w:rFonts w:hint="eastAsia" w:ascii="黑体" w:hAnsi="黑体" w:eastAsia="黑体"/>
          <w:b w:val="0"/>
          <w:bCs/>
          <w:color w:val="auto"/>
          <w:sz w:val="32"/>
          <w:szCs w:val="32"/>
          <w:lang w:eastAsia="zh-CN"/>
        </w:rPr>
        <w:t>类型及</w:t>
      </w:r>
      <w:r>
        <w:rPr>
          <w:rFonts w:hint="eastAsia" w:ascii="黑体" w:hAnsi="黑体" w:eastAsia="黑体"/>
          <w:b w:val="0"/>
          <w:bCs/>
          <w:color w:val="auto"/>
          <w:sz w:val="32"/>
          <w:szCs w:val="32"/>
        </w:rPr>
        <w:t>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1.新入库奖励</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奖励对象：</w:t>
      </w:r>
      <w:r>
        <w:rPr>
          <w:rFonts w:hint="eastAsia" w:ascii="仿宋_GB2312" w:hAnsi="仿宋_GB2312" w:eastAsia="仿宋_GB2312" w:cs="仿宋_GB2312"/>
          <w:color w:val="auto"/>
          <w:sz w:val="32"/>
          <w:szCs w:val="32"/>
        </w:rPr>
        <w:t>每年经统计部门认定</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新入库</w:t>
      </w:r>
      <w:r>
        <w:rPr>
          <w:rFonts w:hint="eastAsia" w:ascii="仿宋_GB2312" w:hAnsi="仿宋_GB2312" w:eastAsia="仿宋_GB2312" w:cs="仿宋_GB2312"/>
          <w:color w:val="auto"/>
          <w:sz w:val="32"/>
          <w:szCs w:val="32"/>
          <w:lang w:val="en-US" w:eastAsia="zh-CN"/>
        </w:rPr>
        <w:t>社消零及服务业</w:t>
      </w:r>
      <w:r>
        <w:rPr>
          <w:rFonts w:hint="eastAsia" w:ascii="仿宋_GB2312" w:hAnsi="仿宋_GB2312" w:eastAsia="仿宋_GB2312" w:cs="仿宋_GB2312"/>
          <w:color w:val="auto"/>
          <w:sz w:val="32"/>
          <w:szCs w:val="32"/>
          <w:lang w:eastAsia="zh-CN"/>
        </w:rPr>
        <w:t>市场主体。</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奖励标准：</w:t>
      </w:r>
      <w:r>
        <w:rPr>
          <w:rFonts w:hint="eastAsia" w:ascii="仿宋_GB2312" w:hAnsi="仿宋_GB2312" w:eastAsia="仿宋_GB2312" w:cs="仿宋_GB2312"/>
          <w:color w:val="auto"/>
          <w:sz w:val="32"/>
          <w:szCs w:val="32"/>
        </w:rPr>
        <w:t>入库</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为200万以上的</w:t>
      </w:r>
      <w:r>
        <w:rPr>
          <w:rFonts w:hint="eastAsia" w:ascii="仿宋_GB2312" w:hAnsi="仿宋_GB2312" w:eastAsia="仿宋_GB2312" w:cs="仿宋_GB2312"/>
          <w:color w:val="auto"/>
          <w:sz w:val="32"/>
          <w:szCs w:val="32"/>
          <w:lang w:eastAsia="zh-CN"/>
        </w:rPr>
        <w:t>月度入库市场主体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万元奖励</w:t>
      </w:r>
      <w:r>
        <w:rPr>
          <w:rFonts w:hint="eastAsia" w:ascii="仿宋_GB2312" w:hAnsi="仿宋_GB2312" w:eastAsia="仿宋_GB2312" w:cs="仿宋_GB2312"/>
          <w:color w:val="auto"/>
          <w:sz w:val="32"/>
          <w:szCs w:val="32"/>
          <w:lang w:eastAsia="zh-CN"/>
        </w:rPr>
        <w:t>，年度入库市场主体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万元奖励;入库</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为500万元以上的</w:t>
      </w:r>
      <w:r>
        <w:rPr>
          <w:rFonts w:hint="eastAsia" w:ascii="仿宋_GB2312" w:hAnsi="仿宋_GB2312" w:eastAsia="仿宋_GB2312" w:cs="仿宋_GB2312"/>
          <w:color w:val="auto"/>
          <w:sz w:val="32"/>
          <w:szCs w:val="32"/>
          <w:lang w:eastAsia="zh-CN"/>
        </w:rPr>
        <w:t>月度入库市场主体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万元奖励</w:t>
      </w:r>
      <w:r>
        <w:rPr>
          <w:rFonts w:hint="eastAsia" w:ascii="仿宋_GB2312" w:hAnsi="仿宋_GB2312" w:eastAsia="仿宋_GB2312" w:cs="仿宋_GB2312"/>
          <w:color w:val="auto"/>
          <w:sz w:val="32"/>
          <w:szCs w:val="32"/>
          <w:lang w:eastAsia="zh-CN"/>
        </w:rPr>
        <w:t>，年度市场主体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万元奖励</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入库</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为1000万以上的</w:t>
      </w:r>
      <w:r>
        <w:rPr>
          <w:rFonts w:hint="eastAsia" w:ascii="仿宋_GB2312" w:hAnsi="仿宋_GB2312" w:eastAsia="仿宋_GB2312" w:cs="仿宋_GB2312"/>
          <w:color w:val="auto"/>
          <w:sz w:val="32"/>
          <w:szCs w:val="32"/>
          <w:lang w:eastAsia="zh-CN"/>
        </w:rPr>
        <w:t>月度入库市场主体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万元奖励</w:t>
      </w:r>
      <w:r>
        <w:rPr>
          <w:rFonts w:hint="eastAsia" w:ascii="仿宋_GB2312" w:hAnsi="仿宋_GB2312" w:eastAsia="仿宋_GB2312" w:cs="仿宋_GB2312"/>
          <w:color w:val="auto"/>
          <w:sz w:val="32"/>
          <w:szCs w:val="32"/>
          <w:lang w:eastAsia="zh-CN"/>
        </w:rPr>
        <w:t>，年度入库市场主体</w:t>
      </w:r>
      <w:r>
        <w:rPr>
          <w:rFonts w:hint="eastAsia" w:ascii="仿宋_GB2312" w:hAnsi="仿宋_GB2312" w:eastAsia="仿宋_GB2312" w:cs="仿宋_GB2312"/>
          <w:color w:val="auto"/>
          <w:sz w:val="32"/>
          <w:szCs w:val="32"/>
        </w:rPr>
        <w:t>一次性给予</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万元奖励</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入库的市场主体当年营业收入增速必须达5%以上，增速未达标的不享受该奖励。</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统计工作补助经费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奖励对象：在库市场主体统计、报表人员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奖励标准：每年按时、足额报送数据，积极配合政府部门工作的在库市场主体，</w:t>
      </w:r>
      <w:r>
        <w:rPr>
          <w:rFonts w:hint="eastAsia" w:ascii="仿宋_GB2312" w:hAnsi="仿宋_GB2312" w:eastAsia="仿宋_GB2312" w:cs="仿宋_GB2312"/>
          <w:color w:val="auto"/>
          <w:sz w:val="32"/>
          <w:szCs w:val="32"/>
        </w:rPr>
        <w:t>给予</w:t>
      </w:r>
      <w:r>
        <w:rPr>
          <w:rFonts w:hint="eastAsia" w:ascii="仿宋_GB2312" w:hAnsi="仿宋_GB2312" w:eastAsia="仿宋_GB2312" w:cs="仿宋_GB2312"/>
          <w:color w:val="auto"/>
          <w:sz w:val="32"/>
          <w:szCs w:val="32"/>
          <w:lang w:val="en-US" w:eastAsia="zh-CN"/>
        </w:rPr>
        <w:t>2400</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rPr>
        <w:t>工作补助</w:t>
      </w:r>
      <w:r>
        <w:rPr>
          <w:rFonts w:hint="eastAsia" w:ascii="仿宋_GB2312" w:hAnsi="仿宋_GB2312" w:eastAsia="仿宋_GB2312" w:cs="仿宋_GB2312"/>
          <w:color w:val="auto"/>
          <w:sz w:val="32"/>
          <w:szCs w:val="32"/>
          <w:lang w:eastAsia="zh-CN"/>
        </w:rPr>
        <w:t>经费（标准</w:t>
      </w:r>
      <w:r>
        <w:rPr>
          <w:rFonts w:hint="eastAsia" w:ascii="仿宋_GB2312" w:hAnsi="仿宋_GB2312" w:eastAsia="仿宋_GB2312" w:cs="仿宋_GB2312"/>
          <w:color w:val="auto"/>
          <w:sz w:val="32"/>
          <w:szCs w:val="32"/>
          <w:lang w:val="en-US" w:eastAsia="zh-CN"/>
        </w:rPr>
        <w:t>200元/月</w:t>
      </w:r>
      <w:bookmarkStart w:id="0" w:name="_GoBack"/>
      <w:bookmarkEnd w:id="0"/>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eastAsia" w:ascii="楷体" w:hAnsi="楷体" w:eastAsia="楷体" w:cs="楷体"/>
          <w:b/>
          <w:bCs/>
          <w:color w:val="auto"/>
          <w:kern w:val="0"/>
          <w:sz w:val="32"/>
          <w:szCs w:val="32"/>
          <w:lang w:val="en-US" w:eastAsia="zh-CN" w:bidi="ar"/>
        </w:rPr>
      </w:pPr>
      <w:r>
        <w:rPr>
          <w:rFonts w:hint="eastAsia" w:ascii="楷体" w:hAnsi="楷体" w:eastAsia="楷体" w:cs="楷体"/>
          <w:b/>
          <w:bCs/>
          <w:color w:val="auto"/>
          <w:kern w:val="0"/>
          <w:sz w:val="32"/>
          <w:szCs w:val="32"/>
          <w:lang w:val="en-US" w:eastAsia="zh-CN" w:bidi="ar"/>
        </w:rPr>
        <w:t>3.做大做强奖励</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奖励对象：增速达标的在库市场主体</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奖励标准：年报送数据</w:t>
      </w:r>
      <w:r>
        <w:rPr>
          <w:rFonts w:hint="eastAsia" w:ascii="仿宋_GB2312" w:hAnsi="仿宋_GB2312" w:eastAsia="仿宋_GB2312" w:cs="仿宋_GB2312"/>
          <w:color w:val="auto"/>
          <w:sz w:val="32"/>
          <w:szCs w:val="32"/>
          <w:lang w:val="en-US" w:eastAsia="zh-CN"/>
        </w:rPr>
        <w:t>增速达州目标任务的，给予5000元奖励；增速超州目标任务4个百分点以上的给予1万元奖励，增速超州目标任务8个百分点以上的给予2万元奖励。</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每年对全年零售额前三名的</w:t>
      </w:r>
      <w:r>
        <w:rPr>
          <w:rFonts w:hint="eastAsia" w:ascii="仿宋_GB2312" w:hAnsi="仿宋_GB2312" w:eastAsia="仿宋_GB2312" w:cs="仿宋_GB2312"/>
          <w:color w:val="auto"/>
          <w:sz w:val="32"/>
          <w:szCs w:val="32"/>
          <w:lang w:eastAsia="zh-CN"/>
        </w:rPr>
        <w:t>市场主体</w:t>
      </w:r>
      <w:r>
        <w:rPr>
          <w:rFonts w:hint="eastAsia" w:ascii="仿宋_GB2312" w:hAnsi="仿宋_GB2312" w:eastAsia="仿宋_GB2312" w:cs="仿宋_GB2312"/>
          <w:color w:val="auto"/>
          <w:sz w:val="32"/>
          <w:szCs w:val="32"/>
          <w:lang w:val="en-US" w:eastAsia="zh-CN"/>
        </w:rPr>
        <w:t>分别给予1万元、8000元、5000元奖励。</w:t>
      </w:r>
    </w:p>
    <w:p>
      <w:pPr>
        <w:keepNext w:val="0"/>
        <w:keepLines w:val="0"/>
        <w:pageBreakBefore w:val="0"/>
        <w:widowControl/>
        <w:suppressLineNumbers w:val="0"/>
        <w:kinsoku/>
        <w:wordWrap/>
        <w:overflowPunct/>
        <w:topLinePunct w:val="0"/>
        <w:autoSpaceDE/>
        <w:autoSpaceDN/>
        <w:bidi w:val="0"/>
        <w:spacing w:line="560" w:lineRule="exact"/>
        <w:ind w:firstLine="620" w:firstLineChars="200"/>
        <w:jc w:val="left"/>
        <w:textAlignment w:val="auto"/>
        <w:rPr>
          <w:rFonts w:hint="default"/>
          <w:b w:val="0"/>
          <w:bCs w:val="0"/>
          <w:color w:val="auto"/>
          <w:lang w:val="en-US"/>
        </w:rPr>
      </w:pPr>
      <w:r>
        <w:rPr>
          <w:rFonts w:hint="eastAsia" w:ascii="黑体" w:hAnsi="宋体" w:eastAsia="黑体" w:cs="黑体"/>
          <w:b w:val="0"/>
          <w:bCs w:val="0"/>
          <w:color w:val="auto"/>
          <w:kern w:val="0"/>
          <w:sz w:val="31"/>
          <w:szCs w:val="31"/>
          <w:lang w:val="en-US" w:eastAsia="zh-CN" w:bidi="ar"/>
        </w:rPr>
        <w:t>三、实施细则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1.本实施意见采取政府引导、政策扶持、分级奖励、鼓励发展的方式</w:t>
      </w:r>
      <w:r>
        <w:rPr>
          <w:rFonts w:hint="eastAsia" w:ascii="仿宋_GB2312" w:hAnsi="仿宋_GB2312" w:eastAsia="仿宋_GB2312" w:cs="仿宋_GB2312"/>
          <w:color w:val="auto"/>
          <w:sz w:val="32"/>
          <w:szCs w:val="32"/>
          <w:lang w:eastAsia="zh-CN"/>
        </w:rPr>
        <w:t>。由县财政局每年给予资金支持保障。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2.各级奖励可同时享受，如省、州有相同扶持政策及资金，在享受省州资金后，不影响享受县级资金扶持。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在库市场主体采取“动态调整，择优扶强”的原则，因各项标准达不到在库要求而被退库的市场主体不再享受上述相关扶持政策，再次达到标准重新入库的被退库市场主体需连续在库两年以上才可享受新入库奖励资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4.奖励资金采取自主申报方式取得，申报市场主体需具备以下条件：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茂县</w:t>
      </w:r>
      <w:r>
        <w:rPr>
          <w:rFonts w:hint="eastAsia" w:ascii="仿宋_GB2312" w:hAnsi="仿宋_GB2312" w:eastAsia="仿宋_GB2312" w:cs="仿宋_GB2312"/>
          <w:color w:val="auto"/>
          <w:sz w:val="32"/>
          <w:szCs w:val="32"/>
        </w:rPr>
        <w:t>范围内</w:t>
      </w:r>
      <w:r>
        <w:rPr>
          <w:rFonts w:hint="eastAsia" w:ascii="仿宋_GB2312" w:hAnsi="仿宋_GB2312" w:eastAsia="仿宋_GB2312" w:cs="仿宋_GB2312"/>
          <w:color w:val="auto"/>
          <w:sz w:val="32"/>
          <w:szCs w:val="32"/>
          <w:lang w:eastAsia="zh-CN"/>
        </w:rPr>
        <w:t>依法</w:t>
      </w:r>
      <w:r>
        <w:rPr>
          <w:rFonts w:hint="eastAsia" w:ascii="仿宋_GB2312" w:hAnsi="仿宋_GB2312" w:eastAsia="仿宋_GB2312" w:cs="仿宋_GB2312"/>
          <w:color w:val="auto"/>
          <w:sz w:val="32"/>
          <w:szCs w:val="32"/>
        </w:rPr>
        <w:t>登记注册</w:t>
      </w:r>
      <w:r>
        <w:rPr>
          <w:rFonts w:hint="eastAsia" w:ascii="仿宋_GB2312" w:hAnsi="仿宋_GB2312" w:eastAsia="仿宋_GB2312" w:cs="仿宋_GB2312"/>
          <w:color w:val="auto"/>
          <w:sz w:val="32"/>
          <w:szCs w:val="32"/>
          <w:lang w:eastAsia="zh-CN"/>
        </w:rPr>
        <w:t>、合法经营</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在库市场主体。</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）具有健全的财务与管理制度</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）信誉及经营状况良好，具有相应的资金筹措能力</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及时、准确报送相关数据及资料，无迟报、漏报、瞒报情况发生，积极配合行业主管部门各项工作。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在库市场主体数据报送及</w:t>
      </w:r>
      <w:r>
        <w:rPr>
          <w:rFonts w:hint="eastAsia" w:ascii="仿宋_GB2312" w:hAnsi="仿宋_GB2312" w:eastAsia="仿宋_GB2312" w:cs="仿宋_GB2312"/>
          <w:color w:val="auto"/>
          <w:sz w:val="32"/>
          <w:szCs w:val="32"/>
        </w:rPr>
        <w:t>统计时间为当年1月1日至12月31日。符合奖励条件的</w:t>
      </w:r>
      <w:r>
        <w:rPr>
          <w:rFonts w:hint="eastAsia" w:ascii="仿宋_GB2312" w:hAnsi="仿宋_GB2312" w:eastAsia="仿宋_GB2312" w:cs="仿宋_GB2312"/>
          <w:color w:val="auto"/>
          <w:sz w:val="32"/>
          <w:szCs w:val="32"/>
          <w:lang w:eastAsia="zh-CN"/>
        </w:rPr>
        <w:t>市场主体</w:t>
      </w:r>
      <w:r>
        <w:rPr>
          <w:rFonts w:hint="eastAsia" w:ascii="仿宋_GB2312" w:hAnsi="仿宋_GB2312" w:eastAsia="仿宋_GB2312" w:cs="仿宋_GB2312"/>
          <w:color w:val="auto"/>
          <w:sz w:val="32"/>
          <w:szCs w:val="32"/>
        </w:rPr>
        <w:t>于下一年度</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eastAsia="zh-CN"/>
        </w:rPr>
        <w:t>前</w:t>
      </w:r>
      <w:r>
        <w:rPr>
          <w:rFonts w:hint="eastAsia" w:ascii="仿宋_GB2312" w:hAnsi="仿宋_GB2312" w:eastAsia="仿宋_GB2312" w:cs="仿宋_GB2312"/>
          <w:color w:val="auto"/>
          <w:sz w:val="32"/>
          <w:szCs w:val="32"/>
        </w:rPr>
        <w:t>申报上一年度的奖励资金</w:t>
      </w:r>
      <w:r>
        <w:rPr>
          <w:rFonts w:hint="eastAsia" w:ascii="仿宋_GB2312" w:hAnsi="仿宋_GB2312" w:eastAsia="仿宋_GB2312" w:cs="仿宋_GB2312"/>
          <w:color w:val="auto"/>
          <w:sz w:val="32"/>
          <w:szCs w:val="32"/>
          <w:lang w:eastAsia="zh-CN"/>
        </w:rPr>
        <w:t>（具体申报时间由当年根据实际情况安排并公布）</w:t>
      </w:r>
      <w:r>
        <w:rPr>
          <w:rFonts w:hint="eastAsia" w:ascii="仿宋_GB2312" w:hAnsi="仿宋_GB2312" w:eastAsia="仿宋_GB2312" w:cs="仿宋_GB2312"/>
          <w:color w:val="auto"/>
          <w:sz w:val="32"/>
          <w:szCs w:val="32"/>
        </w:rPr>
        <w:t>，按照规定程序和要求申报。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按照“应简尽简”原则，符合申报条件的市场主体按照下列要求提供申报材料：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）市场主体营业执照复印。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）对公账户许可证复印件，无对公账户许可证的提供法人银行卡及身份证复印件。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）奖励资金申请文件。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）由统计部门出具的新入库、在库或增速达标证明。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）市场主体升规入统奖励资金申报表。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7.市场主体在每年申报日期结束前向县经信局提交申请资料，由县经信局及县统计局进行联合审核，审核通过后的名单及补助金额在茂县政府官网或融媒体公示7日，经公示无异议后予以拨付。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8.本实施意见最终解释权归县经信局、县统计局。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lang w:val="en-US" w:eastAsia="zh-CN"/>
        </w:rPr>
        <w:t>实施意见</w:t>
      </w:r>
      <w:r>
        <w:rPr>
          <w:rFonts w:hint="eastAsia" w:ascii="仿宋_GB2312" w:hAnsi="仿宋_GB2312" w:eastAsia="仿宋_GB2312" w:cs="仿宋_GB2312"/>
          <w:color w:val="auto"/>
          <w:sz w:val="32"/>
          <w:szCs w:val="32"/>
        </w:rPr>
        <w:t>自</w:t>
      </w:r>
      <w:r>
        <w:rPr>
          <w:rFonts w:hint="eastAsia" w:ascii="仿宋_GB2312" w:hAnsi="仿宋_GB2312" w:eastAsia="仿宋_GB2312" w:cs="仿宋_GB2312"/>
          <w:color w:val="auto"/>
          <w:sz w:val="32"/>
          <w:szCs w:val="32"/>
          <w:lang w:eastAsia="zh-CN"/>
        </w:rPr>
        <w:t>发布之日生效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有效期</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C0F409-BB1D-495B-9517-A5214D91DE5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8F2961E8-823D-4D6A-B499-3EFE50279C92}"/>
  </w:font>
  <w:font w:name="仿宋_GB2312">
    <w:panose1 w:val="02010609030101010101"/>
    <w:charset w:val="86"/>
    <w:family w:val="auto"/>
    <w:pitch w:val="default"/>
    <w:sig w:usb0="00000001" w:usb1="080E0000" w:usb2="00000000" w:usb3="00000000" w:csb0="00040000" w:csb1="00000000"/>
    <w:embedRegular r:id="rId3" w:fontKey="{C4C5D592-54F0-4350-B834-D5751E441233}"/>
  </w:font>
  <w:font w:name="楷体_GB2312">
    <w:altName w:val="楷体"/>
    <w:panose1 w:val="00000000000000000000"/>
    <w:charset w:val="00"/>
    <w:family w:val="auto"/>
    <w:pitch w:val="default"/>
    <w:sig w:usb0="00000000" w:usb1="00000000" w:usb2="00000000" w:usb3="00000000" w:csb0="00000000" w:csb1="00000000"/>
    <w:embedRegular r:id="rId4" w:fontKey="{5E55BA92-5257-45CA-B3E7-5BCE01F35A92}"/>
  </w:font>
  <w:font w:name="楷体">
    <w:panose1 w:val="02010609060101010101"/>
    <w:charset w:val="86"/>
    <w:family w:val="auto"/>
    <w:pitch w:val="default"/>
    <w:sig w:usb0="800002BF" w:usb1="38CF7CFA" w:usb2="00000016" w:usb3="00000000" w:csb0="00040001" w:csb1="00000000"/>
    <w:embedRegular r:id="rId5" w:fontKey="{97698417-AAF0-4B7F-9CA0-E0155B534A48}"/>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MjdiYmNiM2YxYWY3Yzk0MzQwZjI3ZDkxZGQ4NWEifQ=="/>
  </w:docVars>
  <w:rsids>
    <w:rsidRoot w:val="05EB607F"/>
    <w:rsid w:val="00305CE7"/>
    <w:rsid w:val="00DA3EA5"/>
    <w:rsid w:val="016C6233"/>
    <w:rsid w:val="018A7679"/>
    <w:rsid w:val="026779BA"/>
    <w:rsid w:val="02D17AC8"/>
    <w:rsid w:val="02EF31D3"/>
    <w:rsid w:val="03AD764F"/>
    <w:rsid w:val="03B33522"/>
    <w:rsid w:val="03BD3D36"/>
    <w:rsid w:val="045F6B9B"/>
    <w:rsid w:val="048C6A28"/>
    <w:rsid w:val="04D453FA"/>
    <w:rsid w:val="04F72E0C"/>
    <w:rsid w:val="05CC0260"/>
    <w:rsid w:val="05EB607F"/>
    <w:rsid w:val="061439B5"/>
    <w:rsid w:val="077E797D"/>
    <w:rsid w:val="0A3D797F"/>
    <w:rsid w:val="0A5107C0"/>
    <w:rsid w:val="0D6738EC"/>
    <w:rsid w:val="0DB742A8"/>
    <w:rsid w:val="0EB2020F"/>
    <w:rsid w:val="0F9B0CA3"/>
    <w:rsid w:val="118E0C59"/>
    <w:rsid w:val="12977E48"/>
    <w:rsid w:val="13620456"/>
    <w:rsid w:val="156264EB"/>
    <w:rsid w:val="156C55BC"/>
    <w:rsid w:val="16AF39B2"/>
    <w:rsid w:val="178E54EF"/>
    <w:rsid w:val="187327BD"/>
    <w:rsid w:val="19E51499"/>
    <w:rsid w:val="1A10560F"/>
    <w:rsid w:val="1B99078D"/>
    <w:rsid w:val="1BB43819"/>
    <w:rsid w:val="1EB64E6E"/>
    <w:rsid w:val="1F796BDC"/>
    <w:rsid w:val="20F621DE"/>
    <w:rsid w:val="222B4109"/>
    <w:rsid w:val="23963AEC"/>
    <w:rsid w:val="23CE11F0"/>
    <w:rsid w:val="240115C5"/>
    <w:rsid w:val="25377454"/>
    <w:rsid w:val="275E288B"/>
    <w:rsid w:val="2D5008E0"/>
    <w:rsid w:val="31174280"/>
    <w:rsid w:val="314C0871"/>
    <w:rsid w:val="31B22693"/>
    <w:rsid w:val="33CE508C"/>
    <w:rsid w:val="34B951F3"/>
    <w:rsid w:val="3867071D"/>
    <w:rsid w:val="39B57F94"/>
    <w:rsid w:val="3AC058DE"/>
    <w:rsid w:val="3C2D447E"/>
    <w:rsid w:val="423164E5"/>
    <w:rsid w:val="42DD22F7"/>
    <w:rsid w:val="43EE7018"/>
    <w:rsid w:val="45B55914"/>
    <w:rsid w:val="47800812"/>
    <w:rsid w:val="4C043151"/>
    <w:rsid w:val="4C2D26A8"/>
    <w:rsid w:val="4C303F46"/>
    <w:rsid w:val="4C885B30"/>
    <w:rsid w:val="4E946A0E"/>
    <w:rsid w:val="4F9C3DCC"/>
    <w:rsid w:val="543E083C"/>
    <w:rsid w:val="54670726"/>
    <w:rsid w:val="54992FD0"/>
    <w:rsid w:val="55DE781C"/>
    <w:rsid w:val="56CB31E9"/>
    <w:rsid w:val="581110D0"/>
    <w:rsid w:val="58C85AB5"/>
    <w:rsid w:val="58EB7B73"/>
    <w:rsid w:val="594B23BF"/>
    <w:rsid w:val="59834264"/>
    <w:rsid w:val="59F34F31"/>
    <w:rsid w:val="5D0445BB"/>
    <w:rsid w:val="5D1256CE"/>
    <w:rsid w:val="5E267DC5"/>
    <w:rsid w:val="5F1D65AC"/>
    <w:rsid w:val="62C3746A"/>
    <w:rsid w:val="63452C99"/>
    <w:rsid w:val="63641C5D"/>
    <w:rsid w:val="641937E6"/>
    <w:rsid w:val="66812311"/>
    <w:rsid w:val="66BE7558"/>
    <w:rsid w:val="6773145F"/>
    <w:rsid w:val="67A07D7A"/>
    <w:rsid w:val="69166546"/>
    <w:rsid w:val="6A303637"/>
    <w:rsid w:val="6BAA441E"/>
    <w:rsid w:val="6BC44ABF"/>
    <w:rsid w:val="6CF90658"/>
    <w:rsid w:val="6D162FB8"/>
    <w:rsid w:val="707D334E"/>
    <w:rsid w:val="72C61959"/>
    <w:rsid w:val="74DD555A"/>
    <w:rsid w:val="754206C3"/>
    <w:rsid w:val="7585290A"/>
    <w:rsid w:val="758D4034"/>
    <w:rsid w:val="758F1B5A"/>
    <w:rsid w:val="759F550D"/>
    <w:rsid w:val="7C273FD5"/>
    <w:rsid w:val="7C413482"/>
    <w:rsid w:val="7FCB5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5">
    <w:name w:val="Strong"/>
    <w:basedOn w:val="4"/>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1507</Words>
  <Characters>1535</Characters>
  <Lines>0</Lines>
  <Paragraphs>0</Paragraphs>
  <TotalTime>0</TotalTime>
  <ScaleCrop>false</ScaleCrop>
  <LinksUpToDate>false</LinksUpToDate>
  <CharactersWithSpaces>1567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2022-12-29T02:01:00Z</dcterms:created>
  <dc:creator>明崽</dc:creator>
  <cp:lastModifiedBy>明崽</cp:lastModifiedBy>
  <cp:lastPrinted>2023-02-20T02:25:00Z</cp:lastPrinted>
  <dcterms:modified xsi:type="dcterms:W3CDTF">2024-06-06T02:55:45Z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96758C313CA64311BB280BC64064D7F9_13</vt:lpwstr>
  </property>
</Properties>
</file>