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7197307">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方正小标宋简体" w:hAnsi="方正小标宋简体" w:eastAsia="方正小标宋简体" w:cs="方正小标宋简体"/>
          <w:color w:val="auto"/>
          <w:sz w:val="44"/>
          <w:szCs w:val="44"/>
          <w:lang w:val="en-US" w:eastAsia="zh-CN"/>
        </w:rPr>
      </w:pPr>
    </w:p>
    <w:p w14:paraId="37CA8CC3">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方正小标宋简体" w:hAnsi="方正小标宋简体" w:eastAsia="方正小标宋简体" w:cs="方正小标宋简体"/>
          <w:color w:val="auto"/>
          <w:sz w:val="44"/>
          <w:szCs w:val="44"/>
          <w:lang w:val="en-US" w:eastAsia="zh-CN"/>
        </w:rPr>
      </w:pPr>
      <w:r>
        <w:rPr>
          <w:rFonts w:hint="default" w:ascii="方正小标宋简体" w:hAnsi="方正小标宋简体" w:eastAsia="方正小标宋简体" w:cs="方正小标宋简体"/>
          <w:color w:val="auto"/>
          <w:sz w:val="44"/>
          <w:szCs w:val="44"/>
          <w:lang w:val="en-US" w:eastAsia="zh-CN"/>
        </w:rPr>
        <w:t>茂县农村集体经营性建设用地入市工作</w:t>
      </w:r>
    </w:p>
    <w:p w14:paraId="76AF3A34">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方正小标宋简体" w:hAnsi="方正小标宋简体" w:eastAsia="方正小标宋简体" w:cs="方正小标宋简体"/>
          <w:color w:val="auto"/>
          <w:sz w:val="44"/>
          <w:szCs w:val="44"/>
          <w:lang w:val="en-US" w:eastAsia="zh-CN"/>
        </w:rPr>
      </w:pPr>
      <w:r>
        <w:rPr>
          <w:rFonts w:hint="default" w:ascii="方正小标宋简体" w:hAnsi="方正小标宋简体" w:eastAsia="方正小标宋简体" w:cs="方正小标宋简体"/>
          <w:color w:val="auto"/>
          <w:sz w:val="44"/>
          <w:szCs w:val="44"/>
          <w:lang w:val="en-US" w:eastAsia="zh-CN"/>
        </w:rPr>
        <w:t>具体推进方案</w:t>
      </w:r>
    </w:p>
    <w:p w14:paraId="32C69B14">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方正小标宋简体" w:hAnsi="方正小标宋简体" w:eastAsia="方正小标宋简体" w:cs="方正小标宋简体"/>
          <w:color w:val="auto"/>
          <w:sz w:val="44"/>
          <w:szCs w:val="44"/>
          <w:lang w:val="en-US" w:eastAsia="zh-CN"/>
        </w:rPr>
      </w:pPr>
    </w:p>
    <w:p w14:paraId="63A1ABBB">
      <w:pPr>
        <w:pStyle w:val="6"/>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firstLine="640" w:firstLineChars="200"/>
        <w:jc w:val="both"/>
        <w:textAlignment w:val="auto"/>
        <w:rPr>
          <w:rFonts w:hint="default" w:ascii="Times New Roman" w:hAnsi="Times New Roman" w:eastAsia="仿宋_GB2312" w:cs="Times New Roman"/>
          <w:color w:val="auto"/>
          <w:kern w:val="2"/>
          <w:sz w:val="32"/>
          <w:szCs w:val="32"/>
          <w:lang w:val="en-US" w:eastAsia="zh-CN" w:bidi="ar-SA"/>
        </w:rPr>
      </w:pPr>
      <w:r>
        <w:rPr>
          <w:rFonts w:hint="default" w:ascii="Times New Roman" w:hAnsi="Times New Roman" w:eastAsia="仿宋_GB2312" w:cs="Times New Roman"/>
          <w:color w:val="auto"/>
          <w:kern w:val="2"/>
          <w:sz w:val="32"/>
          <w:szCs w:val="32"/>
          <w:lang w:val="en-US" w:eastAsia="zh-CN" w:bidi="ar-SA"/>
        </w:rPr>
        <w:t>为深入贯彻落实党中央、国务院和省州关于深化农村集体经营性建设用地入市试点工作的决策部署，规范有序推进我县农村集体经营性建设用地入市工作，进一步盘活农村土地资源，构建城乡统一的建设用地市场，助力乡村振兴和城乡融合发展，根据《中华人民共和国土地管理法》《中华人民共和国土地管理法实施条例》《四川省〈中华人民共和国土地管理法〉实施办法》等法律法规及政策文件精神，立足我县实际，制定本具体推进方案。</w:t>
      </w:r>
    </w:p>
    <w:p w14:paraId="34248CD6">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firstLine="643" w:firstLineChars="200"/>
        <w:textAlignment w:val="auto"/>
        <w:rPr>
          <w:rFonts w:hint="eastAsia" w:ascii="楷体_GB2312" w:hAnsi="楷体_GB2312" w:eastAsia="楷体_GB2312" w:cs="楷体_GB2312"/>
          <w:color w:val="auto"/>
          <w:kern w:val="2"/>
          <w:sz w:val="32"/>
          <w:szCs w:val="32"/>
          <w:lang w:val="en-US" w:eastAsia="zh-CN" w:bidi="ar-SA"/>
        </w:rPr>
      </w:pPr>
      <w:r>
        <w:rPr>
          <w:rFonts w:hint="default" w:ascii="Times New Roman" w:hAnsi="Times New Roman" w:eastAsia="黑体" w:cs="Times New Roman"/>
          <w:color w:val="auto"/>
          <w:kern w:val="2"/>
          <w:sz w:val="32"/>
          <w:szCs w:val="32"/>
          <w:lang w:val="en-US" w:eastAsia="zh-CN" w:bidi="ar-SA"/>
        </w:rPr>
        <w:t>一、指导思想</w:t>
      </w:r>
    </w:p>
    <w:p w14:paraId="5BA63242">
      <w:pPr>
        <w:pStyle w:val="6"/>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firstLine="640" w:firstLineChars="200"/>
        <w:jc w:val="both"/>
        <w:textAlignment w:val="auto"/>
        <w:rPr>
          <w:rFonts w:hint="default" w:ascii="Times New Roman" w:hAnsi="Times New Roman" w:eastAsia="仿宋_GB2312" w:cs="Times New Roman"/>
          <w:color w:val="auto"/>
          <w:kern w:val="2"/>
          <w:sz w:val="32"/>
          <w:szCs w:val="32"/>
          <w:lang w:val="en-US" w:eastAsia="zh-CN" w:bidi="ar-SA"/>
        </w:rPr>
      </w:pPr>
      <w:r>
        <w:rPr>
          <w:rFonts w:hint="default" w:ascii="Times New Roman" w:hAnsi="Times New Roman" w:eastAsia="仿宋_GB2312" w:cs="Times New Roman"/>
          <w:color w:val="auto"/>
          <w:kern w:val="2"/>
          <w:sz w:val="32"/>
          <w:szCs w:val="32"/>
          <w:lang w:val="en-US" w:eastAsia="zh-CN" w:bidi="ar-SA"/>
        </w:rPr>
        <w:t>坚持以习近平新时代中国特色社会主义思想为指导，深入贯彻党的二十大精神，严格落实国家深化农村集体经营性建设用地入市试点工作要求，坚持稳中求进工作总基调，统筹发展和安全，充分发挥市场在资源配置中的决定性作用，兼顾效率与公平，坚持监管和服务并重、权利与义务对等，规范市场交易秩序，健全风险防范机制，保障市场平稳运行，切实维护各方合法权益，加快建立同权同价、流转顺畅、收益共享的城乡统一建设用地市场，为茂县乡村全面振兴和城乡融合发展提供土地要素保障。</w:t>
      </w:r>
    </w:p>
    <w:p w14:paraId="0BE6FCE1">
      <w:pPr>
        <w:spacing w:line="550" w:lineRule="exact"/>
        <w:ind w:firstLine="643" w:firstLineChars="200"/>
        <w:rPr>
          <w:rFonts w:hint="default" w:ascii="Times New Roman" w:hAnsi="Times New Roman" w:eastAsia="仿宋_GB2312" w:cs="Times New Roman"/>
          <w:color w:val="auto"/>
          <w:sz w:val="32"/>
          <w:szCs w:val="32"/>
          <w:lang w:val="en-US" w:eastAsia="zh-CN"/>
        </w:rPr>
      </w:pPr>
      <w:r>
        <w:rPr>
          <w:rFonts w:hint="eastAsia" w:ascii="楷体_GB2312" w:hAnsi="楷体_GB2312" w:eastAsia="楷体_GB2312" w:cs="楷体_GB2312"/>
          <w:b/>
          <w:bCs/>
          <w:color w:val="auto"/>
          <w:kern w:val="2"/>
          <w:sz w:val="32"/>
          <w:szCs w:val="32"/>
          <w:lang w:val="en-US" w:eastAsia="zh-CN" w:bidi="ar-SA"/>
        </w:rPr>
        <w:t>（一）坚持审慎稳妥推进。</w:t>
      </w:r>
      <w:r>
        <w:rPr>
          <w:rFonts w:hint="eastAsia" w:ascii="楷体_GB2312" w:hAnsi="楷体_GB2312" w:eastAsia="楷体_GB2312" w:cs="楷体_GB2312"/>
          <w:color w:val="auto"/>
          <w:sz w:val="32"/>
          <w:szCs w:val="32"/>
          <w:lang w:val="en-US" w:eastAsia="zh-CN"/>
        </w:rPr>
        <w:t>切实</w:t>
      </w:r>
      <w:r>
        <w:rPr>
          <w:rFonts w:hint="default" w:ascii="Times New Roman" w:hAnsi="Times New Roman" w:eastAsia="仿宋_GB2312" w:cs="Times New Roman"/>
          <w:color w:val="auto"/>
          <w:sz w:val="32"/>
          <w:szCs w:val="32"/>
          <w:lang w:val="en-US" w:eastAsia="zh-CN"/>
        </w:rPr>
        <w:t>将勇于创新与管控风险贯穿入市工作全过程，突出重点区域、聚焦成熟地块，按阶段、分步骤审慎推进，把握工作节奏，及时化解矛盾问题，确保试点封闭运行、风险可控。</w:t>
      </w:r>
    </w:p>
    <w:p w14:paraId="43C9B4EC">
      <w:pPr>
        <w:spacing w:line="550" w:lineRule="exact"/>
        <w:ind w:firstLine="643" w:firstLineChars="200"/>
        <w:rPr>
          <w:rFonts w:hint="default" w:ascii="Times New Roman" w:hAnsi="Times New Roman" w:eastAsia="仿宋_GB2312" w:cs="Times New Roman"/>
          <w:color w:val="auto"/>
          <w:sz w:val="32"/>
          <w:szCs w:val="32"/>
          <w:lang w:val="en-US" w:eastAsia="zh-CN"/>
        </w:rPr>
      </w:pPr>
      <w:r>
        <w:rPr>
          <w:rFonts w:hint="eastAsia" w:ascii="楷体_GB2312" w:hAnsi="楷体_GB2312" w:eastAsia="楷体_GB2312" w:cs="楷体_GB2312"/>
          <w:b/>
          <w:bCs/>
          <w:color w:val="auto"/>
          <w:sz w:val="32"/>
          <w:szCs w:val="32"/>
          <w:lang w:val="en-US" w:eastAsia="zh-CN"/>
        </w:rPr>
        <w:t>（二）</w:t>
      </w:r>
      <w:r>
        <w:rPr>
          <w:rFonts w:hint="default" w:ascii="楷体_GB2312" w:hAnsi="楷体_GB2312" w:eastAsia="楷体_GB2312" w:cs="楷体_GB2312"/>
          <w:b/>
          <w:bCs/>
          <w:color w:val="auto"/>
          <w:sz w:val="32"/>
          <w:szCs w:val="32"/>
          <w:lang w:val="en-US" w:eastAsia="zh-CN"/>
        </w:rPr>
        <w:t>坚持严守三条底线</w:t>
      </w:r>
      <w:r>
        <w:rPr>
          <w:rFonts w:hint="eastAsia" w:ascii="楷体_GB2312" w:hAnsi="楷体_GB2312" w:eastAsia="楷体_GB2312" w:cs="楷体_GB2312"/>
          <w:b/>
          <w:bCs/>
          <w:color w:val="auto"/>
          <w:sz w:val="32"/>
          <w:szCs w:val="32"/>
          <w:lang w:val="en-US" w:eastAsia="zh-CN"/>
        </w:rPr>
        <w:t>。</w:t>
      </w:r>
      <w:r>
        <w:rPr>
          <w:rFonts w:hint="default" w:ascii="Times New Roman" w:hAnsi="Times New Roman" w:eastAsia="仿宋_GB2312" w:cs="Times New Roman"/>
          <w:color w:val="auto"/>
          <w:sz w:val="32"/>
          <w:szCs w:val="32"/>
          <w:lang w:val="en-US" w:eastAsia="zh-CN"/>
        </w:rPr>
        <w:t>始终坚守土地公有制性质不改变、耕地红线不突破、农民利益不受损三条底线，严禁以入市名义侵占耕地、乱占耕地，严禁占用永久基本农田，严防侵害农民合法权益、架空农村集体经济组织资产的行为。</w:t>
      </w:r>
    </w:p>
    <w:p w14:paraId="41E32F44">
      <w:pPr>
        <w:spacing w:line="550" w:lineRule="exact"/>
        <w:ind w:firstLine="643" w:firstLineChars="200"/>
        <w:rPr>
          <w:rFonts w:hint="default" w:ascii="Times New Roman" w:hAnsi="Times New Roman" w:eastAsia="仿宋_GB2312" w:cs="Times New Roman"/>
          <w:color w:val="auto"/>
          <w:sz w:val="32"/>
          <w:szCs w:val="32"/>
          <w:lang w:val="en-US" w:eastAsia="zh-CN"/>
        </w:rPr>
      </w:pPr>
      <w:r>
        <w:rPr>
          <w:rFonts w:hint="eastAsia" w:ascii="楷体_GB2312" w:hAnsi="楷体_GB2312" w:eastAsia="楷体_GB2312" w:cs="楷体_GB2312"/>
          <w:b/>
          <w:bCs/>
          <w:color w:val="auto"/>
          <w:sz w:val="32"/>
          <w:szCs w:val="32"/>
          <w:lang w:val="en-US" w:eastAsia="zh-CN"/>
        </w:rPr>
        <w:t>（三）</w:t>
      </w:r>
      <w:r>
        <w:rPr>
          <w:rFonts w:hint="default" w:ascii="楷体_GB2312" w:hAnsi="楷体_GB2312" w:eastAsia="楷体_GB2312" w:cs="楷体_GB2312"/>
          <w:b/>
          <w:bCs/>
          <w:color w:val="auto"/>
          <w:sz w:val="32"/>
          <w:szCs w:val="32"/>
          <w:lang w:val="en-US" w:eastAsia="zh-CN"/>
        </w:rPr>
        <w:t>坚持节约集约用地</w:t>
      </w:r>
      <w:r>
        <w:rPr>
          <w:rFonts w:hint="eastAsia" w:ascii="楷体_GB2312" w:hAnsi="楷体_GB2312" w:eastAsia="楷体_GB2312" w:cs="楷体_GB2312"/>
          <w:b/>
          <w:bCs/>
          <w:color w:val="auto"/>
          <w:sz w:val="32"/>
          <w:szCs w:val="32"/>
          <w:lang w:val="en-US" w:eastAsia="zh-CN"/>
        </w:rPr>
        <w:t>。</w:t>
      </w:r>
      <w:r>
        <w:rPr>
          <w:rFonts w:hint="default" w:ascii="Times New Roman" w:hAnsi="Times New Roman" w:eastAsia="仿宋_GB2312" w:cs="Times New Roman"/>
          <w:color w:val="auto"/>
          <w:sz w:val="32"/>
          <w:szCs w:val="32"/>
          <w:lang w:val="en-US" w:eastAsia="zh-CN"/>
        </w:rPr>
        <w:t>落实最严格的节约集约用地制度，统筹编制年度入市供应计划，合理控制供应总量，实行差别化产业用地政策，不得向产能过剩、重复建设项目供地，持续提升土地资源配置效率。</w:t>
      </w:r>
    </w:p>
    <w:p w14:paraId="4DF116CE">
      <w:pPr>
        <w:spacing w:line="550" w:lineRule="exact"/>
        <w:ind w:firstLine="643" w:firstLineChars="200"/>
        <w:rPr>
          <w:rFonts w:hint="default" w:ascii="Times New Roman" w:hAnsi="Times New Roman" w:eastAsia="仿宋_GB2312" w:cs="Times New Roman"/>
          <w:color w:val="auto"/>
          <w:sz w:val="32"/>
          <w:szCs w:val="32"/>
          <w:lang w:val="en-US" w:eastAsia="zh-CN"/>
        </w:rPr>
      </w:pPr>
      <w:r>
        <w:rPr>
          <w:rFonts w:hint="eastAsia" w:ascii="楷体_GB2312" w:hAnsi="楷体_GB2312" w:eastAsia="楷体_GB2312" w:cs="楷体_GB2312"/>
          <w:b/>
          <w:bCs/>
          <w:color w:val="auto"/>
          <w:sz w:val="32"/>
          <w:szCs w:val="32"/>
          <w:lang w:val="en-US" w:eastAsia="zh-CN"/>
        </w:rPr>
        <w:t>（四）</w:t>
      </w:r>
      <w:r>
        <w:rPr>
          <w:rFonts w:hint="default" w:ascii="楷体_GB2312" w:hAnsi="楷体_GB2312" w:eastAsia="楷体_GB2312" w:cs="楷体_GB2312"/>
          <w:b/>
          <w:bCs/>
          <w:color w:val="auto"/>
          <w:sz w:val="32"/>
          <w:szCs w:val="32"/>
          <w:lang w:val="en-US" w:eastAsia="zh-CN"/>
        </w:rPr>
        <w:t>坚持同权同责同价</w:t>
      </w:r>
      <w:r>
        <w:rPr>
          <w:rFonts w:hint="eastAsia" w:ascii="楷体_GB2312" w:hAnsi="楷体_GB2312" w:eastAsia="楷体_GB2312" w:cs="楷体_GB2312"/>
          <w:b/>
          <w:bCs/>
          <w:color w:val="auto"/>
          <w:sz w:val="32"/>
          <w:szCs w:val="32"/>
          <w:lang w:val="en-US" w:eastAsia="zh-CN"/>
        </w:rPr>
        <w:t>。</w:t>
      </w:r>
      <w:r>
        <w:rPr>
          <w:rFonts w:hint="eastAsia" w:ascii="Times New Roman" w:hAnsi="Times New Roman" w:eastAsia="仿宋_GB2312" w:cs="Times New Roman"/>
          <w:color w:val="auto"/>
          <w:sz w:val="32"/>
          <w:szCs w:val="32"/>
          <w:lang w:val="en-US" w:eastAsia="zh-CN"/>
        </w:rPr>
        <w:t>始终把符</w:t>
      </w:r>
      <w:r>
        <w:rPr>
          <w:rFonts w:hint="default" w:ascii="Times New Roman" w:hAnsi="Times New Roman" w:eastAsia="仿宋_GB2312" w:cs="Times New Roman"/>
          <w:color w:val="auto"/>
          <w:sz w:val="32"/>
          <w:szCs w:val="32"/>
          <w:lang w:val="en-US" w:eastAsia="zh-CN"/>
        </w:rPr>
        <w:t>合规划、用途管制和依法取得为前提，推动农村集体经营性建设用地与国有建设用地同等入市、同权同价，在</w:t>
      </w:r>
      <w:r>
        <w:rPr>
          <w:rFonts w:hint="eastAsia" w:ascii="Times New Roman" w:hAnsi="Times New Roman" w:eastAsia="仿宋_GB2312" w:cs="Times New Roman"/>
          <w:color w:val="auto"/>
          <w:sz w:val="32"/>
          <w:szCs w:val="32"/>
          <w:lang w:val="en-US" w:eastAsia="zh-CN"/>
        </w:rPr>
        <w:t>城乡</w:t>
      </w:r>
      <w:r>
        <w:rPr>
          <w:rFonts w:hint="default" w:ascii="Times New Roman" w:hAnsi="Times New Roman" w:eastAsia="仿宋_GB2312" w:cs="Times New Roman"/>
          <w:color w:val="auto"/>
          <w:sz w:val="32"/>
          <w:szCs w:val="32"/>
          <w:lang w:val="en-US" w:eastAsia="zh-CN"/>
        </w:rPr>
        <w:t>统一</w:t>
      </w:r>
      <w:r>
        <w:rPr>
          <w:rFonts w:hint="eastAsia" w:ascii="Times New Roman" w:hAnsi="Times New Roman" w:eastAsia="仿宋_GB2312" w:cs="Times New Roman"/>
          <w:color w:val="auto"/>
          <w:sz w:val="32"/>
          <w:szCs w:val="32"/>
          <w:lang w:val="en-US" w:eastAsia="zh-CN"/>
        </w:rPr>
        <w:t>的建设用地</w:t>
      </w:r>
      <w:r>
        <w:rPr>
          <w:rFonts w:hint="default" w:ascii="Times New Roman" w:hAnsi="Times New Roman" w:eastAsia="仿宋_GB2312" w:cs="Times New Roman"/>
          <w:color w:val="auto"/>
          <w:sz w:val="32"/>
          <w:szCs w:val="32"/>
          <w:lang w:val="en-US" w:eastAsia="zh-CN"/>
        </w:rPr>
        <w:t>市场中遵循相同交易规则，实行同等标准的市场监管。</w:t>
      </w:r>
    </w:p>
    <w:p w14:paraId="1BD2C049">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firstLine="643" w:firstLineChars="200"/>
        <w:jc w:val="left"/>
        <w:textAlignment w:val="auto"/>
        <w:rPr>
          <w:rFonts w:hint="default" w:ascii="Times New Roman" w:hAnsi="Times New Roman" w:eastAsia="黑体" w:cs="Times New Roman"/>
          <w:color w:val="auto"/>
          <w:kern w:val="2"/>
          <w:sz w:val="32"/>
          <w:szCs w:val="32"/>
          <w:lang w:val="en-US" w:eastAsia="zh-CN" w:bidi="ar-SA"/>
        </w:rPr>
      </w:pPr>
      <w:r>
        <w:rPr>
          <w:rFonts w:hint="default" w:ascii="Times New Roman" w:hAnsi="Times New Roman" w:eastAsia="黑体" w:cs="Times New Roman"/>
          <w:color w:val="auto"/>
          <w:kern w:val="2"/>
          <w:sz w:val="32"/>
          <w:szCs w:val="32"/>
          <w:lang w:val="en-US" w:eastAsia="zh-CN" w:bidi="ar-SA"/>
        </w:rPr>
        <w:t>二、工作目标</w:t>
      </w:r>
    </w:p>
    <w:p w14:paraId="0F0345B6">
      <w:pPr>
        <w:pStyle w:val="6"/>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firstLine="640" w:firstLineChars="200"/>
        <w:jc w:val="both"/>
        <w:textAlignment w:val="auto"/>
        <w:rPr>
          <w:rFonts w:hint="default" w:ascii="Times New Roman" w:hAnsi="Times New Roman" w:eastAsia="仿宋_GB2312" w:cs="Times New Roman"/>
          <w:color w:val="auto"/>
          <w:kern w:val="2"/>
          <w:sz w:val="32"/>
          <w:szCs w:val="32"/>
          <w:lang w:val="en-US" w:eastAsia="zh-CN" w:bidi="ar-SA"/>
        </w:rPr>
      </w:pPr>
      <w:r>
        <w:rPr>
          <w:rFonts w:hint="default" w:ascii="Times New Roman" w:hAnsi="Times New Roman" w:eastAsia="仿宋_GB2312" w:cs="Times New Roman"/>
          <w:color w:val="auto"/>
          <w:kern w:val="2"/>
          <w:sz w:val="32"/>
          <w:szCs w:val="32"/>
          <w:lang w:val="en-US" w:eastAsia="zh-CN" w:bidi="ar-SA"/>
        </w:rPr>
        <w:t>加快形成同权同价、流转顺畅、收益共享的农村集体经营性建设用地入市制度体系。明确入市范围与实施路径，建立主体清晰、权能完善、方式多样的入市规则；健全交易管理、开发监管、民主决策全流程工作机制，构建流程规范、监管到位、服务高效的工作体系；完善土地增值收益分配机制，建立兼顾国家、集体、个人的收益共享制度；探索形成符合茂县实际、可复制可推广的实践经验，持续壮大村集体经济、带动农民持续增收，推动城乡融合发展落地见效。</w:t>
      </w:r>
    </w:p>
    <w:p w14:paraId="56C67BD3">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firstLine="643" w:firstLineChars="200"/>
        <w:jc w:val="left"/>
        <w:textAlignment w:val="auto"/>
        <w:rPr>
          <w:rFonts w:hint="default" w:ascii="楷体_GB2312" w:hAnsi="楷体_GB2312" w:eastAsia="楷体_GB2312" w:cs="楷体_GB2312"/>
          <w:b/>
          <w:bCs/>
          <w:color w:val="auto"/>
          <w:kern w:val="2"/>
          <w:sz w:val="32"/>
          <w:szCs w:val="32"/>
          <w:lang w:val="en-US" w:eastAsia="zh-CN" w:bidi="ar-SA"/>
        </w:rPr>
      </w:pPr>
      <w:r>
        <w:rPr>
          <w:rFonts w:hint="default" w:ascii="Times New Roman" w:hAnsi="Times New Roman" w:eastAsia="黑体" w:cs="Times New Roman"/>
          <w:color w:val="auto"/>
          <w:kern w:val="2"/>
          <w:sz w:val="32"/>
          <w:szCs w:val="32"/>
          <w:lang w:val="en-US" w:eastAsia="zh-CN" w:bidi="ar-SA"/>
        </w:rPr>
        <w:t>三、适用范围</w:t>
      </w:r>
    </w:p>
    <w:p w14:paraId="5838769E">
      <w:pPr>
        <w:pStyle w:val="6"/>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firstLine="640" w:firstLineChars="200"/>
        <w:jc w:val="both"/>
        <w:textAlignment w:val="auto"/>
        <w:rPr>
          <w:rFonts w:hint="default" w:ascii="Times New Roman" w:hAnsi="Times New Roman" w:eastAsia="仿宋_GB2312" w:cs="Times New Roman"/>
          <w:color w:val="auto"/>
          <w:kern w:val="2"/>
          <w:sz w:val="32"/>
          <w:szCs w:val="32"/>
          <w:lang w:val="en-US" w:eastAsia="zh-CN" w:bidi="ar-SA"/>
        </w:rPr>
      </w:pPr>
      <w:r>
        <w:rPr>
          <w:rFonts w:hint="default" w:ascii="Times New Roman" w:hAnsi="Times New Roman" w:eastAsia="仿宋_GB2312" w:cs="Times New Roman"/>
          <w:color w:val="auto"/>
          <w:kern w:val="2"/>
          <w:sz w:val="32"/>
          <w:szCs w:val="32"/>
          <w:lang w:val="en-US" w:eastAsia="zh-CN" w:bidi="ar-SA"/>
        </w:rPr>
        <w:t>本方案适用于茂县行政区域内农村集体经营性建设用地入市及其监督管理工作。本方案所称农村集体经营性建设用地，是指国土空间规划（村庄规划）确定为工业、商业等经营性用途，并经依法登记的集体建设用地。</w:t>
      </w:r>
    </w:p>
    <w:p w14:paraId="1F864777">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firstLine="643" w:firstLineChars="200"/>
        <w:jc w:val="left"/>
        <w:textAlignment w:val="auto"/>
        <w:rPr>
          <w:rFonts w:hint="default" w:ascii="Times New Roman" w:hAnsi="Times New Roman" w:eastAsia="仿宋_GB2312" w:cs="Times New Roman"/>
          <w:color w:val="auto"/>
          <w:kern w:val="2"/>
          <w:sz w:val="32"/>
          <w:szCs w:val="32"/>
          <w:lang w:val="en-US" w:eastAsia="zh-CN" w:bidi="ar-SA"/>
        </w:rPr>
      </w:pPr>
      <w:r>
        <w:rPr>
          <w:rFonts w:hint="eastAsia" w:ascii="Times New Roman" w:hAnsi="Times New Roman" w:eastAsia="黑体" w:cs="Times New Roman"/>
          <w:color w:val="auto"/>
          <w:kern w:val="2"/>
          <w:sz w:val="32"/>
          <w:szCs w:val="32"/>
          <w:lang w:val="en-US" w:eastAsia="zh-CN" w:bidi="ar-SA"/>
        </w:rPr>
        <w:t>四</w:t>
      </w:r>
      <w:r>
        <w:rPr>
          <w:rFonts w:hint="default" w:ascii="Times New Roman" w:hAnsi="Times New Roman" w:eastAsia="黑体" w:cs="Times New Roman"/>
          <w:color w:val="auto"/>
          <w:kern w:val="2"/>
          <w:sz w:val="32"/>
          <w:szCs w:val="32"/>
          <w:lang w:val="en-US" w:eastAsia="zh-CN" w:bidi="ar-SA"/>
        </w:rPr>
        <w:t>、</w:t>
      </w:r>
      <w:r>
        <w:rPr>
          <w:rFonts w:hint="eastAsia" w:ascii="Times New Roman" w:hAnsi="Times New Roman" w:eastAsia="黑体" w:cs="Times New Roman"/>
          <w:color w:val="auto"/>
          <w:kern w:val="2"/>
          <w:sz w:val="32"/>
          <w:szCs w:val="32"/>
          <w:lang w:val="en-US" w:eastAsia="zh-CN" w:bidi="ar-SA"/>
        </w:rPr>
        <w:t>入市条件</w:t>
      </w:r>
    </w:p>
    <w:p w14:paraId="79D45392">
      <w:pPr>
        <w:pStyle w:val="6"/>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firstLine="640" w:firstLineChars="200"/>
        <w:jc w:val="both"/>
        <w:textAlignment w:val="auto"/>
        <w:rPr>
          <w:rFonts w:hint="default" w:ascii="Times New Roman" w:hAnsi="Times New Roman" w:eastAsia="仿宋_GB2312" w:cs="Times New Roman"/>
          <w:color w:val="auto"/>
          <w:kern w:val="2"/>
          <w:sz w:val="32"/>
          <w:szCs w:val="32"/>
          <w:lang w:val="en-US" w:eastAsia="zh-CN" w:bidi="ar-SA"/>
        </w:rPr>
      </w:pPr>
      <w:r>
        <w:rPr>
          <w:rFonts w:hint="default" w:ascii="Times New Roman" w:hAnsi="Times New Roman" w:eastAsia="仿宋_GB2312" w:cs="Times New Roman"/>
          <w:color w:val="auto"/>
          <w:kern w:val="2"/>
          <w:sz w:val="32"/>
          <w:szCs w:val="32"/>
          <w:lang w:val="en-US" w:eastAsia="zh-CN" w:bidi="ar-SA"/>
        </w:rPr>
        <w:t>农村集体经营性建设用地入市</w:t>
      </w:r>
      <w:r>
        <w:rPr>
          <w:rFonts w:hint="eastAsia" w:ascii="Times New Roman" w:hAnsi="Times New Roman" w:eastAsia="仿宋_GB2312" w:cs="Times New Roman"/>
          <w:color w:val="auto"/>
          <w:kern w:val="2"/>
          <w:sz w:val="32"/>
          <w:szCs w:val="32"/>
          <w:lang w:val="en-US" w:eastAsia="zh-CN" w:bidi="ar-SA"/>
        </w:rPr>
        <w:t>宗地应当符合</w:t>
      </w:r>
      <w:r>
        <w:rPr>
          <w:rFonts w:hint="default" w:ascii="Times New Roman" w:hAnsi="Times New Roman" w:eastAsia="仿宋_GB2312" w:cs="Times New Roman"/>
          <w:color w:val="auto"/>
          <w:kern w:val="2"/>
          <w:sz w:val="32"/>
          <w:szCs w:val="32"/>
          <w:lang w:val="en-US" w:eastAsia="zh-CN" w:bidi="ar-SA"/>
        </w:rPr>
        <w:t>以下条件：</w:t>
      </w:r>
    </w:p>
    <w:p w14:paraId="0552780C">
      <w:pPr>
        <w:pStyle w:val="5"/>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b w:val="0"/>
          <w:color w:val="auto"/>
          <w:kern w:val="2"/>
          <w:sz w:val="32"/>
          <w:szCs w:val="32"/>
          <w:lang w:val="en-US" w:eastAsia="zh-CN" w:bidi="ar-SA"/>
        </w:rPr>
      </w:pPr>
      <w:r>
        <w:rPr>
          <w:rFonts w:hint="eastAsia" w:ascii="仿宋_GB2312" w:hAnsi="仿宋_GB2312" w:eastAsia="仿宋_GB2312" w:cs="仿宋_GB2312"/>
          <w:b w:val="0"/>
          <w:color w:val="auto"/>
          <w:kern w:val="2"/>
          <w:sz w:val="32"/>
          <w:szCs w:val="32"/>
          <w:lang w:val="en-US" w:eastAsia="zh-CN" w:bidi="ar-SA"/>
        </w:rPr>
        <w:t>（一）</w:t>
      </w:r>
      <w:r>
        <w:rPr>
          <w:rFonts w:hint="default" w:ascii="仿宋_GB2312" w:hAnsi="仿宋_GB2312" w:eastAsia="仿宋_GB2312" w:cs="仿宋_GB2312"/>
          <w:b w:val="0"/>
          <w:color w:val="auto"/>
          <w:kern w:val="2"/>
          <w:sz w:val="32"/>
          <w:szCs w:val="32"/>
          <w:lang w:val="en-US" w:eastAsia="zh-CN" w:bidi="ar-SA"/>
        </w:rPr>
        <w:t>符合国土空间规划、产业准入、生态环境保护、文物保护等政策、标准要求和用途管控规则；</w:t>
      </w:r>
    </w:p>
    <w:p w14:paraId="4BB3100F">
      <w:pPr>
        <w:pStyle w:val="5"/>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b w:val="0"/>
          <w:color w:val="auto"/>
          <w:kern w:val="2"/>
          <w:sz w:val="32"/>
          <w:szCs w:val="32"/>
          <w:lang w:val="en-US" w:eastAsia="zh-CN" w:bidi="ar-SA"/>
        </w:rPr>
      </w:pPr>
      <w:r>
        <w:rPr>
          <w:rFonts w:hint="eastAsia" w:ascii="仿宋_GB2312" w:hAnsi="仿宋_GB2312" w:eastAsia="仿宋_GB2312" w:cs="仿宋_GB2312"/>
          <w:b w:val="0"/>
          <w:color w:val="auto"/>
          <w:kern w:val="2"/>
          <w:sz w:val="32"/>
          <w:szCs w:val="32"/>
          <w:lang w:val="en-US" w:eastAsia="zh-CN" w:bidi="ar-SA"/>
        </w:rPr>
        <w:t>（二）</w:t>
      </w:r>
      <w:r>
        <w:rPr>
          <w:rFonts w:hint="default" w:ascii="仿宋_GB2312" w:hAnsi="仿宋_GB2312" w:eastAsia="仿宋_GB2312" w:cs="仿宋_GB2312"/>
          <w:b w:val="0"/>
          <w:color w:val="auto"/>
          <w:kern w:val="2"/>
          <w:sz w:val="32"/>
          <w:szCs w:val="32"/>
          <w:lang w:val="en-US" w:eastAsia="zh-CN" w:bidi="ar-SA"/>
        </w:rPr>
        <w:t>已依法办理土地所有权登记，产权明晰、无权属争议，没有法律经济纠纷；</w:t>
      </w:r>
    </w:p>
    <w:p w14:paraId="0115B499">
      <w:pPr>
        <w:pStyle w:val="5"/>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default" w:ascii="仿宋_GB2312" w:hAnsi="仿宋_GB2312" w:eastAsia="仿宋_GB2312" w:cs="仿宋_GB2312"/>
          <w:b w:val="0"/>
          <w:color w:val="auto"/>
          <w:kern w:val="2"/>
          <w:sz w:val="32"/>
          <w:szCs w:val="32"/>
          <w:lang w:val="en-US" w:eastAsia="zh-CN" w:bidi="ar-SA"/>
        </w:rPr>
      </w:pPr>
      <w:r>
        <w:rPr>
          <w:rFonts w:hint="eastAsia" w:ascii="仿宋_GB2312" w:hAnsi="仿宋_GB2312" w:eastAsia="仿宋_GB2312" w:cs="仿宋_GB2312"/>
          <w:b w:val="0"/>
          <w:color w:val="auto"/>
          <w:kern w:val="2"/>
          <w:sz w:val="32"/>
          <w:szCs w:val="32"/>
          <w:lang w:val="en-US" w:eastAsia="zh-CN" w:bidi="ar-SA"/>
        </w:rPr>
        <w:t>（三）</w:t>
      </w:r>
      <w:r>
        <w:rPr>
          <w:rFonts w:hint="default" w:ascii="仿宋_GB2312" w:hAnsi="仿宋_GB2312" w:eastAsia="仿宋_GB2312" w:cs="仿宋_GB2312"/>
          <w:b w:val="0"/>
          <w:color w:val="auto"/>
          <w:kern w:val="2"/>
          <w:sz w:val="32"/>
          <w:szCs w:val="32"/>
          <w:lang w:val="en-US" w:eastAsia="zh-CN" w:bidi="ar-SA"/>
        </w:rPr>
        <w:t>地上建（构）筑物、其他附着物产权和补偿已处理完毕的，或地上建（构）筑物、其他附着物产权依法依规经相关部门同意保留且经入市主体书面同意的可随土地一同入市；</w:t>
      </w:r>
    </w:p>
    <w:p w14:paraId="5BD532AB">
      <w:pPr>
        <w:pStyle w:val="5"/>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default" w:ascii="仿宋_GB2312" w:hAnsi="仿宋_GB2312" w:eastAsia="仿宋_GB2312" w:cs="仿宋_GB2312"/>
          <w:b w:val="0"/>
          <w:color w:val="auto"/>
          <w:kern w:val="2"/>
          <w:sz w:val="32"/>
          <w:szCs w:val="32"/>
          <w:lang w:val="en-US" w:eastAsia="zh-CN" w:bidi="ar-SA"/>
        </w:rPr>
      </w:pPr>
      <w:r>
        <w:rPr>
          <w:rFonts w:hint="eastAsia" w:ascii="仿宋_GB2312" w:hAnsi="仿宋_GB2312" w:eastAsia="仿宋_GB2312" w:cs="仿宋_GB2312"/>
          <w:b w:val="0"/>
          <w:color w:val="auto"/>
          <w:kern w:val="2"/>
          <w:sz w:val="32"/>
          <w:szCs w:val="32"/>
          <w:lang w:val="en-US" w:eastAsia="zh-CN" w:bidi="ar-SA"/>
        </w:rPr>
        <w:t>（四）</w:t>
      </w:r>
      <w:r>
        <w:rPr>
          <w:rFonts w:hint="default" w:ascii="仿宋_GB2312" w:hAnsi="仿宋_GB2312" w:eastAsia="仿宋_GB2312" w:cs="仿宋_GB2312"/>
          <w:b w:val="0"/>
          <w:color w:val="auto"/>
          <w:kern w:val="2"/>
          <w:sz w:val="32"/>
          <w:szCs w:val="32"/>
          <w:lang w:val="en-US" w:eastAsia="zh-CN" w:bidi="ar-SA"/>
        </w:rPr>
        <w:t>具备必要的通路、通水、通电、土地平整等动工开发所必需的其他基本条件；</w:t>
      </w:r>
    </w:p>
    <w:p w14:paraId="3570ECF6">
      <w:pPr>
        <w:pStyle w:val="5"/>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color w:val="auto"/>
          <w:kern w:val="2"/>
          <w:sz w:val="32"/>
          <w:szCs w:val="32"/>
          <w:lang w:val="en-US" w:eastAsia="zh-CN" w:bidi="ar-SA"/>
        </w:rPr>
      </w:pPr>
      <w:r>
        <w:rPr>
          <w:rFonts w:hint="eastAsia" w:ascii="仿宋_GB2312" w:hAnsi="仿宋_GB2312" w:eastAsia="仿宋_GB2312" w:cs="仿宋_GB2312"/>
          <w:b w:val="0"/>
          <w:color w:val="auto"/>
          <w:kern w:val="2"/>
          <w:sz w:val="32"/>
          <w:szCs w:val="32"/>
          <w:lang w:val="en-US" w:eastAsia="zh-CN" w:bidi="ar-SA"/>
        </w:rPr>
        <w:t>（五）</w:t>
      </w:r>
      <w:r>
        <w:rPr>
          <w:rFonts w:hint="default" w:ascii="仿宋_GB2312" w:hAnsi="仿宋_GB2312" w:eastAsia="仿宋_GB2312" w:cs="仿宋_GB2312"/>
          <w:b w:val="0"/>
          <w:color w:val="auto"/>
          <w:kern w:val="2"/>
          <w:sz w:val="32"/>
          <w:szCs w:val="32"/>
          <w:lang w:val="en-US" w:eastAsia="zh-CN" w:bidi="ar-SA"/>
        </w:rPr>
        <w:t>法律法规规定的其他条件。</w:t>
      </w:r>
    </w:p>
    <w:p w14:paraId="4053CEE1">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firstLine="643" w:firstLineChars="200"/>
        <w:jc w:val="left"/>
        <w:textAlignment w:val="auto"/>
        <w:rPr>
          <w:rFonts w:hint="eastAsia" w:ascii="Times New Roman" w:hAnsi="Times New Roman" w:eastAsia="黑体" w:cs="Times New Roman"/>
          <w:color w:val="auto"/>
          <w:kern w:val="2"/>
          <w:sz w:val="32"/>
          <w:szCs w:val="32"/>
          <w:lang w:val="en-US" w:eastAsia="zh-CN" w:bidi="ar-SA"/>
        </w:rPr>
      </w:pPr>
      <w:r>
        <w:rPr>
          <w:rFonts w:hint="eastAsia" w:ascii="Times New Roman" w:hAnsi="Times New Roman" w:eastAsia="黑体" w:cs="Times New Roman"/>
          <w:color w:val="auto"/>
          <w:kern w:val="2"/>
          <w:sz w:val="32"/>
          <w:szCs w:val="32"/>
          <w:lang w:val="en-US" w:eastAsia="zh-CN" w:bidi="ar-SA"/>
        </w:rPr>
        <w:t>五</w:t>
      </w:r>
      <w:r>
        <w:rPr>
          <w:rFonts w:hint="default" w:ascii="Times New Roman" w:hAnsi="Times New Roman" w:eastAsia="黑体" w:cs="Times New Roman"/>
          <w:color w:val="auto"/>
          <w:kern w:val="2"/>
          <w:sz w:val="32"/>
          <w:szCs w:val="32"/>
          <w:lang w:val="en-US" w:eastAsia="zh-CN" w:bidi="ar-SA"/>
        </w:rPr>
        <w:t>、</w:t>
      </w:r>
      <w:r>
        <w:rPr>
          <w:rFonts w:hint="eastAsia" w:ascii="Times New Roman" w:hAnsi="Times New Roman" w:eastAsia="黑体" w:cs="Times New Roman"/>
          <w:color w:val="auto"/>
          <w:kern w:val="2"/>
          <w:sz w:val="32"/>
          <w:szCs w:val="32"/>
          <w:lang w:val="en-US" w:eastAsia="zh-CN" w:bidi="ar-SA"/>
        </w:rPr>
        <w:t>主要内容</w:t>
      </w:r>
    </w:p>
    <w:p w14:paraId="3B6349ED">
      <w:pPr>
        <w:pStyle w:val="5"/>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default" w:ascii="仿宋_GB2312" w:hAnsi="仿宋_GB2312" w:eastAsia="仿宋_GB2312" w:cs="仿宋_GB2312"/>
          <w:b w:val="0"/>
          <w:color w:val="auto"/>
          <w:kern w:val="2"/>
          <w:sz w:val="32"/>
          <w:szCs w:val="32"/>
          <w:lang w:val="en-US" w:eastAsia="zh-CN" w:bidi="ar-SA"/>
        </w:rPr>
      </w:pPr>
      <w:r>
        <w:rPr>
          <w:rFonts w:hint="eastAsia" w:ascii="仿宋_GB2312" w:hAnsi="仿宋_GB2312" w:eastAsia="仿宋_GB2312" w:cs="仿宋_GB2312"/>
          <w:b w:val="0"/>
          <w:color w:val="auto"/>
          <w:kern w:val="2"/>
          <w:sz w:val="32"/>
          <w:szCs w:val="32"/>
          <w:lang w:val="en-US" w:eastAsia="zh-CN" w:bidi="ar-SA"/>
        </w:rPr>
        <w:t>结合茂县实际，着重在以下八个方面进行推进。</w:t>
      </w:r>
    </w:p>
    <w:p w14:paraId="71F439FE">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firstLine="643" w:firstLineChars="200"/>
        <w:jc w:val="left"/>
        <w:textAlignment w:val="auto"/>
        <w:rPr>
          <w:rFonts w:hint="default" w:ascii="楷体_GB2312" w:hAnsi="楷体_GB2312" w:eastAsia="楷体_GB2312" w:cs="楷体_GB2312"/>
          <w:b/>
          <w:bCs/>
          <w:color w:val="auto"/>
          <w:kern w:val="2"/>
          <w:sz w:val="32"/>
          <w:szCs w:val="32"/>
          <w:lang w:val="en-US" w:eastAsia="zh-CN" w:bidi="ar-SA"/>
        </w:rPr>
      </w:pPr>
      <w:r>
        <w:rPr>
          <w:rFonts w:hint="default" w:ascii="楷体_GB2312" w:hAnsi="楷体_GB2312" w:eastAsia="楷体_GB2312" w:cs="楷体_GB2312"/>
          <w:b/>
          <w:bCs/>
          <w:color w:val="auto"/>
          <w:kern w:val="2"/>
          <w:sz w:val="32"/>
          <w:szCs w:val="32"/>
          <w:lang w:val="en-US" w:eastAsia="zh-CN" w:bidi="ar-SA"/>
        </w:rPr>
        <w:t>（一）建立规划引领的空间用途管控机制</w:t>
      </w:r>
    </w:p>
    <w:p w14:paraId="79A917F0">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76" w:lineRule="exact"/>
        <w:ind w:left="0" w:leftChars="0" w:firstLine="640" w:firstLineChars="200"/>
        <w:textAlignment w:val="auto"/>
        <w:rPr>
          <w:rFonts w:hint="default" w:ascii="Times New Roman" w:hAnsi="Times New Roman" w:eastAsia="仿宋_GB2312" w:cs="Times New Roman"/>
          <w:color w:val="auto"/>
          <w:kern w:val="2"/>
          <w:sz w:val="32"/>
          <w:szCs w:val="32"/>
          <w:lang w:val="en-US" w:eastAsia="zh-CN" w:bidi="ar-SA"/>
        </w:rPr>
      </w:pPr>
      <w:r>
        <w:rPr>
          <w:rFonts w:hint="default" w:ascii="Times New Roman" w:hAnsi="Times New Roman" w:eastAsia="仿宋_GB2312" w:cs="Times New Roman"/>
          <w:color w:val="auto"/>
          <w:kern w:val="2"/>
          <w:sz w:val="32"/>
          <w:szCs w:val="32"/>
          <w:lang w:val="en-US" w:eastAsia="zh-CN" w:bidi="ar-SA"/>
        </w:rPr>
        <w:t>推进实用性村庄规划编制。统筹生产、生活、生态空间，统筹经营性用途与公益性用途，按需编制符合乡村实际、兼顾各方利益的实用性村庄规划。规划编制充分征求村民意见，保障知情权、参与权和监督权，确保规划贴合乡村发展需求。以依法批准的国土空间规划、</w:t>
      </w:r>
      <w:r>
        <w:rPr>
          <w:rFonts w:hint="eastAsia" w:ascii="Times New Roman" w:hAnsi="Times New Roman" w:eastAsia="仿宋_GB2312" w:cs="Times New Roman"/>
          <w:color w:val="auto"/>
          <w:kern w:val="2"/>
          <w:sz w:val="32"/>
          <w:szCs w:val="32"/>
          <w:lang w:val="en-US" w:eastAsia="zh-CN" w:bidi="ar-SA"/>
        </w:rPr>
        <w:t>乡村地区“通则式”规划管理规定、</w:t>
      </w:r>
      <w:r>
        <w:rPr>
          <w:rFonts w:hint="default" w:ascii="Times New Roman" w:hAnsi="Times New Roman" w:eastAsia="仿宋_GB2312" w:cs="Times New Roman"/>
          <w:color w:val="auto"/>
          <w:kern w:val="2"/>
          <w:sz w:val="32"/>
          <w:szCs w:val="32"/>
          <w:lang w:val="en-US" w:eastAsia="zh-CN" w:bidi="ar-SA"/>
        </w:rPr>
        <w:t>村庄规划作为核发规划条件、实施入市的法定依据。</w:t>
      </w:r>
      <w:r>
        <w:rPr>
          <w:rFonts w:hint="eastAsia" w:ascii="Times New Roman" w:hAnsi="Times New Roman" w:eastAsia="仿宋_GB2312" w:cs="Times New Roman"/>
          <w:color w:val="auto"/>
          <w:kern w:val="2"/>
          <w:sz w:val="32"/>
          <w:szCs w:val="32"/>
          <w:lang w:val="en-US" w:eastAsia="zh-CN" w:bidi="ar-SA"/>
        </w:rPr>
        <w:t>同时</w:t>
      </w:r>
      <w:r>
        <w:rPr>
          <w:rFonts w:hint="default" w:ascii="Times New Roman" w:hAnsi="Times New Roman" w:eastAsia="仿宋_GB2312" w:cs="Times New Roman"/>
          <w:color w:val="auto"/>
          <w:kern w:val="2"/>
          <w:sz w:val="32"/>
          <w:szCs w:val="32"/>
          <w:lang w:val="en-US" w:eastAsia="zh-CN" w:bidi="ar-SA"/>
        </w:rPr>
        <w:t>严格土地用途管制。入市土地用途需符合国家、省、州及我县产业政策与生态环保要求，重点保障农副产品加工、仓储物流、乡村旅游、民宿餐饮、经营性养老、科教文卫等产业用地需求。严格管控禁止类用途，严禁擅自改变土地用途，确需变更的需按程序履行审批手续。</w:t>
      </w:r>
    </w:p>
    <w:p w14:paraId="0CFA25A9">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firstLine="643" w:firstLineChars="200"/>
        <w:jc w:val="left"/>
        <w:textAlignment w:val="auto"/>
        <w:rPr>
          <w:rFonts w:hint="default" w:ascii="楷体_GB2312" w:hAnsi="楷体_GB2312" w:eastAsia="楷体_GB2312" w:cs="楷体_GB2312"/>
          <w:b/>
          <w:bCs/>
          <w:color w:val="auto"/>
          <w:kern w:val="2"/>
          <w:sz w:val="32"/>
          <w:szCs w:val="32"/>
          <w:lang w:val="en-US" w:eastAsia="zh-CN" w:bidi="ar-SA"/>
        </w:rPr>
      </w:pPr>
      <w:r>
        <w:rPr>
          <w:rFonts w:hint="default" w:ascii="楷体_GB2312" w:hAnsi="楷体_GB2312" w:eastAsia="楷体_GB2312" w:cs="楷体_GB2312"/>
          <w:b/>
          <w:bCs/>
          <w:color w:val="auto"/>
          <w:kern w:val="2"/>
          <w:sz w:val="32"/>
          <w:szCs w:val="32"/>
          <w:lang w:val="en-US" w:eastAsia="zh-CN" w:bidi="ar-SA"/>
        </w:rPr>
        <w:t>（二）建立健全入市主体组织形式</w:t>
      </w:r>
    </w:p>
    <w:p w14:paraId="388E4D20">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76" w:lineRule="exact"/>
        <w:ind w:firstLine="640" w:firstLineChars="200"/>
        <w:textAlignment w:val="auto"/>
        <w:rPr>
          <w:rFonts w:hint="default" w:ascii="Times New Roman" w:hAnsi="Times New Roman" w:eastAsia="仿宋_GB2312" w:cs="Times New Roman"/>
          <w:color w:val="auto"/>
          <w:kern w:val="2"/>
          <w:sz w:val="32"/>
          <w:szCs w:val="32"/>
          <w:lang w:val="en-US" w:eastAsia="zh-CN" w:bidi="ar-SA"/>
        </w:rPr>
      </w:pPr>
      <w:r>
        <w:rPr>
          <w:rFonts w:hint="default" w:ascii="Times New Roman" w:hAnsi="Times New Roman" w:eastAsia="仿宋_GB2312" w:cs="Times New Roman"/>
          <w:color w:val="auto"/>
          <w:kern w:val="2"/>
          <w:sz w:val="32"/>
          <w:szCs w:val="32"/>
          <w:lang w:val="en-US" w:eastAsia="zh-CN" w:bidi="ar-SA"/>
        </w:rPr>
        <w:t>建立健全村组集体经济组织，培育专业入市代理经营公司。入市主体为拥有土地所有权的农村集体经济组织，明确入市主体的权利和义务，规范委托代理程序，保障农村集体经济组织及其成员的合法权益。</w:t>
      </w:r>
    </w:p>
    <w:p w14:paraId="1A02BE79">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firstLine="643" w:firstLineChars="200"/>
        <w:jc w:val="left"/>
        <w:textAlignment w:val="auto"/>
        <w:rPr>
          <w:rFonts w:hint="default" w:ascii="楷体_GB2312" w:hAnsi="楷体_GB2312" w:eastAsia="楷体_GB2312" w:cs="楷体_GB2312"/>
          <w:b/>
          <w:bCs/>
          <w:color w:val="auto"/>
          <w:kern w:val="2"/>
          <w:sz w:val="32"/>
          <w:szCs w:val="32"/>
          <w:lang w:val="en-US" w:eastAsia="zh-CN" w:bidi="ar-SA"/>
        </w:rPr>
      </w:pPr>
      <w:r>
        <w:rPr>
          <w:rFonts w:hint="default" w:ascii="楷体_GB2312" w:hAnsi="楷体_GB2312" w:eastAsia="楷体_GB2312" w:cs="楷体_GB2312"/>
          <w:b/>
          <w:bCs/>
          <w:color w:val="auto"/>
          <w:kern w:val="2"/>
          <w:sz w:val="32"/>
          <w:szCs w:val="32"/>
          <w:lang w:val="en-US" w:eastAsia="zh-CN" w:bidi="ar-SA"/>
        </w:rPr>
        <w:t>（三）建立完善农村集体经营性建设用地使用方式</w:t>
      </w:r>
    </w:p>
    <w:p w14:paraId="6891CBD4">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76" w:lineRule="exact"/>
        <w:ind w:firstLine="640" w:firstLineChars="200"/>
        <w:textAlignment w:val="auto"/>
        <w:rPr>
          <w:rFonts w:hint="default" w:ascii="Times New Roman" w:hAnsi="Times New Roman" w:eastAsia="仿宋_GB2312" w:cs="Times New Roman"/>
          <w:color w:val="auto"/>
          <w:kern w:val="2"/>
          <w:sz w:val="32"/>
          <w:szCs w:val="32"/>
          <w:lang w:val="en-US" w:eastAsia="zh-CN" w:bidi="ar-SA"/>
        </w:rPr>
      </w:pPr>
      <w:r>
        <w:rPr>
          <w:rFonts w:hint="default" w:ascii="Times New Roman" w:hAnsi="Times New Roman" w:eastAsia="仿宋_GB2312" w:cs="Times New Roman"/>
          <w:color w:val="auto"/>
          <w:kern w:val="2"/>
          <w:sz w:val="32"/>
          <w:szCs w:val="32"/>
          <w:lang w:val="en-US" w:eastAsia="zh-CN" w:bidi="ar-SA"/>
        </w:rPr>
        <w:t>农村集体经营性建设用地入市交易方式为出让、出租等，采用招标、拍卖、挂牌或者协议等形式进行交易。入市交易原则上纳入公共资源交易平台，实行统一管理，确保交易过程公开、公平、公正。农村集体经营性建设用地出让、出租年限不得超过国家规定国有建设用地同类土地用途的最高年限。入市宗地成交并经公示期满后，土地所有权人、使用权人应当依照《中华人民共和国民法典》《中华人民共和国土地管理法》等法律、法规的规定，参照自然资源部、国家市场监督管理总局印发的出让合同和监管协议示范文本签订书面合同，并与县级人民政府签订三方监管协议。积极探索工业、仓储等用地的长期租赁、先租后让、租让结合和弹性年期等供应方式，满足不同产业和项目的用地需求，提高土地利用效率。</w:t>
      </w:r>
    </w:p>
    <w:p w14:paraId="4EB3C67A">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firstLine="643" w:firstLineChars="200"/>
        <w:jc w:val="left"/>
        <w:textAlignment w:val="auto"/>
        <w:rPr>
          <w:rFonts w:hint="default" w:ascii="楷体_GB2312" w:hAnsi="楷体_GB2312" w:eastAsia="楷体_GB2312" w:cs="楷体_GB2312"/>
          <w:b/>
          <w:bCs/>
          <w:color w:val="auto"/>
          <w:kern w:val="2"/>
          <w:sz w:val="32"/>
          <w:szCs w:val="32"/>
          <w:lang w:val="en-US" w:eastAsia="zh-CN" w:bidi="ar-SA"/>
        </w:rPr>
      </w:pPr>
      <w:r>
        <w:rPr>
          <w:rFonts w:hint="default" w:ascii="楷体_GB2312" w:hAnsi="楷体_GB2312" w:eastAsia="楷体_GB2312" w:cs="楷体_GB2312"/>
          <w:b/>
          <w:bCs/>
          <w:color w:val="auto"/>
          <w:kern w:val="2"/>
          <w:sz w:val="32"/>
          <w:szCs w:val="32"/>
          <w:lang w:val="en-US" w:eastAsia="zh-CN" w:bidi="ar-SA"/>
        </w:rPr>
        <w:t>（四）农村集体经营性建设用地摸底与信息化管理要求</w:t>
      </w:r>
    </w:p>
    <w:p w14:paraId="70A7D3D9">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firstLine="640" w:firstLineChars="200"/>
        <w:jc w:val="left"/>
        <w:textAlignment w:val="auto"/>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以第三次全国国土调查及年度变更调查成果为基础，结合国土空间规划确定范围，合理选择拟入市宗地，开展地籍调查，全面查清拟入市土地的坐落、四至、界址、面积、权属、规划条件及流转状况等核心信息，精准摸清可入市后备土地资源底数。同步建立农村集体经营性建设用地专项数据库，将潜力地块纳入国土空间规划“一张图”实施监督信息系统；严格落实自然资源部工作要求，依托已开通的入市模块，将所有入市宗地纳入土地市场动态监测与监管系统，实现全流程信息填报与闭环监管。</w:t>
      </w:r>
    </w:p>
    <w:p w14:paraId="1B37748C">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firstLine="643" w:firstLineChars="200"/>
        <w:jc w:val="left"/>
        <w:textAlignment w:val="auto"/>
        <w:rPr>
          <w:rFonts w:hint="default" w:ascii="楷体_GB2312" w:hAnsi="楷体_GB2312" w:eastAsia="楷体_GB2312" w:cs="楷体_GB2312"/>
          <w:b/>
          <w:bCs/>
          <w:color w:val="auto"/>
          <w:kern w:val="2"/>
          <w:sz w:val="32"/>
          <w:szCs w:val="32"/>
          <w:lang w:val="en-US" w:eastAsia="zh-CN" w:bidi="ar-SA"/>
        </w:rPr>
      </w:pPr>
      <w:r>
        <w:rPr>
          <w:rFonts w:hint="default" w:ascii="楷体_GB2312" w:hAnsi="楷体_GB2312" w:eastAsia="楷体_GB2312" w:cs="楷体_GB2312"/>
          <w:b/>
          <w:bCs/>
          <w:color w:val="auto"/>
          <w:kern w:val="2"/>
          <w:sz w:val="32"/>
          <w:szCs w:val="32"/>
          <w:lang w:val="en-US" w:eastAsia="zh-CN" w:bidi="ar-SA"/>
        </w:rPr>
        <w:t>（五）建立完善土地增值收益分配机制</w:t>
      </w:r>
    </w:p>
    <w:p w14:paraId="22443895">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76" w:lineRule="exact"/>
        <w:ind w:firstLine="640" w:firstLineChars="200"/>
        <w:textAlignment w:val="auto"/>
        <w:rPr>
          <w:rFonts w:hint="eastAsia"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按照</w:t>
      </w:r>
      <w:r>
        <w:rPr>
          <w:rFonts w:hint="eastAsia" w:ascii="仿宋_GB2312" w:hAnsi="仿宋_GB2312" w:eastAsia="仿宋_GB2312" w:cs="仿宋_GB2312"/>
          <w:color w:val="auto"/>
          <w:kern w:val="2"/>
          <w:sz w:val="32"/>
          <w:szCs w:val="32"/>
          <w:highlight w:val="none"/>
          <w:lang w:val="en-US" w:eastAsia="zh-CN" w:bidi="ar-SA"/>
        </w:rPr>
        <w:t>“公平、合理、共享”</w:t>
      </w:r>
      <w:r>
        <w:rPr>
          <w:rFonts w:hint="default" w:ascii="Times New Roman" w:hAnsi="Times New Roman" w:eastAsia="仿宋_GB2312" w:cs="Times New Roman"/>
          <w:color w:val="auto"/>
          <w:kern w:val="2"/>
          <w:sz w:val="32"/>
          <w:szCs w:val="32"/>
          <w:highlight w:val="none"/>
          <w:lang w:val="en-US" w:eastAsia="zh-CN" w:bidi="ar-SA"/>
        </w:rPr>
        <w:t>的利益分配要求，建立国家、集体、个人土地增值收益分配机制（农村集体经营性建设用地土地增值收益，是指农村集体经营性建设用地入市环节入市收入扣除取得成本和土地开发支出后的净收益，以及再转让环节的再转让收入扣除取得成本和土地开发支出后的净收益）。由县财政局会同县自然资源局制定《茂县农村集体经营性建设用地土地增值收益调节金征收管理办法》，确保农村集体经济组织及其成员从不同用途入市土地所得收益基本均衡。指导农村集体经济组织之间合作入市、合理分配收益。财政部门明确土地增值收益核算方法，综合考虑形成土地增值收益的各项因素，按入市或者再转让农村集体经营性建设用地土地增值收益的20%—50%收取土地增值收益调节金（具体比例根据土地用途等条件在农村集体经营性建设用地增值收益调节金管理办法中予以明确），调节金全额上缴</w:t>
      </w:r>
      <w:r>
        <w:rPr>
          <w:rFonts w:hint="eastAsia" w:ascii="Times New Roman" w:hAnsi="Times New Roman" w:eastAsia="仿宋_GB2312" w:cs="Times New Roman"/>
          <w:color w:val="auto"/>
          <w:kern w:val="2"/>
          <w:sz w:val="32"/>
          <w:szCs w:val="32"/>
          <w:highlight w:val="none"/>
          <w:lang w:val="en-US" w:eastAsia="zh-CN" w:bidi="ar-SA"/>
        </w:rPr>
        <w:t>县</w:t>
      </w:r>
      <w:r>
        <w:rPr>
          <w:rFonts w:hint="default" w:ascii="Times New Roman" w:hAnsi="Times New Roman" w:eastAsia="仿宋_GB2312" w:cs="Times New Roman"/>
          <w:color w:val="auto"/>
          <w:kern w:val="2"/>
          <w:sz w:val="32"/>
          <w:szCs w:val="32"/>
          <w:highlight w:val="none"/>
          <w:lang w:val="en-US" w:eastAsia="zh-CN" w:bidi="ar-SA"/>
        </w:rPr>
        <w:t>级国库。明确集体与个人的合理分配比例，完善村集体资产管理使用监督制度，指导农村集体经济组织按程序落实</w:t>
      </w:r>
      <w:r>
        <w:rPr>
          <w:rFonts w:hint="eastAsia" w:ascii="仿宋_GB2312" w:hAnsi="仿宋_GB2312" w:eastAsia="仿宋_GB2312" w:cs="仿宋_GB2312"/>
          <w:color w:val="auto"/>
          <w:kern w:val="2"/>
          <w:sz w:val="32"/>
          <w:szCs w:val="32"/>
          <w:highlight w:val="none"/>
          <w:lang w:val="en-US" w:eastAsia="zh-CN" w:bidi="ar-SA"/>
        </w:rPr>
        <w:t>“</w:t>
      </w:r>
      <w:r>
        <w:rPr>
          <w:rFonts w:hint="default" w:ascii="Times New Roman" w:hAnsi="Times New Roman" w:eastAsia="仿宋_GB2312" w:cs="Times New Roman"/>
          <w:color w:val="auto"/>
          <w:kern w:val="2"/>
          <w:sz w:val="32"/>
          <w:szCs w:val="32"/>
          <w:highlight w:val="none"/>
          <w:lang w:val="en-US" w:eastAsia="zh-CN" w:bidi="ar-SA"/>
        </w:rPr>
        <w:t>四议两公开</w:t>
      </w:r>
      <w:r>
        <w:rPr>
          <w:rFonts w:hint="eastAsia" w:ascii="仿宋_GB2312" w:hAnsi="仿宋_GB2312" w:eastAsia="仿宋_GB2312" w:cs="仿宋_GB2312"/>
          <w:color w:val="auto"/>
          <w:kern w:val="2"/>
          <w:sz w:val="32"/>
          <w:szCs w:val="32"/>
          <w:highlight w:val="none"/>
          <w:lang w:val="en-US" w:eastAsia="zh-CN" w:bidi="ar-SA"/>
        </w:rPr>
        <w:t>”</w:t>
      </w:r>
      <w:r>
        <w:rPr>
          <w:rFonts w:hint="default" w:ascii="Times New Roman" w:hAnsi="Times New Roman" w:eastAsia="仿宋_GB2312" w:cs="Times New Roman"/>
          <w:color w:val="auto"/>
          <w:kern w:val="2"/>
          <w:sz w:val="32"/>
          <w:szCs w:val="32"/>
          <w:highlight w:val="none"/>
          <w:lang w:val="en-US" w:eastAsia="zh-CN" w:bidi="ar-SA"/>
        </w:rPr>
        <w:t>机制，参照执行《农村集体经济组织法》关</w:t>
      </w:r>
      <w:r>
        <w:rPr>
          <w:rFonts w:hint="eastAsia" w:ascii="仿宋_GB2312" w:hAnsi="仿宋_GB2312" w:eastAsia="仿宋_GB2312" w:cs="仿宋_GB2312"/>
          <w:color w:val="auto"/>
          <w:kern w:val="2"/>
          <w:sz w:val="32"/>
          <w:szCs w:val="32"/>
          <w:highlight w:val="none"/>
          <w:lang w:val="en-US" w:eastAsia="zh-CN" w:bidi="ar-SA"/>
        </w:rPr>
        <w:t>于“三会”</w:t>
      </w:r>
      <w:r>
        <w:rPr>
          <w:rFonts w:hint="default" w:ascii="Times New Roman" w:hAnsi="Times New Roman" w:eastAsia="仿宋_GB2312" w:cs="Times New Roman"/>
          <w:color w:val="auto"/>
          <w:kern w:val="2"/>
          <w:sz w:val="32"/>
          <w:szCs w:val="32"/>
          <w:highlight w:val="none"/>
          <w:lang w:val="en-US" w:eastAsia="zh-CN" w:bidi="ar-SA"/>
        </w:rPr>
        <w:t>运行规定，建立集体经济组织成员认可的合理利益分配机制，壮大村集体经济积累，加快新农村基础设施建设和公共服务供给</w:t>
      </w:r>
      <w:r>
        <w:rPr>
          <w:rFonts w:hint="eastAsia" w:ascii="Times New Roman" w:hAnsi="Times New Roman" w:eastAsia="仿宋_GB2312" w:cs="Times New Roman"/>
          <w:color w:val="auto"/>
          <w:kern w:val="2"/>
          <w:sz w:val="32"/>
          <w:szCs w:val="32"/>
          <w:highlight w:val="none"/>
          <w:lang w:val="en-US" w:eastAsia="zh-CN" w:bidi="ar-SA"/>
        </w:rPr>
        <w:t>。</w:t>
      </w:r>
    </w:p>
    <w:p w14:paraId="12852D3A">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firstLine="643" w:firstLineChars="200"/>
        <w:jc w:val="left"/>
        <w:textAlignment w:val="auto"/>
        <w:rPr>
          <w:rFonts w:hint="default" w:ascii="楷体_GB2312" w:hAnsi="楷体_GB2312" w:eastAsia="楷体_GB2312" w:cs="楷体_GB2312"/>
          <w:b/>
          <w:bCs/>
          <w:color w:val="auto"/>
          <w:kern w:val="2"/>
          <w:sz w:val="32"/>
          <w:szCs w:val="32"/>
          <w:lang w:val="en-US" w:eastAsia="zh-CN" w:bidi="ar-SA"/>
        </w:rPr>
      </w:pPr>
      <w:r>
        <w:rPr>
          <w:rFonts w:hint="default" w:ascii="楷体_GB2312" w:hAnsi="楷体_GB2312" w:eastAsia="楷体_GB2312" w:cs="楷体_GB2312"/>
          <w:b/>
          <w:bCs/>
          <w:color w:val="auto"/>
          <w:kern w:val="2"/>
          <w:sz w:val="32"/>
          <w:szCs w:val="32"/>
          <w:lang w:val="en-US" w:eastAsia="zh-CN" w:bidi="ar-SA"/>
        </w:rPr>
        <w:t>（六）建立完善服务管理监督机制</w:t>
      </w:r>
    </w:p>
    <w:p w14:paraId="345C963B">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76" w:lineRule="exact"/>
        <w:ind w:firstLine="640" w:firstLineChars="200"/>
        <w:textAlignment w:val="auto"/>
        <w:rPr>
          <w:rFonts w:hint="default" w:ascii="Times New Roman" w:hAnsi="Times New Roman" w:eastAsia="仿宋_GB2312" w:cs="Times New Roman"/>
          <w:color w:val="auto"/>
          <w:kern w:val="2"/>
          <w:sz w:val="32"/>
          <w:szCs w:val="32"/>
          <w:lang w:val="en-US" w:eastAsia="zh-CN" w:bidi="ar-SA"/>
        </w:rPr>
      </w:pPr>
      <w:r>
        <w:rPr>
          <w:rFonts w:hint="default" w:ascii="Times New Roman" w:hAnsi="Times New Roman" w:eastAsia="仿宋_GB2312" w:cs="Times New Roman"/>
          <w:color w:val="auto"/>
          <w:kern w:val="2"/>
          <w:sz w:val="32"/>
          <w:szCs w:val="32"/>
          <w:lang w:val="en-US" w:eastAsia="zh-CN" w:bidi="ar-SA"/>
        </w:rPr>
        <w:t>建立农村集体经营性建设用地入市及项目开发经营服务管理监督机制，将农村集体经营性建设用地的供应计划、入市价格监管、开发利用申报、土地市场动态巡查、信用体系管理、城乡建设用地地价评估、项目开发建设、项目整体转让、分拆销售、租赁住房管理等服务监管内容，参照国有建设用地市场监管模式出台细化监管机制，推动城乡建设用地市场统一，涉及土地用途变更为住宅、公共管理与公共服务用地的，变更前应当按照规定进行土壤污染状况调查。各相关部门按照职责分工，加强协调配合，形成监管合力，确保入市土地的开发利用符合规划要求和相关规定，维护土地市场秩序和公共利益。建立健全信用评价体系，对入市主体、开发企业等相关参与方的信用情况进行记录和评价，实行守信激励、失信惩戒。</w:t>
      </w:r>
    </w:p>
    <w:p w14:paraId="5872285E">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firstLine="643" w:firstLineChars="200"/>
        <w:jc w:val="left"/>
        <w:textAlignment w:val="auto"/>
        <w:rPr>
          <w:rFonts w:hint="default" w:ascii="楷体_GB2312" w:hAnsi="楷体_GB2312" w:eastAsia="楷体_GB2312" w:cs="楷体_GB2312"/>
          <w:b/>
          <w:bCs/>
          <w:color w:val="auto"/>
          <w:kern w:val="2"/>
          <w:sz w:val="32"/>
          <w:szCs w:val="32"/>
          <w:lang w:val="en-US" w:eastAsia="zh-CN" w:bidi="ar-SA"/>
        </w:rPr>
      </w:pPr>
      <w:r>
        <w:rPr>
          <w:rFonts w:hint="default" w:ascii="楷体_GB2312" w:hAnsi="楷体_GB2312" w:eastAsia="楷体_GB2312" w:cs="楷体_GB2312"/>
          <w:b/>
          <w:bCs/>
          <w:color w:val="auto"/>
          <w:kern w:val="2"/>
          <w:sz w:val="32"/>
          <w:szCs w:val="32"/>
          <w:lang w:val="en-US" w:eastAsia="zh-CN" w:bidi="ar-SA"/>
        </w:rPr>
        <w:t>（七）建立完善历史遗留问题处理机制</w:t>
      </w:r>
    </w:p>
    <w:p w14:paraId="5FF42C4A">
      <w:pPr>
        <w:pStyle w:val="6"/>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firstLine="640" w:firstLineChars="200"/>
        <w:jc w:val="both"/>
        <w:textAlignment w:val="auto"/>
        <w:rPr>
          <w:rFonts w:hint="default" w:ascii="Times New Roman" w:hAnsi="Times New Roman" w:eastAsia="仿宋_GB2312" w:cs="Times New Roman"/>
          <w:color w:val="auto"/>
          <w:kern w:val="2"/>
          <w:sz w:val="32"/>
          <w:szCs w:val="32"/>
          <w:lang w:val="en-US" w:eastAsia="zh-CN" w:bidi="ar-SA"/>
        </w:rPr>
      </w:pPr>
      <w:r>
        <w:rPr>
          <w:rFonts w:hint="default" w:ascii="Times New Roman" w:hAnsi="Times New Roman" w:eastAsia="仿宋_GB2312" w:cs="Times New Roman"/>
          <w:color w:val="auto"/>
          <w:kern w:val="2"/>
          <w:sz w:val="32"/>
          <w:szCs w:val="32"/>
          <w:lang w:val="en-US" w:eastAsia="zh-CN" w:bidi="ar-SA"/>
        </w:rPr>
        <w:t>探索解决集体建设用地历史遗留问题的政策措施，研究对1999年以前、2009年以前已经形成并经第二次全国土地调查及最新年度国土变更调查为建设用地，但尚未取得合法用地手续的历史遗留建设用地处置办法。在合法合规的基础上，充分发挥村民自治作用，稳妥解决不符合规划、缺乏合法手续、土地利用效率低等历史遗留问题。按照尊重历史、实事求是、分类处置的原则，明确处置条件、程序和要求，依法依规为符合条件的历史遗留建设用地补办相关手续，规范土地管理秩序，保障土地权利人的合法权益。国家关于有序推进农村集体经营性建设用地入市改革的政策文件出台后，入市工作按国家最新政策法规执行。</w:t>
      </w:r>
    </w:p>
    <w:p w14:paraId="38CF04F1">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firstLine="643" w:firstLineChars="200"/>
        <w:jc w:val="left"/>
        <w:textAlignment w:val="auto"/>
        <w:rPr>
          <w:rFonts w:hint="default" w:ascii="楷体_GB2312" w:hAnsi="楷体_GB2312" w:eastAsia="楷体_GB2312" w:cs="楷体_GB2312"/>
          <w:b/>
          <w:bCs/>
          <w:color w:val="auto"/>
          <w:kern w:val="2"/>
          <w:sz w:val="32"/>
          <w:szCs w:val="32"/>
          <w:lang w:val="en-US" w:eastAsia="zh-CN" w:bidi="ar-SA"/>
        </w:rPr>
      </w:pPr>
      <w:r>
        <w:rPr>
          <w:rFonts w:hint="default" w:ascii="楷体_GB2312" w:hAnsi="楷体_GB2312" w:eastAsia="楷体_GB2312" w:cs="楷体_GB2312"/>
          <w:b/>
          <w:bCs/>
          <w:color w:val="auto"/>
          <w:kern w:val="2"/>
          <w:sz w:val="32"/>
          <w:szCs w:val="32"/>
          <w:lang w:val="en-US" w:eastAsia="zh-CN" w:bidi="ar-SA"/>
        </w:rPr>
        <w:t>（八）健全完善风险防控评估机制</w:t>
      </w:r>
    </w:p>
    <w:p w14:paraId="64802851">
      <w:pPr>
        <w:pStyle w:val="6"/>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firstLine="640" w:firstLineChars="200"/>
        <w:textAlignment w:val="auto"/>
        <w:rPr>
          <w:rFonts w:hint="default" w:ascii="Times New Roman" w:hAnsi="Times New Roman" w:eastAsia="仿宋_GB2312" w:cs="Times New Roman"/>
          <w:color w:val="auto"/>
          <w:kern w:val="2"/>
          <w:sz w:val="32"/>
          <w:szCs w:val="32"/>
          <w:lang w:val="en-US" w:eastAsia="zh-CN" w:bidi="ar-SA"/>
        </w:rPr>
      </w:pPr>
      <w:r>
        <w:rPr>
          <w:rFonts w:hint="default" w:ascii="Times New Roman" w:hAnsi="Times New Roman" w:eastAsia="仿宋_GB2312" w:cs="Times New Roman"/>
          <w:color w:val="auto"/>
          <w:kern w:val="2"/>
          <w:sz w:val="32"/>
          <w:szCs w:val="32"/>
          <w:lang w:val="en-US" w:eastAsia="zh-CN" w:bidi="ar-SA"/>
        </w:rPr>
        <w:t>入市主体作为社会稳定风险评估责任主体，需委托第三方机构对拟入市宗地开展社会稳定风险评估，形成评估报告与处置预案并报县委政法委备案。评估认定为中高风险的宗地，暂缓入市，待风险化解到位后再行推进。同步建立入市工作风险研判机制，定期排查规划、权属、收益分配、征地拆迁等环节风险隐患，提前制定应对措施，保障入市工作平稳推进。</w:t>
      </w:r>
    </w:p>
    <w:p w14:paraId="4B73AD00">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firstLine="643" w:firstLineChars="200"/>
        <w:jc w:val="left"/>
        <w:textAlignment w:val="auto"/>
        <w:rPr>
          <w:rFonts w:hint="default" w:ascii="Times New Roman" w:hAnsi="Times New Roman" w:eastAsia="黑体" w:cs="Times New Roman"/>
          <w:color w:val="auto"/>
          <w:kern w:val="2"/>
          <w:sz w:val="32"/>
          <w:szCs w:val="32"/>
          <w:lang w:val="en-US" w:eastAsia="zh-CN" w:bidi="ar-SA"/>
        </w:rPr>
      </w:pPr>
      <w:r>
        <w:rPr>
          <w:rFonts w:hint="eastAsia" w:ascii="Times New Roman" w:hAnsi="Times New Roman" w:eastAsia="黑体" w:cs="Times New Roman"/>
          <w:color w:val="auto"/>
          <w:kern w:val="2"/>
          <w:sz w:val="32"/>
          <w:szCs w:val="32"/>
          <w:lang w:val="en-US" w:eastAsia="zh-CN" w:bidi="ar-SA"/>
        </w:rPr>
        <w:t>六</w:t>
      </w:r>
      <w:r>
        <w:rPr>
          <w:rFonts w:hint="default" w:ascii="Times New Roman" w:hAnsi="Times New Roman" w:eastAsia="黑体" w:cs="Times New Roman"/>
          <w:color w:val="auto"/>
          <w:kern w:val="2"/>
          <w:sz w:val="32"/>
          <w:szCs w:val="32"/>
          <w:lang w:val="en-US" w:eastAsia="zh-CN" w:bidi="ar-SA"/>
        </w:rPr>
        <w:t>、实施步骤</w:t>
      </w:r>
    </w:p>
    <w:p w14:paraId="139552C7">
      <w:pPr>
        <w:pStyle w:val="6"/>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firstLine="640" w:firstLineChars="200"/>
        <w:jc w:val="both"/>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按照“全域统筹、分类施策、</w:t>
      </w:r>
      <w:r>
        <w:rPr>
          <w:rFonts w:hint="default" w:ascii="Times New Roman" w:hAnsi="Times New Roman" w:eastAsia="仿宋_GB2312" w:cs="Times New Roman"/>
          <w:color w:val="auto"/>
          <w:kern w:val="2"/>
          <w:sz w:val="32"/>
          <w:szCs w:val="32"/>
          <w:lang w:val="en-US" w:eastAsia="zh-CN" w:bidi="ar-SA"/>
        </w:rPr>
        <w:t>试点先行、</w:t>
      </w:r>
      <w:r>
        <w:rPr>
          <w:rFonts w:hint="eastAsia" w:ascii="仿宋_GB2312" w:hAnsi="仿宋_GB2312" w:eastAsia="仿宋_GB2312" w:cs="仿宋_GB2312"/>
          <w:color w:val="auto"/>
          <w:kern w:val="2"/>
          <w:sz w:val="32"/>
          <w:szCs w:val="32"/>
          <w:lang w:val="en-US" w:eastAsia="zh-CN" w:bidi="ar-SA"/>
        </w:rPr>
        <w:t>有序推进”的总体思路，综合考量各镇村民参与意愿、土地入市需求、工作基础保障等核心要素，科学划定全域推进批次与区域范围。优先在具备成熟条件的区域启动农村集体经营性建设用地入市工作，通过典型引领、以点带面，逐步扩大覆盖范围。在推进过程中持续优化工作流程、健全制度机制、化解各类风险，同步开展动态评估与经验提炼，按照“成熟一片、推进一片”的原则，稳步实现农村集体经营性建设用地入市工作在全县范围内的规范化、常态化运行，确保入市平稳落地、红利全域共享。</w:t>
      </w:r>
    </w:p>
    <w:p w14:paraId="2B2201BE">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firstLine="643" w:firstLineChars="200"/>
        <w:jc w:val="left"/>
        <w:textAlignment w:val="auto"/>
        <w:rPr>
          <w:rFonts w:hint="default" w:ascii="楷体_GB2312" w:hAnsi="楷体_GB2312" w:eastAsia="楷体_GB2312" w:cs="楷体_GB2312"/>
          <w:b/>
          <w:bCs/>
          <w:color w:val="auto"/>
          <w:kern w:val="2"/>
          <w:sz w:val="32"/>
          <w:szCs w:val="32"/>
          <w:lang w:val="en-US" w:eastAsia="zh-CN" w:bidi="ar-SA"/>
        </w:rPr>
      </w:pPr>
      <w:r>
        <w:rPr>
          <w:rFonts w:hint="default" w:ascii="楷体_GB2312" w:hAnsi="楷体_GB2312" w:eastAsia="楷体_GB2312" w:cs="楷体_GB2312"/>
          <w:b/>
          <w:bCs/>
          <w:color w:val="auto"/>
          <w:kern w:val="2"/>
          <w:sz w:val="32"/>
          <w:szCs w:val="32"/>
          <w:lang w:val="en-US" w:eastAsia="zh-CN" w:bidi="ar-SA"/>
        </w:rPr>
        <w:t>（一）方案</w:t>
      </w:r>
      <w:r>
        <w:rPr>
          <w:rFonts w:hint="eastAsia" w:ascii="楷体_GB2312" w:hAnsi="楷体_GB2312" w:eastAsia="楷体_GB2312" w:cs="楷体_GB2312"/>
          <w:b/>
          <w:bCs/>
          <w:color w:val="auto"/>
          <w:kern w:val="2"/>
          <w:sz w:val="32"/>
          <w:szCs w:val="32"/>
          <w:lang w:val="en-US" w:eastAsia="zh-CN" w:bidi="ar-SA"/>
        </w:rPr>
        <w:t>编制阶段（2026年3月-7月）</w:t>
      </w:r>
    </w:p>
    <w:p w14:paraId="78F45BA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Times New Roman" w:hAnsi="Times New Roman" w:eastAsia="仿宋_GB2312" w:cs="Times New Roman"/>
          <w:color w:val="auto"/>
          <w:kern w:val="2"/>
          <w:sz w:val="32"/>
          <w:szCs w:val="32"/>
          <w:lang w:val="en-US" w:eastAsia="zh-CN" w:bidi="ar-SA"/>
        </w:rPr>
        <w:t>1.</w:t>
      </w:r>
      <w:r>
        <w:rPr>
          <w:rFonts w:hint="default" w:ascii="Times New Roman" w:hAnsi="Times New Roman" w:eastAsia="仿宋_GB2312" w:cs="Times New Roman"/>
          <w:color w:val="auto"/>
          <w:kern w:val="2"/>
          <w:sz w:val="32"/>
          <w:szCs w:val="32"/>
          <w:lang w:val="en-US" w:eastAsia="zh-CN" w:bidi="ar-SA"/>
        </w:rPr>
        <w:t>根据党中央国务院、省委省政府、州委州政府部署要求，</w:t>
      </w:r>
      <w:r>
        <w:rPr>
          <w:rFonts w:hint="eastAsia" w:ascii="Times New Roman" w:hAnsi="Times New Roman" w:eastAsia="仿宋_GB2312" w:cs="Times New Roman"/>
          <w:color w:val="auto"/>
          <w:kern w:val="2"/>
          <w:sz w:val="32"/>
          <w:szCs w:val="32"/>
          <w:lang w:val="en-US" w:eastAsia="zh-CN" w:bidi="ar-SA"/>
        </w:rPr>
        <w:t>深入开展调研，广泛征求各方意见，结合全县实际，编制完成</w:t>
      </w:r>
      <w:r>
        <w:rPr>
          <w:rFonts w:hint="eastAsia" w:ascii="仿宋_GB2312" w:hAnsi="仿宋_GB2312" w:eastAsia="仿宋_GB2312" w:cs="仿宋_GB2312"/>
          <w:color w:val="auto"/>
          <w:sz w:val="32"/>
          <w:szCs w:val="32"/>
          <w:lang w:val="en-US" w:eastAsia="zh-CN"/>
        </w:rPr>
        <w:t>《茂县农村集体经营性建设用地入市工作具体推进方案》，并按程序报请审定。</w:t>
      </w:r>
    </w:p>
    <w:p w14:paraId="649E0E9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kern w:val="2"/>
          <w:sz w:val="32"/>
          <w:szCs w:val="32"/>
          <w:lang w:val="en-US" w:eastAsia="zh-CN" w:bidi="ar-SA"/>
        </w:rPr>
      </w:pPr>
      <w:r>
        <w:rPr>
          <w:rFonts w:hint="eastAsia" w:ascii="Times New Roman" w:hAnsi="Times New Roman" w:eastAsia="仿宋_GB2312" w:cs="Times New Roman"/>
          <w:color w:val="auto"/>
          <w:kern w:val="2"/>
          <w:sz w:val="32"/>
          <w:szCs w:val="32"/>
          <w:lang w:val="en-US" w:eastAsia="zh-CN" w:bidi="ar-SA"/>
        </w:rPr>
        <w:t>2.</w:t>
      </w:r>
      <w:r>
        <w:rPr>
          <w:rFonts w:hint="default" w:ascii="Times New Roman" w:hAnsi="Times New Roman" w:eastAsia="仿宋_GB2312" w:cs="Times New Roman"/>
          <w:color w:val="auto"/>
          <w:kern w:val="2"/>
          <w:sz w:val="32"/>
          <w:szCs w:val="32"/>
          <w:lang w:val="en-US" w:eastAsia="zh-CN" w:bidi="ar-SA"/>
        </w:rPr>
        <w:t>完善配套政策体系</w:t>
      </w:r>
      <w:r>
        <w:rPr>
          <w:rFonts w:hint="eastAsia" w:ascii="Times New Roman" w:hAnsi="Times New Roman" w:eastAsia="仿宋_GB2312" w:cs="Times New Roman"/>
          <w:color w:val="auto"/>
          <w:kern w:val="2"/>
          <w:sz w:val="32"/>
          <w:szCs w:val="32"/>
          <w:lang w:val="en-US" w:eastAsia="zh-CN" w:bidi="ar-SA"/>
        </w:rPr>
        <w:t>，</w:t>
      </w:r>
      <w:r>
        <w:rPr>
          <w:rFonts w:hint="default" w:ascii="Times New Roman" w:hAnsi="Times New Roman" w:eastAsia="仿宋_GB2312" w:cs="Times New Roman"/>
          <w:color w:val="auto"/>
          <w:kern w:val="2"/>
          <w:sz w:val="32"/>
          <w:szCs w:val="32"/>
          <w:lang w:val="en-US" w:eastAsia="zh-CN" w:bidi="ar-SA"/>
        </w:rPr>
        <w:t>衔接本方案，同步制定土地增值收益调节金征收管理办法、入市收益分配指导意见、交易规则细则等配套文件，形成</w:t>
      </w:r>
      <w:r>
        <w:rPr>
          <w:rFonts w:hint="eastAsia" w:ascii="仿宋_GB2312" w:hAnsi="仿宋_GB2312" w:eastAsia="仿宋_GB2312" w:cs="仿宋_GB2312"/>
          <w:color w:val="auto"/>
          <w:kern w:val="2"/>
          <w:sz w:val="32"/>
          <w:szCs w:val="32"/>
          <w:lang w:val="en-US" w:eastAsia="zh-CN" w:bidi="ar-SA"/>
        </w:rPr>
        <w:t>“</w:t>
      </w:r>
      <w:r>
        <w:rPr>
          <w:rFonts w:hint="default" w:ascii="Times New Roman" w:hAnsi="Times New Roman" w:eastAsia="仿宋_GB2312" w:cs="Times New Roman"/>
          <w:color w:val="auto"/>
          <w:kern w:val="2"/>
          <w:sz w:val="32"/>
          <w:szCs w:val="32"/>
          <w:lang w:val="en-US" w:eastAsia="zh-CN" w:bidi="ar-SA"/>
        </w:rPr>
        <w:t>1+N</w:t>
      </w:r>
      <w:r>
        <w:rPr>
          <w:rFonts w:hint="eastAsia" w:ascii="仿宋_GB2312" w:hAnsi="仿宋_GB2312" w:eastAsia="仿宋_GB2312" w:cs="仿宋_GB2312"/>
          <w:color w:val="auto"/>
          <w:kern w:val="2"/>
          <w:sz w:val="32"/>
          <w:szCs w:val="32"/>
          <w:lang w:val="en-US" w:eastAsia="zh-CN" w:bidi="ar-SA"/>
        </w:rPr>
        <w:t>”政</w:t>
      </w:r>
      <w:r>
        <w:rPr>
          <w:rFonts w:hint="default" w:ascii="Times New Roman" w:hAnsi="Times New Roman" w:eastAsia="仿宋_GB2312" w:cs="Times New Roman"/>
          <w:color w:val="auto"/>
          <w:kern w:val="2"/>
          <w:sz w:val="32"/>
          <w:szCs w:val="32"/>
          <w:lang w:val="en-US" w:eastAsia="zh-CN" w:bidi="ar-SA"/>
        </w:rPr>
        <w:t>策制度体系。</w:t>
      </w:r>
      <w:bookmarkStart w:id="0" w:name="_GoBack"/>
      <w:bookmarkEnd w:id="0"/>
    </w:p>
    <w:p w14:paraId="1B9D2C7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kern w:val="2"/>
          <w:sz w:val="32"/>
          <w:szCs w:val="32"/>
          <w:lang w:val="en-US" w:eastAsia="zh-CN" w:bidi="ar-SA"/>
        </w:rPr>
      </w:pPr>
      <w:r>
        <w:rPr>
          <w:rFonts w:hint="eastAsia" w:ascii="Times New Roman" w:hAnsi="Times New Roman" w:eastAsia="仿宋_GB2312" w:cs="Times New Roman"/>
          <w:color w:val="auto"/>
          <w:kern w:val="2"/>
          <w:sz w:val="32"/>
          <w:szCs w:val="32"/>
          <w:lang w:val="en-US" w:eastAsia="zh-CN" w:bidi="ar-SA"/>
        </w:rPr>
        <w:t>3.</w:t>
      </w:r>
      <w:r>
        <w:rPr>
          <w:rFonts w:hint="default" w:ascii="Times New Roman" w:hAnsi="Times New Roman" w:eastAsia="仿宋_GB2312" w:cs="Times New Roman"/>
          <w:color w:val="auto"/>
          <w:kern w:val="2"/>
          <w:sz w:val="32"/>
          <w:szCs w:val="32"/>
          <w:lang w:val="en-US" w:eastAsia="zh-CN" w:bidi="ar-SA"/>
        </w:rPr>
        <w:t>建立</w:t>
      </w:r>
      <w:r>
        <w:rPr>
          <w:rFonts w:hint="eastAsia" w:ascii="Times New Roman" w:hAnsi="Times New Roman" w:eastAsia="仿宋_GB2312" w:cs="Times New Roman"/>
          <w:color w:val="auto"/>
          <w:kern w:val="2"/>
          <w:sz w:val="32"/>
          <w:szCs w:val="32"/>
          <w:lang w:val="en-US" w:eastAsia="zh-CN" w:bidi="ar-SA"/>
        </w:rPr>
        <w:t>茂县</w:t>
      </w:r>
      <w:r>
        <w:rPr>
          <w:rFonts w:hint="default" w:ascii="Times New Roman" w:hAnsi="Times New Roman" w:eastAsia="仿宋_GB2312" w:cs="Times New Roman"/>
          <w:color w:val="auto"/>
          <w:kern w:val="2"/>
          <w:sz w:val="32"/>
          <w:szCs w:val="32"/>
          <w:lang w:val="en-US" w:eastAsia="zh-CN" w:bidi="ar-SA"/>
        </w:rPr>
        <w:t>农村集体经营性建设用地入市工作协调机制，</w:t>
      </w:r>
      <w:r>
        <w:rPr>
          <w:rFonts w:hint="eastAsia" w:ascii="Times New Roman" w:hAnsi="Times New Roman" w:eastAsia="仿宋_GB2312" w:cs="Times New Roman"/>
          <w:color w:val="auto"/>
          <w:kern w:val="2"/>
          <w:sz w:val="32"/>
          <w:szCs w:val="32"/>
          <w:lang w:val="en-US" w:eastAsia="zh-CN" w:bidi="ar-SA"/>
        </w:rPr>
        <w:t>落实人员、经费、办公场所，明确各成员单位的职责分工和工作要求，为入市工作的顺利推进提供组织保障。</w:t>
      </w:r>
    </w:p>
    <w:p w14:paraId="2974CA2C">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firstLine="643" w:firstLineChars="200"/>
        <w:jc w:val="left"/>
        <w:textAlignment w:val="auto"/>
        <w:rPr>
          <w:rFonts w:hint="default" w:ascii="楷体_GB2312" w:hAnsi="楷体_GB2312" w:eastAsia="楷体_GB2312" w:cs="楷体_GB2312"/>
          <w:b/>
          <w:bCs/>
          <w:color w:val="auto"/>
          <w:kern w:val="2"/>
          <w:sz w:val="32"/>
          <w:szCs w:val="32"/>
          <w:lang w:val="en-US" w:eastAsia="zh-CN" w:bidi="ar-SA"/>
        </w:rPr>
      </w:pPr>
      <w:r>
        <w:rPr>
          <w:rFonts w:hint="default" w:ascii="楷体_GB2312" w:hAnsi="楷体_GB2312" w:eastAsia="楷体_GB2312" w:cs="楷体_GB2312"/>
          <w:b/>
          <w:bCs/>
          <w:color w:val="auto"/>
          <w:kern w:val="2"/>
          <w:sz w:val="32"/>
          <w:szCs w:val="32"/>
          <w:lang w:val="en-US" w:eastAsia="zh-CN" w:bidi="ar-SA"/>
        </w:rPr>
        <w:t>（二）筹备阶段</w:t>
      </w:r>
      <w:r>
        <w:rPr>
          <w:rFonts w:hint="eastAsia" w:ascii="楷体_GB2312" w:hAnsi="楷体_GB2312" w:eastAsia="楷体_GB2312" w:cs="楷体_GB2312"/>
          <w:b/>
          <w:bCs/>
          <w:color w:val="auto"/>
          <w:kern w:val="2"/>
          <w:sz w:val="32"/>
          <w:szCs w:val="32"/>
          <w:lang w:val="en-US" w:eastAsia="zh-CN" w:bidi="ar-SA"/>
        </w:rPr>
        <w:t>（2026年7月-8月）</w:t>
      </w:r>
    </w:p>
    <w:p w14:paraId="118CD14C">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firstLine="640" w:firstLineChars="200"/>
        <w:jc w:val="left"/>
        <w:textAlignment w:val="auto"/>
        <w:rPr>
          <w:rFonts w:hint="eastAsia" w:ascii="Times New Roman" w:hAnsi="Times New Roman" w:eastAsia="仿宋_GB2312" w:cs="Times New Roman"/>
          <w:b w:val="0"/>
          <w:bCs w:val="0"/>
          <w:color w:val="auto"/>
          <w:kern w:val="2"/>
          <w:sz w:val="32"/>
          <w:szCs w:val="32"/>
          <w:lang w:val="en-US" w:eastAsia="zh-CN" w:bidi="ar-SA"/>
        </w:rPr>
      </w:pPr>
      <w:r>
        <w:rPr>
          <w:rFonts w:hint="eastAsia" w:ascii="Times New Roman" w:hAnsi="Times New Roman" w:eastAsia="仿宋_GB2312" w:cs="Times New Roman"/>
          <w:b w:val="0"/>
          <w:bCs w:val="0"/>
          <w:color w:val="auto"/>
          <w:kern w:val="2"/>
          <w:sz w:val="32"/>
          <w:szCs w:val="32"/>
          <w:lang w:val="en-US" w:eastAsia="zh-CN" w:bidi="ar-SA"/>
        </w:rPr>
        <w:t>立足全县各镇的资源禀赋、发展需求和工作基础，全面开展全县农村集体经营性建设用地摸底调查，精准掌握土地权属、规划用途、利用现状等基础信息；同步推进实用性村规划编制、配套政策制定等前期工作，健全县、镇、村三级管理体系，配齐配强工作人员。通过政策宣讲、座谈交流等多种形式开展全覆盖宣传动员和业务培训，提升基层干部实操能力，引导村民和相关市场主体积极参与，为全县入市工作有序推进筑牢基础。</w:t>
      </w:r>
    </w:p>
    <w:p w14:paraId="695FEC1F">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firstLine="643" w:firstLineChars="200"/>
        <w:jc w:val="left"/>
        <w:textAlignment w:val="auto"/>
        <w:rPr>
          <w:rFonts w:hint="default" w:ascii="楷体_GB2312" w:hAnsi="楷体_GB2312" w:eastAsia="楷体_GB2312" w:cs="楷体_GB2312"/>
          <w:b/>
          <w:bCs/>
          <w:color w:val="auto"/>
          <w:kern w:val="2"/>
          <w:sz w:val="32"/>
          <w:szCs w:val="32"/>
          <w:lang w:val="en-US" w:eastAsia="zh-CN" w:bidi="ar-SA"/>
        </w:rPr>
      </w:pPr>
      <w:r>
        <w:rPr>
          <w:rFonts w:hint="default" w:ascii="楷体_GB2312" w:hAnsi="楷体_GB2312" w:eastAsia="楷体_GB2312" w:cs="楷体_GB2312"/>
          <w:b/>
          <w:bCs/>
          <w:color w:val="auto"/>
          <w:kern w:val="2"/>
          <w:sz w:val="32"/>
          <w:szCs w:val="32"/>
          <w:lang w:val="en-US" w:eastAsia="zh-CN" w:bidi="ar-SA"/>
        </w:rPr>
        <w:t>（三）</w:t>
      </w:r>
      <w:r>
        <w:rPr>
          <w:rFonts w:hint="eastAsia" w:ascii="楷体_GB2312" w:hAnsi="楷体_GB2312" w:eastAsia="楷体_GB2312" w:cs="楷体_GB2312"/>
          <w:b/>
          <w:bCs/>
          <w:color w:val="auto"/>
          <w:kern w:val="2"/>
          <w:sz w:val="32"/>
          <w:szCs w:val="32"/>
          <w:lang w:val="en-US" w:eastAsia="zh-CN" w:bidi="ar-SA"/>
        </w:rPr>
        <w:t>全域有序推进阶段（2026年9月-10月）</w:t>
      </w:r>
    </w:p>
    <w:p w14:paraId="5807A220">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firstLine="640" w:firstLineChars="200"/>
        <w:jc w:val="both"/>
        <w:textAlignment w:val="auto"/>
        <w:rPr>
          <w:rFonts w:hint="default" w:ascii="Times New Roman" w:hAnsi="Times New Roman" w:eastAsia="仿宋_GB2312" w:cs="Times New Roman"/>
          <w:b w:val="0"/>
          <w:bCs w:val="0"/>
          <w:color w:val="auto"/>
          <w:kern w:val="2"/>
          <w:sz w:val="32"/>
          <w:szCs w:val="32"/>
          <w:lang w:val="en-US" w:eastAsia="zh-CN" w:bidi="ar-SA"/>
        </w:rPr>
      </w:pPr>
      <w:r>
        <w:rPr>
          <w:rFonts w:hint="default" w:ascii="Times New Roman" w:hAnsi="Times New Roman" w:eastAsia="仿宋_GB2312" w:cs="Times New Roman"/>
          <w:b w:val="0"/>
          <w:bCs w:val="0"/>
          <w:color w:val="auto"/>
          <w:kern w:val="2"/>
          <w:sz w:val="32"/>
          <w:szCs w:val="32"/>
          <w:lang w:val="en-US" w:eastAsia="zh-CN" w:bidi="ar-SA"/>
        </w:rPr>
        <w:t>按照</w:t>
      </w:r>
      <w:r>
        <w:rPr>
          <w:rFonts w:hint="eastAsia" w:ascii="仿宋_GB2312" w:hAnsi="仿宋_GB2312" w:eastAsia="仿宋_GB2312" w:cs="仿宋_GB2312"/>
          <w:b w:val="0"/>
          <w:bCs w:val="0"/>
          <w:color w:val="auto"/>
          <w:kern w:val="2"/>
          <w:sz w:val="32"/>
          <w:szCs w:val="32"/>
          <w:lang w:val="en-US" w:eastAsia="zh-CN" w:bidi="ar-SA"/>
        </w:rPr>
        <w:t>“分类推进、先易后难、动态优化”的</w:t>
      </w:r>
      <w:r>
        <w:rPr>
          <w:rFonts w:hint="default" w:ascii="Times New Roman" w:hAnsi="Times New Roman" w:eastAsia="仿宋_GB2312" w:cs="Times New Roman"/>
          <w:b w:val="0"/>
          <w:bCs w:val="0"/>
          <w:color w:val="auto"/>
          <w:kern w:val="2"/>
          <w:sz w:val="32"/>
          <w:szCs w:val="32"/>
          <w:lang w:val="en-US" w:eastAsia="zh-CN" w:bidi="ar-SA"/>
        </w:rPr>
        <w:t>原则，在全</w:t>
      </w:r>
      <w:r>
        <w:rPr>
          <w:rFonts w:hint="eastAsia" w:ascii="Times New Roman" w:hAnsi="Times New Roman" w:eastAsia="仿宋_GB2312" w:cs="Times New Roman"/>
          <w:b w:val="0"/>
          <w:bCs w:val="0"/>
          <w:color w:val="auto"/>
          <w:kern w:val="2"/>
          <w:sz w:val="32"/>
          <w:szCs w:val="32"/>
          <w:lang w:val="en-US" w:eastAsia="zh-CN" w:bidi="ar-SA"/>
        </w:rPr>
        <w:t>县</w:t>
      </w:r>
      <w:r>
        <w:rPr>
          <w:rFonts w:hint="default" w:ascii="Times New Roman" w:hAnsi="Times New Roman" w:eastAsia="仿宋_GB2312" w:cs="Times New Roman"/>
          <w:b w:val="0"/>
          <w:bCs w:val="0"/>
          <w:color w:val="auto"/>
          <w:kern w:val="2"/>
          <w:sz w:val="32"/>
          <w:szCs w:val="32"/>
          <w:lang w:val="en-US" w:eastAsia="zh-CN" w:bidi="ar-SA"/>
        </w:rPr>
        <w:t>范围内统筹推进农村集体经营性建设用地入市工作。针对不同区域发展条件，分批次启动入市地块筛选、审核、交易等环节，重点推进条件成熟区域的入市工作，力争完成1—3个标志性入市项目。在推进过程中持续深化政策研究，完善交易规则、收益分配、监管服务等配套制度，及时破解土地确权、用途转换、历史遗留问题处理等难点堵点。建立工作动态反馈机制，定期总结各区域实践经验，优化工作流程和政策措施，为后续全</w:t>
      </w:r>
      <w:r>
        <w:rPr>
          <w:rFonts w:hint="eastAsia" w:ascii="Times New Roman" w:hAnsi="Times New Roman" w:eastAsia="仿宋_GB2312" w:cs="Times New Roman"/>
          <w:b w:val="0"/>
          <w:bCs w:val="0"/>
          <w:color w:val="auto"/>
          <w:kern w:val="2"/>
          <w:sz w:val="32"/>
          <w:szCs w:val="32"/>
          <w:lang w:val="en-US" w:eastAsia="zh-CN" w:bidi="ar-SA"/>
        </w:rPr>
        <w:t>县</w:t>
      </w:r>
      <w:r>
        <w:rPr>
          <w:rFonts w:hint="default" w:ascii="Times New Roman" w:hAnsi="Times New Roman" w:eastAsia="仿宋_GB2312" w:cs="Times New Roman"/>
          <w:b w:val="0"/>
          <w:bCs w:val="0"/>
          <w:color w:val="auto"/>
          <w:kern w:val="2"/>
          <w:sz w:val="32"/>
          <w:szCs w:val="32"/>
          <w:lang w:val="en-US" w:eastAsia="zh-CN" w:bidi="ar-SA"/>
        </w:rPr>
        <w:t>全面铺开提供坚实支撑。</w:t>
      </w:r>
    </w:p>
    <w:p w14:paraId="712116E4">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firstLine="643" w:firstLineChars="200"/>
        <w:jc w:val="left"/>
        <w:textAlignment w:val="auto"/>
        <w:rPr>
          <w:rFonts w:hint="default" w:ascii="楷体_GB2312" w:hAnsi="楷体_GB2312" w:eastAsia="楷体_GB2312" w:cs="楷体_GB2312"/>
          <w:b/>
          <w:bCs/>
          <w:color w:val="auto"/>
          <w:kern w:val="2"/>
          <w:sz w:val="32"/>
          <w:szCs w:val="32"/>
          <w:lang w:val="en-US" w:eastAsia="zh-CN" w:bidi="ar-SA"/>
        </w:rPr>
      </w:pPr>
      <w:r>
        <w:rPr>
          <w:rFonts w:hint="default" w:ascii="楷体_GB2312" w:hAnsi="楷体_GB2312" w:eastAsia="楷体_GB2312" w:cs="楷体_GB2312"/>
          <w:b/>
          <w:bCs/>
          <w:color w:val="auto"/>
          <w:kern w:val="2"/>
          <w:sz w:val="32"/>
          <w:szCs w:val="32"/>
          <w:lang w:val="en-US" w:eastAsia="zh-CN" w:bidi="ar-SA"/>
        </w:rPr>
        <w:t>（四）全面推广阶段</w:t>
      </w:r>
      <w:r>
        <w:rPr>
          <w:rFonts w:hint="eastAsia" w:ascii="楷体_GB2312" w:hAnsi="楷体_GB2312" w:eastAsia="楷体_GB2312" w:cs="楷体_GB2312"/>
          <w:b/>
          <w:bCs/>
          <w:color w:val="auto"/>
          <w:kern w:val="2"/>
          <w:sz w:val="32"/>
          <w:szCs w:val="32"/>
          <w:lang w:val="en-US" w:eastAsia="zh-CN" w:bidi="ar-SA"/>
        </w:rPr>
        <w:t>（2026年10月-12月）</w:t>
      </w:r>
    </w:p>
    <w:p w14:paraId="4BF7CF1D">
      <w:pPr>
        <w:pStyle w:val="6"/>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firstLine="640" w:firstLineChars="200"/>
        <w:jc w:val="both"/>
        <w:textAlignment w:val="auto"/>
        <w:rPr>
          <w:rFonts w:hint="default" w:ascii="Times New Roman" w:hAnsi="Times New Roman" w:eastAsia="仿宋_GB2312" w:cs="Times New Roman"/>
          <w:color w:val="auto"/>
          <w:kern w:val="2"/>
          <w:sz w:val="32"/>
          <w:szCs w:val="32"/>
          <w:lang w:val="en-US" w:eastAsia="zh-CN" w:bidi="ar-SA"/>
        </w:rPr>
      </w:pPr>
      <w:r>
        <w:rPr>
          <w:rFonts w:hint="default" w:ascii="Times New Roman" w:hAnsi="Times New Roman" w:eastAsia="仿宋_GB2312" w:cs="Times New Roman"/>
          <w:color w:val="auto"/>
          <w:kern w:val="2"/>
          <w:sz w:val="32"/>
          <w:szCs w:val="32"/>
          <w:lang w:val="en-US" w:eastAsia="zh-CN" w:bidi="ar-SA"/>
        </w:rPr>
        <w:t>在总结试点经验的基础上，逐步扩大入市覆盖范围，在全县符合条件的镇、村有序推进入市工作。持续完善交易规则、监管机制、收益分配等制度，推动入市工作规范化、常态化运行，不断壮大村集体经济，释放土地要素活力。</w:t>
      </w:r>
    </w:p>
    <w:p w14:paraId="58D40832">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firstLine="643" w:firstLineChars="200"/>
        <w:jc w:val="left"/>
        <w:textAlignment w:val="auto"/>
        <w:rPr>
          <w:rFonts w:hint="default" w:ascii="楷体_GB2312" w:hAnsi="楷体_GB2312" w:eastAsia="楷体_GB2312" w:cs="楷体_GB2312"/>
          <w:b/>
          <w:bCs/>
          <w:color w:val="auto"/>
          <w:kern w:val="2"/>
          <w:sz w:val="32"/>
          <w:szCs w:val="32"/>
          <w:lang w:val="en-US" w:eastAsia="zh-CN" w:bidi="ar-SA"/>
        </w:rPr>
      </w:pPr>
      <w:r>
        <w:rPr>
          <w:rFonts w:hint="default" w:ascii="楷体_GB2312" w:hAnsi="楷体_GB2312" w:eastAsia="楷体_GB2312" w:cs="楷体_GB2312"/>
          <w:b/>
          <w:bCs/>
          <w:color w:val="auto"/>
          <w:kern w:val="2"/>
          <w:sz w:val="32"/>
          <w:szCs w:val="32"/>
          <w:lang w:val="en-US" w:eastAsia="zh-CN" w:bidi="ar-SA"/>
        </w:rPr>
        <w:t>（五）总结提升与长效机制阶段（长期推进）</w:t>
      </w:r>
    </w:p>
    <w:p w14:paraId="61565A50">
      <w:pPr>
        <w:pStyle w:val="6"/>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firstLine="640" w:firstLineChars="200"/>
        <w:jc w:val="both"/>
        <w:textAlignment w:val="auto"/>
        <w:rPr>
          <w:rFonts w:hint="default" w:ascii="Times New Roman" w:hAnsi="Times New Roman" w:eastAsia="仿宋_GB2312" w:cs="Times New Roman"/>
          <w:color w:val="auto"/>
          <w:kern w:val="2"/>
          <w:sz w:val="32"/>
          <w:szCs w:val="32"/>
          <w:lang w:val="en-US" w:eastAsia="zh-CN" w:bidi="ar-SA"/>
        </w:rPr>
      </w:pPr>
      <w:r>
        <w:rPr>
          <w:rFonts w:hint="default" w:ascii="Times New Roman" w:hAnsi="Times New Roman" w:eastAsia="仿宋_GB2312" w:cs="Times New Roman"/>
          <w:color w:val="auto"/>
          <w:kern w:val="2"/>
          <w:sz w:val="32"/>
          <w:szCs w:val="32"/>
          <w:lang w:val="en-US" w:eastAsia="zh-CN" w:bidi="ar-SA"/>
        </w:rPr>
        <w:t>全面系统总结我县农村集体经营性建设用地入市工作成效、实践经验与存在问题，形成工作总结报告与政策优化建议，持续健全长效管理机制，推动入市工作持续规范有序开展，巩固改革成果。</w:t>
      </w:r>
    </w:p>
    <w:p w14:paraId="64629D0A">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firstLine="643" w:firstLineChars="200"/>
        <w:jc w:val="left"/>
        <w:textAlignment w:val="auto"/>
        <w:rPr>
          <w:rFonts w:hint="default" w:ascii="Times New Roman" w:hAnsi="Times New Roman" w:eastAsia="黑体" w:cs="Times New Roman"/>
          <w:color w:val="auto"/>
          <w:kern w:val="2"/>
          <w:sz w:val="32"/>
          <w:szCs w:val="32"/>
          <w:lang w:val="en-US" w:eastAsia="zh-CN" w:bidi="ar-SA"/>
        </w:rPr>
      </w:pPr>
      <w:r>
        <w:rPr>
          <w:rFonts w:hint="eastAsia" w:ascii="Times New Roman" w:hAnsi="Times New Roman" w:eastAsia="黑体" w:cs="Times New Roman"/>
          <w:color w:val="auto"/>
          <w:kern w:val="2"/>
          <w:sz w:val="32"/>
          <w:szCs w:val="32"/>
          <w:lang w:val="en-US" w:eastAsia="zh-CN" w:bidi="ar-SA"/>
        </w:rPr>
        <w:t>七</w:t>
      </w:r>
      <w:r>
        <w:rPr>
          <w:rFonts w:hint="default" w:ascii="Times New Roman" w:hAnsi="Times New Roman" w:eastAsia="黑体" w:cs="Times New Roman"/>
          <w:color w:val="auto"/>
          <w:kern w:val="2"/>
          <w:sz w:val="32"/>
          <w:szCs w:val="32"/>
          <w:lang w:val="en-US" w:eastAsia="zh-CN" w:bidi="ar-SA"/>
        </w:rPr>
        <w:t>、保障措施</w:t>
      </w:r>
    </w:p>
    <w:p w14:paraId="6176BC50">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firstLine="643" w:firstLineChars="200"/>
        <w:jc w:val="left"/>
        <w:textAlignment w:val="auto"/>
        <w:rPr>
          <w:rFonts w:hint="default" w:ascii="楷体_GB2312" w:hAnsi="楷体_GB2312" w:eastAsia="楷体_GB2312" w:cs="楷体_GB2312"/>
          <w:b/>
          <w:bCs/>
          <w:color w:val="auto"/>
          <w:kern w:val="2"/>
          <w:sz w:val="32"/>
          <w:szCs w:val="32"/>
          <w:lang w:val="en-US" w:eastAsia="zh-CN" w:bidi="ar-SA"/>
        </w:rPr>
      </w:pPr>
      <w:r>
        <w:rPr>
          <w:rFonts w:hint="default" w:ascii="楷体_GB2312" w:hAnsi="楷体_GB2312" w:eastAsia="楷体_GB2312" w:cs="楷体_GB2312"/>
          <w:b/>
          <w:bCs/>
          <w:color w:val="auto"/>
          <w:kern w:val="2"/>
          <w:sz w:val="32"/>
          <w:szCs w:val="32"/>
          <w:lang w:val="en-US" w:eastAsia="zh-CN" w:bidi="ar-SA"/>
        </w:rPr>
        <w:t>（一）强化组织领导</w:t>
      </w:r>
    </w:p>
    <w:p w14:paraId="783BAF90">
      <w:pPr>
        <w:pStyle w:val="6"/>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firstLine="640" w:firstLineChars="200"/>
        <w:textAlignment w:val="auto"/>
        <w:rPr>
          <w:rFonts w:hint="default" w:ascii="Times New Roman" w:hAnsi="Times New Roman" w:eastAsia="仿宋_GB2312" w:cs="Times New Roman"/>
          <w:color w:val="auto"/>
          <w:kern w:val="2"/>
          <w:sz w:val="32"/>
          <w:szCs w:val="32"/>
          <w:lang w:val="en-US" w:eastAsia="zh-CN" w:bidi="ar-SA"/>
        </w:rPr>
      </w:pPr>
      <w:r>
        <w:rPr>
          <w:rFonts w:hint="default" w:ascii="Times New Roman" w:hAnsi="Times New Roman" w:eastAsia="仿宋_GB2312" w:cs="Times New Roman"/>
          <w:color w:val="auto"/>
          <w:kern w:val="2"/>
          <w:sz w:val="32"/>
          <w:szCs w:val="32"/>
          <w:lang w:val="en-US" w:eastAsia="zh-CN" w:bidi="ar-SA"/>
        </w:rPr>
        <w:t>县委、县政府对全县农村集体经营性建设用地入市工作负总责，县入市工作协调小组统筹协调重大问题、审定重要事项。县自然资源局作为牵头部门，负责日常工作组织实施与业务指导；各成员单位按照职责分工，密切配合、协同推进，形成工作合力。各镇人民政府落实属地责任，做好辖区内入市组织、群众工作、日常监管等具体事务。</w:t>
      </w:r>
    </w:p>
    <w:p w14:paraId="4F4306D5">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firstLine="643" w:firstLineChars="200"/>
        <w:jc w:val="left"/>
        <w:textAlignment w:val="auto"/>
        <w:rPr>
          <w:rFonts w:hint="default" w:ascii="楷体_GB2312" w:hAnsi="楷体_GB2312" w:eastAsia="楷体_GB2312" w:cs="楷体_GB2312"/>
          <w:b/>
          <w:bCs/>
          <w:color w:val="auto"/>
          <w:kern w:val="2"/>
          <w:sz w:val="32"/>
          <w:szCs w:val="32"/>
          <w:lang w:val="en-US" w:eastAsia="zh-CN" w:bidi="ar-SA"/>
        </w:rPr>
      </w:pPr>
      <w:r>
        <w:rPr>
          <w:rFonts w:hint="default" w:ascii="楷体_GB2312" w:hAnsi="楷体_GB2312" w:eastAsia="楷体_GB2312" w:cs="楷体_GB2312"/>
          <w:b/>
          <w:bCs/>
          <w:color w:val="auto"/>
          <w:kern w:val="2"/>
          <w:sz w:val="32"/>
          <w:szCs w:val="32"/>
          <w:lang w:val="en-US" w:eastAsia="zh-CN" w:bidi="ar-SA"/>
        </w:rPr>
        <w:t>（二）强化政策保障</w:t>
      </w:r>
    </w:p>
    <w:p w14:paraId="5BD4A465">
      <w:pPr>
        <w:pStyle w:val="6"/>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firstLine="640" w:firstLineChars="200"/>
        <w:textAlignment w:val="auto"/>
        <w:rPr>
          <w:rFonts w:hint="default" w:ascii="Times New Roman" w:hAnsi="Times New Roman" w:eastAsia="仿宋_GB2312" w:cs="Times New Roman"/>
          <w:color w:val="auto"/>
          <w:kern w:val="2"/>
          <w:sz w:val="32"/>
          <w:szCs w:val="32"/>
          <w:lang w:val="en-US" w:eastAsia="zh-CN" w:bidi="ar-SA"/>
        </w:rPr>
      </w:pPr>
      <w:r>
        <w:rPr>
          <w:rFonts w:hint="default" w:ascii="Times New Roman" w:hAnsi="Times New Roman" w:eastAsia="仿宋_GB2312" w:cs="Times New Roman"/>
          <w:color w:val="auto"/>
          <w:kern w:val="2"/>
          <w:sz w:val="32"/>
          <w:szCs w:val="32"/>
          <w:lang w:val="en-US" w:eastAsia="zh-CN" w:bidi="ar-SA"/>
        </w:rPr>
        <w:t>加大政策研究力度，及时对接上级最新政策要求，动态优化我县配套制度。落实工作经费保障，将摸底调查、规划编制、信息化建设、宣传培训等工作经费纳入财政预算，保障工作顺利开展。鼓励探索创新，在符合法律法规与试点要求的前提下，结合茂县实际大胆探索实践，及时破解难点堵点问题。</w:t>
      </w:r>
    </w:p>
    <w:p w14:paraId="734D1793">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firstLine="643" w:firstLineChars="200"/>
        <w:jc w:val="left"/>
        <w:textAlignment w:val="auto"/>
        <w:rPr>
          <w:rFonts w:hint="default" w:ascii="楷体_GB2312" w:hAnsi="楷体_GB2312" w:eastAsia="楷体_GB2312" w:cs="楷体_GB2312"/>
          <w:b/>
          <w:bCs/>
          <w:color w:val="auto"/>
          <w:kern w:val="2"/>
          <w:sz w:val="32"/>
          <w:szCs w:val="32"/>
          <w:lang w:val="en-US" w:eastAsia="zh-CN" w:bidi="ar-SA"/>
        </w:rPr>
      </w:pPr>
      <w:r>
        <w:rPr>
          <w:rFonts w:hint="default" w:ascii="楷体_GB2312" w:hAnsi="楷体_GB2312" w:eastAsia="楷体_GB2312" w:cs="楷体_GB2312"/>
          <w:b/>
          <w:bCs/>
          <w:color w:val="auto"/>
          <w:kern w:val="2"/>
          <w:sz w:val="32"/>
          <w:szCs w:val="32"/>
          <w:lang w:val="en-US" w:eastAsia="zh-CN" w:bidi="ar-SA"/>
        </w:rPr>
        <w:t>（三）强化督查考核</w:t>
      </w:r>
    </w:p>
    <w:p w14:paraId="4DC3DDB3">
      <w:pPr>
        <w:pStyle w:val="6"/>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firstLine="640" w:firstLineChars="200"/>
        <w:textAlignment w:val="auto"/>
        <w:rPr>
          <w:rFonts w:hint="default" w:ascii="Times New Roman" w:hAnsi="Times New Roman" w:eastAsia="仿宋_GB2312" w:cs="Times New Roman"/>
          <w:color w:val="auto"/>
          <w:kern w:val="2"/>
          <w:sz w:val="32"/>
          <w:szCs w:val="32"/>
          <w:lang w:val="en-US" w:eastAsia="zh-CN" w:bidi="ar-SA"/>
        </w:rPr>
      </w:pPr>
      <w:r>
        <w:rPr>
          <w:rFonts w:hint="default" w:ascii="Times New Roman" w:hAnsi="Times New Roman" w:eastAsia="仿宋_GB2312" w:cs="Times New Roman"/>
          <w:color w:val="auto"/>
          <w:kern w:val="2"/>
          <w:sz w:val="32"/>
          <w:szCs w:val="32"/>
          <w:lang w:val="en-US" w:eastAsia="zh-CN" w:bidi="ar-SA"/>
        </w:rPr>
        <w:t>将农村集体经营性建设用地入市工作纳入县级重点工作督查考核内容，制定任务清单与考核细则，层层压实责任。定期对各镇、各部门工作推进情况开展督查，对工作成效显著的单位和个人予以通报表扬；对工作推进不力、进展缓慢、落实不到位的进行约谈提醒，确保各项任务落地见效。</w:t>
      </w:r>
    </w:p>
    <w:p w14:paraId="384E7D17">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firstLine="643" w:firstLineChars="200"/>
        <w:jc w:val="left"/>
        <w:textAlignment w:val="auto"/>
        <w:rPr>
          <w:rFonts w:hint="default" w:ascii="楷体_GB2312" w:hAnsi="楷体_GB2312" w:eastAsia="楷体_GB2312" w:cs="楷体_GB2312"/>
          <w:b/>
          <w:bCs/>
          <w:color w:val="auto"/>
          <w:kern w:val="2"/>
          <w:sz w:val="32"/>
          <w:szCs w:val="32"/>
          <w:lang w:val="en-US" w:eastAsia="zh-CN" w:bidi="ar-SA"/>
        </w:rPr>
      </w:pPr>
      <w:r>
        <w:rPr>
          <w:rFonts w:hint="default" w:ascii="楷体_GB2312" w:hAnsi="楷体_GB2312" w:eastAsia="楷体_GB2312" w:cs="楷体_GB2312"/>
          <w:b/>
          <w:bCs/>
          <w:color w:val="auto"/>
          <w:kern w:val="2"/>
          <w:sz w:val="32"/>
          <w:szCs w:val="32"/>
          <w:lang w:val="en-US" w:eastAsia="zh-CN" w:bidi="ar-SA"/>
        </w:rPr>
        <w:t>（四）强化依法依规</w:t>
      </w:r>
    </w:p>
    <w:p w14:paraId="3AE4F252">
      <w:pPr>
        <w:pStyle w:val="6"/>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firstLine="640" w:firstLineChars="200"/>
        <w:textAlignment w:val="auto"/>
        <w:rPr>
          <w:rFonts w:hint="default" w:ascii="Times New Roman" w:hAnsi="Times New Roman" w:eastAsia="仿宋_GB2312" w:cs="Times New Roman"/>
          <w:color w:val="auto"/>
          <w:kern w:val="2"/>
          <w:sz w:val="32"/>
          <w:szCs w:val="32"/>
          <w:lang w:val="en-US" w:eastAsia="zh-CN" w:bidi="ar-SA"/>
        </w:rPr>
      </w:pPr>
      <w:r>
        <w:rPr>
          <w:rFonts w:hint="default" w:ascii="Times New Roman" w:hAnsi="Times New Roman" w:eastAsia="仿宋_GB2312" w:cs="Times New Roman"/>
          <w:color w:val="auto"/>
          <w:kern w:val="2"/>
          <w:sz w:val="32"/>
          <w:szCs w:val="32"/>
          <w:lang w:val="en-US" w:eastAsia="zh-CN" w:bidi="ar-SA"/>
        </w:rPr>
        <w:t>严格遵守土地管理、规划管理、农村集体资产管理等法律法规，严格履行法定程序，坚持封闭运行、风险可控。加强法律指导与监督，规范入市各环节操作，依法维护农村集体经济组织、农民与用地主体的合法权益，防范廉政风险与社会风险，确保入市工作始终在法治轨道上推进。</w:t>
      </w:r>
    </w:p>
    <w:p w14:paraId="3425A0C9">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firstLine="643" w:firstLineChars="200"/>
        <w:jc w:val="left"/>
        <w:textAlignment w:val="auto"/>
        <w:rPr>
          <w:rFonts w:hint="default" w:ascii="楷体_GB2312" w:hAnsi="楷体_GB2312" w:eastAsia="楷体_GB2312" w:cs="楷体_GB2312"/>
          <w:b/>
          <w:bCs/>
          <w:color w:val="auto"/>
          <w:kern w:val="2"/>
          <w:sz w:val="32"/>
          <w:szCs w:val="32"/>
          <w:lang w:val="en-US" w:eastAsia="zh-CN" w:bidi="ar-SA"/>
        </w:rPr>
      </w:pPr>
      <w:r>
        <w:rPr>
          <w:rFonts w:hint="default" w:ascii="楷体_GB2312" w:hAnsi="楷体_GB2312" w:eastAsia="楷体_GB2312" w:cs="楷体_GB2312"/>
          <w:b/>
          <w:bCs/>
          <w:color w:val="auto"/>
          <w:kern w:val="2"/>
          <w:sz w:val="32"/>
          <w:szCs w:val="32"/>
          <w:lang w:val="en-US" w:eastAsia="zh-CN" w:bidi="ar-SA"/>
        </w:rPr>
        <w:t>（五）强化宣传引导</w:t>
      </w:r>
    </w:p>
    <w:p w14:paraId="27DDC8F4">
      <w:pPr>
        <w:pStyle w:val="6"/>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firstLine="640" w:firstLineChars="200"/>
        <w:textAlignment w:val="auto"/>
        <w:rPr>
          <w:rFonts w:hint="default" w:ascii="Times New Roman" w:hAnsi="Times New Roman" w:eastAsia="仿宋_GB2312" w:cs="Times New Roman"/>
          <w:color w:val="auto"/>
          <w:kern w:val="2"/>
          <w:sz w:val="32"/>
          <w:szCs w:val="32"/>
          <w:lang w:val="en-US" w:eastAsia="zh-CN" w:bidi="ar-SA"/>
        </w:rPr>
      </w:pPr>
      <w:r>
        <w:rPr>
          <w:rFonts w:hint="default" w:ascii="Times New Roman" w:hAnsi="Times New Roman" w:eastAsia="仿宋_GB2312" w:cs="Times New Roman"/>
          <w:color w:val="auto"/>
          <w:kern w:val="2"/>
          <w:sz w:val="32"/>
          <w:szCs w:val="32"/>
          <w:lang w:val="en-US" w:eastAsia="zh-CN" w:bidi="ar-SA"/>
        </w:rPr>
        <w:t>把握正确舆论导向，准确解读政策，及时发布工作进展与典型案例，主动回应社会关切。加强对基层干部与群众的政策宣讲，凝聚改革共识，充分调动各方参与积极性，为入市工作营造良好的社会氛围。</w:t>
      </w:r>
    </w:p>
    <w:p w14:paraId="1BCB9974">
      <w:pPr>
        <w:pStyle w:val="6"/>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firstLine="640" w:firstLineChars="200"/>
        <w:textAlignment w:val="auto"/>
        <w:rPr>
          <w:rFonts w:hint="default" w:ascii="Times New Roman" w:hAnsi="Times New Roman" w:eastAsia="仿宋_GB2312" w:cs="Times New Roman"/>
          <w:color w:val="auto"/>
          <w:kern w:val="2"/>
          <w:sz w:val="32"/>
          <w:szCs w:val="32"/>
          <w:lang w:val="en-US" w:eastAsia="zh-CN" w:bidi="ar-SA"/>
        </w:rPr>
      </w:pPr>
      <w:r>
        <w:rPr>
          <w:rFonts w:hint="default" w:ascii="Times New Roman" w:hAnsi="Times New Roman" w:eastAsia="仿宋_GB2312" w:cs="Times New Roman"/>
          <w:color w:val="auto"/>
          <w:kern w:val="2"/>
          <w:sz w:val="32"/>
          <w:szCs w:val="32"/>
          <w:lang w:val="en-US" w:eastAsia="zh-CN" w:bidi="ar-SA"/>
        </w:rPr>
        <w:t>本方案自印发之日起施行，法律法规与上级政策另有规定的，从其规定。</w:t>
      </w:r>
    </w:p>
    <w:p w14:paraId="5767E453">
      <w:pPr>
        <w:keepNext w:val="0"/>
        <w:keepLines w:val="0"/>
        <w:pageBreakBefore w:val="0"/>
        <w:kinsoku/>
        <w:wordWrap/>
        <w:overflowPunct/>
        <w:topLinePunct w:val="0"/>
        <w:autoSpaceDE/>
        <w:autoSpaceDN/>
        <w:bidi w:val="0"/>
        <w:adjustRightInd/>
        <w:snapToGrid/>
        <w:spacing w:beforeAutospacing="0" w:afterAutospacing="0" w:line="576" w:lineRule="exact"/>
        <w:ind w:firstLine="640" w:firstLineChars="200"/>
        <w:textAlignment w:val="auto"/>
        <w:rPr>
          <w:rFonts w:hint="default" w:ascii="Times New Roman" w:hAnsi="Times New Roman" w:cs="Times New Roman"/>
          <w:color w:val="auto"/>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50"/>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30008F5"/>
    <w:rsid w:val="0CA04344"/>
    <w:rsid w:val="188B0FE3"/>
    <w:rsid w:val="21A77C96"/>
    <w:rsid w:val="315D40AF"/>
    <w:rsid w:val="35506C50"/>
    <w:rsid w:val="48DA4B27"/>
    <w:rsid w:val="4BAF71C9"/>
    <w:rsid w:val="4BCE4C57"/>
    <w:rsid w:val="5110147D"/>
    <w:rsid w:val="608A3F50"/>
    <w:rsid w:val="6B5C3229"/>
    <w:rsid w:val="6EB81321"/>
    <w:rsid w:val="76264CA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5">
    <w:name w:val="toc 1"/>
    <w:basedOn w:val="1"/>
    <w:next w:val="1"/>
    <w:qFormat/>
    <w:uiPriority w:val="0"/>
    <w:pPr>
      <w:spacing w:line="400" w:lineRule="exact"/>
    </w:pPr>
    <w:rPr>
      <w:rFonts w:ascii="仿宋_GB2312" w:hAnsi="Calibri" w:eastAsia="仿宋_GB2312" w:cs="Times New Roman"/>
      <w:b/>
      <w:sz w:val="30"/>
      <w:szCs w:val="30"/>
    </w:r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 w:type="character" w:styleId="9">
    <w:name w:val="Strong"/>
    <w:basedOn w:val="8"/>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Pages>
  <Words>5761</Words>
  <Characters>5805</Characters>
  <Lines>0</Lines>
  <Paragraphs>0</Paragraphs>
  <TotalTime>22</TotalTime>
  <ScaleCrop>false</ScaleCrop>
  <LinksUpToDate>false</LinksUpToDate>
  <CharactersWithSpaces>5805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2026-07-28T02:36:00Z</dcterms:created>
  <dc:creator>gdx</dc:creator>
  <cp:lastModifiedBy>狼道</cp:lastModifiedBy>
  <dcterms:modified xsi:type="dcterms:W3CDTF">2026-08-12T08:42:00Z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eyJoZGlkIjoiNTJmMGIzNDU4ZWFkODI3MGEzZTk4MmY0MDBmY2IxZDEiLCJ1c2VySWQiOiI2MDE3Mjk2NjcifQ==</vt:lpwstr>
  </property>
  <property fmtid="{D5CDD505-2E9C-101B-9397-08002B2CF9AE}" pid="4" name="ICV">
    <vt:lpwstr>456334571BD945ABA2C19046B1405EFA_13</vt:lpwstr>
  </property>
</Properties>
</file>