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159" w:name="_GoBack"/>
      <w:bookmarkEnd w:id="159"/>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7193"/>
      <w:bookmarkStart w:id="3" w:name="_Toc15378441"/>
      <w:bookmarkStart w:id="4" w:name="_Toc15377425"/>
      <w:bookmarkStart w:id="5" w:name="_Toc15396475"/>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z w:val="72"/>
          <w:szCs w:val="72"/>
        </w:rPr>
      </w:pPr>
      <w:bookmarkStart w:id="6" w:name="_Toc15377194"/>
      <w:bookmarkStart w:id="7" w:name="_Toc15396598"/>
      <w:bookmarkStart w:id="8" w:name="_Toc15377426"/>
      <w:bookmarkStart w:id="9" w:name="_Toc15378442"/>
      <w:bookmarkStart w:id="10" w:name="_Toc15396476"/>
      <w:r>
        <w:rPr>
          <w:rFonts w:hint="eastAsia" w:ascii="方正小标宋简体" w:eastAsia="方正小标宋简体"/>
          <w:sz w:val="72"/>
          <w:szCs w:val="72"/>
        </w:rPr>
        <w:t>四川省</w:t>
      </w:r>
      <w:bookmarkEnd w:id="0"/>
      <w:bookmarkStart w:id="11" w:name="_Toc15306268"/>
      <w:r>
        <w:rPr>
          <w:rFonts w:hint="eastAsia" w:ascii="方正小标宋简体" w:eastAsia="方正小标宋简体"/>
          <w:sz w:val="72"/>
          <w:szCs w:val="72"/>
        </w:rPr>
        <w:t>茂县委员会办公室</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公开时间：2021年9月2</w:t>
      </w:r>
      <w:r>
        <w:rPr>
          <w:rFonts w:hint="eastAsia" w:hAnsiTheme="minorHAnsi"/>
          <w:b w:val="0"/>
          <w:bCs w:val="0"/>
          <w:sz w:val="24"/>
          <w:szCs w:val="24"/>
          <w:lang w:val="en-US" w:eastAsia="zh-CN"/>
        </w:rPr>
        <w:t>4</w:t>
      </w:r>
      <w:r>
        <w:rPr>
          <w:rFonts w:hint="eastAsia" w:hAnsiTheme="minorHAnsi"/>
          <w:b w:val="0"/>
          <w:bCs w:val="0"/>
          <w:sz w:val="24"/>
          <w:szCs w:val="24"/>
        </w:rPr>
        <w:t>日</w:t>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hint="eastAsia" w:ascii="仿宋" w:hAnsi="仿宋" w:eastAsia="仿宋"/>
          <w:b w:val="0"/>
          <w:bCs w:val="0"/>
          <w:caps w:val="0"/>
          <w:smallCaps/>
        </w:rPr>
        <w:t>第一部分部门概况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_Toc23835 \h </w:instrText>
      </w:r>
      <w:r>
        <w:rPr>
          <w:rFonts w:ascii="仿宋" w:hAnsi="仿宋" w:eastAsia="仿宋"/>
          <w:b w:val="0"/>
          <w:bCs w:val="0"/>
          <w:caps w:val="0"/>
          <w:smallCaps/>
        </w:rPr>
        <w:fldChar w:fldCharType="separate"/>
      </w:r>
      <w:r>
        <w:rPr>
          <w:rFonts w:ascii="仿宋" w:hAnsi="仿宋" w:eastAsia="仿宋"/>
          <w:b w:val="0"/>
          <w:bCs w:val="0"/>
          <w:caps w:val="0"/>
          <w:smallCaps/>
        </w:rPr>
        <w:t>4</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一、基本职能及主要工作</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_Toc25800 \h </w:instrText>
      </w:r>
      <w:r>
        <w:rPr>
          <w:rFonts w:ascii="仿宋" w:hAnsi="仿宋" w:eastAsia="仿宋"/>
          <w:b w:val="0"/>
          <w:bCs w:val="0"/>
          <w:caps w:val="0"/>
          <w:smallCaps/>
        </w:rPr>
        <w:fldChar w:fldCharType="separate"/>
      </w:r>
      <w:r>
        <w:rPr>
          <w:rFonts w:ascii="仿宋" w:hAnsi="仿宋" w:eastAsia="仿宋"/>
          <w:b w:val="0"/>
          <w:bCs w:val="0"/>
          <w:caps w:val="0"/>
          <w:smallCaps/>
        </w:rPr>
        <w:t>4</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（一）主要职能</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_Toc8880 \h </w:instrText>
      </w:r>
      <w:r>
        <w:rPr>
          <w:rFonts w:ascii="仿宋" w:hAnsi="仿宋" w:eastAsia="仿宋"/>
          <w:b w:val="0"/>
          <w:bCs w:val="0"/>
          <w:caps w:val="0"/>
          <w:smallCaps/>
        </w:rPr>
        <w:fldChar w:fldCharType="separate"/>
      </w:r>
      <w:r>
        <w:rPr>
          <w:rFonts w:ascii="仿宋" w:hAnsi="仿宋" w:eastAsia="仿宋"/>
          <w:b w:val="0"/>
          <w:bCs w:val="0"/>
          <w:caps w:val="0"/>
          <w:smallCaps/>
        </w:rPr>
        <w:t>4</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（二）</w:t>
      </w:r>
      <w:r>
        <w:rPr>
          <w:rFonts w:ascii="仿宋" w:hAnsi="仿宋" w:eastAsia="仿宋"/>
          <w:b w:val="0"/>
          <w:bCs w:val="0"/>
          <w:caps w:val="0"/>
          <w:smallCaps/>
        </w:rPr>
        <w:t>2020</w:t>
      </w:r>
      <w:r>
        <w:rPr>
          <w:rFonts w:hint="eastAsia" w:ascii="仿宋" w:hAnsi="仿宋" w:eastAsia="仿宋"/>
          <w:b w:val="0"/>
          <w:bCs w:val="0"/>
          <w:caps w:val="0"/>
          <w:smallCaps/>
        </w:rPr>
        <w:t>年重点工作完成情况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_Toc31514 \h </w:instrText>
      </w:r>
      <w:r>
        <w:rPr>
          <w:rFonts w:ascii="仿宋" w:hAnsi="仿宋" w:eastAsia="仿宋"/>
          <w:b w:val="0"/>
          <w:bCs w:val="0"/>
          <w:caps w:val="0"/>
          <w:smallCaps/>
        </w:rPr>
        <w:fldChar w:fldCharType="separate"/>
      </w:r>
      <w:r>
        <w:rPr>
          <w:rFonts w:ascii="仿宋" w:hAnsi="仿宋" w:eastAsia="仿宋"/>
          <w:b w:val="0"/>
          <w:bCs w:val="0"/>
          <w:caps w:val="0"/>
          <w:smallCaps/>
        </w:rPr>
        <w:t>4</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二、机构设置</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_Toc18602 \h </w:instrText>
      </w:r>
      <w:r>
        <w:rPr>
          <w:rFonts w:ascii="仿宋" w:hAnsi="仿宋" w:eastAsia="仿宋"/>
          <w:b w:val="0"/>
          <w:bCs w:val="0"/>
          <w:caps w:val="0"/>
          <w:smallCaps/>
        </w:rPr>
        <w:fldChar w:fldCharType="separate"/>
      </w:r>
      <w:r>
        <w:rPr>
          <w:rFonts w:ascii="仿宋" w:hAnsi="仿宋" w:eastAsia="仿宋"/>
          <w:b w:val="0"/>
          <w:bCs w:val="0"/>
          <w:caps w:val="0"/>
          <w:smallCaps/>
        </w:rPr>
        <w:t>5</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第二部分</w:t>
      </w:r>
      <w:r>
        <w:rPr>
          <w:rFonts w:ascii="仿宋" w:hAnsi="仿宋" w:eastAsia="仿宋"/>
          <w:b w:val="0"/>
          <w:bCs w:val="0"/>
          <w:caps w:val="0"/>
          <w:smallCaps/>
        </w:rPr>
        <w:t>2020</w:t>
      </w:r>
      <w:r>
        <w:rPr>
          <w:rFonts w:hint="eastAsia" w:ascii="仿宋" w:hAnsi="仿宋" w:eastAsia="仿宋"/>
          <w:b w:val="0"/>
          <w:bCs w:val="0"/>
          <w:caps w:val="0"/>
          <w:smallCaps/>
        </w:rPr>
        <w:t>年度部门决算情况说明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_Toc29704 \h </w:instrText>
      </w:r>
      <w:r>
        <w:rPr>
          <w:rFonts w:ascii="仿宋" w:hAnsi="仿宋" w:eastAsia="仿宋"/>
          <w:b w:val="0"/>
          <w:bCs w:val="0"/>
          <w:caps w:val="0"/>
          <w:smallCaps/>
        </w:rPr>
        <w:fldChar w:fldCharType="separate"/>
      </w:r>
      <w:r>
        <w:rPr>
          <w:rFonts w:ascii="仿宋" w:hAnsi="仿宋" w:eastAsia="仿宋"/>
          <w:b w:val="0"/>
          <w:bCs w:val="0"/>
          <w:caps w:val="0"/>
          <w:smallCaps/>
        </w:rPr>
        <w:t>6</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default" w:ascii="仿宋" w:hAnsi="仿宋" w:eastAsia="仿宋"/>
          <w:b w:val="0"/>
          <w:bCs w:val="0"/>
          <w:caps w:val="0"/>
          <w:smallCaps/>
        </w:rPr>
        <w:t xml:space="preserve">一、 </w:t>
      </w:r>
      <w:r>
        <w:rPr>
          <w:rFonts w:hint="eastAsia" w:ascii="仿宋" w:hAnsi="仿宋" w:eastAsia="仿宋"/>
          <w:b w:val="0"/>
          <w:bCs w:val="0"/>
          <w:caps w:val="0"/>
          <w:smallCaps/>
        </w:rPr>
        <w:t>收入支出决算总体情况说明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_Toc11380 \h </w:instrText>
      </w:r>
      <w:r>
        <w:rPr>
          <w:rFonts w:ascii="仿宋" w:hAnsi="仿宋" w:eastAsia="仿宋"/>
          <w:b w:val="0"/>
          <w:bCs w:val="0"/>
          <w:caps w:val="0"/>
          <w:smallCaps/>
        </w:rPr>
        <w:fldChar w:fldCharType="separate"/>
      </w:r>
      <w:r>
        <w:rPr>
          <w:rFonts w:ascii="仿宋" w:hAnsi="仿宋" w:eastAsia="仿宋"/>
          <w:b w:val="0"/>
          <w:bCs w:val="0"/>
          <w:caps w:val="0"/>
          <w:smallCaps/>
        </w:rPr>
        <w:t>6</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default" w:ascii="仿宋" w:hAnsi="仿宋" w:eastAsia="仿宋"/>
          <w:b w:val="0"/>
          <w:bCs w:val="0"/>
          <w:caps w:val="0"/>
          <w:smallCaps/>
        </w:rPr>
        <w:t xml:space="preserve">二、 </w:t>
      </w:r>
      <w:r>
        <w:rPr>
          <w:rFonts w:hint="eastAsia" w:ascii="仿宋" w:hAnsi="仿宋" w:eastAsia="仿宋"/>
          <w:b w:val="0"/>
          <w:bCs w:val="0"/>
          <w:caps w:val="0"/>
          <w:smallCaps/>
        </w:rPr>
        <w:t>收入决算情况说明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_Toc12173 \h </w:instrText>
      </w:r>
      <w:r>
        <w:rPr>
          <w:rFonts w:ascii="仿宋" w:hAnsi="仿宋" w:eastAsia="仿宋"/>
          <w:b w:val="0"/>
          <w:bCs w:val="0"/>
          <w:caps w:val="0"/>
          <w:smallCaps/>
        </w:rPr>
        <w:fldChar w:fldCharType="separate"/>
      </w:r>
      <w:r>
        <w:rPr>
          <w:rFonts w:ascii="仿宋" w:hAnsi="仿宋" w:eastAsia="仿宋"/>
          <w:b w:val="0"/>
          <w:bCs w:val="0"/>
          <w:caps w:val="0"/>
          <w:smallCaps/>
        </w:rPr>
        <w:t>6</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default" w:ascii="仿宋" w:hAnsi="仿宋" w:eastAsia="仿宋"/>
          <w:b w:val="0"/>
          <w:bCs w:val="0"/>
          <w:caps w:val="0"/>
          <w:smallCaps/>
        </w:rPr>
        <w:t xml:space="preserve">三、 </w:t>
      </w:r>
      <w:r>
        <w:rPr>
          <w:rFonts w:hint="eastAsia" w:ascii="仿宋" w:hAnsi="仿宋" w:eastAsia="仿宋"/>
          <w:b w:val="0"/>
          <w:bCs w:val="0"/>
          <w:caps w:val="0"/>
          <w:smallCaps/>
        </w:rPr>
        <w:t>支出决算情况说明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_Toc19801 \h </w:instrText>
      </w:r>
      <w:r>
        <w:rPr>
          <w:rFonts w:ascii="仿宋" w:hAnsi="仿宋" w:eastAsia="仿宋"/>
          <w:b w:val="0"/>
          <w:bCs w:val="0"/>
          <w:caps w:val="0"/>
          <w:smallCaps/>
        </w:rPr>
        <w:fldChar w:fldCharType="separate"/>
      </w:r>
      <w:r>
        <w:rPr>
          <w:rFonts w:ascii="仿宋" w:hAnsi="仿宋" w:eastAsia="仿宋"/>
          <w:b w:val="0"/>
          <w:bCs w:val="0"/>
          <w:caps w:val="0"/>
          <w:smallCaps/>
        </w:rPr>
        <w:t>7</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四、财政拨款收入支出决算总体情况说明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_Toc14876 \h </w:instrText>
      </w:r>
      <w:r>
        <w:rPr>
          <w:rFonts w:ascii="仿宋" w:hAnsi="仿宋" w:eastAsia="仿宋"/>
          <w:b w:val="0"/>
          <w:bCs w:val="0"/>
          <w:caps w:val="0"/>
          <w:smallCaps/>
        </w:rPr>
        <w:fldChar w:fldCharType="separate"/>
      </w:r>
      <w:r>
        <w:rPr>
          <w:rFonts w:ascii="仿宋" w:hAnsi="仿宋" w:eastAsia="仿宋"/>
          <w:b w:val="0"/>
          <w:bCs w:val="0"/>
          <w:caps w:val="0"/>
          <w:smallCaps/>
        </w:rPr>
        <w:t>7</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五、一般公共预算财政拨款支出决算情况说明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_Toc12044 \h </w:instrText>
      </w:r>
      <w:r>
        <w:rPr>
          <w:rFonts w:ascii="仿宋" w:hAnsi="仿宋" w:eastAsia="仿宋"/>
          <w:b w:val="0"/>
          <w:bCs w:val="0"/>
          <w:caps w:val="0"/>
          <w:smallCaps/>
        </w:rPr>
        <w:fldChar w:fldCharType="separate"/>
      </w:r>
      <w:r>
        <w:rPr>
          <w:rFonts w:ascii="仿宋" w:hAnsi="仿宋" w:eastAsia="仿宋"/>
          <w:b w:val="0"/>
          <w:bCs w:val="0"/>
          <w:caps w:val="0"/>
          <w:smallCaps/>
        </w:rPr>
        <w:t>8</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（一）一般公共预算财政拨款支出决算总体情况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_Toc13698 \h </w:instrText>
      </w:r>
      <w:r>
        <w:rPr>
          <w:rFonts w:ascii="仿宋" w:hAnsi="仿宋" w:eastAsia="仿宋"/>
          <w:b w:val="0"/>
          <w:bCs w:val="0"/>
          <w:caps w:val="0"/>
          <w:smallCaps/>
        </w:rPr>
        <w:fldChar w:fldCharType="separate"/>
      </w:r>
      <w:r>
        <w:rPr>
          <w:rFonts w:ascii="仿宋" w:hAnsi="仿宋" w:eastAsia="仿宋"/>
          <w:b w:val="0"/>
          <w:bCs w:val="0"/>
          <w:caps w:val="0"/>
          <w:smallCaps/>
        </w:rPr>
        <w:t>8</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（二）一般公共预算财政拨款支出决算结构情况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_Toc28032 \h </w:instrText>
      </w:r>
      <w:r>
        <w:rPr>
          <w:rFonts w:ascii="仿宋" w:hAnsi="仿宋" w:eastAsia="仿宋"/>
          <w:b w:val="0"/>
          <w:bCs w:val="0"/>
          <w:caps w:val="0"/>
          <w:smallCaps/>
        </w:rPr>
        <w:fldChar w:fldCharType="separate"/>
      </w:r>
      <w:r>
        <w:rPr>
          <w:rFonts w:ascii="仿宋" w:hAnsi="仿宋" w:eastAsia="仿宋"/>
          <w:b w:val="0"/>
          <w:bCs w:val="0"/>
          <w:caps w:val="0"/>
          <w:smallCaps/>
        </w:rPr>
        <w:t>9</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（三）一般公共预算财政拨款支出决算具体情况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_Toc12756 \h </w:instrText>
      </w:r>
      <w:r>
        <w:rPr>
          <w:rFonts w:ascii="仿宋" w:hAnsi="仿宋" w:eastAsia="仿宋"/>
          <w:b w:val="0"/>
          <w:bCs w:val="0"/>
          <w:caps w:val="0"/>
          <w:smallCaps/>
        </w:rPr>
        <w:fldChar w:fldCharType="separate"/>
      </w:r>
      <w:r>
        <w:rPr>
          <w:rFonts w:ascii="仿宋" w:hAnsi="仿宋" w:eastAsia="仿宋"/>
          <w:b w:val="0"/>
          <w:bCs w:val="0"/>
          <w:caps w:val="0"/>
          <w:smallCaps/>
        </w:rPr>
        <w:t>10</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六、一般公共预算财政拨款基本支出决算情况说明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_Toc29857 \h </w:instrText>
      </w:r>
      <w:r>
        <w:rPr>
          <w:rFonts w:ascii="仿宋" w:hAnsi="仿宋" w:eastAsia="仿宋"/>
          <w:b w:val="0"/>
          <w:bCs w:val="0"/>
          <w:caps w:val="0"/>
          <w:smallCaps/>
        </w:rPr>
        <w:fldChar w:fldCharType="separate"/>
      </w:r>
      <w:r>
        <w:rPr>
          <w:rFonts w:ascii="仿宋" w:hAnsi="仿宋" w:eastAsia="仿宋"/>
          <w:b w:val="0"/>
          <w:bCs w:val="0"/>
          <w:caps w:val="0"/>
          <w:smallCaps/>
        </w:rPr>
        <w:t>11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七、“三公”经费财政拨款支出决算情况说明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_Toc16082 \h </w:instrText>
      </w:r>
      <w:r>
        <w:rPr>
          <w:rFonts w:ascii="仿宋" w:hAnsi="仿宋" w:eastAsia="仿宋"/>
          <w:b w:val="0"/>
          <w:bCs w:val="0"/>
          <w:caps w:val="0"/>
          <w:smallCaps/>
        </w:rPr>
        <w:fldChar w:fldCharType="separate"/>
      </w:r>
      <w:r>
        <w:rPr>
          <w:rFonts w:ascii="仿宋" w:hAnsi="仿宋" w:eastAsia="仿宋"/>
          <w:b w:val="0"/>
          <w:bCs w:val="0"/>
          <w:caps w:val="0"/>
          <w:smallCaps/>
        </w:rPr>
        <w:t>11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（一）“三公”经费财政拨款支出决算总体情况说明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_Toc8869 \h </w:instrText>
      </w:r>
      <w:r>
        <w:rPr>
          <w:rFonts w:ascii="仿宋" w:hAnsi="仿宋" w:eastAsia="仿宋"/>
          <w:b w:val="0"/>
          <w:bCs w:val="0"/>
          <w:caps w:val="0"/>
          <w:smallCaps/>
        </w:rPr>
        <w:fldChar w:fldCharType="separate"/>
      </w:r>
      <w:r>
        <w:rPr>
          <w:rFonts w:ascii="仿宋" w:hAnsi="仿宋" w:eastAsia="仿宋"/>
          <w:b w:val="0"/>
          <w:bCs w:val="0"/>
          <w:caps w:val="0"/>
          <w:smallCaps/>
        </w:rPr>
        <w:t>12</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（二）“三公”经费财政拨款支出决算具体情况说明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_Toc362 \h </w:instrText>
      </w:r>
      <w:r>
        <w:rPr>
          <w:rFonts w:ascii="仿宋" w:hAnsi="仿宋" w:eastAsia="仿宋"/>
          <w:b w:val="0"/>
          <w:bCs w:val="0"/>
          <w:caps w:val="0"/>
          <w:smallCaps/>
        </w:rPr>
        <w:fldChar w:fldCharType="separate"/>
      </w:r>
      <w:r>
        <w:rPr>
          <w:rFonts w:ascii="仿宋" w:hAnsi="仿宋" w:eastAsia="仿宋"/>
          <w:b w:val="0"/>
          <w:bCs w:val="0"/>
          <w:caps w:val="0"/>
          <w:smallCaps/>
        </w:rPr>
        <w:t>12</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八、政府性基金预算支出决算情况说明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_Toc4621 \h </w:instrText>
      </w:r>
      <w:r>
        <w:rPr>
          <w:rFonts w:ascii="仿宋" w:hAnsi="仿宋" w:eastAsia="仿宋"/>
          <w:b w:val="0"/>
          <w:bCs w:val="0"/>
          <w:caps w:val="0"/>
          <w:smallCaps/>
        </w:rPr>
        <w:fldChar w:fldCharType="separate"/>
      </w:r>
      <w:r>
        <w:rPr>
          <w:rFonts w:ascii="仿宋" w:hAnsi="仿宋" w:eastAsia="仿宋"/>
          <w:b w:val="0"/>
          <w:bCs w:val="0"/>
          <w:caps w:val="0"/>
          <w:smallCaps/>
        </w:rPr>
        <w:t>13</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九、 国有资本经营预算支出决算情况说明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_Toc13885 \h </w:instrText>
      </w:r>
      <w:r>
        <w:rPr>
          <w:rFonts w:ascii="仿宋" w:hAnsi="仿宋" w:eastAsia="仿宋"/>
          <w:b w:val="0"/>
          <w:bCs w:val="0"/>
          <w:caps w:val="0"/>
          <w:smallCaps/>
        </w:rPr>
        <w:fldChar w:fldCharType="separate"/>
      </w:r>
      <w:r>
        <w:rPr>
          <w:rFonts w:ascii="仿宋" w:hAnsi="仿宋" w:eastAsia="仿宋"/>
          <w:b w:val="0"/>
          <w:bCs w:val="0"/>
          <w:caps w:val="0"/>
          <w:smallCaps/>
        </w:rPr>
        <w:t>13</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十、其他重要事项的情况说明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_Toc28818 \h </w:instrText>
      </w:r>
      <w:r>
        <w:rPr>
          <w:rFonts w:ascii="仿宋" w:hAnsi="仿宋" w:eastAsia="仿宋"/>
          <w:b w:val="0"/>
          <w:bCs w:val="0"/>
          <w:caps w:val="0"/>
          <w:smallCaps/>
        </w:rPr>
        <w:fldChar w:fldCharType="separate"/>
      </w:r>
      <w:r>
        <w:rPr>
          <w:rFonts w:ascii="仿宋" w:hAnsi="仿宋" w:eastAsia="仿宋"/>
          <w:b w:val="0"/>
          <w:bCs w:val="0"/>
          <w:caps w:val="0"/>
          <w:smallCaps/>
        </w:rPr>
        <w:t>13</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（一）机关运行经费支出情况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_Toc4432 \h </w:instrText>
      </w:r>
      <w:r>
        <w:rPr>
          <w:rFonts w:ascii="仿宋" w:hAnsi="仿宋" w:eastAsia="仿宋"/>
          <w:b w:val="0"/>
          <w:bCs w:val="0"/>
          <w:caps w:val="0"/>
          <w:smallCaps/>
        </w:rPr>
        <w:fldChar w:fldCharType="separate"/>
      </w:r>
      <w:r>
        <w:rPr>
          <w:rFonts w:ascii="仿宋" w:hAnsi="仿宋" w:eastAsia="仿宋"/>
          <w:b w:val="0"/>
          <w:bCs w:val="0"/>
          <w:caps w:val="0"/>
          <w:smallCaps/>
        </w:rPr>
        <w:t>13</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（二）政府采购支出情况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_Toc12944 \h </w:instrText>
      </w:r>
      <w:r>
        <w:rPr>
          <w:rFonts w:ascii="仿宋" w:hAnsi="仿宋" w:eastAsia="仿宋"/>
          <w:b w:val="0"/>
          <w:bCs w:val="0"/>
          <w:caps w:val="0"/>
          <w:smallCaps/>
        </w:rPr>
        <w:fldChar w:fldCharType="separate"/>
      </w:r>
      <w:r>
        <w:rPr>
          <w:rFonts w:ascii="仿宋" w:hAnsi="仿宋" w:eastAsia="仿宋"/>
          <w:b w:val="0"/>
          <w:bCs w:val="0"/>
          <w:caps w:val="0"/>
          <w:smallCaps/>
        </w:rPr>
        <w:t>14</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（三）国有资产占有使用情况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_Toc11348 \h </w:instrText>
      </w:r>
      <w:r>
        <w:rPr>
          <w:rFonts w:ascii="仿宋" w:hAnsi="仿宋" w:eastAsia="仿宋"/>
          <w:b w:val="0"/>
          <w:bCs w:val="0"/>
          <w:caps w:val="0"/>
          <w:smallCaps/>
        </w:rPr>
        <w:fldChar w:fldCharType="separate"/>
      </w:r>
      <w:r>
        <w:rPr>
          <w:rFonts w:ascii="仿宋" w:hAnsi="仿宋" w:eastAsia="仿宋"/>
          <w:b w:val="0"/>
          <w:bCs w:val="0"/>
          <w:caps w:val="0"/>
          <w:smallCaps/>
        </w:rPr>
        <w:t>14</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（四）预算绩效管理情况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_Toc11947 \h </w:instrText>
      </w:r>
      <w:r>
        <w:rPr>
          <w:rFonts w:ascii="仿宋" w:hAnsi="仿宋" w:eastAsia="仿宋"/>
          <w:b w:val="0"/>
          <w:bCs w:val="0"/>
          <w:caps w:val="0"/>
          <w:smallCaps/>
        </w:rPr>
        <w:fldChar w:fldCharType="separate"/>
      </w:r>
      <w:r>
        <w:rPr>
          <w:rFonts w:ascii="仿宋" w:hAnsi="仿宋" w:eastAsia="仿宋"/>
          <w:b w:val="0"/>
          <w:bCs w:val="0"/>
          <w:caps w:val="0"/>
          <w:smallCaps/>
        </w:rPr>
        <w:t>14</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第三部分 名词解释</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_Toc44 \h </w:instrText>
      </w:r>
      <w:r>
        <w:rPr>
          <w:rFonts w:ascii="仿宋" w:hAnsi="仿宋" w:eastAsia="仿宋"/>
          <w:b w:val="0"/>
          <w:bCs w:val="0"/>
          <w:caps w:val="0"/>
          <w:smallCaps/>
        </w:rPr>
        <w:fldChar w:fldCharType="separate"/>
      </w:r>
      <w:r>
        <w:rPr>
          <w:rFonts w:ascii="仿宋" w:hAnsi="仿宋" w:eastAsia="仿宋"/>
          <w:b w:val="0"/>
          <w:bCs w:val="0"/>
          <w:caps w:val="0"/>
          <w:smallCaps/>
        </w:rPr>
        <w:t>16</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第四部分附件</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_Toc19397 \h </w:instrText>
      </w:r>
      <w:r>
        <w:rPr>
          <w:rFonts w:ascii="仿宋" w:hAnsi="仿宋" w:eastAsia="仿宋"/>
          <w:b w:val="0"/>
          <w:bCs w:val="0"/>
          <w:caps w:val="0"/>
          <w:smallCaps/>
        </w:rPr>
        <w:fldChar w:fldCharType="separate"/>
      </w:r>
      <w:r>
        <w:rPr>
          <w:rFonts w:ascii="仿宋" w:hAnsi="仿宋" w:eastAsia="仿宋"/>
          <w:b w:val="0"/>
          <w:bCs w:val="0"/>
          <w:caps w:val="0"/>
          <w:smallCaps/>
        </w:rPr>
        <w:t>19</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附件</w:t>
      </w:r>
      <w:r>
        <w:rPr>
          <w:rFonts w:ascii="仿宋" w:hAnsi="仿宋" w:eastAsia="仿宋"/>
          <w:b w:val="0"/>
          <w:bCs w:val="0"/>
          <w:caps w:val="0"/>
          <w:smallCaps/>
        </w:rPr>
        <w:t>1</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_Toc2967 \h </w:instrText>
      </w:r>
      <w:r>
        <w:rPr>
          <w:rFonts w:ascii="仿宋" w:hAnsi="仿宋" w:eastAsia="仿宋"/>
          <w:b w:val="0"/>
          <w:bCs w:val="0"/>
          <w:caps w:val="0"/>
          <w:smallCaps/>
        </w:rPr>
        <w:fldChar w:fldCharType="separate"/>
      </w:r>
      <w:r>
        <w:rPr>
          <w:rFonts w:ascii="仿宋" w:hAnsi="仿宋" w:eastAsia="仿宋"/>
          <w:b w:val="0"/>
          <w:bCs w:val="0"/>
          <w:caps w:val="0"/>
          <w:smallCaps/>
        </w:rPr>
        <w:t>19</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一、收入支出决算总表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_Toc31615 \h </w:instrText>
      </w:r>
      <w:r>
        <w:rPr>
          <w:rFonts w:ascii="仿宋" w:hAnsi="仿宋" w:eastAsia="仿宋"/>
          <w:b w:val="0"/>
          <w:bCs w:val="0"/>
          <w:caps w:val="0"/>
          <w:smallCaps/>
        </w:rPr>
        <w:fldChar w:fldCharType="separate"/>
      </w:r>
      <w:r>
        <w:rPr>
          <w:rFonts w:ascii="仿宋" w:hAnsi="仿宋" w:eastAsia="仿宋"/>
          <w:b w:val="0"/>
          <w:bCs w:val="0"/>
          <w:caps w:val="0"/>
          <w:smallCaps/>
        </w:rPr>
        <w:t>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二、收入决算表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_Toc6178 \h </w:instrText>
      </w:r>
      <w:r>
        <w:rPr>
          <w:rFonts w:ascii="仿宋" w:hAnsi="仿宋" w:eastAsia="仿宋"/>
          <w:b w:val="0"/>
          <w:bCs w:val="0"/>
          <w:caps w:val="0"/>
          <w:smallCaps/>
        </w:rPr>
        <w:fldChar w:fldCharType="separate"/>
      </w:r>
      <w:r>
        <w:rPr>
          <w:rFonts w:ascii="仿宋" w:hAnsi="仿宋" w:eastAsia="仿宋"/>
          <w:b w:val="0"/>
          <w:bCs w:val="0"/>
          <w:caps w:val="0"/>
          <w:smallCaps/>
        </w:rPr>
        <w:t>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三、支出决算表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_Toc19925 \h </w:instrText>
      </w:r>
      <w:r>
        <w:rPr>
          <w:rFonts w:ascii="仿宋" w:hAnsi="仿宋" w:eastAsia="仿宋"/>
          <w:b w:val="0"/>
          <w:bCs w:val="0"/>
          <w:caps w:val="0"/>
          <w:smallCaps/>
        </w:rPr>
        <w:fldChar w:fldCharType="separate"/>
      </w:r>
      <w:r>
        <w:rPr>
          <w:rFonts w:ascii="仿宋" w:hAnsi="仿宋" w:eastAsia="仿宋"/>
          <w:b w:val="0"/>
          <w:bCs w:val="0"/>
          <w:caps w:val="0"/>
          <w:smallCaps/>
        </w:rPr>
        <w:t>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四、财政拨款收入支出决算总表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_Toc22490 \h </w:instrText>
      </w:r>
      <w:r>
        <w:rPr>
          <w:rFonts w:ascii="仿宋" w:hAnsi="仿宋" w:eastAsia="仿宋"/>
          <w:b w:val="0"/>
          <w:bCs w:val="0"/>
          <w:caps w:val="0"/>
          <w:smallCaps/>
        </w:rPr>
        <w:fldChar w:fldCharType="separate"/>
      </w:r>
      <w:r>
        <w:rPr>
          <w:rFonts w:ascii="仿宋" w:hAnsi="仿宋" w:eastAsia="仿宋"/>
          <w:b w:val="0"/>
          <w:bCs w:val="0"/>
          <w:caps w:val="0"/>
          <w:smallCaps/>
        </w:rPr>
        <w:t>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五、财政拨款支出决算明细表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_Toc3741 \h </w:instrText>
      </w:r>
      <w:r>
        <w:rPr>
          <w:rFonts w:ascii="仿宋" w:hAnsi="仿宋" w:eastAsia="仿宋"/>
          <w:b w:val="0"/>
          <w:bCs w:val="0"/>
          <w:caps w:val="0"/>
          <w:smallCaps/>
        </w:rPr>
        <w:fldChar w:fldCharType="separate"/>
      </w:r>
      <w:r>
        <w:rPr>
          <w:rFonts w:ascii="仿宋" w:hAnsi="仿宋" w:eastAsia="仿宋"/>
          <w:b w:val="0"/>
          <w:bCs w:val="0"/>
          <w:caps w:val="0"/>
          <w:smallCaps/>
        </w:rPr>
        <w:t>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六、一般公共预算财政拨款支出决算表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_Toc10577 \h </w:instrText>
      </w:r>
      <w:r>
        <w:rPr>
          <w:rFonts w:ascii="仿宋" w:hAnsi="仿宋" w:eastAsia="仿宋"/>
          <w:b w:val="0"/>
          <w:bCs w:val="0"/>
          <w:caps w:val="0"/>
          <w:smallCaps/>
        </w:rPr>
        <w:fldChar w:fldCharType="separate"/>
      </w:r>
      <w:r>
        <w:rPr>
          <w:rFonts w:ascii="仿宋" w:hAnsi="仿宋" w:eastAsia="仿宋"/>
          <w:b w:val="0"/>
          <w:bCs w:val="0"/>
          <w:caps w:val="0"/>
          <w:smallCaps/>
        </w:rPr>
        <w:t>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七、一般公共预算财政拨款支出决算明细表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_Toc9195 \h </w:instrText>
      </w:r>
      <w:r>
        <w:rPr>
          <w:rFonts w:ascii="仿宋" w:hAnsi="仿宋" w:eastAsia="仿宋"/>
          <w:b w:val="0"/>
          <w:bCs w:val="0"/>
          <w:caps w:val="0"/>
          <w:smallCaps/>
        </w:rPr>
        <w:fldChar w:fldCharType="separate"/>
      </w:r>
      <w:r>
        <w:rPr>
          <w:rFonts w:ascii="仿宋" w:hAnsi="仿宋" w:eastAsia="仿宋"/>
          <w:b w:val="0"/>
          <w:bCs w:val="0"/>
          <w:caps w:val="0"/>
          <w:smallCaps/>
        </w:rPr>
        <w:t>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八、一般公共预算财政拨款基本支出决算表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_Toc31981 \h </w:instrText>
      </w:r>
      <w:r>
        <w:rPr>
          <w:rFonts w:ascii="仿宋" w:hAnsi="仿宋" w:eastAsia="仿宋"/>
          <w:b w:val="0"/>
          <w:bCs w:val="0"/>
          <w:caps w:val="0"/>
          <w:smallCaps/>
        </w:rPr>
        <w:fldChar w:fldCharType="separate"/>
      </w:r>
      <w:r>
        <w:rPr>
          <w:rFonts w:ascii="仿宋" w:hAnsi="仿宋" w:eastAsia="仿宋"/>
          <w:b w:val="0"/>
          <w:bCs w:val="0"/>
          <w:caps w:val="0"/>
          <w:smallCaps/>
        </w:rPr>
        <w:t>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九、一般公共预算财政拨款项目支出决算表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_Toc23721 \h </w:instrText>
      </w:r>
      <w:r>
        <w:rPr>
          <w:rFonts w:ascii="仿宋" w:hAnsi="仿宋" w:eastAsia="仿宋"/>
          <w:b w:val="0"/>
          <w:bCs w:val="0"/>
          <w:caps w:val="0"/>
          <w:smallCaps/>
        </w:rPr>
        <w:fldChar w:fldCharType="separate"/>
      </w:r>
      <w:r>
        <w:rPr>
          <w:rFonts w:ascii="仿宋" w:hAnsi="仿宋" w:eastAsia="仿宋"/>
          <w:b w:val="0"/>
          <w:bCs w:val="0"/>
          <w:caps w:val="0"/>
          <w:smallCaps/>
        </w:rPr>
        <w:t>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十、一般公共预算财政拨款“三公”经费支出决算表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_Toc28064 \h </w:instrText>
      </w:r>
      <w:r>
        <w:rPr>
          <w:rFonts w:ascii="仿宋" w:hAnsi="仿宋" w:eastAsia="仿宋"/>
          <w:b w:val="0"/>
          <w:bCs w:val="0"/>
          <w:caps w:val="0"/>
          <w:smallCaps/>
        </w:rPr>
        <w:fldChar w:fldCharType="separate"/>
      </w:r>
      <w:r>
        <w:rPr>
          <w:rFonts w:ascii="仿宋" w:hAnsi="仿宋" w:eastAsia="仿宋"/>
          <w:b w:val="0"/>
          <w:bCs w:val="0"/>
          <w:caps w:val="0"/>
          <w:smallCaps/>
        </w:rPr>
        <w:t>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十一、政府性基金预算财政拨款收入支出决算表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_Toc6376 \h </w:instrText>
      </w:r>
      <w:r>
        <w:rPr>
          <w:rFonts w:ascii="仿宋" w:hAnsi="仿宋" w:eastAsia="仿宋"/>
          <w:b w:val="0"/>
          <w:bCs w:val="0"/>
          <w:caps w:val="0"/>
          <w:smallCaps/>
        </w:rPr>
        <w:fldChar w:fldCharType="separate"/>
      </w:r>
      <w:r>
        <w:rPr>
          <w:rFonts w:ascii="仿宋" w:hAnsi="仿宋" w:eastAsia="仿宋"/>
          <w:b w:val="0"/>
          <w:bCs w:val="0"/>
          <w:caps w:val="0"/>
          <w:smallCaps/>
        </w:rPr>
        <w:t>1</w:t>
      </w:r>
      <w:r>
        <w:rPr>
          <w:rFonts w:ascii="仿宋" w:hAnsi="仿宋" w:eastAsia="仿宋"/>
          <w:b w:val="0"/>
          <w:bCs w:val="0"/>
          <w:caps w:val="0"/>
          <w:smallCaps/>
        </w:rPr>
        <w:fldChar w:fldCharType="end"/>
      </w:r>
    </w:p>
    <w:p>
      <w:pPr>
        <w:pStyle w:val="13"/>
        <w:tabs>
          <w:tab w:val="right" w:leader="dot" w:pos="8296"/>
        </w:tabs>
        <w:rPr>
          <w:rFonts w:ascii="仿宋" w:hAnsi="仿宋" w:eastAsia="仿宋"/>
          <w:b w:val="0"/>
          <w:bCs w:val="0"/>
          <w:caps w:val="0"/>
          <w:smallCaps/>
        </w:rPr>
      </w:pPr>
      <w:r>
        <w:rPr>
          <w:rFonts w:hint="eastAsia" w:ascii="仿宋" w:hAnsi="仿宋" w:eastAsia="仿宋"/>
          <w:b w:val="0"/>
          <w:bCs w:val="0"/>
          <w:caps w:val="0"/>
          <w:smallCaps/>
        </w:rPr>
        <w:t>十二、政府性基金预算财政拨款“三公”经费支出决算表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_Toc28795 \h </w:instrText>
      </w:r>
      <w:r>
        <w:rPr>
          <w:rFonts w:ascii="仿宋" w:hAnsi="仿宋" w:eastAsia="仿宋"/>
          <w:b w:val="0"/>
          <w:bCs w:val="0"/>
          <w:caps w:val="0"/>
          <w:smallCaps/>
        </w:rPr>
        <w:fldChar w:fldCharType="separate"/>
      </w:r>
      <w:r>
        <w:rPr>
          <w:rFonts w:ascii="仿宋" w:hAnsi="仿宋" w:eastAsia="仿宋"/>
          <w:b w:val="0"/>
          <w:bCs w:val="0"/>
          <w:caps w:val="0"/>
          <w:smallCaps/>
        </w:rPr>
        <w:t>1</w:t>
      </w:r>
      <w:r>
        <w:rPr>
          <w:rFonts w:ascii="仿宋" w:hAnsi="仿宋" w:eastAsia="仿宋"/>
          <w:b w:val="0"/>
          <w:bCs w:val="0"/>
          <w:caps w:val="0"/>
          <w:smallCaps/>
        </w:rPr>
        <w:fldChar w:fldCharType="end"/>
      </w:r>
    </w:p>
    <w:p>
      <w:pPr>
        <w:pStyle w:val="16"/>
        <w:tabs>
          <w:tab w:val="right" w:leader="dot" w:pos="8296"/>
        </w:tabs>
        <w:ind w:left="0" w:leftChars="0" w:firstLine="0" w:firstLineChars="0"/>
        <w:rPr>
          <w:rFonts w:ascii="仿宋" w:hAnsi="仿宋" w:eastAsia="仿宋"/>
        </w:rPr>
      </w:pPr>
      <w:r>
        <w:rPr>
          <w:rFonts w:hint="eastAsia" w:ascii="仿宋" w:hAnsi="仿宋" w:eastAsia="仿宋"/>
        </w:rPr>
        <w:t>十三、国有资本经营预算财政拨款支出决算表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_Toc16815 \h </w:instrText>
      </w:r>
      <w:r>
        <w:rPr>
          <w:rFonts w:ascii="仿宋" w:hAnsi="仿宋" w:eastAsia="仿宋"/>
        </w:rPr>
        <w:fldChar w:fldCharType="separate"/>
      </w:r>
      <w:r>
        <w:rPr>
          <w:rFonts w:ascii="仿宋" w:hAnsi="仿宋" w:eastAsia="仿宋"/>
        </w:rPr>
        <w:t>1</w:t>
      </w:r>
      <w:r>
        <w:rPr>
          <w:rFonts w:ascii="仿宋" w:hAnsi="仿宋" w:eastAsia="仿宋"/>
        </w:rPr>
        <w:fldChar w:fldCharType="end"/>
      </w:r>
    </w:p>
    <w:p>
      <w:pPr>
        <w:pStyle w:val="16"/>
        <w:tabs>
          <w:tab w:val="right" w:leader="dot" w:pos="8296"/>
        </w:tabs>
        <w:ind w:left="0" w:leftChars="0" w:firstLine="0" w:firstLineChars="0"/>
        <w:rPr>
          <w:rFonts w:ascii="仿宋" w:hAnsi="仿宋" w:eastAsia="仿宋"/>
        </w:rPr>
      </w:pPr>
      <w:r>
        <w:rPr>
          <w:rFonts w:hint="eastAsia" w:ascii="仿宋" w:hAnsi="仿宋" w:eastAsia="仿宋"/>
        </w:rPr>
        <w:t>十四、国有资本经营预算财政拨款支出决算表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_Toc22970 \h </w:instrText>
      </w:r>
      <w:r>
        <w:rPr>
          <w:rFonts w:ascii="仿宋" w:hAnsi="仿宋" w:eastAsia="仿宋"/>
        </w:rPr>
        <w:fldChar w:fldCharType="separate"/>
      </w:r>
      <w:r>
        <w:rPr>
          <w:rFonts w:ascii="仿宋" w:hAnsi="仿宋" w:eastAsia="仿宋"/>
        </w:rPr>
        <w:t>1</w:t>
      </w:r>
      <w:r>
        <w:rPr>
          <w:rFonts w:ascii="仿宋" w:hAnsi="仿宋" w:eastAsia="仿宋"/>
        </w:rPr>
        <w:fldChar w:fldCharType="end"/>
      </w:r>
    </w:p>
    <w:p>
      <w:r>
        <w:rPr>
          <w:rFonts w:ascii="仿宋" w:hAnsi="仿宋" w:eastAsia="仿宋"/>
          <w:smallCaps/>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Fonts w:ascii="黑体" w:eastAsia="黑体"/>
          <w:color w:val="000000"/>
          <w:sz w:val="32"/>
          <w:szCs w:val="32"/>
        </w:rPr>
      </w:pPr>
      <w:bookmarkStart w:id="14" w:name="_Toc79163601"/>
      <w:bookmarkStart w:id="15" w:name="_Toc23835"/>
      <w:r>
        <w:rPr>
          <w:rFonts w:hint="eastAsia" w:ascii="黑体" w:hAnsi="黑体" w:eastAsia="黑体"/>
          <w:b w:val="0"/>
        </w:rPr>
        <w:t>第一部分</w:t>
      </w:r>
      <w:r>
        <w:rPr>
          <w:rStyle w:val="23"/>
          <w:rFonts w:hint="eastAsia" w:ascii="黑体" w:hAnsi="黑体" w:eastAsia="黑体"/>
          <w:b w:val="0"/>
          <w:bCs w:val="0"/>
        </w:rPr>
        <w:t>部门概况</w:t>
      </w:r>
      <w:bookmarkEnd w:id="12"/>
      <w:bookmarkEnd w:id="13"/>
      <w:bookmarkEnd w:id="14"/>
      <w:bookmarkEnd w:id="15"/>
    </w:p>
    <w:p>
      <w:pPr>
        <w:pStyle w:val="3"/>
        <w:rPr>
          <w:rStyle w:val="24"/>
          <w:rFonts w:ascii="仿宋" w:hAnsi="仿宋" w:eastAsia="仿宋"/>
          <w:b w:val="0"/>
          <w:bCs w:val="0"/>
        </w:rPr>
      </w:pPr>
      <w:bookmarkStart w:id="16" w:name="_Toc79163602"/>
      <w:bookmarkStart w:id="17" w:name="_Toc15377197"/>
      <w:bookmarkStart w:id="18" w:name="_Toc15396600"/>
      <w:bookmarkStart w:id="19" w:name="_Toc25800"/>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hint="eastAsia" w:ascii="楷体" w:hAnsi="楷体" w:eastAsia="楷体" w:cs="楷体"/>
          <w:bCs/>
          <w:color w:val="000000"/>
          <w:sz w:val="32"/>
          <w:szCs w:val="32"/>
        </w:rPr>
      </w:pPr>
      <w:bookmarkStart w:id="20" w:name="_Toc8880"/>
      <w:bookmarkStart w:id="21" w:name="_Toc79163603"/>
      <w:bookmarkStart w:id="22" w:name="_Toc15377198"/>
      <w:bookmarkStart w:id="23" w:name="_Toc15378445"/>
      <w:r>
        <w:rPr>
          <w:rFonts w:hint="eastAsia" w:ascii="楷体" w:hAnsi="楷体" w:eastAsia="楷体" w:cs="楷体"/>
          <w:bCs/>
          <w:color w:val="000000"/>
          <w:sz w:val="32"/>
          <w:szCs w:val="32"/>
        </w:rPr>
        <w:t>（一）主要职能</w:t>
      </w:r>
      <w:bookmarkEnd w:id="20"/>
      <w:bookmarkEnd w:id="21"/>
    </w:p>
    <w:bookmarkEnd w:id="22"/>
    <w:bookmarkEnd w:id="23"/>
    <w:p>
      <w:pPr>
        <w:spacing w:line="576" w:lineRule="exact"/>
        <w:ind w:firstLine="640" w:firstLineChars="200"/>
        <w:rPr>
          <w:rFonts w:hint="eastAsia" w:ascii="仿宋_GB2312" w:hAnsi="仿宋_GB2312" w:eastAsia="仿宋_GB2312" w:cs="仿宋_GB2312"/>
          <w:sz w:val="32"/>
          <w:szCs w:val="32"/>
        </w:rPr>
      </w:pPr>
      <w:bookmarkStart w:id="24" w:name="_Toc15378446"/>
      <w:bookmarkStart w:id="25" w:name="_Toc15377199"/>
      <w:bookmarkStart w:id="26" w:name="_Toc79163604"/>
      <w:r>
        <w:rPr>
          <w:rFonts w:hint="eastAsia" w:ascii="仿宋_GB2312" w:hAnsi="仿宋_GB2312" w:eastAsia="仿宋_GB2312" w:cs="仿宋_GB2312"/>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pStyle w:val="33"/>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2.围绕中央、省委和州委重要决策以及县委总体工作部署，开展调研，并负责信息的收集、综合和报送工作。</w:t>
      </w:r>
    </w:p>
    <w:p>
      <w:pPr>
        <w:pStyle w:val="33"/>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3.负责县委常委会议、书记办公会议、县党代会、县委全委会、县委工作会、全县领导干部会等会议的会务工作，负责县委领导参加重要公务活动的组织安排。</w:t>
      </w:r>
    </w:p>
    <w:p>
      <w:pPr>
        <w:pStyle w:val="33"/>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4.负责县委重要工作部署贯彻落实的督促检查，负责县委指示、县委领导批示的转达和催办落实。</w:t>
      </w:r>
    </w:p>
    <w:p>
      <w:pPr>
        <w:pStyle w:val="33"/>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5.负责县保密委员会及其办公室的日常工作。</w:t>
      </w:r>
    </w:p>
    <w:p>
      <w:pPr>
        <w:pStyle w:val="33"/>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6.负责管理县委密码局工作。</w:t>
      </w:r>
    </w:p>
    <w:p>
      <w:pPr>
        <w:pStyle w:val="33"/>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7.完成县委和县委领导交办的其他工作任务。</w:t>
      </w:r>
    </w:p>
    <w:p>
      <w:pPr>
        <w:pStyle w:val="6"/>
        <w:adjustRightInd w:val="0"/>
        <w:snapToGrid w:val="0"/>
        <w:spacing w:before="93" w:line="600" w:lineRule="exact"/>
        <w:ind w:firstLine="672" w:firstLineChars="210"/>
        <w:outlineLvl w:val="2"/>
        <w:rPr>
          <w:rFonts w:hint="eastAsia" w:ascii="楷体" w:hAnsi="楷体" w:eastAsia="楷体" w:cs="楷体"/>
          <w:b w:val="0"/>
          <w:bCs/>
          <w:color w:val="000000"/>
          <w:sz w:val="32"/>
          <w:szCs w:val="32"/>
          <w:lang w:eastAsia="zh-CN"/>
        </w:rPr>
      </w:pPr>
      <w:bookmarkStart w:id="27" w:name="_Toc31514"/>
      <w:r>
        <w:rPr>
          <w:rFonts w:hint="eastAsia" w:ascii="楷体" w:hAnsi="楷体" w:eastAsia="楷体" w:cs="楷体"/>
          <w:b w:val="0"/>
          <w:bCs/>
          <w:color w:val="000000"/>
          <w:sz w:val="32"/>
          <w:szCs w:val="32"/>
        </w:rPr>
        <w:t>（二）2020年重点工作完成情况</w:t>
      </w:r>
      <w:bookmarkEnd w:id="24"/>
      <w:bookmarkEnd w:id="25"/>
      <w:bookmarkEnd w:id="26"/>
      <w:bookmarkEnd w:id="27"/>
    </w:p>
    <w:p>
      <w:pPr>
        <w:pStyle w:val="18"/>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1.提高文稿质量、保证公文高效运转。</w:t>
      </w:r>
    </w:p>
    <w:p>
      <w:pPr>
        <w:pStyle w:val="18"/>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2.扎实做好县委常委会议、书记办公会议、县党代会、县委全委会、县委工作会、全县领导干部会等会议的会务工作，确保会议规范有序。</w:t>
      </w:r>
    </w:p>
    <w:p>
      <w:pPr>
        <w:pStyle w:val="18"/>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3.充分发挥办公室综合协调职能，加强与各级各部门的沟通协调，周密安排领导公务活动，做到事前缜密谋划、事中灵活应对、事后总结完善，不断提高服务能力和水平。</w:t>
      </w:r>
    </w:p>
    <w:p>
      <w:pPr>
        <w:pStyle w:val="18"/>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4.加强日常信息报送，力争信息采用排名全州前列。</w:t>
      </w:r>
    </w:p>
    <w:p>
      <w:pPr>
        <w:pStyle w:val="18"/>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扩展</w:t>
      </w:r>
      <w:r>
        <w:rPr>
          <w:rFonts w:hint="eastAsia" w:ascii="仿宋_GB2312" w:hAnsi="仿宋_GB2312" w:eastAsia="仿宋_GB2312" w:cs="仿宋_GB2312"/>
          <w:sz w:val="32"/>
          <w:szCs w:val="32"/>
        </w:rPr>
        <w:t>非涉密计算机敏感信息监管系统，</w:t>
      </w:r>
      <w:r>
        <w:rPr>
          <w:rFonts w:hint="eastAsia" w:ascii="仿宋_GB2312" w:hAnsi="仿宋_GB2312" w:eastAsia="仿宋_GB2312" w:cs="仿宋_GB2312"/>
          <w:sz w:val="32"/>
          <w:szCs w:val="32"/>
          <w:lang w:val="en-US" w:eastAsia="zh-CN"/>
        </w:rPr>
        <w:t>做到全覆盖，</w:t>
      </w:r>
      <w:r>
        <w:rPr>
          <w:rFonts w:hint="eastAsia" w:ascii="仿宋_GB2312" w:hAnsi="仿宋_GB2312" w:eastAsia="仿宋_GB2312" w:cs="仿宋_GB2312"/>
          <w:sz w:val="32"/>
          <w:szCs w:val="32"/>
        </w:rPr>
        <w:t>开展全县网络核查分类工作，切实做好全县普通高校招生考试安全保密工作，做好保密</w:t>
      </w:r>
      <w:r>
        <w:rPr>
          <w:rFonts w:hint="default" w:ascii="仿宋_GB2312" w:hAnsi="仿宋_GB2312" w:eastAsia="仿宋_GB2312" w:cs="仿宋_GB2312"/>
          <w:sz w:val="32"/>
          <w:szCs w:val="32"/>
          <w:lang w:val="en-US"/>
        </w:rPr>
        <w:t>法治宣传教育</w:t>
      </w:r>
      <w:r>
        <w:rPr>
          <w:rFonts w:hint="eastAsia" w:ascii="仿宋_GB2312" w:hAnsi="仿宋_GB2312" w:eastAsia="仿宋_GB2312" w:cs="仿宋_GB2312"/>
          <w:sz w:val="32"/>
          <w:szCs w:val="32"/>
        </w:rPr>
        <w:t>和保密业务培训。</w:t>
      </w:r>
    </w:p>
    <w:p>
      <w:pPr>
        <w:pStyle w:val="18"/>
        <w:spacing w:beforeAutospacing="0" w:afterAutospacing="0"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6.扎实做好密码通信服务保障，推进密码管理规范化，抓好和完善党政内网建设</w:t>
      </w:r>
      <w:r>
        <w:rPr>
          <w:rFonts w:hint="eastAsia" w:ascii="仿宋_GB2312" w:hAnsi="仿宋_GB2312" w:eastAsia="仿宋_GB2312" w:cs="仿宋_GB2312"/>
          <w:sz w:val="32"/>
          <w:szCs w:val="32"/>
          <w:lang w:val="en-US" w:eastAsia="zh-CN"/>
        </w:rPr>
        <w:t>。</w:t>
      </w:r>
    </w:p>
    <w:p>
      <w:pPr>
        <w:pStyle w:val="18"/>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成立重点工作与目标考评中心</w:t>
      </w:r>
      <w:r>
        <w:rPr>
          <w:rFonts w:hint="eastAsia" w:ascii="仿宋_GB2312" w:hAnsi="仿宋_GB2312" w:eastAsia="仿宋_GB2312" w:cs="仿宋_GB2312"/>
          <w:sz w:val="32"/>
          <w:szCs w:val="32"/>
        </w:rPr>
        <w:t>，开展重点工作、重点项目督查，并形成督查专报，做好年度目标考核工作。</w:t>
      </w:r>
    </w:p>
    <w:p>
      <w:pPr>
        <w:pStyle w:val="18"/>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热情接待人民群众来信来访，妥善处置各类突发事件，努力维护社会大局稳定。对来访人员合理诉求及时联系相关部门给予答复，树立良好窗口形象。做好《书记信箱》、《阿坝民声》中涉及我县的信访问题，及时督察督办，及时回复。</w:t>
      </w:r>
    </w:p>
    <w:p>
      <w:pPr>
        <w:pStyle w:val="18"/>
        <w:spacing w:beforeAutospacing="0" w:afterAutospacing="0" w:line="576" w:lineRule="exact"/>
        <w:ind w:firstLine="640" w:firstLineChars="200"/>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sz w:val="32"/>
          <w:szCs w:val="32"/>
        </w:rPr>
        <w:t>9.严格执行24小时值班制度，周末、节假日值班制定。加强车辆管理，确保县委工作正常运转。</w:t>
      </w:r>
    </w:p>
    <w:p>
      <w:pPr>
        <w:pStyle w:val="3"/>
        <w:rPr>
          <w:rStyle w:val="24"/>
          <w:b w:val="0"/>
          <w:bCs w:val="0"/>
        </w:rPr>
      </w:pPr>
      <w:bookmarkStart w:id="28" w:name="_Toc18602"/>
      <w:bookmarkStart w:id="29" w:name="_Toc15377200"/>
      <w:bookmarkStart w:id="30" w:name="_Toc79163605"/>
      <w:bookmarkStart w:id="31" w:name="_Toc15396601"/>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县委办下属二级单位</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个，其中行政单位</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个，参照公务员法管理的事业单位</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个，其他事业单位</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个。</w:t>
      </w:r>
    </w:p>
    <w:p>
      <w:pPr>
        <w:spacing w:line="576" w:lineRule="exact"/>
        <w:ind w:firstLine="640" w:firstLineChars="200"/>
        <w:rPr>
          <w:rFonts w:hint="eastAsia" w:ascii="仿宋_GB2312" w:hAnsi="仿宋_GB2312" w:eastAsia="仿宋_GB2312"/>
          <w:color w:val="000000"/>
          <w:sz w:val="32"/>
          <w:szCs w:val="32"/>
        </w:rPr>
      </w:pPr>
      <w:r>
        <w:rPr>
          <w:rFonts w:hint="eastAsia" w:ascii="仿宋_GB2312" w:hAnsi="仿宋_GB2312" w:eastAsia="仿宋_GB2312" w:cs="仿宋_GB2312"/>
          <w:color w:val="000000"/>
          <w:sz w:val="32"/>
          <w:szCs w:val="32"/>
        </w:rPr>
        <w:t>我单位不涉及纳入</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20年度部门决算编制范围的二级预算单位。</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3"/>
          <w:rFonts w:ascii="黑体" w:hAnsi="黑体" w:eastAsia="黑体"/>
          <w:b w:val="0"/>
          <w:bCs w:val="0"/>
        </w:rPr>
      </w:pPr>
      <w:bookmarkStart w:id="32" w:name="_Toc15377204"/>
      <w:bookmarkStart w:id="33" w:name="_Toc15396602"/>
      <w:bookmarkStart w:id="34" w:name="_Toc79163609"/>
      <w:bookmarkStart w:id="35" w:name="_Toc29704"/>
      <w:r>
        <w:rPr>
          <w:rFonts w:hint="eastAsia" w:ascii="黑体" w:hAnsi="黑体" w:eastAsia="黑体"/>
          <w:b w:val="0"/>
          <w:color w:val="000000"/>
        </w:rPr>
        <w:t>第二部分</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
      <w:pPr>
        <w:pStyle w:val="34"/>
        <w:numPr>
          <w:ilvl w:val="0"/>
          <w:numId w:val="1"/>
        </w:numPr>
        <w:spacing w:line="600" w:lineRule="exact"/>
        <w:ind w:firstLineChars="0"/>
        <w:outlineLvl w:val="1"/>
        <w:rPr>
          <w:rStyle w:val="24"/>
          <w:rFonts w:ascii="黑体" w:hAnsi="黑体" w:eastAsia="黑体"/>
          <w:b w:val="0"/>
        </w:rPr>
      </w:pPr>
      <w:bookmarkStart w:id="36" w:name="_Toc15396603"/>
      <w:bookmarkStart w:id="37" w:name="_Toc15377205"/>
      <w:bookmarkStart w:id="38" w:name="_Toc11380"/>
      <w:bookmarkStart w:id="39" w:name="_Toc79163610"/>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2020年度收、支总计1341.02万元。与2019年相比，收、支总计各增加140.12万元，增长12%。主要变动原因是日常工作量增多，开展工作经费增加。</w:t>
      </w:r>
    </w:p>
    <w:p>
      <w:pPr>
        <w:spacing w:line="600" w:lineRule="exact"/>
        <w:ind w:firstLine="1600" w:firstLineChars="500"/>
        <w:rPr>
          <w:rFonts w:hint="eastAsia" w:ascii="仿宋" w:hAnsi="仿宋" w:eastAsia="仿宋"/>
          <w:color w:val="000000"/>
          <w:sz w:val="32"/>
          <w:szCs w:val="32"/>
          <w:lang w:val="en-US" w:eastAsia="zh-CN"/>
        </w:rPr>
      </w:pPr>
      <w:r>
        <w:rPr>
          <w:rFonts w:hint="eastAsia" w:ascii="仿宋_GB2312" w:hAnsi="仿宋" w:eastAsia="仿宋_GB2312"/>
          <w:color w:val="000000"/>
          <w:sz w:val="32"/>
          <w:szCs w:val="32"/>
        </w:rPr>
        <w:drawing>
          <wp:anchor distT="0" distB="0" distL="114300" distR="114300" simplePos="0" relativeHeight="251662336" behindDoc="0" locked="0" layoutInCell="1" allowOverlap="1">
            <wp:simplePos x="0" y="0"/>
            <wp:positionH relativeFrom="column">
              <wp:posOffset>42545</wp:posOffset>
            </wp:positionH>
            <wp:positionV relativeFrom="paragraph">
              <wp:posOffset>306705</wp:posOffset>
            </wp:positionV>
            <wp:extent cx="4886325" cy="2819400"/>
            <wp:effectExtent l="4445" t="4445" r="5080"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 xml:space="preserve">                      </w:t>
      </w:r>
    </w:p>
    <w:p>
      <w:pPr>
        <w:spacing w:line="600" w:lineRule="exact"/>
        <w:ind w:firstLine="1600" w:firstLineChars="500"/>
        <w:rPr>
          <w:rFonts w:hint="eastAsia" w:ascii="仿宋" w:hAnsi="仿宋" w:eastAsia="仿宋"/>
          <w:color w:val="000000"/>
          <w:sz w:val="32"/>
          <w:szCs w:val="32"/>
          <w:lang w:val="en-US" w:eastAsia="zh-CN"/>
        </w:rPr>
      </w:pPr>
    </w:p>
    <w:p>
      <w:pPr>
        <w:spacing w:line="600" w:lineRule="exact"/>
        <w:ind w:firstLine="1600" w:firstLineChars="500"/>
        <w:rPr>
          <w:rFonts w:hint="eastAsia" w:ascii="仿宋" w:hAnsi="仿宋" w:eastAsia="仿宋"/>
          <w:color w:val="000000"/>
          <w:sz w:val="32"/>
          <w:szCs w:val="32"/>
          <w:lang w:val="en-US" w:eastAsia="zh-CN"/>
        </w:rPr>
      </w:pPr>
    </w:p>
    <w:p>
      <w:pPr>
        <w:spacing w:line="600" w:lineRule="exact"/>
        <w:ind w:firstLine="1600" w:firstLineChars="500"/>
        <w:rPr>
          <w:rFonts w:hint="eastAsia" w:ascii="仿宋" w:hAnsi="仿宋" w:eastAsia="仿宋"/>
          <w:color w:val="000000"/>
          <w:sz w:val="32"/>
          <w:szCs w:val="32"/>
          <w:lang w:val="en-US" w:eastAsia="zh-CN"/>
        </w:rPr>
      </w:pPr>
    </w:p>
    <w:p>
      <w:pPr>
        <w:spacing w:line="600" w:lineRule="exact"/>
        <w:ind w:firstLine="1600" w:firstLineChars="500"/>
        <w:rPr>
          <w:rFonts w:hint="eastAsia" w:ascii="仿宋" w:hAnsi="仿宋" w:eastAsia="仿宋"/>
          <w:color w:val="000000"/>
          <w:sz w:val="32"/>
          <w:szCs w:val="32"/>
          <w:lang w:val="en-US" w:eastAsia="zh-CN"/>
        </w:rPr>
      </w:pPr>
    </w:p>
    <w:p>
      <w:pPr>
        <w:spacing w:line="600" w:lineRule="exact"/>
        <w:ind w:firstLine="1600" w:firstLineChars="500"/>
        <w:rPr>
          <w:rFonts w:hint="eastAsia" w:ascii="仿宋" w:hAnsi="仿宋" w:eastAsia="仿宋"/>
          <w:color w:val="000000"/>
          <w:sz w:val="32"/>
          <w:szCs w:val="32"/>
          <w:lang w:val="en-US" w:eastAsia="zh-CN"/>
        </w:rPr>
      </w:pPr>
    </w:p>
    <w:p>
      <w:pPr>
        <w:spacing w:line="600" w:lineRule="exact"/>
        <w:ind w:firstLine="1600" w:firstLineChars="500"/>
        <w:rPr>
          <w:rFonts w:hint="eastAsia" w:ascii="仿宋" w:hAnsi="仿宋" w:eastAsia="仿宋"/>
          <w:color w:val="000000"/>
          <w:sz w:val="32"/>
          <w:szCs w:val="32"/>
          <w:lang w:val="en-US" w:eastAsia="zh-CN"/>
        </w:rPr>
      </w:pPr>
    </w:p>
    <w:p>
      <w:pPr>
        <w:spacing w:line="600" w:lineRule="exact"/>
        <w:ind w:firstLine="1600" w:firstLineChars="500"/>
        <w:rPr>
          <w:rFonts w:hint="eastAsia" w:ascii="仿宋" w:hAnsi="仿宋" w:eastAsia="仿宋"/>
          <w:color w:val="000000"/>
          <w:sz w:val="32"/>
          <w:szCs w:val="32"/>
          <w:lang w:val="en-US" w:eastAsia="zh-CN"/>
        </w:rPr>
      </w:pPr>
    </w:p>
    <w:p>
      <w:pPr>
        <w:spacing w:line="600" w:lineRule="exact"/>
        <w:ind w:firstLine="1600" w:firstLineChars="5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34"/>
        <w:numPr>
          <w:ilvl w:val="0"/>
          <w:numId w:val="1"/>
        </w:numPr>
        <w:spacing w:line="600" w:lineRule="exact"/>
        <w:ind w:firstLineChars="0"/>
        <w:outlineLvl w:val="1"/>
        <w:rPr>
          <w:rStyle w:val="24"/>
          <w:rFonts w:ascii="黑体" w:hAnsi="黑体" w:eastAsia="黑体"/>
          <w:b w:val="0"/>
        </w:rPr>
      </w:pPr>
      <w:bookmarkStart w:id="40" w:name="_Toc79163611"/>
      <w:bookmarkStart w:id="41" w:name="_Toc15377206"/>
      <w:bookmarkStart w:id="42" w:name="_Toc12173"/>
      <w:bookmarkStart w:id="43" w:name="_Toc15396604"/>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pPr>
        <w:pStyle w:val="18"/>
        <w:spacing w:beforeAutospacing="0" w:afterAutospacing="0"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2020年本年收入合计1341.02万元，其中：一般公共预算财政拨款收入1341.02万元，占100%；政府性基金预算财政拨款收入0万元；上级补助收入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pStyle w:val="18"/>
        <w:spacing w:beforeAutospacing="0" w:afterAutospacing="0" w:line="576" w:lineRule="exact"/>
        <w:ind w:firstLine="640" w:firstLineChars="200"/>
        <w:rPr>
          <w:rFonts w:hint="eastAsia" w:ascii="仿宋_GB2312" w:hAnsi="仿宋_GB2312" w:eastAsia="仿宋_GB2312" w:cs="仿宋_GB2312"/>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r>
        <w:pict>
          <v:shape id="_x0000_s1027" o:spid="_x0000_s1027" o:spt="75" type="#_x0000_t75" style="position:absolute;left:0pt;margin-left:22.05pt;margin-top:20.25pt;height:150.8pt;width:295.1pt;mso-wrap-distance-bottom:0pt;mso-wrap-distance-left:9pt;mso-wrap-distance-right:9pt;mso-wrap-distance-top:0pt;z-index:251659264;mso-width-relative:page;mso-height-relative:page;" o:ole="t" filled="f" o:preferrelative="t" stroked="f" coordsize="21600,21600">
            <v:path/>
            <v:fill on="f" focussize="0,0"/>
            <v:stroke on="f"/>
            <v:imagedata r:id="rId10" o:title=""/>
            <o:lock v:ext="edit" aspectratio="t"/>
            <w10:wrap type="square"/>
          </v:shape>
          <o:OLEObject Type="Embed" ProgID="MSGraph.Chart.8" ShapeID="_x0000_s1027" DrawAspect="Content" ObjectID="_1468075725" r:id="rId9">
            <o:LockedField>false</o:LockedField>
          </o:OLEObject>
        </w:pic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34"/>
        <w:numPr>
          <w:ilvl w:val="0"/>
          <w:numId w:val="1"/>
        </w:numPr>
        <w:spacing w:line="600" w:lineRule="exact"/>
        <w:ind w:firstLineChars="0"/>
        <w:outlineLvl w:val="1"/>
        <w:rPr>
          <w:rStyle w:val="24"/>
          <w:rFonts w:ascii="黑体" w:hAnsi="黑体" w:eastAsia="黑体"/>
          <w:b w:val="0"/>
        </w:rPr>
      </w:pPr>
      <w:bookmarkStart w:id="44" w:name="_Toc15396605"/>
      <w:bookmarkStart w:id="45" w:name="_Toc19801"/>
      <w:bookmarkStart w:id="46" w:name="_Toc79163612"/>
      <w:bookmarkStart w:id="47" w:name="_Toc15377207"/>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highlight w:val="yellow"/>
        </w:rPr>
      </w:pPr>
      <w:r>
        <w:rPr>
          <w:rFonts w:ascii="仿宋_GB2312" w:eastAsia="仿宋_GB2312"/>
          <w:sz w:val="32"/>
          <w:szCs w:val="32"/>
          <w:highlight w:val="none"/>
        </w:rPr>
        <w:t>2020</w:t>
      </w:r>
      <w:r>
        <w:rPr>
          <w:rFonts w:hint="eastAsia" w:ascii="仿宋_GB2312" w:eastAsia="仿宋_GB2312"/>
          <w:sz w:val="32"/>
          <w:szCs w:val="32"/>
          <w:highlight w:val="none"/>
        </w:rPr>
        <w:t>年本年支出合计</w:t>
      </w:r>
      <w:r>
        <w:rPr>
          <w:rFonts w:hint="eastAsia" w:ascii="仿宋_GB2312" w:eastAsia="仿宋_GB2312"/>
          <w:sz w:val="32"/>
          <w:szCs w:val="32"/>
          <w:highlight w:val="none"/>
          <w:lang w:val="en-US" w:eastAsia="zh-CN"/>
        </w:rPr>
        <w:t>1341.02</w:t>
      </w:r>
      <w:r>
        <w:rPr>
          <w:rFonts w:hint="eastAsia" w:ascii="仿宋_GB2312" w:eastAsia="仿宋_GB2312"/>
          <w:sz w:val="32"/>
          <w:szCs w:val="32"/>
          <w:highlight w:val="none"/>
        </w:rPr>
        <w:t>万元，其中：基本支出</w:t>
      </w:r>
      <w:r>
        <w:rPr>
          <w:rFonts w:hint="eastAsia" w:ascii="仿宋_GB2312" w:eastAsia="仿宋_GB2312"/>
          <w:sz w:val="32"/>
          <w:szCs w:val="32"/>
          <w:highlight w:val="none"/>
          <w:lang w:val="en-US" w:eastAsia="zh-CN"/>
        </w:rPr>
        <w:t>1002.76</w:t>
      </w:r>
      <w:r>
        <w:rPr>
          <w:rFonts w:hint="eastAsia" w:ascii="仿宋_GB2312" w:eastAsia="仿宋_GB2312"/>
          <w:sz w:val="32"/>
          <w:szCs w:val="32"/>
          <w:highlight w:val="none"/>
        </w:rPr>
        <w:t>万元，占</w:t>
      </w:r>
      <w:r>
        <w:rPr>
          <w:rFonts w:hint="eastAsia" w:ascii="仿宋_GB2312" w:eastAsia="仿宋_GB2312"/>
          <w:sz w:val="32"/>
          <w:szCs w:val="32"/>
          <w:highlight w:val="none"/>
          <w:lang w:val="en-US" w:eastAsia="zh-CN"/>
        </w:rPr>
        <w:t>74.8</w:t>
      </w:r>
      <w:r>
        <w:rPr>
          <w:rFonts w:ascii="仿宋_GB2312" w:eastAsia="仿宋_GB2312"/>
          <w:sz w:val="32"/>
          <w:szCs w:val="32"/>
          <w:highlight w:val="none"/>
        </w:rPr>
        <w:t>%</w:t>
      </w:r>
      <w:r>
        <w:rPr>
          <w:rFonts w:hint="eastAsia" w:ascii="仿宋_GB2312" w:eastAsia="仿宋_GB2312"/>
          <w:sz w:val="32"/>
          <w:szCs w:val="32"/>
          <w:highlight w:val="none"/>
        </w:rPr>
        <w:t>；项目支出</w:t>
      </w:r>
      <w:r>
        <w:rPr>
          <w:rFonts w:hint="eastAsia" w:ascii="仿宋_GB2312" w:eastAsia="仿宋_GB2312"/>
          <w:sz w:val="32"/>
          <w:szCs w:val="32"/>
          <w:highlight w:val="none"/>
          <w:lang w:val="en-US" w:eastAsia="zh-CN"/>
        </w:rPr>
        <w:t>338.26</w:t>
      </w:r>
      <w:r>
        <w:rPr>
          <w:rFonts w:hint="eastAsia" w:ascii="仿宋_GB2312" w:eastAsia="仿宋_GB2312"/>
          <w:sz w:val="32"/>
          <w:szCs w:val="32"/>
          <w:highlight w:val="none"/>
        </w:rPr>
        <w:t>万元，占</w:t>
      </w:r>
      <w:r>
        <w:rPr>
          <w:rFonts w:hint="eastAsia" w:ascii="仿宋_GB2312" w:eastAsia="仿宋_GB2312"/>
          <w:sz w:val="32"/>
          <w:szCs w:val="32"/>
          <w:highlight w:val="none"/>
          <w:lang w:val="en-US" w:eastAsia="zh-CN"/>
        </w:rPr>
        <w:t>25.2</w:t>
      </w:r>
      <w:r>
        <w:rPr>
          <w:rFonts w:ascii="仿宋_GB2312" w:eastAsia="仿宋_GB2312"/>
          <w:sz w:val="32"/>
          <w:szCs w:val="32"/>
          <w:highlight w:val="none"/>
        </w:rPr>
        <w:t>%</w:t>
      </w:r>
      <w:r>
        <w:rPr>
          <w:rFonts w:hint="eastAsia" w:ascii="仿宋_GB2312" w:eastAsia="仿宋_GB2312"/>
          <w:sz w:val="32"/>
          <w:szCs w:val="32"/>
          <w:highlight w:val="none"/>
        </w:rPr>
        <w:t>；上缴上级支出</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；经营支出</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；对附属单位补助支出</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万元。</w:t>
      </w:r>
    </w:p>
    <w:p>
      <w:pPr>
        <w:spacing w:line="600" w:lineRule="exact"/>
        <w:rPr>
          <w:rFonts w:ascii="仿宋" w:hAnsi="仿宋" w:eastAsia="仿宋"/>
          <w:color w:val="000000"/>
          <w:sz w:val="32"/>
          <w:szCs w:val="32"/>
          <w:shd w:val="pct10" w:color="auto" w:fill="FFFFFF"/>
        </w:rPr>
      </w:pPr>
      <w:r>
        <w:pict>
          <v:shape id="_x0000_s1028" o:spid="_x0000_s1028" o:spt="75" type="#_x0000_t75" style="position:absolute;left:0pt;margin-left:46.95pt;margin-top:6.5pt;height:173.45pt;width:330.85pt;mso-wrap-distance-bottom:0pt;mso-wrap-distance-left:9pt;mso-wrap-distance-right:9pt;mso-wrap-distance-top:0pt;z-index:251660288;mso-width-relative:page;mso-height-relative:page;" o:ole="t" filled="f" o:preferrelative="t" stroked="f" coordsize="21600,21600">
            <v:path/>
            <v:fill on="f" focussize="0,0"/>
            <v:stroke on="f"/>
            <v:imagedata r:id="rId12" o:title=""/>
            <o:lock v:ext="edit" aspectratio="t"/>
            <w10:wrap type="square"/>
          </v:shape>
          <o:OLEObject Type="Embed" ProgID="MSGraph.Chart.8" ShapeID="_x0000_s1028" DrawAspect="Content" ObjectID="_1468075726" r:id="rId11">
            <o:LockedField>false</o:LockedField>
          </o:OLEObject>
        </w:pict>
      </w:r>
    </w:p>
    <w:p>
      <w:pPr>
        <w:spacing w:line="600" w:lineRule="exact"/>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hint="eastAsia" w:ascii="黑体" w:hAnsi="黑体" w:eastAsia="黑体"/>
          <w:color w:val="000000"/>
          <w:sz w:val="32"/>
          <w:szCs w:val="32"/>
        </w:rPr>
      </w:pPr>
      <w:bookmarkStart w:id="48" w:name="_Toc15396606"/>
      <w:bookmarkStart w:id="49" w:name="_Toc15377208"/>
      <w:bookmarkStart w:id="50" w:name="_Toc79163613"/>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Style w:val="24"/>
          <w:rFonts w:ascii="黑体" w:hAnsi="黑体" w:eastAsia="黑体"/>
          <w:b w:val="0"/>
        </w:rPr>
      </w:pPr>
      <w:bookmarkStart w:id="51" w:name="_Toc14876"/>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2020年财政拨款收、支总计</w:t>
      </w:r>
      <w:r>
        <w:rPr>
          <w:rFonts w:hint="eastAsia" w:ascii="仿宋_GB2312" w:eastAsia="仿宋_GB2312"/>
          <w:sz w:val="32"/>
          <w:szCs w:val="32"/>
          <w:highlight w:val="none"/>
          <w:lang w:val="en-US" w:eastAsia="zh-CN"/>
        </w:rPr>
        <w:t>1341.02</w:t>
      </w:r>
      <w:r>
        <w:rPr>
          <w:rFonts w:hint="eastAsia" w:ascii="仿宋_GB2312" w:eastAsia="仿宋_GB2312"/>
          <w:sz w:val="32"/>
          <w:szCs w:val="32"/>
          <w:highlight w:val="none"/>
        </w:rPr>
        <w:t>万元。与2019年相比，财政拨款收、支总计各增加</w:t>
      </w:r>
      <w:r>
        <w:rPr>
          <w:rFonts w:hint="eastAsia" w:ascii="仿宋_GB2312" w:eastAsia="仿宋_GB2312"/>
          <w:sz w:val="32"/>
          <w:szCs w:val="32"/>
          <w:highlight w:val="none"/>
          <w:lang w:val="en-US" w:eastAsia="zh-CN"/>
        </w:rPr>
        <w:t>140.12</w:t>
      </w:r>
      <w:r>
        <w:rPr>
          <w:rFonts w:hint="eastAsia" w:ascii="仿宋_GB2312" w:eastAsia="仿宋_GB2312"/>
          <w:sz w:val="32"/>
          <w:szCs w:val="32"/>
          <w:highlight w:val="none"/>
        </w:rPr>
        <w:t>万元，增长12%。主要变动原因是日常工作量增多，开展工作经费增加。</w:t>
      </w:r>
    </w:p>
    <w:p>
      <w:pPr>
        <w:spacing w:line="600" w:lineRule="exact"/>
        <w:ind w:firstLine="640" w:firstLineChars="200"/>
        <w:rPr>
          <w:rFonts w:hint="eastAsia" w:ascii="仿宋" w:hAnsi="仿宋" w:eastAsia="仿宋"/>
          <w:color w:val="000000"/>
          <w:sz w:val="32"/>
          <w:szCs w:val="32"/>
        </w:rPr>
      </w:pPr>
      <w:r>
        <w:rPr>
          <w:rFonts w:hint="eastAsia" w:ascii="仿宋_GB2312" w:hAnsi="仿宋" w:eastAsia="仿宋_GB2312"/>
          <w:color w:val="000000"/>
          <w:sz w:val="32"/>
          <w:szCs w:val="32"/>
        </w:rPr>
        <w:drawing>
          <wp:anchor distT="0" distB="0" distL="114300" distR="114300" simplePos="0" relativeHeight="251663360" behindDoc="0" locked="0" layoutInCell="1" allowOverlap="1">
            <wp:simplePos x="0" y="0"/>
            <wp:positionH relativeFrom="column">
              <wp:posOffset>242570</wp:posOffset>
            </wp:positionH>
            <wp:positionV relativeFrom="paragraph">
              <wp:posOffset>233045</wp:posOffset>
            </wp:positionV>
            <wp:extent cx="4886325" cy="2819400"/>
            <wp:effectExtent l="4445" t="4445" r="5080" b="1460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firstLineChars="200"/>
        <w:outlineLvl w:val="1"/>
        <w:rPr>
          <w:rStyle w:val="24"/>
          <w:rFonts w:ascii="黑体" w:hAnsi="黑体" w:eastAsia="黑体"/>
          <w:b w:val="0"/>
        </w:rPr>
      </w:pPr>
      <w:bookmarkStart w:id="52" w:name="_Toc15396607"/>
      <w:bookmarkStart w:id="53" w:name="_Toc79163614"/>
      <w:bookmarkStart w:id="54" w:name="_Toc15377209"/>
      <w:bookmarkStart w:id="55" w:name="_Toc1204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79163615"/>
      <w:bookmarkStart w:id="57" w:name="_Toc15377210"/>
      <w:bookmarkStart w:id="58" w:name="_Toc13698"/>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2020年一般公共预算财政拨款支出</w:t>
      </w:r>
      <w:r>
        <w:rPr>
          <w:rFonts w:hint="eastAsia" w:ascii="仿宋_GB2312" w:hAnsi="仿宋_GB2312" w:eastAsia="仿宋_GB2312" w:cs="仿宋_GB2312"/>
          <w:color w:val="000000"/>
          <w:sz w:val="32"/>
          <w:szCs w:val="32"/>
          <w:lang w:val="en-US" w:eastAsia="zh-CN"/>
        </w:rPr>
        <w:t>1341.02</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%。与2019年相比，一般公共预算财政拨款增加</w:t>
      </w:r>
      <w:r>
        <w:rPr>
          <w:rFonts w:hint="eastAsia" w:ascii="仿宋_GB2312" w:hAnsi="仿宋_GB2312" w:eastAsia="仿宋_GB2312" w:cs="仿宋_GB2312"/>
          <w:color w:val="000000"/>
          <w:sz w:val="32"/>
          <w:szCs w:val="32"/>
          <w:lang w:val="en-US" w:eastAsia="zh-CN"/>
        </w:rPr>
        <w:t>156.11</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0.13</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政府性基金项目预算减少，一般公共预算支出增加。</w:t>
      </w:r>
    </w:p>
    <w:p>
      <w:pPr>
        <w:spacing w:line="600" w:lineRule="exact"/>
        <w:rPr>
          <w:rFonts w:hint="eastAsia" w:ascii="仿宋" w:hAnsi="仿宋" w:eastAsia="仿宋"/>
          <w:color w:val="000000"/>
          <w:sz w:val="32"/>
          <w:szCs w:val="32"/>
        </w:rPr>
      </w:pPr>
      <w:r>
        <w:pict>
          <v:shape id="_x0000_s1030" o:spid="_x0000_s1030" o:spt="75" type="#_x0000_t75" style="position:absolute;left:0pt;margin-left:60.9pt;margin-top:17.7pt;height:170.5pt;width:300.8pt;mso-wrap-distance-bottom:0pt;mso-wrap-distance-top:0pt;z-index:251661312;mso-width-relative:page;mso-height-relative:page;" o:ole="t" filled="f" o:preferrelative="t" stroked="f" coordsize="21600,21600">
            <v:path/>
            <v:fill on="f" focussize="0,0"/>
            <v:stroke on="f"/>
            <v:imagedata r:id="rId15" o:title=""/>
            <o:lock v:ext="edit" aspectratio="t"/>
            <w10:wrap type="topAndBottom"/>
          </v:shape>
          <o:OLEObject Type="Embed" ProgID="MSGraph.Chart.8" ShapeID="_x0000_s1030" DrawAspect="Content" ObjectID="_1468075727" r:id="rId14">
            <o:LockedField>false</o:LockedField>
          </o:OLEObject>
        </w:pic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2" w:firstLineChars="200"/>
        <w:outlineLvl w:val="2"/>
        <w:rPr>
          <w:rFonts w:ascii="仿宋" w:hAnsi="仿宋" w:eastAsia="仿宋"/>
          <w:b/>
          <w:color w:val="000000"/>
          <w:sz w:val="32"/>
          <w:szCs w:val="32"/>
        </w:rPr>
      </w:pPr>
      <w:bookmarkStart w:id="59" w:name="_Toc15377211"/>
      <w:bookmarkStart w:id="60" w:name="_Toc28032"/>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2020年一般公共预算财政拨款支出</w:t>
      </w:r>
      <w:r>
        <w:rPr>
          <w:rFonts w:hint="eastAsia" w:ascii="仿宋_GB2312" w:hAnsi="仿宋_GB2312" w:eastAsia="仿宋_GB2312" w:cs="仿宋_GB2312"/>
          <w:color w:val="000000"/>
          <w:sz w:val="32"/>
          <w:szCs w:val="32"/>
          <w:lang w:val="en-US" w:eastAsia="zh-CN"/>
        </w:rPr>
        <w:t>1341.02</w:t>
      </w:r>
      <w:r>
        <w:rPr>
          <w:rFonts w:hint="eastAsia" w:ascii="仿宋_GB2312" w:hAnsi="仿宋_GB2312" w:eastAsia="仿宋_GB2312" w:cs="仿宋_GB2312"/>
          <w:color w:val="000000"/>
          <w:sz w:val="32"/>
          <w:szCs w:val="32"/>
        </w:rPr>
        <w:t>万元，主要用于以下方面:</w:t>
      </w:r>
      <w:r>
        <w:rPr>
          <w:rFonts w:hint="eastAsia" w:ascii="仿宋_GB2312" w:hAnsi="仿宋_GB2312" w:eastAsia="仿宋_GB2312" w:cs="仿宋_GB2312"/>
          <w:b/>
          <w:color w:val="000000"/>
          <w:sz w:val="32"/>
          <w:szCs w:val="32"/>
        </w:rPr>
        <w:t>一般公共服务（类）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1161.04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86.6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rPr>
        <w:t>教育支出（类）</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b/>
          <w:color w:val="000000"/>
          <w:sz w:val="32"/>
          <w:szCs w:val="32"/>
        </w:rPr>
        <w:t>科学技术（类）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b/>
          <w:bCs/>
          <w:color w:val="000000"/>
          <w:sz w:val="32"/>
          <w:szCs w:val="32"/>
        </w:rPr>
        <w:t>文化旅游体育与传媒（类）</w:t>
      </w:r>
      <w:r>
        <w:rPr>
          <w:rFonts w:hint="eastAsia" w:ascii="仿宋_GB2312" w:hAnsi="仿宋_GB2312" w:eastAsia="仿宋_GB2312" w:cs="仿宋_GB2312"/>
          <w:color w:val="000000"/>
          <w:sz w:val="32"/>
          <w:szCs w:val="32"/>
          <w:lang w:val="en-US" w:eastAsia="zh-CN"/>
        </w:rPr>
        <w:t>支出0万元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rPr>
        <w:t>社会保障和就业（类）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78.07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卫生健康支出</w:t>
      </w:r>
      <w:r>
        <w:rPr>
          <w:rFonts w:hint="eastAsia" w:ascii="仿宋_GB2312" w:hAnsi="仿宋_GB2312" w:eastAsia="仿宋_GB2312" w:cs="仿宋_GB2312"/>
          <w:color w:val="000000"/>
          <w:sz w:val="32"/>
          <w:szCs w:val="32"/>
          <w:lang w:val="en-US" w:eastAsia="zh-CN"/>
        </w:rPr>
        <w:t>41.74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3.1</w:t>
      </w: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59.34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lang w:eastAsia="zh-CN"/>
        </w:rPr>
        <w:t>农林水（类）</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lang w:val="en-US" w:eastAsia="zh-CN"/>
        </w:rPr>
        <w:t>0.84</w:t>
      </w:r>
      <w:r>
        <w:rPr>
          <w:rFonts w:hint="eastAsia" w:ascii="仿宋_GB2312" w:hAnsi="仿宋_GB2312" w:eastAsia="仿宋_GB2312" w:cs="仿宋_GB2312"/>
          <w:sz w:val="32"/>
          <w:szCs w:val="32"/>
          <w:lang w:eastAsia="zh-CN"/>
        </w:rPr>
        <w:t>万元，占</w:t>
      </w:r>
      <w:r>
        <w:rPr>
          <w:rFonts w:hint="eastAsia" w:ascii="仿宋_GB2312" w:hAnsi="仿宋_GB2312" w:eastAsia="仿宋_GB2312" w:cs="仿宋_GB2312"/>
          <w:sz w:val="32"/>
          <w:szCs w:val="32"/>
          <w:lang w:val="en-US" w:eastAsia="zh-CN"/>
        </w:rPr>
        <w:t>0.006%</w:t>
      </w:r>
      <w:r>
        <w:rPr>
          <w:rFonts w:hint="eastAsia" w:ascii="仿宋_GB2312" w:hAnsi="仿宋_GB2312" w:eastAsia="仿宋_GB2312" w:cs="仿宋_GB2312"/>
          <w:color w:val="000000"/>
          <w:sz w:val="32"/>
          <w:szCs w:val="32"/>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518795</wp:posOffset>
            </wp:positionH>
            <wp:positionV relativeFrom="paragraph">
              <wp:posOffset>125095</wp:posOffset>
            </wp:positionV>
            <wp:extent cx="4065905" cy="2190750"/>
            <wp:effectExtent l="4445" t="4445" r="6350" b="14605"/>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960" w:firstLineChars="3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2" w:firstLineChars="200"/>
        <w:outlineLvl w:val="2"/>
        <w:rPr>
          <w:rFonts w:ascii="仿宋" w:hAnsi="仿宋" w:eastAsia="仿宋"/>
          <w:b/>
          <w:color w:val="000000"/>
          <w:sz w:val="32"/>
          <w:szCs w:val="32"/>
        </w:rPr>
      </w:pPr>
      <w:bookmarkStart w:id="62" w:name="_Toc79163617"/>
      <w:bookmarkStart w:id="63" w:name="_Toc12756"/>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444"/>
      <w:bookmarkStart w:id="66" w:name="_Toc15377213"/>
      <w:bookmarkStart w:id="67" w:name="_Toc15378460"/>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1341.02万元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numPr>
          <w:ilvl w:val="0"/>
          <w:numId w:val="0"/>
        </w:numPr>
        <w:spacing w:line="600" w:lineRule="exact"/>
        <w:ind w:firstLine="642" w:firstLineChars="200"/>
        <w:rPr>
          <w:rStyle w:val="21"/>
          <w:rFonts w:hint="eastAsia" w:ascii="仿宋_GB2312" w:hAnsi="仿宋_GB2312" w:eastAsia="仿宋_GB2312" w:cs="仿宋_GB2312"/>
          <w:b w:val="0"/>
          <w:color w:val="000000"/>
          <w:sz w:val="32"/>
          <w:szCs w:val="32"/>
        </w:rPr>
      </w:pPr>
      <w:r>
        <w:rPr>
          <w:rStyle w:val="21"/>
          <w:rFonts w:hint="eastAsia" w:ascii="仿宋_GB2312" w:hAnsi="仿宋_GB2312" w:eastAsia="仿宋_GB2312" w:cs="仿宋_GB2312"/>
          <w:color w:val="000000"/>
          <w:sz w:val="32"/>
          <w:szCs w:val="32"/>
          <w:lang w:val="en-US" w:eastAsia="zh-CN"/>
        </w:rPr>
        <w:t>1.</w:t>
      </w:r>
      <w:r>
        <w:rPr>
          <w:rStyle w:val="21"/>
          <w:rFonts w:hint="eastAsia" w:ascii="仿宋_GB2312" w:hAnsi="仿宋_GB2312" w:eastAsia="仿宋_GB2312" w:cs="仿宋_GB2312"/>
          <w:color w:val="000000"/>
          <w:sz w:val="32"/>
          <w:szCs w:val="32"/>
        </w:rPr>
        <w:t>一般公共服务支出（类）</w:t>
      </w:r>
      <w:r>
        <w:rPr>
          <w:rFonts w:hint="eastAsia" w:ascii="仿宋_GB2312" w:hAnsi="仿宋_GB2312" w:eastAsia="仿宋_GB2312" w:cs="仿宋_GB2312"/>
          <w:b/>
          <w:color w:val="000000"/>
          <w:sz w:val="32"/>
          <w:szCs w:val="32"/>
        </w:rPr>
        <w:t>党委办公厅（室）及相关机构事务</w:t>
      </w:r>
      <w:r>
        <w:rPr>
          <w:rStyle w:val="21"/>
          <w:rFonts w:hint="eastAsia" w:ascii="仿宋_GB2312" w:hAnsi="仿宋_GB2312" w:eastAsia="仿宋_GB2312" w:cs="仿宋_GB2312"/>
          <w:color w:val="000000"/>
          <w:sz w:val="32"/>
          <w:szCs w:val="32"/>
        </w:rPr>
        <w:t>（款）</w:t>
      </w:r>
      <w:r>
        <w:rPr>
          <w:rFonts w:hint="eastAsia" w:ascii="仿宋_GB2312" w:hAnsi="仿宋_GB2312" w:eastAsia="仿宋_GB2312" w:cs="仿宋_GB2312"/>
          <w:b/>
          <w:color w:val="000000"/>
          <w:sz w:val="32"/>
          <w:szCs w:val="32"/>
        </w:rPr>
        <w:t>行政运行</w:t>
      </w:r>
      <w:r>
        <w:rPr>
          <w:rStyle w:val="21"/>
          <w:rFonts w:hint="eastAsia" w:ascii="仿宋_GB2312" w:hAnsi="仿宋_GB2312" w:eastAsia="仿宋_GB2312" w:cs="仿宋_GB2312"/>
          <w:color w:val="000000"/>
          <w:sz w:val="32"/>
          <w:szCs w:val="32"/>
        </w:rPr>
        <w:t>（项）</w:t>
      </w:r>
      <w:r>
        <w:rPr>
          <w:rStyle w:val="21"/>
          <w:rFonts w:ascii="仿宋_GB2312" w:hAnsi="仿宋_GB2312" w:eastAsia="仿宋_GB2312" w:cs="仿宋_GB2312"/>
          <w:color w:val="000000"/>
          <w:sz w:val="32"/>
          <w:szCs w:val="32"/>
        </w:rPr>
        <w:t>:</w:t>
      </w:r>
      <w:r>
        <w:rPr>
          <w:rStyle w:val="21"/>
          <w:rFonts w:hint="eastAsia" w:ascii="仿宋_GB2312" w:hAnsi="仿宋_GB2312" w:eastAsia="仿宋_GB2312" w:cs="仿宋_GB2312"/>
          <w:b w:val="0"/>
          <w:color w:val="000000"/>
          <w:sz w:val="32"/>
          <w:szCs w:val="32"/>
        </w:rPr>
        <w:t>支出决算为</w:t>
      </w:r>
      <w:r>
        <w:rPr>
          <w:rStyle w:val="21"/>
          <w:rFonts w:hint="eastAsia" w:ascii="仿宋_GB2312" w:hAnsi="仿宋_GB2312" w:eastAsia="仿宋_GB2312" w:cs="仿宋_GB2312"/>
          <w:b w:val="0"/>
          <w:color w:val="000000"/>
          <w:sz w:val="32"/>
          <w:szCs w:val="32"/>
          <w:lang w:val="en-US" w:eastAsia="zh-CN"/>
        </w:rPr>
        <w:t>732.45</w:t>
      </w:r>
      <w:r>
        <w:rPr>
          <w:rStyle w:val="21"/>
          <w:rFonts w:hint="eastAsia" w:ascii="仿宋_GB2312" w:hAnsi="仿宋_GB2312" w:eastAsia="仿宋_GB2312" w:cs="仿宋_GB2312"/>
          <w:b w:val="0"/>
          <w:color w:val="000000"/>
          <w:sz w:val="32"/>
          <w:szCs w:val="32"/>
        </w:rPr>
        <w:t>万元，</w:t>
      </w:r>
      <w:r>
        <w:rPr>
          <w:rStyle w:val="21"/>
          <w:rFonts w:hint="eastAsia" w:ascii="仿宋_GB2312" w:hAnsi="仿宋_GB2312" w:eastAsia="仿宋_GB2312" w:cs="仿宋_GB2312"/>
          <w:color w:val="000000"/>
          <w:sz w:val="32"/>
          <w:szCs w:val="32"/>
        </w:rPr>
        <w:t>一般公共服务支出（类）</w:t>
      </w:r>
      <w:r>
        <w:rPr>
          <w:rFonts w:hint="eastAsia" w:ascii="仿宋_GB2312" w:hAnsi="仿宋_GB2312" w:eastAsia="仿宋_GB2312" w:cs="仿宋_GB2312"/>
          <w:b/>
          <w:color w:val="000000"/>
          <w:sz w:val="32"/>
          <w:szCs w:val="32"/>
        </w:rPr>
        <w:t>党委办公厅（室）及相关机构事务</w:t>
      </w:r>
      <w:r>
        <w:rPr>
          <w:rStyle w:val="21"/>
          <w:rFonts w:hint="eastAsia" w:ascii="仿宋_GB2312" w:hAnsi="仿宋_GB2312" w:eastAsia="仿宋_GB2312" w:cs="仿宋_GB2312"/>
          <w:color w:val="000000"/>
          <w:sz w:val="32"/>
          <w:szCs w:val="32"/>
        </w:rPr>
        <w:t>（款）</w:t>
      </w:r>
      <w:r>
        <w:rPr>
          <w:rFonts w:hint="eastAsia" w:ascii="仿宋_GB2312" w:hAnsi="仿宋_GB2312" w:eastAsia="仿宋_GB2312" w:cs="仿宋_GB2312"/>
          <w:b/>
          <w:color w:val="000000"/>
          <w:sz w:val="32"/>
          <w:szCs w:val="32"/>
        </w:rPr>
        <w:t>一般行政管理事务</w:t>
      </w:r>
      <w:r>
        <w:rPr>
          <w:rStyle w:val="21"/>
          <w:rFonts w:hint="eastAsia" w:ascii="仿宋_GB2312" w:hAnsi="仿宋_GB2312" w:eastAsia="仿宋_GB2312" w:cs="仿宋_GB2312"/>
          <w:color w:val="000000"/>
          <w:sz w:val="32"/>
          <w:szCs w:val="32"/>
        </w:rPr>
        <w:t>（项）：</w:t>
      </w:r>
      <w:r>
        <w:rPr>
          <w:rStyle w:val="21"/>
          <w:rFonts w:hint="eastAsia" w:ascii="仿宋_GB2312" w:hAnsi="仿宋_GB2312" w:eastAsia="仿宋_GB2312" w:cs="仿宋_GB2312"/>
          <w:b w:val="0"/>
          <w:color w:val="000000"/>
          <w:sz w:val="32"/>
          <w:szCs w:val="32"/>
        </w:rPr>
        <w:t>支出决算为</w:t>
      </w:r>
      <w:r>
        <w:rPr>
          <w:rStyle w:val="21"/>
          <w:rFonts w:hint="eastAsia" w:ascii="仿宋_GB2312" w:hAnsi="仿宋_GB2312" w:eastAsia="仿宋_GB2312" w:cs="仿宋_GB2312"/>
          <w:b w:val="0"/>
          <w:color w:val="000000"/>
          <w:sz w:val="32"/>
          <w:szCs w:val="32"/>
          <w:lang w:val="en-US" w:eastAsia="zh-CN"/>
        </w:rPr>
        <w:t>297.42</w:t>
      </w:r>
      <w:r>
        <w:rPr>
          <w:rStyle w:val="21"/>
          <w:rFonts w:hint="eastAsia" w:ascii="仿宋_GB2312" w:hAnsi="仿宋_GB2312" w:eastAsia="仿宋_GB2312" w:cs="仿宋_GB2312"/>
          <w:b w:val="0"/>
          <w:color w:val="000000"/>
          <w:sz w:val="32"/>
          <w:szCs w:val="32"/>
        </w:rPr>
        <w:t>万元，</w:t>
      </w:r>
      <w:r>
        <w:rPr>
          <w:rStyle w:val="21"/>
          <w:rFonts w:hint="eastAsia" w:ascii="仿宋_GB2312" w:hAnsi="仿宋_GB2312" w:eastAsia="仿宋_GB2312" w:cs="仿宋_GB2312"/>
          <w:color w:val="000000"/>
          <w:sz w:val="32"/>
          <w:szCs w:val="32"/>
        </w:rPr>
        <w:t>一般公共服务支出（类）</w:t>
      </w:r>
      <w:r>
        <w:rPr>
          <w:rFonts w:hint="eastAsia" w:ascii="仿宋_GB2312" w:hAnsi="仿宋_GB2312" w:eastAsia="仿宋_GB2312" w:cs="仿宋_GB2312"/>
          <w:b/>
          <w:color w:val="000000"/>
          <w:sz w:val="32"/>
          <w:szCs w:val="32"/>
        </w:rPr>
        <w:t>党委办公厅（室）及相关机构事务</w:t>
      </w:r>
      <w:r>
        <w:rPr>
          <w:rStyle w:val="21"/>
          <w:rFonts w:hint="eastAsia" w:ascii="仿宋_GB2312" w:hAnsi="仿宋_GB2312" w:eastAsia="仿宋_GB2312" w:cs="仿宋_GB2312"/>
          <w:color w:val="000000"/>
          <w:sz w:val="32"/>
          <w:szCs w:val="32"/>
        </w:rPr>
        <w:t>（款）</w:t>
      </w:r>
      <w:r>
        <w:rPr>
          <w:rFonts w:hint="eastAsia" w:ascii="仿宋_GB2312" w:hAnsi="仿宋_GB2312" w:eastAsia="仿宋_GB2312" w:cs="仿宋_GB2312"/>
          <w:b/>
          <w:color w:val="000000"/>
          <w:sz w:val="32"/>
          <w:szCs w:val="32"/>
        </w:rPr>
        <w:t>事业运行</w:t>
      </w:r>
      <w:r>
        <w:rPr>
          <w:rStyle w:val="21"/>
          <w:rFonts w:hint="eastAsia" w:ascii="仿宋_GB2312" w:hAnsi="仿宋_GB2312" w:eastAsia="仿宋_GB2312" w:cs="仿宋_GB2312"/>
          <w:color w:val="000000"/>
          <w:sz w:val="32"/>
          <w:szCs w:val="32"/>
        </w:rPr>
        <w:t>（项）</w:t>
      </w:r>
      <w:r>
        <w:rPr>
          <w:rStyle w:val="21"/>
          <w:rFonts w:ascii="仿宋_GB2312" w:hAnsi="仿宋_GB2312" w:eastAsia="仿宋_GB2312" w:cs="仿宋_GB2312"/>
          <w:color w:val="000000"/>
          <w:sz w:val="32"/>
          <w:szCs w:val="32"/>
        </w:rPr>
        <w:t>:</w:t>
      </w:r>
      <w:r>
        <w:rPr>
          <w:rStyle w:val="21"/>
          <w:rFonts w:hint="eastAsia" w:ascii="仿宋_GB2312" w:hAnsi="仿宋_GB2312" w:eastAsia="仿宋_GB2312" w:cs="仿宋_GB2312"/>
          <w:b w:val="0"/>
          <w:color w:val="000000"/>
          <w:sz w:val="32"/>
          <w:szCs w:val="32"/>
        </w:rPr>
        <w:t>支出决算为</w:t>
      </w:r>
      <w:r>
        <w:rPr>
          <w:rStyle w:val="21"/>
          <w:rFonts w:hint="eastAsia" w:ascii="仿宋_GB2312" w:hAnsi="仿宋_GB2312" w:eastAsia="仿宋_GB2312" w:cs="仿宋_GB2312"/>
          <w:b w:val="0"/>
          <w:color w:val="000000"/>
          <w:sz w:val="32"/>
          <w:szCs w:val="32"/>
          <w:lang w:val="en-US" w:eastAsia="zh-CN"/>
        </w:rPr>
        <w:t>91.17</w:t>
      </w:r>
      <w:r>
        <w:rPr>
          <w:rStyle w:val="21"/>
          <w:rFonts w:hint="eastAsia" w:ascii="仿宋_GB2312" w:hAnsi="仿宋_GB2312" w:eastAsia="仿宋_GB2312" w:cs="仿宋_GB2312"/>
          <w:b w:val="0"/>
          <w:color w:val="000000"/>
          <w:sz w:val="32"/>
          <w:szCs w:val="32"/>
        </w:rPr>
        <w:t>万元</w:t>
      </w:r>
      <w:r>
        <w:rPr>
          <w:rStyle w:val="21"/>
          <w:rFonts w:hint="eastAsia" w:ascii="仿宋_GB2312" w:hAnsi="仿宋_GB2312" w:eastAsia="仿宋_GB2312" w:cs="仿宋_GB2312"/>
          <w:b w:val="0"/>
          <w:color w:val="000000"/>
          <w:sz w:val="32"/>
          <w:szCs w:val="32"/>
          <w:lang w:eastAsia="zh-CN"/>
        </w:rPr>
        <w:t>。</w:t>
      </w:r>
      <w:r>
        <w:rPr>
          <w:rStyle w:val="21"/>
          <w:rFonts w:hint="eastAsia" w:ascii="仿宋_GB2312" w:hAnsi="仿宋_GB2312" w:eastAsia="仿宋_GB2312" w:cs="仿宋_GB2312"/>
          <w:b w:val="0"/>
          <w:color w:val="000000"/>
          <w:sz w:val="32"/>
          <w:szCs w:val="32"/>
        </w:rPr>
        <w:t>完成预算</w:t>
      </w:r>
      <w:r>
        <w:rPr>
          <w:rStyle w:val="21"/>
          <w:rFonts w:ascii="仿宋_GB2312" w:hAnsi="仿宋_GB2312" w:eastAsia="仿宋_GB2312" w:cs="仿宋_GB2312"/>
          <w:b w:val="0"/>
          <w:color w:val="000000"/>
          <w:sz w:val="32"/>
          <w:szCs w:val="32"/>
        </w:rPr>
        <w:t>100%</w:t>
      </w:r>
      <w:r>
        <w:rPr>
          <w:rStyle w:val="21"/>
          <w:rFonts w:hint="eastAsia" w:ascii="仿宋_GB2312" w:hAnsi="仿宋_GB2312" w:eastAsia="仿宋_GB2312" w:cs="仿宋_GB2312"/>
          <w:b w:val="0"/>
          <w:color w:val="000000"/>
          <w:sz w:val="32"/>
          <w:szCs w:val="32"/>
        </w:rPr>
        <w:t>，决算数与预算数持平。</w:t>
      </w:r>
    </w:p>
    <w:p>
      <w:pPr>
        <w:numPr>
          <w:ilvl w:val="0"/>
          <w:numId w:val="0"/>
        </w:numPr>
        <w:spacing w:line="600" w:lineRule="exact"/>
        <w:ind w:firstLine="642" w:firstLineChars="200"/>
        <w:rPr>
          <w:rStyle w:val="21"/>
          <w:rFonts w:hint="eastAsia" w:ascii="仿宋_GB2312" w:hAnsi="仿宋_GB2312" w:eastAsia="仿宋_GB2312" w:cs="仿宋_GB2312"/>
          <w:b w:val="0"/>
          <w:color w:val="000000"/>
          <w:sz w:val="32"/>
          <w:szCs w:val="32"/>
        </w:rPr>
      </w:pPr>
      <w:r>
        <w:rPr>
          <w:rStyle w:val="21"/>
          <w:rFonts w:hint="eastAsia" w:ascii="仿宋_GB2312" w:hAnsi="仿宋_GB2312" w:eastAsia="仿宋_GB2312" w:cs="仿宋_GB2312"/>
          <w:color w:val="000000"/>
          <w:sz w:val="32"/>
          <w:szCs w:val="32"/>
          <w:lang w:val="en-US" w:eastAsia="zh-CN"/>
        </w:rPr>
        <w:t>2.</w:t>
      </w:r>
      <w:r>
        <w:rPr>
          <w:rStyle w:val="21"/>
          <w:rFonts w:hint="eastAsia" w:ascii="仿宋_GB2312" w:hAnsi="仿宋_GB2312" w:eastAsia="仿宋_GB2312" w:cs="仿宋_GB2312"/>
          <w:color w:val="000000"/>
          <w:sz w:val="32"/>
          <w:szCs w:val="32"/>
        </w:rPr>
        <w:t>一般公共服务支出（类）</w:t>
      </w:r>
      <w:r>
        <w:rPr>
          <w:rStyle w:val="21"/>
          <w:rFonts w:hint="eastAsia" w:ascii="仿宋_GB2312" w:hAnsi="仿宋_GB2312" w:eastAsia="仿宋_GB2312" w:cs="仿宋_GB2312"/>
          <w:color w:val="000000"/>
          <w:sz w:val="32"/>
          <w:szCs w:val="32"/>
          <w:lang w:eastAsia="zh-CN"/>
        </w:rPr>
        <w:t>其他</w:t>
      </w:r>
      <w:r>
        <w:rPr>
          <w:rStyle w:val="21"/>
          <w:rFonts w:hint="eastAsia" w:ascii="仿宋_GB2312" w:hAnsi="仿宋_GB2312" w:eastAsia="仿宋_GB2312" w:cs="仿宋_GB2312"/>
          <w:color w:val="000000"/>
          <w:sz w:val="32"/>
          <w:szCs w:val="32"/>
        </w:rPr>
        <w:t>一般公共服务支出（款）</w:t>
      </w:r>
      <w:r>
        <w:rPr>
          <w:rStyle w:val="21"/>
          <w:rFonts w:hint="eastAsia" w:ascii="仿宋_GB2312" w:hAnsi="仿宋_GB2312" w:eastAsia="仿宋_GB2312" w:cs="仿宋_GB2312"/>
          <w:color w:val="000000"/>
          <w:sz w:val="32"/>
          <w:szCs w:val="32"/>
          <w:lang w:eastAsia="zh-CN"/>
        </w:rPr>
        <w:t>其他</w:t>
      </w:r>
      <w:r>
        <w:rPr>
          <w:rStyle w:val="21"/>
          <w:rFonts w:hint="eastAsia" w:ascii="仿宋_GB2312" w:hAnsi="仿宋_GB2312" w:eastAsia="仿宋_GB2312" w:cs="仿宋_GB2312"/>
          <w:color w:val="000000"/>
          <w:sz w:val="32"/>
          <w:szCs w:val="32"/>
        </w:rPr>
        <w:t>一般公共服务支出（项）</w:t>
      </w:r>
      <w:r>
        <w:rPr>
          <w:rStyle w:val="21"/>
          <w:rFonts w:hint="eastAsia" w:ascii="仿宋_GB2312" w:hAnsi="仿宋_GB2312" w:eastAsia="仿宋_GB2312" w:cs="仿宋_GB2312"/>
          <w:b w:val="0"/>
          <w:color w:val="000000"/>
          <w:sz w:val="32"/>
          <w:szCs w:val="32"/>
        </w:rPr>
        <w:t>支出决算为</w:t>
      </w:r>
      <w:r>
        <w:rPr>
          <w:rStyle w:val="21"/>
          <w:rFonts w:hint="eastAsia" w:ascii="仿宋_GB2312" w:hAnsi="仿宋_GB2312" w:eastAsia="仿宋_GB2312" w:cs="仿宋_GB2312"/>
          <w:b w:val="0"/>
          <w:color w:val="000000"/>
          <w:sz w:val="32"/>
          <w:szCs w:val="32"/>
          <w:lang w:val="en-US" w:eastAsia="zh-CN"/>
        </w:rPr>
        <w:t>40</w:t>
      </w:r>
      <w:r>
        <w:rPr>
          <w:rStyle w:val="21"/>
          <w:rFonts w:hint="eastAsia" w:ascii="仿宋_GB2312" w:hAnsi="仿宋_GB2312" w:eastAsia="仿宋_GB2312" w:cs="仿宋_GB2312"/>
          <w:b w:val="0"/>
          <w:color w:val="000000"/>
          <w:sz w:val="32"/>
          <w:szCs w:val="32"/>
        </w:rPr>
        <w:t>万元</w:t>
      </w:r>
      <w:r>
        <w:rPr>
          <w:rStyle w:val="21"/>
          <w:rFonts w:hint="eastAsia" w:ascii="仿宋_GB2312" w:hAnsi="仿宋_GB2312" w:eastAsia="仿宋_GB2312" w:cs="仿宋_GB2312"/>
          <w:b w:val="0"/>
          <w:color w:val="000000"/>
          <w:sz w:val="32"/>
          <w:szCs w:val="32"/>
          <w:lang w:eastAsia="zh-CN"/>
        </w:rPr>
        <w:t>。</w:t>
      </w:r>
      <w:r>
        <w:rPr>
          <w:rStyle w:val="21"/>
          <w:rFonts w:hint="eastAsia" w:ascii="仿宋_GB2312" w:hAnsi="仿宋_GB2312" w:eastAsia="仿宋_GB2312" w:cs="仿宋_GB2312"/>
          <w:b w:val="0"/>
          <w:color w:val="000000"/>
          <w:sz w:val="32"/>
          <w:szCs w:val="32"/>
        </w:rPr>
        <w:t>完成预算</w:t>
      </w:r>
      <w:r>
        <w:rPr>
          <w:rStyle w:val="21"/>
          <w:rFonts w:ascii="仿宋_GB2312" w:hAnsi="仿宋_GB2312" w:eastAsia="仿宋_GB2312" w:cs="仿宋_GB2312"/>
          <w:b w:val="0"/>
          <w:color w:val="000000"/>
          <w:sz w:val="32"/>
          <w:szCs w:val="32"/>
        </w:rPr>
        <w:t>100%</w:t>
      </w:r>
      <w:r>
        <w:rPr>
          <w:rStyle w:val="21"/>
          <w:rFonts w:hint="eastAsia" w:ascii="仿宋_GB2312" w:hAnsi="仿宋_GB2312" w:eastAsia="仿宋_GB2312" w:cs="仿宋_GB2312"/>
          <w:b w:val="0"/>
          <w:color w:val="000000"/>
          <w:sz w:val="32"/>
          <w:szCs w:val="32"/>
        </w:rPr>
        <w:t>，决算数与预算数持平。</w:t>
      </w:r>
    </w:p>
    <w:p>
      <w:pPr>
        <w:spacing w:line="576" w:lineRule="exact"/>
        <w:ind w:firstLine="642" w:firstLineChars="200"/>
        <w:rPr>
          <w:rStyle w:val="21"/>
          <w:rFonts w:hint="eastAsia" w:ascii="仿宋_GB2312" w:hAnsi="仿宋_GB2312" w:eastAsia="仿宋_GB2312" w:cs="仿宋_GB2312"/>
          <w:b w:val="0"/>
          <w:color w:val="000000"/>
          <w:sz w:val="32"/>
          <w:szCs w:val="32"/>
        </w:rPr>
      </w:pPr>
      <w:r>
        <w:rPr>
          <w:rStyle w:val="21"/>
          <w:rFonts w:ascii="仿宋_GB2312" w:hAnsi="仿宋_GB2312" w:eastAsia="仿宋_GB2312" w:cs="仿宋_GB2312"/>
          <w:color w:val="000000"/>
          <w:sz w:val="32"/>
          <w:szCs w:val="32"/>
        </w:rPr>
        <w:t>3.</w:t>
      </w:r>
      <w:r>
        <w:rPr>
          <w:rStyle w:val="21"/>
          <w:rFonts w:hint="eastAsia" w:ascii="仿宋_GB2312" w:hAnsi="仿宋_GB2312" w:eastAsia="仿宋_GB2312" w:cs="仿宋_GB2312"/>
          <w:color w:val="000000"/>
          <w:sz w:val="32"/>
          <w:szCs w:val="32"/>
        </w:rPr>
        <w:t>社会保障和就业支出（类）行政事业单位离退休（款）机关事业单位基本养老保险缴费支出（项）：</w:t>
      </w:r>
      <w:r>
        <w:rPr>
          <w:rStyle w:val="21"/>
          <w:rFonts w:hint="eastAsia" w:ascii="仿宋_GB2312" w:hAnsi="仿宋_GB2312" w:eastAsia="仿宋_GB2312" w:cs="仿宋_GB2312"/>
          <w:b w:val="0"/>
          <w:color w:val="000000"/>
          <w:sz w:val="32"/>
          <w:szCs w:val="32"/>
        </w:rPr>
        <w:t>支出决算为</w:t>
      </w:r>
      <w:r>
        <w:rPr>
          <w:rStyle w:val="21"/>
          <w:rFonts w:hint="eastAsia" w:ascii="仿宋_GB2312" w:hAnsi="仿宋_GB2312" w:eastAsia="仿宋_GB2312" w:cs="仿宋_GB2312"/>
          <w:b w:val="0"/>
          <w:color w:val="000000"/>
          <w:sz w:val="32"/>
          <w:szCs w:val="32"/>
          <w:lang w:val="en-US" w:eastAsia="zh-CN"/>
        </w:rPr>
        <w:t>52.05</w:t>
      </w:r>
      <w:r>
        <w:rPr>
          <w:rStyle w:val="21"/>
          <w:rFonts w:hint="eastAsia" w:ascii="仿宋_GB2312" w:hAnsi="仿宋_GB2312" w:eastAsia="仿宋_GB2312" w:cs="仿宋_GB2312"/>
          <w:b w:val="0"/>
          <w:color w:val="000000"/>
          <w:sz w:val="32"/>
          <w:szCs w:val="32"/>
        </w:rPr>
        <w:t>万元，完成预算</w:t>
      </w:r>
      <w:r>
        <w:rPr>
          <w:rStyle w:val="21"/>
          <w:rFonts w:ascii="仿宋_GB2312" w:hAnsi="仿宋_GB2312" w:eastAsia="仿宋_GB2312" w:cs="仿宋_GB2312"/>
          <w:b w:val="0"/>
          <w:color w:val="000000"/>
          <w:sz w:val="32"/>
          <w:szCs w:val="32"/>
        </w:rPr>
        <w:t>100%</w:t>
      </w:r>
      <w:r>
        <w:rPr>
          <w:rStyle w:val="21"/>
          <w:rFonts w:hint="eastAsia" w:ascii="仿宋_GB2312" w:hAnsi="仿宋_GB2312" w:eastAsia="仿宋_GB2312" w:cs="仿宋_GB2312"/>
          <w:b w:val="0"/>
          <w:color w:val="000000"/>
          <w:sz w:val="32"/>
          <w:szCs w:val="32"/>
        </w:rPr>
        <w:t>，决算数与预算数持平。</w:t>
      </w:r>
    </w:p>
    <w:p>
      <w:pPr>
        <w:spacing w:line="576" w:lineRule="exact"/>
        <w:ind w:firstLine="640" w:firstLineChars="200"/>
        <w:rPr>
          <w:rStyle w:val="21"/>
          <w:rFonts w:hint="eastAsia" w:ascii="仿宋_GB2312" w:hAnsi="仿宋_GB2312" w:eastAsia="仿宋_GB2312" w:cs="仿宋_GB2312"/>
          <w:b w:val="0"/>
          <w:color w:val="000000"/>
          <w:sz w:val="32"/>
          <w:szCs w:val="32"/>
        </w:rPr>
      </w:pPr>
      <w:r>
        <w:rPr>
          <w:rStyle w:val="21"/>
          <w:rFonts w:hint="eastAsia" w:ascii="仿宋_GB2312" w:hAnsi="仿宋_GB2312" w:eastAsia="仿宋_GB2312" w:cs="仿宋_GB2312"/>
          <w:b w:val="0"/>
          <w:color w:val="000000"/>
          <w:sz w:val="32"/>
          <w:szCs w:val="32"/>
        </w:rPr>
        <w:t>4.</w:t>
      </w:r>
      <w:r>
        <w:rPr>
          <w:rStyle w:val="21"/>
          <w:rFonts w:hint="eastAsia" w:ascii="仿宋_GB2312" w:hAnsi="仿宋_GB2312" w:eastAsia="仿宋_GB2312" w:cs="仿宋_GB2312"/>
          <w:color w:val="000000"/>
          <w:sz w:val="32"/>
          <w:szCs w:val="32"/>
        </w:rPr>
        <w:t>社会保障和就业支出（类）行政事业单位离退休（款）机关事业单位职业年金缴费支出（项）：</w:t>
      </w:r>
      <w:r>
        <w:rPr>
          <w:rStyle w:val="21"/>
          <w:rFonts w:hint="eastAsia" w:ascii="仿宋_GB2312" w:hAnsi="仿宋_GB2312" w:eastAsia="仿宋_GB2312" w:cs="仿宋_GB2312"/>
          <w:b w:val="0"/>
          <w:color w:val="000000"/>
          <w:sz w:val="32"/>
          <w:szCs w:val="32"/>
        </w:rPr>
        <w:t>支出决算为</w:t>
      </w:r>
      <w:r>
        <w:rPr>
          <w:rStyle w:val="21"/>
          <w:rFonts w:hint="eastAsia" w:ascii="仿宋_GB2312" w:hAnsi="仿宋_GB2312" w:eastAsia="仿宋_GB2312" w:cs="仿宋_GB2312"/>
          <w:b w:val="0"/>
          <w:color w:val="000000"/>
          <w:sz w:val="32"/>
          <w:szCs w:val="32"/>
          <w:lang w:val="en-US" w:eastAsia="zh-CN"/>
        </w:rPr>
        <w:t>26.02</w:t>
      </w:r>
      <w:r>
        <w:rPr>
          <w:rStyle w:val="21"/>
          <w:rFonts w:hint="eastAsia" w:ascii="仿宋_GB2312" w:hAnsi="仿宋_GB2312" w:eastAsia="仿宋_GB2312" w:cs="仿宋_GB2312"/>
          <w:b w:val="0"/>
          <w:color w:val="000000"/>
          <w:sz w:val="32"/>
          <w:szCs w:val="32"/>
        </w:rPr>
        <w:t>万元，完成预算</w:t>
      </w:r>
      <w:r>
        <w:rPr>
          <w:rStyle w:val="21"/>
          <w:rFonts w:ascii="仿宋_GB2312" w:hAnsi="仿宋_GB2312" w:eastAsia="仿宋_GB2312" w:cs="仿宋_GB2312"/>
          <w:b w:val="0"/>
          <w:color w:val="000000"/>
          <w:sz w:val="32"/>
          <w:szCs w:val="32"/>
        </w:rPr>
        <w:t>100%</w:t>
      </w:r>
      <w:r>
        <w:rPr>
          <w:rStyle w:val="21"/>
          <w:rFonts w:hint="eastAsia" w:ascii="仿宋_GB2312" w:hAnsi="仿宋_GB2312" w:eastAsia="仿宋_GB2312" w:cs="仿宋_GB2312"/>
          <w:b w:val="0"/>
          <w:color w:val="000000"/>
          <w:sz w:val="32"/>
          <w:szCs w:val="32"/>
        </w:rPr>
        <w:t>，决算数与预算数持平。</w:t>
      </w:r>
    </w:p>
    <w:p>
      <w:pPr>
        <w:spacing w:line="576" w:lineRule="exact"/>
        <w:ind w:firstLine="642" w:firstLineChars="200"/>
        <w:rPr>
          <w:rFonts w:ascii="仿宋" w:hAnsi="仿宋" w:eastAsia="仿宋"/>
          <w:b/>
          <w:color w:val="000000"/>
          <w:sz w:val="32"/>
          <w:szCs w:val="32"/>
        </w:rPr>
      </w:pPr>
      <w:r>
        <w:rPr>
          <w:rStyle w:val="21"/>
          <w:rFonts w:ascii="仿宋" w:hAnsi="仿宋" w:eastAsia="仿宋"/>
          <w:bCs/>
          <w:color w:val="000000"/>
          <w:sz w:val="32"/>
          <w:szCs w:val="32"/>
        </w:rPr>
        <w:t>5.</w:t>
      </w:r>
      <w:r>
        <w:rPr>
          <w:rStyle w:val="21"/>
          <w:rFonts w:hint="eastAsia" w:ascii="仿宋" w:hAnsi="仿宋" w:eastAsia="仿宋"/>
          <w:bCs/>
          <w:color w:val="000000"/>
          <w:sz w:val="32"/>
          <w:szCs w:val="32"/>
        </w:rPr>
        <w:t>农林水支出（类）扶贫（款）其他扶贫支出（项）：</w:t>
      </w:r>
      <w:r>
        <w:rPr>
          <w:rStyle w:val="21"/>
          <w:rFonts w:hint="eastAsia" w:ascii="仿宋_GB2312" w:hAnsi="仿宋_GB2312" w:eastAsia="仿宋_GB2312" w:cs="仿宋_GB2312"/>
          <w:b w:val="0"/>
          <w:color w:val="000000"/>
          <w:sz w:val="32"/>
          <w:szCs w:val="32"/>
        </w:rPr>
        <w:t>支出决算为0.84万元，完成预算</w:t>
      </w:r>
      <w:r>
        <w:rPr>
          <w:rStyle w:val="21"/>
          <w:rFonts w:ascii="仿宋_GB2312" w:hAnsi="仿宋_GB2312" w:eastAsia="仿宋_GB2312" w:cs="仿宋_GB2312"/>
          <w:b w:val="0"/>
          <w:color w:val="000000"/>
          <w:sz w:val="32"/>
          <w:szCs w:val="32"/>
        </w:rPr>
        <w:t>100%</w:t>
      </w:r>
      <w:r>
        <w:rPr>
          <w:rStyle w:val="21"/>
          <w:rFonts w:hint="eastAsia" w:ascii="仿宋_GB2312" w:hAnsi="仿宋_GB2312" w:eastAsia="仿宋_GB2312" w:cs="仿宋_GB2312"/>
          <w:b w:val="0"/>
          <w:color w:val="000000"/>
          <w:sz w:val="32"/>
          <w:szCs w:val="32"/>
        </w:rPr>
        <w:t>，决算数与预算数持平。</w:t>
      </w:r>
    </w:p>
    <w:p>
      <w:pPr>
        <w:spacing w:line="576" w:lineRule="exact"/>
        <w:ind w:firstLine="642" w:firstLineChars="200"/>
        <w:rPr>
          <w:rStyle w:val="21"/>
          <w:rFonts w:ascii="仿宋_GB2312" w:hAnsi="仿宋_GB2312" w:eastAsia="仿宋_GB2312"/>
          <w:b w:val="0"/>
          <w:color w:val="000000"/>
          <w:sz w:val="32"/>
          <w:szCs w:val="32"/>
        </w:rPr>
      </w:pPr>
      <w:r>
        <w:rPr>
          <w:rStyle w:val="21"/>
          <w:rFonts w:ascii="仿宋" w:hAnsi="仿宋" w:eastAsia="仿宋"/>
          <w:bCs/>
          <w:color w:val="000000"/>
          <w:sz w:val="32"/>
          <w:szCs w:val="32"/>
        </w:rPr>
        <w:t>6.</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（类）</w:t>
      </w:r>
      <w:r>
        <w:rPr>
          <w:rStyle w:val="21"/>
          <w:rFonts w:hint="eastAsia" w:ascii="仿宋_GB2312" w:hAnsi="仿宋_GB2312" w:eastAsia="仿宋_GB2312" w:cs="仿宋_GB2312"/>
          <w:color w:val="000000"/>
          <w:sz w:val="32"/>
          <w:szCs w:val="32"/>
        </w:rPr>
        <w:t>行政事业单位医疗（款）行政单位医疗（项）</w:t>
      </w:r>
      <w:r>
        <w:rPr>
          <w:rStyle w:val="21"/>
          <w:rFonts w:ascii="仿宋_GB2312" w:hAnsi="仿宋_GB2312" w:eastAsia="仿宋_GB2312" w:cs="仿宋_GB2312"/>
          <w:color w:val="000000"/>
          <w:sz w:val="32"/>
          <w:szCs w:val="32"/>
        </w:rPr>
        <w:t>:</w:t>
      </w:r>
      <w:r>
        <w:rPr>
          <w:rStyle w:val="21"/>
          <w:rFonts w:hint="eastAsia" w:ascii="仿宋_GB2312" w:hAnsi="仿宋_GB2312" w:eastAsia="仿宋_GB2312" w:cs="仿宋_GB2312"/>
          <w:b w:val="0"/>
          <w:color w:val="000000"/>
          <w:sz w:val="32"/>
          <w:szCs w:val="32"/>
        </w:rPr>
        <w:t>支出决算为</w:t>
      </w:r>
      <w:r>
        <w:rPr>
          <w:rStyle w:val="21"/>
          <w:rFonts w:hint="eastAsia" w:ascii="仿宋_GB2312" w:hAnsi="仿宋_GB2312" w:eastAsia="仿宋_GB2312" w:cs="仿宋_GB2312"/>
          <w:b w:val="0"/>
          <w:color w:val="000000"/>
          <w:sz w:val="32"/>
          <w:szCs w:val="32"/>
          <w:lang w:val="en-US" w:eastAsia="zh-CN"/>
        </w:rPr>
        <w:t>34.79</w:t>
      </w:r>
      <w:r>
        <w:rPr>
          <w:rStyle w:val="21"/>
          <w:rFonts w:hint="eastAsia" w:ascii="仿宋_GB2312" w:hAnsi="仿宋_GB2312" w:eastAsia="仿宋_GB2312" w:cs="仿宋_GB2312"/>
          <w:b w:val="0"/>
          <w:color w:val="000000"/>
          <w:sz w:val="32"/>
          <w:szCs w:val="32"/>
        </w:rPr>
        <w:t>万元，</w:t>
      </w:r>
      <w:r>
        <w:rPr>
          <w:rFonts w:hint="eastAsia" w:ascii="仿宋" w:hAnsi="仿宋" w:eastAsia="仿宋"/>
          <w:b/>
          <w:bCs/>
          <w:color w:val="000000"/>
          <w:sz w:val="32"/>
          <w:szCs w:val="32"/>
        </w:rPr>
        <w:t>卫生健康</w:t>
      </w:r>
      <w:r>
        <w:rPr>
          <w:rStyle w:val="21"/>
          <w:rFonts w:hint="eastAsia" w:ascii="仿宋" w:hAnsi="仿宋" w:eastAsia="仿宋"/>
          <w:bCs/>
          <w:color w:val="000000"/>
          <w:sz w:val="32"/>
          <w:szCs w:val="32"/>
        </w:rPr>
        <w:t>（类）</w:t>
      </w:r>
      <w:r>
        <w:rPr>
          <w:rStyle w:val="21"/>
          <w:rFonts w:hint="eastAsia" w:ascii="仿宋_GB2312" w:hAnsi="仿宋_GB2312" w:eastAsia="仿宋_GB2312" w:cs="仿宋_GB2312"/>
          <w:color w:val="000000"/>
          <w:sz w:val="32"/>
          <w:szCs w:val="32"/>
        </w:rPr>
        <w:t>行政事业单位医疗（款）事业单位医疗（项）</w:t>
      </w:r>
      <w:r>
        <w:rPr>
          <w:rStyle w:val="21"/>
          <w:rFonts w:ascii="仿宋_GB2312" w:hAnsi="仿宋_GB2312" w:eastAsia="仿宋_GB2312" w:cs="仿宋_GB2312"/>
          <w:color w:val="000000"/>
          <w:sz w:val="32"/>
          <w:szCs w:val="32"/>
        </w:rPr>
        <w:t>:</w:t>
      </w:r>
      <w:r>
        <w:rPr>
          <w:rStyle w:val="21"/>
          <w:rFonts w:hint="eastAsia" w:ascii="仿宋_GB2312" w:hAnsi="仿宋_GB2312" w:eastAsia="仿宋_GB2312" w:cs="仿宋_GB2312"/>
          <w:b w:val="0"/>
          <w:color w:val="000000"/>
          <w:sz w:val="32"/>
          <w:szCs w:val="32"/>
        </w:rPr>
        <w:t>支出决算为</w:t>
      </w:r>
      <w:r>
        <w:rPr>
          <w:rStyle w:val="21"/>
          <w:rFonts w:hint="eastAsia" w:ascii="仿宋_GB2312" w:hAnsi="仿宋_GB2312" w:eastAsia="仿宋_GB2312" w:cs="仿宋_GB2312"/>
          <w:b w:val="0"/>
          <w:color w:val="000000"/>
          <w:sz w:val="32"/>
          <w:szCs w:val="32"/>
          <w:lang w:val="en-US" w:eastAsia="zh-CN"/>
        </w:rPr>
        <w:t>6.95</w:t>
      </w:r>
      <w:r>
        <w:rPr>
          <w:rStyle w:val="21"/>
          <w:rFonts w:hint="eastAsia" w:ascii="仿宋_GB2312" w:hAnsi="仿宋_GB2312" w:eastAsia="仿宋_GB2312" w:cs="仿宋_GB2312"/>
          <w:b w:val="0"/>
          <w:color w:val="000000"/>
          <w:sz w:val="32"/>
          <w:szCs w:val="32"/>
        </w:rPr>
        <w:t>万元完成预算</w:t>
      </w:r>
      <w:r>
        <w:rPr>
          <w:rStyle w:val="21"/>
          <w:rFonts w:ascii="仿宋_GB2312" w:hAnsi="仿宋_GB2312" w:eastAsia="仿宋_GB2312" w:cs="仿宋_GB2312"/>
          <w:b w:val="0"/>
          <w:color w:val="000000"/>
          <w:sz w:val="32"/>
          <w:szCs w:val="32"/>
        </w:rPr>
        <w:t>100%</w:t>
      </w:r>
      <w:r>
        <w:rPr>
          <w:rStyle w:val="21"/>
          <w:rFonts w:hint="eastAsia" w:ascii="仿宋_GB2312" w:hAnsi="仿宋_GB2312" w:eastAsia="仿宋_GB2312" w:cs="仿宋_GB2312"/>
          <w:b w:val="0"/>
          <w:color w:val="000000"/>
          <w:sz w:val="32"/>
          <w:szCs w:val="32"/>
        </w:rPr>
        <w:t>，决算数与预算数持平。</w:t>
      </w:r>
    </w:p>
    <w:p>
      <w:pPr>
        <w:spacing w:line="576" w:lineRule="exact"/>
        <w:ind w:firstLine="642" w:firstLineChars="200"/>
        <w:rPr>
          <w:rFonts w:ascii="仿宋" w:hAnsi="仿宋" w:eastAsia="仿宋"/>
          <w:b/>
          <w:color w:val="000000"/>
          <w:sz w:val="32"/>
          <w:szCs w:val="32"/>
        </w:rPr>
      </w:pPr>
      <w:r>
        <w:rPr>
          <w:rFonts w:hint="eastAsia" w:ascii="仿宋" w:hAnsi="仿宋" w:eastAsia="仿宋"/>
          <w:b/>
          <w:color w:val="000000"/>
          <w:sz w:val="32"/>
          <w:szCs w:val="32"/>
        </w:rPr>
        <w:t>7.</w:t>
      </w:r>
      <w:r>
        <w:rPr>
          <w:rStyle w:val="21"/>
          <w:rFonts w:hint="eastAsia" w:ascii="仿宋_GB2312" w:hAnsi="仿宋_GB2312" w:eastAsia="仿宋_GB2312" w:cs="仿宋_GB2312"/>
          <w:color w:val="000000"/>
          <w:sz w:val="32"/>
          <w:szCs w:val="32"/>
        </w:rPr>
        <w:t>住房保障支出（类）住房改革支出（款）住房公积金（项）</w:t>
      </w:r>
      <w:r>
        <w:rPr>
          <w:rStyle w:val="21"/>
          <w:rFonts w:ascii="仿宋_GB2312" w:hAnsi="仿宋_GB2312" w:eastAsia="仿宋_GB2312" w:cs="仿宋_GB2312"/>
          <w:color w:val="000000"/>
          <w:sz w:val="32"/>
          <w:szCs w:val="32"/>
        </w:rPr>
        <w:t>:</w:t>
      </w:r>
      <w:r>
        <w:rPr>
          <w:rStyle w:val="21"/>
          <w:rFonts w:hint="eastAsia" w:ascii="仿宋_GB2312" w:hAnsi="仿宋_GB2312" w:eastAsia="仿宋_GB2312" w:cs="仿宋_GB2312"/>
          <w:b w:val="0"/>
          <w:color w:val="000000"/>
          <w:sz w:val="32"/>
          <w:szCs w:val="32"/>
        </w:rPr>
        <w:t>支出决算为</w:t>
      </w:r>
      <w:r>
        <w:rPr>
          <w:rStyle w:val="21"/>
          <w:rFonts w:hint="eastAsia" w:ascii="仿宋_GB2312" w:hAnsi="仿宋_GB2312" w:eastAsia="仿宋_GB2312" w:cs="仿宋_GB2312"/>
          <w:b w:val="0"/>
          <w:color w:val="000000"/>
          <w:sz w:val="32"/>
          <w:szCs w:val="32"/>
          <w:lang w:val="en-US" w:eastAsia="zh-CN"/>
        </w:rPr>
        <w:t>58.12</w:t>
      </w:r>
      <w:r>
        <w:rPr>
          <w:rStyle w:val="21"/>
          <w:rFonts w:hint="eastAsia" w:ascii="仿宋_GB2312" w:hAnsi="仿宋_GB2312" w:eastAsia="仿宋_GB2312" w:cs="仿宋_GB2312"/>
          <w:b w:val="0"/>
          <w:color w:val="000000"/>
          <w:sz w:val="32"/>
          <w:szCs w:val="32"/>
        </w:rPr>
        <w:t>万元，完成预算</w:t>
      </w:r>
      <w:r>
        <w:rPr>
          <w:rStyle w:val="21"/>
          <w:rFonts w:ascii="仿宋_GB2312" w:hAnsi="仿宋_GB2312" w:eastAsia="仿宋_GB2312" w:cs="仿宋_GB2312"/>
          <w:b w:val="0"/>
          <w:color w:val="000000"/>
          <w:sz w:val="32"/>
          <w:szCs w:val="32"/>
        </w:rPr>
        <w:t>100%</w:t>
      </w:r>
      <w:r>
        <w:rPr>
          <w:rStyle w:val="21"/>
          <w:rFonts w:hint="eastAsia" w:ascii="仿宋_GB2312" w:hAnsi="仿宋_GB2312" w:eastAsia="仿宋_GB2312" w:cs="仿宋_GB2312"/>
          <w:b w:val="0"/>
          <w:color w:val="000000"/>
          <w:sz w:val="32"/>
          <w:szCs w:val="32"/>
        </w:rPr>
        <w:t>，</w:t>
      </w:r>
      <w:r>
        <w:rPr>
          <w:rStyle w:val="21"/>
          <w:rFonts w:hint="eastAsia" w:ascii="仿宋_GB2312" w:hAnsi="仿宋_GB2312" w:eastAsia="仿宋_GB2312" w:cs="仿宋_GB2312"/>
          <w:color w:val="000000"/>
          <w:sz w:val="32"/>
          <w:szCs w:val="32"/>
        </w:rPr>
        <w:t>住房保障支出（类）住房改革支出（款）</w:t>
      </w:r>
      <w:r>
        <w:rPr>
          <w:rStyle w:val="21"/>
          <w:rFonts w:hint="eastAsia" w:ascii="仿宋_GB2312" w:hAnsi="仿宋_GB2312" w:eastAsia="仿宋_GB2312" w:cs="仿宋_GB2312"/>
          <w:color w:val="000000"/>
          <w:sz w:val="32"/>
          <w:szCs w:val="32"/>
          <w:lang w:eastAsia="zh-CN"/>
        </w:rPr>
        <w:t>购房补贴</w:t>
      </w:r>
      <w:r>
        <w:rPr>
          <w:rStyle w:val="21"/>
          <w:rFonts w:hint="eastAsia" w:ascii="仿宋_GB2312" w:hAnsi="仿宋_GB2312" w:eastAsia="仿宋_GB2312" w:cs="仿宋_GB2312"/>
          <w:color w:val="000000"/>
          <w:sz w:val="32"/>
          <w:szCs w:val="32"/>
        </w:rPr>
        <w:t>（项）</w:t>
      </w:r>
      <w:r>
        <w:rPr>
          <w:rStyle w:val="21"/>
          <w:rFonts w:hint="eastAsia" w:ascii="仿宋_GB2312" w:hAnsi="仿宋_GB2312" w:eastAsia="仿宋_GB2312" w:cs="仿宋_GB2312"/>
          <w:b w:val="0"/>
          <w:color w:val="000000"/>
          <w:sz w:val="32"/>
          <w:szCs w:val="32"/>
        </w:rPr>
        <w:t>支出决算为</w:t>
      </w:r>
      <w:r>
        <w:rPr>
          <w:rStyle w:val="21"/>
          <w:rFonts w:hint="eastAsia" w:ascii="仿宋_GB2312" w:hAnsi="仿宋_GB2312" w:eastAsia="仿宋_GB2312" w:cs="仿宋_GB2312"/>
          <w:b w:val="0"/>
          <w:color w:val="000000"/>
          <w:sz w:val="32"/>
          <w:szCs w:val="32"/>
          <w:lang w:val="en-US" w:eastAsia="zh-CN"/>
        </w:rPr>
        <w:t>1.22</w:t>
      </w:r>
      <w:r>
        <w:rPr>
          <w:rStyle w:val="21"/>
          <w:rFonts w:hint="eastAsia" w:ascii="仿宋_GB2312" w:hAnsi="仿宋_GB2312" w:eastAsia="仿宋_GB2312" w:cs="仿宋_GB2312"/>
          <w:b w:val="0"/>
          <w:color w:val="000000"/>
          <w:sz w:val="32"/>
          <w:szCs w:val="32"/>
        </w:rPr>
        <w:t>万元</w:t>
      </w:r>
      <w:r>
        <w:rPr>
          <w:rStyle w:val="21"/>
          <w:rFonts w:hint="eastAsia" w:ascii="仿宋_GB2312" w:hAnsi="仿宋_GB2312" w:eastAsia="仿宋_GB2312" w:cs="仿宋_GB2312"/>
          <w:b w:val="0"/>
          <w:color w:val="000000"/>
          <w:sz w:val="32"/>
          <w:szCs w:val="32"/>
          <w:lang w:eastAsia="zh-CN"/>
        </w:rPr>
        <w:t>；</w:t>
      </w:r>
      <w:r>
        <w:rPr>
          <w:rStyle w:val="21"/>
          <w:rFonts w:hint="eastAsia" w:ascii="仿宋_GB2312" w:hAnsi="仿宋_GB2312" w:eastAsia="仿宋_GB2312" w:cs="仿宋_GB2312"/>
          <w:b w:val="0"/>
          <w:color w:val="000000"/>
          <w:sz w:val="32"/>
          <w:szCs w:val="32"/>
        </w:rPr>
        <w:t>决算数与预算数持平。</w:t>
      </w:r>
    </w:p>
    <w:p>
      <w:pPr>
        <w:tabs>
          <w:tab w:val="right" w:pos="8306"/>
        </w:tabs>
        <w:spacing w:line="600" w:lineRule="exact"/>
        <w:ind w:firstLine="640"/>
        <w:outlineLvl w:val="1"/>
        <w:rPr>
          <w:rStyle w:val="24"/>
        </w:rPr>
      </w:pPr>
      <w:bookmarkStart w:id="68" w:name="_Toc15396608"/>
      <w:bookmarkStart w:id="69" w:name="_Toc79163618"/>
      <w:bookmarkStart w:id="70" w:name="_Toc29857"/>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2020年一般公共预算财政拨款基本支出</w:t>
      </w:r>
      <w:r>
        <w:rPr>
          <w:rFonts w:hint="eastAsia" w:ascii="仿宋_GB2312" w:hAnsi="仿宋_GB2312" w:eastAsia="仿宋_GB2312" w:cs="仿宋_GB2312"/>
          <w:color w:val="000000"/>
          <w:sz w:val="32"/>
          <w:szCs w:val="32"/>
          <w:lang w:val="en-US" w:eastAsia="zh-CN"/>
        </w:rPr>
        <w:t>1002.76</w:t>
      </w:r>
      <w:r>
        <w:rPr>
          <w:rFonts w:hint="eastAsia" w:ascii="仿宋_GB2312" w:hAnsi="仿宋_GB2312" w:eastAsia="仿宋_GB2312" w:cs="仿宋_GB2312"/>
          <w:color w:val="000000"/>
          <w:sz w:val="32"/>
          <w:szCs w:val="32"/>
        </w:rPr>
        <w:t>万元，其中：</w:t>
      </w:r>
    </w:p>
    <w:p>
      <w:pPr>
        <w:spacing w:line="600" w:lineRule="exact"/>
        <w:ind w:firstLine="645"/>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706.9</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295.85</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4"/>
          <w:rFonts w:ascii="黑体" w:hAnsi="黑体" w:eastAsia="黑体"/>
          <w:b w:val="0"/>
        </w:rPr>
      </w:pPr>
      <w:bookmarkStart w:id="72" w:name="_Toc16082"/>
      <w:bookmarkStart w:id="73" w:name="_Toc15396609"/>
      <w:bookmarkStart w:id="74" w:name="_Toc15377215"/>
      <w:bookmarkStart w:id="75" w:name="_Toc7916361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8869"/>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101.47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79" w:name="_Toc79163621"/>
      <w:bookmarkStart w:id="80" w:name="_Toc362"/>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96.69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95.2</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4.78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4.8</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5408" behindDoc="0" locked="0" layoutInCell="1" allowOverlap="1">
            <wp:simplePos x="0" y="0"/>
            <wp:positionH relativeFrom="column">
              <wp:posOffset>699770</wp:posOffset>
            </wp:positionH>
            <wp:positionV relativeFrom="paragraph">
              <wp:posOffset>242570</wp:posOffset>
            </wp:positionV>
            <wp:extent cx="4001135" cy="2398395"/>
            <wp:effectExtent l="4445" t="4445" r="13970" b="1651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96.69</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2.38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业务增加，用车量增大</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highlight w:val="none"/>
        </w:rPr>
      </w:pPr>
      <w:r>
        <w:rPr>
          <w:rFonts w:hint="eastAsia" w:ascii="仿宋_GB2312" w:eastAsia="仿宋_GB2312"/>
          <w:color w:val="000000"/>
          <w:sz w:val="32"/>
          <w:szCs w:val="32"/>
          <w:highlight w:val="none"/>
        </w:rPr>
        <w:t>其中：</w:t>
      </w:r>
      <w:r>
        <w:rPr>
          <w:rFonts w:hint="eastAsia" w:ascii="仿宋_GB2312" w:eastAsia="仿宋_GB2312"/>
          <w:b/>
          <w:color w:val="000000"/>
          <w:sz w:val="32"/>
          <w:szCs w:val="32"/>
          <w:highlight w:val="none"/>
        </w:rPr>
        <w:t>公务用车购置支出</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96.69</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下乡检查工作、开会</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4.78</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1.78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公务业务量增大，接待量增多</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b/>
          <w:color w:val="000000"/>
          <w:sz w:val="32"/>
          <w:szCs w:val="32"/>
          <w:lang w:val="en-US" w:eastAsia="zh-CN"/>
        </w:rPr>
        <w:t>4.78</w:t>
      </w:r>
      <w:r>
        <w:rPr>
          <w:rFonts w:hint="eastAsia" w:ascii="仿宋_GB2312" w:eastAsia="仿宋_GB2312"/>
          <w:color w:val="000000"/>
          <w:sz w:val="32"/>
          <w:szCs w:val="32"/>
        </w:rPr>
        <w:t>万元，主要用于执行公务、开展业务活动开支的交通费、住宿费、用餐费等</w:t>
      </w:r>
      <w:r>
        <w:rPr>
          <w:rFonts w:ascii="仿宋_GB2312" w:eastAsia="仿宋_GB2312"/>
          <w:color w:val="000000"/>
          <w:sz w:val="32"/>
          <w:szCs w:val="32"/>
        </w:rPr>
        <w:t>)</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56</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440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4.78</w:t>
      </w:r>
      <w:r>
        <w:rPr>
          <w:rFonts w:hint="eastAsia" w:ascii="仿宋_GB2312" w:eastAsia="仿宋_GB2312"/>
          <w:color w:val="000000"/>
          <w:sz w:val="32"/>
          <w:szCs w:val="32"/>
        </w:rPr>
        <w:t>万元，具体内容包括：</w:t>
      </w:r>
      <w:r>
        <w:rPr>
          <w:rFonts w:hint="eastAsia" w:ascii="仿宋_GB2312" w:eastAsia="仿宋_GB2312" w:cs="仿宋_GB2312"/>
          <w:color w:val="000000"/>
          <w:sz w:val="32"/>
          <w:szCs w:val="32"/>
        </w:rPr>
        <w:t>考察学习深化体制改革工作、考察学习乡村振兴工作、考察学习依法治县工作、考察学习安全生产工作等。</w:t>
      </w:r>
    </w:p>
    <w:p>
      <w:pPr>
        <w:spacing w:line="600" w:lineRule="exact"/>
        <w:ind w:firstLine="642" w:firstLineChars="200"/>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w:t>
      </w:r>
    </w:p>
    <w:p>
      <w:pPr>
        <w:spacing w:line="600" w:lineRule="exact"/>
        <w:ind w:firstLine="640"/>
        <w:outlineLvl w:val="1"/>
        <w:rPr>
          <w:rStyle w:val="24"/>
          <w:rFonts w:ascii="黑体" w:hAnsi="黑体" w:eastAsia="黑体"/>
        </w:rPr>
      </w:pPr>
      <w:bookmarkStart w:id="82" w:name="_Toc4621"/>
      <w:bookmarkStart w:id="83" w:name="_Toc79163622"/>
      <w:bookmarkStart w:id="84" w:name="_Toc15396610"/>
      <w:bookmarkStart w:id="85" w:name="_Toc15377218"/>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4"/>
          <w:rFonts w:ascii="黑体" w:hAnsi="黑体" w:eastAsia="黑体"/>
          <w:b w:val="0"/>
        </w:rPr>
      </w:pPr>
      <w:bookmarkStart w:id="86" w:name="_Toc15396611"/>
      <w:bookmarkStart w:id="87" w:name="_Toc13885"/>
      <w:bookmarkStart w:id="88" w:name="_Toc15377219"/>
      <w:bookmarkStart w:id="89" w:name="_Toc79163623"/>
      <w:r>
        <w:rPr>
          <w:rStyle w:val="24"/>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4"/>
          <w:rFonts w:ascii="黑体" w:hAnsi="黑体" w:eastAsia="黑体"/>
        </w:rPr>
      </w:pPr>
      <w:bookmarkStart w:id="90" w:name="_Toc28818"/>
      <w:bookmarkStart w:id="91" w:name="_Toc79163624"/>
      <w:bookmarkStart w:id="92" w:name="_Toc15377221"/>
      <w:bookmarkStart w:id="93" w:name="_Toc15396612"/>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hAnsi="仿宋" w:eastAsia="仿宋"/>
          <w:color w:val="000000"/>
          <w:sz w:val="32"/>
          <w:szCs w:val="32"/>
        </w:rPr>
      </w:pPr>
      <w:bookmarkStart w:id="94" w:name="_Toc15377222"/>
      <w:bookmarkStart w:id="95" w:name="_Toc4432"/>
      <w:bookmarkStart w:id="96" w:name="_Toc7916362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茂县县委办</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292.17</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12.22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压缩经费支出。</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12944"/>
      <w:bookmarkStart w:id="98" w:name="_Toc15377223"/>
      <w:bookmarkStart w:id="99" w:name="_Toc7916362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茂县县委办</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249.63</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249.63</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办公设备购购置</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249.63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249.63</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11348"/>
      <w:bookmarkStart w:id="101" w:name="_Toc15377224"/>
      <w:bookmarkStart w:id="102" w:name="_Toc7916362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hint="eastAsia" w:ascii="仿宋" w:hAnsi="仿宋" w:eastAsia="仿宋"/>
          <w:b/>
          <w:color w:val="FF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茂县县委办</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hint="eastAsia" w:ascii="仿宋" w:hAnsi="仿宋" w:eastAsia="仿宋"/>
          <w:b/>
          <w:color w:val="000000"/>
          <w:sz w:val="32"/>
          <w:szCs w:val="32"/>
        </w:rPr>
      </w:pPr>
      <w:bookmarkStart w:id="103" w:name="_Toc11947"/>
      <w:bookmarkStart w:id="104" w:name="_Toc79163628"/>
      <w:r>
        <w:rPr>
          <w:rFonts w:hint="eastAsia" w:ascii="仿宋" w:hAnsi="仿宋" w:eastAsia="仿宋"/>
          <w:b/>
          <w:color w:val="000000"/>
          <w:sz w:val="32"/>
          <w:szCs w:val="32"/>
        </w:rPr>
        <w:t>（四）预算绩效管理情况</w:t>
      </w:r>
      <w:bookmarkEnd w:id="103"/>
      <w:bookmarkEnd w:id="104"/>
    </w:p>
    <w:p>
      <w:pPr>
        <w:autoSpaceDE w:val="0"/>
        <w:autoSpaceDN w:val="0"/>
        <w:adjustRightInd w:val="0"/>
        <w:spacing w:line="600" w:lineRule="exact"/>
        <w:ind w:firstLine="640" w:firstLineChars="200"/>
        <w:jc w:val="left"/>
        <w:outlineLvl w:val="2"/>
        <w:rPr>
          <w:rFonts w:hint="eastAsia" w:ascii="仿宋_GB2312" w:hAnsi="仿宋_GB2312" w:eastAsia="仿宋_GB2312" w:cs="仿宋_GB2312"/>
          <w:sz w:val="32"/>
          <w:szCs w:val="32"/>
        </w:rPr>
      </w:pPr>
      <w:r>
        <w:rPr>
          <w:rFonts w:hint="eastAsia" w:ascii="仿宋_GB2312" w:eastAsia="仿宋_GB2312" w:cs="仿宋_GB2312"/>
          <w:color w:val="000000"/>
          <w:sz w:val="32"/>
          <w:szCs w:val="32"/>
        </w:rPr>
        <w:t>我办根据预算绩效管理要求，根据年初工作规划和重点性工作，积极</w:t>
      </w:r>
      <w:r>
        <w:rPr>
          <w:rFonts w:hint="eastAsia" w:ascii="仿宋_GB2312" w:hAnsi="仿宋_GB2312" w:eastAsia="仿宋_GB2312" w:cs="仿宋_GB2312"/>
          <w:sz w:val="32"/>
          <w:szCs w:val="32"/>
        </w:rPr>
        <w:t>履职，强化管理，通过加强预算收支管理，不断建立健全内部管理制度，梳理内部管理流程，较好的完成了年度工作目标。</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我办按要求对</w:t>
      </w:r>
      <w:r>
        <w:rPr>
          <w:rFonts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年部门整体支出开展绩效自评，从评价情况来看，</w:t>
      </w:r>
      <w:r>
        <w:rPr>
          <w:rFonts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年我办部门整体支出绩效评价自查自评结果良好，全年基本支出保证了部门的正常运行和日常工作的正常开展，绩效目标得到较好实现，绩效管理水平不断提高，绩效指标体系逐渐丰富和完善。</w:t>
      </w:r>
    </w:p>
    <w:p>
      <w:pPr>
        <w:spacing w:line="580" w:lineRule="exact"/>
        <w:ind w:left="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1.项目绩效目标完成情况</w:t>
      </w:r>
    </w:p>
    <w:p>
      <w:pPr>
        <w:spacing w:line="5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项目绩效内容本单位不涉及。</w:t>
      </w:r>
    </w:p>
    <w:p>
      <w:pPr>
        <w:spacing w:line="5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年部门整体支出绩效评价情况开展自评，《县委办20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3"/>
          <w:rFonts w:ascii="黑体" w:hAnsi="黑体" w:eastAsia="黑体"/>
          <w:b w:val="0"/>
        </w:rPr>
      </w:pPr>
      <w:bookmarkStart w:id="105" w:name="_Toc15396613"/>
      <w:bookmarkStart w:id="106" w:name="_Toc79163629"/>
      <w:bookmarkStart w:id="107" w:name="_Toc44"/>
      <w:bookmarkStart w:id="108" w:name="_Toc15377225"/>
      <w:r>
        <w:rPr>
          <w:rFonts w:hint="eastAsia" w:ascii="黑体" w:hAnsi="黑体" w:eastAsia="黑体"/>
          <w:color w:val="000000"/>
          <w:sz w:val="44"/>
          <w:szCs w:val="44"/>
        </w:rPr>
        <w:t>名</w:t>
      </w:r>
      <w:r>
        <w:rPr>
          <w:rStyle w:val="23"/>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3"/>
        <w:spacing w:line="576"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财政拨款收入：指县级财政当年拨付的资金。</w:t>
      </w:r>
    </w:p>
    <w:p>
      <w:pPr>
        <w:pStyle w:val="33"/>
        <w:spacing w:line="576"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事业收入：指事业单位开展专业业务活动及辅助活动所取得的收入。</w:t>
      </w:r>
    </w:p>
    <w:p>
      <w:pPr>
        <w:pStyle w:val="33"/>
        <w:spacing w:line="576"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pStyle w:val="33"/>
        <w:spacing w:line="576"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其他收入：指除上述“财政拨款收入”、“事业收入”、“经营收入”等以外的收入。</w:t>
      </w:r>
    </w:p>
    <w:p>
      <w:pPr>
        <w:pStyle w:val="33"/>
        <w:spacing w:line="576"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3"/>
        <w:spacing w:line="576"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p>
    <w:p>
      <w:pPr>
        <w:pStyle w:val="33"/>
        <w:spacing w:line="576"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结余分配：指事业单位按照事业单位会计制度的规定从非财政补助结余中分配的事业基金和职工福利基金等。</w:t>
      </w:r>
    </w:p>
    <w:p>
      <w:pPr>
        <w:pStyle w:val="33"/>
        <w:spacing w:line="576"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年末结转和结余：指单位按有关规定结转到下年或以后年度继续使用的资金。</w:t>
      </w:r>
    </w:p>
    <w:p>
      <w:pPr>
        <w:pStyle w:val="33"/>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一般公共服务支出（类）党委办公厅（室）及相关机构事务（款）行政运行（项）：指反映行政单位（包括实行公务员管理的事业单位）的基本支出。</w:t>
      </w:r>
    </w:p>
    <w:p>
      <w:pPr>
        <w:pStyle w:val="33"/>
        <w:spacing w:line="576"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一般公共服务支出（类）党委办公厅（室）及相关机构事务（款）一般行政管理事务（项）：指反映行政单位（包括实行公务员管理的事业单位）未单独设置项级科目的其他项目支出。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rPr>
        <w:t>一般公共服务</w:t>
      </w:r>
      <w:r>
        <w:rPr>
          <w:rFonts w:hint="eastAsia" w:ascii="仿宋_GB2312" w:hAnsi="仿宋_GB2312" w:eastAsia="仿宋_GB2312" w:cs="仿宋_GB2312"/>
          <w:sz w:val="32"/>
          <w:szCs w:val="32"/>
        </w:rPr>
        <w:t>支出（类）其他一般公共服务支出（款）其他一般公共服务支出（项）</w:t>
      </w:r>
      <w:r>
        <w:rPr>
          <w:rFonts w:hint="eastAsia" w:ascii="仿宋_GB2312" w:hAnsi="仿宋_GB2312" w:eastAsia="仿宋_GB2312" w:cs="仿宋_GB2312"/>
          <w:color w:val="000000"/>
          <w:sz w:val="32"/>
          <w:szCs w:val="32"/>
        </w:rPr>
        <w:t>：指反映除上述以外的其他一般公共服务支出。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12.</w:t>
      </w:r>
      <w:r>
        <w:rPr>
          <w:rStyle w:val="21"/>
          <w:rFonts w:hint="eastAsia" w:ascii="仿宋_GB2312" w:hAnsi="仿宋_GB2312" w:eastAsia="仿宋_GB2312" w:cs="仿宋_GB2312"/>
          <w:b w:val="0"/>
          <w:color w:val="000000"/>
          <w:sz w:val="32"/>
          <w:szCs w:val="32"/>
        </w:rPr>
        <w:t>社会保障和就业支出（类）行政事业单位离退休（款）</w:t>
      </w:r>
      <w:r>
        <w:rPr>
          <w:rFonts w:hint="eastAsia" w:ascii="仿宋_GB2312" w:hAnsi="仿宋_GB2312" w:eastAsia="仿宋_GB2312" w:cs="仿宋_GB2312"/>
          <w:color w:val="000000"/>
          <w:sz w:val="32"/>
          <w:szCs w:val="32"/>
        </w:rPr>
        <w:t>机关事业单位基本养老保险缴费支出（项）：指反映机关事业单位实施养老保险制度由单位缴纳的基本养老保险费支出。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13.</w:t>
      </w:r>
      <w:r>
        <w:rPr>
          <w:rStyle w:val="21"/>
          <w:rFonts w:hint="eastAsia" w:ascii="仿宋_GB2312" w:hAnsi="仿宋_GB2312" w:eastAsia="仿宋_GB2312" w:cs="仿宋_GB2312"/>
          <w:b w:val="0"/>
          <w:color w:val="000000"/>
          <w:sz w:val="32"/>
          <w:szCs w:val="32"/>
        </w:rPr>
        <w:t>社会保障和就业支出（类）行政事业单位离退休（款）</w:t>
      </w:r>
      <w:r>
        <w:rPr>
          <w:rFonts w:hint="eastAsia" w:ascii="仿宋_GB2312" w:hAnsi="仿宋_GB2312" w:eastAsia="仿宋_GB2312" w:cs="仿宋_GB2312"/>
          <w:color w:val="000000"/>
          <w:sz w:val="32"/>
          <w:szCs w:val="32"/>
        </w:rPr>
        <w:t>机关事业单位职业年金缴费支出（项）：指反映机关事业单位实施养老保险制度由单位缴纳的职业年金支出。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14.</w:t>
      </w:r>
      <w:r>
        <w:rPr>
          <w:rFonts w:hint="eastAsia" w:ascii="仿宋_GB2312" w:hAnsi="仿宋_GB2312" w:eastAsia="仿宋_GB2312" w:cs="仿宋_GB2312"/>
          <w:color w:val="000000"/>
          <w:sz w:val="32"/>
          <w:szCs w:val="32"/>
        </w:rPr>
        <w:t>医疗卫生与计划生育支出（类）医疗保障（款）行政单位医疗（项）：指反映财政部门集中安排的行政单位基本医疗保险缴费经费，未参加医疗保险的行政单位的公费医疗经费，按国家规定享受离休人员待遇的医疗经费。</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住房保障支出（类）住房改革支出（款）住房公积金（项）：指反映行政事业单位按人力资源和社会保障部、财政部规定的基本工资和津贴以及规定比例为职工缴纳的住房公积金。</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16.</w:t>
      </w:r>
      <w:r>
        <w:rPr>
          <w:rFonts w:hint="eastAsia" w:ascii="仿宋_GB2312" w:hAnsi="仿宋_GB2312" w:eastAsia="仿宋_GB2312" w:cs="仿宋_GB2312"/>
          <w:color w:val="000000"/>
          <w:sz w:val="32"/>
          <w:szCs w:val="32"/>
        </w:rPr>
        <w:t>住房保障支出（类）住房改革支出（款）购房补贴（项）：指反映按房改政策规定，行政事业单位向符合条件职工（含离退休人员）、军队（含武警）向转役复员离退休人员发放的用于购买住房的补贴。</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17.</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18.</w:t>
      </w:r>
      <w:r>
        <w:rPr>
          <w:rFonts w:hint="eastAsia" w:ascii="仿宋_GB2312" w:hAnsi="仿宋_GB2312" w:eastAsia="仿宋_GB2312" w:cs="仿宋_GB2312"/>
          <w:color w:val="000000"/>
          <w:sz w:val="32"/>
          <w:szCs w:val="32"/>
        </w:rPr>
        <w:t>项目支出：指在基本支出之外为完成特定行政任务和事业发展目标所发生的支出。</w:t>
      </w:r>
    </w:p>
    <w:p>
      <w:pPr>
        <w:pStyle w:val="33"/>
        <w:spacing w:line="576"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19.</w:t>
      </w:r>
      <w:r>
        <w:rPr>
          <w:rFonts w:hint="eastAsia" w:ascii="仿宋_GB2312" w:hAns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33"/>
        <w:spacing w:line="576" w:lineRule="exact"/>
        <w:ind w:firstLine="640" w:firstLineChars="200"/>
        <w:rPr>
          <w:rFonts w:ascii="仿宋_GB2312" w:hAnsi="仿宋_GB2312" w:eastAsia="仿宋_GB2312" w:cs="Times New Roman"/>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3"/>
        <w:spacing w:line="560" w:lineRule="exact"/>
        <w:ind w:firstLine="640" w:firstLineChars="200"/>
        <w:rPr>
          <w:rFonts w:ascii="仿宋_GB2312" w:eastAsia="仿宋_GB2312" w:cs="黑体"/>
          <w:sz w:val="32"/>
          <w:szCs w:val="32"/>
        </w:rPr>
      </w:pPr>
    </w:p>
    <w:p>
      <w:pPr>
        <w:spacing w:line="600" w:lineRule="exact"/>
        <w:jc w:val="center"/>
        <w:outlineLvl w:val="0"/>
        <w:rPr>
          <w:rStyle w:val="23"/>
          <w:rFonts w:ascii="黑体" w:hAnsi="黑体" w:eastAsia="黑体"/>
          <w:b w:val="0"/>
        </w:rPr>
      </w:pPr>
      <w:bookmarkStart w:id="109" w:name="_Toc15377226"/>
      <w:r>
        <w:rPr>
          <w:rFonts w:ascii="宋体"/>
          <w:b/>
          <w:color w:val="000000"/>
          <w:sz w:val="44"/>
          <w:szCs w:val="44"/>
        </w:rPr>
        <w:br w:type="page"/>
      </w:r>
      <w:bookmarkStart w:id="110" w:name="_Toc79163630"/>
      <w:bookmarkStart w:id="111" w:name="_Toc15396614"/>
      <w:bookmarkStart w:id="112" w:name="_Toc19397"/>
      <w:r>
        <w:rPr>
          <w:rFonts w:hint="eastAsia" w:ascii="黑体" w:hAnsi="黑体" w:eastAsia="黑体"/>
          <w:color w:val="000000"/>
          <w:sz w:val="44"/>
          <w:szCs w:val="44"/>
        </w:rPr>
        <w:t>第</w:t>
      </w:r>
      <w:r>
        <w:rPr>
          <w:rStyle w:val="23"/>
          <w:rFonts w:hint="eastAsia" w:ascii="黑体" w:hAnsi="黑体" w:eastAsia="黑体"/>
          <w:b w:val="0"/>
        </w:rPr>
        <w:t>四部分附件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2967"/>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576" w:lineRule="exact"/>
        <w:jc w:val="center"/>
        <w:rPr>
          <w:rFonts w:ascii="方正小标宋简体" w:hAnsi="方正小标宋简体" w:eastAsia="方正小标宋简体"/>
          <w:sz w:val="44"/>
          <w:szCs w:val="44"/>
        </w:rPr>
      </w:pPr>
      <w:bookmarkStart w:id="115" w:name="_Toc15396616"/>
      <w:r>
        <w:rPr>
          <w:rFonts w:hint="eastAsia" w:ascii="方正小标宋简体" w:hAnsi="方正小标宋简体" w:eastAsia="方正小标宋简体" w:cs="方正小标宋简体"/>
          <w:sz w:val="44"/>
          <w:szCs w:val="44"/>
        </w:rPr>
        <w:t>县委办</w:t>
      </w:r>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20</w:t>
      </w:r>
      <w:r>
        <w:rPr>
          <w:rFonts w:hint="eastAsia" w:ascii="方正小标宋简体" w:hAnsi="方正小标宋简体" w:eastAsia="方正小标宋简体" w:cs="方正小标宋简体"/>
          <w:sz w:val="44"/>
          <w:szCs w:val="44"/>
        </w:rPr>
        <w:t>年</w:t>
      </w:r>
    </w:p>
    <w:p>
      <w:pPr>
        <w:widowControl/>
        <w:spacing w:line="580" w:lineRule="exact"/>
        <w:ind w:firstLine="880" w:firstLineChars="200"/>
        <w:contextualSpacing/>
        <w:jc w:val="center"/>
        <w:rPr>
          <w:rFonts w:ascii="仿宋_GB2312" w:hAnsi="宋体" w:eastAsia="仿宋_GB2312"/>
          <w:sz w:val="32"/>
          <w:szCs w:val="32"/>
          <w:shd w:val="clear" w:color="auto" w:fill="FFFFFF"/>
        </w:rPr>
      </w:pPr>
      <w:r>
        <w:rPr>
          <w:rFonts w:hint="eastAsia" w:ascii="方正小标宋简体" w:hAnsi="方正小标宋简体" w:eastAsia="方正小标宋简体" w:cs="方正小标宋简体"/>
          <w:sz w:val="44"/>
          <w:szCs w:val="44"/>
        </w:rPr>
        <w:t>部门整体支出绩效评价报告</w:t>
      </w:r>
      <w:bookmarkEnd w:id="115"/>
    </w:p>
    <w:p>
      <w:pPr>
        <w:spacing w:line="576" w:lineRule="exact"/>
        <w:ind w:firstLine="640" w:firstLineChars="200"/>
        <w:rPr>
          <w:rFonts w:ascii="黑体" w:hAnsi="黑体" w:eastAsia="黑体"/>
          <w:sz w:val="32"/>
          <w:szCs w:val="32"/>
        </w:rPr>
      </w:pPr>
      <w:r>
        <w:rPr>
          <w:rFonts w:hint="eastAsia" w:ascii="黑体" w:hAnsi="黑体" w:eastAsia="黑体" w:cs="黑体"/>
          <w:sz w:val="32"/>
          <w:szCs w:val="32"/>
        </w:rPr>
        <w:t>一、部门概况</w:t>
      </w:r>
    </w:p>
    <w:p>
      <w:pPr>
        <w:spacing w:line="576"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（一）机构组成</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本部门下属</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级预算单位</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个，其中内设机构</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val="en-US" w:eastAsia="zh-CN"/>
        </w:rPr>
        <w:t>综合股、秘书一股、秘书二股、政研和信息股、督查室、保密机要股、财务股、后勤股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spacing w:line="576"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（二）机构职能</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负责县委日常文件的处理，负责中央和省、州、县委文件的收发、管理、传递工作；负责中央、省、州、县党委领导同志的批示的转达和催办落实等。</w:t>
      </w:r>
    </w:p>
    <w:p>
      <w:pPr>
        <w:spacing w:line="576"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（三）人员概况</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总编制</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参照公务员法管理的事业编制</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名。现有在职人员总数</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名，其中：行政人员</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名，参照公务员法管理的事业人员</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名，行政工勤人员</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名，事业</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名；退休人员</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人。</w:t>
      </w:r>
    </w:p>
    <w:p>
      <w:pPr>
        <w:spacing w:line="576" w:lineRule="exact"/>
        <w:ind w:firstLine="640" w:firstLineChars="200"/>
        <w:rPr>
          <w:rFonts w:ascii="黑体" w:hAnsi="黑体" w:eastAsia="黑体"/>
          <w:sz w:val="32"/>
          <w:szCs w:val="32"/>
        </w:rPr>
      </w:pPr>
      <w:r>
        <w:rPr>
          <w:rFonts w:hint="eastAsia" w:ascii="黑体" w:hAnsi="黑体" w:eastAsia="黑体" w:cs="黑体"/>
          <w:sz w:val="32"/>
          <w:szCs w:val="32"/>
        </w:rPr>
        <w:t>二、部门财政资金收支情况</w:t>
      </w:r>
    </w:p>
    <w:p>
      <w:pPr>
        <w:spacing w:line="576"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（一）部门财政资金收入情况</w:t>
      </w:r>
    </w:p>
    <w:p>
      <w:pPr>
        <w:spacing w:line="576" w:lineRule="exac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年本部门财政拨款收入决算总额为</w:t>
      </w:r>
      <w:r>
        <w:rPr>
          <w:rFonts w:hint="eastAsia" w:ascii="仿宋_GB2312" w:hAnsi="仿宋_GB2312" w:eastAsia="仿宋_GB2312" w:cs="仿宋_GB2312"/>
          <w:sz w:val="32"/>
          <w:szCs w:val="32"/>
          <w:lang w:val="en-US" w:eastAsia="zh-CN"/>
        </w:rPr>
        <w:t>1341.02</w:t>
      </w:r>
      <w:r>
        <w:rPr>
          <w:rFonts w:hint="eastAsia" w:ascii="仿宋_GB2312" w:hAnsi="仿宋_GB2312" w:eastAsia="仿宋_GB2312" w:cs="仿宋_GB2312"/>
          <w:sz w:val="32"/>
          <w:szCs w:val="32"/>
        </w:rPr>
        <w:t>万元，其中：当年财政拨款收入</w:t>
      </w:r>
      <w:r>
        <w:rPr>
          <w:rFonts w:hint="eastAsia" w:ascii="仿宋_GB2312" w:hAnsi="仿宋_GB2312" w:eastAsia="仿宋_GB2312" w:cs="仿宋_GB2312"/>
          <w:sz w:val="32"/>
          <w:szCs w:val="32"/>
          <w:lang w:val="en-US" w:eastAsia="zh-CN"/>
        </w:rPr>
        <w:t>1341.02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均为一般公共预算财政拨款。</w:t>
      </w:r>
    </w:p>
    <w:p>
      <w:pPr>
        <w:spacing w:line="576"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（二）部门财政资金支出情况</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年本部门财政拨款支出决算总额</w:t>
      </w:r>
      <w:r>
        <w:rPr>
          <w:rFonts w:hint="eastAsia" w:ascii="仿宋_GB2312" w:hAnsi="仿宋_GB2312" w:eastAsia="仿宋_GB2312" w:cs="仿宋_GB2312"/>
          <w:sz w:val="32"/>
          <w:szCs w:val="32"/>
          <w:lang w:val="en-US" w:eastAsia="zh-CN"/>
        </w:rPr>
        <w:t>1341.02</w:t>
      </w:r>
      <w:r>
        <w:rPr>
          <w:rFonts w:hint="eastAsia" w:ascii="仿宋_GB2312" w:hAnsi="仿宋_GB2312" w:eastAsia="仿宋_GB2312" w:cs="仿宋_GB2312"/>
          <w:sz w:val="32"/>
          <w:szCs w:val="32"/>
        </w:rPr>
        <w:t>万元。其中按功能分类，一般公共服务支出</w:t>
      </w:r>
      <w:r>
        <w:rPr>
          <w:rFonts w:hint="eastAsia" w:ascii="仿宋_GB2312" w:hAnsi="仿宋_GB2312" w:eastAsia="仿宋_GB2312" w:cs="仿宋_GB2312"/>
          <w:sz w:val="32"/>
          <w:szCs w:val="32"/>
          <w:lang w:val="en-US" w:eastAsia="zh-CN"/>
        </w:rPr>
        <w:t>1161.04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78.07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医疗卫生与计划生育支出</w:t>
      </w:r>
      <w:r>
        <w:rPr>
          <w:rFonts w:hint="eastAsia" w:ascii="仿宋_GB2312" w:hAnsi="仿宋_GB2312" w:eastAsia="仿宋_GB2312" w:cs="仿宋_GB2312"/>
          <w:sz w:val="32"/>
          <w:szCs w:val="32"/>
          <w:lang w:val="en-US" w:eastAsia="zh-CN"/>
        </w:rPr>
        <w:t>41.74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59.34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农林水支出0.84万元；</w:t>
      </w:r>
      <w:r>
        <w:rPr>
          <w:rFonts w:hint="eastAsia" w:ascii="仿宋_GB2312" w:hAnsi="仿宋_GB2312" w:eastAsia="仿宋_GB2312" w:cs="仿宋_GB2312"/>
          <w:sz w:val="32"/>
          <w:szCs w:val="32"/>
        </w:rPr>
        <w:t>按支出性质分类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基本支出</w:t>
      </w:r>
      <w:r>
        <w:rPr>
          <w:rFonts w:hint="eastAsia" w:ascii="仿宋_GB2312" w:hAnsi="仿宋_GB2312" w:eastAsia="仿宋_GB2312" w:cs="仿宋_GB2312"/>
          <w:sz w:val="32"/>
          <w:szCs w:val="32"/>
          <w:lang w:val="en-US" w:eastAsia="zh-CN"/>
        </w:rPr>
        <w:t>1002.76</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338.26</w:t>
      </w:r>
      <w:r>
        <w:rPr>
          <w:rFonts w:hint="eastAsia" w:ascii="仿宋_GB2312" w:hAnsi="仿宋_GB2312" w:eastAsia="仿宋_GB2312" w:cs="仿宋_GB2312"/>
          <w:sz w:val="32"/>
          <w:szCs w:val="32"/>
        </w:rPr>
        <w:t>万元；按经济分类，工资福利支出</w:t>
      </w:r>
      <w:r>
        <w:rPr>
          <w:rFonts w:hint="eastAsia" w:ascii="仿宋_GB2312" w:hAnsi="仿宋_GB2312" w:eastAsia="仿宋_GB2312" w:cs="仿宋_GB2312"/>
          <w:sz w:val="32"/>
          <w:szCs w:val="32"/>
          <w:lang w:val="en-US" w:eastAsia="zh-CN"/>
        </w:rPr>
        <w:t>691.59</w:t>
      </w:r>
      <w:r>
        <w:rPr>
          <w:rFonts w:hint="eastAsia" w:ascii="仿宋_GB2312" w:hAnsi="仿宋_GB2312" w:eastAsia="仿宋_GB2312" w:cs="仿宋_GB2312"/>
          <w:sz w:val="32"/>
          <w:szCs w:val="32"/>
        </w:rPr>
        <w:t>万元，商品服务支出</w:t>
      </w:r>
      <w:r>
        <w:rPr>
          <w:rFonts w:hint="eastAsia" w:ascii="仿宋_GB2312" w:hAnsi="仿宋_GB2312" w:eastAsia="仿宋_GB2312" w:cs="仿宋_GB2312"/>
          <w:sz w:val="32"/>
          <w:szCs w:val="32"/>
          <w:lang w:val="en-US" w:eastAsia="zh-CN"/>
        </w:rPr>
        <w:t>343.63</w:t>
      </w:r>
      <w:r>
        <w:rPr>
          <w:rFonts w:hint="eastAsia" w:ascii="仿宋_GB2312" w:hAnsi="仿宋_GB2312" w:eastAsia="仿宋_GB2312" w:cs="仿宋_GB2312"/>
          <w:sz w:val="32"/>
          <w:szCs w:val="32"/>
        </w:rPr>
        <w:t>万元，个人及家庭补助支出</w:t>
      </w:r>
      <w:r>
        <w:rPr>
          <w:rFonts w:hint="eastAsia" w:ascii="仿宋_GB2312" w:hAnsi="仿宋_GB2312" w:eastAsia="仿宋_GB2312" w:cs="仿宋_GB2312"/>
          <w:sz w:val="32"/>
          <w:szCs w:val="32"/>
          <w:lang w:val="en-US" w:eastAsia="zh-CN"/>
        </w:rPr>
        <w:t>56.16</w:t>
      </w:r>
      <w:r>
        <w:rPr>
          <w:rFonts w:hint="eastAsia" w:ascii="仿宋_GB2312" w:hAnsi="仿宋_GB2312" w:eastAsia="仿宋_GB2312" w:cs="仿宋_GB2312"/>
          <w:sz w:val="32"/>
          <w:szCs w:val="32"/>
        </w:rPr>
        <w:t>万元，资本性支出</w:t>
      </w:r>
      <w:r>
        <w:rPr>
          <w:rFonts w:hint="eastAsia" w:ascii="仿宋_GB2312" w:hAnsi="仿宋_GB2312" w:eastAsia="仿宋_GB2312" w:cs="仿宋_GB2312"/>
          <w:sz w:val="32"/>
          <w:szCs w:val="32"/>
          <w:lang w:val="en-US" w:eastAsia="zh-CN"/>
        </w:rPr>
        <w:t>249.64</w:t>
      </w:r>
      <w:r>
        <w:rPr>
          <w:rFonts w:hint="eastAsia" w:ascii="仿宋_GB2312" w:hAnsi="仿宋_GB2312" w:eastAsia="仿宋_GB2312" w:cs="仿宋_GB2312"/>
          <w:sz w:val="32"/>
          <w:szCs w:val="32"/>
        </w:rPr>
        <w:t>万元。</w:t>
      </w:r>
    </w:p>
    <w:p>
      <w:pPr>
        <w:spacing w:line="576" w:lineRule="exact"/>
        <w:ind w:firstLine="640" w:firstLineChars="200"/>
        <w:rPr>
          <w:rFonts w:ascii="黑体" w:hAnsi="黑体" w:eastAsia="黑体"/>
          <w:sz w:val="32"/>
          <w:szCs w:val="32"/>
        </w:rPr>
      </w:pPr>
      <w:r>
        <w:rPr>
          <w:rFonts w:hint="eastAsia" w:ascii="黑体" w:hAnsi="黑体" w:eastAsia="黑体" w:cs="黑体"/>
          <w:sz w:val="32"/>
          <w:szCs w:val="32"/>
        </w:rPr>
        <w:t>三、部门整体预算绩效管理情况</w:t>
      </w:r>
    </w:p>
    <w:p>
      <w:pPr>
        <w:spacing w:line="576"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（一）部门预算管理</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我办严格按照县级部门预算编制通知和有关要求，按时完成</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年预算编制工作，并按时提交部门预算草案。按规定编制政府采购预算，预算编制全面、科学。</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年部门决算、绩效目标填报及年末结余结转都是严格按照要求认真完成。</w:t>
      </w:r>
    </w:p>
    <w:p>
      <w:pPr>
        <w:spacing w:line="576" w:lineRule="exact"/>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cs="仿宋_GB2312"/>
          <w:sz w:val="32"/>
          <w:szCs w:val="32"/>
        </w:rPr>
        <w:t>“三公”经费支出</w:t>
      </w:r>
      <w:r>
        <w:rPr>
          <w:rFonts w:hint="eastAsia" w:ascii="仿宋_GB2312" w:hAnsi="仿宋_GB2312" w:eastAsia="仿宋_GB2312" w:cs="仿宋_GB2312"/>
          <w:sz w:val="32"/>
          <w:szCs w:val="32"/>
          <w:lang w:val="en-US" w:eastAsia="zh-CN"/>
        </w:rPr>
        <w:t>101.47</w:t>
      </w:r>
      <w:r>
        <w:rPr>
          <w:rFonts w:hint="eastAsia" w:ascii="仿宋_GB2312" w:hAnsi="仿宋_GB2312" w:eastAsia="仿宋_GB2312" w:cs="仿宋_GB2312"/>
          <w:sz w:val="32"/>
          <w:szCs w:val="32"/>
        </w:rPr>
        <w:t>万元，其中：公务用车购置和维护经费</w:t>
      </w:r>
      <w:r>
        <w:rPr>
          <w:rFonts w:hint="eastAsia" w:ascii="仿宋_GB2312" w:hAnsi="仿宋_GB2312" w:eastAsia="仿宋_GB2312" w:cs="仿宋_GB2312"/>
          <w:sz w:val="32"/>
          <w:szCs w:val="32"/>
          <w:lang w:val="en-US" w:eastAsia="zh-CN"/>
        </w:rPr>
        <w:t>96.69</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4.78</w:t>
      </w:r>
      <w:r>
        <w:rPr>
          <w:rFonts w:hint="eastAsia" w:ascii="仿宋_GB2312" w:hAnsi="仿宋_GB2312" w:eastAsia="仿宋_GB2312" w:cs="仿宋_GB2312"/>
          <w:sz w:val="32"/>
          <w:szCs w:val="32"/>
        </w:rPr>
        <w:t>万元；预算数</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万元，比预算</w:t>
      </w:r>
      <w:r>
        <w:rPr>
          <w:rFonts w:hint="eastAsia" w:ascii="仿宋_GB2312" w:hAnsi="仿宋_GB2312" w:eastAsia="仿宋_GB2312" w:cs="仿宋_GB2312"/>
          <w:sz w:val="32"/>
          <w:szCs w:val="32"/>
          <w:lang w:val="en-US" w:eastAsia="zh-CN"/>
        </w:rPr>
        <w:t>增加53.53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比例为</w:t>
      </w:r>
      <w:r>
        <w:rPr>
          <w:rFonts w:hint="eastAsia" w:ascii="仿宋_GB2312" w:hAnsi="仿宋_GB2312" w:eastAsia="仿宋_GB2312" w:cs="仿宋_GB2312"/>
          <w:sz w:val="32"/>
          <w:szCs w:val="32"/>
          <w:lang w:val="en-US" w:eastAsia="zh-CN"/>
        </w:rPr>
        <w:t>99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其原因是下乡及出差工作量增加，公务用车的使用频率增加，车辆使用年限较长，维修成本增大。</w:t>
      </w:r>
    </w:p>
    <w:p>
      <w:pPr>
        <w:spacing w:line="576"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rPr>
        <w:t>）结果应用情况</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办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厅部门整体绩效管理水平不断提升。</w:t>
      </w:r>
    </w:p>
    <w:p>
      <w:pPr>
        <w:spacing w:line="576" w:lineRule="exact"/>
        <w:ind w:firstLine="640" w:firstLineChars="200"/>
        <w:rPr>
          <w:rFonts w:ascii="黑体" w:hAnsi="黑体" w:eastAsia="黑体"/>
          <w:sz w:val="32"/>
          <w:szCs w:val="32"/>
        </w:rPr>
      </w:pPr>
      <w:r>
        <w:rPr>
          <w:rFonts w:hint="eastAsia" w:ascii="黑体" w:hAnsi="黑体" w:eastAsia="黑体" w:cs="黑体"/>
          <w:sz w:val="32"/>
          <w:szCs w:val="32"/>
        </w:rPr>
        <w:t>四、评价结论及建议</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办对财政资金使用管理情况，认真开展自评工作，撰写部门自评报告。我办财务管理制度健全，执行制度严格合规，会计核算符合相关规定，资金专款专用，资金支付依据和开支标准合法合规，严格执行政府采购。</w:t>
      </w:r>
    </w:p>
    <w:p>
      <w:pPr>
        <w:spacing w:line="576"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（一）评价结论</w:t>
      </w:r>
    </w:p>
    <w:p>
      <w:pPr>
        <w:spacing w:line="576" w:lineRule="exac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年我办部门整体支出绩效评价自查自评结果良好，全年基本支出保证了部门的正常运行和日常工作的正常开展，项目支出保障了重点工作的开展，达到预期绩效目标。</w:t>
      </w:r>
    </w:p>
    <w:p>
      <w:pPr>
        <w:spacing w:line="576"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（二）存在问题</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预算编制需进一步细化，绩效目标设定有待更科学更合理。</w:t>
      </w:r>
    </w:p>
    <w:p>
      <w:pPr>
        <w:spacing w:line="576" w:lineRule="exac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（三）改进建议</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针对存在的问题，我们将进一步科学设定绩效目标，加强预算执行管理。遵循先有预算、后有支出的原则，加强新《预算法》、《行政单位会计制度》等学习培训，规范部门预算收支核算；加强财务管理和内部控制监督制度。</w:t>
      </w:r>
    </w:p>
    <w:p>
      <w:pPr>
        <w:spacing w:line="576" w:lineRule="exact"/>
        <w:ind w:firstLine="640" w:firstLineChars="200"/>
        <w:rPr>
          <w:rFonts w:ascii="宋体"/>
          <w:b/>
          <w:bCs/>
          <w:color w:val="000000"/>
          <w:kern w:val="0"/>
          <w:sz w:val="28"/>
          <w:szCs w:val="28"/>
        </w:rPr>
        <w:sectPr>
          <w:headerReference r:id="rId3" w:type="default"/>
          <w:footerReference r:id="rId4" w:type="default"/>
          <w:pgSz w:w="11906" w:h="16838"/>
          <w:pgMar w:top="1440" w:right="1474" w:bottom="1440" w:left="1587" w:header="851" w:footer="992" w:gutter="0"/>
          <w:cols w:space="720" w:num="1"/>
          <w:docGrid w:type="lines" w:linePitch="312" w:charSpace="0"/>
        </w:sectPr>
      </w:pPr>
      <w:r>
        <w:rPr>
          <w:rFonts w:hint="eastAsia" w:ascii="仿宋_GB2312" w:hAnsi="仿宋_GB2312" w:eastAsia="仿宋_GB2312" w:cs="仿宋_GB2312"/>
          <w:sz w:val="32"/>
          <w:szCs w:val="32"/>
        </w:rPr>
        <w:t>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widowControl/>
        <w:adjustRightInd w:val="0"/>
        <w:snapToGrid w:val="0"/>
        <w:spacing w:line="580" w:lineRule="exact"/>
        <w:contextualSpacing/>
        <w:jc w:val="left"/>
        <w:rPr>
          <w:rFonts w:ascii="黑体" w:hAnsi="宋体" w:eastAsia="黑体" w:cs="宋体"/>
          <w:color w:val="000000"/>
          <w:kern w:val="0"/>
          <w:sz w:val="24"/>
          <w:szCs w:val="32"/>
          <w:shd w:val="clear" w:color="auto" w:fill="FFFFFF"/>
        </w:rPr>
      </w:pPr>
    </w:p>
    <w:p/>
    <w:p>
      <w:pPr>
        <w:widowControl/>
        <w:ind w:firstLine="2640" w:firstLineChars="600"/>
        <w:jc w:val="left"/>
        <w:rPr>
          <w:rStyle w:val="23"/>
          <w:rFonts w:ascii="黑体" w:hAnsi="黑体" w:eastAsia="黑体"/>
          <w:b w:val="0"/>
        </w:rPr>
      </w:pPr>
      <w:bookmarkStart w:id="116" w:name="_Toc79163635"/>
      <w:bookmarkStart w:id="117" w:name="_Toc15396618"/>
      <w:r>
        <w:rPr>
          <w:rFonts w:hint="eastAsia" w:ascii="黑体" w:hAnsi="黑体" w:eastAsia="黑体"/>
          <w:color w:val="000000"/>
          <w:sz w:val="44"/>
          <w:szCs w:val="44"/>
        </w:rPr>
        <w:t>第</w:t>
      </w:r>
      <w:r>
        <w:rPr>
          <w:rStyle w:val="23"/>
          <w:rFonts w:hint="eastAsia" w:ascii="黑体" w:hAnsi="黑体" w:eastAsia="黑体"/>
          <w:b w:val="0"/>
        </w:rPr>
        <w:t>五部分附表</w:t>
      </w:r>
      <w:bookmarkEnd w:id="109"/>
      <w:bookmarkEnd w:id="116"/>
      <w:bookmarkEnd w:id="117"/>
    </w:p>
    <w:p>
      <w:pPr>
        <w:pStyle w:val="3"/>
        <w:rPr>
          <w:rFonts w:ascii="仿宋" w:hAnsi="仿宋" w:eastAsia="仿宋"/>
          <w:color w:val="000000"/>
        </w:rPr>
      </w:pPr>
      <w:bookmarkStart w:id="118" w:name="_Toc79163636"/>
      <w:bookmarkStart w:id="119" w:name="_Toc15396619"/>
      <w:bookmarkStart w:id="120" w:name="_Toc31615"/>
      <w:r>
        <w:rPr>
          <w:rFonts w:hint="eastAsia" w:ascii="仿宋" w:hAnsi="仿宋" w:eastAsia="仿宋"/>
          <w:b w:val="0"/>
          <w:color w:val="000000"/>
        </w:rPr>
        <w:t>一、收</w:t>
      </w:r>
      <w:r>
        <w:rPr>
          <w:rStyle w:val="24"/>
          <w:rFonts w:hint="eastAsia" w:ascii="仿宋" w:hAnsi="仿宋" w:eastAsia="仿宋"/>
          <w:b w:val="0"/>
          <w:bCs w:val="0"/>
        </w:rPr>
        <w:t>入支出决算总表</w:t>
      </w:r>
      <w:bookmarkEnd w:id="118"/>
      <w:bookmarkEnd w:id="119"/>
      <w:bookmarkEnd w:id="120"/>
    </w:p>
    <w:p>
      <w:pPr>
        <w:pStyle w:val="3"/>
        <w:rPr>
          <w:rFonts w:ascii="仿宋" w:hAnsi="仿宋" w:eastAsia="仿宋"/>
          <w:color w:val="000000"/>
        </w:rPr>
      </w:pPr>
      <w:bookmarkStart w:id="121" w:name="_Toc79163637"/>
      <w:bookmarkStart w:id="122" w:name="_Toc6178"/>
      <w:bookmarkStart w:id="123" w:name="_Toc15396620"/>
      <w:r>
        <w:rPr>
          <w:rFonts w:hint="eastAsia" w:ascii="仿宋" w:hAnsi="仿宋" w:eastAsia="仿宋"/>
          <w:b w:val="0"/>
          <w:color w:val="000000"/>
        </w:rPr>
        <w:t>二、收</w:t>
      </w:r>
      <w:r>
        <w:rPr>
          <w:rStyle w:val="24"/>
          <w:rFonts w:hint="eastAsia" w:ascii="仿宋" w:hAnsi="仿宋" w:eastAsia="仿宋"/>
          <w:b w:val="0"/>
          <w:bCs w:val="0"/>
        </w:rPr>
        <w:t>入决算表</w:t>
      </w:r>
      <w:bookmarkEnd w:id="121"/>
      <w:bookmarkEnd w:id="122"/>
      <w:bookmarkEnd w:id="123"/>
    </w:p>
    <w:p>
      <w:pPr>
        <w:pStyle w:val="3"/>
        <w:rPr>
          <w:rFonts w:ascii="仿宋" w:hAnsi="仿宋" w:eastAsia="仿宋"/>
          <w:color w:val="000000"/>
        </w:rPr>
      </w:pPr>
      <w:bookmarkStart w:id="124" w:name="_Toc15396621"/>
      <w:bookmarkStart w:id="125" w:name="_Toc79163638"/>
      <w:bookmarkStart w:id="126" w:name="_Toc19925"/>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24"/>
      <w:bookmarkEnd w:id="125"/>
      <w:bookmarkEnd w:id="126"/>
    </w:p>
    <w:p>
      <w:pPr>
        <w:pStyle w:val="3"/>
        <w:rPr>
          <w:rFonts w:ascii="仿宋" w:hAnsi="仿宋" w:eastAsia="仿宋"/>
          <w:b w:val="0"/>
          <w:color w:val="000000"/>
        </w:rPr>
      </w:pPr>
      <w:bookmarkStart w:id="127" w:name="_Toc22490"/>
      <w:bookmarkStart w:id="128" w:name="_Toc79163639"/>
      <w:bookmarkStart w:id="129" w:name="_Toc15396622"/>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27"/>
      <w:bookmarkEnd w:id="128"/>
      <w:bookmarkEnd w:id="129"/>
    </w:p>
    <w:p>
      <w:pPr>
        <w:pStyle w:val="3"/>
        <w:rPr>
          <w:rStyle w:val="24"/>
          <w:rFonts w:ascii="仿宋" w:hAnsi="仿宋" w:eastAsia="仿宋"/>
          <w:b w:val="0"/>
          <w:bCs w:val="0"/>
        </w:rPr>
      </w:pPr>
      <w:bookmarkStart w:id="130" w:name="_Toc79163640"/>
      <w:bookmarkStart w:id="131" w:name="_Toc3741"/>
      <w:bookmarkStart w:id="132" w:name="_Toc15396623"/>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0"/>
      <w:bookmarkEnd w:id="131"/>
      <w:bookmarkEnd w:id="132"/>
      <w:bookmarkStart w:id="133" w:name="_Toc15396624"/>
    </w:p>
    <w:p>
      <w:pPr>
        <w:pStyle w:val="3"/>
        <w:rPr>
          <w:rFonts w:ascii="仿宋" w:hAnsi="仿宋" w:eastAsia="仿宋"/>
          <w:color w:val="000000"/>
        </w:rPr>
      </w:pPr>
      <w:bookmarkStart w:id="134" w:name="_Toc10577"/>
      <w:bookmarkStart w:id="135" w:name="_Toc7916364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3"/>
      <w:bookmarkEnd w:id="134"/>
      <w:bookmarkEnd w:id="135"/>
    </w:p>
    <w:p>
      <w:pPr>
        <w:pStyle w:val="3"/>
        <w:rPr>
          <w:rFonts w:ascii="仿宋" w:hAnsi="仿宋" w:eastAsia="仿宋"/>
          <w:color w:val="000000"/>
        </w:rPr>
      </w:pPr>
      <w:bookmarkStart w:id="136" w:name="_Toc79163642"/>
      <w:bookmarkStart w:id="137" w:name="_Toc15396625"/>
      <w:bookmarkStart w:id="138" w:name="_Toc9195"/>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36"/>
      <w:bookmarkEnd w:id="137"/>
      <w:bookmarkEnd w:id="138"/>
    </w:p>
    <w:p>
      <w:pPr>
        <w:pStyle w:val="3"/>
        <w:rPr>
          <w:rFonts w:ascii="仿宋" w:hAnsi="仿宋" w:eastAsia="仿宋"/>
          <w:color w:val="000000"/>
        </w:rPr>
      </w:pPr>
      <w:bookmarkStart w:id="139" w:name="_Toc31981"/>
      <w:bookmarkStart w:id="140" w:name="_Toc15396626"/>
      <w:bookmarkStart w:id="141" w:name="_Toc7916364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39"/>
      <w:bookmarkEnd w:id="140"/>
      <w:bookmarkEnd w:id="141"/>
    </w:p>
    <w:p>
      <w:pPr>
        <w:pStyle w:val="3"/>
        <w:rPr>
          <w:rFonts w:ascii="仿宋" w:hAnsi="仿宋" w:eastAsia="仿宋"/>
          <w:color w:val="000000"/>
        </w:rPr>
      </w:pPr>
      <w:bookmarkStart w:id="142" w:name="_Toc15396627"/>
      <w:bookmarkStart w:id="143" w:name="_Toc79163644"/>
      <w:bookmarkStart w:id="144" w:name="_Toc23721"/>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2"/>
      <w:bookmarkEnd w:id="143"/>
      <w:bookmarkEnd w:id="144"/>
    </w:p>
    <w:p>
      <w:pPr>
        <w:pStyle w:val="3"/>
        <w:rPr>
          <w:rFonts w:ascii="仿宋" w:hAnsi="仿宋" w:eastAsia="仿宋"/>
          <w:color w:val="000000"/>
        </w:rPr>
      </w:pPr>
      <w:bookmarkStart w:id="145" w:name="_Toc28064"/>
      <w:bookmarkStart w:id="146" w:name="_Toc79163645"/>
      <w:bookmarkStart w:id="147" w:name="_Toc15396628"/>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45"/>
      <w:bookmarkEnd w:id="146"/>
      <w:bookmarkEnd w:id="147"/>
    </w:p>
    <w:p>
      <w:pPr>
        <w:pStyle w:val="3"/>
        <w:rPr>
          <w:rFonts w:ascii="仿宋" w:hAnsi="仿宋" w:eastAsia="仿宋"/>
          <w:color w:val="000000"/>
        </w:rPr>
      </w:pPr>
      <w:bookmarkStart w:id="148" w:name="_Toc6376"/>
      <w:bookmarkStart w:id="149" w:name="_Toc15396629"/>
      <w:bookmarkStart w:id="150" w:name="_Toc79163646"/>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48"/>
      <w:bookmarkEnd w:id="149"/>
      <w:bookmarkEnd w:id="150"/>
    </w:p>
    <w:p>
      <w:pPr>
        <w:pStyle w:val="3"/>
        <w:rPr>
          <w:rFonts w:ascii="仿宋" w:hAnsi="仿宋" w:eastAsia="仿宋"/>
          <w:color w:val="000000"/>
        </w:rPr>
      </w:pPr>
      <w:bookmarkStart w:id="151" w:name="_Toc15396630"/>
      <w:bookmarkStart w:id="152" w:name="_Toc28795"/>
      <w:bookmarkStart w:id="153" w:name="_Toc79163647"/>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51"/>
      <w:bookmarkEnd w:id="152"/>
      <w:bookmarkEnd w:id="153"/>
    </w:p>
    <w:p>
      <w:pPr>
        <w:pStyle w:val="3"/>
        <w:rPr>
          <w:rStyle w:val="24"/>
          <w:rFonts w:ascii="仿宋" w:hAnsi="仿宋" w:eastAsia="仿宋"/>
          <w:b w:val="0"/>
          <w:bCs w:val="0"/>
        </w:rPr>
      </w:pPr>
      <w:bookmarkStart w:id="154" w:name="_Toc15396631"/>
      <w:bookmarkStart w:id="155" w:name="_Toc16815"/>
      <w:bookmarkStart w:id="156" w:name="_Toc79163648"/>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54"/>
      <w:bookmarkEnd w:id="155"/>
      <w:bookmarkEnd w:id="156"/>
    </w:p>
    <w:p>
      <w:pPr>
        <w:pStyle w:val="3"/>
        <w:rPr>
          <w:rStyle w:val="24"/>
          <w:rFonts w:ascii="仿宋" w:hAnsi="仿宋" w:eastAsia="仿宋"/>
          <w:b w:val="0"/>
          <w:bCs w:val="0"/>
        </w:rPr>
      </w:pPr>
      <w:bookmarkStart w:id="157" w:name="_Toc22970"/>
      <w:bookmarkStart w:id="158" w:name="_Toc79163649"/>
      <w:r>
        <w:rPr>
          <w:rStyle w:val="24"/>
          <w:rFonts w:hint="eastAsia" w:ascii="仿宋" w:hAnsi="仿宋" w:eastAsia="仿宋"/>
          <w:b w:val="0"/>
          <w:bCs w:val="0"/>
        </w:rPr>
        <w:t>十四、国有资本经营预算财政拨款支出决算表</w:t>
      </w:r>
      <w:bookmarkEnd w:id="157"/>
      <w:bookmarkEnd w:id="158"/>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等线">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26</w:t>
    </w:r>
    <w: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6</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76BF"/>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C0BF4"/>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29A5"/>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27C1B"/>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9721508"/>
    <w:rsid w:val="0A2032A3"/>
    <w:rsid w:val="0D5A36E0"/>
    <w:rsid w:val="0E2841A9"/>
    <w:rsid w:val="10013AD5"/>
    <w:rsid w:val="10402D24"/>
    <w:rsid w:val="10C055FF"/>
    <w:rsid w:val="118107EC"/>
    <w:rsid w:val="168B409E"/>
    <w:rsid w:val="16BB723D"/>
    <w:rsid w:val="19375DEE"/>
    <w:rsid w:val="1BAD00FE"/>
    <w:rsid w:val="1D155CEE"/>
    <w:rsid w:val="1D6A1849"/>
    <w:rsid w:val="240371BF"/>
    <w:rsid w:val="29FD04D3"/>
    <w:rsid w:val="319F7F4E"/>
    <w:rsid w:val="371B4DD8"/>
    <w:rsid w:val="3C223697"/>
    <w:rsid w:val="45B028F2"/>
    <w:rsid w:val="4A441C1F"/>
    <w:rsid w:val="4D8E1974"/>
    <w:rsid w:val="4ECE2238"/>
    <w:rsid w:val="53764382"/>
    <w:rsid w:val="622A56AE"/>
    <w:rsid w:val="626F4C16"/>
    <w:rsid w:val="64DF2893"/>
    <w:rsid w:val="650A1E02"/>
    <w:rsid w:val="67BB3AE3"/>
    <w:rsid w:val="694E4B62"/>
    <w:rsid w:val="6C4A05C8"/>
    <w:rsid w:val="6FE5564B"/>
    <w:rsid w:val="72734D90"/>
    <w:rsid w:val="733E44B0"/>
    <w:rsid w:val="798A6328"/>
    <w:rsid w:val="DBDB9E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qFormat/>
    <w:uiPriority w:val="0"/>
    <w:pPr>
      <w:spacing w:beforeAutospacing="1" w:afterAutospacing="1"/>
    </w:pPr>
    <w:rPr>
      <w:rFonts w:cs="Times New Roman"/>
      <w:sz w:val="24"/>
      <w:lang w:eastAsia="zh-CN" w:bidi="ar-SA"/>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chart" Target="charts/chart2.xml"/><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7.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196881092"/>
          <c:y val="0.0088963963963964"/>
          <c:w val="0.862378167641326"/>
          <c:h val="0.826013513513513"/>
        </c:manualLayout>
      </c:layout>
      <c:barChart>
        <c:barDir val="col"/>
        <c:grouping val="clustered"/>
        <c:varyColors val="0"/>
        <c:ser>
          <c:idx val="0"/>
          <c:order val="0"/>
          <c:tx>
            <c:strRef>
              <c:f>Sheet1!$B$1</c:f>
              <c:strCache>
                <c:ptCount val="1"/>
                <c:pt idx="0">
                  <c:v>金额</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c:v>
                </c:pt>
                <c:pt idx="1">
                  <c:v>2020年</c:v>
                </c:pt>
              </c:strCache>
            </c:strRef>
          </c:cat>
          <c:val>
            <c:numRef>
              <c:f>Sheet1!$B$2:$B$3</c:f>
              <c:numCache>
                <c:formatCode>General</c:formatCode>
                <c:ptCount val="2"/>
                <c:pt idx="0">
                  <c:v>1200.9</c:v>
                </c:pt>
                <c:pt idx="1">
                  <c:v>1341.02</c:v>
                </c:pt>
              </c:numCache>
            </c:numRef>
          </c:val>
        </c:ser>
        <c:dLbls>
          <c:showLegendKey val="0"/>
          <c:showVal val="1"/>
          <c:showCatName val="0"/>
          <c:showSerName val="0"/>
          <c:showPercent val="0"/>
          <c:showBubbleSize val="0"/>
        </c:dLbls>
        <c:gapWidth val="75"/>
        <c:axId val="60139776"/>
        <c:axId val="60160256"/>
      </c:barChart>
      <c:catAx>
        <c:axId val="601397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60256"/>
        <c:crosses val="autoZero"/>
        <c:auto val="1"/>
        <c:lblAlgn val="ctr"/>
        <c:lblOffset val="100"/>
        <c:noMultiLvlLbl val="0"/>
      </c:catAx>
      <c:valAx>
        <c:axId val="6016025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3977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196881092"/>
          <c:y val="0.0088963963963964"/>
          <c:w val="0.862378167641326"/>
          <c:h val="0.826013513513513"/>
        </c:manualLayout>
      </c:layout>
      <c:barChart>
        <c:barDir val="col"/>
        <c:grouping val="clustered"/>
        <c:varyColors val="0"/>
        <c:ser>
          <c:idx val="0"/>
          <c:order val="0"/>
          <c:tx>
            <c:strRef>
              <c:f>Sheet1!$B$1</c:f>
              <c:strCache>
                <c:ptCount val="1"/>
                <c:pt idx="0">
                  <c:v>金额</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2019年</c:v>
                </c:pt>
                <c:pt idx="1">
                  <c:v>2020年</c:v>
                </c:pt>
              </c:strCache>
            </c:strRef>
          </c:cat>
          <c:val>
            <c:numRef>
              <c:f>Sheet1!$B$2:$B$3</c:f>
              <c:numCache>
                <c:formatCode>General</c:formatCode>
                <c:ptCount val="2"/>
                <c:pt idx="0">
                  <c:v>1200.9</c:v>
                </c:pt>
                <c:pt idx="1">
                  <c:v>1341.02</c:v>
                </c:pt>
              </c:numCache>
            </c:numRef>
          </c:val>
        </c:ser>
        <c:dLbls>
          <c:showLegendKey val="0"/>
          <c:showVal val="1"/>
          <c:showCatName val="0"/>
          <c:showSerName val="0"/>
          <c:showPercent val="0"/>
          <c:showBubbleSize val="0"/>
        </c:dLbls>
        <c:gapWidth val="75"/>
        <c:axId val="60139776"/>
        <c:axId val="60160256"/>
      </c:barChart>
      <c:catAx>
        <c:axId val="601397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60256"/>
        <c:crosses val="autoZero"/>
        <c:auto val="1"/>
        <c:lblAlgn val="ctr"/>
        <c:lblOffset val="100"/>
        <c:noMultiLvlLbl val="0"/>
      </c:catAx>
      <c:valAx>
        <c:axId val="6016025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3977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explosion val="0"/>
          <c:dPt>
            <c:idx val="0"/>
            <c:bubble3D val="0"/>
          </c:dPt>
          <c:dPt>
            <c:idx val="1"/>
            <c:bubble3D val="0"/>
          </c:dPt>
          <c:dPt>
            <c:idx val="2"/>
            <c:bubble3D val="0"/>
          </c:dPt>
          <c:dPt>
            <c:idx val="3"/>
            <c:bubble3D val="0"/>
          </c:dPt>
          <c:dPt>
            <c:idx val="4"/>
            <c:bubble3D val="0"/>
            <c:explosion val="0"/>
          </c:dPt>
          <c:dLbls>
            <c:delete val="1"/>
          </c:dLbls>
          <c:cat>
            <c:strRef>
              <c:f>Sheet1!$A$2:$A$6</c:f>
              <c:strCache>
                <c:ptCount val="5"/>
                <c:pt idx="0">
                  <c:v>一般公共服务支出86.6%</c:v>
                </c:pt>
                <c:pt idx="1">
                  <c:v>社会保障和就业支出5.8%</c:v>
                </c:pt>
                <c:pt idx="2">
                  <c:v>卫生健康支出3.1%</c:v>
                </c:pt>
                <c:pt idx="3">
                  <c:v>住房保障支出4.4%</c:v>
                </c:pt>
                <c:pt idx="4">
                  <c:v>农林水支出0.006%</c:v>
                </c:pt>
              </c:strCache>
            </c:strRef>
          </c:cat>
          <c:val>
            <c:numRef>
              <c:f>Sheet1!$B$2:$B$6</c:f>
              <c:numCache>
                <c:formatCode>General</c:formatCode>
                <c:ptCount val="5"/>
                <c:pt idx="0">
                  <c:v>1161.04</c:v>
                </c:pt>
                <c:pt idx="1">
                  <c:v>78.07</c:v>
                </c:pt>
                <c:pt idx="2">
                  <c:v>41.74</c:v>
                </c:pt>
                <c:pt idx="3">
                  <c:v>59.34</c:v>
                </c:pt>
                <c:pt idx="4">
                  <c:v>0.84</c:v>
                </c:pt>
              </c:numCache>
            </c:numRef>
          </c:val>
        </c:ser>
        <c:ser>
          <c:idx val="1"/>
          <c:order val="1"/>
          <c:tx>
            <c:strRef>
              <c:f>Sheet1!#REF!</c:f>
              <c:strCache>
                <c:ptCount val="1"/>
                <c:pt idx="0">
                  <c:v/>
                </c:pt>
              </c:strCache>
            </c:strRef>
          </c:tx>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一般公共服务支出86.6%</c:v>
                </c:pt>
                <c:pt idx="1">
                  <c:v>社会保障和就业支出5.8%</c:v>
                </c:pt>
                <c:pt idx="2">
                  <c:v>卫生健康支出3.1%</c:v>
                </c:pt>
                <c:pt idx="3">
                  <c:v>住房保障支出4.4%</c:v>
                </c:pt>
                <c:pt idx="4">
                  <c:v>农林水支出0.006%</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7641310614558"/>
          <c:y val="0.0841256735616201"/>
          <c:w val="0.318076239923487"/>
          <c:h val="0.86161567877629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95.2</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058980171678178"/>
                  <c:y val="0.13257384813805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4.8</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96.69</c:v>
                </c:pt>
                <c:pt idx="1">
                  <c:v>4.78</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47695638725642"/>
          <c:y val="0.091141396933560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8"/>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1624</Words>
  <Characters>9257</Characters>
  <Lines>77</Lines>
  <Paragraphs>21</Paragraphs>
  <TotalTime>18</TotalTime>
  <ScaleCrop>false</ScaleCrop>
  <LinksUpToDate>false</LinksUpToDate>
  <CharactersWithSpaces>10860</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2021-09-24T10:32:00Z</cp:lastPrinted>
  <dcterms:modified xsi:type="dcterms:W3CDTF">2026-04-22T10:45:04Z</dcterms:modified>
  <dc:title>阿坝州部门决算说明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B9B8ECBBD15D4F3EB088E7CA6155C0FC</vt:lpwstr>
  </property>
</Properties>
</file>