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heme="minorEastAsia" w:hAnsiTheme="minorEastAsia" w:eastAsiaTheme="minorEastAsia"/>
          <w:b/>
          <w:sz w:val="72"/>
          <w:szCs w:val="72"/>
        </w:rPr>
      </w:pPr>
      <w:bookmarkStart w:id="0" w:name="_Toc15378441"/>
      <w:bookmarkStart w:id="1" w:name="_Toc15377425"/>
      <w:bookmarkStart w:id="2" w:name="_Toc15377193"/>
      <w:bookmarkStart w:id="3" w:name="_Toc15396475"/>
      <w:bookmarkStart w:id="4" w:name="_Toc15396597"/>
      <w:bookmarkStart w:id="5" w:name="_Toc15306267"/>
    </w:p>
    <w:p>
      <w:pPr>
        <w:pStyle w:val="2"/>
        <w:ind w:firstLine="0"/>
      </w:pPr>
    </w:p>
    <w:p>
      <w:pPr>
        <w:jc w:val="center"/>
        <w:rPr>
          <w:rFonts w:asciiTheme="minorEastAsia" w:hAnsiTheme="minorEastAsia" w:eastAsiaTheme="minorEastAsia"/>
          <w:b/>
          <w:sz w:val="72"/>
          <w:szCs w:val="72"/>
        </w:rPr>
      </w:pPr>
      <w:r>
        <w:rPr>
          <w:rFonts w:hint="eastAsia" w:asciiTheme="minorEastAsia" w:hAnsiTheme="minorEastAsia" w:eastAsiaTheme="minorEastAsia"/>
          <w:b/>
          <w:sz w:val="72"/>
          <w:szCs w:val="72"/>
        </w:rPr>
        <w:t>2021年度</w:t>
      </w:r>
      <w:bookmarkEnd w:id="0"/>
      <w:bookmarkEnd w:id="1"/>
      <w:bookmarkEnd w:id="2"/>
      <w:bookmarkEnd w:id="3"/>
      <w:bookmarkEnd w:id="4"/>
    </w:p>
    <w:bookmarkEnd w:id="5"/>
    <w:p>
      <w:pPr>
        <w:jc w:val="center"/>
        <w:rPr>
          <w:rFonts w:asciiTheme="minorEastAsia" w:hAnsiTheme="minorEastAsia" w:eastAsiaTheme="minorEastAsia"/>
          <w:b/>
          <w:sz w:val="72"/>
          <w:szCs w:val="72"/>
        </w:rPr>
      </w:pPr>
      <w:bookmarkStart w:id="6" w:name="_Toc15378442"/>
      <w:bookmarkStart w:id="7" w:name="_Toc15396476"/>
      <w:bookmarkStart w:id="8" w:name="_Toc15377194"/>
      <w:bookmarkStart w:id="9" w:name="_Toc15377426"/>
      <w:bookmarkStart w:id="10" w:name="_Toc15306268"/>
      <w:bookmarkStart w:id="11" w:name="_Toc15396598"/>
      <w:r>
        <w:rPr>
          <w:rFonts w:asciiTheme="minorEastAsia" w:hAnsiTheme="minorEastAsia" w:eastAsiaTheme="minorEastAsia"/>
          <w:b/>
          <w:sz w:val="72"/>
          <w:szCs w:val="72"/>
        </w:rPr>
        <w:t>阿坝州茂县县委办公室信息中心</w:t>
      </w:r>
      <w:r>
        <w:rPr>
          <w:rFonts w:hint="eastAsia" w:asciiTheme="minorEastAsia" w:hAnsiTheme="minorEastAsia" w:eastAsiaTheme="minorEastAsia"/>
          <w:b/>
          <w:sz w:val="72"/>
          <w:szCs w:val="72"/>
        </w:rPr>
        <w:t>部门决算</w:t>
      </w:r>
      <w:bookmarkEnd w:id="6"/>
      <w:bookmarkEnd w:id="7"/>
      <w:bookmarkEnd w:id="8"/>
      <w:bookmarkEnd w:id="9"/>
      <w:bookmarkEnd w:id="10"/>
      <w:bookmarkEnd w:id="11"/>
      <w:r>
        <w:rPr>
          <w:rFonts w:hint="eastAsia" w:asciiTheme="minorEastAsia" w:hAnsiTheme="minorEastAsia" w:eastAsiaTheme="minorEastAsia"/>
          <w:b/>
          <w:sz w:val="72"/>
          <w:szCs w:val="72"/>
        </w:rPr>
        <w:t>编制说明</w: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tabs>
          <w:tab w:val="left" w:pos="3600"/>
        </w:tabs>
      </w:pPr>
      <w:r>
        <w:tab/>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bookmarkStart w:id="12" w:name="_Toc15377196"/>
    </w:p>
    <w:p>
      <w:pPr>
        <w:pStyle w:val="12"/>
        <w:rPr>
          <w:rFonts w:asciiTheme="minorHAnsi" w:hAnsiTheme="minorHAnsi" w:eastAsiaTheme="minorEastAsia" w:cstheme="minorBidi"/>
          <w:sz w:val="21"/>
          <w:szCs w:val="22"/>
        </w:rPr>
      </w:pPr>
      <w:r>
        <w:rPr>
          <w:smallCaps/>
          <w:sz w:val="20"/>
          <w:szCs w:val="20"/>
        </w:rPr>
        <w:fldChar w:fldCharType="begin"/>
      </w:r>
      <w:r>
        <w:rPr>
          <w:smallCaps/>
          <w:sz w:val="20"/>
          <w:szCs w:val="20"/>
        </w:rPr>
        <w:instrText xml:space="preserve"> TOC \o "1-2" \h \z \u </w:instrText>
      </w:r>
      <w:r>
        <w:rPr>
          <w:smallCaps/>
          <w:sz w:val="20"/>
          <w:szCs w:val="20"/>
        </w:rPr>
        <w:fldChar w:fldCharType="separate"/>
      </w:r>
      <w:r>
        <w:fldChar w:fldCharType="begin"/>
      </w:r>
      <w:r>
        <w:instrText xml:space="preserve"> HYPERLINK \l "_Toc113981009" </w:instrText>
      </w:r>
      <w:r>
        <w:fldChar w:fldCharType="separate"/>
      </w:r>
      <w:r>
        <w:rPr>
          <w:rStyle w:val="18"/>
          <w:rFonts w:ascii="黑体" w:hAnsi="黑体" w:eastAsia="黑体" w:cs="黑体"/>
        </w:rPr>
        <w:t>第一部分 部门概况</w:t>
      </w:r>
      <w:r>
        <w:tab/>
      </w:r>
      <w:r>
        <w:fldChar w:fldCharType="begin"/>
      </w:r>
      <w:r>
        <w:instrText xml:space="preserve"> PAGEREF _Toc113981009 \h </w:instrText>
      </w:r>
      <w:r>
        <w:fldChar w:fldCharType="separate"/>
      </w:r>
      <w:r>
        <w:t>3</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"_Toc113981010" </w:instrText>
      </w:r>
      <w:r>
        <w:fldChar w:fldCharType="separate"/>
      </w:r>
      <w:r>
        <w:rPr>
          <w:rStyle w:val="18"/>
          <w:rFonts w:ascii="黑体" w:eastAsia="黑体"/>
        </w:rPr>
        <w:t>一、基本职能及主要工作</w:t>
      </w:r>
      <w:r>
        <w:tab/>
      </w:r>
      <w:r>
        <w:fldChar w:fldCharType="begin"/>
      </w:r>
      <w:r>
        <w:instrText xml:space="preserve"> PAGEREF _Toc113981010 \h </w:instrText>
      </w:r>
      <w:r>
        <w:fldChar w:fldCharType="separate"/>
      </w:r>
      <w:r>
        <w:t>3</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"_Toc113981011" </w:instrText>
      </w:r>
      <w:r>
        <w:fldChar w:fldCharType="separate"/>
      </w:r>
      <w:r>
        <w:rPr>
          <w:rStyle w:val="18"/>
          <w:rFonts w:ascii="黑体" w:eastAsia="黑体"/>
        </w:rPr>
        <w:t>二、机构设置</w:t>
      </w:r>
      <w:r>
        <w:tab/>
      </w:r>
      <w:r>
        <w:fldChar w:fldCharType="begin"/>
      </w:r>
      <w:r>
        <w:instrText xml:space="preserve"> PAGEREF _Toc113981011 \h </w:instrText>
      </w:r>
      <w:r>
        <w:fldChar w:fldCharType="separate"/>
      </w:r>
      <w:r>
        <w:t>3</w:t>
      </w:r>
      <w:r>
        <w:fldChar w:fldCharType="end"/>
      </w:r>
      <w:r>
        <w:fldChar w:fldCharType="end"/>
      </w:r>
    </w:p>
    <w:p>
      <w:pPr>
        <w:pStyle w:val="12"/>
        <w:rPr>
          <w:rFonts w:asciiTheme="minorHAnsi" w:hAnsiTheme="minorHAnsi" w:eastAsiaTheme="minorEastAsia" w:cstheme="minorBidi"/>
          <w:sz w:val="21"/>
          <w:szCs w:val="22"/>
        </w:rPr>
      </w:pPr>
      <w:r>
        <w:fldChar w:fldCharType="begin"/>
      </w:r>
      <w:r>
        <w:instrText xml:space="preserve"> HYPERLINK \l "_Toc113981012" </w:instrText>
      </w:r>
      <w:r>
        <w:fldChar w:fldCharType="separate"/>
      </w:r>
      <w:r>
        <w:rPr>
          <w:rStyle w:val="18"/>
          <w:rFonts w:hint="eastAsia" w:ascii="黑体" w:hAnsi="黑体" w:eastAsia="黑体" w:cs="黑体"/>
        </w:rPr>
        <w:t>第二部分</w:t>
      </w:r>
      <w:r>
        <w:rPr>
          <w:rStyle w:val="18"/>
          <w:rFonts w:ascii="黑体" w:hAnsi="黑体" w:eastAsia="黑体" w:cs="黑体"/>
        </w:rPr>
        <w:t xml:space="preserve"> 2021年度部门决算情况说明</w:t>
      </w:r>
      <w:r>
        <w:tab/>
      </w:r>
      <w:r>
        <w:fldChar w:fldCharType="begin"/>
      </w:r>
      <w:r>
        <w:instrText xml:space="preserve"> PAGEREF _Toc113981012 \h </w:instrText>
      </w:r>
      <w:r>
        <w:fldChar w:fldCharType="separate"/>
      </w:r>
      <w:r>
        <w:t>4</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"_Toc113981013" </w:instrText>
      </w:r>
      <w:r>
        <w:fldChar w:fldCharType="separate"/>
      </w:r>
      <w:r>
        <w:rPr>
          <w:rStyle w:val="18"/>
          <w:rFonts w:ascii="黑体" w:eastAsia="黑体"/>
        </w:rPr>
        <w:t>一、收入支出决算总体情况说明</w:t>
      </w:r>
      <w:r>
        <w:tab/>
      </w:r>
      <w:r>
        <w:fldChar w:fldCharType="begin"/>
      </w:r>
      <w:r>
        <w:instrText xml:space="preserve"> PAGEREF _Toc113981013 \h </w:instrText>
      </w:r>
      <w:r>
        <w:fldChar w:fldCharType="separate"/>
      </w:r>
      <w:r>
        <w:t>4</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"_Toc113981014" </w:instrText>
      </w:r>
      <w:r>
        <w:fldChar w:fldCharType="separate"/>
      </w:r>
      <w:r>
        <w:rPr>
          <w:rStyle w:val="18"/>
          <w:rFonts w:ascii="黑体" w:eastAsia="黑体"/>
        </w:rPr>
        <w:t>二、收入决算情况说明</w:t>
      </w:r>
      <w:r>
        <w:tab/>
      </w:r>
      <w:r>
        <w:fldChar w:fldCharType="begin"/>
      </w:r>
      <w:r>
        <w:instrText xml:space="preserve"> PAGEREF _Toc113981014 \h </w:instrText>
      </w:r>
      <w:r>
        <w:fldChar w:fldCharType="separate"/>
      </w:r>
      <w:r>
        <w:t>4</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"_Toc113981015" </w:instrText>
      </w:r>
      <w:r>
        <w:fldChar w:fldCharType="separate"/>
      </w:r>
      <w:r>
        <w:rPr>
          <w:rStyle w:val="18"/>
          <w:rFonts w:ascii="黑体" w:eastAsia="黑体"/>
        </w:rPr>
        <w:t>三、支出决算情况说明</w:t>
      </w:r>
      <w:r>
        <w:tab/>
      </w:r>
      <w:r>
        <w:fldChar w:fldCharType="begin"/>
      </w:r>
      <w:r>
        <w:instrText xml:space="preserve"> PAGEREF _Toc113981015 \h </w:instrText>
      </w:r>
      <w:r>
        <w:fldChar w:fldCharType="separate"/>
      </w:r>
      <w:r>
        <w:t>5</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"_Toc113981016" </w:instrText>
      </w:r>
      <w:r>
        <w:fldChar w:fldCharType="separate"/>
      </w:r>
      <w:r>
        <w:rPr>
          <w:rStyle w:val="18"/>
          <w:rFonts w:ascii="黑体" w:eastAsia="黑体"/>
        </w:rPr>
        <w:t>四、财政拨款收入支出决算总体情况说明</w:t>
      </w:r>
      <w:r>
        <w:tab/>
      </w:r>
      <w:r>
        <w:fldChar w:fldCharType="begin"/>
      </w:r>
      <w:r>
        <w:instrText xml:space="preserve"> PAGEREF _Toc113981016 \h </w:instrText>
      </w:r>
      <w:r>
        <w:fldChar w:fldCharType="separate"/>
      </w:r>
      <w:r>
        <w:t>6</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"_Toc113981017" </w:instrText>
      </w:r>
      <w:r>
        <w:fldChar w:fldCharType="separate"/>
      </w:r>
      <w:r>
        <w:rPr>
          <w:rStyle w:val="18"/>
          <w:rFonts w:ascii="黑体" w:eastAsia="黑体"/>
        </w:rPr>
        <w:t>五、一般公共预算财政拨款支出决算情况说明</w:t>
      </w:r>
      <w:r>
        <w:tab/>
      </w:r>
      <w:r>
        <w:fldChar w:fldCharType="begin"/>
      </w:r>
      <w:r>
        <w:instrText xml:space="preserve"> PAGEREF _Toc113981017 \h </w:instrText>
      </w:r>
      <w:r>
        <w:fldChar w:fldCharType="separate"/>
      </w:r>
      <w:r>
        <w:t>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"_Toc113981018" </w:instrText>
      </w:r>
      <w:r>
        <w:fldChar w:fldCharType="separate"/>
      </w:r>
      <w:r>
        <w:rPr>
          <w:rStyle w:val="18"/>
          <w:rFonts w:ascii="黑体" w:eastAsia="黑体"/>
        </w:rPr>
        <w:t>六、一般公共预算财政拨款基本支出决算情况说明</w:t>
      </w:r>
      <w:r>
        <w:tab/>
      </w:r>
      <w:r>
        <w:fldChar w:fldCharType="begin"/>
      </w:r>
      <w:r>
        <w:instrText xml:space="preserve"> PAGEREF _Toc113981018 \h </w:instrText>
      </w:r>
      <w:r>
        <w:fldChar w:fldCharType="separate"/>
      </w:r>
      <w:r>
        <w:t>9</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"_Toc113981019" </w:instrText>
      </w:r>
      <w:r>
        <w:fldChar w:fldCharType="separate"/>
      </w:r>
      <w:r>
        <w:rPr>
          <w:rStyle w:val="18"/>
          <w:rFonts w:ascii="黑体" w:eastAsia="黑体"/>
        </w:rPr>
        <w:t>七、“三公”经费财政拨款支出决算情况说明</w:t>
      </w:r>
      <w:r>
        <w:tab/>
      </w:r>
      <w:r>
        <w:fldChar w:fldCharType="begin"/>
      </w:r>
      <w:r>
        <w:instrText xml:space="preserve"> PAGEREF _Toc113981019 \h </w:instrText>
      </w:r>
      <w:r>
        <w:fldChar w:fldCharType="separate"/>
      </w:r>
      <w:r>
        <w:t>9</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"_Toc113981020" </w:instrText>
      </w:r>
      <w:r>
        <w:fldChar w:fldCharType="separate"/>
      </w:r>
      <w:r>
        <w:rPr>
          <w:rStyle w:val="18"/>
          <w:rFonts w:ascii="黑体" w:eastAsia="黑体"/>
        </w:rPr>
        <w:t>八、政府性基金预算支出决算情况说明</w:t>
      </w:r>
      <w:r>
        <w:tab/>
      </w:r>
      <w:r>
        <w:fldChar w:fldCharType="begin"/>
      </w:r>
      <w:r>
        <w:instrText xml:space="preserve"> PAGEREF _Toc113981020 \h </w:instrText>
      </w:r>
      <w:r>
        <w:fldChar w:fldCharType="separate"/>
      </w:r>
      <w:r>
        <w:t>11</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"_Toc113981021" </w:instrText>
      </w:r>
      <w:r>
        <w:fldChar w:fldCharType="separate"/>
      </w:r>
      <w:r>
        <w:rPr>
          <w:rStyle w:val="18"/>
          <w:rFonts w:ascii="黑体" w:eastAsia="黑体"/>
        </w:rPr>
        <w:t>九、国有资本经营预算支出决算情况说明</w:t>
      </w:r>
      <w:r>
        <w:tab/>
      </w:r>
      <w:r>
        <w:fldChar w:fldCharType="begin"/>
      </w:r>
      <w:r>
        <w:instrText xml:space="preserve"> PAGEREF _Toc113981021 \h </w:instrText>
      </w:r>
      <w:r>
        <w:fldChar w:fldCharType="separate"/>
      </w:r>
      <w:r>
        <w:t>12</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"_Toc113981022" </w:instrText>
      </w:r>
      <w:r>
        <w:fldChar w:fldCharType="separate"/>
      </w:r>
      <w:r>
        <w:rPr>
          <w:rStyle w:val="18"/>
          <w:rFonts w:ascii="黑体" w:eastAsia="黑体"/>
        </w:rPr>
        <w:t>十、其他重要事项的情况说明</w:t>
      </w:r>
      <w:r>
        <w:tab/>
      </w:r>
      <w:r>
        <w:fldChar w:fldCharType="begin"/>
      </w:r>
      <w:r>
        <w:instrText xml:space="preserve"> PAGEREF _Toc113981022 \h </w:instrText>
      </w:r>
      <w:r>
        <w:fldChar w:fldCharType="separate"/>
      </w:r>
      <w:r>
        <w:t>12</w:t>
      </w:r>
      <w:r>
        <w:fldChar w:fldCharType="end"/>
      </w:r>
      <w:r>
        <w:fldChar w:fldCharType="end"/>
      </w:r>
    </w:p>
    <w:p>
      <w:pPr>
        <w:pStyle w:val="12"/>
        <w:rPr>
          <w:rFonts w:asciiTheme="minorHAnsi" w:hAnsiTheme="minorHAnsi" w:eastAsiaTheme="minorEastAsia" w:cstheme="minorBidi"/>
          <w:sz w:val="21"/>
          <w:szCs w:val="22"/>
        </w:rPr>
      </w:pPr>
      <w:r>
        <w:fldChar w:fldCharType="begin"/>
      </w:r>
      <w:r>
        <w:instrText xml:space="preserve"> HYPERLINK \l "_Toc113981023" </w:instrText>
      </w:r>
      <w:r>
        <w:fldChar w:fldCharType="separate"/>
      </w:r>
      <w:r>
        <w:rPr>
          <w:rStyle w:val="18"/>
          <w:rFonts w:ascii="黑体" w:hAnsi="黑体" w:eastAsia="黑体" w:cs="黑体"/>
        </w:rPr>
        <w:t>第三部分 名词解释</w:t>
      </w:r>
      <w:r>
        <w:tab/>
      </w:r>
      <w:r>
        <w:fldChar w:fldCharType="begin"/>
      </w:r>
      <w:r>
        <w:instrText xml:space="preserve"> PAGEREF _Toc113981023 \h </w:instrText>
      </w:r>
      <w:r>
        <w:fldChar w:fldCharType="separate"/>
      </w:r>
      <w:r>
        <w:t>14</w:t>
      </w:r>
      <w:r>
        <w:fldChar w:fldCharType="end"/>
      </w:r>
      <w:r>
        <w:fldChar w:fldCharType="end"/>
      </w:r>
    </w:p>
    <w:p>
      <w:pPr>
        <w:pStyle w:val="12"/>
        <w:rPr>
          <w:rFonts w:asciiTheme="minorHAnsi" w:hAnsiTheme="minorHAnsi" w:eastAsiaTheme="minorEastAsia" w:cstheme="minorBidi"/>
          <w:sz w:val="21"/>
          <w:szCs w:val="22"/>
        </w:rPr>
      </w:pPr>
      <w:r>
        <w:fldChar w:fldCharType="begin"/>
      </w:r>
      <w:r>
        <w:instrText xml:space="preserve"> HYPERLINK \l "_Toc113981024" </w:instrText>
      </w:r>
      <w:r>
        <w:fldChar w:fldCharType="separate"/>
      </w:r>
      <w:r>
        <w:rPr>
          <w:rStyle w:val="18"/>
          <w:rFonts w:ascii="黑体" w:hAnsi="黑体" w:eastAsia="黑体" w:cs="黑体"/>
        </w:rPr>
        <w:t>第四部分 附件</w:t>
      </w:r>
      <w:r>
        <w:tab/>
      </w:r>
      <w:r>
        <w:fldChar w:fldCharType="begin"/>
      </w:r>
      <w:r>
        <w:instrText xml:space="preserve"> PAGEREF _Toc113981024 \h </w:instrText>
      </w:r>
      <w:r>
        <w:fldChar w:fldCharType="separate"/>
      </w:r>
      <w:r>
        <w:t>16</w:t>
      </w:r>
      <w:r>
        <w:fldChar w:fldCharType="end"/>
      </w:r>
      <w:r>
        <w:fldChar w:fldCharType="end"/>
      </w:r>
    </w:p>
    <w:p>
      <w:pPr>
        <w:pStyle w:val="12"/>
        <w:rPr>
          <w:rFonts w:asciiTheme="minorHAnsi" w:hAnsiTheme="minorHAnsi" w:eastAsiaTheme="minorEastAsia" w:cstheme="minorBidi"/>
          <w:sz w:val="21"/>
          <w:szCs w:val="22"/>
        </w:rPr>
      </w:pPr>
      <w:r>
        <w:fldChar w:fldCharType="begin"/>
      </w:r>
      <w:r>
        <w:instrText xml:space="preserve"> HYPERLINK \l "_Toc113981025" </w:instrText>
      </w:r>
      <w:r>
        <w:fldChar w:fldCharType="separate"/>
      </w:r>
      <w:r>
        <w:rPr>
          <w:rStyle w:val="18"/>
          <w:rFonts w:ascii="黑体" w:hAnsi="黑体" w:eastAsia="黑体" w:cs="黑体"/>
        </w:rPr>
        <w:t>第五部分 附表</w:t>
      </w:r>
      <w:r>
        <w:tab/>
      </w:r>
      <w:r>
        <w:fldChar w:fldCharType="begin"/>
      </w:r>
      <w:r>
        <w:instrText xml:space="preserve"> PAGEREF _Toc113981025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"_Toc113981026" </w:instrText>
      </w:r>
      <w:r>
        <w:fldChar w:fldCharType="separate"/>
      </w:r>
      <w:r>
        <w:rPr>
          <w:rStyle w:val="18"/>
          <w:rFonts w:ascii="黑体" w:eastAsia="黑体"/>
        </w:rPr>
        <w:t>一、收入支出决算总表</w:t>
      </w:r>
      <w:r>
        <w:tab/>
      </w:r>
      <w:r>
        <w:fldChar w:fldCharType="begin"/>
      </w:r>
      <w:r>
        <w:instrText xml:space="preserve"> PAGEREF _Toc113981026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"_Toc113981027" </w:instrText>
      </w:r>
      <w:r>
        <w:fldChar w:fldCharType="separate"/>
      </w:r>
      <w:r>
        <w:rPr>
          <w:rStyle w:val="18"/>
          <w:rFonts w:ascii="黑体" w:eastAsia="黑体"/>
        </w:rPr>
        <w:t>二、收入决算表</w:t>
      </w:r>
      <w:r>
        <w:tab/>
      </w:r>
      <w:r>
        <w:fldChar w:fldCharType="begin"/>
      </w:r>
      <w:r>
        <w:instrText xml:space="preserve"> PAGEREF _Toc113981027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"_Toc113981028" </w:instrText>
      </w:r>
      <w:r>
        <w:fldChar w:fldCharType="separate"/>
      </w:r>
      <w:r>
        <w:rPr>
          <w:rStyle w:val="18"/>
          <w:rFonts w:ascii="黑体" w:eastAsia="黑体"/>
        </w:rPr>
        <w:t>三、支出决算表</w:t>
      </w:r>
      <w:r>
        <w:tab/>
      </w:r>
      <w:r>
        <w:fldChar w:fldCharType="begin"/>
      </w:r>
      <w:r>
        <w:instrText xml:space="preserve"> PAGEREF _Toc113981028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"_Toc113981029" </w:instrText>
      </w:r>
      <w:r>
        <w:fldChar w:fldCharType="separate"/>
      </w:r>
      <w:r>
        <w:rPr>
          <w:rStyle w:val="18"/>
          <w:rFonts w:ascii="黑体" w:eastAsia="黑体"/>
        </w:rPr>
        <w:t>四、财政拨款收入支出决算总表</w:t>
      </w:r>
      <w:r>
        <w:tab/>
      </w:r>
      <w:r>
        <w:fldChar w:fldCharType="begin"/>
      </w:r>
      <w:r>
        <w:instrText xml:space="preserve"> PAGEREF _Toc113981029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"_Toc113981030" </w:instrText>
      </w:r>
      <w:r>
        <w:fldChar w:fldCharType="separate"/>
      </w:r>
      <w:r>
        <w:rPr>
          <w:rStyle w:val="18"/>
          <w:rFonts w:ascii="黑体" w:eastAsia="黑体"/>
        </w:rPr>
        <w:t>五、财政拨款支出决算明细表</w:t>
      </w:r>
      <w:r>
        <w:tab/>
      </w:r>
      <w:r>
        <w:fldChar w:fldCharType="begin"/>
      </w:r>
      <w:r>
        <w:instrText xml:space="preserve"> PAGEREF _Toc113981030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"_Toc113981031" </w:instrText>
      </w:r>
      <w:r>
        <w:fldChar w:fldCharType="separate"/>
      </w:r>
      <w:r>
        <w:rPr>
          <w:rStyle w:val="18"/>
          <w:rFonts w:ascii="黑体" w:eastAsia="黑体"/>
        </w:rPr>
        <w:t>六、一般公共预算财政拨款支出决算表</w:t>
      </w:r>
      <w:r>
        <w:tab/>
      </w:r>
      <w:r>
        <w:fldChar w:fldCharType="begin"/>
      </w:r>
      <w:r>
        <w:instrText xml:space="preserve"> PAGEREF _Toc113981031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"_Toc113981032" </w:instrText>
      </w:r>
      <w:r>
        <w:fldChar w:fldCharType="separate"/>
      </w:r>
      <w:r>
        <w:rPr>
          <w:rStyle w:val="18"/>
          <w:rFonts w:ascii="黑体" w:eastAsia="黑体"/>
        </w:rPr>
        <w:t>七、一般公共预算财政拨款支出决算明细表</w:t>
      </w:r>
      <w:r>
        <w:tab/>
      </w:r>
      <w:r>
        <w:fldChar w:fldCharType="begin"/>
      </w:r>
      <w:r>
        <w:instrText xml:space="preserve"> PAGEREF _Toc113981032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"_Toc113981033" </w:instrText>
      </w:r>
      <w:r>
        <w:fldChar w:fldCharType="separate"/>
      </w:r>
      <w:r>
        <w:rPr>
          <w:rStyle w:val="18"/>
          <w:rFonts w:ascii="黑体" w:eastAsia="黑体"/>
        </w:rPr>
        <w:t>八、一般公共预算财政拨款基本支出决算表</w:t>
      </w:r>
      <w:r>
        <w:tab/>
      </w:r>
      <w:r>
        <w:fldChar w:fldCharType="begin"/>
      </w:r>
      <w:r>
        <w:instrText xml:space="preserve"> PAGEREF _Toc113981033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"_Toc113981034" </w:instrText>
      </w:r>
      <w:r>
        <w:fldChar w:fldCharType="separate"/>
      </w:r>
      <w:r>
        <w:rPr>
          <w:rStyle w:val="18"/>
          <w:rFonts w:ascii="黑体" w:eastAsia="黑体"/>
        </w:rPr>
        <w:t>九、一般公共预算财政拨款项目支出决算表</w:t>
      </w:r>
      <w:r>
        <w:tab/>
      </w:r>
      <w:r>
        <w:fldChar w:fldCharType="begin"/>
      </w:r>
      <w:r>
        <w:instrText xml:space="preserve"> PAGEREF _Toc113981034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"_Toc113981035" </w:instrText>
      </w:r>
      <w:r>
        <w:fldChar w:fldCharType="separate"/>
      </w:r>
      <w:r>
        <w:rPr>
          <w:rStyle w:val="18"/>
          <w:rFonts w:ascii="黑体" w:eastAsia="黑体"/>
        </w:rPr>
        <w:t>十、一般公共预算财政拨款“三公”经费支出决算表</w:t>
      </w:r>
      <w:r>
        <w:tab/>
      </w:r>
      <w:r>
        <w:fldChar w:fldCharType="begin"/>
      </w:r>
      <w:r>
        <w:instrText xml:space="preserve"> PAGEREF _Toc113981035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"_Toc113981036" </w:instrText>
      </w:r>
      <w:r>
        <w:fldChar w:fldCharType="separate"/>
      </w:r>
      <w:r>
        <w:rPr>
          <w:rStyle w:val="18"/>
          <w:rFonts w:ascii="黑体" w:eastAsia="黑体"/>
        </w:rPr>
        <w:t>十一、政府性基金预算财政拨款收入支出决算表</w:t>
      </w:r>
      <w:r>
        <w:tab/>
      </w:r>
      <w:r>
        <w:fldChar w:fldCharType="begin"/>
      </w:r>
      <w:r>
        <w:instrText xml:space="preserve"> PAGEREF _Toc113981036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"_Toc113981037" </w:instrText>
      </w:r>
      <w:r>
        <w:fldChar w:fldCharType="separate"/>
      </w:r>
      <w:r>
        <w:rPr>
          <w:rStyle w:val="18"/>
          <w:rFonts w:ascii="黑体" w:eastAsia="黑体"/>
        </w:rPr>
        <w:t>十二、政府性基金预算财政拨款“三公”经费支出决算表</w:t>
      </w:r>
      <w:r>
        <w:tab/>
      </w:r>
      <w:r>
        <w:fldChar w:fldCharType="begin"/>
      </w:r>
      <w:r>
        <w:instrText xml:space="preserve"> PAGEREF _Toc113981037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"_Toc113981038" </w:instrText>
      </w:r>
      <w:r>
        <w:fldChar w:fldCharType="separate"/>
      </w:r>
      <w:r>
        <w:rPr>
          <w:rStyle w:val="18"/>
          <w:rFonts w:ascii="黑体" w:eastAsia="黑体"/>
        </w:rPr>
        <w:t>十三、国有资本经营预算财政拨款收入支出决算表</w:t>
      </w:r>
      <w:r>
        <w:tab/>
      </w:r>
      <w:r>
        <w:fldChar w:fldCharType="begin"/>
      </w:r>
      <w:r>
        <w:instrText xml:space="preserve"> PAGEREF _Toc113981038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"_Toc113981039" </w:instrText>
      </w:r>
      <w:r>
        <w:fldChar w:fldCharType="separate"/>
      </w:r>
      <w:r>
        <w:rPr>
          <w:rStyle w:val="18"/>
          <w:rFonts w:ascii="黑体" w:eastAsia="黑体"/>
        </w:rPr>
        <w:t>十四、国有资本经营预算财政拨款支出决算表</w:t>
      </w:r>
      <w:r>
        <w:tab/>
      </w:r>
      <w:r>
        <w:fldChar w:fldCharType="begin"/>
      </w:r>
      <w:r>
        <w:instrText xml:space="preserve"> PAGEREF _Toc113981039 \h </w:instrText>
      </w:r>
      <w:r>
        <w:fldChar w:fldCharType="separate"/>
      </w:r>
      <w:r>
        <w:t>17</w:t>
      </w:r>
      <w:r>
        <w:fldChar w:fldCharType="end"/>
      </w:r>
      <w:r>
        <w:fldChar w:fldCharType="end"/>
      </w:r>
    </w:p>
    <w:p>
      <w:pPr>
        <w:pStyle w:val="2"/>
      </w:pPr>
      <w:r>
        <w:rPr>
          <w:smallCaps/>
          <w:szCs w:val="20"/>
        </w:rPr>
        <w:fldChar w:fldCharType="end"/>
      </w:r>
    </w:p>
    <w:p>
      <w:pPr>
        <w:pStyle w:val="3"/>
        <w:jc w:val="center"/>
        <w:rPr>
          <w:rFonts w:ascii="黑体" w:hAnsi="黑体" w:eastAsia="黑体" w:cs="黑体"/>
          <w:b w:val="0"/>
          <w:bCs w:val="0"/>
        </w:rPr>
      </w:pPr>
      <w:bookmarkStart w:id="13" w:name="_Toc113981009"/>
      <w:bookmarkStart w:id="14" w:name="_Toc111208495"/>
      <w:r>
        <w:rPr>
          <w:rFonts w:hint="eastAsia" w:ascii="黑体" w:hAnsi="黑体" w:eastAsia="黑体" w:cs="黑体"/>
        </w:rPr>
        <w:t xml:space="preserve">第一部分 </w:t>
      </w:r>
      <w:r>
        <w:rPr>
          <w:rStyle w:val="28"/>
          <w:rFonts w:hint="eastAsia" w:ascii="黑体" w:hAnsi="黑体" w:eastAsia="黑体" w:cs="黑体"/>
          <w:b/>
          <w:bCs w:val="0"/>
        </w:rPr>
        <w:t>部门概况</w:t>
      </w:r>
      <w:bookmarkEnd w:id="12"/>
      <w:bookmarkEnd w:id="13"/>
      <w:bookmarkEnd w:id="14"/>
    </w:p>
    <w:p>
      <w:pPr>
        <w:pStyle w:val="4"/>
        <w:rPr>
          <w:rStyle w:val="41"/>
          <w:rFonts w:ascii="仿宋" w:hAnsi="仿宋" w:eastAsia="仿宋"/>
          <w:b w:val="0"/>
          <w:bCs w:val="0"/>
        </w:rPr>
      </w:pPr>
      <w:bookmarkStart w:id="15" w:name="_Toc15377197"/>
      <w:bookmarkStart w:id="16" w:name="_Toc25800"/>
      <w:bookmarkStart w:id="17" w:name="_Toc15396600"/>
      <w:bookmarkStart w:id="18" w:name="_Toc79163602"/>
      <w:bookmarkStart w:id="19" w:name="_Toc15377204"/>
      <w:r>
        <w:rPr>
          <w:rFonts w:hint="eastAsia" w:ascii="黑体" w:hAnsi="黑体" w:eastAsia="黑体"/>
          <w:b w:val="0"/>
          <w:color w:val="000000"/>
        </w:rPr>
        <w:t>一、基</w:t>
      </w:r>
      <w:r>
        <w:rPr>
          <w:rStyle w:val="41"/>
          <w:rFonts w:hint="eastAsia" w:ascii="黑体" w:hAnsi="黑体" w:eastAsia="黑体"/>
          <w:b w:val="0"/>
          <w:bCs w:val="0"/>
        </w:rPr>
        <w:t>本职能及主要工作</w:t>
      </w:r>
      <w:bookmarkEnd w:id="15"/>
      <w:bookmarkEnd w:id="16"/>
      <w:bookmarkEnd w:id="17"/>
      <w:bookmarkEnd w:id="18"/>
    </w:p>
    <w:p>
      <w:pPr>
        <w:pStyle w:val="7"/>
        <w:adjustRightInd w:val="0"/>
        <w:snapToGrid w:val="0"/>
        <w:spacing w:before="93" w:line="600" w:lineRule="exact"/>
        <w:ind w:firstLine="674" w:firstLineChars="210"/>
        <w:outlineLvl w:val="2"/>
        <w:rPr>
          <w:rFonts w:hint="eastAsia" w:ascii="楷体" w:hAnsi="楷体" w:eastAsia="楷体" w:cs="楷体"/>
          <w:b/>
          <w:bCs w:val="0"/>
          <w:color w:val="000000"/>
          <w:sz w:val="32"/>
          <w:szCs w:val="32"/>
        </w:rPr>
      </w:pPr>
      <w:bookmarkStart w:id="20" w:name="_Toc79163603"/>
      <w:bookmarkStart w:id="21" w:name="_Toc8880"/>
      <w:bookmarkStart w:id="22" w:name="_Toc15378445"/>
      <w:bookmarkStart w:id="23" w:name="_Toc15377198"/>
      <w:r>
        <w:rPr>
          <w:rFonts w:hint="eastAsia" w:ascii="楷体" w:hAnsi="楷体" w:eastAsia="楷体" w:cs="楷体"/>
          <w:b/>
          <w:bCs w:val="0"/>
          <w:color w:val="000000"/>
          <w:sz w:val="32"/>
          <w:szCs w:val="32"/>
        </w:rPr>
        <w:t>（一）主要职能</w:t>
      </w:r>
      <w:bookmarkEnd w:id="20"/>
      <w:bookmarkEnd w:id="21"/>
    </w:p>
    <w:bookmarkEnd w:id="22"/>
    <w:bookmarkEnd w:id="23"/>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1.贯彻执行党的路线、方针、政策以及中央、省委、州委和县委的决议、决定和工作的部署，负责县委重要会议、领导讲话和上报下发的重要文件的起草和县委日常的文书处理，负责部门代拟县委文件和领导讲话的校核、规范、把关，负责对全县党委办公部门秘书工作业务的联系和指导。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围绕中央、省委和州委重要决策以及县委总体工作部署，开展调研，并负责信息的收集、综合和报送工作。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负责县委常委会议、书记办公会议、县党代会、县委全委会、县委工作会、全县领导干部会等会议的会务工作，负责县委领导参加重要公务活动的组织安排。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负责县委重要工作部署贯彻落实的督促检查，负责县委指示、县委领导批示的转达和催办落实。</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负责县保密委员会及其办公室的日常工作。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负责管理县委密码局工作。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color w:val="000000"/>
          <w:sz w:val="32"/>
          <w:szCs w:val="32"/>
        </w:rPr>
        <w:t>7.完成县委和县委领导交办的其他工作任务。</w:t>
      </w:r>
    </w:p>
    <w:p>
      <w:pPr>
        <w:pStyle w:val="7"/>
        <w:adjustRightInd w:val="0"/>
        <w:snapToGrid w:val="0"/>
        <w:spacing w:before="93" w:line="600" w:lineRule="exact"/>
        <w:ind w:firstLine="674" w:firstLineChars="210"/>
        <w:outlineLvl w:val="2"/>
        <w:rPr>
          <w:rFonts w:hint="eastAsia" w:ascii="楷体" w:hAnsi="楷体" w:eastAsia="楷体" w:cs="楷体"/>
          <w:b/>
          <w:bCs w:val="0"/>
          <w:color w:val="000000"/>
          <w:sz w:val="32"/>
          <w:szCs w:val="32"/>
          <w:lang w:eastAsia="zh-CN"/>
        </w:rPr>
      </w:pPr>
      <w:bookmarkStart w:id="24" w:name="_Toc31514"/>
      <w:bookmarkStart w:id="25" w:name="_Toc15377200"/>
      <w:r>
        <w:rPr>
          <w:rFonts w:hint="eastAsia" w:ascii="楷体" w:hAnsi="楷体" w:eastAsia="楷体" w:cs="楷体"/>
          <w:b/>
          <w:bCs w:val="0"/>
          <w:color w:val="000000"/>
          <w:sz w:val="32"/>
          <w:szCs w:val="32"/>
        </w:rPr>
        <w:t>（二）2020年重点工作完成情况。</w:t>
      </w:r>
      <w:bookmarkEnd w:id="24"/>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1.提高文稿质量、保证公文高效运转。</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2.扎实做好县委常委会议、书记办公会议、县党代会、县委全委会、县委工作会、全县领导干部会等会议的会务工作，确保会议规范有序。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3.充分发挥办公室综合协调职能，加强与各级各部门的沟通协调，周密安排领导公务活动，做到事前缜密谋划、事中灵活应对、事后总结完善，不断提高服务能力和水平。</w:t>
      </w:r>
    </w:p>
    <w:p>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outlineLvl w:val="2"/>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4.加强日常信息报送。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5.扩展非涉密计算机敏感信息监管系统，做到全覆盖，开展全县网络核查分类工作，切实做好全县普通高校招生考试安全保密工作，做好保密法制宣传教育和保密业务培训。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6.扎实做好密码通信服务保障，推进密码管理规范化，抓好和完善党政内网建设。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7.成立重点工作与目标考评中心，开展重点工作、重点项目督查，并形成督查专报，做好年度目标考核工作。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做好人民群众来信来访工作，妥善处置各类突发事件，努力维护社会大局稳定。对来访人员合理诉求及时联系相关部门给予答复，树立良好窗口形象。做好《书记信箱》、《阿坝民声》中涉及我县的信访问题，及时督察督办，及时回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9.严格执行24小时值班制度，周末、节假日值班制定。加强车辆管理，确保县委工作正常运转。</w:t>
      </w:r>
    </w:p>
    <w:p>
      <w:pPr>
        <w:pStyle w:val="4"/>
        <w:keepNext/>
        <w:keepLines/>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sz w:val="32"/>
          <w:szCs w:val="32"/>
        </w:rPr>
      </w:pPr>
      <w:bookmarkStart w:id="26" w:name="_Toc111208497"/>
      <w:bookmarkStart w:id="27" w:name="_Toc113981011"/>
      <w:r>
        <w:rPr>
          <w:rFonts w:hint="eastAsia" w:ascii="黑体" w:hAnsi="黑体" w:eastAsia="黑体" w:cs="黑体"/>
          <w:b w:val="0"/>
          <w:bCs/>
          <w:color w:val="000000"/>
        </w:rPr>
        <w:t>二、机构设置</w:t>
      </w:r>
      <w:bookmarkEnd w:id="25"/>
      <w:bookmarkEnd w:id="26"/>
      <w:bookmarkEnd w:id="27"/>
      <w:r>
        <w:rPr>
          <w:rFonts w:ascii="仿宋" w:hAnsi="仿宋" w:eastAsia="仿宋"/>
          <w:color w:val="000000"/>
          <w:sz w:val="32"/>
          <w:szCs w:val="32"/>
        </w:rPr>
        <w:br w:type="textWrapping"/>
      </w:r>
      <w:r>
        <w:rPr>
          <w:rFonts w:ascii="仿宋" w:hAnsi="仿宋" w:eastAsia="仿宋"/>
          <w:color w:val="000000"/>
          <w:sz w:val="32"/>
          <w:szCs w:val="32"/>
        </w:rPr>
        <w:tab/>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b w:val="0"/>
          <w:bCs w:val="0"/>
          <w:color w:val="000000"/>
          <w:sz w:val="32"/>
          <w:szCs w:val="32"/>
        </w:rPr>
        <w:t>县委办下属二级单位0个，其中行政单位0个，参照公务员法管理的事业单位0个，其他事业单位0个。
我单位不涉及纳入2021年度部门决算编制范围的二级预算单位。</w:t>
      </w:r>
    </w:p>
    <w:p>
      <w:pPr>
        <w:widowControl/>
        <w:jc w:val="left"/>
        <w:rPr>
          <w:rFonts w:ascii="仿宋_GB2312" w:hAnsi="黑体" w:eastAsia="仿宋_GB2312"/>
          <w:b/>
          <w:bCs/>
          <w:color w:val="000000"/>
          <w:kern w:val="44"/>
          <w:sz w:val="44"/>
          <w:szCs w:val="44"/>
        </w:rPr>
      </w:pPr>
      <w:r>
        <w:rPr>
          <w:rFonts w:ascii="仿宋_GB2312" w:hAnsi="黑体" w:eastAsia="仿宋_GB2312"/>
          <w:color w:val="000000"/>
        </w:rPr>
        <w:br w:type="page"/>
      </w:r>
    </w:p>
    <w:p>
      <w:pPr>
        <w:pStyle w:val="3"/>
        <w:jc w:val="center"/>
        <w:rPr>
          <w:rFonts w:ascii="黑体" w:hAnsi="黑体" w:eastAsia="黑体" w:cs="黑体"/>
        </w:rPr>
      </w:pPr>
      <w:bookmarkStart w:id="28" w:name="_Toc111208498"/>
      <w:bookmarkStart w:id="29" w:name="_Toc113981012"/>
      <w:r>
        <w:rPr>
          <w:rFonts w:hint="eastAsia" w:ascii="黑体" w:hAnsi="黑体" w:eastAsia="黑体" w:cs="黑体"/>
        </w:rPr>
        <w:t>第二部分</w:t>
      </w:r>
      <w:r>
        <w:rPr>
          <w:rFonts w:ascii="黑体" w:hAnsi="黑体" w:eastAsia="黑体" w:cs="黑体"/>
        </w:rPr>
        <w:t xml:space="preserve"> </w:t>
      </w:r>
      <w:r>
        <w:rPr>
          <w:rFonts w:hint="eastAsia" w:ascii="黑体" w:hAnsi="黑体" w:eastAsia="黑体" w:cs="黑体"/>
        </w:rPr>
        <w:t>2021年度部门决算情况说明</w:t>
      </w:r>
      <w:bookmarkEnd w:id="19"/>
      <w:bookmarkEnd w:id="28"/>
      <w:bookmarkEnd w:id="29"/>
    </w:p>
    <w:p>
      <w:pPr>
        <w:pStyle w:val="4"/>
        <w:ind w:firstLine="640" w:firstLineChars="200"/>
        <w:rPr>
          <w:rFonts w:ascii="黑体" w:eastAsia="黑体" w:cs="Times New Roman"/>
          <w:b w:val="0"/>
          <w:bCs/>
          <w:color w:val="000000"/>
        </w:rPr>
      </w:pPr>
      <w:bookmarkStart w:id="30" w:name="_Toc15377205"/>
      <w:bookmarkStart w:id="31" w:name="_Toc113981013"/>
      <w:bookmarkStart w:id="32" w:name="_Toc111208499"/>
      <w:r>
        <w:rPr>
          <w:rFonts w:hint="eastAsia" w:ascii="黑体" w:eastAsia="黑体" w:cs="Times New Roman"/>
          <w:b w:val="0"/>
          <w:bCs/>
          <w:color w:val="000000"/>
        </w:rPr>
        <w:t>一、收入支出决算总体情况说</w:t>
      </w:r>
      <w:bookmarkEnd w:id="30"/>
      <w:r>
        <w:rPr>
          <w:rFonts w:hint="eastAsia" w:ascii="黑体" w:eastAsia="黑体" w:cs="Times New Roman"/>
          <w:b w:val="0"/>
          <w:bCs/>
          <w:color w:val="000000"/>
        </w:rPr>
        <w:t>明</w:t>
      </w:r>
      <w:bookmarkEnd w:id="31"/>
      <w:bookmarkEnd w:id="32"/>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2021年度收、支总计147.82万元。与2020年相比，收、支总计各增加26.99万元，增加22.33 %。主要变动原因是增员增资，业务活动增多</w:t>
      </w:r>
      <w:r>
        <w:rPr>
          <w:rFonts w:hint="eastAsia" w:ascii="仿宋_GB2312" w:hAnsi="仿宋_GB2312" w:eastAsia="仿宋_GB2312" w:cs="仿宋_GB2312"/>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outlineLvl w:val="2"/>
        <w:rPr>
          <w:rFonts w:ascii="仿宋_GB2312" w:eastAsia="仿宋_GB2312"/>
          <w:color w:val="000000"/>
          <w:sz w:val="28"/>
          <w:szCs w:val="28"/>
        </w:rPr>
      </w:pPr>
      <w:r>
        <w:rPr>
          <w:rFonts w:hint="eastAsia" w:ascii="仿宋_GB2312" w:hAnsi="仿宋_GB2312" w:eastAsia="仿宋_GB2312" w:cs="仿宋_GB2312"/>
          <w:color w:val="000000"/>
          <w:sz w:val="32"/>
          <w:szCs w:val="32"/>
        </w:rPr>
        <w:t>（图1：收、支决算总计变动情况图）</w:t>
      </w:r>
    </w:p>
    <w:p>
      <w:pPr>
        <w:pStyle w:val="2"/>
      </w:pPr>
      <w:r>
        <w:drawing>
          <wp:inline distT="0" distB="0" distL="114300" distR="114300">
            <wp:extent cx="5343525" cy="2933700"/>
            <wp:effectExtent l="0" t="0" r="9525" b="0"/>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4"/>
        <w:ind w:firstLine="640" w:firstLineChars="200"/>
        <w:rPr>
          <w:rFonts w:hint="eastAsia" w:ascii="黑体" w:eastAsia="黑体" w:cs="Times New Roman"/>
          <w:b w:val="0"/>
          <w:bCs/>
          <w:color w:val="000000"/>
        </w:rPr>
      </w:pPr>
      <w:bookmarkStart w:id="33" w:name="_Toc111208500"/>
      <w:bookmarkStart w:id="34" w:name="_Toc15377206"/>
      <w:bookmarkStart w:id="35" w:name="_Toc113981014"/>
      <w:r>
        <w:rPr>
          <w:rFonts w:hint="eastAsia" w:ascii="黑体" w:eastAsia="黑体" w:cs="Times New Roman"/>
          <w:b w:val="0"/>
          <w:bCs/>
          <w:color w:val="000000"/>
        </w:rPr>
        <w:t>二、收入决算情况说明</w:t>
      </w:r>
      <w:bookmarkEnd w:id="33"/>
      <w:bookmarkEnd w:id="34"/>
      <w:bookmarkEnd w:id="35"/>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本年收入合计147.82万元，其中：一般公共预算财政拨款收入147.82万元，占100.00%；政府性基金预算财政拨款收入0.00万元，占0.00%；国有资本经营预算财政拨款收入0.00万元，占0.00%；上级补助收入0.00万元，占0.00%；事业收入0.00万元，占%；经营收入0.00万元，占0.00%；附属单位上缴收入0.00万元，占0.00%；其他收入0.00万元，占0.00%。</w:t>
      </w:r>
    </w:p>
    <w:p>
      <w:pPr>
        <w:spacing w:line="600" w:lineRule="exact"/>
        <w:ind w:firstLine="2240" w:firstLineChars="7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（图2：收入决算结构图）</w:t>
      </w:r>
    </w:p>
    <w:p>
      <w:pPr>
        <w:pStyle w:val="13"/>
        <w:ind w:left="1060" w:hanging="640"/>
        <w:jc w:val="center"/>
      </w:pPr>
      <w:r>
        <w:rPr>
          <w:rFonts w:hint="eastAsia" w:ascii="仿宋_GB2312" w:eastAsia="仿宋_GB2312"/>
          <w:color w:val="FF0000"/>
          <w:sz w:val="32"/>
          <w:szCs w:val="32"/>
        </w:rPr>
        <w:drawing>
          <wp:inline distT="0" distB="0" distL="114300" distR="114300">
            <wp:extent cx="4618355" cy="2695575"/>
            <wp:effectExtent l="4445" t="5080" r="6350" b="444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4"/>
        <w:ind w:firstLine="640" w:firstLineChars="200"/>
        <w:rPr>
          <w:rFonts w:hint="eastAsia" w:ascii="黑体" w:eastAsia="黑体" w:cs="Times New Roman"/>
          <w:b w:val="0"/>
          <w:bCs/>
          <w:color w:val="000000"/>
        </w:rPr>
      </w:pPr>
      <w:bookmarkStart w:id="36" w:name="_Toc113981015"/>
      <w:bookmarkStart w:id="37" w:name="_Toc111208501"/>
      <w:bookmarkStart w:id="38" w:name="_Toc15377207"/>
      <w:r>
        <w:rPr>
          <w:rFonts w:hint="eastAsia" w:ascii="黑体" w:eastAsia="黑体" w:cs="Times New Roman"/>
          <w:b w:val="0"/>
          <w:bCs/>
          <w:color w:val="000000"/>
        </w:rPr>
        <w:t>三、支出决算情况说明</w:t>
      </w:r>
      <w:bookmarkEnd w:id="36"/>
      <w:bookmarkEnd w:id="37"/>
      <w:bookmarkEnd w:id="38"/>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2021年本年支出合计147.82万元，其中：基本支出147.82万元，占100.00%；项目支出0.00万元，占0.00%；上缴上级支出0.00万元，占0.00%；经营支出0.00万元，占0.00%；对附属单位补助支出0.00万元，占0.00%。</w:t>
      </w:r>
    </w:p>
    <w:p>
      <w:pPr>
        <w:spacing w:line="600" w:lineRule="exact"/>
        <w:ind w:firstLine="1920" w:firstLineChars="6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（图3：支出决算结构图）</w:t>
      </w:r>
    </w:p>
    <w:p>
      <w:pPr>
        <w:jc w:val="center"/>
        <w:rPr>
          <w:rFonts w:ascii="仿宋_GB2312" w:eastAsia="仿宋_GB2312"/>
          <w:color w:val="FF0000"/>
          <w:sz w:val="32"/>
          <w:szCs w:val="32"/>
        </w:rPr>
      </w:pPr>
      <w:r>
        <w:rPr>
          <w:rFonts w:hint="eastAsia" w:ascii="仿宋_GB2312" w:eastAsia="仿宋_GB2312"/>
          <w:color w:val="FF0000"/>
          <w:sz w:val="32"/>
          <w:szCs w:val="32"/>
        </w:rPr>
        <w:drawing>
          <wp:inline distT="0" distB="0" distL="114300" distR="114300">
            <wp:extent cx="4599305" cy="2924810"/>
            <wp:effectExtent l="4445" t="4445" r="6350" b="2349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2"/>
      </w:pPr>
    </w:p>
    <w:p>
      <w:pPr>
        <w:pStyle w:val="4"/>
        <w:ind w:firstLine="640" w:firstLineChars="200"/>
        <w:rPr>
          <w:rFonts w:hint="eastAsia" w:ascii="黑体" w:eastAsia="黑体" w:cs="Times New Roman"/>
          <w:b w:val="0"/>
          <w:bCs/>
          <w:color w:val="000000"/>
        </w:rPr>
      </w:pPr>
      <w:bookmarkStart w:id="39" w:name="_Toc15377208"/>
      <w:bookmarkStart w:id="40" w:name="_Toc113981016"/>
      <w:bookmarkStart w:id="41" w:name="_Toc111208502"/>
      <w:r>
        <w:rPr>
          <w:rFonts w:hint="eastAsia" w:ascii="黑体" w:eastAsia="黑体" w:cs="Times New Roman"/>
          <w:b w:val="0"/>
          <w:bCs/>
          <w:color w:val="000000"/>
        </w:rPr>
        <w:t>四、财政拨款收入支出决算总体情况说明</w:t>
      </w:r>
      <w:bookmarkEnd w:id="39"/>
      <w:bookmarkEnd w:id="40"/>
      <w:bookmarkEnd w:id="41"/>
    </w:p>
    <w:p>
      <w:pPr>
        <w:spacing w:line="600" w:lineRule="exact"/>
        <w:ind w:firstLine="640" w:firstLineChars="20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2021年财政拨款收、支总计147.82万元。与2020年相比，财政拨款收、支总计各增加26.99万元，增加22.33 %。主要变动原因是增员增资，业务活动增多</w:t>
      </w:r>
      <w:r>
        <w:rPr>
          <w:rFonts w:hint="eastAsia" w:ascii="仿宋_GB2312" w:hAnsi="仿宋_GB2312" w:eastAsia="仿宋_GB2312" w:cs="仿宋_GB2312"/>
          <w:color w:val="000000"/>
          <w:sz w:val="32"/>
          <w:szCs w:val="32"/>
          <w:lang w:eastAsia="zh-CN"/>
        </w:rPr>
        <w:t>。</w:t>
      </w:r>
    </w:p>
    <w:p>
      <w:pPr>
        <w:spacing w:line="600" w:lineRule="exact"/>
        <w:ind w:firstLine="1280" w:firstLineChars="4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（图4：财政拨款收、支决算总计变动情况）</w:t>
      </w:r>
    </w:p>
    <w:p>
      <w:pPr>
        <w:pStyle w:val="2"/>
        <w:jc w:val="left"/>
      </w:pPr>
      <w:r>
        <w:rPr>
          <w:rFonts w:hint="eastAsia" w:ascii="仿宋_GB2312" w:hAnsi="仿宋" w:eastAsia="仿宋_GB2312"/>
          <w:color w:val="000000"/>
          <w:sz w:val="32"/>
          <w:szCs w:val="32"/>
        </w:rPr>
        <w:drawing>
          <wp:inline distT="0" distB="0" distL="0" distR="0">
            <wp:extent cx="4810125" cy="2809875"/>
            <wp:effectExtent l="4445" t="4445" r="5080" b="5080"/>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2"/>
        <w:jc w:val="center"/>
      </w:pPr>
    </w:p>
    <w:p>
      <w:pPr>
        <w:pStyle w:val="4"/>
        <w:ind w:firstLine="640" w:firstLineChars="200"/>
        <w:rPr>
          <w:rFonts w:hint="eastAsia" w:ascii="黑体" w:eastAsia="黑体" w:cs="Times New Roman"/>
          <w:b w:val="0"/>
          <w:bCs/>
          <w:color w:val="000000"/>
        </w:rPr>
      </w:pPr>
      <w:bookmarkStart w:id="42" w:name="_Toc15377209"/>
      <w:bookmarkStart w:id="43" w:name="_Toc113981017"/>
      <w:bookmarkStart w:id="44" w:name="_Toc111208503"/>
      <w:r>
        <w:rPr>
          <w:rFonts w:hint="eastAsia" w:ascii="黑体" w:eastAsia="黑体" w:cs="Times New Roman"/>
          <w:b w:val="0"/>
          <w:bCs/>
          <w:color w:val="000000"/>
        </w:rPr>
        <w:t>五、一般公共预算财政拨款支出决算情况说</w:t>
      </w:r>
      <w:bookmarkEnd w:id="42"/>
      <w:r>
        <w:rPr>
          <w:rFonts w:hint="eastAsia" w:ascii="黑体" w:eastAsia="黑体" w:cs="Times New Roman"/>
          <w:b w:val="0"/>
          <w:bCs/>
          <w:color w:val="000000"/>
        </w:rPr>
        <w:t>明</w:t>
      </w:r>
      <w:bookmarkEnd w:id="43"/>
      <w:bookmarkEnd w:id="44"/>
    </w:p>
    <w:p>
      <w:pPr>
        <w:spacing w:line="600" w:lineRule="exact"/>
        <w:ind w:firstLine="642" w:firstLineChars="200"/>
        <w:outlineLvl w:val="2"/>
        <w:rPr>
          <w:rFonts w:hint="eastAsia" w:ascii="楷体_GB2312" w:hAnsi="楷体_GB2312" w:eastAsia="楷体_GB2312" w:cs="楷体_GB2312"/>
          <w:b/>
          <w:color w:val="000000"/>
          <w:sz w:val="32"/>
          <w:szCs w:val="32"/>
        </w:rPr>
      </w:pPr>
      <w:bookmarkStart w:id="45" w:name="_Toc15377210"/>
      <w:r>
        <w:rPr>
          <w:rFonts w:hint="eastAsia" w:ascii="楷体_GB2312" w:hAnsi="楷体_GB2312" w:eastAsia="楷体_GB2312" w:cs="楷体_GB2312"/>
          <w:b/>
          <w:color w:val="000000"/>
          <w:sz w:val="32"/>
          <w:szCs w:val="32"/>
        </w:rPr>
        <w:t>（一）一般公共预算财政拨款支出决算总体情况</w:t>
      </w:r>
      <w:bookmarkEnd w:id="45"/>
    </w:p>
    <w:p>
      <w:pPr>
        <w:spacing w:line="600" w:lineRule="exact"/>
        <w:ind w:firstLine="640" w:firstLineChars="200"/>
        <w:rPr>
          <w:rFonts w:hint="eastAsia" w:ascii="仿宋_GB2312" w:hAnsi="仿宋_GB2312" w:eastAsia="仿宋_GB2312" w:cs="仿宋_GB2312"/>
          <w:color w:val="000000"/>
          <w:sz w:val="32"/>
          <w:szCs w:val="32"/>
          <w:lang w:eastAsia="zh-CN"/>
        </w:rPr>
      </w:pPr>
      <w:bookmarkStart w:id="46" w:name="_Toc15377211"/>
      <w:r>
        <w:rPr>
          <w:rFonts w:hint="eastAsia" w:ascii="仿宋_GB2312" w:hAnsi="仿宋_GB2312" w:eastAsia="仿宋_GB2312" w:cs="仿宋_GB2312"/>
          <w:color w:val="000000"/>
          <w:sz w:val="32"/>
          <w:szCs w:val="32"/>
        </w:rPr>
        <w:t>2021年一般公共预算财政拨款支出147.82万元，占本年支出合计的100.00%。与2020相比，一般公共预算财政拨款增加26.99万元，增加22.33 %。主要变动原因是增员增资，业务活动增多</w:t>
      </w:r>
      <w:r>
        <w:rPr>
          <w:rFonts w:hint="eastAsia" w:ascii="仿宋_GB2312" w:hAnsi="仿宋_GB2312" w:eastAsia="仿宋_GB2312" w:cs="仿宋_GB2312"/>
          <w:color w:val="000000"/>
          <w:sz w:val="32"/>
          <w:szCs w:val="32"/>
          <w:lang w:eastAsia="zh-CN"/>
        </w:rPr>
        <w:t>。</w:t>
      </w:r>
    </w:p>
    <w:p>
      <w:pPr>
        <w:spacing w:line="600" w:lineRule="exact"/>
        <w:ind w:firstLine="640" w:firstLineChars="200"/>
        <w:rPr>
          <w:rFonts w:hint="eastAsia" w:ascii="仿宋_GB2312" w:hAnsi="仿宋_GB2312" w:eastAsia="仿宋_GB2312" w:cs="仿宋_GB2312"/>
          <w:color w:val="000000"/>
          <w:sz w:val="32"/>
          <w:szCs w:val="32"/>
        </w:rPr>
      </w:pPr>
    </w:p>
    <w:p>
      <w:pPr>
        <w:spacing w:line="600" w:lineRule="exac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（图5：一般公共预算财政拨款支出决算变动情况）</w:t>
      </w:r>
    </w:p>
    <w:p>
      <w:pPr>
        <w:pStyle w:val="2"/>
        <w:ind w:firstLine="0"/>
        <w:rPr>
          <w:rFonts w:ascii="仿宋_GB2312" w:hAnsi="仿宋" w:eastAsia="仿宋_GB2312"/>
          <w:b/>
          <w:color w:val="000000"/>
          <w:sz w:val="32"/>
          <w:szCs w:val="32"/>
        </w:rPr>
      </w:pPr>
      <w:r>
        <w:rPr>
          <w:rFonts w:hint="eastAsia" w:ascii="仿宋_GB2312" w:hAnsi="仿宋" w:eastAsia="仿宋_GB2312"/>
          <w:b/>
          <w:color w:val="000000"/>
          <w:sz w:val="32"/>
          <w:szCs w:val="32"/>
        </w:rPr>
        <w:drawing>
          <wp:inline distT="0" distB="0" distL="0" distR="0">
            <wp:extent cx="4392295" cy="2836545"/>
            <wp:effectExtent l="4445" t="4445" r="22860" b="1651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2" w:firstLineChars="200"/>
        <w:outlineLvl w:val="2"/>
        <w:rPr>
          <w:rFonts w:hint="eastAsia" w:ascii="楷体_GB2312" w:hAnsi="楷体_GB2312" w:eastAsia="楷体_GB2312" w:cs="楷体_GB2312"/>
          <w:b/>
          <w:color w:val="000000"/>
          <w:sz w:val="32"/>
          <w:szCs w:val="32"/>
        </w:rPr>
      </w:pPr>
      <w:r>
        <w:rPr>
          <w:rFonts w:hint="eastAsia" w:ascii="楷体_GB2312" w:hAnsi="楷体_GB2312" w:eastAsia="楷体_GB2312" w:cs="楷体_GB2312"/>
          <w:b/>
          <w:color w:val="000000"/>
          <w:sz w:val="32"/>
          <w:szCs w:val="32"/>
        </w:rPr>
        <w:t>（二）一般公共预算财政拨款支出决算结构情况</w:t>
      </w:r>
      <w:bookmarkEnd w:id="46"/>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2021年一般公共预算财政拨款支出147.82万元，主要用于以下方面:一般公共服务支出118.33万元，占80.05%；社会保障和就业支出13.41万元，占9.07%；卫生健康支出6.60万元，占4.46%；住房保障支出9.48万元，占6.42%。</w:t>
      </w:r>
    </w:p>
    <w:p>
      <w:pPr>
        <w:spacing w:line="600" w:lineRule="exact"/>
        <w:ind w:firstLine="960" w:firstLineChars="3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（图6：一般公共预算财政拨款支出决算结构）</w:t>
      </w:r>
      <w:bookmarkStart w:id="47" w:name="_Toc15377212"/>
    </w:p>
    <w:p>
      <w:pPr>
        <w:pStyle w:val="2"/>
      </w:pPr>
      <w:r>
        <w:drawing>
          <wp:inline distT="0" distB="0" distL="0" distR="0">
            <wp:extent cx="4467225" cy="2981325"/>
            <wp:effectExtent l="4445" t="4445" r="5080" b="508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642" w:firstLineChars="200"/>
        <w:outlineLvl w:val="2"/>
        <w:rPr>
          <w:rFonts w:hint="eastAsia" w:ascii="楷体_GB2312" w:hAnsi="楷体_GB2312" w:eastAsia="楷体_GB2312" w:cs="楷体_GB2312"/>
          <w:b/>
          <w:color w:val="000000"/>
          <w:sz w:val="32"/>
          <w:szCs w:val="32"/>
        </w:rPr>
      </w:pPr>
      <w:r>
        <w:rPr>
          <w:rFonts w:hint="eastAsia" w:ascii="楷体_GB2312" w:hAnsi="楷体_GB2312" w:eastAsia="楷体_GB2312" w:cs="楷体_GB2312"/>
          <w:b/>
          <w:color w:val="000000"/>
          <w:sz w:val="32"/>
          <w:szCs w:val="32"/>
        </w:rPr>
        <w:t>（三）一般公共预算财政拨款支出决算具体情况</w:t>
      </w:r>
      <w:bookmarkEnd w:id="47"/>
    </w:p>
    <w:p>
      <w:pPr>
        <w:spacing w:line="600" w:lineRule="exact"/>
        <w:ind w:firstLine="640" w:firstLineChars="200"/>
        <w:rPr>
          <w:rFonts w:hint="eastAsia" w:ascii="仿宋_GB2312" w:hAnsi="仿宋_GB2312" w:eastAsia="仿宋_GB2312" w:cs="仿宋_GB2312"/>
          <w:color w:val="000000"/>
          <w:sz w:val="32"/>
          <w:szCs w:val="32"/>
        </w:rPr>
      </w:pPr>
      <w:bookmarkStart w:id="48" w:name="_Toc15377213"/>
      <w:bookmarkStart w:id="49" w:name="_Toc15377444"/>
      <w:bookmarkStart w:id="50" w:name="_Toc15378460"/>
      <w:r>
        <w:rPr>
          <w:rFonts w:hint="eastAsia" w:ascii="仿宋_GB2312" w:hAnsi="仿宋_GB2312" w:eastAsia="仿宋_GB2312" w:cs="仿宋_GB2312"/>
          <w:color w:val="000000"/>
          <w:sz w:val="32"/>
          <w:szCs w:val="32"/>
        </w:rPr>
        <w:t>2021年一般公共预算支出决算数为147.82万</w:t>
      </w:r>
      <w:r>
        <w:rPr>
          <w:rFonts w:hint="eastAsia" w:ascii="仿宋_GB2312" w:hAnsi="仿宋_GB2312" w:eastAsia="仿宋_GB2312" w:cs="仿宋_GB2312"/>
          <w:color w:val="000000"/>
          <w:sz w:val="32"/>
          <w:szCs w:val="32"/>
          <w:lang w:eastAsia="zh-CN"/>
        </w:rPr>
        <w:t>元</w:t>
      </w:r>
      <w:r>
        <w:rPr>
          <w:rFonts w:hint="eastAsia" w:ascii="仿宋_GB2312" w:hAnsi="仿宋_GB2312" w:eastAsia="仿宋_GB2312" w:cs="仿宋_GB2312"/>
          <w:color w:val="000000"/>
          <w:sz w:val="32"/>
          <w:szCs w:val="32"/>
        </w:rPr>
        <w:t>，完成预算100%。其中：</w:t>
      </w:r>
      <w:bookmarkEnd w:id="48"/>
      <w:bookmarkEnd w:id="49"/>
      <w:bookmarkEnd w:id="50"/>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1.一般公共服务支出（201）党委办公厅（室）及相关机构事务（20131）事业运行（2013150）支出决算118.33万元，完成预算100%。</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2.社会保障和就业支出（208）行政事业单位养老支出（20805）机关事业单位基本养老保险缴费支出（2080505）支出决算8.94万元，完成预算100%。</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3.社会保障和就业支出（208）行政事业单位养老支出（20805）机关事业单位职业年金缴费支出（2080506）支出决算4.47万元，完成预算100%。</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4.卫生健康支出（210）行政事业单位医疗（21011）事业单位医疗（2101102）支出决算6.60万元，完成预算100%。</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5.住房保障支出（221）住房改革支出（22102）住房公积金（2210201）支出决算9.48万元，完成预算100%。</w:t>
      </w:r>
    </w:p>
    <w:p>
      <w:pPr>
        <w:pStyle w:val="4"/>
        <w:ind w:firstLine="640" w:firstLineChars="200"/>
        <w:rPr>
          <w:rFonts w:ascii="黑体" w:eastAsia="黑体" w:cs="Times New Roman"/>
          <w:b w:val="0"/>
          <w:bCs/>
          <w:color w:val="000000"/>
        </w:rPr>
      </w:pPr>
      <w:bookmarkStart w:id="51" w:name="_Toc15377214"/>
      <w:bookmarkStart w:id="52" w:name="_Toc113981018"/>
      <w:bookmarkStart w:id="53" w:name="_Toc111208504"/>
      <w:r>
        <w:rPr>
          <w:rFonts w:hint="eastAsia" w:ascii="黑体" w:eastAsia="黑体" w:cs="Times New Roman"/>
          <w:b w:val="0"/>
          <w:bCs/>
          <w:color w:val="000000"/>
        </w:rPr>
        <w:t>六、一般公共预算财政拨款基本支出决算情况说</w:t>
      </w:r>
      <w:bookmarkEnd w:id="51"/>
      <w:r>
        <w:rPr>
          <w:rFonts w:hint="eastAsia" w:ascii="黑体" w:eastAsia="黑体" w:cs="Times New Roman"/>
          <w:b w:val="0"/>
          <w:bCs/>
          <w:color w:val="000000"/>
        </w:rPr>
        <w:t>明</w:t>
      </w:r>
      <w:bookmarkEnd w:id="52"/>
      <w:bookmarkEnd w:id="53"/>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2021年一般公共预算财政拨款基本支出147.82万元，其中：</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140.87万元，主要包括：基本工资26.22万元、津贴补贴4.91万元、绩效工资78.73万元、机关事业单位基本养老保险缴费8.94万元、职业年金缴费4.47万元、职工基本医疗保险缴费6.60万元、其他社会保障缴费0.62万元、住房公积金9.48万元、医疗费0.88万元、奖励金0.02万元。</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公用经费6.95万元，主要包括：办公费6.44万元、差旅费0.43万元、培训费0.08万元。</w:t>
      </w:r>
    </w:p>
    <w:p>
      <w:pPr>
        <w:pStyle w:val="4"/>
        <w:ind w:firstLine="640" w:firstLineChars="200"/>
        <w:rPr>
          <w:rFonts w:ascii="黑体" w:eastAsia="黑体" w:cs="Times New Roman"/>
          <w:b w:val="0"/>
          <w:bCs/>
          <w:color w:val="000000"/>
        </w:rPr>
      </w:pPr>
      <w:bookmarkStart w:id="54" w:name="_Toc15377215"/>
      <w:bookmarkStart w:id="55" w:name="_Toc111208505"/>
      <w:bookmarkStart w:id="56" w:name="_Toc113981019"/>
      <w:r>
        <w:rPr>
          <w:rFonts w:hint="eastAsia" w:ascii="黑体" w:eastAsia="黑体" w:cs="Times New Roman"/>
          <w:b w:val="0"/>
          <w:bCs/>
          <w:color w:val="000000"/>
        </w:rPr>
        <w:t>七、“三公”经费财政拨款支出决算情况说明</w:t>
      </w:r>
      <w:bookmarkEnd w:id="54"/>
      <w:bookmarkEnd w:id="55"/>
      <w:bookmarkEnd w:id="56"/>
    </w:p>
    <w:p>
      <w:pPr>
        <w:spacing w:line="600" w:lineRule="exact"/>
        <w:ind w:firstLine="642" w:firstLineChars="200"/>
        <w:outlineLvl w:val="2"/>
        <w:rPr>
          <w:rFonts w:hint="eastAsia" w:ascii="楷体_GB2312" w:hAnsi="楷体_GB2312" w:eastAsia="楷体_GB2312" w:cs="楷体_GB2312"/>
          <w:b/>
          <w:color w:val="000000"/>
          <w:sz w:val="32"/>
          <w:szCs w:val="32"/>
        </w:rPr>
      </w:pPr>
      <w:bookmarkStart w:id="57" w:name="_Toc15377216"/>
      <w:r>
        <w:rPr>
          <w:rFonts w:hint="eastAsia" w:ascii="楷体_GB2312" w:hAnsi="楷体_GB2312" w:eastAsia="楷体_GB2312" w:cs="楷体_GB2312"/>
          <w:b/>
          <w:color w:val="000000"/>
          <w:sz w:val="32"/>
          <w:szCs w:val="32"/>
        </w:rPr>
        <w:t>（一）“三公”经费财政拨款支出决算总体情况说明</w:t>
      </w:r>
      <w:bookmarkEnd w:id="57"/>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2021年“三公”经费财政拨款支出决算为0.00万元，完成预算0.00%。</w:t>
      </w:r>
      <w:bookmarkStart w:id="58" w:name="_Toc15377217"/>
    </w:p>
    <w:p>
      <w:pPr>
        <w:spacing w:line="600" w:lineRule="exact"/>
        <w:ind w:firstLine="642" w:firstLineChars="200"/>
        <w:outlineLvl w:val="2"/>
        <w:rPr>
          <w:rFonts w:hint="eastAsia" w:ascii="楷体_GB2312" w:hAnsi="楷体_GB2312" w:eastAsia="楷体_GB2312" w:cs="楷体_GB2312"/>
          <w:b/>
          <w:color w:val="000000"/>
          <w:sz w:val="32"/>
          <w:szCs w:val="32"/>
        </w:rPr>
      </w:pPr>
      <w:r>
        <w:rPr>
          <w:rFonts w:hint="eastAsia" w:ascii="楷体_GB2312" w:hAnsi="楷体_GB2312" w:eastAsia="楷体_GB2312" w:cs="楷体_GB2312"/>
          <w:b/>
          <w:color w:val="000000"/>
          <w:sz w:val="32"/>
          <w:szCs w:val="32"/>
        </w:rPr>
        <w:t>（二）“三公”经费财政拨款支出决算具体情况说明</w:t>
      </w:r>
      <w:bookmarkEnd w:id="58"/>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2021年“三公”经费财政拨款支出0.00万</w:t>
      </w:r>
      <w:r>
        <w:rPr>
          <w:rFonts w:hint="eastAsia" w:ascii="仿宋_GB2312" w:hAnsi="仿宋_GB2312" w:eastAsia="仿宋_GB2312" w:cs="仿宋_GB2312"/>
          <w:color w:val="000000"/>
          <w:sz w:val="32"/>
          <w:szCs w:val="32"/>
          <w:lang w:eastAsia="zh-CN"/>
        </w:rPr>
        <w:t>元</w:t>
      </w:r>
      <w:bookmarkStart w:id="77" w:name="_GoBack"/>
      <w:bookmarkEnd w:id="77"/>
      <w:r>
        <w:rPr>
          <w:rFonts w:hint="eastAsia" w:ascii="仿宋_GB2312" w:hAnsi="仿宋_GB2312" w:eastAsia="仿宋_GB2312" w:cs="仿宋_GB2312"/>
          <w:color w:val="000000"/>
          <w:sz w:val="32"/>
          <w:szCs w:val="32"/>
        </w:rPr>
        <w:t>，因公出国（境）费支出决算0.00万元，占0.00%；公务用车购置及运行维护费支出决算0.00万元，占0.00%；公务接待费支出决算0.00万元，占0.00%。具体情况如下：</w:t>
      </w:r>
    </w:p>
    <w:p>
      <w:pPr>
        <w:spacing w:line="600" w:lineRule="exact"/>
        <w:ind w:firstLine="960" w:firstLineChars="3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（图7：“三公”经费财政拨款支出结构）</w:t>
      </w:r>
    </w:p>
    <w:p>
      <w:pPr>
        <w:pStyle w:val="2"/>
        <w:rPr>
          <w:rFonts w:ascii="仿宋_GB2312" w:hAnsi="仿宋" w:eastAsia="仿宋_GB2312"/>
          <w:color w:val="000000"/>
          <w:sz w:val="32"/>
          <w:szCs w:val="32"/>
        </w:rPr>
      </w:pPr>
      <w:r>
        <w:drawing>
          <wp:inline distT="0" distB="0" distL="0" distR="0">
            <wp:extent cx="4333240" cy="2886075"/>
            <wp:effectExtent l="4445" t="4445" r="5715" b="508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1.因公出国（境）经费支出0.00万元,完成预算100%。全年安排因公出国（境）团组0次，出国（境）0人。因公出国（境）支出决算比2020年增加0.00万元，增加100.00 %。 </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2.公务用车购置及运行维护费支出0.00万元,完成预算0.00%。公务用车购置及运行维护费支出决算比2020年增加0.00万元，增加0%。 </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其中：公务用车购置支出0.00万元。全年按规定更新购置公务用车0辆，其中：轿车0辆、金额0.00万元，越野车0辆、金额0.00万元，载客汽车0辆、金额0.00万元。截至2021年12月底，单位共有公务用车0辆，其中：轿车0辆、越野车0辆、载客汽车0辆。</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公务用车运行维护费支出0.00万元。 </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3.公务接待费支出0.00万元，完成预算0.00%。公务接待费支出决算比2020年增加0.00万元，增加0.00%。</w:t>
      </w:r>
      <w:bookmarkStart w:id="59" w:name="_Toc15377218"/>
      <w:r>
        <w:rPr>
          <w:rFonts w:hint="eastAsia" w:ascii="仿宋_GB2312" w:hAnsi="仿宋_GB2312" w:eastAsia="仿宋_GB2312" w:cs="仿宋_GB2312"/>
          <w:color w:val="000000"/>
          <w:sz w:val="32"/>
          <w:szCs w:val="32"/>
        </w:rPr>
        <w:t xml:space="preserve"> </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国内公务接待支出0.00万元。国内公务接待0批次，0人次（不包括陪同人员），共计支出0.00万元。</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外事接待支出0.00万元，外事接待0批次，0人，共计支出0.00万元。</w:t>
      </w:r>
    </w:p>
    <w:p>
      <w:pPr>
        <w:pStyle w:val="4"/>
        <w:ind w:firstLine="640" w:firstLineChars="200"/>
        <w:rPr>
          <w:rFonts w:ascii="黑体" w:eastAsia="黑体" w:cs="Times New Roman"/>
          <w:b w:val="0"/>
          <w:bCs/>
          <w:color w:val="000000"/>
        </w:rPr>
      </w:pPr>
      <w:bookmarkStart w:id="60" w:name="_Toc113981020"/>
      <w:bookmarkStart w:id="61" w:name="_Toc111208506"/>
      <w:r>
        <w:rPr>
          <w:rFonts w:hint="eastAsia" w:ascii="黑体" w:eastAsia="黑体" w:cs="Times New Roman"/>
          <w:b w:val="0"/>
          <w:bCs/>
          <w:color w:val="000000"/>
        </w:rPr>
        <w:t>八、政府性基金预算支出决算情况说明</w:t>
      </w:r>
      <w:bookmarkEnd w:id="59"/>
      <w:bookmarkEnd w:id="60"/>
      <w:bookmarkEnd w:id="61"/>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2021年政府性基金预算拨款支出0.00万元。</w:t>
      </w:r>
      <w:bookmarkStart w:id="62" w:name="_Toc15377219"/>
    </w:p>
    <w:p>
      <w:pPr>
        <w:pStyle w:val="4"/>
        <w:ind w:firstLine="640" w:firstLineChars="200"/>
        <w:rPr>
          <w:rFonts w:hint="eastAsia" w:ascii="黑体" w:eastAsia="黑体" w:cs="Times New Roman"/>
          <w:b w:val="0"/>
          <w:bCs/>
          <w:color w:val="000000"/>
        </w:rPr>
      </w:pPr>
      <w:bookmarkStart w:id="63" w:name="_Toc111208507"/>
      <w:bookmarkStart w:id="64" w:name="_Toc113981021"/>
      <w:r>
        <w:rPr>
          <w:rFonts w:hint="eastAsia" w:ascii="黑体" w:eastAsia="黑体" w:cs="Times New Roman"/>
          <w:b w:val="0"/>
          <w:bCs/>
          <w:color w:val="000000"/>
        </w:rPr>
        <w:t>九、国有资本经营预算支出决算情况说明</w:t>
      </w:r>
      <w:bookmarkEnd w:id="62"/>
      <w:bookmarkEnd w:id="63"/>
      <w:bookmarkEnd w:id="64"/>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2021年国有资本经营预算拨款支出0.00万元。</w:t>
      </w:r>
    </w:p>
    <w:p>
      <w:pPr>
        <w:pStyle w:val="4"/>
        <w:ind w:firstLine="640" w:firstLineChars="200"/>
        <w:rPr>
          <w:rFonts w:hint="eastAsia" w:ascii="黑体" w:eastAsia="黑体" w:cs="Times New Roman"/>
          <w:b w:val="0"/>
          <w:bCs/>
          <w:color w:val="000000"/>
        </w:rPr>
      </w:pPr>
      <w:bookmarkStart w:id="65" w:name="_Toc111208508"/>
      <w:bookmarkStart w:id="66" w:name="_Toc15377221"/>
      <w:bookmarkStart w:id="67" w:name="_Toc113981022"/>
      <w:r>
        <w:rPr>
          <w:rFonts w:hint="eastAsia" w:ascii="黑体" w:eastAsia="黑体" w:cs="Times New Roman"/>
          <w:b w:val="0"/>
          <w:bCs/>
          <w:color w:val="000000"/>
        </w:rPr>
        <w:t>十、其他重要事项的情况说明</w:t>
      </w:r>
      <w:bookmarkEnd w:id="65"/>
      <w:bookmarkEnd w:id="66"/>
      <w:bookmarkEnd w:id="67"/>
    </w:p>
    <w:p>
      <w:pPr>
        <w:spacing w:line="600" w:lineRule="exact"/>
        <w:ind w:firstLine="642" w:firstLineChars="200"/>
        <w:outlineLvl w:val="2"/>
        <w:rPr>
          <w:rFonts w:hint="eastAsia" w:ascii="楷体_GB2312" w:hAnsi="楷体_GB2312" w:eastAsia="楷体_GB2312" w:cs="楷体_GB2312"/>
          <w:b/>
          <w:color w:val="000000"/>
          <w:sz w:val="32"/>
          <w:szCs w:val="32"/>
        </w:rPr>
      </w:pPr>
      <w:bookmarkStart w:id="68" w:name="_Toc15377222"/>
      <w:r>
        <w:rPr>
          <w:rFonts w:hint="eastAsia" w:ascii="楷体_GB2312" w:hAnsi="楷体_GB2312" w:eastAsia="楷体_GB2312" w:cs="楷体_GB2312"/>
          <w:b/>
          <w:color w:val="000000"/>
          <w:sz w:val="32"/>
          <w:szCs w:val="32"/>
        </w:rPr>
        <w:t>（一）机关运行经费支出情况</w:t>
      </w:r>
      <w:bookmarkEnd w:id="68"/>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2021年，机关运行经费支出0.00万元，比2020年增加0.00万元，增加0 %。 </w:t>
      </w:r>
    </w:p>
    <w:p>
      <w:pPr>
        <w:spacing w:line="600" w:lineRule="exact"/>
        <w:ind w:firstLine="642" w:firstLineChars="200"/>
        <w:outlineLvl w:val="2"/>
        <w:rPr>
          <w:rFonts w:hint="eastAsia" w:ascii="楷体_GB2312" w:hAnsi="楷体_GB2312" w:eastAsia="楷体_GB2312" w:cs="楷体_GB2312"/>
          <w:b/>
          <w:color w:val="000000"/>
          <w:sz w:val="32"/>
          <w:szCs w:val="32"/>
        </w:rPr>
      </w:pPr>
      <w:bookmarkStart w:id="69" w:name="_Toc15377223"/>
      <w:r>
        <w:rPr>
          <w:rFonts w:hint="eastAsia" w:ascii="楷体_GB2312" w:hAnsi="楷体_GB2312" w:eastAsia="楷体_GB2312" w:cs="楷体_GB2312"/>
          <w:b/>
          <w:color w:val="000000"/>
          <w:sz w:val="32"/>
          <w:szCs w:val="32"/>
        </w:rPr>
        <w:t>（二）政府采购支出情况</w:t>
      </w:r>
      <w:bookmarkEnd w:id="69"/>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政府采购支出总额0.00万元，其中：政府采购货物支出0.00万元、政府采购工程支出0.00万元、政府采购服务支出0.00万元。授予中小企业合同金额0.00万元，其中：授予小微企业合同金额0.00万元，占总合同的0.00%。</w:t>
      </w:r>
    </w:p>
    <w:p>
      <w:pPr>
        <w:spacing w:line="600" w:lineRule="exact"/>
        <w:ind w:firstLine="642" w:firstLineChars="200"/>
        <w:outlineLvl w:val="2"/>
        <w:rPr>
          <w:rFonts w:hint="eastAsia" w:ascii="楷体_GB2312" w:hAnsi="楷体_GB2312" w:eastAsia="楷体_GB2312" w:cs="楷体_GB2312"/>
          <w:b/>
          <w:color w:val="000000"/>
          <w:sz w:val="32"/>
          <w:szCs w:val="32"/>
        </w:rPr>
      </w:pPr>
      <w:bookmarkStart w:id="70" w:name="_Toc15377224"/>
      <w:r>
        <w:rPr>
          <w:rFonts w:hint="eastAsia" w:ascii="楷体_GB2312" w:hAnsi="楷体_GB2312" w:eastAsia="楷体_GB2312" w:cs="楷体_GB2312"/>
          <w:b/>
          <w:color w:val="000000"/>
          <w:sz w:val="32"/>
          <w:szCs w:val="32"/>
        </w:rPr>
        <w:t>（三）国有资产占有使用情况</w:t>
      </w:r>
      <w:bookmarkEnd w:id="70"/>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截至2021年12月31日，共有车辆0辆，其中：主要领导干部用车0辆、机要通信用车0辆、应急保障用车0辆、其他用车0辆。单价50万元以上通用设备0台（套），单价100万元以上专用设备0台（套）。</w:t>
      </w:r>
    </w:p>
    <w:p>
      <w:pPr>
        <w:spacing w:line="600" w:lineRule="exact"/>
        <w:ind w:firstLine="642" w:firstLineChars="200"/>
        <w:outlineLvl w:val="2"/>
        <w:rPr>
          <w:rFonts w:hint="eastAsia" w:ascii="楷体_GB2312" w:hAnsi="楷体_GB2312" w:eastAsia="楷体_GB2312" w:cs="楷体_GB2312"/>
          <w:b/>
          <w:color w:val="000000"/>
          <w:sz w:val="32"/>
          <w:szCs w:val="32"/>
        </w:rPr>
      </w:pPr>
      <w:r>
        <w:rPr>
          <w:rFonts w:hint="eastAsia" w:ascii="楷体_GB2312" w:hAnsi="楷体_GB2312" w:eastAsia="楷体_GB2312" w:cs="楷体_GB2312"/>
          <w:b/>
          <w:color w:val="000000"/>
          <w:sz w:val="32"/>
          <w:szCs w:val="32"/>
        </w:rPr>
        <w:t>（四）预算绩效管理情况</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我办根据预算绩效管理要求，根据年初工作规划和重点性工作，积极履职，强化管理，通过加强预算收支管理，不断建立健全内部管理制度，梳理内部管理流程，较好的完成了年度工作目标。</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我办按要求对20</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年部门整体支出开展绩效自评，从评价情况来看，20</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年我办部门整体支出绩效评价自查自评结果良好，全年基本支出保证了部门的正常运行和日常工作的正常开展，绩效目标得到较好实现，绩效管理水平不断提高，绩效指标体系逐渐丰富和完善。</w:t>
      </w:r>
    </w:p>
    <w:p>
      <w:pPr>
        <w:spacing w:line="600" w:lineRule="exact"/>
        <w:ind w:firstLine="640" w:firstLineChars="200"/>
        <w:rPr>
          <w:rFonts w:hint="eastAsia" w:ascii="仿宋_GB2312" w:hAnsi="仿宋_GB2312" w:eastAsia="仿宋_GB2312" w:cs="仿宋_GB2312"/>
          <w:color w:val="000000"/>
          <w:sz w:val="32"/>
          <w:szCs w:val="32"/>
        </w:rPr>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pStyle w:val="3"/>
        <w:jc w:val="center"/>
        <w:rPr>
          <w:rFonts w:ascii="黑体" w:hAnsi="黑体" w:eastAsia="黑体" w:cs="黑体"/>
        </w:rPr>
      </w:pPr>
      <w:bookmarkStart w:id="71" w:name="_Toc111208509"/>
      <w:bookmarkStart w:id="72" w:name="_Toc15377225"/>
      <w:bookmarkStart w:id="73" w:name="_Toc113981023"/>
      <w:r>
        <w:rPr>
          <w:rFonts w:hint="eastAsia" w:ascii="黑体" w:hAnsi="黑体" w:eastAsia="黑体" w:cs="黑体"/>
        </w:rPr>
        <w:t>第三部分 名词解释</w:t>
      </w:r>
      <w:bookmarkEnd w:id="71"/>
      <w:bookmarkEnd w:id="72"/>
      <w:bookmarkEnd w:id="73"/>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1.财政拨款收入：指单位从同级财政部门取得的财政预算资金。</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2.事业收入：指事业单位开展专业业务活动及辅助活动取得的收入。</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3.经营收入：指事业单位在专业业务活动及其辅助活动之外开展非独立核算经营活动取得的收入</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4.其他收入：指单位取得的除上述收入以外的各项收入。</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6.年初结转和结余：指以前年度尚未完成、结转到本年按有关规定继续使用的资金。 </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7.结余分配：指事业单位按照事业单位会计制度的规定从非财政补助结余中分配的事业基金和职工福利基金等。</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8.年末结转和结余：指单位按有关规定结转到下年或以后年度继续使用的资金。</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9.一般公共服务支出（201）党委办公厅（室）及相关机构事务（20131）行政运行（2013101）：反映行政单位（包括实行公务员管理的事业单位）的基本支出。</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10.一般公共服务支出（201）党委办公厅（室）及相关机构事务（20131）一般行政管理事务（2013102）：反映行政单位（包括实行公务员管理的事业单位）未单独设置项级科目的其他项目支出。</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11.一般公共服务支出（201）党委办公厅（室）及相关机构事务（20131）其他党委办公厅（室）及相关机构事务支出（2013199）：反映除上述项目以外其他用于党委办公厅（室）及相关机构事务支出。</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12.一般公共服务支出（201）其他一般公共服务支出（20199）其他一般公共服务支出（2019999）：反映除上述项以外的其他一般公共服务支出。</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13.社会保障和就业支出（208）行政事业单位养老支出（20805）机关事业单位基本养老保险缴费支出（2080505）：反映机关事业单位实施养老保险制度由单位缴纳的基本养老保险费支出。</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14.社会保障和就业支出（208）行政事业单位养老支出（20805）机关事业单位职业年金缴费支出（2080506）：反映机关事业单位实施养老保险制度由单位实际缴纳的职业年金支出。</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15.卫生健康支出（210）行政事业单位医疗（21011）行政单位医疗（2101101）：反映财政部门安排的行政单位（包括实行公务员管理的事业单位，下同）基本医疗保险缴费经费，未参加医疗保险的行政单位的公费医疗经费，按国家规定享受离休人员、红军老战士待遇人员的医疗经费。</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16.农林水支出（213）扶贫（21305）其他扶贫支出（2130599）：反映除上述项目以外其他用于扶贫方面的支出。</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17.住房保障支出（221）住房改革支出（22102）住房公积金（2210201）：反映行政事业单位按人力资源和社会保障部、财政部规定的基本工资和津贴补贴以及规定比例为职工缴纳的住房公积金。</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18.住房保障支出（221）住房改革支出（22102）购房补贴（2210203）：反映按房改政策规定，行政事业单位向符合条件职工（含离退休人员）、军队（含武警）向转役复员离退休人员发放的用于购买住房的补贴。</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19.基本支出：指为保障机构正常运转、完成日常工作任务而发生的人员支出和公用支出。</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25.项目支出：指在基本支出之外为完成特定行政任务和事业发展目标所发生的支出。 </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20.经营支出：指事业单位在专业业务活动及其辅助活动之外开展非独立核算经营活动发生的支出。</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21.“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23.财政应返还额度：为行政事业单位会计核算科目，用于核算实行国库集中支付的行政事业单位应收财政返还的资金额度。</w:t>
      </w:r>
    </w:p>
    <w:p>
      <w:pPr>
        <w:keepNext w:val="0"/>
        <w:keepLines w:val="0"/>
        <w:pageBreakBefore w:val="0"/>
        <w:widowControl/>
        <w:kinsoku/>
        <w:wordWrap/>
        <w:overflowPunct/>
        <w:topLinePunct w:val="0"/>
        <w:autoSpaceDE/>
        <w:autoSpaceDN/>
        <w:bidi w:val="0"/>
        <w:adjustRightInd/>
        <w:snapToGrid/>
        <w:spacing w:line="560" w:lineRule="exact"/>
        <w:ind w:firstLine="883" w:firstLineChars="200"/>
        <w:jc w:val="left"/>
        <w:textAlignment w:val="auto"/>
        <w:rPr>
          <w:rStyle w:val="28"/>
          <w:rFonts w:ascii="黑体" w:hAnsi="黑体" w:eastAsia="黑体"/>
        </w:rPr>
      </w:pPr>
      <w:r>
        <w:rPr>
          <w:rStyle w:val="28"/>
          <w:rFonts w:hint="eastAsia" w:ascii="仿宋_GB2312" w:hAnsi="仿宋_GB2312" w:eastAsia="仿宋_GB2312" w:cs="仿宋_GB2312"/>
        </w:rPr>
        <w:br w:type="page"/>
      </w:r>
    </w:p>
    <w:p>
      <w:pPr>
        <w:pStyle w:val="3"/>
        <w:jc w:val="center"/>
        <w:rPr>
          <w:rFonts w:ascii="黑体" w:hAnsi="黑体" w:eastAsia="黑体" w:cs="黑体"/>
        </w:rPr>
      </w:pPr>
      <w:bookmarkStart w:id="74" w:name="_Toc113981024"/>
      <w:bookmarkStart w:id="75" w:name="_Toc111208510"/>
      <w:r>
        <w:rPr>
          <w:rFonts w:hint="eastAsia" w:ascii="黑体" w:hAnsi="黑体" w:eastAsia="黑体" w:cs="黑体"/>
        </w:rPr>
        <w:t>第四部分 附件</w:t>
      </w:r>
      <w:bookmarkEnd w:id="74"/>
      <w:bookmarkEnd w:id="75"/>
    </w:p>
    <w:p>
      <w:pPr>
        <w:pStyle w:val="36"/>
        <w:spacing w:line="576" w:lineRule="exact"/>
        <w:jc w:val="center"/>
        <w:rPr>
          <w:rFonts w:hint="eastAsia" w:ascii="方正小标宋简体" w:hAnsi="方正小标宋简体" w:eastAsia="方正小标宋简体" w:cs="方正小标宋简体"/>
          <w:sz w:val="44"/>
          <w:szCs w:val="44"/>
        </w:rPr>
      </w:pPr>
      <w:bookmarkStart w:id="76" w:name="_Toc15396616"/>
      <w:r>
        <w:rPr>
          <w:rFonts w:hint="eastAsia" w:ascii="方正小标宋简体" w:hAnsi="方正小标宋简体" w:eastAsia="方正小标宋简体" w:cs="方正小标宋简体"/>
          <w:sz w:val="44"/>
          <w:szCs w:val="44"/>
          <w:lang w:eastAsia="zh-CN"/>
        </w:rPr>
        <w:t>中共茂县</w:t>
      </w:r>
      <w:r>
        <w:rPr>
          <w:rFonts w:hint="eastAsia" w:ascii="方正小标宋简体" w:hAnsi="方正小标宋简体" w:eastAsia="方正小标宋简体" w:cs="方正小标宋简体"/>
          <w:sz w:val="44"/>
          <w:szCs w:val="44"/>
        </w:rPr>
        <w:t>县委办</w:t>
      </w:r>
    </w:p>
    <w:p>
      <w:pPr>
        <w:pStyle w:val="36"/>
        <w:spacing w:line="576" w:lineRule="exact"/>
        <w:jc w:val="center"/>
        <w:rPr>
          <w:rFonts w:ascii="仿宋_GB2312" w:hAnsi="宋体" w:eastAsia="仿宋_GB2312"/>
          <w:sz w:val="32"/>
          <w:szCs w:val="32"/>
          <w:shd w:val="clear" w:color="auto" w:fill="FFFFFF"/>
        </w:rPr>
      </w:pPr>
      <w:r>
        <w:rPr>
          <w:rFonts w:ascii="方正小标宋简体" w:hAnsi="方正小标宋简体" w:eastAsia="方正小标宋简体" w:cs="方正小标宋简体"/>
          <w:sz w:val="44"/>
          <w:szCs w:val="44"/>
        </w:rPr>
        <w:t>20</w:t>
      </w:r>
      <w:r>
        <w:rPr>
          <w:rFonts w:hint="eastAsia" w:ascii="方正小标宋简体" w:hAnsi="方正小标宋简体" w:eastAsia="方正小标宋简体" w:cs="方正小标宋简体"/>
          <w:sz w:val="44"/>
          <w:szCs w:val="44"/>
          <w:lang w:val="en-US" w:eastAsia="zh-CN"/>
        </w:rPr>
        <w:t>21</w:t>
      </w:r>
      <w:r>
        <w:rPr>
          <w:rFonts w:hint="eastAsia" w:ascii="方正小标宋简体" w:hAnsi="方正小标宋简体" w:eastAsia="方正小标宋简体" w:cs="方正小标宋简体"/>
          <w:sz w:val="44"/>
          <w:szCs w:val="44"/>
        </w:rPr>
        <w:t>年部门整体支出绩效评价报告</w:t>
      </w:r>
      <w:bookmarkEnd w:id="76"/>
    </w:p>
    <w:p>
      <w:pPr>
        <w:pStyle w:val="36"/>
        <w:keepNext w:val="0"/>
        <w:keepLines w:val="0"/>
        <w:pageBreakBefore w:val="0"/>
        <w:kinsoku/>
        <w:wordWrap/>
        <w:overflowPunct/>
        <w:topLinePunct w:val="0"/>
        <w:autoSpaceDE/>
        <w:autoSpaceDN/>
        <w:bidi w:val="0"/>
        <w:spacing w:line="560" w:lineRule="exact"/>
        <w:ind w:firstLine="640" w:firstLineChars="200"/>
        <w:rPr>
          <w:rFonts w:ascii="黑体" w:hAnsi="黑体" w:eastAsia="黑体"/>
          <w:sz w:val="32"/>
          <w:szCs w:val="32"/>
        </w:rPr>
      </w:pPr>
      <w:r>
        <w:rPr>
          <w:rFonts w:hint="eastAsia" w:ascii="黑体" w:hAnsi="黑体" w:eastAsia="黑体" w:cs="黑体"/>
          <w:sz w:val="32"/>
          <w:szCs w:val="32"/>
        </w:rPr>
        <w:t>一、部门概况</w:t>
      </w:r>
    </w:p>
    <w:p>
      <w:pPr>
        <w:pStyle w:val="36"/>
        <w:keepNext w:val="0"/>
        <w:keepLines w:val="0"/>
        <w:pageBreakBefore w:val="0"/>
        <w:kinsoku/>
        <w:wordWrap/>
        <w:overflowPunct/>
        <w:topLinePunct w:val="0"/>
        <w:autoSpaceDE/>
        <w:autoSpaceDN/>
        <w:bidi w:val="0"/>
        <w:spacing w:line="560" w:lineRule="exact"/>
        <w:ind w:firstLine="642" w:firstLineChars="200"/>
        <w:rPr>
          <w:rFonts w:hint="eastAsia" w:ascii="楷体" w:hAnsi="楷体" w:eastAsia="楷体" w:cs="楷体"/>
          <w:b/>
          <w:bCs/>
          <w:sz w:val="32"/>
          <w:szCs w:val="32"/>
        </w:rPr>
      </w:pPr>
      <w:r>
        <w:rPr>
          <w:rFonts w:hint="eastAsia" w:ascii="楷体" w:hAnsi="楷体" w:eastAsia="楷体" w:cs="楷体"/>
          <w:b/>
          <w:bCs/>
          <w:sz w:val="32"/>
          <w:szCs w:val="32"/>
        </w:rPr>
        <w:t>（一）机构组成</w:t>
      </w:r>
    </w:p>
    <w:p>
      <w:pPr>
        <w:pStyle w:val="36"/>
        <w:keepNext w:val="0"/>
        <w:keepLines w:val="0"/>
        <w:pageBreakBefore w:val="0"/>
        <w:kinsoku/>
        <w:wordWrap/>
        <w:overflowPunct/>
        <w:topLinePunct w:val="0"/>
        <w:autoSpaceDE/>
        <w:autoSpaceDN/>
        <w:bidi w:val="0"/>
        <w:spacing w:line="560"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本部门下属</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级预算单位</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0</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个，其中内设机构</w:t>
      </w:r>
      <w:r>
        <w:rPr>
          <w:rFonts w:hint="eastAsia" w:ascii="仿宋_GB2312" w:hAnsi="仿宋_GB2312" w:eastAsia="仿宋_GB2312" w:cs="仿宋_GB2312"/>
          <w:sz w:val="32"/>
          <w:szCs w:val="32"/>
          <w:lang w:val="en-US" w:eastAsia="zh-CN"/>
        </w:rPr>
        <w:t>0</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个。</w:t>
      </w:r>
    </w:p>
    <w:p>
      <w:pPr>
        <w:pStyle w:val="36"/>
        <w:keepNext w:val="0"/>
        <w:keepLines w:val="0"/>
        <w:pageBreakBefore w:val="0"/>
        <w:kinsoku/>
        <w:wordWrap/>
        <w:overflowPunct/>
        <w:topLinePunct w:val="0"/>
        <w:autoSpaceDE/>
        <w:autoSpaceDN/>
        <w:bidi w:val="0"/>
        <w:spacing w:line="560" w:lineRule="exact"/>
        <w:ind w:firstLine="642" w:firstLineChars="200"/>
        <w:rPr>
          <w:rFonts w:hint="eastAsia" w:ascii="楷体" w:hAnsi="楷体" w:eastAsia="楷体" w:cs="楷体"/>
          <w:b/>
          <w:bCs/>
          <w:sz w:val="32"/>
          <w:szCs w:val="32"/>
        </w:rPr>
      </w:pPr>
      <w:r>
        <w:rPr>
          <w:rFonts w:hint="eastAsia" w:ascii="楷体" w:hAnsi="楷体" w:eastAsia="楷体" w:cs="楷体"/>
          <w:b/>
          <w:bCs/>
          <w:sz w:val="32"/>
          <w:szCs w:val="32"/>
        </w:rPr>
        <w:t>（二）机构职能</w:t>
      </w:r>
    </w:p>
    <w:p>
      <w:pPr>
        <w:pStyle w:val="36"/>
        <w:keepNext w:val="0"/>
        <w:keepLines w:val="0"/>
        <w:pageBreakBefore w:val="0"/>
        <w:kinsoku/>
        <w:wordWrap/>
        <w:overflowPunct/>
        <w:topLinePunct w:val="0"/>
        <w:autoSpaceDE/>
        <w:autoSpaceDN/>
        <w:bidi w:val="0"/>
        <w:spacing w:line="560"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负责县委日常文件的处理，负责中央和省、州、县委文件的收发、管理、传递工作；负责中央、省、州、县党委领导同志的批示的转达和催办落实等。</w:t>
      </w:r>
    </w:p>
    <w:p>
      <w:pPr>
        <w:pStyle w:val="36"/>
        <w:keepNext w:val="0"/>
        <w:keepLines w:val="0"/>
        <w:pageBreakBefore w:val="0"/>
        <w:kinsoku/>
        <w:wordWrap/>
        <w:overflowPunct/>
        <w:topLinePunct w:val="0"/>
        <w:autoSpaceDE/>
        <w:autoSpaceDN/>
        <w:bidi w:val="0"/>
        <w:spacing w:line="560" w:lineRule="exact"/>
        <w:ind w:firstLine="642" w:firstLineChars="200"/>
        <w:rPr>
          <w:rFonts w:hint="eastAsia" w:ascii="楷体" w:hAnsi="楷体" w:eastAsia="楷体" w:cs="楷体"/>
          <w:b/>
          <w:bCs/>
          <w:sz w:val="32"/>
          <w:szCs w:val="32"/>
        </w:rPr>
      </w:pPr>
      <w:r>
        <w:rPr>
          <w:rFonts w:hint="eastAsia" w:ascii="楷体" w:hAnsi="楷体" w:eastAsia="楷体" w:cs="楷体"/>
          <w:b/>
          <w:bCs/>
          <w:sz w:val="32"/>
          <w:szCs w:val="32"/>
        </w:rPr>
        <w:t>（三）人员概况</w:t>
      </w:r>
    </w:p>
    <w:p>
      <w:pPr>
        <w:pStyle w:val="36"/>
        <w:widowControl/>
        <w:spacing w:line="600" w:lineRule="exact"/>
        <w:ind w:left="210" w:leftChars="100" w:firstLine="640" w:firstLineChars="200"/>
        <w:jc w:val="left"/>
        <w:rPr>
          <w:rFonts w:hint="eastAsia" w:ascii="仿宋_GB2312" w:hAnsi="仿宋" w:eastAsia="仿宋_GB2312"/>
          <w:color w:val="auto"/>
          <w:sz w:val="32"/>
          <w:szCs w:val="32"/>
          <w:highlight w:val="none"/>
        </w:rPr>
      </w:pPr>
      <w:r>
        <w:rPr>
          <w:rFonts w:hint="eastAsia" w:ascii="仿宋_GB2312" w:hAnsi="仿宋" w:eastAsia="仿宋_GB2312"/>
          <w:color w:val="auto"/>
          <w:sz w:val="32"/>
          <w:szCs w:val="32"/>
          <w:highlight w:val="none"/>
        </w:rPr>
        <w:t xml:space="preserve">事业编制 </w:t>
      </w:r>
      <w:r>
        <w:rPr>
          <w:rFonts w:hint="eastAsia" w:ascii="仿宋_GB2312" w:hAnsi="仿宋" w:eastAsia="仿宋_GB2312"/>
          <w:color w:val="auto"/>
          <w:sz w:val="32"/>
          <w:szCs w:val="32"/>
          <w:highlight w:val="none"/>
          <w:lang w:val="en-US" w:eastAsia="zh-CN"/>
        </w:rPr>
        <w:t>9</w:t>
      </w:r>
      <w:r>
        <w:rPr>
          <w:rFonts w:hint="eastAsia" w:ascii="仿宋_GB2312" w:hAnsi="仿宋" w:eastAsia="仿宋_GB2312"/>
          <w:color w:val="auto"/>
          <w:sz w:val="32"/>
          <w:szCs w:val="32"/>
          <w:highlight w:val="none"/>
        </w:rPr>
        <w:t>名。事业</w:t>
      </w:r>
      <w:r>
        <w:rPr>
          <w:rFonts w:hint="eastAsia" w:ascii="仿宋_GB2312" w:hAnsi="仿宋" w:eastAsia="仿宋_GB2312"/>
          <w:color w:val="auto"/>
          <w:sz w:val="32"/>
          <w:szCs w:val="32"/>
          <w:highlight w:val="none"/>
          <w:lang w:eastAsia="zh-CN"/>
        </w:rPr>
        <w:t>在职</w:t>
      </w:r>
      <w:r>
        <w:rPr>
          <w:rFonts w:hint="eastAsia" w:ascii="仿宋_GB2312" w:hAnsi="仿宋" w:eastAsia="仿宋_GB2312"/>
          <w:color w:val="auto"/>
          <w:sz w:val="32"/>
          <w:szCs w:val="32"/>
          <w:highlight w:val="none"/>
        </w:rPr>
        <w:t xml:space="preserve">人员 </w:t>
      </w:r>
      <w:r>
        <w:rPr>
          <w:rFonts w:hint="eastAsia" w:ascii="仿宋_GB2312" w:hAnsi="仿宋" w:eastAsia="仿宋_GB2312"/>
          <w:color w:val="auto"/>
          <w:sz w:val="32"/>
          <w:szCs w:val="32"/>
          <w:highlight w:val="none"/>
          <w:lang w:val="en-US" w:eastAsia="zh-CN"/>
        </w:rPr>
        <w:t>9</w:t>
      </w:r>
      <w:r>
        <w:rPr>
          <w:rFonts w:hint="eastAsia" w:ascii="仿宋_GB2312" w:hAnsi="仿宋" w:eastAsia="仿宋_GB2312"/>
          <w:color w:val="auto"/>
          <w:sz w:val="32"/>
          <w:szCs w:val="32"/>
          <w:highlight w:val="none"/>
        </w:rPr>
        <w:t>名。</w:t>
      </w:r>
    </w:p>
    <w:p>
      <w:pPr>
        <w:pStyle w:val="36"/>
        <w:keepNext w:val="0"/>
        <w:keepLines w:val="0"/>
        <w:pageBreakBefore w:val="0"/>
        <w:kinsoku/>
        <w:wordWrap/>
        <w:overflowPunct/>
        <w:topLinePunct w:val="0"/>
        <w:autoSpaceDE/>
        <w:autoSpaceDN/>
        <w:bidi w:val="0"/>
        <w:spacing w:line="560" w:lineRule="exact"/>
        <w:ind w:firstLine="640" w:firstLineChars="200"/>
        <w:rPr>
          <w:rFonts w:ascii="黑体" w:hAnsi="黑体" w:eastAsia="黑体"/>
          <w:sz w:val="32"/>
          <w:szCs w:val="32"/>
        </w:rPr>
      </w:pPr>
      <w:r>
        <w:rPr>
          <w:rFonts w:hint="eastAsia" w:ascii="黑体" w:hAnsi="黑体" w:eastAsia="黑体" w:cs="黑体"/>
          <w:sz w:val="32"/>
          <w:szCs w:val="32"/>
        </w:rPr>
        <w:t>二、部门财政资金收支情况</w:t>
      </w:r>
    </w:p>
    <w:p>
      <w:pPr>
        <w:pStyle w:val="36"/>
        <w:keepNext w:val="0"/>
        <w:keepLines w:val="0"/>
        <w:pageBreakBefore w:val="0"/>
        <w:kinsoku/>
        <w:wordWrap/>
        <w:overflowPunct/>
        <w:topLinePunct w:val="0"/>
        <w:autoSpaceDE/>
        <w:autoSpaceDN/>
        <w:bidi w:val="0"/>
        <w:spacing w:line="560" w:lineRule="exact"/>
        <w:ind w:firstLine="642" w:firstLineChars="200"/>
        <w:rPr>
          <w:rFonts w:hint="eastAsia" w:ascii="楷体" w:hAnsi="楷体" w:eastAsia="楷体" w:cs="楷体"/>
          <w:b/>
          <w:bCs/>
          <w:sz w:val="32"/>
          <w:szCs w:val="32"/>
        </w:rPr>
      </w:pPr>
      <w:r>
        <w:rPr>
          <w:rFonts w:hint="eastAsia" w:ascii="楷体" w:hAnsi="楷体" w:eastAsia="楷体" w:cs="楷体"/>
          <w:b/>
          <w:bCs/>
          <w:sz w:val="32"/>
          <w:szCs w:val="32"/>
        </w:rPr>
        <w:t>（一）部门财政资金收入情况</w:t>
      </w:r>
    </w:p>
    <w:p>
      <w:pPr>
        <w:pStyle w:val="36"/>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lang w:val="en-US" w:eastAsia="zh-CN"/>
        </w:rPr>
      </w:pP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年本部门财政拨款收入决算总额为</w:t>
      </w:r>
      <w:r>
        <w:rPr>
          <w:rFonts w:hint="eastAsia" w:ascii="仿宋_GB2312" w:hAnsi="宋体" w:eastAsia="仿宋_GB2312" w:cs="宋体"/>
          <w:color w:val="000000"/>
          <w:kern w:val="0"/>
          <w:sz w:val="32"/>
          <w:szCs w:val="32"/>
          <w:lang w:val="en-US" w:eastAsia="zh-CN"/>
        </w:rPr>
        <w:t>147.82</w:t>
      </w:r>
      <w:r>
        <w:rPr>
          <w:rFonts w:hint="eastAsia" w:ascii="仿宋_GB2312" w:hAnsi="仿宋_GB2312" w:eastAsia="仿宋_GB2312" w:cs="仿宋_GB2312"/>
          <w:sz w:val="32"/>
          <w:szCs w:val="32"/>
        </w:rPr>
        <w:t>万元，其中：当年财政拨款收入</w:t>
      </w:r>
      <w:r>
        <w:rPr>
          <w:rFonts w:hint="eastAsia" w:ascii="仿宋_GB2312" w:hAnsi="宋体" w:eastAsia="仿宋_GB2312" w:cs="宋体"/>
          <w:color w:val="000000"/>
          <w:kern w:val="0"/>
          <w:sz w:val="32"/>
          <w:szCs w:val="32"/>
          <w:lang w:val="en-US" w:eastAsia="zh-CN"/>
        </w:rPr>
        <w:t>147.82</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均为一般公共预算财政拨款。</w:t>
      </w:r>
    </w:p>
    <w:p>
      <w:pPr>
        <w:pStyle w:val="36"/>
        <w:keepNext w:val="0"/>
        <w:keepLines w:val="0"/>
        <w:pageBreakBefore w:val="0"/>
        <w:kinsoku/>
        <w:wordWrap/>
        <w:overflowPunct/>
        <w:topLinePunct w:val="0"/>
        <w:autoSpaceDE/>
        <w:autoSpaceDN/>
        <w:bidi w:val="0"/>
        <w:spacing w:line="560" w:lineRule="exact"/>
        <w:ind w:firstLine="642" w:firstLineChars="200"/>
        <w:rPr>
          <w:rFonts w:hint="eastAsia" w:ascii="楷体" w:hAnsi="楷体" w:eastAsia="楷体" w:cs="楷体"/>
          <w:b/>
          <w:bCs/>
          <w:sz w:val="32"/>
          <w:szCs w:val="32"/>
        </w:rPr>
      </w:pPr>
      <w:r>
        <w:rPr>
          <w:rFonts w:hint="eastAsia" w:ascii="楷体" w:hAnsi="楷体" w:eastAsia="楷体" w:cs="楷体"/>
          <w:b/>
          <w:bCs/>
          <w:sz w:val="32"/>
          <w:szCs w:val="32"/>
        </w:rPr>
        <w:t>（二）部门财政资金支出情况</w:t>
      </w:r>
    </w:p>
    <w:p>
      <w:pPr>
        <w:pStyle w:val="36"/>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 w:eastAsia="仿宋_GB2312" w:cs="仿宋_GB2312"/>
          <w:color w:val="auto"/>
          <w:sz w:val="32"/>
          <w:szCs w:val="32"/>
        </w:rPr>
        <w:t>20</w:t>
      </w:r>
      <w:r>
        <w:rPr>
          <w:rFonts w:hint="eastAsia" w:ascii="仿宋_GB2312" w:hAnsi="仿宋" w:eastAsia="仿宋_GB2312" w:cs="仿宋_GB2312"/>
          <w:color w:val="auto"/>
          <w:sz w:val="32"/>
          <w:szCs w:val="32"/>
          <w:lang w:val="en-US" w:eastAsia="zh-CN"/>
        </w:rPr>
        <w:t>21</w:t>
      </w:r>
      <w:r>
        <w:rPr>
          <w:rFonts w:hint="eastAsia" w:ascii="仿宋_GB2312" w:hAnsi="仿宋" w:eastAsia="仿宋_GB2312" w:cs="仿宋_GB2312"/>
          <w:color w:val="auto"/>
          <w:sz w:val="32"/>
          <w:szCs w:val="32"/>
        </w:rPr>
        <w:t>年部门决算总支出</w:t>
      </w:r>
      <w:r>
        <w:rPr>
          <w:rFonts w:hint="eastAsia" w:ascii="仿宋_GB2312" w:hAnsi="宋体" w:eastAsia="仿宋_GB2312" w:cs="宋体"/>
          <w:color w:val="000000"/>
          <w:kern w:val="0"/>
          <w:sz w:val="32"/>
          <w:szCs w:val="32"/>
          <w:lang w:val="en-US" w:eastAsia="zh-CN"/>
        </w:rPr>
        <w:t>147.82</w:t>
      </w:r>
      <w:r>
        <w:rPr>
          <w:rFonts w:hint="eastAsia" w:ascii="仿宋_GB2312" w:hAnsi="仿宋_GB2312" w:eastAsia="仿宋_GB2312" w:cs="仿宋_GB2312"/>
          <w:color w:val="auto"/>
          <w:sz w:val="32"/>
          <w:szCs w:val="32"/>
        </w:rPr>
        <w:t>万元</w:t>
      </w:r>
      <w:r>
        <w:rPr>
          <w:rFonts w:hint="eastAsia" w:ascii="仿宋_GB2312" w:hAnsi="仿宋" w:eastAsia="仿宋_GB2312" w:cs="仿宋_GB2312"/>
          <w:color w:val="auto"/>
          <w:sz w:val="32"/>
          <w:szCs w:val="32"/>
        </w:rPr>
        <w:t>，其中：一般公共服务支出</w:t>
      </w:r>
      <w:r>
        <w:rPr>
          <w:rFonts w:hint="eastAsia" w:ascii="仿宋_GB2312" w:hAnsi="仿宋" w:eastAsia="仿宋_GB2312" w:cs="仿宋_GB2312"/>
          <w:color w:val="auto"/>
          <w:sz w:val="32"/>
          <w:szCs w:val="32"/>
          <w:lang w:val="en-US" w:eastAsia="zh-CN"/>
        </w:rPr>
        <w:t>118.33万元，</w:t>
      </w:r>
      <w:r>
        <w:rPr>
          <w:rFonts w:hint="eastAsia" w:ascii="仿宋_GB2312" w:hAnsi="仿宋" w:eastAsia="仿宋_GB2312" w:cs="仿宋_GB2312"/>
          <w:color w:val="auto"/>
          <w:sz w:val="32"/>
          <w:szCs w:val="32"/>
        </w:rPr>
        <w:t>社会保障就业支出</w:t>
      </w:r>
      <w:r>
        <w:rPr>
          <w:rFonts w:hint="eastAsia" w:ascii="仿宋_GB2312" w:hAnsi="仿宋" w:eastAsia="仿宋_GB2312" w:cs="仿宋_GB2312"/>
          <w:color w:val="auto"/>
          <w:sz w:val="32"/>
          <w:szCs w:val="32"/>
          <w:lang w:val="en-US" w:eastAsia="zh-CN"/>
        </w:rPr>
        <w:t>13.41万</w:t>
      </w:r>
      <w:r>
        <w:rPr>
          <w:rFonts w:hint="eastAsia" w:ascii="仿宋_GB2312" w:hAnsi="仿宋" w:eastAsia="仿宋_GB2312" w:cs="仿宋_GB2312"/>
          <w:color w:val="auto"/>
          <w:sz w:val="32"/>
          <w:szCs w:val="32"/>
        </w:rPr>
        <w:t>元，卫生</w:t>
      </w:r>
      <w:r>
        <w:rPr>
          <w:rFonts w:hint="eastAsia" w:ascii="仿宋_GB2312" w:hAnsi="仿宋" w:eastAsia="仿宋_GB2312" w:cs="仿宋_GB2312"/>
          <w:color w:val="auto"/>
          <w:sz w:val="32"/>
          <w:szCs w:val="32"/>
          <w:lang w:val="en-US" w:eastAsia="zh-CN"/>
        </w:rPr>
        <w:t>健康支出6.6万</w:t>
      </w:r>
      <w:r>
        <w:rPr>
          <w:rFonts w:hint="eastAsia" w:ascii="仿宋_GB2312" w:hAnsi="仿宋" w:eastAsia="仿宋_GB2312" w:cs="仿宋_GB2312"/>
          <w:color w:val="auto"/>
          <w:sz w:val="32"/>
          <w:szCs w:val="32"/>
        </w:rPr>
        <w:t>元，住房保障支出</w:t>
      </w:r>
      <w:r>
        <w:rPr>
          <w:rFonts w:hint="eastAsia" w:ascii="仿宋_GB2312" w:hAnsi="仿宋" w:eastAsia="仿宋_GB2312" w:cs="仿宋_GB2312"/>
          <w:color w:val="auto"/>
          <w:sz w:val="32"/>
          <w:szCs w:val="32"/>
          <w:lang w:val="en-US" w:eastAsia="zh-CN"/>
        </w:rPr>
        <w:t>9.47万</w:t>
      </w:r>
      <w:r>
        <w:rPr>
          <w:rFonts w:hint="eastAsia" w:ascii="仿宋_GB2312" w:hAnsi="仿宋" w:eastAsia="仿宋_GB2312" w:cs="仿宋_GB2312"/>
          <w:color w:val="auto"/>
          <w:sz w:val="32"/>
          <w:szCs w:val="32"/>
        </w:rPr>
        <w:t>元</w:t>
      </w:r>
      <w:r>
        <w:rPr>
          <w:rFonts w:hint="eastAsia" w:ascii="仿宋_GB2312" w:hAnsi="仿宋" w:eastAsia="仿宋_GB2312" w:cs="仿宋_GB2312"/>
          <w:color w:val="auto"/>
          <w:sz w:val="32"/>
          <w:szCs w:val="32"/>
          <w:lang w:eastAsia="zh-CN"/>
        </w:rPr>
        <w:t>，农林水支出</w:t>
      </w:r>
      <w:r>
        <w:rPr>
          <w:rFonts w:hint="eastAsia" w:ascii="仿宋_GB2312" w:hAnsi="仿宋" w:eastAsia="仿宋_GB2312" w:cs="仿宋_GB2312"/>
          <w:color w:val="auto"/>
          <w:sz w:val="32"/>
          <w:szCs w:val="32"/>
          <w:lang w:val="en-US" w:eastAsia="zh-CN"/>
        </w:rPr>
        <w:t>0.84万元</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按支出性质分类</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基</w:t>
      </w:r>
      <w:r>
        <w:rPr>
          <w:rFonts w:hint="eastAsia" w:ascii="仿宋_GB2312" w:hAnsi="仿宋_GB2312" w:eastAsia="仿宋_GB2312" w:cs="仿宋_GB2312"/>
          <w:sz w:val="32"/>
          <w:szCs w:val="32"/>
        </w:rPr>
        <w:t>本支出</w:t>
      </w:r>
      <w:r>
        <w:rPr>
          <w:rFonts w:hint="eastAsia" w:ascii="仿宋_GB2312" w:hAnsi="宋体" w:eastAsia="仿宋_GB2312" w:cs="宋体"/>
          <w:color w:val="000000"/>
          <w:kern w:val="0"/>
          <w:sz w:val="32"/>
          <w:szCs w:val="32"/>
          <w:lang w:val="en-US" w:eastAsia="zh-CN"/>
        </w:rPr>
        <w:t>147.82</w:t>
      </w:r>
      <w:r>
        <w:rPr>
          <w:rFonts w:hint="eastAsia" w:ascii="仿宋_GB2312" w:hAnsi="仿宋_GB2312" w:eastAsia="仿宋_GB2312" w:cs="仿宋_GB2312"/>
          <w:sz w:val="32"/>
          <w:szCs w:val="32"/>
        </w:rPr>
        <w:t>万元，项目支出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万元；按经济分类，工资福利支出</w:t>
      </w:r>
      <w:r>
        <w:rPr>
          <w:rFonts w:hint="eastAsia" w:ascii="仿宋_GB2312" w:hAnsi="仿宋_GB2312" w:eastAsia="仿宋_GB2312" w:cs="仿宋_GB2312"/>
          <w:sz w:val="32"/>
          <w:szCs w:val="32"/>
          <w:lang w:val="en-US" w:eastAsia="zh-CN"/>
        </w:rPr>
        <w:t>140.85</w:t>
      </w:r>
      <w:r>
        <w:rPr>
          <w:rFonts w:hint="eastAsia" w:ascii="仿宋_GB2312" w:hAnsi="仿宋_GB2312" w:eastAsia="仿宋_GB2312" w:cs="仿宋_GB2312"/>
          <w:sz w:val="32"/>
          <w:szCs w:val="32"/>
        </w:rPr>
        <w:t>万元，商品服务支出</w:t>
      </w:r>
      <w:r>
        <w:rPr>
          <w:rFonts w:hint="eastAsia" w:ascii="仿宋_GB2312" w:hAnsi="仿宋_GB2312" w:eastAsia="仿宋_GB2312" w:cs="仿宋_GB2312"/>
          <w:sz w:val="32"/>
          <w:szCs w:val="32"/>
          <w:lang w:val="en-US" w:eastAsia="zh-CN"/>
        </w:rPr>
        <w:t>6.95</w:t>
      </w:r>
      <w:r>
        <w:rPr>
          <w:rFonts w:hint="eastAsia" w:ascii="仿宋_GB2312" w:hAnsi="仿宋_GB2312" w:eastAsia="仿宋_GB2312" w:cs="仿宋_GB2312"/>
          <w:sz w:val="32"/>
          <w:szCs w:val="32"/>
        </w:rPr>
        <w:t>万元，个人及家庭补助支出</w:t>
      </w:r>
      <w:r>
        <w:rPr>
          <w:rFonts w:hint="eastAsia" w:ascii="仿宋_GB2312" w:hAnsi="仿宋_GB2312" w:eastAsia="仿宋_GB2312" w:cs="仿宋_GB2312"/>
          <w:sz w:val="32"/>
          <w:szCs w:val="32"/>
          <w:lang w:val="en-US" w:eastAsia="zh-CN"/>
        </w:rPr>
        <w:t>190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p>
    <w:p>
      <w:pPr>
        <w:pStyle w:val="36"/>
        <w:keepNext w:val="0"/>
        <w:keepLines w:val="0"/>
        <w:pageBreakBefore w:val="0"/>
        <w:kinsoku/>
        <w:wordWrap/>
        <w:overflowPunct/>
        <w:topLinePunct w:val="0"/>
        <w:autoSpaceDE/>
        <w:autoSpaceDN/>
        <w:bidi w:val="0"/>
        <w:spacing w:line="560" w:lineRule="exact"/>
        <w:ind w:firstLine="640" w:firstLineChars="200"/>
        <w:rPr>
          <w:rFonts w:ascii="黑体" w:hAnsi="黑体" w:eastAsia="黑体"/>
          <w:sz w:val="32"/>
          <w:szCs w:val="32"/>
        </w:rPr>
      </w:pPr>
      <w:r>
        <w:rPr>
          <w:rFonts w:hint="eastAsia" w:ascii="黑体" w:hAnsi="黑体" w:eastAsia="黑体" w:cs="黑体"/>
          <w:sz w:val="32"/>
          <w:szCs w:val="32"/>
        </w:rPr>
        <w:t>三、部门整体预算绩效管理情况</w:t>
      </w:r>
    </w:p>
    <w:p>
      <w:pPr>
        <w:pStyle w:val="36"/>
        <w:keepNext w:val="0"/>
        <w:keepLines w:val="0"/>
        <w:pageBreakBefore w:val="0"/>
        <w:kinsoku/>
        <w:wordWrap/>
        <w:overflowPunct/>
        <w:topLinePunct w:val="0"/>
        <w:autoSpaceDE/>
        <w:autoSpaceDN/>
        <w:bidi w:val="0"/>
        <w:spacing w:line="560" w:lineRule="exact"/>
        <w:ind w:firstLine="642" w:firstLineChars="200"/>
        <w:rPr>
          <w:rFonts w:hint="eastAsia" w:ascii="楷体" w:hAnsi="楷体" w:eastAsia="楷体" w:cs="楷体"/>
          <w:b/>
          <w:bCs/>
          <w:sz w:val="32"/>
          <w:szCs w:val="32"/>
        </w:rPr>
      </w:pPr>
      <w:r>
        <w:rPr>
          <w:rFonts w:hint="eastAsia" w:ascii="楷体" w:hAnsi="楷体" w:eastAsia="楷体" w:cs="楷体"/>
          <w:b/>
          <w:bCs/>
          <w:sz w:val="32"/>
          <w:szCs w:val="32"/>
        </w:rPr>
        <w:t>（一）部门预</w:t>
      </w:r>
      <w:r>
        <w:rPr>
          <w:rFonts w:hint="eastAsia" w:ascii="楷体" w:hAnsi="楷体" w:eastAsia="楷体" w:cs="楷体"/>
          <w:b/>
          <w:bCs/>
          <w:sz w:val="32"/>
          <w:szCs w:val="32"/>
          <w:lang w:eastAsia="zh-CN"/>
        </w:rPr>
        <w:t>决</w:t>
      </w:r>
      <w:r>
        <w:rPr>
          <w:rFonts w:hint="eastAsia" w:ascii="楷体" w:hAnsi="楷体" w:eastAsia="楷体" w:cs="楷体"/>
          <w:b/>
          <w:bCs/>
          <w:sz w:val="32"/>
          <w:szCs w:val="32"/>
        </w:rPr>
        <w:t>算管理</w:t>
      </w:r>
    </w:p>
    <w:p>
      <w:pPr>
        <w:pStyle w:val="36"/>
        <w:keepNext w:val="0"/>
        <w:keepLines w:val="0"/>
        <w:pageBreakBefore w:val="0"/>
        <w:kinsoku/>
        <w:wordWrap/>
        <w:overflowPunct/>
        <w:topLinePunct w:val="0"/>
        <w:autoSpaceDE/>
        <w:autoSpaceDN/>
        <w:bidi w:val="0"/>
        <w:spacing w:line="560"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我办严格按照有关要求，按时完成</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决算</w:t>
      </w:r>
      <w:r>
        <w:rPr>
          <w:rFonts w:hint="eastAsia" w:ascii="仿宋_GB2312" w:hAnsi="仿宋_GB2312" w:eastAsia="仿宋_GB2312" w:cs="仿宋_GB2312"/>
          <w:sz w:val="32"/>
          <w:szCs w:val="32"/>
        </w:rPr>
        <w:t>编制工作，。按规定编制政府采购预算，预算编制全面、科学。</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年部门决算、绩效目标填报及年末结余结转都是严格按照要求认真完成。</w:t>
      </w:r>
    </w:p>
    <w:p>
      <w:pPr>
        <w:pStyle w:val="36"/>
        <w:keepNext w:val="0"/>
        <w:keepLines w:val="0"/>
        <w:pageBreakBefore w:val="0"/>
        <w:kinsoku/>
        <w:wordWrap/>
        <w:overflowPunct/>
        <w:topLinePunct w:val="0"/>
        <w:autoSpaceDE/>
        <w:autoSpaceDN/>
        <w:bidi w:val="0"/>
        <w:spacing w:line="560" w:lineRule="exact"/>
        <w:ind w:firstLine="642" w:firstLineChars="200"/>
        <w:rPr>
          <w:rFonts w:hint="eastAsia" w:ascii="楷体" w:hAnsi="楷体" w:eastAsia="楷体" w:cs="楷体"/>
          <w:b/>
          <w:bCs/>
          <w:sz w:val="32"/>
          <w:szCs w:val="32"/>
        </w:rPr>
      </w:pPr>
      <w:r>
        <w:rPr>
          <w:rFonts w:hint="eastAsia" w:ascii="楷体" w:hAnsi="楷体" w:eastAsia="楷体" w:cs="楷体"/>
          <w:b/>
          <w:bCs/>
          <w:sz w:val="32"/>
          <w:szCs w:val="32"/>
        </w:rPr>
        <w:t>（</w:t>
      </w:r>
      <w:r>
        <w:rPr>
          <w:rFonts w:hint="eastAsia" w:ascii="楷体" w:hAnsi="楷体" w:eastAsia="楷体" w:cs="楷体"/>
          <w:b/>
          <w:bCs/>
          <w:sz w:val="32"/>
          <w:szCs w:val="32"/>
          <w:lang w:val="en-US" w:eastAsia="zh-CN"/>
        </w:rPr>
        <w:t>二</w:t>
      </w:r>
      <w:r>
        <w:rPr>
          <w:rFonts w:hint="eastAsia" w:ascii="楷体" w:hAnsi="楷体" w:eastAsia="楷体" w:cs="楷体"/>
          <w:b/>
          <w:bCs/>
          <w:sz w:val="32"/>
          <w:szCs w:val="32"/>
        </w:rPr>
        <w:t>）结果应用情况</w:t>
      </w:r>
    </w:p>
    <w:p>
      <w:pPr>
        <w:pStyle w:val="36"/>
        <w:keepNext w:val="0"/>
        <w:keepLines w:val="0"/>
        <w:pageBreakBefore w:val="0"/>
        <w:kinsoku/>
        <w:wordWrap/>
        <w:overflowPunct/>
        <w:topLinePunct w:val="0"/>
        <w:autoSpaceDE/>
        <w:autoSpaceDN/>
        <w:bidi w:val="0"/>
        <w:spacing w:line="560"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我办对部门预算绩效管理工作开展情况认真进行了自查自评。绩效评价自查开展覆盖下属单位及重点支出，将评价结果作为预算安排的重要依据，调整支出结构，优化财政资金配置，不断强化绩效理念，推动我部门整体绩效管理水平不断提升。</w:t>
      </w:r>
    </w:p>
    <w:p>
      <w:pPr>
        <w:pStyle w:val="36"/>
        <w:keepNext w:val="0"/>
        <w:keepLines w:val="0"/>
        <w:pageBreakBefore w:val="0"/>
        <w:kinsoku/>
        <w:wordWrap/>
        <w:overflowPunct/>
        <w:topLinePunct w:val="0"/>
        <w:autoSpaceDE/>
        <w:autoSpaceDN/>
        <w:bidi w:val="0"/>
        <w:spacing w:line="560" w:lineRule="exact"/>
        <w:ind w:firstLine="640" w:firstLineChars="200"/>
        <w:rPr>
          <w:rFonts w:ascii="黑体" w:hAnsi="黑体" w:eastAsia="黑体"/>
          <w:sz w:val="32"/>
          <w:szCs w:val="32"/>
        </w:rPr>
      </w:pPr>
      <w:r>
        <w:rPr>
          <w:rFonts w:hint="eastAsia" w:ascii="黑体" w:hAnsi="黑体" w:eastAsia="黑体" w:cs="黑体"/>
          <w:sz w:val="32"/>
          <w:szCs w:val="32"/>
          <w:lang w:eastAsia="zh-CN"/>
        </w:rPr>
        <w:t>四</w:t>
      </w:r>
      <w:r>
        <w:rPr>
          <w:rFonts w:hint="eastAsia" w:ascii="黑体" w:hAnsi="黑体" w:eastAsia="黑体" w:cs="黑体"/>
          <w:sz w:val="32"/>
          <w:szCs w:val="32"/>
        </w:rPr>
        <w:t>、评价结论及建议</w:t>
      </w:r>
    </w:p>
    <w:p>
      <w:pPr>
        <w:pStyle w:val="36"/>
        <w:keepNext w:val="0"/>
        <w:keepLines w:val="0"/>
        <w:pageBreakBefore w:val="0"/>
        <w:kinsoku/>
        <w:wordWrap/>
        <w:overflowPunct/>
        <w:topLinePunct w:val="0"/>
        <w:autoSpaceDE/>
        <w:autoSpaceDN/>
        <w:bidi w:val="0"/>
        <w:spacing w:line="560"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我办对财政资金使用管理情况，认真开展自评工作，撰写部门自评报告。我办财务管理制度健全，执行制度严格合规，会计核算符合相关规定，资金专款专用，资金支付依据和开支标准合法合规，严格执行政府采购。</w:t>
      </w:r>
    </w:p>
    <w:p>
      <w:pPr>
        <w:pStyle w:val="36"/>
        <w:keepNext w:val="0"/>
        <w:keepLines w:val="0"/>
        <w:pageBreakBefore w:val="0"/>
        <w:kinsoku/>
        <w:wordWrap/>
        <w:overflowPunct/>
        <w:topLinePunct w:val="0"/>
        <w:autoSpaceDE/>
        <w:autoSpaceDN/>
        <w:bidi w:val="0"/>
        <w:spacing w:line="560" w:lineRule="exact"/>
        <w:ind w:firstLine="642" w:firstLineChars="200"/>
        <w:rPr>
          <w:rFonts w:hint="eastAsia" w:ascii="楷体" w:hAnsi="楷体" w:eastAsia="楷体" w:cs="楷体"/>
          <w:b/>
          <w:bCs/>
          <w:sz w:val="32"/>
          <w:szCs w:val="32"/>
        </w:rPr>
      </w:pPr>
      <w:r>
        <w:rPr>
          <w:rFonts w:hint="eastAsia" w:ascii="楷体" w:hAnsi="楷体" w:eastAsia="楷体" w:cs="楷体"/>
          <w:b/>
          <w:bCs/>
          <w:sz w:val="32"/>
          <w:szCs w:val="32"/>
        </w:rPr>
        <w:t>（一）评价结论</w:t>
      </w:r>
    </w:p>
    <w:p>
      <w:pPr>
        <w:pStyle w:val="36"/>
        <w:keepNext w:val="0"/>
        <w:keepLines w:val="0"/>
        <w:pageBreakBefore w:val="0"/>
        <w:kinsoku/>
        <w:wordWrap/>
        <w:overflowPunct/>
        <w:topLinePunct w:val="0"/>
        <w:autoSpaceDE/>
        <w:autoSpaceDN/>
        <w:bidi w:val="0"/>
        <w:spacing w:line="560" w:lineRule="exact"/>
        <w:ind w:firstLine="640" w:firstLineChars="200"/>
        <w:rPr>
          <w:rFonts w:ascii="仿宋_GB2312" w:hAnsi="仿宋_GB2312" w:eastAsia="仿宋_GB2312"/>
          <w:sz w:val="32"/>
          <w:szCs w:val="32"/>
        </w:rPr>
      </w:pP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年我办部门整体支出绩效评价自查自评结果良好，全年基本支出保证了部门的正常运行和日常工作的正常开展，项目支出保障了重点工作的开展，达到预期绩效目标。</w:t>
      </w:r>
    </w:p>
    <w:p>
      <w:pPr>
        <w:pStyle w:val="36"/>
        <w:keepNext w:val="0"/>
        <w:keepLines w:val="0"/>
        <w:pageBreakBefore w:val="0"/>
        <w:kinsoku/>
        <w:wordWrap/>
        <w:overflowPunct/>
        <w:topLinePunct w:val="0"/>
        <w:autoSpaceDE/>
        <w:autoSpaceDN/>
        <w:bidi w:val="0"/>
        <w:spacing w:line="560" w:lineRule="exact"/>
        <w:ind w:firstLine="642" w:firstLineChars="200"/>
        <w:rPr>
          <w:rFonts w:hint="eastAsia" w:ascii="楷体" w:hAnsi="楷体" w:eastAsia="楷体" w:cs="楷体"/>
          <w:b/>
          <w:bCs/>
          <w:sz w:val="32"/>
          <w:szCs w:val="32"/>
        </w:rPr>
      </w:pPr>
      <w:r>
        <w:rPr>
          <w:rFonts w:hint="eastAsia" w:ascii="楷体" w:hAnsi="楷体" w:eastAsia="楷体" w:cs="楷体"/>
          <w:b/>
          <w:bCs/>
          <w:sz w:val="32"/>
          <w:szCs w:val="32"/>
        </w:rPr>
        <w:t>（二）存在问题</w:t>
      </w:r>
    </w:p>
    <w:p>
      <w:pPr>
        <w:pStyle w:val="36"/>
        <w:keepNext w:val="0"/>
        <w:keepLines w:val="0"/>
        <w:pageBreakBefore w:val="0"/>
        <w:kinsoku/>
        <w:wordWrap/>
        <w:overflowPunct/>
        <w:topLinePunct w:val="0"/>
        <w:autoSpaceDE/>
        <w:autoSpaceDN/>
        <w:bidi w:val="0"/>
        <w:spacing w:line="560"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lang w:eastAsia="zh-CN"/>
        </w:rPr>
        <w:t>决算</w:t>
      </w:r>
      <w:r>
        <w:rPr>
          <w:rFonts w:hint="eastAsia" w:ascii="仿宋_GB2312" w:hAnsi="仿宋_GB2312" w:eastAsia="仿宋_GB2312" w:cs="仿宋_GB2312"/>
          <w:sz w:val="32"/>
          <w:szCs w:val="32"/>
        </w:rPr>
        <w:t>编制需进一步细化，绩效目标设定有待更科学更合理。</w:t>
      </w:r>
    </w:p>
    <w:p>
      <w:pPr>
        <w:pStyle w:val="36"/>
        <w:keepNext w:val="0"/>
        <w:keepLines w:val="0"/>
        <w:pageBreakBefore w:val="0"/>
        <w:kinsoku/>
        <w:wordWrap/>
        <w:overflowPunct/>
        <w:topLinePunct w:val="0"/>
        <w:autoSpaceDE/>
        <w:autoSpaceDN/>
        <w:bidi w:val="0"/>
        <w:spacing w:line="560" w:lineRule="exact"/>
        <w:ind w:firstLine="642" w:firstLineChars="200"/>
        <w:rPr>
          <w:rFonts w:hint="eastAsia" w:ascii="楷体" w:hAnsi="楷体" w:eastAsia="楷体" w:cs="楷体"/>
          <w:b/>
          <w:bCs/>
          <w:sz w:val="32"/>
          <w:szCs w:val="32"/>
        </w:rPr>
      </w:pPr>
      <w:r>
        <w:rPr>
          <w:rFonts w:hint="eastAsia" w:ascii="楷体" w:hAnsi="楷体" w:eastAsia="楷体" w:cs="楷体"/>
          <w:b/>
          <w:bCs/>
          <w:sz w:val="32"/>
          <w:szCs w:val="32"/>
        </w:rPr>
        <w:t>（三）改进建议</w:t>
      </w:r>
    </w:p>
    <w:p>
      <w:pPr>
        <w:pStyle w:val="36"/>
        <w:keepNext w:val="0"/>
        <w:keepLines w:val="0"/>
        <w:pageBreakBefore w:val="0"/>
        <w:kinsoku/>
        <w:wordWrap/>
        <w:overflowPunct/>
        <w:topLinePunct w:val="0"/>
        <w:autoSpaceDE/>
        <w:autoSpaceDN/>
        <w:bidi w:val="0"/>
        <w:adjustRightInd/>
        <w:snapToGrid/>
        <w:spacing w:line="560"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针对存在的问题，我们将进一步科学设定绩效目标，加强预算执行管理。遵循先有预算、后有支出的原则，加强新《预算法》、《行政单位会计制度》等学习培训，规范部门预算收支核算；加强财务管理和内部控制监督制度。</w:t>
      </w:r>
    </w:p>
    <w:p>
      <w:pPr>
        <w:pStyle w:val="36"/>
        <w:keepNext w:val="0"/>
        <w:keepLines w:val="0"/>
        <w:pageBreakBefore w:val="0"/>
        <w:kinsoku/>
        <w:wordWrap/>
        <w:overflowPunct/>
        <w:topLinePunct w:val="0"/>
        <w:autoSpaceDE/>
        <w:autoSpaceDN/>
        <w:bidi w:val="0"/>
        <w:adjustRightInd/>
        <w:snapToGrid/>
        <w:spacing w:line="560" w:lineRule="exact"/>
        <w:rPr>
          <w:rFonts w:hint="eastAsia" w:ascii="仿宋_GB2312" w:hAnsi="仿宋_GB2312" w:eastAsia="仿宋_GB2312" w:cs="仿宋_GB2312"/>
          <w:sz w:val="32"/>
          <w:szCs w:val="32"/>
          <w:lang w:eastAsia="zh-CN"/>
        </w:rPr>
      </w:pPr>
    </w:p>
    <w:p>
      <w:pPr>
        <w:pStyle w:val="36"/>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lang w:eastAsia="zh-CN"/>
        </w:rPr>
      </w:pPr>
    </w:p>
    <w:p>
      <w:pPr>
        <w:pStyle w:val="36"/>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lang w:eastAsia="zh-CN"/>
        </w:rPr>
      </w:pPr>
    </w:p>
    <w:p>
      <w:pPr>
        <w:pStyle w:val="36"/>
        <w:keepNext w:val="0"/>
        <w:keepLines w:val="0"/>
        <w:pageBreakBefore w:val="0"/>
        <w:kinsoku/>
        <w:wordWrap/>
        <w:overflowPunct/>
        <w:topLinePunct w:val="0"/>
        <w:autoSpaceDE/>
        <w:autoSpaceDN/>
        <w:bidi w:val="0"/>
        <w:adjustRightInd/>
        <w:snapToGrid/>
        <w:spacing w:line="560" w:lineRule="exact"/>
        <w:ind w:firstLine="4160" w:firstLineChars="13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中国共产党茂县委员会办公室</w:t>
      </w:r>
    </w:p>
    <w:p>
      <w:pPr>
        <w:pStyle w:val="36"/>
        <w:keepNext w:val="0"/>
        <w:keepLines w:val="0"/>
        <w:pageBreakBefore w:val="0"/>
        <w:kinsoku/>
        <w:wordWrap/>
        <w:overflowPunct/>
        <w:topLinePunct w:val="0"/>
        <w:autoSpaceDE/>
        <w:autoSpaceDN/>
        <w:bidi w:val="0"/>
        <w:adjustRightInd/>
        <w:snapToGrid/>
        <w:spacing w:line="560" w:lineRule="exact"/>
        <w:ind w:firstLine="5120" w:firstLineChars="1600"/>
        <w:rPr>
          <w:rFonts w:hint="eastAsia" w:ascii="仿宋_GB2312" w:hAnsi="仿宋_GB2312" w:eastAsia="仿宋_GB2312" w:cs="仿宋_GB2312"/>
          <w:sz w:val="32"/>
          <w:szCs w:val="32"/>
          <w:lang w:val="en-US" w:eastAsia="zh-CN"/>
        </w:rPr>
        <w:sectPr>
          <w:headerReference r:id="rId3" w:type="default"/>
          <w:footerReference r:id="rId4" w:type="default"/>
          <w:pgSz w:w="11906" w:h="16838"/>
          <w:pgMar w:top="1440" w:right="1474" w:bottom="1440" w:left="1587" w:header="851" w:footer="992" w:gutter="0"/>
          <w:cols w:space="720" w:num="1"/>
          <w:docGrid w:type="lines" w:linePitch="312" w:charSpace="0"/>
        </w:sectPr>
      </w:pPr>
      <w:r>
        <w:rPr>
          <w:rFonts w:hint="eastAsia" w:ascii="仿宋_GB2312" w:hAnsi="仿宋_GB2312" w:eastAsia="仿宋_GB2312" w:cs="仿宋_GB2312"/>
          <w:sz w:val="32"/>
          <w:szCs w:val="32"/>
          <w:lang w:val="en-US" w:eastAsia="zh-CN"/>
        </w:rPr>
        <w:t>2022年9月21日</w:t>
      </w:r>
    </w:p>
    <w:p>
      <w:pPr>
        <w:pStyle w:val="3"/>
        <w:jc w:val="center"/>
        <w:rPr>
          <w:rFonts w:ascii="黑体" w:hAnsi="黑体" w:eastAsia="黑体" w:cs="黑体"/>
        </w:rPr>
      </w:pPr>
      <w:r>
        <w:rPr>
          <w:rFonts w:hint="eastAsia" w:ascii="黑体" w:hAnsi="黑体" w:eastAsia="黑体" w:cs="黑体"/>
        </w:rPr>
        <w:t>第五部分 附表</w:t>
      </w:r>
    </w:p>
    <w:p>
      <w:pPr>
        <w:pStyle w:val="4"/>
        <w:keepNext/>
        <w:keepLines/>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黑体" w:eastAsia="黑体" w:cs="Times New Roman"/>
          <w:bCs w:val="0"/>
          <w:color w:val="000000"/>
        </w:rPr>
      </w:pPr>
      <w:r>
        <w:rPr>
          <w:rFonts w:hint="eastAsia" w:ascii="黑体" w:eastAsia="黑体" w:cs="Times New Roman"/>
          <w:bCs w:val="0"/>
          <w:color w:val="000000"/>
        </w:rPr>
        <w:t>一、收入支出决算总表</w:t>
      </w:r>
    </w:p>
    <w:p>
      <w:pPr>
        <w:pStyle w:val="4"/>
        <w:keepNext/>
        <w:keepLines/>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黑体" w:eastAsia="黑体" w:cs="Times New Roman"/>
          <w:bCs w:val="0"/>
          <w:color w:val="000000"/>
        </w:rPr>
      </w:pPr>
      <w:r>
        <w:rPr>
          <w:rFonts w:hint="eastAsia" w:ascii="黑体" w:eastAsia="黑体" w:cs="Times New Roman"/>
          <w:bCs w:val="0"/>
          <w:color w:val="000000"/>
        </w:rPr>
        <w:t>二、收入决算表</w:t>
      </w:r>
    </w:p>
    <w:p>
      <w:pPr>
        <w:pStyle w:val="4"/>
        <w:keepNext/>
        <w:keepLines/>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黑体" w:eastAsia="黑体" w:cs="Times New Roman"/>
          <w:bCs w:val="0"/>
          <w:color w:val="000000"/>
        </w:rPr>
      </w:pPr>
      <w:r>
        <w:rPr>
          <w:rFonts w:hint="eastAsia" w:ascii="黑体" w:eastAsia="黑体" w:cs="Times New Roman"/>
          <w:bCs w:val="0"/>
          <w:color w:val="000000"/>
        </w:rPr>
        <w:t>三、支出决算表</w:t>
      </w:r>
    </w:p>
    <w:p>
      <w:pPr>
        <w:pStyle w:val="4"/>
        <w:keepNext/>
        <w:keepLines/>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黑体" w:eastAsia="黑体" w:cs="Times New Roman"/>
          <w:bCs w:val="0"/>
          <w:color w:val="000000"/>
        </w:rPr>
      </w:pPr>
      <w:r>
        <w:rPr>
          <w:rFonts w:hint="eastAsia" w:ascii="黑体" w:eastAsia="黑体" w:cs="Times New Roman"/>
          <w:bCs w:val="0"/>
          <w:color w:val="000000"/>
        </w:rPr>
        <w:t>四、财政拨款收入支出决算总表</w:t>
      </w:r>
    </w:p>
    <w:p>
      <w:pPr>
        <w:pStyle w:val="4"/>
        <w:keepNext/>
        <w:keepLines/>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黑体" w:eastAsia="黑体" w:cs="Times New Roman"/>
          <w:bCs w:val="0"/>
          <w:color w:val="000000"/>
        </w:rPr>
      </w:pPr>
      <w:r>
        <w:rPr>
          <w:rFonts w:hint="eastAsia" w:ascii="黑体" w:eastAsia="黑体" w:cs="Times New Roman"/>
          <w:bCs w:val="0"/>
          <w:color w:val="000000"/>
        </w:rPr>
        <w:t>五、财政拨款支出决算明细表</w:t>
      </w:r>
    </w:p>
    <w:p>
      <w:pPr>
        <w:pStyle w:val="4"/>
        <w:keepNext/>
        <w:keepLines/>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黑体" w:eastAsia="黑体" w:cs="Times New Roman"/>
          <w:bCs w:val="0"/>
          <w:color w:val="000000"/>
        </w:rPr>
      </w:pPr>
      <w:r>
        <w:rPr>
          <w:rFonts w:hint="eastAsia" w:ascii="黑体" w:eastAsia="黑体" w:cs="Times New Roman"/>
          <w:bCs w:val="0"/>
          <w:color w:val="000000"/>
        </w:rPr>
        <w:t>六、一般公共预算财政拨款支出决算表</w:t>
      </w:r>
    </w:p>
    <w:p>
      <w:pPr>
        <w:pStyle w:val="4"/>
        <w:keepNext/>
        <w:keepLines/>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黑体" w:eastAsia="黑体" w:cs="Times New Roman"/>
          <w:bCs w:val="0"/>
          <w:color w:val="000000"/>
        </w:rPr>
      </w:pPr>
      <w:r>
        <w:rPr>
          <w:rFonts w:hint="eastAsia" w:ascii="黑体" w:eastAsia="黑体" w:cs="Times New Roman"/>
          <w:bCs w:val="0"/>
          <w:color w:val="000000"/>
        </w:rPr>
        <w:t>七、一般公共预算财政拨款支出决算明细表</w:t>
      </w:r>
    </w:p>
    <w:p>
      <w:pPr>
        <w:pStyle w:val="4"/>
        <w:keepNext/>
        <w:keepLines/>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黑体" w:eastAsia="黑体" w:cs="Times New Roman"/>
          <w:bCs w:val="0"/>
          <w:color w:val="000000"/>
        </w:rPr>
      </w:pPr>
      <w:r>
        <w:rPr>
          <w:rFonts w:hint="eastAsia" w:ascii="黑体" w:eastAsia="黑体" w:cs="Times New Roman"/>
          <w:bCs w:val="0"/>
          <w:color w:val="000000"/>
        </w:rPr>
        <w:t>八、一般公共预算财政拨款基本支出决算表</w:t>
      </w:r>
    </w:p>
    <w:p>
      <w:pPr>
        <w:pStyle w:val="4"/>
        <w:keepNext/>
        <w:keepLines/>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黑体" w:eastAsia="黑体" w:cs="Times New Roman"/>
          <w:bCs w:val="0"/>
          <w:color w:val="000000"/>
        </w:rPr>
      </w:pPr>
      <w:r>
        <w:rPr>
          <w:rFonts w:hint="eastAsia" w:ascii="黑体" w:eastAsia="黑体" w:cs="Times New Roman"/>
          <w:bCs w:val="0"/>
          <w:color w:val="000000"/>
        </w:rPr>
        <w:t>九、一般公共预算财政拨款项目支出决算表</w:t>
      </w:r>
    </w:p>
    <w:p>
      <w:pPr>
        <w:pStyle w:val="4"/>
        <w:keepNext/>
        <w:keepLines/>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黑体" w:eastAsia="黑体" w:cs="Times New Roman"/>
          <w:bCs w:val="0"/>
          <w:color w:val="000000"/>
        </w:rPr>
      </w:pPr>
      <w:r>
        <w:rPr>
          <w:rFonts w:hint="eastAsia" w:ascii="黑体" w:eastAsia="黑体" w:cs="Times New Roman"/>
          <w:bCs w:val="0"/>
          <w:color w:val="000000"/>
        </w:rPr>
        <w:t>十、一般公共预算财政拨款“三公”经费支出决算表</w:t>
      </w:r>
    </w:p>
    <w:p>
      <w:pPr>
        <w:pStyle w:val="4"/>
        <w:keepNext/>
        <w:keepLines/>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黑体" w:eastAsia="黑体" w:cs="Times New Roman"/>
          <w:bCs w:val="0"/>
          <w:color w:val="000000"/>
        </w:rPr>
      </w:pPr>
      <w:r>
        <w:rPr>
          <w:rFonts w:hint="eastAsia" w:ascii="黑体" w:eastAsia="黑体" w:cs="Times New Roman"/>
          <w:bCs w:val="0"/>
          <w:color w:val="000000"/>
        </w:rPr>
        <w:t>十一、政府性基金预算财政拨款收入支出决算表</w:t>
      </w:r>
    </w:p>
    <w:p>
      <w:pPr>
        <w:pStyle w:val="4"/>
        <w:keepNext/>
        <w:keepLines/>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黑体" w:eastAsia="黑体" w:cs="Times New Roman"/>
          <w:bCs w:val="0"/>
          <w:color w:val="000000"/>
        </w:rPr>
      </w:pPr>
      <w:r>
        <w:rPr>
          <w:rFonts w:hint="eastAsia" w:ascii="黑体" w:eastAsia="黑体" w:cs="Times New Roman"/>
          <w:bCs w:val="0"/>
          <w:color w:val="000000"/>
        </w:rPr>
        <w:t>十二、政府性基金预算财政拨款“三公”经费支出决算表</w:t>
      </w:r>
    </w:p>
    <w:p>
      <w:pPr>
        <w:pStyle w:val="4"/>
        <w:keepNext/>
        <w:keepLines/>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黑体" w:eastAsia="黑体" w:cs="Times New Roman"/>
          <w:bCs w:val="0"/>
          <w:color w:val="000000"/>
        </w:rPr>
      </w:pPr>
      <w:r>
        <w:rPr>
          <w:rFonts w:hint="eastAsia" w:ascii="黑体" w:eastAsia="黑体" w:cs="Times New Roman"/>
          <w:bCs w:val="0"/>
          <w:color w:val="000000"/>
        </w:rPr>
        <w:t>十三、国有资本经营预算财政拨款收入支出决算表</w:t>
      </w:r>
    </w:p>
    <w:p>
      <w:pPr>
        <w:pStyle w:val="4"/>
        <w:keepNext/>
        <w:keepLines/>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黑体" w:eastAsia="黑体" w:cs="Times New Roman"/>
          <w:bCs w:val="0"/>
          <w:color w:val="000000"/>
        </w:rPr>
      </w:pPr>
      <w:r>
        <w:rPr>
          <w:rFonts w:hint="eastAsia" w:ascii="黑体" w:eastAsia="黑体" w:cs="Times New Roman"/>
          <w:bCs w:val="0"/>
          <w:color w:val="000000"/>
        </w:rPr>
        <w:t>十四、国有资本经营预算财政拨款支出决算表</w:t>
      </w:r>
    </w:p>
    <w:p>
      <w:pPr>
        <w:pStyle w:val="36"/>
      </w:pPr>
    </w:p>
    <w:sectPr>
      <w:headerReference r:id="rId5" w:type="default"/>
      <w:footerReference r:id="rId6"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 w:name="Noto Sans Syriac Eastern">
    <w:panose1 w:val="02040503050306020203"/>
    <w:charset w:val="86"/>
    <w:family w:val="auto"/>
    <w:pitch w:val="default"/>
    <w:sig w:usb0="00000000" w:usb1="00000000" w:usb2="00000080" w:usb3="00000000" w:csb0="203E0161" w:csb1="D7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0"/>
          <w:jc w:val="center"/>
        </w:pPr>
        <w:r>
          <w:fldChar w:fldCharType="begin"/>
        </w:r>
        <w:r>
          <w:instrText xml:space="preserve">PAGE   \* MERGEFORMAT</w:instrText>
        </w:r>
        <w:r>
          <w:fldChar w:fldCharType="separate"/>
        </w:r>
        <w:r>
          <w:rPr>
            <w:lang w:val="zh-CN"/>
          </w:rPr>
          <w:t>4</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05"/>
  <w:drawingGridVerticalSpacing w:val="156"/>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zcxZDM0MjZkNjI3OGVhNjQ0OTE3ZDU0YmUxOTQ0MjEifQ=="/>
  </w:docVars>
  <w:rsids>
    <w:rsidRoot w:val="00F1361C"/>
    <w:rsid w:val="000000BC"/>
    <w:rsid w:val="00000665"/>
    <w:rsid w:val="00000B38"/>
    <w:rsid w:val="000015A2"/>
    <w:rsid w:val="00003E5B"/>
    <w:rsid w:val="00007EA6"/>
    <w:rsid w:val="00012FB7"/>
    <w:rsid w:val="00013357"/>
    <w:rsid w:val="00013C9E"/>
    <w:rsid w:val="00015450"/>
    <w:rsid w:val="000175E6"/>
    <w:rsid w:val="00017F98"/>
    <w:rsid w:val="00020F07"/>
    <w:rsid w:val="000222C6"/>
    <w:rsid w:val="00022FC0"/>
    <w:rsid w:val="000230B2"/>
    <w:rsid w:val="0002359B"/>
    <w:rsid w:val="00023DEB"/>
    <w:rsid w:val="00025226"/>
    <w:rsid w:val="0002549F"/>
    <w:rsid w:val="00025F1E"/>
    <w:rsid w:val="0002749D"/>
    <w:rsid w:val="0003013F"/>
    <w:rsid w:val="00031598"/>
    <w:rsid w:val="00031926"/>
    <w:rsid w:val="000326D5"/>
    <w:rsid w:val="00033414"/>
    <w:rsid w:val="00034ABC"/>
    <w:rsid w:val="00034D24"/>
    <w:rsid w:val="00035A69"/>
    <w:rsid w:val="000366B3"/>
    <w:rsid w:val="00036E57"/>
    <w:rsid w:val="00047195"/>
    <w:rsid w:val="00047C09"/>
    <w:rsid w:val="00052D93"/>
    <w:rsid w:val="000551CF"/>
    <w:rsid w:val="000571AC"/>
    <w:rsid w:val="00063AA8"/>
    <w:rsid w:val="0006487A"/>
    <w:rsid w:val="00065F8F"/>
    <w:rsid w:val="00066365"/>
    <w:rsid w:val="00066A65"/>
    <w:rsid w:val="00070C93"/>
    <w:rsid w:val="00070D58"/>
    <w:rsid w:val="00070F40"/>
    <w:rsid w:val="00071796"/>
    <w:rsid w:val="00072BEC"/>
    <w:rsid w:val="00073345"/>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5CB"/>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44F0"/>
    <w:rsid w:val="000B5923"/>
    <w:rsid w:val="000B5A48"/>
    <w:rsid w:val="000B6FF3"/>
    <w:rsid w:val="000C0A06"/>
    <w:rsid w:val="000C148A"/>
    <w:rsid w:val="000C2B6A"/>
    <w:rsid w:val="000C3467"/>
    <w:rsid w:val="000C3CA6"/>
    <w:rsid w:val="000C4E3D"/>
    <w:rsid w:val="000C7136"/>
    <w:rsid w:val="000D1267"/>
    <w:rsid w:val="000D1D50"/>
    <w:rsid w:val="000D304F"/>
    <w:rsid w:val="000D4033"/>
    <w:rsid w:val="000D5782"/>
    <w:rsid w:val="000D620F"/>
    <w:rsid w:val="000D74AA"/>
    <w:rsid w:val="000E3AC5"/>
    <w:rsid w:val="000E4C84"/>
    <w:rsid w:val="000E6613"/>
    <w:rsid w:val="000E6663"/>
    <w:rsid w:val="000E7119"/>
    <w:rsid w:val="000E75B2"/>
    <w:rsid w:val="000F0D1B"/>
    <w:rsid w:val="000F3E1D"/>
    <w:rsid w:val="000F7336"/>
    <w:rsid w:val="00101546"/>
    <w:rsid w:val="00106B75"/>
    <w:rsid w:val="0010727E"/>
    <w:rsid w:val="00107CCA"/>
    <w:rsid w:val="00110310"/>
    <w:rsid w:val="00112787"/>
    <w:rsid w:val="00114E9B"/>
    <w:rsid w:val="0011649B"/>
    <w:rsid w:val="00116E5E"/>
    <w:rsid w:val="0012218E"/>
    <w:rsid w:val="0012398F"/>
    <w:rsid w:val="00124113"/>
    <w:rsid w:val="00124BFE"/>
    <w:rsid w:val="0012516D"/>
    <w:rsid w:val="00125224"/>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213E"/>
    <w:rsid w:val="001544D9"/>
    <w:rsid w:val="00156D5D"/>
    <w:rsid w:val="00157BAB"/>
    <w:rsid w:val="0016151A"/>
    <w:rsid w:val="00163B54"/>
    <w:rsid w:val="001654D1"/>
    <w:rsid w:val="00166A14"/>
    <w:rsid w:val="00166F25"/>
    <w:rsid w:val="0016730C"/>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5CF3"/>
    <w:rsid w:val="001A63BB"/>
    <w:rsid w:val="001B1840"/>
    <w:rsid w:val="001B1FA9"/>
    <w:rsid w:val="001B6640"/>
    <w:rsid w:val="001B7FF7"/>
    <w:rsid w:val="001C0962"/>
    <w:rsid w:val="001C1941"/>
    <w:rsid w:val="001C1A81"/>
    <w:rsid w:val="001C38A5"/>
    <w:rsid w:val="001C597C"/>
    <w:rsid w:val="001C6464"/>
    <w:rsid w:val="001C746B"/>
    <w:rsid w:val="001D14B6"/>
    <w:rsid w:val="001D342B"/>
    <w:rsid w:val="001D6C1E"/>
    <w:rsid w:val="001D7531"/>
    <w:rsid w:val="001E0A1B"/>
    <w:rsid w:val="001E1402"/>
    <w:rsid w:val="001E2922"/>
    <w:rsid w:val="001E3680"/>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334C"/>
    <w:rsid w:val="00216B50"/>
    <w:rsid w:val="00220536"/>
    <w:rsid w:val="00220C02"/>
    <w:rsid w:val="00224F1D"/>
    <w:rsid w:val="00225CB7"/>
    <w:rsid w:val="0023060C"/>
    <w:rsid w:val="00234E40"/>
    <w:rsid w:val="0023562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496"/>
    <w:rsid w:val="00283D63"/>
    <w:rsid w:val="002856F9"/>
    <w:rsid w:val="002866CA"/>
    <w:rsid w:val="00286C21"/>
    <w:rsid w:val="002875BF"/>
    <w:rsid w:val="0029076F"/>
    <w:rsid w:val="0029094E"/>
    <w:rsid w:val="00291DC2"/>
    <w:rsid w:val="00292626"/>
    <w:rsid w:val="00292E6B"/>
    <w:rsid w:val="00295495"/>
    <w:rsid w:val="002A0D55"/>
    <w:rsid w:val="002A0E88"/>
    <w:rsid w:val="002A3F4C"/>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4022"/>
    <w:rsid w:val="002C5275"/>
    <w:rsid w:val="002C6074"/>
    <w:rsid w:val="002D1F9E"/>
    <w:rsid w:val="002D30E8"/>
    <w:rsid w:val="002E0F9C"/>
    <w:rsid w:val="002E1F75"/>
    <w:rsid w:val="002E202A"/>
    <w:rsid w:val="002E5C3A"/>
    <w:rsid w:val="002E64D0"/>
    <w:rsid w:val="002F1818"/>
    <w:rsid w:val="002F1A28"/>
    <w:rsid w:val="002F2C84"/>
    <w:rsid w:val="002F335F"/>
    <w:rsid w:val="002F567B"/>
    <w:rsid w:val="002F66D8"/>
    <w:rsid w:val="002F7353"/>
    <w:rsid w:val="0030080A"/>
    <w:rsid w:val="0030298F"/>
    <w:rsid w:val="00305126"/>
    <w:rsid w:val="0030593B"/>
    <w:rsid w:val="00310306"/>
    <w:rsid w:val="0031156F"/>
    <w:rsid w:val="00317FD1"/>
    <w:rsid w:val="00321358"/>
    <w:rsid w:val="003216A9"/>
    <w:rsid w:val="00322D89"/>
    <w:rsid w:val="00325332"/>
    <w:rsid w:val="00325856"/>
    <w:rsid w:val="00325985"/>
    <w:rsid w:val="003278AA"/>
    <w:rsid w:val="00332726"/>
    <w:rsid w:val="0033309F"/>
    <w:rsid w:val="00335ED6"/>
    <w:rsid w:val="00337694"/>
    <w:rsid w:val="003431B7"/>
    <w:rsid w:val="0034381A"/>
    <w:rsid w:val="003440C6"/>
    <w:rsid w:val="00350C26"/>
    <w:rsid w:val="003515CF"/>
    <w:rsid w:val="00353569"/>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5025"/>
    <w:rsid w:val="00386455"/>
    <w:rsid w:val="00390F3B"/>
    <w:rsid w:val="0039111A"/>
    <w:rsid w:val="003936B4"/>
    <w:rsid w:val="00393AFD"/>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6D0D"/>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F55"/>
    <w:rsid w:val="003F133D"/>
    <w:rsid w:val="003F2794"/>
    <w:rsid w:val="003F339D"/>
    <w:rsid w:val="003F363F"/>
    <w:rsid w:val="003F3A2A"/>
    <w:rsid w:val="003F3DED"/>
    <w:rsid w:val="003F3E94"/>
    <w:rsid w:val="003F44B8"/>
    <w:rsid w:val="003F7CD6"/>
    <w:rsid w:val="00400549"/>
    <w:rsid w:val="00401C71"/>
    <w:rsid w:val="004026F9"/>
    <w:rsid w:val="00402FCE"/>
    <w:rsid w:val="00405639"/>
    <w:rsid w:val="00406254"/>
    <w:rsid w:val="004071E0"/>
    <w:rsid w:val="00407AD0"/>
    <w:rsid w:val="00410C16"/>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23A"/>
    <w:rsid w:val="00460A67"/>
    <w:rsid w:val="00461A98"/>
    <w:rsid w:val="00462B33"/>
    <w:rsid w:val="0046346E"/>
    <w:rsid w:val="004708B9"/>
    <w:rsid w:val="00471401"/>
    <w:rsid w:val="00471CBB"/>
    <w:rsid w:val="00473F31"/>
    <w:rsid w:val="00474218"/>
    <w:rsid w:val="004750E8"/>
    <w:rsid w:val="00476F1B"/>
    <w:rsid w:val="0047729B"/>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67E0"/>
    <w:rsid w:val="004E6DF7"/>
    <w:rsid w:val="004F0FBD"/>
    <w:rsid w:val="00501436"/>
    <w:rsid w:val="00501B3E"/>
    <w:rsid w:val="00502053"/>
    <w:rsid w:val="005020BB"/>
    <w:rsid w:val="00505843"/>
    <w:rsid w:val="00505A47"/>
    <w:rsid w:val="0050679E"/>
    <w:rsid w:val="0051166F"/>
    <w:rsid w:val="00512FDA"/>
    <w:rsid w:val="00513ED7"/>
    <w:rsid w:val="0051467D"/>
    <w:rsid w:val="00520DA0"/>
    <w:rsid w:val="005225FC"/>
    <w:rsid w:val="00524AC4"/>
    <w:rsid w:val="0052729E"/>
    <w:rsid w:val="0052733D"/>
    <w:rsid w:val="00530E19"/>
    <w:rsid w:val="00530F71"/>
    <w:rsid w:val="005322EB"/>
    <w:rsid w:val="0053459C"/>
    <w:rsid w:val="00550726"/>
    <w:rsid w:val="0055106D"/>
    <w:rsid w:val="005559A4"/>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486E"/>
    <w:rsid w:val="00584F2B"/>
    <w:rsid w:val="005935E9"/>
    <w:rsid w:val="005939BC"/>
    <w:rsid w:val="00593D4E"/>
    <w:rsid w:val="005975DB"/>
    <w:rsid w:val="00597919"/>
    <w:rsid w:val="005A0204"/>
    <w:rsid w:val="005A0CF8"/>
    <w:rsid w:val="005A324B"/>
    <w:rsid w:val="005B186A"/>
    <w:rsid w:val="005B553C"/>
    <w:rsid w:val="005B57DB"/>
    <w:rsid w:val="005B58F9"/>
    <w:rsid w:val="005B5ACB"/>
    <w:rsid w:val="005C0AF7"/>
    <w:rsid w:val="005C0B82"/>
    <w:rsid w:val="005C0D5C"/>
    <w:rsid w:val="005C4A4C"/>
    <w:rsid w:val="005C52C6"/>
    <w:rsid w:val="005C7204"/>
    <w:rsid w:val="005D1C8B"/>
    <w:rsid w:val="005D5CED"/>
    <w:rsid w:val="005D6054"/>
    <w:rsid w:val="005E1522"/>
    <w:rsid w:val="005E3365"/>
    <w:rsid w:val="005E5517"/>
    <w:rsid w:val="005F0705"/>
    <w:rsid w:val="005F0C83"/>
    <w:rsid w:val="005F1A4C"/>
    <w:rsid w:val="005F1F76"/>
    <w:rsid w:val="005F2C70"/>
    <w:rsid w:val="005F32B6"/>
    <w:rsid w:val="005F4162"/>
    <w:rsid w:val="005F44C7"/>
    <w:rsid w:val="005F632F"/>
    <w:rsid w:val="00600946"/>
    <w:rsid w:val="006044AC"/>
    <w:rsid w:val="00604551"/>
    <w:rsid w:val="00605688"/>
    <w:rsid w:val="006070AF"/>
    <w:rsid w:val="00607816"/>
    <w:rsid w:val="00607E6C"/>
    <w:rsid w:val="006101B1"/>
    <w:rsid w:val="00611AD3"/>
    <w:rsid w:val="00612209"/>
    <w:rsid w:val="00614423"/>
    <w:rsid w:val="00614E44"/>
    <w:rsid w:val="006155B0"/>
    <w:rsid w:val="006205F4"/>
    <w:rsid w:val="00622830"/>
    <w:rsid w:val="006256DB"/>
    <w:rsid w:val="00630AEF"/>
    <w:rsid w:val="006325F8"/>
    <w:rsid w:val="00633AE4"/>
    <w:rsid w:val="006348B1"/>
    <w:rsid w:val="00634C9A"/>
    <w:rsid w:val="00635FC7"/>
    <w:rsid w:val="00636040"/>
    <w:rsid w:val="0064301E"/>
    <w:rsid w:val="00643322"/>
    <w:rsid w:val="00643C0A"/>
    <w:rsid w:val="006440E4"/>
    <w:rsid w:val="00645301"/>
    <w:rsid w:val="00645F78"/>
    <w:rsid w:val="0064753B"/>
    <w:rsid w:val="00650D36"/>
    <w:rsid w:val="00650F17"/>
    <w:rsid w:val="006511E7"/>
    <w:rsid w:val="0065182B"/>
    <w:rsid w:val="00660339"/>
    <w:rsid w:val="00660F57"/>
    <w:rsid w:val="00661830"/>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75B7"/>
    <w:rsid w:val="006B0ABA"/>
    <w:rsid w:val="006B2422"/>
    <w:rsid w:val="006B2B9A"/>
    <w:rsid w:val="006B471C"/>
    <w:rsid w:val="006B533E"/>
    <w:rsid w:val="006C1937"/>
    <w:rsid w:val="006C397F"/>
    <w:rsid w:val="006C6427"/>
    <w:rsid w:val="006C76DB"/>
    <w:rsid w:val="006D1F0B"/>
    <w:rsid w:val="006D42C6"/>
    <w:rsid w:val="006E0081"/>
    <w:rsid w:val="006E3700"/>
    <w:rsid w:val="006E6C66"/>
    <w:rsid w:val="006F020C"/>
    <w:rsid w:val="006F3DF7"/>
    <w:rsid w:val="006F7CBD"/>
    <w:rsid w:val="0070094B"/>
    <w:rsid w:val="007040F2"/>
    <w:rsid w:val="00705B7C"/>
    <w:rsid w:val="00705E24"/>
    <w:rsid w:val="00707EEC"/>
    <w:rsid w:val="007115FE"/>
    <w:rsid w:val="007127B7"/>
    <w:rsid w:val="00713977"/>
    <w:rsid w:val="00714DBE"/>
    <w:rsid w:val="007220F2"/>
    <w:rsid w:val="007231D9"/>
    <w:rsid w:val="007244D2"/>
    <w:rsid w:val="00725B08"/>
    <w:rsid w:val="007355BA"/>
    <w:rsid w:val="0074019B"/>
    <w:rsid w:val="007403C2"/>
    <w:rsid w:val="007410FA"/>
    <w:rsid w:val="007416B6"/>
    <w:rsid w:val="007426C0"/>
    <w:rsid w:val="00746F48"/>
    <w:rsid w:val="0074730D"/>
    <w:rsid w:val="0075129E"/>
    <w:rsid w:val="00751951"/>
    <w:rsid w:val="00751EE9"/>
    <w:rsid w:val="007522D6"/>
    <w:rsid w:val="007525C3"/>
    <w:rsid w:val="007537B3"/>
    <w:rsid w:val="00753DC2"/>
    <w:rsid w:val="0075404D"/>
    <w:rsid w:val="0075503D"/>
    <w:rsid w:val="0076078E"/>
    <w:rsid w:val="0076182A"/>
    <w:rsid w:val="00763BC1"/>
    <w:rsid w:val="0076499D"/>
    <w:rsid w:val="007656DB"/>
    <w:rsid w:val="007676D8"/>
    <w:rsid w:val="00767A7D"/>
    <w:rsid w:val="00767B7E"/>
    <w:rsid w:val="00767BE6"/>
    <w:rsid w:val="00775A39"/>
    <w:rsid w:val="00776900"/>
    <w:rsid w:val="007770C3"/>
    <w:rsid w:val="00781060"/>
    <w:rsid w:val="0078143E"/>
    <w:rsid w:val="0078201F"/>
    <w:rsid w:val="007820E1"/>
    <w:rsid w:val="00784D24"/>
    <w:rsid w:val="00784D4C"/>
    <w:rsid w:val="00784E42"/>
    <w:rsid w:val="00785FBA"/>
    <w:rsid w:val="00786E4A"/>
    <w:rsid w:val="007875EB"/>
    <w:rsid w:val="00787E51"/>
    <w:rsid w:val="00792C26"/>
    <w:rsid w:val="0079426B"/>
    <w:rsid w:val="00794D8C"/>
    <w:rsid w:val="00794F74"/>
    <w:rsid w:val="0079655C"/>
    <w:rsid w:val="007A0619"/>
    <w:rsid w:val="007A762F"/>
    <w:rsid w:val="007B0CA2"/>
    <w:rsid w:val="007B5C15"/>
    <w:rsid w:val="007B6032"/>
    <w:rsid w:val="007B6B9B"/>
    <w:rsid w:val="007C014E"/>
    <w:rsid w:val="007C0C20"/>
    <w:rsid w:val="007C0E0A"/>
    <w:rsid w:val="007C26C9"/>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800112"/>
    <w:rsid w:val="0080112E"/>
    <w:rsid w:val="008014B3"/>
    <w:rsid w:val="008031B0"/>
    <w:rsid w:val="008068DA"/>
    <w:rsid w:val="00806B6F"/>
    <w:rsid w:val="00807797"/>
    <w:rsid w:val="0081195D"/>
    <w:rsid w:val="00811C29"/>
    <w:rsid w:val="00812255"/>
    <w:rsid w:val="00813AEF"/>
    <w:rsid w:val="00815AF8"/>
    <w:rsid w:val="008169F8"/>
    <w:rsid w:val="00820AF4"/>
    <w:rsid w:val="008212F9"/>
    <w:rsid w:val="008244FA"/>
    <w:rsid w:val="008248EC"/>
    <w:rsid w:val="00824C90"/>
    <w:rsid w:val="00824CEE"/>
    <w:rsid w:val="008253BB"/>
    <w:rsid w:val="008273C2"/>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B79"/>
    <w:rsid w:val="00860645"/>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814"/>
    <w:rsid w:val="0088122F"/>
    <w:rsid w:val="00885AF4"/>
    <w:rsid w:val="00886435"/>
    <w:rsid w:val="00887A58"/>
    <w:rsid w:val="008918AA"/>
    <w:rsid w:val="008918C9"/>
    <w:rsid w:val="008939CD"/>
    <w:rsid w:val="00893E7C"/>
    <w:rsid w:val="00895862"/>
    <w:rsid w:val="00897199"/>
    <w:rsid w:val="008A04BB"/>
    <w:rsid w:val="008A6293"/>
    <w:rsid w:val="008A6BC0"/>
    <w:rsid w:val="008A7CE3"/>
    <w:rsid w:val="008B045D"/>
    <w:rsid w:val="008B2B26"/>
    <w:rsid w:val="008B5614"/>
    <w:rsid w:val="008B6287"/>
    <w:rsid w:val="008B69A5"/>
    <w:rsid w:val="008B768C"/>
    <w:rsid w:val="008B7992"/>
    <w:rsid w:val="008C1D33"/>
    <w:rsid w:val="008C33D9"/>
    <w:rsid w:val="008C4DB1"/>
    <w:rsid w:val="008C4EAF"/>
    <w:rsid w:val="008C5176"/>
    <w:rsid w:val="008C7FD0"/>
    <w:rsid w:val="008D06D5"/>
    <w:rsid w:val="008D08E5"/>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109D0"/>
    <w:rsid w:val="00910FAA"/>
    <w:rsid w:val="00912DEB"/>
    <w:rsid w:val="00913706"/>
    <w:rsid w:val="00913A29"/>
    <w:rsid w:val="00915BE4"/>
    <w:rsid w:val="009205F5"/>
    <w:rsid w:val="009215C3"/>
    <w:rsid w:val="00923564"/>
    <w:rsid w:val="0092392E"/>
    <w:rsid w:val="00923F58"/>
    <w:rsid w:val="00924FB0"/>
    <w:rsid w:val="00930109"/>
    <w:rsid w:val="00930E8F"/>
    <w:rsid w:val="009315F9"/>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CE3"/>
    <w:rsid w:val="009B2C43"/>
    <w:rsid w:val="009B4EAE"/>
    <w:rsid w:val="009B6C92"/>
    <w:rsid w:val="009B7573"/>
    <w:rsid w:val="009C0EF0"/>
    <w:rsid w:val="009C1B2D"/>
    <w:rsid w:val="009C22F4"/>
    <w:rsid w:val="009C2AE3"/>
    <w:rsid w:val="009C2E98"/>
    <w:rsid w:val="009C5896"/>
    <w:rsid w:val="009C6399"/>
    <w:rsid w:val="009D3447"/>
    <w:rsid w:val="009D3AA6"/>
    <w:rsid w:val="009D4711"/>
    <w:rsid w:val="009D5EF4"/>
    <w:rsid w:val="009E0018"/>
    <w:rsid w:val="009E2320"/>
    <w:rsid w:val="009E576A"/>
    <w:rsid w:val="009E7FBF"/>
    <w:rsid w:val="009F1185"/>
    <w:rsid w:val="009F178D"/>
    <w:rsid w:val="009F18CD"/>
    <w:rsid w:val="009F2021"/>
    <w:rsid w:val="009F2A13"/>
    <w:rsid w:val="009F4A42"/>
    <w:rsid w:val="009F4D78"/>
    <w:rsid w:val="009F6A87"/>
    <w:rsid w:val="009F6B63"/>
    <w:rsid w:val="009F6F4A"/>
    <w:rsid w:val="00A02DD4"/>
    <w:rsid w:val="00A04EB0"/>
    <w:rsid w:val="00A05E7E"/>
    <w:rsid w:val="00A06741"/>
    <w:rsid w:val="00A06EF8"/>
    <w:rsid w:val="00A07DE7"/>
    <w:rsid w:val="00A1247B"/>
    <w:rsid w:val="00A13443"/>
    <w:rsid w:val="00A13CC1"/>
    <w:rsid w:val="00A15286"/>
    <w:rsid w:val="00A1571F"/>
    <w:rsid w:val="00A1637E"/>
    <w:rsid w:val="00A16684"/>
    <w:rsid w:val="00A16847"/>
    <w:rsid w:val="00A1745F"/>
    <w:rsid w:val="00A2301F"/>
    <w:rsid w:val="00A237D8"/>
    <w:rsid w:val="00A25634"/>
    <w:rsid w:val="00A268C4"/>
    <w:rsid w:val="00A27771"/>
    <w:rsid w:val="00A300FE"/>
    <w:rsid w:val="00A307CD"/>
    <w:rsid w:val="00A3233A"/>
    <w:rsid w:val="00A35068"/>
    <w:rsid w:val="00A3556D"/>
    <w:rsid w:val="00A35870"/>
    <w:rsid w:val="00A35FE0"/>
    <w:rsid w:val="00A40A00"/>
    <w:rsid w:val="00A4142F"/>
    <w:rsid w:val="00A41D4A"/>
    <w:rsid w:val="00A43522"/>
    <w:rsid w:val="00A4622C"/>
    <w:rsid w:val="00A462AA"/>
    <w:rsid w:val="00A46A63"/>
    <w:rsid w:val="00A47A0F"/>
    <w:rsid w:val="00A50F96"/>
    <w:rsid w:val="00A514F8"/>
    <w:rsid w:val="00A52260"/>
    <w:rsid w:val="00A53D20"/>
    <w:rsid w:val="00A54687"/>
    <w:rsid w:val="00A55073"/>
    <w:rsid w:val="00A55447"/>
    <w:rsid w:val="00A55ED8"/>
    <w:rsid w:val="00A56DF2"/>
    <w:rsid w:val="00A56E1B"/>
    <w:rsid w:val="00A57F63"/>
    <w:rsid w:val="00A61738"/>
    <w:rsid w:val="00A62ECF"/>
    <w:rsid w:val="00A63814"/>
    <w:rsid w:val="00A64138"/>
    <w:rsid w:val="00A64421"/>
    <w:rsid w:val="00A659FC"/>
    <w:rsid w:val="00A65DE6"/>
    <w:rsid w:val="00A67AB5"/>
    <w:rsid w:val="00A70317"/>
    <w:rsid w:val="00A72FA8"/>
    <w:rsid w:val="00A76B3A"/>
    <w:rsid w:val="00A77CB7"/>
    <w:rsid w:val="00A804D8"/>
    <w:rsid w:val="00A85003"/>
    <w:rsid w:val="00A85A0C"/>
    <w:rsid w:val="00A91460"/>
    <w:rsid w:val="00A91760"/>
    <w:rsid w:val="00A93902"/>
    <w:rsid w:val="00A93B00"/>
    <w:rsid w:val="00A93C21"/>
    <w:rsid w:val="00A94004"/>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D013F"/>
    <w:rsid w:val="00AD1561"/>
    <w:rsid w:val="00AD1E04"/>
    <w:rsid w:val="00AD4E89"/>
    <w:rsid w:val="00AD5090"/>
    <w:rsid w:val="00AD55F4"/>
    <w:rsid w:val="00AD5620"/>
    <w:rsid w:val="00AD654C"/>
    <w:rsid w:val="00AD712A"/>
    <w:rsid w:val="00AD7C1B"/>
    <w:rsid w:val="00AE16BA"/>
    <w:rsid w:val="00AE1B18"/>
    <w:rsid w:val="00AE1EBE"/>
    <w:rsid w:val="00AE3F47"/>
    <w:rsid w:val="00AE5217"/>
    <w:rsid w:val="00AE57E5"/>
    <w:rsid w:val="00AE5ACD"/>
    <w:rsid w:val="00AE7003"/>
    <w:rsid w:val="00AE78D4"/>
    <w:rsid w:val="00AF334F"/>
    <w:rsid w:val="00AF567D"/>
    <w:rsid w:val="00B03C9D"/>
    <w:rsid w:val="00B03D45"/>
    <w:rsid w:val="00B03DEF"/>
    <w:rsid w:val="00B04041"/>
    <w:rsid w:val="00B046DB"/>
    <w:rsid w:val="00B059FA"/>
    <w:rsid w:val="00B060AE"/>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B70"/>
    <w:rsid w:val="00B47B8F"/>
    <w:rsid w:val="00B50563"/>
    <w:rsid w:val="00B507B7"/>
    <w:rsid w:val="00B53703"/>
    <w:rsid w:val="00B53C56"/>
    <w:rsid w:val="00B53E4F"/>
    <w:rsid w:val="00B54341"/>
    <w:rsid w:val="00B545A6"/>
    <w:rsid w:val="00B5556B"/>
    <w:rsid w:val="00B60A7E"/>
    <w:rsid w:val="00B6427E"/>
    <w:rsid w:val="00B67CE3"/>
    <w:rsid w:val="00B706F1"/>
    <w:rsid w:val="00B725E6"/>
    <w:rsid w:val="00B736DE"/>
    <w:rsid w:val="00B74FE7"/>
    <w:rsid w:val="00B753E0"/>
    <w:rsid w:val="00B7569F"/>
    <w:rsid w:val="00B75C09"/>
    <w:rsid w:val="00B76674"/>
    <w:rsid w:val="00B77EA6"/>
    <w:rsid w:val="00B80439"/>
    <w:rsid w:val="00B80BAB"/>
    <w:rsid w:val="00B81598"/>
    <w:rsid w:val="00B82F7D"/>
    <w:rsid w:val="00B839DA"/>
    <w:rsid w:val="00B83EE2"/>
    <w:rsid w:val="00B841F1"/>
    <w:rsid w:val="00B8480B"/>
    <w:rsid w:val="00B91D3E"/>
    <w:rsid w:val="00B92400"/>
    <w:rsid w:val="00B93AA8"/>
    <w:rsid w:val="00B944D6"/>
    <w:rsid w:val="00B96CD2"/>
    <w:rsid w:val="00BA054C"/>
    <w:rsid w:val="00BA0AED"/>
    <w:rsid w:val="00BA22CD"/>
    <w:rsid w:val="00BA3028"/>
    <w:rsid w:val="00BA3356"/>
    <w:rsid w:val="00BA49E7"/>
    <w:rsid w:val="00BA5298"/>
    <w:rsid w:val="00BB1990"/>
    <w:rsid w:val="00BB2D7E"/>
    <w:rsid w:val="00BB4DF0"/>
    <w:rsid w:val="00BC0AE4"/>
    <w:rsid w:val="00BC1202"/>
    <w:rsid w:val="00BC1A97"/>
    <w:rsid w:val="00BC2731"/>
    <w:rsid w:val="00BC289F"/>
    <w:rsid w:val="00BC5361"/>
    <w:rsid w:val="00BC5460"/>
    <w:rsid w:val="00BC6B50"/>
    <w:rsid w:val="00BD0E25"/>
    <w:rsid w:val="00BD2458"/>
    <w:rsid w:val="00BD5121"/>
    <w:rsid w:val="00BD6D67"/>
    <w:rsid w:val="00BD6E57"/>
    <w:rsid w:val="00BE01DE"/>
    <w:rsid w:val="00BE218A"/>
    <w:rsid w:val="00BE39F0"/>
    <w:rsid w:val="00BE5FB5"/>
    <w:rsid w:val="00BE7259"/>
    <w:rsid w:val="00BF060C"/>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709"/>
    <w:rsid w:val="00C516E5"/>
    <w:rsid w:val="00C5216D"/>
    <w:rsid w:val="00C533CC"/>
    <w:rsid w:val="00C54531"/>
    <w:rsid w:val="00C5751C"/>
    <w:rsid w:val="00C61BFC"/>
    <w:rsid w:val="00C62B85"/>
    <w:rsid w:val="00C634C6"/>
    <w:rsid w:val="00C63DE6"/>
    <w:rsid w:val="00C65438"/>
    <w:rsid w:val="00C65FA1"/>
    <w:rsid w:val="00C663B4"/>
    <w:rsid w:val="00C66789"/>
    <w:rsid w:val="00C677E0"/>
    <w:rsid w:val="00C71C3C"/>
    <w:rsid w:val="00C73C9E"/>
    <w:rsid w:val="00C77955"/>
    <w:rsid w:val="00C77D11"/>
    <w:rsid w:val="00C80E5E"/>
    <w:rsid w:val="00C87773"/>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4E7C"/>
    <w:rsid w:val="00D35489"/>
    <w:rsid w:val="00D41FB4"/>
    <w:rsid w:val="00D42D3C"/>
    <w:rsid w:val="00D43BB3"/>
    <w:rsid w:val="00D4531F"/>
    <w:rsid w:val="00D5056E"/>
    <w:rsid w:val="00D51276"/>
    <w:rsid w:val="00D577F9"/>
    <w:rsid w:val="00D6086D"/>
    <w:rsid w:val="00D60B63"/>
    <w:rsid w:val="00D6672E"/>
    <w:rsid w:val="00D66F3E"/>
    <w:rsid w:val="00D67949"/>
    <w:rsid w:val="00D70080"/>
    <w:rsid w:val="00D7035F"/>
    <w:rsid w:val="00D70D9E"/>
    <w:rsid w:val="00D7255A"/>
    <w:rsid w:val="00D729A5"/>
    <w:rsid w:val="00D7311E"/>
    <w:rsid w:val="00D74434"/>
    <w:rsid w:val="00D74948"/>
    <w:rsid w:val="00D75E52"/>
    <w:rsid w:val="00D8058B"/>
    <w:rsid w:val="00D811F1"/>
    <w:rsid w:val="00D81CF0"/>
    <w:rsid w:val="00D86259"/>
    <w:rsid w:val="00D9128F"/>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7682"/>
    <w:rsid w:val="00DB774B"/>
    <w:rsid w:val="00DB7B27"/>
    <w:rsid w:val="00DB7ED3"/>
    <w:rsid w:val="00DC1D19"/>
    <w:rsid w:val="00DC29F0"/>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7FEC"/>
    <w:rsid w:val="00E50624"/>
    <w:rsid w:val="00E50EC1"/>
    <w:rsid w:val="00E559C8"/>
    <w:rsid w:val="00E559F4"/>
    <w:rsid w:val="00E568DF"/>
    <w:rsid w:val="00E6091E"/>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984"/>
    <w:rsid w:val="00E96D03"/>
    <w:rsid w:val="00EA010F"/>
    <w:rsid w:val="00EA039B"/>
    <w:rsid w:val="00EA2455"/>
    <w:rsid w:val="00EA262D"/>
    <w:rsid w:val="00EA4AA3"/>
    <w:rsid w:val="00EA4BCA"/>
    <w:rsid w:val="00EA545A"/>
    <w:rsid w:val="00EB2461"/>
    <w:rsid w:val="00EC1C2C"/>
    <w:rsid w:val="00EC25B6"/>
    <w:rsid w:val="00EC38BD"/>
    <w:rsid w:val="00EC3F04"/>
    <w:rsid w:val="00ED1B63"/>
    <w:rsid w:val="00ED29E6"/>
    <w:rsid w:val="00ED29EA"/>
    <w:rsid w:val="00ED360C"/>
    <w:rsid w:val="00ED3C1F"/>
    <w:rsid w:val="00ED4085"/>
    <w:rsid w:val="00ED420E"/>
    <w:rsid w:val="00ED6AD8"/>
    <w:rsid w:val="00ED71DF"/>
    <w:rsid w:val="00EE0963"/>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10A1"/>
    <w:rsid w:val="00F118C3"/>
    <w:rsid w:val="00F1361C"/>
    <w:rsid w:val="00F14902"/>
    <w:rsid w:val="00F160C7"/>
    <w:rsid w:val="00F16FDE"/>
    <w:rsid w:val="00F20320"/>
    <w:rsid w:val="00F20532"/>
    <w:rsid w:val="00F21001"/>
    <w:rsid w:val="00F228F9"/>
    <w:rsid w:val="00F248A8"/>
    <w:rsid w:val="00F24E3F"/>
    <w:rsid w:val="00F26D60"/>
    <w:rsid w:val="00F30138"/>
    <w:rsid w:val="00F301B6"/>
    <w:rsid w:val="00F31EA1"/>
    <w:rsid w:val="00F3294D"/>
    <w:rsid w:val="00F354A9"/>
    <w:rsid w:val="00F36D8F"/>
    <w:rsid w:val="00F3744E"/>
    <w:rsid w:val="00F40698"/>
    <w:rsid w:val="00F406E9"/>
    <w:rsid w:val="00F417B1"/>
    <w:rsid w:val="00F460AB"/>
    <w:rsid w:val="00F50AC5"/>
    <w:rsid w:val="00F53E68"/>
    <w:rsid w:val="00F5454E"/>
    <w:rsid w:val="00F559FA"/>
    <w:rsid w:val="00F57903"/>
    <w:rsid w:val="00F602DF"/>
    <w:rsid w:val="00F6390A"/>
    <w:rsid w:val="00F6529E"/>
    <w:rsid w:val="00F6641D"/>
    <w:rsid w:val="00F75CC0"/>
    <w:rsid w:val="00F75CCC"/>
    <w:rsid w:val="00F75F9D"/>
    <w:rsid w:val="00F81FD9"/>
    <w:rsid w:val="00F82490"/>
    <w:rsid w:val="00F8281D"/>
    <w:rsid w:val="00F835D4"/>
    <w:rsid w:val="00F841AA"/>
    <w:rsid w:val="00F845B5"/>
    <w:rsid w:val="00F86932"/>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CF32DE"/>
    <w:rsid w:val="01D74DB7"/>
    <w:rsid w:val="01D86637"/>
    <w:rsid w:val="01F04616"/>
    <w:rsid w:val="03F359AA"/>
    <w:rsid w:val="0463543B"/>
    <w:rsid w:val="04A56E6E"/>
    <w:rsid w:val="051A6F96"/>
    <w:rsid w:val="06951176"/>
    <w:rsid w:val="06A72A7B"/>
    <w:rsid w:val="07001BE1"/>
    <w:rsid w:val="07267DE7"/>
    <w:rsid w:val="089C4B49"/>
    <w:rsid w:val="09081517"/>
    <w:rsid w:val="091B747D"/>
    <w:rsid w:val="0A19737C"/>
    <w:rsid w:val="0A547BAA"/>
    <w:rsid w:val="0B7218AA"/>
    <w:rsid w:val="0B99373B"/>
    <w:rsid w:val="0BA37CB5"/>
    <w:rsid w:val="0D0429D6"/>
    <w:rsid w:val="0D093B48"/>
    <w:rsid w:val="0D322E51"/>
    <w:rsid w:val="0D6C338E"/>
    <w:rsid w:val="0DB37F58"/>
    <w:rsid w:val="0F5E6610"/>
    <w:rsid w:val="10C055FF"/>
    <w:rsid w:val="11D56DF6"/>
    <w:rsid w:val="11ED6591"/>
    <w:rsid w:val="13367661"/>
    <w:rsid w:val="143123A2"/>
    <w:rsid w:val="16BB723D"/>
    <w:rsid w:val="17BC7656"/>
    <w:rsid w:val="17EA348C"/>
    <w:rsid w:val="1840212F"/>
    <w:rsid w:val="19943114"/>
    <w:rsid w:val="1AB026BC"/>
    <w:rsid w:val="1ABB32B6"/>
    <w:rsid w:val="1BF70747"/>
    <w:rsid w:val="1C06153F"/>
    <w:rsid w:val="1C986C96"/>
    <w:rsid w:val="1D7371C3"/>
    <w:rsid w:val="1DB25B36"/>
    <w:rsid w:val="1DDC2BB3"/>
    <w:rsid w:val="1E34479D"/>
    <w:rsid w:val="1E6A1646"/>
    <w:rsid w:val="1EF81F78"/>
    <w:rsid w:val="1F620905"/>
    <w:rsid w:val="201A6AB0"/>
    <w:rsid w:val="203B66A0"/>
    <w:rsid w:val="211A679A"/>
    <w:rsid w:val="21E32762"/>
    <w:rsid w:val="23902475"/>
    <w:rsid w:val="240371BF"/>
    <w:rsid w:val="2426102C"/>
    <w:rsid w:val="2435534E"/>
    <w:rsid w:val="24534F10"/>
    <w:rsid w:val="24DF6C66"/>
    <w:rsid w:val="253D03DB"/>
    <w:rsid w:val="25A20B86"/>
    <w:rsid w:val="25B1070F"/>
    <w:rsid w:val="25DD571A"/>
    <w:rsid w:val="265C1D1F"/>
    <w:rsid w:val="26BB36DB"/>
    <w:rsid w:val="271C5A93"/>
    <w:rsid w:val="276F1834"/>
    <w:rsid w:val="27B459F9"/>
    <w:rsid w:val="27C51E91"/>
    <w:rsid w:val="28513369"/>
    <w:rsid w:val="28BF6D42"/>
    <w:rsid w:val="29FD04D3"/>
    <w:rsid w:val="2C6E17C2"/>
    <w:rsid w:val="2CAE1BBE"/>
    <w:rsid w:val="2CCF04B2"/>
    <w:rsid w:val="2D087520"/>
    <w:rsid w:val="2E4C04E0"/>
    <w:rsid w:val="2F803D16"/>
    <w:rsid w:val="30E460C1"/>
    <w:rsid w:val="31810DA9"/>
    <w:rsid w:val="31903F88"/>
    <w:rsid w:val="319F7F4E"/>
    <w:rsid w:val="329448A6"/>
    <w:rsid w:val="32F45598"/>
    <w:rsid w:val="35244754"/>
    <w:rsid w:val="35AB23F0"/>
    <w:rsid w:val="364D41F6"/>
    <w:rsid w:val="36FD0156"/>
    <w:rsid w:val="38F8371D"/>
    <w:rsid w:val="39226F5F"/>
    <w:rsid w:val="39902098"/>
    <w:rsid w:val="3A3A0F35"/>
    <w:rsid w:val="3A4E1148"/>
    <w:rsid w:val="3B3140E6"/>
    <w:rsid w:val="3C8D2F9D"/>
    <w:rsid w:val="3CE0510E"/>
    <w:rsid w:val="3D1E4B3E"/>
    <w:rsid w:val="3E03620E"/>
    <w:rsid w:val="3E343C22"/>
    <w:rsid w:val="3F512FA9"/>
    <w:rsid w:val="3FAC4683"/>
    <w:rsid w:val="3FEA5DFB"/>
    <w:rsid w:val="401C35B7"/>
    <w:rsid w:val="4119235A"/>
    <w:rsid w:val="41677310"/>
    <w:rsid w:val="422C2C46"/>
    <w:rsid w:val="4251506E"/>
    <w:rsid w:val="43684120"/>
    <w:rsid w:val="444F07DA"/>
    <w:rsid w:val="44601E28"/>
    <w:rsid w:val="475E72DC"/>
    <w:rsid w:val="47F514AF"/>
    <w:rsid w:val="4839282C"/>
    <w:rsid w:val="48FD75BD"/>
    <w:rsid w:val="4A745623"/>
    <w:rsid w:val="4D135D42"/>
    <w:rsid w:val="4D846266"/>
    <w:rsid w:val="4D8D78A2"/>
    <w:rsid w:val="4DF123A8"/>
    <w:rsid w:val="4E55618C"/>
    <w:rsid w:val="4E832A53"/>
    <w:rsid w:val="4F6F7A34"/>
    <w:rsid w:val="4FD74194"/>
    <w:rsid w:val="4FDA49F5"/>
    <w:rsid w:val="50AE413E"/>
    <w:rsid w:val="51E1640E"/>
    <w:rsid w:val="51EE42CA"/>
    <w:rsid w:val="52302EF2"/>
    <w:rsid w:val="52ED6284"/>
    <w:rsid w:val="5322283B"/>
    <w:rsid w:val="532B0C13"/>
    <w:rsid w:val="53BE2B80"/>
    <w:rsid w:val="541505F1"/>
    <w:rsid w:val="54992FD0"/>
    <w:rsid w:val="55872E29"/>
    <w:rsid w:val="56D0674C"/>
    <w:rsid w:val="58BA52C3"/>
    <w:rsid w:val="59E11CD3"/>
    <w:rsid w:val="5BE202EA"/>
    <w:rsid w:val="5CFA7F1D"/>
    <w:rsid w:val="5E2506F8"/>
    <w:rsid w:val="5EA316D6"/>
    <w:rsid w:val="5F3A07D2"/>
    <w:rsid w:val="5F593A88"/>
    <w:rsid w:val="5F7E44B6"/>
    <w:rsid w:val="60651EAC"/>
    <w:rsid w:val="60BB3927"/>
    <w:rsid w:val="62A42EE2"/>
    <w:rsid w:val="630D013F"/>
    <w:rsid w:val="63347FC4"/>
    <w:rsid w:val="63604CB9"/>
    <w:rsid w:val="64A36D0B"/>
    <w:rsid w:val="64C656C1"/>
    <w:rsid w:val="65DF63C9"/>
    <w:rsid w:val="662A7F2C"/>
    <w:rsid w:val="662D0B27"/>
    <w:rsid w:val="6739419F"/>
    <w:rsid w:val="68DA2DB6"/>
    <w:rsid w:val="69725134"/>
    <w:rsid w:val="6B4666B6"/>
    <w:rsid w:val="6CC85DA9"/>
    <w:rsid w:val="6D8F2D6B"/>
    <w:rsid w:val="6DC31436"/>
    <w:rsid w:val="6ECB49CF"/>
    <w:rsid w:val="6ECB5A2B"/>
    <w:rsid w:val="70202A42"/>
    <w:rsid w:val="709F5073"/>
    <w:rsid w:val="70ED2282"/>
    <w:rsid w:val="72227D09"/>
    <w:rsid w:val="72E476B5"/>
    <w:rsid w:val="73BE3A62"/>
    <w:rsid w:val="746C7E4B"/>
    <w:rsid w:val="750E6C6B"/>
    <w:rsid w:val="755E374E"/>
    <w:rsid w:val="76377F56"/>
    <w:rsid w:val="764B35A7"/>
    <w:rsid w:val="78A4106B"/>
    <w:rsid w:val="79975481"/>
    <w:rsid w:val="7A1B4027"/>
    <w:rsid w:val="7A965738"/>
    <w:rsid w:val="7ABC1C9C"/>
    <w:rsid w:val="7B022DCE"/>
    <w:rsid w:val="7B133D2D"/>
    <w:rsid w:val="7B272834"/>
    <w:rsid w:val="7B2D42C7"/>
    <w:rsid w:val="7B8F71DF"/>
    <w:rsid w:val="7CB2612E"/>
    <w:rsid w:val="7CC25607"/>
    <w:rsid w:val="7DC4191F"/>
    <w:rsid w:val="7DE859ED"/>
    <w:rsid w:val="7E4C610E"/>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4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680"/>
    </w:pPr>
  </w:style>
  <w:style w:type="paragraph" w:styleId="6">
    <w:name w:val="annotation text"/>
    <w:basedOn w:val="1"/>
    <w:semiHidden/>
    <w:unhideWhenUsed/>
    <w:qFormat/>
    <w:uiPriority w:val="99"/>
    <w:pPr>
      <w:jc w:val="left"/>
    </w:pPr>
  </w:style>
  <w:style w:type="paragraph" w:styleId="7">
    <w:name w:val="Body Text"/>
    <w:basedOn w:val="1"/>
    <w:link w:val="26"/>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semiHidden/>
    <w:unhideWhenUsed/>
    <w:qFormat/>
    <w:uiPriority w:val="99"/>
    <w:rPr>
      <w:sz w:val="18"/>
      <w:szCs w:val="18"/>
    </w:rPr>
  </w:style>
  <w:style w:type="paragraph" w:styleId="10">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able of figures"/>
    <w:basedOn w:val="1"/>
    <w:next w:val="1"/>
    <w:qFormat/>
    <w:uiPriority w:val="0"/>
    <w:pPr>
      <w:ind w:left="200" w:leftChars="200" w:hanging="200" w:hangingChars="200"/>
    </w:p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rPr>
  </w:style>
  <w:style w:type="character" w:styleId="19">
    <w:name w:val="annotation reference"/>
    <w:basedOn w:val="16"/>
    <w:semiHidden/>
    <w:unhideWhenUsed/>
    <w:qFormat/>
    <w:uiPriority w:val="99"/>
    <w:rPr>
      <w:sz w:val="21"/>
      <w:szCs w:val="21"/>
    </w:rPr>
  </w:style>
  <w:style w:type="paragraph" w:customStyle="1" w:styleId="20">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1">
    <w:name w:val="Header Char"/>
    <w:basedOn w:val="16"/>
    <w:semiHidden/>
    <w:qFormat/>
    <w:uiPriority w:val="99"/>
    <w:rPr>
      <w:rFonts w:ascii="Times New Roman" w:hAnsi="Times New Roman"/>
      <w:sz w:val="18"/>
      <w:szCs w:val="18"/>
    </w:rPr>
  </w:style>
  <w:style w:type="character" w:customStyle="1" w:styleId="22">
    <w:name w:val="页眉 字符"/>
    <w:link w:val="11"/>
    <w:semiHidden/>
    <w:qFormat/>
    <w:locked/>
    <w:uiPriority w:val="99"/>
    <w:rPr>
      <w:sz w:val="18"/>
    </w:rPr>
  </w:style>
  <w:style w:type="character" w:customStyle="1" w:styleId="23">
    <w:name w:val="Footer Char"/>
    <w:basedOn w:val="16"/>
    <w:semiHidden/>
    <w:qFormat/>
    <w:uiPriority w:val="99"/>
    <w:rPr>
      <w:rFonts w:ascii="Times New Roman" w:hAnsi="Times New Roman"/>
      <w:sz w:val="18"/>
      <w:szCs w:val="18"/>
    </w:rPr>
  </w:style>
  <w:style w:type="character" w:customStyle="1" w:styleId="24">
    <w:name w:val="页脚 字符"/>
    <w:link w:val="10"/>
    <w:qFormat/>
    <w:locked/>
    <w:uiPriority w:val="99"/>
    <w:rPr>
      <w:sz w:val="18"/>
    </w:rPr>
  </w:style>
  <w:style w:type="character" w:customStyle="1" w:styleId="25">
    <w:name w:val="Body Text Char"/>
    <w:basedOn w:val="16"/>
    <w:semiHidden/>
    <w:qFormat/>
    <w:uiPriority w:val="99"/>
    <w:rPr>
      <w:rFonts w:ascii="Times New Roman" w:hAnsi="Times New Roman"/>
      <w:szCs w:val="24"/>
    </w:rPr>
  </w:style>
  <w:style w:type="character" w:customStyle="1" w:styleId="26">
    <w:name w:val="正文文本 字符"/>
    <w:link w:val="7"/>
    <w:qFormat/>
    <w:locked/>
    <w:uiPriority w:val="99"/>
    <w:rPr>
      <w:rFonts w:ascii="仿宋_GB2312" w:hAnsi="Times New Roman" w:eastAsia="仿宋_GB2312"/>
      <w:sz w:val="24"/>
    </w:rPr>
  </w:style>
  <w:style w:type="paragraph" w:styleId="27">
    <w:name w:val="List Paragraph"/>
    <w:basedOn w:val="1"/>
    <w:qFormat/>
    <w:uiPriority w:val="34"/>
    <w:pPr>
      <w:ind w:firstLine="420" w:firstLineChars="200"/>
    </w:pPr>
  </w:style>
  <w:style w:type="character" w:customStyle="1" w:styleId="28">
    <w:name w:val="标题 1 字符"/>
    <w:basedOn w:val="16"/>
    <w:link w:val="3"/>
    <w:qFormat/>
    <w:uiPriority w:val="9"/>
    <w:rPr>
      <w:rFonts w:ascii="Times New Roman" w:hAnsi="Times New Roman"/>
      <w:b/>
      <w:bCs/>
      <w:kern w:val="44"/>
      <w:sz w:val="44"/>
      <w:szCs w:val="44"/>
    </w:rPr>
  </w:style>
  <w:style w:type="character" w:customStyle="1" w:styleId="29">
    <w:name w:val="标题 2 字符"/>
    <w:basedOn w:val="16"/>
    <w:link w:val="4"/>
    <w:qFormat/>
    <w:uiPriority w:val="9"/>
    <w:rPr>
      <w:rFonts w:asciiTheme="majorHAnsi" w:hAnsiTheme="majorHAnsi" w:eastAsiaTheme="majorEastAsia" w:cstheme="majorBidi"/>
      <w:b/>
      <w:bCs/>
      <w:kern w:val="2"/>
      <w:sz w:val="32"/>
      <w:szCs w:val="32"/>
    </w:rPr>
  </w:style>
  <w:style w:type="paragraph" w:customStyle="1" w:styleId="30">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1">
    <w:name w:val="批注框文本 字符"/>
    <w:basedOn w:val="16"/>
    <w:link w:val="9"/>
    <w:semiHidden/>
    <w:qFormat/>
    <w:uiPriority w:val="99"/>
    <w:rPr>
      <w:rFonts w:ascii="Times New Roman" w:hAnsi="Times New Roman"/>
      <w:kern w:val="2"/>
      <w:sz w:val="18"/>
      <w:szCs w:val="18"/>
    </w:rPr>
  </w:style>
  <w:style w:type="character" w:customStyle="1" w:styleId="32">
    <w:name w:val="标题 3 字符"/>
    <w:basedOn w:val="16"/>
    <w:link w:val="5"/>
    <w:qFormat/>
    <w:uiPriority w:val="9"/>
    <w:rPr>
      <w:rFonts w:ascii="Times New Roman" w:hAnsi="Times New Roman"/>
      <w:b/>
      <w:bCs/>
      <w:kern w:val="2"/>
      <w:sz w:val="32"/>
      <w:szCs w:val="32"/>
    </w:rPr>
  </w:style>
  <w:style w:type="paragraph" w:customStyle="1" w:styleId="33">
    <w:name w:val="Normal8d4b4f3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4">
    <w:name w:val="Default Paragraph Font3ad73e64"/>
    <w:semiHidden/>
    <w:qFormat/>
    <w:uiPriority w:val="0"/>
  </w:style>
  <w:style w:type="table" w:customStyle="1" w:styleId="35">
    <w:name w:val="Normal Tablecb3cecb1"/>
    <w:semiHidden/>
    <w:qFormat/>
    <w:uiPriority w:val="0"/>
    <w:tblPr>
      <w:tblCellMar>
        <w:top w:w="0" w:type="dxa"/>
        <w:left w:w="108" w:type="dxa"/>
        <w:bottom w:w="0" w:type="dxa"/>
        <w:right w:w="108" w:type="dxa"/>
      </w:tblCellMar>
    </w:tblPr>
  </w:style>
  <w:style w:type="paragraph" w:customStyle="1" w:styleId="36">
    <w:name w:val="Normaldd47c3f3"/>
    <w:qFormat/>
    <w:uiPriority w:val="0"/>
    <w:pPr>
      <w:widowControl w:val="0"/>
      <w:jc w:val="both"/>
    </w:pPr>
    <w:rPr>
      <w:rFonts w:ascii="Times New Roman" w:hAnsi="Times New Roman" w:eastAsia="宋体" w:cs="Times New Roman"/>
      <w:kern w:val="2"/>
      <w:sz w:val="21"/>
      <w:szCs w:val="21"/>
      <w:lang w:val="en-US" w:eastAsia="zh-CN" w:bidi="ar-SA"/>
    </w:rPr>
  </w:style>
  <w:style w:type="character" w:customStyle="1" w:styleId="37">
    <w:name w:val="Default Paragraph Font5"/>
    <w:semiHidden/>
    <w:qFormat/>
    <w:uiPriority w:val="0"/>
  </w:style>
  <w:style w:type="table" w:customStyle="1" w:styleId="38">
    <w:name w:val="Normal Table4"/>
    <w:semiHidden/>
    <w:qFormat/>
    <w:uiPriority w:val="0"/>
    <w:tblPr>
      <w:tblCellMar>
        <w:top w:w="0" w:type="dxa"/>
        <w:left w:w="108" w:type="dxa"/>
        <w:bottom w:w="0" w:type="dxa"/>
        <w:right w:w="108" w:type="dxa"/>
      </w:tblCellMar>
    </w:tblPr>
  </w:style>
  <w:style w:type="paragraph" w:customStyle="1" w:styleId="39">
    <w:name w:val="footer011e392b"/>
    <w:basedOn w:val="36"/>
    <w:qFormat/>
    <w:uiPriority w:val="99"/>
    <w:pPr>
      <w:tabs>
        <w:tab w:val="center" w:pos="4153"/>
        <w:tab w:val="right" w:pos="8306"/>
      </w:tabs>
      <w:snapToGrid w:val="0"/>
      <w:jc w:val="left"/>
    </w:pPr>
    <w:rPr>
      <w:kern w:val="0"/>
      <w:sz w:val="18"/>
      <w:szCs w:val="20"/>
    </w:rPr>
  </w:style>
  <w:style w:type="paragraph" w:customStyle="1" w:styleId="40">
    <w:name w:val="headered958c24"/>
    <w:basedOn w:val="36"/>
    <w:semiHidden/>
    <w:qFormat/>
    <w:uiPriority w:val="99"/>
    <w:pPr>
      <w:pBdr>
        <w:bottom w:val="single" w:color="auto" w:sz="6" w:space="1"/>
      </w:pBdr>
      <w:tabs>
        <w:tab w:val="center" w:pos="4153"/>
        <w:tab w:val="right" w:pos="8306"/>
      </w:tabs>
      <w:snapToGrid w:val="0"/>
      <w:jc w:val="center"/>
    </w:pPr>
    <w:rPr>
      <w:kern w:val="0"/>
      <w:sz w:val="18"/>
      <w:szCs w:val="20"/>
    </w:rPr>
  </w:style>
  <w:style w:type="character" w:customStyle="1" w:styleId="41">
    <w:name w:val="标题 2 Char"/>
    <w:basedOn w:val="16"/>
    <w:link w:val="4"/>
    <w:qFormat/>
    <w:locked/>
    <w:uiPriority w:val="9"/>
    <w:rPr>
      <w:rFonts w:ascii="Cambria" w:hAnsi="Cambria" w:eastAsia="宋体" w:cs="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true"/>
          <a:lstStyle/>
          <a:p>
            <a:pPr algn="l">
              <a:defRPr lang="zh-CN" sz="1800" b="1" i="0" u="none" strike="noStrike" kern="1200" baseline="0">
                <a:solidFill>
                  <a:schemeClr val="tx1"/>
                </a:solidFill>
                <a:latin typeface="+mn-lt"/>
                <a:ea typeface="+mn-ea"/>
                <a:cs typeface="+mn-cs"/>
              </a:defRPr>
            </a:pPr>
            <a:r>
              <a:rPr lang="zh-CN"/>
              <a:t>收、支决算总计变动情况图</a:t>
            </a:r>
            <a:endParaRPr lang="en-US" sz="1100"/>
          </a:p>
        </c:rich>
      </c:tx>
      <c:layout/>
      <c:overlay val="false"/>
    </c:title>
    <c:autoTitleDeleted val="false"/>
    <c:plotArea>
      <c:layout>
        <c:manualLayout>
          <c:layoutTarget val="inner"/>
          <c:xMode val="edge"/>
          <c:yMode val="edge"/>
          <c:x val="0.0559816218099468"/>
          <c:y val="0.247865112907836"/>
          <c:w val="0.800713012477719"/>
          <c:h val="0.654027777777778"/>
        </c:manualLayout>
      </c:layout>
      <c:barChart>
        <c:barDir val="col"/>
        <c:grouping val="clustered"/>
        <c:varyColors val="false"/>
        <c:ser>
          <c:idx val="1"/>
          <c:order val="0"/>
          <c:tx>
            <c:strRef>
              <c:f>收入</c:f>
              <c:strCache>
                <c:ptCount val="1"/>
                <c:pt idx="0">
                  <c:v>收入</c:v>
                </c:pt>
              </c:strCache>
            </c:strRef>
          </c:tx>
          <c:invertIfNegative val="false"/>
          <c:dLbls>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numRef>
              <c:f>{"2020","2021"}</c:f>
              <c:numCache>
                <c:formatCode>General</c:formatCode>
                <c:ptCount val="2"/>
                <c:pt idx="0">
                  <c:v>2020</c:v>
                </c:pt>
                <c:pt idx="1">
                  <c:v>2021</c:v>
                </c:pt>
              </c:numCache>
            </c:numRef>
          </c:cat>
          <c:val>
            <c:numRef>
              <c:f>{120.83,147.82}</c:f>
              <c:numCache>
                <c:formatCode>General</c:formatCode>
                <c:ptCount val="2"/>
                <c:pt idx="0">
                  <c:v>120.83</c:v>
                </c:pt>
                <c:pt idx="1">
                  <c:v>147.82</c:v>
                </c:pt>
              </c:numCache>
            </c:numRef>
          </c:val>
        </c:ser>
        <c:ser>
          <c:idx val="2"/>
          <c:order val="1"/>
          <c:tx>
            <c:strRef>
              <c:f>支出</c:f>
              <c:strCache>
                <c:ptCount val="1"/>
                <c:pt idx="0">
                  <c:v>支出</c:v>
                </c:pt>
              </c:strCache>
            </c:strRef>
          </c:tx>
          <c:invertIfNegative val="false"/>
          <c:dLbls>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numRef>
              <c:f>{"2020","2021"}</c:f>
              <c:numCache>
                <c:formatCode>General</c:formatCode>
                <c:ptCount val="2"/>
                <c:pt idx="0">
                  <c:v>2020</c:v>
                </c:pt>
                <c:pt idx="1">
                  <c:v>2021</c:v>
                </c:pt>
              </c:numCache>
            </c:numRef>
          </c:cat>
          <c:val>
            <c:numRef>
              <c:f>{120.83,147.82}</c:f>
              <c:numCache>
                <c:formatCode>General</c:formatCode>
                <c:ptCount val="2"/>
                <c:pt idx="0">
                  <c:v>120.83</c:v>
                </c:pt>
                <c:pt idx="1">
                  <c:v>147.82</c:v>
                </c:pt>
              </c:numCache>
            </c:numRef>
          </c:val>
        </c:ser>
        <c:dLbls>
          <c:showLegendKey val="false"/>
          <c:showVal val="true"/>
          <c:showCatName val="false"/>
          <c:showSerName val="false"/>
          <c:showPercent val="false"/>
          <c:showBubbleSize val="false"/>
        </c:dLbls>
        <c:gapWidth val="41"/>
        <c:axId val="261387392"/>
        <c:axId val="261388928"/>
      </c:barChart>
      <c:catAx>
        <c:axId val="261387392"/>
        <c:scaling>
          <c:orientation val="minMax"/>
        </c:scaling>
        <c:delete val="false"/>
        <c:axPos val="b"/>
        <c:title>
          <c:tx>
            <c:rich>
              <a:bodyPr rot="0" spcFirstLastPara="0" vertOverflow="ellipsis" vert="horz" wrap="square" rtlCol="0" anchor="t" anchorCtr="true"/>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false"/>
        </c:title>
        <c:numFmt formatCode="General" sourceLinked="false"/>
        <c:majorTickMark val="none"/>
        <c:minorTickMark val="none"/>
        <c:tickLblPos val="nextTo"/>
        <c:spPr>
          <a:noFill/>
          <a:ln w="9525" cap="flat" cmpd="sng" algn="ctr">
            <a:noFill/>
            <a:prstDash val="solid"/>
            <a:round/>
          </a:ln>
          <a:effectLst/>
        </c:spPr>
        <c:txPr>
          <a:bodyPr rot="-60000000" spcFirstLastPara="1" vertOverflow="ellipsis" vert="horz" wrap="square" anchor="ctr" anchorCtr="true"/>
          <a:lstStyle/>
          <a:p>
            <a:pPr>
              <a:defRPr lang="zh-CN" sz="900" b="0" i="0" u="none" strike="noStrike" kern="1200" baseline="0">
                <a:solidFill>
                  <a:schemeClr val="dk1">
                    <a:lumMod val="65000"/>
                    <a:lumOff val="35000"/>
                  </a:schemeClr>
                </a:solidFill>
                <a:effectLst/>
                <a:latin typeface="+mn-lt"/>
                <a:ea typeface="+mn-ea"/>
                <a:cs typeface="+mn-cs"/>
              </a:defRPr>
            </a:pPr>
          </a:p>
        </c:txPr>
        <c:crossAx val="261388928"/>
        <c:crosses val="autoZero"/>
        <c:auto val="true"/>
        <c:lblAlgn val="ctr"/>
        <c:lblOffset val="100"/>
        <c:noMultiLvlLbl val="false"/>
      </c:catAx>
      <c:valAx>
        <c:axId val="261388928"/>
        <c:scaling>
          <c:orientation val="minMax"/>
        </c:scaling>
        <c:delete val="true"/>
        <c:axPos val="l"/>
        <c:title>
          <c:tx>
            <c:rich>
              <a:bodyPr rot="-5400000" spcFirstLastPara="0" vertOverflow="ellipsis" vert="horz" wrap="square" rtlCol="0" anchor="t" anchorCtr="true"/>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false"/>
        </c:title>
        <c:numFmt formatCode="General" sourceLinked="true"/>
        <c:majorTickMark val="none"/>
        <c:minorTickMark val="none"/>
        <c:tickLblPos val="none"/>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261387392"/>
        <c:crosses val="autoZero"/>
        <c:crossBetween val="between"/>
      </c:valAx>
      <c:spPr>
        <a:noFill/>
        <a:ln>
          <a:noFill/>
        </a:ln>
        <a:effectLst/>
      </c:spPr>
    </c:plotArea>
    <c:legend>
      <c:legendPos val="r"/>
      <c:layout/>
      <c:overlay val="false"/>
      <c:spPr>
        <a:noFill/>
        <a:ln>
          <a:noFill/>
        </a:ln>
        <a:effectLst/>
      </c:spPr>
      <c:txPr>
        <a:bodyPr rot="0" spcFirstLastPara="1" vertOverflow="ellipsis" vert="horz" wrap="square" anchor="ctr" anchorCtr="true"/>
        <a:lstStyle/>
        <a:p>
          <a:pPr>
            <a:defRPr lang="zh-CN" sz="900" b="0" i="0" u="none" strike="noStrike" kern="1200" baseline="0">
              <a:solidFill>
                <a:schemeClr val="dk1">
                  <a:lumMod val="65000"/>
                  <a:lumOff val="35000"/>
                </a:schemeClr>
              </a:solidFill>
              <a:latin typeface="+mn-lt"/>
              <a:ea typeface="+mn-ea"/>
              <a:cs typeface="+mn-cs"/>
            </a:defRPr>
          </a:pPr>
        </a:p>
      </c:txPr>
    </c:legend>
    <c:plotVisOnly val="true"/>
    <c:dispBlanksAs val="gap"/>
    <c:showDLblsOverMax val="false"/>
  </c:chart>
  <c:spPr>
    <a:gradFill flip="none" rotWithShape="true">
      <a:gsLst>
        <a:gs pos="0">
          <a:schemeClr val="lt1"/>
        </a:gs>
        <a:gs pos="68000">
          <a:schemeClr val="lt1">
            <a:lumMod val="85000"/>
          </a:schemeClr>
        </a:gs>
        <a:gs pos="100000">
          <a:schemeClr val="lt1"/>
        </a:gs>
      </a:gsLst>
      <a:lin ang="5400000" scaled="true"/>
      <a:tileRect/>
    </a:gradFill>
    <a:ln w="9525" cap="flat" cmpd="sng" algn="ctr">
      <a:solidFill>
        <a:schemeClr val="dk1">
          <a:lumMod val="15000"/>
          <a:lumOff val="85000"/>
        </a:schemeClr>
      </a:solidFill>
      <a:prstDash val="solid"/>
      <a:round/>
    </a:ln>
    <a:effectLst/>
  </c:spPr>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true"/>
          <a:lstStyle/>
          <a:p>
            <a:pPr algn="l">
              <a:defRPr lang="zh-CN" sz="1800" b="1" i="0" u="none" strike="noStrike" kern="1200" baseline="0">
                <a:solidFill>
                  <a:schemeClr val="tx1"/>
                </a:solidFill>
                <a:latin typeface="+mn-lt"/>
                <a:ea typeface="+mn-ea"/>
                <a:cs typeface="+mn-cs"/>
              </a:defRPr>
            </a:pPr>
            <a:r>
              <a:rPr lang="zh-CN"/>
              <a:t>收入决算结构图</a:t>
            </a:r>
            <a:endParaRPr lang="en-US" sz="1100"/>
          </a:p>
        </c:rich>
      </c:tx>
      <c:layout/>
      <c:overlay val="false"/>
    </c:title>
    <c:autoTitleDeleted val="false"/>
    <c:plotArea>
      <c:layout/>
      <c:pieChart>
        <c:varyColors val="true"/>
        <c:ser>
          <c:idx val="1"/>
          <c:order val="0"/>
          <c:explosion val="0"/>
          <c:dPt>
            <c:idx val="0"/>
            <c:bubble3D val="false"/>
          </c:dPt>
          <c:dPt>
            <c:idx val="1"/>
            <c:bubble3D val="false"/>
          </c:dPt>
          <c:dPt>
            <c:idx val="2"/>
            <c:bubble3D val="false"/>
          </c:dPt>
          <c:dPt>
            <c:idx val="3"/>
            <c:bubble3D val="false"/>
          </c:dPt>
          <c:dPt>
            <c:idx val="4"/>
            <c:bubble3D val="false"/>
          </c:dPt>
          <c:dPt>
            <c:idx val="5"/>
            <c:bubble3D val="false"/>
          </c:dPt>
          <c:dPt>
            <c:idx val="6"/>
            <c:bubble3D val="false"/>
          </c:dPt>
          <c:dPt>
            <c:idx val="7"/>
            <c:bubble3D val="false"/>
          </c:dPt>
          <c:dLbls>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ext>
            </c:extLst>
          </c:dLbls>
          <c:cat>
            <c:strRef>
              <c:f>{"一般公共预算财政拨款收入","政府性基金预算财政拨款收入","国有资本经营预算财政拨款收入","上级补助收入","事业收入","经营收入","附属单位上缴收入","其他收入"}</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{1478166.14,0,0,0,0,0,0,0}</c:f>
              <c:numCache>
                <c:formatCode>General</c:formatCode>
                <c:ptCount val="8"/>
                <c:pt idx="0">
                  <c:v>1478166.14</c:v>
                </c:pt>
                <c:pt idx="1">
                  <c:v>0</c:v>
                </c:pt>
                <c:pt idx="2">
                  <c:v>0</c:v>
                </c:pt>
                <c:pt idx="3">
                  <c:v>0</c:v>
                </c:pt>
                <c:pt idx="4">
                  <c:v>0</c:v>
                </c:pt>
                <c:pt idx="5">
                  <c:v>0</c:v>
                </c:pt>
                <c:pt idx="6">
                  <c:v>0</c:v>
                </c:pt>
                <c:pt idx="7">
                  <c:v>0</c:v>
                </c:pt>
              </c:numCache>
            </c:numRef>
          </c:val>
        </c:ser>
        <c:dLbls>
          <c:showLegendKey val="false"/>
          <c:showVal val="false"/>
          <c:showCatName val="false"/>
          <c:showSerName val="false"/>
          <c:showPercent val="true"/>
          <c:showBubbleSize val="false"/>
          <c:showLeaderLines val="true"/>
        </c:dLbls>
        <c:firstSliceAng val="0"/>
      </c:pieChart>
      <c:spPr>
        <a:noFill/>
        <a:ln>
          <a:noFill/>
        </a:ln>
        <a:effectLst/>
      </c:spPr>
    </c:plotArea>
    <c:legend>
      <c:legendPos val="r"/>
      <c:layout/>
      <c:overlay val="false"/>
      <c:spPr>
        <a:solidFill>
          <a:schemeClr val="lt1">
            <a:lumMod val="95000"/>
            <a:alpha val="39000"/>
          </a:schemeClr>
        </a:solidFill>
        <a:ln>
          <a:noFill/>
        </a:ln>
        <a:effectLst/>
      </c:spPr>
      <c:txPr>
        <a:bodyPr rot="0" spcFirstLastPara="0" vertOverflow="ellipsis" vert="horz" wrap="square" anchor="ctr" anchorCtr="true"/>
        <a:lstStyle/>
        <a:p>
          <a:pPr>
            <a:defRPr lang="zh-CN" sz="900" b="0" i="0" u="none" strike="noStrike" kern="1200" baseline="0">
              <a:solidFill>
                <a:schemeClr val="dk1">
                  <a:lumMod val="75000"/>
                  <a:lumOff val="25000"/>
                </a:schemeClr>
              </a:solidFill>
              <a:latin typeface="+mn-lt"/>
              <a:ea typeface="+mn-ea"/>
              <a:cs typeface="+mn-cs"/>
            </a:defRPr>
          </a:pPr>
        </a:p>
      </c:txPr>
    </c:legend>
    <c:plotVisOnly val="true"/>
    <c:dispBlanksAs val="zero"/>
    <c:showDLblsOverMax val="false"/>
  </c:chart>
  <c:spPr>
    <a:gradFill flip="none" rotWithShape="true">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true"/>
          <a:lstStyle/>
          <a:p>
            <a:pPr algn="l">
              <a:defRPr lang="zh-CN" sz="1800" b="1" i="0" u="none" strike="noStrike" kern="1200" baseline="0">
                <a:solidFill>
                  <a:schemeClr val="tx1"/>
                </a:solidFill>
                <a:latin typeface="+mn-lt"/>
                <a:ea typeface="+mn-ea"/>
                <a:cs typeface="+mn-cs"/>
              </a:defRPr>
            </a:pPr>
            <a:r>
              <a:rPr lang="zh-CN"/>
              <a:t>支出决算结构图</a:t>
            </a:r>
            <a:endParaRPr lang="en-US" sz="1100"/>
          </a:p>
        </c:rich>
      </c:tx>
      <c:layout/>
      <c:overlay val="false"/>
    </c:title>
    <c:autoTitleDeleted val="false"/>
    <c:plotArea>
      <c:layout/>
      <c:pieChart>
        <c:varyColors val="true"/>
        <c:ser>
          <c:idx val="1"/>
          <c:order val="0"/>
          <c:explosion val="0"/>
          <c:dPt>
            <c:idx val="0"/>
            <c:bubble3D val="false"/>
          </c:dPt>
          <c:dPt>
            <c:idx val="1"/>
            <c:bubble3D val="false"/>
          </c:dPt>
          <c:dPt>
            <c:idx val="2"/>
            <c:bubble3D val="false"/>
          </c:dPt>
          <c:dPt>
            <c:idx val="3"/>
            <c:bubble3D val="false"/>
          </c:dPt>
          <c:dPt>
            <c:idx val="4"/>
            <c:bubble3D val="false"/>
          </c:dPt>
          <c:dLbls>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ext>
            </c:extLst>
          </c:dLbls>
          <c:cat>
            <c:strRef>
              <c:f>{"基本支出","项目支出","上缴上级支出","经营支出","对附属单位补助支出"}</c:f>
              <c:strCache>
                <c:ptCount val="5"/>
                <c:pt idx="0">
                  <c:v>基本支出</c:v>
                </c:pt>
                <c:pt idx="1">
                  <c:v>项目支出</c:v>
                </c:pt>
                <c:pt idx="2">
                  <c:v>上缴上级支出</c:v>
                </c:pt>
                <c:pt idx="3">
                  <c:v>经营支出</c:v>
                </c:pt>
                <c:pt idx="4">
                  <c:v>对附属单位补助支出</c:v>
                </c:pt>
              </c:strCache>
            </c:strRef>
          </c:cat>
          <c:val>
            <c:numRef>
              <c:f>{1478166.14,0,0,0,0}</c:f>
              <c:numCache>
                <c:formatCode>General</c:formatCode>
                <c:ptCount val="5"/>
                <c:pt idx="0">
                  <c:v>1478166.14</c:v>
                </c:pt>
                <c:pt idx="1">
                  <c:v>0</c:v>
                </c:pt>
                <c:pt idx="2">
                  <c:v>0</c:v>
                </c:pt>
                <c:pt idx="3">
                  <c:v>0</c:v>
                </c:pt>
                <c:pt idx="4">
                  <c:v>0</c:v>
                </c:pt>
              </c:numCache>
            </c:numRef>
          </c:val>
        </c:ser>
        <c:dLbls>
          <c:showLegendKey val="false"/>
          <c:showVal val="false"/>
          <c:showCatName val="false"/>
          <c:showSerName val="false"/>
          <c:showPercent val="true"/>
          <c:showBubbleSize val="false"/>
          <c:showLeaderLines val="true"/>
        </c:dLbls>
        <c:firstSliceAng val="0"/>
      </c:pieChart>
      <c:spPr>
        <a:noFill/>
        <a:ln>
          <a:noFill/>
        </a:ln>
        <a:effectLst/>
      </c:spPr>
    </c:plotArea>
    <c:legend>
      <c:legendPos val="r"/>
      <c:layout/>
      <c:overlay val="false"/>
      <c:spPr>
        <a:solidFill>
          <a:schemeClr val="lt1">
            <a:lumMod val="95000"/>
            <a:alpha val="39000"/>
          </a:schemeClr>
        </a:solidFill>
        <a:ln>
          <a:noFill/>
        </a:ln>
        <a:effectLst/>
      </c:spPr>
      <c:txPr>
        <a:bodyPr rot="0" spcFirstLastPara="0" vertOverflow="ellipsis" vert="horz" wrap="square" anchor="ctr" anchorCtr="true"/>
        <a:lstStyle/>
        <a:p>
          <a:pPr>
            <a:defRPr lang="zh-CN" sz="900" b="0" i="0" u="none" strike="noStrike" kern="1200" baseline="0">
              <a:solidFill>
                <a:schemeClr val="dk1">
                  <a:lumMod val="75000"/>
                  <a:lumOff val="25000"/>
                </a:schemeClr>
              </a:solidFill>
              <a:latin typeface="+mn-lt"/>
              <a:ea typeface="+mn-ea"/>
              <a:cs typeface="+mn-cs"/>
            </a:defRPr>
          </a:pPr>
        </a:p>
      </c:txPr>
    </c:legend>
    <c:plotVisOnly val="true"/>
    <c:dispBlanksAs val="zero"/>
    <c:showDLblsOverMax val="false"/>
  </c:chart>
  <c:spPr>
    <a:gradFill flip="none" rotWithShape="true">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true"/>
          <a:lstStyle/>
          <a:p>
            <a:pPr>
              <a:defRPr lang="zh-CN" sz="1600" b="1" i="0" u="none" strike="noStrike" kern="1200" baseline="0">
                <a:solidFill>
                  <a:schemeClr val="tx2"/>
                </a:solidFill>
                <a:latin typeface="+mn-lt"/>
                <a:ea typeface="+mn-ea"/>
                <a:cs typeface="+mn-cs"/>
              </a:defRPr>
            </a:pPr>
            <a:r>
              <a:rPr lang="en-US" altLang="zh-CN"/>
              <a:t>财政拨款收、支决算总计变动情况</a:t>
            </a:r>
            <a:endParaRPr lang="en-US" altLang="zh-CN"/>
          </a:p>
        </c:rich>
      </c:tx>
      <c:layout/>
      <c:overlay val="false"/>
      <c:spPr>
        <a:noFill/>
        <a:ln>
          <a:noFill/>
        </a:ln>
        <a:effectLst/>
      </c:spPr>
    </c:title>
    <c:autoTitleDeleted val="false"/>
    <c:plotArea>
      <c:layout/>
      <c:barChart>
        <c:barDir val="col"/>
        <c:grouping val="clustered"/>
        <c:varyColors val="false"/>
        <c:ser>
          <c:idx val="1"/>
          <c:order val="0"/>
          <c:tx>
            <c:strRef>
              <c:f>收入</c:f>
              <c:strCache>
                <c:ptCount val="1"/>
                <c:pt idx="0">
                  <c:v>收入</c:v>
                </c:pt>
              </c:strCache>
            </c:strRef>
          </c:tx>
          <c:invertIfNegative val="false"/>
          <c:dLbls>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numRef>
              <c:f>{"2020","2021"}</c:f>
              <c:numCache>
                <c:formatCode>General</c:formatCode>
                <c:ptCount val="2"/>
                <c:pt idx="0">
                  <c:v>2020</c:v>
                </c:pt>
                <c:pt idx="1">
                  <c:v>2021</c:v>
                </c:pt>
              </c:numCache>
            </c:numRef>
          </c:cat>
          <c:val>
            <c:numRef>
              <c:f>{120.83,147.82}</c:f>
              <c:numCache>
                <c:formatCode>General</c:formatCode>
                <c:ptCount val="2"/>
                <c:pt idx="0">
                  <c:v>120.83</c:v>
                </c:pt>
                <c:pt idx="1">
                  <c:v>147.82</c:v>
                </c:pt>
              </c:numCache>
            </c:numRef>
          </c:val>
        </c:ser>
        <c:ser>
          <c:idx val="2"/>
          <c:order val="1"/>
          <c:tx>
            <c:strRef>
              <c:f>支出</c:f>
              <c:strCache>
                <c:ptCount val="1"/>
                <c:pt idx="0">
                  <c:v>支出</c:v>
                </c:pt>
              </c:strCache>
            </c:strRef>
          </c:tx>
          <c:invertIfNegative val="false"/>
          <c:dLbls>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numRef>
              <c:f>{"2020","2021"}</c:f>
              <c:numCache>
                <c:formatCode>General</c:formatCode>
                <c:ptCount val="2"/>
                <c:pt idx="0">
                  <c:v>2020</c:v>
                </c:pt>
                <c:pt idx="1">
                  <c:v>2021</c:v>
                </c:pt>
              </c:numCache>
            </c:numRef>
          </c:cat>
          <c:val>
            <c:numRef>
              <c:f>{120.83,147.82}</c:f>
              <c:numCache>
                <c:formatCode>General</c:formatCode>
                <c:ptCount val="2"/>
                <c:pt idx="0">
                  <c:v>120.83</c:v>
                </c:pt>
                <c:pt idx="1">
                  <c:v>147.82</c:v>
                </c:pt>
              </c:numCache>
            </c:numRef>
          </c:val>
        </c:ser>
        <c:dLbls>
          <c:showLegendKey val="false"/>
          <c:showVal val="true"/>
          <c:showCatName val="false"/>
          <c:showSerName val="false"/>
          <c:showPercent val="false"/>
          <c:showBubbleSize val="false"/>
        </c:dLbls>
        <c:gapWidth val="100"/>
        <c:overlap val="-24"/>
        <c:axId val="263359104"/>
        <c:axId val="263373184"/>
      </c:barChart>
      <c:catAx>
        <c:axId val="263359104"/>
        <c:scaling>
          <c:orientation val="minMax"/>
        </c:scaling>
        <c:delete val="false"/>
        <c:axPos val="b"/>
        <c:title>
          <c:tx>
            <c:rich>
              <a:bodyPr rot="0" spcFirstLastPara="0" vertOverflow="ellipsis" vert="horz" wrap="square" rtlCol="0" anchor="t" anchorCtr="true"/>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false"/>
        </c:title>
        <c:numFmt formatCode="General" sourceLinked="false"/>
        <c:majorTickMark val="none"/>
        <c:minorTickMark val="none"/>
        <c:tickLblPos val="nextTo"/>
        <c:spPr>
          <a:noFill/>
          <a:ln w="9525" cap="flat" cmpd="sng" algn="ctr">
            <a:solidFill>
              <a:schemeClr val="tx2">
                <a:lumMod val="15000"/>
                <a:lumOff val="85000"/>
              </a:schemeClr>
            </a:solidFill>
            <a:prstDash val="solid"/>
            <a:round/>
          </a:ln>
          <a:effectLst/>
        </c:spPr>
        <c:txPr>
          <a:bodyPr rot="-60000000" spcFirstLastPara="1" vertOverflow="ellipsis" vert="horz" wrap="square" anchor="ctr" anchorCtr="true"/>
          <a:lstStyle/>
          <a:p>
            <a:pPr>
              <a:defRPr lang="zh-CN" sz="900" b="0" i="0" u="none" strike="noStrike" kern="1200" baseline="0">
                <a:solidFill>
                  <a:schemeClr val="tx2"/>
                </a:solidFill>
                <a:latin typeface="+mn-lt"/>
                <a:ea typeface="+mn-ea"/>
                <a:cs typeface="+mn-cs"/>
              </a:defRPr>
            </a:pPr>
          </a:p>
        </c:txPr>
        <c:crossAx val="263373184"/>
        <c:crosses val="autoZero"/>
        <c:auto val="true"/>
        <c:lblAlgn val="ctr"/>
        <c:lblOffset val="100"/>
        <c:noMultiLvlLbl val="false"/>
      </c:catAx>
      <c:valAx>
        <c:axId val="263373184"/>
        <c:scaling>
          <c:orientation val="minMax"/>
        </c:scaling>
        <c:delete val="false"/>
        <c:axPos val="l"/>
        <c:majorGridlines>
          <c:spPr>
            <a:ln w="9525" cap="flat" cmpd="sng" algn="ctr">
              <a:solidFill>
                <a:schemeClr val="tx2">
                  <a:lumMod val="15000"/>
                  <a:lumOff val="85000"/>
                </a:schemeClr>
              </a:solidFill>
              <a:prstDash val="solid"/>
              <a:round/>
            </a:ln>
            <a:effectLst/>
          </c:spPr>
        </c:majorGridlines>
        <c:title>
          <c:tx>
            <c:rich>
              <a:bodyPr rot="-5400000" spcFirstLastPara="0" vertOverflow="ellipsis" vert="horz" wrap="square" rtlCol="0" anchor="t" anchorCtr="true"/>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false"/>
        </c:title>
        <c:numFmt formatCode="General" sourceLinked="true"/>
        <c:majorTickMark val="none"/>
        <c:minorTickMark val="none"/>
        <c:tickLblPos val="nextTo"/>
        <c:spPr>
          <a:noFill/>
          <a:ln w="9525" cap="flat" cmpd="sng" algn="ctr">
            <a:noFill/>
            <a:prstDash val="solid"/>
            <a:round/>
          </a:ln>
          <a:effectLst/>
        </c:spPr>
        <c:txPr>
          <a:bodyPr rot="-60000000" spcFirstLastPara="1" vertOverflow="ellipsis" vert="horz" wrap="square" anchor="ctr" anchorCtr="true"/>
          <a:lstStyle/>
          <a:p>
            <a:pPr>
              <a:defRPr lang="zh-CN" sz="900" b="0" i="0" u="none" strike="noStrike" kern="1200" baseline="0">
                <a:solidFill>
                  <a:schemeClr val="tx2"/>
                </a:solidFill>
                <a:latin typeface="+mn-lt"/>
                <a:ea typeface="+mn-ea"/>
                <a:cs typeface="+mn-cs"/>
              </a:defRPr>
            </a:pPr>
          </a:p>
        </c:txPr>
        <c:crossAx val="263359104"/>
        <c:crosses val="autoZero"/>
        <c:crossBetween val="between"/>
      </c:valAx>
      <c:spPr>
        <a:noFill/>
        <a:ln>
          <a:noFill/>
        </a:ln>
        <a:effectLst/>
      </c:spPr>
    </c:plotArea>
    <c:legend>
      <c:legendPos val="r"/>
      <c:layout/>
      <c:overlay val="false"/>
      <c:spPr>
        <a:noFill/>
        <a:ln>
          <a:noFill/>
        </a:ln>
        <a:effectLst/>
      </c:spPr>
      <c:txPr>
        <a:bodyPr rot="0" spcFirstLastPara="1" vertOverflow="ellipsis" vert="horz" wrap="square" anchor="ctr" anchorCtr="true"/>
        <a:lstStyle/>
        <a:p>
          <a:pPr>
            <a:defRPr lang="zh-CN" sz="900" b="0" i="0" u="none" strike="noStrike" kern="1200" baseline="0">
              <a:solidFill>
                <a:schemeClr val="tx2"/>
              </a:solidFill>
              <a:latin typeface="+mn-lt"/>
              <a:ea typeface="+mn-ea"/>
              <a:cs typeface="+mn-cs"/>
            </a:defRPr>
          </a:pPr>
        </a:p>
      </c:txPr>
    </c:legend>
    <c:plotVisOnly val="true"/>
    <c:dispBlanksAs val="gap"/>
    <c:showDLblsOverMax val="false"/>
  </c:chart>
  <c:spPr>
    <a:solidFill>
      <a:schemeClr val="bg1"/>
    </a:solidFill>
    <a:ln w="9525" cap="flat" cmpd="sng" algn="ctr">
      <a:solidFill>
        <a:schemeClr val="tx2">
          <a:lumMod val="15000"/>
          <a:lumOff val="85000"/>
        </a:schemeClr>
      </a:solidFill>
      <a:prstDash val="solid"/>
      <a:round/>
    </a:ln>
    <a:effectLst/>
  </c:spPr>
  <c:txPr>
    <a:bodyPr/>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true"/>
          <a:lstStyle/>
          <a:p>
            <a:pPr>
              <a:defRPr lang="zh-CN" sz="1600" b="1" i="0" u="none" strike="noStrike" kern="1200" baseline="0">
                <a:solidFill>
                  <a:schemeClr val="tx1">
                    <a:lumMod val="65000"/>
                    <a:lumOff val="35000"/>
                  </a:schemeClr>
                </a:solidFill>
                <a:latin typeface="+mn-lt"/>
                <a:ea typeface="+mn-ea"/>
                <a:cs typeface="+mn-cs"/>
              </a:defRPr>
            </a:pPr>
            <a:r>
              <a:rPr lang="zh-CN" altLang="en-US" sz="1200"/>
              <a:t>一般公共预算财政拨款支出</a:t>
            </a:r>
            <a:endParaRPr lang="zh-CN" altLang="en-US" sz="1200"/>
          </a:p>
        </c:rich>
      </c:tx>
      <c:layout/>
      <c:overlay val="false"/>
      <c:spPr>
        <a:noFill/>
        <a:ln>
          <a:noFill/>
        </a:ln>
        <a:effectLst/>
      </c:spPr>
    </c:title>
    <c:autoTitleDeleted val="false"/>
    <c:plotArea>
      <c:layout>
        <c:manualLayout>
          <c:layoutTarget val="inner"/>
          <c:xMode val="edge"/>
          <c:yMode val="edge"/>
          <c:x val="0.0736333103993069"/>
          <c:y val="0.199582873033408"/>
          <c:w val="0.767623678108199"/>
          <c:h val="0.708506514060342"/>
        </c:manualLayout>
      </c:layout>
      <c:barChart>
        <c:barDir val="col"/>
        <c:grouping val="clustered"/>
        <c:varyColors val="false"/>
        <c:ser>
          <c:idx val="1"/>
          <c:order val="0"/>
          <c:tx>
            <c:strRef>
              <c:f>2020</c:f>
              <c:strCache>
                <c:ptCount val="1"/>
                <c:pt idx="0">
                  <c:v>2020</c:v>
                </c:pt>
              </c:strCache>
            </c:strRef>
          </c:tx>
          <c:invertIfNegative val="false"/>
          <c:dLbls>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{"一般公共预算财政拨款支出"}</c:f>
              <c:strCache>
                <c:ptCount val="1"/>
                <c:pt idx="0">
                  <c:v>一般公共预算财政拨款支出</c:v>
                </c:pt>
              </c:strCache>
            </c:strRef>
          </c:cat>
          <c:val>
            <c:numRef>
              <c:f>{120.83}</c:f>
              <c:numCache>
                <c:formatCode>General</c:formatCode>
                <c:ptCount val="1"/>
                <c:pt idx="0">
                  <c:v>120.83</c:v>
                </c:pt>
              </c:numCache>
            </c:numRef>
          </c:val>
        </c:ser>
        <c:ser>
          <c:idx val="2"/>
          <c:order val="1"/>
          <c:tx>
            <c:strRef>
              <c:f>2021</c:f>
              <c:strCache>
                <c:ptCount val="1"/>
                <c:pt idx="0">
                  <c:v>2021</c:v>
                </c:pt>
              </c:strCache>
            </c:strRef>
          </c:tx>
          <c:invertIfNegative val="false"/>
          <c:dLbls>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{"一般公共预算财政拨款支出"}</c:f>
              <c:strCache>
                <c:ptCount val="1"/>
                <c:pt idx="0">
                  <c:v>一般公共预算财政拨款支出</c:v>
                </c:pt>
              </c:strCache>
            </c:strRef>
          </c:cat>
          <c:val>
            <c:numRef>
              <c:f>{147.82}</c:f>
              <c:numCache>
                <c:formatCode>General</c:formatCode>
                <c:ptCount val="1"/>
                <c:pt idx="0">
                  <c:v>147.82</c:v>
                </c:pt>
              </c:numCache>
            </c:numRef>
          </c:val>
        </c:ser>
        <c:dLbls>
          <c:showLegendKey val="false"/>
          <c:showVal val="true"/>
          <c:showCatName val="false"/>
          <c:showSerName val="false"/>
          <c:showPercent val="false"/>
          <c:showBubbleSize val="false"/>
        </c:dLbls>
        <c:gapWidth val="100"/>
        <c:overlap val="-24"/>
        <c:axId val="263440640"/>
        <c:axId val="263135232"/>
      </c:barChart>
      <c:catAx>
        <c:axId val="263440640"/>
        <c:scaling>
          <c:orientation val="minMax"/>
        </c:scaling>
        <c:delete val="true"/>
        <c:axPos val="b"/>
        <c:title>
          <c:tx>
            <c:rich>
              <a:bodyPr rot="0" spcFirstLastPara="0" vertOverflow="ellipsis" vert="horz" wrap="square" rtlCol="0" anchor="t" anchorCtr="true"/>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false"/>
        </c:title>
        <c:numFmt formatCode="General" sourceLinked="false"/>
        <c:majorTickMark val="none"/>
        <c:minorTickMark val="none"/>
        <c:tickLblPos val="none"/>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263135232"/>
        <c:crosses val="autoZero"/>
        <c:auto val="true"/>
        <c:lblAlgn val="ctr"/>
        <c:lblOffset val="100"/>
        <c:noMultiLvlLbl val="false"/>
      </c:catAx>
      <c:valAx>
        <c:axId val="263135232"/>
        <c:scaling>
          <c:orientation val="minMax"/>
        </c:scaling>
        <c:delete val="false"/>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rtlCol="0" anchor="t" anchorCtr="true"/>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false"/>
        </c:title>
        <c:numFmt formatCode="General" sourceLinked="true"/>
        <c:majorTickMark val="none"/>
        <c:minorTickMark val="none"/>
        <c:tickLblPos val="nextTo"/>
        <c:spPr>
          <a:noFill/>
          <a:ln w="9525" cap="flat" cmpd="sng" algn="ctr">
            <a:noFill/>
            <a:prstDash val="solid"/>
            <a:round/>
          </a:ln>
          <a:effectLst/>
        </c:spPr>
        <c:txPr>
          <a:bodyPr rot="-60000000" spcFirstLastPara="1"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263440640"/>
        <c:crosses val="autoZero"/>
        <c:crossBetween val="between"/>
      </c:valAx>
      <c:spPr>
        <a:noFill/>
        <a:ln>
          <a:noFill/>
        </a:ln>
        <a:effectLst/>
      </c:spPr>
    </c:plotArea>
    <c:legend>
      <c:legendPos val="r"/>
      <c:layout/>
      <c:overlay val="false"/>
      <c:spPr>
        <a:noFill/>
        <a:ln>
          <a:noFill/>
        </a:ln>
        <a:effectLst/>
      </c:spPr>
      <c:txPr>
        <a:bodyPr rot="0" spcFirstLastPara="1"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true"/>
          <a:lstStyle/>
          <a:p>
            <a:pPr algn="l">
              <a:defRPr lang="zh-CN" sz="1800" b="1" i="0" u="none" strike="noStrike" kern="1200" baseline="0">
                <a:solidFill>
                  <a:schemeClr val="tx1"/>
                </a:solidFill>
                <a:latin typeface="+mn-lt"/>
                <a:ea typeface="+mn-ea"/>
                <a:cs typeface="+mn-cs"/>
              </a:defRPr>
            </a:pPr>
            <a:r>
              <a:rPr lang="zh-CN"/>
              <a:t>一般公共预算财政拨款支出</a:t>
            </a:r>
            <a:endParaRPr lang="en-US" sz="1100"/>
          </a:p>
        </c:rich>
      </c:tx>
      <c:layout/>
      <c:overlay val="false"/>
    </c:title>
    <c:autoTitleDeleted val="false"/>
    <c:plotArea>
      <c:layout/>
      <c:pieChart>
        <c:varyColors val="true"/>
        <c:ser>
          <c:idx val="1"/>
          <c:order val="0"/>
          <c:explosion val="0"/>
          <c:dPt>
            <c:idx val="0"/>
            <c:bubble3D val="false"/>
          </c:dPt>
          <c:dPt>
            <c:idx val="1"/>
            <c:bubble3D val="false"/>
          </c:dPt>
          <c:dPt>
            <c:idx val="2"/>
            <c:bubble3D val="false"/>
          </c:dPt>
          <c:dPt>
            <c:idx val="3"/>
            <c:bubble3D val="false"/>
          </c:dPt>
          <c:dLbls>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ext>
            </c:extLst>
          </c:dLbls>
          <c:cat>
            <c:strRef>
              <c:f>{"一般公共服务支出","社会保障和就业支出","卫生健康支出","住房保障支出"}</c:f>
              <c:strCache>
                <c:ptCount val="4"/>
                <c:pt idx="0">
                  <c:v>一般公共服务支出</c:v>
                </c:pt>
                <c:pt idx="1">
                  <c:v>社会保障和就业支出</c:v>
                </c:pt>
                <c:pt idx="2">
                  <c:v>卫生健康支出</c:v>
                </c:pt>
                <c:pt idx="3">
                  <c:v>住房保障支出</c:v>
                </c:pt>
              </c:strCache>
            </c:strRef>
          </c:cat>
          <c:val>
            <c:numRef>
              <c:f>{118.33,13.41,6.6,9.48}</c:f>
              <c:numCache>
                <c:formatCode>General</c:formatCode>
                <c:ptCount val="4"/>
                <c:pt idx="0">
                  <c:v>118.33</c:v>
                </c:pt>
                <c:pt idx="1">
                  <c:v>13.41</c:v>
                </c:pt>
                <c:pt idx="2">
                  <c:v>6.6</c:v>
                </c:pt>
                <c:pt idx="3">
                  <c:v>9.48</c:v>
                </c:pt>
              </c:numCache>
            </c:numRef>
          </c:val>
        </c:ser>
        <c:dLbls>
          <c:showLegendKey val="false"/>
          <c:showVal val="true"/>
          <c:showCatName val="false"/>
          <c:showSerName val="false"/>
          <c:showPercent val="false"/>
          <c:showBubbleSize val="false"/>
          <c:showLeaderLines val="true"/>
        </c:dLbls>
        <c:firstSliceAng val="0"/>
      </c:pieChart>
    </c:plotArea>
    <c:legend>
      <c:legendPos val="r"/>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zero"/>
    <c:showDLblsOverMax val="false"/>
  </c:chart>
  <c:txPr>
    <a:bodyPr/>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lgn="l">
              <a:defRPr lang="zh-CN" sz="1800" b="1" i="0" u="none" strike="noStrike" kern="1200" cap="all" spc="150" baseline="0">
                <a:solidFill>
                  <a:schemeClr val="tx1">
                    <a:lumMod val="50000"/>
                    <a:lumOff val="50000"/>
                  </a:schemeClr>
                </a:solidFill>
                <a:latin typeface="+mn-lt"/>
                <a:ea typeface="+mn-ea"/>
                <a:cs typeface="+mn-cs"/>
              </a:defRPr>
            </a:pPr>
            <a:r>
              <a:t>三公经费</a:t>
            </a:r>
          </a:p>
        </c:rich>
      </c:tx>
      <c:layout/>
      <c:overlay val="false"/>
      <c:spPr>
        <a:noFill/>
        <a:ln>
          <a:noFill/>
        </a:ln>
        <a:effectLst/>
      </c:spPr>
    </c:title>
    <c:autoTitleDeleted val="false"/>
    <c:plotArea>
      <c:layout/>
      <c:pieChart>
        <c:varyColors val="true"/>
        <c:ser>
          <c:idx val="1"/>
          <c:order val="0"/>
          <c:spPr/>
          <c:explosion val="0"/>
          <c:dPt>
            <c:idx val="0"/>
            <c:bubble3D val="false"/>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dPt>
          <c:dPt>
            <c:idx val="1"/>
            <c:bubble3D val="false"/>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dPt>
          <c:dPt>
            <c:idx val="2"/>
            <c:bubble3D val="false"/>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dPt>
          <c:dLbls>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a:solidFill>
                        <a:schemeClr val="tx1">
                          <a:lumMod val="35000"/>
                          <a:lumOff val="65000"/>
                        </a:schemeClr>
                      </a:solidFill>
                    </a:ln>
                    <a:effectLst/>
                  </c:spPr>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{0,0,0}</c:f>
              <c:numCache>
                <c:formatCode>General</c:formatCode>
                <c:ptCount val="3"/>
                <c:pt idx="0">
                  <c:v>0</c:v>
                </c:pt>
                <c:pt idx="1">
                  <c:v>0</c:v>
                </c:pt>
                <c:pt idx="2">
                  <c:v>0</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t"/>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zero"/>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style1.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22</Pages>
  <Words>6408</Words>
  <Characters>7200</Characters>
  <Lines>51</Lines>
  <Paragraphs>14</Paragraphs>
  <TotalTime>8</TotalTime>
  <ScaleCrop>false</ScaleCrop>
  <LinksUpToDate>false</LinksUpToDate>
  <CharactersWithSpaces>7281</CharactersWithSpaces>
  <Application>WPS Office_11.8.2.1111_F1E327BC-269C-435d-A152-05C5408002CA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2022-08-17T09:31:00Z</dcterms:created>
  <dc:creator>lgk</dc:creator>
  <cp:lastModifiedBy>user</cp:lastModifiedBy>
  <cp:lastPrinted>2021-09-26T16:39:00Z</cp:lastPrinted>
  <dcterms:modified xsi:type="dcterms:W3CDTF">2022-09-26T10:24:02Z</dcterms:modified>
  <dc:title>四川省决算编制说明</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2052-11.8.2.1111</vt:lpwstr>
  </property>
  <property fmtid="{D5CDD505-2E9C-101B-9397-08002B2CF9AE}" pid="3" name="ICV">
    <vt:lpwstr>B93CA6F4BEAD4F359769D1203595D585</vt:lpwstr>
  </property>
</Properties>
</file>