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heme="minorEastAsia" w:hAnsiTheme="minorEastAsia" w:eastAsiaTheme="minorEastAsia"/>
          <w:b/>
          <w:sz w:val="72"/>
          <w:szCs w:val="72"/>
        </w:rPr>
      </w:pPr>
      <w:bookmarkStart w:id="0" w:name="_Toc15377425"/>
      <w:bookmarkStart w:id="1" w:name="_Toc15396475"/>
      <w:bookmarkStart w:id="2" w:name="_Toc15377193"/>
      <w:bookmarkStart w:id="3" w:name="_Toc15378441"/>
      <w:bookmarkStart w:id="4" w:name="_Toc15396597"/>
      <w:bookmarkStart w:id="5" w:name="_Toc15306267"/>
    </w:p>
    <w:p>
      <w:pPr>
        <w:pStyle w:val="2"/>
        <w:ind w:firstLine="0"/>
      </w:pPr>
    </w:p>
    <w:p>
      <w:pPr>
        <w:jc w:val="center"/>
        <w:rPr>
          <w:rFonts w:asciiTheme="minorEastAsia" w:hAnsiTheme="minorEastAsia" w:eastAsiaTheme="minorEastAsia"/>
          <w:b/>
          <w:sz w:val="72"/>
          <w:szCs w:val="72"/>
        </w:rPr>
      </w:pPr>
      <w:r>
        <w:rPr>
          <w:rFonts w:hint="eastAsia" w:asciiTheme="minorEastAsia" w:hAnsiTheme="minorEastAsia" w:eastAsiaTheme="minorEastAsia"/>
          <w:b/>
          <w:sz w:val="72"/>
          <w:szCs w:val="72"/>
        </w:rPr>
        <w:t>2021年度</w:t>
      </w:r>
      <w:bookmarkEnd w:id="0"/>
      <w:bookmarkEnd w:id="1"/>
      <w:bookmarkEnd w:id="2"/>
      <w:bookmarkEnd w:id="3"/>
      <w:bookmarkEnd w:id="4"/>
    </w:p>
    <w:bookmarkEnd w:id="5"/>
    <w:p>
      <w:pPr>
        <w:jc w:val="center"/>
        <w:rPr>
          <w:rFonts w:asciiTheme="minorEastAsia" w:hAnsiTheme="minorEastAsia" w:eastAsiaTheme="minorEastAsia"/>
          <w:b/>
          <w:sz w:val="72"/>
          <w:szCs w:val="72"/>
        </w:rPr>
      </w:pPr>
      <w:bookmarkStart w:id="6" w:name="_Toc15377194"/>
      <w:bookmarkStart w:id="7" w:name="_Toc15306268"/>
      <w:bookmarkStart w:id="8" w:name="_Toc15377426"/>
      <w:bookmarkStart w:id="9" w:name="_Toc15396476"/>
      <w:bookmarkStart w:id="10" w:name="_Toc15378442"/>
      <w:bookmarkStart w:id="11" w:name="_Toc15396598"/>
      <w:r>
        <w:rPr>
          <w:rFonts w:asciiTheme="minorEastAsia" w:hAnsiTheme="minorEastAsia" w:eastAsiaTheme="minorEastAsia"/>
          <w:b/>
          <w:sz w:val="72"/>
          <w:szCs w:val="72"/>
        </w:rPr>
        <w:t>阿坝州茂县委员会办公室</w:t>
      </w:r>
      <w:r>
        <w:rPr>
          <w:rFonts w:hint="eastAsia" w:asciiTheme="minorEastAsia" w:hAnsiTheme="minorEastAsia" w:eastAsiaTheme="minorEastAsia"/>
          <w:b/>
          <w:sz w:val="72"/>
          <w:szCs w:val="72"/>
        </w:rPr>
        <w:t>部门决算</w:t>
      </w:r>
      <w:bookmarkEnd w:id="6"/>
      <w:bookmarkEnd w:id="7"/>
      <w:bookmarkEnd w:id="8"/>
      <w:bookmarkEnd w:id="9"/>
      <w:bookmarkEnd w:id="10"/>
      <w:bookmarkEnd w:id="11"/>
      <w:r>
        <w:rPr>
          <w:rFonts w:hint="eastAsia" w:asciiTheme="minorEastAsia" w:hAnsiTheme="minorEastAsia" w:eastAsiaTheme="minorEastAsia"/>
          <w:b/>
          <w:sz w:val="72"/>
          <w:szCs w:val="72"/>
        </w:rPr>
        <w:t>编制说明</w:t>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tabs>
          <w:tab w:val="left" w:pos="3600"/>
        </w:tabs>
      </w:pPr>
      <w:r>
        <w:tab/>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bookmarkStart w:id="12" w:name="_Toc15377196"/>
    </w:p>
    <w:p>
      <w:pPr>
        <w:pStyle w:val="12"/>
        <w:rPr>
          <w:rFonts w:asciiTheme="minorHAnsi" w:hAnsiTheme="minorHAnsi" w:eastAsiaTheme="minorEastAsia" w:cstheme="minorBidi"/>
          <w:sz w:val="21"/>
          <w:szCs w:val="22"/>
        </w:rPr>
      </w:pPr>
      <w:r>
        <w:rPr>
          <w:smallCaps/>
          <w:sz w:val="20"/>
          <w:szCs w:val="20"/>
        </w:rPr>
        <w:fldChar w:fldCharType="begin"/>
      </w:r>
      <w:r>
        <w:rPr>
          <w:smallCaps/>
          <w:sz w:val="20"/>
          <w:szCs w:val="20"/>
        </w:rPr>
        <w:instrText xml:space="preserve"> TOC \o "1-2" \h \z \u </w:instrText>
      </w:r>
      <w:r>
        <w:rPr>
          <w:smallCaps/>
          <w:sz w:val="20"/>
          <w:szCs w:val="20"/>
        </w:rPr>
        <w:fldChar w:fldCharType="separate"/>
      </w:r>
      <w:r>
        <w:fldChar w:fldCharType="begin"/>
      </w:r>
      <w:r>
        <w:instrText xml:space="preserve"> HYPERLINK \l "_Toc113981009" </w:instrText>
      </w:r>
      <w:r>
        <w:fldChar w:fldCharType="separate"/>
      </w:r>
      <w:r>
        <w:rPr>
          <w:rStyle w:val="18"/>
          <w:rFonts w:ascii="黑体" w:hAnsi="黑体" w:eastAsia="黑体" w:cs="黑体"/>
        </w:rPr>
        <w:t>第一部分 部门概况</w:t>
      </w:r>
      <w:r>
        <w:tab/>
      </w:r>
      <w:r>
        <w:fldChar w:fldCharType="begin"/>
      </w:r>
      <w:r>
        <w:instrText xml:space="preserve"> PAGEREF _Toc113981009 \h </w:instrText>
      </w:r>
      <w:r>
        <w:fldChar w:fldCharType="separate"/>
      </w:r>
      <w:r>
        <w:t>3</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"_Toc113981010" </w:instrText>
      </w:r>
      <w:r>
        <w:fldChar w:fldCharType="separate"/>
      </w:r>
      <w:r>
        <w:rPr>
          <w:rStyle w:val="18"/>
          <w:rFonts w:ascii="黑体" w:eastAsia="黑体"/>
        </w:rPr>
        <w:t>一、基本职能及主要工作</w:t>
      </w:r>
      <w:r>
        <w:tab/>
      </w:r>
      <w:r>
        <w:fldChar w:fldCharType="begin"/>
      </w:r>
      <w:r>
        <w:instrText xml:space="preserve"> PAGEREF _Toc113981010 \h </w:instrText>
      </w:r>
      <w:r>
        <w:fldChar w:fldCharType="separate"/>
      </w:r>
      <w:r>
        <w:t>3</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"_Toc113981011" </w:instrText>
      </w:r>
      <w:r>
        <w:fldChar w:fldCharType="separate"/>
      </w:r>
      <w:r>
        <w:rPr>
          <w:rStyle w:val="18"/>
          <w:rFonts w:ascii="黑体" w:eastAsia="黑体"/>
        </w:rPr>
        <w:t>二、机构设置</w:t>
      </w:r>
      <w:r>
        <w:tab/>
      </w:r>
      <w:r>
        <w:fldChar w:fldCharType="begin"/>
      </w:r>
      <w:r>
        <w:instrText xml:space="preserve"> PAGEREF _Toc113981011 \h </w:instrText>
      </w:r>
      <w:r>
        <w:fldChar w:fldCharType="separate"/>
      </w:r>
      <w:r>
        <w:t>3</w:t>
      </w:r>
      <w:r>
        <w:fldChar w:fldCharType="end"/>
      </w:r>
      <w:r>
        <w:fldChar w:fldCharType="end"/>
      </w:r>
    </w:p>
    <w:p>
      <w:pPr>
        <w:pStyle w:val="12"/>
        <w:rPr>
          <w:rFonts w:asciiTheme="minorHAnsi" w:hAnsiTheme="minorHAnsi" w:eastAsiaTheme="minorEastAsia" w:cstheme="minorBidi"/>
          <w:sz w:val="21"/>
          <w:szCs w:val="22"/>
        </w:rPr>
      </w:pPr>
      <w:r>
        <w:fldChar w:fldCharType="begin"/>
      </w:r>
      <w:r>
        <w:instrText xml:space="preserve"> HYPERLINK \l "_Toc113981012" </w:instrText>
      </w:r>
      <w:r>
        <w:fldChar w:fldCharType="separate"/>
      </w:r>
      <w:r>
        <w:rPr>
          <w:rStyle w:val="18"/>
          <w:rFonts w:hint="eastAsia" w:ascii="黑体" w:hAnsi="黑体" w:eastAsia="黑体" w:cs="黑体"/>
        </w:rPr>
        <w:t>第二部分</w:t>
      </w:r>
      <w:r>
        <w:rPr>
          <w:rStyle w:val="18"/>
          <w:rFonts w:ascii="黑体" w:hAnsi="黑体" w:eastAsia="黑体" w:cs="黑体"/>
        </w:rPr>
        <w:t xml:space="preserve"> 2021年度部门决算情况说明</w:t>
      </w:r>
      <w:r>
        <w:tab/>
      </w:r>
      <w:r>
        <w:fldChar w:fldCharType="begin"/>
      </w:r>
      <w:r>
        <w:instrText xml:space="preserve"> PAGEREF _Toc113981012 \h </w:instrText>
      </w:r>
      <w:r>
        <w:fldChar w:fldCharType="separate"/>
      </w:r>
      <w:r>
        <w:t>4</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"_Toc113981013" </w:instrText>
      </w:r>
      <w:r>
        <w:fldChar w:fldCharType="separate"/>
      </w:r>
      <w:r>
        <w:rPr>
          <w:rStyle w:val="18"/>
          <w:rFonts w:ascii="黑体" w:eastAsia="黑体"/>
        </w:rPr>
        <w:t>一、收入支出决算总体情况说明</w:t>
      </w:r>
      <w:r>
        <w:tab/>
      </w:r>
      <w:r>
        <w:fldChar w:fldCharType="begin"/>
      </w:r>
      <w:r>
        <w:instrText xml:space="preserve"> PAGEREF _Toc113981013 \h </w:instrText>
      </w:r>
      <w:r>
        <w:fldChar w:fldCharType="separate"/>
      </w:r>
      <w:r>
        <w:t>4</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"_Toc113981014" </w:instrText>
      </w:r>
      <w:r>
        <w:fldChar w:fldCharType="separate"/>
      </w:r>
      <w:r>
        <w:rPr>
          <w:rStyle w:val="18"/>
          <w:rFonts w:ascii="黑体" w:eastAsia="黑体"/>
        </w:rPr>
        <w:t>二、收入决算情况说明</w:t>
      </w:r>
      <w:r>
        <w:tab/>
      </w:r>
      <w:r>
        <w:fldChar w:fldCharType="begin"/>
      </w:r>
      <w:r>
        <w:instrText xml:space="preserve"> PAGEREF _Toc113981014 \h </w:instrText>
      </w:r>
      <w:r>
        <w:fldChar w:fldCharType="separate"/>
      </w:r>
      <w:r>
        <w:t>4</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"_Toc113981015" </w:instrText>
      </w:r>
      <w:r>
        <w:fldChar w:fldCharType="separate"/>
      </w:r>
      <w:r>
        <w:rPr>
          <w:rStyle w:val="18"/>
          <w:rFonts w:ascii="黑体" w:eastAsia="黑体"/>
        </w:rPr>
        <w:t>三、支出决算情况说明</w:t>
      </w:r>
      <w:r>
        <w:tab/>
      </w:r>
      <w:r>
        <w:fldChar w:fldCharType="begin"/>
      </w:r>
      <w:r>
        <w:instrText xml:space="preserve"> PAGEREF _Toc113981015 \h </w:instrText>
      </w:r>
      <w:r>
        <w:fldChar w:fldCharType="separate"/>
      </w:r>
      <w:r>
        <w:t>5</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"_Toc113981016" </w:instrText>
      </w:r>
      <w:r>
        <w:fldChar w:fldCharType="separate"/>
      </w:r>
      <w:r>
        <w:rPr>
          <w:rStyle w:val="18"/>
          <w:rFonts w:ascii="黑体" w:eastAsia="黑体"/>
        </w:rPr>
        <w:t>四、财政拨款收入支出决算总体情况说明</w:t>
      </w:r>
      <w:r>
        <w:tab/>
      </w:r>
      <w:r>
        <w:fldChar w:fldCharType="begin"/>
      </w:r>
      <w:r>
        <w:instrText xml:space="preserve"> PAGEREF _Toc113981016 \h </w:instrText>
      </w:r>
      <w:r>
        <w:fldChar w:fldCharType="separate"/>
      </w:r>
      <w:r>
        <w:t>6</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"_Toc113981017" </w:instrText>
      </w:r>
      <w:r>
        <w:fldChar w:fldCharType="separate"/>
      </w:r>
      <w:r>
        <w:rPr>
          <w:rStyle w:val="18"/>
          <w:rFonts w:ascii="黑体" w:eastAsia="黑体"/>
        </w:rPr>
        <w:t>五、一般公共预算财政拨款支出决算情况说明</w:t>
      </w:r>
      <w:r>
        <w:tab/>
      </w:r>
      <w:r>
        <w:fldChar w:fldCharType="begin"/>
      </w:r>
      <w:r>
        <w:instrText xml:space="preserve"> PAGEREF _Toc113981017 \h </w:instrText>
      </w:r>
      <w:r>
        <w:fldChar w:fldCharType="separate"/>
      </w:r>
      <w:r>
        <w:t>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"_Toc113981018" </w:instrText>
      </w:r>
      <w:r>
        <w:fldChar w:fldCharType="separate"/>
      </w:r>
      <w:r>
        <w:rPr>
          <w:rStyle w:val="18"/>
          <w:rFonts w:ascii="黑体" w:eastAsia="黑体"/>
        </w:rPr>
        <w:t>六、一般公共预算财政拨款基本支出决算情况说明</w:t>
      </w:r>
      <w:r>
        <w:tab/>
      </w:r>
      <w:r>
        <w:fldChar w:fldCharType="begin"/>
      </w:r>
      <w:r>
        <w:instrText xml:space="preserve"> PAGEREF _Toc113981018 \h </w:instrText>
      </w:r>
      <w:r>
        <w:fldChar w:fldCharType="separate"/>
      </w:r>
      <w:r>
        <w:t>9</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"_Toc113981019" </w:instrText>
      </w:r>
      <w:r>
        <w:fldChar w:fldCharType="separate"/>
      </w:r>
      <w:r>
        <w:rPr>
          <w:rStyle w:val="18"/>
          <w:rFonts w:ascii="黑体" w:eastAsia="黑体"/>
        </w:rPr>
        <w:t>七、“三公”经费财政拨款支出决算情况说明</w:t>
      </w:r>
      <w:r>
        <w:tab/>
      </w:r>
      <w:r>
        <w:fldChar w:fldCharType="begin"/>
      </w:r>
      <w:r>
        <w:instrText xml:space="preserve"> PAGEREF _Toc113981019 \h </w:instrText>
      </w:r>
      <w:r>
        <w:fldChar w:fldCharType="separate"/>
      </w:r>
      <w:r>
        <w:t>9</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"_Toc113981020" </w:instrText>
      </w:r>
      <w:r>
        <w:fldChar w:fldCharType="separate"/>
      </w:r>
      <w:r>
        <w:rPr>
          <w:rStyle w:val="18"/>
          <w:rFonts w:ascii="黑体" w:eastAsia="黑体"/>
        </w:rPr>
        <w:t>八、政府性基金预算支出决算情况说明</w:t>
      </w:r>
      <w:r>
        <w:tab/>
      </w:r>
      <w:r>
        <w:fldChar w:fldCharType="begin"/>
      </w:r>
      <w:r>
        <w:instrText xml:space="preserve"> PAGEREF _Toc113981020 \h </w:instrText>
      </w:r>
      <w:r>
        <w:fldChar w:fldCharType="separate"/>
      </w:r>
      <w:r>
        <w:t>11</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"_Toc113981021" </w:instrText>
      </w:r>
      <w:r>
        <w:fldChar w:fldCharType="separate"/>
      </w:r>
      <w:r>
        <w:rPr>
          <w:rStyle w:val="18"/>
          <w:rFonts w:ascii="黑体" w:eastAsia="黑体"/>
        </w:rPr>
        <w:t>九、国有资本经营预算支出决算情况说明</w:t>
      </w:r>
      <w:r>
        <w:tab/>
      </w:r>
      <w:r>
        <w:fldChar w:fldCharType="begin"/>
      </w:r>
      <w:r>
        <w:instrText xml:space="preserve"> PAGEREF _Toc113981021 \h </w:instrText>
      </w:r>
      <w:r>
        <w:fldChar w:fldCharType="separate"/>
      </w:r>
      <w:r>
        <w:t>12</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"_Toc113981022" </w:instrText>
      </w:r>
      <w:r>
        <w:fldChar w:fldCharType="separate"/>
      </w:r>
      <w:r>
        <w:rPr>
          <w:rStyle w:val="18"/>
          <w:rFonts w:ascii="黑体" w:eastAsia="黑体"/>
        </w:rPr>
        <w:t>十、其他重要事项的情况说明</w:t>
      </w:r>
      <w:r>
        <w:tab/>
      </w:r>
      <w:r>
        <w:fldChar w:fldCharType="begin"/>
      </w:r>
      <w:r>
        <w:instrText xml:space="preserve"> PAGEREF _Toc113981022 \h </w:instrText>
      </w:r>
      <w:r>
        <w:fldChar w:fldCharType="separate"/>
      </w:r>
      <w:r>
        <w:t>12</w:t>
      </w:r>
      <w:r>
        <w:fldChar w:fldCharType="end"/>
      </w:r>
      <w:r>
        <w:fldChar w:fldCharType="end"/>
      </w:r>
    </w:p>
    <w:p>
      <w:pPr>
        <w:pStyle w:val="12"/>
        <w:rPr>
          <w:rFonts w:asciiTheme="minorHAnsi" w:hAnsiTheme="minorHAnsi" w:eastAsiaTheme="minorEastAsia" w:cstheme="minorBidi"/>
          <w:sz w:val="21"/>
          <w:szCs w:val="22"/>
        </w:rPr>
      </w:pPr>
      <w:r>
        <w:fldChar w:fldCharType="begin"/>
      </w:r>
      <w:r>
        <w:instrText xml:space="preserve"> HYPERLINK \l "_Toc113981023" </w:instrText>
      </w:r>
      <w:r>
        <w:fldChar w:fldCharType="separate"/>
      </w:r>
      <w:r>
        <w:rPr>
          <w:rStyle w:val="18"/>
          <w:rFonts w:ascii="黑体" w:hAnsi="黑体" w:eastAsia="黑体" w:cs="黑体"/>
        </w:rPr>
        <w:t>第三部分 名词解释</w:t>
      </w:r>
      <w:r>
        <w:tab/>
      </w:r>
      <w:r>
        <w:fldChar w:fldCharType="begin"/>
      </w:r>
      <w:r>
        <w:instrText xml:space="preserve"> PAGEREF _Toc113981023 \h </w:instrText>
      </w:r>
      <w:r>
        <w:fldChar w:fldCharType="separate"/>
      </w:r>
      <w:r>
        <w:t>14</w:t>
      </w:r>
      <w:r>
        <w:fldChar w:fldCharType="end"/>
      </w:r>
      <w:r>
        <w:fldChar w:fldCharType="end"/>
      </w:r>
    </w:p>
    <w:p>
      <w:pPr>
        <w:pStyle w:val="12"/>
        <w:rPr>
          <w:rFonts w:asciiTheme="minorHAnsi" w:hAnsiTheme="minorHAnsi" w:eastAsiaTheme="minorEastAsia" w:cstheme="minorBidi"/>
          <w:sz w:val="21"/>
          <w:szCs w:val="22"/>
        </w:rPr>
      </w:pPr>
      <w:r>
        <w:fldChar w:fldCharType="begin"/>
      </w:r>
      <w:r>
        <w:instrText xml:space="preserve"> HYPERLINK \l "_Toc113981024" </w:instrText>
      </w:r>
      <w:r>
        <w:fldChar w:fldCharType="separate"/>
      </w:r>
      <w:r>
        <w:rPr>
          <w:rStyle w:val="18"/>
          <w:rFonts w:ascii="黑体" w:hAnsi="黑体" w:eastAsia="黑体" w:cs="黑体"/>
        </w:rPr>
        <w:t>第四部分 附件</w:t>
      </w:r>
      <w:r>
        <w:tab/>
      </w:r>
      <w:r>
        <w:fldChar w:fldCharType="begin"/>
      </w:r>
      <w:r>
        <w:instrText xml:space="preserve"> PAGEREF _Toc113981024 \h </w:instrText>
      </w:r>
      <w:r>
        <w:fldChar w:fldCharType="separate"/>
      </w:r>
      <w:r>
        <w:t>16</w:t>
      </w:r>
      <w:r>
        <w:fldChar w:fldCharType="end"/>
      </w:r>
      <w:r>
        <w:fldChar w:fldCharType="end"/>
      </w:r>
    </w:p>
    <w:p>
      <w:pPr>
        <w:pStyle w:val="12"/>
        <w:rPr>
          <w:rFonts w:asciiTheme="minorHAnsi" w:hAnsiTheme="minorHAnsi" w:eastAsiaTheme="minorEastAsia" w:cstheme="minorBidi"/>
          <w:sz w:val="21"/>
          <w:szCs w:val="22"/>
        </w:rPr>
      </w:pPr>
      <w:r>
        <w:fldChar w:fldCharType="begin"/>
      </w:r>
      <w:r>
        <w:instrText xml:space="preserve"> HYPERLINK \l "_Toc113981025" </w:instrText>
      </w:r>
      <w:r>
        <w:fldChar w:fldCharType="separate"/>
      </w:r>
      <w:r>
        <w:rPr>
          <w:rStyle w:val="18"/>
          <w:rFonts w:ascii="黑体" w:hAnsi="黑体" w:eastAsia="黑体" w:cs="黑体"/>
        </w:rPr>
        <w:t>第五部分 附表</w:t>
      </w:r>
      <w:r>
        <w:tab/>
      </w:r>
      <w:r>
        <w:fldChar w:fldCharType="begin"/>
      </w:r>
      <w:r>
        <w:instrText xml:space="preserve"> PAGEREF _Toc113981025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"_Toc113981026" </w:instrText>
      </w:r>
      <w:r>
        <w:fldChar w:fldCharType="separate"/>
      </w:r>
      <w:r>
        <w:rPr>
          <w:rStyle w:val="18"/>
          <w:rFonts w:ascii="黑体" w:eastAsia="黑体"/>
        </w:rPr>
        <w:t>一、收入支出决算总表</w:t>
      </w:r>
      <w:r>
        <w:tab/>
      </w:r>
      <w:r>
        <w:fldChar w:fldCharType="begin"/>
      </w:r>
      <w:r>
        <w:instrText xml:space="preserve"> PAGEREF _Toc113981026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"_Toc113981027" </w:instrText>
      </w:r>
      <w:r>
        <w:fldChar w:fldCharType="separate"/>
      </w:r>
      <w:r>
        <w:rPr>
          <w:rStyle w:val="18"/>
          <w:rFonts w:ascii="黑体" w:eastAsia="黑体"/>
        </w:rPr>
        <w:t>二、收入决算表</w:t>
      </w:r>
      <w:r>
        <w:tab/>
      </w:r>
      <w:r>
        <w:fldChar w:fldCharType="begin"/>
      </w:r>
      <w:r>
        <w:instrText xml:space="preserve"> PAGEREF _Toc113981027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"_Toc113981028" </w:instrText>
      </w:r>
      <w:r>
        <w:fldChar w:fldCharType="separate"/>
      </w:r>
      <w:r>
        <w:rPr>
          <w:rStyle w:val="18"/>
          <w:rFonts w:ascii="黑体" w:eastAsia="黑体"/>
        </w:rPr>
        <w:t>三、支出决算表</w:t>
      </w:r>
      <w:r>
        <w:tab/>
      </w:r>
      <w:r>
        <w:fldChar w:fldCharType="begin"/>
      </w:r>
      <w:r>
        <w:instrText xml:space="preserve"> PAGEREF _Toc113981028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"_Toc113981029" </w:instrText>
      </w:r>
      <w:r>
        <w:fldChar w:fldCharType="separate"/>
      </w:r>
      <w:r>
        <w:rPr>
          <w:rStyle w:val="18"/>
          <w:rFonts w:ascii="黑体" w:eastAsia="黑体"/>
        </w:rPr>
        <w:t>四、财政拨款收入支出决算总表</w:t>
      </w:r>
      <w:r>
        <w:tab/>
      </w:r>
      <w:r>
        <w:fldChar w:fldCharType="begin"/>
      </w:r>
      <w:r>
        <w:instrText xml:space="preserve"> PAGEREF _Toc113981029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"_Toc113981030" </w:instrText>
      </w:r>
      <w:r>
        <w:fldChar w:fldCharType="separate"/>
      </w:r>
      <w:r>
        <w:rPr>
          <w:rStyle w:val="18"/>
          <w:rFonts w:ascii="黑体" w:eastAsia="黑体"/>
        </w:rPr>
        <w:t>五、财政拨款支出决算明细表</w:t>
      </w:r>
      <w:r>
        <w:tab/>
      </w:r>
      <w:r>
        <w:fldChar w:fldCharType="begin"/>
      </w:r>
      <w:r>
        <w:instrText xml:space="preserve"> PAGEREF _Toc113981030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"_Toc113981031" </w:instrText>
      </w:r>
      <w:r>
        <w:fldChar w:fldCharType="separate"/>
      </w:r>
      <w:r>
        <w:rPr>
          <w:rStyle w:val="18"/>
          <w:rFonts w:ascii="黑体" w:eastAsia="黑体"/>
        </w:rPr>
        <w:t>六、一般公共预算财政拨款支出决算表</w:t>
      </w:r>
      <w:r>
        <w:tab/>
      </w:r>
      <w:r>
        <w:fldChar w:fldCharType="begin"/>
      </w:r>
      <w:r>
        <w:instrText xml:space="preserve"> PAGEREF _Toc113981031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"_Toc113981032" </w:instrText>
      </w:r>
      <w:r>
        <w:fldChar w:fldCharType="separate"/>
      </w:r>
      <w:r>
        <w:rPr>
          <w:rStyle w:val="18"/>
          <w:rFonts w:ascii="黑体" w:eastAsia="黑体"/>
        </w:rPr>
        <w:t>七、一般公共预算财政拨款支出决算明细表</w:t>
      </w:r>
      <w:r>
        <w:tab/>
      </w:r>
      <w:r>
        <w:fldChar w:fldCharType="begin"/>
      </w:r>
      <w:r>
        <w:instrText xml:space="preserve"> PAGEREF _Toc113981032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"_Toc113981033" </w:instrText>
      </w:r>
      <w:r>
        <w:fldChar w:fldCharType="separate"/>
      </w:r>
      <w:r>
        <w:rPr>
          <w:rStyle w:val="18"/>
          <w:rFonts w:ascii="黑体" w:eastAsia="黑体"/>
        </w:rPr>
        <w:t>八、一般公共预算财政拨款基本支出决算表</w:t>
      </w:r>
      <w:r>
        <w:tab/>
      </w:r>
      <w:r>
        <w:fldChar w:fldCharType="begin"/>
      </w:r>
      <w:r>
        <w:instrText xml:space="preserve"> PAGEREF _Toc113981033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"_Toc113981034" </w:instrText>
      </w:r>
      <w:r>
        <w:fldChar w:fldCharType="separate"/>
      </w:r>
      <w:r>
        <w:rPr>
          <w:rStyle w:val="18"/>
          <w:rFonts w:ascii="黑体" w:eastAsia="黑体"/>
        </w:rPr>
        <w:t>九、一般公共预算财政拨款项目支出决算表</w:t>
      </w:r>
      <w:r>
        <w:tab/>
      </w:r>
      <w:r>
        <w:fldChar w:fldCharType="begin"/>
      </w:r>
      <w:r>
        <w:instrText xml:space="preserve"> PAGEREF _Toc113981034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"_Toc113981035" </w:instrText>
      </w:r>
      <w:r>
        <w:fldChar w:fldCharType="separate"/>
      </w:r>
      <w:r>
        <w:rPr>
          <w:rStyle w:val="18"/>
          <w:rFonts w:ascii="黑体" w:eastAsia="黑体"/>
        </w:rPr>
        <w:t>十、一般公共预算财政拨款“三公”经费支出决算表</w:t>
      </w:r>
      <w:r>
        <w:tab/>
      </w:r>
      <w:r>
        <w:fldChar w:fldCharType="begin"/>
      </w:r>
      <w:r>
        <w:instrText xml:space="preserve"> PAGEREF _Toc113981035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"_Toc113981036" </w:instrText>
      </w:r>
      <w:r>
        <w:fldChar w:fldCharType="separate"/>
      </w:r>
      <w:r>
        <w:rPr>
          <w:rStyle w:val="18"/>
          <w:rFonts w:ascii="黑体" w:eastAsia="黑体"/>
        </w:rPr>
        <w:t>十一、政府性基金预算财政拨款收入支出决算表</w:t>
      </w:r>
      <w:r>
        <w:tab/>
      </w:r>
      <w:r>
        <w:fldChar w:fldCharType="begin"/>
      </w:r>
      <w:r>
        <w:instrText xml:space="preserve"> PAGEREF _Toc113981036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"_Toc113981037" </w:instrText>
      </w:r>
      <w:r>
        <w:fldChar w:fldCharType="separate"/>
      </w:r>
      <w:r>
        <w:rPr>
          <w:rStyle w:val="18"/>
          <w:rFonts w:ascii="黑体" w:eastAsia="黑体"/>
        </w:rPr>
        <w:t>十二、政府性基金预算财政拨款“三公”经费支出决算表</w:t>
      </w:r>
      <w:r>
        <w:tab/>
      </w:r>
      <w:r>
        <w:fldChar w:fldCharType="begin"/>
      </w:r>
      <w:r>
        <w:instrText xml:space="preserve"> PAGEREF _Toc113981037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"_Toc113981038" </w:instrText>
      </w:r>
      <w:r>
        <w:fldChar w:fldCharType="separate"/>
      </w:r>
      <w:r>
        <w:rPr>
          <w:rStyle w:val="18"/>
          <w:rFonts w:ascii="黑体" w:eastAsia="黑体"/>
        </w:rPr>
        <w:t>十三、国有资本经营预算财政拨款收入支出决算表</w:t>
      </w:r>
      <w:r>
        <w:tab/>
      </w:r>
      <w:r>
        <w:fldChar w:fldCharType="begin"/>
      </w:r>
      <w:r>
        <w:instrText xml:space="preserve"> PAGEREF _Toc113981038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"_Toc113981039" </w:instrText>
      </w:r>
      <w:r>
        <w:fldChar w:fldCharType="separate"/>
      </w:r>
      <w:r>
        <w:rPr>
          <w:rStyle w:val="18"/>
          <w:rFonts w:ascii="黑体" w:eastAsia="黑体"/>
        </w:rPr>
        <w:t>十四、国有资本经营预算财政拨款支出决算表</w:t>
      </w:r>
      <w:r>
        <w:tab/>
      </w:r>
      <w:r>
        <w:fldChar w:fldCharType="begin"/>
      </w:r>
      <w:r>
        <w:instrText xml:space="preserve"> PAGEREF _Toc113981039 \h </w:instrText>
      </w:r>
      <w:r>
        <w:fldChar w:fldCharType="separate"/>
      </w:r>
      <w:r>
        <w:t>17</w:t>
      </w:r>
      <w:r>
        <w:fldChar w:fldCharType="end"/>
      </w:r>
      <w:r>
        <w:fldChar w:fldCharType="end"/>
      </w:r>
    </w:p>
    <w:p>
      <w:pPr>
        <w:pStyle w:val="2"/>
      </w:pPr>
      <w:r>
        <w:rPr>
          <w:smallCaps/>
          <w:szCs w:val="20"/>
        </w:rPr>
        <w:fldChar w:fldCharType="end"/>
      </w:r>
    </w:p>
    <w:p>
      <w:pPr>
        <w:pStyle w:val="3"/>
        <w:jc w:val="center"/>
        <w:rPr>
          <w:rFonts w:ascii="黑体" w:hAnsi="黑体" w:eastAsia="黑体" w:cs="黑体"/>
          <w:b w:val="0"/>
          <w:bCs w:val="0"/>
        </w:rPr>
      </w:pPr>
      <w:bookmarkStart w:id="13" w:name="_Toc113981009"/>
      <w:bookmarkStart w:id="14" w:name="_Toc111208495"/>
      <w:r>
        <w:rPr>
          <w:rFonts w:hint="eastAsia" w:ascii="黑体" w:hAnsi="黑体" w:eastAsia="黑体" w:cs="黑体"/>
          <w:b w:val="0"/>
          <w:bCs w:val="0"/>
        </w:rPr>
        <w:t xml:space="preserve">第一部分 </w:t>
      </w:r>
      <w:r>
        <w:rPr>
          <w:rStyle w:val="28"/>
          <w:rFonts w:hint="eastAsia" w:ascii="黑体" w:hAnsi="黑体" w:eastAsia="黑体" w:cs="黑体"/>
          <w:b w:val="0"/>
          <w:bCs w:val="0"/>
        </w:rPr>
        <w:t>部门概况</w:t>
      </w:r>
      <w:bookmarkEnd w:id="12"/>
      <w:bookmarkEnd w:id="13"/>
      <w:bookmarkEnd w:id="14"/>
    </w:p>
    <w:p>
      <w:pPr>
        <w:pStyle w:val="4"/>
        <w:rPr>
          <w:rStyle w:val="41"/>
          <w:rFonts w:ascii="仿宋" w:hAnsi="仿宋" w:eastAsia="仿宋"/>
          <w:b w:val="0"/>
          <w:bCs w:val="0"/>
        </w:rPr>
      </w:pPr>
      <w:bookmarkStart w:id="15" w:name="_Toc79163602"/>
      <w:bookmarkStart w:id="16" w:name="_Toc25800"/>
      <w:bookmarkStart w:id="17" w:name="_Toc15396600"/>
      <w:bookmarkStart w:id="18" w:name="_Toc15377197"/>
      <w:r>
        <w:rPr>
          <w:rFonts w:hint="eastAsia" w:ascii="黑体" w:hAnsi="黑体" w:eastAsia="黑体"/>
          <w:b w:val="0"/>
          <w:color w:val="000000"/>
        </w:rPr>
        <w:t>一、基</w:t>
      </w:r>
      <w:r>
        <w:rPr>
          <w:rStyle w:val="41"/>
          <w:rFonts w:hint="eastAsia" w:ascii="黑体" w:hAnsi="黑体" w:eastAsia="黑体"/>
          <w:b w:val="0"/>
          <w:bCs w:val="0"/>
        </w:rPr>
        <w:t>本职能及主要工作</w:t>
      </w:r>
      <w:bookmarkEnd w:id="15"/>
      <w:bookmarkEnd w:id="16"/>
      <w:bookmarkEnd w:id="17"/>
      <w:bookmarkEnd w:id="18"/>
    </w:p>
    <w:p>
      <w:pPr>
        <w:pStyle w:val="7"/>
        <w:adjustRightInd w:val="0"/>
        <w:snapToGrid w:val="0"/>
        <w:spacing w:before="93" w:line="600" w:lineRule="exact"/>
        <w:ind w:firstLine="674" w:firstLineChars="210"/>
        <w:outlineLvl w:val="2"/>
        <w:rPr>
          <w:rFonts w:hint="eastAsia" w:ascii="楷体" w:hAnsi="楷体" w:eastAsia="楷体" w:cs="楷体"/>
          <w:b/>
          <w:bCs w:val="0"/>
          <w:color w:val="000000"/>
          <w:sz w:val="32"/>
          <w:szCs w:val="32"/>
        </w:rPr>
      </w:pPr>
      <w:bookmarkStart w:id="19" w:name="_Toc79163603"/>
      <w:bookmarkStart w:id="20" w:name="_Toc8880"/>
      <w:bookmarkStart w:id="21" w:name="_Toc15377198"/>
      <w:bookmarkStart w:id="22" w:name="_Toc15378445"/>
      <w:r>
        <w:rPr>
          <w:rFonts w:hint="eastAsia" w:ascii="楷体" w:hAnsi="楷体" w:eastAsia="楷体" w:cs="楷体"/>
          <w:b/>
          <w:bCs w:val="0"/>
          <w:color w:val="000000"/>
          <w:sz w:val="32"/>
          <w:szCs w:val="32"/>
        </w:rPr>
        <w:t>（一）主要职能</w:t>
      </w:r>
      <w:bookmarkEnd w:id="19"/>
      <w:bookmarkEnd w:id="20"/>
    </w:p>
    <w:bookmarkEnd w:id="21"/>
    <w:bookmarkEnd w:id="22"/>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2"/>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1.贯彻执行党的路线、方针、政策以及中央、省委、州委和县委的决议、决定和工作的部署，负责县委重要会议、领导讲话和上报下发的重要文件的起草和县委日常的文书处理，负责部门代拟县委文件和领导讲话的校核、规范、把关，负责对全县党委办公部门秘书工作业务的联系和指导。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围绕中央、省委和州委重要决策以及县委总体工作部署，开展调研，并负责信息的收集、综合和报送工作。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负责县委常委会议、书记办公会议、县党代会、县委全委会、县委工作会、全县领导干部会等会议的会务工作，负责县委领导参加重要公务活动的组织安排。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负责县委重要工作部署贯彻落实的督促检查，负责县委指示、县委领导批示的转达和催办落实。</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负责县保密委员会及其办公室的日常工作。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rPr>
        <w:t>负责管理县委密码局工作。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7.完成县委和县委领导交办的其他工作任务。</w:t>
      </w:r>
    </w:p>
    <w:p>
      <w:pPr>
        <w:pStyle w:val="7"/>
        <w:adjustRightInd w:val="0"/>
        <w:snapToGrid w:val="0"/>
        <w:spacing w:before="93" w:line="600" w:lineRule="exact"/>
        <w:ind w:firstLine="674" w:firstLineChars="210"/>
        <w:outlineLvl w:val="2"/>
        <w:rPr>
          <w:rFonts w:hint="eastAsia" w:ascii="楷体" w:hAnsi="楷体" w:eastAsia="楷体" w:cs="楷体"/>
          <w:b/>
          <w:bCs w:val="0"/>
          <w:color w:val="000000"/>
          <w:sz w:val="32"/>
          <w:szCs w:val="32"/>
          <w:lang w:eastAsia="zh-CN"/>
        </w:rPr>
      </w:pPr>
      <w:bookmarkStart w:id="23" w:name="_Toc31514"/>
      <w:bookmarkStart w:id="24" w:name="_Toc15377200"/>
      <w:r>
        <w:rPr>
          <w:rFonts w:hint="eastAsia" w:ascii="楷体" w:hAnsi="楷体" w:eastAsia="楷体" w:cs="楷体"/>
          <w:b/>
          <w:bCs w:val="0"/>
          <w:color w:val="000000"/>
          <w:sz w:val="32"/>
          <w:szCs w:val="32"/>
        </w:rPr>
        <w:t>（二）2020年重点工作完成情况。</w:t>
      </w:r>
      <w:bookmarkEnd w:id="23"/>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2"/>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1.提高文稿质量、保证公文高效运转。</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2"/>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2.扎实做好县委常委会议、书记办公会议、县党代会、县委全委会、县委工作会、全县领导干部会等会议的会务工作，确保会议规范有序。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2"/>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3.充分发挥办公室综合协调职能，加强与各级各部门的沟通协调，周密安排领导公务活动，做到事前缜密谋划、事中灵活应对、事后总结完善，不断提高服务能力和水平。</w:t>
      </w:r>
    </w:p>
    <w:p>
      <w:pPr>
        <w:keepNext w:val="0"/>
        <w:keepLines w:val="0"/>
        <w:pageBreakBefore w:val="0"/>
        <w:widowControl w:val="0"/>
        <w:kinsoku/>
        <w:wordWrap/>
        <w:overflowPunct/>
        <w:topLinePunct w:val="0"/>
        <w:autoSpaceDE/>
        <w:autoSpaceDN/>
        <w:bidi w:val="0"/>
        <w:adjustRightInd/>
        <w:snapToGrid/>
        <w:spacing w:line="560" w:lineRule="exact"/>
        <w:ind w:firstLine="320" w:firstLineChars="100"/>
        <w:textAlignment w:val="auto"/>
        <w:outlineLvl w:val="2"/>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4.加强日常信息报送。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2"/>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5.扩展非涉密计算机敏感信息监管系统，做到全覆盖，开展全县网络核查分类工作，切实做好全县普通高校招生考试安全保密工作，做好保密法制宣传教育和保密业务培训。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2"/>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6.扎实做好密码通信服务保障，推进密码管理规范化，抓好和完善党政内网建设。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2"/>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7.成立重点工作与目标考评中心，开展重点工作、重点项目督查，并形成督查专报，做好年度目标考核工作。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2"/>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做好人民群众来信来访工作，妥善处置各类突发事件，努力维护社会大局稳定。对来访人员合理诉求及时联系相关部门给予答复，树立良好窗口形象。做好《书记信箱》、《阿坝民声》中涉及我县的信访问题，及时督察督办，及时回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2"/>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9.严格执行24小时值班制度，周末、节假日值班制定。加强车辆管理，确保县委工作正常运转。</w:t>
      </w:r>
    </w:p>
    <w:p>
      <w:pPr>
        <w:pStyle w:val="4"/>
        <w:keepNext/>
        <w:keepLines/>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sz w:val="32"/>
          <w:szCs w:val="32"/>
        </w:rPr>
      </w:pPr>
      <w:bookmarkStart w:id="25" w:name="_Toc111208497"/>
      <w:bookmarkStart w:id="26" w:name="_Toc113981011"/>
      <w:r>
        <w:rPr>
          <w:rFonts w:hint="eastAsia" w:ascii="黑体" w:hAnsi="黑体" w:eastAsia="黑体" w:cs="黑体"/>
          <w:b w:val="0"/>
          <w:bCs/>
          <w:color w:val="000000"/>
        </w:rPr>
        <w:t>二、机构设置</w:t>
      </w:r>
      <w:bookmarkEnd w:id="24"/>
      <w:bookmarkEnd w:id="25"/>
      <w:bookmarkEnd w:id="26"/>
      <w:r>
        <w:rPr>
          <w:rFonts w:ascii="仿宋" w:hAnsi="仿宋" w:eastAsia="仿宋"/>
          <w:color w:val="000000"/>
          <w:sz w:val="32"/>
          <w:szCs w:val="32"/>
        </w:rPr>
        <w:br w:type="textWrapping"/>
      </w:r>
      <w:r>
        <w:rPr>
          <w:rFonts w:ascii="仿宋" w:hAnsi="仿宋" w:eastAsia="仿宋"/>
          <w:color w:val="000000"/>
          <w:sz w:val="32"/>
          <w:szCs w:val="32"/>
        </w:rPr>
        <w:tab/>
      </w:r>
      <w:r>
        <w:rPr>
          <w:rFonts w:hint="eastAsia" w:ascii="仿宋" w:hAnsi="仿宋" w:eastAsia="仿宋"/>
          <w:color w:val="000000"/>
          <w:sz w:val="32"/>
          <w:szCs w:val="32"/>
          <w:lang w:val="en-US" w:eastAsia="zh-CN"/>
        </w:rPr>
        <w:t xml:space="preserve"> </w:t>
      </w:r>
      <w:r>
        <w:rPr>
          <w:rFonts w:hint="eastAsia" w:ascii="仿宋_GB2312" w:hAnsi="仿宋_GB2312" w:eastAsia="仿宋_GB2312" w:cs="仿宋_GB2312"/>
          <w:b w:val="0"/>
          <w:bCs w:val="0"/>
          <w:color w:val="000000"/>
          <w:sz w:val="32"/>
          <w:szCs w:val="32"/>
        </w:rPr>
        <w:t>县委办下属二级单位0个，其中行政单位0个，参照公务员法管理的事业单位0个，其他事业单位0个。
我单位不涉及纳入2021年度部门决算编制范围的二级预算单位。</w:t>
      </w:r>
    </w:p>
    <w:p>
      <w:pPr>
        <w:widowControl/>
        <w:jc w:val="left"/>
        <w:rPr>
          <w:rFonts w:ascii="仿宋_GB2312" w:hAnsi="黑体" w:eastAsia="仿宋_GB2312"/>
          <w:b/>
          <w:bCs/>
          <w:color w:val="000000"/>
          <w:kern w:val="44"/>
          <w:sz w:val="44"/>
          <w:szCs w:val="44"/>
        </w:rPr>
      </w:pPr>
      <w:bookmarkStart w:id="27" w:name="_Toc15377204"/>
      <w:r>
        <w:rPr>
          <w:rFonts w:ascii="仿宋_GB2312" w:hAnsi="黑体" w:eastAsia="仿宋_GB2312"/>
          <w:color w:val="000000"/>
        </w:rPr>
        <w:br w:type="page"/>
      </w:r>
    </w:p>
    <w:p>
      <w:pPr>
        <w:pStyle w:val="3"/>
        <w:jc w:val="center"/>
        <w:rPr>
          <w:rFonts w:ascii="黑体" w:hAnsi="黑体" w:eastAsia="黑体" w:cs="黑体"/>
          <w:b w:val="0"/>
          <w:bCs w:val="0"/>
        </w:rPr>
      </w:pPr>
      <w:bookmarkStart w:id="28" w:name="_Toc113981012"/>
      <w:bookmarkStart w:id="29" w:name="_Toc111208498"/>
      <w:r>
        <w:rPr>
          <w:rFonts w:hint="eastAsia" w:ascii="黑体" w:hAnsi="黑体" w:eastAsia="黑体" w:cs="黑体"/>
          <w:b w:val="0"/>
          <w:bCs w:val="0"/>
        </w:rPr>
        <w:t>第二部分</w:t>
      </w:r>
      <w:r>
        <w:rPr>
          <w:rFonts w:ascii="黑体" w:hAnsi="黑体" w:eastAsia="黑体" w:cs="黑体"/>
          <w:b w:val="0"/>
          <w:bCs w:val="0"/>
        </w:rPr>
        <w:t xml:space="preserve"> </w:t>
      </w:r>
      <w:r>
        <w:rPr>
          <w:rFonts w:hint="eastAsia" w:ascii="黑体" w:hAnsi="黑体" w:eastAsia="黑体" w:cs="黑体"/>
          <w:b w:val="0"/>
          <w:bCs w:val="0"/>
        </w:rPr>
        <w:t>2021年度部门决算情况说明</w:t>
      </w:r>
      <w:bookmarkEnd w:id="27"/>
      <w:bookmarkEnd w:id="28"/>
      <w:bookmarkEnd w:id="29"/>
    </w:p>
    <w:p>
      <w:pPr>
        <w:pStyle w:val="4"/>
        <w:ind w:firstLine="640" w:firstLineChars="200"/>
        <w:rPr>
          <w:rFonts w:ascii="黑体" w:eastAsia="黑体" w:cs="Times New Roman"/>
          <w:b w:val="0"/>
          <w:bCs/>
          <w:color w:val="000000"/>
        </w:rPr>
      </w:pPr>
      <w:bookmarkStart w:id="30" w:name="_Toc15377205"/>
      <w:bookmarkStart w:id="31" w:name="_Toc111208499"/>
      <w:bookmarkStart w:id="32" w:name="_Toc113981013"/>
      <w:r>
        <w:rPr>
          <w:rFonts w:hint="eastAsia" w:ascii="黑体" w:eastAsia="黑体" w:cs="Times New Roman"/>
          <w:b w:val="0"/>
          <w:bCs/>
          <w:color w:val="000000"/>
        </w:rPr>
        <w:t>一、收入支出决算总体情况说</w:t>
      </w:r>
      <w:bookmarkEnd w:id="30"/>
      <w:r>
        <w:rPr>
          <w:rFonts w:hint="eastAsia" w:ascii="黑体" w:eastAsia="黑体" w:cs="Times New Roman"/>
          <w:b w:val="0"/>
          <w:bCs/>
          <w:color w:val="000000"/>
        </w:rPr>
        <w:t>明</w:t>
      </w:r>
      <w:bookmarkEnd w:id="31"/>
      <w:bookmarkEnd w:id="32"/>
    </w:p>
    <w:p>
      <w:pPr>
        <w:spacing w:line="600" w:lineRule="exact"/>
        <w:ind w:firstLine="640" w:firstLineChars="200"/>
        <w:rPr>
          <w:rFonts w:hint="eastAsia" w:ascii="仿宋_GB2312" w:hAnsi="仿宋_GB2312" w:eastAsia="仿宋_GB2312" w:cs="仿宋_GB2312"/>
          <w:color w:val="00B0F0"/>
          <w:sz w:val="32"/>
          <w:szCs w:val="32"/>
        </w:rPr>
      </w:pPr>
      <w:r>
        <w:rPr>
          <w:rFonts w:hint="eastAsia" w:ascii="仿宋_GB2312" w:hAnsi="仿宋_GB2312" w:eastAsia="仿宋_GB2312" w:cs="仿宋_GB2312"/>
          <w:color w:val="000000"/>
          <w:sz w:val="32"/>
          <w:szCs w:val="32"/>
        </w:rPr>
        <w:t xml:space="preserve">2021年度收、支总计1401.53万元。与2020年相比，收、支总计各增加60.51万元，增加4.51 %。 </w:t>
      </w:r>
    </w:p>
    <w:p>
      <w:pPr>
        <w:spacing w:line="600" w:lineRule="exact"/>
        <w:ind w:firstLine="1600" w:firstLineChars="500"/>
        <w:rPr>
          <w:rFonts w:ascii="仿宋_GB2312" w:eastAsia="仿宋_GB2312"/>
          <w:color w:val="000000"/>
          <w:sz w:val="28"/>
          <w:szCs w:val="28"/>
        </w:rPr>
      </w:pPr>
      <w:r>
        <w:rPr>
          <w:rFonts w:hint="eastAsia" w:ascii="仿宋_GB2312" w:hAnsi="仿宋_GB2312" w:eastAsia="仿宋_GB2312" w:cs="仿宋_GB2312"/>
          <w:color w:val="000000"/>
          <w:sz w:val="32"/>
          <w:szCs w:val="32"/>
        </w:rPr>
        <w:t>（图1：收、支决算总计变动情况图）</w:t>
      </w:r>
    </w:p>
    <w:p>
      <w:pPr>
        <w:pStyle w:val="2"/>
      </w:pPr>
      <w:r>
        <w:drawing>
          <wp:inline distT="0" distB="0" distL="114300" distR="114300">
            <wp:extent cx="5019675" cy="2524125"/>
            <wp:effectExtent l="4445" t="4445" r="5080" b="5080"/>
            <wp:docPr id="1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4"/>
        <w:ind w:firstLine="640" w:firstLineChars="200"/>
        <w:rPr>
          <w:rFonts w:ascii="黑体" w:eastAsia="黑体" w:cs="Times New Roman"/>
          <w:b w:val="0"/>
          <w:bCs/>
          <w:color w:val="000000"/>
        </w:rPr>
      </w:pPr>
      <w:bookmarkStart w:id="33" w:name="_Toc111208500"/>
      <w:bookmarkStart w:id="34" w:name="_Toc113981014"/>
      <w:bookmarkStart w:id="35" w:name="_Toc15377206"/>
      <w:r>
        <w:rPr>
          <w:rFonts w:hint="eastAsia" w:ascii="黑体" w:eastAsia="黑体" w:cs="Times New Roman"/>
          <w:b w:val="0"/>
          <w:bCs/>
          <w:color w:val="000000"/>
        </w:rPr>
        <w:t>二、收入决算情况说明</w:t>
      </w:r>
      <w:bookmarkEnd w:id="33"/>
      <w:bookmarkEnd w:id="34"/>
      <w:bookmarkEnd w:id="35"/>
    </w:p>
    <w:p>
      <w:pPr>
        <w:spacing w:line="600" w:lineRule="exact"/>
        <w:ind w:firstLine="640" w:firstLineChars="200"/>
        <w:rPr>
          <w:rFonts w:ascii="仿宋" w:hAnsi="仿宋" w:eastAsia="仿宋"/>
          <w:color w:val="000000"/>
          <w:sz w:val="32"/>
          <w:szCs w:val="32"/>
        </w:rPr>
      </w:pPr>
      <w:r>
        <w:rPr>
          <w:rFonts w:hint="eastAsia" w:ascii="仿宋_GB2312" w:hAnsi="仿宋_GB2312" w:eastAsia="仿宋_GB2312" w:cs="仿宋_GB2312"/>
          <w:color w:val="000000"/>
          <w:sz w:val="32"/>
          <w:szCs w:val="32"/>
        </w:rPr>
        <w:t>2021年本年收入合计1401.53万元，其中：一般公共预算财政拨款收入1401.53万元，占100.00%；政府性基金预算财政拨款收入0.00万元，占0.00%；国有资本经营预算财政拨款收入0.00万元，占0.00%；上级补助收入0.00万元，占0.00%；事业收入0.00万元，占%；经营收入0.00万元，占0.00%；附属单位上缴收入0.00万元，占0.00%；其他收入0.00万元，占</w:t>
      </w:r>
      <w:r>
        <w:rPr>
          <w:rFonts w:hint="eastAsia" w:ascii="仿宋" w:hAnsi="仿宋" w:eastAsia="仿宋"/>
          <w:color w:val="000000"/>
          <w:sz w:val="32"/>
          <w:szCs w:val="32"/>
        </w:rPr>
        <w:t>0.00%。</w:t>
      </w:r>
    </w:p>
    <w:p>
      <w:pPr>
        <w:spacing w:line="600" w:lineRule="exact"/>
        <w:ind w:firstLine="2240" w:firstLineChars="700"/>
        <w:rPr>
          <w:rFonts w:hint="eastAsia" w:ascii="仿宋" w:hAnsi="仿宋" w:eastAsia="仿宋"/>
          <w:color w:val="000000"/>
          <w:sz w:val="32"/>
          <w:szCs w:val="32"/>
        </w:rPr>
      </w:pPr>
    </w:p>
    <w:p>
      <w:pPr>
        <w:spacing w:line="600" w:lineRule="exact"/>
        <w:ind w:firstLine="2240" w:firstLineChars="700"/>
        <w:rPr>
          <w:rFonts w:ascii="仿宋" w:hAnsi="仿宋" w:eastAsia="仿宋"/>
          <w:color w:val="000000"/>
          <w:sz w:val="32"/>
          <w:szCs w:val="32"/>
        </w:rPr>
      </w:pPr>
      <w:r>
        <w:rPr>
          <w:rFonts w:hint="eastAsia" w:ascii="仿宋" w:hAnsi="仿宋" w:eastAsia="仿宋"/>
          <w:color w:val="000000"/>
          <w:sz w:val="32"/>
          <w:szCs w:val="32"/>
        </w:rPr>
        <w:t>（图2：收入决算结构图）</w:t>
      </w:r>
    </w:p>
    <w:p>
      <w:pPr>
        <w:pStyle w:val="13"/>
        <w:ind w:left="1060" w:hanging="640"/>
        <w:jc w:val="center"/>
      </w:pPr>
      <w:r>
        <w:rPr>
          <w:rFonts w:hint="eastAsia" w:ascii="仿宋_GB2312" w:eastAsia="仿宋_GB2312"/>
          <w:color w:val="FF0000"/>
          <w:sz w:val="32"/>
          <w:szCs w:val="32"/>
        </w:rPr>
        <w:drawing>
          <wp:inline distT="0" distB="0" distL="114300" distR="114300">
            <wp:extent cx="4362450" cy="2667635"/>
            <wp:effectExtent l="4445" t="4445" r="14605" b="1397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4"/>
        <w:ind w:firstLine="640" w:firstLineChars="200"/>
        <w:rPr>
          <w:rFonts w:hint="eastAsia" w:ascii="黑体" w:eastAsia="黑体" w:cs="Times New Roman"/>
          <w:b w:val="0"/>
          <w:bCs/>
          <w:color w:val="000000"/>
        </w:rPr>
      </w:pPr>
      <w:bookmarkStart w:id="36" w:name="_Toc15377207"/>
      <w:bookmarkStart w:id="37" w:name="_Toc111208501"/>
      <w:bookmarkStart w:id="38" w:name="_Toc113981015"/>
      <w:r>
        <w:rPr>
          <w:rFonts w:hint="eastAsia" w:ascii="黑体" w:eastAsia="黑体" w:cs="Times New Roman"/>
          <w:b w:val="0"/>
          <w:bCs/>
          <w:color w:val="000000"/>
        </w:rPr>
        <w:t>三、支出决算情况说明</w:t>
      </w:r>
      <w:bookmarkEnd w:id="36"/>
      <w:bookmarkEnd w:id="37"/>
      <w:bookmarkEnd w:id="38"/>
    </w:p>
    <w:p>
      <w:pPr>
        <w:pStyle w:val="2"/>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2021年本年支出合计1401.53万元，其中：基本支出1017.11万元，占72.57%；项目支出384.42万元，占27.43%；上缴上级支出0.00万元，占0.00%；经营支出0.00万元，占0.00%；对附属单位补助支出0.00万元，占0.00%。</w:t>
      </w:r>
    </w:p>
    <w:p>
      <w:pPr>
        <w:spacing w:line="600" w:lineRule="exact"/>
        <w:ind w:firstLine="2240" w:firstLineChars="7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（图3：支出决算结构图）</w:t>
      </w:r>
    </w:p>
    <w:p>
      <w:pPr>
        <w:jc w:val="center"/>
        <w:rPr>
          <w:rFonts w:ascii="仿宋_GB2312" w:eastAsia="仿宋_GB2312"/>
          <w:color w:val="FF0000"/>
          <w:sz w:val="32"/>
          <w:szCs w:val="32"/>
        </w:rPr>
      </w:pPr>
      <w:r>
        <w:rPr>
          <w:rFonts w:hint="eastAsia" w:ascii="仿宋_GB2312" w:eastAsia="仿宋_GB2312"/>
          <w:color w:val="FF0000"/>
          <w:sz w:val="32"/>
          <w:szCs w:val="32"/>
        </w:rPr>
        <w:drawing>
          <wp:inline distT="0" distB="0" distL="114300" distR="114300">
            <wp:extent cx="4419600" cy="2907030"/>
            <wp:effectExtent l="4445" t="4445" r="14605" b="2222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Style w:val="2"/>
      </w:pPr>
    </w:p>
    <w:p>
      <w:pPr>
        <w:pStyle w:val="4"/>
        <w:ind w:firstLine="640" w:firstLineChars="200"/>
        <w:rPr>
          <w:rFonts w:ascii="黑体" w:eastAsia="黑体" w:cs="Times New Roman"/>
          <w:b w:val="0"/>
          <w:bCs/>
          <w:color w:val="000000"/>
        </w:rPr>
      </w:pPr>
      <w:bookmarkStart w:id="39" w:name="_Toc111208502"/>
      <w:bookmarkStart w:id="40" w:name="_Toc113981016"/>
      <w:bookmarkStart w:id="41" w:name="_Toc15377208"/>
      <w:r>
        <w:rPr>
          <w:rFonts w:hint="eastAsia" w:ascii="黑体" w:eastAsia="黑体" w:cs="Times New Roman"/>
          <w:b w:val="0"/>
          <w:bCs/>
          <w:color w:val="000000"/>
        </w:rPr>
        <w:t>四、财政拨款收入支出决算总体情况说明</w:t>
      </w:r>
      <w:bookmarkEnd w:id="39"/>
      <w:bookmarkEnd w:id="40"/>
      <w:bookmarkEnd w:id="41"/>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2021年财政拨款收、支总计1401.53万元。与2020年相比，财政拨款收、支总计各增加60.51万元，增加4.51 %。 </w:t>
      </w:r>
    </w:p>
    <w:p>
      <w:pPr>
        <w:spacing w:line="600" w:lineRule="exact"/>
        <w:ind w:firstLine="640" w:firstLineChars="200"/>
        <w:rPr>
          <w:rFonts w:hint="eastAsia" w:ascii="仿宋_GB2312" w:hAnsi="仿宋_GB2312" w:eastAsia="仿宋_GB2312" w:cs="仿宋_GB2312"/>
        </w:rPr>
      </w:pPr>
      <w:r>
        <w:rPr>
          <w:rFonts w:hint="eastAsia" w:ascii="仿宋_GB2312" w:hAnsi="仿宋_GB2312" w:eastAsia="仿宋_GB2312" w:cs="仿宋_GB2312"/>
          <w:color w:val="000000"/>
          <w:sz w:val="32"/>
          <w:szCs w:val="32"/>
        </w:rPr>
        <w:t>（图4：财政拨款收、支决算总计变动情况）</w:t>
      </w:r>
    </w:p>
    <w:p>
      <w:pPr>
        <w:pStyle w:val="2"/>
        <w:jc w:val="left"/>
      </w:pPr>
      <w:r>
        <w:rPr>
          <w:rFonts w:hint="eastAsia" w:ascii="仿宋_GB2312" w:hAnsi="仿宋" w:eastAsia="仿宋_GB2312"/>
          <w:color w:val="000000"/>
          <w:sz w:val="32"/>
          <w:szCs w:val="32"/>
        </w:rPr>
        <w:drawing>
          <wp:inline distT="0" distB="0" distL="0" distR="0">
            <wp:extent cx="5161915" cy="3219450"/>
            <wp:effectExtent l="4445" t="4445" r="15240" b="14605"/>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Style w:val="2"/>
        <w:jc w:val="center"/>
      </w:pPr>
    </w:p>
    <w:p>
      <w:pPr>
        <w:pStyle w:val="4"/>
        <w:ind w:firstLine="640" w:firstLineChars="200"/>
        <w:rPr>
          <w:rFonts w:hint="eastAsia" w:ascii="黑体" w:eastAsia="黑体" w:cs="Times New Roman"/>
          <w:b w:val="0"/>
          <w:bCs/>
          <w:color w:val="000000"/>
        </w:rPr>
      </w:pPr>
      <w:bookmarkStart w:id="42" w:name="_Toc15377209"/>
      <w:bookmarkStart w:id="43" w:name="_Toc113981017"/>
      <w:bookmarkStart w:id="44" w:name="_Toc111208503"/>
      <w:r>
        <w:rPr>
          <w:rFonts w:hint="eastAsia" w:ascii="黑体" w:eastAsia="黑体" w:cs="Times New Roman"/>
          <w:b w:val="0"/>
          <w:bCs/>
          <w:color w:val="000000"/>
        </w:rPr>
        <w:t>五、一般公共预算财政拨款支出决算情况说</w:t>
      </w:r>
      <w:bookmarkEnd w:id="42"/>
      <w:r>
        <w:rPr>
          <w:rFonts w:hint="eastAsia" w:ascii="黑体" w:eastAsia="黑体" w:cs="Times New Roman"/>
          <w:b w:val="0"/>
          <w:bCs/>
          <w:color w:val="000000"/>
        </w:rPr>
        <w:t>明</w:t>
      </w:r>
      <w:bookmarkEnd w:id="43"/>
      <w:bookmarkEnd w:id="44"/>
    </w:p>
    <w:p>
      <w:pPr>
        <w:spacing w:line="600" w:lineRule="exact"/>
        <w:ind w:firstLine="642" w:firstLineChars="200"/>
        <w:outlineLvl w:val="2"/>
        <w:rPr>
          <w:rFonts w:hint="eastAsia" w:ascii="楷体_GB2312" w:hAnsi="楷体_GB2312" w:eastAsia="楷体_GB2312" w:cs="楷体_GB2312"/>
          <w:b/>
          <w:bCs w:val="0"/>
          <w:color w:val="000000"/>
          <w:sz w:val="32"/>
          <w:szCs w:val="32"/>
        </w:rPr>
      </w:pPr>
      <w:bookmarkStart w:id="45" w:name="_Toc15377210"/>
      <w:r>
        <w:rPr>
          <w:rFonts w:hint="eastAsia" w:ascii="楷体_GB2312" w:hAnsi="楷体_GB2312" w:eastAsia="楷体_GB2312" w:cs="楷体_GB2312"/>
          <w:b/>
          <w:bCs w:val="0"/>
          <w:color w:val="000000"/>
          <w:sz w:val="32"/>
          <w:szCs w:val="32"/>
        </w:rPr>
        <w:t>（一）一般公共预算财政拨款支出决算总体情况</w:t>
      </w:r>
      <w:bookmarkEnd w:id="45"/>
    </w:p>
    <w:p>
      <w:pPr>
        <w:spacing w:line="600" w:lineRule="exact"/>
        <w:ind w:firstLine="640" w:firstLineChars="200"/>
        <w:rPr>
          <w:rFonts w:hint="eastAsia" w:ascii="仿宋_GB2312" w:hAnsi="仿宋_GB2312" w:eastAsia="仿宋_GB2312" w:cs="仿宋_GB2312"/>
          <w:color w:val="000000"/>
          <w:sz w:val="32"/>
          <w:szCs w:val="32"/>
        </w:rPr>
      </w:pPr>
      <w:bookmarkStart w:id="46" w:name="_Toc15377211"/>
      <w:r>
        <w:rPr>
          <w:rFonts w:hint="eastAsia" w:ascii="仿宋_GB2312" w:hAnsi="仿宋_GB2312" w:eastAsia="仿宋_GB2312" w:cs="仿宋_GB2312"/>
          <w:color w:val="000000"/>
          <w:sz w:val="32"/>
          <w:szCs w:val="32"/>
        </w:rPr>
        <w:t xml:space="preserve">2021年一般公共预算财政拨款支出1401.53万元，占本年支出合计的100.00%。与2020相比，一般公共预算财政拨款增加60.51万元，增加4.51 %。 </w:t>
      </w:r>
    </w:p>
    <w:p>
      <w:pPr>
        <w:spacing w:line="600" w:lineRule="exact"/>
        <w:ind w:firstLine="640" w:firstLineChars="200"/>
        <w:rPr>
          <w:rFonts w:hint="eastAsia" w:ascii="仿宋_GB2312" w:hAnsi="仿宋_GB2312" w:eastAsia="仿宋_GB2312" w:cs="仿宋_GB2312"/>
          <w:color w:val="000000"/>
          <w:sz w:val="32"/>
          <w:szCs w:val="32"/>
        </w:rPr>
      </w:pPr>
    </w:p>
    <w:p>
      <w:pPr>
        <w:spacing w:line="600" w:lineRule="exact"/>
        <w:ind w:firstLine="640" w:firstLineChars="200"/>
        <w:rPr>
          <w:rFonts w:hint="eastAsia" w:ascii="仿宋_GB2312" w:hAnsi="仿宋_GB2312" w:eastAsia="仿宋_GB2312" w:cs="仿宋_GB2312"/>
          <w:color w:val="000000"/>
          <w:sz w:val="32"/>
          <w:szCs w:val="32"/>
        </w:rPr>
      </w:pPr>
    </w:p>
    <w:p>
      <w:pPr>
        <w:spacing w:line="600" w:lineRule="exact"/>
        <w:rPr>
          <w:rFonts w:hint="eastAsia" w:ascii="仿宋_GB2312" w:hAnsi="仿宋_GB2312" w:eastAsia="仿宋_GB2312" w:cs="仿宋_GB2312"/>
          <w:b/>
          <w:color w:val="000000"/>
          <w:sz w:val="32"/>
          <w:szCs w:val="32"/>
        </w:rPr>
      </w:pPr>
      <w:r>
        <w:rPr>
          <w:rFonts w:hint="eastAsia" w:ascii="仿宋_GB2312" w:hAnsi="仿宋_GB2312" w:eastAsia="仿宋_GB2312" w:cs="仿宋_GB2312"/>
          <w:color w:val="000000"/>
          <w:sz w:val="32"/>
          <w:szCs w:val="32"/>
        </w:rPr>
        <w:t>（图5：一般公共预算财政拨款支出决算变动情况）</w:t>
      </w:r>
    </w:p>
    <w:p>
      <w:pPr>
        <w:pStyle w:val="2"/>
        <w:ind w:firstLine="0"/>
        <w:rPr>
          <w:rFonts w:ascii="仿宋_GB2312" w:hAnsi="仿宋" w:eastAsia="仿宋_GB2312"/>
          <w:b/>
          <w:color w:val="000000"/>
          <w:sz w:val="32"/>
          <w:szCs w:val="32"/>
        </w:rPr>
      </w:pPr>
      <w:r>
        <w:rPr>
          <w:rFonts w:hint="eastAsia" w:ascii="仿宋_GB2312" w:hAnsi="仿宋" w:eastAsia="仿宋_GB2312"/>
          <w:b/>
          <w:color w:val="000000"/>
          <w:sz w:val="32"/>
          <w:szCs w:val="32"/>
        </w:rPr>
        <w:drawing>
          <wp:inline distT="0" distB="0" distL="0" distR="0">
            <wp:extent cx="4905375" cy="3569970"/>
            <wp:effectExtent l="0" t="0" r="9525" b="1143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2" w:firstLineChars="200"/>
        <w:outlineLvl w:val="2"/>
        <w:rPr>
          <w:rFonts w:hint="eastAsia" w:ascii="楷体_GB2312" w:hAnsi="楷体_GB2312" w:eastAsia="楷体_GB2312" w:cs="楷体_GB2312"/>
          <w:b/>
          <w:bCs w:val="0"/>
          <w:color w:val="000000"/>
          <w:sz w:val="32"/>
          <w:szCs w:val="32"/>
        </w:rPr>
      </w:pPr>
      <w:r>
        <w:rPr>
          <w:rFonts w:hint="eastAsia" w:ascii="楷体_GB2312" w:hAnsi="楷体_GB2312" w:eastAsia="楷体_GB2312" w:cs="楷体_GB2312"/>
          <w:b/>
          <w:bCs w:val="0"/>
          <w:color w:val="000000"/>
          <w:sz w:val="32"/>
          <w:szCs w:val="32"/>
        </w:rPr>
        <w:t>（二）一般公共预算财政拨款支出决算结构情况</w:t>
      </w:r>
      <w:bookmarkEnd w:id="46"/>
    </w:p>
    <w:p>
      <w:pPr>
        <w:spacing w:line="600" w:lineRule="exact"/>
        <w:ind w:firstLine="640" w:firstLineChars="200"/>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sz w:val="32"/>
          <w:szCs w:val="32"/>
        </w:rPr>
        <w:t>2021年一般公共预算财政拨款支出1401.53万元，主要用于以下方面:一般公共服务支出1202.69万元，占85.81%；社会保障和就业支出90.49万元，占6.46%；卫生健康支出42.80万元，占3.05%；农林水支出0.84万元，占0.06%；住房保障支出64.70万元，占4.62%。</w:t>
      </w:r>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（图6：一般公共预算财政拨款支出决算结构）</w:t>
      </w:r>
      <w:bookmarkStart w:id="47" w:name="_Toc15377212"/>
    </w:p>
    <w:p>
      <w:pPr>
        <w:pStyle w:val="2"/>
      </w:pPr>
      <w:r>
        <w:drawing>
          <wp:inline distT="0" distB="0" distL="0" distR="0">
            <wp:extent cx="4333240" cy="2886075"/>
            <wp:effectExtent l="0" t="0" r="10160" b="952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spacing w:line="600" w:lineRule="exact"/>
        <w:ind w:firstLine="642" w:firstLineChars="200"/>
        <w:outlineLvl w:val="2"/>
        <w:rPr>
          <w:rFonts w:hint="eastAsia" w:ascii="楷体_GB2312" w:hAnsi="楷体_GB2312" w:eastAsia="楷体_GB2312" w:cs="楷体_GB2312"/>
          <w:b/>
          <w:bCs w:val="0"/>
          <w:color w:val="000000"/>
          <w:sz w:val="32"/>
          <w:szCs w:val="32"/>
        </w:rPr>
      </w:pPr>
      <w:r>
        <w:rPr>
          <w:rFonts w:hint="eastAsia" w:ascii="楷体_GB2312" w:hAnsi="楷体_GB2312" w:eastAsia="楷体_GB2312" w:cs="楷体_GB2312"/>
          <w:b/>
          <w:bCs w:val="0"/>
          <w:color w:val="000000"/>
          <w:sz w:val="32"/>
          <w:szCs w:val="32"/>
        </w:rPr>
        <w:t>（三）一般公共预算财政拨款支出决算具体情况</w:t>
      </w:r>
      <w:bookmarkEnd w:id="47"/>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bookmarkStart w:id="48" w:name="_Toc15378460"/>
      <w:bookmarkStart w:id="49" w:name="_Toc15377213"/>
      <w:bookmarkStart w:id="50" w:name="_Toc15377444"/>
      <w:r>
        <w:rPr>
          <w:rFonts w:hint="eastAsia" w:ascii="仿宋_GB2312" w:hAnsi="仿宋_GB2312" w:eastAsia="仿宋_GB2312" w:cs="仿宋_GB2312"/>
          <w:color w:val="000000"/>
          <w:sz w:val="32"/>
          <w:szCs w:val="32"/>
        </w:rPr>
        <w:t>2021年一般公共预算支出决算数为1401.53万</w:t>
      </w:r>
      <w:r>
        <w:rPr>
          <w:rFonts w:hint="eastAsia" w:ascii="仿宋_GB2312" w:hAnsi="仿宋_GB2312" w:eastAsia="仿宋_GB2312" w:cs="仿宋_GB2312"/>
          <w:color w:val="000000"/>
          <w:sz w:val="32"/>
          <w:szCs w:val="32"/>
          <w:lang w:eastAsia="zh-CN"/>
        </w:rPr>
        <w:t>元</w:t>
      </w:r>
      <w:r>
        <w:rPr>
          <w:rFonts w:hint="eastAsia" w:ascii="仿宋_GB2312" w:hAnsi="仿宋_GB2312" w:eastAsia="仿宋_GB2312" w:cs="仿宋_GB2312"/>
          <w:color w:val="000000"/>
          <w:sz w:val="32"/>
          <w:szCs w:val="32"/>
        </w:rPr>
        <w:t>，完成预算100%。其中：</w:t>
      </w:r>
      <w:bookmarkEnd w:id="48"/>
      <w:bookmarkEnd w:id="49"/>
      <w:bookmarkEnd w:id="5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1.一般公共服务支出（201）党委办公厅（室）及相关机构事务（20131）行政运行（2013101）支出决算700.78万元，完成预算100%。</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2.一般公共服务支出（201）党委办公厅（室）及相关机构事务（20131）一般行政管理事务（2013102）支出决算208.50万元，完成预算100%。</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3.一般公共服务支出（201）党委办公厅（室）及相关机构事务（20131）事业运行（2013150）支出决算118.33万元，完成预算100%。</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4.一般公共服务支出（201）党委办公厅（室）及相关机构事务（20131）其他党委办公厅（室）及相关机构事务支出（2013199）支出决算135.08万元，完成预算100%。</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5.一般公共服务支出（201）其他一般公共服务支出（20199）其他一般公共服务支出（2019999）支出决算40.00万元，完成预算100%。</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6.社会保障和就业支出（208）行政事业单位养老支出（20805）机关事业单位基本养老保险缴费支出（2080505）支出决算60.31万元，完成预算100%。</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7.社会保障和就业支出（208）行政事业单位养老支出（20805）机关事业单位职业年金缴费支出（2080506）支出决算30.18万元，完成预算100%。</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8.卫生健康支出（210）行政事业单位医疗（21011）行政单位医疗（2101101）支出决算36.21万元，完成预算100%。</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9.卫生健康支出（210）行政事业单位医疗（21011）事业单位医疗（2101102）支出决算6.60万元，完成预算100%。</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10.农林水支出（213）扶贫（21305）其他扶贫支出（2130599）支出决算0.84万元，完成预算100%。</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11.住房保障支出（221）住房改革支出（22102）住房公积金（2210201）支出决算63.69万元，完成预算100%。</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12.住房保障支出（221）住房改革支出（22102）购房补贴（2210203）支出决算1.02万元，完成预算100%。</w:t>
      </w:r>
    </w:p>
    <w:p>
      <w:pPr>
        <w:pStyle w:val="4"/>
        <w:ind w:firstLine="640" w:firstLineChars="200"/>
        <w:rPr>
          <w:rFonts w:ascii="黑体" w:eastAsia="黑体" w:cs="Times New Roman"/>
          <w:b w:val="0"/>
          <w:bCs/>
          <w:color w:val="000000"/>
        </w:rPr>
      </w:pPr>
      <w:bookmarkStart w:id="51" w:name="_Toc15377214"/>
      <w:bookmarkStart w:id="52" w:name="_Toc111208504"/>
      <w:bookmarkStart w:id="53" w:name="_Toc113981018"/>
      <w:r>
        <w:rPr>
          <w:rFonts w:hint="eastAsia" w:ascii="黑体" w:eastAsia="黑体" w:cs="Times New Roman"/>
          <w:b w:val="0"/>
          <w:bCs/>
          <w:color w:val="000000"/>
        </w:rPr>
        <w:t>六、一般公共预算财政拨款基本支出决算情况说</w:t>
      </w:r>
      <w:bookmarkEnd w:id="51"/>
      <w:r>
        <w:rPr>
          <w:rFonts w:hint="eastAsia" w:ascii="黑体" w:eastAsia="黑体" w:cs="Times New Roman"/>
          <w:b w:val="0"/>
          <w:bCs/>
          <w:color w:val="000000"/>
        </w:rPr>
        <w:t>明</w:t>
      </w:r>
      <w:bookmarkEnd w:id="52"/>
      <w:bookmarkEnd w:id="53"/>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2021年一般公共预算财政拨款基本支出1017.11万元，其中：</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人员经费893.24万元，主要包括：基本工资185.55万元、津贴补贴166.58万元、奖金206.74万元、绩效工资78.73万元、机关事业单位基本养老保险缴费60.31万元、职业年金缴费30.18万元、职工基本医疗保险缴费42.80万元、其他社会保障缴费2.19万元、住房公积金63.69万元、医疗费6.32万元、抚恤金20.02万元、生活补助29.90万元、医疗费补助0.05万元、奖励金0.18万元。</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公用经费123.87万元，主要包括：办公费7.02万元、邮电费6.07万元、差旅费13.51万元、维修（护）费2.16万元、会议费40.73万元、培训费0.68万元、公务接待费2.91万元、劳务费0.70万元、公务用车运行维护费48.28万元。</w:t>
      </w:r>
    </w:p>
    <w:p>
      <w:pPr>
        <w:pStyle w:val="4"/>
        <w:ind w:firstLine="640" w:firstLineChars="200"/>
        <w:rPr>
          <w:rFonts w:hint="eastAsia" w:ascii="黑体" w:eastAsia="黑体" w:cs="Times New Roman"/>
          <w:b w:val="0"/>
          <w:bCs/>
          <w:color w:val="000000"/>
        </w:rPr>
      </w:pPr>
      <w:bookmarkStart w:id="54" w:name="_Toc111208505"/>
      <w:bookmarkStart w:id="55" w:name="_Toc15377215"/>
      <w:bookmarkStart w:id="56" w:name="_Toc113981019"/>
      <w:r>
        <w:rPr>
          <w:rFonts w:hint="eastAsia" w:ascii="黑体" w:eastAsia="黑体" w:cs="Times New Roman"/>
          <w:b w:val="0"/>
          <w:bCs/>
          <w:color w:val="000000"/>
        </w:rPr>
        <w:t>七、“三公”经费财政拨款支出决算情况说明</w:t>
      </w:r>
      <w:bookmarkEnd w:id="54"/>
      <w:bookmarkEnd w:id="55"/>
      <w:bookmarkEnd w:id="56"/>
    </w:p>
    <w:p>
      <w:pPr>
        <w:spacing w:line="600" w:lineRule="exact"/>
        <w:ind w:firstLine="642" w:firstLineChars="200"/>
        <w:outlineLvl w:val="2"/>
        <w:rPr>
          <w:rFonts w:hint="eastAsia" w:ascii="楷体_GB2312" w:hAnsi="楷体_GB2312" w:eastAsia="楷体_GB2312" w:cs="楷体_GB2312"/>
          <w:b/>
          <w:bCs w:val="0"/>
          <w:color w:val="000000"/>
          <w:sz w:val="32"/>
          <w:szCs w:val="32"/>
        </w:rPr>
      </w:pPr>
      <w:bookmarkStart w:id="57" w:name="_Toc15377216"/>
      <w:r>
        <w:rPr>
          <w:rFonts w:hint="eastAsia" w:ascii="楷体_GB2312" w:hAnsi="楷体_GB2312" w:eastAsia="楷体_GB2312" w:cs="楷体_GB2312"/>
          <w:b/>
          <w:bCs w:val="0"/>
          <w:color w:val="000000"/>
          <w:sz w:val="32"/>
          <w:szCs w:val="32"/>
        </w:rPr>
        <w:t>（一）“三公”经费财政拨款支出决算总体情况说明</w:t>
      </w:r>
      <w:bookmarkEnd w:id="57"/>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2021年“三公”经费财政拨款支出决算为96.61万元，完成预算100.00%。</w:t>
      </w:r>
      <w:bookmarkStart w:id="58" w:name="_Toc15377217"/>
    </w:p>
    <w:p>
      <w:pPr>
        <w:spacing w:line="600" w:lineRule="exact"/>
        <w:ind w:firstLine="642" w:firstLineChars="200"/>
        <w:outlineLvl w:val="2"/>
        <w:rPr>
          <w:rFonts w:hint="eastAsia" w:ascii="楷体_GB2312" w:hAnsi="楷体_GB2312" w:eastAsia="楷体_GB2312" w:cs="楷体_GB2312"/>
          <w:b/>
          <w:bCs w:val="0"/>
          <w:color w:val="000000"/>
          <w:sz w:val="32"/>
          <w:szCs w:val="32"/>
        </w:rPr>
      </w:pPr>
      <w:r>
        <w:rPr>
          <w:rFonts w:hint="eastAsia" w:ascii="楷体_GB2312" w:hAnsi="楷体_GB2312" w:eastAsia="楷体_GB2312" w:cs="楷体_GB2312"/>
          <w:b/>
          <w:bCs w:val="0"/>
          <w:color w:val="000000"/>
          <w:sz w:val="32"/>
          <w:szCs w:val="32"/>
        </w:rPr>
        <w:t>（二）“三公”经费财政拨款支出决算具体情况说明</w:t>
      </w:r>
      <w:bookmarkEnd w:id="58"/>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2021年“三公”经费财政拨款支出96.61万</w:t>
      </w:r>
      <w:r>
        <w:rPr>
          <w:rFonts w:hint="eastAsia" w:ascii="仿宋_GB2312" w:hAnsi="仿宋_GB2312" w:eastAsia="仿宋_GB2312" w:cs="仿宋_GB2312"/>
          <w:color w:val="000000"/>
          <w:sz w:val="32"/>
          <w:szCs w:val="32"/>
          <w:lang w:eastAsia="zh-CN"/>
        </w:rPr>
        <w:t>元</w:t>
      </w:r>
      <w:bookmarkStart w:id="77" w:name="_GoBack"/>
      <w:bookmarkEnd w:id="77"/>
      <w:r>
        <w:rPr>
          <w:rFonts w:hint="eastAsia" w:ascii="仿宋_GB2312" w:hAnsi="仿宋_GB2312" w:eastAsia="仿宋_GB2312" w:cs="仿宋_GB2312"/>
          <w:color w:val="000000"/>
          <w:sz w:val="32"/>
          <w:szCs w:val="32"/>
        </w:rPr>
        <w:t>，因公出国（境）费支出决算0.00万元，占0.00%；公务用车购置及运行维护费支出决算93.70万元，占96.99%；公务接待费支出决算2.91万元，占3.01%。具体情况如下：</w:t>
      </w:r>
    </w:p>
    <w:p>
      <w:pPr>
        <w:spacing w:line="600" w:lineRule="exact"/>
        <w:ind w:firstLine="640" w:firstLineChars="200"/>
        <w:rPr>
          <w:rFonts w:hint="eastAsia" w:ascii="仿宋_GB2312" w:hAnsi="仿宋_GB2312" w:eastAsia="仿宋_GB2312" w:cs="仿宋_GB2312"/>
          <w:color w:val="000000"/>
          <w:sz w:val="32"/>
          <w:szCs w:val="32"/>
        </w:rPr>
      </w:pPr>
    </w:p>
    <w:p>
      <w:pPr>
        <w:spacing w:line="600" w:lineRule="exact"/>
        <w:ind w:firstLine="640" w:firstLineChars="200"/>
        <w:rPr>
          <w:rFonts w:hint="eastAsia" w:ascii="仿宋_GB2312" w:hAnsi="仿宋_GB2312" w:eastAsia="仿宋_GB2312" w:cs="仿宋_GB2312"/>
          <w:color w:val="000000"/>
          <w:sz w:val="32"/>
          <w:szCs w:val="32"/>
        </w:rPr>
      </w:pPr>
    </w:p>
    <w:p>
      <w:pPr>
        <w:spacing w:line="600" w:lineRule="exact"/>
        <w:ind w:firstLine="640" w:firstLineChars="200"/>
        <w:rPr>
          <w:rFonts w:hint="eastAsia" w:ascii="仿宋_GB2312" w:hAnsi="仿宋_GB2312" w:eastAsia="仿宋_GB2312" w:cs="仿宋_GB2312"/>
          <w:color w:val="000000"/>
          <w:sz w:val="32"/>
          <w:szCs w:val="32"/>
        </w:rPr>
      </w:pPr>
    </w:p>
    <w:p>
      <w:pPr>
        <w:spacing w:line="600" w:lineRule="exact"/>
        <w:ind w:firstLine="640" w:firstLineChars="200"/>
        <w:rPr>
          <w:rFonts w:hint="eastAsia" w:ascii="仿宋_GB2312" w:hAnsi="仿宋_GB2312" w:eastAsia="仿宋_GB2312" w:cs="仿宋_GB2312"/>
          <w:color w:val="000000"/>
          <w:sz w:val="32"/>
          <w:szCs w:val="32"/>
        </w:rPr>
      </w:pPr>
    </w:p>
    <w:p>
      <w:pPr>
        <w:spacing w:line="600" w:lineRule="exact"/>
        <w:ind w:firstLine="960" w:firstLineChars="3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（图7：“三公”经费财政拨款支出结构）</w:t>
      </w:r>
    </w:p>
    <w:p>
      <w:pPr>
        <w:pStyle w:val="2"/>
        <w:rPr>
          <w:rFonts w:ascii="仿宋_GB2312" w:hAnsi="仿宋" w:eastAsia="仿宋_GB2312"/>
          <w:color w:val="000000"/>
          <w:sz w:val="32"/>
          <w:szCs w:val="32"/>
        </w:rPr>
      </w:pPr>
      <w:r>
        <w:drawing>
          <wp:inline distT="0" distB="0" distL="0" distR="0">
            <wp:extent cx="4333240" cy="2886075"/>
            <wp:effectExtent l="0" t="0" r="10160" b="952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1.因公出国（境）经费支出0.00万元,完成预算100%。全年安排因公出国（境）团组0次，出国（境）0人。因公出国（境）支出决算比2020年增加0.00万元，增加100.00 %。 </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2.公务用车购置及运行维护费支出93.70万元,完成预算100.00%。公务用车购置及运行维护费支出决算比2020年减少2.99万元，减少3.09%。 </w:t>
      </w:r>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其中：公务用车购置支出0.00万元。全年按规定更新购置公务用车-1辆，其中：轿车-1辆、金额-35.80万元，越野车0辆、金额0.00万元，载客汽车0辆、金额0.00万元。截至2021年12月底，单位共有公务用车7辆，其中：轿车0辆、越野车7辆、载客汽车0辆。</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公务用车运行维护费支出93.70万元。 </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3.公务接待费支出2.91万元，完成预算100.00%。公务接待费支出决算比2020年减少1.87万元，减少64.05%。</w:t>
      </w:r>
      <w:bookmarkStart w:id="59" w:name="_Toc15377218"/>
      <w:r>
        <w:rPr>
          <w:rFonts w:hint="eastAsia" w:ascii="仿宋_GB2312" w:hAnsi="仿宋_GB2312" w:eastAsia="仿宋_GB2312" w:cs="仿宋_GB2312"/>
          <w:color w:val="000000"/>
          <w:sz w:val="32"/>
          <w:szCs w:val="32"/>
        </w:rPr>
        <w:t xml:space="preserve"> </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国内公务接待支出2.91万元。国内公务接待21批次，252人次（不包括陪同人员），共计支出2.91万元。</w:t>
      </w:r>
    </w:p>
    <w:p>
      <w:pPr>
        <w:pStyle w:val="2"/>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外事接待支出0.00万元，外事接待0批次，0人，共计支出0.00万元。</w:t>
      </w:r>
    </w:p>
    <w:p>
      <w:pPr>
        <w:pStyle w:val="4"/>
        <w:ind w:firstLine="642" w:firstLineChars="200"/>
        <w:rPr>
          <w:rFonts w:ascii="黑体" w:eastAsia="黑体" w:cs="Times New Roman"/>
          <w:bCs w:val="0"/>
          <w:color w:val="000000"/>
        </w:rPr>
      </w:pPr>
      <w:bookmarkStart w:id="60" w:name="_Toc113981020"/>
      <w:bookmarkStart w:id="61" w:name="_Toc111208506"/>
      <w:r>
        <w:rPr>
          <w:rFonts w:hint="eastAsia" w:ascii="黑体" w:eastAsia="黑体" w:cs="Times New Roman"/>
          <w:bCs w:val="0"/>
          <w:color w:val="000000"/>
        </w:rPr>
        <w:t>八、政府性基金预算支出决算情况说明</w:t>
      </w:r>
      <w:bookmarkEnd w:id="59"/>
      <w:bookmarkEnd w:id="60"/>
      <w:bookmarkEnd w:id="61"/>
    </w:p>
    <w:p>
      <w:pPr>
        <w:spacing w:line="600" w:lineRule="exact"/>
        <w:ind w:firstLine="640"/>
        <w:rPr>
          <w:rFonts w:ascii="仿宋" w:hAnsi="仿宋" w:eastAsia="仿宋"/>
        </w:rPr>
      </w:pPr>
      <w:r>
        <w:rPr>
          <w:rFonts w:hint="eastAsia" w:ascii="仿宋_GB2312" w:hAnsi="仿宋_GB2312" w:eastAsia="仿宋_GB2312" w:cs="仿宋_GB2312"/>
          <w:color w:val="000000"/>
          <w:sz w:val="32"/>
          <w:szCs w:val="32"/>
        </w:rPr>
        <w:t>2021年政府性基金预算拨款支出0.00万元</w:t>
      </w:r>
      <w:r>
        <w:rPr>
          <w:rFonts w:hint="eastAsia" w:ascii="仿宋" w:hAnsi="仿宋" w:eastAsia="仿宋"/>
          <w:color w:val="000000"/>
          <w:sz w:val="32"/>
          <w:szCs w:val="32"/>
        </w:rPr>
        <w:t>。</w:t>
      </w:r>
      <w:bookmarkStart w:id="62" w:name="_Toc15377219"/>
    </w:p>
    <w:p>
      <w:pPr>
        <w:pStyle w:val="4"/>
        <w:ind w:firstLine="642" w:firstLineChars="200"/>
        <w:rPr>
          <w:rFonts w:ascii="黑体" w:eastAsia="黑体" w:cs="Times New Roman"/>
          <w:bCs w:val="0"/>
          <w:color w:val="000000"/>
        </w:rPr>
      </w:pPr>
      <w:bookmarkStart w:id="63" w:name="_Toc113981021"/>
      <w:bookmarkStart w:id="64" w:name="_Toc111208507"/>
      <w:r>
        <w:rPr>
          <w:rFonts w:hint="eastAsia" w:ascii="黑体" w:eastAsia="黑体" w:cs="Times New Roman"/>
          <w:bCs w:val="0"/>
          <w:color w:val="000000"/>
        </w:rPr>
        <w:t>九、国有资本经营预算支出决算情况说明</w:t>
      </w:r>
      <w:bookmarkEnd w:id="62"/>
      <w:bookmarkEnd w:id="63"/>
      <w:bookmarkEnd w:id="64"/>
    </w:p>
    <w:p>
      <w:pPr>
        <w:spacing w:line="600" w:lineRule="exact"/>
        <w:ind w:firstLine="640"/>
        <w:rPr>
          <w:rFonts w:ascii="仿宋" w:hAnsi="仿宋" w:eastAsia="仿宋"/>
        </w:rPr>
      </w:pPr>
      <w:r>
        <w:rPr>
          <w:rFonts w:hint="eastAsia" w:ascii="仿宋_GB2312" w:hAnsi="仿宋_GB2312" w:eastAsia="仿宋_GB2312" w:cs="仿宋_GB2312"/>
          <w:color w:val="000000"/>
          <w:sz w:val="32"/>
          <w:szCs w:val="32"/>
        </w:rPr>
        <w:t>2021年国有资本经营预算拨款支出0.00万元。</w:t>
      </w:r>
    </w:p>
    <w:p>
      <w:pPr>
        <w:pStyle w:val="4"/>
        <w:ind w:firstLine="642" w:firstLineChars="200"/>
        <w:rPr>
          <w:rFonts w:ascii="黑体" w:eastAsia="黑体" w:cs="Times New Roman"/>
          <w:bCs w:val="0"/>
          <w:color w:val="000000"/>
        </w:rPr>
      </w:pPr>
      <w:bookmarkStart w:id="65" w:name="_Toc111208508"/>
      <w:bookmarkStart w:id="66" w:name="_Toc113981022"/>
      <w:bookmarkStart w:id="67" w:name="_Toc15377221"/>
      <w:r>
        <w:rPr>
          <w:rFonts w:hint="eastAsia" w:ascii="黑体" w:eastAsia="黑体" w:cs="Times New Roman"/>
          <w:bCs w:val="0"/>
          <w:color w:val="000000"/>
        </w:rPr>
        <w:t>十、其他重要事项的情况说明</w:t>
      </w:r>
      <w:bookmarkEnd w:id="65"/>
      <w:bookmarkEnd w:id="66"/>
      <w:bookmarkEnd w:id="67"/>
    </w:p>
    <w:p>
      <w:pPr>
        <w:spacing w:line="600" w:lineRule="exact"/>
        <w:ind w:firstLine="642" w:firstLineChars="200"/>
        <w:outlineLvl w:val="2"/>
        <w:rPr>
          <w:rFonts w:hint="eastAsia" w:ascii="楷体_GB2312" w:hAnsi="楷体_GB2312" w:eastAsia="楷体_GB2312" w:cs="楷体_GB2312"/>
          <w:b/>
          <w:color w:val="000000"/>
          <w:sz w:val="32"/>
          <w:szCs w:val="32"/>
        </w:rPr>
      </w:pPr>
      <w:bookmarkStart w:id="68" w:name="_Toc15377222"/>
      <w:r>
        <w:rPr>
          <w:rFonts w:hint="eastAsia" w:ascii="楷体_GB2312" w:hAnsi="楷体_GB2312" w:eastAsia="楷体_GB2312" w:cs="楷体_GB2312"/>
          <w:b/>
          <w:color w:val="000000"/>
          <w:sz w:val="32"/>
          <w:szCs w:val="32"/>
        </w:rPr>
        <w:t>（一）机关运行经费支出情况</w:t>
      </w:r>
      <w:bookmarkEnd w:id="68"/>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2021年，机关运行经费支出116.92万元，比2020年减少175.25万元，减少59.98 %。 </w:t>
      </w:r>
    </w:p>
    <w:p>
      <w:pPr>
        <w:spacing w:line="600" w:lineRule="exact"/>
        <w:ind w:firstLine="642" w:firstLineChars="200"/>
        <w:outlineLvl w:val="2"/>
        <w:rPr>
          <w:rFonts w:hint="eastAsia" w:ascii="楷体_GB2312" w:hAnsi="楷体_GB2312" w:eastAsia="楷体_GB2312" w:cs="楷体_GB2312"/>
          <w:b/>
          <w:color w:val="000000"/>
          <w:sz w:val="32"/>
          <w:szCs w:val="32"/>
        </w:rPr>
      </w:pPr>
      <w:bookmarkStart w:id="69" w:name="_Toc15377223"/>
      <w:r>
        <w:rPr>
          <w:rFonts w:hint="eastAsia" w:ascii="楷体_GB2312" w:hAnsi="楷体_GB2312" w:eastAsia="楷体_GB2312" w:cs="楷体_GB2312"/>
          <w:b/>
          <w:color w:val="000000"/>
          <w:sz w:val="32"/>
          <w:szCs w:val="32"/>
        </w:rPr>
        <w:t>（二）政府采购支出情况</w:t>
      </w:r>
      <w:bookmarkEnd w:id="69"/>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政府采购支出总额214.59万元，其中：政府采购货物支出214.59万元、政府采购工程支出0.00万元、政府采购服务支出0.00万元。授予中小企业合同金额214.59万元，其中：授予小微企业合同金额214.59万元，占总合同的100.00%。</w:t>
      </w:r>
    </w:p>
    <w:p>
      <w:pPr>
        <w:spacing w:line="600" w:lineRule="exact"/>
        <w:ind w:firstLine="642" w:firstLineChars="200"/>
        <w:outlineLvl w:val="2"/>
        <w:rPr>
          <w:rFonts w:hint="eastAsia" w:ascii="楷体_GB2312" w:hAnsi="楷体_GB2312" w:eastAsia="楷体_GB2312" w:cs="楷体_GB2312"/>
          <w:b/>
          <w:color w:val="000000"/>
          <w:sz w:val="32"/>
          <w:szCs w:val="32"/>
        </w:rPr>
      </w:pPr>
      <w:bookmarkStart w:id="70" w:name="_Toc15377224"/>
      <w:r>
        <w:rPr>
          <w:rFonts w:hint="eastAsia" w:ascii="楷体_GB2312" w:hAnsi="楷体_GB2312" w:eastAsia="楷体_GB2312" w:cs="楷体_GB2312"/>
          <w:b/>
          <w:color w:val="000000"/>
          <w:sz w:val="32"/>
          <w:szCs w:val="32"/>
        </w:rPr>
        <w:t>（三）国有资产占有使用情况</w:t>
      </w:r>
      <w:bookmarkEnd w:id="70"/>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截至2021年12月31日，共有车辆7辆，其中：主要领导干部用车0辆、机要通信用车1辆、应急保障用车6辆、其他用车0辆。单价50万元以上通用设备0台（套），单价100万元以上专用设备0台（套）。</w:t>
      </w:r>
    </w:p>
    <w:p>
      <w:pPr>
        <w:spacing w:line="600" w:lineRule="exact"/>
        <w:ind w:firstLine="642" w:firstLineChars="200"/>
        <w:outlineLvl w:val="2"/>
        <w:rPr>
          <w:rFonts w:hint="eastAsia" w:ascii="楷体_GB2312" w:hAnsi="楷体_GB2312" w:eastAsia="楷体_GB2312" w:cs="楷体_GB2312"/>
          <w:b/>
          <w:color w:val="000000"/>
          <w:sz w:val="32"/>
          <w:szCs w:val="32"/>
        </w:rPr>
      </w:pPr>
      <w:r>
        <w:rPr>
          <w:rFonts w:hint="eastAsia" w:ascii="楷体_GB2312" w:hAnsi="楷体_GB2312" w:eastAsia="楷体_GB2312" w:cs="楷体_GB2312"/>
          <w:b/>
          <w:color w:val="000000"/>
          <w:sz w:val="32"/>
          <w:szCs w:val="32"/>
        </w:rPr>
        <w:t>（四）预算绩效管理情况</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我办根据预算绩效管理要求，根据年初工作规划和重点性工作，积极履职，强化管理，通过加强预算收支管理，不断建立健全内部管理制度，梳理内部管理流程，较好的完成了年度工作目标。</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我办按要求对20</w:t>
      </w:r>
      <w:r>
        <w:rPr>
          <w:rFonts w:hint="eastAsia" w:ascii="仿宋_GB2312" w:hAnsi="仿宋_GB2312" w:eastAsia="仿宋_GB2312" w:cs="仿宋_GB2312"/>
          <w:color w:val="000000"/>
          <w:sz w:val="32"/>
          <w:szCs w:val="32"/>
          <w:lang w:val="en-US" w:eastAsia="zh-CN"/>
        </w:rPr>
        <w:t>21</w:t>
      </w:r>
      <w:r>
        <w:rPr>
          <w:rFonts w:hint="eastAsia" w:ascii="仿宋_GB2312" w:hAnsi="仿宋_GB2312" w:eastAsia="仿宋_GB2312" w:cs="仿宋_GB2312"/>
          <w:color w:val="000000"/>
          <w:sz w:val="32"/>
          <w:szCs w:val="32"/>
        </w:rPr>
        <w:t>年部门整体支出开展绩效自评，从评价情况来看，20</w:t>
      </w:r>
      <w:r>
        <w:rPr>
          <w:rFonts w:hint="eastAsia" w:ascii="仿宋_GB2312" w:hAnsi="仿宋_GB2312" w:eastAsia="仿宋_GB2312" w:cs="仿宋_GB2312"/>
          <w:color w:val="000000"/>
          <w:sz w:val="32"/>
          <w:szCs w:val="32"/>
          <w:lang w:val="en-US" w:eastAsia="zh-CN"/>
        </w:rPr>
        <w:t>21</w:t>
      </w:r>
      <w:r>
        <w:rPr>
          <w:rFonts w:hint="eastAsia" w:ascii="仿宋_GB2312" w:hAnsi="仿宋_GB2312" w:eastAsia="仿宋_GB2312" w:cs="仿宋_GB2312"/>
          <w:color w:val="000000"/>
          <w:sz w:val="32"/>
          <w:szCs w:val="32"/>
        </w:rPr>
        <w:t>年我办部门整体支出绩效评价自查自评结果良好，全年基本支出保证了部门的正常运行和日常工作的正常开展，绩效目标得到较好实现，绩效管理水平不断提高，绩效指标体系逐渐丰富和完善。</w:t>
      </w:r>
    </w:p>
    <w:p>
      <w:pPr>
        <w:pStyle w:val="33"/>
      </w:pP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pStyle w:val="3"/>
        <w:jc w:val="center"/>
        <w:rPr>
          <w:rFonts w:ascii="黑体" w:hAnsi="黑体" w:eastAsia="黑体" w:cs="黑体"/>
        </w:rPr>
      </w:pPr>
      <w:bookmarkStart w:id="71" w:name="_Toc111208509"/>
      <w:bookmarkStart w:id="72" w:name="_Toc113981023"/>
      <w:bookmarkStart w:id="73" w:name="_Toc15377225"/>
      <w:r>
        <w:rPr>
          <w:rFonts w:hint="eastAsia" w:ascii="黑体" w:hAnsi="黑体" w:eastAsia="黑体" w:cs="黑体"/>
        </w:rPr>
        <w:t>第三部分 名词解释</w:t>
      </w:r>
      <w:bookmarkEnd w:id="71"/>
      <w:bookmarkEnd w:id="72"/>
      <w:bookmarkEnd w:id="73"/>
    </w:p>
    <w:p>
      <w:pPr>
        <w:spacing w:line="600" w:lineRule="exact"/>
        <w:ind w:firstLine="640"/>
        <w:rPr>
          <w:rFonts w:ascii="仿宋" w:hAnsi="仿宋" w:eastAsia="仿宋"/>
          <w:color w:val="000000"/>
          <w:sz w:val="32"/>
          <w:szCs w:val="32"/>
        </w:rPr>
      </w:pPr>
      <w:r>
        <w:rPr>
          <w:rFonts w:ascii="仿宋" w:hAnsi="仿宋" w:eastAsia="仿宋"/>
          <w:color w:val="000000"/>
          <w:sz w:val="32"/>
          <w:szCs w:val="32"/>
        </w:rPr>
        <w:t>1.</w:t>
      </w:r>
      <w:r>
        <w:rPr>
          <w:rFonts w:hint="eastAsia" w:ascii="仿宋" w:hAnsi="仿宋" w:eastAsia="仿宋"/>
          <w:color w:val="000000"/>
          <w:sz w:val="32"/>
          <w:szCs w:val="32"/>
        </w:rPr>
        <w:t>财政拨款收入：指单位从同级财政部门取得的财政预算资金。</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2.</w:t>
      </w:r>
      <w:r>
        <w:rPr>
          <w:rFonts w:hint="eastAsia" w:ascii="仿宋" w:hAnsi="仿宋" w:eastAsia="仿宋"/>
          <w:color w:val="000000"/>
          <w:sz w:val="32"/>
          <w:szCs w:val="32"/>
        </w:rPr>
        <w:t>事业收入：指事业单位开展专业业务活动及辅助活动取得的收入。</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3.</w:t>
      </w:r>
      <w:r>
        <w:rPr>
          <w:rFonts w:hint="eastAsia" w:ascii="仿宋" w:hAnsi="仿宋" w:eastAsia="仿宋"/>
          <w:color w:val="000000"/>
          <w:sz w:val="32"/>
          <w:szCs w:val="32"/>
        </w:rPr>
        <w:t>经营收入：指事业单位在专业业务活动及其辅助活动之外开展非独立核算经营活动取得的收入</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4.</w:t>
      </w:r>
      <w:r>
        <w:rPr>
          <w:rFonts w:hint="eastAsia" w:ascii="仿宋" w:hAnsi="仿宋" w:eastAsia="仿宋"/>
          <w:color w:val="000000"/>
          <w:sz w:val="32"/>
          <w:szCs w:val="32"/>
        </w:rPr>
        <w:t>其他收入：指单位取得的除上述收入以外的各项收入。</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5.</w:t>
      </w:r>
      <w:r>
        <w:rPr>
          <w:rFonts w:hint="eastAsia" w:ascii="仿宋" w:hAnsi="仿宋" w:eastAsia="仿宋"/>
          <w:color w:val="000000"/>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 w:hAnsi="仿宋" w:eastAsia="仿宋"/>
          <w:color w:val="000000"/>
          <w:sz w:val="32"/>
          <w:szCs w:val="32"/>
        </w:rPr>
        <w:t xml:space="preserve"> </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6.</w:t>
      </w:r>
      <w:r>
        <w:rPr>
          <w:rFonts w:hint="eastAsia" w:ascii="仿宋" w:hAnsi="仿宋" w:eastAsia="仿宋"/>
          <w:color w:val="000000"/>
          <w:sz w:val="32"/>
          <w:szCs w:val="32"/>
        </w:rPr>
        <w:t>年初结转和结余：指以前年度尚未完成、结转到本年按有关规定继续使用的资金。</w:t>
      </w:r>
      <w:r>
        <w:rPr>
          <w:rFonts w:ascii="仿宋" w:hAnsi="仿宋" w:eastAsia="仿宋"/>
          <w:color w:val="000000"/>
          <w:sz w:val="32"/>
          <w:szCs w:val="32"/>
        </w:rPr>
        <w:t xml:space="preserve"> </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7.</w:t>
      </w:r>
      <w:r>
        <w:rPr>
          <w:rFonts w:hint="eastAsia" w:ascii="仿宋" w:hAnsi="仿宋" w:eastAsia="仿宋"/>
          <w:color w:val="000000"/>
          <w:sz w:val="32"/>
          <w:szCs w:val="32"/>
        </w:rPr>
        <w:t>结余分配：指事业单位按照事业单位会计制度的规定从非财政补助结余中分配的事业基金和职工福利基金等。</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8</w:t>
      </w:r>
      <w:r>
        <w:rPr>
          <w:rFonts w:hint="eastAsia" w:ascii="仿宋" w:hAnsi="仿宋" w:eastAsia="仿宋"/>
          <w:color w:val="000000"/>
          <w:sz w:val="32"/>
          <w:szCs w:val="32"/>
        </w:rPr>
        <w:t>.年末结转和结余：指单位按有关规定结转到下年或以后年度继续使用的资金。</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9.一般公共服务支出（201）党委办公厅（室）及相关机构事务（20131）行政运行（2013101）：反映行政单位（包括实行公务员管理的事业单位）的基本支出。</w:t>
      </w:r>
      <w:r>
        <w:rPr>
          <w:rFonts w:hint="eastAsia" w:ascii="仿宋" w:hAnsi="仿宋" w:eastAsia="仿宋"/>
          <w:color w:val="000000"/>
          <w:sz w:val="32"/>
          <w:szCs w:val="32"/>
        </w:rPr>
        <w:br w:type="textWrapping"/>
      </w:r>
      <w:r>
        <w:rPr>
          <w:rFonts w:hint="eastAsia" w:ascii="仿宋" w:hAnsi="仿宋" w:eastAsia="仿宋"/>
          <w:color w:val="000000"/>
          <w:sz w:val="32"/>
          <w:szCs w:val="32"/>
        </w:rPr>
        <w:tab/>
      </w:r>
      <w:r>
        <w:rPr>
          <w:rFonts w:hint="eastAsia" w:ascii="仿宋" w:hAnsi="仿宋" w:eastAsia="仿宋"/>
          <w:color w:val="000000"/>
          <w:sz w:val="32"/>
          <w:szCs w:val="32"/>
        </w:rPr>
        <w:t>10.一般公共服务支出（201）党委办公厅（室）及相关机构事务（20131）一般行政管理事务（2013102）：反映行政单位（包括实行公务员管理的事业单位）未单独设置项级科目的其他项目支出。</w:t>
      </w:r>
      <w:r>
        <w:rPr>
          <w:rFonts w:hint="eastAsia" w:ascii="仿宋" w:hAnsi="仿宋" w:eastAsia="仿宋"/>
          <w:color w:val="000000"/>
          <w:sz w:val="32"/>
          <w:szCs w:val="32"/>
        </w:rPr>
        <w:br w:type="textWrapping"/>
      </w:r>
      <w:r>
        <w:rPr>
          <w:rFonts w:hint="eastAsia" w:ascii="仿宋" w:hAnsi="仿宋" w:eastAsia="仿宋"/>
          <w:color w:val="000000"/>
          <w:sz w:val="32"/>
          <w:szCs w:val="32"/>
        </w:rPr>
        <w:tab/>
      </w:r>
      <w:r>
        <w:rPr>
          <w:rFonts w:hint="eastAsia" w:ascii="仿宋" w:hAnsi="仿宋" w:eastAsia="仿宋"/>
          <w:color w:val="000000"/>
          <w:sz w:val="32"/>
          <w:szCs w:val="32"/>
        </w:rPr>
        <w:t>11.一般公共服务支出（201）党委办公厅（室）及相关机构事务（20131）事业运行（2013150）：反映事业单位的基本支出，不包括行政单位（包括实行公务员管理的事业单位）后勤服务中心、医务室等附属事业单位。</w:t>
      </w:r>
      <w:r>
        <w:rPr>
          <w:rFonts w:hint="eastAsia" w:ascii="仿宋" w:hAnsi="仿宋" w:eastAsia="仿宋"/>
          <w:color w:val="000000"/>
          <w:sz w:val="32"/>
          <w:szCs w:val="32"/>
        </w:rPr>
        <w:br w:type="textWrapping"/>
      </w:r>
      <w:r>
        <w:rPr>
          <w:rFonts w:hint="eastAsia" w:ascii="仿宋" w:hAnsi="仿宋" w:eastAsia="仿宋"/>
          <w:color w:val="000000"/>
          <w:sz w:val="32"/>
          <w:szCs w:val="32"/>
        </w:rPr>
        <w:tab/>
      </w:r>
      <w:r>
        <w:rPr>
          <w:rFonts w:hint="eastAsia" w:ascii="仿宋" w:hAnsi="仿宋" w:eastAsia="仿宋"/>
          <w:color w:val="000000"/>
          <w:sz w:val="32"/>
          <w:szCs w:val="32"/>
        </w:rPr>
        <w:t>12.一般公共服务支出（201）党委办公厅（室）及相关机构事务（20131）其他党委办公厅（室）及相关机构事务支出（2013199）：反映除上述项目以外其他用于党委办公厅（室）及相关机构事务支出。</w:t>
      </w:r>
      <w:r>
        <w:rPr>
          <w:rFonts w:hint="eastAsia" w:ascii="仿宋" w:hAnsi="仿宋" w:eastAsia="仿宋"/>
          <w:color w:val="000000"/>
          <w:sz w:val="32"/>
          <w:szCs w:val="32"/>
        </w:rPr>
        <w:br w:type="textWrapping"/>
      </w:r>
      <w:r>
        <w:rPr>
          <w:rFonts w:hint="eastAsia" w:ascii="仿宋" w:hAnsi="仿宋" w:eastAsia="仿宋"/>
          <w:color w:val="000000"/>
          <w:sz w:val="32"/>
          <w:szCs w:val="32"/>
        </w:rPr>
        <w:tab/>
      </w:r>
      <w:r>
        <w:rPr>
          <w:rFonts w:hint="eastAsia" w:ascii="仿宋" w:hAnsi="仿宋" w:eastAsia="仿宋"/>
          <w:color w:val="000000"/>
          <w:sz w:val="32"/>
          <w:szCs w:val="32"/>
        </w:rPr>
        <w:t>13.一般公共服务支出（201）其他一般公共服务支出（20199）其他一般公共服务支出（2019999）：反映除上述项以外的其他一般公共服务支出。</w:t>
      </w:r>
      <w:r>
        <w:rPr>
          <w:rFonts w:hint="eastAsia" w:ascii="仿宋" w:hAnsi="仿宋" w:eastAsia="仿宋"/>
          <w:color w:val="000000"/>
          <w:sz w:val="32"/>
          <w:szCs w:val="32"/>
        </w:rPr>
        <w:br w:type="textWrapping"/>
      </w:r>
      <w:r>
        <w:rPr>
          <w:rFonts w:hint="eastAsia" w:ascii="仿宋" w:hAnsi="仿宋" w:eastAsia="仿宋"/>
          <w:color w:val="000000"/>
          <w:sz w:val="32"/>
          <w:szCs w:val="32"/>
        </w:rPr>
        <w:tab/>
      </w:r>
      <w:r>
        <w:rPr>
          <w:rFonts w:hint="eastAsia" w:ascii="仿宋" w:hAnsi="仿宋" w:eastAsia="仿宋"/>
          <w:color w:val="000000"/>
          <w:sz w:val="32"/>
          <w:szCs w:val="32"/>
        </w:rPr>
        <w:t>14.社会保障和就业支出（208）行政事业单位养老支出（20805）机关事业单位基本养老保险缴费支出（2080505）：反映机关事业单位实施养老保险制度由单位缴纳的基本养老保险费支出。</w:t>
      </w:r>
      <w:r>
        <w:rPr>
          <w:rFonts w:hint="eastAsia" w:ascii="仿宋" w:hAnsi="仿宋" w:eastAsia="仿宋"/>
          <w:color w:val="000000"/>
          <w:sz w:val="32"/>
          <w:szCs w:val="32"/>
        </w:rPr>
        <w:br w:type="textWrapping"/>
      </w:r>
      <w:r>
        <w:rPr>
          <w:rFonts w:hint="eastAsia" w:ascii="仿宋" w:hAnsi="仿宋" w:eastAsia="仿宋"/>
          <w:color w:val="000000"/>
          <w:sz w:val="32"/>
          <w:szCs w:val="32"/>
        </w:rPr>
        <w:tab/>
      </w:r>
      <w:r>
        <w:rPr>
          <w:rFonts w:hint="eastAsia" w:ascii="仿宋" w:hAnsi="仿宋" w:eastAsia="仿宋"/>
          <w:color w:val="000000"/>
          <w:sz w:val="32"/>
          <w:szCs w:val="32"/>
        </w:rPr>
        <w:t>15.社会保障和就业支出（208）行政事业单位养老支出（20805）机关事业单位职业年金缴费支出（2080506）：反映机关事业单位实施养老保险制度由单位实际缴纳的职业年金支出。</w:t>
      </w:r>
      <w:r>
        <w:rPr>
          <w:rFonts w:hint="eastAsia" w:ascii="仿宋" w:hAnsi="仿宋" w:eastAsia="仿宋"/>
          <w:color w:val="000000"/>
          <w:sz w:val="32"/>
          <w:szCs w:val="32"/>
        </w:rPr>
        <w:br w:type="textWrapping"/>
      </w:r>
      <w:r>
        <w:rPr>
          <w:rFonts w:hint="eastAsia" w:ascii="仿宋" w:hAnsi="仿宋" w:eastAsia="仿宋"/>
          <w:color w:val="000000"/>
          <w:sz w:val="32"/>
          <w:szCs w:val="32"/>
        </w:rPr>
        <w:tab/>
      </w:r>
      <w:r>
        <w:rPr>
          <w:rFonts w:hint="eastAsia" w:ascii="仿宋" w:hAnsi="仿宋" w:eastAsia="仿宋"/>
          <w:color w:val="000000"/>
          <w:sz w:val="32"/>
          <w:szCs w:val="32"/>
        </w:rPr>
        <w:t>16.卫生健康支出（210）行政事业单位医疗（21011）行政单位医疗（2101101）：反映财政部门安排的行政单位（包括实行公务员管理的事业单位，下同）基本医疗保险缴费经费，未参加医疗保险的行政单位的公费医疗经费，按国家规定享受离休人员、红军老战士待遇人员的医疗经费。</w:t>
      </w:r>
      <w:r>
        <w:rPr>
          <w:rFonts w:hint="eastAsia" w:ascii="仿宋" w:hAnsi="仿宋" w:eastAsia="仿宋"/>
          <w:color w:val="000000"/>
          <w:sz w:val="32"/>
          <w:szCs w:val="32"/>
        </w:rPr>
        <w:br w:type="textWrapping"/>
      </w:r>
      <w:r>
        <w:rPr>
          <w:rFonts w:hint="eastAsia" w:ascii="仿宋" w:hAnsi="仿宋" w:eastAsia="仿宋"/>
          <w:color w:val="000000"/>
          <w:sz w:val="32"/>
          <w:szCs w:val="32"/>
        </w:rPr>
        <w:tab/>
      </w:r>
      <w:r>
        <w:rPr>
          <w:rFonts w:hint="eastAsia" w:ascii="仿宋" w:hAnsi="仿宋" w:eastAsia="仿宋"/>
          <w:color w:val="000000"/>
          <w:sz w:val="32"/>
          <w:szCs w:val="32"/>
        </w:rPr>
        <w:t>17.卫生健康支出（210）行政事业单位医疗（21011）事业单位医疗（2101102）：反映财政部门安排的事业单位基本医疗保险缴费经费，未参加医疗保险的事业单位的公费医疗经费，按国家规定享受离休人员待遇的医疗经费。</w:t>
      </w:r>
      <w:r>
        <w:rPr>
          <w:rFonts w:hint="eastAsia" w:ascii="仿宋" w:hAnsi="仿宋" w:eastAsia="仿宋"/>
          <w:color w:val="000000"/>
          <w:sz w:val="32"/>
          <w:szCs w:val="32"/>
        </w:rPr>
        <w:br w:type="textWrapping"/>
      </w:r>
      <w:r>
        <w:rPr>
          <w:rFonts w:hint="eastAsia" w:ascii="仿宋" w:hAnsi="仿宋" w:eastAsia="仿宋"/>
          <w:color w:val="000000"/>
          <w:sz w:val="32"/>
          <w:szCs w:val="32"/>
        </w:rPr>
        <w:tab/>
      </w:r>
      <w:r>
        <w:rPr>
          <w:rFonts w:hint="eastAsia" w:ascii="仿宋" w:hAnsi="仿宋" w:eastAsia="仿宋"/>
          <w:color w:val="000000"/>
          <w:sz w:val="32"/>
          <w:szCs w:val="32"/>
        </w:rPr>
        <w:t>18.农林水支出（213）扶贫（21305）其他扶贫支出（2130599）：反映除上述项目以外其他用于扶贫方面的支出。</w:t>
      </w:r>
      <w:r>
        <w:rPr>
          <w:rFonts w:hint="eastAsia" w:ascii="仿宋" w:hAnsi="仿宋" w:eastAsia="仿宋"/>
          <w:color w:val="000000"/>
          <w:sz w:val="32"/>
          <w:szCs w:val="32"/>
        </w:rPr>
        <w:br w:type="textWrapping"/>
      </w:r>
      <w:r>
        <w:rPr>
          <w:rFonts w:hint="eastAsia" w:ascii="仿宋" w:hAnsi="仿宋" w:eastAsia="仿宋"/>
          <w:color w:val="000000"/>
          <w:sz w:val="32"/>
          <w:szCs w:val="32"/>
        </w:rPr>
        <w:tab/>
      </w:r>
      <w:r>
        <w:rPr>
          <w:rFonts w:hint="eastAsia" w:ascii="仿宋" w:hAnsi="仿宋" w:eastAsia="仿宋"/>
          <w:color w:val="000000"/>
          <w:sz w:val="32"/>
          <w:szCs w:val="32"/>
        </w:rPr>
        <w:t>19.住房保障支出（221）住房改革支出（22102）住房公积金（2210201）：反映行政事业单位按人力资源和社会保障部、财政部规定的基本工资和津贴补贴以及规定比例为职工缴纳的住房公积金。</w:t>
      </w:r>
      <w:r>
        <w:rPr>
          <w:rFonts w:hint="eastAsia" w:ascii="仿宋" w:hAnsi="仿宋" w:eastAsia="仿宋"/>
          <w:color w:val="000000"/>
          <w:sz w:val="32"/>
          <w:szCs w:val="32"/>
        </w:rPr>
        <w:br w:type="textWrapping"/>
      </w:r>
      <w:r>
        <w:rPr>
          <w:rFonts w:hint="eastAsia" w:ascii="仿宋" w:hAnsi="仿宋" w:eastAsia="仿宋"/>
          <w:color w:val="000000"/>
          <w:sz w:val="32"/>
          <w:szCs w:val="32"/>
        </w:rPr>
        <w:tab/>
      </w:r>
      <w:r>
        <w:rPr>
          <w:rFonts w:hint="eastAsia" w:ascii="仿宋" w:hAnsi="仿宋" w:eastAsia="仿宋"/>
          <w:color w:val="000000"/>
          <w:sz w:val="32"/>
          <w:szCs w:val="32"/>
        </w:rPr>
        <w:t>20.住房保障支出（221）住房改革支出（22102）购房补贴（2210203）：反映按房改政策规定，行政事业单位向符合条件职工（含离退休人员）、军队（含武警）向转役复员离退休人员发放的用于购买住房的补贴。</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21.基本支出：指为保障机构正常运转、完成日常工作任务而发生的人员支出和公用支出。</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 xml:space="preserve">25.项目支出：指在基本支出之外为完成特定行政任务和事业发展目标所发生的支出。 </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22.经营支出：指事业单位在专业业务活动及其辅助活动之外开展非独立核算经营活动发生的支出。</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23.“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24.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640"/>
        <w:rPr>
          <w:rFonts w:ascii="仿宋_GB2312" w:eastAsia="仿宋_GB2312" w:cs="黑体"/>
          <w:sz w:val="32"/>
          <w:szCs w:val="32"/>
        </w:rPr>
      </w:pPr>
      <w:r>
        <w:rPr>
          <w:rFonts w:hint="eastAsia" w:ascii="仿宋" w:hAnsi="仿宋" w:eastAsia="仿宋"/>
          <w:color w:val="000000"/>
          <w:sz w:val="32"/>
          <w:szCs w:val="32"/>
        </w:rPr>
        <w:t>25.财政应返还额度：为行政事业单位会计核算科目，用于核算实行国库集中支付的行政事业单位应收财政返还的资金额度。</w:t>
      </w:r>
    </w:p>
    <w:p>
      <w:pPr>
        <w:widowControl/>
        <w:jc w:val="left"/>
        <w:rPr>
          <w:rStyle w:val="28"/>
          <w:rFonts w:ascii="黑体" w:hAnsi="黑体" w:eastAsia="黑体"/>
        </w:rPr>
      </w:pPr>
      <w:r>
        <w:rPr>
          <w:rStyle w:val="28"/>
          <w:rFonts w:ascii="黑体" w:hAnsi="黑体" w:eastAsia="黑体"/>
        </w:rPr>
        <w:br w:type="page"/>
      </w:r>
    </w:p>
    <w:p>
      <w:pPr>
        <w:pStyle w:val="3"/>
        <w:jc w:val="center"/>
        <w:rPr>
          <w:rFonts w:ascii="黑体" w:hAnsi="黑体" w:eastAsia="黑体" w:cs="黑体"/>
        </w:rPr>
      </w:pPr>
      <w:bookmarkStart w:id="74" w:name="_Toc113981024"/>
      <w:bookmarkStart w:id="75" w:name="_Toc111208510"/>
      <w:r>
        <w:rPr>
          <w:rFonts w:hint="eastAsia" w:ascii="黑体" w:hAnsi="黑体" w:eastAsia="黑体" w:cs="黑体"/>
        </w:rPr>
        <w:t>第四部分 附件</w:t>
      </w:r>
      <w:bookmarkEnd w:id="74"/>
      <w:bookmarkEnd w:id="75"/>
    </w:p>
    <w:p>
      <w:pPr>
        <w:pStyle w:val="36"/>
        <w:spacing w:line="576" w:lineRule="exact"/>
        <w:jc w:val="center"/>
        <w:rPr>
          <w:rFonts w:hint="eastAsia" w:ascii="方正小标宋简体" w:hAnsi="方正小标宋简体" w:eastAsia="方正小标宋简体" w:cs="方正小标宋简体"/>
          <w:sz w:val="44"/>
          <w:szCs w:val="44"/>
        </w:rPr>
      </w:pPr>
      <w:bookmarkStart w:id="76" w:name="_Toc15396616"/>
      <w:r>
        <w:rPr>
          <w:rFonts w:hint="eastAsia" w:ascii="方正小标宋简体" w:hAnsi="方正小标宋简体" w:eastAsia="方正小标宋简体" w:cs="方正小标宋简体"/>
          <w:sz w:val="44"/>
          <w:szCs w:val="44"/>
          <w:lang w:eastAsia="zh-CN"/>
        </w:rPr>
        <w:t>中共茂县</w:t>
      </w:r>
      <w:r>
        <w:rPr>
          <w:rFonts w:hint="eastAsia" w:ascii="方正小标宋简体" w:hAnsi="方正小标宋简体" w:eastAsia="方正小标宋简体" w:cs="方正小标宋简体"/>
          <w:sz w:val="44"/>
          <w:szCs w:val="44"/>
        </w:rPr>
        <w:t>县委办</w:t>
      </w:r>
    </w:p>
    <w:p>
      <w:pPr>
        <w:pStyle w:val="36"/>
        <w:spacing w:line="576" w:lineRule="exact"/>
        <w:jc w:val="center"/>
        <w:rPr>
          <w:rFonts w:ascii="仿宋_GB2312" w:hAnsi="宋体" w:eastAsia="仿宋_GB2312"/>
          <w:sz w:val="32"/>
          <w:szCs w:val="32"/>
          <w:shd w:val="clear" w:color="auto" w:fill="FFFFFF"/>
        </w:rPr>
      </w:pPr>
      <w:r>
        <w:rPr>
          <w:rFonts w:ascii="方正小标宋简体" w:hAnsi="方正小标宋简体" w:eastAsia="方正小标宋简体" w:cs="方正小标宋简体"/>
          <w:sz w:val="44"/>
          <w:szCs w:val="44"/>
        </w:rPr>
        <w:t>20</w:t>
      </w:r>
      <w:r>
        <w:rPr>
          <w:rFonts w:hint="eastAsia" w:ascii="方正小标宋简体" w:hAnsi="方正小标宋简体" w:eastAsia="方正小标宋简体" w:cs="方正小标宋简体"/>
          <w:sz w:val="44"/>
          <w:szCs w:val="44"/>
          <w:lang w:val="en-US" w:eastAsia="zh-CN"/>
        </w:rPr>
        <w:t>21</w:t>
      </w:r>
      <w:r>
        <w:rPr>
          <w:rFonts w:hint="eastAsia" w:ascii="方正小标宋简体" w:hAnsi="方正小标宋简体" w:eastAsia="方正小标宋简体" w:cs="方正小标宋简体"/>
          <w:sz w:val="44"/>
          <w:szCs w:val="44"/>
        </w:rPr>
        <w:t>年部门整体支出绩效评价报告</w:t>
      </w:r>
      <w:bookmarkEnd w:id="76"/>
    </w:p>
    <w:p>
      <w:pPr>
        <w:pStyle w:val="36"/>
        <w:keepNext w:val="0"/>
        <w:keepLines w:val="0"/>
        <w:pageBreakBefore w:val="0"/>
        <w:kinsoku/>
        <w:wordWrap/>
        <w:overflowPunct/>
        <w:topLinePunct w:val="0"/>
        <w:autoSpaceDE/>
        <w:autoSpaceDN/>
        <w:bidi w:val="0"/>
        <w:spacing w:line="560" w:lineRule="exact"/>
        <w:ind w:firstLine="640" w:firstLineChars="200"/>
        <w:rPr>
          <w:rFonts w:ascii="黑体" w:hAnsi="黑体" w:eastAsia="黑体"/>
          <w:sz w:val="32"/>
          <w:szCs w:val="32"/>
        </w:rPr>
      </w:pPr>
      <w:r>
        <w:rPr>
          <w:rFonts w:hint="eastAsia" w:ascii="黑体" w:hAnsi="黑体" w:eastAsia="黑体" w:cs="黑体"/>
          <w:sz w:val="32"/>
          <w:szCs w:val="32"/>
        </w:rPr>
        <w:t>一、部门概况</w:t>
      </w:r>
    </w:p>
    <w:p>
      <w:pPr>
        <w:pStyle w:val="36"/>
        <w:keepNext w:val="0"/>
        <w:keepLines w:val="0"/>
        <w:pageBreakBefore w:val="0"/>
        <w:kinsoku/>
        <w:wordWrap/>
        <w:overflowPunct/>
        <w:topLinePunct w:val="0"/>
        <w:autoSpaceDE/>
        <w:autoSpaceDN/>
        <w:bidi w:val="0"/>
        <w:spacing w:line="560" w:lineRule="exact"/>
        <w:ind w:firstLine="642" w:firstLineChars="200"/>
        <w:rPr>
          <w:rFonts w:hint="eastAsia" w:ascii="楷体" w:hAnsi="楷体" w:eastAsia="楷体" w:cs="楷体"/>
          <w:b/>
          <w:bCs/>
          <w:sz w:val="32"/>
          <w:szCs w:val="32"/>
        </w:rPr>
      </w:pPr>
      <w:r>
        <w:rPr>
          <w:rFonts w:hint="eastAsia" w:ascii="楷体" w:hAnsi="楷体" w:eastAsia="楷体" w:cs="楷体"/>
          <w:b/>
          <w:bCs/>
          <w:sz w:val="32"/>
          <w:szCs w:val="32"/>
        </w:rPr>
        <w:t>（一）机构组成</w:t>
      </w:r>
    </w:p>
    <w:p>
      <w:pPr>
        <w:pStyle w:val="36"/>
        <w:keepNext w:val="0"/>
        <w:keepLines w:val="0"/>
        <w:pageBreakBefore w:val="0"/>
        <w:kinsoku/>
        <w:wordWrap/>
        <w:overflowPunct/>
        <w:topLinePunct w:val="0"/>
        <w:autoSpaceDE/>
        <w:autoSpaceDN/>
        <w:bidi w:val="0"/>
        <w:spacing w:line="560"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本部门下属</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级预算单位</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0</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个，其中内设机构</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8</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个。（</w:t>
      </w:r>
      <w:r>
        <w:rPr>
          <w:rFonts w:hint="eastAsia" w:ascii="仿宋_GB2312" w:hAnsi="仿宋_GB2312" w:eastAsia="仿宋_GB2312" w:cs="仿宋_GB2312"/>
          <w:sz w:val="32"/>
          <w:szCs w:val="32"/>
          <w:lang w:val="en-US" w:eastAsia="zh-CN"/>
        </w:rPr>
        <w:t>综合股、秘书一股、秘书二股、政研和信息股、督查室、保密机要股、财务股、后勤股</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p>
    <w:p>
      <w:pPr>
        <w:pStyle w:val="36"/>
        <w:keepNext w:val="0"/>
        <w:keepLines w:val="0"/>
        <w:pageBreakBefore w:val="0"/>
        <w:kinsoku/>
        <w:wordWrap/>
        <w:overflowPunct/>
        <w:topLinePunct w:val="0"/>
        <w:autoSpaceDE/>
        <w:autoSpaceDN/>
        <w:bidi w:val="0"/>
        <w:spacing w:line="560" w:lineRule="exact"/>
        <w:ind w:firstLine="642" w:firstLineChars="200"/>
        <w:rPr>
          <w:rFonts w:hint="eastAsia" w:ascii="楷体" w:hAnsi="楷体" w:eastAsia="楷体" w:cs="楷体"/>
          <w:b/>
          <w:bCs/>
          <w:sz w:val="32"/>
          <w:szCs w:val="32"/>
        </w:rPr>
      </w:pPr>
      <w:r>
        <w:rPr>
          <w:rFonts w:hint="eastAsia" w:ascii="楷体" w:hAnsi="楷体" w:eastAsia="楷体" w:cs="楷体"/>
          <w:b/>
          <w:bCs/>
          <w:sz w:val="32"/>
          <w:szCs w:val="32"/>
        </w:rPr>
        <w:t>（二）机构职能</w:t>
      </w:r>
    </w:p>
    <w:p>
      <w:pPr>
        <w:pStyle w:val="36"/>
        <w:keepNext w:val="0"/>
        <w:keepLines w:val="0"/>
        <w:pageBreakBefore w:val="0"/>
        <w:kinsoku/>
        <w:wordWrap/>
        <w:overflowPunct/>
        <w:topLinePunct w:val="0"/>
        <w:autoSpaceDE/>
        <w:autoSpaceDN/>
        <w:bidi w:val="0"/>
        <w:spacing w:line="560"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负责县委日常文件的处理，负责中央和省、州、县委文件的收发、管理、传递工作；负责中央、省、州、县党委领导同志的批示的转达和催办落实等。</w:t>
      </w:r>
    </w:p>
    <w:p>
      <w:pPr>
        <w:pStyle w:val="36"/>
        <w:keepNext w:val="0"/>
        <w:keepLines w:val="0"/>
        <w:pageBreakBefore w:val="0"/>
        <w:kinsoku/>
        <w:wordWrap/>
        <w:overflowPunct/>
        <w:topLinePunct w:val="0"/>
        <w:autoSpaceDE/>
        <w:autoSpaceDN/>
        <w:bidi w:val="0"/>
        <w:spacing w:line="560" w:lineRule="exact"/>
        <w:ind w:firstLine="642" w:firstLineChars="200"/>
        <w:rPr>
          <w:rFonts w:hint="eastAsia" w:ascii="楷体" w:hAnsi="楷体" w:eastAsia="楷体" w:cs="楷体"/>
          <w:b/>
          <w:bCs/>
          <w:sz w:val="32"/>
          <w:szCs w:val="32"/>
        </w:rPr>
      </w:pPr>
      <w:r>
        <w:rPr>
          <w:rFonts w:hint="eastAsia" w:ascii="楷体" w:hAnsi="楷体" w:eastAsia="楷体" w:cs="楷体"/>
          <w:b/>
          <w:bCs/>
          <w:sz w:val="32"/>
          <w:szCs w:val="32"/>
        </w:rPr>
        <w:t>（三）人员概况</w:t>
      </w:r>
    </w:p>
    <w:p>
      <w:pPr>
        <w:pStyle w:val="36"/>
        <w:widowControl/>
        <w:spacing w:line="600" w:lineRule="exact"/>
        <w:ind w:left="210" w:leftChars="100" w:firstLine="640" w:firstLineChars="200"/>
        <w:jc w:val="left"/>
        <w:rPr>
          <w:rFonts w:hint="eastAsia" w:ascii="仿宋_GB2312" w:hAnsi="仿宋" w:eastAsia="仿宋_GB2312"/>
          <w:color w:val="auto"/>
          <w:sz w:val="32"/>
          <w:szCs w:val="32"/>
          <w:highlight w:val="none"/>
        </w:rPr>
      </w:pPr>
      <w:r>
        <w:rPr>
          <w:rFonts w:hint="eastAsia" w:ascii="仿宋_GB2312" w:hAnsi="仿宋" w:eastAsia="仿宋_GB2312"/>
          <w:color w:val="auto"/>
          <w:sz w:val="32"/>
          <w:szCs w:val="32"/>
          <w:highlight w:val="none"/>
        </w:rPr>
        <w:t>总编制</w:t>
      </w:r>
      <w:r>
        <w:rPr>
          <w:rFonts w:hint="eastAsia" w:ascii="仿宋_GB2312" w:hAnsi="仿宋" w:eastAsia="仿宋_GB2312"/>
          <w:color w:val="auto"/>
          <w:sz w:val="32"/>
          <w:szCs w:val="32"/>
          <w:highlight w:val="none"/>
          <w:lang w:val="en-US" w:eastAsia="zh-CN"/>
        </w:rPr>
        <w:t>56</w:t>
      </w:r>
      <w:r>
        <w:rPr>
          <w:rFonts w:hint="eastAsia" w:ascii="仿宋_GB2312" w:hAnsi="仿宋" w:eastAsia="仿宋_GB2312"/>
          <w:color w:val="auto"/>
          <w:sz w:val="32"/>
          <w:szCs w:val="32"/>
          <w:highlight w:val="none"/>
        </w:rPr>
        <w:t xml:space="preserve">名,其中:行政编制 </w:t>
      </w:r>
      <w:r>
        <w:rPr>
          <w:rFonts w:hint="eastAsia" w:ascii="仿宋_GB2312" w:hAnsi="仿宋" w:eastAsia="仿宋_GB2312"/>
          <w:color w:val="auto"/>
          <w:sz w:val="32"/>
          <w:szCs w:val="32"/>
          <w:highlight w:val="none"/>
          <w:lang w:val="en-US" w:eastAsia="zh-CN"/>
        </w:rPr>
        <w:t>22</w:t>
      </w:r>
      <w:r>
        <w:rPr>
          <w:rFonts w:hint="eastAsia" w:ascii="仿宋_GB2312" w:hAnsi="仿宋" w:eastAsia="仿宋_GB2312"/>
          <w:color w:val="auto"/>
          <w:sz w:val="32"/>
          <w:szCs w:val="32"/>
          <w:highlight w:val="none"/>
        </w:rPr>
        <w:t>名,参照公务员法管理的事业编制 4 名，行政工勤编制 1</w:t>
      </w:r>
      <w:r>
        <w:rPr>
          <w:rFonts w:hint="eastAsia" w:ascii="仿宋_GB2312" w:hAnsi="仿宋" w:eastAsia="仿宋_GB2312"/>
          <w:color w:val="auto"/>
          <w:sz w:val="32"/>
          <w:szCs w:val="32"/>
          <w:highlight w:val="none"/>
          <w:lang w:val="en-US" w:eastAsia="zh-CN"/>
        </w:rPr>
        <w:t>2</w:t>
      </w:r>
      <w:r>
        <w:rPr>
          <w:rFonts w:hint="eastAsia" w:ascii="仿宋_GB2312" w:hAnsi="仿宋" w:eastAsia="仿宋_GB2312"/>
          <w:color w:val="auto"/>
          <w:sz w:val="32"/>
          <w:szCs w:val="32"/>
          <w:highlight w:val="none"/>
        </w:rPr>
        <w:t xml:space="preserve"> 名，事业编制 </w:t>
      </w:r>
      <w:r>
        <w:rPr>
          <w:rFonts w:hint="eastAsia" w:ascii="仿宋_GB2312" w:hAnsi="仿宋" w:eastAsia="仿宋_GB2312"/>
          <w:color w:val="auto"/>
          <w:sz w:val="32"/>
          <w:szCs w:val="32"/>
          <w:highlight w:val="none"/>
          <w:lang w:val="en-US" w:eastAsia="zh-CN"/>
        </w:rPr>
        <w:t>9</w:t>
      </w:r>
      <w:r>
        <w:rPr>
          <w:rFonts w:hint="eastAsia" w:ascii="仿宋_GB2312" w:hAnsi="仿宋" w:eastAsia="仿宋_GB2312"/>
          <w:color w:val="auto"/>
          <w:sz w:val="32"/>
          <w:szCs w:val="32"/>
          <w:highlight w:val="none"/>
        </w:rPr>
        <w:t>名。在职人员总数</w:t>
      </w:r>
      <w:r>
        <w:rPr>
          <w:rFonts w:hint="eastAsia" w:ascii="仿宋_GB2312" w:hAnsi="仿宋" w:eastAsia="仿宋_GB2312"/>
          <w:color w:val="auto"/>
          <w:sz w:val="32"/>
          <w:szCs w:val="32"/>
          <w:highlight w:val="none"/>
          <w:lang w:val="en-US" w:eastAsia="zh-CN"/>
        </w:rPr>
        <w:t>50</w:t>
      </w:r>
      <w:r>
        <w:rPr>
          <w:rFonts w:hint="eastAsia" w:ascii="仿宋_GB2312" w:hAnsi="仿宋" w:eastAsia="仿宋_GB2312"/>
          <w:color w:val="auto"/>
          <w:sz w:val="32"/>
          <w:szCs w:val="32"/>
          <w:highlight w:val="none"/>
        </w:rPr>
        <w:t>名，其中：行政人员</w:t>
      </w:r>
      <w:r>
        <w:rPr>
          <w:rFonts w:hint="eastAsia" w:ascii="仿宋_GB2312" w:hAnsi="仿宋" w:eastAsia="仿宋_GB2312"/>
          <w:color w:val="auto"/>
          <w:sz w:val="32"/>
          <w:szCs w:val="32"/>
          <w:highlight w:val="none"/>
          <w:lang w:val="en-US" w:eastAsia="zh-CN"/>
        </w:rPr>
        <w:t>21</w:t>
      </w:r>
      <w:r>
        <w:rPr>
          <w:rFonts w:hint="eastAsia" w:ascii="仿宋_GB2312" w:hAnsi="仿宋" w:eastAsia="仿宋_GB2312"/>
          <w:color w:val="auto"/>
          <w:sz w:val="32"/>
          <w:szCs w:val="32"/>
          <w:highlight w:val="none"/>
        </w:rPr>
        <w:t xml:space="preserve">名，参照公务员法管理的事业人员 </w:t>
      </w:r>
      <w:r>
        <w:rPr>
          <w:rFonts w:hint="eastAsia" w:ascii="仿宋_GB2312" w:hAnsi="仿宋" w:eastAsia="仿宋_GB2312"/>
          <w:color w:val="auto"/>
          <w:sz w:val="32"/>
          <w:szCs w:val="32"/>
          <w:highlight w:val="none"/>
          <w:lang w:val="en-US" w:eastAsia="zh-CN"/>
        </w:rPr>
        <w:t>9</w:t>
      </w:r>
      <w:r>
        <w:rPr>
          <w:rFonts w:hint="eastAsia" w:ascii="仿宋_GB2312" w:hAnsi="仿宋" w:eastAsia="仿宋_GB2312"/>
          <w:color w:val="auto"/>
          <w:sz w:val="32"/>
          <w:szCs w:val="32"/>
          <w:highlight w:val="none"/>
        </w:rPr>
        <w:t xml:space="preserve">名，行政工勤人员 11 名；事业人员 </w:t>
      </w:r>
      <w:r>
        <w:rPr>
          <w:rFonts w:hint="eastAsia" w:ascii="仿宋_GB2312" w:hAnsi="仿宋" w:eastAsia="仿宋_GB2312"/>
          <w:color w:val="auto"/>
          <w:sz w:val="32"/>
          <w:szCs w:val="32"/>
          <w:highlight w:val="none"/>
          <w:lang w:val="en-US" w:eastAsia="zh-CN"/>
        </w:rPr>
        <w:t>9</w:t>
      </w:r>
      <w:r>
        <w:rPr>
          <w:rFonts w:hint="eastAsia" w:ascii="仿宋_GB2312" w:hAnsi="仿宋" w:eastAsia="仿宋_GB2312"/>
          <w:color w:val="auto"/>
          <w:sz w:val="32"/>
          <w:szCs w:val="32"/>
          <w:highlight w:val="none"/>
        </w:rPr>
        <w:t>名。退休人员 1</w:t>
      </w:r>
      <w:r>
        <w:rPr>
          <w:rFonts w:hint="eastAsia" w:ascii="仿宋_GB2312" w:hAnsi="仿宋" w:eastAsia="仿宋_GB2312"/>
          <w:color w:val="auto"/>
          <w:sz w:val="32"/>
          <w:szCs w:val="32"/>
          <w:highlight w:val="none"/>
          <w:lang w:val="en-US" w:eastAsia="zh-CN"/>
        </w:rPr>
        <w:t>7</w:t>
      </w:r>
      <w:r>
        <w:rPr>
          <w:rFonts w:hint="eastAsia" w:ascii="仿宋_GB2312" w:hAnsi="仿宋" w:eastAsia="仿宋_GB2312"/>
          <w:color w:val="auto"/>
          <w:sz w:val="32"/>
          <w:szCs w:val="32"/>
          <w:highlight w:val="none"/>
        </w:rPr>
        <w:t>人。</w:t>
      </w:r>
    </w:p>
    <w:p>
      <w:pPr>
        <w:pStyle w:val="36"/>
        <w:keepNext w:val="0"/>
        <w:keepLines w:val="0"/>
        <w:pageBreakBefore w:val="0"/>
        <w:kinsoku/>
        <w:wordWrap/>
        <w:overflowPunct/>
        <w:topLinePunct w:val="0"/>
        <w:autoSpaceDE/>
        <w:autoSpaceDN/>
        <w:bidi w:val="0"/>
        <w:spacing w:line="560" w:lineRule="exact"/>
        <w:ind w:firstLine="640" w:firstLineChars="200"/>
        <w:rPr>
          <w:rFonts w:ascii="黑体" w:hAnsi="黑体" w:eastAsia="黑体"/>
          <w:sz w:val="32"/>
          <w:szCs w:val="32"/>
        </w:rPr>
      </w:pPr>
      <w:r>
        <w:rPr>
          <w:rFonts w:hint="eastAsia" w:ascii="黑体" w:hAnsi="黑体" w:eastAsia="黑体" w:cs="黑体"/>
          <w:sz w:val="32"/>
          <w:szCs w:val="32"/>
        </w:rPr>
        <w:t>二、部门财政资金收支情况</w:t>
      </w:r>
    </w:p>
    <w:p>
      <w:pPr>
        <w:pStyle w:val="36"/>
        <w:keepNext w:val="0"/>
        <w:keepLines w:val="0"/>
        <w:pageBreakBefore w:val="0"/>
        <w:kinsoku/>
        <w:wordWrap/>
        <w:overflowPunct/>
        <w:topLinePunct w:val="0"/>
        <w:autoSpaceDE/>
        <w:autoSpaceDN/>
        <w:bidi w:val="0"/>
        <w:spacing w:line="560" w:lineRule="exact"/>
        <w:ind w:firstLine="642" w:firstLineChars="200"/>
        <w:rPr>
          <w:rFonts w:hint="eastAsia" w:ascii="楷体" w:hAnsi="楷体" w:eastAsia="楷体" w:cs="楷体"/>
          <w:b/>
          <w:bCs/>
          <w:sz w:val="32"/>
          <w:szCs w:val="32"/>
        </w:rPr>
      </w:pPr>
      <w:r>
        <w:rPr>
          <w:rFonts w:hint="eastAsia" w:ascii="楷体" w:hAnsi="楷体" w:eastAsia="楷体" w:cs="楷体"/>
          <w:b/>
          <w:bCs/>
          <w:sz w:val="32"/>
          <w:szCs w:val="32"/>
        </w:rPr>
        <w:t>（一）部门财政资金收入情况</w:t>
      </w:r>
    </w:p>
    <w:p>
      <w:pPr>
        <w:pStyle w:val="36"/>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lang w:val="en-US" w:eastAsia="zh-CN"/>
        </w:rPr>
      </w:pP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年本部门财政拨款收入决算总额为</w:t>
      </w:r>
      <w:r>
        <w:rPr>
          <w:rFonts w:hint="eastAsia" w:ascii="仿宋_GB2312" w:hAnsi="宋体" w:eastAsia="仿宋_GB2312" w:cs="宋体"/>
          <w:color w:val="000000"/>
          <w:kern w:val="0"/>
          <w:sz w:val="32"/>
          <w:szCs w:val="32"/>
          <w:lang w:val="en-US" w:eastAsia="zh-CN"/>
        </w:rPr>
        <w:t>1401.53</w:t>
      </w:r>
      <w:r>
        <w:rPr>
          <w:rFonts w:hint="eastAsia" w:ascii="仿宋_GB2312" w:hAnsi="仿宋_GB2312" w:eastAsia="仿宋_GB2312" w:cs="仿宋_GB2312"/>
          <w:sz w:val="32"/>
          <w:szCs w:val="32"/>
        </w:rPr>
        <w:t>万元，其中：当年财政拨款收入</w:t>
      </w:r>
      <w:r>
        <w:rPr>
          <w:rFonts w:hint="eastAsia" w:ascii="仿宋_GB2312" w:hAnsi="宋体" w:eastAsia="仿宋_GB2312" w:cs="宋体"/>
          <w:color w:val="000000"/>
          <w:kern w:val="0"/>
          <w:sz w:val="32"/>
          <w:szCs w:val="32"/>
          <w:lang w:val="en-US" w:eastAsia="zh-CN"/>
        </w:rPr>
        <w:t>1401.53</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均为一般公共预算财政拨款。</w:t>
      </w:r>
    </w:p>
    <w:p>
      <w:pPr>
        <w:pStyle w:val="36"/>
        <w:keepNext w:val="0"/>
        <w:keepLines w:val="0"/>
        <w:pageBreakBefore w:val="0"/>
        <w:kinsoku/>
        <w:wordWrap/>
        <w:overflowPunct/>
        <w:topLinePunct w:val="0"/>
        <w:autoSpaceDE/>
        <w:autoSpaceDN/>
        <w:bidi w:val="0"/>
        <w:spacing w:line="560" w:lineRule="exact"/>
        <w:ind w:firstLine="642" w:firstLineChars="200"/>
        <w:rPr>
          <w:rFonts w:hint="eastAsia" w:ascii="楷体" w:hAnsi="楷体" w:eastAsia="楷体" w:cs="楷体"/>
          <w:b/>
          <w:bCs/>
          <w:sz w:val="32"/>
          <w:szCs w:val="32"/>
        </w:rPr>
      </w:pPr>
      <w:r>
        <w:rPr>
          <w:rFonts w:hint="eastAsia" w:ascii="楷体" w:hAnsi="楷体" w:eastAsia="楷体" w:cs="楷体"/>
          <w:b/>
          <w:bCs/>
          <w:sz w:val="32"/>
          <w:szCs w:val="32"/>
        </w:rPr>
        <w:t>（二）部门财政资金支出情况</w:t>
      </w:r>
    </w:p>
    <w:p>
      <w:pPr>
        <w:pStyle w:val="36"/>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 w:eastAsia="仿宋_GB2312" w:cs="仿宋_GB2312"/>
          <w:color w:val="auto"/>
          <w:sz w:val="32"/>
          <w:szCs w:val="32"/>
        </w:rPr>
        <w:t>20</w:t>
      </w:r>
      <w:r>
        <w:rPr>
          <w:rFonts w:hint="eastAsia" w:ascii="仿宋_GB2312" w:hAnsi="仿宋" w:eastAsia="仿宋_GB2312" w:cs="仿宋_GB2312"/>
          <w:color w:val="auto"/>
          <w:sz w:val="32"/>
          <w:szCs w:val="32"/>
          <w:lang w:val="en-US" w:eastAsia="zh-CN"/>
        </w:rPr>
        <w:t>21</w:t>
      </w:r>
      <w:r>
        <w:rPr>
          <w:rFonts w:hint="eastAsia" w:ascii="仿宋_GB2312" w:hAnsi="仿宋" w:eastAsia="仿宋_GB2312" w:cs="仿宋_GB2312"/>
          <w:color w:val="auto"/>
          <w:sz w:val="32"/>
          <w:szCs w:val="32"/>
        </w:rPr>
        <w:t>年部门决算总支出</w:t>
      </w:r>
      <w:r>
        <w:rPr>
          <w:rFonts w:hint="eastAsia" w:ascii="仿宋_GB2312" w:hAnsi="宋体" w:eastAsia="仿宋_GB2312" w:cs="宋体"/>
          <w:color w:val="auto"/>
          <w:kern w:val="0"/>
          <w:sz w:val="32"/>
          <w:szCs w:val="32"/>
          <w:lang w:val="en-US" w:eastAsia="zh-CN"/>
        </w:rPr>
        <w:t>1401.53</w:t>
      </w:r>
      <w:r>
        <w:rPr>
          <w:rFonts w:hint="eastAsia" w:ascii="仿宋_GB2312" w:hAnsi="仿宋_GB2312" w:eastAsia="仿宋_GB2312" w:cs="仿宋_GB2312"/>
          <w:color w:val="auto"/>
          <w:sz w:val="32"/>
          <w:szCs w:val="32"/>
        </w:rPr>
        <w:t>万元</w:t>
      </w:r>
      <w:r>
        <w:rPr>
          <w:rFonts w:hint="eastAsia" w:ascii="仿宋_GB2312" w:hAnsi="仿宋" w:eastAsia="仿宋_GB2312" w:cs="仿宋_GB2312"/>
          <w:color w:val="auto"/>
          <w:sz w:val="32"/>
          <w:szCs w:val="32"/>
        </w:rPr>
        <w:t>，其中：一般公共服务支出</w:t>
      </w:r>
      <w:r>
        <w:rPr>
          <w:rFonts w:hint="eastAsia" w:ascii="仿宋_GB2312" w:hAnsi="仿宋" w:eastAsia="仿宋_GB2312" w:cs="仿宋_GB2312"/>
          <w:color w:val="auto"/>
          <w:sz w:val="32"/>
          <w:szCs w:val="32"/>
          <w:lang w:val="en-US" w:eastAsia="zh-CN"/>
        </w:rPr>
        <w:t>1202.69万元，</w:t>
      </w:r>
      <w:r>
        <w:rPr>
          <w:rFonts w:hint="eastAsia" w:ascii="仿宋_GB2312" w:hAnsi="仿宋" w:eastAsia="仿宋_GB2312" w:cs="仿宋_GB2312"/>
          <w:color w:val="auto"/>
          <w:sz w:val="32"/>
          <w:szCs w:val="32"/>
        </w:rPr>
        <w:t>社会保障就业支出</w:t>
      </w:r>
      <w:r>
        <w:rPr>
          <w:rFonts w:hint="eastAsia" w:ascii="仿宋_GB2312" w:hAnsi="仿宋" w:eastAsia="仿宋_GB2312" w:cs="仿宋_GB2312"/>
          <w:color w:val="auto"/>
          <w:sz w:val="32"/>
          <w:szCs w:val="32"/>
          <w:lang w:val="en-US" w:eastAsia="zh-CN"/>
        </w:rPr>
        <w:t>90.48万</w:t>
      </w:r>
      <w:r>
        <w:rPr>
          <w:rFonts w:hint="eastAsia" w:ascii="仿宋_GB2312" w:hAnsi="仿宋" w:eastAsia="仿宋_GB2312" w:cs="仿宋_GB2312"/>
          <w:color w:val="auto"/>
          <w:sz w:val="32"/>
          <w:szCs w:val="32"/>
        </w:rPr>
        <w:t>元，卫生</w:t>
      </w:r>
      <w:r>
        <w:rPr>
          <w:rFonts w:hint="eastAsia" w:ascii="仿宋_GB2312" w:hAnsi="仿宋" w:eastAsia="仿宋_GB2312" w:cs="仿宋_GB2312"/>
          <w:color w:val="auto"/>
          <w:sz w:val="32"/>
          <w:szCs w:val="32"/>
          <w:lang w:val="en-US" w:eastAsia="zh-CN"/>
        </w:rPr>
        <w:t>健康支出42.81万</w:t>
      </w:r>
      <w:r>
        <w:rPr>
          <w:rFonts w:hint="eastAsia" w:ascii="仿宋_GB2312" w:hAnsi="仿宋" w:eastAsia="仿宋_GB2312" w:cs="仿宋_GB2312"/>
          <w:color w:val="auto"/>
          <w:sz w:val="32"/>
          <w:szCs w:val="32"/>
        </w:rPr>
        <w:t>元，住房保障支出</w:t>
      </w:r>
      <w:r>
        <w:rPr>
          <w:rFonts w:hint="eastAsia" w:ascii="仿宋_GB2312" w:hAnsi="仿宋" w:eastAsia="仿宋_GB2312" w:cs="仿宋_GB2312"/>
          <w:color w:val="auto"/>
          <w:sz w:val="32"/>
          <w:szCs w:val="32"/>
          <w:lang w:val="en-US" w:eastAsia="zh-CN"/>
        </w:rPr>
        <w:t>64.7万</w:t>
      </w:r>
      <w:r>
        <w:rPr>
          <w:rFonts w:hint="eastAsia" w:ascii="仿宋_GB2312" w:hAnsi="仿宋" w:eastAsia="仿宋_GB2312" w:cs="仿宋_GB2312"/>
          <w:color w:val="auto"/>
          <w:sz w:val="32"/>
          <w:szCs w:val="32"/>
        </w:rPr>
        <w:t>元</w:t>
      </w:r>
      <w:r>
        <w:rPr>
          <w:rFonts w:hint="eastAsia" w:ascii="仿宋_GB2312" w:hAnsi="仿宋" w:eastAsia="仿宋_GB2312" w:cs="仿宋_GB2312"/>
          <w:color w:val="auto"/>
          <w:sz w:val="32"/>
          <w:szCs w:val="32"/>
          <w:lang w:eastAsia="zh-CN"/>
        </w:rPr>
        <w:t>，农林水支出</w:t>
      </w:r>
      <w:r>
        <w:rPr>
          <w:rFonts w:hint="eastAsia" w:ascii="仿宋_GB2312" w:hAnsi="仿宋" w:eastAsia="仿宋_GB2312" w:cs="仿宋_GB2312"/>
          <w:color w:val="auto"/>
          <w:sz w:val="32"/>
          <w:szCs w:val="32"/>
          <w:lang w:val="en-US" w:eastAsia="zh-CN"/>
        </w:rPr>
        <w:t>0.84万元</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按支出性质分类</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基</w:t>
      </w:r>
      <w:r>
        <w:rPr>
          <w:rFonts w:hint="eastAsia" w:ascii="仿宋_GB2312" w:hAnsi="仿宋_GB2312" w:eastAsia="仿宋_GB2312" w:cs="仿宋_GB2312"/>
          <w:sz w:val="32"/>
          <w:szCs w:val="32"/>
        </w:rPr>
        <w:t>本支出</w:t>
      </w:r>
      <w:r>
        <w:rPr>
          <w:rFonts w:hint="eastAsia" w:ascii="仿宋_GB2312" w:hAnsi="仿宋_GB2312" w:eastAsia="仿宋_GB2312" w:cs="仿宋_GB2312"/>
          <w:sz w:val="32"/>
          <w:szCs w:val="32"/>
          <w:lang w:val="en-US" w:eastAsia="zh-CN"/>
        </w:rPr>
        <w:t>1071.11</w:t>
      </w:r>
      <w:r>
        <w:rPr>
          <w:rFonts w:hint="eastAsia" w:ascii="仿宋_GB2312" w:hAnsi="仿宋_GB2312" w:eastAsia="仿宋_GB2312" w:cs="仿宋_GB2312"/>
          <w:sz w:val="32"/>
          <w:szCs w:val="32"/>
        </w:rPr>
        <w:t>万元，项目支出</w:t>
      </w:r>
      <w:r>
        <w:rPr>
          <w:rFonts w:hint="eastAsia" w:ascii="仿宋_GB2312" w:hAnsi="仿宋_GB2312" w:eastAsia="仿宋_GB2312" w:cs="仿宋_GB2312"/>
          <w:sz w:val="32"/>
          <w:szCs w:val="32"/>
          <w:lang w:val="en-US" w:eastAsia="zh-CN"/>
        </w:rPr>
        <w:t>384.41</w:t>
      </w:r>
      <w:r>
        <w:rPr>
          <w:rFonts w:hint="eastAsia" w:ascii="仿宋_GB2312" w:hAnsi="仿宋_GB2312" w:eastAsia="仿宋_GB2312" w:cs="仿宋_GB2312"/>
          <w:sz w:val="32"/>
          <w:szCs w:val="32"/>
        </w:rPr>
        <w:t>万元；按经济分类，工资福利支出</w:t>
      </w:r>
      <w:r>
        <w:rPr>
          <w:rFonts w:hint="eastAsia" w:ascii="仿宋_GB2312" w:hAnsi="仿宋_GB2312" w:eastAsia="仿宋_GB2312" w:cs="仿宋_GB2312"/>
          <w:sz w:val="32"/>
          <w:szCs w:val="32"/>
          <w:lang w:val="en-US" w:eastAsia="zh-CN"/>
        </w:rPr>
        <w:t>843.08</w:t>
      </w:r>
      <w:r>
        <w:rPr>
          <w:rFonts w:hint="eastAsia" w:ascii="仿宋_GB2312" w:hAnsi="仿宋_GB2312" w:eastAsia="仿宋_GB2312" w:cs="仿宋_GB2312"/>
          <w:sz w:val="32"/>
          <w:szCs w:val="32"/>
        </w:rPr>
        <w:t>万元，商品服务支出</w:t>
      </w:r>
      <w:r>
        <w:rPr>
          <w:rFonts w:hint="eastAsia" w:ascii="仿宋_GB2312" w:hAnsi="仿宋_GB2312" w:eastAsia="仿宋_GB2312" w:cs="仿宋_GB2312"/>
          <w:sz w:val="32"/>
          <w:szCs w:val="32"/>
          <w:lang w:val="en-US" w:eastAsia="zh-CN"/>
        </w:rPr>
        <w:t>251.33</w:t>
      </w:r>
      <w:r>
        <w:rPr>
          <w:rFonts w:hint="eastAsia" w:ascii="仿宋_GB2312" w:hAnsi="仿宋_GB2312" w:eastAsia="仿宋_GB2312" w:cs="仿宋_GB2312"/>
          <w:sz w:val="32"/>
          <w:szCs w:val="32"/>
        </w:rPr>
        <w:t>万元，个人及家庭补助支出</w:t>
      </w:r>
      <w:r>
        <w:rPr>
          <w:rFonts w:hint="eastAsia" w:ascii="仿宋_GB2312" w:hAnsi="仿宋_GB2312" w:eastAsia="仿宋_GB2312" w:cs="仿宋_GB2312"/>
          <w:sz w:val="32"/>
          <w:szCs w:val="32"/>
          <w:lang w:val="en-US" w:eastAsia="zh-CN"/>
        </w:rPr>
        <w:t>92.51</w:t>
      </w:r>
      <w:r>
        <w:rPr>
          <w:rFonts w:hint="eastAsia" w:ascii="仿宋_GB2312" w:hAnsi="仿宋_GB2312" w:eastAsia="仿宋_GB2312" w:cs="仿宋_GB2312"/>
          <w:sz w:val="32"/>
          <w:szCs w:val="32"/>
        </w:rPr>
        <w:t>万元，资本性支出</w:t>
      </w:r>
      <w:r>
        <w:rPr>
          <w:rFonts w:hint="eastAsia" w:ascii="仿宋_GB2312" w:hAnsi="仿宋_GB2312" w:eastAsia="仿宋_GB2312" w:cs="仿宋_GB2312"/>
          <w:sz w:val="32"/>
          <w:szCs w:val="32"/>
          <w:lang w:val="en-US" w:eastAsia="zh-CN"/>
        </w:rPr>
        <w:t>214.58</w:t>
      </w:r>
      <w:r>
        <w:rPr>
          <w:rFonts w:hint="eastAsia" w:ascii="仿宋_GB2312" w:hAnsi="仿宋_GB2312" w:eastAsia="仿宋_GB2312" w:cs="仿宋_GB2312"/>
          <w:sz w:val="32"/>
          <w:szCs w:val="32"/>
        </w:rPr>
        <w:t>万元。</w:t>
      </w:r>
    </w:p>
    <w:p>
      <w:pPr>
        <w:pStyle w:val="36"/>
        <w:keepNext w:val="0"/>
        <w:keepLines w:val="0"/>
        <w:pageBreakBefore w:val="0"/>
        <w:kinsoku/>
        <w:wordWrap/>
        <w:overflowPunct/>
        <w:topLinePunct w:val="0"/>
        <w:autoSpaceDE/>
        <w:autoSpaceDN/>
        <w:bidi w:val="0"/>
        <w:spacing w:line="560" w:lineRule="exact"/>
        <w:ind w:firstLine="640" w:firstLineChars="200"/>
        <w:rPr>
          <w:rFonts w:ascii="黑体" w:hAnsi="黑体" w:eastAsia="黑体"/>
          <w:sz w:val="32"/>
          <w:szCs w:val="32"/>
        </w:rPr>
      </w:pPr>
      <w:r>
        <w:rPr>
          <w:rFonts w:hint="eastAsia" w:ascii="黑体" w:hAnsi="黑体" w:eastAsia="黑体" w:cs="黑体"/>
          <w:sz w:val="32"/>
          <w:szCs w:val="32"/>
        </w:rPr>
        <w:t>三、部门整体预算绩效管理情况</w:t>
      </w:r>
    </w:p>
    <w:p>
      <w:pPr>
        <w:pStyle w:val="36"/>
        <w:keepNext w:val="0"/>
        <w:keepLines w:val="0"/>
        <w:pageBreakBefore w:val="0"/>
        <w:kinsoku/>
        <w:wordWrap/>
        <w:overflowPunct/>
        <w:topLinePunct w:val="0"/>
        <w:autoSpaceDE/>
        <w:autoSpaceDN/>
        <w:bidi w:val="0"/>
        <w:spacing w:line="560" w:lineRule="exact"/>
        <w:ind w:firstLine="642" w:firstLineChars="200"/>
        <w:rPr>
          <w:rFonts w:hint="eastAsia" w:ascii="楷体" w:hAnsi="楷体" w:eastAsia="楷体" w:cs="楷体"/>
          <w:b/>
          <w:bCs/>
          <w:sz w:val="32"/>
          <w:szCs w:val="32"/>
        </w:rPr>
      </w:pPr>
      <w:r>
        <w:rPr>
          <w:rFonts w:hint="eastAsia" w:ascii="楷体" w:hAnsi="楷体" w:eastAsia="楷体" w:cs="楷体"/>
          <w:b/>
          <w:bCs/>
          <w:sz w:val="32"/>
          <w:szCs w:val="32"/>
        </w:rPr>
        <w:t>（一）部门预算管理</w:t>
      </w:r>
    </w:p>
    <w:p>
      <w:pPr>
        <w:pStyle w:val="36"/>
        <w:keepNext w:val="0"/>
        <w:keepLines w:val="0"/>
        <w:pageBreakBefore w:val="0"/>
        <w:kinsoku/>
        <w:wordWrap/>
        <w:overflowPunct/>
        <w:topLinePunct w:val="0"/>
        <w:autoSpaceDE/>
        <w:autoSpaceDN/>
        <w:bidi w:val="0"/>
        <w:spacing w:line="560"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我办严格按照有关要求，按时完成</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决算</w:t>
      </w:r>
      <w:r>
        <w:rPr>
          <w:rFonts w:hint="eastAsia" w:ascii="仿宋_GB2312" w:hAnsi="仿宋_GB2312" w:eastAsia="仿宋_GB2312" w:cs="仿宋_GB2312"/>
          <w:sz w:val="32"/>
          <w:szCs w:val="32"/>
        </w:rPr>
        <w:t>编制工作，。按规定编制政府采购预算，预算编制全面、科学。</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年部门决算、绩效目标填报及年末结余结转都是严格按照要求认真完成。</w:t>
      </w:r>
    </w:p>
    <w:p>
      <w:pPr>
        <w:pStyle w:val="36"/>
        <w:keepNext w:val="0"/>
        <w:keepLines w:val="0"/>
        <w:pageBreakBefore w:val="0"/>
        <w:kinsoku/>
        <w:wordWrap/>
        <w:overflowPunct/>
        <w:topLinePunct w:val="0"/>
        <w:autoSpaceDE/>
        <w:autoSpaceDN/>
        <w:bidi w:val="0"/>
        <w:spacing w:line="560" w:lineRule="exact"/>
        <w:ind w:firstLine="640" w:firstLineChars="200"/>
        <w:rPr>
          <w:rFonts w:hint="eastAsia" w:ascii="楷体" w:hAnsi="楷体" w:eastAsia="楷体" w:cs="楷体"/>
          <w:b/>
          <w:bCs/>
          <w:sz w:val="32"/>
          <w:szCs w:val="32"/>
        </w:rPr>
      </w:pPr>
      <w:r>
        <w:rPr>
          <w:rFonts w:hint="eastAsia" w:ascii="仿宋_GB2312" w:hAnsi="仿宋_GB2312" w:eastAsia="仿宋_GB2312" w:cs="仿宋_GB2312"/>
          <w:sz w:val="32"/>
          <w:szCs w:val="32"/>
        </w:rPr>
        <w:t>“三公”经费支出</w:t>
      </w:r>
      <w:r>
        <w:rPr>
          <w:rFonts w:hint="eastAsia" w:ascii="仿宋_GB2312" w:hAnsi="仿宋_GB2312" w:eastAsia="仿宋_GB2312" w:cs="仿宋_GB2312"/>
          <w:sz w:val="32"/>
          <w:szCs w:val="32"/>
          <w:lang w:val="en-US" w:eastAsia="zh-CN"/>
        </w:rPr>
        <w:t>96.61</w:t>
      </w:r>
      <w:r>
        <w:rPr>
          <w:rFonts w:hint="eastAsia" w:ascii="仿宋_GB2312" w:hAnsi="仿宋_GB2312" w:eastAsia="仿宋_GB2312" w:cs="仿宋_GB2312"/>
          <w:sz w:val="32"/>
          <w:szCs w:val="32"/>
        </w:rPr>
        <w:t>万元，其中：公务用车购置和维护经费</w:t>
      </w:r>
      <w:r>
        <w:rPr>
          <w:rFonts w:hint="eastAsia" w:ascii="仿宋_GB2312" w:hAnsi="仿宋_GB2312" w:eastAsia="仿宋_GB2312" w:cs="仿宋_GB2312"/>
          <w:sz w:val="32"/>
          <w:szCs w:val="32"/>
          <w:lang w:val="en-US" w:eastAsia="zh-CN"/>
        </w:rPr>
        <w:t>93.7</w:t>
      </w:r>
      <w:r>
        <w:rPr>
          <w:rFonts w:hint="eastAsia" w:ascii="仿宋_GB2312" w:hAnsi="仿宋_GB2312" w:eastAsia="仿宋_GB2312" w:cs="仿宋_GB2312"/>
          <w:sz w:val="32"/>
          <w:szCs w:val="32"/>
        </w:rPr>
        <w:t>万元；公务接待费</w:t>
      </w:r>
      <w:r>
        <w:rPr>
          <w:rFonts w:hint="eastAsia" w:ascii="仿宋_GB2312" w:hAnsi="仿宋_GB2312" w:eastAsia="仿宋_GB2312" w:cs="仿宋_GB2312"/>
          <w:sz w:val="32"/>
          <w:szCs w:val="32"/>
          <w:lang w:val="en-US" w:eastAsia="zh-CN"/>
        </w:rPr>
        <w:t>2.91</w:t>
      </w:r>
      <w:r>
        <w:rPr>
          <w:rFonts w:hint="eastAsia" w:ascii="仿宋_GB2312" w:hAnsi="仿宋_GB2312" w:eastAsia="仿宋_GB2312" w:cs="仿宋_GB2312"/>
          <w:sz w:val="32"/>
          <w:szCs w:val="32"/>
        </w:rPr>
        <w:t>万元；预算数</w:t>
      </w:r>
      <w:r>
        <w:rPr>
          <w:rFonts w:hint="eastAsia" w:ascii="仿宋_GB2312" w:hAnsi="仿宋_GB2312" w:eastAsia="仿宋_GB2312" w:cs="仿宋_GB2312"/>
          <w:sz w:val="32"/>
          <w:szCs w:val="32"/>
          <w:lang w:val="en-US" w:eastAsia="zh-CN"/>
        </w:rPr>
        <w:t>54</w:t>
      </w:r>
      <w:r>
        <w:rPr>
          <w:rFonts w:hint="eastAsia" w:ascii="仿宋_GB2312" w:hAnsi="仿宋_GB2312" w:eastAsia="仿宋_GB2312" w:cs="仿宋_GB2312"/>
          <w:sz w:val="32"/>
          <w:szCs w:val="32"/>
        </w:rPr>
        <w:t>万元，比预算</w:t>
      </w:r>
      <w:r>
        <w:rPr>
          <w:rFonts w:hint="eastAsia" w:ascii="仿宋_GB2312" w:hAnsi="仿宋_GB2312" w:eastAsia="仿宋_GB2312" w:cs="仿宋_GB2312"/>
          <w:sz w:val="32"/>
          <w:szCs w:val="32"/>
          <w:lang w:val="en-US" w:eastAsia="zh-CN"/>
        </w:rPr>
        <w:t>增加42.61</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增加</w:t>
      </w:r>
      <w:r>
        <w:rPr>
          <w:rFonts w:hint="eastAsia" w:ascii="仿宋_GB2312" w:hAnsi="仿宋_GB2312" w:eastAsia="仿宋_GB2312" w:cs="仿宋_GB2312"/>
          <w:sz w:val="32"/>
          <w:szCs w:val="32"/>
        </w:rPr>
        <w:t>比例为</w:t>
      </w:r>
      <w:r>
        <w:rPr>
          <w:rFonts w:hint="eastAsia" w:ascii="仿宋_GB2312" w:hAnsi="仿宋_GB2312" w:eastAsia="仿宋_GB2312" w:cs="仿宋_GB2312"/>
          <w:sz w:val="32"/>
          <w:szCs w:val="32"/>
          <w:lang w:val="en-US" w:eastAsia="zh-CN"/>
        </w:rPr>
        <w:t>78.9</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其原因是下乡及出差工作量增加，公务用车的使用频率增加，车辆使用年限较长，维修成本增大。</w:t>
      </w:r>
    </w:p>
    <w:p>
      <w:pPr>
        <w:pStyle w:val="36"/>
        <w:keepNext w:val="0"/>
        <w:keepLines w:val="0"/>
        <w:pageBreakBefore w:val="0"/>
        <w:kinsoku/>
        <w:wordWrap/>
        <w:overflowPunct/>
        <w:topLinePunct w:val="0"/>
        <w:autoSpaceDE/>
        <w:autoSpaceDN/>
        <w:bidi w:val="0"/>
        <w:spacing w:line="560" w:lineRule="exact"/>
        <w:ind w:firstLine="642" w:firstLineChars="200"/>
        <w:rPr>
          <w:rFonts w:hint="eastAsia" w:ascii="楷体" w:hAnsi="楷体" w:eastAsia="楷体" w:cs="楷体"/>
          <w:b/>
          <w:bCs/>
          <w:sz w:val="32"/>
          <w:szCs w:val="32"/>
        </w:rPr>
      </w:pPr>
      <w:r>
        <w:rPr>
          <w:rFonts w:hint="eastAsia" w:ascii="楷体" w:hAnsi="楷体" w:eastAsia="楷体" w:cs="楷体"/>
          <w:b/>
          <w:bCs/>
          <w:sz w:val="32"/>
          <w:szCs w:val="32"/>
        </w:rPr>
        <w:t>（</w:t>
      </w:r>
      <w:r>
        <w:rPr>
          <w:rFonts w:hint="eastAsia" w:ascii="楷体" w:hAnsi="楷体" w:eastAsia="楷体" w:cs="楷体"/>
          <w:b/>
          <w:bCs/>
          <w:sz w:val="32"/>
          <w:szCs w:val="32"/>
          <w:lang w:val="en-US" w:eastAsia="zh-CN"/>
        </w:rPr>
        <w:t>二</w:t>
      </w:r>
      <w:r>
        <w:rPr>
          <w:rFonts w:hint="eastAsia" w:ascii="楷体" w:hAnsi="楷体" w:eastAsia="楷体" w:cs="楷体"/>
          <w:b/>
          <w:bCs/>
          <w:sz w:val="32"/>
          <w:szCs w:val="32"/>
        </w:rPr>
        <w:t>）结果应用情况</w:t>
      </w:r>
    </w:p>
    <w:p>
      <w:pPr>
        <w:pStyle w:val="36"/>
        <w:keepNext w:val="0"/>
        <w:keepLines w:val="0"/>
        <w:pageBreakBefore w:val="0"/>
        <w:kinsoku/>
        <w:wordWrap/>
        <w:overflowPunct/>
        <w:topLinePunct w:val="0"/>
        <w:autoSpaceDE/>
        <w:autoSpaceDN/>
        <w:bidi w:val="0"/>
        <w:spacing w:line="560" w:lineRule="exact"/>
        <w:ind w:firstLine="640" w:firstLineChars="200"/>
        <w:rPr>
          <w:rFonts w:hint="eastAsia" w:ascii="黑体" w:hAnsi="黑体" w:eastAsia="黑体" w:cs="黑体"/>
          <w:sz w:val="32"/>
          <w:szCs w:val="32"/>
          <w:lang w:eastAsia="zh-CN"/>
        </w:rPr>
      </w:pPr>
      <w:r>
        <w:rPr>
          <w:rFonts w:hint="eastAsia" w:ascii="仿宋_GB2312" w:hAnsi="仿宋_GB2312" w:eastAsia="仿宋_GB2312" w:cs="仿宋_GB2312"/>
          <w:sz w:val="32"/>
          <w:szCs w:val="32"/>
        </w:rPr>
        <w:t>我办对部门预算绩效管理工作开展情况认真进行了自查自评。绩效评价自查开展覆盖下属单位及重点支出，将评价结果作为预算安排的重要依据，调整支出结构，优化财政资金配置，不断强化绩效理念，推动我部门整体绩效管理水平不断提升。</w:t>
      </w:r>
    </w:p>
    <w:p>
      <w:pPr>
        <w:pStyle w:val="36"/>
        <w:keepNext w:val="0"/>
        <w:keepLines w:val="0"/>
        <w:pageBreakBefore w:val="0"/>
        <w:numPr>
          <w:ilvl w:val="0"/>
          <w:numId w:val="1"/>
        </w:numPr>
        <w:kinsoku/>
        <w:wordWrap/>
        <w:overflowPunct/>
        <w:topLinePunct w:val="0"/>
        <w:autoSpaceDE/>
        <w:autoSpaceDN/>
        <w:bidi w:val="0"/>
        <w:spacing w:line="560" w:lineRule="exact"/>
        <w:ind w:firstLine="640" w:firstLineChars="200"/>
        <w:rPr>
          <w:rFonts w:hint="eastAsia" w:ascii="黑体" w:hAnsi="黑体" w:eastAsia="黑体" w:cs="黑体"/>
          <w:sz w:val="32"/>
          <w:szCs w:val="32"/>
          <w:lang w:eastAsia="zh-CN"/>
        </w:rPr>
      </w:pPr>
      <w:r>
        <w:rPr>
          <w:rFonts w:hint="eastAsia" w:ascii="黑体" w:hAnsi="黑体" w:eastAsia="黑体" w:cs="黑体"/>
          <w:sz w:val="32"/>
          <w:szCs w:val="32"/>
          <w:lang w:eastAsia="zh-CN"/>
        </w:rPr>
        <w:t>资产情况</w:t>
      </w:r>
    </w:p>
    <w:p>
      <w:pPr>
        <w:pStyle w:val="36"/>
        <w:keepNext w:val="0"/>
        <w:keepLines w:val="0"/>
        <w:pageBreakBefore w:val="0"/>
        <w:widowControl w:val="0"/>
        <w:kinsoku/>
        <w:wordWrap/>
        <w:overflowPunct/>
        <w:topLinePunct w:val="0"/>
        <w:autoSpaceDE/>
        <w:autoSpaceDN/>
        <w:bidi w:val="0"/>
        <w:adjustRightInd/>
        <w:snapToGrid w:val="0"/>
        <w:spacing w:line="560" w:lineRule="exact"/>
        <w:ind w:firstLine="642" w:firstLineChars="200"/>
        <w:textAlignment w:val="auto"/>
        <w:rPr>
          <w:rFonts w:hint="eastAsia" w:ascii="仿宋_GB2312" w:hAnsi="仿宋" w:eastAsia="仿宋_GB2312"/>
          <w:b/>
          <w:sz w:val="32"/>
          <w:szCs w:val="32"/>
        </w:rPr>
      </w:pPr>
      <w:r>
        <w:rPr>
          <w:rFonts w:hint="eastAsia" w:ascii="仿宋_GB2312" w:hAnsi="仿宋" w:eastAsia="仿宋_GB2312"/>
          <w:b/>
          <w:sz w:val="32"/>
          <w:szCs w:val="32"/>
        </w:rPr>
        <w:t>(一)资产总体状况</w:t>
      </w:r>
    </w:p>
    <w:p>
      <w:pPr>
        <w:pStyle w:val="36"/>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截止20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月3</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日，经过清查确认我</w:t>
      </w:r>
      <w:r>
        <w:rPr>
          <w:rFonts w:hint="eastAsia" w:ascii="仿宋_GB2312" w:hAnsi="仿宋_GB2312" w:eastAsia="仿宋_GB2312" w:cs="仿宋_GB2312"/>
          <w:sz w:val="32"/>
          <w:szCs w:val="32"/>
          <w:lang w:eastAsia="zh-CN"/>
        </w:rPr>
        <w:t>办</w:t>
      </w:r>
      <w:r>
        <w:rPr>
          <w:rFonts w:hint="eastAsia" w:ascii="仿宋_GB2312" w:hAnsi="仿宋_GB2312" w:eastAsia="仿宋_GB2312" w:cs="仿宋_GB2312"/>
          <w:sz w:val="32"/>
          <w:szCs w:val="32"/>
        </w:rPr>
        <w:t>的资产合计为</w:t>
      </w:r>
      <w:r>
        <w:rPr>
          <w:rFonts w:hint="eastAsia" w:ascii="仿宋_GB2312" w:hAnsi="仿宋_GB2312" w:eastAsia="仿宋_GB2312" w:cs="仿宋_GB2312"/>
          <w:sz w:val="32"/>
          <w:szCs w:val="32"/>
          <w:lang w:val="en-US" w:eastAsia="zh-CN"/>
        </w:rPr>
        <w:t>5873425.45</w:t>
      </w:r>
      <w:r>
        <w:rPr>
          <w:rFonts w:hint="eastAsia" w:ascii="仿宋_GB2312" w:hAnsi="仿宋_GB2312" w:eastAsia="仿宋_GB2312" w:cs="仿宋_GB2312"/>
          <w:sz w:val="32"/>
          <w:szCs w:val="32"/>
        </w:rPr>
        <w:t>元。</w:t>
      </w:r>
    </w:p>
    <w:p>
      <w:pPr>
        <w:pStyle w:val="36"/>
        <w:keepNext w:val="0"/>
        <w:keepLines w:val="0"/>
        <w:pageBreakBefore w:val="0"/>
        <w:widowControl w:val="0"/>
        <w:kinsoku/>
        <w:wordWrap/>
        <w:overflowPunct/>
        <w:topLinePunct w:val="0"/>
        <w:autoSpaceDE/>
        <w:autoSpaceDN/>
        <w:bidi w:val="0"/>
        <w:adjustRightInd/>
        <w:snapToGrid w:val="0"/>
        <w:spacing w:line="560" w:lineRule="exact"/>
        <w:ind w:firstLine="642" w:firstLineChars="200"/>
        <w:textAlignment w:val="auto"/>
        <w:rPr>
          <w:rFonts w:hint="eastAsia" w:ascii="仿宋_GB2312" w:hAnsi="仿宋" w:eastAsia="仿宋_GB2312"/>
          <w:b/>
          <w:sz w:val="32"/>
          <w:szCs w:val="32"/>
        </w:rPr>
      </w:pPr>
      <w:r>
        <w:rPr>
          <w:rFonts w:hint="eastAsia" w:ascii="仿宋_GB2312" w:hAnsi="仿宋" w:eastAsia="仿宋_GB2312"/>
          <w:b/>
          <w:sz w:val="32"/>
          <w:szCs w:val="32"/>
        </w:rPr>
        <w:t>(二)</w:t>
      </w:r>
      <w:r>
        <w:rPr>
          <w:rFonts w:hint="eastAsia" w:ascii="仿宋_GB2312" w:hAnsi="仿宋" w:eastAsia="仿宋_GB2312"/>
          <w:b/>
          <w:sz w:val="32"/>
          <w:szCs w:val="32"/>
          <w:lang w:eastAsia="zh-CN"/>
        </w:rPr>
        <w:t>本</w:t>
      </w:r>
      <w:r>
        <w:rPr>
          <w:rFonts w:hint="eastAsia" w:ascii="仿宋_GB2312" w:hAnsi="仿宋" w:eastAsia="仿宋_GB2312"/>
          <w:b/>
          <w:sz w:val="32"/>
          <w:szCs w:val="32"/>
        </w:rPr>
        <w:t>单位各项固定资产清查、分类状况</w:t>
      </w:r>
    </w:p>
    <w:p>
      <w:pPr>
        <w:pStyle w:val="36"/>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土地清查总值</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0元。</w:t>
      </w:r>
    </w:p>
    <w:p>
      <w:pPr>
        <w:pStyle w:val="36"/>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房屋及建筑物清查总值</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元。</w:t>
      </w:r>
    </w:p>
    <w:p>
      <w:pPr>
        <w:pStyle w:val="36"/>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专用设备清查总值</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元。</w:t>
      </w:r>
    </w:p>
    <w:p>
      <w:pPr>
        <w:pStyle w:val="36"/>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通用设备清查总值</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5532294.57</w:t>
      </w:r>
      <w:r>
        <w:rPr>
          <w:rFonts w:hint="eastAsia" w:ascii="仿宋_GB2312" w:hAnsi="仿宋_GB2312" w:eastAsia="仿宋_GB2312" w:cs="仿宋_GB2312"/>
          <w:sz w:val="32"/>
          <w:szCs w:val="32"/>
        </w:rPr>
        <w:t>元。</w:t>
      </w:r>
    </w:p>
    <w:p>
      <w:pPr>
        <w:pStyle w:val="36"/>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家具</w:t>
      </w:r>
      <w:r>
        <w:rPr>
          <w:rFonts w:hint="eastAsia" w:ascii="仿宋_GB2312" w:hAnsi="仿宋_GB2312" w:eastAsia="仿宋_GB2312" w:cs="仿宋_GB2312"/>
          <w:sz w:val="32"/>
          <w:szCs w:val="32"/>
          <w:lang w:eastAsia="zh-CN"/>
        </w:rPr>
        <w:t>、用具、装具及动植物</w:t>
      </w:r>
      <w:r>
        <w:rPr>
          <w:rFonts w:hint="eastAsia" w:ascii="仿宋_GB2312" w:hAnsi="仿宋_GB2312" w:eastAsia="仿宋_GB2312" w:cs="仿宋_GB2312"/>
          <w:sz w:val="32"/>
          <w:szCs w:val="32"/>
        </w:rPr>
        <w:t>清查总值为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341130.88</w:t>
      </w:r>
      <w:r>
        <w:rPr>
          <w:rFonts w:hint="eastAsia" w:ascii="仿宋_GB2312" w:hAnsi="仿宋_GB2312" w:eastAsia="仿宋_GB2312" w:cs="仿宋_GB2312"/>
          <w:sz w:val="32"/>
          <w:szCs w:val="32"/>
        </w:rPr>
        <w:t>元。</w:t>
      </w:r>
    </w:p>
    <w:p>
      <w:pPr>
        <w:pStyle w:val="36"/>
        <w:keepNext w:val="0"/>
        <w:keepLines w:val="0"/>
        <w:pageBreakBefore w:val="0"/>
        <w:widowControl w:val="0"/>
        <w:kinsoku/>
        <w:wordWrap/>
        <w:overflowPunct/>
        <w:topLinePunct w:val="0"/>
        <w:autoSpaceDE/>
        <w:autoSpaceDN/>
        <w:bidi w:val="0"/>
        <w:adjustRightInd/>
        <w:snapToGrid w:val="0"/>
        <w:spacing w:line="560" w:lineRule="exact"/>
        <w:ind w:firstLine="642" w:firstLineChars="200"/>
        <w:textAlignment w:val="auto"/>
        <w:rPr>
          <w:rFonts w:hint="eastAsia" w:ascii="仿宋_GB2312" w:hAnsi="仿宋" w:eastAsia="仿宋_GB2312"/>
          <w:b/>
          <w:sz w:val="32"/>
          <w:szCs w:val="32"/>
        </w:rPr>
      </w:pPr>
      <w:r>
        <w:rPr>
          <w:rFonts w:hint="eastAsia" w:ascii="仿宋_GB2312" w:hAnsi="仿宋" w:eastAsia="仿宋_GB2312"/>
          <w:b/>
          <w:sz w:val="32"/>
          <w:szCs w:val="32"/>
        </w:rPr>
        <w:t>（</w:t>
      </w:r>
      <w:r>
        <w:rPr>
          <w:rFonts w:hint="eastAsia" w:ascii="仿宋_GB2312" w:hAnsi="仿宋" w:eastAsia="仿宋_GB2312"/>
          <w:b/>
          <w:sz w:val="32"/>
          <w:szCs w:val="32"/>
          <w:lang w:eastAsia="zh-CN"/>
        </w:rPr>
        <w:t>三</w:t>
      </w:r>
      <w:r>
        <w:rPr>
          <w:rFonts w:hint="eastAsia" w:ascii="仿宋_GB2312" w:hAnsi="仿宋" w:eastAsia="仿宋_GB2312"/>
          <w:b/>
          <w:sz w:val="32"/>
          <w:szCs w:val="32"/>
        </w:rPr>
        <w:t>）资产信息情况。</w:t>
      </w:r>
    </w:p>
    <w:p>
      <w:pPr>
        <w:pStyle w:val="36"/>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 w:eastAsia="仿宋_GB2312" w:cs="仿宋"/>
          <w:color w:val="000000"/>
          <w:sz w:val="32"/>
          <w:szCs w:val="32"/>
          <w:lang w:val="en-US" w:eastAsia="zh-CN"/>
        </w:rPr>
      </w:pPr>
      <w:r>
        <w:rPr>
          <w:rFonts w:hint="eastAsia" w:ascii="仿宋_GB2312" w:hAnsi="仿宋" w:eastAsia="仿宋_GB2312" w:cs="仿宋"/>
          <w:color w:val="000000"/>
          <w:sz w:val="32"/>
          <w:szCs w:val="32"/>
          <w:lang w:val="en-US" w:eastAsia="zh-CN"/>
        </w:rPr>
        <w:t>1.货币资金：98元。</w:t>
      </w:r>
    </w:p>
    <w:p>
      <w:pPr>
        <w:pStyle w:val="36"/>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 w:eastAsia="仿宋_GB2312" w:cs="仿宋"/>
          <w:color w:val="000000"/>
          <w:sz w:val="32"/>
          <w:szCs w:val="32"/>
          <w:lang w:val="en-US" w:eastAsia="zh-CN"/>
        </w:rPr>
      </w:pPr>
      <w:r>
        <w:rPr>
          <w:rFonts w:hint="eastAsia" w:ascii="仿宋_GB2312" w:hAnsi="仿宋" w:eastAsia="仿宋_GB2312" w:cs="仿宋"/>
          <w:color w:val="000000"/>
          <w:sz w:val="32"/>
          <w:szCs w:val="32"/>
          <w:lang w:val="en-US" w:eastAsia="zh-CN"/>
        </w:rPr>
        <w:t>2.其他应收款514373.07元。</w:t>
      </w:r>
    </w:p>
    <w:p>
      <w:pPr>
        <w:pStyle w:val="36"/>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 w:eastAsia="仿宋_GB2312" w:cs="仿宋"/>
          <w:color w:val="000000"/>
          <w:sz w:val="32"/>
          <w:szCs w:val="32"/>
          <w:lang w:val="en-US" w:eastAsia="zh-CN"/>
        </w:rPr>
      </w:pPr>
      <w:r>
        <w:rPr>
          <w:rFonts w:hint="eastAsia" w:ascii="仿宋_GB2312" w:hAnsi="仿宋" w:eastAsia="仿宋_GB2312" w:cs="仿宋"/>
          <w:color w:val="000000"/>
          <w:sz w:val="32"/>
          <w:szCs w:val="32"/>
          <w:lang w:val="en-US" w:eastAsia="zh-CN"/>
        </w:rPr>
        <w:t>3.固定资产原值：5873425.45元。</w:t>
      </w:r>
    </w:p>
    <w:p>
      <w:pPr>
        <w:pStyle w:val="36"/>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 w:eastAsia="仿宋_GB2312" w:cs="仿宋"/>
          <w:color w:val="000000"/>
          <w:sz w:val="32"/>
          <w:szCs w:val="32"/>
          <w:lang w:val="en-US" w:eastAsia="zh-CN"/>
        </w:rPr>
      </w:pPr>
      <w:r>
        <w:rPr>
          <w:rFonts w:hint="eastAsia" w:ascii="仿宋_GB2312" w:hAnsi="仿宋" w:eastAsia="仿宋_GB2312" w:cs="仿宋"/>
          <w:color w:val="000000"/>
          <w:sz w:val="32"/>
          <w:szCs w:val="32"/>
          <w:lang w:val="en-US" w:eastAsia="zh-CN"/>
        </w:rPr>
        <w:t>4.固定资产累计折旧：4196921.08元。</w:t>
      </w:r>
    </w:p>
    <w:p>
      <w:pPr>
        <w:pStyle w:val="36"/>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 w:eastAsia="仿宋_GB2312"/>
          <w:b/>
          <w:sz w:val="32"/>
          <w:szCs w:val="32"/>
        </w:rPr>
      </w:pPr>
      <w:r>
        <w:rPr>
          <w:rFonts w:hint="eastAsia" w:ascii="仿宋_GB2312" w:hAnsi="仿宋" w:eastAsia="仿宋_GB2312" w:cs="仿宋"/>
          <w:color w:val="000000"/>
          <w:sz w:val="32"/>
          <w:szCs w:val="32"/>
          <w:lang w:val="en-US" w:eastAsia="zh-CN"/>
        </w:rPr>
        <w:t>5.固定资产净值：1676504.37元。</w:t>
      </w:r>
    </w:p>
    <w:p>
      <w:pPr>
        <w:pStyle w:val="36"/>
        <w:keepNext w:val="0"/>
        <w:keepLines w:val="0"/>
        <w:pageBreakBefore w:val="0"/>
        <w:widowControl w:val="0"/>
        <w:kinsoku/>
        <w:wordWrap/>
        <w:overflowPunct/>
        <w:topLinePunct w:val="0"/>
        <w:autoSpaceDE/>
        <w:autoSpaceDN/>
        <w:bidi w:val="0"/>
        <w:adjustRightInd/>
        <w:snapToGrid w:val="0"/>
        <w:spacing w:line="560" w:lineRule="exact"/>
        <w:ind w:firstLine="642" w:firstLineChars="200"/>
        <w:textAlignment w:val="auto"/>
        <w:rPr>
          <w:rFonts w:hint="eastAsia" w:ascii="仿宋_GB2312" w:hAnsi="仿宋" w:eastAsia="仿宋_GB2312"/>
          <w:b/>
          <w:sz w:val="32"/>
          <w:szCs w:val="32"/>
        </w:rPr>
      </w:pPr>
      <w:r>
        <w:rPr>
          <w:rFonts w:hint="eastAsia" w:ascii="仿宋_GB2312" w:hAnsi="仿宋" w:eastAsia="仿宋_GB2312"/>
          <w:b/>
          <w:sz w:val="32"/>
          <w:szCs w:val="32"/>
        </w:rPr>
        <w:t>（</w:t>
      </w:r>
      <w:r>
        <w:rPr>
          <w:rFonts w:hint="eastAsia" w:ascii="仿宋_GB2312" w:hAnsi="仿宋" w:eastAsia="仿宋_GB2312"/>
          <w:b/>
          <w:sz w:val="32"/>
          <w:szCs w:val="32"/>
          <w:lang w:eastAsia="zh-CN"/>
        </w:rPr>
        <w:t>四</w:t>
      </w:r>
      <w:r>
        <w:rPr>
          <w:rFonts w:hint="eastAsia" w:ascii="仿宋_GB2312" w:hAnsi="仿宋" w:eastAsia="仿宋_GB2312"/>
          <w:b/>
          <w:sz w:val="32"/>
          <w:szCs w:val="32"/>
        </w:rPr>
        <w:t>）负债信息情况。</w:t>
      </w:r>
    </w:p>
    <w:p>
      <w:pPr>
        <w:pStyle w:val="36"/>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 w:eastAsia="仿宋_GB2312" w:cs="仿宋"/>
          <w:color w:val="000000"/>
          <w:sz w:val="32"/>
          <w:szCs w:val="32"/>
          <w:lang w:eastAsia="zh-CN"/>
        </w:rPr>
      </w:pPr>
      <w:r>
        <w:rPr>
          <w:rFonts w:hint="eastAsia" w:ascii="仿宋_GB2312" w:hAnsi="仿宋" w:eastAsia="仿宋_GB2312" w:cs="仿宋"/>
          <w:color w:val="000000"/>
          <w:sz w:val="32"/>
          <w:szCs w:val="32"/>
          <w:lang w:val="en-US" w:eastAsia="zh-CN"/>
        </w:rPr>
        <w:t>1.</w:t>
      </w:r>
      <w:r>
        <w:rPr>
          <w:rFonts w:hint="eastAsia" w:ascii="仿宋_GB2312" w:hAnsi="仿宋" w:eastAsia="仿宋_GB2312" w:cs="仿宋"/>
          <w:color w:val="000000"/>
          <w:sz w:val="32"/>
          <w:szCs w:val="32"/>
        </w:rPr>
        <w:t>其他应付款</w:t>
      </w:r>
      <w:r>
        <w:rPr>
          <w:rFonts w:hint="eastAsia" w:ascii="仿宋_GB2312" w:hAnsi="仿宋" w:eastAsia="仿宋_GB2312" w:cs="仿宋"/>
          <w:color w:val="000000"/>
          <w:sz w:val="32"/>
          <w:szCs w:val="32"/>
          <w:lang w:eastAsia="zh-CN"/>
        </w:rPr>
        <w:t>：</w:t>
      </w:r>
      <w:r>
        <w:rPr>
          <w:rFonts w:hint="eastAsia" w:ascii="仿宋_GB2312" w:hAnsi="仿宋" w:eastAsia="仿宋_GB2312" w:cs="仿宋"/>
          <w:color w:val="000000"/>
          <w:sz w:val="32"/>
          <w:szCs w:val="32"/>
          <w:lang w:val="en-US" w:eastAsia="zh-CN"/>
        </w:rPr>
        <w:t>7716344.4</w:t>
      </w:r>
      <w:r>
        <w:rPr>
          <w:rFonts w:hint="eastAsia" w:ascii="仿宋_GB2312" w:hAnsi="仿宋" w:eastAsia="仿宋_GB2312" w:cs="仿宋"/>
          <w:color w:val="000000"/>
          <w:sz w:val="32"/>
          <w:szCs w:val="32"/>
        </w:rPr>
        <w:t>元</w:t>
      </w:r>
      <w:r>
        <w:rPr>
          <w:rFonts w:hint="eastAsia" w:ascii="仿宋_GB2312" w:hAnsi="仿宋" w:eastAsia="仿宋_GB2312" w:cs="仿宋"/>
          <w:color w:val="000000"/>
          <w:sz w:val="32"/>
          <w:szCs w:val="32"/>
          <w:lang w:eastAsia="zh-CN"/>
        </w:rPr>
        <w:t>。</w:t>
      </w:r>
    </w:p>
    <w:p>
      <w:pPr>
        <w:pStyle w:val="36"/>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 w:eastAsia="仿宋_GB2312" w:cs="仿宋"/>
          <w:color w:val="000000"/>
          <w:sz w:val="32"/>
          <w:szCs w:val="32"/>
          <w:lang w:val="en-US" w:eastAsia="zh-CN"/>
        </w:rPr>
      </w:pPr>
      <w:r>
        <w:rPr>
          <w:rFonts w:hint="eastAsia" w:ascii="仿宋_GB2312" w:hAnsi="仿宋" w:eastAsia="仿宋_GB2312" w:cs="仿宋"/>
          <w:color w:val="000000"/>
          <w:sz w:val="32"/>
          <w:szCs w:val="32"/>
          <w:lang w:val="en-US" w:eastAsia="zh-CN"/>
        </w:rPr>
        <w:t>2.财政预拨资金：790126.13元。</w:t>
      </w:r>
    </w:p>
    <w:p>
      <w:pPr>
        <w:pStyle w:val="36"/>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黑体" w:hAnsi="黑体" w:eastAsia="黑体" w:cs="黑体"/>
          <w:b/>
          <w:bCs/>
          <w:sz w:val="32"/>
          <w:szCs w:val="32"/>
        </w:rPr>
      </w:pPr>
      <w:r>
        <w:rPr>
          <w:rFonts w:hint="eastAsia" w:ascii="仿宋_GB2312" w:hAnsi="仿宋" w:eastAsia="仿宋_GB2312" w:cs="仿宋"/>
          <w:color w:val="000000"/>
          <w:sz w:val="32"/>
          <w:szCs w:val="32"/>
          <w:lang w:val="en-US" w:eastAsia="zh-CN"/>
        </w:rPr>
        <w:t>3.工会经费及工作经费：115128.27元。</w:t>
      </w:r>
    </w:p>
    <w:p>
      <w:pPr>
        <w:pStyle w:val="36"/>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黑体" w:hAnsi="黑体" w:eastAsia="黑体" w:cs="黑体"/>
          <w:b/>
          <w:bCs/>
          <w:sz w:val="32"/>
          <w:szCs w:val="32"/>
        </w:rPr>
      </w:pPr>
      <w:r>
        <w:rPr>
          <w:rFonts w:hint="eastAsia" w:ascii="黑体" w:hAnsi="黑体" w:eastAsia="黑体" w:cs="黑体"/>
          <w:b/>
          <w:bCs/>
          <w:sz w:val="32"/>
          <w:szCs w:val="32"/>
          <w:lang w:eastAsia="zh-CN"/>
        </w:rPr>
        <w:t>（五）</w:t>
      </w:r>
      <w:r>
        <w:rPr>
          <w:rFonts w:hint="eastAsia" w:ascii="黑体" w:hAnsi="黑体" w:eastAsia="黑体" w:cs="黑体"/>
          <w:b/>
          <w:bCs/>
          <w:sz w:val="32"/>
          <w:szCs w:val="32"/>
        </w:rPr>
        <w:t>资产盘亏、盘盈的状况说明</w:t>
      </w:r>
    </w:p>
    <w:p>
      <w:pPr>
        <w:pStyle w:val="36"/>
        <w:keepNext w:val="0"/>
        <w:keepLines w:val="0"/>
        <w:pageBreakBefore w:val="0"/>
        <w:widowControl w:val="0"/>
        <w:kinsoku/>
        <w:wordWrap/>
        <w:overflowPunct/>
        <w:topLinePunct w:val="0"/>
        <w:autoSpaceDE/>
        <w:autoSpaceDN/>
        <w:bidi w:val="0"/>
        <w:adjustRightInd/>
        <w:snapToGrid/>
        <w:spacing w:line="560" w:lineRule="exact"/>
        <w:ind w:firstLine="960" w:firstLineChars="300"/>
        <w:textAlignment w:val="auto"/>
        <w:rPr>
          <w:rFonts w:hint="eastAsia" w:ascii="黑体" w:hAnsi="黑体" w:eastAsia="黑体" w:cs="黑体"/>
          <w:sz w:val="32"/>
          <w:szCs w:val="32"/>
          <w:lang w:eastAsia="zh-CN"/>
        </w:rPr>
      </w:pPr>
      <w:r>
        <w:rPr>
          <w:rFonts w:hint="eastAsia" w:ascii="仿宋_GB2312" w:hAnsi="仿宋_GB2312" w:eastAsia="仿宋_GB2312" w:cs="仿宋_GB2312"/>
          <w:sz w:val="32"/>
          <w:szCs w:val="32"/>
          <w:lang w:eastAsia="zh-CN"/>
        </w:rPr>
        <w:t>本单位</w:t>
      </w:r>
      <w:r>
        <w:rPr>
          <w:rFonts w:hint="eastAsia" w:ascii="仿宋_GB2312" w:hAnsi="仿宋_GB2312" w:eastAsia="仿宋_GB2312" w:cs="仿宋_GB2312"/>
          <w:sz w:val="32"/>
          <w:szCs w:val="32"/>
        </w:rPr>
        <w:t>没有盘亏、盘盈的状况。</w:t>
      </w:r>
    </w:p>
    <w:p>
      <w:pPr>
        <w:pStyle w:val="36"/>
        <w:keepNext w:val="0"/>
        <w:keepLines w:val="0"/>
        <w:pageBreakBefore w:val="0"/>
        <w:kinsoku/>
        <w:wordWrap/>
        <w:overflowPunct/>
        <w:topLinePunct w:val="0"/>
        <w:autoSpaceDE/>
        <w:autoSpaceDN/>
        <w:bidi w:val="0"/>
        <w:spacing w:line="560" w:lineRule="exact"/>
        <w:ind w:firstLine="640" w:firstLineChars="200"/>
        <w:rPr>
          <w:rFonts w:ascii="黑体" w:hAnsi="黑体" w:eastAsia="黑体"/>
          <w:sz w:val="32"/>
          <w:szCs w:val="32"/>
        </w:rPr>
      </w:pPr>
      <w:r>
        <w:rPr>
          <w:rFonts w:hint="eastAsia" w:ascii="黑体" w:hAnsi="黑体" w:eastAsia="黑体" w:cs="黑体"/>
          <w:sz w:val="32"/>
          <w:szCs w:val="32"/>
          <w:lang w:eastAsia="zh-CN"/>
        </w:rPr>
        <w:t>五</w:t>
      </w:r>
      <w:r>
        <w:rPr>
          <w:rFonts w:hint="eastAsia" w:ascii="黑体" w:hAnsi="黑体" w:eastAsia="黑体" w:cs="黑体"/>
          <w:sz w:val="32"/>
          <w:szCs w:val="32"/>
        </w:rPr>
        <w:t>、评价结论及建议</w:t>
      </w:r>
    </w:p>
    <w:p>
      <w:pPr>
        <w:pStyle w:val="36"/>
        <w:keepNext w:val="0"/>
        <w:keepLines w:val="0"/>
        <w:pageBreakBefore w:val="0"/>
        <w:kinsoku/>
        <w:wordWrap/>
        <w:overflowPunct/>
        <w:topLinePunct w:val="0"/>
        <w:autoSpaceDE/>
        <w:autoSpaceDN/>
        <w:bidi w:val="0"/>
        <w:spacing w:line="560"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我办对财政资金使用管理情况，认真开展自评工作，撰写部门自评报告。我办财务管理制度健全，执行制度严格合规，会计核算符合相关规定，资金专款专用，资金支付依据和开支标准合法合规，严格执行政府采购。</w:t>
      </w:r>
    </w:p>
    <w:p>
      <w:pPr>
        <w:pStyle w:val="36"/>
        <w:keepNext w:val="0"/>
        <w:keepLines w:val="0"/>
        <w:pageBreakBefore w:val="0"/>
        <w:kinsoku/>
        <w:wordWrap/>
        <w:overflowPunct/>
        <w:topLinePunct w:val="0"/>
        <w:autoSpaceDE/>
        <w:autoSpaceDN/>
        <w:bidi w:val="0"/>
        <w:spacing w:line="560" w:lineRule="exact"/>
        <w:ind w:firstLine="642" w:firstLineChars="200"/>
        <w:rPr>
          <w:rFonts w:hint="eastAsia" w:ascii="楷体" w:hAnsi="楷体" w:eastAsia="楷体" w:cs="楷体"/>
          <w:b/>
          <w:bCs/>
          <w:sz w:val="32"/>
          <w:szCs w:val="32"/>
        </w:rPr>
      </w:pPr>
      <w:r>
        <w:rPr>
          <w:rFonts w:hint="eastAsia" w:ascii="楷体" w:hAnsi="楷体" w:eastAsia="楷体" w:cs="楷体"/>
          <w:b/>
          <w:bCs/>
          <w:sz w:val="32"/>
          <w:szCs w:val="32"/>
        </w:rPr>
        <w:t>（一）评价结论</w:t>
      </w:r>
    </w:p>
    <w:p>
      <w:pPr>
        <w:pStyle w:val="36"/>
        <w:keepNext w:val="0"/>
        <w:keepLines w:val="0"/>
        <w:pageBreakBefore w:val="0"/>
        <w:kinsoku/>
        <w:wordWrap/>
        <w:overflowPunct/>
        <w:topLinePunct w:val="0"/>
        <w:autoSpaceDE/>
        <w:autoSpaceDN/>
        <w:bidi w:val="0"/>
        <w:spacing w:line="560" w:lineRule="exact"/>
        <w:ind w:firstLine="640" w:firstLineChars="200"/>
        <w:rPr>
          <w:rFonts w:ascii="仿宋_GB2312" w:hAnsi="仿宋_GB2312" w:eastAsia="仿宋_GB2312"/>
          <w:sz w:val="32"/>
          <w:szCs w:val="32"/>
        </w:rPr>
      </w:pP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年我办部门整体支出绩效评价自查自评结果良好，全年基本支出保证了部门的正常运行和日常工作的正常开展，项目支出保障了重点工作的开展，达到预期绩效目标。</w:t>
      </w:r>
    </w:p>
    <w:p>
      <w:pPr>
        <w:pStyle w:val="36"/>
        <w:keepNext w:val="0"/>
        <w:keepLines w:val="0"/>
        <w:pageBreakBefore w:val="0"/>
        <w:kinsoku/>
        <w:wordWrap/>
        <w:overflowPunct/>
        <w:topLinePunct w:val="0"/>
        <w:autoSpaceDE/>
        <w:autoSpaceDN/>
        <w:bidi w:val="0"/>
        <w:spacing w:line="560" w:lineRule="exact"/>
        <w:ind w:firstLine="642" w:firstLineChars="200"/>
        <w:rPr>
          <w:rFonts w:hint="eastAsia" w:ascii="楷体" w:hAnsi="楷体" w:eastAsia="楷体" w:cs="楷体"/>
          <w:b/>
          <w:bCs/>
          <w:sz w:val="32"/>
          <w:szCs w:val="32"/>
        </w:rPr>
      </w:pPr>
      <w:r>
        <w:rPr>
          <w:rFonts w:hint="eastAsia" w:ascii="楷体" w:hAnsi="楷体" w:eastAsia="楷体" w:cs="楷体"/>
          <w:b/>
          <w:bCs/>
          <w:sz w:val="32"/>
          <w:szCs w:val="32"/>
        </w:rPr>
        <w:t>（二）存在问题</w:t>
      </w:r>
    </w:p>
    <w:p>
      <w:pPr>
        <w:pStyle w:val="36"/>
        <w:keepNext w:val="0"/>
        <w:keepLines w:val="0"/>
        <w:pageBreakBefore w:val="0"/>
        <w:kinsoku/>
        <w:wordWrap/>
        <w:overflowPunct/>
        <w:topLinePunct w:val="0"/>
        <w:autoSpaceDE/>
        <w:autoSpaceDN/>
        <w:bidi w:val="0"/>
        <w:spacing w:line="560"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lang w:eastAsia="zh-CN"/>
        </w:rPr>
        <w:t>决算</w:t>
      </w:r>
      <w:r>
        <w:rPr>
          <w:rFonts w:hint="eastAsia" w:ascii="仿宋_GB2312" w:hAnsi="仿宋_GB2312" w:eastAsia="仿宋_GB2312" w:cs="仿宋_GB2312"/>
          <w:sz w:val="32"/>
          <w:szCs w:val="32"/>
        </w:rPr>
        <w:t>编制需进一步细化，绩效目标设定有待更科学更合理。</w:t>
      </w:r>
    </w:p>
    <w:p>
      <w:pPr>
        <w:pStyle w:val="36"/>
        <w:keepNext w:val="0"/>
        <w:keepLines w:val="0"/>
        <w:pageBreakBefore w:val="0"/>
        <w:kinsoku/>
        <w:wordWrap/>
        <w:overflowPunct/>
        <w:topLinePunct w:val="0"/>
        <w:autoSpaceDE/>
        <w:autoSpaceDN/>
        <w:bidi w:val="0"/>
        <w:spacing w:line="560" w:lineRule="exact"/>
        <w:ind w:firstLine="642" w:firstLineChars="200"/>
        <w:rPr>
          <w:rFonts w:hint="eastAsia" w:ascii="楷体" w:hAnsi="楷体" w:eastAsia="楷体" w:cs="楷体"/>
          <w:b/>
          <w:bCs/>
          <w:sz w:val="32"/>
          <w:szCs w:val="32"/>
        </w:rPr>
      </w:pPr>
      <w:r>
        <w:rPr>
          <w:rFonts w:hint="eastAsia" w:ascii="楷体" w:hAnsi="楷体" w:eastAsia="楷体" w:cs="楷体"/>
          <w:b/>
          <w:bCs/>
          <w:sz w:val="32"/>
          <w:szCs w:val="32"/>
        </w:rPr>
        <w:t>（三）改进建议</w:t>
      </w:r>
    </w:p>
    <w:p>
      <w:pPr>
        <w:pStyle w:val="36"/>
        <w:keepNext w:val="0"/>
        <w:keepLines w:val="0"/>
        <w:pageBreakBefore w:val="0"/>
        <w:kinsoku/>
        <w:wordWrap/>
        <w:overflowPunct/>
        <w:topLinePunct w:val="0"/>
        <w:autoSpaceDE/>
        <w:autoSpaceDN/>
        <w:bidi w:val="0"/>
        <w:adjustRightInd/>
        <w:snapToGrid/>
        <w:spacing w:line="560"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针对存在的问题，我们将进一步科学设定绩效目标，加强预算执行管理。遵循先有预算、后有支出的原则，加强新《预算法》、《行政单位会计制度》等学习培训，规范部门预算收支核算；加强财务管理和内部控制监督制度。</w:t>
      </w:r>
    </w:p>
    <w:p>
      <w:pPr>
        <w:pStyle w:val="36"/>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sz w:val="32"/>
          <w:szCs w:val="32"/>
          <w:lang w:eastAsia="zh-CN"/>
        </w:rPr>
      </w:pPr>
    </w:p>
    <w:p>
      <w:pPr>
        <w:pStyle w:val="36"/>
        <w:keepNext w:val="0"/>
        <w:keepLines w:val="0"/>
        <w:pageBreakBefore w:val="0"/>
        <w:kinsoku/>
        <w:wordWrap/>
        <w:overflowPunct/>
        <w:topLinePunct w:val="0"/>
        <w:autoSpaceDE/>
        <w:autoSpaceDN/>
        <w:bidi w:val="0"/>
        <w:adjustRightInd/>
        <w:snapToGrid/>
        <w:spacing w:line="560" w:lineRule="exact"/>
        <w:ind w:firstLine="4160" w:firstLineChars="1300"/>
        <w:rPr>
          <w:rFonts w:hint="eastAsia" w:ascii="仿宋_GB2312" w:hAnsi="仿宋_GB2312" w:eastAsia="仿宋_GB2312" w:cs="仿宋_GB2312"/>
          <w:sz w:val="32"/>
          <w:szCs w:val="32"/>
          <w:lang w:eastAsia="zh-CN"/>
        </w:rPr>
      </w:pPr>
    </w:p>
    <w:p>
      <w:pPr>
        <w:pStyle w:val="36"/>
        <w:keepNext w:val="0"/>
        <w:keepLines w:val="0"/>
        <w:pageBreakBefore w:val="0"/>
        <w:kinsoku/>
        <w:wordWrap/>
        <w:overflowPunct/>
        <w:topLinePunct w:val="0"/>
        <w:autoSpaceDE/>
        <w:autoSpaceDN/>
        <w:bidi w:val="0"/>
        <w:adjustRightInd/>
        <w:snapToGrid/>
        <w:spacing w:line="560" w:lineRule="exact"/>
        <w:ind w:firstLine="4160" w:firstLineChars="1300"/>
        <w:rPr>
          <w:rFonts w:hint="eastAsia" w:ascii="仿宋_GB2312" w:hAnsi="仿宋_GB2312" w:eastAsia="仿宋_GB2312" w:cs="仿宋_GB2312"/>
          <w:sz w:val="32"/>
          <w:szCs w:val="32"/>
          <w:lang w:eastAsia="zh-CN"/>
        </w:rPr>
      </w:pPr>
    </w:p>
    <w:p>
      <w:pPr>
        <w:pStyle w:val="36"/>
        <w:keepNext w:val="0"/>
        <w:keepLines w:val="0"/>
        <w:pageBreakBefore w:val="0"/>
        <w:kinsoku/>
        <w:wordWrap/>
        <w:overflowPunct/>
        <w:topLinePunct w:val="0"/>
        <w:autoSpaceDE/>
        <w:autoSpaceDN/>
        <w:bidi w:val="0"/>
        <w:adjustRightInd/>
        <w:snapToGrid/>
        <w:spacing w:line="560" w:lineRule="exact"/>
        <w:ind w:firstLine="4160" w:firstLineChars="1300"/>
        <w:rPr>
          <w:rFonts w:hint="eastAsia" w:ascii="仿宋_GB2312" w:hAnsi="仿宋_GB2312" w:eastAsia="仿宋_GB2312" w:cs="仿宋_GB2312"/>
          <w:sz w:val="32"/>
          <w:szCs w:val="32"/>
          <w:lang w:eastAsia="zh-CN"/>
        </w:rPr>
      </w:pPr>
    </w:p>
    <w:p>
      <w:pPr>
        <w:pStyle w:val="36"/>
        <w:keepNext w:val="0"/>
        <w:keepLines w:val="0"/>
        <w:pageBreakBefore w:val="0"/>
        <w:kinsoku/>
        <w:wordWrap/>
        <w:overflowPunct/>
        <w:topLinePunct w:val="0"/>
        <w:autoSpaceDE/>
        <w:autoSpaceDN/>
        <w:bidi w:val="0"/>
        <w:adjustRightInd/>
        <w:snapToGrid/>
        <w:spacing w:line="560" w:lineRule="exact"/>
        <w:ind w:firstLine="4160" w:firstLineChars="13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中国共产党茂县委员会办公室</w:t>
      </w:r>
    </w:p>
    <w:p>
      <w:pPr>
        <w:pStyle w:val="36"/>
        <w:keepNext w:val="0"/>
        <w:keepLines w:val="0"/>
        <w:pageBreakBefore w:val="0"/>
        <w:kinsoku/>
        <w:wordWrap/>
        <w:overflowPunct/>
        <w:topLinePunct w:val="0"/>
        <w:autoSpaceDE/>
        <w:autoSpaceDN/>
        <w:bidi w:val="0"/>
        <w:adjustRightInd/>
        <w:snapToGrid/>
        <w:spacing w:line="560" w:lineRule="exact"/>
        <w:ind w:firstLine="5120" w:firstLineChars="1600"/>
        <w:rPr>
          <w:rFonts w:hint="default" w:ascii="仿宋_GB2312" w:hAnsi="仿宋_GB2312" w:eastAsia="仿宋_GB2312" w:cs="仿宋_GB2312"/>
          <w:sz w:val="32"/>
          <w:szCs w:val="32"/>
          <w:lang w:val="en-US" w:eastAsia="zh-CN"/>
        </w:rPr>
        <w:sectPr>
          <w:headerReference r:id="rId3" w:type="default"/>
          <w:footerReference r:id="rId4" w:type="default"/>
          <w:pgSz w:w="11906" w:h="16838"/>
          <w:pgMar w:top="1440" w:right="1474" w:bottom="1440" w:left="1587" w:header="851" w:footer="992" w:gutter="0"/>
          <w:cols w:space="720" w:num="1"/>
          <w:docGrid w:type="lines" w:linePitch="312" w:charSpace="0"/>
        </w:sectPr>
      </w:pPr>
      <w:r>
        <w:rPr>
          <w:rFonts w:hint="eastAsia" w:ascii="仿宋_GB2312" w:hAnsi="仿宋_GB2312" w:eastAsia="仿宋_GB2312" w:cs="仿宋_GB2312"/>
          <w:sz w:val="32"/>
          <w:szCs w:val="32"/>
          <w:lang w:val="en-US" w:eastAsia="zh-CN"/>
        </w:rPr>
        <w:t>2022年9月21日</w:t>
      </w:r>
    </w:p>
    <w:p>
      <w:pPr>
        <w:pStyle w:val="3"/>
        <w:jc w:val="center"/>
        <w:rPr>
          <w:rFonts w:ascii="黑体" w:hAnsi="黑体" w:eastAsia="黑体" w:cs="黑体"/>
        </w:rPr>
      </w:pPr>
      <w:r>
        <w:rPr>
          <w:rFonts w:hint="eastAsia" w:ascii="黑体" w:hAnsi="黑体" w:eastAsia="黑体" w:cs="黑体"/>
        </w:rPr>
        <w:t>第五部分 附表</w:t>
      </w:r>
    </w:p>
    <w:p>
      <w:pPr>
        <w:pStyle w:val="4"/>
        <w:keepNext/>
        <w:keepLines/>
        <w:pageBreakBefore w:val="0"/>
        <w:widowControl w:val="0"/>
        <w:kinsoku/>
        <w:wordWrap/>
        <w:overflowPunct/>
        <w:topLinePunct w:val="0"/>
        <w:autoSpaceDE/>
        <w:autoSpaceDN/>
        <w:bidi w:val="0"/>
        <w:adjustRightInd/>
        <w:snapToGrid/>
        <w:spacing w:line="560" w:lineRule="exact"/>
        <w:ind w:firstLine="642" w:firstLineChars="200"/>
        <w:textAlignment w:val="auto"/>
        <w:rPr>
          <w:rFonts w:ascii="黑体" w:eastAsia="黑体" w:cs="Times New Roman"/>
          <w:bCs w:val="0"/>
          <w:color w:val="000000"/>
        </w:rPr>
      </w:pPr>
      <w:r>
        <w:rPr>
          <w:rFonts w:hint="eastAsia" w:ascii="黑体" w:eastAsia="黑体" w:cs="Times New Roman"/>
          <w:bCs w:val="0"/>
          <w:color w:val="000000"/>
        </w:rPr>
        <w:t>一、收入支出决算总表</w:t>
      </w:r>
    </w:p>
    <w:p>
      <w:pPr>
        <w:pStyle w:val="4"/>
        <w:keepNext/>
        <w:keepLines/>
        <w:pageBreakBefore w:val="0"/>
        <w:widowControl w:val="0"/>
        <w:kinsoku/>
        <w:wordWrap/>
        <w:overflowPunct/>
        <w:topLinePunct w:val="0"/>
        <w:autoSpaceDE/>
        <w:autoSpaceDN/>
        <w:bidi w:val="0"/>
        <w:adjustRightInd/>
        <w:snapToGrid/>
        <w:spacing w:line="560" w:lineRule="exact"/>
        <w:ind w:firstLine="642" w:firstLineChars="200"/>
        <w:textAlignment w:val="auto"/>
        <w:rPr>
          <w:rFonts w:ascii="黑体" w:eastAsia="黑体" w:cs="Times New Roman"/>
          <w:bCs w:val="0"/>
          <w:color w:val="000000"/>
        </w:rPr>
      </w:pPr>
      <w:r>
        <w:rPr>
          <w:rFonts w:hint="eastAsia" w:ascii="黑体" w:eastAsia="黑体" w:cs="Times New Roman"/>
          <w:bCs w:val="0"/>
          <w:color w:val="000000"/>
        </w:rPr>
        <w:t>二、收入决算表</w:t>
      </w:r>
    </w:p>
    <w:p>
      <w:pPr>
        <w:pStyle w:val="4"/>
        <w:keepNext/>
        <w:keepLines/>
        <w:pageBreakBefore w:val="0"/>
        <w:widowControl w:val="0"/>
        <w:kinsoku/>
        <w:wordWrap/>
        <w:overflowPunct/>
        <w:topLinePunct w:val="0"/>
        <w:autoSpaceDE/>
        <w:autoSpaceDN/>
        <w:bidi w:val="0"/>
        <w:adjustRightInd/>
        <w:snapToGrid/>
        <w:spacing w:line="560" w:lineRule="exact"/>
        <w:ind w:firstLine="642" w:firstLineChars="200"/>
        <w:textAlignment w:val="auto"/>
        <w:rPr>
          <w:rFonts w:ascii="黑体" w:eastAsia="黑体" w:cs="Times New Roman"/>
          <w:b w:val="0"/>
          <w:color w:val="000000"/>
        </w:rPr>
      </w:pPr>
      <w:r>
        <w:rPr>
          <w:rFonts w:hint="eastAsia" w:ascii="黑体" w:eastAsia="黑体" w:cs="Times New Roman"/>
          <w:bCs w:val="0"/>
          <w:color w:val="000000"/>
        </w:rPr>
        <w:t>三、支出决算表</w:t>
      </w:r>
    </w:p>
    <w:p>
      <w:pPr>
        <w:pStyle w:val="4"/>
        <w:keepNext/>
        <w:keepLines/>
        <w:pageBreakBefore w:val="0"/>
        <w:widowControl w:val="0"/>
        <w:kinsoku/>
        <w:wordWrap/>
        <w:overflowPunct/>
        <w:topLinePunct w:val="0"/>
        <w:autoSpaceDE/>
        <w:autoSpaceDN/>
        <w:bidi w:val="0"/>
        <w:adjustRightInd/>
        <w:snapToGrid/>
        <w:spacing w:line="560" w:lineRule="exact"/>
        <w:ind w:firstLine="642" w:firstLineChars="200"/>
        <w:textAlignment w:val="auto"/>
        <w:rPr>
          <w:rFonts w:ascii="黑体" w:eastAsia="黑体" w:cs="Times New Roman"/>
          <w:bCs w:val="0"/>
          <w:color w:val="000000"/>
        </w:rPr>
      </w:pPr>
      <w:r>
        <w:rPr>
          <w:rFonts w:hint="eastAsia" w:ascii="黑体" w:eastAsia="黑体" w:cs="Times New Roman"/>
          <w:bCs w:val="0"/>
          <w:color w:val="000000"/>
        </w:rPr>
        <w:t>四、财政拨款收入支出决算总表</w:t>
      </w:r>
    </w:p>
    <w:p>
      <w:pPr>
        <w:pStyle w:val="4"/>
        <w:keepNext/>
        <w:keepLines/>
        <w:pageBreakBefore w:val="0"/>
        <w:widowControl w:val="0"/>
        <w:kinsoku/>
        <w:wordWrap/>
        <w:overflowPunct/>
        <w:topLinePunct w:val="0"/>
        <w:autoSpaceDE/>
        <w:autoSpaceDN/>
        <w:bidi w:val="0"/>
        <w:adjustRightInd/>
        <w:snapToGrid/>
        <w:spacing w:line="560" w:lineRule="exact"/>
        <w:ind w:firstLine="642" w:firstLineChars="200"/>
        <w:textAlignment w:val="auto"/>
        <w:rPr>
          <w:rFonts w:ascii="黑体" w:eastAsia="黑体" w:cs="Times New Roman"/>
          <w:bCs w:val="0"/>
          <w:color w:val="000000"/>
        </w:rPr>
      </w:pPr>
      <w:r>
        <w:rPr>
          <w:rFonts w:hint="eastAsia" w:ascii="黑体" w:eastAsia="黑体" w:cs="Times New Roman"/>
          <w:bCs w:val="0"/>
          <w:color w:val="000000"/>
        </w:rPr>
        <w:t>五、财政拨款支出决算明细表</w:t>
      </w:r>
    </w:p>
    <w:p>
      <w:pPr>
        <w:pStyle w:val="4"/>
        <w:keepNext/>
        <w:keepLines/>
        <w:pageBreakBefore w:val="0"/>
        <w:widowControl w:val="0"/>
        <w:kinsoku/>
        <w:wordWrap/>
        <w:overflowPunct/>
        <w:topLinePunct w:val="0"/>
        <w:autoSpaceDE/>
        <w:autoSpaceDN/>
        <w:bidi w:val="0"/>
        <w:adjustRightInd/>
        <w:snapToGrid/>
        <w:spacing w:line="560" w:lineRule="exact"/>
        <w:ind w:firstLine="642" w:firstLineChars="200"/>
        <w:textAlignment w:val="auto"/>
        <w:rPr>
          <w:rFonts w:ascii="黑体" w:eastAsia="黑体" w:cs="Times New Roman"/>
          <w:bCs w:val="0"/>
          <w:color w:val="000000"/>
        </w:rPr>
      </w:pPr>
      <w:r>
        <w:rPr>
          <w:rFonts w:hint="eastAsia" w:ascii="黑体" w:eastAsia="黑体" w:cs="Times New Roman"/>
          <w:bCs w:val="0"/>
          <w:color w:val="000000"/>
        </w:rPr>
        <w:t>六、一般公共预算财政拨款支出决算表</w:t>
      </w:r>
    </w:p>
    <w:p>
      <w:pPr>
        <w:pStyle w:val="4"/>
        <w:keepNext/>
        <w:keepLines/>
        <w:pageBreakBefore w:val="0"/>
        <w:widowControl w:val="0"/>
        <w:kinsoku/>
        <w:wordWrap/>
        <w:overflowPunct/>
        <w:topLinePunct w:val="0"/>
        <w:autoSpaceDE/>
        <w:autoSpaceDN/>
        <w:bidi w:val="0"/>
        <w:adjustRightInd/>
        <w:snapToGrid/>
        <w:spacing w:line="560" w:lineRule="exact"/>
        <w:ind w:firstLine="642" w:firstLineChars="200"/>
        <w:textAlignment w:val="auto"/>
        <w:rPr>
          <w:rFonts w:ascii="黑体" w:eastAsia="黑体" w:cs="Times New Roman"/>
          <w:bCs w:val="0"/>
          <w:color w:val="000000"/>
        </w:rPr>
      </w:pPr>
      <w:r>
        <w:rPr>
          <w:rFonts w:hint="eastAsia" w:ascii="黑体" w:eastAsia="黑体" w:cs="Times New Roman"/>
          <w:bCs w:val="0"/>
          <w:color w:val="000000"/>
        </w:rPr>
        <w:t>七、一般公共预算财政拨款支出决算明细表</w:t>
      </w:r>
    </w:p>
    <w:p>
      <w:pPr>
        <w:pStyle w:val="4"/>
        <w:keepNext/>
        <w:keepLines/>
        <w:pageBreakBefore w:val="0"/>
        <w:widowControl w:val="0"/>
        <w:kinsoku/>
        <w:wordWrap/>
        <w:overflowPunct/>
        <w:topLinePunct w:val="0"/>
        <w:autoSpaceDE/>
        <w:autoSpaceDN/>
        <w:bidi w:val="0"/>
        <w:adjustRightInd/>
        <w:snapToGrid/>
        <w:spacing w:line="560" w:lineRule="exact"/>
        <w:ind w:firstLine="642" w:firstLineChars="200"/>
        <w:textAlignment w:val="auto"/>
        <w:rPr>
          <w:rFonts w:ascii="黑体" w:eastAsia="黑体" w:cs="Times New Roman"/>
          <w:bCs w:val="0"/>
          <w:color w:val="000000"/>
        </w:rPr>
      </w:pPr>
      <w:r>
        <w:rPr>
          <w:rFonts w:hint="eastAsia" w:ascii="黑体" w:eastAsia="黑体" w:cs="Times New Roman"/>
          <w:bCs w:val="0"/>
          <w:color w:val="000000"/>
        </w:rPr>
        <w:t>八、一般公共预算财政拨款基本支出决算表</w:t>
      </w:r>
    </w:p>
    <w:p>
      <w:pPr>
        <w:pStyle w:val="4"/>
        <w:keepNext/>
        <w:keepLines/>
        <w:pageBreakBefore w:val="0"/>
        <w:widowControl w:val="0"/>
        <w:kinsoku/>
        <w:wordWrap/>
        <w:overflowPunct/>
        <w:topLinePunct w:val="0"/>
        <w:autoSpaceDE/>
        <w:autoSpaceDN/>
        <w:bidi w:val="0"/>
        <w:adjustRightInd/>
        <w:snapToGrid/>
        <w:spacing w:line="560" w:lineRule="exact"/>
        <w:ind w:firstLine="642" w:firstLineChars="200"/>
        <w:textAlignment w:val="auto"/>
        <w:rPr>
          <w:rFonts w:ascii="黑体" w:eastAsia="黑体" w:cs="Times New Roman"/>
          <w:bCs w:val="0"/>
          <w:color w:val="000000"/>
        </w:rPr>
      </w:pPr>
      <w:r>
        <w:rPr>
          <w:rFonts w:hint="eastAsia" w:ascii="黑体" w:eastAsia="黑体" w:cs="Times New Roman"/>
          <w:bCs w:val="0"/>
          <w:color w:val="000000"/>
        </w:rPr>
        <w:t>九、一般公共预算财政拨款项目支出决算表</w:t>
      </w:r>
    </w:p>
    <w:p>
      <w:pPr>
        <w:pStyle w:val="4"/>
        <w:keepNext/>
        <w:keepLines/>
        <w:pageBreakBefore w:val="0"/>
        <w:widowControl w:val="0"/>
        <w:kinsoku/>
        <w:wordWrap/>
        <w:overflowPunct/>
        <w:topLinePunct w:val="0"/>
        <w:autoSpaceDE/>
        <w:autoSpaceDN/>
        <w:bidi w:val="0"/>
        <w:adjustRightInd/>
        <w:snapToGrid/>
        <w:spacing w:line="560" w:lineRule="exact"/>
        <w:ind w:firstLine="642" w:firstLineChars="200"/>
        <w:textAlignment w:val="auto"/>
        <w:rPr>
          <w:rFonts w:ascii="黑体" w:eastAsia="黑体" w:cs="Times New Roman"/>
          <w:bCs w:val="0"/>
          <w:color w:val="000000"/>
        </w:rPr>
      </w:pPr>
      <w:r>
        <w:rPr>
          <w:rFonts w:hint="eastAsia" w:ascii="黑体" w:eastAsia="黑体" w:cs="Times New Roman"/>
          <w:bCs w:val="0"/>
          <w:color w:val="000000"/>
        </w:rPr>
        <w:t>十、一般公共预算财政拨款“三公”经费支出决算表</w:t>
      </w:r>
    </w:p>
    <w:p>
      <w:pPr>
        <w:pStyle w:val="4"/>
        <w:keepNext/>
        <w:keepLines/>
        <w:pageBreakBefore w:val="0"/>
        <w:widowControl w:val="0"/>
        <w:kinsoku/>
        <w:wordWrap/>
        <w:overflowPunct/>
        <w:topLinePunct w:val="0"/>
        <w:autoSpaceDE/>
        <w:autoSpaceDN/>
        <w:bidi w:val="0"/>
        <w:adjustRightInd/>
        <w:snapToGrid/>
        <w:spacing w:line="560" w:lineRule="exact"/>
        <w:ind w:firstLine="642" w:firstLineChars="200"/>
        <w:textAlignment w:val="auto"/>
        <w:rPr>
          <w:rFonts w:ascii="黑体" w:eastAsia="黑体" w:cs="Times New Roman"/>
          <w:bCs w:val="0"/>
          <w:color w:val="000000"/>
        </w:rPr>
      </w:pPr>
      <w:r>
        <w:rPr>
          <w:rFonts w:hint="eastAsia" w:ascii="黑体" w:eastAsia="黑体" w:cs="Times New Roman"/>
          <w:bCs w:val="0"/>
          <w:color w:val="000000"/>
        </w:rPr>
        <w:t>十一、政府性基金预算财政拨款收入支出决算表</w:t>
      </w:r>
    </w:p>
    <w:p>
      <w:pPr>
        <w:pStyle w:val="4"/>
        <w:keepNext/>
        <w:keepLines/>
        <w:pageBreakBefore w:val="0"/>
        <w:widowControl w:val="0"/>
        <w:kinsoku/>
        <w:wordWrap/>
        <w:overflowPunct/>
        <w:topLinePunct w:val="0"/>
        <w:autoSpaceDE/>
        <w:autoSpaceDN/>
        <w:bidi w:val="0"/>
        <w:adjustRightInd/>
        <w:snapToGrid/>
        <w:spacing w:line="560" w:lineRule="exact"/>
        <w:ind w:firstLine="642" w:firstLineChars="200"/>
        <w:textAlignment w:val="auto"/>
        <w:rPr>
          <w:rFonts w:ascii="黑体" w:eastAsia="黑体" w:cs="Times New Roman"/>
          <w:bCs w:val="0"/>
          <w:color w:val="000000"/>
        </w:rPr>
      </w:pPr>
      <w:r>
        <w:rPr>
          <w:rFonts w:hint="eastAsia" w:ascii="黑体" w:eastAsia="黑体" w:cs="Times New Roman"/>
          <w:bCs w:val="0"/>
          <w:color w:val="000000"/>
        </w:rPr>
        <w:t>十二、政府性基金预算财政拨款“三公”经费支出决算表</w:t>
      </w:r>
    </w:p>
    <w:p>
      <w:pPr>
        <w:pStyle w:val="4"/>
        <w:keepNext/>
        <w:keepLines/>
        <w:pageBreakBefore w:val="0"/>
        <w:widowControl w:val="0"/>
        <w:kinsoku/>
        <w:wordWrap/>
        <w:overflowPunct/>
        <w:topLinePunct w:val="0"/>
        <w:autoSpaceDE/>
        <w:autoSpaceDN/>
        <w:bidi w:val="0"/>
        <w:adjustRightInd/>
        <w:snapToGrid/>
        <w:spacing w:line="560" w:lineRule="exact"/>
        <w:ind w:firstLine="642" w:firstLineChars="200"/>
        <w:textAlignment w:val="auto"/>
        <w:rPr>
          <w:rFonts w:ascii="黑体" w:eastAsia="黑体" w:cs="Times New Roman"/>
          <w:bCs w:val="0"/>
          <w:color w:val="000000"/>
        </w:rPr>
      </w:pPr>
      <w:r>
        <w:rPr>
          <w:rFonts w:hint="eastAsia" w:ascii="黑体" w:eastAsia="黑体" w:cs="Times New Roman"/>
          <w:bCs w:val="0"/>
          <w:color w:val="000000"/>
        </w:rPr>
        <w:t>十三、国有资本经营预算财政拨款收入支出决算表</w:t>
      </w:r>
    </w:p>
    <w:p>
      <w:pPr>
        <w:pStyle w:val="4"/>
        <w:keepNext/>
        <w:keepLines/>
        <w:pageBreakBefore w:val="0"/>
        <w:widowControl w:val="0"/>
        <w:kinsoku/>
        <w:wordWrap/>
        <w:overflowPunct/>
        <w:topLinePunct w:val="0"/>
        <w:autoSpaceDE/>
        <w:autoSpaceDN/>
        <w:bidi w:val="0"/>
        <w:adjustRightInd/>
        <w:snapToGrid/>
        <w:spacing w:line="560" w:lineRule="exact"/>
        <w:ind w:firstLine="642" w:firstLineChars="200"/>
        <w:textAlignment w:val="auto"/>
        <w:rPr>
          <w:rFonts w:ascii="黑体" w:eastAsia="黑体" w:cs="Times New Roman"/>
          <w:b w:val="0"/>
          <w:color w:val="000000"/>
        </w:rPr>
      </w:pPr>
      <w:r>
        <w:rPr>
          <w:rFonts w:hint="eastAsia" w:ascii="黑体" w:eastAsia="黑体" w:cs="Times New Roman"/>
          <w:bCs w:val="0"/>
          <w:color w:val="000000"/>
        </w:rPr>
        <w:t>十四、国有资本经营预算财政拨款支出决算表</w:t>
      </w:r>
    </w:p>
    <w:p>
      <w:pPr>
        <w:pStyle w:val="36"/>
      </w:pPr>
    </w:p>
    <w:sectPr>
      <w:headerReference r:id="rId5" w:type="default"/>
      <w:footerReference r:id="rId6"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oto Sans CJK JP Bold">
    <w:panose1 w:val="020B0800000000000000"/>
    <w:charset w:val="86"/>
    <w:family w:val="auto"/>
    <w:pitch w:val="default"/>
    <w:sig w:usb0="30000003" w:usb1="2BDF3C10" w:usb2="00000016" w:usb3="00000000" w:csb0="602E0107" w:csb1="00000000"/>
  </w:font>
  <w:font w:name="Noto Sans Syriac Eastern">
    <w:panose1 w:val="02040503050306020203"/>
    <w:charset w:val="86"/>
    <w:family w:val="auto"/>
    <w:pitch w:val="default"/>
    <w:sig w:usb0="00000000" w:usb1="00000000" w:usb2="00000080" w:usb3="00000000" w:csb0="203E0161" w:csb1="D7FF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0"/>
          <w:jc w:val="center"/>
        </w:pPr>
        <w:r>
          <w:fldChar w:fldCharType="begin"/>
        </w:r>
        <w:r>
          <w:instrText xml:space="preserve">PAGE   \* MERGEFORMAT</w:instrText>
        </w:r>
        <w:r>
          <w:fldChar w:fldCharType="separate"/>
        </w:r>
        <w:r>
          <w:rPr>
            <w:lang w:val="zh-CN"/>
          </w:rPr>
          <w:t>4</w:t>
        </w:r>
        <w: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singleLevel"/>
    <w:tmpl w:val="0053208E"/>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105"/>
  <w:drawingGridVerticalSpacing w:val="156"/>
  <w:noPunctuationKerning w:val="true"/>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zcxZDM0MjZkNjI3OGVhNjQ0OTE3ZDU0YmUxOTQ0MjEifQ=="/>
  </w:docVars>
  <w:rsids>
    <w:rsidRoot w:val="00F1361C"/>
    <w:rsid w:val="000000BC"/>
    <w:rsid w:val="00000665"/>
    <w:rsid w:val="00000B38"/>
    <w:rsid w:val="000015A2"/>
    <w:rsid w:val="00003E5B"/>
    <w:rsid w:val="00007EA6"/>
    <w:rsid w:val="00012FB7"/>
    <w:rsid w:val="00013357"/>
    <w:rsid w:val="00013C9E"/>
    <w:rsid w:val="00015450"/>
    <w:rsid w:val="000175E6"/>
    <w:rsid w:val="00017F98"/>
    <w:rsid w:val="00020F07"/>
    <w:rsid w:val="000222C6"/>
    <w:rsid w:val="00022FC0"/>
    <w:rsid w:val="000230B2"/>
    <w:rsid w:val="0002359B"/>
    <w:rsid w:val="00023DEB"/>
    <w:rsid w:val="00025226"/>
    <w:rsid w:val="0002549F"/>
    <w:rsid w:val="00025F1E"/>
    <w:rsid w:val="0002749D"/>
    <w:rsid w:val="0003013F"/>
    <w:rsid w:val="00031598"/>
    <w:rsid w:val="00031926"/>
    <w:rsid w:val="000326D5"/>
    <w:rsid w:val="00033414"/>
    <w:rsid w:val="00034ABC"/>
    <w:rsid w:val="00034D24"/>
    <w:rsid w:val="00035A69"/>
    <w:rsid w:val="000366B3"/>
    <w:rsid w:val="00036E57"/>
    <w:rsid w:val="00047195"/>
    <w:rsid w:val="00047C09"/>
    <w:rsid w:val="00052D93"/>
    <w:rsid w:val="000551CF"/>
    <w:rsid w:val="000571AC"/>
    <w:rsid w:val="00063AA8"/>
    <w:rsid w:val="0006487A"/>
    <w:rsid w:val="00065F8F"/>
    <w:rsid w:val="00066365"/>
    <w:rsid w:val="00066A65"/>
    <w:rsid w:val="00070C93"/>
    <w:rsid w:val="00070D58"/>
    <w:rsid w:val="00070F40"/>
    <w:rsid w:val="00071796"/>
    <w:rsid w:val="00072BEC"/>
    <w:rsid w:val="00073345"/>
    <w:rsid w:val="000768F2"/>
    <w:rsid w:val="00077C80"/>
    <w:rsid w:val="00081156"/>
    <w:rsid w:val="000815F6"/>
    <w:rsid w:val="00083B72"/>
    <w:rsid w:val="000846FF"/>
    <w:rsid w:val="0008503A"/>
    <w:rsid w:val="000851B4"/>
    <w:rsid w:val="000859F0"/>
    <w:rsid w:val="00087C06"/>
    <w:rsid w:val="00090134"/>
    <w:rsid w:val="00090DB7"/>
    <w:rsid w:val="0009184B"/>
    <w:rsid w:val="00091AAC"/>
    <w:rsid w:val="000925CB"/>
    <w:rsid w:val="0009389E"/>
    <w:rsid w:val="0009593C"/>
    <w:rsid w:val="000A1370"/>
    <w:rsid w:val="000A17C4"/>
    <w:rsid w:val="000A37A2"/>
    <w:rsid w:val="000A500C"/>
    <w:rsid w:val="000B007F"/>
    <w:rsid w:val="000B047F"/>
    <w:rsid w:val="000B071C"/>
    <w:rsid w:val="000B1716"/>
    <w:rsid w:val="000B202D"/>
    <w:rsid w:val="000B26BE"/>
    <w:rsid w:val="000B2D44"/>
    <w:rsid w:val="000B2FD8"/>
    <w:rsid w:val="000B44F0"/>
    <w:rsid w:val="000B5923"/>
    <w:rsid w:val="000B5A48"/>
    <w:rsid w:val="000B6FF3"/>
    <w:rsid w:val="000C0A06"/>
    <w:rsid w:val="000C148A"/>
    <w:rsid w:val="000C2B6A"/>
    <w:rsid w:val="000C3467"/>
    <w:rsid w:val="000C3CA6"/>
    <w:rsid w:val="000C4E3D"/>
    <w:rsid w:val="000C7136"/>
    <w:rsid w:val="000D1267"/>
    <w:rsid w:val="000D1D50"/>
    <w:rsid w:val="000D304F"/>
    <w:rsid w:val="000D4033"/>
    <w:rsid w:val="000D5782"/>
    <w:rsid w:val="000D620F"/>
    <w:rsid w:val="000D74AA"/>
    <w:rsid w:val="000E3AC5"/>
    <w:rsid w:val="000E4C84"/>
    <w:rsid w:val="000E6613"/>
    <w:rsid w:val="000E6663"/>
    <w:rsid w:val="000E7119"/>
    <w:rsid w:val="000E75B2"/>
    <w:rsid w:val="000F0D1B"/>
    <w:rsid w:val="000F3E1D"/>
    <w:rsid w:val="000F7336"/>
    <w:rsid w:val="00101546"/>
    <w:rsid w:val="00106B75"/>
    <w:rsid w:val="0010727E"/>
    <w:rsid w:val="00107CCA"/>
    <w:rsid w:val="00110310"/>
    <w:rsid w:val="00112787"/>
    <w:rsid w:val="00114E9B"/>
    <w:rsid w:val="0011649B"/>
    <w:rsid w:val="00116E5E"/>
    <w:rsid w:val="0012218E"/>
    <w:rsid w:val="0012398F"/>
    <w:rsid w:val="00124113"/>
    <w:rsid w:val="00124BFE"/>
    <w:rsid w:val="0012516D"/>
    <w:rsid w:val="00125224"/>
    <w:rsid w:val="00130F18"/>
    <w:rsid w:val="00133C7A"/>
    <w:rsid w:val="0013434B"/>
    <w:rsid w:val="00137E3C"/>
    <w:rsid w:val="001418EE"/>
    <w:rsid w:val="00142F42"/>
    <w:rsid w:val="00143AE1"/>
    <w:rsid w:val="00143C8F"/>
    <w:rsid w:val="001446FE"/>
    <w:rsid w:val="00144A59"/>
    <w:rsid w:val="00146A3D"/>
    <w:rsid w:val="0014729F"/>
    <w:rsid w:val="00147410"/>
    <w:rsid w:val="001506F6"/>
    <w:rsid w:val="0015213E"/>
    <w:rsid w:val="001544D9"/>
    <w:rsid w:val="00156D5D"/>
    <w:rsid w:val="00157BAB"/>
    <w:rsid w:val="0016151A"/>
    <w:rsid w:val="00163B54"/>
    <w:rsid w:val="001654D1"/>
    <w:rsid w:val="00166A14"/>
    <w:rsid w:val="00166F25"/>
    <w:rsid w:val="0016730C"/>
    <w:rsid w:val="0017190C"/>
    <w:rsid w:val="00174145"/>
    <w:rsid w:val="0018106D"/>
    <w:rsid w:val="0018125C"/>
    <w:rsid w:val="00181856"/>
    <w:rsid w:val="00183B64"/>
    <w:rsid w:val="00184B52"/>
    <w:rsid w:val="001877A7"/>
    <w:rsid w:val="00187CD2"/>
    <w:rsid w:val="00191536"/>
    <w:rsid w:val="00191B2C"/>
    <w:rsid w:val="001927B3"/>
    <w:rsid w:val="00193E73"/>
    <w:rsid w:val="00193FE2"/>
    <w:rsid w:val="001959D9"/>
    <w:rsid w:val="00195AB7"/>
    <w:rsid w:val="00196687"/>
    <w:rsid w:val="001A0107"/>
    <w:rsid w:val="001A0B9F"/>
    <w:rsid w:val="001A0EA2"/>
    <w:rsid w:val="001A1DBF"/>
    <w:rsid w:val="001A5CF3"/>
    <w:rsid w:val="001A63BB"/>
    <w:rsid w:val="001B1840"/>
    <w:rsid w:val="001B1FA9"/>
    <w:rsid w:val="001B6640"/>
    <w:rsid w:val="001B7FF7"/>
    <w:rsid w:val="001C0962"/>
    <w:rsid w:val="001C1941"/>
    <w:rsid w:val="001C1A81"/>
    <w:rsid w:val="001C38A5"/>
    <w:rsid w:val="001C597C"/>
    <w:rsid w:val="001C6464"/>
    <w:rsid w:val="001C746B"/>
    <w:rsid w:val="001D14B6"/>
    <w:rsid w:val="001D342B"/>
    <w:rsid w:val="001D6C1E"/>
    <w:rsid w:val="001D7531"/>
    <w:rsid w:val="001E0A1B"/>
    <w:rsid w:val="001E1402"/>
    <w:rsid w:val="001E2922"/>
    <w:rsid w:val="001E3680"/>
    <w:rsid w:val="001E737D"/>
    <w:rsid w:val="001F0592"/>
    <w:rsid w:val="001F0C89"/>
    <w:rsid w:val="001F7506"/>
    <w:rsid w:val="002006CD"/>
    <w:rsid w:val="0020075A"/>
    <w:rsid w:val="00202B36"/>
    <w:rsid w:val="00202C44"/>
    <w:rsid w:val="00202F80"/>
    <w:rsid w:val="002030A5"/>
    <w:rsid w:val="00204B7A"/>
    <w:rsid w:val="00206616"/>
    <w:rsid w:val="0020689D"/>
    <w:rsid w:val="00206B0E"/>
    <w:rsid w:val="00207949"/>
    <w:rsid w:val="0021101A"/>
    <w:rsid w:val="0021190F"/>
    <w:rsid w:val="0021334C"/>
    <w:rsid w:val="00216B50"/>
    <w:rsid w:val="00220536"/>
    <w:rsid w:val="00220C02"/>
    <w:rsid w:val="00224F1D"/>
    <w:rsid w:val="00225CB7"/>
    <w:rsid w:val="0023060C"/>
    <w:rsid w:val="00234E40"/>
    <w:rsid w:val="00235629"/>
    <w:rsid w:val="00237AE4"/>
    <w:rsid w:val="00240C43"/>
    <w:rsid w:val="00240C5D"/>
    <w:rsid w:val="00243589"/>
    <w:rsid w:val="002527B1"/>
    <w:rsid w:val="0025301B"/>
    <w:rsid w:val="00253FF8"/>
    <w:rsid w:val="00260A32"/>
    <w:rsid w:val="00260C38"/>
    <w:rsid w:val="00260F84"/>
    <w:rsid w:val="002616C0"/>
    <w:rsid w:val="002620C0"/>
    <w:rsid w:val="002662AA"/>
    <w:rsid w:val="00267E1C"/>
    <w:rsid w:val="00272FB2"/>
    <w:rsid w:val="0027313F"/>
    <w:rsid w:val="00273F8B"/>
    <w:rsid w:val="002740FA"/>
    <w:rsid w:val="0027692F"/>
    <w:rsid w:val="0027703A"/>
    <w:rsid w:val="00277BF4"/>
    <w:rsid w:val="00280496"/>
    <w:rsid w:val="00283D63"/>
    <w:rsid w:val="002856F9"/>
    <w:rsid w:val="002866CA"/>
    <w:rsid w:val="00286C21"/>
    <w:rsid w:val="002875BF"/>
    <w:rsid w:val="0029076F"/>
    <w:rsid w:val="0029094E"/>
    <w:rsid w:val="00291DC2"/>
    <w:rsid w:val="00292626"/>
    <w:rsid w:val="00292E6B"/>
    <w:rsid w:val="00295495"/>
    <w:rsid w:val="002A0D55"/>
    <w:rsid w:val="002A0E88"/>
    <w:rsid w:val="002A3F4C"/>
    <w:rsid w:val="002A70D7"/>
    <w:rsid w:val="002A77B7"/>
    <w:rsid w:val="002A7AE1"/>
    <w:rsid w:val="002B133E"/>
    <w:rsid w:val="002B1B6D"/>
    <w:rsid w:val="002B2613"/>
    <w:rsid w:val="002B2C2A"/>
    <w:rsid w:val="002B2F51"/>
    <w:rsid w:val="002B44FC"/>
    <w:rsid w:val="002B5438"/>
    <w:rsid w:val="002B544A"/>
    <w:rsid w:val="002B5F40"/>
    <w:rsid w:val="002B79B7"/>
    <w:rsid w:val="002C00BF"/>
    <w:rsid w:val="002C0137"/>
    <w:rsid w:val="002C1004"/>
    <w:rsid w:val="002C1E97"/>
    <w:rsid w:val="002C4022"/>
    <w:rsid w:val="002C5275"/>
    <w:rsid w:val="002C6074"/>
    <w:rsid w:val="002D1F9E"/>
    <w:rsid w:val="002D30E8"/>
    <w:rsid w:val="002E0F9C"/>
    <w:rsid w:val="002E1F75"/>
    <w:rsid w:val="002E202A"/>
    <w:rsid w:val="002E5C3A"/>
    <w:rsid w:val="002E64D0"/>
    <w:rsid w:val="002F1818"/>
    <w:rsid w:val="002F1A28"/>
    <w:rsid w:val="002F2C84"/>
    <w:rsid w:val="002F335F"/>
    <w:rsid w:val="002F567B"/>
    <w:rsid w:val="002F66D8"/>
    <w:rsid w:val="002F7353"/>
    <w:rsid w:val="0030080A"/>
    <w:rsid w:val="0030298F"/>
    <w:rsid w:val="00305126"/>
    <w:rsid w:val="0030593B"/>
    <w:rsid w:val="00310306"/>
    <w:rsid w:val="0031156F"/>
    <w:rsid w:val="00317FD1"/>
    <w:rsid w:val="00321358"/>
    <w:rsid w:val="003216A9"/>
    <w:rsid w:val="00322D89"/>
    <w:rsid w:val="00325332"/>
    <w:rsid w:val="00325856"/>
    <w:rsid w:val="00325985"/>
    <w:rsid w:val="003278AA"/>
    <w:rsid w:val="00332726"/>
    <w:rsid w:val="0033309F"/>
    <w:rsid w:val="00335ED6"/>
    <w:rsid w:val="00337694"/>
    <w:rsid w:val="003431B7"/>
    <w:rsid w:val="0034381A"/>
    <w:rsid w:val="003440C6"/>
    <w:rsid w:val="00350C26"/>
    <w:rsid w:val="003515CF"/>
    <w:rsid w:val="00353569"/>
    <w:rsid w:val="0035612F"/>
    <w:rsid w:val="00356A32"/>
    <w:rsid w:val="0035779A"/>
    <w:rsid w:val="00360394"/>
    <w:rsid w:val="0036392A"/>
    <w:rsid w:val="003663FE"/>
    <w:rsid w:val="0036688B"/>
    <w:rsid w:val="00366A86"/>
    <w:rsid w:val="00367683"/>
    <w:rsid w:val="00367B91"/>
    <w:rsid w:val="0037013F"/>
    <w:rsid w:val="00373FCE"/>
    <w:rsid w:val="00377A4C"/>
    <w:rsid w:val="003802FF"/>
    <w:rsid w:val="00380C92"/>
    <w:rsid w:val="00385025"/>
    <w:rsid w:val="00386455"/>
    <w:rsid w:val="00390F3B"/>
    <w:rsid w:val="0039111A"/>
    <w:rsid w:val="003936B4"/>
    <w:rsid w:val="00393AFD"/>
    <w:rsid w:val="003A079E"/>
    <w:rsid w:val="003A10FA"/>
    <w:rsid w:val="003A163E"/>
    <w:rsid w:val="003A32EC"/>
    <w:rsid w:val="003A36AE"/>
    <w:rsid w:val="003A3ACA"/>
    <w:rsid w:val="003A4404"/>
    <w:rsid w:val="003A484F"/>
    <w:rsid w:val="003A4F96"/>
    <w:rsid w:val="003A5540"/>
    <w:rsid w:val="003B0BE0"/>
    <w:rsid w:val="003B0C1A"/>
    <w:rsid w:val="003B0C1B"/>
    <w:rsid w:val="003B5601"/>
    <w:rsid w:val="003B688C"/>
    <w:rsid w:val="003C0291"/>
    <w:rsid w:val="003C2ECB"/>
    <w:rsid w:val="003C350E"/>
    <w:rsid w:val="003C39AE"/>
    <w:rsid w:val="003C6D0D"/>
    <w:rsid w:val="003C76CC"/>
    <w:rsid w:val="003C7B60"/>
    <w:rsid w:val="003D0821"/>
    <w:rsid w:val="003D1FB2"/>
    <w:rsid w:val="003D2303"/>
    <w:rsid w:val="003D3CC9"/>
    <w:rsid w:val="003D4221"/>
    <w:rsid w:val="003D644D"/>
    <w:rsid w:val="003D66DA"/>
    <w:rsid w:val="003E10D3"/>
    <w:rsid w:val="003E1310"/>
    <w:rsid w:val="003E2E1C"/>
    <w:rsid w:val="003E5BD3"/>
    <w:rsid w:val="003E6348"/>
    <w:rsid w:val="003E6F55"/>
    <w:rsid w:val="003F133D"/>
    <w:rsid w:val="003F2794"/>
    <w:rsid w:val="003F339D"/>
    <w:rsid w:val="003F363F"/>
    <w:rsid w:val="003F3A2A"/>
    <w:rsid w:val="003F3DED"/>
    <w:rsid w:val="003F3E94"/>
    <w:rsid w:val="003F44B8"/>
    <w:rsid w:val="003F7CD6"/>
    <w:rsid w:val="00400549"/>
    <w:rsid w:val="00401C71"/>
    <w:rsid w:val="004026F9"/>
    <w:rsid w:val="00402FCE"/>
    <w:rsid w:val="00405639"/>
    <w:rsid w:val="00406254"/>
    <w:rsid w:val="004071E0"/>
    <w:rsid w:val="00407AD0"/>
    <w:rsid w:val="00410C16"/>
    <w:rsid w:val="00422023"/>
    <w:rsid w:val="004223DE"/>
    <w:rsid w:val="004234B2"/>
    <w:rsid w:val="00426FA8"/>
    <w:rsid w:val="00427162"/>
    <w:rsid w:val="0043341C"/>
    <w:rsid w:val="004343F3"/>
    <w:rsid w:val="00434489"/>
    <w:rsid w:val="0043475E"/>
    <w:rsid w:val="0043497B"/>
    <w:rsid w:val="00435137"/>
    <w:rsid w:val="00436E88"/>
    <w:rsid w:val="00437085"/>
    <w:rsid w:val="004370D1"/>
    <w:rsid w:val="00440872"/>
    <w:rsid w:val="00440A29"/>
    <w:rsid w:val="00441C18"/>
    <w:rsid w:val="004422EF"/>
    <w:rsid w:val="00443880"/>
    <w:rsid w:val="00444CE1"/>
    <w:rsid w:val="0044578E"/>
    <w:rsid w:val="0044581C"/>
    <w:rsid w:val="004464F4"/>
    <w:rsid w:val="00446FA9"/>
    <w:rsid w:val="00447035"/>
    <w:rsid w:val="00450BFF"/>
    <w:rsid w:val="00454FA9"/>
    <w:rsid w:val="0045723A"/>
    <w:rsid w:val="00460A67"/>
    <w:rsid w:val="00461A98"/>
    <w:rsid w:val="00462B33"/>
    <w:rsid w:val="0046346E"/>
    <w:rsid w:val="004708B9"/>
    <w:rsid w:val="00471401"/>
    <w:rsid w:val="00471CBB"/>
    <w:rsid w:val="00473F31"/>
    <w:rsid w:val="00474218"/>
    <w:rsid w:val="004750E8"/>
    <w:rsid w:val="00476F1B"/>
    <w:rsid w:val="0047729B"/>
    <w:rsid w:val="0048263A"/>
    <w:rsid w:val="0048368B"/>
    <w:rsid w:val="0048372E"/>
    <w:rsid w:val="00483F46"/>
    <w:rsid w:val="00484CD3"/>
    <w:rsid w:val="004857E4"/>
    <w:rsid w:val="00486073"/>
    <w:rsid w:val="0048694C"/>
    <w:rsid w:val="00486E3E"/>
    <w:rsid w:val="00487E5D"/>
    <w:rsid w:val="00491181"/>
    <w:rsid w:val="00492070"/>
    <w:rsid w:val="004941B6"/>
    <w:rsid w:val="00497E59"/>
    <w:rsid w:val="004A2A48"/>
    <w:rsid w:val="004A4A66"/>
    <w:rsid w:val="004A4B01"/>
    <w:rsid w:val="004A5576"/>
    <w:rsid w:val="004A6B85"/>
    <w:rsid w:val="004A711F"/>
    <w:rsid w:val="004A7B2B"/>
    <w:rsid w:val="004B01AE"/>
    <w:rsid w:val="004B199D"/>
    <w:rsid w:val="004B2279"/>
    <w:rsid w:val="004B25B9"/>
    <w:rsid w:val="004B3F00"/>
    <w:rsid w:val="004B4690"/>
    <w:rsid w:val="004B7108"/>
    <w:rsid w:val="004B778F"/>
    <w:rsid w:val="004B785F"/>
    <w:rsid w:val="004C01B1"/>
    <w:rsid w:val="004C062D"/>
    <w:rsid w:val="004C4638"/>
    <w:rsid w:val="004C5745"/>
    <w:rsid w:val="004C5DBD"/>
    <w:rsid w:val="004C62FA"/>
    <w:rsid w:val="004C6FB9"/>
    <w:rsid w:val="004D1DC6"/>
    <w:rsid w:val="004D31FB"/>
    <w:rsid w:val="004D4BB1"/>
    <w:rsid w:val="004D4D6E"/>
    <w:rsid w:val="004D4DA3"/>
    <w:rsid w:val="004D798C"/>
    <w:rsid w:val="004D7AEF"/>
    <w:rsid w:val="004E028C"/>
    <w:rsid w:val="004E0815"/>
    <w:rsid w:val="004E0A2D"/>
    <w:rsid w:val="004E206B"/>
    <w:rsid w:val="004E3DEC"/>
    <w:rsid w:val="004E67E0"/>
    <w:rsid w:val="004E6DF7"/>
    <w:rsid w:val="004F0FBD"/>
    <w:rsid w:val="00501436"/>
    <w:rsid w:val="00501B3E"/>
    <w:rsid w:val="00502053"/>
    <w:rsid w:val="005020BB"/>
    <w:rsid w:val="00505843"/>
    <w:rsid w:val="00505A47"/>
    <w:rsid w:val="0050679E"/>
    <w:rsid w:val="0051166F"/>
    <w:rsid w:val="00512FDA"/>
    <w:rsid w:val="00513ED7"/>
    <w:rsid w:val="0051467D"/>
    <w:rsid w:val="00520DA0"/>
    <w:rsid w:val="005225FC"/>
    <w:rsid w:val="00524AC4"/>
    <w:rsid w:val="0052729E"/>
    <w:rsid w:val="0052733D"/>
    <w:rsid w:val="00530E19"/>
    <w:rsid w:val="00530F71"/>
    <w:rsid w:val="005322EB"/>
    <w:rsid w:val="0053459C"/>
    <w:rsid w:val="00550726"/>
    <w:rsid w:val="0055106D"/>
    <w:rsid w:val="005559A4"/>
    <w:rsid w:val="00565D17"/>
    <w:rsid w:val="005664BB"/>
    <w:rsid w:val="00566C08"/>
    <w:rsid w:val="0056722F"/>
    <w:rsid w:val="00567B67"/>
    <w:rsid w:val="00570C62"/>
    <w:rsid w:val="00572EB1"/>
    <w:rsid w:val="00572EC9"/>
    <w:rsid w:val="00573576"/>
    <w:rsid w:val="0057481D"/>
    <w:rsid w:val="0057798B"/>
    <w:rsid w:val="00577A75"/>
    <w:rsid w:val="00577DF2"/>
    <w:rsid w:val="00580D35"/>
    <w:rsid w:val="0058486E"/>
    <w:rsid w:val="00584F2B"/>
    <w:rsid w:val="005935E9"/>
    <w:rsid w:val="005939BC"/>
    <w:rsid w:val="00593D4E"/>
    <w:rsid w:val="005975DB"/>
    <w:rsid w:val="00597919"/>
    <w:rsid w:val="005A0204"/>
    <w:rsid w:val="005A0CF8"/>
    <w:rsid w:val="005A324B"/>
    <w:rsid w:val="005B186A"/>
    <w:rsid w:val="005B553C"/>
    <w:rsid w:val="005B57DB"/>
    <w:rsid w:val="005B58F9"/>
    <w:rsid w:val="005B5ACB"/>
    <w:rsid w:val="005C0AF7"/>
    <w:rsid w:val="005C0B82"/>
    <w:rsid w:val="005C0D5C"/>
    <w:rsid w:val="005C4A4C"/>
    <w:rsid w:val="005C52C6"/>
    <w:rsid w:val="005C7204"/>
    <w:rsid w:val="005D1C8B"/>
    <w:rsid w:val="005D5CED"/>
    <w:rsid w:val="005D6054"/>
    <w:rsid w:val="005E1522"/>
    <w:rsid w:val="005E3365"/>
    <w:rsid w:val="005E5517"/>
    <w:rsid w:val="005F0705"/>
    <w:rsid w:val="005F0C83"/>
    <w:rsid w:val="005F1A4C"/>
    <w:rsid w:val="005F1F76"/>
    <w:rsid w:val="005F2C70"/>
    <w:rsid w:val="005F32B6"/>
    <w:rsid w:val="005F4162"/>
    <w:rsid w:val="005F44C7"/>
    <w:rsid w:val="005F632F"/>
    <w:rsid w:val="00600946"/>
    <w:rsid w:val="006044AC"/>
    <w:rsid w:val="00604551"/>
    <w:rsid w:val="00605688"/>
    <w:rsid w:val="006070AF"/>
    <w:rsid w:val="00607816"/>
    <w:rsid w:val="00607E6C"/>
    <w:rsid w:val="006101B1"/>
    <w:rsid w:val="00611AD3"/>
    <w:rsid w:val="00612209"/>
    <w:rsid w:val="00614423"/>
    <w:rsid w:val="00614E44"/>
    <w:rsid w:val="006155B0"/>
    <w:rsid w:val="006205F4"/>
    <w:rsid w:val="00622830"/>
    <w:rsid w:val="006256DB"/>
    <w:rsid w:val="00630AEF"/>
    <w:rsid w:val="006325F8"/>
    <w:rsid w:val="00633AE4"/>
    <w:rsid w:val="006348B1"/>
    <w:rsid w:val="00634C9A"/>
    <w:rsid w:val="00635FC7"/>
    <w:rsid w:val="00636040"/>
    <w:rsid w:val="0064301E"/>
    <w:rsid w:val="00643322"/>
    <w:rsid w:val="00643C0A"/>
    <w:rsid w:val="006440E4"/>
    <w:rsid w:val="00645301"/>
    <w:rsid w:val="00645F78"/>
    <w:rsid w:val="0064753B"/>
    <w:rsid w:val="00650D36"/>
    <w:rsid w:val="00650F17"/>
    <w:rsid w:val="006511E7"/>
    <w:rsid w:val="0065182B"/>
    <w:rsid w:val="00660339"/>
    <w:rsid w:val="00660F57"/>
    <w:rsid w:val="00661830"/>
    <w:rsid w:val="0066343B"/>
    <w:rsid w:val="00663BDD"/>
    <w:rsid w:val="00664777"/>
    <w:rsid w:val="00664ED7"/>
    <w:rsid w:val="0066615D"/>
    <w:rsid w:val="00666366"/>
    <w:rsid w:val="0066748A"/>
    <w:rsid w:val="0067155A"/>
    <w:rsid w:val="00671D25"/>
    <w:rsid w:val="00672345"/>
    <w:rsid w:val="00673381"/>
    <w:rsid w:val="006740AB"/>
    <w:rsid w:val="00674446"/>
    <w:rsid w:val="006748A4"/>
    <w:rsid w:val="006757D8"/>
    <w:rsid w:val="00680EF7"/>
    <w:rsid w:val="00683E73"/>
    <w:rsid w:val="0068590F"/>
    <w:rsid w:val="00686CF0"/>
    <w:rsid w:val="00687CAC"/>
    <w:rsid w:val="00691D82"/>
    <w:rsid w:val="006931FE"/>
    <w:rsid w:val="006947FC"/>
    <w:rsid w:val="006950FD"/>
    <w:rsid w:val="00695AD3"/>
    <w:rsid w:val="00696ACE"/>
    <w:rsid w:val="006A01D3"/>
    <w:rsid w:val="006A04FE"/>
    <w:rsid w:val="006A0C2C"/>
    <w:rsid w:val="006A0C51"/>
    <w:rsid w:val="006A1E7E"/>
    <w:rsid w:val="006A2BCD"/>
    <w:rsid w:val="006A3141"/>
    <w:rsid w:val="006A5E34"/>
    <w:rsid w:val="006A75B7"/>
    <w:rsid w:val="006B0ABA"/>
    <w:rsid w:val="006B2422"/>
    <w:rsid w:val="006B2B9A"/>
    <w:rsid w:val="006B471C"/>
    <w:rsid w:val="006B533E"/>
    <w:rsid w:val="006C1937"/>
    <w:rsid w:val="006C397F"/>
    <w:rsid w:val="006C6427"/>
    <w:rsid w:val="006C76DB"/>
    <w:rsid w:val="006D1F0B"/>
    <w:rsid w:val="006D42C6"/>
    <w:rsid w:val="006E0081"/>
    <w:rsid w:val="006E3700"/>
    <w:rsid w:val="006E6C66"/>
    <w:rsid w:val="006F020C"/>
    <w:rsid w:val="006F3DF7"/>
    <w:rsid w:val="006F7CBD"/>
    <w:rsid w:val="0070094B"/>
    <w:rsid w:val="007040F2"/>
    <w:rsid w:val="00705B7C"/>
    <w:rsid w:val="00705E24"/>
    <w:rsid w:val="00707EEC"/>
    <w:rsid w:val="007115FE"/>
    <w:rsid w:val="007127B7"/>
    <w:rsid w:val="00713977"/>
    <w:rsid w:val="00714DBE"/>
    <w:rsid w:val="007220F2"/>
    <w:rsid w:val="007231D9"/>
    <w:rsid w:val="007244D2"/>
    <w:rsid w:val="00725B08"/>
    <w:rsid w:val="007355BA"/>
    <w:rsid w:val="0074019B"/>
    <w:rsid w:val="007403C2"/>
    <w:rsid w:val="007410FA"/>
    <w:rsid w:val="007416B6"/>
    <w:rsid w:val="007426C0"/>
    <w:rsid w:val="00746F48"/>
    <w:rsid w:val="0074730D"/>
    <w:rsid w:val="0075129E"/>
    <w:rsid w:val="00751951"/>
    <w:rsid w:val="00751EE9"/>
    <w:rsid w:val="007522D6"/>
    <w:rsid w:val="007525C3"/>
    <w:rsid w:val="007537B3"/>
    <w:rsid w:val="00753DC2"/>
    <w:rsid w:val="0075404D"/>
    <w:rsid w:val="0075503D"/>
    <w:rsid w:val="0076078E"/>
    <w:rsid w:val="0076182A"/>
    <w:rsid w:val="00763BC1"/>
    <w:rsid w:val="0076499D"/>
    <w:rsid w:val="007656DB"/>
    <w:rsid w:val="007676D8"/>
    <w:rsid w:val="00767A7D"/>
    <w:rsid w:val="00767B7E"/>
    <w:rsid w:val="00767BE6"/>
    <w:rsid w:val="00775A39"/>
    <w:rsid w:val="00776900"/>
    <w:rsid w:val="007770C3"/>
    <w:rsid w:val="00781060"/>
    <w:rsid w:val="0078143E"/>
    <w:rsid w:val="0078201F"/>
    <w:rsid w:val="007820E1"/>
    <w:rsid w:val="00784D24"/>
    <w:rsid w:val="00784D4C"/>
    <w:rsid w:val="00784E42"/>
    <w:rsid w:val="00785FBA"/>
    <w:rsid w:val="00786E4A"/>
    <w:rsid w:val="007875EB"/>
    <w:rsid w:val="00787E51"/>
    <w:rsid w:val="00792C26"/>
    <w:rsid w:val="0079426B"/>
    <w:rsid w:val="00794D8C"/>
    <w:rsid w:val="00794F74"/>
    <w:rsid w:val="0079655C"/>
    <w:rsid w:val="007A0619"/>
    <w:rsid w:val="007A762F"/>
    <w:rsid w:val="007B0CA2"/>
    <w:rsid w:val="007B5C15"/>
    <w:rsid w:val="007B6032"/>
    <w:rsid w:val="007B6B9B"/>
    <w:rsid w:val="007C014E"/>
    <w:rsid w:val="007C0C20"/>
    <w:rsid w:val="007C0E0A"/>
    <w:rsid w:val="007C26C9"/>
    <w:rsid w:val="007C57E7"/>
    <w:rsid w:val="007C6362"/>
    <w:rsid w:val="007C70B5"/>
    <w:rsid w:val="007C72D0"/>
    <w:rsid w:val="007D028D"/>
    <w:rsid w:val="007D0AE2"/>
    <w:rsid w:val="007D0C80"/>
    <w:rsid w:val="007D312A"/>
    <w:rsid w:val="007D3F19"/>
    <w:rsid w:val="007D40BF"/>
    <w:rsid w:val="007D598F"/>
    <w:rsid w:val="007D7F29"/>
    <w:rsid w:val="007E0391"/>
    <w:rsid w:val="007E2118"/>
    <w:rsid w:val="007E23B0"/>
    <w:rsid w:val="007E30F0"/>
    <w:rsid w:val="007E4E9E"/>
    <w:rsid w:val="007E4F63"/>
    <w:rsid w:val="007E5C1C"/>
    <w:rsid w:val="007E6821"/>
    <w:rsid w:val="007E6A33"/>
    <w:rsid w:val="007E6D1B"/>
    <w:rsid w:val="007F0CD6"/>
    <w:rsid w:val="007F0EAA"/>
    <w:rsid w:val="007F1991"/>
    <w:rsid w:val="007F1E4C"/>
    <w:rsid w:val="007F2C2F"/>
    <w:rsid w:val="007F2D6D"/>
    <w:rsid w:val="007F55FC"/>
    <w:rsid w:val="007F5665"/>
    <w:rsid w:val="007F57B1"/>
    <w:rsid w:val="007F5B1E"/>
    <w:rsid w:val="007F703A"/>
    <w:rsid w:val="007F772D"/>
    <w:rsid w:val="007F78DE"/>
    <w:rsid w:val="00800112"/>
    <w:rsid w:val="0080112E"/>
    <w:rsid w:val="008014B3"/>
    <w:rsid w:val="008031B0"/>
    <w:rsid w:val="008068DA"/>
    <w:rsid w:val="00806B6F"/>
    <w:rsid w:val="00807797"/>
    <w:rsid w:val="0081195D"/>
    <w:rsid w:val="00811C29"/>
    <w:rsid w:val="00812255"/>
    <w:rsid w:val="00813AEF"/>
    <w:rsid w:val="00815AF8"/>
    <w:rsid w:val="008169F8"/>
    <w:rsid w:val="00820AF4"/>
    <w:rsid w:val="008212F9"/>
    <w:rsid w:val="008244FA"/>
    <w:rsid w:val="008248EC"/>
    <w:rsid w:val="00824C90"/>
    <w:rsid w:val="00824CEE"/>
    <w:rsid w:val="008253BB"/>
    <w:rsid w:val="008273C2"/>
    <w:rsid w:val="00830A33"/>
    <w:rsid w:val="00830F24"/>
    <w:rsid w:val="0083234B"/>
    <w:rsid w:val="00833D7A"/>
    <w:rsid w:val="008347A0"/>
    <w:rsid w:val="00835B31"/>
    <w:rsid w:val="00836025"/>
    <w:rsid w:val="0083706E"/>
    <w:rsid w:val="00840550"/>
    <w:rsid w:val="008423A5"/>
    <w:rsid w:val="00843431"/>
    <w:rsid w:val="00845501"/>
    <w:rsid w:val="008503A5"/>
    <w:rsid w:val="00850625"/>
    <w:rsid w:val="008511F3"/>
    <w:rsid w:val="00851894"/>
    <w:rsid w:val="0085265B"/>
    <w:rsid w:val="00852C5C"/>
    <w:rsid w:val="00853718"/>
    <w:rsid w:val="00855221"/>
    <w:rsid w:val="00855AF5"/>
    <w:rsid w:val="00855E16"/>
    <w:rsid w:val="00857B79"/>
    <w:rsid w:val="00860645"/>
    <w:rsid w:val="00860C44"/>
    <w:rsid w:val="0086131A"/>
    <w:rsid w:val="00862A9D"/>
    <w:rsid w:val="00863483"/>
    <w:rsid w:val="00863CF0"/>
    <w:rsid w:val="00863D72"/>
    <w:rsid w:val="00865F20"/>
    <w:rsid w:val="00867695"/>
    <w:rsid w:val="00870000"/>
    <w:rsid w:val="00870C33"/>
    <w:rsid w:val="00871F71"/>
    <w:rsid w:val="008722FB"/>
    <w:rsid w:val="00872F95"/>
    <w:rsid w:val="00873D8F"/>
    <w:rsid w:val="0087464B"/>
    <w:rsid w:val="00875814"/>
    <w:rsid w:val="0088122F"/>
    <w:rsid w:val="00885AF4"/>
    <w:rsid w:val="00886435"/>
    <w:rsid w:val="00887A58"/>
    <w:rsid w:val="008918AA"/>
    <w:rsid w:val="008918C9"/>
    <w:rsid w:val="008939CD"/>
    <w:rsid w:val="00893E7C"/>
    <w:rsid w:val="00895862"/>
    <w:rsid w:val="00897199"/>
    <w:rsid w:val="008A04BB"/>
    <w:rsid w:val="008A6293"/>
    <w:rsid w:val="008A6BC0"/>
    <w:rsid w:val="008A7CE3"/>
    <w:rsid w:val="008B045D"/>
    <w:rsid w:val="008B2B26"/>
    <w:rsid w:val="008B5614"/>
    <w:rsid w:val="008B6287"/>
    <w:rsid w:val="008B69A5"/>
    <w:rsid w:val="008B768C"/>
    <w:rsid w:val="008B7992"/>
    <w:rsid w:val="008C1D33"/>
    <w:rsid w:val="008C33D9"/>
    <w:rsid w:val="008C4DB1"/>
    <w:rsid w:val="008C4EAF"/>
    <w:rsid w:val="008C5176"/>
    <w:rsid w:val="008C7FD0"/>
    <w:rsid w:val="008D06D5"/>
    <w:rsid w:val="008D08E5"/>
    <w:rsid w:val="008D2C92"/>
    <w:rsid w:val="008D2DE2"/>
    <w:rsid w:val="008D55A6"/>
    <w:rsid w:val="008E0EF3"/>
    <w:rsid w:val="008E1DC6"/>
    <w:rsid w:val="008E1DE7"/>
    <w:rsid w:val="008E2847"/>
    <w:rsid w:val="008E380B"/>
    <w:rsid w:val="008E707C"/>
    <w:rsid w:val="008E7651"/>
    <w:rsid w:val="008F24AB"/>
    <w:rsid w:val="00900B08"/>
    <w:rsid w:val="00901E1C"/>
    <w:rsid w:val="00902155"/>
    <w:rsid w:val="00902BCF"/>
    <w:rsid w:val="00902FA3"/>
    <w:rsid w:val="009109D0"/>
    <w:rsid w:val="00910FAA"/>
    <w:rsid w:val="00912DEB"/>
    <w:rsid w:val="00913706"/>
    <w:rsid w:val="00913A29"/>
    <w:rsid w:val="00915BE4"/>
    <w:rsid w:val="009205F5"/>
    <w:rsid w:val="009215C3"/>
    <w:rsid w:val="00923564"/>
    <w:rsid w:val="0092392E"/>
    <w:rsid w:val="00923F58"/>
    <w:rsid w:val="00924FB0"/>
    <w:rsid w:val="00930109"/>
    <w:rsid w:val="00930E8F"/>
    <w:rsid w:val="009315F9"/>
    <w:rsid w:val="009337F3"/>
    <w:rsid w:val="009339C3"/>
    <w:rsid w:val="00934AB8"/>
    <w:rsid w:val="00935D57"/>
    <w:rsid w:val="00936283"/>
    <w:rsid w:val="00940B88"/>
    <w:rsid w:val="00940F73"/>
    <w:rsid w:val="0094526A"/>
    <w:rsid w:val="00945399"/>
    <w:rsid w:val="00945492"/>
    <w:rsid w:val="00945EEC"/>
    <w:rsid w:val="009461EE"/>
    <w:rsid w:val="00946945"/>
    <w:rsid w:val="00947929"/>
    <w:rsid w:val="00947BF1"/>
    <w:rsid w:val="009500E2"/>
    <w:rsid w:val="00951248"/>
    <w:rsid w:val="0095152F"/>
    <w:rsid w:val="009534A8"/>
    <w:rsid w:val="009540C0"/>
    <w:rsid w:val="00954C49"/>
    <w:rsid w:val="00955EAD"/>
    <w:rsid w:val="0095708C"/>
    <w:rsid w:val="00957098"/>
    <w:rsid w:val="00960F20"/>
    <w:rsid w:val="009620B2"/>
    <w:rsid w:val="00962131"/>
    <w:rsid w:val="00962556"/>
    <w:rsid w:val="00964305"/>
    <w:rsid w:val="0096477D"/>
    <w:rsid w:val="00964EBA"/>
    <w:rsid w:val="0097099F"/>
    <w:rsid w:val="009710DA"/>
    <w:rsid w:val="00971997"/>
    <w:rsid w:val="00971FFC"/>
    <w:rsid w:val="00972A49"/>
    <w:rsid w:val="00973726"/>
    <w:rsid w:val="00974188"/>
    <w:rsid w:val="0098033F"/>
    <w:rsid w:val="00985645"/>
    <w:rsid w:val="0098595E"/>
    <w:rsid w:val="00985C49"/>
    <w:rsid w:val="0098660A"/>
    <w:rsid w:val="009869AA"/>
    <w:rsid w:val="009931C3"/>
    <w:rsid w:val="00995CE3"/>
    <w:rsid w:val="009B2C43"/>
    <w:rsid w:val="009B4EAE"/>
    <w:rsid w:val="009B6C92"/>
    <w:rsid w:val="009B7573"/>
    <w:rsid w:val="009C0EF0"/>
    <w:rsid w:val="009C1B2D"/>
    <w:rsid w:val="009C22F4"/>
    <w:rsid w:val="009C2AE3"/>
    <w:rsid w:val="009C2E98"/>
    <w:rsid w:val="009C5896"/>
    <w:rsid w:val="009C6399"/>
    <w:rsid w:val="009D3447"/>
    <w:rsid w:val="009D3AA6"/>
    <w:rsid w:val="009D4711"/>
    <w:rsid w:val="009D5EF4"/>
    <w:rsid w:val="009E0018"/>
    <w:rsid w:val="009E2320"/>
    <w:rsid w:val="009E576A"/>
    <w:rsid w:val="009E7FBF"/>
    <w:rsid w:val="009F1185"/>
    <w:rsid w:val="009F178D"/>
    <w:rsid w:val="009F18CD"/>
    <w:rsid w:val="009F2021"/>
    <w:rsid w:val="009F2A13"/>
    <w:rsid w:val="009F4A42"/>
    <w:rsid w:val="009F4D78"/>
    <w:rsid w:val="009F6A87"/>
    <w:rsid w:val="009F6B63"/>
    <w:rsid w:val="009F6F4A"/>
    <w:rsid w:val="00A02DD4"/>
    <w:rsid w:val="00A04EB0"/>
    <w:rsid w:val="00A05E7E"/>
    <w:rsid w:val="00A06741"/>
    <w:rsid w:val="00A06EF8"/>
    <w:rsid w:val="00A07DE7"/>
    <w:rsid w:val="00A1247B"/>
    <w:rsid w:val="00A13443"/>
    <w:rsid w:val="00A13CC1"/>
    <w:rsid w:val="00A15286"/>
    <w:rsid w:val="00A1571F"/>
    <w:rsid w:val="00A1637E"/>
    <w:rsid w:val="00A16684"/>
    <w:rsid w:val="00A16847"/>
    <w:rsid w:val="00A1745F"/>
    <w:rsid w:val="00A2301F"/>
    <w:rsid w:val="00A237D8"/>
    <w:rsid w:val="00A25634"/>
    <w:rsid w:val="00A268C4"/>
    <w:rsid w:val="00A27771"/>
    <w:rsid w:val="00A300FE"/>
    <w:rsid w:val="00A307CD"/>
    <w:rsid w:val="00A3233A"/>
    <w:rsid w:val="00A35068"/>
    <w:rsid w:val="00A3556D"/>
    <w:rsid w:val="00A35870"/>
    <w:rsid w:val="00A35FE0"/>
    <w:rsid w:val="00A40A00"/>
    <w:rsid w:val="00A4142F"/>
    <w:rsid w:val="00A41D4A"/>
    <w:rsid w:val="00A43522"/>
    <w:rsid w:val="00A4622C"/>
    <w:rsid w:val="00A462AA"/>
    <w:rsid w:val="00A46A63"/>
    <w:rsid w:val="00A47A0F"/>
    <w:rsid w:val="00A50F96"/>
    <w:rsid w:val="00A514F8"/>
    <w:rsid w:val="00A52260"/>
    <w:rsid w:val="00A53D20"/>
    <w:rsid w:val="00A54687"/>
    <w:rsid w:val="00A55073"/>
    <w:rsid w:val="00A55447"/>
    <w:rsid w:val="00A55ED8"/>
    <w:rsid w:val="00A56DF2"/>
    <w:rsid w:val="00A56E1B"/>
    <w:rsid w:val="00A57F63"/>
    <w:rsid w:val="00A61738"/>
    <w:rsid w:val="00A62ECF"/>
    <w:rsid w:val="00A63814"/>
    <w:rsid w:val="00A64138"/>
    <w:rsid w:val="00A64421"/>
    <w:rsid w:val="00A659FC"/>
    <w:rsid w:val="00A65DE6"/>
    <w:rsid w:val="00A67AB5"/>
    <w:rsid w:val="00A70317"/>
    <w:rsid w:val="00A72FA8"/>
    <w:rsid w:val="00A76B3A"/>
    <w:rsid w:val="00A77CB7"/>
    <w:rsid w:val="00A804D8"/>
    <w:rsid w:val="00A85003"/>
    <w:rsid w:val="00A85A0C"/>
    <w:rsid w:val="00A91460"/>
    <w:rsid w:val="00A91760"/>
    <w:rsid w:val="00A93902"/>
    <w:rsid w:val="00A93B00"/>
    <w:rsid w:val="00A93C21"/>
    <w:rsid w:val="00A94004"/>
    <w:rsid w:val="00A95D33"/>
    <w:rsid w:val="00A96D42"/>
    <w:rsid w:val="00AA1212"/>
    <w:rsid w:val="00AA14EC"/>
    <w:rsid w:val="00AA2E83"/>
    <w:rsid w:val="00AA6693"/>
    <w:rsid w:val="00AA6D23"/>
    <w:rsid w:val="00AA7B07"/>
    <w:rsid w:val="00AB1A65"/>
    <w:rsid w:val="00AB26EC"/>
    <w:rsid w:val="00AB2A36"/>
    <w:rsid w:val="00AB5E60"/>
    <w:rsid w:val="00AB5E86"/>
    <w:rsid w:val="00AB6DD7"/>
    <w:rsid w:val="00AC20D9"/>
    <w:rsid w:val="00AC3237"/>
    <w:rsid w:val="00AC3A9E"/>
    <w:rsid w:val="00AC3C6A"/>
    <w:rsid w:val="00AC40DA"/>
    <w:rsid w:val="00AD013F"/>
    <w:rsid w:val="00AD1561"/>
    <w:rsid w:val="00AD1E04"/>
    <w:rsid w:val="00AD4E89"/>
    <w:rsid w:val="00AD5090"/>
    <w:rsid w:val="00AD55F4"/>
    <w:rsid w:val="00AD5620"/>
    <w:rsid w:val="00AD654C"/>
    <w:rsid w:val="00AD712A"/>
    <w:rsid w:val="00AD7C1B"/>
    <w:rsid w:val="00AE16BA"/>
    <w:rsid w:val="00AE1B18"/>
    <w:rsid w:val="00AE1EBE"/>
    <w:rsid w:val="00AE3F47"/>
    <w:rsid w:val="00AE5217"/>
    <w:rsid w:val="00AE57E5"/>
    <w:rsid w:val="00AE5ACD"/>
    <w:rsid w:val="00AE7003"/>
    <w:rsid w:val="00AE78D4"/>
    <w:rsid w:val="00AF334F"/>
    <w:rsid w:val="00AF567D"/>
    <w:rsid w:val="00B03C9D"/>
    <w:rsid w:val="00B03D45"/>
    <w:rsid w:val="00B03DEF"/>
    <w:rsid w:val="00B04041"/>
    <w:rsid w:val="00B046DB"/>
    <w:rsid w:val="00B059FA"/>
    <w:rsid w:val="00B060AE"/>
    <w:rsid w:val="00B06EEB"/>
    <w:rsid w:val="00B07376"/>
    <w:rsid w:val="00B10406"/>
    <w:rsid w:val="00B10517"/>
    <w:rsid w:val="00B1323D"/>
    <w:rsid w:val="00B1364D"/>
    <w:rsid w:val="00B13D51"/>
    <w:rsid w:val="00B13F34"/>
    <w:rsid w:val="00B14E76"/>
    <w:rsid w:val="00B15718"/>
    <w:rsid w:val="00B15757"/>
    <w:rsid w:val="00B161B8"/>
    <w:rsid w:val="00B2048C"/>
    <w:rsid w:val="00B22224"/>
    <w:rsid w:val="00B22E19"/>
    <w:rsid w:val="00B268D9"/>
    <w:rsid w:val="00B30B06"/>
    <w:rsid w:val="00B310B9"/>
    <w:rsid w:val="00B3183E"/>
    <w:rsid w:val="00B330FA"/>
    <w:rsid w:val="00B35211"/>
    <w:rsid w:val="00B35F3F"/>
    <w:rsid w:val="00B36CBB"/>
    <w:rsid w:val="00B370EB"/>
    <w:rsid w:val="00B40532"/>
    <w:rsid w:val="00B425E0"/>
    <w:rsid w:val="00B440AA"/>
    <w:rsid w:val="00B44B70"/>
    <w:rsid w:val="00B47B8F"/>
    <w:rsid w:val="00B50563"/>
    <w:rsid w:val="00B507B7"/>
    <w:rsid w:val="00B53703"/>
    <w:rsid w:val="00B53C56"/>
    <w:rsid w:val="00B53E4F"/>
    <w:rsid w:val="00B54341"/>
    <w:rsid w:val="00B545A6"/>
    <w:rsid w:val="00B5556B"/>
    <w:rsid w:val="00B60A7E"/>
    <w:rsid w:val="00B6427E"/>
    <w:rsid w:val="00B67CE3"/>
    <w:rsid w:val="00B706F1"/>
    <w:rsid w:val="00B725E6"/>
    <w:rsid w:val="00B736DE"/>
    <w:rsid w:val="00B74FE7"/>
    <w:rsid w:val="00B753E0"/>
    <w:rsid w:val="00B7569F"/>
    <w:rsid w:val="00B75C09"/>
    <w:rsid w:val="00B76674"/>
    <w:rsid w:val="00B77EA6"/>
    <w:rsid w:val="00B80439"/>
    <w:rsid w:val="00B80BAB"/>
    <w:rsid w:val="00B81598"/>
    <w:rsid w:val="00B82F7D"/>
    <w:rsid w:val="00B839DA"/>
    <w:rsid w:val="00B83EE2"/>
    <w:rsid w:val="00B841F1"/>
    <w:rsid w:val="00B8480B"/>
    <w:rsid w:val="00B91D3E"/>
    <w:rsid w:val="00B92400"/>
    <w:rsid w:val="00B93AA8"/>
    <w:rsid w:val="00B944D6"/>
    <w:rsid w:val="00B96CD2"/>
    <w:rsid w:val="00BA054C"/>
    <w:rsid w:val="00BA0AED"/>
    <w:rsid w:val="00BA22CD"/>
    <w:rsid w:val="00BA3028"/>
    <w:rsid w:val="00BA3356"/>
    <w:rsid w:val="00BA49E7"/>
    <w:rsid w:val="00BA5298"/>
    <w:rsid w:val="00BB1990"/>
    <w:rsid w:val="00BB2D7E"/>
    <w:rsid w:val="00BB4DF0"/>
    <w:rsid w:val="00BC0AE4"/>
    <w:rsid w:val="00BC1202"/>
    <w:rsid w:val="00BC1A97"/>
    <w:rsid w:val="00BC2731"/>
    <w:rsid w:val="00BC289F"/>
    <w:rsid w:val="00BC5361"/>
    <w:rsid w:val="00BC5460"/>
    <w:rsid w:val="00BC6B50"/>
    <w:rsid w:val="00BD0E25"/>
    <w:rsid w:val="00BD2458"/>
    <w:rsid w:val="00BD5121"/>
    <w:rsid w:val="00BD6D67"/>
    <w:rsid w:val="00BD6E57"/>
    <w:rsid w:val="00BE01DE"/>
    <w:rsid w:val="00BE218A"/>
    <w:rsid w:val="00BE39F0"/>
    <w:rsid w:val="00BE5FB5"/>
    <w:rsid w:val="00BE7259"/>
    <w:rsid w:val="00BF060C"/>
    <w:rsid w:val="00BF2962"/>
    <w:rsid w:val="00BF2E85"/>
    <w:rsid w:val="00BF5BD6"/>
    <w:rsid w:val="00BF6316"/>
    <w:rsid w:val="00BF718F"/>
    <w:rsid w:val="00C01DBE"/>
    <w:rsid w:val="00C03E31"/>
    <w:rsid w:val="00C05BAF"/>
    <w:rsid w:val="00C05CAD"/>
    <w:rsid w:val="00C05F29"/>
    <w:rsid w:val="00C06A2B"/>
    <w:rsid w:val="00C11626"/>
    <w:rsid w:val="00C137AD"/>
    <w:rsid w:val="00C13B26"/>
    <w:rsid w:val="00C1480D"/>
    <w:rsid w:val="00C1658B"/>
    <w:rsid w:val="00C23BFD"/>
    <w:rsid w:val="00C24603"/>
    <w:rsid w:val="00C259D0"/>
    <w:rsid w:val="00C30983"/>
    <w:rsid w:val="00C30D73"/>
    <w:rsid w:val="00C313B9"/>
    <w:rsid w:val="00C31B41"/>
    <w:rsid w:val="00C33276"/>
    <w:rsid w:val="00C33E72"/>
    <w:rsid w:val="00C3423D"/>
    <w:rsid w:val="00C342CE"/>
    <w:rsid w:val="00C34C84"/>
    <w:rsid w:val="00C34EED"/>
    <w:rsid w:val="00C354B2"/>
    <w:rsid w:val="00C35554"/>
    <w:rsid w:val="00C36831"/>
    <w:rsid w:val="00C4133E"/>
    <w:rsid w:val="00C41611"/>
    <w:rsid w:val="00C41EB1"/>
    <w:rsid w:val="00C42709"/>
    <w:rsid w:val="00C516E5"/>
    <w:rsid w:val="00C5216D"/>
    <w:rsid w:val="00C533CC"/>
    <w:rsid w:val="00C54531"/>
    <w:rsid w:val="00C5751C"/>
    <w:rsid w:val="00C61BFC"/>
    <w:rsid w:val="00C62B85"/>
    <w:rsid w:val="00C634C6"/>
    <w:rsid w:val="00C63DE6"/>
    <w:rsid w:val="00C65438"/>
    <w:rsid w:val="00C65FA1"/>
    <w:rsid w:val="00C663B4"/>
    <w:rsid w:val="00C66789"/>
    <w:rsid w:val="00C677E0"/>
    <w:rsid w:val="00C71C3C"/>
    <w:rsid w:val="00C73C9E"/>
    <w:rsid w:val="00C77955"/>
    <w:rsid w:val="00C77D11"/>
    <w:rsid w:val="00C80E5E"/>
    <w:rsid w:val="00C87773"/>
    <w:rsid w:val="00C91BEF"/>
    <w:rsid w:val="00C91CBB"/>
    <w:rsid w:val="00C94460"/>
    <w:rsid w:val="00C94755"/>
    <w:rsid w:val="00C9494C"/>
    <w:rsid w:val="00C976D8"/>
    <w:rsid w:val="00C9779E"/>
    <w:rsid w:val="00CA1D7E"/>
    <w:rsid w:val="00CA4889"/>
    <w:rsid w:val="00CA6417"/>
    <w:rsid w:val="00CA7A47"/>
    <w:rsid w:val="00CA7CBE"/>
    <w:rsid w:val="00CB2258"/>
    <w:rsid w:val="00CB37D6"/>
    <w:rsid w:val="00CB5AA7"/>
    <w:rsid w:val="00CC09B6"/>
    <w:rsid w:val="00CC2ECC"/>
    <w:rsid w:val="00CC42AE"/>
    <w:rsid w:val="00CC5828"/>
    <w:rsid w:val="00CC666F"/>
    <w:rsid w:val="00CD0159"/>
    <w:rsid w:val="00CD1E3F"/>
    <w:rsid w:val="00CD2CD4"/>
    <w:rsid w:val="00CD2F8E"/>
    <w:rsid w:val="00CD33CA"/>
    <w:rsid w:val="00CD41F7"/>
    <w:rsid w:val="00CD7039"/>
    <w:rsid w:val="00CE07D1"/>
    <w:rsid w:val="00CE10F5"/>
    <w:rsid w:val="00CE245D"/>
    <w:rsid w:val="00CE298B"/>
    <w:rsid w:val="00CE41E9"/>
    <w:rsid w:val="00CE4476"/>
    <w:rsid w:val="00CE44F6"/>
    <w:rsid w:val="00CE49DA"/>
    <w:rsid w:val="00CE6166"/>
    <w:rsid w:val="00CE7B61"/>
    <w:rsid w:val="00CF0C95"/>
    <w:rsid w:val="00CF303D"/>
    <w:rsid w:val="00CF32A8"/>
    <w:rsid w:val="00CF47D0"/>
    <w:rsid w:val="00CF537A"/>
    <w:rsid w:val="00CF5A38"/>
    <w:rsid w:val="00D00095"/>
    <w:rsid w:val="00D007A3"/>
    <w:rsid w:val="00D00CD9"/>
    <w:rsid w:val="00D01872"/>
    <w:rsid w:val="00D01D1C"/>
    <w:rsid w:val="00D03F76"/>
    <w:rsid w:val="00D07457"/>
    <w:rsid w:val="00D120DF"/>
    <w:rsid w:val="00D12260"/>
    <w:rsid w:val="00D14981"/>
    <w:rsid w:val="00D17582"/>
    <w:rsid w:val="00D20620"/>
    <w:rsid w:val="00D21AB8"/>
    <w:rsid w:val="00D21B96"/>
    <w:rsid w:val="00D21FCA"/>
    <w:rsid w:val="00D23CC1"/>
    <w:rsid w:val="00D253CD"/>
    <w:rsid w:val="00D26091"/>
    <w:rsid w:val="00D26765"/>
    <w:rsid w:val="00D30031"/>
    <w:rsid w:val="00D34E7C"/>
    <w:rsid w:val="00D35489"/>
    <w:rsid w:val="00D41FB4"/>
    <w:rsid w:val="00D42D3C"/>
    <w:rsid w:val="00D43BB3"/>
    <w:rsid w:val="00D4531F"/>
    <w:rsid w:val="00D5056E"/>
    <w:rsid w:val="00D51276"/>
    <w:rsid w:val="00D577F9"/>
    <w:rsid w:val="00D6086D"/>
    <w:rsid w:val="00D60B63"/>
    <w:rsid w:val="00D6672E"/>
    <w:rsid w:val="00D66F3E"/>
    <w:rsid w:val="00D67949"/>
    <w:rsid w:val="00D70080"/>
    <w:rsid w:val="00D7035F"/>
    <w:rsid w:val="00D70D9E"/>
    <w:rsid w:val="00D7255A"/>
    <w:rsid w:val="00D729A5"/>
    <w:rsid w:val="00D7311E"/>
    <w:rsid w:val="00D74434"/>
    <w:rsid w:val="00D74948"/>
    <w:rsid w:val="00D75E52"/>
    <w:rsid w:val="00D8058B"/>
    <w:rsid w:val="00D811F1"/>
    <w:rsid w:val="00D81CF0"/>
    <w:rsid w:val="00D86259"/>
    <w:rsid w:val="00D9128F"/>
    <w:rsid w:val="00D95A81"/>
    <w:rsid w:val="00DA2414"/>
    <w:rsid w:val="00DA2E7B"/>
    <w:rsid w:val="00DA376F"/>
    <w:rsid w:val="00DA4CF4"/>
    <w:rsid w:val="00DA517E"/>
    <w:rsid w:val="00DA64CE"/>
    <w:rsid w:val="00DA65AC"/>
    <w:rsid w:val="00DA73F4"/>
    <w:rsid w:val="00DB1913"/>
    <w:rsid w:val="00DB23A2"/>
    <w:rsid w:val="00DB31AE"/>
    <w:rsid w:val="00DB469B"/>
    <w:rsid w:val="00DB6217"/>
    <w:rsid w:val="00DB7682"/>
    <w:rsid w:val="00DB774B"/>
    <w:rsid w:val="00DB7B27"/>
    <w:rsid w:val="00DB7ED3"/>
    <w:rsid w:val="00DC1D19"/>
    <w:rsid w:val="00DC29F0"/>
    <w:rsid w:val="00DC410D"/>
    <w:rsid w:val="00DC482F"/>
    <w:rsid w:val="00DC4E3B"/>
    <w:rsid w:val="00DC53AB"/>
    <w:rsid w:val="00DC68CA"/>
    <w:rsid w:val="00DC7CBA"/>
    <w:rsid w:val="00DD0F4D"/>
    <w:rsid w:val="00DD109B"/>
    <w:rsid w:val="00DD2D64"/>
    <w:rsid w:val="00DD73B7"/>
    <w:rsid w:val="00DE28E8"/>
    <w:rsid w:val="00DE57ED"/>
    <w:rsid w:val="00DE6D3D"/>
    <w:rsid w:val="00DF0369"/>
    <w:rsid w:val="00DF256A"/>
    <w:rsid w:val="00DF28BC"/>
    <w:rsid w:val="00DF2BBE"/>
    <w:rsid w:val="00DF34B9"/>
    <w:rsid w:val="00DF36DA"/>
    <w:rsid w:val="00DF4EE4"/>
    <w:rsid w:val="00DF69F2"/>
    <w:rsid w:val="00E00C0C"/>
    <w:rsid w:val="00E01053"/>
    <w:rsid w:val="00E032C4"/>
    <w:rsid w:val="00E03AB5"/>
    <w:rsid w:val="00E04FF6"/>
    <w:rsid w:val="00E07ACF"/>
    <w:rsid w:val="00E07C49"/>
    <w:rsid w:val="00E1142E"/>
    <w:rsid w:val="00E11EA9"/>
    <w:rsid w:val="00E13C23"/>
    <w:rsid w:val="00E17451"/>
    <w:rsid w:val="00E176E0"/>
    <w:rsid w:val="00E20F23"/>
    <w:rsid w:val="00E21189"/>
    <w:rsid w:val="00E22344"/>
    <w:rsid w:val="00E22D73"/>
    <w:rsid w:val="00E24A28"/>
    <w:rsid w:val="00E2598A"/>
    <w:rsid w:val="00E26D43"/>
    <w:rsid w:val="00E2719A"/>
    <w:rsid w:val="00E331A1"/>
    <w:rsid w:val="00E33202"/>
    <w:rsid w:val="00E336A9"/>
    <w:rsid w:val="00E339F9"/>
    <w:rsid w:val="00E34D61"/>
    <w:rsid w:val="00E352AD"/>
    <w:rsid w:val="00E35DF9"/>
    <w:rsid w:val="00E36162"/>
    <w:rsid w:val="00E4020E"/>
    <w:rsid w:val="00E41572"/>
    <w:rsid w:val="00E42E24"/>
    <w:rsid w:val="00E4326C"/>
    <w:rsid w:val="00E43716"/>
    <w:rsid w:val="00E43E83"/>
    <w:rsid w:val="00E4418C"/>
    <w:rsid w:val="00E442E7"/>
    <w:rsid w:val="00E47FEC"/>
    <w:rsid w:val="00E50624"/>
    <w:rsid w:val="00E50EC1"/>
    <w:rsid w:val="00E559C8"/>
    <w:rsid w:val="00E559F4"/>
    <w:rsid w:val="00E568DF"/>
    <w:rsid w:val="00E6091E"/>
    <w:rsid w:val="00E63E1C"/>
    <w:rsid w:val="00E64269"/>
    <w:rsid w:val="00E648BF"/>
    <w:rsid w:val="00E67B9B"/>
    <w:rsid w:val="00E70395"/>
    <w:rsid w:val="00E71182"/>
    <w:rsid w:val="00E7180C"/>
    <w:rsid w:val="00E71EE8"/>
    <w:rsid w:val="00E759C7"/>
    <w:rsid w:val="00E778AF"/>
    <w:rsid w:val="00E82267"/>
    <w:rsid w:val="00E82D19"/>
    <w:rsid w:val="00E8382C"/>
    <w:rsid w:val="00E84714"/>
    <w:rsid w:val="00E879E6"/>
    <w:rsid w:val="00E9375F"/>
    <w:rsid w:val="00E938AA"/>
    <w:rsid w:val="00E95984"/>
    <w:rsid w:val="00E96D03"/>
    <w:rsid w:val="00EA010F"/>
    <w:rsid w:val="00EA039B"/>
    <w:rsid w:val="00EA2455"/>
    <w:rsid w:val="00EA262D"/>
    <w:rsid w:val="00EA4AA3"/>
    <w:rsid w:val="00EA4BCA"/>
    <w:rsid w:val="00EA545A"/>
    <w:rsid w:val="00EB2461"/>
    <w:rsid w:val="00EC1C2C"/>
    <w:rsid w:val="00EC25B6"/>
    <w:rsid w:val="00EC38BD"/>
    <w:rsid w:val="00EC3F04"/>
    <w:rsid w:val="00ED1B63"/>
    <w:rsid w:val="00ED29E6"/>
    <w:rsid w:val="00ED29EA"/>
    <w:rsid w:val="00ED360C"/>
    <w:rsid w:val="00ED3C1F"/>
    <w:rsid w:val="00ED4085"/>
    <w:rsid w:val="00ED420E"/>
    <w:rsid w:val="00ED6AD8"/>
    <w:rsid w:val="00ED71DF"/>
    <w:rsid w:val="00EE0963"/>
    <w:rsid w:val="00EE1FC9"/>
    <w:rsid w:val="00EE24E3"/>
    <w:rsid w:val="00EE2F57"/>
    <w:rsid w:val="00EE6332"/>
    <w:rsid w:val="00EF132A"/>
    <w:rsid w:val="00EF4C34"/>
    <w:rsid w:val="00EF5291"/>
    <w:rsid w:val="00EF64E8"/>
    <w:rsid w:val="00EF659B"/>
    <w:rsid w:val="00EF77C6"/>
    <w:rsid w:val="00EF7BDE"/>
    <w:rsid w:val="00EF7CA7"/>
    <w:rsid w:val="00F022B4"/>
    <w:rsid w:val="00F0292C"/>
    <w:rsid w:val="00F05438"/>
    <w:rsid w:val="00F0746A"/>
    <w:rsid w:val="00F110A1"/>
    <w:rsid w:val="00F118C3"/>
    <w:rsid w:val="00F1361C"/>
    <w:rsid w:val="00F14902"/>
    <w:rsid w:val="00F160C7"/>
    <w:rsid w:val="00F16FDE"/>
    <w:rsid w:val="00F20320"/>
    <w:rsid w:val="00F20532"/>
    <w:rsid w:val="00F21001"/>
    <w:rsid w:val="00F228F9"/>
    <w:rsid w:val="00F248A8"/>
    <w:rsid w:val="00F24E3F"/>
    <w:rsid w:val="00F26D60"/>
    <w:rsid w:val="00F30138"/>
    <w:rsid w:val="00F301B6"/>
    <w:rsid w:val="00F31EA1"/>
    <w:rsid w:val="00F3294D"/>
    <w:rsid w:val="00F354A9"/>
    <w:rsid w:val="00F36D8F"/>
    <w:rsid w:val="00F3744E"/>
    <w:rsid w:val="00F40698"/>
    <w:rsid w:val="00F406E9"/>
    <w:rsid w:val="00F417B1"/>
    <w:rsid w:val="00F460AB"/>
    <w:rsid w:val="00F50AC5"/>
    <w:rsid w:val="00F53E68"/>
    <w:rsid w:val="00F5454E"/>
    <w:rsid w:val="00F559FA"/>
    <w:rsid w:val="00F57903"/>
    <w:rsid w:val="00F602DF"/>
    <w:rsid w:val="00F6390A"/>
    <w:rsid w:val="00F6529E"/>
    <w:rsid w:val="00F6641D"/>
    <w:rsid w:val="00F75CC0"/>
    <w:rsid w:val="00F75CCC"/>
    <w:rsid w:val="00F75F9D"/>
    <w:rsid w:val="00F81FD9"/>
    <w:rsid w:val="00F82490"/>
    <w:rsid w:val="00F8281D"/>
    <w:rsid w:val="00F835D4"/>
    <w:rsid w:val="00F841AA"/>
    <w:rsid w:val="00F845B5"/>
    <w:rsid w:val="00F86932"/>
    <w:rsid w:val="00F87E73"/>
    <w:rsid w:val="00F905A4"/>
    <w:rsid w:val="00F92C70"/>
    <w:rsid w:val="00F93633"/>
    <w:rsid w:val="00F93DF5"/>
    <w:rsid w:val="00FA0947"/>
    <w:rsid w:val="00FA23E8"/>
    <w:rsid w:val="00FA2F5B"/>
    <w:rsid w:val="00FA4421"/>
    <w:rsid w:val="00FA4B00"/>
    <w:rsid w:val="00FA525F"/>
    <w:rsid w:val="00FA77AD"/>
    <w:rsid w:val="00FB0BBA"/>
    <w:rsid w:val="00FB1FF4"/>
    <w:rsid w:val="00FB55E6"/>
    <w:rsid w:val="00FC124C"/>
    <w:rsid w:val="00FC1E02"/>
    <w:rsid w:val="00FC3048"/>
    <w:rsid w:val="00FC4660"/>
    <w:rsid w:val="00FC46BC"/>
    <w:rsid w:val="00FC7DEF"/>
    <w:rsid w:val="00FD020D"/>
    <w:rsid w:val="00FD3016"/>
    <w:rsid w:val="00FD3828"/>
    <w:rsid w:val="00FD3CC1"/>
    <w:rsid w:val="00FD5BFE"/>
    <w:rsid w:val="00FE17BC"/>
    <w:rsid w:val="00FE2AD1"/>
    <w:rsid w:val="00FE4DB0"/>
    <w:rsid w:val="00FE5493"/>
    <w:rsid w:val="00FE625C"/>
    <w:rsid w:val="00FF1E02"/>
    <w:rsid w:val="00FF30B4"/>
    <w:rsid w:val="00FF66E8"/>
    <w:rsid w:val="01CF32DE"/>
    <w:rsid w:val="01D74DB7"/>
    <w:rsid w:val="01D86637"/>
    <w:rsid w:val="01F04616"/>
    <w:rsid w:val="03F359AA"/>
    <w:rsid w:val="0463543B"/>
    <w:rsid w:val="04A56E6E"/>
    <w:rsid w:val="051A6F96"/>
    <w:rsid w:val="06951176"/>
    <w:rsid w:val="07001BE1"/>
    <w:rsid w:val="07267DE7"/>
    <w:rsid w:val="089C4B49"/>
    <w:rsid w:val="09081517"/>
    <w:rsid w:val="091B747D"/>
    <w:rsid w:val="0A19737C"/>
    <w:rsid w:val="0A344626"/>
    <w:rsid w:val="0B7218AA"/>
    <w:rsid w:val="0B99373B"/>
    <w:rsid w:val="0BA37CB5"/>
    <w:rsid w:val="0D0429D6"/>
    <w:rsid w:val="0D093B48"/>
    <w:rsid w:val="0D322E51"/>
    <w:rsid w:val="0D6C338E"/>
    <w:rsid w:val="0DB37F58"/>
    <w:rsid w:val="0F5E6610"/>
    <w:rsid w:val="10C055FF"/>
    <w:rsid w:val="10FE182E"/>
    <w:rsid w:val="11D56DF6"/>
    <w:rsid w:val="11ED6591"/>
    <w:rsid w:val="13367661"/>
    <w:rsid w:val="14981758"/>
    <w:rsid w:val="16BB723D"/>
    <w:rsid w:val="17BC7656"/>
    <w:rsid w:val="17EA348C"/>
    <w:rsid w:val="1840212F"/>
    <w:rsid w:val="19943114"/>
    <w:rsid w:val="1AB026BC"/>
    <w:rsid w:val="1ABB32B6"/>
    <w:rsid w:val="1BF70747"/>
    <w:rsid w:val="1C06153F"/>
    <w:rsid w:val="1C986C96"/>
    <w:rsid w:val="1D7371C3"/>
    <w:rsid w:val="1DDC2BB3"/>
    <w:rsid w:val="1E34479D"/>
    <w:rsid w:val="1EF81F78"/>
    <w:rsid w:val="1F620905"/>
    <w:rsid w:val="201A6AB0"/>
    <w:rsid w:val="203B66A0"/>
    <w:rsid w:val="211A679A"/>
    <w:rsid w:val="22941CAE"/>
    <w:rsid w:val="23902475"/>
    <w:rsid w:val="240371BF"/>
    <w:rsid w:val="2435534E"/>
    <w:rsid w:val="24534F10"/>
    <w:rsid w:val="24DF6C66"/>
    <w:rsid w:val="253D03DB"/>
    <w:rsid w:val="25A20B86"/>
    <w:rsid w:val="25B1070F"/>
    <w:rsid w:val="25DD571A"/>
    <w:rsid w:val="265C1D1F"/>
    <w:rsid w:val="26BB36DB"/>
    <w:rsid w:val="271C5A93"/>
    <w:rsid w:val="276F1834"/>
    <w:rsid w:val="27B459F9"/>
    <w:rsid w:val="27C51E91"/>
    <w:rsid w:val="28513369"/>
    <w:rsid w:val="28BF6D42"/>
    <w:rsid w:val="29C4731D"/>
    <w:rsid w:val="29FD04D3"/>
    <w:rsid w:val="2B876854"/>
    <w:rsid w:val="2CAE1BBE"/>
    <w:rsid w:val="2CCF04B2"/>
    <w:rsid w:val="2E4C04E0"/>
    <w:rsid w:val="2F803D16"/>
    <w:rsid w:val="31810DA9"/>
    <w:rsid w:val="31903F88"/>
    <w:rsid w:val="319F7F4E"/>
    <w:rsid w:val="329448A6"/>
    <w:rsid w:val="32F45598"/>
    <w:rsid w:val="35244754"/>
    <w:rsid w:val="364D41F6"/>
    <w:rsid w:val="36FD0156"/>
    <w:rsid w:val="38F8371D"/>
    <w:rsid w:val="39226F5F"/>
    <w:rsid w:val="39902098"/>
    <w:rsid w:val="3A3A0F35"/>
    <w:rsid w:val="3A4E1148"/>
    <w:rsid w:val="3C8D2F9D"/>
    <w:rsid w:val="3CE0510E"/>
    <w:rsid w:val="3D0277B1"/>
    <w:rsid w:val="3D1E4B3E"/>
    <w:rsid w:val="3E03620E"/>
    <w:rsid w:val="3E343C22"/>
    <w:rsid w:val="3F512FA9"/>
    <w:rsid w:val="3FAC4683"/>
    <w:rsid w:val="3FEA5DFB"/>
    <w:rsid w:val="401C35B7"/>
    <w:rsid w:val="4119235A"/>
    <w:rsid w:val="41677310"/>
    <w:rsid w:val="422C2C46"/>
    <w:rsid w:val="4251506E"/>
    <w:rsid w:val="43684120"/>
    <w:rsid w:val="444F07DA"/>
    <w:rsid w:val="44601E28"/>
    <w:rsid w:val="47101E8B"/>
    <w:rsid w:val="475E72DC"/>
    <w:rsid w:val="47F514AF"/>
    <w:rsid w:val="4839282C"/>
    <w:rsid w:val="48D165A0"/>
    <w:rsid w:val="48FD75BD"/>
    <w:rsid w:val="4A745623"/>
    <w:rsid w:val="4D135D42"/>
    <w:rsid w:val="4D846266"/>
    <w:rsid w:val="4D8D78A2"/>
    <w:rsid w:val="4DF123A8"/>
    <w:rsid w:val="4E832A53"/>
    <w:rsid w:val="4F6F7A34"/>
    <w:rsid w:val="4FD74194"/>
    <w:rsid w:val="4FDA49F5"/>
    <w:rsid w:val="50AE413E"/>
    <w:rsid w:val="51E1640E"/>
    <w:rsid w:val="51EE42CA"/>
    <w:rsid w:val="52302EF2"/>
    <w:rsid w:val="52ED6284"/>
    <w:rsid w:val="5322283B"/>
    <w:rsid w:val="532B0C13"/>
    <w:rsid w:val="53BE2B80"/>
    <w:rsid w:val="541505F1"/>
    <w:rsid w:val="54992FD0"/>
    <w:rsid w:val="55872E29"/>
    <w:rsid w:val="56D0674C"/>
    <w:rsid w:val="58BA52C3"/>
    <w:rsid w:val="59E11CD3"/>
    <w:rsid w:val="5BE202EA"/>
    <w:rsid w:val="5CFA7F1D"/>
    <w:rsid w:val="5E2506F8"/>
    <w:rsid w:val="5EA316D6"/>
    <w:rsid w:val="5F3A07D2"/>
    <w:rsid w:val="5F593A88"/>
    <w:rsid w:val="5F9E32A9"/>
    <w:rsid w:val="60651EAC"/>
    <w:rsid w:val="60BB3927"/>
    <w:rsid w:val="62A42EE2"/>
    <w:rsid w:val="630D013F"/>
    <w:rsid w:val="63347FC4"/>
    <w:rsid w:val="63604CB9"/>
    <w:rsid w:val="64A36D0B"/>
    <w:rsid w:val="64C656C1"/>
    <w:rsid w:val="65DF63C9"/>
    <w:rsid w:val="662A7F2C"/>
    <w:rsid w:val="68DA2DB6"/>
    <w:rsid w:val="69725134"/>
    <w:rsid w:val="6B4666B6"/>
    <w:rsid w:val="6B7834E8"/>
    <w:rsid w:val="6CC85DA9"/>
    <w:rsid w:val="6D8F2D6B"/>
    <w:rsid w:val="6DC31436"/>
    <w:rsid w:val="6ECB49CF"/>
    <w:rsid w:val="6ECB5A2B"/>
    <w:rsid w:val="70202A42"/>
    <w:rsid w:val="72227D09"/>
    <w:rsid w:val="72E476B5"/>
    <w:rsid w:val="73BE3A62"/>
    <w:rsid w:val="746C7E4B"/>
    <w:rsid w:val="750E6C6B"/>
    <w:rsid w:val="755E374E"/>
    <w:rsid w:val="76377F56"/>
    <w:rsid w:val="764B35A7"/>
    <w:rsid w:val="78A4106B"/>
    <w:rsid w:val="79975481"/>
    <w:rsid w:val="7A1B4027"/>
    <w:rsid w:val="7A965738"/>
    <w:rsid w:val="7ABC1C9C"/>
    <w:rsid w:val="7B022DCE"/>
    <w:rsid w:val="7B272834"/>
    <w:rsid w:val="7B8F71DF"/>
    <w:rsid w:val="7CB2612E"/>
    <w:rsid w:val="7CC25607"/>
    <w:rsid w:val="7DE859ED"/>
    <w:rsid w:val="7E4C610E"/>
    <w:rsid w:val="FFFE741E"/>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4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ind w:firstLine="680"/>
    </w:pPr>
  </w:style>
  <w:style w:type="paragraph" w:styleId="6">
    <w:name w:val="annotation text"/>
    <w:basedOn w:val="1"/>
    <w:semiHidden/>
    <w:unhideWhenUsed/>
    <w:qFormat/>
    <w:uiPriority w:val="99"/>
    <w:pPr>
      <w:jc w:val="left"/>
    </w:pPr>
  </w:style>
  <w:style w:type="paragraph" w:styleId="7">
    <w:name w:val="Body Text"/>
    <w:basedOn w:val="1"/>
    <w:link w:val="26"/>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1"/>
    <w:semiHidden/>
    <w:unhideWhenUsed/>
    <w:qFormat/>
    <w:uiPriority w:val="99"/>
    <w:rPr>
      <w:sz w:val="18"/>
      <w:szCs w:val="18"/>
    </w:rPr>
  </w:style>
  <w:style w:type="paragraph" w:styleId="10">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able of figures"/>
    <w:basedOn w:val="1"/>
    <w:next w:val="1"/>
    <w:qFormat/>
    <w:uiPriority w:val="0"/>
    <w:pPr>
      <w:ind w:left="200" w:leftChars="200" w:hanging="200" w:hangingChars="200"/>
    </w:p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rPr>
  </w:style>
  <w:style w:type="character" w:styleId="19">
    <w:name w:val="annotation reference"/>
    <w:basedOn w:val="16"/>
    <w:semiHidden/>
    <w:unhideWhenUsed/>
    <w:qFormat/>
    <w:uiPriority w:val="99"/>
    <w:rPr>
      <w:sz w:val="21"/>
      <w:szCs w:val="21"/>
    </w:rPr>
  </w:style>
  <w:style w:type="paragraph" w:customStyle="1" w:styleId="20">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1">
    <w:name w:val="Header Char"/>
    <w:basedOn w:val="16"/>
    <w:semiHidden/>
    <w:qFormat/>
    <w:uiPriority w:val="99"/>
    <w:rPr>
      <w:rFonts w:ascii="Times New Roman" w:hAnsi="Times New Roman"/>
      <w:sz w:val="18"/>
      <w:szCs w:val="18"/>
    </w:rPr>
  </w:style>
  <w:style w:type="character" w:customStyle="1" w:styleId="22">
    <w:name w:val="页眉 字符"/>
    <w:link w:val="11"/>
    <w:semiHidden/>
    <w:qFormat/>
    <w:locked/>
    <w:uiPriority w:val="99"/>
    <w:rPr>
      <w:sz w:val="18"/>
    </w:rPr>
  </w:style>
  <w:style w:type="character" w:customStyle="1" w:styleId="23">
    <w:name w:val="Footer Char"/>
    <w:basedOn w:val="16"/>
    <w:semiHidden/>
    <w:qFormat/>
    <w:uiPriority w:val="99"/>
    <w:rPr>
      <w:rFonts w:ascii="Times New Roman" w:hAnsi="Times New Roman"/>
      <w:sz w:val="18"/>
      <w:szCs w:val="18"/>
    </w:rPr>
  </w:style>
  <w:style w:type="character" w:customStyle="1" w:styleId="24">
    <w:name w:val="页脚 字符"/>
    <w:link w:val="10"/>
    <w:qFormat/>
    <w:locked/>
    <w:uiPriority w:val="99"/>
    <w:rPr>
      <w:sz w:val="18"/>
    </w:rPr>
  </w:style>
  <w:style w:type="character" w:customStyle="1" w:styleId="25">
    <w:name w:val="Body Text Char"/>
    <w:basedOn w:val="16"/>
    <w:semiHidden/>
    <w:qFormat/>
    <w:uiPriority w:val="99"/>
    <w:rPr>
      <w:rFonts w:ascii="Times New Roman" w:hAnsi="Times New Roman"/>
      <w:szCs w:val="24"/>
    </w:rPr>
  </w:style>
  <w:style w:type="character" w:customStyle="1" w:styleId="26">
    <w:name w:val="正文文本 字符"/>
    <w:link w:val="7"/>
    <w:qFormat/>
    <w:locked/>
    <w:uiPriority w:val="99"/>
    <w:rPr>
      <w:rFonts w:ascii="仿宋_GB2312" w:hAnsi="Times New Roman" w:eastAsia="仿宋_GB2312"/>
      <w:sz w:val="24"/>
    </w:rPr>
  </w:style>
  <w:style w:type="paragraph" w:styleId="27">
    <w:name w:val="List Paragraph"/>
    <w:basedOn w:val="1"/>
    <w:qFormat/>
    <w:uiPriority w:val="34"/>
    <w:pPr>
      <w:ind w:firstLine="420" w:firstLineChars="200"/>
    </w:pPr>
  </w:style>
  <w:style w:type="character" w:customStyle="1" w:styleId="28">
    <w:name w:val="标题 1 字符"/>
    <w:basedOn w:val="16"/>
    <w:link w:val="3"/>
    <w:qFormat/>
    <w:uiPriority w:val="9"/>
    <w:rPr>
      <w:rFonts w:ascii="Times New Roman" w:hAnsi="Times New Roman"/>
      <w:b/>
      <w:bCs/>
      <w:kern w:val="44"/>
      <w:sz w:val="44"/>
      <w:szCs w:val="44"/>
    </w:rPr>
  </w:style>
  <w:style w:type="character" w:customStyle="1" w:styleId="29">
    <w:name w:val="标题 2 字符"/>
    <w:basedOn w:val="16"/>
    <w:link w:val="4"/>
    <w:qFormat/>
    <w:uiPriority w:val="9"/>
    <w:rPr>
      <w:rFonts w:asciiTheme="majorHAnsi" w:hAnsiTheme="majorHAnsi" w:eastAsiaTheme="majorEastAsia" w:cstheme="majorBidi"/>
      <w:b/>
      <w:bCs/>
      <w:kern w:val="2"/>
      <w:sz w:val="32"/>
      <w:szCs w:val="32"/>
    </w:rPr>
  </w:style>
  <w:style w:type="paragraph" w:customStyle="1" w:styleId="30">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1">
    <w:name w:val="批注框文本 字符"/>
    <w:basedOn w:val="16"/>
    <w:link w:val="9"/>
    <w:semiHidden/>
    <w:qFormat/>
    <w:uiPriority w:val="99"/>
    <w:rPr>
      <w:rFonts w:ascii="Times New Roman" w:hAnsi="Times New Roman"/>
      <w:kern w:val="2"/>
      <w:sz w:val="18"/>
      <w:szCs w:val="18"/>
    </w:rPr>
  </w:style>
  <w:style w:type="character" w:customStyle="1" w:styleId="32">
    <w:name w:val="标题 3 字符"/>
    <w:basedOn w:val="16"/>
    <w:link w:val="5"/>
    <w:qFormat/>
    <w:uiPriority w:val="9"/>
    <w:rPr>
      <w:rFonts w:ascii="Times New Roman" w:hAnsi="Times New Roman"/>
      <w:b/>
      <w:bCs/>
      <w:kern w:val="2"/>
      <w:sz w:val="32"/>
      <w:szCs w:val="32"/>
    </w:rPr>
  </w:style>
  <w:style w:type="paragraph" w:customStyle="1" w:styleId="33">
    <w:name w:val="Normalb0d5c07b"/>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4">
    <w:name w:val="Default Paragraph Font603e73ec"/>
    <w:semiHidden/>
    <w:qFormat/>
    <w:uiPriority w:val="0"/>
  </w:style>
  <w:style w:type="table" w:customStyle="1" w:styleId="35">
    <w:name w:val="Normal Table99f36247"/>
    <w:semiHidden/>
    <w:qFormat/>
    <w:uiPriority w:val="0"/>
    <w:tblPr>
      <w:tblCellMar>
        <w:top w:w="0" w:type="dxa"/>
        <w:left w:w="108" w:type="dxa"/>
        <w:bottom w:w="0" w:type="dxa"/>
        <w:right w:w="108" w:type="dxa"/>
      </w:tblCellMar>
    </w:tblPr>
  </w:style>
  <w:style w:type="paragraph" w:customStyle="1" w:styleId="36">
    <w:name w:val="Normalde92b477"/>
    <w:qFormat/>
    <w:uiPriority w:val="0"/>
    <w:pPr>
      <w:widowControl w:val="0"/>
      <w:jc w:val="both"/>
    </w:pPr>
    <w:rPr>
      <w:rFonts w:ascii="Times New Roman" w:hAnsi="Times New Roman" w:eastAsia="宋体" w:cs="Times New Roman"/>
      <w:kern w:val="2"/>
      <w:sz w:val="21"/>
      <w:szCs w:val="21"/>
      <w:lang w:val="en-US" w:eastAsia="zh-CN" w:bidi="ar-SA"/>
    </w:rPr>
  </w:style>
  <w:style w:type="character" w:customStyle="1" w:styleId="37">
    <w:name w:val="Default Paragraph Font5"/>
    <w:semiHidden/>
    <w:qFormat/>
    <w:uiPriority w:val="0"/>
  </w:style>
  <w:style w:type="table" w:customStyle="1" w:styleId="38">
    <w:name w:val="Normal Table4"/>
    <w:semiHidden/>
    <w:qFormat/>
    <w:uiPriority w:val="0"/>
    <w:tblPr>
      <w:tblCellMar>
        <w:top w:w="0" w:type="dxa"/>
        <w:left w:w="108" w:type="dxa"/>
        <w:bottom w:w="0" w:type="dxa"/>
        <w:right w:w="108" w:type="dxa"/>
      </w:tblCellMar>
    </w:tblPr>
  </w:style>
  <w:style w:type="paragraph" w:customStyle="1" w:styleId="39">
    <w:name w:val="footer5669de46"/>
    <w:basedOn w:val="36"/>
    <w:qFormat/>
    <w:uiPriority w:val="99"/>
    <w:pPr>
      <w:tabs>
        <w:tab w:val="center" w:pos="4153"/>
        <w:tab w:val="right" w:pos="8306"/>
      </w:tabs>
      <w:snapToGrid w:val="0"/>
      <w:jc w:val="left"/>
    </w:pPr>
    <w:rPr>
      <w:kern w:val="0"/>
      <w:sz w:val="18"/>
      <w:szCs w:val="20"/>
    </w:rPr>
  </w:style>
  <w:style w:type="paragraph" w:customStyle="1" w:styleId="40">
    <w:name w:val="headeraddfa7e3"/>
    <w:basedOn w:val="36"/>
    <w:semiHidden/>
    <w:qFormat/>
    <w:uiPriority w:val="99"/>
    <w:pPr>
      <w:pBdr>
        <w:bottom w:val="single" w:color="auto" w:sz="6" w:space="1"/>
      </w:pBdr>
      <w:tabs>
        <w:tab w:val="center" w:pos="4153"/>
        <w:tab w:val="right" w:pos="8306"/>
      </w:tabs>
      <w:snapToGrid w:val="0"/>
      <w:jc w:val="center"/>
    </w:pPr>
    <w:rPr>
      <w:kern w:val="0"/>
      <w:sz w:val="18"/>
      <w:szCs w:val="20"/>
    </w:rPr>
  </w:style>
  <w:style w:type="character" w:customStyle="1" w:styleId="41">
    <w:name w:val="标题 2 Char"/>
    <w:basedOn w:val="16"/>
    <w:link w:val="4"/>
    <w:qFormat/>
    <w:locked/>
    <w:uiPriority w:val="9"/>
    <w:rPr>
      <w:rFonts w:ascii="Cambria" w:hAnsi="Cambria" w:eastAsia="宋体" w:cs="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true"/>
          <a:lstStyle/>
          <a:p>
            <a:pPr algn="l">
              <a:defRPr lang="zh-CN" sz="1800" b="1" i="0" u="none" strike="noStrike" kern="1200" baseline="0">
                <a:solidFill>
                  <a:schemeClr val="tx1"/>
                </a:solidFill>
                <a:latin typeface="+mn-lt"/>
                <a:ea typeface="+mn-ea"/>
                <a:cs typeface="+mn-cs"/>
              </a:defRPr>
            </a:pPr>
            <a:r>
              <a:rPr lang="zh-CN"/>
              <a:t>收、支决算总计变动情况图</a:t>
            </a:r>
            <a:endParaRPr lang="en-US" sz="1100"/>
          </a:p>
        </c:rich>
      </c:tx>
      <c:layout/>
      <c:overlay val="false"/>
    </c:title>
    <c:autoTitleDeleted val="false"/>
    <c:plotArea>
      <c:layout>
        <c:manualLayout>
          <c:layoutTarget val="inner"/>
          <c:xMode val="edge"/>
          <c:yMode val="edge"/>
          <c:x val="0.0559816218099468"/>
          <c:y val="0.247865112907836"/>
          <c:w val="0.800713012477719"/>
          <c:h val="0.654027777777778"/>
        </c:manualLayout>
      </c:layout>
      <c:barChart>
        <c:barDir val="col"/>
        <c:grouping val="clustered"/>
        <c:varyColors val="false"/>
        <c:ser>
          <c:idx val="1"/>
          <c:order val="0"/>
          <c:tx>
            <c:strRef>
              <c:f>收入</c:f>
              <c:strCache>
                <c:ptCount val="1"/>
                <c:pt idx="0">
                  <c:v>收入</c:v>
                </c:pt>
              </c:strCache>
            </c:strRef>
          </c:tx>
          <c:invertIfNegative val="false"/>
          <c:dLbls>
            <c:numFmt formatCode="General" sourceLinked="true"/>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numRef>
              <c:f>{"2020","2021"}</c:f>
              <c:numCache>
                <c:formatCode>General</c:formatCode>
                <c:ptCount val="2"/>
                <c:pt idx="0">
                  <c:v>2020</c:v>
                </c:pt>
                <c:pt idx="1">
                  <c:v>2021</c:v>
                </c:pt>
              </c:numCache>
            </c:numRef>
          </c:cat>
          <c:val>
            <c:numRef>
              <c:f>{1341.02,1401.53}</c:f>
              <c:numCache>
                <c:formatCode>General</c:formatCode>
                <c:ptCount val="2"/>
                <c:pt idx="0">
                  <c:v>1341.02</c:v>
                </c:pt>
                <c:pt idx="1">
                  <c:v>1401.53</c:v>
                </c:pt>
              </c:numCache>
            </c:numRef>
          </c:val>
        </c:ser>
        <c:ser>
          <c:idx val="2"/>
          <c:order val="1"/>
          <c:tx>
            <c:strRef>
              <c:f>支出</c:f>
              <c:strCache>
                <c:ptCount val="1"/>
                <c:pt idx="0">
                  <c:v>支出</c:v>
                </c:pt>
              </c:strCache>
            </c:strRef>
          </c:tx>
          <c:invertIfNegative val="false"/>
          <c:dLbls>
            <c:numFmt formatCode="General" sourceLinked="true"/>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numRef>
              <c:f>{"2020","2021"}</c:f>
              <c:numCache>
                <c:formatCode>General</c:formatCode>
                <c:ptCount val="2"/>
                <c:pt idx="0">
                  <c:v>2020</c:v>
                </c:pt>
                <c:pt idx="1">
                  <c:v>2021</c:v>
                </c:pt>
              </c:numCache>
            </c:numRef>
          </c:cat>
          <c:val>
            <c:numRef>
              <c:f>{1341.02,1401.53}</c:f>
              <c:numCache>
                <c:formatCode>General</c:formatCode>
                <c:ptCount val="2"/>
                <c:pt idx="0">
                  <c:v>1341.02</c:v>
                </c:pt>
                <c:pt idx="1">
                  <c:v>1401.53</c:v>
                </c:pt>
              </c:numCache>
            </c:numRef>
          </c:val>
        </c:ser>
        <c:dLbls>
          <c:showLegendKey val="false"/>
          <c:showVal val="true"/>
          <c:showCatName val="false"/>
          <c:showSerName val="false"/>
          <c:showPercent val="false"/>
          <c:showBubbleSize val="false"/>
        </c:dLbls>
        <c:gapWidth val="41"/>
        <c:axId val="261387392"/>
        <c:axId val="261388928"/>
      </c:barChart>
      <c:catAx>
        <c:axId val="261387392"/>
        <c:scaling>
          <c:orientation val="minMax"/>
        </c:scaling>
        <c:delete val="false"/>
        <c:axPos val="b"/>
        <c:title>
          <c:tx>
            <c:rich>
              <a:bodyPr rot="0" spcFirstLastPara="0" vertOverflow="ellipsis" vert="horz" wrap="square" rtlCol="0" anchor="t" anchorCtr="true"/>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false"/>
        </c:title>
        <c:numFmt formatCode="General" sourceLinked="false"/>
        <c:majorTickMark val="none"/>
        <c:minorTickMark val="none"/>
        <c:tickLblPos val="nextTo"/>
        <c:spPr>
          <a:noFill/>
          <a:ln w="9525" cap="flat" cmpd="sng" algn="ctr">
            <a:noFill/>
            <a:prstDash val="solid"/>
            <a:round/>
          </a:ln>
          <a:effectLst/>
        </c:spPr>
        <c:txPr>
          <a:bodyPr rot="-60000000" spcFirstLastPara="1" vertOverflow="ellipsis" vert="horz" wrap="square" anchor="ctr" anchorCtr="true"/>
          <a:lstStyle/>
          <a:p>
            <a:pPr>
              <a:defRPr lang="zh-CN" sz="900" b="0" i="0" u="none" strike="noStrike" kern="1200" baseline="0">
                <a:solidFill>
                  <a:schemeClr val="dk1">
                    <a:lumMod val="65000"/>
                    <a:lumOff val="35000"/>
                  </a:schemeClr>
                </a:solidFill>
                <a:effectLst/>
                <a:latin typeface="+mn-lt"/>
                <a:ea typeface="+mn-ea"/>
                <a:cs typeface="+mn-cs"/>
              </a:defRPr>
            </a:pPr>
          </a:p>
        </c:txPr>
        <c:crossAx val="261388928"/>
        <c:crosses val="autoZero"/>
        <c:auto val="true"/>
        <c:lblAlgn val="ctr"/>
        <c:lblOffset val="100"/>
        <c:noMultiLvlLbl val="false"/>
      </c:catAx>
      <c:valAx>
        <c:axId val="261388928"/>
        <c:scaling>
          <c:orientation val="minMax"/>
        </c:scaling>
        <c:delete val="true"/>
        <c:axPos val="l"/>
        <c:title>
          <c:tx>
            <c:rich>
              <a:bodyPr rot="-5400000" spcFirstLastPara="0" vertOverflow="ellipsis" vert="horz" wrap="square" rtlCol="0" anchor="t" anchorCtr="true"/>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false"/>
        </c:title>
        <c:numFmt formatCode="General" sourceLinked="true"/>
        <c:majorTickMark val="none"/>
        <c:minorTickMark val="none"/>
        <c:tickLblPos val="none"/>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261387392"/>
        <c:crosses val="autoZero"/>
        <c:crossBetween val="between"/>
      </c:valAx>
      <c:spPr>
        <a:noFill/>
        <a:ln>
          <a:noFill/>
        </a:ln>
        <a:effectLst/>
      </c:spPr>
    </c:plotArea>
    <c:legend>
      <c:legendPos val="r"/>
      <c:layout/>
      <c:overlay val="false"/>
      <c:spPr>
        <a:noFill/>
        <a:ln>
          <a:noFill/>
        </a:ln>
        <a:effectLst/>
      </c:spPr>
      <c:txPr>
        <a:bodyPr rot="0" spcFirstLastPara="1" vertOverflow="ellipsis" vert="horz" wrap="square" anchor="ctr" anchorCtr="true"/>
        <a:lstStyle/>
        <a:p>
          <a:pPr>
            <a:defRPr lang="zh-CN" sz="900" b="0" i="0" u="none" strike="noStrike" kern="1200" baseline="0">
              <a:solidFill>
                <a:schemeClr val="dk1">
                  <a:lumMod val="65000"/>
                  <a:lumOff val="35000"/>
                </a:schemeClr>
              </a:solidFill>
              <a:latin typeface="+mn-lt"/>
              <a:ea typeface="+mn-ea"/>
              <a:cs typeface="+mn-cs"/>
            </a:defRPr>
          </a:pPr>
        </a:p>
      </c:txPr>
    </c:legend>
    <c:plotVisOnly val="true"/>
    <c:dispBlanksAs val="gap"/>
    <c:showDLblsOverMax val="false"/>
  </c:chart>
  <c:spPr>
    <a:gradFill flip="none" rotWithShape="true">
      <a:gsLst>
        <a:gs pos="0">
          <a:schemeClr val="lt1"/>
        </a:gs>
        <a:gs pos="68000">
          <a:schemeClr val="lt1">
            <a:lumMod val="85000"/>
          </a:schemeClr>
        </a:gs>
        <a:gs pos="100000">
          <a:schemeClr val="lt1"/>
        </a:gs>
      </a:gsLst>
      <a:lin ang="5400000" scaled="true"/>
      <a:tileRect/>
    </a:gradFill>
    <a:ln w="9525" cap="flat" cmpd="sng" algn="ctr">
      <a:solidFill>
        <a:schemeClr val="dk1">
          <a:lumMod val="15000"/>
          <a:lumOff val="85000"/>
        </a:schemeClr>
      </a:solidFill>
      <a:prstDash val="solid"/>
      <a:round/>
    </a:ln>
    <a:effectLst/>
  </c:spPr>
  <c:txPr>
    <a:bodyPr/>
    <a:lstStyle/>
    <a:p>
      <a:pPr>
        <a:defRPr lang="zh-CN"/>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true"/>
          <a:lstStyle/>
          <a:p>
            <a:pPr algn="l">
              <a:defRPr lang="zh-CN" sz="1800" b="1" i="0" u="none" strike="noStrike" kern="1200" baseline="0">
                <a:solidFill>
                  <a:schemeClr val="tx1"/>
                </a:solidFill>
                <a:latin typeface="+mn-lt"/>
                <a:ea typeface="+mn-ea"/>
                <a:cs typeface="+mn-cs"/>
              </a:defRPr>
            </a:pPr>
            <a:r>
              <a:rPr lang="zh-CN"/>
              <a:t>收入决算结构图</a:t>
            </a:r>
            <a:endParaRPr lang="en-US" sz="1100"/>
          </a:p>
        </c:rich>
      </c:tx>
      <c:layout/>
      <c:overlay val="false"/>
    </c:title>
    <c:autoTitleDeleted val="false"/>
    <c:plotArea>
      <c:layout/>
      <c:pieChart>
        <c:varyColors val="true"/>
        <c:ser>
          <c:idx val="1"/>
          <c:order val="0"/>
          <c:explosion val="0"/>
          <c:dPt>
            <c:idx val="0"/>
            <c:bubble3D val="false"/>
          </c:dPt>
          <c:dPt>
            <c:idx val="1"/>
            <c:bubble3D val="false"/>
          </c:dPt>
          <c:dPt>
            <c:idx val="2"/>
            <c:bubble3D val="false"/>
          </c:dPt>
          <c:dPt>
            <c:idx val="3"/>
            <c:bubble3D val="false"/>
          </c:dPt>
          <c:dPt>
            <c:idx val="4"/>
            <c:bubble3D val="false"/>
          </c:dPt>
          <c:dPt>
            <c:idx val="5"/>
            <c:bubble3D val="false"/>
          </c:dPt>
          <c:dPt>
            <c:idx val="6"/>
            <c:bubble3D val="false"/>
          </c:dPt>
          <c:dPt>
            <c:idx val="7"/>
            <c:bubble3D val="false"/>
          </c:dPt>
          <c:dLbls>
            <c:numFmt formatCode="General" sourceLinked="true"/>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bestFit"/>
            <c:showLegendKey val="false"/>
            <c:showVal val="false"/>
            <c:showCatName val="false"/>
            <c:showSerName val="false"/>
            <c:showPercent val="true"/>
            <c:showBubbleSize val="false"/>
            <c:showLeaderLines val="true"/>
            <c:extLst>
              <c:ext xmlns:c15="http://schemas.microsoft.com/office/drawing/2012/chart" uri="{CE6537A1-D6FC-4f65-9D91-7224C49458BB}">
                <c15:layout/>
                <c15:showLeaderLines val="true"/>
                <c15:leaderLines/>
              </c:ext>
            </c:extLst>
          </c:dLbls>
          <c:cat>
            <c:strRef>
              <c:f>{"一般公共预算财政拨款收入","政府性基金预算财政拨款收入","国有资本经营预算财政拨款收入","上级补助收入","事业收入","经营收入","附属单位上缴收入","其他收入"}</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{14015268.81,0,0,0,0,0,0,0}</c:f>
              <c:numCache>
                <c:formatCode>General</c:formatCode>
                <c:ptCount val="8"/>
                <c:pt idx="0">
                  <c:v>14015268.81</c:v>
                </c:pt>
                <c:pt idx="1">
                  <c:v>0</c:v>
                </c:pt>
                <c:pt idx="2">
                  <c:v>0</c:v>
                </c:pt>
                <c:pt idx="3">
                  <c:v>0</c:v>
                </c:pt>
                <c:pt idx="4">
                  <c:v>0</c:v>
                </c:pt>
                <c:pt idx="5">
                  <c:v>0</c:v>
                </c:pt>
                <c:pt idx="6">
                  <c:v>0</c:v>
                </c:pt>
                <c:pt idx="7">
                  <c:v>0</c:v>
                </c:pt>
              </c:numCache>
            </c:numRef>
          </c:val>
        </c:ser>
        <c:dLbls>
          <c:showLegendKey val="false"/>
          <c:showVal val="false"/>
          <c:showCatName val="false"/>
          <c:showSerName val="false"/>
          <c:showPercent val="true"/>
          <c:showBubbleSize val="false"/>
          <c:showLeaderLines val="true"/>
        </c:dLbls>
        <c:firstSliceAng val="0"/>
      </c:pieChart>
      <c:spPr>
        <a:noFill/>
        <a:ln>
          <a:noFill/>
        </a:ln>
        <a:effectLst/>
      </c:spPr>
    </c:plotArea>
    <c:legend>
      <c:legendPos val="r"/>
      <c:layout/>
      <c:overlay val="false"/>
      <c:spPr>
        <a:solidFill>
          <a:schemeClr val="lt1">
            <a:lumMod val="95000"/>
            <a:alpha val="39000"/>
          </a:schemeClr>
        </a:solidFill>
        <a:ln>
          <a:noFill/>
        </a:ln>
        <a:effectLst/>
      </c:spPr>
      <c:txPr>
        <a:bodyPr rot="0" spcFirstLastPara="0" vertOverflow="ellipsis" vert="horz" wrap="square" anchor="ctr" anchorCtr="true"/>
        <a:lstStyle/>
        <a:p>
          <a:pPr>
            <a:defRPr lang="zh-CN" sz="900" b="0" i="0" u="none" strike="noStrike" kern="1200" baseline="0">
              <a:solidFill>
                <a:schemeClr val="dk1">
                  <a:lumMod val="75000"/>
                  <a:lumOff val="25000"/>
                </a:schemeClr>
              </a:solidFill>
              <a:latin typeface="+mn-lt"/>
              <a:ea typeface="+mn-ea"/>
              <a:cs typeface="+mn-cs"/>
            </a:defRPr>
          </a:pPr>
        </a:p>
      </c:txPr>
    </c:legend>
    <c:plotVisOnly val="true"/>
    <c:dispBlanksAs val="zero"/>
    <c:showDLblsOverMax val="false"/>
  </c:chart>
  <c:spPr>
    <a:gradFill flip="none" rotWithShape="true">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false"/>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true"/>
          <a:lstStyle/>
          <a:p>
            <a:pPr algn="l">
              <a:defRPr lang="zh-CN" sz="1800" b="1" i="0" u="none" strike="noStrike" kern="1200" baseline="0">
                <a:solidFill>
                  <a:schemeClr val="tx1"/>
                </a:solidFill>
                <a:latin typeface="+mn-lt"/>
                <a:ea typeface="+mn-ea"/>
                <a:cs typeface="+mn-cs"/>
              </a:defRPr>
            </a:pPr>
            <a:r>
              <a:rPr lang="zh-CN"/>
              <a:t>支出决算结构图</a:t>
            </a:r>
            <a:endParaRPr lang="en-US" sz="1100"/>
          </a:p>
        </c:rich>
      </c:tx>
      <c:layout/>
      <c:overlay val="false"/>
    </c:title>
    <c:autoTitleDeleted val="false"/>
    <c:plotArea>
      <c:layout/>
      <c:pieChart>
        <c:varyColors val="true"/>
        <c:ser>
          <c:idx val="1"/>
          <c:order val="0"/>
          <c:explosion val="0"/>
          <c:dPt>
            <c:idx val="0"/>
            <c:bubble3D val="false"/>
          </c:dPt>
          <c:dPt>
            <c:idx val="1"/>
            <c:bubble3D val="false"/>
          </c:dPt>
          <c:dPt>
            <c:idx val="2"/>
            <c:bubble3D val="false"/>
          </c:dPt>
          <c:dPt>
            <c:idx val="3"/>
            <c:bubble3D val="false"/>
          </c:dPt>
          <c:dPt>
            <c:idx val="4"/>
            <c:bubble3D val="false"/>
          </c:dPt>
          <c:dLbls>
            <c:numFmt formatCode="General" sourceLinked="true"/>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bestFit"/>
            <c:showLegendKey val="false"/>
            <c:showVal val="false"/>
            <c:showCatName val="false"/>
            <c:showSerName val="false"/>
            <c:showPercent val="true"/>
            <c:showBubbleSize val="false"/>
            <c:showLeaderLines val="true"/>
            <c:extLst>
              <c:ext xmlns:c15="http://schemas.microsoft.com/office/drawing/2012/chart" uri="{CE6537A1-D6FC-4f65-9D91-7224C49458BB}">
                <c15:layout/>
                <c15:showLeaderLines val="true"/>
                <c15:leaderLines/>
              </c:ext>
            </c:extLst>
          </c:dLbls>
          <c:cat>
            <c:strRef>
              <c:f>{"基本支出","项目支出","上缴上级支出","经营支出","对附属单位补助支出"}</c:f>
              <c:strCache>
                <c:ptCount val="5"/>
                <c:pt idx="0">
                  <c:v>基本支出</c:v>
                </c:pt>
                <c:pt idx="1">
                  <c:v>项目支出</c:v>
                </c:pt>
                <c:pt idx="2">
                  <c:v>上缴上级支出</c:v>
                </c:pt>
                <c:pt idx="3">
                  <c:v>经营支出</c:v>
                </c:pt>
                <c:pt idx="4">
                  <c:v>对附属单位补助支出</c:v>
                </c:pt>
              </c:strCache>
            </c:strRef>
          </c:cat>
          <c:val>
            <c:numRef>
              <c:f>{10171097.93,3844170.88,0,0,0}</c:f>
              <c:numCache>
                <c:formatCode>General</c:formatCode>
                <c:ptCount val="5"/>
                <c:pt idx="0">
                  <c:v>10171097.93</c:v>
                </c:pt>
                <c:pt idx="1">
                  <c:v>3844170.88</c:v>
                </c:pt>
                <c:pt idx="2">
                  <c:v>0</c:v>
                </c:pt>
                <c:pt idx="3">
                  <c:v>0</c:v>
                </c:pt>
                <c:pt idx="4">
                  <c:v>0</c:v>
                </c:pt>
              </c:numCache>
            </c:numRef>
          </c:val>
        </c:ser>
        <c:dLbls>
          <c:showLegendKey val="false"/>
          <c:showVal val="false"/>
          <c:showCatName val="false"/>
          <c:showSerName val="false"/>
          <c:showPercent val="true"/>
          <c:showBubbleSize val="false"/>
          <c:showLeaderLines val="true"/>
        </c:dLbls>
        <c:firstSliceAng val="0"/>
      </c:pieChart>
      <c:spPr>
        <a:noFill/>
        <a:ln>
          <a:noFill/>
        </a:ln>
        <a:effectLst/>
      </c:spPr>
    </c:plotArea>
    <c:legend>
      <c:legendPos val="r"/>
      <c:layout/>
      <c:overlay val="false"/>
      <c:spPr>
        <a:solidFill>
          <a:schemeClr val="lt1">
            <a:lumMod val="95000"/>
            <a:alpha val="39000"/>
          </a:schemeClr>
        </a:solidFill>
        <a:ln>
          <a:noFill/>
        </a:ln>
        <a:effectLst/>
      </c:spPr>
      <c:txPr>
        <a:bodyPr rot="0" spcFirstLastPara="0" vertOverflow="ellipsis" vert="horz" wrap="square" anchor="ctr" anchorCtr="true"/>
        <a:lstStyle/>
        <a:p>
          <a:pPr>
            <a:defRPr lang="zh-CN" sz="900" b="0" i="0" u="none" strike="noStrike" kern="1200" baseline="0">
              <a:solidFill>
                <a:schemeClr val="dk1">
                  <a:lumMod val="75000"/>
                  <a:lumOff val="25000"/>
                </a:schemeClr>
              </a:solidFill>
              <a:latin typeface="+mn-lt"/>
              <a:ea typeface="+mn-ea"/>
              <a:cs typeface="+mn-cs"/>
            </a:defRPr>
          </a:pPr>
        </a:p>
      </c:txPr>
    </c:legend>
    <c:plotVisOnly val="true"/>
    <c:dispBlanksAs val="zero"/>
    <c:showDLblsOverMax val="false"/>
  </c:chart>
  <c:spPr>
    <a:gradFill flip="none" rotWithShape="true">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false"/>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true"/>
          <a:lstStyle/>
          <a:p>
            <a:pPr>
              <a:defRPr lang="zh-CN" sz="1600" b="1" i="0" u="none" strike="noStrike" kern="1200" baseline="0">
                <a:solidFill>
                  <a:schemeClr val="tx2"/>
                </a:solidFill>
                <a:latin typeface="+mn-lt"/>
                <a:ea typeface="+mn-ea"/>
                <a:cs typeface="+mn-cs"/>
              </a:defRPr>
            </a:pPr>
            <a:r>
              <a:rPr lang="en-US" altLang="zh-CN"/>
              <a:t>财政拨款收、支决算总计变动情况</a:t>
            </a:r>
            <a:endParaRPr lang="en-US" altLang="zh-CN"/>
          </a:p>
        </c:rich>
      </c:tx>
      <c:layout/>
      <c:overlay val="false"/>
      <c:spPr>
        <a:noFill/>
        <a:ln>
          <a:noFill/>
        </a:ln>
        <a:effectLst/>
      </c:spPr>
    </c:title>
    <c:autoTitleDeleted val="false"/>
    <c:plotArea>
      <c:layout/>
      <c:barChart>
        <c:barDir val="col"/>
        <c:grouping val="clustered"/>
        <c:varyColors val="false"/>
        <c:ser>
          <c:idx val="1"/>
          <c:order val="0"/>
          <c:tx>
            <c:strRef>
              <c:f>收入</c:f>
              <c:strCache>
                <c:ptCount val="1"/>
                <c:pt idx="0">
                  <c:v>收入</c:v>
                </c:pt>
              </c:strCache>
            </c:strRef>
          </c:tx>
          <c:invertIfNegative val="false"/>
          <c:dLbls>
            <c:numFmt formatCode="General" sourceLinked="true"/>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numRef>
              <c:f>{"2020","2021"}</c:f>
              <c:numCache>
                <c:formatCode>General</c:formatCode>
                <c:ptCount val="2"/>
                <c:pt idx="0">
                  <c:v>2020</c:v>
                </c:pt>
                <c:pt idx="1">
                  <c:v>2021</c:v>
                </c:pt>
              </c:numCache>
            </c:numRef>
          </c:cat>
          <c:val>
            <c:numRef>
              <c:f>{1341.02,1401.53}</c:f>
              <c:numCache>
                <c:formatCode>General</c:formatCode>
                <c:ptCount val="2"/>
                <c:pt idx="0">
                  <c:v>1341.02</c:v>
                </c:pt>
                <c:pt idx="1">
                  <c:v>1401.53</c:v>
                </c:pt>
              </c:numCache>
            </c:numRef>
          </c:val>
        </c:ser>
        <c:ser>
          <c:idx val="2"/>
          <c:order val="1"/>
          <c:tx>
            <c:strRef>
              <c:f>支出</c:f>
              <c:strCache>
                <c:ptCount val="1"/>
                <c:pt idx="0">
                  <c:v>支出</c:v>
                </c:pt>
              </c:strCache>
            </c:strRef>
          </c:tx>
          <c:invertIfNegative val="false"/>
          <c:dLbls>
            <c:numFmt formatCode="General" sourceLinked="true"/>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numRef>
              <c:f>{"2020","2021"}</c:f>
              <c:numCache>
                <c:formatCode>General</c:formatCode>
                <c:ptCount val="2"/>
                <c:pt idx="0">
                  <c:v>2020</c:v>
                </c:pt>
                <c:pt idx="1">
                  <c:v>2021</c:v>
                </c:pt>
              </c:numCache>
            </c:numRef>
          </c:cat>
          <c:val>
            <c:numRef>
              <c:f>{1341.02,1401.53}</c:f>
              <c:numCache>
                <c:formatCode>General</c:formatCode>
                <c:ptCount val="2"/>
                <c:pt idx="0">
                  <c:v>1341.02</c:v>
                </c:pt>
                <c:pt idx="1">
                  <c:v>1401.53</c:v>
                </c:pt>
              </c:numCache>
            </c:numRef>
          </c:val>
        </c:ser>
        <c:dLbls>
          <c:showLegendKey val="false"/>
          <c:showVal val="true"/>
          <c:showCatName val="false"/>
          <c:showSerName val="false"/>
          <c:showPercent val="false"/>
          <c:showBubbleSize val="false"/>
        </c:dLbls>
        <c:gapWidth val="100"/>
        <c:overlap val="-24"/>
        <c:axId val="263359104"/>
        <c:axId val="263373184"/>
      </c:barChart>
      <c:catAx>
        <c:axId val="263359104"/>
        <c:scaling>
          <c:orientation val="minMax"/>
        </c:scaling>
        <c:delete val="false"/>
        <c:axPos val="b"/>
        <c:title>
          <c:tx>
            <c:rich>
              <a:bodyPr rot="0" spcFirstLastPara="0" vertOverflow="ellipsis" vert="horz" wrap="square" rtlCol="0" anchor="t" anchorCtr="true"/>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false"/>
        </c:title>
        <c:numFmt formatCode="General" sourceLinked="false"/>
        <c:majorTickMark val="none"/>
        <c:minorTickMark val="none"/>
        <c:tickLblPos val="nextTo"/>
        <c:spPr>
          <a:noFill/>
          <a:ln w="9525" cap="flat" cmpd="sng" algn="ctr">
            <a:solidFill>
              <a:schemeClr val="tx2">
                <a:lumMod val="15000"/>
                <a:lumOff val="85000"/>
              </a:schemeClr>
            </a:solidFill>
            <a:prstDash val="solid"/>
            <a:round/>
          </a:ln>
          <a:effectLst/>
        </c:spPr>
        <c:txPr>
          <a:bodyPr rot="-60000000" spcFirstLastPara="1" vertOverflow="ellipsis" vert="horz" wrap="square" anchor="ctr" anchorCtr="true"/>
          <a:lstStyle/>
          <a:p>
            <a:pPr>
              <a:defRPr lang="zh-CN" sz="900" b="0" i="0" u="none" strike="noStrike" kern="1200" baseline="0">
                <a:solidFill>
                  <a:schemeClr val="tx2"/>
                </a:solidFill>
                <a:latin typeface="+mn-lt"/>
                <a:ea typeface="+mn-ea"/>
                <a:cs typeface="+mn-cs"/>
              </a:defRPr>
            </a:pPr>
          </a:p>
        </c:txPr>
        <c:crossAx val="263373184"/>
        <c:crosses val="autoZero"/>
        <c:auto val="true"/>
        <c:lblAlgn val="ctr"/>
        <c:lblOffset val="100"/>
        <c:noMultiLvlLbl val="false"/>
      </c:catAx>
      <c:valAx>
        <c:axId val="263373184"/>
        <c:scaling>
          <c:orientation val="minMax"/>
        </c:scaling>
        <c:delete val="false"/>
        <c:axPos val="l"/>
        <c:majorGridlines>
          <c:spPr>
            <a:ln w="9525" cap="flat" cmpd="sng" algn="ctr">
              <a:solidFill>
                <a:schemeClr val="tx2">
                  <a:lumMod val="15000"/>
                  <a:lumOff val="85000"/>
                </a:schemeClr>
              </a:solidFill>
              <a:prstDash val="solid"/>
              <a:round/>
            </a:ln>
            <a:effectLst/>
          </c:spPr>
        </c:majorGridlines>
        <c:title>
          <c:tx>
            <c:rich>
              <a:bodyPr rot="-5400000" spcFirstLastPara="0" vertOverflow="ellipsis" vert="horz" wrap="square" rtlCol="0" anchor="t" anchorCtr="true"/>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false"/>
        </c:title>
        <c:numFmt formatCode="General" sourceLinked="true"/>
        <c:majorTickMark val="none"/>
        <c:minorTickMark val="none"/>
        <c:tickLblPos val="nextTo"/>
        <c:spPr>
          <a:noFill/>
          <a:ln w="9525" cap="flat" cmpd="sng" algn="ctr">
            <a:noFill/>
            <a:prstDash val="solid"/>
            <a:round/>
          </a:ln>
          <a:effectLst/>
        </c:spPr>
        <c:txPr>
          <a:bodyPr rot="-60000000" spcFirstLastPara="1" vertOverflow="ellipsis" vert="horz" wrap="square" anchor="ctr" anchorCtr="true"/>
          <a:lstStyle/>
          <a:p>
            <a:pPr>
              <a:defRPr lang="zh-CN" sz="900" b="0" i="0" u="none" strike="noStrike" kern="1200" baseline="0">
                <a:solidFill>
                  <a:schemeClr val="tx2"/>
                </a:solidFill>
                <a:latin typeface="+mn-lt"/>
                <a:ea typeface="+mn-ea"/>
                <a:cs typeface="+mn-cs"/>
              </a:defRPr>
            </a:pPr>
          </a:p>
        </c:txPr>
        <c:crossAx val="263359104"/>
        <c:crosses val="autoZero"/>
        <c:crossBetween val="between"/>
      </c:valAx>
      <c:spPr>
        <a:noFill/>
        <a:ln>
          <a:noFill/>
        </a:ln>
        <a:effectLst/>
      </c:spPr>
    </c:plotArea>
    <c:legend>
      <c:legendPos val="r"/>
      <c:layout/>
      <c:overlay val="false"/>
      <c:spPr>
        <a:noFill/>
        <a:ln>
          <a:noFill/>
        </a:ln>
        <a:effectLst/>
      </c:spPr>
      <c:txPr>
        <a:bodyPr rot="0" spcFirstLastPara="1" vertOverflow="ellipsis" vert="horz" wrap="square" anchor="ctr" anchorCtr="true"/>
        <a:lstStyle/>
        <a:p>
          <a:pPr>
            <a:defRPr lang="zh-CN" sz="900" b="0" i="0" u="none" strike="noStrike" kern="1200" baseline="0">
              <a:solidFill>
                <a:schemeClr val="tx2"/>
              </a:solidFill>
              <a:latin typeface="+mn-lt"/>
              <a:ea typeface="+mn-ea"/>
              <a:cs typeface="+mn-cs"/>
            </a:defRPr>
          </a:pPr>
        </a:p>
      </c:txPr>
    </c:legend>
    <c:plotVisOnly val="true"/>
    <c:dispBlanksAs val="gap"/>
    <c:showDLblsOverMax val="false"/>
  </c:chart>
  <c:spPr>
    <a:solidFill>
      <a:schemeClr val="bg1"/>
    </a:solidFill>
    <a:ln w="9525" cap="flat" cmpd="sng" algn="ctr">
      <a:solidFill>
        <a:schemeClr val="tx2">
          <a:lumMod val="15000"/>
          <a:lumOff val="85000"/>
        </a:schemeClr>
      </a:solidFill>
      <a:prstDash val="solid"/>
      <a:round/>
    </a:ln>
    <a:effectLst/>
  </c:spPr>
  <c:txPr>
    <a:bodyPr/>
    <a:lstStyle/>
    <a:p>
      <a:pPr>
        <a:defRPr lang="zh-CN"/>
      </a:pPr>
    </a:p>
  </c:txPr>
  <c:externalData r:id="rId1">
    <c:autoUpdate val="false"/>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true"/>
          <a:lstStyle/>
          <a:p>
            <a:pPr>
              <a:defRPr lang="zh-CN" sz="1600" b="1" i="0" u="none" strike="noStrike" kern="1200" baseline="0">
                <a:solidFill>
                  <a:schemeClr val="tx1">
                    <a:lumMod val="65000"/>
                    <a:lumOff val="35000"/>
                  </a:schemeClr>
                </a:solidFill>
                <a:latin typeface="+mn-lt"/>
                <a:ea typeface="+mn-ea"/>
                <a:cs typeface="+mn-cs"/>
              </a:defRPr>
            </a:pPr>
            <a:r>
              <a:rPr lang="zh-CN" altLang="en-US" sz="1200"/>
              <a:t>一般公共预算财政拨款支出</a:t>
            </a:r>
            <a:endParaRPr lang="zh-CN" altLang="en-US" sz="1200"/>
          </a:p>
        </c:rich>
      </c:tx>
      <c:layout/>
      <c:overlay val="false"/>
      <c:spPr>
        <a:noFill/>
        <a:ln>
          <a:noFill/>
        </a:ln>
        <a:effectLst/>
      </c:spPr>
    </c:title>
    <c:autoTitleDeleted val="false"/>
    <c:plotArea>
      <c:layout>
        <c:manualLayout>
          <c:layoutTarget val="inner"/>
          <c:xMode val="edge"/>
          <c:yMode val="edge"/>
          <c:x val="0.0736333103993069"/>
          <c:y val="0.199582873033408"/>
          <c:w val="0.767623678108199"/>
          <c:h val="0.708506514060342"/>
        </c:manualLayout>
      </c:layout>
      <c:barChart>
        <c:barDir val="col"/>
        <c:grouping val="clustered"/>
        <c:varyColors val="false"/>
        <c:ser>
          <c:idx val="1"/>
          <c:order val="0"/>
          <c:tx>
            <c:strRef>
              <c:f>2020</c:f>
              <c:strCache>
                <c:ptCount val="1"/>
                <c:pt idx="0">
                  <c:v>2020</c:v>
                </c:pt>
              </c:strCache>
            </c:strRef>
          </c:tx>
          <c:invertIfNegative val="false"/>
          <c:dLbls>
            <c:numFmt formatCode="General" sourceLinked="true"/>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{"一般公共预算财政拨款支出"}</c:f>
              <c:strCache>
                <c:ptCount val="1"/>
                <c:pt idx="0">
                  <c:v>一般公共预算财政拨款支出</c:v>
                </c:pt>
              </c:strCache>
            </c:strRef>
          </c:cat>
          <c:val>
            <c:numRef>
              <c:f>{1341.02}</c:f>
              <c:numCache>
                <c:formatCode>General</c:formatCode>
                <c:ptCount val="1"/>
                <c:pt idx="0">
                  <c:v>1341.02</c:v>
                </c:pt>
              </c:numCache>
            </c:numRef>
          </c:val>
        </c:ser>
        <c:ser>
          <c:idx val="2"/>
          <c:order val="1"/>
          <c:tx>
            <c:strRef>
              <c:f>2021</c:f>
              <c:strCache>
                <c:ptCount val="1"/>
                <c:pt idx="0">
                  <c:v>2021</c:v>
                </c:pt>
              </c:strCache>
            </c:strRef>
          </c:tx>
          <c:invertIfNegative val="false"/>
          <c:dLbls>
            <c:numFmt formatCode="General" sourceLinked="true"/>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{"一般公共预算财政拨款支出"}</c:f>
              <c:strCache>
                <c:ptCount val="1"/>
                <c:pt idx="0">
                  <c:v>一般公共预算财政拨款支出</c:v>
                </c:pt>
              </c:strCache>
            </c:strRef>
          </c:cat>
          <c:val>
            <c:numRef>
              <c:f>{1401.53}</c:f>
              <c:numCache>
                <c:formatCode>General</c:formatCode>
                <c:ptCount val="1"/>
                <c:pt idx="0">
                  <c:v>1401.53</c:v>
                </c:pt>
              </c:numCache>
            </c:numRef>
          </c:val>
        </c:ser>
        <c:dLbls>
          <c:showLegendKey val="false"/>
          <c:showVal val="true"/>
          <c:showCatName val="false"/>
          <c:showSerName val="false"/>
          <c:showPercent val="false"/>
          <c:showBubbleSize val="false"/>
        </c:dLbls>
        <c:gapWidth val="100"/>
        <c:overlap val="-24"/>
        <c:axId val="263440640"/>
        <c:axId val="263135232"/>
      </c:barChart>
      <c:catAx>
        <c:axId val="263440640"/>
        <c:scaling>
          <c:orientation val="minMax"/>
        </c:scaling>
        <c:delete val="true"/>
        <c:axPos val="b"/>
        <c:title>
          <c:tx>
            <c:rich>
              <a:bodyPr rot="0" spcFirstLastPara="0" vertOverflow="ellipsis" vert="horz" wrap="square" rtlCol="0" anchor="t" anchorCtr="true"/>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false"/>
        </c:title>
        <c:numFmt formatCode="General" sourceLinked="false"/>
        <c:majorTickMark val="none"/>
        <c:minorTickMark val="none"/>
        <c:tickLblPos val="none"/>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263135232"/>
        <c:crosses val="autoZero"/>
        <c:auto val="true"/>
        <c:lblAlgn val="ctr"/>
        <c:lblOffset val="100"/>
        <c:noMultiLvlLbl val="false"/>
      </c:catAx>
      <c:valAx>
        <c:axId val="263135232"/>
        <c:scaling>
          <c:orientation val="minMax"/>
        </c:scaling>
        <c:delete val="false"/>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rtlCol="0" anchor="t" anchorCtr="true"/>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false"/>
        </c:title>
        <c:numFmt formatCode="General" sourceLinked="true"/>
        <c:majorTickMark val="none"/>
        <c:minorTickMark val="none"/>
        <c:tickLblPos val="nextTo"/>
        <c:spPr>
          <a:noFill/>
          <a:ln w="9525" cap="flat" cmpd="sng" algn="ctr">
            <a:noFill/>
            <a:prstDash val="solid"/>
            <a:round/>
          </a:ln>
          <a:effectLst/>
        </c:spPr>
        <c:txPr>
          <a:bodyPr rot="-60000000" spcFirstLastPara="1"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263440640"/>
        <c:crosses val="autoZero"/>
        <c:crossBetween val="between"/>
      </c:valAx>
      <c:spPr>
        <a:noFill/>
        <a:ln>
          <a:noFill/>
        </a:ln>
        <a:effectLst/>
      </c:spPr>
    </c:plotArea>
    <c:legend>
      <c:legendPos val="r"/>
      <c:layout/>
      <c:overlay val="false"/>
      <c:spPr>
        <a:noFill/>
        <a:ln>
          <a:noFill/>
        </a:ln>
        <a:effectLst/>
      </c:spPr>
      <c:txPr>
        <a:bodyPr rot="0" spcFirstLastPara="1"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false"/>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true"/>
          <a:lstStyle/>
          <a:p>
            <a:pPr algn="l">
              <a:defRPr lang="zh-CN" sz="1800" b="1" i="0" u="none" strike="noStrike" kern="1200" baseline="0">
                <a:solidFill>
                  <a:schemeClr val="tx1"/>
                </a:solidFill>
                <a:latin typeface="+mn-lt"/>
                <a:ea typeface="+mn-ea"/>
                <a:cs typeface="+mn-cs"/>
              </a:defRPr>
            </a:pPr>
            <a:r>
              <a:rPr lang="zh-CN"/>
              <a:t>一般公共预算财政拨款支出</a:t>
            </a:r>
            <a:endParaRPr lang="en-US" sz="1100"/>
          </a:p>
        </c:rich>
      </c:tx>
      <c:layout/>
      <c:overlay val="false"/>
    </c:title>
    <c:autoTitleDeleted val="false"/>
    <c:plotArea>
      <c:layout/>
      <c:pieChart>
        <c:varyColors val="true"/>
        <c:ser>
          <c:idx val="1"/>
          <c:order val="0"/>
          <c:explosion val="0"/>
          <c:dPt>
            <c:idx val="0"/>
            <c:bubble3D val="false"/>
          </c:dPt>
          <c:dPt>
            <c:idx val="1"/>
            <c:bubble3D val="false"/>
          </c:dPt>
          <c:dPt>
            <c:idx val="2"/>
            <c:bubble3D val="false"/>
          </c:dPt>
          <c:dPt>
            <c:idx val="3"/>
            <c:bubble3D val="false"/>
          </c:dPt>
          <c:dPt>
            <c:idx val="4"/>
            <c:bubble3D val="false"/>
          </c:dPt>
          <c:dLbls>
            <c:numFmt formatCode="General" sourceLinked="true"/>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ext>
            </c:extLst>
          </c:dLbls>
          <c:cat>
            <c:strRef>
              <c:f>{"一般公共服务支出","社会保障和就业支出","卫生健康支出","农林水支出","住房保障支出"}</c:f>
              <c:strCache>
                <c:ptCount val="5"/>
                <c:pt idx="0">
                  <c:v>一般公共服务支出</c:v>
                </c:pt>
                <c:pt idx="1">
                  <c:v>社会保障和就业支出</c:v>
                </c:pt>
                <c:pt idx="2">
                  <c:v>卫生健康支出</c:v>
                </c:pt>
                <c:pt idx="3">
                  <c:v>农林水支出</c:v>
                </c:pt>
                <c:pt idx="4">
                  <c:v>住房保障支出</c:v>
                </c:pt>
              </c:strCache>
            </c:strRef>
          </c:cat>
          <c:val>
            <c:numRef>
              <c:f>{1202.69,90.49,42.8,0.84,64.7}</c:f>
              <c:numCache>
                <c:formatCode>General</c:formatCode>
                <c:ptCount val="5"/>
                <c:pt idx="0">
                  <c:v>1202.69</c:v>
                </c:pt>
                <c:pt idx="1">
                  <c:v>90.49</c:v>
                </c:pt>
                <c:pt idx="2">
                  <c:v>42.8</c:v>
                </c:pt>
                <c:pt idx="3">
                  <c:v>0.84</c:v>
                </c:pt>
                <c:pt idx="4">
                  <c:v>64.7</c:v>
                </c:pt>
              </c:numCache>
            </c:numRef>
          </c:val>
        </c:ser>
        <c:dLbls>
          <c:showLegendKey val="false"/>
          <c:showVal val="true"/>
          <c:showCatName val="false"/>
          <c:showSerName val="false"/>
          <c:showPercent val="false"/>
          <c:showBubbleSize val="false"/>
          <c:showLeaderLines val="true"/>
        </c:dLbls>
        <c:firstSliceAng val="0"/>
      </c:pieChart>
    </c:plotArea>
    <c:legend>
      <c:legendPos val="r"/>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zero"/>
    <c:showDLblsOverMax val="false"/>
  </c:chart>
  <c:txPr>
    <a:bodyPr/>
    <a:lstStyle/>
    <a:p>
      <a:pPr>
        <a:defRPr lang="zh-CN"/>
      </a:pPr>
    </a:p>
  </c:txPr>
  <c:externalData r:id="rId1">
    <c:autoUpdate val="false"/>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true"/>
          <a:lstStyle/>
          <a:p>
            <a:pPr algn="l">
              <a:defRPr lang="zh-CN" sz="1800" b="1" i="0" u="none" strike="noStrike" kern="1200" baseline="0">
                <a:solidFill>
                  <a:schemeClr val="tx1"/>
                </a:solidFill>
                <a:latin typeface="+mn-lt"/>
                <a:ea typeface="+mn-ea"/>
                <a:cs typeface="+mn-cs"/>
              </a:defRPr>
            </a:pPr>
            <a:r>
              <a:rPr lang="zh-CN"/>
              <a:t>三公经费</a:t>
            </a:r>
            <a:endParaRPr lang="en-US" sz="1100"/>
          </a:p>
        </c:rich>
      </c:tx>
      <c:layout/>
      <c:overlay val="false"/>
    </c:title>
    <c:autoTitleDeleted val="false"/>
    <c:plotArea>
      <c:layout/>
      <c:pieChart>
        <c:varyColors val="true"/>
        <c:ser>
          <c:idx val="1"/>
          <c:order val="0"/>
          <c:explosion val="0"/>
          <c:dPt>
            <c:idx val="0"/>
            <c:bubble3D val="false"/>
          </c:dPt>
          <c:dPt>
            <c:idx val="1"/>
            <c:bubble3D val="false"/>
          </c:dPt>
          <c:dPt>
            <c:idx val="2"/>
            <c:bubble3D val="false"/>
          </c:dPt>
          <c:dLbls>
            <c:numFmt formatCode="General" sourceLinked="true"/>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ext>
            </c:extLst>
          </c:dLbls>
          <c:cat>
            <c:strRef>
              <c:f>{"因公出国（境）费","公务用车购置及运行维护费","公务接待费"}</c:f>
              <c:strCache>
                <c:ptCount val="3"/>
                <c:pt idx="0">
                  <c:v>因公出国（境）费</c:v>
                </c:pt>
                <c:pt idx="1">
                  <c:v>公务用车购置及运行维护费</c:v>
                </c:pt>
                <c:pt idx="2">
                  <c:v>公务接待费</c:v>
                </c:pt>
              </c:strCache>
            </c:strRef>
          </c:cat>
          <c:val>
            <c:numRef>
              <c:f>{0,93.7,2.91}</c:f>
              <c:numCache>
                <c:formatCode>General</c:formatCode>
                <c:ptCount val="3"/>
                <c:pt idx="0">
                  <c:v>0</c:v>
                </c:pt>
                <c:pt idx="1">
                  <c:v>93.7</c:v>
                </c:pt>
                <c:pt idx="2">
                  <c:v>2.91</c:v>
                </c:pt>
              </c:numCache>
            </c:numRef>
          </c:val>
        </c:ser>
        <c:dLbls>
          <c:showLegendKey val="false"/>
          <c:showVal val="true"/>
          <c:showCatName val="false"/>
          <c:showSerName val="false"/>
          <c:showPercent val="false"/>
          <c:showBubbleSize val="false"/>
          <c:showLeaderLines val="true"/>
        </c:dLbls>
        <c:firstSliceAng val="0"/>
      </c:pieChart>
    </c:plotArea>
    <c:legend>
      <c:legendPos val="r"/>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zero"/>
    <c:showDLblsOverMax val="false"/>
  </c:chart>
  <c:txPr>
    <a:bodyPr/>
    <a:lstStyle/>
    <a:p>
      <a:pPr>
        <a:defRPr lang="zh-CN"/>
      </a:pPr>
    </a:p>
  </c:txPr>
  <c:externalData r:id="rId1">
    <c:autoUpdate val="false"/>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7704</Words>
  <Characters>8978</Characters>
  <Lines>51</Lines>
  <Paragraphs>14</Paragraphs>
  <TotalTime>10</TotalTime>
  <ScaleCrop>false</ScaleCrop>
  <LinksUpToDate>false</LinksUpToDate>
  <CharactersWithSpaces>9076</CharactersWithSpaces>
  <Application>WPS Office_11.8.2.1111_F1E327BC-269C-435d-A152-05C5408002CA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2022-08-17T09:31:00Z</dcterms:created>
  <dc:creator>lgk</dc:creator>
  <cp:lastModifiedBy>user</cp:lastModifiedBy>
  <cp:lastPrinted>2021-09-26T16:39:00Z</cp:lastPrinted>
  <dcterms:modified xsi:type="dcterms:W3CDTF">2022-09-26T10:23:22Z</dcterms:modified>
  <dc:title>四川省决算编制说明</dc:title>
  <cp:revision>303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2052-11.8.2.1111</vt:lpwstr>
  </property>
  <property fmtid="{D5CDD505-2E9C-101B-9397-08002B2CF9AE}" pid="3" name="ICV">
    <vt:lpwstr>B93CA6F4BEAD4F359769D1203595D585</vt:lpwstr>
  </property>
</Properties>
</file>