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eastAsia="宋体"/>
          <w:b/>
          <w:sz w:val="72"/>
          <w:szCs w:val="72"/>
        </w:rPr>
      </w:pPr>
      <w:bookmarkStart w:id="131" w:name="_GoBack"/>
      <w:bookmarkEnd w:id="131"/>
      <w:bookmarkStart w:id="0" w:name="_Toc15377425"/>
      <w:bookmarkStart w:id="1" w:name="_Toc15396475"/>
      <w:bookmarkStart w:id="2" w:name="_Toc15377193"/>
      <w:bookmarkStart w:id="3" w:name="_Toc15396597"/>
      <w:bookmarkStart w:id="4" w:name="_Toc15306267"/>
      <w:bookmarkStart w:id="5" w:name="_Toc15378441"/>
    </w:p>
    <w:p>
      <w:pPr>
        <w:pStyle w:val="2"/>
        <w:ind w:firstLine="0"/>
      </w:pPr>
    </w:p>
    <w:bookmarkEnd w:id="0"/>
    <w:bookmarkEnd w:id="1"/>
    <w:bookmarkEnd w:id="2"/>
    <w:bookmarkEnd w:id="3"/>
    <w:bookmarkEnd w:id="4"/>
    <w:bookmarkEnd w:id="5"/>
    <w:p>
      <w:pPr>
        <w:pStyle w:val="7"/>
        <w:jc w:val="center"/>
        <w:rPr>
          <w:rFonts w:hint="eastAsia" w:ascii="方正小标宋简体" w:eastAsia="方正小标宋简体" w:cs="Times New Roman"/>
          <w:color w:val="auto"/>
          <w:kern w:val="2"/>
          <w:sz w:val="44"/>
          <w:szCs w:val="44"/>
          <w:highlight w:val="none"/>
          <w:lang w:val="en-US" w:eastAsia="zh-CN" w:bidi="ar-SA"/>
        </w:rPr>
      </w:pPr>
    </w:p>
    <w:p>
      <w:pPr>
        <w:pStyle w:val="7"/>
        <w:jc w:val="center"/>
        <w:rPr>
          <w:rFonts w:hint="eastAsia" w:ascii="方正小标宋简体" w:eastAsia="方正小标宋简体" w:cs="Times New Roman"/>
          <w:color w:val="auto"/>
          <w:kern w:val="2"/>
          <w:sz w:val="44"/>
          <w:szCs w:val="44"/>
          <w:highlight w:val="none"/>
          <w:lang w:val="en-US" w:eastAsia="zh-CN" w:bidi="ar-SA"/>
        </w:rPr>
      </w:pPr>
      <w:r>
        <w:rPr>
          <w:rFonts w:hint="eastAsia" w:ascii="方正小标宋简体" w:eastAsia="方正小标宋简体" w:cs="Times New Roman"/>
          <w:color w:val="auto"/>
          <w:kern w:val="2"/>
          <w:sz w:val="44"/>
          <w:szCs w:val="44"/>
          <w:highlight w:val="none"/>
          <w:lang w:val="en-US" w:eastAsia="zh-CN" w:bidi="ar-SA"/>
        </w:rPr>
        <w:t>2023年度</w:t>
      </w:r>
      <w:bookmarkStart w:id="6" w:name="_Toc15378442"/>
      <w:bookmarkStart w:id="7" w:name="_Toc15396598"/>
      <w:bookmarkStart w:id="8" w:name="_Toc15396476"/>
      <w:bookmarkStart w:id="9" w:name="_Toc15377194"/>
      <w:bookmarkStart w:id="10" w:name="_Toc15377426"/>
      <w:r>
        <w:rPr>
          <w:rFonts w:hint="eastAsia" w:ascii="方正小标宋简体" w:eastAsia="方正小标宋简体" w:cs="Times New Roman"/>
          <w:color w:val="auto"/>
          <w:kern w:val="2"/>
          <w:sz w:val="44"/>
          <w:szCs w:val="44"/>
          <w:highlight w:val="none"/>
          <w:lang w:val="en-US" w:eastAsia="zh-CN" w:bidi="ar-SA"/>
        </w:rPr>
        <w:t>四川省阿坝州</w:t>
      </w:r>
    </w:p>
    <w:p>
      <w:pPr>
        <w:pStyle w:val="7"/>
        <w:jc w:val="center"/>
        <w:rPr>
          <w:rFonts w:hint="eastAsia" w:ascii="方正小标宋简体" w:eastAsia="方正小标宋简体" w:cs="Times New Roman"/>
          <w:color w:val="auto"/>
          <w:kern w:val="2"/>
          <w:sz w:val="44"/>
          <w:szCs w:val="44"/>
          <w:highlight w:val="none"/>
          <w:lang w:val="en-US" w:eastAsia="zh-CN" w:bidi="ar-SA"/>
        </w:rPr>
      </w:pPr>
      <w:r>
        <w:rPr>
          <w:rFonts w:hint="eastAsia" w:ascii="方正小标宋简体" w:eastAsia="方正小标宋简体" w:cs="Times New Roman"/>
          <w:color w:val="auto"/>
          <w:kern w:val="2"/>
          <w:sz w:val="44"/>
          <w:szCs w:val="44"/>
          <w:highlight w:val="none"/>
          <w:lang w:val="en-US" w:eastAsia="zh-CN" w:bidi="ar-SA"/>
        </w:rPr>
        <w:t>茂县</w:t>
      </w:r>
      <w:bookmarkStart w:id="11" w:name="_Toc15306268"/>
      <w:r>
        <w:rPr>
          <w:rFonts w:hint="eastAsia" w:ascii="方正小标宋简体" w:eastAsia="方正小标宋简体" w:cs="Times New Roman"/>
          <w:color w:val="auto"/>
          <w:kern w:val="2"/>
          <w:sz w:val="44"/>
          <w:szCs w:val="44"/>
          <w:highlight w:val="none"/>
          <w:lang w:val="en-US" w:eastAsia="zh-CN" w:bidi="ar-SA"/>
        </w:rPr>
        <w:t>县委办公室部门决算</w:t>
      </w:r>
      <w:bookmarkEnd w:id="6"/>
      <w:bookmarkEnd w:id="7"/>
      <w:bookmarkEnd w:id="8"/>
      <w:bookmarkEnd w:id="9"/>
      <w:bookmarkEnd w:id="10"/>
      <w:bookmarkEnd w:id="11"/>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tabs>
          <w:tab w:val="left" w:pos="3600"/>
        </w:tabs>
      </w:pPr>
      <w:r>
        <w:tab/>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autoSpaceDE w:val="0"/>
        <w:autoSpaceDN w:val="0"/>
        <w:adjustRightInd w:val="0"/>
        <w:ind w:left="420" w:leftChars="200"/>
        <w:jc w:val="left"/>
        <w:rPr>
          <w:rFonts w:ascii="宋体"/>
          <w:sz w:val="32"/>
          <w:szCs w:val="32"/>
        </w:rPr>
      </w:pPr>
    </w:p>
    <w:p>
      <w:pPr>
        <w:widowControl/>
        <w:jc w:val="center"/>
        <w:rPr>
          <w:rFonts w:ascii="黑体" w:eastAsia="黑体"/>
          <w:color w:val="auto"/>
          <w:sz w:val="48"/>
          <w:szCs w:val="48"/>
          <w:highlight w:val="none"/>
        </w:rPr>
      </w:pPr>
      <w:r>
        <w:rPr>
          <w:rFonts w:ascii="方正小标宋简体" w:eastAsia="方正小标宋简体"/>
          <w:color w:val="000000"/>
          <w:sz w:val="36"/>
          <w:szCs w:val="36"/>
        </w:rPr>
        <w:br w:type="page"/>
      </w:r>
      <w:bookmarkStart w:id="12" w:name="_Toc15377196"/>
      <w:r>
        <w:rPr>
          <w:rFonts w:hint="eastAsia" w:ascii="黑体" w:eastAsia="黑体"/>
          <w:color w:val="auto"/>
          <w:sz w:val="48"/>
          <w:szCs w:val="48"/>
          <w:highlight w:val="none"/>
        </w:rPr>
        <w:t>目录</w:t>
      </w:r>
    </w:p>
    <w:p>
      <w:pPr>
        <w:widowControl/>
        <w:jc w:val="center"/>
        <w:rPr>
          <w:rFonts w:ascii="黑体" w:eastAsia="黑体" w:cs="Times New Roman"/>
          <w:color w:val="auto"/>
          <w:sz w:val="28"/>
          <w:szCs w:val="28"/>
          <w:highlight w:val="none"/>
        </w:rPr>
      </w:pPr>
    </w:p>
    <w:p>
      <w:pPr>
        <w:pStyle w:val="14"/>
        <w:rPr>
          <w:color w:val="auto"/>
          <w:highlight w:val="none"/>
        </w:rPr>
      </w:pPr>
      <w:r>
        <w:rPr>
          <w:rFonts w:hint="eastAsia"/>
          <w:color w:val="auto"/>
          <w:highlight w:val="none"/>
        </w:rPr>
        <w:t>公开时间：20</w:t>
      </w:r>
      <w:r>
        <w:rPr>
          <w:rFonts w:hint="eastAsia"/>
          <w:color w:val="auto"/>
          <w:highlight w:val="none"/>
          <w:lang w:val="en-US" w:eastAsia="zh-CN"/>
        </w:rPr>
        <w:t>24</w:t>
      </w:r>
      <w:r>
        <w:rPr>
          <w:rFonts w:hint="eastAsia"/>
          <w:color w:val="auto"/>
          <w:highlight w:val="none"/>
        </w:rPr>
        <w:t>年</w:t>
      </w:r>
      <w:r>
        <w:rPr>
          <w:rFonts w:hint="eastAsia"/>
          <w:color w:val="auto"/>
          <w:highlight w:val="none"/>
          <w:lang w:val="en-US" w:eastAsia="zh-CN"/>
        </w:rPr>
        <w:t>9</w:t>
      </w:r>
      <w:r>
        <w:rPr>
          <w:rFonts w:hint="eastAsia"/>
          <w:color w:val="auto"/>
          <w:highlight w:val="none"/>
        </w:rPr>
        <w:t>月</w:t>
      </w:r>
      <w:r>
        <w:rPr>
          <w:rFonts w:hint="eastAsia"/>
          <w:color w:val="auto"/>
          <w:highlight w:val="none"/>
          <w:lang w:val="en-US" w:eastAsia="zh-CN"/>
        </w:rPr>
        <w:t>25</w:t>
      </w:r>
      <w:r>
        <w:rPr>
          <w:rFonts w:hint="eastAsia"/>
          <w:color w:val="auto"/>
          <w:highlight w:val="none"/>
        </w:rPr>
        <w:t>日</w:t>
      </w:r>
    </w:p>
    <w:p>
      <w:pPr>
        <w:rPr>
          <w:color w:val="auto"/>
          <w:highlight w:val="none"/>
        </w:rPr>
      </w:pPr>
    </w:p>
    <w:p>
      <w:pPr>
        <w:pStyle w:val="14"/>
        <w:tabs>
          <w:tab w:val="right" w:leader="dot" w:pos="8306"/>
          <w:tab w:val="clear" w:pos="8296"/>
        </w:tabs>
      </w:pPr>
      <w:r>
        <w:rPr>
          <w:caps w:val="0"/>
          <w:smallCaps/>
          <w:sz w:val="20"/>
          <w:szCs w:val="20"/>
        </w:rPr>
        <w:fldChar w:fldCharType="begin"/>
      </w:r>
      <w:r>
        <w:rPr>
          <w:caps w:val="0"/>
          <w:smallCaps/>
          <w:sz w:val="20"/>
          <w:szCs w:val="20"/>
        </w:rPr>
        <w:instrText xml:space="preserve"> TOC \o "1-2" \h \z \u </w:instrText>
      </w:r>
      <w:r>
        <w:rPr>
          <w:caps w:val="0"/>
          <w:smallCaps/>
          <w:sz w:val="20"/>
          <w:szCs w:val="20"/>
        </w:rPr>
        <w:fldChar w:fldCharType="separate"/>
      </w:r>
      <w:r>
        <w:rPr>
          <w:caps w:val="0"/>
          <w:smallCaps/>
          <w:szCs w:val="20"/>
        </w:rPr>
        <w:fldChar w:fldCharType="begin"/>
      </w:r>
      <w:r>
        <w:rPr>
          <w:caps w:val="0"/>
          <w:smallCaps/>
          <w:szCs w:val="20"/>
        </w:rPr>
        <w:instrText xml:space="preserve"> HYPERLINK \l _Toc11934 </w:instrText>
      </w:r>
      <w:r>
        <w:rPr>
          <w:caps w:val="0"/>
          <w:smallCaps/>
          <w:szCs w:val="20"/>
        </w:rPr>
        <w:fldChar w:fldCharType="separate"/>
      </w:r>
      <w:r>
        <w:rPr>
          <w:rFonts w:hint="eastAsia"/>
        </w:rPr>
        <w:t>第一部分 部门概况</w:t>
      </w:r>
      <w:r>
        <w:tab/>
      </w:r>
      <w:r>
        <w:fldChar w:fldCharType="begin"/>
      </w:r>
      <w:r>
        <w:instrText xml:space="preserve"> PAGEREF _Toc11934 \h </w:instrText>
      </w:r>
      <w:r>
        <w:fldChar w:fldCharType="separate"/>
      </w:r>
      <w:r>
        <w:t>3</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_Toc5972 </w:instrText>
      </w:r>
      <w:r>
        <w:rPr>
          <w:caps w:val="0"/>
          <w:smallCaps/>
          <w:szCs w:val="20"/>
        </w:rPr>
        <w:fldChar w:fldCharType="separate"/>
      </w:r>
      <w:r>
        <w:rPr>
          <w:rFonts w:hint="eastAsia" w:ascii="黑体" w:eastAsia="黑体"/>
        </w:rPr>
        <w:t>一、</w:t>
      </w:r>
      <w:r>
        <w:rPr>
          <w:rFonts w:hint="eastAsia" w:ascii="黑体" w:eastAsia="黑体"/>
          <w:lang w:eastAsia="zh-CN"/>
        </w:rPr>
        <w:t>部门职责</w:t>
      </w:r>
      <w:r>
        <w:tab/>
      </w:r>
      <w:r>
        <w:fldChar w:fldCharType="begin"/>
      </w:r>
      <w:r>
        <w:instrText xml:space="preserve"> PAGEREF _Toc5972 \h </w:instrText>
      </w:r>
      <w:r>
        <w:fldChar w:fldCharType="separate"/>
      </w:r>
      <w:r>
        <w:t>3</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_Toc15377 </w:instrText>
      </w:r>
      <w:r>
        <w:rPr>
          <w:caps w:val="0"/>
          <w:smallCaps/>
          <w:szCs w:val="20"/>
        </w:rPr>
        <w:fldChar w:fldCharType="separate"/>
      </w:r>
      <w:r>
        <w:rPr>
          <w:rFonts w:hint="eastAsia" w:ascii="黑体" w:eastAsia="黑体" w:cs="黑体"/>
          <w:bCs/>
        </w:rPr>
        <w:t>二、机构设置</w:t>
      </w:r>
      <w:r>
        <w:tab/>
      </w:r>
      <w:r>
        <w:fldChar w:fldCharType="begin"/>
      </w:r>
      <w:r>
        <w:instrText xml:space="preserve"> PAGEREF _Toc15377 \h </w:instrText>
      </w:r>
      <w:r>
        <w:fldChar w:fldCharType="separate"/>
      </w:r>
      <w:r>
        <w:t>4</w:t>
      </w:r>
      <w:r>
        <w:fldChar w:fldCharType="end"/>
      </w:r>
      <w:r>
        <w:rPr>
          <w:caps w:val="0"/>
          <w:smallCaps/>
          <w:szCs w:val="20"/>
        </w:rPr>
        <w:fldChar w:fldCharType="end"/>
      </w:r>
    </w:p>
    <w:p>
      <w:pPr>
        <w:pStyle w:val="14"/>
        <w:tabs>
          <w:tab w:val="right" w:leader="dot" w:pos="8306"/>
          <w:tab w:val="clear" w:pos="8296"/>
        </w:tabs>
      </w:pPr>
      <w:r>
        <w:rPr>
          <w:caps w:val="0"/>
          <w:smallCaps/>
          <w:szCs w:val="20"/>
        </w:rPr>
        <w:fldChar w:fldCharType="begin"/>
      </w:r>
      <w:r>
        <w:rPr>
          <w:caps w:val="0"/>
          <w:smallCaps/>
          <w:szCs w:val="20"/>
        </w:rPr>
        <w:instrText xml:space="preserve"> HYPERLINK \l _Toc10233 </w:instrText>
      </w:r>
      <w:r>
        <w:rPr>
          <w:caps w:val="0"/>
          <w:smallCaps/>
          <w:szCs w:val="20"/>
        </w:rPr>
        <w:fldChar w:fldCharType="separate"/>
      </w:r>
      <w:r>
        <w:rPr>
          <w:rFonts w:hint="eastAsia" w:ascii="黑体" w:eastAsia="黑体" w:cs="黑体"/>
        </w:rPr>
        <w:t>第二部分 202</w:t>
      </w:r>
      <w:r>
        <w:rPr>
          <w:rFonts w:hint="eastAsia" w:ascii="黑体" w:eastAsia="黑体" w:cs="黑体"/>
          <w:lang w:val="en-US" w:eastAsia="zh-CN"/>
        </w:rPr>
        <w:t>3</w:t>
      </w:r>
      <w:r>
        <w:rPr>
          <w:rFonts w:hint="eastAsia" w:ascii="黑体" w:eastAsia="黑体" w:cs="黑体"/>
        </w:rPr>
        <w:t>年度部门决算情况说明</w:t>
      </w:r>
      <w:r>
        <w:tab/>
      </w:r>
      <w:r>
        <w:fldChar w:fldCharType="begin"/>
      </w:r>
      <w:r>
        <w:instrText xml:space="preserve"> PAGEREF _Toc10233 \h </w:instrText>
      </w:r>
      <w:r>
        <w:fldChar w:fldCharType="separate"/>
      </w:r>
      <w:r>
        <w:t>4</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_Toc4252 </w:instrText>
      </w:r>
      <w:r>
        <w:rPr>
          <w:caps w:val="0"/>
          <w:smallCaps/>
          <w:szCs w:val="20"/>
        </w:rPr>
        <w:fldChar w:fldCharType="separate"/>
      </w:r>
      <w:r>
        <w:rPr>
          <w:rFonts w:hint="eastAsia" w:ascii="黑体" w:eastAsia="黑体" w:cs="Times New Roman"/>
          <w:bCs/>
        </w:rPr>
        <w:t>一、收入支出决算总体情况说明</w:t>
      </w:r>
      <w:r>
        <w:tab/>
      </w:r>
      <w:r>
        <w:fldChar w:fldCharType="begin"/>
      </w:r>
      <w:r>
        <w:instrText xml:space="preserve"> PAGEREF _Toc4252 \h </w:instrText>
      </w:r>
      <w:r>
        <w:fldChar w:fldCharType="separate"/>
      </w:r>
      <w:r>
        <w:t>4</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_Toc16754 </w:instrText>
      </w:r>
      <w:r>
        <w:rPr>
          <w:caps w:val="0"/>
          <w:smallCaps/>
          <w:szCs w:val="20"/>
        </w:rPr>
        <w:fldChar w:fldCharType="separate"/>
      </w:r>
      <w:r>
        <w:rPr>
          <w:rFonts w:hint="eastAsia" w:ascii="黑体" w:eastAsia="黑体" w:cs="Times New Roman"/>
          <w:bCs/>
        </w:rPr>
        <w:t>二、收入决算情况说明</w:t>
      </w:r>
      <w:r>
        <w:tab/>
      </w:r>
      <w:r>
        <w:fldChar w:fldCharType="begin"/>
      </w:r>
      <w:r>
        <w:instrText xml:space="preserve"> PAGEREF _Toc16754 \h </w:instrText>
      </w:r>
      <w:r>
        <w:fldChar w:fldCharType="separate"/>
      </w:r>
      <w:r>
        <w:t>5</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_Toc24992 </w:instrText>
      </w:r>
      <w:r>
        <w:rPr>
          <w:caps w:val="0"/>
          <w:smallCaps/>
          <w:szCs w:val="20"/>
        </w:rPr>
        <w:fldChar w:fldCharType="separate"/>
      </w:r>
      <w:r>
        <w:rPr>
          <w:rFonts w:hint="eastAsia" w:ascii="黑体" w:eastAsia="黑体" w:cs="Times New Roman"/>
          <w:bCs/>
        </w:rPr>
        <w:t>三、支出决算情况说明</w:t>
      </w:r>
      <w:r>
        <w:tab/>
      </w:r>
      <w:r>
        <w:fldChar w:fldCharType="begin"/>
      </w:r>
      <w:r>
        <w:instrText xml:space="preserve"> PAGEREF _Toc24992 \h </w:instrText>
      </w:r>
      <w:r>
        <w:fldChar w:fldCharType="separate"/>
      </w:r>
      <w:r>
        <w:t>5</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_Toc20533 </w:instrText>
      </w:r>
      <w:r>
        <w:rPr>
          <w:caps w:val="0"/>
          <w:smallCaps/>
          <w:szCs w:val="20"/>
        </w:rPr>
        <w:fldChar w:fldCharType="separate"/>
      </w:r>
      <w:r>
        <w:rPr>
          <w:rFonts w:hint="eastAsia" w:ascii="黑体" w:eastAsia="黑体" w:cs="Times New Roman"/>
          <w:bCs w:val="0"/>
        </w:rPr>
        <w:t>四、财政拨款收入支出决算总体情况说明</w:t>
      </w:r>
      <w:r>
        <w:tab/>
      </w:r>
      <w:r>
        <w:fldChar w:fldCharType="begin"/>
      </w:r>
      <w:r>
        <w:instrText xml:space="preserve"> PAGEREF _Toc20533 \h </w:instrText>
      </w:r>
      <w:r>
        <w:fldChar w:fldCharType="separate"/>
      </w:r>
      <w:r>
        <w:t>6</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_Toc8582 </w:instrText>
      </w:r>
      <w:r>
        <w:rPr>
          <w:caps w:val="0"/>
          <w:smallCaps/>
          <w:szCs w:val="20"/>
        </w:rPr>
        <w:fldChar w:fldCharType="separate"/>
      </w:r>
      <w:r>
        <w:rPr>
          <w:rFonts w:hint="eastAsia" w:ascii="黑体" w:eastAsia="黑体" w:cs="Times New Roman"/>
          <w:bCs/>
        </w:rPr>
        <w:t>五、一般公共预算财政拨款支出决算情况说明</w:t>
      </w:r>
      <w:r>
        <w:tab/>
      </w:r>
      <w:r>
        <w:fldChar w:fldCharType="begin"/>
      </w:r>
      <w:r>
        <w:instrText xml:space="preserve"> PAGEREF _Toc8582 \h </w:instrText>
      </w:r>
      <w:r>
        <w:fldChar w:fldCharType="separate"/>
      </w:r>
      <w:r>
        <w:t>7</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_Toc30483 </w:instrText>
      </w:r>
      <w:r>
        <w:rPr>
          <w:caps w:val="0"/>
          <w:smallCaps/>
          <w:szCs w:val="20"/>
        </w:rPr>
        <w:fldChar w:fldCharType="separate"/>
      </w:r>
      <w:r>
        <w:rPr>
          <w:rFonts w:hint="eastAsia" w:ascii="黑体" w:eastAsia="黑体" w:cs="Times New Roman"/>
          <w:bCs w:val="0"/>
        </w:rPr>
        <w:t>六、一般公共预算财政拨款基本支出决算情况说明</w:t>
      </w:r>
      <w:r>
        <w:tab/>
      </w:r>
      <w:r>
        <w:fldChar w:fldCharType="begin"/>
      </w:r>
      <w:r>
        <w:instrText xml:space="preserve"> PAGEREF _Toc30483 \h </w:instrText>
      </w:r>
      <w:r>
        <w:fldChar w:fldCharType="separate"/>
      </w:r>
      <w:r>
        <w:t>9</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_Toc30687 </w:instrText>
      </w:r>
      <w:r>
        <w:rPr>
          <w:caps w:val="0"/>
          <w:smallCaps/>
          <w:szCs w:val="20"/>
        </w:rPr>
        <w:fldChar w:fldCharType="separate"/>
      </w:r>
      <w:r>
        <w:rPr>
          <w:rFonts w:hint="eastAsia" w:ascii="黑体" w:eastAsia="黑体" w:cs="Times New Roman"/>
          <w:bCs w:val="0"/>
        </w:rPr>
        <w:t>七、“三公”经费财政拨款支出决算情况说明</w:t>
      </w:r>
      <w:r>
        <w:tab/>
      </w:r>
      <w:r>
        <w:fldChar w:fldCharType="begin"/>
      </w:r>
      <w:r>
        <w:instrText xml:space="preserve"> PAGEREF _Toc30687 \h </w:instrText>
      </w:r>
      <w:r>
        <w:fldChar w:fldCharType="separate"/>
      </w:r>
      <w:r>
        <w:t>10</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_Toc5968 </w:instrText>
      </w:r>
      <w:r>
        <w:rPr>
          <w:caps w:val="0"/>
          <w:smallCaps/>
          <w:szCs w:val="20"/>
        </w:rPr>
        <w:fldChar w:fldCharType="separate"/>
      </w:r>
      <w:r>
        <w:rPr>
          <w:rFonts w:hint="eastAsia" w:ascii="黑体" w:eastAsia="黑体" w:cs="Times New Roman"/>
          <w:bCs w:val="0"/>
        </w:rPr>
        <w:t>八、政府性基金预算支出决算情况说明</w:t>
      </w:r>
      <w:r>
        <w:tab/>
      </w:r>
      <w:r>
        <w:fldChar w:fldCharType="begin"/>
      </w:r>
      <w:r>
        <w:instrText xml:space="preserve"> PAGEREF _Toc5968 \h </w:instrText>
      </w:r>
      <w:r>
        <w:fldChar w:fldCharType="separate"/>
      </w:r>
      <w:r>
        <w:t>12</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_Toc8431 </w:instrText>
      </w:r>
      <w:r>
        <w:rPr>
          <w:caps w:val="0"/>
          <w:smallCaps/>
          <w:szCs w:val="20"/>
        </w:rPr>
        <w:fldChar w:fldCharType="separate"/>
      </w:r>
      <w:r>
        <w:rPr>
          <w:rFonts w:hint="eastAsia" w:ascii="黑体" w:eastAsia="黑体" w:cs="Times New Roman"/>
          <w:bCs w:val="0"/>
        </w:rPr>
        <w:t>九、国有资本经营预算支出决算情况说明</w:t>
      </w:r>
      <w:r>
        <w:tab/>
      </w:r>
      <w:r>
        <w:fldChar w:fldCharType="begin"/>
      </w:r>
      <w:r>
        <w:instrText xml:space="preserve"> PAGEREF _Toc8431 \h </w:instrText>
      </w:r>
      <w:r>
        <w:fldChar w:fldCharType="separate"/>
      </w:r>
      <w:r>
        <w:t>12</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_Toc9196 </w:instrText>
      </w:r>
      <w:r>
        <w:rPr>
          <w:caps w:val="0"/>
          <w:smallCaps/>
          <w:szCs w:val="20"/>
        </w:rPr>
        <w:fldChar w:fldCharType="separate"/>
      </w:r>
      <w:r>
        <w:rPr>
          <w:rFonts w:hint="eastAsia" w:ascii="黑体" w:eastAsia="黑体" w:cs="Times New Roman"/>
          <w:bCs w:val="0"/>
        </w:rPr>
        <w:t>十、其他重要事项的情况说明</w:t>
      </w:r>
      <w:r>
        <w:tab/>
      </w:r>
      <w:r>
        <w:fldChar w:fldCharType="begin"/>
      </w:r>
      <w:r>
        <w:instrText xml:space="preserve"> PAGEREF _Toc9196 \h </w:instrText>
      </w:r>
      <w:r>
        <w:fldChar w:fldCharType="separate"/>
      </w:r>
      <w:r>
        <w:t>12</w:t>
      </w:r>
      <w:r>
        <w:fldChar w:fldCharType="end"/>
      </w:r>
      <w:r>
        <w:rPr>
          <w:caps w:val="0"/>
          <w:smallCaps/>
          <w:szCs w:val="20"/>
        </w:rPr>
        <w:fldChar w:fldCharType="end"/>
      </w:r>
    </w:p>
    <w:p>
      <w:pPr>
        <w:pStyle w:val="14"/>
        <w:tabs>
          <w:tab w:val="right" w:leader="dot" w:pos="8306"/>
          <w:tab w:val="clear" w:pos="8296"/>
        </w:tabs>
      </w:pPr>
      <w:r>
        <w:rPr>
          <w:caps w:val="0"/>
          <w:smallCaps/>
          <w:szCs w:val="20"/>
        </w:rPr>
        <w:fldChar w:fldCharType="begin"/>
      </w:r>
      <w:r>
        <w:rPr>
          <w:caps w:val="0"/>
          <w:smallCaps/>
          <w:szCs w:val="20"/>
        </w:rPr>
        <w:instrText xml:space="preserve"> HYPERLINK \l _Toc29784 </w:instrText>
      </w:r>
      <w:r>
        <w:rPr>
          <w:caps w:val="0"/>
          <w:smallCaps/>
          <w:szCs w:val="20"/>
        </w:rPr>
        <w:fldChar w:fldCharType="separate"/>
      </w:r>
      <w:r>
        <w:rPr>
          <w:rFonts w:hint="eastAsia" w:ascii="黑体" w:eastAsia="黑体" w:cs="黑体"/>
        </w:rPr>
        <w:t>第三部分 名词解释</w:t>
      </w:r>
      <w:r>
        <w:tab/>
      </w:r>
      <w:r>
        <w:rPr>
          <w:rFonts w:ascii="Times New Roman" w:hAnsi="Times New Roman" w:eastAsia="宋体" w:cs="Times New Roman"/>
          <w:kern w:val="2"/>
          <w:sz w:val="21"/>
          <w:szCs w:val="24"/>
          <w:lang w:val="en-US" w:eastAsia="zh-CN" w:bidi="ar-SA"/>
        </w:rPr>
        <w:fldChar w:fldCharType="begin"/>
      </w:r>
      <w:r>
        <w:rPr>
          <w:rFonts w:ascii="Times New Roman" w:hAnsi="Times New Roman" w:eastAsia="宋体" w:cs="Times New Roman"/>
          <w:kern w:val="2"/>
          <w:sz w:val="21"/>
          <w:szCs w:val="24"/>
          <w:lang w:val="en-US" w:eastAsia="zh-CN" w:bidi="ar-SA"/>
        </w:rPr>
        <w:instrText xml:space="preserve"> PAGEREF _Toc29784 \h </w:instrText>
      </w:r>
      <w:r>
        <w:rPr>
          <w:rFonts w:ascii="Times New Roman" w:hAnsi="Times New Roman" w:eastAsia="宋体" w:cs="Times New Roman"/>
          <w:kern w:val="2"/>
          <w:sz w:val="21"/>
          <w:szCs w:val="24"/>
          <w:lang w:val="en-US" w:eastAsia="zh-CN" w:bidi="ar-SA"/>
        </w:rPr>
        <w:fldChar w:fldCharType="separate"/>
      </w:r>
      <w:r>
        <w:rPr>
          <w:rFonts w:ascii="Times New Roman" w:hAnsi="Times New Roman" w:eastAsia="宋体" w:cs="Times New Roman"/>
          <w:kern w:val="2"/>
          <w:sz w:val="21"/>
          <w:szCs w:val="24"/>
          <w:lang w:val="en-US" w:eastAsia="zh-CN" w:bidi="ar-SA"/>
        </w:rPr>
        <w:t>14</w:t>
      </w:r>
      <w:r>
        <w:rPr>
          <w:rFonts w:ascii="Times New Roman" w:hAnsi="Times New Roman" w:eastAsia="宋体" w:cs="Times New Roman"/>
          <w:kern w:val="2"/>
          <w:sz w:val="21"/>
          <w:szCs w:val="24"/>
          <w:lang w:val="en-US" w:eastAsia="zh-CN" w:bidi="ar-SA"/>
        </w:rPr>
        <w:fldChar w:fldCharType="end"/>
      </w:r>
      <w:r>
        <w:rPr>
          <w:rFonts w:ascii="Times New Roman" w:hAnsi="Times New Roman" w:eastAsia="宋体" w:cs="Times New Roman"/>
          <w:kern w:val="2"/>
          <w:sz w:val="21"/>
          <w:szCs w:val="24"/>
          <w:lang w:val="en-US" w:eastAsia="zh-CN" w:bidi="ar-SA"/>
        </w:rPr>
        <w:fldChar w:fldCharType="end"/>
      </w:r>
    </w:p>
    <w:p>
      <w:pPr>
        <w:pStyle w:val="14"/>
        <w:tabs>
          <w:tab w:val="right" w:leader="dot" w:pos="8306"/>
          <w:tab w:val="clear" w:pos="8296"/>
        </w:tabs>
      </w:pPr>
      <w:r>
        <w:rPr>
          <w:caps w:val="0"/>
          <w:smallCaps/>
          <w:szCs w:val="20"/>
        </w:rPr>
        <w:fldChar w:fldCharType="begin"/>
      </w:r>
      <w:r>
        <w:rPr>
          <w:caps w:val="0"/>
          <w:smallCaps/>
          <w:szCs w:val="20"/>
        </w:rPr>
        <w:instrText xml:space="preserve"> HYPERLINK \l _Toc3097 </w:instrText>
      </w:r>
      <w:r>
        <w:rPr>
          <w:caps w:val="0"/>
          <w:smallCaps/>
          <w:szCs w:val="20"/>
        </w:rPr>
        <w:fldChar w:fldCharType="separate"/>
      </w:r>
      <w:r>
        <w:rPr>
          <w:rFonts w:hint="eastAsia" w:ascii="黑体" w:eastAsia="黑体" w:cs="黑体"/>
        </w:rPr>
        <w:t>第四部分 附件</w:t>
      </w:r>
      <w:r>
        <w:tab/>
      </w:r>
      <w:r>
        <w:fldChar w:fldCharType="begin"/>
      </w:r>
      <w:r>
        <w:instrText xml:space="preserve"> PAGEREF _Toc3097 \h </w:instrText>
      </w:r>
      <w:r>
        <w:fldChar w:fldCharType="separate"/>
      </w:r>
      <w:r>
        <w:rPr>
          <w:rFonts w:ascii="Times New Roman" w:hAnsi="Times New Roman" w:eastAsia="宋体" w:cs="Times New Roman"/>
          <w:kern w:val="2"/>
          <w:sz w:val="21"/>
          <w:szCs w:val="24"/>
          <w:lang w:val="en-US" w:eastAsia="zh-CN" w:bidi="ar-SA"/>
        </w:rPr>
        <w:t>18</w:t>
      </w:r>
      <w:r>
        <w:fldChar w:fldCharType="end"/>
      </w:r>
      <w:r>
        <w:rPr>
          <w:caps w:val="0"/>
          <w:smallCaps/>
          <w:szCs w:val="20"/>
        </w:rPr>
        <w:fldChar w:fldCharType="end"/>
      </w:r>
    </w:p>
    <w:p>
      <w:pPr>
        <w:pStyle w:val="14"/>
        <w:tabs>
          <w:tab w:val="right" w:leader="dot" w:pos="8306"/>
          <w:tab w:val="clear" w:pos="8296"/>
        </w:tabs>
      </w:pPr>
      <w:r>
        <w:rPr>
          <w:caps w:val="0"/>
          <w:smallCaps/>
          <w:szCs w:val="20"/>
        </w:rPr>
        <w:fldChar w:fldCharType="begin"/>
      </w:r>
      <w:r>
        <w:rPr>
          <w:caps w:val="0"/>
          <w:smallCaps/>
          <w:szCs w:val="20"/>
        </w:rPr>
        <w:instrText xml:space="preserve"> HYPERLINK \l _Toc10808 </w:instrText>
      </w:r>
      <w:r>
        <w:rPr>
          <w:caps w:val="0"/>
          <w:smallCaps/>
          <w:szCs w:val="20"/>
        </w:rPr>
        <w:fldChar w:fldCharType="separate"/>
      </w:r>
      <w:r>
        <w:rPr>
          <w:rFonts w:hint="eastAsia" w:ascii="黑体" w:eastAsia="黑体" w:cs="黑体"/>
        </w:rPr>
        <w:t>第五部分 附表</w:t>
      </w:r>
      <w:r>
        <w:tab/>
      </w:r>
      <w:r>
        <w:rPr>
          <w:rFonts w:ascii="Times New Roman" w:hAnsi="Times New Roman" w:eastAsia="宋体" w:cs="Times New Roman"/>
          <w:kern w:val="2"/>
          <w:sz w:val="21"/>
          <w:szCs w:val="24"/>
          <w:lang w:val="en-US" w:eastAsia="zh-CN" w:bidi="ar-SA"/>
        </w:rPr>
        <w:fldChar w:fldCharType="begin"/>
      </w:r>
      <w:r>
        <w:rPr>
          <w:rFonts w:ascii="Times New Roman" w:hAnsi="Times New Roman" w:eastAsia="宋体" w:cs="Times New Roman"/>
          <w:kern w:val="2"/>
          <w:sz w:val="21"/>
          <w:szCs w:val="24"/>
          <w:lang w:val="en-US" w:eastAsia="zh-CN" w:bidi="ar-SA"/>
        </w:rPr>
        <w:instrText xml:space="preserve"> PAGEREF _Toc10808 \h </w:instrText>
      </w:r>
      <w:r>
        <w:rPr>
          <w:rFonts w:ascii="Times New Roman" w:hAnsi="Times New Roman" w:eastAsia="宋体" w:cs="Times New Roman"/>
          <w:kern w:val="2"/>
          <w:sz w:val="21"/>
          <w:szCs w:val="24"/>
          <w:lang w:val="en-US" w:eastAsia="zh-CN" w:bidi="ar-SA"/>
        </w:rPr>
        <w:fldChar w:fldCharType="separate"/>
      </w:r>
      <w:r>
        <w:rPr>
          <w:rFonts w:ascii="Times New Roman" w:hAnsi="Times New Roman" w:eastAsia="宋体" w:cs="Times New Roman"/>
          <w:kern w:val="2"/>
          <w:sz w:val="21"/>
          <w:szCs w:val="24"/>
          <w:lang w:val="en-US" w:eastAsia="zh-CN" w:bidi="ar-SA"/>
        </w:rPr>
        <w:t>32</w:t>
      </w:r>
      <w:r>
        <w:rPr>
          <w:rFonts w:ascii="Times New Roman" w:hAnsi="Times New Roman" w:eastAsia="宋体" w:cs="Times New Roman"/>
          <w:kern w:val="2"/>
          <w:sz w:val="21"/>
          <w:szCs w:val="24"/>
          <w:lang w:val="en-US" w:eastAsia="zh-CN" w:bidi="ar-SA"/>
        </w:rP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_Toc24170 </w:instrText>
      </w:r>
      <w:r>
        <w:rPr>
          <w:caps w:val="0"/>
          <w:smallCaps/>
          <w:szCs w:val="20"/>
        </w:rPr>
        <w:fldChar w:fldCharType="separate"/>
      </w:r>
      <w:r>
        <w:rPr>
          <w:rFonts w:hint="eastAsia" w:ascii="仿宋" w:eastAsia="仿宋" w:cs="Times New Roman"/>
          <w:kern w:val="2"/>
          <w:szCs w:val="32"/>
          <w:lang w:bidi="ar-SA"/>
        </w:rPr>
        <w:t>一、收入支出决算总表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_Toc6676 </w:instrText>
      </w:r>
      <w:r>
        <w:rPr>
          <w:caps w:val="0"/>
          <w:smallCaps/>
          <w:szCs w:val="20"/>
        </w:rPr>
        <w:fldChar w:fldCharType="separate"/>
      </w:r>
      <w:r>
        <w:rPr>
          <w:rFonts w:hint="eastAsia" w:ascii="仿宋" w:eastAsia="仿宋" w:cs="Times New Roman"/>
          <w:kern w:val="2"/>
          <w:szCs w:val="32"/>
          <w:lang w:bidi="ar-SA"/>
        </w:rPr>
        <w:t>二、收入决算表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_Toc4743 </w:instrText>
      </w:r>
      <w:r>
        <w:rPr>
          <w:caps w:val="0"/>
          <w:smallCaps/>
          <w:szCs w:val="20"/>
        </w:rPr>
        <w:fldChar w:fldCharType="separate"/>
      </w:r>
      <w:r>
        <w:rPr>
          <w:rFonts w:hint="eastAsia" w:ascii="仿宋" w:eastAsia="仿宋" w:cs="Times New Roman"/>
          <w:kern w:val="2"/>
          <w:szCs w:val="32"/>
          <w:lang w:bidi="ar-SA"/>
        </w:rPr>
        <w:t>三、支出决算表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_Toc19017 </w:instrText>
      </w:r>
      <w:r>
        <w:rPr>
          <w:caps w:val="0"/>
          <w:smallCaps/>
          <w:szCs w:val="20"/>
        </w:rPr>
        <w:fldChar w:fldCharType="separate"/>
      </w:r>
      <w:r>
        <w:rPr>
          <w:rFonts w:hint="eastAsia" w:ascii="仿宋" w:eastAsia="仿宋" w:cs="Times New Roman"/>
          <w:kern w:val="2"/>
          <w:szCs w:val="32"/>
          <w:lang w:bidi="ar-SA"/>
        </w:rPr>
        <w:t>四、财政拨款收入支出决算总表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_Toc5476 </w:instrText>
      </w:r>
      <w:r>
        <w:rPr>
          <w:caps w:val="0"/>
          <w:smallCaps/>
          <w:szCs w:val="20"/>
        </w:rPr>
        <w:fldChar w:fldCharType="separate"/>
      </w:r>
      <w:r>
        <w:rPr>
          <w:rFonts w:hint="eastAsia" w:ascii="仿宋" w:eastAsia="仿宋" w:cs="Times New Roman"/>
          <w:kern w:val="2"/>
          <w:szCs w:val="32"/>
          <w:lang w:bidi="ar-SA"/>
        </w:rPr>
        <w:t>五、财政拨款支出决算明细表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_Toc7132 </w:instrText>
      </w:r>
      <w:r>
        <w:rPr>
          <w:caps w:val="0"/>
          <w:smallCaps/>
          <w:szCs w:val="20"/>
        </w:rPr>
        <w:fldChar w:fldCharType="separate"/>
      </w:r>
      <w:r>
        <w:rPr>
          <w:rFonts w:hint="eastAsia" w:ascii="仿宋" w:eastAsia="仿宋" w:cs="Times New Roman"/>
          <w:kern w:val="2"/>
          <w:szCs w:val="32"/>
          <w:lang w:bidi="ar-SA"/>
        </w:rPr>
        <w:t>六、一般公共预算财政拨款支出决算表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_Toc21582 </w:instrText>
      </w:r>
      <w:r>
        <w:rPr>
          <w:caps w:val="0"/>
          <w:smallCaps/>
          <w:szCs w:val="20"/>
        </w:rPr>
        <w:fldChar w:fldCharType="separate"/>
      </w:r>
      <w:r>
        <w:rPr>
          <w:rFonts w:hint="eastAsia" w:ascii="仿宋" w:eastAsia="仿宋" w:cs="Times New Roman"/>
          <w:kern w:val="2"/>
          <w:szCs w:val="32"/>
          <w:lang w:bidi="ar-SA"/>
        </w:rPr>
        <w:t>七、一般公共预算财政拨款支出决算明细表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_Toc32214 </w:instrText>
      </w:r>
      <w:r>
        <w:rPr>
          <w:caps w:val="0"/>
          <w:smallCaps/>
          <w:szCs w:val="20"/>
        </w:rPr>
        <w:fldChar w:fldCharType="separate"/>
      </w:r>
      <w:r>
        <w:rPr>
          <w:rFonts w:hint="eastAsia" w:ascii="仿宋" w:eastAsia="仿宋" w:cs="Times New Roman"/>
          <w:kern w:val="2"/>
          <w:szCs w:val="32"/>
          <w:lang w:bidi="ar-SA"/>
        </w:rPr>
        <w:t>八、一般公共预算财政拨款基本支出决算表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_Toc9552 </w:instrText>
      </w:r>
      <w:r>
        <w:rPr>
          <w:caps w:val="0"/>
          <w:smallCaps/>
          <w:szCs w:val="20"/>
        </w:rPr>
        <w:fldChar w:fldCharType="separate"/>
      </w:r>
      <w:r>
        <w:rPr>
          <w:rFonts w:hint="eastAsia" w:ascii="仿宋" w:eastAsia="仿宋" w:cs="Times New Roman"/>
          <w:kern w:val="2"/>
          <w:szCs w:val="32"/>
          <w:lang w:bidi="ar-SA"/>
        </w:rPr>
        <w:t>九、一般公共预算财政拨款项目支出决算表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_Toc11422 </w:instrText>
      </w:r>
      <w:r>
        <w:rPr>
          <w:caps w:val="0"/>
          <w:smallCaps/>
          <w:szCs w:val="20"/>
        </w:rPr>
        <w:fldChar w:fldCharType="separate"/>
      </w:r>
      <w:r>
        <w:rPr>
          <w:rFonts w:hint="eastAsia" w:ascii="仿宋" w:eastAsia="仿宋" w:cs="Times New Roman"/>
          <w:kern w:val="2"/>
          <w:szCs w:val="32"/>
          <w:lang w:bidi="ar-SA"/>
        </w:rPr>
        <w:t>十、政府性基金预算财政拨款收入支出决算表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_Toc8116 </w:instrText>
      </w:r>
      <w:r>
        <w:rPr>
          <w:caps w:val="0"/>
          <w:smallCaps/>
          <w:szCs w:val="20"/>
        </w:rPr>
        <w:fldChar w:fldCharType="separate"/>
      </w:r>
      <w:r>
        <w:rPr>
          <w:rFonts w:hint="eastAsia" w:ascii="仿宋" w:eastAsia="仿宋" w:cs="Times New Roman"/>
          <w:kern w:val="2"/>
          <w:szCs w:val="32"/>
          <w:lang w:bidi="ar-SA"/>
        </w:rPr>
        <w:t>十一、国有资本经营预算财政拨款收入支出决算表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_Toc25825 </w:instrText>
      </w:r>
      <w:r>
        <w:rPr>
          <w:caps w:val="0"/>
          <w:smallCaps/>
          <w:szCs w:val="20"/>
        </w:rPr>
        <w:fldChar w:fldCharType="separate"/>
      </w:r>
      <w:r>
        <w:rPr>
          <w:rFonts w:hint="eastAsia" w:ascii="仿宋" w:eastAsia="仿宋" w:cs="Times New Roman"/>
          <w:kern w:val="2"/>
          <w:szCs w:val="32"/>
          <w:lang w:bidi="ar-SA"/>
        </w:rPr>
        <w:t>十二、国有资本经营预算财政拨款支出决算表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_Toc19895 </w:instrText>
      </w:r>
      <w:r>
        <w:rPr>
          <w:caps w:val="0"/>
          <w:smallCaps/>
          <w:szCs w:val="20"/>
        </w:rPr>
        <w:fldChar w:fldCharType="separate"/>
      </w:r>
      <w:r>
        <w:rPr>
          <w:rFonts w:hint="eastAsia" w:ascii="仿宋" w:eastAsia="仿宋" w:cs="Times New Roman"/>
          <w:kern w:val="2"/>
          <w:szCs w:val="32"/>
          <w:lang w:bidi="ar-SA"/>
        </w:rPr>
        <w:t>十三、财政拨款“三公”经费支出决算表</w:t>
      </w:r>
      <w:r>
        <w:tab/>
      </w:r>
      <w:r>
        <w:rPr>
          <w:caps w:val="0"/>
          <w:smallCaps/>
          <w:szCs w:val="20"/>
        </w:rPr>
        <w:fldChar w:fldCharType="end"/>
      </w:r>
    </w:p>
    <w:p>
      <w:pPr>
        <w:pStyle w:val="2"/>
        <w:rPr>
          <w:rFonts w:hint="eastAsia"/>
        </w:rPr>
      </w:pPr>
      <w:r>
        <w:rPr>
          <w:caps w:val="0"/>
          <w:smallCaps/>
          <w:szCs w:val="20"/>
        </w:rPr>
        <w:fldChar w:fldCharType="end"/>
      </w:r>
      <w:bookmarkStart w:id="13" w:name="_Toc111208495"/>
      <w:bookmarkStart w:id="14" w:name="_Toc23038"/>
    </w:p>
    <w:p>
      <w:pPr>
        <w:pStyle w:val="3"/>
        <w:bidi w:val="0"/>
        <w:jc w:val="center"/>
      </w:pPr>
      <w:bookmarkStart w:id="15" w:name="_Toc11934"/>
      <w:r>
        <w:rPr>
          <w:rFonts w:hint="eastAsia"/>
        </w:rPr>
        <w:t>第一部分 部门概况</w:t>
      </w:r>
      <w:bookmarkEnd w:id="12"/>
      <w:bookmarkEnd w:id="13"/>
      <w:bookmarkEnd w:id="14"/>
      <w:bookmarkEnd w:id="15"/>
    </w:p>
    <w:p>
      <w:pPr>
        <w:pStyle w:val="4"/>
        <w:rPr>
          <w:rFonts w:hint="eastAsia" w:ascii="楷体" w:eastAsia="楷体" w:cs="楷体"/>
          <w:b/>
          <w:bCs w:val="0"/>
          <w:color w:val="000000"/>
          <w:sz w:val="32"/>
          <w:szCs w:val="32"/>
        </w:rPr>
      </w:pPr>
      <w:bookmarkStart w:id="16" w:name="_Toc15377197"/>
      <w:bookmarkStart w:id="17" w:name="_Toc79163602"/>
      <w:bookmarkStart w:id="18" w:name="_Toc25800"/>
      <w:bookmarkStart w:id="19" w:name="_Toc15396600"/>
      <w:bookmarkStart w:id="20" w:name="_Toc10216"/>
      <w:bookmarkStart w:id="21" w:name="_Toc5972"/>
      <w:bookmarkStart w:id="22" w:name="_Toc15377204"/>
      <w:r>
        <w:rPr>
          <w:rFonts w:hint="eastAsia" w:ascii="黑体" w:eastAsia="黑体"/>
          <w:b w:val="0"/>
          <w:color w:val="000000"/>
        </w:rPr>
        <w:t>一、</w:t>
      </w:r>
      <w:bookmarkEnd w:id="16"/>
      <w:bookmarkEnd w:id="17"/>
      <w:bookmarkEnd w:id="18"/>
      <w:bookmarkEnd w:id="19"/>
      <w:bookmarkEnd w:id="20"/>
      <w:r>
        <w:rPr>
          <w:rFonts w:hint="eastAsia" w:ascii="黑体" w:eastAsia="黑体"/>
          <w:b w:val="0"/>
          <w:color w:val="000000"/>
          <w:lang w:eastAsia="zh-CN"/>
        </w:rPr>
        <w:t>部门职责</w:t>
      </w:r>
      <w:bookmarkEnd w:id="21"/>
      <w:bookmarkStart w:id="23" w:name="_Toc15378445"/>
      <w:bookmarkStart w:id="24" w:name="_Toc15377198"/>
    </w:p>
    <w:bookmarkEnd w:id="23"/>
    <w:bookmarkEnd w:id="24"/>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bookmarkStart w:id="25" w:name="_Toc31514"/>
      <w:bookmarkStart w:id="26" w:name="_Toc15377200"/>
      <w:r>
        <w:rPr>
          <w:rFonts w:hint="eastAsia" w:ascii="仿宋_GB2312" w:eastAsia="仿宋_GB2312" w:cs="仿宋_GB2312"/>
          <w:sz w:val="32"/>
          <w:szCs w:val="32"/>
        </w:rPr>
        <w:t>1.贯彻执行党的路线、方针、政策以及中央、省委、州委和县委的决议、决定和工作的部署，协助县委领导处理县委日常工作，协调镇和部门工作，沟通上下左右联系；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2.负责县委日常文书的处理、县委领导同志公务活动的组织安排、县委各类会议的组织工作；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3.负责县委文件、文稿的起草、批办、审核和印发工作；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４.围绕县委中心工作开展调查研究，及时准确地向县委领导和上级党委反映各方面的实际情况，并提供切实可行的建议；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5.及时收集、筛选、综合整理各类情况，全面准确地为县委领导、上级党委报送信息；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6.围绕县委重大决策和工作部署，进行督促检查，做好领导重要批示件、新闻舆论批评和群众反映的突出问题的查办工作；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7.负责全县党政密码通信、密码管理和密码保密及全县商用密码的管理工作；中央、省委、市委、县委文件和县级重要机密件的传递，领导机要专线电话的管理工作；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8.主管全县保密工作，督促、检查全县及驻本县单位、部队和企事业单位对《保密法》及其配套法规的贯彻实施情况；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eastAsia="楷体" w:cs="楷体"/>
          <w:b/>
          <w:bCs w:val="0"/>
          <w:color w:val="000000"/>
          <w:sz w:val="32"/>
          <w:szCs w:val="32"/>
        </w:rPr>
      </w:pPr>
      <w:r>
        <w:rPr>
          <w:rFonts w:hint="eastAsia" w:ascii="仿宋_GB2312" w:eastAsia="仿宋_GB2312" w:cs="仿宋_GB2312"/>
          <w:sz w:val="32"/>
          <w:szCs w:val="32"/>
        </w:rPr>
        <w:t>9.承办县委领导和上级业务部门交办的其他工作。</w:t>
      </w:r>
    </w:p>
    <w:bookmarkEnd w:id="25"/>
    <w:p>
      <w:pPr>
        <w:pStyle w:val="4"/>
        <w:keepNext/>
        <w:keepLines/>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黑体" w:eastAsia="黑体" w:cs="黑体"/>
          <w:b w:val="0"/>
          <w:bCs/>
          <w:color w:val="000000"/>
          <w:lang w:eastAsia="zh-CN"/>
        </w:rPr>
      </w:pPr>
      <w:bookmarkStart w:id="27" w:name="_Toc111208497"/>
      <w:bookmarkStart w:id="28" w:name="_Toc15377"/>
      <w:bookmarkStart w:id="29" w:name="_Toc2743"/>
      <w:r>
        <w:rPr>
          <w:rFonts w:hint="eastAsia" w:ascii="黑体" w:eastAsia="黑体" w:cs="黑体"/>
          <w:b w:val="0"/>
          <w:bCs/>
          <w:color w:val="000000"/>
        </w:rPr>
        <w:t>二、机构设置</w:t>
      </w:r>
      <w:bookmarkEnd w:id="26"/>
      <w:bookmarkEnd w:id="27"/>
      <w:bookmarkEnd w:id="28"/>
    </w:p>
    <w:p>
      <w:pPr>
        <w:pStyle w:val="4"/>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b w:val="0"/>
          <w:bCs w:val="0"/>
          <w:color w:val="000000"/>
          <w:sz w:val="32"/>
          <w:szCs w:val="32"/>
        </w:rPr>
      </w:pPr>
      <w:bookmarkStart w:id="30" w:name="_Toc10545"/>
      <w:r>
        <w:rPr>
          <w:rFonts w:hint="eastAsia" w:ascii="仿宋_GB2312" w:eastAsia="仿宋_GB2312" w:cs="仿宋_GB2312"/>
          <w:b w:val="0"/>
          <w:bCs w:val="0"/>
          <w:color w:val="000000"/>
          <w:sz w:val="32"/>
          <w:szCs w:val="32"/>
        </w:rPr>
        <w:t>县委办下属二级单位0个，其中行政单位0个，参照公务员法管理的事业单位0个，其他事业单位0个。</w:t>
      </w:r>
      <w:r>
        <w:rPr>
          <w:rFonts w:hint="eastAsia" w:ascii="仿宋_GB2312" w:eastAsia="仿宋_GB2312" w:cs="仿宋_GB2312"/>
          <w:b w:val="0"/>
          <w:bCs w:val="0"/>
          <w:color w:val="000000"/>
          <w:sz w:val="32"/>
          <w:szCs w:val="32"/>
        </w:rPr>
        <w:cr/>
      </w:r>
      <w:r>
        <w:rPr>
          <w:rFonts w:hint="eastAsia" w:ascii="仿宋_GB2312" w:eastAsia="仿宋_GB2312" w:cs="仿宋_GB2312"/>
          <w:b w:val="0"/>
          <w:bCs w:val="0"/>
          <w:color w:val="000000"/>
          <w:sz w:val="32"/>
          <w:szCs w:val="32"/>
        </w:rPr>
        <w:t>我单位不涉及纳入202</w:t>
      </w:r>
      <w:r>
        <w:rPr>
          <w:rFonts w:hint="eastAsia" w:ascii="仿宋_GB2312" w:eastAsia="仿宋_GB2312" w:cs="仿宋_GB2312"/>
          <w:b w:val="0"/>
          <w:bCs w:val="0"/>
          <w:color w:val="000000"/>
          <w:sz w:val="32"/>
          <w:szCs w:val="32"/>
          <w:lang w:val="en-US" w:eastAsia="zh-CN"/>
        </w:rPr>
        <w:t>3</w:t>
      </w:r>
      <w:r>
        <w:rPr>
          <w:rFonts w:hint="eastAsia" w:ascii="仿宋_GB2312" w:eastAsia="仿宋_GB2312" w:cs="仿宋_GB2312"/>
          <w:b w:val="0"/>
          <w:bCs w:val="0"/>
          <w:color w:val="000000"/>
          <w:sz w:val="32"/>
          <w:szCs w:val="32"/>
        </w:rPr>
        <w:t>年度部门决算编制范围的二级预算单位。</w:t>
      </w:r>
      <w:bookmarkEnd w:id="29"/>
      <w:bookmarkEnd w:id="30"/>
    </w:p>
    <w:p>
      <w:pPr>
        <w:pStyle w:val="3"/>
        <w:jc w:val="center"/>
        <w:rPr>
          <w:rFonts w:hint="eastAsia" w:ascii="黑体" w:eastAsia="黑体" w:cs="黑体"/>
        </w:rPr>
      </w:pPr>
      <w:bookmarkStart w:id="31" w:name="_Toc4756"/>
      <w:bookmarkStart w:id="32" w:name="_Toc111208498"/>
    </w:p>
    <w:p>
      <w:pPr>
        <w:pStyle w:val="3"/>
        <w:jc w:val="center"/>
        <w:rPr>
          <w:rFonts w:hint="eastAsia" w:ascii="黑体" w:eastAsia="黑体" w:cs="黑体"/>
        </w:rPr>
      </w:pPr>
      <w:bookmarkStart w:id="33" w:name="_Toc10233"/>
      <w:r>
        <w:rPr>
          <w:rFonts w:hint="eastAsia" w:ascii="黑体" w:eastAsia="黑体" w:cs="黑体"/>
        </w:rPr>
        <w:t>第二部分 202</w:t>
      </w:r>
      <w:r>
        <w:rPr>
          <w:rFonts w:hint="eastAsia" w:ascii="黑体" w:eastAsia="黑体" w:cs="黑体"/>
          <w:lang w:val="en-US" w:eastAsia="zh-CN"/>
        </w:rPr>
        <w:t>3</w:t>
      </w:r>
      <w:r>
        <w:rPr>
          <w:rFonts w:hint="eastAsia" w:ascii="黑体" w:eastAsia="黑体" w:cs="黑体"/>
        </w:rPr>
        <w:t>年度部门决算情况说明</w:t>
      </w:r>
      <w:bookmarkEnd w:id="22"/>
      <w:bookmarkEnd w:id="31"/>
      <w:bookmarkEnd w:id="32"/>
      <w:bookmarkEnd w:id="33"/>
    </w:p>
    <w:p>
      <w:pPr>
        <w:pStyle w:val="4"/>
        <w:ind w:firstLine="640" w:firstLineChars="200"/>
        <w:rPr>
          <w:rFonts w:ascii="黑体" w:eastAsia="黑体" w:cs="Times New Roman"/>
          <w:b w:val="0"/>
          <w:bCs/>
          <w:color w:val="000000"/>
        </w:rPr>
      </w:pPr>
      <w:bookmarkStart w:id="34" w:name="_Toc15377205"/>
      <w:bookmarkStart w:id="35" w:name="_Toc4252"/>
      <w:bookmarkStart w:id="36" w:name="_Toc26705"/>
      <w:bookmarkStart w:id="37" w:name="_Toc111208499"/>
      <w:r>
        <w:rPr>
          <w:rFonts w:hint="eastAsia" w:ascii="黑体" w:eastAsia="黑体" w:cs="Times New Roman"/>
          <w:b w:val="0"/>
          <w:bCs/>
          <w:color w:val="000000"/>
        </w:rPr>
        <w:t>一、收入支出决算总体情况说</w:t>
      </w:r>
      <w:bookmarkEnd w:id="34"/>
      <w:r>
        <w:rPr>
          <w:rFonts w:hint="eastAsia" w:ascii="黑体" w:eastAsia="黑体" w:cs="Times New Roman"/>
          <w:b w:val="0"/>
          <w:bCs/>
          <w:color w:val="000000"/>
        </w:rPr>
        <w:t>明</w:t>
      </w:r>
      <w:bookmarkEnd w:id="35"/>
      <w:bookmarkEnd w:id="36"/>
      <w:bookmarkEnd w:id="37"/>
    </w:p>
    <w:p>
      <w:pPr>
        <w:spacing w:line="600" w:lineRule="exact"/>
        <w:ind w:firstLine="640" w:firstLineChars="200"/>
        <w:rPr>
          <w:rFonts w:hint="eastAsia" w:ascii="仿宋" w:eastAsia="仿宋"/>
          <w:color w:val="auto"/>
          <w:sz w:val="32"/>
          <w:szCs w:val="32"/>
          <w:highlight w:val="none"/>
          <w:lang w:eastAsia="zh-CN"/>
        </w:rPr>
      </w:pPr>
      <w:r>
        <w:rPr>
          <w:rFonts w:hint="eastAsia" w:ascii="仿宋" w:eastAsia="仿宋"/>
          <w:color w:val="auto"/>
          <w:sz w:val="32"/>
          <w:szCs w:val="32"/>
          <w:highlight w:val="none"/>
          <w:lang w:eastAsia="zh-CN"/>
        </w:rPr>
        <w:t>2023</w:t>
      </w:r>
      <w:r>
        <w:rPr>
          <w:rFonts w:hint="eastAsia" w:ascii="仿宋" w:eastAsia="仿宋"/>
          <w:color w:val="auto"/>
          <w:sz w:val="32"/>
          <w:szCs w:val="32"/>
          <w:highlight w:val="none"/>
        </w:rPr>
        <w:t>年度收、支总计</w:t>
      </w:r>
      <w:r>
        <w:rPr>
          <w:rFonts w:hint="eastAsia" w:ascii="仿宋" w:eastAsia="仿宋"/>
          <w:color w:val="auto"/>
          <w:sz w:val="32"/>
          <w:szCs w:val="32"/>
          <w:highlight w:val="none"/>
          <w:lang w:eastAsia="zh-CN"/>
        </w:rPr>
        <w:t>均为</w:t>
      </w:r>
      <w:r>
        <w:rPr>
          <w:rFonts w:hint="eastAsia" w:ascii="仿宋" w:eastAsia="仿宋"/>
          <w:color w:val="auto"/>
          <w:sz w:val="32"/>
          <w:szCs w:val="32"/>
          <w:highlight w:val="none"/>
          <w:lang w:val="en-US" w:eastAsia="zh-CN"/>
        </w:rPr>
        <w:t>1267.80</w:t>
      </w:r>
      <w:r>
        <w:rPr>
          <w:rFonts w:hint="eastAsia" w:ascii="仿宋" w:eastAsia="仿宋"/>
          <w:color w:val="auto"/>
          <w:sz w:val="32"/>
          <w:szCs w:val="32"/>
          <w:highlight w:val="none"/>
        </w:rPr>
        <w:t>万元。与</w:t>
      </w:r>
      <w:r>
        <w:rPr>
          <w:rFonts w:hint="eastAsia" w:ascii="仿宋" w:eastAsia="仿宋"/>
          <w:color w:val="auto"/>
          <w:sz w:val="32"/>
          <w:szCs w:val="32"/>
          <w:highlight w:val="none"/>
          <w:lang w:eastAsia="zh-CN"/>
        </w:rPr>
        <w:t>2022</w:t>
      </w:r>
      <w:r>
        <w:rPr>
          <w:rFonts w:hint="eastAsia" w:ascii="仿宋" w:eastAsia="仿宋"/>
          <w:color w:val="auto"/>
          <w:sz w:val="32"/>
          <w:szCs w:val="32"/>
          <w:highlight w:val="none"/>
        </w:rPr>
        <w:t>年</w:t>
      </w:r>
      <w:r>
        <w:rPr>
          <w:rFonts w:hint="eastAsia" w:ascii="仿宋" w:eastAsia="仿宋"/>
          <w:color w:val="auto"/>
          <w:sz w:val="32"/>
          <w:szCs w:val="32"/>
          <w:highlight w:val="none"/>
          <w:lang w:eastAsia="zh-CN"/>
        </w:rPr>
        <w:t>度</w:t>
      </w:r>
      <w:r>
        <w:rPr>
          <w:rFonts w:hint="eastAsia" w:ascii="仿宋" w:eastAsia="仿宋"/>
          <w:color w:val="auto"/>
          <w:sz w:val="32"/>
          <w:szCs w:val="32"/>
          <w:highlight w:val="none"/>
        </w:rPr>
        <w:t>相比，收、支总计各减少</w:t>
      </w:r>
      <w:r>
        <w:rPr>
          <w:rFonts w:hint="eastAsia" w:ascii="仿宋" w:eastAsia="仿宋"/>
          <w:color w:val="auto"/>
          <w:sz w:val="32"/>
          <w:szCs w:val="32"/>
          <w:highlight w:val="none"/>
          <w:lang w:val="en-US" w:eastAsia="zh-CN"/>
        </w:rPr>
        <w:t>18.85</w:t>
      </w:r>
      <w:r>
        <w:rPr>
          <w:rFonts w:hint="eastAsia" w:ascii="仿宋" w:eastAsia="仿宋"/>
          <w:color w:val="auto"/>
          <w:sz w:val="32"/>
          <w:szCs w:val="32"/>
          <w:highlight w:val="none"/>
        </w:rPr>
        <w:t>万元，下降</w:t>
      </w:r>
      <w:r>
        <w:rPr>
          <w:rFonts w:hint="eastAsia" w:ascii="仿宋" w:eastAsia="仿宋"/>
          <w:color w:val="auto"/>
          <w:sz w:val="32"/>
          <w:szCs w:val="32"/>
          <w:highlight w:val="none"/>
          <w:lang w:val="en-US" w:eastAsia="zh-CN"/>
        </w:rPr>
        <w:t>1.47</w:t>
      </w:r>
      <w:r>
        <w:rPr>
          <w:rFonts w:ascii="仿宋" w:eastAsia="仿宋"/>
          <w:color w:val="auto"/>
          <w:sz w:val="32"/>
          <w:szCs w:val="32"/>
          <w:highlight w:val="none"/>
        </w:rPr>
        <w:t>%</w:t>
      </w:r>
      <w:r>
        <w:rPr>
          <w:rFonts w:hint="eastAsia" w:ascii="仿宋" w:eastAsia="仿宋"/>
          <w:color w:val="auto"/>
          <w:sz w:val="32"/>
          <w:szCs w:val="32"/>
          <w:highlight w:val="none"/>
        </w:rPr>
        <w:t>。主要变动原因是</w:t>
      </w:r>
      <w:r>
        <w:rPr>
          <w:rFonts w:hint="eastAsia" w:ascii="仿宋" w:eastAsia="仿宋"/>
          <w:color w:val="auto"/>
          <w:sz w:val="32"/>
          <w:szCs w:val="32"/>
          <w:highlight w:val="none"/>
          <w:lang w:eastAsia="zh-CN"/>
        </w:rPr>
        <w:t>人员变动，厉行节约，压缩办公经费开支。</w:t>
      </w:r>
    </w:p>
    <w:p>
      <w:pPr>
        <w:spacing w:line="600" w:lineRule="exact"/>
        <w:ind w:firstLine="640" w:firstLineChars="200"/>
        <w:rPr>
          <w:rFonts w:hint="eastAsia" w:ascii="仿宋_GB2312" w:eastAsia="仿宋_GB2312" w:cs="仿宋_GB2312"/>
          <w:color w:val="000000"/>
          <w:sz w:val="28"/>
          <w:szCs w:val="28"/>
        </w:rPr>
      </w:pPr>
      <w:r>
        <w:rPr>
          <w:rFonts w:hint="eastAsia" w:ascii="仿宋_GB2312" w:eastAsia="仿宋_GB2312" w:cs="仿宋_GB2312"/>
          <w:color w:val="000000"/>
          <w:sz w:val="32"/>
          <w:szCs w:val="32"/>
        </w:rPr>
        <w:t>（图1：收、支决算总计变动情况图）</w:t>
      </w:r>
      <w:r>
        <w:rPr>
          <w:rFonts w:hint="eastAsia" w:ascii="仿宋_GB2312" w:eastAsia="仿宋_GB2312" w:cs="仿宋_GB2312"/>
          <w:color w:val="000000"/>
          <w:sz w:val="32"/>
          <w:szCs w:val="32"/>
          <w:lang w:val="en-US" w:eastAsia="zh-CN"/>
        </w:rPr>
        <w:t>(单位：万元）</w:t>
      </w:r>
    </w:p>
    <w:p>
      <w:pPr>
        <w:pStyle w:val="2"/>
        <w:rPr>
          <w:rFonts w:hint="eastAsia" w:ascii="仿宋_GB2312" w:eastAsia="仿宋_GB2312"/>
          <w:color w:val="000000"/>
          <w:sz w:val="32"/>
          <w:szCs w:val="32"/>
        </w:rPr>
      </w:pPr>
      <w:r>
        <w:rPr>
          <w:rFonts w:hint="eastAsia"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349250</wp:posOffset>
            </wp:positionH>
            <wp:positionV relativeFrom="paragraph">
              <wp:posOffset>277495</wp:posOffset>
            </wp:positionV>
            <wp:extent cx="4886325" cy="2819400"/>
            <wp:effectExtent l="0" t="0" r="21" b="43"/>
            <wp:wrapSquare wrapText="bothSides"/>
            <wp:docPr id="1"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4"/>
        <w:ind w:firstLine="640" w:firstLineChars="200"/>
        <w:rPr>
          <w:rFonts w:ascii="黑体" w:eastAsia="黑体" w:cs="Times New Roman"/>
          <w:b w:val="0"/>
          <w:bCs/>
          <w:color w:val="000000"/>
        </w:rPr>
      </w:pPr>
      <w:bookmarkStart w:id="38" w:name="_Toc111208500"/>
      <w:bookmarkStart w:id="39" w:name="_Toc16754"/>
      <w:bookmarkStart w:id="40" w:name="_Toc15377206"/>
      <w:bookmarkStart w:id="41" w:name="_Toc25746"/>
      <w:r>
        <w:rPr>
          <w:rFonts w:hint="eastAsia" w:ascii="黑体" w:eastAsia="黑体" w:cs="Times New Roman"/>
          <w:b w:val="0"/>
          <w:bCs/>
          <w:color w:val="000000"/>
        </w:rPr>
        <w:t>二、收入决算情况说明</w:t>
      </w:r>
      <w:bookmarkEnd w:id="38"/>
      <w:bookmarkEnd w:id="39"/>
      <w:bookmarkEnd w:id="40"/>
      <w:bookmarkEnd w:id="41"/>
    </w:p>
    <w:p>
      <w:pPr>
        <w:spacing w:line="600" w:lineRule="exact"/>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3</w:t>
      </w:r>
      <w:r>
        <w:rPr>
          <w:rFonts w:hint="eastAsia" w:ascii="仿宋_GB2312" w:eastAsia="仿宋_GB2312" w:cs="仿宋_GB2312"/>
          <w:color w:val="000000"/>
          <w:sz w:val="32"/>
          <w:szCs w:val="32"/>
        </w:rPr>
        <w:t>年本年收入合计</w:t>
      </w:r>
      <w:r>
        <w:rPr>
          <w:rFonts w:hint="eastAsia" w:ascii="仿宋_GB2312" w:eastAsia="仿宋_GB2312" w:cs="仿宋_GB2312"/>
          <w:color w:val="000000"/>
          <w:sz w:val="32"/>
          <w:szCs w:val="32"/>
          <w:lang w:val="en-US" w:eastAsia="zh-CN"/>
        </w:rPr>
        <w:t>1267.80</w:t>
      </w:r>
      <w:r>
        <w:rPr>
          <w:rFonts w:hint="eastAsia" w:ascii="仿宋_GB2312" w:eastAsia="仿宋_GB2312" w:cs="仿宋_GB2312"/>
          <w:color w:val="000000"/>
          <w:sz w:val="32"/>
          <w:szCs w:val="32"/>
        </w:rPr>
        <w:t>万元，其中：一般公共预算财政拨款收入</w:t>
      </w:r>
      <w:r>
        <w:rPr>
          <w:rFonts w:hint="eastAsia" w:ascii="仿宋_GB2312" w:eastAsia="仿宋_GB2312" w:cs="仿宋_GB2312"/>
          <w:color w:val="000000"/>
          <w:sz w:val="32"/>
          <w:szCs w:val="32"/>
          <w:lang w:val="en-US" w:eastAsia="zh-CN"/>
        </w:rPr>
        <w:t>1267.80</w:t>
      </w:r>
      <w:r>
        <w:rPr>
          <w:rFonts w:hint="eastAsia" w:ascii="仿宋_GB2312" w:eastAsia="仿宋_GB2312" w:cs="仿宋_GB2312"/>
          <w:color w:val="000000"/>
          <w:sz w:val="32"/>
          <w:szCs w:val="32"/>
        </w:rPr>
        <w:t>万元，占100%；政府性基金预算财政拨款收入0万元；国有资本经营预算财政拨款收入0万元；上级补助收入</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万元；事业收入</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万元；经营收入</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万元；附属单位上缴收入</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万元；其他收入</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w:t>
      </w:r>
    </w:p>
    <w:p>
      <w:pPr>
        <w:spacing w:line="600" w:lineRule="exact"/>
        <w:ind w:firstLine="2560" w:firstLineChars="800"/>
        <w:rPr>
          <w:rFonts w:ascii="仿宋" w:eastAsia="仿宋"/>
          <w:color w:val="000000"/>
          <w:sz w:val="32"/>
          <w:szCs w:val="32"/>
        </w:rPr>
      </w:pPr>
      <w:r>
        <w:rPr>
          <w:rFonts w:hint="eastAsia" w:ascii="仿宋" w:eastAsia="仿宋"/>
          <w:color w:val="000000"/>
          <w:sz w:val="32"/>
          <w:szCs w:val="32"/>
        </w:rPr>
        <w:t>（图2：收入决算结构图）</w:t>
      </w:r>
    </w:p>
    <w:p>
      <w:pPr>
        <w:pStyle w:val="16"/>
        <w:jc w:val="center"/>
      </w:pPr>
      <w:r>
        <w:rPr>
          <w:rFonts w:hint="eastAsia" w:ascii="仿宋_GB2312" w:eastAsia="仿宋_GB2312"/>
          <w:color w:val="FF0000"/>
          <w:sz w:val="32"/>
          <w:szCs w:val="32"/>
        </w:rPr>
        <w:drawing>
          <wp:inline distT="0" distB="0" distL="114300" distR="114300">
            <wp:extent cx="4599940" cy="2667000"/>
            <wp:effectExtent l="0" t="0" r="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4"/>
        <w:ind w:firstLine="640" w:firstLineChars="200"/>
        <w:rPr>
          <w:rFonts w:ascii="黑体" w:eastAsia="黑体" w:cs="Times New Roman"/>
          <w:b w:val="0"/>
          <w:bCs/>
          <w:color w:val="000000"/>
        </w:rPr>
      </w:pPr>
      <w:bookmarkStart w:id="42" w:name="_Toc15377207"/>
      <w:bookmarkStart w:id="43" w:name="_Toc24992"/>
      <w:bookmarkStart w:id="44" w:name="_Toc111208501"/>
      <w:bookmarkStart w:id="45" w:name="_Toc26388"/>
      <w:r>
        <w:rPr>
          <w:rFonts w:hint="eastAsia" w:ascii="黑体" w:eastAsia="黑体" w:cs="Times New Roman"/>
          <w:b w:val="0"/>
          <w:bCs/>
          <w:color w:val="000000"/>
        </w:rPr>
        <w:t>三、支出决算情况说明</w:t>
      </w:r>
      <w:bookmarkEnd w:id="42"/>
      <w:bookmarkEnd w:id="43"/>
      <w:bookmarkEnd w:id="44"/>
      <w:bookmarkEnd w:id="45"/>
    </w:p>
    <w:p>
      <w:pPr>
        <w:pStyle w:val="2"/>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2023年本年支出合计</w:t>
      </w:r>
      <w:r>
        <w:rPr>
          <w:rFonts w:hint="eastAsia" w:ascii="仿宋_GB2312" w:eastAsia="仿宋_GB2312" w:cs="仿宋_GB2312"/>
          <w:color w:val="000000"/>
          <w:sz w:val="32"/>
          <w:szCs w:val="32"/>
          <w:lang w:val="en-US" w:eastAsia="zh-CN"/>
        </w:rPr>
        <w:t>1267.80</w:t>
      </w:r>
      <w:r>
        <w:rPr>
          <w:rFonts w:hint="eastAsia" w:ascii="仿宋_GB2312" w:eastAsia="仿宋_GB2312" w:cs="仿宋_GB2312"/>
          <w:color w:val="000000"/>
          <w:kern w:val="2"/>
          <w:sz w:val="32"/>
          <w:szCs w:val="32"/>
          <w:lang w:val="en-US" w:eastAsia="zh-CN" w:bidi="ar-SA"/>
        </w:rPr>
        <w:t>万元，其中：基本支出1096.19万元，占86.46%；项目支出171.61万元，占13.54%；上缴上级支出0万元；经营支出0万元；对附属单位补助支出0万元。</w:t>
      </w:r>
    </w:p>
    <w:p>
      <w:pPr>
        <w:spacing w:line="600" w:lineRule="exact"/>
        <w:ind w:firstLine="2240" w:firstLineChars="700"/>
        <w:rPr>
          <w:rFonts w:hint="eastAsia" w:ascii="仿宋_GB2312" w:eastAsia="仿宋_GB2312" w:cs="仿宋_GB2312"/>
          <w:color w:val="000000"/>
          <w:kern w:val="2"/>
          <w:sz w:val="32"/>
          <w:szCs w:val="32"/>
          <w:lang w:val="en-US" w:eastAsia="zh-CN" w:bidi="ar-SA"/>
        </w:rPr>
      </w:pPr>
    </w:p>
    <w:p>
      <w:pPr>
        <w:spacing w:line="600" w:lineRule="exact"/>
        <w:ind w:firstLine="2240" w:firstLineChars="700"/>
        <w:rPr>
          <w:rFonts w:hint="eastAsia" w:ascii="仿宋_GB2312" w:eastAsia="仿宋_GB2312" w:cs="仿宋_GB2312"/>
          <w:color w:val="000000"/>
          <w:kern w:val="2"/>
          <w:sz w:val="32"/>
          <w:szCs w:val="32"/>
          <w:lang w:val="en-US" w:eastAsia="zh-CN" w:bidi="ar-SA"/>
        </w:rPr>
      </w:pPr>
    </w:p>
    <w:p>
      <w:pPr>
        <w:spacing w:line="600" w:lineRule="exact"/>
        <w:ind w:firstLine="2240" w:firstLineChars="700"/>
        <w:rPr>
          <w:rFonts w:hint="eastAsia" w:ascii="仿宋_GB2312" w:eastAsia="仿宋_GB2312" w:cs="仿宋_GB2312"/>
          <w:color w:val="000000"/>
          <w:kern w:val="2"/>
          <w:sz w:val="32"/>
          <w:szCs w:val="32"/>
          <w:lang w:val="en-US" w:eastAsia="zh-CN" w:bidi="ar-SA"/>
        </w:rPr>
      </w:pPr>
    </w:p>
    <w:p>
      <w:pPr>
        <w:spacing w:line="600" w:lineRule="exact"/>
        <w:ind w:firstLine="2240" w:firstLineChars="700"/>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（图3：支出决算结构图）</w:t>
      </w:r>
    </w:p>
    <w:p>
      <w:pPr>
        <w:jc w:val="center"/>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inline distT="0" distB="0" distL="114300" distR="114300">
            <wp:extent cx="4737100" cy="3152775"/>
            <wp:effectExtent l="0" t="0" r="0" b="0"/>
            <wp:docPr id="3"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
      </w:pPr>
    </w:p>
    <w:p>
      <w:pPr>
        <w:pStyle w:val="4"/>
        <w:ind w:firstLine="642" w:firstLineChars="200"/>
        <w:rPr>
          <w:rFonts w:ascii="黑体" w:eastAsia="黑体" w:cs="Times New Roman"/>
          <w:bCs w:val="0"/>
          <w:color w:val="000000"/>
        </w:rPr>
      </w:pPr>
      <w:bookmarkStart w:id="46" w:name="_Toc15377208"/>
      <w:bookmarkStart w:id="47" w:name="_Toc111208502"/>
      <w:bookmarkStart w:id="48" w:name="_Toc20533"/>
      <w:bookmarkStart w:id="49" w:name="_Toc27304"/>
      <w:r>
        <w:rPr>
          <w:rFonts w:hint="eastAsia" w:ascii="黑体" w:eastAsia="黑体" w:cs="Times New Roman"/>
          <w:bCs w:val="0"/>
          <w:color w:val="000000"/>
        </w:rPr>
        <w:t>四、财政拨款收入支出决算总体情况说明</w:t>
      </w:r>
      <w:bookmarkEnd w:id="46"/>
      <w:bookmarkEnd w:id="47"/>
      <w:bookmarkEnd w:id="48"/>
      <w:bookmarkEnd w:id="49"/>
    </w:p>
    <w:p>
      <w:pPr>
        <w:spacing w:line="600" w:lineRule="exact"/>
        <w:ind w:firstLine="640" w:firstLineChars="200"/>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2023年财政拨款收、支总计</w:t>
      </w:r>
      <w:r>
        <w:rPr>
          <w:rFonts w:hint="eastAsia" w:ascii="仿宋_GB2312" w:eastAsia="仿宋_GB2312" w:cs="仿宋_GB2312"/>
          <w:color w:val="000000"/>
          <w:sz w:val="32"/>
          <w:szCs w:val="32"/>
          <w:lang w:val="en-US" w:eastAsia="zh-CN"/>
        </w:rPr>
        <w:t>1267.80</w:t>
      </w:r>
      <w:r>
        <w:rPr>
          <w:rFonts w:hint="eastAsia" w:ascii="仿宋_GB2312" w:eastAsia="仿宋_GB2312" w:cs="仿宋_GB2312"/>
          <w:color w:val="000000"/>
          <w:kern w:val="2"/>
          <w:sz w:val="32"/>
          <w:szCs w:val="32"/>
          <w:lang w:val="en-US" w:eastAsia="zh-CN" w:bidi="ar-SA"/>
        </w:rPr>
        <w:t>万元。与2022年相比，财政拨款收、支总计各减少18.85万元，</w:t>
      </w:r>
      <w:r>
        <w:rPr>
          <w:rFonts w:hint="eastAsia" w:ascii="仿宋_GB2312" w:eastAsia="仿宋_GB2312" w:cs="仿宋_GB2312"/>
          <w:color w:val="000000"/>
          <w:sz w:val="32"/>
          <w:szCs w:val="32"/>
          <w:lang w:eastAsia="zh-CN"/>
        </w:rPr>
        <w:t>减少</w:t>
      </w:r>
      <w:r>
        <w:rPr>
          <w:rFonts w:hint="eastAsia" w:ascii="仿宋_GB2312" w:eastAsia="仿宋_GB2312" w:cs="仿宋_GB2312"/>
          <w:color w:val="000000"/>
          <w:sz w:val="32"/>
          <w:szCs w:val="32"/>
          <w:lang w:val="en-US" w:eastAsia="zh-CN"/>
        </w:rPr>
        <w:t>1.47</w:t>
      </w:r>
      <w:r>
        <w:rPr>
          <w:rFonts w:hint="eastAsia" w:ascii="仿宋_GB2312" w:eastAsia="仿宋_GB2312" w:cs="仿宋_GB2312"/>
          <w:color w:val="000000"/>
          <w:sz w:val="32"/>
          <w:szCs w:val="32"/>
        </w:rPr>
        <w:t>%。主要变动原因是</w:t>
      </w:r>
      <w:r>
        <w:rPr>
          <w:rFonts w:hint="eastAsia" w:ascii="仿宋_GB2312" w:eastAsia="仿宋_GB2312" w:cs="仿宋_GB2312"/>
          <w:color w:val="000000"/>
          <w:sz w:val="32"/>
          <w:szCs w:val="32"/>
          <w:lang w:eastAsia="zh-CN"/>
        </w:rPr>
        <w:t>人员变动，厉行节约，</w:t>
      </w:r>
      <w:r>
        <w:rPr>
          <w:rFonts w:ascii="仿宋_GB2312" w:eastAsia="仿宋_GB2312" w:cs="仿宋_GB2312"/>
          <w:color w:val="000000"/>
          <w:sz w:val="32"/>
          <w:szCs w:val="32"/>
        </w:rPr>
        <w:t>压缩经费支出</w:t>
      </w:r>
      <w:r>
        <w:rPr>
          <w:rFonts w:hint="eastAsia" w:ascii="仿宋_GB2312" w:eastAsia="仿宋_GB2312" w:cs="仿宋_GB2312"/>
          <w:color w:val="000000"/>
          <w:sz w:val="32"/>
          <w:szCs w:val="32"/>
          <w:lang w:eastAsia="zh-CN"/>
        </w:rPr>
        <w:t>。</w:t>
      </w:r>
    </w:p>
    <w:p>
      <w:pPr>
        <w:pStyle w:val="2"/>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（图4：财政拨款收、支决算总计变动情况）</w:t>
      </w:r>
      <w:r>
        <w:rPr>
          <w:rFonts w:hint="eastAsia" w:ascii="仿宋_GB2312" w:eastAsia="仿宋_GB2312" w:cs="仿宋_GB2312"/>
          <w:color w:val="000000"/>
          <w:sz w:val="32"/>
          <w:szCs w:val="32"/>
          <w:lang w:val="en-US" w:eastAsia="zh-CN"/>
        </w:rPr>
        <w:t>(单位：万元）</w:t>
      </w:r>
    </w:p>
    <w:p>
      <w:pPr>
        <w:pStyle w:val="2"/>
        <w:ind w:firstLine="1673" w:firstLineChars="523"/>
        <w:rPr>
          <w:rFonts w:hint="eastAsia" w:ascii="仿宋_GB2312" w:eastAsia="仿宋_GB2312" w:cs="仿宋_GB2312"/>
          <w:color w:val="000000"/>
          <w:kern w:val="2"/>
          <w:sz w:val="32"/>
          <w:szCs w:val="32"/>
          <w:lang w:val="en-US" w:eastAsia="zh-CN" w:bidi="ar-SA"/>
        </w:rPr>
      </w:pPr>
      <w:r>
        <w:rPr>
          <w:rFonts w:hint="eastAsia"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548640</wp:posOffset>
            </wp:positionH>
            <wp:positionV relativeFrom="paragraph">
              <wp:posOffset>219075</wp:posOffset>
            </wp:positionV>
            <wp:extent cx="4610735" cy="2696845"/>
            <wp:effectExtent l="0" t="0" r="39" b="22"/>
            <wp:wrapSquare wrapText="bothSides"/>
            <wp:docPr id="4"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2"/>
        <w:jc w:val="left"/>
      </w:pPr>
    </w:p>
    <w:p>
      <w:pPr>
        <w:pStyle w:val="2"/>
        <w:jc w:val="left"/>
      </w:pPr>
    </w:p>
    <w:p>
      <w:pPr>
        <w:pStyle w:val="2"/>
        <w:jc w:val="left"/>
      </w:pPr>
    </w:p>
    <w:p>
      <w:pPr>
        <w:pStyle w:val="2"/>
        <w:jc w:val="left"/>
      </w:pPr>
    </w:p>
    <w:p>
      <w:pPr>
        <w:pStyle w:val="2"/>
        <w:jc w:val="left"/>
      </w:pPr>
    </w:p>
    <w:p>
      <w:pPr>
        <w:pStyle w:val="2"/>
        <w:jc w:val="left"/>
      </w:pPr>
    </w:p>
    <w:p>
      <w:pPr>
        <w:pStyle w:val="2"/>
        <w:jc w:val="left"/>
      </w:pPr>
    </w:p>
    <w:p>
      <w:pPr>
        <w:pStyle w:val="4"/>
        <w:ind w:firstLine="640" w:firstLineChars="200"/>
        <w:rPr>
          <w:rFonts w:hint="eastAsia" w:ascii="黑体" w:eastAsia="黑体" w:cs="Times New Roman"/>
          <w:b w:val="0"/>
          <w:bCs/>
          <w:color w:val="000000"/>
        </w:rPr>
      </w:pPr>
      <w:bookmarkStart w:id="50" w:name="_Toc15377209"/>
      <w:bookmarkStart w:id="51" w:name="_Toc11217"/>
      <w:bookmarkStart w:id="52" w:name="_Toc111208503"/>
      <w:bookmarkStart w:id="53" w:name="_Toc15377211"/>
    </w:p>
    <w:p>
      <w:pPr>
        <w:pStyle w:val="4"/>
        <w:ind w:firstLine="640" w:firstLineChars="200"/>
        <w:rPr>
          <w:rFonts w:hint="eastAsia" w:ascii="黑体" w:eastAsia="黑体" w:cs="Times New Roman"/>
          <w:b w:val="0"/>
          <w:bCs/>
          <w:color w:val="000000"/>
        </w:rPr>
      </w:pPr>
      <w:bookmarkStart w:id="54" w:name="_Toc8582"/>
      <w:r>
        <w:rPr>
          <w:rFonts w:hint="eastAsia" w:ascii="黑体" w:eastAsia="黑体" w:cs="Times New Roman"/>
          <w:b w:val="0"/>
          <w:bCs/>
          <w:color w:val="000000"/>
        </w:rPr>
        <w:t>五、一般公共预算财政拨款支出决算情况说</w:t>
      </w:r>
      <w:bookmarkEnd w:id="50"/>
      <w:r>
        <w:rPr>
          <w:rFonts w:hint="eastAsia" w:ascii="黑体" w:eastAsia="黑体" w:cs="Times New Roman"/>
          <w:b w:val="0"/>
          <w:bCs/>
          <w:color w:val="000000"/>
        </w:rPr>
        <w:t>明</w:t>
      </w:r>
      <w:bookmarkEnd w:id="51"/>
      <w:bookmarkEnd w:id="52"/>
      <w:bookmarkEnd w:id="54"/>
    </w:p>
    <w:p>
      <w:pPr>
        <w:spacing w:line="600" w:lineRule="exact"/>
        <w:ind w:firstLine="642" w:firstLineChars="200"/>
        <w:outlineLvl w:val="2"/>
        <w:rPr>
          <w:rFonts w:hint="eastAsia" w:ascii="楷体_GB2312" w:eastAsia="楷体_GB2312" w:cs="楷体_GB2312"/>
          <w:b/>
          <w:bCs w:val="0"/>
          <w:color w:val="000000"/>
          <w:sz w:val="32"/>
          <w:szCs w:val="32"/>
        </w:rPr>
      </w:pPr>
      <w:bookmarkStart w:id="55" w:name="_Toc15377210"/>
      <w:r>
        <w:rPr>
          <w:rFonts w:hint="eastAsia" w:ascii="楷体_GB2312" w:eastAsia="楷体_GB2312" w:cs="楷体_GB2312"/>
          <w:b/>
          <w:bCs w:val="0"/>
          <w:color w:val="000000"/>
          <w:sz w:val="32"/>
          <w:szCs w:val="32"/>
        </w:rPr>
        <w:t>（一）一般公共预算财政拨款支出决算总体情况</w:t>
      </w:r>
      <w:bookmarkEnd w:id="55"/>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2023年一般公共预算财政拨款支出</w:t>
      </w:r>
      <w:r>
        <w:rPr>
          <w:rFonts w:hint="eastAsia" w:ascii="仿宋_GB2312" w:eastAsia="仿宋_GB2312" w:cs="仿宋_GB2312"/>
          <w:color w:val="000000"/>
          <w:sz w:val="32"/>
          <w:szCs w:val="32"/>
          <w:lang w:val="en-US" w:eastAsia="zh-CN"/>
        </w:rPr>
        <w:t>1267.80</w:t>
      </w:r>
      <w:r>
        <w:rPr>
          <w:rFonts w:hint="eastAsia" w:ascii="仿宋_GB2312" w:eastAsia="仿宋_GB2312" w:cs="仿宋_GB2312"/>
          <w:color w:val="000000"/>
          <w:kern w:val="2"/>
          <w:sz w:val="32"/>
          <w:szCs w:val="32"/>
          <w:lang w:val="en-US" w:eastAsia="zh-CN" w:bidi="ar-SA"/>
        </w:rPr>
        <w:t>万元，占本年支出合计的100%。与2022相比，一般公共预算财政拨款减少</w:t>
      </w:r>
      <w:r>
        <w:rPr>
          <w:rFonts w:hint="eastAsia" w:ascii="仿宋_GB2312" w:eastAsia="仿宋_GB2312" w:cs="仿宋_GB2312"/>
          <w:color w:val="000000"/>
          <w:sz w:val="32"/>
          <w:szCs w:val="32"/>
          <w:lang w:val="en-US" w:eastAsia="zh-CN"/>
        </w:rPr>
        <w:t>1.47</w:t>
      </w:r>
      <w:r>
        <w:rPr>
          <w:rFonts w:hint="eastAsia" w:ascii="仿宋_GB2312" w:eastAsia="仿宋_GB2312" w:cs="仿宋_GB2312"/>
          <w:color w:val="000000"/>
          <w:sz w:val="32"/>
          <w:szCs w:val="32"/>
        </w:rPr>
        <w:t>%。主要变动原因是</w:t>
      </w:r>
      <w:r>
        <w:rPr>
          <w:rFonts w:hint="eastAsia" w:ascii="仿宋_GB2312" w:eastAsia="仿宋_GB2312" w:cs="仿宋_GB2312"/>
          <w:color w:val="000000"/>
          <w:sz w:val="32"/>
          <w:szCs w:val="32"/>
          <w:lang w:eastAsia="zh-CN"/>
        </w:rPr>
        <w:t>人员变动，厉行节约，</w:t>
      </w:r>
      <w:r>
        <w:rPr>
          <w:rFonts w:ascii="仿宋_GB2312" w:eastAsia="仿宋_GB2312" w:cs="仿宋_GB2312"/>
          <w:color w:val="000000"/>
          <w:sz w:val="32"/>
          <w:szCs w:val="32"/>
        </w:rPr>
        <w:t>压缩经费支出</w:t>
      </w:r>
      <w:r>
        <w:rPr>
          <w:rFonts w:hint="eastAsia" w:ascii="仿宋_GB2312" w:eastAsia="仿宋_GB2312" w:cs="仿宋_GB2312"/>
          <w:color w:val="000000"/>
          <w:sz w:val="32"/>
          <w:szCs w:val="32"/>
          <w:lang w:eastAsia="zh-CN"/>
        </w:rPr>
        <w:t>。</w:t>
      </w:r>
    </w:p>
    <w:p>
      <w:pPr>
        <w:pStyle w:val="2"/>
        <w:keepNext w:val="0"/>
        <w:keepLines w:val="0"/>
        <w:pageBreakBefore w:val="0"/>
        <w:widowControl w:val="0"/>
        <w:kinsoku/>
        <w:wordWrap/>
        <w:overflowPunct/>
        <w:topLinePunct w:val="0"/>
        <w:autoSpaceDE/>
        <w:autoSpaceDN/>
        <w:bidi w:val="0"/>
        <w:adjustRightInd/>
        <w:snapToGrid/>
        <w:spacing w:line="576" w:lineRule="exact"/>
        <w:ind w:left="0" w:firstLine="0"/>
        <w:textAlignment w:val="auto"/>
        <w:rPr>
          <w:rFonts w:ascii="仿宋_GB2312" w:eastAsia="仿宋_GB2312"/>
          <w:b/>
          <w:color w:val="000000"/>
          <w:sz w:val="32"/>
          <w:szCs w:val="32"/>
        </w:rPr>
      </w:pPr>
      <w:r>
        <w:rPr>
          <w:rFonts w:hint="eastAsia" w:ascii="仿宋_GB2312" w:eastAsia="仿宋_GB2312" w:cs="仿宋_GB2312"/>
          <w:color w:val="000000"/>
          <w:kern w:val="2"/>
          <w:sz w:val="32"/>
          <w:szCs w:val="32"/>
          <w:lang w:val="en-US" w:eastAsia="zh-CN" w:bidi="ar-SA"/>
        </w:rPr>
        <w:t>(图5：一般公共预算财政拨款支出决算变动情况）</w:t>
      </w:r>
      <w:r>
        <w:rPr>
          <w:rFonts w:hint="eastAsia" w:ascii="仿宋_GB2312" w:eastAsia="仿宋_GB2312" w:cs="仿宋_GB2312"/>
          <w:color w:val="000000"/>
          <w:sz w:val="32"/>
          <w:szCs w:val="32"/>
          <w:lang w:val="en-US" w:eastAsia="zh-CN"/>
        </w:rPr>
        <w:t>(单位：万元）</w:t>
      </w:r>
    </w:p>
    <w:p>
      <w:pPr>
        <w:pStyle w:val="2"/>
        <w:ind w:firstLine="0"/>
        <w:rPr>
          <w:rFonts w:ascii="仿宋_GB2312" w:eastAsia="仿宋_GB2312"/>
          <w:b/>
          <w:color w:val="000000"/>
          <w:sz w:val="32"/>
          <w:szCs w:val="32"/>
        </w:rPr>
      </w:pPr>
      <w:r>
        <w:rPr>
          <w:rFonts w:hint="eastAsia"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434340</wp:posOffset>
            </wp:positionH>
            <wp:positionV relativeFrom="paragraph">
              <wp:posOffset>60960</wp:posOffset>
            </wp:positionV>
            <wp:extent cx="5324475" cy="2619375"/>
            <wp:effectExtent l="0" t="0" r="15" b="39"/>
            <wp:wrapSquare wrapText="bothSides"/>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2"/>
        <w:ind w:firstLine="0"/>
        <w:rPr>
          <w:rFonts w:ascii="仿宋_GB2312" w:eastAsia="仿宋_GB2312"/>
          <w:b/>
          <w:color w:val="000000"/>
          <w:sz w:val="32"/>
          <w:szCs w:val="32"/>
        </w:rPr>
      </w:pPr>
    </w:p>
    <w:p>
      <w:pPr>
        <w:pStyle w:val="2"/>
        <w:ind w:firstLine="0"/>
        <w:rPr>
          <w:rFonts w:ascii="仿宋_GB2312" w:eastAsia="仿宋_GB2312"/>
          <w:b/>
          <w:color w:val="000000"/>
          <w:sz w:val="32"/>
          <w:szCs w:val="32"/>
        </w:rPr>
      </w:pPr>
    </w:p>
    <w:p>
      <w:pPr>
        <w:pStyle w:val="2"/>
        <w:ind w:firstLine="0"/>
        <w:rPr>
          <w:rFonts w:ascii="仿宋_GB2312" w:eastAsia="仿宋_GB2312"/>
          <w:b/>
          <w:color w:val="000000"/>
          <w:sz w:val="32"/>
          <w:szCs w:val="32"/>
        </w:rPr>
      </w:pPr>
    </w:p>
    <w:p>
      <w:pPr>
        <w:pStyle w:val="2"/>
        <w:ind w:firstLine="0"/>
        <w:rPr>
          <w:rFonts w:ascii="仿宋_GB2312" w:eastAsia="仿宋_GB2312"/>
          <w:b/>
          <w:color w:val="000000"/>
          <w:sz w:val="32"/>
          <w:szCs w:val="32"/>
        </w:rPr>
      </w:pPr>
    </w:p>
    <w:p>
      <w:pPr>
        <w:pStyle w:val="2"/>
        <w:ind w:firstLine="0"/>
        <w:rPr>
          <w:rFonts w:ascii="仿宋_GB2312" w:eastAsia="仿宋_GB2312"/>
          <w:b/>
          <w:color w:val="000000"/>
          <w:sz w:val="32"/>
          <w:szCs w:val="32"/>
        </w:rPr>
      </w:pPr>
    </w:p>
    <w:p>
      <w:pPr>
        <w:pStyle w:val="2"/>
        <w:ind w:firstLine="0"/>
        <w:rPr>
          <w:rFonts w:ascii="仿宋_GB2312" w:eastAsia="仿宋_GB2312"/>
          <w:b/>
          <w:color w:val="000000"/>
          <w:sz w:val="32"/>
          <w:szCs w:val="32"/>
        </w:rPr>
      </w:pPr>
    </w:p>
    <w:bookmarkEnd w:id="53"/>
    <w:p>
      <w:pPr>
        <w:spacing w:line="600" w:lineRule="exact"/>
        <w:ind w:firstLine="642" w:firstLineChars="200"/>
        <w:outlineLvl w:val="2"/>
        <w:rPr>
          <w:rFonts w:hint="eastAsia" w:ascii="楷体_GB2312" w:eastAsia="楷体_GB2312" w:cs="楷体_GB2312"/>
          <w:b/>
          <w:bCs w:val="0"/>
          <w:color w:val="000000"/>
          <w:sz w:val="32"/>
          <w:szCs w:val="32"/>
        </w:rPr>
      </w:pPr>
      <w:r>
        <w:rPr>
          <w:rFonts w:hint="eastAsia" w:ascii="楷体_GB2312" w:eastAsia="楷体_GB2312" w:cs="楷体_GB2312"/>
          <w:b/>
          <w:bCs w:val="0"/>
          <w:color w:val="000000"/>
          <w:sz w:val="32"/>
          <w:szCs w:val="32"/>
        </w:rPr>
        <w:t>（二）一般公共预算财政拨款支出决算结构情况</w:t>
      </w:r>
    </w:p>
    <w:p>
      <w:pPr>
        <w:spacing w:line="600" w:lineRule="exact"/>
        <w:ind w:firstLine="640" w:firstLineChars="200"/>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2023年一般公共预算财政拨款支出</w:t>
      </w:r>
      <w:r>
        <w:rPr>
          <w:rFonts w:hint="eastAsia" w:ascii="仿宋_GB2312" w:eastAsia="仿宋_GB2312" w:cs="仿宋_GB2312"/>
          <w:color w:val="000000"/>
          <w:sz w:val="32"/>
          <w:szCs w:val="32"/>
          <w:lang w:val="en-US" w:eastAsia="zh-CN"/>
        </w:rPr>
        <w:t>1267.80</w:t>
      </w:r>
      <w:r>
        <w:rPr>
          <w:rFonts w:hint="eastAsia" w:ascii="仿宋_GB2312" w:eastAsia="仿宋_GB2312" w:cs="仿宋_GB2312"/>
          <w:color w:val="000000"/>
          <w:kern w:val="2"/>
          <w:sz w:val="32"/>
          <w:szCs w:val="32"/>
          <w:lang w:val="en-US" w:eastAsia="zh-CN" w:bidi="ar-SA"/>
        </w:rPr>
        <w:t>万元，主要用于以下方面:一般公共服务支出1003.20万元，占79.13%；社会保障和就业支出135.59万元，占10.69%；卫生健康支出59.32万元，占4.68%；住房保障支出69.69万元，占5.5%。</w:t>
      </w:r>
    </w:p>
    <w:p>
      <w:pPr>
        <w:spacing w:line="600" w:lineRule="exact"/>
        <w:ind w:firstLine="1280" w:firstLineChars="400"/>
        <w:rPr>
          <w:rFonts w:ascii="仿宋" w:eastAsia="仿宋"/>
          <w:color w:val="000000"/>
          <w:sz w:val="32"/>
          <w:szCs w:val="32"/>
        </w:rPr>
      </w:pPr>
      <w:r>
        <w:rPr>
          <w:rFonts w:hint="eastAsia" w:ascii="仿宋_GB2312" w:eastAsia="仿宋_GB2312" w:cs="仿宋_GB2312"/>
          <w:color w:val="000000"/>
          <w:kern w:val="2"/>
          <w:sz w:val="32"/>
          <w:szCs w:val="32"/>
          <w:lang w:val="en-US" w:eastAsia="zh-CN" w:bidi="ar-SA"/>
        </w:rPr>
        <w:t>（图6：一般公共预算财政拨款支出决算结构）</w:t>
      </w:r>
      <w:bookmarkStart w:id="56" w:name="_Toc15377212"/>
    </w:p>
    <w:p>
      <w:pPr>
        <w:pStyle w:val="2"/>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854075</wp:posOffset>
            </wp:positionH>
            <wp:positionV relativeFrom="paragraph">
              <wp:posOffset>147320</wp:posOffset>
            </wp:positionV>
            <wp:extent cx="4065905" cy="2190750"/>
            <wp:effectExtent l="0" t="0" r="30" b="34"/>
            <wp:wrapSquare wrapText="bothSides"/>
            <wp:docPr id="6"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2"/>
      </w:pPr>
    </w:p>
    <w:p>
      <w:pPr>
        <w:spacing w:line="600" w:lineRule="exact"/>
        <w:ind w:firstLine="642" w:firstLineChars="200"/>
        <w:outlineLvl w:val="2"/>
        <w:rPr>
          <w:rFonts w:hint="eastAsia" w:ascii="楷体_GB2312" w:eastAsia="楷体_GB2312" w:cs="楷体_GB2312"/>
          <w:b/>
          <w:bCs w:val="0"/>
          <w:color w:val="000000"/>
          <w:sz w:val="32"/>
          <w:szCs w:val="32"/>
        </w:rPr>
      </w:pPr>
    </w:p>
    <w:p>
      <w:pPr>
        <w:spacing w:line="600" w:lineRule="exact"/>
        <w:ind w:firstLine="642" w:firstLineChars="200"/>
        <w:outlineLvl w:val="2"/>
        <w:rPr>
          <w:rFonts w:hint="eastAsia" w:ascii="楷体_GB2312" w:eastAsia="楷体_GB2312" w:cs="楷体_GB2312"/>
          <w:b/>
          <w:bCs w:val="0"/>
          <w:color w:val="000000"/>
          <w:sz w:val="32"/>
          <w:szCs w:val="32"/>
        </w:rPr>
      </w:pPr>
    </w:p>
    <w:p>
      <w:pPr>
        <w:spacing w:line="600" w:lineRule="exact"/>
        <w:ind w:firstLine="642" w:firstLineChars="200"/>
        <w:outlineLvl w:val="2"/>
        <w:rPr>
          <w:rFonts w:hint="eastAsia" w:ascii="楷体_GB2312" w:eastAsia="楷体_GB2312" w:cs="楷体_GB2312"/>
          <w:b/>
          <w:bCs w:val="0"/>
          <w:color w:val="000000"/>
          <w:sz w:val="32"/>
          <w:szCs w:val="32"/>
        </w:rPr>
      </w:pPr>
    </w:p>
    <w:p>
      <w:pPr>
        <w:spacing w:line="600" w:lineRule="exact"/>
        <w:ind w:firstLine="642" w:firstLineChars="200"/>
        <w:outlineLvl w:val="2"/>
        <w:rPr>
          <w:rFonts w:hint="eastAsia" w:ascii="楷体_GB2312" w:eastAsia="楷体_GB2312" w:cs="楷体_GB2312"/>
          <w:b/>
          <w:bCs w:val="0"/>
          <w:color w:val="000000"/>
          <w:sz w:val="32"/>
          <w:szCs w:val="32"/>
        </w:rPr>
      </w:pPr>
    </w:p>
    <w:p>
      <w:pPr>
        <w:spacing w:line="600" w:lineRule="exact"/>
        <w:ind w:firstLine="642" w:firstLineChars="200"/>
        <w:outlineLvl w:val="2"/>
        <w:rPr>
          <w:rFonts w:hint="eastAsia" w:ascii="楷体_GB2312" w:eastAsia="楷体_GB2312" w:cs="楷体_GB2312"/>
          <w:b/>
          <w:bCs w:val="0"/>
          <w:color w:val="000000"/>
          <w:sz w:val="32"/>
          <w:szCs w:val="32"/>
        </w:rPr>
      </w:pPr>
    </w:p>
    <w:p>
      <w:pPr>
        <w:spacing w:line="600" w:lineRule="exact"/>
        <w:ind w:firstLine="642" w:firstLineChars="200"/>
        <w:outlineLvl w:val="2"/>
        <w:rPr>
          <w:rFonts w:hint="eastAsia" w:ascii="楷体_GB2312" w:eastAsia="楷体_GB2312" w:cs="楷体_GB2312"/>
          <w:b/>
          <w:bCs w:val="0"/>
          <w:color w:val="000000"/>
          <w:sz w:val="32"/>
          <w:szCs w:val="32"/>
        </w:rPr>
      </w:pPr>
    </w:p>
    <w:p>
      <w:pPr>
        <w:spacing w:line="600" w:lineRule="exact"/>
        <w:ind w:firstLine="642" w:firstLineChars="200"/>
        <w:outlineLvl w:val="2"/>
        <w:rPr>
          <w:rFonts w:hint="eastAsia" w:ascii="楷体_GB2312" w:eastAsia="楷体_GB2312" w:cs="楷体_GB2312"/>
          <w:b/>
          <w:bCs w:val="0"/>
          <w:color w:val="000000"/>
          <w:sz w:val="32"/>
          <w:szCs w:val="32"/>
        </w:rPr>
      </w:pPr>
      <w:r>
        <w:rPr>
          <w:rFonts w:hint="eastAsia" w:ascii="楷体_GB2312" w:eastAsia="楷体_GB2312" w:cs="楷体_GB2312"/>
          <w:b/>
          <w:bCs w:val="0"/>
          <w:color w:val="000000"/>
          <w:sz w:val="32"/>
          <w:szCs w:val="32"/>
        </w:rPr>
        <w:t>（三）一般公共预算财政拨款支出决算具体情况</w:t>
      </w:r>
      <w:bookmarkEnd w:id="5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bookmarkStart w:id="57" w:name="_Toc15377444"/>
      <w:bookmarkStart w:id="58" w:name="_Toc15377213"/>
      <w:bookmarkStart w:id="59" w:name="_Toc15378460"/>
      <w:r>
        <w:rPr>
          <w:rFonts w:hint="eastAsia" w:ascii="仿宋_GB2312" w:eastAsia="仿宋_GB2312" w:cs="仿宋_GB2312"/>
          <w:color w:val="000000"/>
          <w:kern w:val="2"/>
          <w:sz w:val="32"/>
          <w:szCs w:val="32"/>
          <w:lang w:val="en-US" w:eastAsia="zh-CN" w:bidi="ar-SA"/>
        </w:rPr>
        <w:t>2023年一般公共预算支出决算数为</w:t>
      </w:r>
      <w:r>
        <w:rPr>
          <w:rFonts w:hint="eastAsia" w:ascii="仿宋_GB2312" w:eastAsia="仿宋_GB2312" w:cs="仿宋_GB2312"/>
          <w:color w:val="000000"/>
          <w:sz w:val="32"/>
          <w:szCs w:val="32"/>
          <w:lang w:val="en-US" w:eastAsia="zh-CN"/>
        </w:rPr>
        <w:t>1267.80</w:t>
      </w:r>
      <w:r>
        <w:rPr>
          <w:rFonts w:hint="eastAsia" w:ascii="仿宋_GB2312" w:eastAsia="仿宋_GB2312" w:cs="仿宋_GB2312"/>
          <w:color w:val="000000"/>
          <w:kern w:val="2"/>
          <w:sz w:val="32"/>
          <w:szCs w:val="32"/>
          <w:lang w:val="en-US" w:eastAsia="zh-CN" w:bidi="ar-SA"/>
        </w:rPr>
        <w:t>万元，完成预算100%。其中：</w:t>
      </w:r>
      <w:bookmarkEnd w:id="57"/>
      <w:bookmarkEnd w:id="58"/>
      <w:bookmarkEnd w:id="59"/>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一般公共服务支出（201）党委办公厅（室）及相关机构事务（20131）行政运行（2013101）支出决算677.86万元，完成预算100%。</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lang w:val="en-US" w:eastAsia="zh-CN"/>
        </w:rPr>
      </w:pPr>
      <w:r>
        <w:rPr>
          <w:rFonts w:hint="eastAsia" w:ascii="仿宋_GB2312" w:eastAsia="仿宋_GB2312" w:cs="仿宋_GB2312"/>
          <w:color w:val="000000"/>
          <w:kern w:val="2"/>
          <w:sz w:val="32"/>
          <w:szCs w:val="32"/>
          <w:lang w:val="en-US" w:eastAsia="zh-CN" w:bidi="ar-SA"/>
        </w:rPr>
        <w:t>2.一般公共服务支出（201）党委办公厅（室）及相关机构事务（20131）事业运行（2013150）支出决算124.36万元，完成预算100%。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ab/>
      </w:r>
      <w:r>
        <w:rPr>
          <w:rFonts w:hint="eastAsia" w:ascii="仿宋_GB2312" w:eastAsia="仿宋_GB2312" w:cs="仿宋_GB2312"/>
          <w:color w:val="000000"/>
          <w:kern w:val="2"/>
          <w:sz w:val="32"/>
          <w:szCs w:val="32"/>
          <w:lang w:val="en-US" w:eastAsia="zh-CN" w:bidi="ar-SA"/>
        </w:rPr>
        <w:t>3.一般公共服务支出（201）党委办公厅（室）及相关机构事务（20131）其他党委办公厅（室）及相关机构事务支出（2013199）支出决算200.98万元，完成预算100%。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ab/>
      </w:r>
      <w:r>
        <w:rPr>
          <w:rFonts w:hint="eastAsia" w:ascii="仿宋_GB2312" w:eastAsia="仿宋_GB2312" w:cs="仿宋_GB2312"/>
          <w:color w:val="000000"/>
          <w:kern w:val="2"/>
          <w:sz w:val="32"/>
          <w:szCs w:val="32"/>
          <w:lang w:val="en-US" w:eastAsia="zh-CN" w:bidi="ar-SA"/>
        </w:rPr>
        <w:t>4.社会保障和就业支出（208）行政事业单位养老支出（20805）机关事业单位基本养老保险缴费支出（2080505）支出决算90.4万元，完成预算100%。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ab/>
      </w:r>
      <w:r>
        <w:rPr>
          <w:rFonts w:hint="eastAsia" w:ascii="仿宋_GB2312" w:eastAsia="仿宋_GB2312" w:cs="仿宋_GB2312"/>
          <w:color w:val="000000"/>
          <w:kern w:val="2"/>
          <w:sz w:val="32"/>
          <w:szCs w:val="32"/>
          <w:lang w:val="en-US" w:eastAsia="zh-CN" w:bidi="ar-SA"/>
        </w:rPr>
        <w:t>5.社会保障和就业支出（208）行政事业单位养老支出（20805）机关事业单位职业年金缴费支出（2080506）支出决算45.2万元，完成预算100%。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ab/>
      </w:r>
      <w:r>
        <w:rPr>
          <w:rFonts w:hint="eastAsia" w:ascii="仿宋_GB2312" w:eastAsia="仿宋_GB2312" w:cs="仿宋_GB2312"/>
          <w:color w:val="000000"/>
          <w:kern w:val="2"/>
          <w:sz w:val="32"/>
          <w:szCs w:val="32"/>
          <w:lang w:val="en-US" w:eastAsia="zh-CN" w:bidi="ar-SA"/>
        </w:rPr>
        <w:t>6.卫生健康支出（210）行政事业单位医疗（21011）行政单位医疗（2101101）支出决算49.58万元，完成预算100%。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7.卫生健康支出（210）行政事业单位医疗（21011）事业单位医疗（2101102）支出决算9.74万元，完成预算100%。</w:t>
      </w:r>
    </w:p>
    <w:p>
      <w:pPr>
        <w:pStyle w:val="15"/>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ab/>
      </w:r>
      <w:r>
        <w:rPr>
          <w:rFonts w:hint="eastAsia" w:ascii="仿宋_GB2312" w:eastAsia="仿宋_GB2312" w:cs="仿宋_GB2312"/>
          <w:color w:val="000000"/>
          <w:kern w:val="2"/>
          <w:sz w:val="32"/>
          <w:szCs w:val="32"/>
          <w:lang w:val="en-US" w:eastAsia="zh-CN" w:bidi="ar-SA"/>
        </w:rPr>
        <w:t>8.住房保障支出（221）住房改革支出（22102）住房公积金（2210201）支出决算69.69万元，完成预算100%。</w:t>
      </w:r>
    </w:p>
    <w:p>
      <w:pPr>
        <w:pStyle w:val="4"/>
        <w:ind w:firstLine="642" w:firstLineChars="200"/>
        <w:rPr>
          <w:rFonts w:ascii="黑体" w:eastAsia="黑体" w:cs="Times New Roman"/>
          <w:b w:val="0"/>
          <w:color w:val="000000"/>
        </w:rPr>
      </w:pPr>
      <w:bookmarkStart w:id="60" w:name="_Toc15377214"/>
      <w:bookmarkStart w:id="61" w:name="_Toc30483"/>
      <w:bookmarkStart w:id="62" w:name="_Toc32028"/>
      <w:bookmarkStart w:id="63" w:name="_Toc111208504"/>
      <w:r>
        <w:rPr>
          <w:rFonts w:hint="eastAsia" w:ascii="黑体" w:eastAsia="黑体" w:cs="Times New Roman"/>
          <w:bCs w:val="0"/>
          <w:color w:val="000000"/>
        </w:rPr>
        <w:t>六、一般公共预算财政拨款基本支出决算情况说</w:t>
      </w:r>
      <w:bookmarkEnd w:id="60"/>
      <w:r>
        <w:rPr>
          <w:rFonts w:hint="eastAsia" w:ascii="黑体" w:eastAsia="黑体" w:cs="Times New Roman"/>
          <w:bCs w:val="0"/>
          <w:color w:val="000000"/>
        </w:rPr>
        <w:t>明</w:t>
      </w:r>
      <w:bookmarkEnd w:id="61"/>
      <w:bookmarkEnd w:id="62"/>
      <w:bookmarkEnd w:id="6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2023年度一般公共预算财政拨款基本支出1096.19万元，其中：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人员经费953.71万元，主要包括：基本工资206.61万元、津贴补贴170.70万元、奖金207.86万元、绩效工资72.34万元、机关事业单位基本养老保险缴费90.40万元、职业年金缴费45.20万元、职工基本医疗保险缴费59.32万元、其他社会保障缴费8.34万元、住房公积金69.69万元、医疗费10.03万元、生活补助12.96万元、医疗费补助0.23万元、奖励金0.05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公用经费142.48万元，主要包括：办公费22.50万元、邮电费3.31万元、差旅费12.50万元、培训费1.00万元、因公出国（境）费用17.57万元、公务接待费0.23万元、公务用车运行维护费85.36万元，公车购置费0.00万元。</w:t>
      </w:r>
    </w:p>
    <w:p>
      <w:pPr>
        <w:pStyle w:val="4"/>
        <w:ind w:firstLine="642" w:firstLineChars="200"/>
        <w:rPr>
          <w:rFonts w:ascii="黑体" w:eastAsia="黑体" w:cs="Times New Roman"/>
          <w:bCs w:val="0"/>
          <w:color w:val="000000"/>
        </w:rPr>
      </w:pPr>
      <w:bookmarkStart w:id="64" w:name="_Toc111208505"/>
      <w:bookmarkStart w:id="65" w:name="_Toc30687"/>
      <w:bookmarkStart w:id="66" w:name="_Toc15377215"/>
      <w:bookmarkStart w:id="67" w:name="_Toc8600"/>
      <w:r>
        <w:rPr>
          <w:rFonts w:hint="eastAsia" w:ascii="黑体" w:eastAsia="黑体" w:cs="Times New Roman"/>
          <w:bCs w:val="0"/>
          <w:color w:val="000000"/>
        </w:rPr>
        <w:t>七、“三公”经费财政拨款支出决算情况说明</w:t>
      </w:r>
      <w:bookmarkEnd w:id="64"/>
      <w:bookmarkEnd w:id="65"/>
      <w:bookmarkEnd w:id="66"/>
      <w:bookmarkEnd w:id="67"/>
    </w:p>
    <w:p>
      <w:pPr>
        <w:spacing w:line="600" w:lineRule="exact"/>
        <w:ind w:firstLine="642" w:firstLineChars="200"/>
        <w:outlineLvl w:val="2"/>
        <w:rPr>
          <w:rFonts w:ascii="仿宋" w:eastAsia="仿宋"/>
          <w:b/>
          <w:color w:val="000000"/>
          <w:sz w:val="32"/>
          <w:szCs w:val="32"/>
        </w:rPr>
      </w:pPr>
      <w:bookmarkStart w:id="68" w:name="_Toc15377216"/>
      <w:r>
        <w:rPr>
          <w:rFonts w:hint="eastAsia" w:ascii="楷体_GB2312" w:eastAsia="楷体_GB2312" w:cs="楷体_GB2312"/>
          <w:b/>
          <w:color w:val="000000"/>
          <w:sz w:val="32"/>
          <w:szCs w:val="32"/>
        </w:rPr>
        <w:t>（一）“三公”经费财政拨款支出决算总体情况说明</w:t>
      </w:r>
      <w:bookmarkEnd w:id="6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2023年“三公”经费财政拨款支出决算为103.17万元，完成预算100%。</w:t>
      </w:r>
      <w:bookmarkStart w:id="69" w:name="_Toc15377217"/>
      <w:r>
        <w:rPr>
          <w:rFonts w:hint="eastAsia" w:ascii="仿宋_GB2312" w:eastAsia="仿宋_GB2312" w:cs="仿宋_GB2312"/>
          <w:color w:val="000000"/>
          <w:kern w:val="2"/>
          <w:sz w:val="32"/>
          <w:szCs w:val="32"/>
          <w:lang w:val="en-US" w:eastAsia="zh-CN" w:bidi="ar-SA"/>
        </w:rPr>
        <w:t>较上年度减少50.43万元，其原因为厉行节约，压缩公车运行维护费支出。</w:t>
      </w:r>
    </w:p>
    <w:p>
      <w:pPr>
        <w:spacing w:line="600" w:lineRule="exact"/>
        <w:ind w:firstLine="642" w:firstLineChars="200"/>
        <w:outlineLvl w:val="2"/>
        <w:rPr>
          <w:rFonts w:hint="eastAsia" w:ascii="楷体_GB2312" w:eastAsia="楷体_GB2312" w:cs="楷体_GB2312"/>
          <w:b/>
          <w:color w:val="000000"/>
          <w:sz w:val="32"/>
          <w:szCs w:val="32"/>
        </w:rPr>
      </w:pPr>
      <w:r>
        <w:rPr>
          <w:rFonts w:hint="eastAsia" w:ascii="楷体_GB2312" w:eastAsia="楷体_GB2312" w:cs="楷体_GB2312"/>
          <w:b/>
          <w:color w:val="000000"/>
          <w:sz w:val="32"/>
          <w:szCs w:val="32"/>
        </w:rPr>
        <w:t>（二）“三公”经费财政拨款支出决算具体情况说明</w:t>
      </w:r>
      <w:bookmarkEnd w:id="6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 w:eastAsia="仿宋"/>
          <w:color w:val="000000"/>
          <w:sz w:val="32"/>
          <w:szCs w:val="32"/>
        </w:rPr>
        <w:t>2</w:t>
      </w:r>
      <w:r>
        <w:rPr>
          <w:rFonts w:hint="eastAsia" w:ascii="仿宋_GB2312" w:eastAsia="仿宋_GB2312" w:cs="仿宋_GB2312"/>
          <w:color w:val="000000"/>
          <w:kern w:val="2"/>
          <w:sz w:val="32"/>
          <w:szCs w:val="32"/>
          <w:lang w:val="en-US" w:eastAsia="zh-CN" w:bidi="ar-SA"/>
        </w:rPr>
        <w:t>023年“三公”经费财政拨款支出103.17万，因公出国（境）费支出决算17.57万元、占17.03%；公务用车购置费0万元，占0%；公车运行维护费支出决算85.36万元，占82.74%；公务接待费支出决算0.23万元，占0.23%。具体情况如下：</w:t>
      </w:r>
    </w:p>
    <w:p>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（图7：“三公”经费财政拨款支出结构）</w:t>
      </w:r>
    </w:p>
    <w:p>
      <w:pPr>
        <w:pStyle w:val="2"/>
        <w:rPr>
          <w:rFonts w:ascii="仿宋_GB2312" w:eastAsia="仿宋_GB2312"/>
          <w:color w:val="000000"/>
          <w:sz w:val="32"/>
          <w:szCs w:val="32"/>
        </w:rPr>
      </w:pPr>
      <w:r>
        <w:rPr>
          <w:rFonts w:hint="eastAsia" w:ascii="仿宋_GB2312" w:eastAsia="仿宋_GB2312"/>
          <w:color w:val="000000"/>
          <w:sz w:val="32"/>
          <w:szCs w:val="32"/>
          <w:lang w:eastAsia="zh-CN"/>
        </w:rPr>
        <w:drawing>
          <wp:inline distT="0" distB="0" distL="114300" distR="114300">
            <wp:extent cx="4813935" cy="3315335"/>
            <wp:effectExtent l="0" t="0" r="0" b="0"/>
            <wp:docPr id="7"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1.因公出国（境）经费支出17.57万元。全年安排因公出国（境）团组1次，出国（境）1人。因公出国（境）支出决算比2022年增加17.57万元。增加100%， 主要原因为新增出国工作。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 xml:space="preserve">2.公务用车购置费0万元,公务用车购置支出决算比2022年减少60万元，减少100%，其原因为2023年无公车购置支出。公车运行维护费85.36万元，完成预算100%，减少8.21%。主要原因是压缩公车运行维护费支出。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其中：公务用车购置支出0万元。全年按规定更新购置公务用车0辆，其中：轿车0辆、金额0万元，越野车0辆、金额0万元，载客汽车0辆、金额0万元。截至2023年12月底，单位共有公务用车8辆，其中：轿车0辆、越野车8辆、载客汽车0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 xml:space="preserve">公务用车运行维护费支出85.36万元（公务用车购置费0万元）。主要用于单位公务用车日常维修维护。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3.公务接待费支出0.23万元，完成预算100%。公务接待费支出决算比2022年减少0.37万元，减少61.66%。</w:t>
      </w:r>
      <w:bookmarkStart w:id="70" w:name="_Toc15377218"/>
      <w:r>
        <w:rPr>
          <w:rFonts w:hint="eastAsia" w:ascii="仿宋_GB2312" w:eastAsia="仿宋_GB2312" w:cs="仿宋_GB2312"/>
          <w:color w:val="000000"/>
          <w:kern w:val="2"/>
          <w:sz w:val="32"/>
          <w:szCs w:val="32"/>
          <w:lang w:val="en-US" w:eastAsia="zh-CN" w:bidi="ar-SA"/>
        </w:rPr>
        <w:t xml:space="preserve">主要原因是压缩三公经费支出。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国内公务接待支出0.23万元。国内公务接待3批次，24人次（不包括陪同人员），共计支出0.23万元。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外事接待支出0万元，外事接待0批次，0人，共计支出0万元。</w:t>
      </w:r>
    </w:p>
    <w:p>
      <w:pPr>
        <w:pStyle w:val="4"/>
        <w:ind w:firstLine="642" w:firstLineChars="200"/>
        <w:rPr>
          <w:rFonts w:ascii="黑体" w:eastAsia="黑体" w:cs="Times New Roman"/>
          <w:bCs w:val="0"/>
          <w:color w:val="000000"/>
        </w:rPr>
      </w:pPr>
      <w:bookmarkStart w:id="71" w:name="_Toc5968"/>
      <w:bookmarkStart w:id="72" w:name="_Toc111208506"/>
      <w:bookmarkStart w:id="73" w:name="_Toc9979"/>
      <w:r>
        <w:rPr>
          <w:rFonts w:hint="eastAsia" w:ascii="黑体" w:eastAsia="黑体" w:cs="Times New Roman"/>
          <w:bCs w:val="0"/>
          <w:color w:val="000000"/>
        </w:rPr>
        <w:t>八、政府性基金预算支出决算情况说明</w:t>
      </w:r>
      <w:bookmarkEnd w:id="70"/>
      <w:bookmarkEnd w:id="71"/>
      <w:bookmarkEnd w:id="72"/>
      <w:bookmarkEnd w:id="7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2023年政府性基金预算拨款支出0万元。</w:t>
      </w:r>
      <w:bookmarkStart w:id="74" w:name="_Toc15377219"/>
      <w:r>
        <w:rPr>
          <w:rFonts w:hint="eastAsia" w:ascii="仿宋_GB2312" w:eastAsia="仿宋_GB2312" w:cs="仿宋_GB2312"/>
          <w:color w:val="000000"/>
          <w:kern w:val="2"/>
          <w:sz w:val="32"/>
          <w:szCs w:val="32"/>
          <w:lang w:val="en-US" w:eastAsia="zh-CN" w:bidi="ar-SA"/>
        </w:rPr>
        <w:t>较2022年相比无变化。</w:t>
      </w:r>
    </w:p>
    <w:p>
      <w:pPr>
        <w:pStyle w:val="4"/>
        <w:ind w:firstLine="642" w:firstLineChars="200"/>
        <w:rPr>
          <w:rFonts w:ascii="黑体" w:eastAsia="黑体" w:cs="Times New Roman"/>
          <w:bCs w:val="0"/>
          <w:color w:val="000000"/>
        </w:rPr>
      </w:pPr>
      <w:bookmarkStart w:id="75" w:name="_Toc19072"/>
      <w:bookmarkStart w:id="76" w:name="_Toc8431"/>
      <w:bookmarkStart w:id="77" w:name="_Toc111208507"/>
      <w:r>
        <w:rPr>
          <w:rFonts w:hint="eastAsia" w:ascii="黑体" w:eastAsia="黑体" w:cs="Times New Roman"/>
          <w:bCs w:val="0"/>
          <w:color w:val="000000"/>
        </w:rPr>
        <w:t>九、国有资本经营预算支出决算情况说明</w:t>
      </w:r>
      <w:bookmarkEnd w:id="74"/>
      <w:bookmarkEnd w:id="75"/>
      <w:bookmarkEnd w:id="76"/>
      <w:bookmarkEnd w:id="7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2023年国有资本经营预算拨款支出0万元。较2022年相比无变化。</w:t>
      </w:r>
    </w:p>
    <w:p>
      <w:pPr>
        <w:pStyle w:val="4"/>
        <w:ind w:firstLine="642" w:firstLineChars="200"/>
        <w:rPr>
          <w:rFonts w:hint="eastAsia" w:ascii="黑体" w:eastAsia="黑体" w:cs="Times New Roman"/>
          <w:bCs w:val="0"/>
          <w:color w:val="000000"/>
        </w:rPr>
      </w:pPr>
      <w:bookmarkStart w:id="78" w:name="_Toc9196"/>
      <w:bookmarkStart w:id="79" w:name="_Toc15377221"/>
      <w:bookmarkStart w:id="80" w:name="_Toc111208508"/>
      <w:bookmarkStart w:id="81" w:name="_Toc24656"/>
      <w:r>
        <w:rPr>
          <w:rFonts w:hint="eastAsia" w:ascii="黑体" w:eastAsia="黑体" w:cs="Times New Roman"/>
          <w:bCs w:val="0"/>
          <w:color w:val="000000"/>
        </w:rPr>
        <w:t>十、其他重要事项的情况说明</w:t>
      </w:r>
      <w:bookmarkEnd w:id="78"/>
      <w:bookmarkEnd w:id="79"/>
      <w:bookmarkEnd w:id="80"/>
      <w:bookmarkEnd w:id="81"/>
      <w:bookmarkStart w:id="82" w:name="_Toc15377222"/>
    </w:p>
    <w:p>
      <w:pPr>
        <w:spacing w:line="600" w:lineRule="exact"/>
        <w:ind w:firstLine="642" w:firstLineChars="200"/>
        <w:outlineLvl w:val="2"/>
        <w:rPr>
          <w:rFonts w:hint="eastAsia" w:ascii="楷体_GB2312" w:eastAsia="楷体_GB2312" w:cs="楷体_GB2312"/>
          <w:b/>
          <w:color w:val="000000"/>
          <w:sz w:val="32"/>
          <w:szCs w:val="32"/>
        </w:rPr>
      </w:pPr>
      <w:r>
        <w:rPr>
          <w:rFonts w:hint="eastAsia" w:ascii="楷体_GB2312" w:eastAsia="楷体_GB2312" w:cs="楷体_GB2312"/>
          <w:b/>
          <w:color w:val="000000"/>
          <w:sz w:val="32"/>
          <w:szCs w:val="32"/>
        </w:rPr>
        <w:t>（一）机关运行经费支出情况</w:t>
      </w:r>
      <w:bookmarkEnd w:id="8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 xml:space="preserve">2023年，机关运行经费支出133.27万元，比2022年减少6.05万元，减少4.34%。主要原因是压缩经费开支，经费减少。 </w:t>
      </w:r>
      <w:bookmarkStart w:id="83" w:name="_Toc15377223"/>
    </w:p>
    <w:p>
      <w:pPr>
        <w:spacing w:line="600" w:lineRule="exact"/>
        <w:ind w:firstLine="642" w:firstLineChars="200"/>
        <w:outlineLvl w:val="2"/>
        <w:rPr>
          <w:rFonts w:hint="eastAsia" w:ascii="楷体_GB2312" w:eastAsia="楷体_GB2312" w:cs="楷体_GB2312"/>
          <w:b/>
          <w:color w:val="000000"/>
          <w:sz w:val="32"/>
          <w:szCs w:val="32"/>
        </w:rPr>
      </w:pPr>
      <w:r>
        <w:rPr>
          <w:rFonts w:hint="eastAsia" w:ascii="楷体_GB2312" w:eastAsia="楷体_GB2312" w:cs="楷体_GB2312"/>
          <w:b/>
          <w:color w:val="000000"/>
          <w:sz w:val="32"/>
          <w:szCs w:val="32"/>
        </w:rPr>
        <w:t>（二）政府采购支出情况</w:t>
      </w:r>
      <w:bookmarkEnd w:id="8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2023年，政府采购支出总额76.40万元，其中：政府采购货物支出76.40万元、政府采购工程支出0.00万元、政府采购服务支出0.00万元。授予中小企业合同金额0.00万元，其中：授予小微企业合同金额0.00万元。较2022年相比无变化。</w:t>
      </w:r>
    </w:p>
    <w:p>
      <w:pPr>
        <w:spacing w:line="600" w:lineRule="exact"/>
        <w:ind w:firstLine="642" w:firstLineChars="200"/>
        <w:outlineLvl w:val="2"/>
        <w:rPr>
          <w:rFonts w:hint="eastAsia" w:ascii="楷体_GB2312" w:eastAsia="楷体_GB2312" w:cs="楷体_GB2312"/>
          <w:b/>
          <w:color w:val="000000"/>
          <w:sz w:val="32"/>
          <w:szCs w:val="32"/>
        </w:rPr>
      </w:pPr>
      <w:bookmarkStart w:id="84" w:name="_Toc15377224"/>
      <w:r>
        <w:rPr>
          <w:rFonts w:hint="eastAsia" w:ascii="楷体_GB2312" w:eastAsia="楷体_GB2312" w:cs="楷体_GB2312"/>
          <w:b/>
          <w:color w:val="000000"/>
          <w:sz w:val="32"/>
          <w:szCs w:val="32"/>
        </w:rPr>
        <w:t>（三）国有资产占有使用情况</w:t>
      </w:r>
      <w:bookmarkEnd w:id="8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截至2023年12月31日，共有车辆8辆，其中：主要领导干部用车0辆、机要通信用车1辆、应急保障用车7辆、其他用车0辆。单价50万元以上通用设备0台（套），单价100万元以上专用设备0台（套）。较2022年相比无变化。</w:t>
      </w:r>
    </w:p>
    <w:p>
      <w:pPr>
        <w:spacing w:line="600" w:lineRule="exact"/>
        <w:ind w:firstLine="642" w:firstLineChars="200"/>
        <w:outlineLvl w:val="2"/>
        <w:rPr>
          <w:rFonts w:hint="eastAsia" w:ascii="楷体_GB2312" w:eastAsia="楷体_GB2312" w:cs="楷体_GB2312"/>
          <w:b/>
          <w:color w:val="000000"/>
          <w:sz w:val="32"/>
          <w:szCs w:val="32"/>
        </w:rPr>
      </w:pPr>
      <w:r>
        <w:rPr>
          <w:rFonts w:hint="eastAsia" w:ascii="楷体_GB2312" w:eastAsia="楷体_GB2312" w:cs="楷体_GB2312"/>
          <w:b/>
          <w:color w:val="000000"/>
          <w:sz w:val="32"/>
          <w:szCs w:val="32"/>
        </w:rPr>
        <w:t>（四）预算绩效管理情况</w:t>
      </w:r>
    </w:p>
    <w:p>
      <w:pPr>
        <w:spacing w:line="580" w:lineRule="exact"/>
        <w:ind w:firstLine="640" w:firstLineChars="200"/>
        <w:rPr>
          <w:rFonts w:hint="eastAsia" w:ascii="仿宋_GB2312" w:eastAsia="仿宋_GB2312" w:cs="仿宋_GB2312"/>
          <w:color w:val="auto"/>
          <w:sz w:val="32"/>
          <w:szCs w:val="32"/>
          <w:highlight w:val="none"/>
          <w:lang w:eastAsia="zh-CN"/>
        </w:rPr>
      </w:pPr>
      <w:r>
        <w:rPr>
          <w:rFonts w:hint="eastAsia" w:ascii="仿宋_GB2312" w:eastAsia="仿宋_GB2312" w:cs="仿宋_GB2312"/>
          <w:color w:val="auto"/>
          <w:sz w:val="32"/>
          <w:szCs w:val="32"/>
          <w:highlight w:val="none"/>
        </w:rPr>
        <w:t>根据预算绩效管理要求，本部门在</w:t>
      </w:r>
      <w:r>
        <w:rPr>
          <w:rFonts w:hint="eastAsia" w:ascii="仿宋_GB2312" w:eastAsia="仿宋_GB2312" w:cs="仿宋_GB2312"/>
          <w:color w:val="auto"/>
          <w:sz w:val="32"/>
          <w:szCs w:val="32"/>
          <w:highlight w:val="none"/>
          <w:lang w:val="en-US" w:eastAsia="zh-CN"/>
        </w:rPr>
        <w:t>2023年度</w:t>
      </w:r>
      <w:r>
        <w:rPr>
          <w:rFonts w:hint="eastAsia" w:ascii="仿宋_GB2312" w:eastAsia="仿宋_GB2312" w:cs="仿宋_GB2312"/>
          <w:color w:val="auto"/>
          <w:sz w:val="32"/>
          <w:szCs w:val="32"/>
          <w:highlight w:val="none"/>
        </w:rPr>
        <w:t>预算编制阶段，组织对</w:t>
      </w:r>
      <w:r>
        <w:rPr>
          <w:rFonts w:hint="eastAsia" w:ascii="仿宋_GB2312" w:eastAsia="仿宋_GB2312" w:cs="仿宋_GB2312"/>
          <w:color w:val="auto"/>
          <w:sz w:val="32"/>
          <w:szCs w:val="32"/>
          <w:highlight w:val="none"/>
          <w:lang w:eastAsia="zh-CN"/>
        </w:rPr>
        <w:t>视频会议采购项目、办公经费等</w:t>
      </w:r>
      <w:r>
        <w:rPr>
          <w:rFonts w:hint="eastAsia" w:ascii="仿宋_GB2312" w:eastAsia="仿宋_GB2312" w:cs="仿宋_GB2312"/>
          <w:color w:val="auto"/>
          <w:sz w:val="32"/>
          <w:szCs w:val="32"/>
          <w:highlight w:val="none"/>
          <w:lang w:val="en-US" w:eastAsia="zh-CN"/>
        </w:rPr>
        <w:t>3个</w:t>
      </w:r>
      <w:r>
        <w:rPr>
          <w:rFonts w:hint="eastAsia" w:ascii="仿宋_GB2312" w:eastAsia="仿宋_GB2312" w:cs="仿宋_GB2312"/>
          <w:color w:val="auto"/>
          <w:sz w:val="32"/>
          <w:szCs w:val="32"/>
          <w:highlight w:val="none"/>
        </w:rPr>
        <w:t>项目开展了预算事前绩效评估，对</w:t>
      </w:r>
      <w:r>
        <w:rPr>
          <w:rFonts w:hint="eastAsia" w:ascii="仿宋_GB2312" w:eastAsia="仿宋_GB2312" w:cs="仿宋_GB2312"/>
          <w:color w:val="auto"/>
          <w:sz w:val="32"/>
          <w:szCs w:val="32"/>
          <w:highlight w:val="none"/>
          <w:lang w:val="en-US" w:eastAsia="zh-CN"/>
        </w:rPr>
        <w:t>3</w:t>
      </w:r>
      <w:r>
        <w:rPr>
          <w:rFonts w:hint="eastAsia" w:ascii="仿宋_GB2312" w:eastAsia="仿宋_GB2312" w:cs="仿宋_GB2312"/>
          <w:color w:val="auto"/>
          <w:sz w:val="32"/>
          <w:szCs w:val="32"/>
          <w:highlight w:val="none"/>
        </w:rPr>
        <w:t>个项目编制了绩效目标，预算执行过程中，选取</w:t>
      </w:r>
      <w:r>
        <w:rPr>
          <w:rFonts w:hint="eastAsia" w:ascii="仿宋_GB2312" w:eastAsia="仿宋_GB2312" w:cs="仿宋_GB2312"/>
          <w:color w:val="auto"/>
          <w:sz w:val="32"/>
          <w:szCs w:val="32"/>
          <w:highlight w:val="none"/>
          <w:lang w:val="en-US" w:eastAsia="zh-CN"/>
        </w:rPr>
        <w:t>3</w:t>
      </w:r>
      <w:r>
        <w:rPr>
          <w:rFonts w:hint="eastAsia" w:ascii="仿宋_GB2312" w:eastAsia="仿宋_GB2312" w:cs="仿宋_GB2312"/>
          <w:color w:val="auto"/>
          <w:sz w:val="32"/>
          <w:szCs w:val="32"/>
          <w:highlight w:val="none"/>
        </w:rPr>
        <w:t>个项目开展绩效监控</w:t>
      </w:r>
      <w:r>
        <w:rPr>
          <w:rFonts w:hint="eastAsia" w:ascii="仿宋_GB2312" w:eastAsia="仿宋_GB2312" w:cs="仿宋_GB2312"/>
          <w:color w:val="auto"/>
          <w:sz w:val="32"/>
          <w:szCs w:val="32"/>
          <w:highlight w:val="none"/>
          <w:lang w:eastAsia="zh-CN"/>
        </w:rPr>
        <w:t>。</w:t>
      </w:r>
    </w:p>
    <w:p>
      <w:pPr>
        <w:spacing w:line="580" w:lineRule="exact"/>
        <w:ind w:firstLine="640" w:firstLineChars="200"/>
        <w:rPr>
          <w:rFonts w:hint="eastAsia" w:ascii="仿宋_GB2312" w:eastAsia="仿宋_GB2312" w:cs="仿宋_GB2312"/>
          <w:color w:val="auto"/>
          <w:sz w:val="32"/>
          <w:szCs w:val="32"/>
          <w:highlight w:val="none"/>
          <w:lang w:val="en-US" w:eastAsia="zh-CN"/>
        </w:rPr>
      </w:pPr>
      <w:r>
        <w:rPr>
          <w:rFonts w:hint="eastAsia" w:ascii="仿宋_GB2312" w:eastAsia="仿宋_GB2312" w:cs="仿宋_GB2312"/>
          <w:color w:val="auto"/>
          <w:sz w:val="32"/>
          <w:szCs w:val="32"/>
          <w:highlight w:val="none"/>
          <w:lang w:eastAsia="zh-CN"/>
        </w:rPr>
        <w:t>组织</w:t>
      </w:r>
      <w:r>
        <w:rPr>
          <w:rFonts w:hint="eastAsia" w:ascii="仿宋_GB2312" w:eastAsia="仿宋_GB2312" w:cs="仿宋_GB2312"/>
          <w:color w:val="auto"/>
          <w:sz w:val="32"/>
          <w:szCs w:val="32"/>
          <w:highlight w:val="none"/>
        </w:rPr>
        <w:t>对</w:t>
      </w:r>
      <w:r>
        <w:rPr>
          <w:rFonts w:hint="eastAsia" w:ascii="仿宋_GB2312" w:eastAsia="仿宋_GB2312" w:cs="仿宋_GB2312"/>
          <w:color w:val="auto"/>
          <w:sz w:val="32"/>
          <w:szCs w:val="32"/>
          <w:highlight w:val="none"/>
          <w:lang w:val="en-US" w:eastAsia="zh-CN"/>
        </w:rPr>
        <w:t>2023年度一般公共预算、</w:t>
      </w:r>
      <w:r>
        <w:rPr>
          <w:rFonts w:hint="eastAsia" w:ascii="仿宋_GB2312" w:eastAsia="仿宋_GB2312" w:cs="仿宋_GB2312"/>
          <w:color w:val="auto"/>
          <w:sz w:val="32"/>
          <w:szCs w:val="32"/>
          <w:highlight w:val="none"/>
          <w:lang w:eastAsia="zh-CN"/>
        </w:rPr>
        <w:t>政府性基金预算、国有资本经营预算、社会保险基金预算以及资本资产、债券资金等</w:t>
      </w:r>
      <w:r>
        <w:rPr>
          <w:rFonts w:hint="eastAsia" w:ascii="仿宋_GB2312" w:eastAsia="仿宋_GB2312" w:cs="仿宋_GB2312"/>
          <w:color w:val="auto"/>
          <w:sz w:val="32"/>
          <w:szCs w:val="32"/>
          <w:highlight w:val="none"/>
          <w:lang w:val="en-US" w:eastAsia="zh-CN"/>
        </w:rPr>
        <w:t>全面开展绩效自评，形成中共茂县县委办公室</w:t>
      </w:r>
      <w:r>
        <w:rPr>
          <w:rFonts w:hint="eastAsia" w:ascii="仿宋_GB2312" w:eastAsia="仿宋_GB2312" w:cs="仿宋_GB2312"/>
          <w:color w:val="auto"/>
          <w:sz w:val="32"/>
          <w:szCs w:val="32"/>
          <w:highlight w:val="none"/>
          <w:lang w:eastAsia="zh-CN"/>
        </w:rPr>
        <w:t>部门整体（含部门预算项目）</w:t>
      </w:r>
      <w:r>
        <w:rPr>
          <w:rFonts w:hint="eastAsia" w:ascii="仿宋_GB2312" w:eastAsia="仿宋_GB2312" w:cs="仿宋_GB2312"/>
          <w:color w:val="auto"/>
          <w:sz w:val="32"/>
          <w:szCs w:val="32"/>
          <w:highlight w:val="none"/>
          <w:lang w:val="en-US" w:eastAsia="zh-CN"/>
        </w:rPr>
        <w:t>绩效自评报告</w:t>
      </w:r>
      <w:r>
        <w:rPr>
          <w:rFonts w:hint="eastAsia" w:ascii="仿宋_GB2312" w:eastAsia="仿宋_GB2312" w:cs="仿宋_GB2312"/>
          <w:color w:val="auto"/>
          <w:sz w:val="32"/>
          <w:szCs w:val="32"/>
          <w:highlight w:val="none"/>
          <w:lang w:eastAsia="zh-CN"/>
        </w:rPr>
        <w:t>、</w:t>
      </w:r>
      <w:r>
        <w:rPr>
          <w:rFonts w:hint="eastAsia" w:ascii="仿宋_GB2312" w:eastAsia="仿宋_GB2312" w:cs="仿宋_GB2312"/>
          <w:color w:val="auto"/>
          <w:sz w:val="32"/>
          <w:szCs w:val="32"/>
          <w:highlight w:val="none"/>
          <w:lang w:val="en-US" w:eastAsia="zh-CN"/>
        </w:rPr>
        <w:t>项目</w:t>
      </w:r>
      <w:r>
        <w:rPr>
          <w:rFonts w:hint="eastAsia" w:ascii="仿宋_GB2312" w:eastAsia="仿宋_GB2312" w:cs="仿宋_GB2312"/>
          <w:color w:val="auto"/>
          <w:sz w:val="32"/>
          <w:szCs w:val="32"/>
          <w:highlight w:val="none"/>
          <w:lang w:eastAsia="zh-CN"/>
        </w:rPr>
        <w:t>专项预算项目</w:t>
      </w:r>
      <w:r>
        <w:rPr>
          <w:rFonts w:hint="eastAsia" w:ascii="仿宋_GB2312" w:eastAsia="仿宋_GB2312" w:cs="仿宋_GB2312"/>
          <w:color w:val="auto"/>
          <w:sz w:val="32"/>
          <w:szCs w:val="32"/>
          <w:highlight w:val="none"/>
          <w:lang w:val="en-US" w:eastAsia="zh-CN"/>
        </w:rPr>
        <w:t>绩效自评报告，其中，中共茂县县委办公室</w:t>
      </w:r>
      <w:r>
        <w:rPr>
          <w:rFonts w:hint="eastAsia" w:ascii="仿宋_GB2312" w:eastAsia="仿宋_GB2312" w:cs="仿宋_GB2312"/>
          <w:color w:val="auto"/>
          <w:sz w:val="32"/>
          <w:szCs w:val="32"/>
          <w:highlight w:val="none"/>
          <w:lang w:eastAsia="zh-CN"/>
        </w:rPr>
        <w:t>部门整体</w:t>
      </w:r>
      <w:r>
        <w:rPr>
          <w:rFonts w:hint="eastAsia" w:ascii="仿宋_GB2312" w:eastAsia="仿宋_GB2312" w:cs="仿宋_GB2312"/>
          <w:color w:val="auto"/>
          <w:sz w:val="32"/>
          <w:szCs w:val="32"/>
          <w:highlight w:val="none"/>
          <w:lang w:val="en-US" w:eastAsia="zh-CN"/>
        </w:rPr>
        <w:t>部门整体</w:t>
      </w:r>
      <w:r>
        <w:rPr>
          <w:rFonts w:hint="eastAsia" w:ascii="仿宋_GB2312" w:eastAsia="仿宋_GB2312" w:cs="仿宋_GB2312"/>
          <w:color w:val="auto"/>
          <w:sz w:val="32"/>
          <w:szCs w:val="32"/>
          <w:highlight w:val="none"/>
          <w:lang w:eastAsia="zh-CN"/>
        </w:rPr>
        <w:t>（含部门预算项目）</w:t>
      </w:r>
      <w:r>
        <w:rPr>
          <w:rFonts w:hint="eastAsia" w:ascii="仿宋_GB2312" w:eastAsia="仿宋_GB2312" w:cs="仿宋_GB2312"/>
          <w:color w:val="auto"/>
          <w:sz w:val="32"/>
          <w:szCs w:val="32"/>
          <w:highlight w:val="none"/>
          <w:lang w:val="en-US" w:eastAsia="zh-CN"/>
        </w:rPr>
        <w:t>绩效自评得分为96分；</w:t>
      </w:r>
      <w:r>
        <w:rPr>
          <w:rFonts w:hint="eastAsia" w:ascii="仿宋_GB2312" w:eastAsia="仿宋_GB2312" w:cs="仿宋_GB2312"/>
          <w:color w:val="auto"/>
          <w:sz w:val="32"/>
          <w:szCs w:val="32"/>
          <w:highlight w:val="none"/>
          <w:lang w:eastAsia="zh-CN"/>
        </w:rPr>
        <w:t>专项预</w:t>
      </w:r>
      <w:r>
        <w:rPr>
          <w:rFonts w:hint="eastAsia" w:ascii="仿宋_GB2312" w:eastAsia="仿宋_GB2312" w:cs="仿宋_GB2312"/>
          <w:color w:val="auto"/>
          <w:sz w:val="32"/>
          <w:szCs w:val="32"/>
          <w:highlight w:val="none"/>
          <w:lang w:val="en-US" w:eastAsia="zh-CN"/>
        </w:rPr>
        <w:t>算项目绩效自评得分为95分，绩效自绩效自评报告详见附件。</w:t>
      </w:r>
    </w:p>
    <w:p>
      <w:pPr>
        <w:pStyle w:val="15"/>
        <w:rPr>
          <w:rFonts w:hint="eastAsia"/>
        </w:rPr>
      </w:pPr>
    </w:p>
    <w:p>
      <w:pPr>
        <w:pStyle w:val="3"/>
        <w:jc w:val="center"/>
        <w:rPr>
          <w:rFonts w:hint="eastAsia" w:ascii="黑体" w:eastAsia="黑体" w:cs="黑体"/>
        </w:rPr>
      </w:pPr>
      <w:bookmarkStart w:id="85" w:name="_Toc2930"/>
    </w:p>
    <w:p>
      <w:pPr>
        <w:pStyle w:val="3"/>
        <w:jc w:val="center"/>
        <w:rPr>
          <w:rFonts w:ascii="黑体" w:eastAsia="黑体" w:cs="黑体"/>
        </w:rPr>
      </w:pPr>
      <w:bookmarkStart w:id="86" w:name="_Toc29784"/>
      <w:r>
        <w:rPr>
          <w:rFonts w:hint="eastAsia" w:ascii="黑体" w:eastAsia="黑体" w:cs="黑体"/>
        </w:rPr>
        <w:t>第三部分 名词解释</w:t>
      </w:r>
      <w:bookmarkEnd w:id="85"/>
      <w:bookmarkEnd w:id="86"/>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1.财政拨款收入：指单位从同级财政部门取得的财政预算资金。</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2.事业收入：指事业单位开展专业业务活动及辅助活动取得的收入。</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3.经营收入：指事业单位在专业业务活动及其辅助活动之外开展非独立核算经营活动取得的收入</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4.其他收入：指单位取得的除上述收入以外的各项收入。</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6.年初结转和结余：指以前年度尚未完成、结转到本年按有关规定继续使用的资金。 </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7.结余分配：指事业单位按照事业单位会计制度的规定从非财政补助结余中分配的事业基金和职工福利基金等。</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8.年末结转和结余：指单位按有关规定结转到下年或以后年度继续使用的资金。</w:t>
      </w:r>
    </w:p>
    <w:p>
      <w:pPr>
        <w:spacing w:line="600" w:lineRule="exact"/>
        <w:ind w:firstLine="64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9.一般公共服务支出（201）党委办公厅（室）及相关机构事务（20131）行政运行（2013101）：反映行政单位（包括实行公务员管理的事业单位）的基本支出。</w:t>
      </w:r>
    </w:p>
    <w:p>
      <w:pPr>
        <w:spacing w:line="600" w:lineRule="exact"/>
        <w:ind w:firstLine="64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10.一般公共服务支出（201）党委办公厅（室）及相关机构事务（20131）一般行政管理事务（2013102）：反映行政单位（包括实行公务员管理的事业单位）未单独设置项级科目的其他项目支出。</w:t>
      </w:r>
    </w:p>
    <w:p>
      <w:pPr>
        <w:spacing w:line="600" w:lineRule="exact"/>
        <w:ind w:firstLine="64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11.一般公共服务支出（201）党委办公厅（室）及相关机构事务（20131）事业运行（2013150）：反映事业单位的基本支出，不包括行政单位（包括实行公务员管理的事业单位）后勤服务中心、医务室等附属事业单位。</w:t>
      </w:r>
    </w:p>
    <w:p>
      <w:pPr>
        <w:spacing w:line="600" w:lineRule="exact"/>
        <w:ind w:firstLine="64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12.一般公共服务支出（201）党委办公厅（室）及相关机构事务（20131）其他党委办公厅（室）及相关机构事务支出（2013199）：反映除上述项目以外其他用于党委办公厅（室）及相关机构事务支出。</w:t>
      </w:r>
    </w:p>
    <w:p>
      <w:pPr>
        <w:spacing w:line="600" w:lineRule="exact"/>
        <w:ind w:firstLine="64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13.一般公共服务支出（201）其他一般公共服务支出（20199）其他一般公共服务支出（2019999）：反映除上述项以外的其他一般公共服务支出。</w:t>
      </w:r>
    </w:p>
    <w:p>
      <w:pPr>
        <w:spacing w:line="600" w:lineRule="exact"/>
        <w:ind w:firstLine="64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14.社会保障和就业支出（208）行政事业单位养老支出（20805）机关事业单位基本养老保险缴费支出（2080505）：反映机关事业单位实施养老保险制度由单位缴纳的基本养老保险费支出。</w:t>
      </w:r>
    </w:p>
    <w:p>
      <w:pPr>
        <w:spacing w:line="600" w:lineRule="exact"/>
        <w:ind w:firstLine="64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15.社会保障和就业支出（208）行政事业单位养老支出（20805）机关事业单位职业年金缴费支出（2080506）：反映机关事业单位实施养老保险制度由单位实际缴纳的职业年金支出。</w:t>
      </w:r>
    </w:p>
    <w:p>
      <w:pPr>
        <w:spacing w:line="600" w:lineRule="exact"/>
        <w:ind w:firstLine="64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16.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spacing w:line="600" w:lineRule="exact"/>
        <w:ind w:firstLine="64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17.卫生健康支出（210）行政事业单位医疗（21011）事业单位医疗（2101102）：反映财政部门安排的事业单位基本医疗保险缴费经费，未参加医疗保险的事业单位的公费医疗经费，按国家规定享受离休人员待遇的医疗经费。</w:t>
      </w:r>
    </w:p>
    <w:p>
      <w:pPr>
        <w:spacing w:line="600" w:lineRule="exact"/>
        <w:ind w:firstLine="64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18.农林水支出（213）扶贫（21305）其他扶贫支出（2130599）：反映除上述项目以外其他用于扶贫方面的支出。</w:t>
      </w:r>
    </w:p>
    <w:p>
      <w:pPr>
        <w:spacing w:line="600" w:lineRule="exact"/>
        <w:ind w:firstLine="64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19.住房保障支出（221）住房改革支出（22102）住房公积金（2210201）：反映行政事业单位按人力资源和社会保障部、财政部规定的基本工资和津贴补贴以及规定比例为职工缴纳的住房公积金。</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20.住房保障支出（221）住房改革支出（22102）购房补贴（2210203）：反映按房改政策规定，行政事业单位向符合条件职工（含离退休人员）、军队（含武警）向转役复员离退休人员发放的用于购买住房的补贴。</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21.基本支出：指为保障机构正常运转、完成日常工作任务而发生的人员支出和公用支出。</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25.项目支出：指在基本支出之外为完成特定行政任务和事业发展目标所发生的支出。 </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22.经营支出：指事业单位在专业业务活动及其辅助活动之外开展非独立核算经营活动发生的支出。</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23.“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hint="eastAsia" w:ascii="仿宋_GB2312" w:eastAsia="仿宋_GB2312" w:cs="仿宋_GB2312"/>
          <w:sz w:val="32"/>
          <w:szCs w:val="32"/>
        </w:rPr>
      </w:pPr>
      <w:r>
        <w:rPr>
          <w:rFonts w:hint="eastAsia" w:ascii="仿宋_GB2312" w:eastAsia="仿宋_GB2312" w:cs="仿宋_GB2312"/>
          <w:color w:val="000000"/>
          <w:sz w:val="32"/>
          <w:szCs w:val="32"/>
        </w:rPr>
        <w:t>25.财政应返还额度：为行政事业单位会计核算科目，用于核算实行国库集中支付的行政事业单位应收财政返还的资金额度。</w:t>
      </w:r>
    </w:p>
    <w:p>
      <w:pPr>
        <w:keepNext w:val="0"/>
        <w:keepLines w:val="0"/>
        <w:pageBreakBefore w:val="0"/>
        <w:widowControl/>
        <w:kinsoku/>
        <w:wordWrap/>
        <w:overflowPunct/>
        <w:topLinePunct w:val="0"/>
        <w:autoSpaceDE/>
        <w:autoSpaceDN/>
        <w:bidi w:val="0"/>
        <w:adjustRightInd/>
        <w:snapToGrid/>
        <w:spacing w:line="560" w:lineRule="exact"/>
        <w:ind w:firstLine="883" w:firstLineChars="200"/>
        <w:jc w:val="left"/>
        <w:textAlignment w:val="auto"/>
        <w:rPr>
          <w:rStyle w:val="24"/>
          <w:rFonts w:hint="eastAsia" w:ascii="仿宋_GB2312" w:eastAsia="仿宋_GB2312" w:cs="仿宋_GB2312"/>
        </w:rPr>
      </w:pPr>
      <w:r>
        <w:rPr>
          <w:rStyle w:val="24"/>
          <w:rFonts w:hint="eastAsia" w:ascii="仿宋_GB2312" w:eastAsia="仿宋_GB2312" w:cs="仿宋_GB2312"/>
        </w:rPr>
        <w:br w:type="page"/>
      </w:r>
    </w:p>
    <w:p>
      <w:pPr>
        <w:pStyle w:val="3"/>
        <w:jc w:val="center"/>
        <w:rPr>
          <w:rFonts w:ascii="黑体" w:eastAsia="黑体" w:cs="黑体"/>
        </w:rPr>
      </w:pPr>
      <w:bookmarkStart w:id="87" w:name="_Toc3097"/>
      <w:bookmarkStart w:id="88" w:name="_Toc15177"/>
      <w:bookmarkStart w:id="89" w:name="_Toc111208510"/>
      <w:r>
        <w:rPr>
          <w:rFonts w:hint="eastAsia" w:ascii="黑体" w:eastAsia="黑体" w:cs="黑体"/>
        </w:rPr>
        <w:t>第四部分 附件</w:t>
      </w:r>
      <w:bookmarkEnd w:id="87"/>
      <w:bookmarkEnd w:id="88"/>
      <w:bookmarkEnd w:id="89"/>
    </w:p>
    <w:p>
      <w:pPr>
        <w:keepNext w:val="0"/>
        <w:keepLines w:val="0"/>
        <w:pageBreakBefore w:val="0"/>
        <w:widowControl w:val="0"/>
        <w:kinsoku/>
        <w:wordWrap/>
        <w:overflowPunct/>
        <w:topLinePunct w:val="0"/>
        <w:autoSpaceDE/>
        <w:autoSpaceDN/>
        <w:bidi w:val="0"/>
        <w:adjustRightInd/>
        <w:snapToGrid/>
        <w:spacing w:line="576" w:lineRule="exact"/>
        <w:ind w:firstLine="2208" w:firstLineChars="500"/>
        <w:jc w:val="both"/>
        <w:textAlignment w:val="auto"/>
        <w:rPr>
          <w:rFonts w:hint="eastAsia" w:ascii="方正小标宋简体" w:eastAsia="方正小标宋简体" w:cs="方正小标宋简体"/>
          <w:b/>
          <w:sz w:val="44"/>
          <w:szCs w:val="44"/>
          <w:lang w:val="en-US" w:eastAsia="zh-CN"/>
        </w:rPr>
      </w:pPr>
      <w:bookmarkStart w:id="90" w:name="_Toc29502"/>
      <w:r>
        <w:rPr>
          <w:rFonts w:hint="eastAsia" w:ascii="方正小标宋简体" w:eastAsia="方正小标宋简体" w:cs="方正小标宋简体"/>
          <w:b/>
          <w:sz w:val="44"/>
          <w:szCs w:val="44"/>
          <w:lang w:val="en-US" w:eastAsia="zh-CN"/>
        </w:rPr>
        <w:t>中共茂县县委办公室</w:t>
      </w:r>
    </w:p>
    <w:p>
      <w:pPr>
        <w:keepNext w:val="0"/>
        <w:keepLines w:val="0"/>
        <w:pageBreakBefore w:val="0"/>
        <w:widowControl/>
        <w:kinsoku/>
        <w:wordWrap/>
        <w:overflowPunct/>
        <w:topLinePunct w:val="0"/>
        <w:bidi w:val="0"/>
        <w:spacing w:line="576" w:lineRule="exact"/>
        <w:contextualSpacing/>
        <w:jc w:val="center"/>
        <w:textAlignment w:val="auto"/>
        <w:rPr>
          <w:rFonts w:eastAsia="黑体"/>
          <w:color w:val="000000"/>
          <w:kern w:val="0"/>
          <w:sz w:val="24"/>
          <w:szCs w:val="32"/>
          <w:shd w:val="clear" w:color="auto" w:fill="FFFFFF"/>
        </w:rPr>
      </w:pPr>
      <w:r>
        <w:rPr>
          <w:rFonts w:hint="eastAsia" w:ascii="方正小标宋简体" w:eastAsia="方正小标宋简体" w:cs="方正小标宋简体"/>
          <w:bCs/>
          <w:sz w:val="44"/>
          <w:szCs w:val="44"/>
          <w:shd w:val="clear" w:color="auto" w:fill="FFFFFF"/>
          <w:lang w:val="en-US" w:eastAsia="zh-CN"/>
        </w:rPr>
        <w:t>2023年</w:t>
      </w:r>
      <w:r>
        <w:rPr>
          <w:rFonts w:hint="eastAsia" w:ascii="方正小标宋简体" w:eastAsia="方正小标宋简体" w:cs="方正小标宋简体"/>
          <w:bCs/>
          <w:sz w:val="44"/>
          <w:szCs w:val="44"/>
          <w:shd w:val="clear" w:color="auto" w:fill="FFFFFF"/>
        </w:rPr>
        <w:t>部门预算</w:t>
      </w:r>
      <w:r>
        <w:rPr>
          <w:rFonts w:hint="eastAsia" w:ascii="方正小标宋简体" w:eastAsia="方正小标宋简体" w:cs="方正小标宋简体"/>
          <w:bCs/>
          <w:sz w:val="44"/>
          <w:szCs w:val="44"/>
          <w:shd w:val="clear" w:color="auto" w:fill="FFFFFF"/>
          <w:lang w:eastAsia="zh-CN"/>
        </w:rPr>
        <w:t>整体</w:t>
      </w:r>
      <w:r>
        <w:rPr>
          <w:rFonts w:hint="eastAsia" w:ascii="方正小标宋简体" w:eastAsia="方正小标宋简体" w:cs="方正小标宋简体"/>
          <w:bCs/>
          <w:sz w:val="44"/>
          <w:szCs w:val="44"/>
          <w:shd w:val="clear" w:color="auto" w:fill="FFFFFF"/>
        </w:rPr>
        <w:t>绩效评价报告</w:t>
      </w:r>
    </w:p>
    <w:p>
      <w:pPr>
        <w:keepNext w:val="0"/>
        <w:keepLines w:val="0"/>
        <w:pageBreakBefore w:val="0"/>
        <w:widowControl/>
        <w:kinsoku/>
        <w:wordWrap/>
        <w:overflowPunct/>
        <w:topLinePunct w:val="0"/>
        <w:bidi w:val="0"/>
        <w:adjustRightInd w:val="0"/>
        <w:snapToGrid w:val="0"/>
        <w:spacing w:line="576" w:lineRule="exact"/>
        <w:ind w:firstLine="480" w:firstLineChars="200"/>
        <w:contextualSpacing/>
        <w:jc w:val="left"/>
        <w:textAlignment w:val="auto"/>
        <w:rPr>
          <w:rFonts w:eastAsia="黑体"/>
          <w:color w:val="000000"/>
          <w:kern w:val="0"/>
          <w:sz w:val="24"/>
          <w:szCs w:val="32"/>
          <w:shd w:val="clear" w:color="auto" w:fill="FFFFFF"/>
        </w:rPr>
      </w:pPr>
    </w:p>
    <w:p>
      <w:pPr>
        <w:keepNext w:val="0"/>
        <w:keepLines w:val="0"/>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hint="eastAsia" w:ascii="黑体" w:eastAsia="黑体" w:cs="黑体"/>
          <w:sz w:val="32"/>
          <w:szCs w:val="32"/>
        </w:rPr>
      </w:pPr>
      <w:r>
        <w:rPr>
          <w:rFonts w:hint="eastAsia" w:ascii="黑体" w:eastAsia="黑体" w:cs="黑体"/>
          <w:color w:val="000000"/>
          <w:kern w:val="0"/>
          <w:sz w:val="32"/>
          <w:szCs w:val="32"/>
          <w:shd w:val="clear" w:color="auto" w:fill="FFFFFF"/>
          <w:lang w:val="zh-CN"/>
        </w:rPr>
        <w:t>一、部门（单位）基本情况</w:t>
      </w:r>
    </w:p>
    <w:p>
      <w:pPr>
        <w:keepNext w:val="0"/>
        <w:keepLines w:val="0"/>
        <w:pageBreakBefore w:val="0"/>
        <w:widowControl w:val="0"/>
        <w:kinsoku/>
        <w:wordWrap/>
        <w:overflowPunct/>
        <w:topLinePunct w:val="0"/>
        <w:bidi w:val="0"/>
        <w:spacing w:line="576" w:lineRule="exact"/>
        <w:ind w:firstLine="642" w:firstLineChars="200"/>
        <w:textAlignment w:val="auto"/>
        <w:rPr>
          <w:rFonts w:eastAsia="仿宋_GB2312"/>
          <w:b/>
          <w:bCs/>
          <w:color w:val="000000"/>
          <w:kern w:val="0"/>
          <w:sz w:val="32"/>
          <w:szCs w:val="32"/>
          <w:shd w:val="clear" w:color="auto" w:fill="FFFFFF"/>
          <w:lang w:val="zh-CN"/>
        </w:rPr>
      </w:pPr>
      <w:r>
        <w:rPr>
          <w:rFonts w:hint="eastAsia" w:eastAsia="仿宋_GB2312"/>
          <w:b/>
          <w:bCs/>
          <w:color w:val="000000"/>
          <w:kern w:val="0"/>
          <w:sz w:val="32"/>
          <w:szCs w:val="32"/>
          <w:shd w:val="clear" w:color="auto" w:fill="FFFFFF"/>
          <w:lang w:val="zh-CN"/>
        </w:rPr>
        <w:t>（一）</w:t>
      </w:r>
      <w:r>
        <w:rPr>
          <w:rFonts w:eastAsia="仿宋_GB2312"/>
          <w:b/>
          <w:bCs/>
          <w:color w:val="000000"/>
          <w:kern w:val="0"/>
          <w:sz w:val="32"/>
          <w:szCs w:val="32"/>
          <w:shd w:val="clear" w:color="auto" w:fill="FFFFFF"/>
          <w:lang w:val="zh-CN"/>
        </w:rPr>
        <w:t>机构组成。</w:t>
      </w:r>
    </w:p>
    <w:p>
      <w:pPr>
        <w:keepNext w:val="0"/>
        <w:keepLines w:val="0"/>
        <w:pageBreakBefore w:val="0"/>
        <w:widowControl w:val="0"/>
        <w:kinsoku/>
        <w:wordWrap/>
        <w:overflowPunct/>
        <w:topLinePunct w:val="0"/>
        <w:bidi w:val="0"/>
        <w:spacing w:line="576" w:lineRule="exact"/>
        <w:ind w:firstLine="640" w:firstLineChars="200"/>
        <w:textAlignment w:val="auto"/>
        <w:rPr>
          <w:rFonts w:ascii="仿宋_GB2312" w:eastAsia="仿宋_GB2312"/>
          <w:sz w:val="32"/>
          <w:szCs w:val="32"/>
          <w:lang w:val="en-US" w:eastAsia="zh-CN"/>
        </w:rPr>
      </w:pPr>
      <w:r>
        <w:rPr>
          <w:rFonts w:hint="eastAsia" w:ascii="仿宋_GB2312" w:eastAsia="仿宋_GB2312"/>
          <w:sz w:val="32"/>
          <w:szCs w:val="32"/>
          <w:lang w:eastAsia="zh-CN"/>
        </w:rPr>
        <w:t>中共茂县县委办公室</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r>
        <w:rPr>
          <w:rFonts w:hint="eastAsia" w:ascii="仿宋_GB2312" w:eastAsia="仿宋_GB2312"/>
          <w:sz w:val="32"/>
          <w:szCs w:val="32"/>
          <w:lang w:val="en-US" w:eastAsia="zh-CN"/>
        </w:rPr>
        <w:t>下设股室有综合股、秘书一股、秘书二股、督查室、总值班室、档案监督管理科、人事行财股、保密机要股。</w:t>
      </w:r>
    </w:p>
    <w:p>
      <w:pPr>
        <w:keepNext w:val="0"/>
        <w:keepLines w:val="0"/>
        <w:pageBreakBefore w:val="0"/>
        <w:widowControl w:val="0"/>
        <w:numPr>
          <w:ilvl w:val="0"/>
          <w:numId w:val="2"/>
        </w:numPr>
        <w:kinsoku/>
        <w:wordWrap/>
        <w:overflowPunct/>
        <w:topLinePunct w:val="0"/>
        <w:bidi w:val="0"/>
        <w:spacing w:line="576" w:lineRule="exact"/>
        <w:ind w:left="0" w:firstLine="642" w:firstLineChars="200"/>
        <w:textAlignment w:val="auto"/>
        <w:rPr>
          <w:rFonts w:hint="eastAsia" w:eastAsia="仿宋_GB2312"/>
          <w:b/>
          <w:bCs/>
          <w:color w:val="000000"/>
          <w:kern w:val="0"/>
          <w:sz w:val="32"/>
          <w:szCs w:val="32"/>
          <w:shd w:val="clear" w:color="auto" w:fill="FFFFFF"/>
          <w:lang w:val="zh-CN"/>
        </w:rPr>
      </w:pPr>
      <w:r>
        <w:rPr>
          <w:rFonts w:eastAsia="仿宋_GB2312"/>
          <w:b/>
          <w:bCs/>
          <w:color w:val="000000"/>
          <w:kern w:val="0"/>
          <w:sz w:val="32"/>
          <w:szCs w:val="32"/>
          <w:shd w:val="clear" w:color="auto" w:fill="FFFFFF"/>
          <w:lang w:val="zh-CN"/>
        </w:rPr>
        <w:t>机构职能</w:t>
      </w:r>
      <w:r>
        <w:rPr>
          <w:rFonts w:hint="eastAsia" w:eastAsia="仿宋_GB2312"/>
          <w:b/>
          <w:bCs/>
          <w:color w:val="000000"/>
          <w:kern w:val="0"/>
          <w:sz w:val="32"/>
          <w:szCs w:val="32"/>
          <w:shd w:val="clear" w:color="auto" w:fill="FFFFFF"/>
          <w:lang w:val="zh-CN"/>
        </w:rPr>
        <w:t>。</w:t>
      </w:r>
    </w:p>
    <w:p>
      <w:pPr>
        <w:keepNext w:val="0"/>
        <w:keepLines w:val="0"/>
        <w:pageBreakBefore w:val="0"/>
        <w:widowControl w:val="0"/>
        <w:kinsoku/>
        <w:wordWrap/>
        <w:overflowPunct/>
        <w:topLinePunct w:val="0"/>
        <w:bidi w:val="0"/>
        <w:spacing w:line="576" w:lineRule="exact"/>
        <w:ind w:left="0"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1.贯彻执行党的路线、方针、政策以及中央、省委、州委和县委的决议、决定和工作的部署，负责县委重要会议、领导讲话和上报下发的重要文件的起草和县委日常的文书处理，负责部门代拟县委文件和领导讲话的校核、规范、把关，负责对全县党委办公部门秘书工作业务的联系和指导。</w:t>
      </w:r>
    </w:p>
    <w:p>
      <w:pPr>
        <w:pStyle w:val="25"/>
        <w:keepNext w:val="0"/>
        <w:keepLines w:val="0"/>
        <w:pageBreakBefore w:val="0"/>
        <w:widowControl w:val="0"/>
        <w:kinsoku/>
        <w:wordWrap/>
        <w:overflowPunct/>
        <w:topLinePunct w:val="0"/>
        <w:autoSpaceDE w:val="0"/>
        <w:autoSpaceDN w:val="0"/>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2.围绕中央、省委和州委重要决策以及县委总体工作部署，开展调研，并负责信息的收集、综合和报送工作。</w:t>
      </w:r>
    </w:p>
    <w:p>
      <w:pPr>
        <w:pStyle w:val="25"/>
        <w:keepNext w:val="0"/>
        <w:keepLines w:val="0"/>
        <w:pageBreakBefore w:val="0"/>
        <w:widowControl w:val="0"/>
        <w:kinsoku/>
        <w:wordWrap/>
        <w:overflowPunct/>
        <w:topLinePunct w:val="0"/>
        <w:autoSpaceDE w:val="0"/>
        <w:autoSpaceDN w:val="0"/>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3.负责县委常委会议、书记办公会议、县党代会、县委全委会、县委工作会、全县领导干部会等会议的会务工作，负责县委领导参加重要公务活动的组织安排。</w:t>
      </w:r>
    </w:p>
    <w:p>
      <w:pPr>
        <w:pStyle w:val="25"/>
        <w:keepNext w:val="0"/>
        <w:keepLines w:val="0"/>
        <w:pageBreakBefore w:val="0"/>
        <w:widowControl w:val="0"/>
        <w:kinsoku/>
        <w:wordWrap/>
        <w:overflowPunct/>
        <w:topLinePunct w:val="0"/>
        <w:autoSpaceDE w:val="0"/>
        <w:autoSpaceDN w:val="0"/>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4.负责县委重要工作部署贯彻落实的督促检查，负责县委指示、县委领导批示的转达和催办落实。</w:t>
      </w:r>
    </w:p>
    <w:p>
      <w:pPr>
        <w:pStyle w:val="25"/>
        <w:keepNext w:val="0"/>
        <w:keepLines w:val="0"/>
        <w:pageBreakBefore w:val="0"/>
        <w:widowControl w:val="0"/>
        <w:kinsoku/>
        <w:wordWrap/>
        <w:overflowPunct/>
        <w:topLinePunct w:val="0"/>
        <w:autoSpaceDE w:val="0"/>
        <w:autoSpaceDN w:val="0"/>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5.负责县保密委员会及其办公室的日常工作。</w:t>
      </w:r>
    </w:p>
    <w:p>
      <w:pPr>
        <w:pStyle w:val="25"/>
        <w:keepNext w:val="0"/>
        <w:keepLines w:val="0"/>
        <w:pageBreakBefore w:val="0"/>
        <w:widowControl w:val="0"/>
        <w:kinsoku/>
        <w:wordWrap/>
        <w:overflowPunct/>
        <w:topLinePunct w:val="0"/>
        <w:autoSpaceDE w:val="0"/>
        <w:autoSpaceDN w:val="0"/>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6.负责管理县委密码局工作。</w:t>
      </w:r>
    </w:p>
    <w:p>
      <w:pPr>
        <w:keepNext w:val="0"/>
        <w:keepLines w:val="0"/>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eastAsia="仿宋_GB2312"/>
          <w:b/>
          <w:bCs/>
          <w:color w:val="000000"/>
          <w:kern w:val="0"/>
          <w:sz w:val="32"/>
          <w:szCs w:val="32"/>
          <w:shd w:val="clear" w:color="auto" w:fill="FFFFFF"/>
          <w:lang w:val="zh-CN"/>
        </w:rPr>
      </w:pPr>
      <w:r>
        <w:rPr>
          <w:rFonts w:hint="eastAsia" w:ascii="仿宋_GB2312" w:eastAsia="仿宋_GB2312" w:cs="仿宋_GB2312"/>
          <w:sz w:val="32"/>
          <w:szCs w:val="32"/>
        </w:rPr>
        <w:t>7.完成县委和县委领导交办的其他工作任务。</w:t>
      </w:r>
    </w:p>
    <w:p>
      <w:pPr>
        <w:keepNext w:val="0"/>
        <w:keepLines w:val="0"/>
        <w:pageBreakBefore w:val="0"/>
        <w:widowControl w:val="0"/>
        <w:kinsoku/>
        <w:wordWrap/>
        <w:overflowPunct/>
        <w:topLinePunct w:val="0"/>
        <w:bidi w:val="0"/>
        <w:spacing w:line="576" w:lineRule="exact"/>
        <w:ind w:firstLine="642" w:firstLineChars="200"/>
        <w:textAlignment w:val="auto"/>
        <w:rPr>
          <w:rFonts w:hint="eastAsia" w:eastAsia="仿宋_GB2312"/>
          <w:b/>
          <w:bCs/>
          <w:color w:val="000000"/>
          <w:kern w:val="0"/>
          <w:sz w:val="32"/>
          <w:szCs w:val="32"/>
          <w:shd w:val="clear" w:color="auto" w:fill="FFFFFF"/>
          <w:lang w:val="zh-CN"/>
        </w:rPr>
      </w:pPr>
      <w:r>
        <w:rPr>
          <w:rFonts w:eastAsia="仿宋_GB2312"/>
          <w:b/>
          <w:bCs/>
          <w:color w:val="000000"/>
          <w:kern w:val="0"/>
          <w:sz w:val="32"/>
          <w:szCs w:val="32"/>
          <w:shd w:val="clear" w:color="auto" w:fill="FFFFFF"/>
          <w:lang w:val="zh-CN"/>
        </w:rPr>
        <w:t>（</w:t>
      </w:r>
      <w:r>
        <w:rPr>
          <w:rFonts w:hint="eastAsia" w:eastAsia="仿宋_GB2312"/>
          <w:b/>
          <w:bCs/>
          <w:color w:val="000000"/>
          <w:kern w:val="0"/>
          <w:sz w:val="32"/>
          <w:szCs w:val="32"/>
          <w:shd w:val="clear" w:color="auto" w:fill="FFFFFF"/>
          <w:lang w:val="zh-CN"/>
        </w:rPr>
        <w:t>三</w:t>
      </w:r>
      <w:r>
        <w:rPr>
          <w:rFonts w:eastAsia="仿宋_GB2312"/>
          <w:b/>
          <w:bCs/>
          <w:color w:val="000000"/>
          <w:kern w:val="0"/>
          <w:sz w:val="32"/>
          <w:szCs w:val="32"/>
          <w:shd w:val="clear" w:color="auto" w:fill="FFFFFF"/>
          <w:lang w:val="zh-CN"/>
        </w:rPr>
        <w:t>）人员概况</w:t>
      </w:r>
      <w:r>
        <w:rPr>
          <w:rFonts w:hint="eastAsia" w:eastAsia="仿宋_GB2312"/>
          <w:b/>
          <w:bCs/>
          <w:color w:val="000000"/>
          <w:kern w:val="0"/>
          <w:sz w:val="32"/>
          <w:szCs w:val="32"/>
          <w:shd w:val="clear" w:color="auto" w:fill="FFFFFF"/>
          <w:lang w:val="zh-CN"/>
        </w:rPr>
        <w:t>。</w:t>
      </w:r>
    </w:p>
    <w:p>
      <w:pPr>
        <w:keepNext w:val="0"/>
        <w:keepLines w:val="0"/>
        <w:pageBreakBefore w:val="0"/>
        <w:widowControl/>
        <w:kinsoku/>
        <w:wordWrap/>
        <w:overflowPunct/>
        <w:topLinePunct w:val="0"/>
        <w:bidi w:val="0"/>
        <w:spacing w:line="576" w:lineRule="exact"/>
        <w:ind w:left="210" w:leftChars="100" w:firstLine="640" w:firstLineChars="200"/>
        <w:jc w:val="left"/>
        <w:textAlignment w:val="auto"/>
        <w:rPr>
          <w:rFonts w:eastAsia="仿宋_GB2312"/>
          <w:sz w:val="32"/>
        </w:rPr>
      </w:pPr>
      <w:r>
        <w:rPr>
          <w:rFonts w:hint="eastAsia" w:ascii="仿宋_GB2312" w:eastAsia="仿宋_GB2312"/>
          <w:color w:val="auto"/>
          <w:sz w:val="32"/>
          <w:szCs w:val="32"/>
          <w:highlight w:val="none"/>
        </w:rPr>
        <w:t>总编制</w:t>
      </w:r>
      <w:r>
        <w:rPr>
          <w:rFonts w:hint="eastAsia" w:ascii="仿宋_GB2312" w:eastAsia="仿宋_GB2312"/>
          <w:color w:val="auto"/>
          <w:sz w:val="32"/>
          <w:szCs w:val="32"/>
          <w:highlight w:val="none"/>
          <w:lang w:val="en-US" w:eastAsia="zh-CN"/>
        </w:rPr>
        <w:t>54</w:t>
      </w:r>
      <w:r>
        <w:rPr>
          <w:rFonts w:hint="eastAsia" w:ascii="仿宋_GB2312" w:eastAsia="仿宋_GB2312"/>
          <w:color w:val="auto"/>
          <w:sz w:val="32"/>
          <w:szCs w:val="32"/>
          <w:highlight w:val="none"/>
        </w:rPr>
        <w:t xml:space="preserve">名,其中:行政编制 </w:t>
      </w:r>
      <w:r>
        <w:rPr>
          <w:rFonts w:hint="eastAsia" w:ascii="仿宋_GB2312" w:eastAsia="仿宋_GB2312"/>
          <w:color w:val="auto"/>
          <w:sz w:val="32"/>
          <w:szCs w:val="32"/>
          <w:highlight w:val="none"/>
          <w:lang w:val="en-US" w:eastAsia="zh-CN"/>
        </w:rPr>
        <w:t>19</w:t>
      </w:r>
      <w:r>
        <w:rPr>
          <w:rFonts w:hint="eastAsia" w:ascii="仿宋_GB2312" w:eastAsia="仿宋_GB2312"/>
          <w:color w:val="auto"/>
          <w:sz w:val="32"/>
          <w:szCs w:val="32"/>
          <w:highlight w:val="none"/>
        </w:rPr>
        <w:t xml:space="preserve">名,参照公务员法管理的事业编制 </w:t>
      </w:r>
      <w:r>
        <w:rPr>
          <w:rFonts w:hint="eastAsia" w:ascii="仿宋_GB2312" w:eastAsia="仿宋_GB2312"/>
          <w:color w:val="auto"/>
          <w:sz w:val="32"/>
          <w:szCs w:val="32"/>
          <w:highlight w:val="none"/>
          <w:lang w:val="en-US" w:eastAsia="zh-CN"/>
        </w:rPr>
        <w:t>12</w:t>
      </w:r>
      <w:r>
        <w:rPr>
          <w:rFonts w:hint="eastAsia" w:ascii="仿宋_GB2312" w:eastAsia="仿宋_GB2312"/>
          <w:color w:val="auto"/>
          <w:sz w:val="32"/>
          <w:szCs w:val="32"/>
          <w:highlight w:val="none"/>
        </w:rPr>
        <w:t>名，行政工勤编制 1</w:t>
      </w: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rPr>
        <w:t xml:space="preserve"> 名，事业编制</w:t>
      </w:r>
      <w:r>
        <w:rPr>
          <w:rFonts w:hint="eastAsia" w:ascii="仿宋_GB2312" w:eastAsia="仿宋_GB2312"/>
          <w:color w:val="auto"/>
          <w:sz w:val="32"/>
          <w:szCs w:val="32"/>
          <w:highlight w:val="none"/>
          <w:lang w:val="en-US" w:eastAsia="zh-CN"/>
        </w:rPr>
        <w:t>11</w:t>
      </w:r>
      <w:r>
        <w:rPr>
          <w:rFonts w:hint="eastAsia" w:ascii="仿宋_GB2312" w:eastAsia="仿宋_GB2312"/>
          <w:color w:val="auto"/>
          <w:sz w:val="32"/>
          <w:szCs w:val="32"/>
          <w:highlight w:val="none"/>
        </w:rPr>
        <w:t>名。在职人员总数</w:t>
      </w:r>
      <w:r>
        <w:rPr>
          <w:rFonts w:hint="eastAsia" w:ascii="仿宋_GB2312" w:eastAsia="仿宋_GB2312"/>
          <w:color w:val="auto"/>
          <w:sz w:val="32"/>
          <w:szCs w:val="32"/>
          <w:highlight w:val="none"/>
          <w:lang w:val="en-US" w:eastAsia="zh-CN"/>
        </w:rPr>
        <w:t>48</w:t>
      </w:r>
      <w:r>
        <w:rPr>
          <w:rFonts w:hint="eastAsia" w:ascii="仿宋_GB2312" w:eastAsia="仿宋_GB2312"/>
          <w:color w:val="auto"/>
          <w:sz w:val="32"/>
          <w:szCs w:val="32"/>
          <w:highlight w:val="none"/>
        </w:rPr>
        <w:t>名，其中：行政人员</w:t>
      </w:r>
      <w:r>
        <w:rPr>
          <w:rFonts w:hint="eastAsia" w:ascii="仿宋_GB2312" w:eastAsia="仿宋_GB2312"/>
          <w:color w:val="auto"/>
          <w:sz w:val="32"/>
          <w:szCs w:val="32"/>
          <w:highlight w:val="none"/>
          <w:lang w:val="en-US" w:eastAsia="zh-CN"/>
        </w:rPr>
        <w:t>17</w:t>
      </w:r>
      <w:r>
        <w:rPr>
          <w:rFonts w:hint="eastAsia" w:ascii="仿宋_GB2312" w:eastAsia="仿宋_GB2312"/>
          <w:color w:val="auto"/>
          <w:sz w:val="32"/>
          <w:szCs w:val="32"/>
          <w:highlight w:val="none"/>
        </w:rPr>
        <w:t xml:space="preserve">名，参照公务员法管理的事业人员 </w:t>
      </w:r>
      <w:r>
        <w:rPr>
          <w:rFonts w:hint="eastAsia" w:ascii="仿宋_GB2312" w:eastAsia="仿宋_GB2312"/>
          <w:color w:val="auto"/>
          <w:sz w:val="32"/>
          <w:szCs w:val="32"/>
          <w:highlight w:val="none"/>
          <w:lang w:val="en-US" w:eastAsia="zh-CN"/>
        </w:rPr>
        <w:t>10</w:t>
      </w:r>
      <w:r>
        <w:rPr>
          <w:rFonts w:hint="eastAsia" w:ascii="仿宋_GB2312" w:eastAsia="仿宋_GB2312"/>
          <w:color w:val="auto"/>
          <w:sz w:val="32"/>
          <w:szCs w:val="32"/>
          <w:highlight w:val="none"/>
        </w:rPr>
        <w:t xml:space="preserve">名，行政工勤人员 11 名；事业人员 </w:t>
      </w:r>
      <w:r>
        <w:rPr>
          <w:rFonts w:hint="eastAsia" w:ascii="仿宋_GB2312" w:eastAsia="仿宋_GB2312"/>
          <w:color w:val="auto"/>
          <w:sz w:val="32"/>
          <w:szCs w:val="32"/>
          <w:highlight w:val="none"/>
          <w:lang w:val="en-US" w:eastAsia="zh-CN"/>
        </w:rPr>
        <w:t>10</w:t>
      </w:r>
      <w:r>
        <w:rPr>
          <w:rFonts w:hint="eastAsia" w:ascii="仿宋_GB2312" w:eastAsia="仿宋_GB2312"/>
          <w:color w:val="auto"/>
          <w:sz w:val="32"/>
          <w:szCs w:val="32"/>
          <w:highlight w:val="none"/>
        </w:rPr>
        <w:t>名。退休人员 1</w:t>
      </w:r>
      <w:r>
        <w:rPr>
          <w:rFonts w:hint="eastAsia" w:ascii="仿宋_GB2312" w:eastAsia="仿宋_GB2312"/>
          <w:color w:val="auto"/>
          <w:sz w:val="32"/>
          <w:szCs w:val="32"/>
          <w:highlight w:val="none"/>
          <w:lang w:val="en-US" w:eastAsia="zh-CN"/>
        </w:rPr>
        <w:t>8</w:t>
      </w:r>
      <w:r>
        <w:rPr>
          <w:rFonts w:hint="eastAsia" w:ascii="仿宋_GB2312" w:eastAsia="仿宋_GB2312"/>
          <w:color w:val="auto"/>
          <w:sz w:val="32"/>
          <w:szCs w:val="32"/>
          <w:highlight w:val="none"/>
        </w:rPr>
        <w:t>人。</w:t>
      </w:r>
    </w:p>
    <w:p>
      <w:pPr>
        <w:keepNext w:val="0"/>
        <w:keepLines w:val="0"/>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hint="eastAsia" w:ascii="黑体" w:eastAsia="黑体" w:cs="黑体"/>
          <w:color w:val="000000"/>
          <w:kern w:val="0"/>
          <w:sz w:val="32"/>
          <w:szCs w:val="32"/>
          <w:shd w:val="clear" w:color="auto" w:fill="FFFFFF"/>
          <w:lang w:val="zh-CN"/>
        </w:rPr>
      </w:pPr>
      <w:r>
        <w:rPr>
          <w:rFonts w:hint="eastAsia" w:ascii="黑体" w:eastAsia="黑体" w:cs="黑体"/>
          <w:color w:val="000000"/>
          <w:kern w:val="0"/>
          <w:sz w:val="32"/>
          <w:szCs w:val="32"/>
          <w:shd w:val="clear" w:color="auto" w:fill="FFFFFF"/>
          <w:lang w:val="zh-CN"/>
        </w:rPr>
        <w:t>二、部门资金收支情况</w:t>
      </w:r>
    </w:p>
    <w:p>
      <w:pPr>
        <w:keepNext w:val="0"/>
        <w:keepLines w:val="0"/>
        <w:pageBreakBefore w:val="0"/>
        <w:widowControl w:val="0"/>
        <w:kinsoku/>
        <w:wordWrap/>
        <w:overflowPunct/>
        <w:topLinePunct w:val="0"/>
        <w:autoSpaceDE/>
        <w:autoSpaceDN/>
        <w:bidi w:val="0"/>
        <w:spacing w:line="576" w:lineRule="exact"/>
        <w:ind w:firstLine="642" w:firstLineChars="200"/>
        <w:textAlignment w:val="auto"/>
        <w:rPr>
          <w:rFonts w:hint="eastAsia" w:ascii="仿宋_GB2312" w:eastAsia="仿宋_GB2312" w:cs="仿宋_GB2312"/>
          <w:sz w:val="32"/>
          <w:szCs w:val="32"/>
        </w:rPr>
      </w:pPr>
      <w:r>
        <w:rPr>
          <w:rFonts w:eastAsia="仿宋_GB2312"/>
          <w:b/>
          <w:bCs/>
          <w:color w:val="000000"/>
          <w:kern w:val="0"/>
          <w:sz w:val="32"/>
          <w:szCs w:val="32"/>
          <w:shd w:val="clear" w:color="auto" w:fill="FFFFFF"/>
          <w:lang w:val="zh-CN"/>
        </w:rPr>
        <w:t>（一）</w:t>
      </w:r>
      <w:r>
        <w:rPr>
          <w:rFonts w:hint="eastAsia" w:eastAsia="仿宋_GB2312"/>
          <w:b/>
          <w:bCs/>
          <w:color w:val="000000"/>
          <w:kern w:val="0"/>
          <w:sz w:val="32"/>
          <w:szCs w:val="32"/>
          <w:shd w:val="clear" w:color="auto" w:fill="FFFFFF"/>
          <w:lang w:val="zh-CN"/>
        </w:rPr>
        <w:t>收入情况</w:t>
      </w:r>
      <w:r>
        <w:rPr>
          <w:rFonts w:eastAsia="仿宋_GB2312"/>
          <w:b/>
          <w:bCs/>
          <w:color w:val="000000"/>
          <w:kern w:val="0"/>
          <w:sz w:val="32"/>
          <w:szCs w:val="32"/>
          <w:shd w:val="clear" w:color="auto" w:fill="FFFFFF"/>
          <w:lang w:val="zh-CN"/>
        </w:rPr>
        <w:t>。</w:t>
      </w:r>
      <w:r>
        <w:rPr>
          <w:rFonts w:ascii="仿宋_GB2312" w:eastAsia="仿宋_GB2312" w:cs="仿宋_GB2312"/>
          <w:sz w:val="32"/>
          <w:szCs w:val="32"/>
        </w:rPr>
        <w:t>20</w:t>
      </w:r>
      <w:r>
        <w:rPr>
          <w:rFonts w:hint="eastAsia" w:ascii="仿宋_GB2312" w:eastAsia="仿宋_GB2312" w:cs="仿宋_GB2312"/>
          <w:sz w:val="32"/>
          <w:szCs w:val="32"/>
          <w:lang w:val="en-US" w:eastAsia="zh-CN"/>
        </w:rPr>
        <w:t>23</w:t>
      </w:r>
      <w:r>
        <w:rPr>
          <w:rFonts w:hint="eastAsia" w:ascii="仿宋_GB2312" w:eastAsia="仿宋_GB2312" w:cs="仿宋_GB2312"/>
          <w:sz w:val="32"/>
          <w:szCs w:val="32"/>
        </w:rPr>
        <w:t>年本部门财政拨款收入决算总额为</w:t>
      </w:r>
      <w:r>
        <w:rPr>
          <w:rFonts w:hint="eastAsia" w:ascii="仿宋_GB2312" w:eastAsia="仿宋_GB2312" w:cs="宋体"/>
          <w:color w:val="000000"/>
          <w:kern w:val="0"/>
          <w:sz w:val="32"/>
          <w:szCs w:val="32"/>
          <w:shd w:val="clear" w:color="auto" w:fill="FFFFFF"/>
          <w:lang w:val="en-US" w:eastAsia="zh-CN"/>
        </w:rPr>
        <w:t>1267.80万</w:t>
      </w:r>
      <w:r>
        <w:rPr>
          <w:rFonts w:hint="eastAsia" w:ascii="仿宋_GB2312" w:eastAsia="仿宋_GB2312" w:cs="宋体"/>
          <w:color w:val="000000"/>
          <w:kern w:val="0"/>
          <w:sz w:val="32"/>
          <w:szCs w:val="32"/>
          <w:shd w:val="clear" w:color="auto" w:fill="FFFFFF"/>
          <w:lang w:val="zh-CN"/>
        </w:rPr>
        <w:t>元，</w:t>
      </w:r>
      <w:r>
        <w:rPr>
          <w:rFonts w:hint="eastAsia" w:ascii="仿宋_GB2312" w:eastAsia="仿宋_GB2312" w:cs="仿宋_GB2312"/>
          <w:sz w:val="32"/>
          <w:szCs w:val="32"/>
        </w:rPr>
        <w:t>当年财政拨款收入</w:t>
      </w:r>
      <w:r>
        <w:rPr>
          <w:rFonts w:hint="eastAsia" w:ascii="仿宋_GB2312" w:eastAsia="仿宋_GB2312" w:cs="宋体"/>
          <w:color w:val="000000"/>
          <w:kern w:val="0"/>
          <w:sz w:val="32"/>
          <w:szCs w:val="32"/>
          <w:shd w:val="clear" w:color="auto" w:fill="FFFFFF"/>
          <w:lang w:val="en-US" w:eastAsia="zh-CN"/>
        </w:rPr>
        <w:t>1267.80万</w:t>
      </w:r>
      <w:r>
        <w:rPr>
          <w:rFonts w:hint="eastAsia" w:ascii="仿宋_GB2312" w:eastAsia="仿宋_GB2312" w:cs="宋体"/>
          <w:color w:val="000000"/>
          <w:kern w:val="0"/>
          <w:sz w:val="32"/>
          <w:szCs w:val="32"/>
          <w:shd w:val="clear" w:color="auto" w:fill="FFFFFF"/>
          <w:lang w:val="zh-CN"/>
        </w:rPr>
        <w:t>元，</w:t>
      </w:r>
      <w:r>
        <w:rPr>
          <w:rFonts w:hint="eastAsia" w:ascii="仿宋_GB2312" w:eastAsia="仿宋_GB2312" w:cs="仿宋_GB2312"/>
          <w:sz w:val="32"/>
          <w:szCs w:val="32"/>
        </w:rPr>
        <w:t>均为一般公共预算财政拨款。</w:t>
      </w:r>
    </w:p>
    <w:p>
      <w:pPr>
        <w:keepNext w:val="0"/>
        <w:keepLines w:val="0"/>
        <w:pageBreakBefore w:val="0"/>
        <w:widowControl w:val="0"/>
        <w:kinsoku/>
        <w:wordWrap/>
        <w:overflowPunct/>
        <w:topLinePunct w:val="0"/>
        <w:bidi w:val="0"/>
        <w:spacing w:line="576" w:lineRule="exact"/>
        <w:ind w:firstLine="642" w:firstLineChars="200"/>
        <w:textAlignment w:val="auto"/>
        <w:rPr>
          <w:rFonts w:hint="eastAsia" w:ascii="仿宋_GB2312" w:eastAsia="仿宋_GB2312" w:cs="仿宋_GB2312"/>
          <w:kern w:val="2"/>
          <w:sz w:val="32"/>
          <w:szCs w:val="32"/>
          <w:lang w:val="en-US" w:eastAsia="zh-CN" w:bidi="ar-SA"/>
        </w:rPr>
      </w:pPr>
      <w:r>
        <w:rPr>
          <w:rFonts w:eastAsia="仿宋_GB2312"/>
          <w:b/>
          <w:bCs/>
          <w:color w:val="000000"/>
          <w:kern w:val="0"/>
          <w:sz w:val="32"/>
          <w:szCs w:val="32"/>
          <w:shd w:val="clear" w:color="auto" w:fill="FFFFFF"/>
          <w:lang w:val="zh-CN"/>
        </w:rPr>
        <w:t>（</w:t>
      </w:r>
      <w:r>
        <w:rPr>
          <w:rFonts w:hint="eastAsia" w:eastAsia="仿宋_GB2312"/>
          <w:b/>
          <w:bCs/>
          <w:color w:val="000000"/>
          <w:kern w:val="0"/>
          <w:sz w:val="32"/>
          <w:szCs w:val="32"/>
          <w:shd w:val="clear" w:color="auto" w:fill="FFFFFF"/>
          <w:lang w:val="zh-CN"/>
        </w:rPr>
        <w:t>二</w:t>
      </w:r>
      <w:r>
        <w:rPr>
          <w:rFonts w:eastAsia="仿宋_GB2312"/>
          <w:b/>
          <w:bCs/>
          <w:color w:val="000000"/>
          <w:kern w:val="0"/>
          <w:sz w:val="32"/>
          <w:szCs w:val="32"/>
          <w:shd w:val="clear" w:color="auto" w:fill="FFFFFF"/>
          <w:lang w:val="zh-CN"/>
        </w:rPr>
        <w:t>）</w:t>
      </w:r>
      <w:r>
        <w:rPr>
          <w:rFonts w:hint="eastAsia" w:eastAsia="仿宋_GB2312"/>
          <w:b/>
          <w:bCs/>
          <w:color w:val="000000"/>
          <w:kern w:val="0"/>
          <w:sz w:val="32"/>
          <w:szCs w:val="32"/>
          <w:shd w:val="clear" w:color="auto" w:fill="FFFFFF"/>
          <w:lang w:val="zh-CN"/>
        </w:rPr>
        <w:t>支出情况</w:t>
      </w:r>
      <w:r>
        <w:rPr>
          <w:rFonts w:eastAsia="仿宋_GB2312"/>
          <w:b/>
          <w:bCs/>
          <w:color w:val="000000"/>
          <w:kern w:val="0"/>
          <w:sz w:val="32"/>
          <w:szCs w:val="32"/>
          <w:shd w:val="clear" w:color="auto" w:fill="FFFFFF"/>
          <w:lang w:val="zh-CN"/>
        </w:rPr>
        <w:t>。</w:t>
      </w:r>
      <w:r>
        <w:rPr>
          <w:rFonts w:hint="eastAsia" w:ascii="仿宋_GB2312" w:eastAsia="仿宋_GB2312" w:cs="仿宋_GB2312"/>
          <w:kern w:val="2"/>
          <w:sz w:val="32"/>
          <w:szCs w:val="32"/>
          <w:lang w:val="en-US" w:eastAsia="zh-CN" w:bidi="ar-SA"/>
        </w:rPr>
        <w:t>2023年总支出</w:t>
      </w:r>
      <w:r>
        <w:rPr>
          <w:rFonts w:hint="eastAsia" w:ascii="仿宋_GB2312" w:eastAsia="仿宋_GB2312" w:cs="仿宋_GB2312"/>
          <w:sz w:val="32"/>
          <w:szCs w:val="32"/>
          <w:lang w:val="en-US" w:eastAsia="zh-CN"/>
        </w:rPr>
        <w:t>1267.80</w:t>
      </w:r>
      <w:r>
        <w:rPr>
          <w:rFonts w:hint="eastAsia" w:ascii="仿宋_GB2312" w:eastAsia="仿宋_GB2312" w:cs="仿宋_GB2312"/>
          <w:kern w:val="2"/>
          <w:sz w:val="32"/>
          <w:szCs w:val="32"/>
          <w:lang w:val="en-US" w:eastAsia="zh-CN" w:bidi="ar-SA"/>
        </w:rPr>
        <w:t>万元，其中201-一般公共服务支出为1003.19万元,208-社会保障和就业支出为135.59万元,210-卫生健康支出为59.32万元,221-住房保障支出为69.68万元。</w:t>
      </w:r>
    </w:p>
    <w:p>
      <w:pPr>
        <w:keepNext w:val="0"/>
        <w:keepLines w:val="0"/>
        <w:pageBreakBefore w:val="0"/>
        <w:widowControl w:val="0"/>
        <w:kinsoku/>
        <w:wordWrap/>
        <w:overflowPunct/>
        <w:topLinePunct w:val="0"/>
        <w:autoSpaceDE/>
        <w:autoSpaceDN/>
        <w:bidi w:val="0"/>
        <w:adjustRightInd/>
        <w:snapToGrid w:val="0"/>
        <w:spacing w:line="576" w:lineRule="exact"/>
        <w:ind w:firstLine="642" w:firstLineChars="200"/>
        <w:textAlignment w:val="auto"/>
        <w:rPr>
          <w:rFonts w:eastAsia="仿宋_GB2312"/>
          <w:color w:val="000000"/>
          <w:kern w:val="0"/>
          <w:sz w:val="32"/>
          <w:szCs w:val="32"/>
          <w:shd w:val="clear" w:color="auto" w:fill="FFFFFF"/>
          <w:lang w:val="zh-CN"/>
        </w:rPr>
      </w:pPr>
      <w:r>
        <w:rPr>
          <w:rFonts w:eastAsia="仿宋_GB2312"/>
          <w:b/>
          <w:bCs/>
          <w:color w:val="000000"/>
          <w:kern w:val="0"/>
          <w:sz w:val="32"/>
          <w:szCs w:val="32"/>
          <w:shd w:val="clear" w:color="auto" w:fill="FFFFFF"/>
          <w:lang w:val="zh-CN"/>
        </w:rPr>
        <w:t>（</w:t>
      </w:r>
      <w:r>
        <w:rPr>
          <w:rFonts w:hint="eastAsia" w:eastAsia="仿宋_GB2312"/>
          <w:b/>
          <w:bCs/>
          <w:color w:val="000000"/>
          <w:kern w:val="0"/>
          <w:sz w:val="32"/>
          <w:szCs w:val="32"/>
          <w:shd w:val="clear" w:color="auto" w:fill="FFFFFF"/>
          <w:lang w:val="zh-CN"/>
        </w:rPr>
        <w:t>三</w:t>
      </w:r>
      <w:r>
        <w:rPr>
          <w:rFonts w:eastAsia="仿宋_GB2312"/>
          <w:b/>
          <w:bCs/>
          <w:color w:val="000000"/>
          <w:kern w:val="0"/>
          <w:sz w:val="32"/>
          <w:szCs w:val="32"/>
          <w:shd w:val="clear" w:color="auto" w:fill="FFFFFF"/>
          <w:lang w:val="zh-CN"/>
        </w:rPr>
        <w:t>）</w:t>
      </w:r>
      <w:r>
        <w:rPr>
          <w:rFonts w:eastAsia="仿宋_GB2312"/>
          <w:b/>
          <w:sz w:val="32"/>
          <w:szCs w:val="32"/>
        </w:rPr>
        <w:t>结余分配和结转结余情况</w:t>
      </w:r>
      <w:r>
        <w:rPr>
          <w:rFonts w:hint="eastAsia" w:eastAsia="仿宋_GB2312"/>
          <w:b/>
          <w:sz w:val="32"/>
          <w:szCs w:val="32"/>
        </w:rPr>
        <w:t>。</w:t>
      </w:r>
      <w:r>
        <w:rPr>
          <w:rFonts w:hint="eastAsia" w:ascii="仿宋_GB2312" w:eastAsia="仿宋_GB2312" w:cs="仿宋_GB2312"/>
          <w:kern w:val="2"/>
          <w:sz w:val="32"/>
          <w:szCs w:val="32"/>
          <w:lang w:val="en-US" w:eastAsia="zh-CN" w:bidi="ar-SA"/>
        </w:rPr>
        <w:t>2023年年末结转和结余0.00万元，其中基本支出结转0.00万元，项目支出结转和结余0.00万元。项目支出结转和结余中：201-一般公共服务支出为0.00万元,208-社会保障和就业支出为0.00万元,210-卫生健康支出为0.00万元,213-农林水支出为0.00万元,221-住房保障支出为0.00万元。</w:t>
      </w:r>
    </w:p>
    <w:p>
      <w:pPr>
        <w:keepNext w:val="0"/>
        <w:keepLines w:val="0"/>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hint="eastAsia" w:ascii="黑体" w:eastAsia="黑体" w:cs="黑体"/>
          <w:color w:val="000000"/>
          <w:kern w:val="0"/>
          <w:sz w:val="32"/>
          <w:szCs w:val="32"/>
          <w:shd w:val="clear" w:color="auto" w:fill="FFFFFF"/>
          <w:lang w:val="zh-CN"/>
        </w:rPr>
      </w:pPr>
      <w:r>
        <w:rPr>
          <w:rFonts w:hint="eastAsia" w:ascii="黑体" w:eastAsia="黑体" w:cs="黑体"/>
          <w:color w:val="000000"/>
          <w:kern w:val="0"/>
          <w:sz w:val="32"/>
          <w:szCs w:val="32"/>
          <w:shd w:val="clear" w:color="auto" w:fill="FFFFFF"/>
          <w:lang w:val="zh-CN"/>
        </w:rPr>
        <w:t>三、部门预算绩效分析</w:t>
      </w:r>
    </w:p>
    <w:p>
      <w:pPr>
        <w:keepNext w:val="0"/>
        <w:keepLines w:val="0"/>
        <w:pageBreakBefore w:val="0"/>
        <w:widowControl w:val="0"/>
        <w:kinsoku/>
        <w:wordWrap/>
        <w:overflowPunct/>
        <w:topLinePunct w:val="0"/>
        <w:bidi w:val="0"/>
        <w:adjustRightInd w:val="0"/>
        <w:snapToGrid w:val="0"/>
        <w:spacing w:line="576" w:lineRule="exact"/>
        <w:ind w:firstLine="642" w:firstLineChars="200"/>
        <w:contextualSpacing/>
        <w:jc w:val="left"/>
        <w:textAlignment w:val="auto"/>
        <w:rPr>
          <w:rFonts w:eastAsia="仿宋_GB2312"/>
          <w:color w:val="000000"/>
          <w:kern w:val="0"/>
          <w:sz w:val="32"/>
          <w:szCs w:val="32"/>
          <w:shd w:val="clear" w:color="auto" w:fill="FFFFFF"/>
          <w:lang w:val="zh-CN"/>
        </w:rPr>
      </w:pPr>
      <w:r>
        <w:rPr>
          <w:rFonts w:eastAsia="仿宋_GB2312"/>
          <w:b/>
          <w:bCs/>
          <w:color w:val="000000"/>
          <w:kern w:val="0"/>
          <w:sz w:val="32"/>
          <w:szCs w:val="32"/>
          <w:shd w:val="clear" w:color="auto" w:fill="FFFFFF"/>
          <w:lang w:val="zh-CN"/>
        </w:rPr>
        <w:t>（一）</w:t>
      </w:r>
      <w:r>
        <w:rPr>
          <w:rFonts w:hint="eastAsia" w:eastAsia="仿宋_GB2312"/>
          <w:b/>
          <w:bCs/>
          <w:color w:val="000000"/>
          <w:kern w:val="0"/>
          <w:sz w:val="32"/>
          <w:szCs w:val="32"/>
          <w:shd w:val="clear" w:color="auto" w:fill="FFFFFF"/>
          <w:lang w:val="zh-CN"/>
        </w:rPr>
        <w:t>部门预算</w:t>
      </w:r>
      <w:r>
        <w:rPr>
          <w:rFonts w:eastAsia="仿宋_GB2312"/>
          <w:b/>
          <w:bCs/>
          <w:color w:val="000000"/>
          <w:kern w:val="0"/>
          <w:sz w:val="32"/>
          <w:szCs w:val="32"/>
          <w:shd w:val="clear" w:color="auto" w:fill="FFFFFF"/>
          <w:lang w:val="zh-CN"/>
        </w:rPr>
        <w:t>总体绩效分析。</w:t>
      </w:r>
      <w:r>
        <w:rPr>
          <w:rFonts w:eastAsia="仿宋_GB2312"/>
          <w:color w:val="000000"/>
          <w:kern w:val="0"/>
          <w:sz w:val="32"/>
          <w:szCs w:val="32"/>
          <w:shd w:val="clear" w:color="auto" w:fill="FFFFFF"/>
          <w:lang w:val="zh-CN"/>
        </w:rPr>
        <w:t>根据部门预算绩效评价指标体系“总体绩效”涉及</w:t>
      </w:r>
      <w:r>
        <w:rPr>
          <w:rFonts w:hint="eastAsia" w:eastAsia="仿宋_GB2312"/>
          <w:color w:val="000000"/>
          <w:kern w:val="0"/>
          <w:sz w:val="32"/>
          <w:szCs w:val="32"/>
          <w:shd w:val="clear" w:color="auto" w:fill="FFFFFF"/>
          <w:lang w:val="zh-CN"/>
        </w:rPr>
        <w:t>二、三级</w:t>
      </w:r>
      <w:r>
        <w:rPr>
          <w:rFonts w:eastAsia="仿宋_GB2312"/>
          <w:color w:val="000000"/>
          <w:kern w:val="0"/>
          <w:sz w:val="32"/>
          <w:szCs w:val="32"/>
          <w:shd w:val="clear" w:color="auto" w:fill="FFFFFF"/>
          <w:lang w:val="zh-CN"/>
        </w:rPr>
        <w:t>指标进行</w:t>
      </w:r>
      <w:r>
        <w:rPr>
          <w:rFonts w:hint="eastAsia" w:eastAsia="仿宋_GB2312"/>
          <w:color w:val="000000"/>
          <w:kern w:val="0"/>
          <w:sz w:val="32"/>
          <w:szCs w:val="32"/>
          <w:shd w:val="clear" w:color="auto" w:fill="FFFFFF"/>
          <w:lang w:val="zh-CN"/>
        </w:rPr>
        <w:t>逐项</w:t>
      </w:r>
      <w:r>
        <w:rPr>
          <w:rFonts w:eastAsia="仿宋_GB2312"/>
          <w:color w:val="000000"/>
          <w:kern w:val="0"/>
          <w:sz w:val="32"/>
          <w:szCs w:val="32"/>
          <w:shd w:val="clear" w:color="auto" w:fill="FFFFFF"/>
          <w:lang w:val="zh-CN"/>
        </w:rPr>
        <w:t>绩效分析</w:t>
      </w:r>
      <w:r>
        <w:rPr>
          <w:rFonts w:hint="eastAsia" w:eastAsia="仿宋_GB2312"/>
          <w:color w:val="000000"/>
          <w:kern w:val="0"/>
          <w:sz w:val="32"/>
          <w:szCs w:val="32"/>
          <w:shd w:val="clear" w:color="auto" w:fill="FFFFFF"/>
          <w:lang w:val="zh-CN"/>
        </w:rPr>
        <w:t>并评分</w:t>
      </w:r>
      <w:r>
        <w:rPr>
          <w:rFonts w:eastAsia="仿宋_GB2312"/>
          <w:color w:val="000000"/>
          <w:kern w:val="0"/>
          <w:sz w:val="32"/>
          <w:szCs w:val="32"/>
          <w:shd w:val="clear" w:color="auto" w:fill="FFFFFF"/>
          <w:lang w:val="zh-CN"/>
        </w:rPr>
        <w:t>，依次包括履职效能、预算管理、财务管理、资产管理、采购管理等情况。</w:t>
      </w:r>
    </w:p>
    <w:p>
      <w:pPr>
        <w:keepNext w:val="0"/>
        <w:keepLines w:val="0"/>
        <w:pageBreakBefore w:val="0"/>
        <w:widowControl w:val="0"/>
        <w:kinsoku/>
        <w:wordWrap/>
        <w:overflowPunct/>
        <w:topLinePunct w:val="0"/>
        <w:bidi w:val="0"/>
        <w:adjustRightInd w:val="0"/>
        <w:snapToGrid w:val="0"/>
        <w:spacing w:line="576" w:lineRule="exact"/>
        <w:ind w:firstLine="640" w:firstLineChars="200"/>
        <w:contextualSpacing/>
        <w:jc w:val="left"/>
        <w:textAlignment w:val="auto"/>
        <w:rPr>
          <w:rFonts w:hint="eastAsia" w:ascii="楷体_GB2312" w:hAnsi="楷体_GB2312" w:eastAsia="仿宋_GB2312" w:cs="楷体_GB2312"/>
          <w:color w:val="000000"/>
          <w:kern w:val="0"/>
          <w:sz w:val="32"/>
          <w:szCs w:val="32"/>
          <w:shd w:val="clear" w:color="auto" w:fill="FFFFFF"/>
          <w:lang w:val="zh-CN"/>
        </w:rPr>
      </w:pPr>
      <w:r>
        <w:rPr>
          <w:rFonts w:hint="eastAsia" w:ascii="楷体_GB2312" w:hAnsi="楷体_GB2312" w:eastAsia="仿宋_GB2312" w:cs="楷体_GB2312"/>
          <w:color w:val="000000"/>
          <w:kern w:val="0"/>
          <w:sz w:val="32"/>
          <w:szCs w:val="32"/>
          <w:shd w:val="clear" w:color="auto" w:fill="FFFFFF"/>
          <w:lang w:eastAsia="zh-CN"/>
        </w:rPr>
        <w:t>（</w:t>
      </w:r>
      <w:r>
        <w:rPr>
          <w:rFonts w:hint="eastAsia" w:ascii="楷体_GB2312" w:hAnsi="楷体_GB2312" w:eastAsia="仿宋_GB2312" w:cs="楷体_GB2312"/>
          <w:color w:val="000000"/>
          <w:kern w:val="0"/>
          <w:sz w:val="32"/>
          <w:szCs w:val="32"/>
          <w:shd w:val="clear" w:color="auto" w:fill="FFFFFF"/>
        </w:rPr>
        <w:t>1</w:t>
      </w:r>
      <w:r>
        <w:rPr>
          <w:rFonts w:hint="eastAsia" w:ascii="楷体_GB2312" w:hAnsi="楷体_GB2312" w:eastAsia="仿宋_GB2312" w:cs="楷体_GB2312"/>
          <w:color w:val="000000"/>
          <w:kern w:val="0"/>
          <w:sz w:val="32"/>
          <w:szCs w:val="32"/>
          <w:shd w:val="clear" w:color="auto" w:fill="FFFFFF"/>
          <w:lang w:eastAsia="zh-CN"/>
        </w:rPr>
        <w:t>）</w:t>
      </w:r>
      <w:r>
        <w:rPr>
          <w:rFonts w:hint="eastAsia" w:ascii="楷体_GB2312" w:hAnsi="楷体_GB2312" w:eastAsia="仿宋_GB2312" w:cs="楷体_GB2312"/>
          <w:color w:val="000000"/>
          <w:kern w:val="0"/>
          <w:sz w:val="32"/>
          <w:szCs w:val="32"/>
          <w:shd w:val="clear" w:color="auto" w:fill="FFFFFF"/>
          <w:lang w:val="zh-CN"/>
        </w:rPr>
        <w:t>履职效能。</w:t>
      </w:r>
    </w:p>
    <w:p>
      <w:pPr>
        <w:pStyle w:val="18"/>
        <w:keepNext w:val="0"/>
        <w:keepLines w:val="0"/>
        <w:pageBreakBefore w:val="0"/>
        <w:widowControl w:val="0"/>
        <w:kinsoku/>
        <w:wordWrap/>
        <w:overflowPunct/>
        <w:topLinePunct w:val="0"/>
        <w:bidi w:val="0"/>
        <w:spacing w:beforeAutospacing="0" w:afterAutospacing="0" w:line="576" w:lineRule="exact"/>
        <w:ind w:firstLine="640" w:firstLineChars="200"/>
        <w:textAlignment w:val="auto"/>
        <w:rPr>
          <w:rFonts w:ascii="仿宋_GB2312" w:eastAsia="仿宋_GB2312"/>
          <w:bCs/>
          <w:sz w:val="32"/>
          <w:szCs w:val="32"/>
        </w:rPr>
      </w:pPr>
      <w:r>
        <w:rPr>
          <w:rFonts w:hint="eastAsia" w:ascii="仿宋_GB2312" w:eastAsia="仿宋_GB2312" w:cs="仿宋_GB2312"/>
          <w:sz w:val="32"/>
          <w:szCs w:val="32"/>
        </w:rPr>
        <w:t>1.</w:t>
      </w:r>
      <w:r>
        <w:rPr>
          <w:rFonts w:ascii="仿宋_GB2312" w:eastAsia="仿宋_GB2312" w:cs="仿宋_GB2312"/>
          <w:sz w:val="32"/>
          <w:szCs w:val="32"/>
        </w:rPr>
        <w:t>严格执行</w:t>
      </w:r>
      <w:r>
        <w:rPr>
          <w:rFonts w:hint="eastAsia" w:ascii="仿宋_GB2312" w:eastAsia="仿宋_GB2312"/>
          <w:sz w:val="32"/>
          <w:szCs w:val="32"/>
        </w:rPr>
        <w:t>《</w:t>
      </w:r>
      <w:r>
        <w:rPr>
          <w:rFonts w:ascii="仿宋_GB2312" w:eastAsia="仿宋_GB2312"/>
          <w:sz w:val="32"/>
          <w:szCs w:val="32"/>
        </w:rPr>
        <w:t>阿坝州</w:t>
      </w:r>
      <w:r>
        <w:rPr>
          <w:rFonts w:hint="eastAsia" w:ascii="仿宋_GB2312" w:eastAsia="仿宋_GB2312"/>
          <w:sz w:val="32"/>
          <w:szCs w:val="32"/>
        </w:rPr>
        <w:t>关于贯彻落实中央八项规定精神、省委省政府十项规定和州委州政府八条实施意见的实施细则》</w:t>
      </w:r>
      <w:r>
        <w:rPr>
          <w:rFonts w:ascii="仿宋_GB2312" w:eastAsia="仿宋_GB2312"/>
          <w:sz w:val="32"/>
          <w:szCs w:val="32"/>
        </w:rPr>
        <w:t>要求，深入开展精文减</w:t>
      </w:r>
      <w:r>
        <w:rPr>
          <w:rFonts w:hint="eastAsia" w:ascii="仿宋_GB2312" w:eastAsia="仿宋_GB2312"/>
          <w:sz w:val="32"/>
          <w:szCs w:val="32"/>
        </w:rPr>
        <w:t>会</w:t>
      </w:r>
      <w:r>
        <w:rPr>
          <w:rFonts w:ascii="仿宋_GB2312" w:eastAsia="仿宋_GB2312"/>
          <w:sz w:val="32"/>
          <w:szCs w:val="32"/>
        </w:rPr>
        <w:t>、基层减负和机关规范化建设</w:t>
      </w:r>
      <w:r>
        <w:rPr>
          <w:rFonts w:hint="eastAsia" w:ascii="仿宋_GB2312" w:eastAsia="仿宋_GB2312"/>
          <w:bCs/>
          <w:sz w:val="32"/>
          <w:szCs w:val="32"/>
        </w:rPr>
        <w:t>。</w:t>
      </w:r>
    </w:p>
    <w:p>
      <w:pPr>
        <w:pStyle w:val="18"/>
        <w:keepNext w:val="0"/>
        <w:keepLines w:val="0"/>
        <w:pageBreakBefore w:val="0"/>
        <w:widowControl w:val="0"/>
        <w:kinsoku/>
        <w:wordWrap/>
        <w:overflowPunct/>
        <w:topLinePunct w:val="0"/>
        <w:bidi w:val="0"/>
        <w:spacing w:beforeAutospacing="0" w:afterAutospacing="0" w:line="576" w:lineRule="exact"/>
        <w:ind w:firstLine="640" w:firstLineChars="200"/>
        <w:textAlignment w:val="auto"/>
        <w:rPr>
          <w:rFonts w:ascii="仿宋_GB2312" w:eastAsia="仿宋_GB2312" w:cs="仿宋_GB2312"/>
          <w:sz w:val="32"/>
          <w:szCs w:val="32"/>
        </w:rPr>
      </w:pPr>
      <w:r>
        <w:rPr>
          <w:rFonts w:ascii="仿宋_GB2312" w:eastAsia="仿宋_GB2312"/>
          <w:bCs/>
          <w:sz w:val="32"/>
          <w:szCs w:val="32"/>
        </w:rPr>
        <w:t>2</w:t>
      </w:r>
      <w:r>
        <w:rPr>
          <w:rFonts w:hint="eastAsia" w:ascii="仿宋_GB2312" w:eastAsia="仿宋_GB2312"/>
          <w:bCs/>
          <w:sz w:val="32"/>
          <w:szCs w:val="32"/>
        </w:rPr>
        <w:t>.大力提升公文质效，从严审核把关以县委、县委办名义发文，及时收集掌握县委办、县政府办发文数量，确保发文逐年递减要求刚性落实。同时，进一步规范各镇、各部门上报信息简报，严格控制篇幅字数。</w:t>
      </w:r>
    </w:p>
    <w:p>
      <w:pPr>
        <w:pStyle w:val="18"/>
        <w:keepNext w:val="0"/>
        <w:keepLines w:val="0"/>
        <w:pageBreakBefore w:val="0"/>
        <w:widowControl w:val="0"/>
        <w:kinsoku/>
        <w:wordWrap/>
        <w:overflowPunct/>
        <w:topLinePunct w:val="0"/>
        <w:bidi w:val="0"/>
        <w:spacing w:beforeAutospacing="0" w:afterAutospacing="0" w:line="576" w:lineRule="exact"/>
        <w:ind w:firstLine="640" w:firstLineChars="200"/>
        <w:textAlignment w:val="auto"/>
        <w:rPr>
          <w:rFonts w:hint="eastAsia" w:ascii="仿宋_GB2312" w:eastAsia="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w:t>
      </w:r>
      <w:r>
        <w:rPr>
          <w:rFonts w:hint="eastAsia" w:ascii="仿宋_GB2312" w:eastAsia="仿宋_GB2312"/>
          <w:bCs/>
          <w:sz w:val="32"/>
          <w:szCs w:val="32"/>
        </w:rPr>
        <w:t>持续落实“无会周”</w:t>
      </w:r>
      <w:r>
        <w:rPr>
          <w:rFonts w:ascii="仿宋_GB2312" w:eastAsia="仿宋_GB2312"/>
          <w:bCs/>
          <w:sz w:val="32"/>
          <w:szCs w:val="32"/>
        </w:rPr>
        <w:t>，</w:t>
      </w:r>
      <w:r>
        <w:rPr>
          <w:rFonts w:hint="eastAsia" w:ascii="仿宋_GB2312" w:eastAsia="仿宋_GB2312"/>
          <w:sz w:val="32"/>
          <w:szCs w:val="32"/>
        </w:rPr>
        <w:t>按照节俭、高效的原则，</w:t>
      </w:r>
      <w:r>
        <w:rPr>
          <w:rFonts w:hint="eastAsia" w:ascii="仿宋_GB2312" w:eastAsia="仿宋_GB2312"/>
          <w:bCs/>
          <w:sz w:val="32"/>
          <w:szCs w:val="32"/>
        </w:rPr>
        <w:t>进一步</w:t>
      </w:r>
      <w:r>
        <w:rPr>
          <w:rFonts w:hint="eastAsia" w:ascii="仿宋_GB2312" w:eastAsia="仿宋_GB2312"/>
          <w:sz w:val="32"/>
          <w:szCs w:val="32"/>
        </w:rPr>
        <w:t>加强与“四大办”、县委工作部门、县委议事协调机构办公室的信息沟通，加大会议的统筹力度，严控会议频次和规模。</w:t>
      </w:r>
    </w:p>
    <w:p>
      <w:pPr>
        <w:pStyle w:val="18"/>
        <w:keepNext w:val="0"/>
        <w:keepLines w:val="0"/>
        <w:pageBreakBefore w:val="0"/>
        <w:widowControl w:val="0"/>
        <w:kinsoku/>
        <w:wordWrap/>
        <w:overflowPunct/>
        <w:topLinePunct w:val="0"/>
        <w:bidi w:val="0"/>
        <w:spacing w:beforeAutospacing="0" w:afterAutospacing="0" w:line="576" w:lineRule="exact"/>
        <w:ind w:firstLine="640" w:firstLineChars="200"/>
        <w:textAlignment w:val="auto"/>
        <w:rPr>
          <w:rFonts w:hint="eastAsia" w:ascii="仿宋_GB2312" w:eastAsia="仿宋_GB2312" w:cs="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扩展</w:t>
      </w:r>
      <w:r>
        <w:rPr>
          <w:rFonts w:hint="eastAsia" w:ascii="仿宋_GB2312" w:eastAsia="仿宋_GB2312" w:cs="仿宋_GB2312"/>
          <w:sz w:val="32"/>
          <w:szCs w:val="32"/>
        </w:rPr>
        <w:t>非涉密计算机敏感信息监管系统，</w:t>
      </w:r>
      <w:r>
        <w:rPr>
          <w:rFonts w:hint="eastAsia" w:ascii="仿宋_GB2312" w:eastAsia="仿宋_GB2312" w:cs="仿宋_GB2312"/>
          <w:sz w:val="32"/>
          <w:szCs w:val="32"/>
          <w:lang w:val="en-US" w:eastAsia="zh-CN"/>
        </w:rPr>
        <w:t>做到全覆盖，</w:t>
      </w:r>
      <w:r>
        <w:rPr>
          <w:rFonts w:hint="eastAsia" w:ascii="仿宋_GB2312" w:eastAsia="仿宋_GB2312" w:cs="仿宋_GB2312"/>
          <w:sz w:val="32"/>
          <w:szCs w:val="32"/>
        </w:rPr>
        <w:t>开展全县网络核查分类工作，切实做好全县普通高校招生考试安全保密工作，做好保密</w:t>
      </w:r>
      <w:r>
        <w:rPr>
          <w:rFonts w:hint="default" w:ascii="仿宋_GB2312" w:eastAsia="仿宋_GB2312" w:cs="仿宋_GB2312"/>
          <w:sz w:val="32"/>
          <w:szCs w:val="32"/>
          <w:lang w:val="en-US"/>
        </w:rPr>
        <w:t>法治宣传教育</w:t>
      </w:r>
      <w:r>
        <w:rPr>
          <w:rFonts w:hint="eastAsia" w:ascii="仿宋_GB2312" w:eastAsia="仿宋_GB2312" w:cs="仿宋_GB2312"/>
          <w:sz w:val="32"/>
          <w:szCs w:val="32"/>
        </w:rPr>
        <w:t>和保密业务培训。</w:t>
      </w:r>
    </w:p>
    <w:p>
      <w:pPr>
        <w:pStyle w:val="18"/>
        <w:keepNext w:val="0"/>
        <w:keepLines w:val="0"/>
        <w:pageBreakBefore w:val="0"/>
        <w:widowControl w:val="0"/>
        <w:kinsoku/>
        <w:wordWrap/>
        <w:overflowPunct/>
        <w:topLinePunct w:val="0"/>
        <w:bidi w:val="0"/>
        <w:spacing w:beforeAutospacing="0" w:afterAutospacing="0" w:line="576" w:lineRule="exact"/>
        <w:ind w:firstLine="640" w:firstLineChars="200"/>
        <w:textAlignment w:val="auto"/>
        <w:rPr>
          <w:rFonts w:hint="eastAsia" w:ascii="仿宋_GB2312" w:eastAsia="仿宋_GB2312" w:cs="仿宋_GB2312"/>
          <w:sz w:val="32"/>
          <w:szCs w:val="32"/>
          <w:lang w:val="en-US" w:eastAsia="zh-CN"/>
        </w:rPr>
      </w:pPr>
      <w:r>
        <w:rPr>
          <w:rFonts w:ascii="仿宋_GB2312" w:eastAsia="仿宋_GB2312" w:cs="仿宋_GB2312"/>
          <w:sz w:val="32"/>
          <w:szCs w:val="32"/>
        </w:rPr>
        <w:t>5</w:t>
      </w:r>
      <w:r>
        <w:rPr>
          <w:rFonts w:hint="eastAsia" w:ascii="仿宋_GB2312" w:eastAsia="仿宋_GB2312" w:cs="仿宋_GB2312"/>
          <w:sz w:val="32"/>
          <w:szCs w:val="32"/>
        </w:rPr>
        <w:t>.扎实做好密码通信服务保障，推进密码管理规范化，抓好和完善党政内网建设</w:t>
      </w:r>
      <w:r>
        <w:rPr>
          <w:rFonts w:hint="eastAsia" w:ascii="仿宋_GB2312" w:eastAsia="仿宋_GB2312" w:cs="仿宋_GB2312"/>
          <w:sz w:val="32"/>
          <w:szCs w:val="32"/>
          <w:lang w:val="en-US" w:eastAsia="zh-CN"/>
        </w:rPr>
        <w:t>。</w:t>
      </w:r>
    </w:p>
    <w:p>
      <w:pPr>
        <w:pStyle w:val="18"/>
        <w:keepNext w:val="0"/>
        <w:keepLines w:val="0"/>
        <w:pageBreakBefore w:val="0"/>
        <w:widowControl w:val="0"/>
        <w:kinsoku/>
        <w:wordWrap/>
        <w:overflowPunct/>
        <w:topLinePunct w:val="0"/>
        <w:bidi w:val="0"/>
        <w:spacing w:beforeAutospacing="0" w:afterAutospacing="0" w:line="576" w:lineRule="exact"/>
        <w:ind w:firstLine="640" w:firstLineChars="200"/>
        <w:textAlignment w:val="auto"/>
        <w:rPr>
          <w:rFonts w:hint="eastAsia"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重点工作与目标考评中心</w:t>
      </w:r>
      <w:r>
        <w:rPr>
          <w:rFonts w:hint="eastAsia" w:ascii="仿宋_GB2312" w:eastAsia="仿宋_GB2312" w:cs="仿宋_GB2312"/>
          <w:sz w:val="32"/>
          <w:szCs w:val="32"/>
        </w:rPr>
        <w:t>，开展重点工作、重点项目督查，并形成督查专报，做好年度目标考核工作。</w:t>
      </w:r>
    </w:p>
    <w:p>
      <w:pPr>
        <w:pStyle w:val="18"/>
        <w:keepNext w:val="0"/>
        <w:keepLines w:val="0"/>
        <w:pageBreakBefore w:val="0"/>
        <w:widowControl w:val="0"/>
        <w:kinsoku/>
        <w:wordWrap/>
        <w:overflowPunct/>
        <w:topLinePunct w:val="0"/>
        <w:bidi w:val="0"/>
        <w:spacing w:beforeAutospacing="0" w:afterAutospacing="0" w:line="576" w:lineRule="exact"/>
        <w:ind w:firstLine="640" w:firstLineChars="200"/>
        <w:textAlignment w:val="auto"/>
        <w:rPr>
          <w:rFonts w:hint="eastAsia" w:ascii="仿宋_GB2312" w:eastAsia="仿宋_GB2312" w:cs="仿宋_GB2312"/>
          <w:sz w:val="32"/>
          <w:szCs w:val="32"/>
        </w:rPr>
      </w:pPr>
      <w:r>
        <w:rPr>
          <w:rFonts w:ascii="仿宋_GB2312" w:eastAsia="仿宋_GB2312" w:cs="仿宋_GB2312"/>
          <w:sz w:val="32"/>
          <w:szCs w:val="32"/>
        </w:rPr>
        <w:t>7</w:t>
      </w:r>
      <w:r>
        <w:rPr>
          <w:rFonts w:hint="eastAsia" w:ascii="仿宋_GB2312" w:eastAsia="仿宋_GB2312" w:cs="仿宋_GB2312"/>
          <w:sz w:val="32"/>
          <w:szCs w:val="32"/>
        </w:rPr>
        <w:t>.</w:t>
      </w:r>
      <w:r>
        <w:rPr>
          <w:rFonts w:hint="eastAsia" w:ascii="仿宋_GB2312" w:eastAsia="仿宋_GB2312" w:cs="仿宋_GB2312"/>
          <w:sz w:val="32"/>
          <w:szCs w:val="32"/>
          <w:lang w:eastAsia="zh-CN"/>
        </w:rPr>
        <w:t>做好</w:t>
      </w:r>
      <w:r>
        <w:rPr>
          <w:rFonts w:hint="eastAsia" w:ascii="仿宋_GB2312" w:eastAsia="仿宋_GB2312" w:cs="仿宋_GB2312"/>
          <w:sz w:val="32"/>
          <w:szCs w:val="32"/>
        </w:rPr>
        <w:t>人民群众来信来访</w:t>
      </w:r>
      <w:r>
        <w:rPr>
          <w:rFonts w:hint="eastAsia" w:ascii="仿宋_GB2312" w:eastAsia="仿宋_GB2312" w:cs="仿宋_GB2312"/>
          <w:sz w:val="32"/>
          <w:szCs w:val="32"/>
          <w:lang w:eastAsia="zh-CN"/>
        </w:rPr>
        <w:t>工作</w:t>
      </w:r>
      <w:r>
        <w:rPr>
          <w:rFonts w:hint="eastAsia" w:ascii="仿宋_GB2312" w:eastAsia="仿宋_GB2312" w:cs="仿宋_GB2312"/>
          <w:sz w:val="32"/>
          <w:szCs w:val="32"/>
        </w:rPr>
        <w:t>，妥善处置各类突发事件，努力维护社会大局稳定。对来访人员合理诉求及时联系相关部门给予答复，树立良好窗口形象。做好《书记信箱》、《阿坝民声》中涉及我县的信访问题，及时督察督办，及时回复。</w:t>
      </w:r>
    </w:p>
    <w:p>
      <w:pPr>
        <w:pStyle w:val="18"/>
        <w:keepNext w:val="0"/>
        <w:keepLines w:val="0"/>
        <w:pageBreakBefore w:val="0"/>
        <w:widowControl w:val="0"/>
        <w:kinsoku/>
        <w:wordWrap/>
        <w:overflowPunct/>
        <w:topLinePunct w:val="0"/>
        <w:bidi w:val="0"/>
        <w:spacing w:beforeAutospacing="0" w:afterAutospacing="0" w:line="576" w:lineRule="exact"/>
        <w:ind w:firstLine="640" w:firstLineChars="200"/>
        <w:textAlignment w:val="auto"/>
        <w:rPr>
          <w:rFonts w:eastAsia="仿宋_GB2312"/>
          <w:sz w:val="32"/>
          <w:lang w:val="zh-CN"/>
        </w:rPr>
      </w:pPr>
      <w:r>
        <w:rPr>
          <w:rFonts w:ascii="仿宋_GB2312" w:eastAsia="仿宋_GB2312" w:cs="仿宋_GB2312"/>
          <w:sz w:val="32"/>
          <w:szCs w:val="32"/>
        </w:rPr>
        <w:t>8</w:t>
      </w:r>
      <w:r>
        <w:rPr>
          <w:rFonts w:hint="eastAsia" w:ascii="仿宋_GB2312" w:eastAsia="仿宋_GB2312" w:cs="仿宋_GB2312"/>
          <w:sz w:val="32"/>
          <w:szCs w:val="32"/>
        </w:rPr>
        <w:t>.严格执行24小时值班制度，周末、节假日值班制定。加强车辆管理，确保县委工作正常运转。</w:t>
      </w:r>
    </w:p>
    <w:p>
      <w:pPr>
        <w:keepNext w:val="0"/>
        <w:keepLines w:val="0"/>
        <w:pageBreakBefore w:val="0"/>
        <w:widowControl w:val="0"/>
        <w:kinsoku/>
        <w:wordWrap/>
        <w:overflowPunct/>
        <w:topLinePunct w:val="0"/>
        <w:bidi w:val="0"/>
        <w:adjustRightInd w:val="0"/>
        <w:snapToGrid w:val="0"/>
        <w:spacing w:line="576" w:lineRule="exact"/>
        <w:ind w:firstLine="640" w:firstLineChars="200"/>
        <w:contextualSpacing/>
        <w:jc w:val="left"/>
        <w:textAlignment w:val="auto"/>
        <w:rPr>
          <w:rFonts w:ascii="楷体_GB2312" w:hAnsi="楷体_GB2312" w:eastAsia="仿宋_GB2312" w:cs="楷体_GB2312"/>
          <w:color w:val="000000"/>
          <w:kern w:val="0"/>
          <w:sz w:val="32"/>
          <w:szCs w:val="32"/>
          <w:shd w:val="clear" w:color="auto" w:fill="FFFFFF"/>
          <w:lang w:val="zh-CN"/>
        </w:rPr>
      </w:pPr>
      <w:r>
        <w:rPr>
          <w:rFonts w:hint="eastAsia" w:ascii="楷体_GB2312" w:hAnsi="楷体_GB2312" w:eastAsia="仿宋_GB2312" w:cs="楷体_GB2312"/>
          <w:color w:val="000000"/>
          <w:kern w:val="0"/>
          <w:sz w:val="32"/>
          <w:szCs w:val="32"/>
          <w:shd w:val="clear" w:color="auto" w:fill="FFFFFF"/>
          <w:lang w:eastAsia="zh-CN"/>
        </w:rPr>
        <w:t>（</w:t>
      </w:r>
      <w:r>
        <w:rPr>
          <w:rFonts w:hint="eastAsia" w:ascii="楷体_GB2312" w:hAnsi="楷体_GB2312" w:eastAsia="仿宋_GB2312" w:cs="楷体_GB2312"/>
          <w:color w:val="000000"/>
          <w:kern w:val="0"/>
          <w:sz w:val="32"/>
          <w:szCs w:val="32"/>
          <w:shd w:val="clear" w:color="auto" w:fill="FFFFFF"/>
          <w:lang w:val="en-US" w:eastAsia="zh-CN"/>
        </w:rPr>
        <w:t>2</w:t>
      </w:r>
      <w:r>
        <w:rPr>
          <w:rFonts w:hint="eastAsia" w:ascii="楷体_GB2312" w:hAnsi="楷体_GB2312" w:eastAsia="仿宋_GB2312" w:cs="楷体_GB2312"/>
          <w:color w:val="000000"/>
          <w:kern w:val="0"/>
          <w:sz w:val="32"/>
          <w:szCs w:val="32"/>
          <w:shd w:val="clear" w:color="auto" w:fill="FFFFFF"/>
          <w:lang w:eastAsia="zh-CN"/>
        </w:rPr>
        <w:t>）</w:t>
      </w:r>
      <w:r>
        <w:rPr>
          <w:rFonts w:ascii="楷体_GB2312" w:hAnsi="楷体_GB2312" w:eastAsia="仿宋_GB2312" w:cs="楷体_GB2312"/>
          <w:color w:val="000000"/>
          <w:kern w:val="0"/>
          <w:sz w:val="32"/>
          <w:szCs w:val="32"/>
          <w:shd w:val="clear" w:color="auto" w:fill="FFFFFF"/>
          <w:lang w:val="zh-CN"/>
        </w:rPr>
        <w:t>预算管理</w:t>
      </w:r>
      <w:r>
        <w:rPr>
          <w:rFonts w:hint="eastAsia" w:ascii="楷体_GB2312" w:hAnsi="楷体_GB2312" w:eastAsia="仿宋_GB2312" w:cs="楷体_GB2312"/>
          <w:color w:val="000000"/>
          <w:kern w:val="0"/>
          <w:sz w:val="32"/>
          <w:szCs w:val="32"/>
          <w:shd w:val="clear" w:color="auto" w:fill="FFFFFF"/>
          <w:lang w:val="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宋体"/>
          <w:color w:val="000000"/>
          <w:kern w:val="0"/>
          <w:sz w:val="32"/>
          <w:szCs w:val="32"/>
          <w:shd w:val="clear" w:color="auto" w:fill="FFFFFF"/>
          <w:lang w:val="zh-CN"/>
        </w:rPr>
        <w:t>我单位在预决算编制上做到认真、负责、按时按规定报送。严格按要求编制本单位的部门预算，编制预算时做到有文件有依据，</w:t>
      </w:r>
      <w:r>
        <w:rPr>
          <w:rFonts w:hint="eastAsia" w:eastAsia="仿宋_GB2312"/>
          <w:color w:val="000000"/>
          <w:kern w:val="0"/>
          <w:sz w:val="32"/>
          <w:szCs w:val="32"/>
          <w:shd w:val="clear" w:color="auto" w:fill="FFFFFF"/>
          <w:lang w:val="zh-CN"/>
        </w:rPr>
        <w:t>严格控制一般性支出</w:t>
      </w:r>
      <w:r>
        <w:rPr>
          <w:rFonts w:hint="eastAsia" w:ascii="仿宋_GB2312" w:eastAsia="仿宋_GB2312" w:cs="宋体"/>
          <w:color w:val="000000"/>
          <w:kern w:val="0"/>
          <w:sz w:val="32"/>
          <w:szCs w:val="32"/>
          <w:shd w:val="clear" w:color="auto" w:fill="FFFFFF"/>
          <w:lang w:val="zh-CN"/>
        </w:rPr>
        <w:t>。</w:t>
      </w:r>
      <w:r>
        <w:rPr>
          <w:rFonts w:hint="eastAsia" w:ascii="仿宋_GB2312" w:eastAsia="仿宋_GB2312" w:cs="仿宋_GB2312"/>
          <w:sz w:val="32"/>
          <w:szCs w:val="32"/>
          <w:lang w:val="en-US" w:eastAsia="zh-CN"/>
        </w:rPr>
        <w:t>2023年</w:t>
      </w:r>
      <w:r>
        <w:rPr>
          <w:rFonts w:hint="eastAsia" w:ascii="仿宋_GB2312" w:eastAsia="仿宋_GB2312" w:cs="仿宋_GB2312"/>
          <w:sz w:val="32"/>
          <w:szCs w:val="32"/>
        </w:rPr>
        <w:t>本年预算收</w:t>
      </w:r>
      <w:r>
        <w:rPr>
          <w:rFonts w:hint="eastAsia" w:ascii="仿宋_GB2312" w:eastAsia="仿宋_GB2312" w:cs="仿宋_GB2312"/>
          <w:sz w:val="32"/>
          <w:szCs w:val="32"/>
          <w:lang w:val="en-US" w:eastAsia="zh-CN"/>
        </w:rPr>
        <w:t>923.28万</w:t>
      </w:r>
      <w:r>
        <w:rPr>
          <w:rFonts w:hint="eastAsia" w:ascii="仿宋_GB2312" w:eastAsia="仿宋_GB2312" w:cs="仿宋_GB2312"/>
          <w:sz w:val="32"/>
          <w:szCs w:val="32"/>
        </w:rPr>
        <w:t>元，</w:t>
      </w:r>
      <w:r>
        <w:rPr>
          <w:rFonts w:hint="eastAsia" w:ascii="仿宋_GB2312" w:eastAsia="仿宋_GB2312" w:cs="仿宋_GB2312"/>
          <w:sz w:val="32"/>
          <w:szCs w:val="32"/>
          <w:lang w:eastAsia="zh-CN"/>
        </w:rPr>
        <w:t>上</w:t>
      </w:r>
      <w:r>
        <w:rPr>
          <w:rFonts w:hint="eastAsia" w:ascii="仿宋_GB2312" w:eastAsia="仿宋_GB2312" w:cs="仿宋_GB2312"/>
          <w:sz w:val="32"/>
          <w:szCs w:val="32"/>
        </w:rPr>
        <w:t>年预算收入</w:t>
      </w:r>
      <w:r>
        <w:rPr>
          <w:rFonts w:hint="eastAsia" w:ascii="仿宋_GB2312" w:eastAsia="仿宋_GB2312" w:cs="仿宋_GB2312"/>
          <w:sz w:val="32"/>
          <w:szCs w:val="32"/>
          <w:lang w:val="en-US" w:eastAsia="zh-CN"/>
        </w:rPr>
        <w:t>695.58万</w:t>
      </w:r>
      <w:r>
        <w:rPr>
          <w:rFonts w:hint="eastAsia" w:ascii="仿宋_GB2312" w:eastAsia="仿宋_GB2312" w:cs="仿宋_GB2312"/>
          <w:sz w:val="32"/>
          <w:szCs w:val="32"/>
        </w:rPr>
        <w:t>元，比去年</w:t>
      </w:r>
      <w:r>
        <w:rPr>
          <w:rFonts w:hint="eastAsia" w:ascii="仿宋_GB2312" w:eastAsia="仿宋_GB2312" w:cs="仿宋_GB2312"/>
          <w:sz w:val="32"/>
          <w:szCs w:val="32"/>
          <w:lang w:val="en-US" w:eastAsia="zh-CN"/>
        </w:rPr>
        <w:t>增加227.70万</w:t>
      </w:r>
      <w:r>
        <w:rPr>
          <w:rFonts w:hint="eastAsia" w:ascii="仿宋_GB2312" w:eastAsia="仿宋_GB2312" w:cs="仿宋_GB2312"/>
          <w:sz w:val="32"/>
          <w:szCs w:val="32"/>
        </w:rPr>
        <w:t>元；本年支出预算数为</w:t>
      </w:r>
      <w:r>
        <w:rPr>
          <w:rFonts w:hint="eastAsia" w:ascii="仿宋_GB2312" w:eastAsia="仿宋_GB2312" w:cs="仿宋_GB2312"/>
          <w:sz w:val="32"/>
          <w:szCs w:val="32"/>
          <w:lang w:val="en-US" w:eastAsia="zh-CN"/>
        </w:rPr>
        <w:t>923.28万</w:t>
      </w:r>
      <w:r>
        <w:rPr>
          <w:rFonts w:hint="eastAsia" w:ascii="仿宋_GB2312" w:eastAsia="仿宋_GB2312" w:cs="仿宋_GB2312"/>
          <w:sz w:val="32"/>
          <w:szCs w:val="32"/>
        </w:rPr>
        <w:t>元，</w:t>
      </w:r>
      <w:r>
        <w:rPr>
          <w:rFonts w:hint="eastAsia" w:ascii="仿宋_GB2312" w:eastAsia="仿宋_GB2312" w:cs="仿宋_GB2312"/>
          <w:sz w:val="32"/>
          <w:szCs w:val="32"/>
          <w:lang w:eastAsia="zh-CN"/>
        </w:rPr>
        <w:t>上</w:t>
      </w:r>
      <w:r>
        <w:rPr>
          <w:rFonts w:hint="eastAsia" w:ascii="仿宋_GB2312" w:eastAsia="仿宋_GB2312" w:cs="仿宋_GB2312"/>
          <w:sz w:val="32"/>
          <w:szCs w:val="32"/>
        </w:rPr>
        <w:t>年支出预算数为</w:t>
      </w:r>
      <w:r>
        <w:rPr>
          <w:rFonts w:hint="eastAsia" w:ascii="仿宋_GB2312" w:eastAsia="仿宋_GB2312" w:cs="仿宋_GB2312"/>
          <w:sz w:val="32"/>
          <w:szCs w:val="32"/>
          <w:lang w:val="en-US" w:eastAsia="zh-CN"/>
        </w:rPr>
        <w:t>695.58万</w:t>
      </w:r>
      <w:r>
        <w:rPr>
          <w:rFonts w:hint="eastAsia" w:ascii="仿宋_GB2312" w:eastAsia="仿宋_GB2312" w:cs="仿宋_GB2312"/>
          <w:sz w:val="32"/>
          <w:szCs w:val="32"/>
        </w:rPr>
        <w:t>元，比去年</w:t>
      </w:r>
      <w:r>
        <w:rPr>
          <w:rFonts w:hint="eastAsia" w:ascii="仿宋_GB2312" w:eastAsia="仿宋_GB2312" w:cs="仿宋_GB2312"/>
          <w:sz w:val="32"/>
          <w:szCs w:val="32"/>
          <w:lang w:val="en-US" w:eastAsia="zh-CN"/>
        </w:rPr>
        <w:t>增加227.7</w:t>
      </w:r>
      <w:r>
        <w:rPr>
          <w:rFonts w:ascii="仿宋_GB2312" w:eastAsia="仿宋_GB2312" w:cs="仿宋_GB2312"/>
          <w:sz w:val="32"/>
          <w:szCs w:val="32"/>
          <w:lang w:val="en-US" w:eastAsia="zh-CN"/>
        </w:rPr>
        <w:t>0</w:t>
      </w:r>
      <w:r>
        <w:rPr>
          <w:rFonts w:hint="eastAsia" w:ascii="仿宋_GB2312" w:eastAsia="仿宋_GB2312" w:cs="仿宋_GB2312"/>
          <w:sz w:val="32"/>
          <w:szCs w:val="32"/>
          <w:lang w:val="en-US" w:eastAsia="zh-CN"/>
        </w:rPr>
        <w:t>万</w:t>
      </w:r>
      <w:r>
        <w:rPr>
          <w:rFonts w:hint="eastAsia" w:ascii="仿宋_GB2312" w:eastAsia="仿宋_GB2312" w:cs="仿宋_GB2312"/>
          <w:sz w:val="32"/>
          <w:szCs w:val="32"/>
        </w:rPr>
        <w:t>元</w:t>
      </w:r>
      <w:r>
        <w:rPr>
          <w:rFonts w:hint="eastAsia" w:ascii="仿宋_GB2312" w:eastAsia="仿宋_GB2312" w:cs="仿宋_GB2312"/>
          <w:sz w:val="32"/>
          <w:szCs w:val="32"/>
          <w:lang w:eastAsia="zh-CN"/>
        </w:rPr>
        <w:t>，</w:t>
      </w:r>
      <w:r>
        <w:rPr>
          <w:rFonts w:hint="eastAsia" w:ascii="仿宋_GB2312" w:eastAsia="仿宋_GB2312" w:cs="仿宋_GB2312"/>
          <w:sz w:val="32"/>
          <w:szCs w:val="32"/>
        </w:rPr>
        <w:t>原因：</w:t>
      </w:r>
      <w:r>
        <w:rPr>
          <w:rFonts w:hint="eastAsia" w:ascii="仿宋_GB2312" w:eastAsia="仿宋_GB2312" w:cs="仿宋_GB2312"/>
          <w:sz w:val="32"/>
          <w:szCs w:val="32"/>
          <w:lang w:val="en-US" w:eastAsia="zh-CN"/>
        </w:rPr>
        <w:t>人员增加及经费增多。</w:t>
      </w:r>
      <w:r>
        <w:rPr>
          <w:rFonts w:hint="eastAsia" w:ascii="仿宋_GB2312" w:eastAsia="仿宋_GB2312" w:cs="仿宋_GB2312"/>
          <w:sz w:val="32"/>
          <w:szCs w:val="32"/>
        </w:rPr>
        <w:t>本年收入调整预算数为</w:t>
      </w:r>
      <w:r>
        <w:rPr>
          <w:rFonts w:hint="eastAsia" w:ascii="仿宋_GB2312" w:eastAsia="仿宋_GB2312" w:cs="仿宋_GB2312"/>
          <w:sz w:val="32"/>
          <w:szCs w:val="32"/>
          <w:lang w:val="en-US" w:eastAsia="zh-CN"/>
        </w:rPr>
        <w:t>1267.80万</w:t>
      </w:r>
      <w:r>
        <w:rPr>
          <w:rFonts w:hint="eastAsia" w:ascii="仿宋_GB2312" w:eastAsia="仿宋_GB2312" w:cs="仿宋_GB2312"/>
          <w:sz w:val="32"/>
          <w:szCs w:val="32"/>
        </w:rPr>
        <w:t>元，</w:t>
      </w:r>
      <w:r>
        <w:rPr>
          <w:rFonts w:hint="eastAsia" w:ascii="仿宋_GB2312" w:eastAsia="仿宋_GB2312" w:cs="仿宋_GB2312"/>
          <w:sz w:val="32"/>
          <w:szCs w:val="32"/>
          <w:lang w:val="en-US" w:eastAsia="zh-CN"/>
        </w:rPr>
        <w:t>上年调整</w:t>
      </w:r>
      <w:r>
        <w:rPr>
          <w:rFonts w:hint="eastAsia" w:ascii="仿宋_GB2312" w:eastAsia="仿宋_GB2312" w:cs="仿宋_GB2312"/>
          <w:sz w:val="32"/>
          <w:szCs w:val="32"/>
          <w:lang w:eastAsia="zh-CN"/>
        </w:rPr>
        <w:t>收入决算数为</w:t>
      </w:r>
      <w:r>
        <w:rPr>
          <w:rFonts w:hint="eastAsia" w:ascii="仿宋_GB2312" w:eastAsia="仿宋_GB2312" w:cs="仿宋_GB2312"/>
          <w:sz w:val="32"/>
          <w:szCs w:val="32"/>
          <w:lang w:val="en-US" w:eastAsia="zh-CN"/>
        </w:rPr>
        <w:t>1286.65万元，差额-18.85万元.本年度调整支出预算数1267.80万元，上年调整支出数1286.65万元，差额-18.85万元。</w:t>
      </w:r>
    </w:p>
    <w:p>
      <w:pPr>
        <w:keepNext w:val="0"/>
        <w:keepLines w:val="0"/>
        <w:pageBreakBefore w:val="0"/>
        <w:widowControl w:val="0"/>
        <w:kinsoku/>
        <w:wordWrap/>
        <w:overflowPunct/>
        <w:topLinePunct w:val="0"/>
        <w:bidi w:val="0"/>
        <w:adjustRightInd w:val="0"/>
        <w:snapToGrid w:val="0"/>
        <w:spacing w:line="576" w:lineRule="exact"/>
        <w:ind w:left="0" w:firstLine="640" w:firstLineChars="200"/>
        <w:contextualSpacing/>
        <w:jc w:val="left"/>
        <w:textAlignment w:val="auto"/>
        <w:rPr>
          <w:rFonts w:hint="eastAsia" w:ascii="楷体_GB2312" w:hAnsi="楷体_GB2312" w:eastAsia="仿宋_GB2312" w:cs="楷体_GB2312"/>
          <w:color w:val="000000"/>
          <w:kern w:val="0"/>
          <w:sz w:val="32"/>
          <w:szCs w:val="32"/>
          <w:shd w:val="clear" w:color="auto" w:fill="FFFFFF"/>
          <w:lang w:val="zh-CN"/>
        </w:rPr>
      </w:pPr>
      <w:r>
        <w:rPr>
          <w:rFonts w:hint="eastAsia" w:ascii="楷体_GB2312" w:hAnsi="楷体_GB2312" w:eastAsia="仿宋_GB2312" w:cs="楷体_GB2312"/>
          <w:color w:val="000000"/>
          <w:kern w:val="0"/>
          <w:sz w:val="32"/>
          <w:szCs w:val="32"/>
          <w:shd w:val="clear" w:color="auto" w:fill="FFFFFF"/>
          <w:lang w:val="zh-CN"/>
        </w:rPr>
        <w:t>（</w:t>
      </w:r>
      <w:r>
        <w:rPr>
          <w:rFonts w:hint="eastAsia" w:ascii="楷体_GB2312" w:hAnsi="楷体_GB2312" w:eastAsia="仿宋_GB2312" w:cs="楷体_GB2312"/>
          <w:color w:val="000000"/>
          <w:kern w:val="0"/>
          <w:sz w:val="32"/>
          <w:szCs w:val="32"/>
          <w:shd w:val="clear" w:color="auto" w:fill="FFFFFF"/>
          <w:lang w:val="en-US" w:eastAsia="zh-CN"/>
        </w:rPr>
        <w:t>3</w:t>
      </w:r>
      <w:r>
        <w:rPr>
          <w:rFonts w:hint="eastAsia" w:ascii="楷体_GB2312" w:hAnsi="楷体_GB2312" w:eastAsia="仿宋_GB2312" w:cs="楷体_GB2312"/>
          <w:color w:val="000000"/>
          <w:kern w:val="0"/>
          <w:sz w:val="32"/>
          <w:szCs w:val="32"/>
          <w:shd w:val="clear" w:color="auto" w:fill="FFFFFF"/>
          <w:lang w:val="zh-CN"/>
        </w:rPr>
        <w:t>）</w:t>
      </w:r>
      <w:r>
        <w:rPr>
          <w:rFonts w:ascii="楷体_GB2312" w:hAnsi="楷体_GB2312" w:eastAsia="仿宋_GB2312" w:cs="楷体_GB2312"/>
          <w:color w:val="000000"/>
          <w:kern w:val="0"/>
          <w:sz w:val="32"/>
          <w:szCs w:val="32"/>
          <w:shd w:val="clear" w:color="auto" w:fill="FFFFFF"/>
          <w:lang w:val="zh-CN"/>
        </w:rPr>
        <w:t>财务管理</w:t>
      </w:r>
      <w:r>
        <w:rPr>
          <w:rFonts w:hint="eastAsia" w:ascii="楷体_GB2312" w:hAnsi="楷体_GB2312" w:eastAsia="仿宋_GB2312" w:cs="楷体_GB2312"/>
          <w:color w:val="000000"/>
          <w:kern w:val="0"/>
          <w:sz w:val="32"/>
          <w:szCs w:val="32"/>
          <w:shd w:val="clear" w:color="auto" w:fill="FFFFFF"/>
          <w:lang w:val="zh-CN"/>
        </w:rPr>
        <w:t>。</w:t>
      </w:r>
    </w:p>
    <w:p>
      <w:pPr>
        <w:keepNext w:val="0"/>
        <w:keepLines w:val="0"/>
        <w:pageBreakBefore w:val="0"/>
        <w:widowControl w:val="0"/>
        <w:kinsoku/>
        <w:wordWrap/>
        <w:overflowPunct/>
        <w:topLinePunct w:val="0"/>
        <w:bidi w:val="0"/>
        <w:adjustRightInd w:val="0"/>
        <w:snapToGrid w:val="0"/>
        <w:spacing w:line="576" w:lineRule="exact"/>
        <w:ind w:left="0" w:firstLine="640" w:firstLineChars="200"/>
        <w:contextualSpacing/>
        <w:jc w:val="left"/>
        <w:textAlignment w:val="auto"/>
        <w:rPr>
          <w:rFonts w:hint="eastAsia" w:eastAsia="仿宋_GB2312"/>
          <w:color w:val="000000"/>
          <w:kern w:val="0"/>
          <w:sz w:val="32"/>
          <w:szCs w:val="32"/>
          <w:shd w:val="clear" w:color="auto" w:fill="FFFFFF"/>
          <w:lang w:val="en-US" w:eastAsia="zh-CN"/>
        </w:rPr>
      </w:pPr>
      <w:r>
        <w:rPr>
          <w:rFonts w:hint="eastAsia" w:ascii="楷体_GB2312" w:hAnsi="楷体_GB2312" w:eastAsia="仿宋_GB2312" w:cs="楷体_GB2312"/>
          <w:color w:val="000000"/>
          <w:kern w:val="0"/>
          <w:sz w:val="32"/>
          <w:szCs w:val="32"/>
          <w:shd w:val="clear" w:color="auto" w:fill="FFFFFF"/>
          <w:lang w:val="zh-CN"/>
        </w:rPr>
        <w:t>单位建立了相关的财务管理制度，设立了出纳和会计岗</w:t>
      </w:r>
      <w:r>
        <w:rPr>
          <w:rFonts w:ascii="楷体_GB2312" w:hAnsi="楷体_GB2312" w:eastAsia="仿宋_GB2312" w:cs="楷体_GB2312"/>
          <w:color w:val="000000"/>
          <w:kern w:val="0"/>
          <w:sz w:val="32"/>
          <w:szCs w:val="32"/>
          <w:shd w:val="clear" w:color="auto" w:fill="FFFFFF"/>
          <w:lang w:val="zh-CN"/>
        </w:rPr>
        <w:t>，</w:t>
      </w:r>
      <w:r>
        <w:rPr>
          <w:rFonts w:hint="eastAsia" w:ascii="楷体_GB2312" w:hAnsi="楷体_GB2312" w:eastAsia="仿宋_GB2312" w:cs="楷体_GB2312"/>
          <w:color w:val="000000"/>
          <w:kern w:val="0"/>
          <w:sz w:val="32"/>
          <w:szCs w:val="32"/>
          <w:shd w:val="clear" w:color="auto" w:fill="FFFFFF"/>
          <w:lang w:val="zh-CN"/>
        </w:rPr>
        <w:t>配备了相应的财务人员。</w:t>
      </w:r>
      <w:r>
        <w:rPr>
          <w:rFonts w:hint="eastAsia" w:ascii="仿宋_GB2312" w:eastAsia="仿宋_GB2312"/>
          <w:color w:val="000000"/>
          <w:sz w:val="32"/>
          <w:szCs w:val="32"/>
        </w:rPr>
        <w:t>在财务管理方面，经费支出实行</w:t>
      </w:r>
      <w:r>
        <w:rPr>
          <w:rFonts w:hint="eastAsia" w:ascii="仿宋_GB2312" w:eastAsia="仿宋_GB2312"/>
          <w:color w:val="000000"/>
          <w:sz w:val="32"/>
          <w:szCs w:val="32"/>
          <w:lang w:eastAsia="zh-CN"/>
        </w:rPr>
        <w:t>严格</w:t>
      </w:r>
      <w:r>
        <w:rPr>
          <w:rFonts w:hint="eastAsia" w:ascii="仿宋_GB2312" w:eastAsia="仿宋_GB2312"/>
          <w:color w:val="000000"/>
          <w:sz w:val="32"/>
          <w:szCs w:val="32"/>
        </w:rPr>
        <w:t>审批制度，严格预算原则。严格控制基本经费支出，加强对日常经费开支的管理。</w:t>
      </w:r>
      <w:r>
        <w:rPr>
          <w:rFonts w:hint="eastAsia" w:ascii="仿宋_GB2312" w:eastAsia="仿宋_GB2312"/>
          <w:color w:val="000000"/>
          <w:sz w:val="32"/>
          <w:szCs w:val="32"/>
          <w:lang w:eastAsia="zh-CN"/>
        </w:rPr>
        <w:t>严禁超预算支出。</w:t>
      </w:r>
      <w:r>
        <w:rPr>
          <w:rFonts w:hint="eastAsia" w:ascii="仿宋_GB2312" w:eastAsia="仿宋_GB2312"/>
          <w:color w:val="000000"/>
          <w:sz w:val="32"/>
          <w:szCs w:val="32"/>
        </w:rPr>
        <w:t>加大对公务卡的使用管理，要求工作人员严格按照公务卡结算目录的要求使用公务卡。</w:t>
      </w:r>
      <w:r>
        <w:rPr>
          <w:rFonts w:hint="eastAsia" w:ascii="仿宋_GB2312" w:eastAsia="仿宋_GB2312"/>
          <w:color w:val="000000"/>
          <w:sz w:val="32"/>
          <w:szCs w:val="32"/>
          <w:lang w:eastAsia="zh-CN"/>
        </w:rPr>
        <w:t>资金使用符合相关的财务管理规定。</w:t>
      </w:r>
      <w:r>
        <w:rPr>
          <w:rFonts w:hint="eastAsia" w:eastAsia="仿宋_GB2312"/>
          <w:color w:val="000000"/>
          <w:kern w:val="0"/>
          <w:sz w:val="32"/>
          <w:szCs w:val="32"/>
          <w:shd w:val="clear" w:color="auto" w:fill="FFFFFF"/>
          <w:lang w:val="en-US" w:eastAsia="zh-CN"/>
        </w:rPr>
        <w:t xml:space="preserve"> </w:t>
      </w:r>
    </w:p>
    <w:p>
      <w:pPr>
        <w:keepNext w:val="0"/>
        <w:keepLines w:val="0"/>
        <w:pageBreakBefore w:val="0"/>
        <w:widowControl w:val="0"/>
        <w:kinsoku/>
        <w:wordWrap/>
        <w:overflowPunct/>
        <w:topLinePunct w:val="0"/>
        <w:bidi w:val="0"/>
        <w:adjustRightInd w:val="0"/>
        <w:snapToGrid w:val="0"/>
        <w:spacing w:line="576" w:lineRule="exact"/>
        <w:ind w:left="420" w:leftChars="200"/>
        <w:contextualSpacing/>
        <w:jc w:val="left"/>
        <w:textAlignment w:val="auto"/>
        <w:rPr>
          <w:rFonts w:hint="eastAsia" w:eastAsia="仿宋_GB2312"/>
          <w:color w:val="000000"/>
          <w:kern w:val="0"/>
          <w:sz w:val="32"/>
          <w:szCs w:val="32"/>
          <w:shd w:val="clear" w:color="auto" w:fill="FFFFFF"/>
          <w:lang w:val="en-US" w:eastAsia="zh-CN"/>
        </w:rPr>
      </w:pPr>
      <w:r>
        <w:rPr>
          <w:rFonts w:hint="eastAsia" w:ascii="楷体_GB2312" w:hAnsi="楷体_GB2312" w:eastAsia="仿宋_GB2312" w:cs="楷体_GB2312"/>
          <w:color w:val="000000"/>
          <w:kern w:val="0"/>
          <w:sz w:val="32"/>
          <w:szCs w:val="32"/>
          <w:shd w:val="clear" w:color="auto" w:fill="FFFFFF"/>
          <w:lang w:val="en-US" w:eastAsia="zh-CN"/>
        </w:rPr>
        <w:t>（4）</w:t>
      </w:r>
      <w:r>
        <w:rPr>
          <w:rFonts w:ascii="楷体_GB2312" w:hAnsi="楷体_GB2312" w:eastAsia="仿宋_GB2312" w:cs="楷体_GB2312"/>
          <w:color w:val="000000"/>
          <w:kern w:val="0"/>
          <w:sz w:val="32"/>
          <w:szCs w:val="32"/>
          <w:shd w:val="clear" w:color="auto" w:fill="FFFFFF"/>
          <w:lang w:val="zh-CN"/>
        </w:rPr>
        <w:t>资产管理</w:t>
      </w:r>
      <w:r>
        <w:rPr>
          <w:rFonts w:hint="eastAsia" w:ascii="楷体_GB2312" w:hAnsi="楷体_GB2312" w:eastAsia="仿宋_GB2312" w:cs="楷体_GB2312"/>
          <w:color w:val="000000"/>
          <w:kern w:val="0"/>
          <w:sz w:val="32"/>
          <w:szCs w:val="32"/>
          <w:shd w:val="clear" w:color="auto" w:fill="FFFFFF"/>
          <w:lang w:val="zh-CN"/>
        </w:rPr>
        <w:t>。</w:t>
      </w:r>
    </w:p>
    <w:p>
      <w:pPr>
        <w:keepNext w:val="0"/>
        <w:keepLines w:val="0"/>
        <w:pageBreakBefore w:val="0"/>
        <w:widowControl w:val="0"/>
        <w:kinsoku/>
        <w:wordWrap/>
        <w:overflowPunct/>
        <w:topLinePunct w:val="0"/>
        <w:bidi w:val="0"/>
        <w:adjustRightInd w:val="0"/>
        <w:snapToGrid w:val="0"/>
        <w:spacing w:line="576" w:lineRule="exact"/>
        <w:ind w:left="0" w:firstLine="640" w:firstLineChars="200"/>
        <w:contextualSpacing/>
        <w:jc w:val="left"/>
        <w:textAlignment w:val="auto"/>
        <w:rPr>
          <w:rFonts w:eastAsia="仿宋_GB2312"/>
          <w:color w:val="000000"/>
          <w:kern w:val="0"/>
          <w:sz w:val="32"/>
          <w:szCs w:val="32"/>
          <w:shd w:val="clear" w:color="auto" w:fill="FFFFFF"/>
          <w:lang w:val="en-US" w:eastAsia="zh-CN"/>
        </w:rPr>
      </w:pPr>
      <w:r>
        <w:rPr>
          <w:rFonts w:hint="eastAsia" w:ascii="仿宋_GB2312" w:eastAsia="仿宋_GB2312"/>
          <w:color w:val="000000"/>
          <w:sz w:val="32"/>
          <w:szCs w:val="32"/>
        </w:rPr>
        <w:t>在资产管理方面，坚持谁使用谁保管谁负责的原则，建立台账，各负其责，财务室负责固定资产的日常账务处理，办公室负责台账登记和日常</w:t>
      </w:r>
      <w:r>
        <w:rPr>
          <w:rFonts w:hint="eastAsia" w:ascii="仿宋_GB2312" w:eastAsia="仿宋_GB2312"/>
          <w:color w:val="000000"/>
          <w:sz w:val="32"/>
          <w:szCs w:val="32"/>
          <w:lang w:eastAsia="zh-CN"/>
        </w:rPr>
        <w:t>维修，使资产</w:t>
      </w:r>
      <w:r>
        <w:rPr>
          <w:rFonts w:hint="eastAsia" w:eastAsia="仿宋_GB2312"/>
          <w:color w:val="000000"/>
          <w:kern w:val="0"/>
          <w:sz w:val="32"/>
          <w:szCs w:val="32"/>
          <w:shd w:val="clear" w:color="auto" w:fill="FFFFFF"/>
          <w:lang w:val="en-US" w:eastAsia="zh-CN"/>
        </w:rPr>
        <w:t>能保障单位工作的正常运转。在办公设备配置上，严格执行电脑，打印机等最低使用年限且年限满后只要维修后能正常使用的我单位都将继续使用，没有超出配置。资产利用率达</w:t>
      </w:r>
      <w:r>
        <w:rPr>
          <w:rFonts w:hint="eastAsia" w:eastAsia="仿宋_GB2312"/>
          <w:b w:val="0"/>
          <w:bCs w:val="0"/>
          <w:color w:val="000000"/>
          <w:kern w:val="0"/>
          <w:sz w:val="32"/>
          <w:szCs w:val="32"/>
          <w:shd w:val="clear" w:color="auto" w:fill="FFFFFF"/>
          <w:lang w:val="en-US" w:eastAsia="zh-CN"/>
        </w:rPr>
        <w:t>100%，</w:t>
      </w:r>
      <w:r>
        <w:rPr>
          <w:rFonts w:hint="eastAsia" w:eastAsia="仿宋_GB2312"/>
          <w:color w:val="000000"/>
          <w:kern w:val="0"/>
          <w:sz w:val="32"/>
          <w:szCs w:val="32"/>
          <w:shd w:val="clear" w:color="auto" w:fill="FFFFFF"/>
          <w:lang w:val="en-US" w:eastAsia="zh-CN"/>
        </w:rPr>
        <w:t>无闲置资产。</w:t>
      </w:r>
    </w:p>
    <w:p>
      <w:pPr>
        <w:keepNext w:val="0"/>
        <w:keepLines w:val="0"/>
        <w:pageBreakBefore w:val="0"/>
        <w:widowControl w:val="0"/>
        <w:kinsoku/>
        <w:wordWrap/>
        <w:overflowPunct/>
        <w:topLinePunct w:val="0"/>
        <w:bidi w:val="0"/>
        <w:adjustRightInd w:val="0"/>
        <w:snapToGrid w:val="0"/>
        <w:spacing w:line="576" w:lineRule="exact"/>
        <w:ind w:left="420" w:leftChars="200"/>
        <w:contextualSpacing/>
        <w:jc w:val="left"/>
        <w:textAlignment w:val="auto"/>
        <w:rPr>
          <w:rFonts w:hint="eastAsia" w:ascii="楷体_GB2312" w:hAnsi="楷体_GB2312" w:eastAsia="仿宋_GB2312" w:cs="楷体_GB2312"/>
          <w:color w:val="000000"/>
          <w:kern w:val="0"/>
          <w:sz w:val="32"/>
          <w:szCs w:val="32"/>
          <w:shd w:val="clear" w:color="auto" w:fill="FFFFFF"/>
          <w:lang w:val="zh-CN"/>
        </w:rPr>
      </w:pPr>
      <w:r>
        <w:rPr>
          <w:rFonts w:hint="eastAsia" w:ascii="楷体_GB2312" w:hAnsi="楷体_GB2312" w:eastAsia="仿宋_GB2312" w:cs="楷体_GB2312"/>
          <w:color w:val="000000"/>
          <w:kern w:val="0"/>
          <w:sz w:val="32"/>
          <w:szCs w:val="32"/>
          <w:shd w:val="clear" w:color="auto" w:fill="FFFFFF"/>
          <w:lang w:val="en-US" w:eastAsia="zh-CN"/>
        </w:rPr>
        <w:t>（5）</w:t>
      </w:r>
      <w:r>
        <w:rPr>
          <w:rFonts w:ascii="楷体_GB2312" w:hAnsi="楷体_GB2312" w:eastAsia="仿宋_GB2312" w:cs="楷体_GB2312"/>
          <w:color w:val="000000"/>
          <w:kern w:val="0"/>
          <w:sz w:val="32"/>
          <w:szCs w:val="32"/>
          <w:shd w:val="clear" w:color="auto" w:fill="FFFFFF"/>
          <w:lang w:val="zh-CN"/>
        </w:rPr>
        <w:t>采购管理</w:t>
      </w:r>
      <w:r>
        <w:rPr>
          <w:rFonts w:hint="eastAsia" w:ascii="楷体_GB2312" w:hAnsi="楷体_GB2312" w:eastAsia="仿宋_GB2312" w:cs="楷体_GB2312"/>
          <w:color w:val="000000"/>
          <w:kern w:val="0"/>
          <w:sz w:val="32"/>
          <w:szCs w:val="32"/>
          <w:shd w:val="clear" w:color="auto" w:fill="FFFFFF"/>
          <w:lang w:val="zh-CN"/>
        </w:rPr>
        <w:t>。</w:t>
      </w:r>
    </w:p>
    <w:p>
      <w:pPr>
        <w:keepNext w:val="0"/>
        <w:keepLines w:val="0"/>
        <w:pageBreakBefore w:val="0"/>
        <w:widowControl w:val="0"/>
        <w:kinsoku/>
        <w:wordWrap/>
        <w:overflowPunct/>
        <w:topLinePunct w:val="0"/>
        <w:bidi w:val="0"/>
        <w:adjustRightInd w:val="0"/>
        <w:snapToGrid w:val="0"/>
        <w:spacing w:line="576" w:lineRule="exact"/>
        <w:ind w:left="0" w:firstLine="640" w:firstLineChars="200"/>
        <w:contextualSpacing/>
        <w:jc w:val="left"/>
        <w:textAlignment w:val="auto"/>
        <w:rPr>
          <w:rFonts w:ascii="楷体_GB2312" w:hAnsi="楷体_GB2312" w:eastAsia="仿宋_GB2312" w:cs="楷体_GB2312"/>
          <w:color w:val="000000"/>
          <w:kern w:val="0"/>
          <w:sz w:val="32"/>
          <w:szCs w:val="32"/>
          <w:shd w:val="clear" w:color="auto" w:fill="FFFFFF"/>
          <w:lang w:val="zh-CN"/>
        </w:rPr>
      </w:pPr>
      <w:r>
        <w:rPr>
          <w:rFonts w:hint="eastAsia" w:ascii="楷体_GB2312" w:hAnsi="楷体_GB2312" w:eastAsia="仿宋_GB2312" w:cs="楷体_GB2312"/>
          <w:color w:val="000000"/>
          <w:kern w:val="0"/>
          <w:sz w:val="32"/>
          <w:szCs w:val="32"/>
          <w:shd w:val="clear" w:color="auto" w:fill="FFFFFF"/>
          <w:lang w:val="zh-CN"/>
        </w:rPr>
        <w:t>我单位的采购主要是采用询价的方式进行，采购严格按照相关的文件进行。围绕支持中小企业发展，我单位按要求发布询价公告进行实地询价，最后确定询价结果和中标公司并公示以及合同的签订，项目在单位的监管下按合同正常推进完成，采购执行率高。</w:t>
      </w:r>
    </w:p>
    <w:p>
      <w:pPr>
        <w:keepNext w:val="0"/>
        <w:keepLines w:val="0"/>
        <w:pageBreakBefore w:val="0"/>
        <w:widowControl/>
        <w:kinsoku/>
        <w:wordWrap/>
        <w:overflowPunct/>
        <w:topLinePunct w:val="0"/>
        <w:bidi w:val="0"/>
        <w:adjustRightInd w:val="0"/>
        <w:snapToGrid w:val="0"/>
        <w:spacing w:line="576" w:lineRule="exact"/>
        <w:ind w:firstLine="642" w:firstLineChars="200"/>
        <w:contextualSpacing/>
        <w:jc w:val="left"/>
        <w:textAlignment w:val="auto"/>
        <w:rPr>
          <w:rFonts w:eastAsia="仿宋_GB2312"/>
          <w:color w:val="000000"/>
          <w:kern w:val="0"/>
          <w:sz w:val="32"/>
          <w:szCs w:val="32"/>
          <w:shd w:val="clear" w:color="auto" w:fill="FFFFFF"/>
        </w:rPr>
      </w:pPr>
      <w:r>
        <w:rPr>
          <w:rFonts w:eastAsia="仿宋_GB2312"/>
          <w:b/>
          <w:bCs/>
          <w:color w:val="000000"/>
          <w:kern w:val="0"/>
          <w:sz w:val="32"/>
          <w:szCs w:val="32"/>
          <w:shd w:val="clear" w:color="auto" w:fill="FFFFFF"/>
          <w:lang w:val="zh-CN"/>
        </w:rPr>
        <w:t>（二）部门预算项目绩效分析。</w:t>
      </w:r>
    </w:p>
    <w:p>
      <w:pPr>
        <w:keepNext w:val="0"/>
        <w:keepLines w:val="0"/>
        <w:pageBreakBefore w:val="0"/>
        <w:widowControl w:val="0"/>
        <w:kinsoku/>
        <w:wordWrap/>
        <w:overflowPunct/>
        <w:topLinePunct w:val="0"/>
        <w:bidi w:val="0"/>
        <w:adjustRightInd w:val="0"/>
        <w:snapToGrid w:val="0"/>
        <w:spacing w:line="576" w:lineRule="exact"/>
        <w:ind w:firstLine="640" w:firstLineChars="200"/>
        <w:contextualSpacing/>
        <w:jc w:val="left"/>
        <w:textAlignment w:val="auto"/>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rPr>
        <w:t>常年项目绩效分析。</w:t>
      </w:r>
      <w:r>
        <w:rPr>
          <w:rFonts w:eastAsia="仿宋_GB2312"/>
          <w:color w:val="000000"/>
          <w:kern w:val="0"/>
          <w:sz w:val="32"/>
          <w:szCs w:val="32"/>
          <w:shd w:val="clear" w:color="auto" w:fill="FFFFFF"/>
          <w:lang w:val="zh-CN"/>
        </w:rPr>
        <w:t>该类项目总数</w:t>
      </w:r>
      <w:r>
        <w:rPr>
          <w:rFonts w:hint="eastAsia" w:eastAsia="仿宋_GB2312"/>
          <w:color w:val="000000"/>
          <w:kern w:val="0"/>
          <w:sz w:val="32"/>
          <w:szCs w:val="32"/>
          <w:shd w:val="clear" w:color="auto" w:fill="FFFFFF"/>
          <w:lang w:val="en-US" w:eastAsia="zh-CN"/>
        </w:rPr>
        <w:t>0</w:t>
      </w:r>
      <w:r>
        <w:rPr>
          <w:rFonts w:eastAsia="仿宋_GB2312"/>
          <w:color w:val="000000"/>
          <w:kern w:val="0"/>
          <w:sz w:val="32"/>
          <w:szCs w:val="32"/>
          <w:shd w:val="clear" w:color="auto" w:fill="FFFFFF"/>
          <w:lang w:val="zh-CN"/>
        </w:rPr>
        <w:t>个，涉及预算总金额</w:t>
      </w:r>
      <w:r>
        <w:rPr>
          <w:rFonts w:hint="eastAsia" w:eastAsia="仿宋_GB2312"/>
          <w:color w:val="000000"/>
          <w:kern w:val="0"/>
          <w:sz w:val="32"/>
          <w:szCs w:val="32"/>
          <w:shd w:val="clear" w:color="auto" w:fill="FFFFFF"/>
          <w:lang w:val="en-US" w:eastAsia="zh-CN"/>
        </w:rPr>
        <w:t>0.00</w:t>
      </w:r>
      <w:r>
        <w:rPr>
          <w:rFonts w:eastAsia="仿宋_GB2312"/>
          <w:color w:val="000000"/>
          <w:kern w:val="0"/>
          <w:sz w:val="32"/>
          <w:szCs w:val="32"/>
          <w:shd w:val="clear" w:color="auto" w:fill="FFFFFF"/>
          <w:lang w:val="zh-CN"/>
        </w:rPr>
        <w:t>万元，1</w:t>
      </w:r>
      <w:r>
        <w:rPr>
          <w:rFonts w:hint="eastAsia" w:eastAsia="仿宋_GB2312"/>
          <w:color w:val="000000"/>
          <w:kern w:val="0"/>
          <w:sz w:val="32"/>
          <w:szCs w:val="32"/>
          <w:shd w:val="clear" w:color="auto" w:fill="FFFFFF"/>
          <w:lang w:val="zh-CN"/>
        </w:rPr>
        <w:t>—</w:t>
      </w:r>
      <w:r>
        <w:rPr>
          <w:rFonts w:eastAsia="仿宋_GB2312"/>
          <w:color w:val="000000"/>
          <w:kern w:val="0"/>
          <w:sz w:val="32"/>
          <w:szCs w:val="32"/>
          <w:shd w:val="clear" w:color="auto" w:fill="FFFFFF"/>
          <w:lang w:val="zh-CN"/>
        </w:rPr>
        <w:t>1</w:t>
      </w:r>
      <w:r>
        <w:rPr>
          <w:rFonts w:eastAsia="仿宋_GB2312"/>
          <w:color w:val="000000"/>
          <w:kern w:val="0"/>
          <w:sz w:val="32"/>
          <w:szCs w:val="32"/>
          <w:shd w:val="clear" w:color="auto" w:fill="FFFFFF"/>
        </w:rPr>
        <w:t>2</w:t>
      </w:r>
      <w:r>
        <w:rPr>
          <w:rFonts w:eastAsia="仿宋_GB2312"/>
          <w:color w:val="000000"/>
          <w:kern w:val="0"/>
          <w:sz w:val="32"/>
          <w:szCs w:val="32"/>
          <w:shd w:val="clear" w:color="auto" w:fill="FFFFFF"/>
          <w:lang w:val="zh-CN"/>
        </w:rPr>
        <w:t>月预算执行总体进度为</w:t>
      </w:r>
      <w:r>
        <w:rPr>
          <w:rFonts w:hint="eastAsia" w:eastAsia="仿宋_GB2312"/>
          <w:color w:val="000000"/>
          <w:kern w:val="0"/>
          <w:sz w:val="32"/>
          <w:szCs w:val="32"/>
          <w:shd w:val="clear" w:color="auto" w:fill="FFFFFF"/>
          <w:lang w:val="en-US" w:eastAsia="zh-CN"/>
        </w:rPr>
        <w:t>0</w:t>
      </w:r>
      <w:r>
        <w:rPr>
          <w:rFonts w:eastAsia="仿宋_GB2312"/>
          <w:color w:val="000000"/>
          <w:kern w:val="0"/>
          <w:sz w:val="32"/>
          <w:szCs w:val="32"/>
          <w:shd w:val="clear" w:color="auto" w:fill="FFFFFF"/>
          <w:lang w:val="zh-CN"/>
        </w:rPr>
        <w:t>%，其中：预算结余率大于</w:t>
      </w:r>
      <w:r>
        <w:rPr>
          <w:rFonts w:eastAsia="仿宋_GB2312"/>
          <w:color w:val="000000"/>
          <w:kern w:val="0"/>
          <w:sz w:val="32"/>
          <w:szCs w:val="32"/>
          <w:shd w:val="clear" w:color="auto" w:fill="FFFFFF"/>
        </w:rPr>
        <w:t>10%</w:t>
      </w:r>
      <w:r>
        <w:rPr>
          <w:rFonts w:eastAsia="仿宋_GB2312"/>
          <w:color w:val="000000"/>
          <w:kern w:val="0"/>
          <w:sz w:val="32"/>
          <w:szCs w:val="32"/>
          <w:shd w:val="clear" w:color="auto" w:fill="FFFFFF"/>
          <w:lang w:val="zh-CN"/>
        </w:rPr>
        <w:t>的项目共计</w:t>
      </w:r>
      <w:r>
        <w:rPr>
          <w:rFonts w:hint="eastAsia" w:eastAsia="仿宋_GB2312"/>
          <w:color w:val="000000"/>
          <w:kern w:val="0"/>
          <w:sz w:val="32"/>
          <w:szCs w:val="32"/>
          <w:shd w:val="clear" w:color="auto" w:fill="FFFFFF"/>
          <w:lang w:val="en-US" w:eastAsia="zh-CN"/>
        </w:rPr>
        <w:t>0</w:t>
      </w:r>
      <w:r>
        <w:rPr>
          <w:rFonts w:eastAsia="仿宋_GB2312"/>
          <w:color w:val="000000"/>
          <w:kern w:val="0"/>
          <w:sz w:val="32"/>
          <w:szCs w:val="32"/>
          <w:shd w:val="clear" w:color="auto" w:fill="FFFFFF"/>
          <w:lang w:val="zh-CN"/>
        </w:rPr>
        <w:t>个。</w:t>
      </w:r>
    </w:p>
    <w:p>
      <w:pPr>
        <w:keepNext w:val="0"/>
        <w:keepLines w:val="0"/>
        <w:pageBreakBefore w:val="0"/>
        <w:widowControl w:val="0"/>
        <w:kinsoku/>
        <w:wordWrap/>
        <w:overflowPunct/>
        <w:topLinePunct w:val="0"/>
        <w:bidi w:val="0"/>
        <w:adjustRightInd w:val="0"/>
        <w:snapToGrid w:val="0"/>
        <w:spacing w:line="576" w:lineRule="exact"/>
        <w:ind w:firstLine="640" w:firstLineChars="200"/>
        <w:contextualSpacing/>
        <w:jc w:val="left"/>
        <w:textAlignment w:val="auto"/>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rPr>
        <w:t>阶段</w:t>
      </w:r>
      <w:r>
        <w:rPr>
          <w:rFonts w:hint="eastAsia" w:eastAsia="仿宋_GB2312"/>
          <w:color w:val="000000"/>
          <w:kern w:val="0"/>
          <w:sz w:val="32"/>
          <w:szCs w:val="32"/>
          <w:shd w:val="clear" w:color="auto" w:fill="FFFFFF"/>
        </w:rPr>
        <w:t>（</w:t>
      </w:r>
      <w:r>
        <w:rPr>
          <w:rFonts w:eastAsia="仿宋_GB2312"/>
          <w:color w:val="000000"/>
          <w:kern w:val="0"/>
          <w:sz w:val="32"/>
          <w:szCs w:val="32"/>
          <w:shd w:val="clear" w:color="auto" w:fill="FFFFFF"/>
        </w:rPr>
        <w:t>一次性</w:t>
      </w:r>
      <w:r>
        <w:rPr>
          <w:rFonts w:hint="eastAsia" w:eastAsia="仿宋_GB2312"/>
          <w:color w:val="000000"/>
          <w:kern w:val="0"/>
          <w:sz w:val="32"/>
          <w:szCs w:val="32"/>
          <w:shd w:val="clear" w:color="auto" w:fill="FFFFFF"/>
        </w:rPr>
        <w:t>）</w:t>
      </w:r>
      <w:r>
        <w:rPr>
          <w:rFonts w:eastAsia="仿宋_GB2312"/>
          <w:color w:val="000000"/>
          <w:kern w:val="0"/>
          <w:sz w:val="32"/>
          <w:szCs w:val="32"/>
          <w:shd w:val="clear" w:color="auto" w:fill="FFFFFF"/>
        </w:rPr>
        <w:t>项目绩效分析。</w:t>
      </w:r>
      <w:r>
        <w:rPr>
          <w:rFonts w:eastAsia="仿宋_GB2312"/>
          <w:color w:val="000000"/>
          <w:kern w:val="0"/>
          <w:sz w:val="32"/>
          <w:szCs w:val="32"/>
          <w:shd w:val="clear" w:color="auto" w:fill="FFFFFF"/>
          <w:lang w:val="zh-CN"/>
        </w:rPr>
        <w:t>该类项目总数</w:t>
      </w:r>
      <w:r>
        <w:rPr>
          <w:rFonts w:hint="eastAsia" w:eastAsia="仿宋_GB2312"/>
          <w:color w:val="000000"/>
          <w:kern w:val="0"/>
          <w:sz w:val="32"/>
          <w:szCs w:val="32"/>
          <w:shd w:val="clear" w:color="auto" w:fill="FFFFFF"/>
          <w:lang w:val="en-US" w:eastAsia="zh-CN"/>
        </w:rPr>
        <w:t>5</w:t>
      </w:r>
      <w:r>
        <w:rPr>
          <w:rFonts w:eastAsia="仿宋_GB2312"/>
          <w:color w:val="000000"/>
          <w:kern w:val="0"/>
          <w:sz w:val="32"/>
          <w:szCs w:val="32"/>
          <w:shd w:val="clear" w:color="auto" w:fill="FFFFFF"/>
          <w:lang w:val="zh-CN"/>
        </w:rPr>
        <w:t>个，涉及预算总金额</w:t>
      </w:r>
      <w:r>
        <w:rPr>
          <w:rFonts w:hint="eastAsia" w:eastAsia="仿宋_GB2312"/>
          <w:color w:val="000000"/>
          <w:kern w:val="0"/>
          <w:sz w:val="32"/>
          <w:szCs w:val="32"/>
          <w:shd w:val="clear" w:color="auto" w:fill="FFFFFF"/>
          <w:lang w:val="en-US" w:eastAsia="zh-CN"/>
        </w:rPr>
        <w:t>294.71</w:t>
      </w:r>
      <w:r>
        <w:rPr>
          <w:rFonts w:eastAsia="仿宋_GB2312"/>
          <w:color w:val="000000"/>
          <w:kern w:val="0"/>
          <w:sz w:val="32"/>
          <w:szCs w:val="32"/>
          <w:shd w:val="clear" w:color="auto" w:fill="FFFFFF"/>
          <w:lang w:val="zh-CN"/>
        </w:rPr>
        <w:t>万元，1</w:t>
      </w:r>
      <w:r>
        <w:rPr>
          <w:rFonts w:hint="eastAsia" w:eastAsia="仿宋_GB2312"/>
          <w:color w:val="000000"/>
          <w:kern w:val="0"/>
          <w:sz w:val="32"/>
          <w:szCs w:val="32"/>
          <w:shd w:val="clear" w:color="auto" w:fill="FFFFFF"/>
          <w:lang w:val="zh-CN"/>
        </w:rPr>
        <w:t>—</w:t>
      </w:r>
      <w:r>
        <w:rPr>
          <w:rFonts w:eastAsia="仿宋_GB2312"/>
          <w:color w:val="000000"/>
          <w:kern w:val="0"/>
          <w:sz w:val="32"/>
          <w:szCs w:val="32"/>
          <w:shd w:val="clear" w:color="auto" w:fill="FFFFFF"/>
          <w:lang w:val="zh-CN"/>
        </w:rPr>
        <w:t>1</w:t>
      </w:r>
      <w:r>
        <w:rPr>
          <w:rFonts w:eastAsia="仿宋_GB2312"/>
          <w:color w:val="000000"/>
          <w:kern w:val="0"/>
          <w:sz w:val="32"/>
          <w:szCs w:val="32"/>
          <w:shd w:val="clear" w:color="auto" w:fill="FFFFFF"/>
        </w:rPr>
        <w:t>2</w:t>
      </w:r>
      <w:r>
        <w:rPr>
          <w:rFonts w:eastAsia="仿宋_GB2312"/>
          <w:color w:val="000000"/>
          <w:kern w:val="0"/>
          <w:sz w:val="32"/>
          <w:szCs w:val="32"/>
          <w:shd w:val="clear" w:color="auto" w:fill="FFFFFF"/>
          <w:lang w:val="zh-CN"/>
        </w:rPr>
        <w:t>月预算执行总体进度为</w:t>
      </w:r>
      <w:r>
        <w:rPr>
          <w:rFonts w:hint="eastAsia" w:eastAsia="仿宋_GB2312"/>
          <w:color w:val="000000"/>
          <w:kern w:val="0"/>
          <w:sz w:val="32"/>
          <w:szCs w:val="32"/>
          <w:shd w:val="clear" w:color="auto" w:fill="FFFFFF"/>
          <w:lang w:val="en-US" w:eastAsia="zh-CN"/>
        </w:rPr>
        <w:t>100</w:t>
      </w:r>
      <w:r>
        <w:rPr>
          <w:rFonts w:eastAsia="仿宋_GB2312"/>
          <w:color w:val="000000"/>
          <w:kern w:val="0"/>
          <w:sz w:val="32"/>
          <w:szCs w:val="32"/>
          <w:shd w:val="clear" w:color="auto" w:fill="FFFFFF"/>
          <w:lang w:val="zh-CN"/>
        </w:rPr>
        <w:t>%，其中：预算结余率大于</w:t>
      </w:r>
      <w:r>
        <w:rPr>
          <w:rFonts w:eastAsia="仿宋_GB2312"/>
          <w:color w:val="000000"/>
          <w:kern w:val="0"/>
          <w:sz w:val="32"/>
          <w:szCs w:val="32"/>
          <w:shd w:val="clear" w:color="auto" w:fill="FFFFFF"/>
        </w:rPr>
        <w:t>10%</w:t>
      </w:r>
      <w:r>
        <w:rPr>
          <w:rFonts w:eastAsia="仿宋_GB2312"/>
          <w:color w:val="000000"/>
          <w:kern w:val="0"/>
          <w:sz w:val="32"/>
          <w:szCs w:val="32"/>
          <w:shd w:val="clear" w:color="auto" w:fill="FFFFFF"/>
          <w:lang w:val="zh-CN"/>
        </w:rPr>
        <w:t>的项目共计</w:t>
      </w:r>
      <w:r>
        <w:rPr>
          <w:rFonts w:hint="eastAsia" w:eastAsia="仿宋_GB2312"/>
          <w:color w:val="000000"/>
          <w:kern w:val="0"/>
          <w:sz w:val="32"/>
          <w:szCs w:val="32"/>
          <w:shd w:val="clear" w:color="auto" w:fill="FFFFFF"/>
          <w:lang w:val="en-US" w:eastAsia="zh-CN"/>
        </w:rPr>
        <w:t>0</w:t>
      </w:r>
      <w:r>
        <w:rPr>
          <w:rFonts w:eastAsia="仿宋_GB2312"/>
          <w:color w:val="000000"/>
          <w:kern w:val="0"/>
          <w:sz w:val="32"/>
          <w:szCs w:val="32"/>
          <w:shd w:val="clear" w:color="auto" w:fill="FFFFFF"/>
          <w:lang w:val="zh-CN"/>
        </w:rPr>
        <w:t>个。</w:t>
      </w:r>
    </w:p>
    <w:p>
      <w:pPr>
        <w:keepNext w:val="0"/>
        <w:keepLines w:val="0"/>
        <w:pageBreakBefore w:val="0"/>
        <w:widowControl w:val="0"/>
        <w:kinsoku/>
        <w:wordWrap/>
        <w:overflowPunct/>
        <w:topLinePunct w:val="0"/>
        <w:bidi w:val="0"/>
        <w:spacing w:line="576" w:lineRule="exact"/>
        <w:ind w:firstLine="640" w:firstLineChars="200"/>
        <w:textAlignment w:val="auto"/>
        <w:rPr>
          <w:rFonts w:ascii="楷体_GB2312" w:hAnsi="楷体_GB2312" w:eastAsia="仿宋_GB2312" w:cs="楷体_GB2312"/>
          <w:color w:val="000000"/>
          <w:kern w:val="0"/>
          <w:sz w:val="32"/>
          <w:szCs w:val="32"/>
          <w:shd w:val="clear" w:color="auto" w:fill="FFFFFF"/>
          <w:lang w:val="en-US" w:eastAsia="zh-CN"/>
        </w:rPr>
      </w:pPr>
      <w:r>
        <w:rPr>
          <w:rFonts w:hint="eastAsia" w:ascii="楷体_GB2312" w:hAnsi="楷体_GB2312" w:eastAsia="仿宋_GB2312" w:cs="楷体_GB2312"/>
          <w:color w:val="000000"/>
          <w:kern w:val="0"/>
          <w:sz w:val="32"/>
          <w:szCs w:val="32"/>
          <w:shd w:val="clear" w:color="auto" w:fill="FFFFFF"/>
        </w:rPr>
        <w:t>1.</w:t>
      </w:r>
      <w:r>
        <w:rPr>
          <w:rFonts w:hint="eastAsia" w:ascii="楷体_GB2312" w:hAnsi="楷体_GB2312" w:eastAsia="仿宋_GB2312" w:cs="楷体_GB2312"/>
          <w:color w:val="000000"/>
          <w:kern w:val="0"/>
          <w:sz w:val="32"/>
          <w:szCs w:val="32"/>
          <w:shd w:val="clear" w:color="auto" w:fill="FFFFFF"/>
          <w:lang w:val="zh-CN"/>
        </w:rPr>
        <w:t>项目决策。</w:t>
      </w:r>
      <w:r>
        <w:rPr>
          <w:rFonts w:hint="eastAsia" w:eastAsia="仿宋_GB2312"/>
          <w:color w:val="000000"/>
          <w:kern w:val="0"/>
          <w:sz w:val="32"/>
          <w:szCs w:val="32"/>
          <w:shd w:val="clear" w:color="auto" w:fill="FFFFFF"/>
          <w:lang w:val="en-US" w:eastAsia="zh-CN"/>
        </w:rPr>
        <w:t>根据我办“三重一大”决策制度对需要资金进行商讨，严格决策程序。在项目入库时，进行科学目标设置。</w:t>
      </w:r>
    </w:p>
    <w:p>
      <w:pPr>
        <w:keepNext w:val="0"/>
        <w:keepLines w:val="0"/>
        <w:pageBreakBefore w:val="0"/>
        <w:widowControl w:val="0"/>
        <w:kinsoku/>
        <w:wordWrap/>
        <w:overflowPunct/>
        <w:topLinePunct w:val="0"/>
        <w:bidi w:val="0"/>
        <w:snapToGrid w:val="0"/>
        <w:spacing w:line="576" w:lineRule="exact"/>
        <w:ind w:firstLine="640" w:firstLineChars="200"/>
        <w:textAlignment w:val="auto"/>
        <w:rPr>
          <w:rFonts w:hint="eastAsia" w:ascii="仿宋_GB2312" w:eastAsia="仿宋_GB2312" w:cs="仿宋_GB2312"/>
          <w:kern w:val="2"/>
          <w:sz w:val="32"/>
          <w:szCs w:val="32"/>
          <w:lang w:val="en-US" w:eastAsia="zh-CN" w:bidi="ar-SA"/>
        </w:rPr>
      </w:pPr>
      <w:r>
        <w:rPr>
          <w:rFonts w:hint="eastAsia" w:ascii="楷体_GB2312" w:hAnsi="楷体_GB2312" w:eastAsia="仿宋_GB2312" w:cs="楷体_GB2312"/>
          <w:color w:val="000000"/>
          <w:kern w:val="0"/>
          <w:sz w:val="32"/>
          <w:szCs w:val="32"/>
          <w:shd w:val="clear" w:color="auto" w:fill="FFFFFF"/>
        </w:rPr>
        <w:t>2.项目执行</w:t>
      </w:r>
      <w:r>
        <w:rPr>
          <w:rFonts w:hint="eastAsia" w:ascii="楷体_GB2312" w:hAnsi="楷体_GB2312" w:eastAsia="仿宋_GB2312" w:cs="楷体_GB2312"/>
          <w:color w:val="000000"/>
          <w:kern w:val="0"/>
          <w:sz w:val="32"/>
          <w:szCs w:val="32"/>
          <w:shd w:val="clear" w:color="auto" w:fill="FFFFFF"/>
          <w:lang w:val="zh-CN"/>
        </w:rPr>
        <w:t>。</w:t>
      </w:r>
      <w:r>
        <w:rPr>
          <w:rFonts w:hint="eastAsia" w:eastAsia="仿宋_GB2312"/>
          <w:color w:val="000000"/>
          <w:kern w:val="0"/>
          <w:sz w:val="32"/>
          <w:szCs w:val="32"/>
          <w:shd w:val="clear" w:color="auto" w:fill="FFFFFF"/>
          <w:lang w:val="en-US" w:eastAsia="zh-CN"/>
        </w:rPr>
        <w:t>所需资金均为县级资金，</w:t>
      </w:r>
      <w:r>
        <w:rPr>
          <w:rFonts w:hint="eastAsia" w:ascii="仿宋_GB2312" w:eastAsia="仿宋_GB2312"/>
          <w:sz w:val="32"/>
          <w:lang w:val="en-US" w:eastAsia="zh-CN"/>
        </w:rPr>
        <w:t>纳入同级财政部门预算统筹解决。</w:t>
      </w:r>
      <w:r>
        <w:rPr>
          <w:rFonts w:hint="eastAsia" w:eastAsia="仿宋_GB2312"/>
          <w:color w:val="000000"/>
          <w:kern w:val="0"/>
          <w:sz w:val="32"/>
          <w:szCs w:val="32"/>
          <w:shd w:val="clear" w:color="auto" w:fill="FFFFFF"/>
          <w:lang w:val="en-US" w:eastAsia="zh-CN"/>
        </w:rPr>
        <w:t>按照相关财务制度严格支出，保障我办各项工作正常运转。</w:t>
      </w:r>
    </w:p>
    <w:p>
      <w:pPr>
        <w:keepNext w:val="0"/>
        <w:keepLines w:val="0"/>
        <w:pageBreakBefore w:val="0"/>
        <w:widowControl w:val="0"/>
        <w:kinsoku/>
        <w:wordWrap/>
        <w:overflowPunct/>
        <w:topLinePunct w:val="0"/>
        <w:bidi w:val="0"/>
        <w:adjustRightInd w:val="0"/>
        <w:snapToGrid w:val="0"/>
        <w:spacing w:line="576" w:lineRule="exact"/>
        <w:ind w:firstLine="640" w:firstLineChars="200"/>
        <w:contextualSpacing/>
        <w:jc w:val="left"/>
        <w:textAlignment w:val="auto"/>
        <w:rPr>
          <w:rFonts w:ascii="楷体_GB2312" w:hAnsi="楷体_GB2312" w:eastAsia="仿宋_GB2312" w:cs="楷体_GB2312"/>
          <w:color w:val="000000"/>
          <w:kern w:val="0"/>
          <w:sz w:val="32"/>
          <w:szCs w:val="32"/>
          <w:shd w:val="clear" w:color="auto" w:fill="FFFFFF"/>
          <w:lang w:val="en-US" w:eastAsia="zh-CN"/>
        </w:rPr>
      </w:pPr>
      <w:r>
        <w:rPr>
          <w:rFonts w:hint="eastAsia" w:ascii="楷体_GB2312" w:hAnsi="楷体_GB2312" w:eastAsia="仿宋_GB2312" w:cs="楷体_GB2312"/>
          <w:color w:val="000000"/>
          <w:kern w:val="0"/>
          <w:sz w:val="32"/>
          <w:szCs w:val="32"/>
          <w:shd w:val="clear" w:color="auto" w:fill="FFFFFF"/>
        </w:rPr>
        <w:t>3.</w:t>
      </w:r>
      <w:r>
        <w:rPr>
          <w:rFonts w:hint="eastAsia" w:ascii="楷体_GB2312" w:hAnsi="楷体_GB2312" w:eastAsia="仿宋_GB2312" w:cs="楷体_GB2312"/>
          <w:color w:val="000000"/>
          <w:kern w:val="0"/>
          <w:sz w:val="32"/>
          <w:szCs w:val="32"/>
          <w:shd w:val="clear" w:color="auto" w:fill="FFFFFF"/>
          <w:lang w:val="zh-CN"/>
        </w:rPr>
        <w:t>目标实现。</w:t>
      </w:r>
      <w:r>
        <w:rPr>
          <w:rFonts w:hint="eastAsia" w:eastAsia="仿宋_GB2312"/>
          <w:color w:val="000000"/>
          <w:kern w:val="0"/>
          <w:sz w:val="32"/>
          <w:szCs w:val="32"/>
          <w:shd w:val="clear" w:color="auto" w:fill="FFFFFF"/>
          <w:lang w:val="en-US" w:eastAsia="zh-CN"/>
        </w:rPr>
        <w:t>所有项目资金于当年完成支付，完成各项指标预期值。</w:t>
      </w:r>
    </w:p>
    <w:p>
      <w:pPr>
        <w:keepNext w:val="0"/>
        <w:keepLines w:val="0"/>
        <w:pageBreakBefore w:val="0"/>
        <w:widowControl w:val="0"/>
        <w:kinsoku/>
        <w:wordWrap/>
        <w:overflowPunct/>
        <w:topLinePunct w:val="0"/>
        <w:bidi w:val="0"/>
        <w:spacing w:line="576" w:lineRule="exact"/>
        <w:ind w:firstLine="640" w:firstLineChars="200"/>
        <w:textAlignment w:val="auto"/>
        <w:rPr>
          <w:rFonts w:hint="eastAsia" w:eastAsia="仿宋_GB2312"/>
          <w:color w:val="333333"/>
          <w:sz w:val="32"/>
          <w:szCs w:val="32"/>
          <w:lang w:eastAsia="zh-CN"/>
        </w:rPr>
      </w:pPr>
      <w:r>
        <w:rPr>
          <w:rFonts w:hint="eastAsia" w:eastAsia="仿宋_GB2312"/>
          <w:sz w:val="32"/>
          <w:szCs w:val="32"/>
          <w:lang w:val="en-US" w:eastAsia="zh-CN"/>
        </w:rPr>
        <w:t>我办</w:t>
      </w:r>
      <w:r>
        <w:rPr>
          <w:rFonts w:hint="eastAsia" w:eastAsia="仿宋_GB2312"/>
          <w:sz w:val="32"/>
          <w:szCs w:val="32"/>
        </w:rPr>
        <w:t>2023年度</w:t>
      </w:r>
      <w:r>
        <w:rPr>
          <w:rFonts w:hint="eastAsia" w:eastAsia="仿宋_GB2312"/>
          <w:sz w:val="32"/>
          <w:szCs w:val="32"/>
          <w:lang w:val="en-US" w:eastAsia="zh-CN"/>
        </w:rPr>
        <w:t>不</w:t>
      </w:r>
      <w:r>
        <w:rPr>
          <w:rFonts w:eastAsia="仿宋_GB2312"/>
          <w:sz w:val="32"/>
          <w:szCs w:val="32"/>
        </w:rPr>
        <w:t>涉及国有资本经营预算、社会保险基金预算的</w:t>
      </w:r>
      <w:r>
        <w:rPr>
          <w:rFonts w:hint="eastAsia" w:eastAsia="仿宋_GB2312"/>
          <w:sz w:val="32"/>
          <w:szCs w:val="32"/>
          <w:lang w:eastAsia="zh-CN"/>
        </w:rPr>
        <w:t>。</w:t>
      </w:r>
    </w:p>
    <w:p>
      <w:pPr>
        <w:keepNext w:val="0"/>
        <w:keepLines w:val="0"/>
        <w:pageBreakBefore w:val="0"/>
        <w:widowControl/>
        <w:kinsoku/>
        <w:wordWrap/>
        <w:overflowPunct/>
        <w:topLinePunct w:val="0"/>
        <w:bidi w:val="0"/>
        <w:adjustRightInd w:val="0"/>
        <w:snapToGrid w:val="0"/>
        <w:spacing w:line="576" w:lineRule="exact"/>
        <w:ind w:firstLine="642" w:firstLineChars="200"/>
        <w:contextualSpacing/>
        <w:jc w:val="left"/>
        <w:textAlignment w:val="auto"/>
        <w:rPr>
          <w:rFonts w:hint="eastAsia" w:eastAsia="仿宋_GB2312"/>
          <w:color w:val="000000"/>
          <w:kern w:val="0"/>
          <w:sz w:val="32"/>
          <w:szCs w:val="32"/>
          <w:shd w:val="clear" w:color="auto" w:fill="FFFFFF"/>
          <w:lang w:eastAsia="zh-CN"/>
        </w:rPr>
      </w:pPr>
      <w:r>
        <w:rPr>
          <w:rFonts w:eastAsia="仿宋_GB2312"/>
          <w:b/>
          <w:bCs/>
          <w:color w:val="000000"/>
          <w:kern w:val="0"/>
          <w:sz w:val="32"/>
          <w:szCs w:val="32"/>
          <w:shd w:val="clear" w:color="auto" w:fill="FFFFFF"/>
          <w:lang w:val="zh-CN"/>
        </w:rPr>
        <w:t>（</w:t>
      </w:r>
      <w:r>
        <w:rPr>
          <w:rFonts w:hint="eastAsia" w:eastAsia="仿宋_GB2312"/>
          <w:b/>
          <w:bCs/>
          <w:color w:val="000000"/>
          <w:kern w:val="0"/>
          <w:sz w:val="32"/>
          <w:szCs w:val="32"/>
          <w:shd w:val="clear" w:color="auto" w:fill="FFFFFF"/>
          <w:lang w:val="zh-CN"/>
        </w:rPr>
        <w:t>三</w:t>
      </w:r>
      <w:r>
        <w:rPr>
          <w:rFonts w:eastAsia="仿宋_GB2312"/>
          <w:b/>
          <w:bCs/>
          <w:color w:val="000000"/>
          <w:kern w:val="0"/>
          <w:sz w:val="32"/>
          <w:szCs w:val="32"/>
          <w:shd w:val="clear" w:color="auto" w:fill="FFFFFF"/>
          <w:lang w:val="zh-CN"/>
        </w:rPr>
        <w:t>）重点领域绩效分析。</w:t>
      </w:r>
      <w:r>
        <w:rPr>
          <w:rFonts w:hint="eastAsia" w:eastAsia="仿宋_GB2312"/>
          <w:sz w:val="32"/>
          <w:szCs w:val="32"/>
          <w:lang w:val="en-US" w:eastAsia="zh-CN"/>
        </w:rPr>
        <w:t>我办</w:t>
      </w:r>
      <w:r>
        <w:rPr>
          <w:rFonts w:hint="eastAsia" w:eastAsia="仿宋_GB2312"/>
          <w:sz w:val="32"/>
          <w:szCs w:val="32"/>
        </w:rPr>
        <w:t>2023年度</w:t>
      </w:r>
      <w:r>
        <w:rPr>
          <w:rFonts w:hint="eastAsia" w:eastAsia="仿宋_GB2312"/>
          <w:sz w:val="32"/>
          <w:szCs w:val="32"/>
          <w:lang w:val="en-US" w:eastAsia="zh-CN"/>
        </w:rPr>
        <w:t>不</w:t>
      </w:r>
      <w:r>
        <w:rPr>
          <w:rFonts w:eastAsia="仿宋_GB2312"/>
          <w:sz w:val="32"/>
          <w:szCs w:val="32"/>
        </w:rPr>
        <w:t>涉及国有资本、行政事业性国有资产、债券资金、政府采购和政府购买服务等重点领域</w:t>
      </w:r>
      <w:r>
        <w:rPr>
          <w:rFonts w:hint="eastAsia" w:eastAsia="仿宋_GB2312"/>
          <w:sz w:val="32"/>
          <w:szCs w:val="32"/>
          <w:lang w:eastAsia="zh-CN"/>
        </w:rPr>
        <w:t>。</w:t>
      </w:r>
    </w:p>
    <w:p>
      <w:pPr>
        <w:keepNext w:val="0"/>
        <w:keepLines w:val="0"/>
        <w:pageBreakBefore w:val="0"/>
        <w:widowControl/>
        <w:kinsoku/>
        <w:wordWrap/>
        <w:overflowPunct/>
        <w:topLinePunct w:val="0"/>
        <w:bidi w:val="0"/>
        <w:adjustRightInd w:val="0"/>
        <w:snapToGrid w:val="0"/>
        <w:spacing w:line="576" w:lineRule="exact"/>
        <w:ind w:firstLine="642" w:firstLineChars="200"/>
        <w:contextualSpacing/>
        <w:jc w:val="left"/>
        <w:textAlignment w:val="auto"/>
        <w:rPr>
          <w:rFonts w:hint="eastAsia" w:eastAsia="仿宋_GB2312"/>
          <w:b/>
          <w:bCs/>
          <w:sz w:val="32"/>
          <w:szCs w:val="32"/>
          <w:lang w:val="zh-CN"/>
        </w:rPr>
      </w:pPr>
      <w:r>
        <w:rPr>
          <w:rFonts w:eastAsia="仿宋_GB2312"/>
          <w:b/>
          <w:bCs/>
          <w:sz w:val="32"/>
          <w:szCs w:val="32"/>
          <w:lang w:val="zh-CN"/>
        </w:rPr>
        <w:t>（四）绩效结果应用情况</w:t>
      </w:r>
      <w:r>
        <w:rPr>
          <w:rFonts w:hint="eastAsia" w:eastAsia="仿宋_GB2312"/>
          <w:b/>
          <w:bCs/>
          <w:sz w:val="32"/>
          <w:szCs w:val="32"/>
          <w:lang w:val="zh-CN"/>
        </w:rPr>
        <w:t>。</w:t>
      </w:r>
    </w:p>
    <w:p>
      <w:pPr>
        <w:keepNext w:val="0"/>
        <w:keepLines w:val="0"/>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ascii="仿宋_GB2312" w:eastAsia="仿宋_GB2312" w:cs="仿宋_GB2312"/>
          <w:b/>
          <w:sz w:val="32"/>
          <w:szCs w:val="32"/>
          <w:lang w:val="en-US" w:eastAsia="zh-CN"/>
        </w:rPr>
      </w:pPr>
      <w:r>
        <w:rPr>
          <w:rFonts w:hint="eastAsia" w:eastAsia="仿宋_GB2312"/>
          <w:color w:val="000000"/>
          <w:kern w:val="0"/>
          <w:sz w:val="32"/>
          <w:szCs w:val="32"/>
          <w:shd w:val="clear" w:color="auto" w:fill="FFFFFF"/>
          <w:lang w:val="zh-CN"/>
        </w:rPr>
        <w:t>加强绩效自评结果应用，高度重视自评发现的问题，认真整改，通过不断完善现有政策、调整优化重点支持方向、严格预算绩效管理的全流程规范执行等手段逐步提升绩效自评工作质量。建立绩效自评结果与年度预算安排和政策调整挂钩机制，将绩效自评结果作为申请及分配预算资金、调整完善政策和改进管理的重要依据，强化绩效评价结果对预算安排的刚性约束，激发预算绩效管理的内生动力。严格按照预算绩效管理和信息公开相关工作要求，逐步推进绩效目标、评价结果等信息公开，明确工作程序，规范工作要求，做好宣传引导，主动接受社会监督。</w:t>
      </w:r>
      <w:r>
        <w:rPr>
          <w:rFonts w:hint="eastAsia" w:eastAsia="仿宋_GB2312"/>
          <w:color w:val="000000"/>
          <w:kern w:val="0"/>
          <w:sz w:val="32"/>
          <w:szCs w:val="32"/>
          <w:shd w:val="clear" w:color="auto" w:fill="FFFFFF"/>
          <w:lang w:val="en-US" w:eastAsia="zh-CN"/>
        </w:rPr>
        <w:t>我办2023年绩效评价得分96分。</w:t>
      </w:r>
    </w:p>
    <w:p>
      <w:pPr>
        <w:keepNext w:val="0"/>
        <w:keepLines w:val="0"/>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hint="eastAsia" w:ascii="黑体" w:eastAsia="黑体" w:cs="黑体"/>
          <w:color w:val="000000"/>
          <w:kern w:val="0"/>
          <w:sz w:val="32"/>
          <w:szCs w:val="32"/>
          <w:shd w:val="clear" w:color="auto" w:fill="FFFFFF"/>
        </w:rPr>
      </w:pPr>
      <w:r>
        <w:rPr>
          <w:rFonts w:hint="eastAsia" w:ascii="黑体" w:eastAsia="黑体" w:cs="黑体"/>
          <w:color w:val="000000"/>
          <w:kern w:val="0"/>
          <w:sz w:val="32"/>
          <w:szCs w:val="32"/>
          <w:shd w:val="clear" w:color="auto" w:fill="FFFFFF"/>
        </w:rPr>
        <w:t>四、评价结论及建议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6" w:lineRule="exact"/>
        <w:ind w:right="0" w:firstLine="642" w:firstLineChars="200"/>
        <w:jc w:val="both"/>
        <w:textAlignment w:val="auto"/>
        <w:rPr>
          <w:rFonts w:eastAsia="仿宋_GB2312"/>
          <w:b/>
          <w:bCs/>
          <w:color w:val="000000"/>
          <w:kern w:val="0"/>
          <w:sz w:val="32"/>
          <w:szCs w:val="32"/>
          <w:shd w:val="clear" w:color="auto" w:fill="FFFFFF"/>
          <w:lang w:val="zh-CN"/>
        </w:rPr>
      </w:pPr>
      <w:r>
        <w:rPr>
          <w:rFonts w:eastAsia="仿宋_GB2312"/>
          <w:b/>
          <w:bCs/>
          <w:color w:val="000000"/>
          <w:kern w:val="0"/>
          <w:sz w:val="32"/>
          <w:szCs w:val="32"/>
          <w:shd w:val="clear" w:color="auto" w:fill="FFFFFF"/>
          <w:lang w:val="zh-CN"/>
        </w:rPr>
        <w:t>（一）评价结论。</w:t>
      </w:r>
      <w:r>
        <w:rPr>
          <w:rFonts w:hint="eastAsia" w:ascii="仿宋_GB2312" w:eastAsia="仿宋_GB2312" w:cs="仿宋_GB2312"/>
          <w:color w:val="000000"/>
          <w:kern w:val="2"/>
          <w:sz w:val="32"/>
          <w:szCs w:val="32"/>
          <w:lang w:val="en-US" w:eastAsia="zh-CN"/>
        </w:rPr>
        <w:t>根据我办整体支出情况的自查和自评，结论为：我办整体支出情况合法、合规。严格执行法律、政策、科学分配、有效使用、严密管理，有力地促进了我办各项工作顺利完成和各项目标的实现，建立了我办财务管理制度、公务接待制度、车辆管理制度、财务公开制度等。严格按照相关制度进行财务核算，做到资金专款专用，资金支付依据和开支标准合规合法。并按照规定编制决算，审核汇总后报财政部门审批。加强决算审核和分析，规范决算管理工作，保证决算数据的完整、真实、准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6" w:lineRule="exact"/>
        <w:ind w:right="0" w:firstLine="642" w:firstLineChars="200"/>
        <w:jc w:val="both"/>
        <w:textAlignment w:val="auto"/>
        <w:rPr>
          <w:rFonts w:eastAsia="仿宋_GB2312"/>
          <w:b/>
          <w:bCs/>
          <w:color w:val="000000"/>
          <w:kern w:val="0"/>
          <w:sz w:val="32"/>
          <w:szCs w:val="32"/>
          <w:shd w:val="clear" w:color="auto" w:fill="FFFFFF"/>
          <w:lang w:val="zh-CN"/>
        </w:rPr>
      </w:pPr>
      <w:r>
        <w:rPr>
          <w:rFonts w:eastAsia="仿宋_GB2312"/>
          <w:b/>
          <w:bCs/>
          <w:color w:val="000000"/>
          <w:kern w:val="0"/>
          <w:sz w:val="32"/>
          <w:szCs w:val="32"/>
          <w:shd w:val="clear" w:color="auto" w:fill="FFFFFF"/>
          <w:lang w:val="zh-CN"/>
        </w:rPr>
        <w:t>（二）存在问题。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6" w:lineRule="exact"/>
        <w:ind w:right="0" w:firstLine="640" w:firstLineChars="200"/>
        <w:jc w:val="both"/>
        <w:textAlignment w:val="auto"/>
        <w:rPr>
          <w:rFonts w:hint="eastAsia" w:ascii="仿宋_GB2312" w:eastAsia="仿宋_GB2312" w:cs="仿宋_GB2312"/>
          <w:color w:val="000000"/>
          <w:kern w:val="2"/>
          <w:sz w:val="32"/>
          <w:szCs w:val="32"/>
          <w:lang w:val="en-US" w:eastAsia="zh-CN"/>
        </w:rPr>
      </w:pPr>
      <w:r>
        <w:rPr>
          <w:rFonts w:hint="eastAsia" w:ascii="仿宋_GB2312" w:eastAsia="仿宋_GB2312" w:cs="仿宋_GB2312"/>
          <w:color w:val="000000"/>
          <w:kern w:val="2"/>
          <w:sz w:val="32"/>
          <w:szCs w:val="32"/>
          <w:lang w:val="en-US" w:eastAsia="zh-CN"/>
        </w:rPr>
        <w:t>1、编制单位预算，应当综合考虑年度工作计划和相应支出需求，做到准确无误。</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6" w:lineRule="exact"/>
        <w:ind w:right="0" w:firstLine="642" w:firstLineChars="200"/>
        <w:jc w:val="both"/>
        <w:textAlignment w:val="auto"/>
        <w:rPr>
          <w:rFonts w:hint="eastAsia" w:ascii="仿宋_GB2312" w:eastAsia="仿宋_GB2312" w:cs="仿宋_GB2312"/>
          <w:color w:val="000000"/>
          <w:kern w:val="2"/>
          <w:sz w:val="32"/>
          <w:szCs w:val="32"/>
          <w:lang w:val="zh-CN" w:eastAsia="zh-CN"/>
        </w:rPr>
      </w:pPr>
      <w:r>
        <w:rPr>
          <w:rFonts w:eastAsia="仿宋_GB2312"/>
          <w:b/>
          <w:bCs/>
          <w:color w:val="000000"/>
          <w:kern w:val="0"/>
          <w:sz w:val="32"/>
          <w:szCs w:val="32"/>
          <w:shd w:val="clear" w:color="auto" w:fill="FFFFFF"/>
          <w:lang w:val="zh-CN"/>
        </w:rPr>
        <w:t>（三）改进建议。</w:t>
      </w:r>
      <w:r>
        <w:rPr>
          <w:rFonts w:hint="eastAsia" w:ascii="仿宋_GB2312" w:eastAsia="仿宋_GB2312" w:cs="仿宋_GB2312"/>
          <w:color w:val="000000"/>
          <w:kern w:val="2"/>
          <w:sz w:val="32"/>
          <w:szCs w:val="32"/>
          <w:lang w:val="zh-CN" w:eastAsia="zh-CN"/>
        </w:rPr>
        <w:t>根据</w:t>
      </w:r>
      <w:r>
        <w:rPr>
          <w:rFonts w:hint="eastAsia" w:ascii="仿宋_GB2312" w:eastAsia="仿宋_GB2312" w:cs="仿宋_GB2312"/>
          <w:color w:val="000000"/>
          <w:kern w:val="2"/>
          <w:sz w:val="32"/>
          <w:szCs w:val="32"/>
          <w:lang w:val="en-US" w:eastAsia="zh-CN"/>
        </w:rPr>
        <w:t>我办</w:t>
      </w:r>
      <w:r>
        <w:rPr>
          <w:rFonts w:hint="eastAsia" w:ascii="仿宋_GB2312" w:eastAsia="仿宋_GB2312" w:cs="仿宋_GB2312"/>
          <w:color w:val="000000"/>
          <w:kern w:val="2"/>
          <w:sz w:val="32"/>
          <w:szCs w:val="32"/>
          <w:lang w:val="zh-CN" w:eastAsia="zh-CN"/>
        </w:rPr>
        <w:t>年初工作计划，按照中央和省、州的各项工作部署积极履职，强化管理，较好的完成了年度工作目标。通过加强预算收支管理，不断建立健全内部管理制度，梳理内部管理流程，单位整体支出管理情况得到提升。</w:t>
      </w:r>
    </w:p>
    <w:p>
      <w:pPr>
        <w:keepNext w:val="0"/>
        <w:keepLines w:val="0"/>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ascii="仿宋_GB2312" w:eastAsia="仿宋_GB2312" w:cs="仿宋_GB2312"/>
          <w:kern w:val="0"/>
          <w:sz w:val="32"/>
          <w:szCs w:val="32"/>
          <w:lang w:val="zh-CN"/>
        </w:rPr>
      </w:pPr>
    </w:p>
    <w:p>
      <w:pPr>
        <w:keepNext w:val="0"/>
        <w:keepLines w:val="0"/>
        <w:pageBreakBefore w:val="0"/>
        <w:widowControl w:val="0"/>
        <w:kinsoku/>
        <w:wordWrap/>
        <w:overflowPunct/>
        <w:topLinePunct w:val="0"/>
        <w:bidi w:val="0"/>
        <w:spacing w:line="576" w:lineRule="exact"/>
        <w:contextualSpacing/>
        <w:textAlignment w:val="auto"/>
        <w:rPr>
          <w:rFonts w:eastAsia="仿宋_GB2312"/>
          <w:sz w:val="32"/>
          <w:szCs w:val="32"/>
        </w:rPr>
      </w:pPr>
    </w:p>
    <w:p>
      <w:pPr>
        <w:keepNext w:val="0"/>
        <w:keepLines w:val="0"/>
        <w:pageBreakBefore w:val="0"/>
        <w:widowControl w:val="0"/>
        <w:kinsoku/>
        <w:wordWrap/>
        <w:overflowPunct/>
        <w:topLinePunct w:val="0"/>
        <w:bidi w:val="0"/>
        <w:spacing w:line="576" w:lineRule="exact"/>
        <w:ind w:firstLine="640" w:firstLineChars="200"/>
        <w:textAlignment w:val="auto"/>
      </w:pPr>
      <w:r>
        <w:rPr>
          <w:rFonts w:hint="eastAsia" w:eastAsia="仿宋_GB2312"/>
          <w:color w:val="000000"/>
          <w:kern w:val="0"/>
          <w:sz w:val="32"/>
          <w:szCs w:val="32"/>
          <w:shd w:val="clear" w:color="auto" w:fill="FFFFFF"/>
        </w:rPr>
        <w:t>附表：</w:t>
      </w:r>
      <w:r>
        <w:rPr>
          <w:rFonts w:eastAsia="仿宋_GB2312"/>
          <w:color w:val="000000"/>
          <w:kern w:val="0"/>
          <w:sz w:val="32"/>
          <w:szCs w:val="32"/>
          <w:shd w:val="clear" w:color="auto" w:fill="FFFFFF"/>
        </w:rPr>
        <w:t>部门整体支出绩效目标完成情况自评表</w:t>
      </w:r>
      <w:r>
        <w:rPr>
          <w:rFonts w:eastAsia="仿宋_GB2312"/>
          <w:color w:val="000000"/>
          <w:kern w:val="0"/>
          <w:sz w:val="32"/>
          <w:szCs w:val="32"/>
          <w:shd w:val="clear" w:color="auto" w:fill="FFFFFF"/>
        </w:rPr>
        <w:br w:type="page"/>
      </w:r>
      <w:r>
        <w:rPr>
          <w:rFonts w:hint="eastAsia" w:ascii="黑体" w:eastAsia="黑体" w:cs="黑体"/>
        </w:rPr>
        <w:t>附表</w:t>
      </w:r>
    </w:p>
    <w:tbl>
      <w:tblPr>
        <w:tblStyle w:val="19"/>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308"/>
        <w:gridCol w:w="1347"/>
        <w:gridCol w:w="1273"/>
        <w:gridCol w:w="1100"/>
        <w:gridCol w:w="1145"/>
        <w:gridCol w:w="1289"/>
        <w:gridCol w:w="1058"/>
        <w:gridCol w:w="926"/>
        <w:gridCol w:w="11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2" w:hRule="exact"/>
          <w:jc w:val="center"/>
        </w:trPr>
        <w:tc>
          <w:tcPr>
            <w:tcW w:w="10560" w:type="dxa"/>
            <w:gridSpan w:val="9"/>
            <w:shd w:val="clear" w:color="auto" w:fill="auto"/>
            <w:vAlign w:val="center"/>
          </w:tcPr>
          <w:p>
            <w:pPr>
              <w:widowControl/>
              <w:spacing w:line="600" w:lineRule="exact"/>
              <w:jc w:val="center"/>
              <w:textAlignment w:val="center"/>
              <w:rPr>
                <w:rFonts w:eastAsia="黑体"/>
                <w:color w:val="000000"/>
                <w:sz w:val="28"/>
                <w:szCs w:val="28"/>
              </w:rPr>
            </w:pPr>
            <w:r>
              <w:rPr>
                <w:rFonts w:eastAsia="方正小标宋简体"/>
                <w:color w:val="000000"/>
                <w:kern w:val="0"/>
                <w:sz w:val="44"/>
                <w:szCs w:val="44"/>
              </w:rPr>
              <w:t>部门整体支出绩效目标完成情况自评表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9"/>
            <w:shd w:val="clear" w:color="auto" w:fill="auto"/>
            <w:vAlign w:val="center"/>
          </w:tcPr>
          <w:p>
            <w:pPr>
              <w:widowControl/>
              <w:spacing w:line="300" w:lineRule="exact"/>
              <w:jc w:val="center"/>
              <w:textAlignment w:val="center"/>
              <w:rPr>
                <w:rFonts w:eastAsia="宋体"/>
                <w:color w:val="000000"/>
                <w:sz w:val="28"/>
                <w:szCs w:val="28"/>
              </w:rPr>
            </w:pPr>
            <w:r>
              <w:rPr>
                <w:rFonts w:eastAsia="宋体"/>
                <w:color w:val="000000"/>
                <w:kern w:val="0"/>
                <w:sz w:val="28"/>
                <w:szCs w:val="28"/>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9"/>
            <w:tcBorders>
              <w:bottom w:val="single" w:color="000000" w:sz="4" w:space="0"/>
            </w:tcBorders>
            <w:shd w:val="clear" w:color="auto" w:fill="auto"/>
            <w:vAlign w:val="center"/>
          </w:tcPr>
          <w:p>
            <w:pPr>
              <w:widowControl/>
              <w:spacing w:line="300" w:lineRule="exact"/>
              <w:jc w:val="right"/>
              <w:textAlignment w:val="center"/>
              <w:rPr>
                <w:rFonts w:eastAsia="宋体"/>
                <w:color w:val="000000"/>
                <w:sz w:val="21"/>
                <w:szCs w:val="21"/>
              </w:rPr>
            </w:pPr>
            <w:r>
              <w:rPr>
                <w:rFonts w:eastAsia="宋体"/>
                <w:color w:val="000000"/>
                <w:kern w:val="0"/>
                <w:sz w:val="21"/>
                <w:szCs w:val="21"/>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39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部门名称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eastAsia="宋体"/>
                <w:color w:val="000000"/>
                <w:sz w:val="24"/>
                <w:lang w:eastAsia="zh-CN"/>
              </w:rPr>
            </w:pPr>
            <w:r>
              <w:rPr>
                <w:rFonts w:hint="eastAsia" w:eastAsia="宋体"/>
                <w:color w:val="000000"/>
                <w:kern w:val="0"/>
                <w:sz w:val="24"/>
                <w:lang w:val="en-US" w:eastAsia="zh-CN"/>
              </w:rPr>
              <w:t>县委办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资金总额</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财政拨款</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lang w:val="en-US" w:eastAsia="zh-CN"/>
              </w:rPr>
            </w:pPr>
            <w:r>
              <w:rPr>
                <w:rFonts w:hint="eastAsia" w:eastAsia="宋体"/>
                <w:color w:val="000000"/>
                <w:kern w:val="0"/>
                <w:sz w:val="24"/>
                <w:lang w:val="en-US" w:eastAsia="zh-CN"/>
              </w:rPr>
              <w:t>923.29</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000000"/>
                <w:kern w:val="0"/>
                <w:sz w:val="24"/>
                <w:lang w:val="en-US" w:eastAsia="zh-CN"/>
              </w:rPr>
              <w:t>923.29</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rPr>
            </w:pPr>
            <w:r>
              <w:rPr>
                <w:rFonts w:eastAsia="宋体"/>
                <w:color w:val="000000"/>
                <w:kern w:val="0"/>
                <w:sz w:val="24"/>
              </w:rPr>
              <w:t>年度总体</w:t>
            </w:r>
          </w:p>
          <w:p>
            <w:pPr>
              <w:widowControl/>
              <w:spacing w:line="300" w:lineRule="exact"/>
              <w:jc w:val="center"/>
              <w:textAlignment w:val="center"/>
              <w:rPr>
                <w:rFonts w:eastAsia="宋体"/>
                <w:color w:val="000000"/>
                <w:sz w:val="24"/>
              </w:rPr>
            </w:pPr>
            <w:r>
              <w:rPr>
                <w:rFonts w:eastAsia="宋体"/>
                <w:color w:val="000000"/>
                <w:kern w:val="0"/>
                <w:sz w:val="24"/>
              </w:rPr>
              <w:t>目标</w:t>
            </w:r>
          </w:p>
        </w:tc>
        <w:tc>
          <w:tcPr>
            <w:tcW w:w="925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1.用于保障职工的基本工资福利、保险、年金等</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和单位的正常日常公用经费开支</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2.保障贯彻执行党的路线、方针、政策以及中央、省委、州委和县委的决议、决定和工作的部署，负责县委重要会议、领导讲话和上报下发的重要文件的起草和县委日常的文书处理，负责部门代拟县委文件和领导讲话的校核、规范、把关，负责对全县党委办公部门秘书工作业务的联系和指导。</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3.保障围绕中央、省委和州委重要决策以及县委总体工作部署，开展调研，并负责信息的收集、综合和报送工作。</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4.保障县委常委会议、书记办公会议、县党代会、县委全委会、县委工作会、全县领导干部会等会议的会务工作，负责县委领导参加重要公务活动的组织安排。</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5.保障县委重要工作部署贯彻落实的督促检查，负责县委指示、县委领导批示的转达和催办落实。</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6.保障县保密委员会及其办公室的日常工作。</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7.保障管理县委密码局工作。</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8.完成县委和县委领导交办的其他工作任务。</w:t>
            </w:r>
          </w:p>
          <w:p>
            <w:pPr>
              <w:widowControl/>
              <w:spacing w:line="300" w:lineRule="exact"/>
              <w:jc w:val="left"/>
              <w:textAlignment w:val="center"/>
              <w:rPr>
                <w:rFonts w:eastAsia="宋体"/>
                <w:color w:val="000000"/>
                <w:sz w:val="24"/>
              </w:rPr>
            </w:pPr>
            <w:r>
              <w:rPr>
                <w:rFonts w:hint="eastAsia" w:eastAsia="宋体"/>
                <w:color w:val="000000"/>
                <w:kern w:val="0"/>
                <w:sz w:val="24"/>
              </w:rPr>
              <w:t>9.用于驻村工作队的乡镇和临岗补贴，保障工作队员生活，有利于驻村工作的落实和顺利开展。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rPr>
            </w:pPr>
            <w:r>
              <w:rPr>
                <w:rFonts w:eastAsia="宋体"/>
                <w:color w:val="000000"/>
                <w:kern w:val="0"/>
                <w:sz w:val="24"/>
              </w:rPr>
              <w:t>年度主要</w:t>
            </w:r>
          </w:p>
          <w:p>
            <w:pPr>
              <w:widowControl/>
              <w:spacing w:line="300" w:lineRule="exact"/>
              <w:jc w:val="center"/>
              <w:textAlignment w:val="center"/>
              <w:rPr>
                <w:rFonts w:eastAsia="宋体"/>
                <w:color w:val="000000"/>
                <w:sz w:val="24"/>
              </w:rPr>
            </w:pPr>
            <w:r>
              <w:rPr>
                <w:rFonts w:eastAsia="宋体"/>
                <w:color w:val="000000"/>
                <w:kern w:val="0"/>
                <w:sz w:val="24"/>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任务名称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sz w:val="24"/>
                <w:lang w:eastAsia="zh-CN"/>
              </w:rPr>
            </w:pPr>
            <w:r>
              <w:rPr>
                <w:rFonts w:hint="eastAsia" w:eastAsia="宋体"/>
                <w:color w:val="000000"/>
                <w:kern w:val="0"/>
                <w:sz w:val="24"/>
              </w:rPr>
              <w:t>执行中央、省委和州委重要决策以及县委总体工作部署，保障县委日常工作</w:t>
            </w:r>
            <w:r>
              <w:rPr>
                <w:rFonts w:hint="eastAsia" w:eastAsia="宋体"/>
                <w:color w:val="000000"/>
                <w:kern w:val="0"/>
                <w:sz w:val="24"/>
                <w:lang w:eastAsia="zh-CN"/>
              </w:rPr>
              <w:t>；保障县委常委会议</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1.用于保障职工的基本工资福利、保险、年金等</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和单位的正常日常公用经费开支</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2.保障贯彻执行党的路线、方针、政策以及中央、省委、州委和县委的决议、决定和工作的部署，负责县委重要会议、领导讲话和上报下发的重要文件的起草和县委日常的文书处理，负责部门代拟县委文件和领导讲话的校核、规范、把关，负责对全县党委办公部门秘书工作业务的联系和指导。</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3.保障围绕中央、省委和州委重要决策以及县委总体工作部署，开展调研，并负责信息的收集、综合和报送工作。</w:t>
            </w:r>
          </w:p>
          <w:p>
            <w:pPr>
              <w:widowControl/>
              <w:spacing w:line="300" w:lineRule="exact"/>
              <w:jc w:val="left"/>
              <w:textAlignment w:val="center"/>
              <w:rPr>
                <w:rFonts w:hint="eastAsia" w:eastAsia="宋体"/>
                <w:color w:val="000000"/>
                <w:kern w:val="0"/>
                <w:sz w:val="24"/>
              </w:rPr>
            </w:pP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5.保障县委重要工作部署贯彻落实的督促检查，负责县委指示、县委领导批示的转达和催办落实。</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6.保障县保密委员会及其办公室的日常工作。</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7.保障管理县委密码局工作。</w:t>
            </w:r>
          </w:p>
          <w:p>
            <w:pPr>
              <w:widowControl/>
              <w:spacing w:line="300" w:lineRule="exact"/>
              <w:jc w:val="left"/>
              <w:textAlignment w:val="center"/>
              <w:rPr>
                <w:rFonts w:eastAsia="宋体"/>
                <w:color w:val="000000"/>
                <w:sz w:val="24"/>
              </w:rPr>
            </w:pPr>
            <w:r>
              <w:rPr>
                <w:rFonts w:hint="eastAsia" w:eastAsia="宋体"/>
                <w:color w:val="000000"/>
                <w:kern w:val="0"/>
                <w:sz w:val="24"/>
              </w:rPr>
              <w:t>8.完成县委和县委领导交办的其他工作任务。保障县委常委会议、书记办公会议、县党代会、县委全委会、县委工作会、全县领导干部会等会议的会务工作，负责县委领导参加重要公务活动的组织安排。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管理县委保密委员会县委密码局工作</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rPr>
            </w:pPr>
            <w:r>
              <w:rPr>
                <w:rFonts w:hint="eastAsia" w:eastAsia="宋体"/>
                <w:color w:val="000000"/>
                <w:sz w:val="24"/>
              </w:rPr>
              <w:t>扩展非涉密计算机敏感信息监管系统</w:t>
            </w:r>
          </w:p>
          <w:p>
            <w:pPr>
              <w:widowControl/>
              <w:spacing w:line="300" w:lineRule="exact"/>
              <w:jc w:val="left"/>
              <w:rPr>
                <w:rFonts w:hint="eastAsia" w:eastAsia="宋体"/>
                <w:color w:val="000000"/>
                <w:sz w:val="24"/>
              </w:rPr>
            </w:pPr>
            <w:r>
              <w:rPr>
                <w:rFonts w:hint="eastAsia" w:eastAsia="宋体"/>
                <w:color w:val="000000"/>
                <w:sz w:val="24"/>
              </w:rPr>
              <w:t>全县网络核查工作</w:t>
            </w:r>
          </w:p>
          <w:p>
            <w:pPr>
              <w:widowControl/>
              <w:spacing w:line="300" w:lineRule="exact"/>
              <w:jc w:val="left"/>
              <w:rPr>
                <w:rFonts w:eastAsia="宋体"/>
                <w:color w:val="000000"/>
                <w:sz w:val="24"/>
              </w:rPr>
            </w:pPr>
            <w:r>
              <w:rPr>
                <w:rFonts w:hint="eastAsia" w:eastAsia="宋体"/>
                <w:color w:val="000000"/>
                <w:sz w:val="24"/>
              </w:rPr>
              <w:t>全县普高招生安全保密工作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rPr>
            </w:pPr>
            <w:r>
              <w:rPr>
                <w:rFonts w:eastAsia="宋体"/>
                <w:color w:val="000000"/>
                <w:kern w:val="0"/>
                <w:sz w:val="24"/>
              </w:rPr>
              <w:t>年度绩效</w:t>
            </w:r>
          </w:p>
          <w:p>
            <w:pPr>
              <w:widowControl/>
              <w:spacing w:line="300" w:lineRule="exact"/>
              <w:jc w:val="center"/>
              <w:textAlignment w:val="center"/>
              <w:rPr>
                <w:rFonts w:eastAsia="宋体"/>
                <w:color w:val="000000"/>
                <w:sz w:val="24"/>
              </w:rPr>
            </w:pPr>
            <w:r>
              <w:rPr>
                <w:rFonts w:eastAsia="宋体"/>
                <w:color w:val="000000"/>
                <w:kern w:val="0"/>
                <w:sz w:val="24"/>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三级指标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rPr>
            </w:pPr>
            <w:r>
              <w:rPr>
                <w:rFonts w:eastAsia="宋体"/>
                <w:color w:val="000000"/>
                <w:kern w:val="0"/>
                <w:sz w:val="24"/>
              </w:rPr>
              <w:t>绩效指标</w:t>
            </w:r>
          </w:p>
          <w:p>
            <w:pPr>
              <w:widowControl/>
              <w:spacing w:line="300" w:lineRule="exact"/>
              <w:jc w:val="center"/>
              <w:textAlignment w:val="center"/>
              <w:rPr>
                <w:rFonts w:eastAsia="宋体"/>
                <w:color w:val="000000"/>
                <w:sz w:val="24"/>
              </w:rPr>
            </w:pPr>
            <w:r>
              <w:rPr>
                <w:rFonts w:eastAsia="宋体"/>
                <w:color w:val="000000"/>
                <w:kern w:val="0"/>
                <w:sz w:val="24"/>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权重</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rPr>
            </w:pPr>
            <w:r>
              <w:rPr>
                <w:rFonts w:eastAsia="宋体"/>
                <w:color w:val="000000"/>
                <w:kern w:val="0"/>
                <w:sz w:val="24"/>
              </w:rPr>
              <w:t>实际完成</w:t>
            </w:r>
          </w:p>
          <w:p>
            <w:pPr>
              <w:widowControl/>
              <w:spacing w:line="300" w:lineRule="exact"/>
              <w:jc w:val="center"/>
              <w:textAlignment w:val="center"/>
              <w:rPr>
                <w:rFonts w:eastAsia="宋体"/>
                <w:color w:val="000000"/>
                <w:sz w:val="24"/>
              </w:rPr>
            </w:pPr>
            <w:r>
              <w:rPr>
                <w:rFonts w:eastAsia="宋体"/>
                <w:color w:val="000000"/>
                <w:kern w:val="0"/>
                <w:sz w:val="24"/>
              </w:rPr>
              <w:t>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产出指标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lang w:val="en-US" w:eastAsia="zh-CN"/>
              </w:rPr>
            </w:pPr>
            <w:r>
              <w:rPr>
                <w:rFonts w:hint="eastAsia" w:eastAsia="宋体"/>
                <w:color w:val="000000"/>
                <w:sz w:val="24"/>
                <w:lang w:val="en-US" w:eastAsia="zh-CN"/>
              </w:rPr>
              <w:t>完成项目数量达标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r>
              <w:rPr>
                <w:rFonts w:hint="eastAsia"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lang w:val="en-US" w:eastAsia="zh-CN"/>
              </w:rPr>
            </w:pPr>
            <w:r>
              <w:rPr>
                <w:rFonts w:hint="eastAsia" w:eastAsia="宋体"/>
                <w:color w:val="000000"/>
                <w:sz w:val="24"/>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sz w:val="24"/>
                <w:lang w:val="en-US" w:eastAsia="zh-CN"/>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lang w:val="en-US" w:eastAsia="zh-CN"/>
              </w:rPr>
            </w:pPr>
            <w:r>
              <w:rPr>
                <w:rFonts w:hint="eastAsia" w:eastAsia="宋体"/>
                <w:color w:val="000000"/>
                <w:sz w:val="24"/>
                <w:lang w:val="en-US" w:eastAsia="zh-CN"/>
              </w:rPr>
              <w:t>20</w:t>
            </w:r>
          </w:p>
        </w:tc>
        <w:tc>
          <w:tcPr>
            <w:tcW w:w="1114" w:type="dxa"/>
            <w:tcBorders>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lang w:val="en-US" w:eastAsia="zh-CN"/>
              </w:rPr>
            </w:pPr>
            <w:r>
              <w:rPr>
                <w:rFonts w:hint="eastAsia" w:eastAsia="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提高服务质量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lang w:val="en-US" w:eastAsia="zh-CN"/>
              </w:rPr>
            </w:pPr>
            <w:r>
              <w:rPr>
                <w:rFonts w:hint="eastAsia" w:eastAsia="宋体"/>
                <w:color w:val="000000"/>
                <w:sz w:val="24"/>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及时准确传达收发文件</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lang w:val="en-US" w:eastAsia="zh-CN"/>
              </w:rPr>
            </w:pPr>
            <w:r>
              <w:rPr>
                <w:rFonts w:hint="eastAsia" w:eastAsia="宋体"/>
                <w:color w:val="000000"/>
                <w:sz w:val="24"/>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效益指标</w:t>
            </w:r>
          </w:p>
        </w:tc>
        <w:tc>
          <w:tcPr>
            <w:tcW w:w="1273" w:type="dxa"/>
            <w:vMerge w:val="restart"/>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rPr>
            </w:pPr>
            <w:r>
              <w:rPr>
                <w:rFonts w:eastAsia="宋体"/>
                <w:color w:val="000000"/>
                <w:kern w:val="0"/>
                <w:sz w:val="24"/>
              </w:rPr>
              <w:t>社会效益</w:t>
            </w:r>
          </w:p>
          <w:p>
            <w:pPr>
              <w:widowControl/>
              <w:spacing w:line="300" w:lineRule="exact"/>
              <w:jc w:val="center"/>
              <w:textAlignment w:val="center"/>
              <w:rPr>
                <w:rFonts w:eastAsia="宋体"/>
                <w:color w:val="000000"/>
                <w:sz w:val="24"/>
              </w:rPr>
            </w:pPr>
            <w:r>
              <w:rPr>
                <w:rFonts w:eastAsia="宋体"/>
                <w:color w:val="000000"/>
                <w:kern w:val="0"/>
                <w:sz w:val="24"/>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全县网络核查安全工作</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lang w:val="en-US" w:eastAsia="zh-CN"/>
              </w:rPr>
            </w:pPr>
            <w:r>
              <w:rPr>
                <w:rFonts w:hint="eastAsia" w:eastAsia="宋体"/>
                <w:color w:val="000000"/>
                <w:sz w:val="24"/>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lang w:val="en-US" w:eastAsia="zh-CN"/>
              </w:rPr>
            </w:pPr>
            <w:r>
              <w:rPr>
                <w:rFonts w:hint="eastAsia" w:eastAsia="宋体"/>
                <w:color w:val="000000"/>
                <w:sz w:val="24"/>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273" w:type="dxa"/>
            <w:vMerge w:val="continue"/>
            <w:tcBorders>
              <w:top w:val="single" w:color="000000" w:sz="4" w:space="0"/>
              <w:left w:val="single" w:color="000000" w:sz="4" w:space="0"/>
              <w:right w:val="single" w:color="000000" w:sz="4" w:space="0"/>
            </w:tcBorders>
            <w:shd w:val="clear" w:color="auto" w:fill="auto"/>
            <w:vAlign w:val="center"/>
          </w:tc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群众政策知晓度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lang w:val="en-US" w:eastAsia="zh-CN"/>
              </w:rPr>
            </w:pPr>
            <w:r>
              <w:rPr>
                <w:rFonts w:hint="eastAsia" w:eastAsia="宋体"/>
                <w:color w:val="000000"/>
                <w:sz w:val="24"/>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lang w:val="en-US" w:eastAsia="zh-CN"/>
              </w:rPr>
            </w:pPr>
            <w:r>
              <w:rPr>
                <w:rFonts w:hint="eastAsia" w:eastAsia="宋体"/>
                <w:color w:val="000000"/>
                <w:sz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解决来访对象诉求，提高满意度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lang w:val="en-US" w:eastAsia="zh-CN"/>
              </w:rPr>
            </w:pPr>
            <w:r>
              <w:rPr>
                <w:rFonts w:hint="eastAsia" w:eastAsia="宋体"/>
                <w:color w:val="000000"/>
                <w:sz w:val="24"/>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lang w:val="en-US" w:eastAsia="zh-CN"/>
              </w:rPr>
            </w:pPr>
            <w:r>
              <w:rPr>
                <w:rFonts w:hint="eastAsia" w:eastAsia="宋体"/>
                <w:color w:val="000000"/>
                <w:sz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100%</w:t>
            </w:r>
          </w:p>
        </w:tc>
      </w:tr>
    </w:tbl>
    <w:p>
      <w:pPr>
        <w:pStyle w:val="9"/>
        <w:ind w:left="0" w:leftChars="0" w:firstLine="0" w:firstLineChars="0"/>
        <w:rPr>
          <w:rFonts w:ascii="Times New Roman" w:hAnsi="Times New Roman" w:eastAsia="黑体"/>
          <w:sz w:val="24"/>
          <w:szCs w:val="24"/>
        </w:rPr>
      </w:pPr>
    </w:p>
    <w:p>
      <w:pPr>
        <w:pStyle w:val="9"/>
        <w:ind w:left="0" w:leftChars="0" w:firstLine="0" w:firstLineChars="0"/>
        <w:rPr>
          <w:rFonts w:ascii="Times New Roman" w:hAnsi="Times New Roman" w:eastAsia="黑体"/>
          <w:sz w:val="24"/>
          <w:szCs w:val="24"/>
        </w:rPr>
      </w:pPr>
    </w:p>
    <w:p>
      <w:pPr>
        <w:pStyle w:val="9"/>
        <w:ind w:left="0" w:leftChars="0" w:firstLine="0" w:firstLineChars="0"/>
        <w:rPr>
          <w:rFonts w:ascii="Times New Roman" w:hAnsi="Times New Roman" w:eastAsia="黑体"/>
          <w:sz w:val="24"/>
          <w:szCs w:val="24"/>
        </w:rPr>
      </w:pPr>
    </w:p>
    <w:p>
      <w:pPr>
        <w:pStyle w:val="9"/>
        <w:ind w:left="0" w:leftChars="0" w:firstLine="0" w:firstLineChars="0"/>
        <w:rPr>
          <w:rFonts w:ascii="Times New Roman" w:hAnsi="Times New Roman" w:eastAsia="黑体"/>
          <w:sz w:val="24"/>
          <w:szCs w:val="24"/>
        </w:rPr>
      </w:pPr>
    </w:p>
    <w:p>
      <w:pPr>
        <w:pStyle w:val="9"/>
        <w:ind w:left="0" w:leftChars="0" w:firstLine="0" w:firstLineChars="0"/>
        <w:rPr>
          <w:rFonts w:ascii="Times New Roman" w:hAnsi="Times New Roman" w:eastAsia="黑体"/>
          <w:sz w:val="24"/>
          <w:szCs w:val="24"/>
        </w:rPr>
      </w:pPr>
    </w:p>
    <w:p>
      <w:pPr>
        <w:pStyle w:val="9"/>
        <w:ind w:left="0" w:leftChars="0" w:firstLine="0" w:firstLineChars="0"/>
        <w:rPr>
          <w:rFonts w:ascii="Times New Roman" w:hAnsi="Times New Roman" w:eastAsia="黑体"/>
          <w:sz w:val="24"/>
          <w:szCs w:val="24"/>
        </w:rPr>
      </w:pPr>
    </w:p>
    <w:p>
      <w:pPr>
        <w:pStyle w:val="9"/>
        <w:ind w:left="0" w:leftChars="0" w:firstLine="0" w:firstLineChars="0"/>
        <w:rPr>
          <w:rFonts w:ascii="Times New Roman" w:hAnsi="Times New Roman" w:eastAsia="黑体"/>
          <w:sz w:val="24"/>
          <w:szCs w:val="24"/>
        </w:rPr>
      </w:pPr>
    </w:p>
    <w:p>
      <w:pPr>
        <w:pStyle w:val="9"/>
        <w:ind w:left="0" w:leftChars="0" w:firstLine="0" w:firstLineChars="0"/>
        <w:rPr>
          <w:rFonts w:ascii="Times New Roman" w:hAnsi="Times New Roman" w:eastAsia="黑体"/>
          <w:sz w:val="24"/>
          <w:szCs w:val="24"/>
        </w:rPr>
      </w:pPr>
    </w:p>
    <w:p>
      <w:pPr>
        <w:pStyle w:val="9"/>
        <w:ind w:left="0" w:leftChars="0" w:firstLine="0" w:firstLineChars="0"/>
        <w:rPr>
          <w:rFonts w:ascii="Times New Roman" w:hAnsi="Times New Roman" w:eastAsia="黑体"/>
          <w:sz w:val="24"/>
          <w:szCs w:val="24"/>
        </w:rPr>
      </w:pPr>
    </w:p>
    <w:p>
      <w:pPr>
        <w:pStyle w:val="9"/>
        <w:ind w:left="0" w:leftChars="0" w:firstLine="0" w:firstLineChars="0"/>
        <w:rPr>
          <w:rFonts w:ascii="Times New Roman" w:hAnsi="Times New Roman" w:eastAsia="黑体"/>
          <w:sz w:val="24"/>
          <w:szCs w:val="24"/>
        </w:rPr>
      </w:pPr>
    </w:p>
    <w:p>
      <w:pPr>
        <w:pStyle w:val="9"/>
        <w:ind w:left="0" w:leftChars="0" w:firstLine="0" w:firstLineChars="0"/>
        <w:rPr>
          <w:rFonts w:ascii="Times New Roman" w:hAnsi="Times New Roman" w:eastAsia="黑体"/>
          <w:sz w:val="24"/>
          <w:szCs w:val="24"/>
        </w:rPr>
      </w:pPr>
    </w:p>
    <w:p>
      <w:pPr>
        <w:pStyle w:val="9"/>
        <w:ind w:left="0" w:leftChars="0" w:firstLine="0" w:firstLineChars="0"/>
        <w:rPr>
          <w:rFonts w:ascii="Times New Roman" w:hAnsi="Times New Roman" w:eastAsia="黑体"/>
          <w:sz w:val="24"/>
          <w:szCs w:val="24"/>
        </w:rPr>
      </w:pPr>
    </w:p>
    <w:p>
      <w:pPr>
        <w:pStyle w:val="9"/>
        <w:ind w:left="0" w:leftChars="0" w:firstLine="0" w:firstLineChars="0"/>
        <w:rPr>
          <w:rFonts w:ascii="Times New Roman" w:hAnsi="Times New Roman" w:eastAsia="黑体"/>
          <w:sz w:val="24"/>
          <w:szCs w:val="24"/>
        </w:rPr>
      </w:pPr>
    </w:p>
    <w:p>
      <w:pPr>
        <w:pStyle w:val="9"/>
        <w:ind w:left="0" w:leftChars="0" w:firstLine="0" w:firstLineChars="0"/>
        <w:rPr>
          <w:rFonts w:ascii="Times New Roman" w:hAnsi="Times New Roman" w:eastAsia="黑体"/>
          <w:sz w:val="24"/>
          <w:szCs w:val="24"/>
        </w:rPr>
      </w:pPr>
    </w:p>
    <w:p>
      <w:pPr>
        <w:pStyle w:val="9"/>
        <w:ind w:left="0" w:leftChars="0" w:firstLine="0" w:firstLineChars="0"/>
        <w:rPr>
          <w:rFonts w:ascii="Times New Roman" w:hAnsi="Times New Roman" w:eastAsia="黑体"/>
          <w:sz w:val="24"/>
          <w:szCs w:val="24"/>
        </w:rPr>
      </w:pPr>
    </w:p>
    <w:p>
      <w:pPr>
        <w:pStyle w:val="9"/>
        <w:ind w:left="0" w:leftChars="0" w:firstLine="0" w:firstLineChars="0"/>
        <w:rPr>
          <w:rFonts w:ascii="Times New Roman" w:hAnsi="Times New Roman" w:eastAsia="黑体"/>
          <w:sz w:val="24"/>
          <w:szCs w:val="24"/>
        </w:rPr>
      </w:pPr>
    </w:p>
    <w:p>
      <w:pPr>
        <w:pStyle w:val="37"/>
        <w:spacing w:line="578" w:lineRule="exact"/>
        <w:rPr>
          <w:rFonts w:ascii="方正小标宋简体" w:eastAsia="方正小标宋简体" w:cs="方正小标宋简体"/>
          <w:color w:val="auto"/>
          <w:kern w:val="2"/>
          <w:sz w:val="44"/>
          <w:szCs w:val="44"/>
          <w:lang w:val="en-US"/>
        </w:rPr>
      </w:pPr>
    </w:p>
    <w:p>
      <w:pPr>
        <w:pStyle w:val="37"/>
        <w:pageBreakBefore w:val="0"/>
        <w:widowControl w:val="0"/>
        <w:kinsoku/>
        <w:wordWrap/>
        <w:overflowPunct/>
        <w:topLinePunct w:val="0"/>
        <w:autoSpaceDE/>
        <w:autoSpaceDN/>
        <w:bidi w:val="0"/>
        <w:spacing w:line="576" w:lineRule="exact"/>
        <w:jc w:val="center"/>
        <w:textAlignment w:val="auto"/>
        <w:rPr>
          <w:rFonts w:hint="eastAsia" w:ascii="方正小标宋简体" w:eastAsia="方正小标宋简体" w:cs="方正小标宋简体"/>
          <w:color w:val="auto"/>
          <w:kern w:val="2"/>
          <w:sz w:val="44"/>
          <w:szCs w:val="44"/>
          <w:lang w:val="en-US" w:eastAsia="zh-CN"/>
        </w:rPr>
      </w:pPr>
      <w:r>
        <w:rPr>
          <w:rFonts w:hint="eastAsia" w:ascii="方正小标宋简体" w:eastAsia="方正小标宋简体" w:cs="方正小标宋简体"/>
          <w:color w:val="auto"/>
          <w:kern w:val="2"/>
          <w:sz w:val="44"/>
          <w:szCs w:val="44"/>
          <w:lang w:val="en-US" w:eastAsia="zh-CN"/>
        </w:rPr>
        <w:t>中共茂县县委办公室</w:t>
      </w:r>
    </w:p>
    <w:p>
      <w:pPr>
        <w:pStyle w:val="37"/>
        <w:pageBreakBefore w:val="0"/>
        <w:widowControl w:val="0"/>
        <w:kinsoku/>
        <w:wordWrap/>
        <w:overflowPunct/>
        <w:topLinePunct w:val="0"/>
        <w:autoSpaceDE/>
        <w:autoSpaceDN/>
        <w:bidi w:val="0"/>
        <w:spacing w:line="576" w:lineRule="exact"/>
        <w:jc w:val="center"/>
        <w:textAlignment w:val="auto"/>
        <w:rPr>
          <w:rFonts w:hint="eastAsia" w:ascii="方正小标宋简体" w:eastAsia="方正小标宋简体" w:cs="方正小标宋简体"/>
          <w:color w:val="auto"/>
          <w:kern w:val="2"/>
          <w:sz w:val="44"/>
          <w:szCs w:val="44"/>
          <w:lang w:val="en-US" w:eastAsia="zh-CN"/>
        </w:rPr>
      </w:pPr>
      <w:r>
        <w:rPr>
          <w:rFonts w:hint="eastAsia" w:ascii="方正小标宋简体" w:eastAsia="方正小标宋简体" w:cs="方正小标宋简体"/>
          <w:color w:val="auto"/>
          <w:kern w:val="2"/>
          <w:sz w:val="44"/>
          <w:szCs w:val="44"/>
          <w:lang w:val="en-US"/>
        </w:rPr>
        <w:t>专项预算项目绩效评价</w:t>
      </w:r>
      <w:r>
        <w:rPr>
          <w:rFonts w:hint="eastAsia" w:ascii="方正小标宋简体" w:eastAsia="方正小标宋简体" w:cs="方正小标宋简体"/>
          <w:color w:val="auto"/>
          <w:kern w:val="2"/>
          <w:sz w:val="44"/>
          <w:szCs w:val="44"/>
          <w:lang w:val="en-US" w:eastAsia="zh-CN"/>
        </w:rPr>
        <w:t>报告</w:t>
      </w:r>
    </w:p>
    <w:p>
      <w:pPr>
        <w:pStyle w:val="37"/>
        <w:pageBreakBefore w:val="0"/>
        <w:widowControl w:val="0"/>
        <w:kinsoku/>
        <w:wordWrap/>
        <w:overflowPunct/>
        <w:topLinePunct w:val="0"/>
        <w:autoSpaceDE/>
        <w:autoSpaceDN/>
        <w:bidi w:val="0"/>
        <w:spacing w:line="576" w:lineRule="exact"/>
        <w:ind w:firstLine="640"/>
        <w:jc w:val="center"/>
        <w:textAlignment w:val="auto"/>
        <w:rPr>
          <w:rFonts w:ascii="宋体"/>
          <w:color w:val="auto"/>
          <w:kern w:val="2"/>
          <w:sz w:val="32"/>
          <w:szCs w:val="32"/>
        </w:rPr>
      </w:pPr>
    </w:p>
    <w:p>
      <w:pPr>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黑体" w:eastAsia="黑体" w:cs="黑体"/>
          <w:sz w:val="32"/>
          <w:szCs w:val="32"/>
          <w:lang w:val="zh-CN"/>
        </w:rPr>
      </w:pPr>
      <w:r>
        <w:rPr>
          <w:rFonts w:hint="eastAsia" w:ascii="黑体" w:eastAsia="黑体" w:cs="黑体"/>
          <w:sz w:val="32"/>
          <w:szCs w:val="32"/>
        </w:rPr>
        <w:t>一、</w:t>
      </w:r>
      <w:r>
        <w:rPr>
          <w:rFonts w:hint="eastAsia" w:ascii="黑体" w:eastAsia="黑体" w:cs="黑体"/>
          <w:sz w:val="32"/>
          <w:szCs w:val="32"/>
          <w:lang w:val="zh-CN"/>
        </w:rPr>
        <w:t>项目概况</w:t>
      </w:r>
    </w:p>
    <w:p>
      <w:pPr>
        <w:pageBreakBefore w:val="0"/>
        <w:widowControl/>
        <w:kinsoku/>
        <w:wordWrap/>
        <w:overflowPunct/>
        <w:topLinePunct w:val="0"/>
        <w:autoSpaceDE/>
        <w:autoSpaceDN/>
        <w:bidi w:val="0"/>
        <w:adjustRightInd w:val="0"/>
        <w:snapToGrid w:val="0"/>
        <w:spacing w:line="576" w:lineRule="exact"/>
        <w:ind w:firstLine="642" w:firstLineChars="200"/>
        <w:contextualSpacing/>
        <w:jc w:val="left"/>
        <w:textAlignment w:val="auto"/>
        <w:rPr>
          <w:rFonts w:hint="eastAsia" w:ascii="仿宋_GB2312" w:eastAsia="仿宋_GB2312" w:cs="仿宋_GB2312"/>
          <w:kern w:val="0"/>
          <w:sz w:val="32"/>
          <w:szCs w:val="32"/>
          <w:shd w:val="clear" w:color="auto" w:fill="FFFFFF"/>
          <w:lang w:val="zh-CN"/>
        </w:rPr>
      </w:pPr>
      <w:r>
        <w:rPr>
          <w:rFonts w:hint="eastAsia" w:ascii="仿宋_GB2312" w:eastAsia="仿宋_GB2312" w:cs="仿宋_GB2312"/>
          <w:b/>
          <w:sz w:val="32"/>
          <w:szCs w:val="32"/>
          <w:lang w:val="zh-CN"/>
        </w:rPr>
        <w:t>（一）设立背景及基本情况。</w:t>
      </w:r>
    </w:p>
    <w:p>
      <w:pPr>
        <w:pStyle w:val="38"/>
        <w:keepNext/>
        <w:keepLines/>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b w:val="0"/>
          <w:bCs/>
          <w:kern w:val="0"/>
          <w:sz w:val="32"/>
          <w:szCs w:val="32"/>
          <w:shd w:val="clear" w:color="auto" w:fill="FFFFFF"/>
          <w:lang w:val="en-US" w:eastAsia="zh-CN"/>
        </w:rPr>
      </w:pPr>
      <w:r>
        <w:rPr>
          <w:rFonts w:hint="eastAsia" w:ascii="仿宋_GB2312" w:eastAsia="仿宋_GB2312" w:cs="仿宋_GB2312"/>
          <w:b w:val="0"/>
          <w:bCs/>
          <w:kern w:val="0"/>
          <w:sz w:val="32"/>
          <w:szCs w:val="32"/>
          <w:shd w:val="clear" w:color="auto" w:fill="FFFFFF"/>
          <w:lang w:val="en-US" w:eastAsia="zh-CN"/>
        </w:rPr>
        <w:t>1.建设乡镇视屏会议系统，保障会议及时准确传达，申请资金76.40万元，用于项目建设。</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b w:val="0"/>
          <w:bCs/>
          <w:sz w:val="32"/>
          <w:szCs w:val="32"/>
          <w:lang w:val="en-US" w:eastAsia="zh-CN"/>
        </w:rPr>
      </w:pPr>
      <w:r>
        <w:rPr>
          <w:rFonts w:hint="eastAsia" w:ascii="仿宋_GB2312" w:eastAsia="仿宋_GB2312" w:cs="仿宋_GB2312"/>
          <w:b w:val="0"/>
          <w:bCs/>
          <w:kern w:val="0"/>
          <w:sz w:val="32"/>
          <w:szCs w:val="32"/>
          <w:shd w:val="clear" w:color="auto" w:fill="FFFFFF"/>
          <w:lang w:val="en-US" w:eastAsia="zh-CN"/>
        </w:rPr>
        <w:t>2.办公经费(2023),申请资金</w:t>
      </w:r>
      <w:r>
        <w:rPr>
          <w:rFonts w:hint="eastAsia" w:ascii="仿宋_GB2312" w:eastAsia="仿宋_GB2312" w:cs="仿宋_GB2312"/>
          <w:b w:val="0"/>
          <w:bCs/>
          <w:sz w:val="32"/>
          <w:szCs w:val="32"/>
          <w:lang w:val="en-US" w:eastAsia="zh-CN"/>
        </w:rPr>
        <w:t>95.96万元，用于日常办公经费支出。</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b w:val="0"/>
          <w:bCs/>
          <w:sz w:val="32"/>
          <w:szCs w:val="32"/>
          <w:lang w:val="en-US" w:eastAsia="zh-CN"/>
        </w:rPr>
      </w:pPr>
      <w:r>
        <w:rPr>
          <w:rFonts w:hint="eastAsia" w:ascii="仿宋_GB2312" w:eastAsia="仿宋_GB2312" w:cs="仿宋_GB2312"/>
          <w:b w:val="0"/>
          <w:bCs/>
          <w:sz w:val="32"/>
          <w:szCs w:val="32"/>
          <w:lang w:val="en-US" w:eastAsia="zh-CN"/>
        </w:rPr>
        <w:t>3.</w:t>
      </w:r>
      <w:r>
        <w:rPr>
          <w:rFonts w:hint="eastAsia" w:ascii="仿宋_GB2312" w:eastAsia="仿宋_GB2312" w:cs="仿宋_GB2312"/>
          <w:b w:val="0"/>
          <w:bCs/>
          <w:kern w:val="0"/>
          <w:sz w:val="32"/>
          <w:szCs w:val="32"/>
          <w:shd w:val="clear" w:color="auto" w:fill="FFFFFF"/>
          <w:lang w:val="en-US" w:eastAsia="zh-CN"/>
        </w:rPr>
        <w:t>办公经费2，申请资金</w:t>
      </w:r>
      <w:r>
        <w:rPr>
          <w:rFonts w:hint="eastAsia" w:ascii="仿宋_GB2312" w:eastAsia="仿宋_GB2312" w:cs="仿宋_GB2312"/>
          <w:b w:val="0"/>
          <w:bCs/>
          <w:sz w:val="32"/>
          <w:szCs w:val="32"/>
          <w:lang w:val="en-US" w:eastAsia="zh-CN"/>
        </w:rPr>
        <w:t>56.00万元，用于日常办公经费支出。</w:t>
      </w:r>
    </w:p>
    <w:p>
      <w:pPr>
        <w:pageBreakBefore w:val="0"/>
        <w:widowControl w:val="0"/>
        <w:kinsoku/>
        <w:wordWrap/>
        <w:overflowPunct/>
        <w:topLinePunct w:val="0"/>
        <w:autoSpaceDE/>
        <w:autoSpaceDN/>
        <w:bidi w:val="0"/>
        <w:adjustRightInd w:val="0"/>
        <w:snapToGrid w:val="0"/>
        <w:spacing w:line="576" w:lineRule="exact"/>
        <w:ind w:firstLine="642" w:firstLineChars="200"/>
        <w:textAlignment w:val="auto"/>
        <w:rPr>
          <w:rFonts w:hint="eastAsia" w:ascii="仿宋_GB2312" w:eastAsia="仿宋_GB2312" w:cs="仿宋_GB2312"/>
          <w:kern w:val="0"/>
          <w:sz w:val="32"/>
          <w:szCs w:val="32"/>
          <w:shd w:val="clear" w:color="auto" w:fill="FFFFFF"/>
          <w:lang w:val="zh-CN"/>
        </w:rPr>
      </w:pPr>
      <w:r>
        <w:rPr>
          <w:rFonts w:hint="eastAsia" w:ascii="仿宋_GB2312" w:eastAsia="仿宋_GB2312" w:cs="仿宋_GB2312"/>
          <w:b/>
          <w:sz w:val="32"/>
          <w:szCs w:val="32"/>
          <w:lang w:val="zh-CN"/>
        </w:rPr>
        <w:t>（二）</w:t>
      </w:r>
      <w:r>
        <w:rPr>
          <w:rFonts w:hint="eastAsia" w:ascii="仿宋_GB2312" w:eastAsia="仿宋_GB2312" w:cs="仿宋_GB2312"/>
          <w:b/>
          <w:sz w:val="32"/>
          <w:szCs w:val="32"/>
        </w:rPr>
        <w:t>实施目的及支持方向。</w:t>
      </w:r>
    </w:p>
    <w:p>
      <w:pPr>
        <w:pStyle w:val="38"/>
        <w:keepNext/>
        <w:keepLines/>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lang w:val="en-US"/>
        </w:rPr>
      </w:pPr>
      <w:r>
        <w:rPr>
          <w:rFonts w:hint="eastAsia" w:ascii="仿宋_GB2312" w:eastAsia="仿宋_GB2312" w:cs="仿宋_GB2312"/>
          <w:b w:val="0"/>
          <w:bCs/>
          <w:kern w:val="0"/>
          <w:sz w:val="32"/>
          <w:szCs w:val="32"/>
          <w:shd w:val="clear" w:color="auto" w:fill="FFFFFF"/>
          <w:lang w:val="en-US" w:eastAsia="zh-CN"/>
        </w:rPr>
        <w:t>根据财政资金使用管理办法对资金进行管理。建设乡镇视屏会议系统，保障会议及时准确传达及保障我办日常正常有序办公，更好更快做到上传下达，完成各项工作任务。</w:t>
      </w:r>
    </w:p>
    <w:p>
      <w:pPr>
        <w:pageBreakBefore w:val="0"/>
        <w:widowControl/>
        <w:numPr>
          <w:ilvl w:val="0"/>
          <w:numId w:val="3"/>
        </w:numPr>
        <w:kinsoku/>
        <w:wordWrap/>
        <w:overflowPunct/>
        <w:topLinePunct w:val="0"/>
        <w:autoSpaceDE/>
        <w:autoSpaceDN/>
        <w:bidi w:val="0"/>
        <w:adjustRightInd w:val="0"/>
        <w:snapToGrid w:val="0"/>
        <w:spacing w:line="576" w:lineRule="exact"/>
        <w:ind w:left="0" w:firstLine="642" w:firstLineChars="200"/>
        <w:contextualSpacing/>
        <w:jc w:val="left"/>
        <w:textAlignment w:val="auto"/>
        <w:rPr>
          <w:rFonts w:hint="eastAsia" w:ascii="仿宋_GB2312" w:eastAsia="仿宋_GB2312" w:cs="仿宋_GB2312"/>
          <w:b w:val="0"/>
          <w:bCs/>
          <w:kern w:val="0"/>
          <w:sz w:val="32"/>
          <w:szCs w:val="32"/>
          <w:shd w:val="clear" w:color="auto" w:fill="FFFFFF"/>
          <w:lang w:val="en-US" w:eastAsia="zh-CN"/>
        </w:rPr>
      </w:pPr>
      <w:r>
        <w:rPr>
          <w:rFonts w:hint="eastAsia" w:ascii="仿宋_GB2312" w:eastAsia="仿宋_GB2312" w:cs="仿宋_GB2312"/>
          <w:b/>
          <w:sz w:val="32"/>
          <w:szCs w:val="32"/>
        </w:rPr>
        <w:t>预算安排及分配管理</w:t>
      </w:r>
      <w:r>
        <w:rPr>
          <w:rFonts w:hint="eastAsia" w:ascii="仿宋_GB2312" w:eastAsia="仿宋_GB2312" w:cs="仿宋_GB2312"/>
          <w:b/>
          <w:sz w:val="32"/>
          <w:szCs w:val="32"/>
          <w:lang w:val="zh-CN"/>
        </w:rPr>
        <w:t>。</w:t>
      </w:r>
    </w:p>
    <w:p>
      <w:pPr>
        <w:pageBreakBefore w:val="0"/>
        <w:widowControl/>
        <w:kinsoku/>
        <w:wordWrap/>
        <w:overflowPunct/>
        <w:topLinePunct w:val="0"/>
        <w:autoSpaceDE/>
        <w:autoSpaceDN/>
        <w:bidi w:val="0"/>
        <w:adjustRightInd w:val="0"/>
        <w:snapToGrid w:val="0"/>
        <w:spacing w:line="576" w:lineRule="exact"/>
        <w:ind w:left="0" w:firstLine="640" w:firstLineChars="200"/>
        <w:contextualSpacing/>
        <w:jc w:val="left"/>
        <w:textAlignment w:val="auto"/>
        <w:rPr>
          <w:rFonts w:hint="eastAsia" w:ascii="仿宋_GB2312" w:eastAsia="仿宋_GB2312" w:cs="仿宋_GB2312"/>
          <w:b w:val="0"/>
          <w:bCs/>
          <w:kern w:val="2"/>
          <w:sz w:val="32"/>
          <w:szCs w:val="32"/>
          <w:lang w:val="en-US" w:eastAsia="zh-CN" w:bidi="ar-SA"/>
        </w:rPr>
      </w:pPr>
      <w:r>
        <w:rPr>
          <w:rFonts w:hint="eastAsia" w:ascii="仿宋_GB2312" w:eastAsia="仿宋_GB2312" w:cs="仿宋_GB2312"/>
          <w:b w:val="0"/>
          <w:bCs/>
          <w:kern w:val="0"/>
          <w:sz w:val="32"/>
          <w:szCs w:val="32"/>
          <w:shd w:val="clear" w:color="auto" w:fill="FFFFFF"/>
          <w:lang w:val="en-US" w:eastAsia="zh-CN"/>
        </w:rPr>
        <w:t>1.全年追加，申请资金76.40万元，用于项目建设，</w:t>
      </w:r>
      <w:r>
        <w:rPr>
          <w:rFonts w:hint="eastAsia" w:ascii="仿宋_GB2312" w:eastAsia="仿宋_GB2312" w:cs="仿宋_GB2312"/>
          <w:sz w:val="32"/>
          <w:szCs w:val="32"/>
          <w:lang w:val="en-US" w:eastAsia="zh-CN"/>
        </w:rPr>
        <w:t>资金属县级资金。</w:t>
      </w:r>
    </w:p>
    <w:p>
      <w:pPr>
        <w:pageBreakBefore w:val="0"/>
        <w:widowControl/>
        <w:kinsoku/>
        <w:wordWrap/>
        <w:overflowPunct/>
        <w:topLinePunct w:val="0"/>
        <w:autoSpaceDE/>
        <w:autoSpaceDN/>
        <w:bidi w:val="0"/>
        <w:adjustRightInd w:val="0"/>
        <w:snapToGrid w:val="0"/>
        <w:spacing w:line="576" w:lineRule="exact"/>
        <w:ind w:left="0" w:firstLine="640" w:firstLineChars="200"/>
        <w:contextualSpacing/>
        <w:jc w:val="left"/>
        <w:textAlignment w:val="auto"/>
        <w:rPr>
          <w:rFonts w:hint="eastAsia" w:ascii="仿宋_GB2312" w:eastAsia="仿宋_GB2312" w:cs="仿宋_GB2312"/>
          <w:b w:val="0"/>
          <w:bCs/>
          <w:kern w:val="2"/>
          <w:sz w:val="32"/>
          <w:szCs w:val="32"/>
          <w:lang w:val="en-US" w:eastAsia="zh-CN" w:bidi="ar-SA"/>
        </w:rPr>
      </w:pPr>
      <w:r>
        <w:rPr>
          <w:rFonts w:hint="eastAsia" w:ascii="仿宋_GB2312" w:eastAsia="仿宋_GB2312" w:cs="仿宋_GB2312"/>
          <w:b w:val="0"/>
          <w:bCs/>
          <w:kern w:val="0"/>
          <w:sz w:val="32"/>
          <w:szCs w:val="32"/>
          <w:shd w:val="clear" w:color="auto" w:fill="FFFFFF"/>
          <w:lang w:val="en-US" w:eastAsia="zh-CN"/>
        </w:rPr>
        <w:t>2.全年追加办公经费，申请资金</w:t>
      </w:r>
      <w:r>
        <w:rPr>
          <w:rFonts w:hint="eastAsia" w:ascii="仿宋_GB2312" w:eastAsia="仿宋_GB2312" w:cs="仿宋_GB2312"/>
          <w:b w:val="0"/>
          <w:bCs/>
          <w:sz w:val="32"/>
          <w:szCs w:val="32"/>
          <w:lang w:val="en-US" w:eastAsia="zh-CN"/>
        </w:rPr>
        <w:t>151.96万元，用于日常办公经费支出</w:t>
      </w:r>
      <w:r>
        <w:rPr>
          <w:rFonts w:hint="eastAsia" w:ascii="仿宋_GB2312" w:eastAsia="仿宋_GB2312" w:cs="仿宋_GB2312"/>
          <w:b w:val="0"/>
          <w:bCs/>
          <w:kern w:val="2"/>
          <w:sz w:val="32"/>
          <w:szCs w:val="32"/>
          <w:lang w:val="en-US" w:eastAsia="zh-CN" w:bidi="ar-SA"/>
        </w:rPr>
        <w:t>，资金属县级资金。</w:t>
      </w:r>
    </w:p>
    <w:p>
      <w:pPr>
        <w:pageBreakBefore w:val="0"/>
        <w:widowControl w:val="0"/>
        <w:kinsoku/>
        <w:wordWrap/>
        <w:overflowPunct/>
        <w:topLinePunct w:val="0"/>
        <w:autoSpaceDE/>
        <w:autoSpaceDN/>
        <w:bidi w:val="0"/>
        <w:adjustRightInd w:val="0"/>
        <w:snapToGrid w:val="0"/>
        <w:spacing w:line="576" w:lineRule="exact"/>
        <w:ind w:firstLine="642" w:firstLineChars="200"/>
        <w:textAlignment w:val="auto"/>
        <w:rPr>
          <w:rFonts w:hint="eastAsia" w:ascii="仿宋_GB2312" w:eastAsia="仿宋_GB2312" w:cs="仿宋_GB2312"/>
          <w:kern w:val="0"/>
          <w:sz w:val="32"/>
          <w:szCs w:val="32"/>
          <w:shd w:val="clear" w:color="auto" w:fill="FFFFFF"/>
          <w:lang w:val="zh-CN"/>
        </w:rPr>
      </w:pPr>
      <w:r>
        <w:rPr>
          <w:rFonts w:hint="eastAsia" w:ascii="仿宋_GB2312" w:eastAsia="仿宋_GB2312" w:cs="仿宋_GB2312"/>
          <w:b/>
          <w:sz w:val="32"/>
          <w:szCs w:val="32"/>
          <w:lang w:val="zh-CN"/>
        </w:rPr>
        <w:t>（四）项目绩效目标设置。</w:t>
      </w:r>
    </w:p>
    <w:p>
      <w:pPr>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eastAsia="仿宋_GB2312" w:cs="仿宋_GB2312"/>
          <w:kern w:val="0"/>
          <w:sz w:val="32"/>
          <w:szCs w:val="32"/>
          <w:shd w:val="clear" w:color="auto" w:fill="FFFFFF"/>
          <w:lang w:val="zh-CN"/>
        </w:rPr>
      </w:pPr>
      <w:r>
        <w:rPr>
          <w:rFonts w:hint="eastAsia" w:ascii="仿宋_GB2312" w:eastAsia="仿宋_GB2312" w:cs="仿宋_GB2312"/>
          <w:kern w:val="0"/>
          <w:sz w:val="32"/>
          <w:szCs w:val="32"/>
          <w:shd w:val="clear" w:color="auto" w:fill="FFFFFF"/>
          <w:lang w:val="zh-CN"/>
        </w:rPr>
        <w:t>在本项目中，我们采取了分层次的绩效目标设置，确保项目整体、区域相互协调并支持项目</w:t>
      </w:r>
      <w:r>
        <w:rPr>
          <w:rFonts w:hint="eastAsia" w:ascii="仿宋_GB2312" w:eastAsia="仿宋_GB2312" w:cs="仿宋_GB2312"/>
          <w:kern w:val="0"/>
          <w:sz w:val="32"/>
          <w:szCs w:val="32"/>
          <w:shd w:val="clear" w:color="auto" w:fill="FFFFFF"/>
          <w:lang w:val="en-US" w:eastAsia="zh-CN"/>
        </w:rPr>
        <w:t>绩效目标</w:t>
      </w:r>
      <w:r>
        <w:rPr>
          <w:rFonts w:hint="eastAsia" w:ascii="仿宋_GB2312" w:eastAsia="仿宋_GB2312" w:cs="仿宋_GB2312"/>
          <w:kern w:val="0"/>
          <w:sz w:val="32"/>
          <w:szCs w:val="32"/>
          <w:shd w:val="clear" w:color="auto" w:fill="FFFFFF"/>
          <w:lang w:val="zh-CN"/>
        </w:rPr>
        <w:t>的实现。项目整体绩效目标聚焦于关键的成果和长远影响，为了确保项目目标的实现并持续提升项目执行质量，我们开展了全面的项目自评工作。自评工作定期进行，自评结果被用于项目监控、风险管理和决策制定，同时，我们根据自评发现制定改进措施，不断优化项目流程和执行策略。</w:t>
      </w:r>
    </w:p>
    <w:p>
      <w:pPr>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黑体" w:eastAsia="黑体" w:cs="黑体"/>
          <w:sz w:val="32"/>
          <w:szCs w:val="32"/>
        </w:rPr>
      </w:pPr>
      <w:r>
        <w:rPr>
          <w:rFonts w:hint="eastAsia" w:ascii="黑体" w:eastAsia="黑体" w:cs="黑体"/>
          <w:sz w:val="32"/>
          <w:szCs w:val="32"/>
        </w:rPr>
        <w:t>二、评价实施</w:t>
      </w:r>
    </w:p>
    <w:p>
      <w:pPr>
        <w:pageBreakBefore w:val="0"/>
        <w:widowControl w:val="0"/>
        <w:kinsoku/>
        <w:wordWrap/>
        <w:overflowPunct/>
        <w:topLinePunct w:val="0"/>
        <w:autoSpaceDE/>
        <w:autoSpaceDN/>
        <w:bidi w:val="0"/>
        <w:spacing w:line="576" w:lineRule="exact"/>
        <w:ind w:firstLine="640"/>
        <w:textAlignment w:val="auto"/>
        <w:rPr>
          <w:rFonts w:hint="eastAsia" w:ascii="仿宋_GB2312" w:eastAsia="仿宋_GB2312" w:cs="仿宋_GB2312"/>
          <w:sz w:val="32"/>
          <w:szCs w:val="32"/>
        </w:rPr>
      </w:pPr>
      <w:r>
        <w:rPr>
          <w:rFonts w:hint="eastAsia" w:ascii="仿宋_GB2312" w:eastAsia="仿宋_GB2312" w:cs="仿宋_GB2312"/>
          <w:b/>
          <w:sz w:val="32"/>
          <w:szCs w:val="32"/>
          <w:lang w:val="zh-CN"/>
        </w:rPr>
        <w:t>（一）评价目的。</w:t>
      </w:r>
    </w:p>
    <w:p>
      <w:pPr>
        <w:pStyle w:val="38"/>
        <w:keepNext/>
        <w:keepLines/>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b w:val="0"/>
          <w:kern w:val="0"/>
          <w:sz w:val="32"/>
          <w:szCs w:val="32"/>
          <w:shd w:val="clear" w:color="auto" w:fill="FFFFFF"/>
          <w:lang w:val="zh-CN" w:eastAsia="zh-CN" w:bidi="ar-SA"/>
        </w:rPr>
      </w:pPr>
      <w:r>
        <w:rPr>
          <w:rFonts w:hint="eastAsia" w:ascii="仿宋_GB2312" w:eastAsia="仿宋_GB2312" w:cs="仿宋_GB2312"/>
          <w:b w:val="0"/>
          <w:kern w:val="0"/>
          <w:sz w:val="32"/>
          <w:szCs w:val="32"/>
          <w:shd w:val="clear" w:color="auto" w:fill="FFFFFF"/>
          <w:lang w:val="en-US" w:eastAsia="zh-CN" w:bidi="ar-SA"/>
        </w:rPr>
        <w:t>1.</w:t>
      </w:r>
      <w:r>
        <w:rPr>
          <w:rFonts w:hint="eastAsia" w:ascii="仿宋_GB2312" w:eastAsia="仿宋_GB2312" w:cs="仿宋_GB2312"/>
          <w:b w:val="0"/>
          <w:kern w:val="0"/>
          <w:sz w:val="32"/>
          <w:szCs w:val="32"/>
          <w:shd w:val="clear" w:color="auto" w:fill="FFFFFF"/>
          <w:lang w:val="zh-CN" w:eastAsia="zh-CN" w:bidi="ar-SA"/>
        </w:rPr>
        <w:t>有助于确保项目活动与既定的绩效目标保持一致，及时发现偏离目标的情况。</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b w:val="0"/>
          <w:kern w:val="0"/>
          <w:sz w:val="32"/>
          <w:szCs w:val="32"/>
          <w:shd w:val="clear" w:color="auto" w:fill="FFFFFF"/>
          <w:lang w:val="zh-CN" w:eastAsia="zh-CN" w:bidi="ar-SA"/>
        </w:rPr>
      </w:pPr>
      <w:r>
        <w:rPr>
          <w:rFonts w:hint="eastAsia" w:ascii="仿宋_GB2312" w:eastAsia="仿宋_GB2312" w:cs="仿宋_GB2312"/>
          <w:b w:val="0"/>
          <w:kern w:val="0"/>
          <w:sz w:val="32"/>
          <w:szCs w:val="32"/>
          <w:shd w:val="clear" w:color="auto" w:fill="FFFFFF"/>
          <w:lang w:val="en-US" w:eastAsia="zh-CN" w:bidi="ar-SA"/>
        </w:rPr>
        <w:t>2.</w:t>
      </w:r>
      <w:r>
        <w:rPr>
          <w:rFonts w:hint="eastAsia" w:ascii="仿宋_GB2312" w:eastAsia="仿宋_GB2312" w:cs="仿宋_GB2312"/>
          <w:b w:val="0"/>
          <w:kern w:val="0"/>
          <w:sz w:val="32"/>
          <w:szCs w:val="32"/>
          <w:shd w:val="clear" w:color="auto" w:fill="FFFFFF"/>
          <w:lang w:val="zh-CN" w:eastAsia="zh-CN" w:bidi="ar-SA"/>
        </w:rPr>
        <w:t>通过自评，项目团队能够识别项目执行过程中的问题和潜在风险，从而采取预防或纠正措施。</w:t>
      </w:r>
    </w:p>
    <w:p>
      <w:pPr>
        <w:pStyle w:val="38"/>
        <w:keepNext/>
        <w:keepLines/>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b w:val="0"/>
          <w:kern w:val="0"/>
          <w:sz w:val="32"/>
          <w:szCs w:val="32"/>
          <w:shd w:val="clear" w:color="auto" w:fill="FFFFFF"/>
          <w:lang w:val="zh-CN" w:eastAsia="zh-CN" w:bidi="ar-SA"/>
        </w:rPr>
      </w:pPr>
      <w:r>
        <w:rPr>
          <w:rFonts w:hint="eastAsia" w:ascii="仿宋_GB2312" w:eastAsia="仿宋_GB2312" w:cs="仿宋_GB2312"/>
          <w:b w:val="0"/>
          <w:kern w:val="0"/>
          <w:sz w:val="32"/>
          <w:szCs w:val="32"/>
          <w:shd w:val="clear" w:color="auto" w:fill="FFFFFF"/>
          <w:lang w:val="en-US" w:eastAsia="zh-CN" w:bidi="ar-SA"/>
        </w:rPr>
        <w:t>3.</w:t>
      </w:r>
      <w:r>
        <w:rPr>
          <w:rFonts w:hint="eastAsia" w:ascii="仿宋_GB2312" w:eastAsia="仿宋_GB2312" w:cs="仿宋_GB2312"/>
          <w:b w:val="0"/>
          <w:kern w:val="0"/>
          <w:sz w:val="32"/>
          <w:szCs w:val="32"/>
          <w:shd w:val="clear" w:color="auto" w:fill="FFFFFF"/>
          <w:lang w:val="zh-CN" w:eastAsia="zh-CN" w:bidi="ar-SA"/>
        </w:rPr>
        <w:t>自评结果为项目管理层提供了重要的信息，支持基于数据的决策制定。</w:t>
      </w:r>
    </w:p>
    <w:p>
      <w:pPr>
        <w:pageBreakBefore w:val="0"/>
        <w:widowControl w:val="0"/>
        <w:kinsoku/>
        <w:wordWrap/>
        <w:overflowPunct/>
        <w:topLinePunct w:val="0"/>
        <w:autoSpaceDE/>
        <w:autoSpaceDN/>
        <w:bidi w:val="0"/>
        <w:adjustRightInd w:val="0"/>
        <w:snapToGrid w:val="0"/>
        <w:spacing w:line="576" w:lineRule="exact"/>
        <w:ind w:firstLine="642" w:firstLineChars="200"/>
        <w:textAlignment w:val="auto"/>
        <w:rPr>
          <w:rFonts w:hint="eastAsia" w:ascii="仿宋_GB2312" w:eastAsia="仿宋_GB2312" w:cs="仿宋_GB2312"/>
          <w:b/>
          <w:sz w:val="32"/>
          <w:szCs w:val="32"/>
          <w:lang w:val="zh-CN"/>
        </w:rPr>
      </w:pPr>
      <w:r>
        <w:rPr>
          <w:rFonts w:hint="eastAsia" w:ascii="仿宋_GB2312" w:eastAsia="仿宋_GB2312" w:cs="仿宋_GB2312"/>
          <w:b/>
          <w:sz w:val="32"/>
          <w:szCs w:val="32"/>
          <w:lang w:val="zh-CN"/>
        </w:rPr>
        <w:t>（二）预设问题及评价重点。</w:t>
      </w:r>
    </w:p>
    <w:p>
      <w:pPr>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b w:val="0"/>
          <w:bCs/>
          <w:kern w:val="0"/>
          <w:sz w:val="32"/>
          <w:szCs w:val="32"/>
          <w:shd w:val="clear" w:color="auto" w:fill="FFFFFF"/>
          <w:lang w:val="en-US" w:eastAsia="zh-CN"/>
        </w:rPr>
        <w:t>通过建设乡镇视屏会议系统，保障全县会议及时准确传达及通过追加办公经费保障我办日常正常有序办公，更好更快做到上传下达，完成各项工作任务。</w:t>
      </w:r>
    </w:p>
    <w:p>
      <w:pPr>
        <w:pStyle w:val="38"/>
        <w:keepNext/>
        <w:keepLines/>
        <w:pageBreakBefore w:val="0"/>
        <w:widowControl w:val="0"/>
        <w:kinsoku/>
        <w:wordWrap/>
        <w:overflowPunct/>
        <w:topLinePunct w:val="0"/>
        <w:autoSpaceDE/>
        <w:autoSpaceDN/>
        <w:bidi w:val="0"/>
        <w:spacing w:line="576" w:lineRule="exact"/>
        <w:textAlignment w:val="auto"/>
        <w:rPr>
          <w:rFonts w:hint="eastAsia" w:ascii="仿宋_GB2312" w:eastAsia="仿宋_GB2312" w:cs="仿宋_GB2312"/>
          <w:sz w:val="32"/>
          <w:szCs w:val="32"/>
        </w:rPr>
      </w:pPr>
    </w:p>
    <w:p>
      <w:pPr>
        <w:pStyle w:val="38"/>
        <w:keepNext/>
        <w:keepLines/>
        <w:pageBreakBefore w:val="0"/>
        <w:widowControl w:val="0"/>
        <w:kinsoku/>
        <w:wordWrap/>
        <w:overflowPunct/>
        <w:topLinePunct w:val="0"/>
        <w:autoSpaceDE/>
        <w:autoSpaceDN/>
        <w:bidi w:val="0"/>
        <w:spacing w:line="576" w:lineRule="exact"/>
        <w:textAlignment w:val="auto"/>
        <w:rPr>
          <w:rFonts w:hint="eastAsia" w:ascii="仿宋_GB2312" w:eastAsia="仿宋_GB2312" w:cs="仿宋_GB2312"/>
          <w:sz w:val="32"/>
          <w:szCs w:val="32"/>
        </w:rPr>
      </w:pPr>
    </w:p>
    <w:p>
      <w:pPr>
        <w:pageBreakBefore w:val="0"/>
        <w:widowControl w:val="0"/>
        <w:numPr>
          <w:ilvl w:val="0"/>
          <w:numId w:val="3"/>
        </w:numPr>
        <w:kinsoku/>
        <w:wordWrap/>
        <w:overflowPunct/>
        <w:topLinePunct w:val="0"/>
        <w:autoSpaceDE/>
        <w:autoSpaceDN/>
        <w:bidi w:val="0"/>
        <w:adjustRightInd w:val="0"/>
        <w:snapToGrid w:val="0"/>
        <w:spacing w:line="576" w:lineRule="exact"/>
        <w:ind w:left="0" w:firstLine="642" w:firstLineChars="200"/>
        <w:textAlignment w:val="auto"/>
        <w:rPr>
          <w:rFonts w:hint="eastAsia" w:ascii="仿宋_GB2312" w:eastAsia="仿宋_GB2312" w:cs="仿宋_GB2312"/>
          <w:b/>
          <w:sz w:val="32"/>
          <w:szCs w:val="32"/>
          <w:lang w:val="zh-CN"/>
        </w:rPr>
      </w:pPr>
      <w:r>
        <w:rPr>
          <w:rFonts w:hint="eastAsia" w:ascii="仿宋_GB2312" w:eastAsia="仿宋_GB2312" w:cs="仿宋_GB2312"/>
          <w:b/>
          <w:sz w:val="32"/>
          <w:szCs w:val="32"/>
          <w:lang w:val="zh-CN"/>
        </w:rPr>
        <w:t>评价选点。</w:t>
      </w:r>
    </w:p>
    <w:p>
      <w:pPr>
        <w:pageBreakBefore w:val="0"/>
        <w:widowControl w:val="0"/>
        <w:kinsoku/>
        <w:wordWrap/>
        <w:overflowPunct/>
        <w:topLinePunct w:val="0"/>
        <w:autoSpaceDE/>
        <w:autoSpaceDN/>
        <w:bidi w:val="0"/>
        <w:adjustRightInd w:val="0"/>
        <w:snapToGrid w:val="0"/>
        <w:spacing w:line="576" w:lineRule="exact"/>
        <w:ind w:left="420" w:leftChars="200" w:firstLine="640" w:firstLineChars="200"/>
        <w:textAlignment w:val="auto"/>
        <w:rPr>
          <w:rFonts w:hint="eastAsia" w:ascii="仿宋_GB2312" w:eastAsia="仿宋_GB2312" w:cs="仿宋_GB2312"/>
          <w:sz w:val="32"/>
          <w:szCs w:val="32"/>
          <w:lang w:val="zh-CN"/>
        </w:rPr>
      </w:pPr>
      <w:r>
        <w:rPr>
          <w:rFonts w:hint="eastAsia" w:ascii="仿宋_GB2312" w:eastAsia="仿宋_GB2312" w:cs="仿宋_GB2312"/>
          <w:sz w:val="32"/>
          <w:szCs w:val="32"/>
          <w:lang w:val="en-US" w:eastAsia="zh-CN"/>
        </w:rPr>
        <w:t>无</w:t>
      </w:r>
      <w:r>
        <w:rPr>
          <w:rFonts w:hint="eastAsia" w:ascii="仿宋_GB2312" w:eastAsia="仿宋_GB2312" w:cs="仿宋_GB2312"/>
          <w:sz w:val="32"/>
          <w:szCs w:val="32"/>
          <w:lang w:val="zh-CN"/>
        </w:rPr>
        <w:t>。</w:t>
      </w:r>
    </w:p>
    <w:p>
      <w:pPr>
        <w:pageBreakBefore w:val="0"/>
        <w:widowControl w:val="0"/>
        <w:kinsoku/>
        <w:wordWrap/>
        <w:overflowPunct/>
        <w:topLinePunct w:val="0"/>
        <w:autoSpaceDE/>
        <w:autoSpaceDN/>
        <w:bidi w:val="0"/>
        <w:spacing w:line="576" w:lineRule="exact"/>
        <w:ind w:firstLine="640"/>
        <w:textAlignment w:val="auto"/>
        <w:rPr>
          <w:rFonts w:hint="eastAsia" w:ascii="仿宋_GB2312" w:eastAsia="仿宋_GB2312" w:cs="仿宋_GB2312"/>
          <w:sz w:val="32"/>
          <w:szCs w:val="32"/>
        </w:rPr>
      </w:pPr>
      <w:r>
        <w:rPr>
          <w:rFonts w:hint="eastAsia" w:ascii="仿宋_GB2312" w:eastAsia="仿宋_GB2312" w:cs="仿宋_GB2312"/>
          <w:b/>
          <w:sz w:val="32"/>
          <w:szCs w:val="32"/>
          <w:lang w:val="zh-CN"/>
        </w:rPr>
        <w:t>（四）评价方法。</w:t>
      </w:r>
    </w:p>
    <w:p>
      <w:pPr>
        <w:pStyle w:val="38"/>
        <w:keepNext/>
        <w:keepLines/>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b w:val="0"/>
          <w:kern w:val="2"/>
          <w:sz w:val="32"/>
          <w:szCs w:val="32"/>
          <w:lang w:val="en-US" w:eastAsia="zh-CN" w:bidi="ar-SA"/>
        </w:rPr>
      </w:pPr>
      <w:r>
        <w:rPr>
          <w:rFonts w:hint="eastAsia" w:ascii="仿宋_GB2312" w:eastAsia="仿宋_GB2312" w:cs="仿宋_GB2312"/>
          <w:b w:val="0"/>
          <w:kern w:val="2"/>
          <w:sz w:val="32"/>
          <w:szCs w:val="32"/>
          <w:lang w:val="en-US" w:eastAsia="zh-CN" w:bidi="ar-SA"/>
        </w:rPr>
        <w:t>自评工作定期进行，通过收集关键数据和信息，分析项目进展和绩效，识别存在的问题和挑战。我们采用了单位自评法和数据分析，以确保自评的全面性和客观性。</w:t>
      </w:r>
    </w:p>
    <w:p>
      <w:pPr>
        <w:keepNext w:val="0"/>
        <w:keepLines w:val="0"/>
        <w:pageBreakBefore w:val="0"/>
        <w:widowControl/>
        <w:suppressLineNumbers w:val="0"/>
        <w:kinsoku/>
        <w:wordWrap/>
        <w:overflowPunct/>
        <w:topLinePunct w:val="0"/>
        <w:autoSpaceDE/>
        <w:autoSpaceDN/>
        <w:bidi w:val="0"/>
        <w:spacing w:line="576" w:lineRule="exact"/>
        <w:ind w:firstLine="642" w:firstLineChars="200"/>
        <w:jc w:val="left"/>
        <w:textAlignment w:val="auto"/>
        <w:rPr>
          <w:rFonts w:hint="eastAsia" w:ascii="仿宋_GB2312" w:eastAsia="仿宋_GB2312" w:cs="仿宋_GB2312"/>
          <w:bCs/>
          <w:sz w:val="32"/>
          <w:szCs w:val="32"/>
          <w:lang w:val="en-US" w:eastAsia="zh-CN"/>
        </w:rPr>
      </w:pPr>
      <w:r>
        <w:rPr>
          <w:rFonts w:hint="eastAsia" w:ascii="仿宋_GB2312" w:eastAsia="仿宋_GB2312" w:cs="仿宋_GB2312"/>
          <w:b/>
          <w:sz w:val="32"/>
          <w:szCs w:val="32"/>
          <w:lang w:val="zh-CN"/>
        </w:rPr>
        <w:t>（五）评价组织。</w:t>
      </w:r>
      <w:r>
        <w:rPr>
          <w:rFonts w:hint="eastAsia" w:ascii="仿宋_GB2312" w:eastAsia="仿宋_GB2312" w:cs="仿宋_GB2312"/>
          <w:sz w:val="32"/>
          <w:szCs w:val="32"/>
          <w:lang w:val="en-US" w:eastAsia="zh-CN"/>
        </w:rPr>
        <w:t>成立绩效评价工作小组，明确工作职责，制定评价方案。</w:t>
      </w:r>
      <w:r>
        <w:rPr>
          <w:rFonts w:hint="eastAsia" w:ascii="仿宋_GB2312" w:eastAsia="仿宋_GB2312" w:cs="仿宋_GB2312"/>
          <w:sz w:val="32"/>
          <w:szCs w:val="32"/>
          <w:lang w:val="zh-CN" w:eastAsia="zh-CN"/>
        </w:rPr>
        <w:t>自评小组依据专项资金绩效考评指标体系，对项目开展综合评分，全面考量项目实施程序的规范性、财务管理的合规性，以及项目执行率和目标绩效完成情况。</w:t>
      </w:r>
    </w:p>
    <w:p>
      <w:pPr>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eastAsia="仿宋_GB2312" w:cs="仿宋_GB2312"/>
          <w:sz w:val="32"/>
          <w:szCs w:val="32"/>
          <w:lang w:val="zh-CN"/>
        </w:rPr>
      </w:pPr>
      <w:r>
        <w:rPr>
          <w:rFonts w:hint="eastAsia" w:ascii="黑体" w:eastAsia="黑体" w:cs="黑体"/>
          <w:sz w:val="32"/>
          <w:szCs w:val="32"/>
        </w:rPr>
        <w:t>三、绩效分析</w:t>
      </w:r>
      <w:r>
        <w:rPr>
          <w:rFonts w:hint="eastAsia" w:ascii="仿宋_GB2312" w:eastAsia="仿宋_GB2312" w:cs="仿宋_GB2312"/>
          <w:sz w:val="32"/>
          <w:szCs w:val="32"/>
          <w:lang w:val="zh-CN"/>
        </w:rPr>
        <w:tab/>
      </w:r>
    </w:p>
    <w:p>
      <w:pPr>
        <w:pageBreakBefore w:val="0"/>
        <w:widowControl w:val="0"/>
        <w:kinsoku/>
        <w:wordWrap/>
        <w:overflowPunct/>
        <w:topLinePunct w:val="0"/>
        <w:autoSpaceDE/>
        <w:autoSpaceDN/>
        <w:bidi w:val="0"/>
        <w:spacing w:line="576" w:lineRule="exact"/>
        <w:ind w:firstLine="640"/>
        <w:textAlignment w:val="auto"/>
        <w:rPr>
          <w:rFonts w:hint="eastAsia" w:ascii="仿宋_GB2312" w:eastAsia="仿宋_GB2312" w:cs="仿宋_GB2312"/>
          <w:b/>
          <w:sz w:val="32"/>
          <w:szCs w:val="32"/>
        </w:rPr>
      </w:pPr>
      <w:r>
        <w:rPr>
          <w:rFonts w:hint="eastAsia" w:ascii="仿宋_GB2312" w:eastAsia="仿宋_GB2312" w:cs="仿宋_GB2312"/>
          <w:b/>
          <w:sz w:val="32"/>
          <w:szCs w:val="32"/>
          <w:lang w:val="zh-CN"/>
        </w:rPr>
        <w:t>（一）</w:t>
      </w:r>
      <w:r>
        <w:rPr>
          <w:rFonts w:hint="eastAsia" w:ascii="仿宋_GB2312" w:eastAsia="仿宋_GB2312" w:cs="仿宋_GB2312"/>
          <w:b/>
          <w:sz w:val="32"/>
          <w:szCs w:val="32"/>
        </w:rPr>
        <w:t>通用指标</w:t>
      </w:r>
      <w:r>
        <w:rPr>
          <w:rFonts w:hint="eastAsia" w:ascii="仿宋_GB2312" w:eastAsia="仿宋_GB2312" w:cs="仿宋_GB2312"/>
          <w:b/>
          <w:bCs/>
          <w:color w:val="000000"/>
          <w:kern w:val="0"/>
          <w:sz w:val="32"/>
          <w:szCs w:val="32"/>
          <w:shd w:val="clear" w:color="auto" w:fill="FFFFFF"/>
          <w:lang w:val="zh-CN"/>
        </w:rPr>
        <w:t>绩效分析。</w:t>
      </w:r>
    </w:p>
    <w:p>
      <w:pPr>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color w:val="000000"/>
          <w:kern w:val="0"/>
          <w:sz w:val="32"/>
          <w:szCs w:val="32"/>
          <w:shd w:val="clear" w:color="auto" w:fill="FFFFFF"/>
          <w:lang w:val="en-US" w:eastAsia="zh-CN"/>
        </w:rPr>
      </w:pPr>
      <w:r>
        <w:rPr>
          <w:rFonts w:hint="eastAsia" w:ascii="仿宋_GB2312" w:eastAsia="仿宋_GB2312" w:cs="仿宋_GB2312"/>
          <w:sz w:val="32"/>
          <w:szCs w:val="32"/>
        </w:rPr>
        <w:t>1.项目决策。</w:t>
      </w:r>
      <w:r>
        <w:rPr>
          <w:rFonts w:hint="eastAsia" w:ascii="仿宋_GB2312" w:eastAsia="仿宋_GB2312" w:cs="仿宋_GB2312"/>
          <w:color w:val="000000"/>
          <w:kern w:val="0"/>
          <w:sz w:val="32"/>
          <w:szCs w:val="32"/>
          <w:shd w:val="clear" w:color="auto" w:fill="FFFFFF"/>
          <w:lang w:val="en-US" w:eastAsia="zh-CN"/>
        </w:rPr>
        <w:t>根据我办“三重一大”决策制度对需要资金进行商讨，严格决策程序。在项目入库时，进行科学目标设置。</w:t>
      </w:r>
    </w:p>
    <w:p>
      <w:pPr>
        <w:keepNext w:val="0"/>
        <w:keepLines w:val="0"/>
        <w:pageBreakBefore w:val="0"/>
        <w:widowControl/>
        <w:suppressLineNumbers w:val="0"/>
        <w:kinsoku/>
        <w:wordWrap/>
        <w:overflowPunct/>
        <w:topLinePunct w:val="0"/>
        <w:autoSpaceDE/>
        <w:autoSpaceDN/>
        <w:bidi w:val="0"/>
        <w:spacing w:line="576" w:lineRule="exact"/>
        <w:ind w:left="0" w:firstLine="640" w:firstLineChars="200"/>
        <w:jc w:val="left"/>
        <w:textAlignment w:val="auto"/>
        <w:rPr>
          <w:rFonts w:hint="eastAsia" w:ascii="仿宋_GB2312" w:eastAsia="仿宋_GB2312" w:cs="仿宋_GB2312"/>
          <w:sz w:val="32"/>
          <w:szCs w:val="32"/>
        </w:rPr>
      </w:pPr>
      <w:r>
        <w:rPr>
          <w:rFonts w:hint="eastAsia" w:ascii="仿宋_GB2312" w:eastAsia="仿宋_GB2312" w:cs="仿宋_GB2312"/>
          <w:sz w:val="32"/>
          <w:szCs w:val="32"/>
        </w:rPr>
        <w:t>2.项目管理。</w:t>
      </w:r>
      <w:r>
        <w:rPr>
          <w:rFonts w:hint="eastAsia" w:ascii="仿宋_GB2312" w:eastAsia="仿宋_GB2312" w:cs="仿宋_GB2312"/>
          <w:sz w:val="32"/>
          <w:szCs w:val="32"/>
          <w:lang w:val="en-US" w:eastAsia="zh-CN"/>
        </w:rPr>
        <w:t>严格按照财政资金使用办法规定，</w:t>
      </w:r>
      <w:r>
        <w:rPr>
          <w:rFonts w:hint="eastAsia" w:ascii="仿宋_GB2312" w:eastAsia="仿宋_GB2312" w:cs="仿宋_GB2312"/>
          <w:sz w:val="32"/>
          <w:szCs w:val="32"/>
          <w:lang w:val="zh-CN" w:eastAsia="zh-CN"/>
        </w:rPr>
        <w:t>以厉行节约、实事求是为原则，合理控制日常办公运行需求，并严格执行规定。</w:t>
      </w:r>
      <w:r>
        <w:rPr>
          <w:rFonts w:hint="eastAsia" w:ascii="仿宋_GB2312" w:eastAsia="仿宋_GB2312" w:cs="仿宋_GB2312"/>
          <w:color w:val="000000"/>
          <w:kern w:val="0"/>
          <w:sz w:val="32"/>
          <w:szCs w:val="32"/>
          <w:shd w:val="clear" w:color="auto" w:fill="FFFFFF"/>
          <w:lang w:val="en-US" w:eastAsia="zh-CN"/>
        </w:rPr>
        <w:t>保障我办各项工作正常运转。</w:t>
      </w:r>
    </w:p>
    <w:p>
      <w:pPr>
        <w:pageBreakBefore w:val="0"/>
        <w:widowControl w:val="0"/>
        <w:kinsoku/>
        <w:wordWrap/>
        <w:overflowPunct/>
        <w:topLinePunct w:val="0"/>
        <w:autoSpaceDE/>
        <w:autoSpaceDN/>
        <w:bidi w:val="0"/>
        <w:spacing w:line="576" w:lineRule="exact"/>
        <w:ind w:left="420" w:leftChars="200"/>
        <w:textAlignment w:val="auto"/>
        <w:rPr>
          <w:rFonts w:hint="eastAsia" w:ascii="仿宋_GB2312" w:eastAsia="仿宋_GB2312" w:cs="仿宋_GB2312"/>
          <w:sz w:val="32"/>
          <w:szCs w:val="32"/>
          <w:lang w:val="zh-CN" w:eastAsia="zh-CN"/>
        </w:rPr>
      </w:pPr>
      <w:r>
        <w:rPr>
          <w:rFonts w:hint="eastAsia" w:ascii="仿宋_GB2312" w:eastAsia="仿宋_GB2312" w:cs="仿宋_GB2312"/>
          <w:sz w:val="32"/>
          <w:szCs w:val="32"/>
        </w:rPr>
        <w:t>3.项目实施。</w:t>
      </w:r>
      <w:r>
        <w:rPr>
          <w:rFonts w:hint="eastAsia" w:ascii="仿宋_GB2312" w:eastAsia="仿宋_GB2312" w:cs="仿宋_GB2312"/>
          <w:sz w:val="32"/>
          <w:szCs w:val="32"/>
          <w:lang w:val="zh-CN" w:eastAsia="zh-CN"/>
        </w:rPr>
        <w:t>根据</w:t>
      </w:r>
      <w:r>
        <w:rPr>
          <w:rFonts w:hint="eastAsia" w:ascii="仿宋_GB2312" w:eastAsia="仿宋_GB2312" w:cs="仿宋_GB2312"/>
          <w:sz w:val="32"/>
          <w:szCs w:val="32"/>
          <w:lang w:val="en-US" w:eastAsia="zh-CN"/>
        </w:rPr>
        <w:t>2023年度重点工作开展情况及经济业务发生情况，</w:t>
      </w:r>
      <w:r>
        <w:rPr>
          <w:rFonts w:hint="eastAsia" w:ascii="仿宋_GB2312" w:eastAsia="仿宋_GB2312" w:cs="仿宋_GB2312"/>
          <w:sz w:val="32"/>
          <w:szCs w:val="32"/>
          <w:lang w:val="zh-CN" w:eastAsia="zh-CN"/>
        </w:rPr>
        <w:t>严格按照项目资金管理办法对资金进行计划申请、划拨、使用。</w:t>
      </w:r>
    </w:p>
    <w:p>
      <w:pPr>
        <w:keepNext w:val="0"/>
        <w:keepLines w:val="0"/>
        <w:pageBreakBefore w:val="0"/>
        <w:widowControl/>
        <w:suppressLineNumbers w:val="0"/>
        <w:kinsoku/>
        <w:wordWrap/>
        <w:overflowPunct/>
        <w:topLinePunct w:val="0"/>
        <w:autoSpaceDE/>
        <w:autoSpaceDN/>
        <w:bidi w:val="0"/>
        <w:spacing w:line="576" w:lineRule="exact"/>
        <w:ind w:firstLine="640" w:firstLineChars="200"/>
        <w:jc w:val="left"/>
        <w:textAlignment w:val="auto"/>
        <w:rPr>
          <w:rFonts w:hint="eastAsia" w:ascii="仿宋_GB2312" w:eastAsia="仿宋_GB2312" w:cs="仿宋_GB2312"/>
          <w:sz w:val="32"/>
          <w:szCs w:val="32"/>
        </w:rPr>
      </w:pPr>
      <w:r>
        <w:rPr>
          <w:rFonts w:hint="eastAsia" w:ascii="仿宋_GB2312" w:eastAsia="仿宋_GB2312" w:cs="仿宋_GB2312"/>
          <w:sz w:val="32"/>
          <w:szCs w:val="32"/>
        </w:rPr>
        <w:t>4.项目结果。</w:t>
      </w:r>
      <w:r>
        <w:rPr>
          <w:rFonts w:hint="eastAsia" w:ascii="仿宋_GB2312" w:eastAsia="仿宋_GB2312" w:cs="仿宋_GB2312"/>
          <w:sz w:val="32"/>
          <w:szCs w:val="32"/>
          <w:lang w:val="zh-CN" w:eastAsia="zh-CN"/>
        </w:rPr>
        <w:t>以年度为周期，结合</w:t>
      </w:r>
      <w:r>
        <w:rPr>
          <w:rFonts w:hint="eastAsia" w:ascii="仿宋_GB2312" w:eastAsia="仿宋_GB2312" w:cs="仿宋_GB2312"/>
          <w:sz w:val="32"/>
          <w:szCs w:val="32"/>
          <w:lang w:val="en-US" w:eastAsia="zh-CN"/>
        </w:rPr>
        <w:t>2023年度</w:t>
      </w:r>
      <w:r>
        <w:rPr>
          <w:rFonts w:hint="eastAsia" w:ascii="仿宋_GB2312" w:eastAsia="仿宋_GB2312" w:cs="仿宋_GB2312"/>
          <w:sz w:val="32"/>
          <w:szCs w:val="32"/>
          <w:lang w:val="zh-CN" w:eastAsia="zh-CN"/>
        </w:rPr>
        <w:t>实际工作进程，稳步推进日常支出管理，已完成绩效目标任务。</w:t>
      </w:r>
    </w:p>
    <w:p>
      <w:pPr>
        <w:pageBreakBefore w:val="0"/>
        <w:widowControl w:val="0"/>
        <w:kinsoku/>
        <w:wordWrap/>
        <w:overflowPunct/>
        <w:topLinePunct w:val="0"/>
        <w:autoSpaceDE/>
        <w:autoSpaceDN/>
        <w:bidi w:val="0"/>
        <w:spacing w:line="576" w:lineRule="exact"/>
        <w:ind w:firstLine="642" w:firstLineChars="200"/>
        <w:textAlignment w:val="auto"/>
        <w:rPr>
          <w:rFonts w:hint="eastAsia" w:ascii="仿宋_GB2312" w:eastAsia="仿宋_GB2312" w:cs="仿宋_GB2312"/>
          <w:sz w:val="32"/>
          <w:szCs w:val="32"/>
          <w:lang w:val="zh-CN"/>
        </w:rPr>
      </w:pPr>
      <w:r>
        <w:rPr>
          <w:rFonts w:hint="eastAsia" w:ascii="仿宋_GB2312" w:eastAsia="仿宋_GB2312" w:cs="仿宋_GB2312"/>
          <w:b/>
          <w:sz w:val="32"/>
          <w:szCs w:val="32"/>
          <w:lang w:val="zh-CN"/>
        </w:rPr>
        <w:t>（二）</w:t>
      </w:r>
      <w:r>
        <w:rPr>
          <w:rFonts w:hint="eastAsia" w:ascii="仿宋_GB2312" w:eastAsia="仿宋_GB2312" w:cs="仿宋_GB2312"/>
          <w:b/>
          <w:sz w:val="32"/>
          <w:szCs w:val="32"/>
        </w:rPr>
        <w:t>专用指标</w:t>
      </w:r>
      <w:r>
        <w:rPr>
          <w:rFonts w:hint="eastAsia" w:ascii="仿宋_GB2312" w:eastAsia="仿宋_GB2312" w:cs="仿宋_GB2312"/>
          <w:b/>
          <w:bCs/>
          <w:color w:val="000000"/>
          <w:kern w:val="0"/>
          <w:sz w:val="32"/>
          <w:szCs w:val="32"/>
          <w:shd w:val="clear" w:color="auto" w:fill="FFFFFF"/>
          <w:lang w:val="zh-CN"/>
        </w:rPr>
        <w:t>绩效分析。</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rPr>
        <w:t>1.产业发展。</w:t>
      </w:r>
      <w:r>
        <w:rPr>
          <w:rFonts w:hint="eastAsia" w:ascii="仿宋_GB2312" w:eastAsia="仿宋_GB2312" w:cs="仿宋_GB2312"/>
          <w:sz w:val="32"/>
          <w:szCs w:val="32"/>
          <w:lang w:eastAsia="zh-CN"/>
        </w:rPr>
        <w:t>该项目不涉及产业发展。</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rPr>
        <w:t>2.</w:t>
      </w:r>
      <w:r>
        <w:rPr>
          <w:rFonts w:hint="eastAsia" w:ascii="仿宋_GB2312" w:eastAsia="仿宋_GB2312" w:cs="仿宋_GB2312"/>
          <w:sz w:val="32"/>
          <w:szCs w:val="32"/>
          <w:lang w:val="zh-CN"/>
        </w:rPr>
        <w:t>民生保障。</w:t>
      </w:r>
      <w:r>
        <w:rPr>
          <w:rFonts w:hint="eastAsia" w:ascii="仿宋_GB2312" w:eastAsia="仿宋_GB2312" w:cs="仿宋_GB2312"/>
          <w:sz w:val="32"/>
          <w:szCs w:val="32"/>
          <w:lang w:eastAsia="zh-CN"/>
        </w:rPr>
        <w:t>该项目不属于民生保障项目。</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rPr>
        <w:t>3.基础设施。</w:t>
      </w:r>
      <w:r>
        <w:rPr>
          <w:rFonts w:hint="eastAsia" w:ascii="仿宋_GB2312" w:eastAsia="仿宋_GB2312" w:cs="仿宋_GB2312"/>
          <w:sz w:val="32"/>
          <w:szCs w:val="32"/>
          <w:lang w:eastAsia="zh-CN"/>
        </w:rPr>
        <w:t>该项目不属于基础设施项目。</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4.</w:t>
      </w:r>
      <w:r>
        <w:rPr>
          <w:rFonts w:hint="eastAsia" w:ascii="仿宋_GB2312" w:eastAsia="仿宋_GB2312" w:cs="仿宋_GB2312"/>
          <w:sz w:val="32"/>
          <w:szCs w:val="32"/>
          <w:lang w:val="zh-CN"/>
        </w:rPr>
        <w:t>行政运转。</w:t>
      </w:r>
      <w:r>
        <w:rPr>
          <w:rFonts w:hint="eastAsia" w:ascii="仿宋_GB2312" w:eastAsia="仿宋_GB2312" w:cs="仿宋_GB2312"/>
          <w:sz w:val="32"/>
          <w:szCs w:val="32"/>
          <w:lang w:val="zh-CN" w:eastAsia="zh-CN"/>
        </w:rPr>
        <w:t>以年度为周期，结合</w:t>
      </w:r>
      <w:r>
        <w:rPr>
          <w:rFonts w:hint="eastAsia" w:ascii="仿宋_GB2312" w:eastAsia="仿宋_GB2312" w:cs="仿宋_GB2312"/>
          <w:sz w:val="32"/>
          <w:szCs w:val="32"/>
          <w:lang w:val="en-US" w:eastAsia="zh-CN"/>
        </w:rPr>
        <w:t>2023年度</w:t>
      </w:r>
      <w:r>
        <w:rPr>
          <w:rFonts w:hint="eastAsia" w:ascii="仿宋_GB2312" w:eastAsia="仿宋_GB2312" w:cs="仿宋_GB2312"/>
          <w:sz w:val="32"/>
          <w:szCs w:val="32"/>
          <w:lang w:val="zh-CN" w:eastAsia="zh-CN"/>
        </w:rPr>
        <w:t>实际工作进程，稳步推进日常支出管理，已完成绩效目标任务。</w:t>
      </w:r>
    </w:p>
    <w:p>
      <w:pPr>
        <w:pageBreakBefore w:val="0"/>
        <w:widowControl w:val="0"/>
        <w:kinsoku/>
        <w:wordWrap/>
        <w:overflowPunct/>
        <w:topLinePunct w:val="0"/>
        <w:autoSpaceDE/>
        <w:autoSpaceDN/>
        <w:bidi w:val="0"/>
        <w:spacing w:line="576" w:lineRule="exact"/>
        <w:ind w:firstLine="640"/>
        <w:textAlignment w:val="auto"/>
        <w:rPr>
          <w:rFonts w:hint="eastAsia" w:ascii="仿宋_GB2312" w:eastAsia="仿宋_GB2312" w:cs="仿宋_GB2312"/>
          <w:sz w:val="32"/>
          <w:szCs w:val="32"/>
          <w:lang w:val="en-US" w:eastAsia="zh-CN"/>
        </w:rPr>
      </w:pPr>
      <w:r>
        <w:rPr>
          <w:rFonts w:hint="eastAsia" w:ascii="仿宋_GB2312" w:eastAsia="仿宋_GB2312" w:cs="仿宋_GB2312"/>
          <w:b/>
          <w:sz w:val="32"/>
          <w:szCs w:val="32"/>
          <w:lang w:val="zh-CN"/>
        </w:rPr>
        <w:t>（三）</w:t>
      </w:r>
      <w:r>
        <w:rPr>
          <w:rFonts w:hint="eastAsia" w:ascii="仿宋_GB2312" w:eastAsia="仿宋_GB2312" w:cs="仿宋_GB2312"/>
          <w:b/>
          <w:sz w:val="32"/>
          <w:szCs w:val="32"/>
        </w:rPr>
        <w:t>个性指标</w:t>
      </w:r>
      <w:r>
        <w:rPr>
          <w:rFonts w:hint="eastAsia" w:ascii="仿宋_GB2312" w:eastAsia="仿宋_GB2312" w:cs="仿宋_GB2312"/>
          <w:b/>
          <w:bCs/>
          <w:color w:val="000000"/>
          <w:kern w:val="0"/>
          <w:sz w:val="32"/>
          <w:szCs w:val="32"/>
          <w:shd w:val="clear" w:color="auto" w:fill="FFFFFF"/>
          <w:lang w:val="zh-CN"/>
        </w:rPr>
        <w:t>绩效分析。</w:t>
      </w:r>
      <w:r>
        <w:rPr>
          <w:rFonts w:hint="eastAsia" w:ascii="仿宋_GB2312" w:eastAsia="仿宋_GB2312" w:cs="仿宋_GB2312"/>
          <w:sz w:val="32"/>
          <w:szCs w:val="32"/>
          <w:lang w:val="en-US" w:eastAsia="zh-CN"/>
        </w:rPr>
        <w:t>无</w:t>
      </w:r>
    </w:p>
    <w:p>
      <w:pPr>
        <w:pStyle w:val="7"/>
        <w:pageBreakBefore w:val="0"/>
        <w:widowControl w:val="0"/>
        <w:tabs>
          <w:tab w:val="left" w:pos="2160"/>
        </w:tabs>
        <w:kinsoku/>
        <w:wordWrap/>
        <w:overflowPunct/>
        <w:topLinePunct w:val="0"/>
        <w:autoSpaceDE/>
        <w:autoSpaceDN/>
        <w:bidi w:val="0"/>
        <w:spacing w:line="576" w:lineRule="exact"/>
        <w:ind w:firstLine="640" w:firstLineChars="200"/>
        <w:textAlignment w:val="auto"/>
        <w:rPr>
          <w:rFonts w:hint="eastAsia" w:ascii="黑体" w:eastAsia="黑体" w:cs="黑体"/>
          <w:sz w:val="32"/>
          <w:szCs w:val="32"/>
          <w:lang w:eastAsia="zh-CN"/>
        </w:rPr>
      </w:pPr>
      <w:r>
        <w:rPr>
          <w:rFonts w:hint="eastAsia" w:ascii="黑体" w:eastAsia="黑体" w:cs="黑体"/>
          <w:sz w:val="32"/>
          <w:szCs w:val="32"/>
          <w:lang w:eastAsia="zh-CN"/>
        </w:rPr>
        <w:t>四、评价结论</w:t>
      </w:r>
    </w:p>
    <w:p>
      <w:pPr>
        <w:keepNext w:val="0"/>
        <w:keepLines w:val="0"/>
        <w:pageBreakBefore w:val="0"/>
        <w:widowControl/>
        <w:suppressLineNumbers w:val="0"/>
        <w:kinsoku/>
        <w:wordWrap/>
        <w:overflowPunct/>
        <w:topLinePunct w:val="0"/>
        <w:autoSpaceDE/>
        <w:autoSpaceDN/>
        <w:bidi w:val="0"/>
        <w:spacing w:line="576" w:lineRule="exact"/>
        <w:ind w:firstLine="640" w:firstLineChars="200"/>
        <w:jc w:val="left"/>
        <w:textAlignment w:val="auto"/>
        <w:rPr>
          <w:rFonts w:hint="eastAsia" w:ascii="仿宋_GB2312" w:eastAsia="仿宋_GB2312" w:cs="仿宋_GB2312"/>
          <w:sz w:val="32"/>
          <w:szCs w:val="32"/>
          <w:lang w:val="zh-CN" w:eastAsia="zh-CN"/>
        </w:rPr>
      </w:pPr>
      <w:r>
        <w:rPr>
          <w:rFonts w:hint="eastAsia" w:ascii="仿宋_GB2312" w:eastAsia="仿宋_GB2312" w:cs="仿宋_GB2312"/>
          <w:sz w:val="32"/>
          <w:szCs w:val="32"/>
          <w:lang w:val="zh-CN" w:eastAsia="zh-CN"/>
        </w:rPr>
        <w:t>通过综合评价，一是在项目决策方面，能够做到切合实际、科学合理决策，二是在项目管理方面能够做到自觉接受监督、公开透明并强化后续跟踪管理，三是在项目绩效方面实现了项目预期目的，保障了</w:t>
      </w:r>
      <w:r>
        <w:rPr>
          <w:rFonts w:hint="eastAsia" w:ascii="仿宋_GB2312" w:eastAsia="仿宋_GB2312" w:cs="仿宋_GB2312"/>
          <w:sz w:val="32"/>
          <w:szCs w:val="32"/>
          <w:lang w:val="en-US" w:eastAsia="zh-CN"/>
        </w:rPr>
        <w:t>我办</w:t>
      </w:r>
      <w:r>
        <w:rPr>
          <w:rFonts w:hint="eastAsia" w:ascii="仿宋_GB2312" w:eastAsia="仿宋_GB2312" w:cs="仿宋_GB2312"/>
          <w:sz w:val="32"/>
          <w:szCs w:val="32"/>
          <w:lang w:val="zh-CN" w:eastAsia="zh-CN"/>
        </w:rPr>
        <w:t>工作正常开展。</w:t>
      </w:r>
    </w:p>
    <w:p>
      <w:pPr>
        <w:pStyle w:val="7"/>
        <w:pageBreakBefore w:val="0"/>
        <w:widowControl w:val="0"/>
        <w:tabs>
          <w:tab w:val="left" w:pos="2160"/>
        </w:tabs>
        <w:kinsoku/>
        <w:wordWrap/>
        <w:overflowPunct/>
        <w:topLinePunct w:val="0"/>
        <w:autoSpaceDE/>
        <w:autoSpaceDN/>
        <w:bidi w:val="0"/>
        <w:spacing w:line="576" w:lineRule="exact"/>
        <w:ind w:firstLine="640" w:firstLineChars="200"/>
        <w:textAlignment w:val="auto"/>
        <w:rPr>
          <w:rFonts w:hint="eastAsia" w:ascii="黑体" w:eastAsia="黑体" w:cs="黑体"/>
          <w:sz w:val="32"/>
          <w:szCs w:val="32"/>
          <w:lang w:eastAsia="zh-CN"/>
        </w:rPr>
      </w:pPr>
      <w:r>
        <w:rPr>
          <w:rFonts w:hint="eastAsia" w:ascii="黑体" w:eastAsia="黑体" w:cs="黑体"/>
          <w:sz w:val="32"/>
          <w:szCs w:val="32"/>
          <w:lang w:eastAsia="zh-CN"/>
        </w:rPr>
        <w:t>五、存在主要问题</w:t>
      </w:r>
    </w:p>
    <w:p>
      <w:pPr>
        <w:keepNext w:val="0"/>
        <w:keepLines w:val="0"/>
        <w:pageBreakBefore w:val="0"/>
        <w:widowControl/>
        <w:suppressLineNumbers w:val="0"/>
        <w:kinsoku/>
        <w:wordWrap/>
        <w:overflowPunct/>
        <w:topLinePunct w:val="0"/>
        <w:autoSpaceDE/>
        <w:autoSpaceDN/>
        <w:bidi w:val="0"/>
        <w:spacing w:line="576" w:lineRule="exact"/>
        <w:ind w:firstLine="640" w:firstLineChars="200"/>
        <w:jc w:val="left"/>
        <w:textAlignment w:val="auto"/>
        <w:rPr>
          <w:rFonts w:hint="eastAsia" w:ascii="仿宋_GB2312" w:eastAsia="仿宋_GB2312" w:cs="仿宋_GB2312"/>
          <w:sz w:val="32"/>
          <w:szCs w:val="32"/>
          <w:lang w:val="zh-CN" w:eastAsia="zh-CN"/>
        </w:rPr>
      </w:pPr>
      <w:r>
        <w:rPr>
          <w:rFonts w:hint="eastAsia" w:ascii="仿宋_GB2312" w:eastAsia="仿宋_GB2312" w:cs="仿宋_GB2312"/>
          <w:sz w:val="32"/>
          <w:szCs w:val="32"/>
          <w:lang w:val="zh-CN" w:eastAsia="zh-CN"/>
        </w:rPr>
        <w:t>受相关不可预见因素影响，无法准确预计机关运行成本费用，导致部门预算申报不够准确一定程度上影响了工作的正常开展。</w:t>
      </w:r>
    </w:p>
    <w:p>
      <w:pPr>
        <w:pStyle w:val="7"/>
        <w:pageBreakBefore w:val="0"/>
        <w:widowControl w:val="0"/>
        <w:tabs>
          <w:tab w:val="left" w:pos="2160"/>
        </w:tabs>
        <w:kinsoku/>
        <w:wordWrap/>
        <w:overflowPunct/>
        <w:topLinePunct w:val="0"/>
        <w:autoSpaceDE/>
        <w:autoSpaceDN/>
        <w:bidi w:val="0"/>
        <w:spacing w:line="576" w:lineRule="exact"/>
        <w:ind w:firstLine="640" w:firstLineChars="200"/>
        <w:textAlignment w:val="auto"/>
        <w:rPr>
          <w:rFonts w:hint="eastAsia" w:ascii="黑体" w:eastAsia="黑体" w:cs="黑体"/>
          <w:sz w:val="32"/>
          <w:szCs w:val="32"/>
          <w:lang w:val="zh-CN" w:eastAsia="zh-CN"/>
        </w:rPr>
      </w:pPr>
      <w:r>
        <w:rPr>
          <w:rFonts w:hint="eastAsia" w:ascii="黑体" w:eastAsia="黑体" w:cs="黑体"/>
          <w:sz w:val="32"/>
          <w:szCs w:val="32"/>
          <w:lang w:val="zh-CN" w:eastAsia="zh-CN"/>
        </w:rPr>
        <w:t>六、改进建议</w:t>
      </w:r>
    </w:p>
    <w:p>
      <w:pPr>
        <w:pStyle w:val="7"/>
        <w:keepNext w:val="0"/>
        <w:keepLines w:val="0"/>
        <w:pageBreakBefore w:val="0"/>
        <w:widowControl w:val="0"/>
        <w:tabs>
          <w:tab w:val="left" w:pos="2160"/>
        </w:tabs>
        <w:kinsoku/>
        <w:wordWrap/>
        <w:overflowPunct/>
        <w:topLinePunct w:val="0"/>
        <w:autoSpaceDE/>
        <w:autoSpaceDN/>
        <w:bidi w:val="0"/>
        <w:spacing w:line="576" w:lineRule="exact"/>
        <w:ind w:left="0" w:firstLine="640"/>
        <w:textAlignment w:val="auto"/>
        <w:rPr>
          <w:rFonts w:hint="eastAsia" w:ascii="仿宋_GB2312" w:eastAsia="仿宋_GB2312" w:cs="仿宋_GB2312"/>
          <w:b w:val="0"/>
          <w:bCs w:val="0"/>
          <w:sz w:val="32"/>
          <w:szCs w:val="32"/>
          <w:lang w:val="zh-CN" w:eastAsia="zh-CN"/>
        </w:rPr>
      </w:pPr>
      <w:r>
        <w:rPr>
          <w:rFonts w:hint="eastAsia" w:ascii="仿宋_GB2312" w:eastAsia="仿宋_GB2312" w:cs="仿宋_GB2312"/>
          <w:b w:val="0"/>
          <w:bCs w:val="0"/>
          <w:sz w:val="32"/>
          <w:szCs w:val="32"/>
          <w:lang w:val="zh-CN" w:eastAsia="zh-CN"/>
        </w:rPr>
        <w:t>按照实际工作安排，做到尽早谋划，提前规划，减少年中专项预算的追加。</w:t>
      </w:r>
    </w:p>
    <w:p>
      <w:pPr>
        <w:pStyle w:val="7"/>
        <w:keepNext w:val="0"/>
        <w:keepLines w:val="0"/>
        <w:pageBreakBefore w:val="0"/>
        <w:widowControl w:val="0"/>
        <w:tabs>
          <w:tab w:val="left" w:pos="2160"/>
        </w:tabs>
        <w:kinsoku/>
        <w:wordWrap/>
        <w:overflowPunct/>
        <w:topLinePunct w:val="0"/>
        <w:autoSpaceDE/>
        <w:autoSpaceDN/>
        <w:bidi w:val="0"/>
        <w:spacing w:line="576" w:lineRule="exact"/>
        <w:ind w:left="0" w:firstLine="640"/>
        <w:textAlignment w:val="auto"/>
        <w:rPr>
          <w:rFonts w:hint="eastAsia" w:ascii="仿宋_GB2312" w:eastAsia="仿宋_GB2312" w:cs="仿宋_GB2312"/>
          <w:b w:val="0"/>
          <w:bCs w:val="0"/>
          <w:sz w:val="32"/>
          <w:szCs w:val="32"/>
          <w:lang w:val="zh-CN" w:eastAsia="zh-CN"/>
        </w:rPr>
      </w:pPr>
    </w:p>
    <w:tbl>
      <w:tblPr>
        <w:tblStyle w:val="19"/>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pPr>
              <w:widowControl/>
              <w:spacing w:line="600" w:lineRule="exact"/>
              <w:jc w:val="center"/>
              <w:textAlignment w:val="center"/>
              <w:rPr>
                <w:rFonts w:ascii="黑体" w:eastAsia="黑体" w:cs="黑体"/>
                <w:color w:val="000000"/>
                <w:sz w:val="30"/>
                <w:szCs w:val="30"/>
              </w:rPr>
            </w:pPr>
            <w:r>
              <w:rPr>
                <w:rFonts w:hint="eastAsia" w:ascii="方正小标宋简体" w:eastAsia="方正小标宋简体" w:cs="方正小标宋简体"/>
                <w:color w:val="000000"/>
                <w:kern w:val="0"/>
                <w:sz w:val="40"/>
                <w:szCs w:val="40"/>
              </w:rPr>
              <w:t>专项预算项目绩效目标完成情况自评表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办公经费和视频会议室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中国共产党茂县委员会办公室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hint="eastAsia" w:ascii="宋体" w:eastAsia="宋体" w:cs="宋体"/>
                <w:color w:val="000000"/>
                <w:sz w:val="24"/>
                <w:szCs w:val="24"/>
                <w:lang w:eastAsia="zh-CN"/>
              </w:rPr>
            </w:pPr>
            <w:r>
              <w:rPr>
                <w:rFonts w:ascii="Arial" w:hAnsi="Arial" w:eastAsia="宋体" w:cs="Arial"/>
                <w:i w:val="0"/>
                <w:iCs w:val="0"/>
                <w:caps w:val="0"/>
                <w:smallCaps w:val="0"/>
                <w:color w:val="333333"/>
                <w:spacing w:val="0"/>
                <w:sz w:val="19"/>
                <w:szCs w:val="19"/>
                <w:shd w:val="clear" w:color="auto" w:fill="FFFFFF"/>
              </w:rPr>
              <w:t>常规</w:t>
            </w:r>
            <w:r>
              <w:rPr>
                <w:rFonts w:hint="eastAsia" w:ascii="Arial" w:hAnsi="Arial" w:eastAsia="宋体" w:cs="Arial"/>
                <w:i w:val="0"/>
                <w:iCs w:val="0"/>
                <w:caps w:val="0"/>
                <w:smallCaps w:val="0"/>
                <w:color w:val="333333"/>
                <w:spacing w:val="0"/>
                <w:sz w:val="19"/>
                <w:szCs w:val="19"/>
                <w:shd w:val="clear" w:color="auto" w:fill="FFFFFF"/>
                <w:lang w:eastAsia="zh-CN"/>
              </w:rPr>
              <w:t>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eastAsia="宋体" w:cs="宋体"/>
                <w:color w:val="000000"/>
                <w:kern w:val="0"/>
                <w:sz w:val="24"/>
                <w:szCs w:val="24"/>
              </w:rPr>
            </w:pPr>
            <w:r>
              <w:rPr>
                <w:rFonts w:ascii="宋体" w:eastAsia="宋体" w:cs="宋体"/>
                <w:color w:val="000000"/>
                <w:kern w:val="0"/>
                <w:sz w:val="24"/>
                <w:szCs w:val="24"/>
              </w:rPr>
              <w:t>中长期规划（名称、文号，仅指</w:t>
            </w:r>
          </w:p>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eastAsia="宋体" w:cs="宋体"/>
                <w:color w:val="000000"/>
                <w:kern w:val="0"/>
                <w:sz w:val="24"/>
                <w:szCs w:val="24"/>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eastAsia="宋体" w:cs="宋体"/>
                <w:color w:val="000000"/>
                <w:kern w:val="0"/>
                <w:sz w:val="24"/>
                <w:szCs w:val="24"/>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eastAsia="宋体" w:cs="宋体"/>
                <w:color w:val="000000"/>
                <w:kern w:val="0"/>
                <w:sz w:val="24"/>
                <w:szCs w:val="24"/>
              </w:rPr>
              <w:t>因素法与项目法相结合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eastAsia="宋体" w:cs="宋体"/>
                <w:color w:val="000000"/>
                <w:sz w:val="24"/>
                <w:szCs w:val="24"/>
                <w:lang w:val="en-US"/>
              </w:rPr>
            </w:pPr>
            <w:r>
              <w:rPr>
                <w:rFonts w:hint="eastAsia" w:ascii="宋体" w:eastAsia="宋体" w:cs="宋体"/>
                <w:color w:val="000000"/>
                <w:sz w:val="24"/>
                <w:szCs w:val="24"/>
                <w:lang w:val="en-US" w:eastAsia="zh-CN"/>
              </w:rPr>
              <w:t>根据我办“三重一大”决策制度及政府要求相关文件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eastAsia="宋体" w:cs="宋体"/>
                <w:color w:val="000000"/>
                <w:sz w:val="24"/>
                <w:szCs w:val="24"/>
                <w:lang w:val="en-US" w:eastAsia="zh-CN"/>
              </w:rPr>
            </w:pPr>
            <w:r>
              <w:rPr>
                <w:rFonts w:hint="eastAsia" w:ascii="宋体" w:eastAsia="宋体" w:cs="宋体"/>
                <w:color w:val="000000"/>
                <w:sz w:val="24"/>
                <w:szCs w:val="24"/>
              </w:rPr>
              <w:t>根据我单位职能职责结合2023年度重点工作，保障机关日常工作运转</w:t>
            </w:r>
            <w:r>
              <w:rPr>
                <w:rFonts w:hint="eastAsia" w:ascii="宋体" w:eastAsia="宋体" w:cs="宋体"/>
                <w:color w:val="000000"/>
                <w:sz w:val="24"/>
                <w:szCs w:val="24"/>
                <w:lang w:val="en-US" w:eastAsia="zh-CN"/>
              </w:rPr>
              <w:t>相关办公费支出以及视频会议室项目相关支出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lef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项目资金</w:t>
            </w:r>
          </w:p>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766"/>
              </w:tabs>
              <w:spacing w:line="300" w:lineRule="exact"/>
              <w:ind w:firstLine="960" w:firstLineChars="400"/>
              <w:jc w:val="left"/>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228.36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 xml:space="preserve">     </w:t>
            </w:r>
            <w:r>
              <w:rPr>
                <w:rFonts w:hint="eastAsia" w:ascii="宋体" w:eastAsia="宋体" w:cs="宋体"/>
                <w:color w:val="000000"/>
                <w:kern w:val="0"/>
                <w:sz w:val="24"/>
                <w:szCs w:val="24"/>
              </w:rPr>
              <w:t xml:space="preserve"> </w:t>
            </w:r>
            <w:r>
              <w:rPr>
                <w:rFonts w:ascii="宋体" w:eastAsia="宋体" w:cs="宋体"/>
                <w:color w:val="000000"/>
                <w:kern w:val="0"/>
                <w:sz w:val="24"/>
                <w:szCs w:val="24"/>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1499"/>
              </w:tabs>
              <w:spacing w:line="300" w:lineRule="exact"/>
              <w:ind w:firstLine="960" w:firstLineChars="400"/>
              <w:jc w:val="left"/>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228.36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righ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ascii="宋体" w:eastAsia="宋体" w:cs="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绩效 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二级指标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三级指标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权重</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实际完成指标值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产出指标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数量指标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eastAsia="宋体" w:cs="宋体"/>
                <w:color w:val="000000"/>
                <w:sz w:val="24"/>
                <w:szCs w:val="24"/>
                <w:lang w:eastAsia="zh-CN"/>
              </w:rPr>
            </w:pPr>
            <w:r>
              <w:rPr>
                <w:rFonts w:hint="eastAsia" w:ascii="宋体" w:eastAsia="宋体" w:cs="宋体"/>
                <w:color w:val="000000"/>
                <w:sz w:val="24"/>
                <w:szCs w:val="24"/>
                <w:lang w:eastAsia="zh-CN"/>
              </w:rPr>
              <w:t>资金使用效率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eastAsia="宋体" w:cs="宋体"/>
                <w:color w:val="000000"/>
                <w:sz w:val="24"/>
                <w:szCs w:val="24"/>
                <w:lang w:val="en-US" w:eastAsia="zh-CN"/>
              </w:rPr>
            </w:pPr>
            <w:r>
              <w:rPr>
                <w:rFonts w:hint="eastAsia" w:ascii="宋体" w:eastAsia="宋体" w:cs="宋体"/>
                <w:color w:val="000000"/>
                <w:sz w:val="24"/>
                <w:szCs w:val="24"/>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eastAsia="宋体" w:cs="宋体"/>
                <w:color w:val="000000"/>
                <w:sz w:val="24"/>
                <w:szCs w:val="24"/>
                <w:lang w:val="en-US" w:eastAsia="zh-CN"/>
              </w:rPr>
            </w:pPr>
            <w:r>
              <w:rPr>
                <w:rFonts w:hint="eastAsia" w:ascii="宋体" w:eastAsia="宋体" w:cs="宋体"/>
                <w:color w:val="000000"/>
                <w:sz w:val="24"/>
                <w:szCs w:val="24"/>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eastAsia="宋体" w:cs="宋体"/>
                <w:color w:val="000000"/>
                <w:sz w:val="24"/>
                <w:szCs w:val="24"/>
                <w:lang w:val="en-US" w:eastAsia="zh-CN"/>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质量指标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eastAsia="宋体" w:cs="宋体"/>
                <w:color w:val="000000"/>
                <w:sz w:val="24"/>
                <w:szCs w:val="24"/>
                <w:lang w:eastAsia="zh-CN"/>
              </w:rPr>
            </w:pPr>
            <w:r>
              <w:rPr>
                <w:rFonts w:hint="eastAsia" w:ascii="宋体" w:eastAsia="宋体" w:cs="宋体"/>
                <w:color w:val="000000"/>
                <w:sz w:val="24"/>
                <w:szCs w:val="24"/>
                <w:lang w:eastAsia="zh-CN"/>
              </w:rPr>
              <w:t>保障日常工作有序开展</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eastAsia="宋体" w:cs="宋体"/>
                <w:color w:val="000000"/>
                <w:sz w:val="24"/>
                <w:szCs w:val="24"/>
                <w:lang w:eastAsia="zh-CN"/>
              </w:rPr>
            </w:pPr>
            <w:r>
              <w:rPr>
                <w:rFonts w:ascii="Arial" w:hAnsi="Arial" w:eastAsia="宋体" w:cs="Arial"/>
                <w:color w:val="000000"/>
                <w:sz w:val="24"/>
                <w:szCs w:val="24"/>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eastAsia="宋体" w:cs="宋体"/>
                <w:color w:val="000000"/>
                <w:sz w:val="24"/>
                <w:szCs w:val="24"/>
                <w:lang w:val="en-US" w:eastAsia="zh-CN"/>
              </w:rPr>
            </w:pPr>
            <w:r>
              <w:rPr>
                <w:rFonts w:hint="eastAsia" w:ascii="Arial" w:hAnsi="Arial" w:eastAsia="宋体" w:cs="Arial"/>
                <w:color w:val="000000"/>
                <w:sz w:val="24"/>
                <w:szCs w:val="24"/>
                <w:lang w:val="en-US" w:eastAsia="zh-CN"/>
              </w:rPr>
              <w:t>90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时效指标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eastAsia="宋体" w:cs="宋体"/>
                <w:color w:val="000000"/>
                <w:sz w:val="24"/>
                <w:szCs w:val="24"/>
                <w:lang w:eastAsia="zh-CN"/>
              </w:rPr>
            </w:pPr>
            <w:r>
              <w:rPr>
                <w:rFonts w:hint="eastAsia" w:ascii="宋体" w:eastAsia="宋体" w:cs="宋体"/>
                <w:color w:val="000000"/>
                <w:sz w:val="24"/>
                <w:szCs w:val="24"/>
                <w:lang w:eastAsia="zh-CN"/>
              </w:rPr>
              <w:t>限定时间内完成</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eastAsia="宋体" w:cs="宋体"/>
                <w:color w:val="000000"/>
                <w:sz w:val="24"/>
                <w:szCs w:val="24"/>
                <w:lang w:val="en-US" w:eastAsia="zh-CN"/>
              </w:rPr>
            </w:pPr>
            <w:r>
              <w:rPr>
                <w:rFonts w:hint="eastAsia" w:ascii="宋体" w:eastAsia="宋体" w:cs="宋体"/>
                <w:color w:val="000000"/>
                <w:sz w:val="24"/>
                <w:szCs w:val="24"/>
                <w:lang w:val="en-US" w:eastAsia="zh-CN"/>
              </w:rPr>
              <w:t>1</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eastAsia="宋体" w:cs="宋体"/>
                <w:color w:val="000000"/>
                <w:sz w:val="24"/>
                <w:szCs w:val="24"/>
                <w:lang w:eastAsia="zh-CN"/>
              </w:rPr>
            </w:pPr>
            <w:r>
              <w:rPr>
                <w:rFonts w:hint="eastAsia" w:ascii="宋体" w:eastAsia="宋体" w:cs="宋体"/>
                <w:color w:val="000000"/>
                <w:sz w:val="24"/>
                <w:szCs w:val="24"/>
                <w:lang w:eastAsia="zh-CN"/>
              </w:rPr>
              <w:t>年</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效益指标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经济效益</w:t>
            </w:r>
          </w:p>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eastAsia="宋体" w:cs="宋体"/>
                <w:color w:val="000000"/>
                <w:sz w:val="24"/>
                <w:szCs w:val="24"/>
                <w:lang w:val="en-US" w:eastAsia="zh-CN"/>
              </w:rPr>
            </w:pPr>
            <w:r>
              <w:rPr>
                <w:rFonts w:hint="eastAsia" w:ascii="宋体" w:eastAsia="宋体" w:cs="宋体"/>
                <w:color w:val="000000"/>
                <w:sz w:val="24"/>
                <w:szCs w:val="24"/>
                <w:lang w:val="en-US" w:eastAsia="zh-CN"/>
              </w:rPr>
              <w:t>资金使用效益率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eastAsia="宋体" w:cs="宋体"/>
                <w:color w:val="000000"/>
                <w:sz w:val="24"/>
                <w:szCs w:val="24"/>
                <w:lang w:val="en-US" w:eastAsia="zh-CN"/>
              </w:rPr>
            </w:pPr>
            <w:r>
              <w:rPr>
                <w:rFonts w:hint="eastAsia" w:ascii="宋体" w:eastAsia="宋体" w:cs="宋体"/>
                <w:color w:val="000000"/>
                <w:sz w:val="24"/>
                <w:szCs w:val="24"/>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eastAsia="宋体" w:cs="宋体"/>
                <w:color w:val="000000"/>
                <w:sz w:val="24"/>
                <w:szCs w:val="24"/>
                <w:lang w:val="en-US" w:eastAsia="zh-CN"/>
              </w:rPr>
            </w:pPr>
            <w:r>
              <w:rPr>
                <w:rFonts w:hint="eastAsia" w:ascii="宋体" w:eastAsia="宋体" w:cs="宋体"/>
                <w:color w:val="000000"/>
                <w:sz w:val="24"/>
                <w:szCs w:val="24"/>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7"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250"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社会效益</w:t>
            </w:r>
          </w:p>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eastAsia="宋体" w:cs="宋体"/>
                <w:color w:val="000000"/>
                <w:sz w:val="24"/>
                <w:szCs w:val="24"/>
                <w:lang w:eastAsia="zh-CN"/>
              </w:rPr>
            </w:pPr>
            <w:r>
              <w:rPr>
                <w:rFonts w:hint="eastAsia" w:ascii="宋体" w:eastAsia="宋体" w:cs="宋体"/>
                <w:color w:val="000000"/>
                <w:sz w:val="24"/>
                <w:szCs w:val="24"/>
                <w:lang w:eastAsia="zh-CN"/>
              </w:rPr>
              <w:t>服务效能</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eastAsia="宋体" w:cs="宋体"/>
                <w:color w:val="000000"/>
                <w:sz w:val="24"/>
                <w:szCs w:val="24"/>
                <w:lang w:eastAsia="zh-CN"/>
              </w:rPr>
            </w:pPr>
            <w:r>
              <w:rPr>
                <w:rFonts w:hint="eastAsia" w:ascii="宋体" w:eastAsia="宋体" w:cs="宋体"/>
                <w:color w:val="000000"/>
                <w:sz w:val="24"/>
                <w:szCs w:val="24"/>
                <w:lang w:eastAsia="zh-CN"/>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eastAsia="宋体" w:cs="宋体"/>
                <w:color w:val="000000"/>
                <w:sz w:val="24"/>
                <w:szCs w:val="24"/>
                <w:lang w:val="en-US" w:eastAsia="zh-CN"/>
              </w:rPr>
            </w:pPr>
            <w:r>
              <w:rPr>
                <w:rFonts w:hint="eastAsia" w:ascii="宋体" w:eastAsia="宋体" w:cs="宋体"/>
                <w:color w:val="000000"/>
                <w:sz w:val="24"/>
                <w:szCs w:val="24"/>
                <w:lang w:val="en-US" w:eastAsia="zh-CN"/>
              </w:rPr>
              <w:t>好</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tc>
        <w:tc>
          <w:tcPr>
            <w:tcW w:w="1081"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满意度</w:t>
            </w:r>
          </w:p>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w:t>
            </w:r>
          </w:p>
        </w:tc>
        <w:tc>
          <w:tcPr>
            <w:tcW w:w="1250"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服务对象</w:t>
            </w:r>
          </w:p>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eastAsia="宋体" w:cs="宋体"/>
                <w:color w:val="000000"/>
                <w:sz w:val="24"/>
                <w:szCs w:val="24"/>
                <w:lang w:eastAsia="zh-CN"/>
              </w:rPr>
            </w:pPr>
            <w:r>
              <w:rPr>
                <w:rFonts w:hint="eastAsia" w:ascii="宋体" w:eastAsia="宋体" w:cs="宋体"/>
                <w:color w:val="000000"/>
                <w:sz w:val="24"/>
                <w:szCs w:val="24"/>
                <w:lang w:eastAsia="zh-CN"/>
              </w:rPr>
              <w:t>单位职工满意度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eastAsia="宋体" w:cs="宋体"/>
                <w:color w:val="000000"/>
                <w:sz w:val="24"/>
                <w:szCs w:val="24"/>
              </w:rPr>
            </w:pPr>
            <w:r>
              <w:rPr>
                <w:rFonts w:ascii="Arial" w:hAnsi="Arial" w:eastAsia="宋体" w:cs="Arial"/>
                <w:color w:val="000000"/>
                <w:sz w:val="24"/>
                <w:szCs w:val="24"/>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eastAsia="宋体" w:cs="宋体"/>
                <w:color w:val="000000"/>
                <w:sz w:val="24"/>
                <w:szCs w:val="24"/>
                <w:lang w:eastAsia="zh-CN"/>
              </w:rPr>
            </w:pPr>
            <w:r>
              <w:rPr>
                <w:rFonts w:hint="eastAsia" w:ascii="Arial" w:hAnsi="Arial" w:eastAsia="宋体" w:cs="Arial"/>
                <w:color w:val="000000"/>
                <w:sz w:val="24"/>
                <w:szCs w:val="24"/>
                <w:lang w:val="en-US" w:eastAsia="zh-CN"/>
              </w:rPr>
              <w:t>%</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95</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成本指标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经济成本</w:t>
            </w:r>
          </w:p>
          <w:p>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w:t>
            </w:r>
          </w:p>
        </w:tc>
        <w:tc>
          <w:tcPr>
            <w:tcW w:w="1312" w:type="dxa"/>
            <w:tcBorders>
              <w:top w:val="single" w:color="000000" w:sz="4" w:space="0"/>
              <w:bottom w:val="single" w:color="000000" w:sz="4" w:space="0"/>
              <w:right w:val="single" w:color="000000" w:sz="4" w:space="0"/>
            </w:tcBorders>
            <w:shd w:val="clear" w:color="auto" w:fill="auto"/>
            <w:vAlign w:val="center"/>
          </w:tcPr>
          <w:p>
            <w:pPr>
              <w:spacing w:line="300" w:lineRule="exact"/>
              <w:rPr>
                <w:rFonts w:hint="eastAsia" w:ascii="宋体" w:eastAsia="宋体" w:cs="宋体"/>
                <w:color w:val="000000"/>
                <w:sz w:val="24"/>
                <w:szCs w:val="24"/>
                <w:lang w:eastAsia="zh-CN"/>
              </w:rPr>
            </w:pPr>
            <w:r>
              <w:rPr>
                <w:rFonts w:hint="eastAsia" w:ascii="宋体" w:eastAsia="宋体" w:cs="宋体"/>
                <w:color w:val="000000"/>
                <w:sz w:val="24"/>
                <w:szCs w:val="24"/>
                <w:lang w:eastAsia="zh-CN"/>
              </w:rPr>
              <w:t>工作经费</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eastAsia="宋体" w:cs="宋体"/>
                <w:color w:val="000000"/>
                <w:sz w:val="24"/>
                <w:szCs w:val="24"/>
                <w:lang w:val="en-US" w:eastAsia="zh-CN"/>
              </w:rPr>
            </w:pPr>
            <w:r>
              <w:rPr>
                <w:rFonts w:hint="eastAsia" w:ascii="宋体" w:eastAsia="宋体" w:cs="宋体"/>
                <w:color w:val="000000"/>
                <w:sz w:val="24"/>
                <w:szCs w:val="24"/>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228.36</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hint="eastAsia" w:ascii="宋体" w:eastAsia="宋体" w:cs="宋体"/>
                <w:color w:val="000000"/>
                <w:sz w:val="24"/>
                <w:szCs w:val="24"/>
                <w:lang w:eastAsia="zh-CN"/>
              </w:rPr>
            </w:pPr>
            <w:r>
              <w:rPr>
                <w:rFonts w:hint="eastAsia" w:ascii="宋体" w:eastAsia="宋体" w:cs="宋体"/>
                <w:color w:val="000000"/>
                <w:sz w:val="24"/>
                <w:szCs w:val="24"/>
                <w:lang w:eastAsia="zh-CN"/>
              </w:rPr>
              <w:t>万元</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00" w:lineRule="exact"/>
              <w:jc w:val="center"/>
              <w:rPr>
                <w:rFonts w:ascii="宋体" w:eastAsia="宋体" w:cs="宋体"/>
                <w:color w:val="000000"/>
                <w:sz w:val="24"/>
                <w:szCs w:val="24"/>
                <w:lang w:val="en-US" w:eastAsia="zh-CN"/>
              </w:rPr>
            </w:pPr>
            <w:r>
              <w:rPr>
                <w:rFonts w:hint="eastAsia" w:ascii="宋体" w:eastAsia="宋体" w:cs="宋体"/>
                <w:color w:val="000000"/>
                <w:sz w:val="24"/>
                <w:szCs w:val="24"/>
                <w:lang w:val="en-US" w:eastAsia="zh-CN"/>
              </w:rPr>
              <w:t>100%</w:t>
            </w:r>
          </w:p>
        </w:tc>
      </w:tr>
    </w:tbl>
    <w:p>
      <w:pPr>
        <w:pStyle w:val="9"/>
        <w:spacing w:after="0" w:line="578" w:lineRule="exact"/>
        <w:ind w:left="0" w:leftChars="0" w:firstLine="0" w:firstLineChars="0"/>
        <w:rPr>
          <w:rFonts w:ascii="黑体" w:eastAsia="黑体" w:cs="黑体"/>
          <w:sz w:val="24"/>
          <w:szCs w:val="24"/>
        </w:rPr>
      </w:pPr>
    </w:p>
    <w:p>
      <w:pPr>
        <w:pStyle w:val="9"/>
        <w:ind w:left="0" w:leftChars="0" w:firstLine="0" w:firstLineChars="0"/>
        <w:rPr>
          <w:rFonts w:ascii="Times New Roman" w:hAnsi="Times New Roman" w:eastAsia="黑体"/>
          <w:sz w:val="24"/>
          <w:szCs w:val="24"/>
        </w:rPr>
      </w:pPr>
    </w:p>
    <w:p>
      <w:pPr>
        <w:pStyle w:val="9"/>
        <w:ind w:left="0" w:leftChars="0" w:firstLine="0" w:firstLineChars="0"/>
        <w:rPr>
          <w:rFonts w:ascii="Times New Roman" w:hAnsi="Times New Roman" w:eastAsia="黑体"/>
          <w:sz w:val="24"/>
          <w:szCs w:val="24"/>
        </w:rPr>
      </w:pPr>
    </w:p>
    <w:p>
      <w:pPr>
        <w:pStyle w:val="9"/>
        <w:ind w:left="0" w:leftChars="0" w:firstLine="0" w:firstLineChars="0"/>
        <w:rPr>
          <w:rFonts w:ascii="Times New Roman" w:hAnsi="Times New Roman" w:eastAsia="黑体"/>
          <w:sz w:val="24"/>
          <w:szCs w:val="24"/>
        </w:rPr>
      </w:pPr>
    </w:p>
    <w:p>
      <w:pPr>
        <w:pStyle w:val="9"/>
        <w:ind w:left="0" w:leftChars="0" w:firstLine="0" w:firstLineChars="0"/>
        <w:rPr>
          <w:rFonts w:ascii="Times New Roman" w:hAnsi="Times New Roman" w:eastAsia="黑体"/>
          <w:sz w:val="24"/>
          <w:szCs w:val="24"/>
        </w:rPr>
      </w:pPr>
    </w:p>
    <w:p>
      <w:pPr>
        <w:pStyle w:val="3"/>
        <w:jc w:val="center"/>
        <w:rPr>
          <w:rFonts w:ascii="黑体" w:eastAsia="黑体" w:cs="黑体"/>
        </w:rPr>
      </w:pPr>
      <w:bookmarkStart w:id="91" w:name="_Toc10808"/>
      <w:r>
        <w:rPr>
          <w:rFonts w:hint="eastAsia" w:ascii="黑体" w:eastAsia="黑体" w:cs="黑体"/>
        </w:rPr>
        <w:t>第五部分 附表</w:t>
      </w:r>
      <w:bookmarkEnd w:id="90"/>
      <w:bookmarkEnd w:id="91"/>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92" w:name="_Toc26370"/>
      <w:bookmarkStart w:id="93" w:name="_Toc24170"/>
      <w:bookmarkStart w:id="94" w:name="_Toc12986"/>
      <w:r>
        <w:rPr>
          <w:rFonts w:hint="eastAsia" w:ascii="仿宋" w:eastAsia="仿宋" w:cs="Times New Roman"/>
          <w:b w:val="0"/>
          <w:color w:val="000000"/>
          <w:kern w:val="2"/>
          <w:sz w:val="32"/>
          <w:szCs w:val="32"/>
          <w:lang w:bidi="ar-SA"/>
        </w:rPr>
        <w:t>一、收入支出决算总表</w:t>
      </w:r>
      <w:bookmarkEnd w:id="92"/>
      <w:bookmarkEnd w:id="93"/>
      <w:bookmarkEnd w:id="94"/>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95" w:name="_Toc13062"/>
      <w:bookmarkStart w:id="96" w:name="_Toc13591"/>
      <w:bookmarkStart w:id="97" w:name="_Toc6676"/>
      <w:r>
        <w:rPr>
          <w:rFonts w:hint="eastAsia" w:ascii="仿宋" w:eastAsia="仿宋" w:cs="Times New Roman"/>
          <w:b w:val="0"/>
          <w:color w:val="000000"/>
          <w:kern w:val="2"/>
          <w:sz w:val="32"/>
          <w:szCs w:val="32"/>
          <w:lang w:bidi="ar-SA"/>
        </w:rPr>
        <w:t>二、收入决算表</w:t>
      </w:r>
      <w:bookmarkEnd w:id="95"/>
      <w:bookmarkEnd w:id="96"/>
      <w:bookmarkEnd w:id="97"/>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98" w:name="_Toc16600"/>
      <w:bookmarkStart w:id="99" w:name="_Toc4743"/>
      <w:bookmarkStart w:id="100" w:name="_Toc29688"/>
      <w:r>
        <w:rPr>
          <w:rFonts w:hint="eastAsia" w:ascii="仿宋" w:eastAsia="仿宋" w:cs="Times New Roman"/>
          <w:b w:val="0"/>
          <w:color w:val="000000"/>
          <w:kern w:val="2"/>
          <w:sz w:val="32"/>
          <w:szCs w:val="32"/>
          <w:lang w:bidi="ar-SA"/>
        </w:rPr>
        <w:t>三、支出决算表</w:t>
      </w:r>
      <w:bookmarkEnd w:id="98"/>
      <w:bookmarkEnd w:id="99"/>
      <w:bookmarkEnd w:id="100"/>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101" w:name="_Toc26630"/>
      <w:bookmarkStart w:id="102" w:name="_Toc5964"/>
      <w:bookmarkStart w:id="103" w:name="_Toc19017"/>
      <w:r>
        <w:rPr>
          <w:rFonts w:hint="eastAsia" w:ascii="仿宋" w:eastAsia="仿宋" w:cs="Times New Roman"/>
          <w:b w:val="0"/>
          <w:color w:val="000000"/>
          <w:kern w:val="2"/>
          <w:sz w:val="32"/>
          <w:szCs w:val="32"/>
          <w:lang w:bidi="ar-SA"/>
        </w:rPr>
        <w:t>四、财政拨款收入支出决算总表</w:t>
      </w:r>
      <w:bookmarkEnd w:id="101"/>
      <w:bookmarkEnd w:id="102"/>
      <w:bookmarkEnd w:id="103"/>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104" w:name="_Toc19934"/>
      <w:bookmarkStart w:id="105" w:name="_Toc5476"/>
      <w:bookmarkStart w:id="106" w:name="_Toc14273"/>
      <w:r>
        <w:rPr>
          <w:rFonts w:hint="eastAsia" w:ascii="仿宋" w:eastAsia="仿宋" w:cs="Times New Roman"/>
          <w:b w:val="0"/>
          <w:color w:val="000000"/>
          <w:kern w:val="2"/>
          <w:sz w:val="32"/>
          <w:szCs w:val="32"/>
          <w:lang w:bidi="ar-SA"/>
        </w:rPr>
        <w:t>五、财政拨款支出决算明细表</w:t>
      </w:r>
      <w:bookmarkEnd w:id="104"/>
      <w:bookmarkEnd w:id="105"/>
      <w:bookmarkEnd w:id="106"/>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107" w:name="_Toc7132"/>
      <w:bookmarkStart w:id="108" w:name="_Toc16449"/>
      <w:bookmarkStart w:id="109" w:name="_Toc6686"/>
      <w:r>
        <w:rPr>
          <w:rFonts w:hint="eastAsia" w:ascii="仿宋" w:eastAsia="仿宋" w:cs="Times New Roman"/>
          <w:b w:val="0"/>
          <w:color w:val="000000"/>
          <w:kern w:val="2"/>
          <w:sz w:val="32"/>
          <w:szCs w:val="32"/>
          <w:lang w:bidi="ar-SA"/>
        </w:rPr>
        <w:t>六、一般公共预算财政拨款支出决算表</w:t>
      </w:r>
      <w:bookmarkEnd w:id="107"/>
      <w:bookmarkEnd w:id="108"/>
      <w:bookmarkEnd w:id="109"/>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110" w:name="_Toc3478"/>
      <w:bookmarkStart w:id="111" w:name="_Toc19514"/>
      <w:bookmarkStart w:id="112" w:name="_Toc21582"/>
      <w:r>
        <w:rPr>
          <w:rFonts w:hint="eastAsia" w:ascii="仿宋" w:eastAsia="仿宋" w:cs="Times New Roman"/>
          <w:b w:val="0"/>
          <w:color w:val="000000"/>
          <w:kern w:val="2"/>
          <w:sz w:val="32"/>
          <w:szCs w:val="32"/>
          <w:lang w:bidi="ar-SA"/>
        </w:rPr>
        <w:t>七、一般公共预算财政拨款支出决算明细表</w:t>
      </w:r>
      <w:bookmarkEnd w:id="110"/>
      <w:bookmarkEnd w:id="111"/>
      <w:bookmarkEnd w:id="112"/>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113" w:name="_Toc32214"/>
      <w:bookmarkStart w:id="114" w:name="_Toc191"/>
      <w:bookmarkStart w:id="115" w:name="_Toc17352"/>
      <w:r>
        <w:rPr>
          <w:rFonts w:hint="eastAsia" w:ascii="仿宋" w:eastAsia="仿宋" w:cs="Times New Roman"/>
          <w:b w:val="0"/>
          <w:color w:val="000000"/>
          <w:kern w:val="2"/>
          <w:sz w:val="32"/>
          <w:szCs w:val="32"/>
          <w:lang w:bidi="ar-SA"/>
        </w:rPr>
        <w:t>八、一般公共预算财政拨款基本支出决算表</w:t>
      </w:r>
      <w:bookmarkEnd w:id="113"/>
      <w:bookmarkEnd w:id="114"/>
      <w:bookmarkEnd w:id="115"/>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116" w:name="_Toc9552"/>
      <w:bookmarkStart w:id="117" w:name="_Toc5204"/>
      <w:bookmarkStart w:id="118" w:name="_Toc3726"/>
      <w:r>
        <w:rPr>
          <w:rFonts w:hint="eastAsia" w:ascii="仿宋" w:eastAsia="仿宋" w:cs="Times New Roman"/>
          <w:b w:val="0"/>
          <w:color w:val="000000"/>
          <w:kern w:val="2"/>
          <w:sz w:val="32"/>
          <w:szCs w:val="32"/>
          <w:lang w:bidi="ar-SA"/>
        </w:rPr>
        <w:t>九、一般公共预算财政拨款项目支出决算表</w:t>
      </w:r>
      <w:bookmarkEnd w:id="116"/>
      <w:bookmarkEnd w:id="117"/>
      <w:bookmarkEnd w:id="118"/>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119" w:name="_Toc11422"/>
      <w:bookmarkStart w:id="120" w:name="_Toc20056"/>
      <w:bookmarkStart w:id="121" w:name="_Toc20756"/>
      <w:r>
        <w:rPr>
          <w:rFonts w:hint="eastAsia" w:ascii="仿宋" w:eastAsia="仿宋" w:cs="Times New Roman"/>
          <w:b w:val="0"/>
          <w:color w:val="000000"/>
          <w:kern w:val="2"/>
          <w:sz w:val="32"/>
          <w:szCs w:val="32"/>
          <w:lang w:bidi="ar-SA"/>
        </w:rPr>
        <w:t>十、政府性基金预算财政拨款收入支出决算表</w:t>
      </w:r>
      <w:bookmarkEnd w:id="119"/>
      <w:bookmarkEnd w:id="120"/>
      <w:bookmarkEnd w:id="121"/>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122" w:name="_Toc8116"/>
      <w:bookmarkStart w:id="123" w:name="_Toc21387"/>
      <w:bookmarkStart w:id="124" w:name="_Toc13849"/>
      <w:r>
        <w:rPr>
          <w:rFonts w:hint="eastAsia" w:ascii="仿宋" w:eastAsia="仿宋" w:cs="Times New Roman"/>
          <w:b w:val="0"/>
          <w:color w:val="000000"/>
          <w:kern w:val="2"/>
          <w:sz w:val="32"/>
          <w:szCs w:val="32"/>
          <w:lang w:bidi="ar-SA"/>
        </w:rPr>
        <w:t>十一、国有资本经营预算财政拨款收入支出决算表</w:t>
      </w:r>
      <w:bookmarkEnd w:id="122"/>
      <w:bookmarkEnd w:id="123"/>
      <w:bookmarkEnd w:id="124"/>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125" w:name="_Toc1140"/>
      <w:bookmarkStart w:id="126" w:name="_Toc13099"/>
      <w:bookmarkStart w:id="127" w:name="_Toc25825"/>
      <w:r>
        <w:rPr>
          <w:rFonts w:hint="eastAsia" w:ascii="仿宋" w:eastAsia="仿宋" w:cs="Times New Roman"/>
          <w:b w:val="0"/>
          <w:color w:val="000000"/>
          <w:kern w:val="2"/>
          <w:sz w:val="32"/>
          <w:szCs w:val="32"/>
          <w:lang w:bidi="ar-SA"/>
        </w:rPr>
        <w:t>十二、国有资本经营预算财政拨款支出决算表</w:t>
      </w:r>
      <w:bookmarkEnd w:id="125"/>
      <w:bookmarkEnd w:id="126"/>
      <w:bookmarkEnd w:id="127"/>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128" w:name="_Toc19895"/>
      <w:bookmarkStart w:id="129" w:name="_Toc25065"/>
      <w:bookmarkStart w:id="130" w:name="_Toc24957"/>
      <w:r>
        <w:rPr>
          <w:rFonts w:hint="eastAsia" w:ascii="仿宋" w:eastAsia="仿宋" w:cs="Times New Roman"/>
          <w:b w:val="0"/>
          <w:color w:val="000000"/>
          <w:kern w:val="2"/>
          <w:sz w:val="32"/>
          <w:szCs w:val="32"/>
          <w:lang w:bidi="ar-SA"/>
        </w:rPr>
        <w:t>十三、财政拨款“三公”经费支出决算表</w:t>
      </w:r>
      <w:bookmarkEnd w:id="128"/>
      <w:bookmarkEnd w:id="129"/>
      <w:bookmarkEnd w:id="130"/>
    </w:p>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Lucida Sans">
    <w:altName w:val="仿宋"/>
    <w:panose1 w:val="00000000000000000000"/>
    <w:charset w:val="01"/>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王羲之行书体">
    <w:panose1 w:val="02010609000101010101"/>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12"/>
          <w:jc w:val="center"/>
        </w:pPr>
        <w:r>
          <w:fldChar w:fldCharType="begin"/>
        </w:r>
        <w:r>
          <w:instrText xml:space="preserve">PAGE   \* MERGEFORMAT</w:instrText>
        </w:r>
        <w:r>
          <w:fldChar w:fldCharType="separate"/>
        </w:r>
        <w:r>
          <w:rPr>
            <w:lang w:val="zh-CN"/>
          </w:rPr>
          <w:t>4</w:t>
        </w:r>
        <w:r>
          <w:fldChar w:fldCharType="end"/>
        </w:r>
      </w:p>
    </w:sdtContent>
  </w:sdt>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9A22E1"/>
    <w:multiLevelType w:val="singleLevel"/>
    <w:tmpl w:val="AC9A22E1"/>
    <w:lvl w:ilvl="0" w:tentative="0">
      <w:start w:val="2"/>
      <w:numFmt w:val="chineseCounting"/>
      <w:suff w:val="nothing"/>
      <w:lvlText w:val="（%1）"/>
      <w:lvlJc w:val="left"/>
      <w:pPr>
        <w:ind w:left="0" w:firstLine="0"/>
      </w:pPr>
      <w:rPr>
        <w:rFonts w:hint="eastAsia"/>
      </w:rPr>
    </w:lvl>
  </w:abstractNum>
  <w:abstractNum w:abstractNumId="1">
    <w:nsid w:val="C636D42A"/>
    <w:multiLevelType w:val="singleLevel"/>
    <w:tmpl w:val="C636D42A"/>
    <w:lvl w:ilvl="0" w:tentative="0">
      <w:start w:val="3"/>
      <w:numFmt w:val="chineseCounting"/>
      <w:suff w:val="nothing"/>
      <w:lvlText w:val="（%1）"/>
      <w:lvlJc w:val="left"/>
      <w:pPr>
        <w:ind w:left="0" w:firstLine="0"/>
      </w:pPr>
      <w:rPr>
        <w:rFonts w:hint="eastAsia"/>
      </w:rPr>
    </w:lvl>
  </w:abstractNum>
  <w:abstractNum w:abstractNumId="2">
    <w:nsid w:val="29497A6D"/>
    <w:multiLevelType w:val="singleLevel"/>
    <w:tmpl w:val="29497A6D"/>
    <w:lvl w:ilvl="0" w:tentative="0">
      <w:start w:val="1"/>
      <w:numFmt w:val="decimal"/>
      <w:lvlText w:val="%1."/>
      <w:lvlJc w:val="left"/>
      <w:pPr>
        <w:ind w:left="0" w:firstLine="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2"/>
  </w:compat>
  <w:docVars>
    <w:docVar w:name="commondata" w:val="eyJoZGlkIjoiYzcxZDM0MjZkNjI3OGVhNjQ0OTE3ZDU0YmUxOTQ0MjEifQ=="/>
  </w:docVars>
  <w:rsids>
    <w:rsidRoot w:val="00000000"/>
    <w:rsid w:val="01916179"/>
    <w:rsid w:val="02E039E5"/>
    <w:rsid w:val="359D6D2B"/>
    <w:rsid w:val="4FCFC848"/>
    <w:rsid w:val="5A647BDD"/>
    <w:rsid w:val="5D2D04BC"/>
    <w:rsid w:val="7700053B"/>
    <w:rsid w:val="7C9ED0AA"/>
    <w:rsid w:val="FF7FD9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0">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680"/>
    </w:pPr>
  </w:style>
  <w:style w:type="paragraph" w:styleId="6">
    <w:name w:val="annotation text"/>
    <w:basedOn w:val="1"/>
    <w:qFormat/>
    <w:uiPriority w:val="0"/>
    <w:pPr>
      <w:jc w:val="left"/>
    </w:pPr>
  </w:style>
  <w:style w:type="paragraph" w:styleId="7">
    <w:name w:val="Body Text"/>
    <w:basedOn w:val="1"/>
    <w:qFormat/>
    <w:uiPriority w:val="0"/>
    <w:pPr>
      <w:spacing w:before="30" w:beforeLines="30"/>
    </w:pPr>
    <w:rPr>
      <w:rFonts w:ascii="仿宋_GB2312" w:eastAsia="仿宋_GB2312"/>
      <w:kern w:val="0"/>
      <w:sz w:val="30"/>
    </w:rPr>
  </w:style>
  <w:style w:type="paragraph" w:styleId="8">
    <w:name w:val="Body Text Indent"/>
    <w:basedOn w:val="1"/>
    <w:next w:val="9"/>
    <w:qFormat/>
    <w:uiPriority w:val="0"/>
    <w:pPr>
      <w:spacing w:after="120"/>
      <w:ind w:left="200" w:leftChars="200"/>
    </w:pPr>
    <w:rPr>
      <w:rFonts w:ascii="仿宋_GB2312" w:hAnsi="仿宋_GB2312"/>
      <w:szCs w:val="32"/>
    </w:rPr>
  </w:style>
  <w:style w:type="paragraph" w:styleId="9">
    <w:name w:val="Body Text First Indent 2"/>
    <w:basedOn w:val="8"/>
    <w:qFormat/>
    <w:uiPriority w:val="0"/>
    <w:pPr>
      <w:ind w:firstLine="200" w:firstLineChars="200"/>
    </w:pPr>
  </w:style>
  <w:style w:type="paragraph" w:styleId="10">
    <w:name w:val="toc 3"/>
    <w:basedOn w:val="1"/>
    <w:next w:val="1"/>
    <w:qFormat/>
    <w:uiPriority w:val="0"/>
    <w:pPr>
      <w:tabs>
        <w:tab w:val="right" w:leader="dot" w:pos="8296"/>
      </w:tabs>
      <w:ind w:left="400" w:leftChars="400"/>
    </w:p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qFormat/>
    <w:uiPriority w:val="0"/>
    <w:pPr>
      <w:tabs>
        <w:tab w:val="right" w:leader="dot" w:pos="8296"/>
      </w:tabs>
      <w:spacing w:before="93"/>
      <w:jc w:val="center"/>
    </w:pPr>
    <w:rPr>
      <w:rFonts w:ascii="仿宋" w:eastAsia="仿宋"/>
      <w:sz w:val="28"/>
      <w:szCs w:val="28"/>
    </w:rPr>
  </w:style>
  <w:style w:type="paragraph" w:styleId="15">
    <w:name w:val="footnote text"/>
    <w:basedOn w:val="1"/>
    <w:next w:val="9"/>
    <w:qFormat/>
    <w:uiPriority w:val="0"/>
    <w:pPr>
      <w:snapToGrid w:val="0"/>
      <w:jc w:val="left"/>
    </w:pPr>
    <w:rPr>
      <w:sz w:val="18"/>
      <w:szCs w:val="18"/>
    </w:rPr>
  </w:style>
  <w:style w:type="paragraph" w:styleId="16">
    <w:name w:val="table of figures"/>
    <w:basedOn w:val="1"/>
    <w:next w:val="1"/>
    <w:qFormat/>
    <w:uiPriority w:val="0"/>
    <w:pPr>
      <w:ind w:left="400" w:leftChars="200" w:hanging="200" w:hangingChars="200"/>
    </w:pPr>
  </w:style>
  <w:style w:type="paragraph" w:styleId="17">
    <w:name w:val="toc 2"/>
    <w:basedOn w:val="1"/>
    <w:next w:val="1"/>
    <w:qFormat/>
    <w:uiPriority w:val="0"/>
    <w:pPr>
      <w:tabs>
        <w:tab w:val="right" w:leader="dot" w:pos="8296"/>
      </w:tabs>
      <w:ind w:left="200" w:leftChars="200"/>
    </w:pPr>
  </w:style>
  <w:style w:type="paragraph" w:styleId="18">
    <w:name w:val="Normal (Web)"/>
    <w:basedOn w:val="1"/>
    <w:qFormat/>
    <w:uiPriority w:val="0"/>
    <w:pPr>
      <w:spacing w:beforeAutospacing="1" w:afterAutospacing="1"/>
    </w:pPr>
    <w:rPr>
      <w:rFonts w:cs="Times New Roman"/>
      <w:sz w:val="24"/>
      <w:lang w:eastAsia="zh-CN" w:bidi="ar-SA"/>
    </w:rPr>
  </w:style>
  <w:style w:type="character" w:styleId="21">
    <w:name w:val="Strong"/>
    <w:basedOn w:val="20"/>
    <w:qFormat/>
    <w:uiPriority w:val="0"/>
    <w:rPr>
      <w:b/>
    </w:rPr>
  </w:style>
  <w:style w:type="character" w:styleId="22">
    <w:name w:val="Hyperlink"/>
    <w:basedOn w:val="20"/>
    <w:qFormat/>
    <w:uiPriority w:val="0"/>
    <w:rPr>
      <w:color w:val="0000FF"/>
      <w:u w:val="single"/>
    </w:rPr>
  </w:style>
  <w:style w:type="character" w:styleId="23">
    <w:name w:val="annotation reference"/>
    <w:basedOn w:val="20"/>
    <w:qFormat/>
    <w:uiPriority w:val="0"/>
    <w:rPr>
      <w:sz w:val="21"/>
      <w:szCs w:val="21"/>
    </w:rPr>
  </w:style>
  <w:style w:type="character" w:customStyle="1" w:styleId="24">
    <w:name w:val="heading 1 Char"/>
    <w:basedOn w:val="20"/>
    <w:link w:val="3"/>
    <w:qFormat/>
    <w:uiPriority w:val="0"/>
    <w:rPr>
      <w:rFonts w:ascii="Times New Roman" w:hAnsi="Times New Roman" w:eastAsia="宋体" w:cs="Times New Roman"/>
      <w:b/>
      <w:bCs/>
      <w:kern w:val="44"/>
      <w:sz w:val="44"/>
      <w:szCs w:val="44"/>
      <w:lang w:val="en-US" w:eastAsia="zh-CN" w:bidi="ar-SA"/>
    </w:r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6">
    <w:name w:val="Header Char"/>
    <w:basedOn w:val="20"/>
    <w:qFormat/>
    <w:uiPriority w:val="0"/>
    <w:rPr>
      <w:rFonts w:ascii="Times New Roman" w:hAnsi="Times New Roman"/>
      <w:sz w:val="18"/>
      <w:szCs w:val="18"/>
    </w:rPr>
  </w:style>
  <w:style w:type="character" w:customStyle="1" w:styleId="27">
    <w:name w:val="Footer Char"/>
    <w:basedOn w:val="20"/>
    <w:qFormat/>
    <w:uiPriority w:val="0"/>
    <w:rPr>
      <w:rFonts w:ascii="Times New Roman" w:hAnsi="Times New Roman"/>
      <w:sz w:val="18"/>
      <w:szCs w:val="18"/>
    </w:rPr>
  </w:style>
  <w:style w:type="character" w:customStyle="1" w:styleId="28">
    <w:name w:val="Body Text Char"/>
    <w:basedOn w:val="20"/>
    <w:qFormat/>
    <w:uiPriority w:val="0"/>
    <w:rPr>
      <w:rFonts w:ascii="Times New Roman" w:hAnsi="Times New Roman"/>
      <w:szCs w:val="24"/>
    </w:rPr>
  </w:style>
  <w:style w:type="paragraph" w:styleId="29">
    <w:name w:val="List Paragraph"/>
    <w:basedOn w:val="1"/>
    <w:qFormat/>
    <w:uiPriority w:val="0"/>
    <w:pPr>
      <w:ind w:firstLine="200" w:firstLineChars="200"/>
    </w:pPr>
  </w:style>
  <w:style w:type="paragraph" w:customStyle="1" w:styleId="30">
    <w:name w:val="TOC 标题1"/>
    <w:basedOn w:val="3"/>
    <w:next w:val="1"/>
    <w:qFormat/>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31">
    <w:name w:val="Normal363950e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2">
    <w:name w:val="Default Paragraph Font830522c6"/>
    <w:qFormat/>
    <w:uiPriority w:val="0"/>
  </w:style>
  <w:style w:type="paragraph" w:customStyle="1" w:styleId="33">
    <w:name w:val="Normal31da962d"/>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34">
    <w:name w:val="Default Paragraph Font5"/>
    <w:qFormat/>
    <w:uiPriority w:val="0"/>
  </w:style>
  <w:style w:type="paragraph" w:customStyle="1" w:styleId="35">
    <w:name w:val="footerce85b5ec"/>
    <w:basedOn w:val="33"/>
    <w:qFormat/>
    <w:uiPriority w:val="0"/>
    <w:pPr>
      <w:tabs>
        <w:tab w:val="center" w:pos="4153"/>
        <w:tab w:val="right" w:pos="8306"/>
      </w:tabs>
      <w:snapToGrid w:val="0"/>
      <w:jc w:val="left"/>
    </w:pPr>
    <w:rPr>
      <w:kern w:val="0"/>
      <w:sz w:val="18"/>
      <w:szCs w:val="20"/>
    </w:rPr>
  </w:style>
  <w:style w:type="paragraph" w:customStyle="1" w:styleId="36">
    <w:name w:val="headerf7e0821f"/>
    <w:basedOn w:val="33"/>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37">
    <w:name w:val="四号正文"/>
    <w:basedOn w:val="1"/>
    <w:qFormat/>
    <w:uiPriority w:val="0"/>
    <w:pPr>
      <w:spacing w:line="360" w:lineRule="auto"/>
    </w:pPr>
    <w:rPr>
      <w:rFonts w:ascii="??" w:hAnsi="??" w:eastAsia="宋体"/>
      <w:color w:val="000000"/>
      <w:kern w:val="0"/>
      <w:sz w:val="28"/>
      <w:szCs w:val="21"/>
      <w:lang w:val="zh-CN"/>
    </w:rPr>
  </w:style>
  <w:style w:type="paragraph" w:customStyle="1" w:styleId="38">
    <w:name w:val="标题 5（有编号）（绿盟科技）"/>
    <w:next w:val="1"/>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7232"/>
          <c:y val="0.0088963965"/>
          <c:w val="0.8623782"/>
          <c:h val="0.8260135"/>
        </c:manualLayout>
      </c:layout>
      <c:barChart>
        <c:barDir val="col"/>
        <c:grouping val="clustered"/>
        <c:varyColors val="0"/>
        <c:ser>
          <c:idx val="0"/>
          <c:order val="0"/>
          <c:tx>
            <c:strRef>
              <c:f>'Sheet1'!$B$1</c:f>
              <c:strCache>
                <c:ptCount val="1"/>
                <c:pt idx="0">
                  <c:v>金额</c:v>
                </c:pt>
              </c:strCache>
            </c:strRef>
          </c:tx>
          <c:spPr>
            <a:gradFill rotWithShape="1">
              <a:gsLst>
                <a:gs pos="0">
                  <a:srgbClr val="4F81BD">
                    <a:alpha val="100000"/>
                  </a:srgbClr>
                </a:gs>
                <a:gs pos="100000">
                  <a:srgbClr val="3D6CA4">
                    <a:alpha val="100000"/>
                  </a:srgbClr>
                </a:gs>
              </a:gsLst>
              <a:lin ang="5400000" scaled="1"/>
            </a:gradFill>
            <a:ln>
              <a:noFill/>
            </a:ln>
            <a:effectLst>
              <a:outerShdw dist="35921" dir="2700000" algn="br">
                <a:srgbClr val="000000"/>
              </a:outerShdw>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panose="02010600030101010101" charset="-122"/>
                    <a:cs typeface="Lucida San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2022年收入</c:v>
                </c:pt>
                <c:pt idx="1">
                  <c:v>2022年支出</c:v>
                </c:pt>
                <c:pt idx="2">
                  <c:v>2023年收入</c:v>
                </c:pt>
                <c:pt idx="3">
                  <c:v>2023年支出</c:v>
                </c:pt>
              </c:strCache>
            </c:strRef>
          </c:cat>
          <c:val>
            <c:numRef>
              <c:f>'Sheet1'!$B$2:$B$5</c:f>
              <c:numCache>
                <c:formatCode>General</c:formatCode>
                <c:ptCount val="4"/>
                <c:pt idx="0">
                  <c:v>1286.65</c:v>
                </c:pt>
                <c:pt idx="1">
                  <c:v>1286.65</c:v>
                </c:pt>
                <c:pt idx="2">
                  <c:v>1267.8</c:v>
                </c:pt>
                <c:pt idx="3">
                  <c:v>1267.8</c:v>
                </c:pt>
              </c:numCache>
            </c:numRef>
          </c:val>
        </c:ser>
        <c:dLbls>
          <c:showLegendKey val="0"/>
          <c:showVal val="1"/>
          <c:showCatName val="0"/>
          <c:showSerName val="0"/>
          <c:showPercent val="0"/>
          <c:showBubbleSize val="0"/>
        </c:dLbls>
        <c:gapWidth val="41"/>
        <c:axId val="0"/>
        <c:axId val="1"/>
      </c:barChart>
      <c:catAx>
        <c:axId val="0"/>
        <c:scaling>
          <c:orientation val="minMax"/>
        </c:scaling>
        <c:delete val="0"/>
        <c:axPos val="b"/>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plotVisOnly val="1"/>
    <c:dispBlanksAs val="gap"/>
    <c:showDLblsOverMax val="0"/>
  </c:chart>
  <c:spPr>
    <a:gradFill rotWithShape="1">
      <a:gsLst>
        <a:gs pos="0">
          <a:srgbClr val="FFFFFF">
            <a:alpha val="100000"/>
          </a:srgbClr>
        </a:gs>
        <a:gs pos="68000">
          <a:srgbClr val="D9D9D9">
            <a:alpha val="100000"/>
          </a:srgbClr>
        </a:gs>
        <a:gs pos="100000">
          <a:srgbClr val="FFFFFF">
            <a:alpha val="100000"/>
          </a:srgbClr>
        </a:gs>
      </a:gsLst>
      <a:lin ang="5400000" scaled="1"/>
    </a:gra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404040"/>
                </a:solidFill>
                <a:latin typeface="Times New Roman" panose="02020603050405020304"/>
                <a:ea typeface="宋体" panose="02010600030101010101" charset="-122"/>
                <a:cs typeface="Lucida Sans"/>
              </a:defRPr>
            </a:pPr>
            <a:r>
              <a:rPr lang="zh-CN"/>
              <a:t>收入决算结构图</a:t>
            </a:r>
            <a:endParaRPr lang="zh-CN"/>
          </a:p>
        </c:rich>
      </c:tx>
      <c:layout/>
      <c:overlay val="0"/>
      <c:spPr>
        <a:noFill/>
        <a:ln>
          <a:noFill/>
        </a:ln>
      </c:spPr>
    </c:title>
    <c:autoTitleDeleted val="0"/>
    <c:plotArea>
      <c:layout/>
      <c:pieChart>
        <c:varyColors val="1"/>
        <c:ser>
          <c:idx val="1"/>
          <c:order val="0"/>
          <c:spPr>
            <a:ln>
              <a:noFill/>
            </a:ln>
          </c:spPr>
          <c:explosion val="0"/>
          <c:dPt>
            <c:idx val="0"/>
            <c:bubble3D val="0"/>
            <c:spPr>
              <a:solidFill>
                <a:srgbClr val="4572A8"/>
              </a:solidFill>
              <a:ln>
                <a:noFill/>
              </a:ln>
              <a:effectLst>
                <a:outerShdw dist="35921" dir="2700000" algn="br">
                  <a:srgbClr val="000000"/>
                </a:outerShdw>
              </a:effectLst>
            </c:spPr>
          </c:dPt>
          <c:dPt>
            <c:idx val="1"/>
            <c:bubble3D val="0"/>
            <c:spPr>
              <a:solidFill>
                <a:srgbClr val="AA4643"/>
              </a:solidFill>
              <a:ln>
                <a:noFill/>
              </a:ln>
              <a:effectLst>
                <a:outerShdw dist="35921" dir="2700000" algn="br">
                  <a:srgbClr val="000000"/>
                </a:outerShdw>
              </a:effectLst>
            </c:spPr>
          </c:dPt>
          <c:dPt>
            <c:idx val="2"/>
            <c:bubble3D val="0"/>
            <c:spPr>
              <a:solidFill>
                <a:srgbClr val="89A64E"/>
              </a:solidFill>
              <a:ln>
                <a:noFill/>
              </a:ln>
              <a:effectLst>
                <a:outerShdw dist="35921" dir="2700000" algn="br">
                  <a:srgbClr val="000000"/>
                </a:outerShdw>
              </a:effectLst>
            </c:spPr>
          </c:dPt>
          <c:dPt>
            <c:idx val="3"/>
            <c:bubble3D val="0"/>
            <c:spPr>
              <a:solidFill>
                <a:srgbClr val="715890"/>
              </a:solidFill>
              <a:ln>
                <a:noFill/>
              </a:ln>
              <a:effectLst>
                <a:outerShdw dist="35921" dir="2700000" algn="br">
                  <a:srgbClr val="000000"/>
                </a:outerShdw>
              </a:effectLst>
            </c:spPr>
          </c:dPt>
          <c:dPt>
            <c:idx val="4"/>
            <c:bubble3D val="0"/>
            <c:spPr>
              <a:solidFill>
                <a:srgbClr val="4299B0"/>
              </a:solidFill>
              <a:ln>
                <a:noFill/>
              </a:ln>
              <a:effectLst>
                <a:outerShdw dist="35921" dir="2700000" algn="br">
                  <a:srgbClr val="000000"/>
                </a:outerShdw>
              </a:effectLst>
            </c:spPr>
          </c:dPt>
          <c:dPt>
            <c:idx val="5"/>
            <c:bubble3D val="0"/>
            <c:spPr>
              <a:solidFill>
                <a:srgbClr val="DC853D"/>
              </a:solidFill>
              <a:ln>
                <a:noFill/>
              </a:ln>
              <a:effectLst>
                <a:outerShdw dist="35921" dir="2700000" algn="br">
                  <a:srgbClr val="000000"/>
                </a:outerShdw>
              </a:effectLst>
            </c:spPr>
          </c:dPt>
          <c:dPt>
            <c:idx val="6"/>
            <c:bubble3D val="0"/>
            <c:spPr>
              <a:solidFill>
                <a:srgbClr val="93AACF"/>
              </a:solidFill>
              <a:ln>
                <a:noFill/>
              </a:ln>
              <a:effectLst>
                <a:outerShdw dist="35921" dir="2700000" algn="br">
                  <a:srgbClr val="000000"/>
                </a:outerShdw>
              </a:effectLst>
            </c:spPr>
          </c:dPt>
          <c:dPt>
            <c:idx val="7"/>
            <c:bubble3D val="0"/>
            <c:spPr>
              <a:solidFill>
                <a:srgbClr val="D19493"/>
              </a:solidFill>
              <a:ln>
                <a:noFill/>
              </a:ln>
              <a:effectLst>
                <a:outerShdw dist="35921" dir="2700000" algn="br">
                  <a:srgbClr val="000000"/>
                </a:outerShdw>
              </a:effectLst>
            </c:spPr>
          </c:dPt>
          <c:dLbls>
            <c:numFmt formatCode="0%" sourceLinked="0"/>
            <c:spPr>
              <a:pattFill prst="pct75">
                <a:fgClr>
                  <a:srgbClr val="404040"/>
                </a:fgClr>
                <a:bgClr>
                  <a:srgbClr val="595959"/>
                </a:bgClr>
              </a:patt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panose="02010600030101010101" charset="-122"/>
                    <a:cs typeface="Lucida San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{12537102.67,0,0,0,0,0,0,0}</c:f>
              <c:numCache>
                <c:formatCode>General</c:formatCode>
                <c:ptCount val="8"/>
                <c:pt idx="0">
                  <c:v>12537102.67</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404040"/>
                </a:solidFill>
                <a:latin typeface="Times New Roman" panose="02020603050405020304"/>
                <a:ea typeface="宋体" panose="02010600030101010101" charset="-122"/>
                <a:cs typeface="Lucida Sans"/>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ln>
              <a:noFill/>
            </a:ln>
          </c:spPr>
          <c:explosion val="0"/>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Pt>
            <c:idx val="2"/>
            <c:bubble3D val="0"/>
            <c:spPr>
              <a:solidFill>
                <a:srgbClr val="9BBB59"/>
              </a:solidFill>
              <a:ln>
                <a:noFill/>
              </a:ln>
              <a:effectLst>
                <a:outerShdw dist="35921" dir="2700000" algn="br">
                  <a:srgbClr val="000000"/>
                </a:outerShdw>
              </a:effectLst>
            </c:spPr>
          </c:dPt>
          <c:dPt>
            <c:idx val="3"/>
            <c:bubble3D val="0"/>
            <c:spPr>
              <a:solidFill>
                <a:srgbClr val="8064A2"/>
              </a:solidFill>
              <a:ln>
                <a:noFill/>
              </a:ln>
              <a:effectLst>
                <a:outerShdw dist="35921" dir="2700000" algn="br">
                  <a:srgbClr val="000000"/>
                </a:outerShdw>
              </a:effectLst>
            </c:spPr>
          </c:dPt>
          <c:dPt>
            <c:idx val="4"/>
            <c:bubble3D val="0"/>
            <c:spPr>
              <a:solidFill>
                <a:srgbClr val="4BACC6"/>
              </a:solidFill>
              <a:ln>
                <a:noFill/>
              </a:ln>
              <a:effectLst>
                <a:outerShdw dist="35921" dir="2700000" algn="br">
                  <a:srgbClr val="000000"/>
                </a:outerShdw>
              </a:effectLst>
            </c:spPr>
          </c:dPt>
          <c:dLbls>
            <c:numFmt formatCode="0%" sourceLinked="0"/>
            <c:spPr>
              <a:pattFill prst="pct75">
                <a:fgClr>
                  <a:srgbClr val="404040"/>
                </a:fgClr>
                <a:bgClr>
                  <a:srgbClr val="595959"/>
                </a:bgClr>
              </a:patt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panose="02010600030101010101" charset="-122"/>
                    <a:cs typeface="Lucida San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 (3)'!$A$2:$A$6</c:f>
              <c:strCache>
                <c:ptCount val="5"/>
                <c:pt idx="0">
                  <c:v>基本支出</c:v>
                </c:pt>
                <c:pt idx="1">
                  <c:v>项目支出</c:v>
                </c:pt>
                <c:pt idx="2">
                  <c:v>上级上缴支出</c:v>
                </c:pt>
                <c:pt idx="3">
                  <c:v>经营支出</c:v>
                </c:pt>
                <c:pt idx="4">
                  <c:v>对附属单位补助支出</c:v>
                </c:pt>
              </c:strCache>
            </c:strRef>
          </c:cat>
          <c:val>
            <c:numRef>
              <c:f>'Sheet1 (3)'!$B$2:$B$6</c:f>
              <c:numCache>
                <c:formatCode>General</c:formatCode>
                <c:ptCount val="5"/>
                <c:pt idx="0">
                  <c:v>927.49</c:v>
                </c:pt>
                <c:pt idx="1">
                  <c:v>171.61</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10249402"/>
          <c:y val="0.01225991"/>
          <c:w val="0.8623782"/>
          <c:h val="0.8260135"/>
        </c:manualLayout>
      </c:layout>
      <c:barChart>
        <c:barDir val="col"/>
        <c:grouping val="clustered"/>
        <c:varyColors val="0"/>
        <c:ser>
          <c:idx val="0"/>
          <c:order val="0"/>
          <c:tx>
            <c:strRef>
              <c:f>'Sheet1 (4)'!$B$1</c:f>
              <c:strCache>
                <c:ptCount val="1"/>
                <c:pt idx="0">
                  <c:v>金额</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(4)'!$A$2:$A$5</c:f>
              <c:strCache>
                <c:ptCount val="4"/>
                <c:pt idx="0">
                  <c:v>2023年收入</c:v>
                </c:pt>
                <c:pt idx="1">
                  <c:v>2023年支出</c:v>
                </c:pt>
                <c:pt idx="2">
                  <c:v>2022年收入</c:v>
                </c:pt>
                <c:pt idx="3">
                  <c:v>2022年支出</c:v>
                </c:pt>
              </c:strCache>
            </c:strRef>
          </c:cat>
          <c:val>
            <c:numRef>
              <c:f>'Sheet1 (4)'!$B$2:$B$5</c:f>
              <c:numCache>
                <c:formatCode>General</c:formatCode>
                <c:ptCount val="4"/>
                <c:pt idx="0">
                  <c:v>1267.8</c:v>
                </c:pt>
                <c:pt idx="1">
                  <c:v>1267.8</c:v>
                </c:pt>
                <c:pt idx="2">
                  <c:v>1286.65</c:v>
                </c:pt>
                <c:pt idx="3">
                  <c:v>1286.65</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04402"/>
          <c:y val="0.040242426"/>
          <c:w val="0.8623782"/>
          <c:h val="0.8260135"/>
        </c:manualLayout>
      </c:layout>
      <c:barChart>
        <c:barDir val="col"/>
        <c:grouping val="clustered"/>
        <c:varyColors val="0"/>
        <c:ser>
          <c:idx val="0"/>
          <c:order val="0"/>
          <c:tx>
            <c:strRef>
              <c:f>'Sheet1 (5)'!$B$1</c:f>
              <c:strCache>
                <c:ptCount val="1"/>
                <c:pt idx="0">
                  <c:v>金额</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(5)'!$A$2:$A$3</c:f>
              <c:strCache>
                <c:ptCount val="2"/>
                <c:pt idx="0">
                  <c:v>2023年</c:v>
                </c:pt>
                <c:pt idx="1">
                  <c:v>2022年</c:v>
                </c:pt>
              </c:strCache>
            </c:strRef>
          </c:cat>
          <c:val>
            <c:numRef>
              <c:f>'Sheet1 (5)'!$B$2:$B$3</c:f>
              <c:numCache>
                <c:formatCode>General</c:formatCode>
                <c:ptCount val="2"/>
                <c:pt idx="0">
                  <c:v>1267.8</c:v>
                </c:pt>
                <c:pt idx="1">
                  <c:v>1286.65</c:v>
                </c:pt>
              </c:numCache>
            </c:numRef>
          </c:val>
        </c:ser>
        <c:dLbls>
          <c:showLegendKey val="0"/>
          <c:showVal val="1"/>
          <c:showCatName val="0"/>
          <c:showSerName val="0"/>
          <c:showPercent val="0"/>
          <c:showBubbleSize val="0"/>
        </c:dLbls>
        <c:gapWidth val="75"/>
        <c:axId val="0"/>
        <c:axId val="1"/>
      </c:barChart>
      <c:catAx>
        <c:axId val="0"/>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crossAx val="0"/>
        <c:crossesAt val="1"/>
        <c:crossBetween val="between"/>
      </c:valAx>
      <c:spPr>
        <a:solidFill>
          <a:srgbClr val="FFFFFF"/>
        </a:solidFill>
      </c:spPr>
    </c:plotArea>
    <c:plotVisOnly val="1"/>
    <c:dispBlanksAs val="gap"/>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(6)'!$B$1</c:f>
              <c:strCache>
                <c:ptCount val="1"/>
                <c:pt idx="0">
                  <c:v>金额</c:v>
                </c:pt>
              </c:strCache>
            </c:strRef>
          </c:tx>
          <c:spPr>
            <a:ln>
              <a:noFill/>
            </a:ln>
          </c:spPr>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Lbls>
            <c:dLbl>
              <c:idx val="0"/>
              <c:delete val="1"/>
            </c:dLbl>
            <c:dLbl>
              <c:idx val="1"/>
              <c:delete val="1"/>
            </c:dLbl>
            <c:dLbl>
              <c:idx val="2"/>
              <c:delete val="1"/>
            </c:dLbl>
            <c:dLbl>
              <c:idx val="3"/>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(6)'!$A$2:$A$5</c:f>
              <c:strCache>
                <c:ptCount val="4"/>
                <c:pt idx="0">
                  <c:v>一般公共服务支出79.13%</c:v>
                </c:pt>
                <c:pt idx="1">
                  <c:v>社会保障和就业支出10.69%</c:v>
                </c:pt>
                <c:pt idx="2">
                  <c:v>卫生健康支出4.68%</c:v>
                </c:pt>
                <c:pt idx="3">
                  <c:v>住房保障支出5.5%</c:v>
                </c:pt>
              </c:strCache>
            </c:strRef>
          </c:cat>
          <c:val>
            <c:numRef>
              <c:f>'Sheet1 (6)'!$B$2:$B$5</c:f>
              <c:numCache>
                <c:formatCode>General</c:formatCode>
                <c:ptCount val="4"/>
                <c:pt idx="0">
                  <c:v>1003.2</c:v>
                </c:pt>
                <c:pt idx="1">
                  <c:v>135.59</c:v>
                </c:pt>
                <c:pt idx="2">
                  <c:v>59.32</c:v>
                </c:pt>
                <c:pt idx="3">
                  <c:v>69.69</c:v>
                </c:pt>
              </c:numCache>
            </c:numRef>
          </c:val>
        </c:ser>
        <c:ser>
          <c:idx val="1"/>
          <c:order val="1"/>
          <c:spPr>
            <a:ln>
              <a:noFill/>
            </a:ln>
          </c:spPr>
          <c:explosion val="0"/>
          <c:dPt>
            <c:idx val="0"/>
            <c:bubble3D val="0"/>
            <c:spPr>
              <a:ln>
                <a:noFill/>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ext>
            </c:extLst>
          </c:dLbls>
          <c:cat>
            <c:strRef>
              <c:f>'Sheet1 (6)'!$A$2:$A$5</c:f>
              <c:strCache>
                <c:ptCount val="4"/>
                <c:pt idx="0">
                  <c:v>一般公共服务支出79.13%</c:v>
                </c:pt>
                <c:pt idx="1">
                  <c:v>社会保障和就业支出10.69%</c:v>
                </c:pt>
                <c:pt idx="2">
                  <c:v>卫生健康支出4.68%</c:v>
                </c:pt>
                <c:pt idx="3">
                  <c:v>住房保障支出5.5%</c:v>
                </c:pt>
              </c:strCache>
            </c:strRef>
          </c:cat>
          <c:val>
            <c:numRef>
              <c:f>{1}</c:f>
              <c:numCache>
                <c:formatCode>General</c:formatCode>
                <c:ptCount val="1"/>
                <c:pt idx="0">
                  <c:v>1</c:v>
                </c:pt>
              </c:numCache>
            </c:numRef>
          </c:val>
        </c:ser>
        <c:dLbls>
          <c:showLegendKey val="0"/>
          <c:showVal val="0"/>
          <c:showCatName val="0"/>
          <c:showSerName val="0"/>
          <c:showPercent val="0"/>
          <c:showBubbleSize val="0"/>
          <c:showLeaderLines val="1"/>
        </c:dLbls>
        <c:firstSliceAng val="0"/>
      </c:pieChart>
      <c:spPr>
        <a:noFill/>
      </c:spPr>
    </c:plotArea>
    <c:legend>
      <c:legendPos val="r"/>
      <c:layout>
        <c:manualLayout>
          <c:xMode val="edge"/>
          <c:yMode val="edge"/>
          <c:x val="0.67723846"/>
          <c:y val="0.084125675"/>
          <c:w val="0.31807625"/>
          <c:h val="0.86161566"/>
        </c:manualLayout>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legend>
    <c:plotVisOnly val="1"/>
    <c:dispBlanksAs val="gap"/>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a:defRPr>
            </a:pPr>
            <a:r>
              <a:rPr lang="zh-CN"/>
              <a:t>三公经费</a:t>
            </a:r>
            <a:endParaRPr lang="zh-CN"/>
          </a:p>
        </c:rich>
      </c:tx>
      <c:layout/>
      <c:overlay val="0"/>
      <c:spPr>
        <a:noFill/>
        <a:ln>
          <a:noFill/>
        </a:ln>
      </c:spPr>
    </c:title>
    <c:autoTitleDeleted val="0"/>
    <c:plotArea>
      <c:layout/>
      <c:pieChart>
        <c:varyColors val="1"/>
        <c:ser>
          <c:idx val="0"/>
          <c:order val="0"/>
          <c:tx>
            <c:strRef>
              <c:f>'Sheet1 (7)'!$B$1</c:f>
              <c:strCache>
                <c:ptCount val="1"/>
                <c:pt idx="0">
                  <c:v>三公经费</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dLbl>
              <c:idx val="0"/>
              <c:delete val="1"/>
            </c:dLbl>
            <c:dLbl>
              <c:idx val="1"/>
              <c:delete val="1"/>
            </c:dLbl>
            <c:dLbl>
              <c:idx val="2"/>
              <c:delete val="1"/>
            </c:dLbl>
            <c:dLbl>
              <c:idx val="3"/>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(7)'!$A$2:$A$5</c:f>
              <c:strCache>
                <c:ptCount val="4"/>
                <c:pt idx="0">
                  <c:v>公务接待费0.22%</c:v>
                </c:pt>
                <c:pt idx="1">
                  <c:v>公务用车购置费0%</c:v>
                </c:pt>
                <c:pt idx="2">
                  <c:v>公车运行维护费82.74%</c:v>
                </c:pt>
                <c:pt idx="3">
                  <c:v>因公出国（境）费17.03%</c:v>
                </c:pt>
              </c:strCache>
            </c:strRef>
          </c:cat>
          <c:val>
            <c:numRef>
              <c:f>'Sheet1 (7)'!$B$2:$B$5</c:f>
              <c:numCache>
                <c:formatCode>General</c:formatCode>
                <c:ptCount val="4"/>
                <c:pt idx="0">
                  <c:v>0.23</c:v>
                </c:pt>
                <c:pt idx="1">
                  <c:v>0</c:v>
                </c:pt>
                <c:pt idx="2">
                  <c:v>85.36</c:v>
                </c:pt>
                <c:pt idx="3">
                  <c:v>17.57</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32</Pages>
  <Words>12058</Words>
  <Characters>13298</Characters>
  <Lines>896</Lines>
  <Paragraphs>443</Paragraphs>
  <TotalTime>15</TotalTime>
  <ScaleCrop>false</ScaleCrop>
  <LinksUpToDate>false</LinksUpToDate>
  <CharactersWithSpaces>13397</CharactersWithSpaces>
  <Application>WPS Office_11.8.2.12065_F1E327BC-269C-435d-A152-05C5408002CA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2022-08-18T01:31:00Z</dcterms:created>
  <dc:creator>lgk</dc:creator>
  <cp:lastModifiedBy>user</cp:lastModifiedBy>
  <cp:lastPrinted>2024-09-24T01:00:00Z</cp:lastPrinted>
  <dcterms:modified xsi:type="dcterms:W3CDTF">2026-04-22T10:42:09Z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B93CA6F4BEAD4F359769D1203595D585</vt:lpwstr>
  </property>
  <property fmtid="{D5CDD505-2E9C-101B-9397-08002B2CF9AE}" pid="4" name="KSOTemplateDocerSaveRecord">
    <vt:lpwstr>eyJoZGlkIjoiMTMzYTk5OTM1YzU1ZjA0ZDMzMjM1YTkxZGYzMTA5NTQiLCJ1c2VySWQiOiIxMDM5NDYxNjA2In0=</vt:lpwstr>
  </property>
</Properties>
</file>