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B8AEA">
      <w:pPr>
        <w:rPr>
          <w:rFonts w:ascii="宋体" w:eastAsia="宋体"/>
          <w:b/>
          <w:sz w:val="72"/>
          <w:szCs w:val="72"/>
        </w:rPr>
      </w:pPr>
      <w:bookmarkStart w:id="0" w:name="_Toc15396475"/>
      <w:bookmarkStart w:id="1" w:name="_Toc15377425"/>
      <w:bookmarkStart w:id="2" w:name="_Toc15378441"/>
      <w:bookmarkStart w:id="3" w:name="_Toc15396597"/>
      <w:bookmarkStart w:id="4" w:name="_Toc15377193"/>
      <w:bookmarkStart w:id="5" w:name="_Toc15306267"/>
    </w:p>
    <w:p w14:paraId="067F1451">
      <w:pPr>
        <w:pStyle w:val="5"/>
        <w:ind w:firstLine="0"/>
      </w:pPr>
    </w:p>
    <w:bookmarkEnd w:id="0"/>
    <w:bookmarkEnd w:id="1"/>
    <w:bookmarkEnd w:id="2"/>
    <w:bookmarkEnd w:id="3"/>
    <w:bookmarkEnd w:id="4"/>
    <w:bookmarkEnd w:id="5"/>
    <w:p w14:paraId="7C711D8F">
      <w:pPr>
        <w:pStyle w:val="7"/>
        <w:jc w:val="center"/>
        <w:rPr>
          <w:rFonts w:hint="eastAsia" w:ascii="方正小标宋简体" w:eastAsia="方正小标宋简体" w:cs="Times New Roman"/>
          <w:color w:val="auto"/>
          <w:kern w:val="2"/>
          <w:sz w:val="44"/>
          <w:szCs w:val="44"/>
          <w:highlight w:val="none"/>
          <w:lang w:val="en-US" w:eastAsia="zh-CN" w:bidi="ar-SA"/>
        </w:rPr>
      </w:pPr>
    </w:p>
    <w:p w14:paraId="14EA2D64">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2024年度</w:t>
      </w:r>
      <w:bookmarkStart w:id="6" w:name="_Toc15396598"/>
      <w:bookmarkStart w:id="7" w:name="_Toc15396476"/>
      <w:bookmarkStart w:id="8" w:name="_Toc15378442"/>
      <w:bookmarkStart w:id="9" w:name="_Toc15377426"/>
      <w:bookmarkStart w:id="10" w:name="_Toc15377194"/>
      <w:r>
        <w:rPr>
          <w:rFonts w:hint="eastAsia" w:ascii="方正小标宋简体" w:eastAsia="方正小标宋简体" w:cs="Times New Roman"/>
          <w:color w:val="auto"/>
          <w:kern w:val="2"/>
          <w:sz w:val="44"/>
          <w:szCs w:val="44"/>
          <w:highlight w:val="none"/>
          <w:lang w:val="en-US" w:eastAsia="zh-CN" w:bidi="ar-SA"/>
        </w:rPr>
        <w:t>四川省阿坝州茂县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w:t>
      </w:r>
    </w:p>
    <w:p w14:paraId="2F404A3D">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(本级）部门决算</w:t>
      </w:r>
      <w:bookmarkEnd w:id="6"/>
      <w:bookmarkEnd w:id="7"/>
      <w:bookmarkEnd w:id="8"/>
      <w:bookmarkEnd w:id="9"/>
      <w:bookmarkEnd w:id="10"/>
      <w:bookmarkEnd w:id="11"/>
    </w:p>
    <w:p w14:paraId="28BEA7AF">
      <w:pPr>
        <w:pStyle w:val="5"/>
      </w:pPr>
    </w:p>
    <w:p w14:paraId="44B9B21E">
      <w:pPr>
        <w:pStyle w:val="5"/>
      </w:pPr>
    </w:p>
    <w:p w14:paraId="1AC6ACD1">
      <w:pPr>
        <w:pStyle w:val="5"/>
      </w:pPr>
    </w:p>
    <w:p w14:paraId="6E7C1BD1">
      <w:pPr>
        <w:pStyle w:val="5"/>
      </w:pPr>
    </w:p>
    <w:p w14:paraId="40D54B65">
      <w:pPr>
        <w:pStyle w:val="5"/>
      </w:pPr>
    </w:p>
    <w:p w14:paraId="73E42861">
      <w:pPr>
        <w:pStyle w:val="5"/>
      </w:pPr>
    </w:p>
    <w:p w14:paraId="12FF8B83">
      <w:pPr>
        <w:pStyle w:val="5"/>
      </w:pPr>
    </w:p>
    <w:p w14:paraId="15FA0A19">
      <w:pPr>
        <w:pStyle w:val="5"/>
      </w:pPr>
    </w:p>
    <w:p w14:paraId="1997F9AF">
      <w:pPr>
        <w:pStyle w:val="5"/>
      </w:pPr>
    </w:p>
    <w:p w14:paraId="61558866">
      <w:pPr>
        <w:pStyle w:val="5"/>
        <w:tabs>
          <w:tab w:val="left" w:pos="3600"/>
        </w:tabs>
      </w:pPr>
      <w:r>
        <w:tab/>
      </w:r>
    </w:p>
    <w:p w14:paraId="0CB87C9C">
      <w:pPr>
        <w:pStyle w:val="5"/>
      </w:pPr>
    </w:p>
    <w:p w14:paraId="2E5A9874">
      <w:pPr>
        <w:pStyle w:val="5"/>
      </w:pPr>
    </w:p>
    <w:p w14:paraId="3272EB0F">
      <w:pPr>
        <w:pStyle w:val="5"/>
      </w:pPr>
    </w:p>
    <w:p w14:paraId="2BA745FD">
      <w:pPr>
        <w:pStyle w:val="5"/>
      </w:pPr>
    </w:p>
    <w:p w14:paraId="2583F5EE">
      <w:pPr>
        <w:pStyle w:val="5"/>
      </w:pPr>
    </w:p>
    <w:p w14:paraId="4C4D8B0B">
      <w:pPr>
        <w:pStyle w:val="5"/>
      </w:pPr>
    </w:p>
    <w:p w14:paraId="2FB6A19C">
      <w:pPr>
        <w:pStyle w:val="5"/>
      </w:pPr>
    </w:p>
    <w:p w14:paraId="580714E4">
      <w:pPr>
        <w:pStyle w:val="5"/>
      </w:pPr>
    </w:p>
    <w:p w14:paraId="4648325A">
      <w:pPr>
        <w:pStyle w:val="5"/>
      </w:pPr>
    </w:p>
    <w:p w14:paraId="6955407F">
      <w:pPr>
        <w:autoSpaceDE w:val="0"/>
        <w:autoSpaceDN w:val="0"/>
        <w:adjustRightInd w:val="0"/>
        <w:ind w:left="420" w:leftChars="200"/>
        <w:jc w:val="left"/>
        <w:rPr>
          <w:rFonts w:ascii="宋体"/>
          <w:sz w:val="32"/>
          <w:szCs w:val="32"/>
        </w:rPr>
      </w:pPr>
    </w:p>
    <w:p w14:paraId="6E2AF91F">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14:paraId="3E0B5E73">
      <w:pPr>
        <w:widowControl/>
        <w:jc w:val="center"/>
        <w:rPr>
          <w:rFonts w:ascii="黑体" w:eastAsia="黑体" w:cs="Times New Roman"/>
          <w:color w:val="auto"/>
          <w:sz w:val="28"/>
          <w:szCs w:val="28"/>
          <w:highlight w:val="none"/>
        </w:rPr>
      </w:pPr>
    </w:p>
    <w:p w14:paraId="00826C70">
      <w:pPr>
        <w:pStyle w:val="14"/>
        <w:rPr>
          <w:color w:val="auto"/>
          <w:highlight w:val="none"/>
        </w:rPr>
      </w:pPr>
      <w:r>
        <w:rPr>
          <w:rFonts w:hint="eastAsia"/>
          <w:color w:val="auto"/>
          <w:highlight w:val="none"/>
        </w:rPr>
        <w:t>公开时间：20</w:t>
      </w:r>
      <w:r>
        <w:rPr>
          <w:rFonts w:hint="eastAsia"/>
          <w:color w:val="auto"/>
          <w:highlight w:val="none"/>
          <w:lang w:val="en-US" w:eastAsia="zh-CN"/>
        </w:rPr>
        <w:t>25</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14:paraId="38C61F5B">
      <w:pPr>
        <w:rPr>
          <w:color w:val="auto"/>
          <w:highlight w:val="none"/>
        </w:rPr>
      </w:pPr>
    </w:p>
    <w:p w14:paraId="638A66A6">
      <w:pPr>
        <w:pStyle w:val="14"/>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_Toc8739 </w:instrText>
      </w:r>
      <w:r>
        <w:rPr>
          <w:caps w:val="0"/>
          <w:smallCaps/>
          <w:szCs w:val="20"/>
        </w:rPr>
        <w:fldChar w:fldCharType="separate"/>
      </w:r>
      <w:r>
        <w:rPr>
          <w:rFonts w:hint="eastAsia" w:ascii="方正小标宋简体" w:hAnsi="方正小标宋简体" w:eastAsia="方正小标宋简体" w:cs="方正小标宋简体"/>
          <w:lang w:val="en-US" w:eastAsia="zh-CN"/>
        </w:rPr>
        <w:t>第一部分 部门概况</w:t>
      </w:r>
      <w:r>
        <w:tab/>
      </w:r>
      <w:r>
        <w:fldChar w:fldCharType="begin"/>
      </w:r>
      <w:r>
        <w:instrText xml:space="preserve"> PAGEREF _Toc8739 \h </w:instrText>
      </w:r>
      <w:r>
        <w:fldChar w:fldCharType="separate"/>
      </w:r>
      <w:r>
        <w:t>3</w:t>
      </w:r>
      <w:r>
        <w:fldChar w:fldCharType="end"/>
      </w:r>
      <w:r>
        <w:rPr>
          <w:caps w:val="0"/>
          <w:smallCaps/>
          <w:szCs w:val="20"/>
        </w:rPr>
        <w:fldChar w:fldCharType="end"/>
      </w:r>
    </w:p>
    <w:p w14:paraId="69CF4D33">
      <w:pPr>
        <w:pStyle w:val="17"/>
        <w:tabs>
          <w:tab w:val="right" w:leader="dot" w:pos="8306"/>
          <w:tab w:val="clear" w:pos="8296"/>
        </w:tabs>
      </w:pPr>
      <w:r>
        <w:rPr>
          <w:caps w:val="0"/>
          <w:smallCaps/>
          <w:szCs w:val="20"/>
        </w:rPr>
        <w:fldChar w:fldCharType="begin"/>
      </w:r>
      <w:r>
        <w:rPr>
          <w:caps w:val="0"/>
          <w:smallCaps/>
          <w:szCs w:val="20"/>
        </w:rPr>
        <w:instrText xml:space="preserve"> HYPERLINK \l _Toc23086 </w:instrText>
      </w:r>
      <w:r>
        <w:rPr>
          <w:caps w:val="0"/>
          <w:smallCaps/>
          <w:szCs w:val="20"/>
        </w:rPr>
        <w:fldChar w:fldCharType="separate"/>
      </w:r>
      <w:r>
        <w:rPr>
          <w:rFonts w:hint="eastAsia" w:ascii="黑体" w:eastAsia="黑体"/>
        </w:rPr>
        <w:t>一、</w:t>
      </w:r>
      <w:r>
        <w:rPr>
          <w:rFonts w:hint="eastAsia" w:ascii="黑体" w:eastAsia="黑体"/>
          <w:lang w:eastAsia="zh-CN"/>
        </w:rPr>
        <w:t>部门职责</w:t>
      </w:r>
      <w:r>
        <w:tab/>
      </w:r>
      <w:r>
        <w:fldChar w:fldCharType="begin"/>
      </w:r>
      <w:r>
        <w:instrText xml:space="preserve"> PAGEREF _Toc23086 \h </w:instrText>
      </w:r>
      <w:r>
        <w:fldChar w:fldCharType="separate"/>
      </w:r>
      <w:r>
        <w:t>3</w:t>
      </w:r>
      <w:r>
        <w:fldChar w:fldCharType="end"/>
      </w:r>
      <w:r>
        <w:rPr>
          <w:caps w:val="0"/>
          <w:smallCaps/>
          <w:szCs w:val="20"/>
        </w:rPr>
        <w:fldChar w:fldCharType="end"/>
      </w:r>
    </w:p>
    <w:p w14:paraId="44D29CC8">
      <w:pPr>
        <w:pStyle w:val="17"/>
        <w:tabs>
          <w:tab w:val="right" w:leader="dot" w:pos="8306"/>
          <w:tab w:val="clear" w:pos="8296"/>
        </w:tabs>
      </w:pPr>
      <w:r>
        <w:rPr>
          <w:caps w:val="0"/>
          <w:smallCaps/>
          <w:szCs w:val="20"/>
        </w:rPr>
        <w:fldChar w:fldCharType="begin"/>
      </w:r>
      <w:r>
        <w:rPr>
          <w:caps w:val="0"/>
          <w:smallCaps/>
          <w:szCs w:val="20"/>
        </w:rPr>
        <w:instrText xml:space="preserve"> HYPERLINK \l _Toc4487 </w:instrText>
      </w:r>
      <w:r>
        <w:rPr>
          <w:caps w:val="0"/>
          <w:smallCaps/>
          <w:szCs w:val="20"/>
        </w:rPr>
        <w:fldChar w:fldCharType="separate"/>
      </w:r>
      <w:r>
        <w:rPr>
          <w:rFonts w:hint="eastAsia" w:ascii="黑体" w:eastAsia="黑体"/>
          <w:lang w:val="en-US" w:eastAsia="zh-CN"/>
        </w:rPr>
        <w:t>二、</w:t>
      </w:r>
      <w:r>
        <w:rPr>
          <w:rFonts w:hint="eastAsia" w:ascii="黑体" w:eastAsia="黑体"/>
        </w:rPr>
        <w:t>机构设置</w:t>
      </w:r>
      <w:r>
        <w:tab/>
      </w:r>
      <w:r>
        <w:fldChar w:fldCharType="begin"/>
      </w:r>
      <w:r>
        <w:instrText xml:space="preserve"> PAGEREF _Toc4487 \h </w:instrText>
      </w:r>
      <w:r>
        <w:fldChar w:fldCharType="separate"/>
      </w:r>
      <w:r>
        <w:t>4</w:t>
      </w:r>
      <w:r>
        <w:fldChar w:fldCharType="end"/>
      </w:r>
      <w:r>
        <w:rPr>
          <w:caps w:val="0"/>
          <w:smallCaps/>
          <w:szCs w:val="20"/>
        </w:rPr>
        <w:fldChar w:fldCharType="end"/>
      </w:r>
    </w:p>
    <w:p w14:paraId="57757407">
      <w:pPr>
        <w:pStyle w:val="14"/>
        <w:tabs>
          <w:tab w:val="right" w:leader="dot" w:pos="8306"/>
          <w:tab w:val="clear" w:pos="8296"/>
        </w:tabs>
      </w:pPr>
      <w:r>
        <w:rPr>
          <w:caps w:val="0"/>
          <w:smallCaps/>
          <w:szCs w:val="20"/>
        </w:rPr>
        <w:fldChar w:fldCharType="begin"/>
      </w:r>
      <w:r>
        <w:rPr>
          <w:caps w:val="0"/>
          <w:smallCaps/>
          <w:szCs w:val="20"/>
        </w:rPr>
        <w:instrText xml:space="preserve"> HYPERLINK \l _Toc15955 </w:instrText>
      </w:r>
      <w:r>
        <w:rPr>
          <w:caps w:val="0"/>
          <w:smallCaps/>
          <w:szCs w:val="20"/>
        </w:rPr>
        <w:fldChar w:fldCharType="separate"/>
      </w:r>
      <w:r>
        <w:rPr>
          <w:rFonts w:hint="eastAsia" w:ascii="方正小标宋简体" w:hAnsi="方正小标宋简体" w:eastAsia="方正小标宋简体" w:cs="方正小标宋简体"/>
          <w:lang w:val="en-US" w:eastAsia="zh-CN"/>
        </w:rPr>
        <w:t>第二部分 2024年度部门决算情况说明</w:t>
      </w:r>
      <w:r>
        <w:tab/>
      </w:r>
      <w:r>
        <w:fldChar w:fldCharType="begin"/>
      </w:r>
      <w:r>
        <w:instrText xml:space="preserve"> PAGEREF _Toc15955 \h </w:instrText>
      </w:r>
      <w:r>
        <w:fldChar w:fldCharType="separate"/>
      </w:r>
      <w:r>
        <w:t>4</w:t>
      </w:r>
      <w:r>
        <w:fldChar w:fldCharType="end"/>
      </w:r>
      <w:r>
        <w:rPr>
          <w:caps w:val="0"/>
          <w:smallCaps/>
          <w:szCs w:val="20"/>
        </w:rPr>
        <w:fldChar w:fldCharType="end"/>
      </w:r>
    </w:p>
    <w:p w14:paraId="03A48F1F">
      <w:pPr>
        <w:pStyle w:val="17"/>
        <w:tabs>
          <w:tab w:val="right" w:leader="dot" w:pos="8306"/>
          <w:tab w:val="clear" w:pos="8296"/>
        </w:tabs>
      </w:pPr>
      <w:r>
        <w:rPr>
          <w:caps w:val="0"/>
          <w:smallCaps/>
          <w:szCs w:val="20"/>
        </w:rPr>
        <w:fldChar w:fldCharType="begin"/>
      </w:r>
      <w:r>
        <w:rPr>
          <w:caps w:val="0"/>
          <w:smallCaps/>
          <w:szCs w:val="20"/>
        </w:rPr>
        <w:instrText xml:space="preserve"> HYPERLINK \l _Toc14499 </w:instrText>
      </w:r>
      <w:r>
        <w:rPr>
          <w:caps w:val="0"/>
          <w:smallCaps/>
          <w:szCs w:val="20"/>
        </w:rPr>
        <w:fldChar w:fldCharType="separate"/>
      </w:r>
      <w:r>
        <w:rPr>
          <w:rFonts w:hint="eastAsia" w:ascii="黑体" w:eastAsia="黑体"/>
          <w:lang w:val="en-US" w:eastAsia="zh-CN"/>
        </w:rPr>
        <w:t>一、收入支出决算总体情况说明</w:t>
      </w:r>
      <w:r>
        <w:tab/>
      </w:r>
      <w:r>
        <w:fldChar w:fldCharType="begin"/>
      </w:r>
      <w:r>
        <w:instrText xml:space="preserve"> PAGEREF _Toc14499 \h </w:instrText>
      </w:r>
      <w:r>
        <w:fldChar w:fldCharType="separate"/>
      </w:r>
      <w:r>
        <w:t>4</w:t>
      </w:r>
      <w:r>
        <w:fldChar w:fldCharType="end"/>
      </w:r>
      <w:r>
        <w:rPr>
          <w:caps w:val="0"/>
          <w:smallCaps/>
          <w:szCs w:val="20"/>
        </w:rPr>
        <w:fldChar w:fldCharType="end"/>
      </w:r>
    </w:p>
    <w:p w14:paraId="0DC22C10">
      <w:pPr>
        <w:pStyle w:val="17"/>
        <w:tabs>
          <w:tab w:val="right" w:leader="dot" w:pos="8306"/>
          <w:tab w:val="clear" w:pos="8296"/>
        </w:tabs>
      </w:pPr>
      <w:r>
        <w:rPr>
          <w:caps w:val="0"/>
          <w:smallCaps/>
          <w:szCs w:val="20"/>
        </w:rPr>
        <w:fldChar w:fldCharType="begin"/>
      </w:r>
      <w:r>
        <w:rPr>
          <w:caps w:val="0"/>
          <w:smallCaps/>
          <w:szCs w:val="20"/>
        </w:rPr>
        <w:instrText xml:space="preserve"> HYPERLINK \l _Toc29276 </w:instrText>
      </w:r>
      <w:r>
        <w:rPr>
          <w:caps w:val="0"/>
          <w:smallCaps/>
          <w:szCs w:val="20"/>
        </w:rPr>
        <w:fldChar w:fldCharType="separate"/>
      </w:r>
      <w:r>
        <w:rPr>
          <w:rFonts w:hint="eastAsia" w:ascii="黑体" w:eastAsia="黑体"/>
          <w:lang w:val="en-US" w:eastAsia="zh-CN"/>
        </w:rPr>
        <w:t>二、收入决算情况说明</w:t>
      </w:r>
      <w:r>
        <w:tab/>
      </w:r>
      <w:r>
        <w:fldChar w:fldCharType="begin"/>
      </w:r>
      <w:r>
        <w:instrText xml:space="preserve"> PAGEREF _Toc29276 \h </w:instrText>
      </w:r>
      <w:r>
        <w:fldChar w:fldCharType="separate"/>
      </w:r>
      <w:r>
        <w:t>5</w:t>
      </w:r>
      <w:r>
        <w:fldChar w:fldCharType="end"/>
      </w:r>
      <w:r>
        <w:rPr>
          <w:caps w:val="0"/>
          <w:smallCaps/>
          <w:szCs w:val="20"/>
        </w:rPr>
        <w:fldChar w:fldCharType="end"/>
      </w:r>
    </w:p>
    <w:p w14:paraId="361C498C">
      <w:pPr>
        <w:pStyle w:val="17"/>
        <w:tabs>
          <w:tab w:val="right" w:leader="dot" w:pos="8306"/>
          <w:tab w:val="clear" w:pos="8296"/>
        </w:tabs>
      </w:pPr>
      <w:r>
        <w:rPr>
          <w:caps w:val="0"/>
          <w:smallCaps/>
          <w:szCs w:val="20"/>
        </w:rPr>
        <w:fldChar w:fldCharType="begin"/>
      </w:r>
      <w:r>
        <w:rPr>
          <w:caps w:val="0"/>
          <w:smallCaps/>
          <w:szCs w:val="20"/>
        </w:rPr>
        <w:instrText xml:space="preserve"> HYPERLINK \l _Toc5412 </w:instrText>
      </w:r>
      <w:r>
        <w:rPr>
          <w:caps w:val="0"/>
          <w:smallCaps/>
          <w:szCs w:val="20"/>
        </w:rPr>
        <w:fldChar w:fldCharType="separate"/>
      </w:r>
      <w:r>
        <w:rPr>
          <w:rFonts w:hint="eastAsia" w:ascii="黑体" w:eastAsia="黑体"/>
          <w:lang w:val="en-US" w:eastAsia="zh-CN"/>
        </w:rPr>
        <w:t>三、支出决算情况说明</w:t>
      </w:r>
      <w:r>
        <w:tab/>
      </w:r>
      <w:r>
        <w:fldChar w:fldCharType="begin"/>
      </w:r>
      <w:r>
        <w:instrText xml:space="preserve"> PAGEREF _Toc5412 \h </w:instrText>
      </w:r>
      <w:r>
        <w:fldChar w:fldCharType="separate"/>
      </w:r>
      <w:r>
        <w:t>5</w:t>
      </w:r>
      <w:r>
        <w:fldChar w:fldCharType="end"/>
      </w:r>
      <w:r>
        <w:rPr>
          <w:caps w:val="0"/>
          <w:smallCaps/>
          <w:szCs w:val="20"/>
        </w:rPr>
        <w:fldChar w:fldCharType="end"/>
      </w:r>
    </w:p>
    <w:p w14:paraId="5A7D4351">
      <w:pPr>
        <w:pStyle w:val="17"/>
        <w:tabs>
          <w:tab w:val="right" w:leader="dot" w:pos="8306"/>
          <w:tab w:val="clear" w:pos="8296"/>
        </w:tabs>
      </w:pPr>
      <w:r>
        <w:rPr>
          <w:caps w:val="0"/>
          <w:smallCaps/>
          <w:szCs w:val="20"/>
        </w:rPr>
        <w:fldChar w:fldCharType="begin"/>
      </w:r>
      <w:r>
        <w:rPr>
          <w:caps w:val="0"/>
          <w:smallCaps/>
          <w:szCs w:val="20"/>
        </w:rPr>
        <w:instrText xml:space="preserve"> HYPERLINK \l _Toc7971 </w:instrText>
      </w:r>
      <w:r>
        <w:rPr>
          <w:caps w:val="0"/>
          <w:smallCaps/>
          <w:szCs w:val="20"/>
        </w:rPr>
        <w:fldChar w:fldCharType="separate"/>
      </w:r>
      <w:r>
        <w:rPr>
          <w:rFonts w:hint="eastAsia" w:ascii="黑体" w:eastAsia="黑体"/>
          <w:lang w:val="en-US" w:eastAsia="zh-CN"/>
        </w:rPr>
        <w:t>四、财政拨款收入支出决算总体情况说明</w:t>
      </w:r>
      <w:r>
        <w:tab/>
      </w:r>
      <w:r>
        <w:fldChar w:fldCharType="begin"/>
      </w:r>
      <w:r>
        <w:instrText xml:space="preserve"> PAGEREF _Toc7971 \h </w:instrText>
      </w:r>
      <w:r>
        <w:fldChar w:fldCharType="separate"/>
      </w:r>
      <w:r>
        <w:t>6</w:t>
      </w:r>
      <w:r>
        <w:fldChar w:fldCharType="end"/>
      </w:r>
      <w:r>
        <w:rPr>
          <w:caps w:val="0"/>
          <w:smallCaps/>
          <w:szCs w:val="20"/>
        </w:rPr>
        <w:fldChar w:fldCharType="end"/>
      </w:r>
    </w:p>
    <w:p w14:paraId="2534BFB0">
      <w:pPr>
        <w:pStyle w:val="17"/>
        <w:tabs>
          <w:tab w:val="right" w:leader="dot" w:pos="8306"/>
          <w:tab w:val="clear" w:pos="8296"/>
        </w:tabs>
      </w:pPr>
      <w:r>
        <w:rPr>
          <w:caps w:val="0"/>
          <w:smallCaps/>
          <w:szCs w:val="20"/>
        </w:rPr>
        <w:fldChar w:fldCharType="begin"/>
      </w:r>
      <w:r>
        <w:rPr>
          <w:caps w:val="0"/>
          <w:smallCaps/>
          <w:szCs w:val="20"/>
        </w:rPr>
        <w:instrText xml:space="preserve"> HYPERLINK \l _Toc17295 </w:instrText>
      </w:r>
      <w:r>
        <w:rPr>
          <w:caps w:val="0"/>
          <w:smallCaps/>
          <w:szCs w:val="20"/>
        </w:rPr>
        <w:fldChar w:fldCharType="separate"/>
      </w:r>
      <w:r>
        <w:rPr>
          <w:rFonts w:hint="eastAsia" w:ascii="黑体" w:eastAsia="黑体"/>
          <w:lang w:val="en-US" w:eastAsia="zh-CN"/>
        </w:rPr>
        <w:t>五、一般公共预算财政拨款支出决算情况说明</w:t>
      </w:r>
      <w:r>
        <w:tab/>
      </w:r>
      <w:r>
        <w:fldChar w:fldCharType="begin"/>
      </w:r>
      <w:r>
        <w:instrText xml:space="preserve"> PAGEREF _Toc17295 \h </w:instrText>
      </w:r>
      <w:r>
        <w:fldChar w:fldCharType="separate"/>
      </w:r>
      <w:r>
        <w:t>7</w:t>
      </w:r>
      <w:r>
        <w:fldChar w:fldCharType="end"/>
      </w:r>
      <w:r>
        <w:rPr>
          <w:caps w:val="0"/>
          <w:smallCaps/>
          <w:szCs w:val="20"/>
        </w:rPr>
        <w:fldChar w:fldCharType="end"/>
      </w:r>
    </w:p>
    <w:p w14:paraId="0926B7C9">
      <w:pPr>
        <w:pStyle w:val="17"/>
        <w:tabs>
          <w:tab w:val="right" w:leader="dot" w:pos="8306"/>
          <w:tab w:val="clear" w:pos="8296"/>
        </w:tabs>
      </w:pPr>
      <w:r>
        <w:rPr>
          <w:caps w:val="0"/>
          <w:smallCaps/>
          <w:szCs w:val="20"/>
        </w:rPr>
        <w:fldChar w:fldCharType="begin"/>
      </w:r>
      <w:r>
        <w:rPr>
          <w:caps w:val="0"/>
          <w:smallCaps/>
          <w:szCs w:val="20"/>
        </w:rPr>
        <w:instrText xml:space="preserve"> HYPERLINK \l _Toc9404 </w:instrText>
      </w:r>
      <w:r>
        <w:rPr>
          <w:caps w:val="0"/>
          <w:smallCaps/>
          <w:szCs w:val="20"/>
        </w:rPr>
        <w:fldChar w:fldCharType="separate"/>
      </w:r>
      <w:r>
        <w:rPr>
          <w:rFonts w:hint="eastAsia" w:ascii="黑体" w:eastAsia="黑体"/>
          <w:lang w:val="en-US" w:eastAsia="zh-CN"/>
        </w:rPr>
        <w:t>六、一般公共预算财政拨款基本支出决算情况说明</w:t>
      </w:r>
      <w:r>
        <w:tab/>
      </w:r>
      <w:r>
        <w:fldChar w:fldCharType="begin"/>
      </w:r>
      <w:r>
        <w:instrText xml:space="preserve"> PAGEREF _Toc9404 \h </w:instrText>
      </w:r>
      <w:r>
        <w:fldChar w:fldCharType="separate"/>
      </w:r>
      <w:r>
        <w:t>9</w:t>
      </w:r>
      <w:r>
        <w:fldChar w:fldCharType="end"/>
      </w:r>
      <w:r>
        <w:rPr>
          <w:caps w:val="0"/>
          <w:smallCaps/>
          <w:szCs w:val="20"/>
        </w:rPr>
        <w:fldChar w:fldCharType="end"/>
      </w:r>
    </w:p>
    <w:p w14:paraId="64D964A3">
      <w:pPr>
        <w:pStyle w:val="17"/>
        <w:tabs>
          <w:tab w:val="right" w:leader="dot" w:pos="8306"/>
          <w:tab w:val="clear" w:pos="8296"/>
        </w:tabs>
      </w:pPr>
      <w:r>
        <w:rPr>
          <w:caps w:val="0"/>
          <w:smallCaps/>
          <w:szCs w:val="20"/>
        </w:rPr>
        <w:fldChar w:fldCharType="begin"/>
      </w:r>
      <w:r>
        <w:rPr>
          <w:caps w:val="0"/>
          <w:smallCaps/>
          <w:szCs w:val="20"/>
        </w:rPr>
        <w:instrText xml:space="preserve"> HYPERLINK \l _Toc12613 </w:instrText>
      </w:r>
      <w:r>
        <w:rPr>
          <w:caps w:val="0"/>
          <w:smallCaps/>
          <w:szCs w:val="20"/>
        </w:rPr>
        <w:fldChar w:fldCharType="separate"/>
      </w:r>
      <w:r>
        <w:rPr>
          <w:rFonts w:hint="eastAsia" w:ascii="黑体" w:eastAsia="黑体"/>
          <w:lang w:val="en-US" w:eastAsia="zh-CN"/>
        </w:rPr>
        <w:t>七、“三公”经费财政拨款支出决算情况说明</w:t>
      </w:r>
      <w:r>
        <w:tab/>
      </w:r>
      <w:r>
        <w:fldChar w:fldCharType="begin"/>
      </w:r>
      <w:r>
        <w:instrText xml:space="preserve"> PAGEREF _Toc12613 \h </w:instrText>
      </w:r>
      <w:r>
        <w:fldChar w:fldCharType="separate"/>
      </w:r>
      <w:r>
        <w:t>10</w:t>
      </w:r>
      <w:r>
        <w:fldChar w:fldCharType="end"/>
      </w:r>
      <w:r>
        <w:rPr>
          <w:caps w:val="0"/>
          <w:smallCaps/>
          <w:szCs w:val="20"/>
        </w:rPr>
        <w:fldChar w:fldCharType="end"/>
      </w:r>
    </w:p>
    <w:p w14:paraId="222661E5">
      <w:pPr>
        <w:pStyle w:val="17"/>
        <w:tabs>
          <w:tab w:val="right" w:leader="dot" w:pos="8306"/>
          <w:tab w:val="clear" w:pos="8296"/>
        </w:tabs>
      </w:pPr>
      <w:r>
        <w:rPr>
          <w:caps w:val="0"/>
          <w:smallCaps/>
          <w:szCs w:val="20"/>
        </w:rPr>
        <w:fldChar w:fldCharType="begin"/>
      </w:r>
      <w:r>
        <w:rPr>
          <w:caps w:val="0"/>
          <w:smallCaps/>
          <w:szCs w:val="20"/>
        </w:rPr>
        <w:instrText xml:space="preserve"> HYPERLINK \l _Toc16559 </w:instrText>
      </w:r>
      <w:r>
        <w:rPr>
          <w:caps w:val="0"/>
          <w:smallCaps/>
          <w:szCs w:val="20"/>
        </w:rPr>
        <w:fldChar w:fldCharType="separate"/>
      </w:r>
      <w:r>
        <w:rPr>
          <w:rFonts w:hint="eastAsia" w:ascii="黑体" w:eastAsia="黑体"/>
          <w:lang w:val="en-US" w:eastAsia="zh-CN"/>
        </w:rPr>
        <w:t>八、政府性基金预算支出决算情况说明</w:t>
      </w:r>
      <w:r>
        <w:tab/>
      </w:r>
      <w:r>
        <w:fldChar w:fldCharType="begin"/>
      </w:r>
      <w:r>
        <w:instrText xml:space="preserve"> PAGEREF _Toc16559 \h </w:instrText>
      </w:r>
      <w:r>
        <w:fldChar w:fldCharType="separate"/>
      </w:r>
      <w:r>
        <w:t>11</w:t>
      </w:r>
      <w:r>
        <w:fldChar w:fldCharType="end"/>
      </w:r>
      <w:r>
        <w:rPr>
          <w:caps w:val="0"/>
          <w:smallCaps/>
          <w:szCs w:val="20"/>
        </w:rPr>
        <w:fldChar w:fldCharType="end"/>
      </w:r>
    </w:p>
    <w:p w14:paraId="26CA1058">
      <w:pPr>
        <w:pStyle w:val="17"/>
        <w:tabs>
          <w:tab w:val="right" w:leader="dot" w:pos="8306"/>
          <w:tab w:val="clear" w:pos="8296"/>
        </w:tabs>
      </w:pPr>
      <w:r>
        <w:rPr>
          <w:caps w:val="0"/>
          <w:smallCaps/>
          <w:szCs w:val="20"/>
        </w:rPr>
        <w:fldChar w:fldCharType="begin"/>
      </w:r>
      <w:r>
        <w:rPr>
          <w:caps w:val="0"/>
          <w:smallCaps/>
          <w:szCs w:val="20"/>
        </w:rPr>
        <w:instrText xml:space="preserve"> HYPERLINK \l _Toc3598 </w:instrText>
      </w:r>
      <w:r>
        <w:rPr>
          <w:caps w:val="0"/>
          <w:smallCaps/>
          <w:szCs w:val="20"/>
        </w:rPr>
        <w:fldChar w:fldCharType="separate"/>
      </w:r>
      <w:r>
        <w:rPr>
          <w:rFonts w:hint="eastAsia" w:ascii="黑体" w:eastAsia="黑体"/>
          <w:lang w:val="en-US" w:eastAsia="zh-CN"/>
        </w:rPr>
        <w:t>九、国有资本经营预算支出决算情况说明</w:t>
      </w:r>
      <w:r>
        <w:tab/>
      </w:r>
      <w:r>
        <w:fldChar w:fldCharType="begin"/>
      </w:r>
      <w:r>
        <w:instrText xml:space="preserve"> PAGEREF _Toc3598 \h </w:instrText>
      </w:r>
      <w:r>
        <w:fldChar w:fldCharType="separate"/>
      </w:r>
      <w:r>
        <w:t>11</w:t>
      </w:r>
      <w:r>
        <w:fldChar w:fldCharType="end"/>
      </w:r>
      <w:r>
        <w:rPr>
          <w:caps w:val="0"/>
          <w:smallCaps/>
          <w:szCs w:val="20"/>
        </w:rPr>
        <w:fldChar w:fldCharType="end"/>
      </w:r>
    </w:p>
    <w:p w14:paraId="304E1FAF">
      <w:pPr>
        <w:pStyle w:val="17"/>
        <w:tabs>
          <w:tab w:val="right" w:leader="dot" w:pos="8306"/>
          <w:tab w:val="clear" w:pos="8296"/>
        </w:tabs>
      </w:pPr>
      <w:r>
        <w:rPr>
          <w:caps w:val="0"/>
          <w:smallCaps/>
          <w:szCs w:val="20"/>
        </w:rPr>
        <w:fldChar w:fldCharType="begin"/>
      </w:r>
      <w:r>
        <w:rPr>
          <w:caps w:val="0"/>
          <w:smallCaps/>
          <w:szCs w:val="20"/>
        </w:rPr>
        <w:instrText xml:space="preserve"> HYPERLINK \l _Toc8975 </w:instrText>
      </w:r>
      <w:r>
        <w:rPr>
          <w:caps w:val="0"/>
          <w:smallCaps/>
          <w:szCs w:val="20"/>
        </w:rPr>
        <w:fldChar w:fldCharType="separate"/>
      </w:r>
      <w:r>
        <w:rPr>
          <w:rFonts w:hint="eastAsia" w:ascii="黑体" w:eastAsia="黑体"/>
          <w:lang w:val="en-US" w:eastAsia="zh-CN"/>
        </w:rPr>
        <w:t>十、其他重要事项的情况说明</w:t>
      </w:r>
      <w:r>
        <w:tab/>
      </w:r>
      <w:r>
        <w:fldChar w:fldCharType="begin"/>
      </w:r>
      <w:r>
        <w:instrText xml:space="preserve"> PAGEREF _Toc8975 \h </w:instrText>
      </w:r>
      <w:r>
        <w:fldChar w:fldCharType="separate"/>
      </w:r>
      <w:r>
        <w:t>11</w:t>
      </w:r>
      <w:r>
        <w:fldChar w:fldCharType="end"/>
      </w:r>
      <w:r>
        <w:rPr>
          <w:caps w:val="0"/>
          <w:smallCaps/>
          <w:szCs w:val="20"/>
        </w:rPr>
        <w:fldChar w:fldCharType="end"/>
      </w:r>
    </w:p>
    <w:p w14:paraId="4D764171">
      <w:pPr>
        <w:pStyle w:val="14"/>
        <w:tabs>
          <w:tab w:val="right" w:leader="dot" w:pos="8306"/>
          <w:tab w:val="clear" w:pos="8296"/>
        </w:tabs>
      </w:pPr>
      <w:r>
        <w:rPr>
          <w:caps w:val="0"/>
          <w:smallCaps/>
          <w:szCs w:val="20"/>
        </w:rPr>
        <w:fldChar w:fldCharType="begin"/>
      </w:r>
      <w:r>
        <w:rPr>
          <w:caps w:val="0"/>
          <w:smallCaps/>
          <w:szCs w:val="20"/>
        </w:rPr>
        <w:instrText xml:space="preserve"> HYPERLINK \l _Toc23778 </w:instrText>
      </w:r>
      <w:r>
        <w:rPr>
          <w:caps w:val="0"/>
          <w:smallCaps/>
          <w:szCs w:val="20"/>
        </w:rPr>
        <w:fldChar w:fldCharType="separate"/>
      </w:r>
      <w:r>
        <w:rPr>
          <w:rFonts w:hint="eastAsia" w:ascii="方正小标宋简体" w:hAnsi="方正小标宋简体" w:eastAsia="方正小标宋简体" w:cs="方正小标宋简体"/>
          <w:lang w:val="en-US" w:eastAsia="zh-CN"/>
        </w:rPr>
        <w:t>第三部分 名词解释</w:t>
      </w:r>
      <w:r>
        <w:tab/>
      </w:r>
      <w:r>
        <w:fldChar w:fldCharType="begin"/>
      </w:r>
      <w:r>
        <w:instrText xml:space="preserve"> PAGEREF _Toc23778 \h </w:instrText>
      </w:r>
      <w:r>
        <w:fldChar w:fldCharType="separate"/>
      </w:r>
      <w:r>
        <w:t>13</w:t>
      </w:r>
      <w:r>
        <w:fldChar w:fldCharType="end"/>
      </w:r>
      <w:r>
        <w:rPr>
          <w:caps w:val="0"/>
          <w:smallCaps/>
          <w:szCs w:val="20"/>
        </w:rPr>
        <w:fldChar w:fldCharType="end"/>
      </w:r>
    </w:p>
    <w:p w14:paraId="49936D98">
      <w:pPr>
        <w:pStyle w:val="14"/>
        <w:tabs>
          <w:tab w:val="right" w:leader="dot" w:pos="8306"/>
          <w:tab w:val="clear" w:pos="8296"/>
        </w:tabs>
      </w:pPr>
      <w:r>
        <w:rPr>
          <w:caps w:val="0"/>
          <w:smallCaps/>
          <w:szCs w:val="20"/>
        </w:rPr>
        <w:fldChar w:fldCharType="begin"/>
      </w:r>
      <w:r>
        <w:rPr>
          <w:caps w:val="0"/>
          <w:smallCaps/>
          <w:szCs w:val="20"/>
        </w:rPr>
        <w:instrText xml:space="preserve"> HYPERLINK \l _Toc13401 </w:instrText>
      </w:r>
      <w:r>
        <w:rPr>
          <w:caps w:val="0"/>
          <w:smallCaps/>
          <w:szCs w:val="20"/>
        </w:rPr>
        <w:fldChar w:fldCharType="separate"/>
      </w:r>
      <w:r>
        <w:rPr>
          <w:rFonts w:hint="eastAsia" w:ascii="方正小标宋简体" w:hAnsi="方正小标宋简体" w:eastAsia="方正小标宋简体" w:cs="方正小标宋简体"/>
          <w:lang w:val="en-US" w:eastAsia="zh-CN"/>
        </w:rPr>
        <w:t>第四部分 附件</w:t>
      </w:r>
      <w:r>
        <w:tab/>
      </w:r>
      <w:r>
        <w:fldChar w:fldCharType="begin"/>
      </w:r>
      <w:r>
        <w:instrText xml:space="preserve"> PAGEREF _Toc13401 \h </w:instrText>
      </w:r>
      <w:r>
        <w:fldChar w:fldCharType="separate"/>
      </w:r>
      <w:r>
        <w:t>16</w:t>
      </w:r>
      <w:r>
        <w:fldChar w:fldCharType="end"/>
      </w:r>
      <w:r>
        <w:rPr>
          <w:caps w:val="0"/>
          <w:smallCaps/>
          <w:szCs w:val="20"/>
        </w:rPr>
        <w:fldChar w:fldCharType="end"/>
      </w:r>
    </w:p>
    <w:p w14:paraId="3F65DBA1">
      <w:pPr>
        <w:pStyle w:val="14"/>
        <w:tabs>
          <w:tab w:val="right" w:leader="dot" w:pos="8306"/>
          <w:tab w:val="clear" w:pos="8296"/>
        </w:tabs>
      </w:pPr>
      <w:r>
        <w:rPr>
          <w:caps w:val="0"/>
          <w:smallCaps/>
          <w:szCs w:val="20"/>
        </w:rPr>
        <w:fldChar w:fldCharType="begin"/>
      </w:r>
      <w:r>
        <w:rPr>
          <w:caps w:val="0"/>
          <w:smallCaps/>
          <w:szCs w:val="20"/>
        </w:rPr>
        <w:instrText xml:space="preserve"> HYPERLINK \l _Toc4306 </w:instrText>
      </w:r>
      <w:r>
        <w:rPr>
          <w:caps w:val="0"/>
          <w:smallCaps/>
          <w:szCs w:val="20"/>
        </w:rPr>
        <w:fldChar w:fldCharType="separate"/>
      </w:r>
      <w:r>
        <w:rPr>
          <w:rFonts w:hint="eastAsia" w:ascii="黑体" w:eastAsia="黑体" w:cs="黑体"/>
        </w:rPr>
        <w:t>第五部分 附表</w:t>
      </w:r>
      <w:r>
        <w:tab/>
      </w:r>
      <w:r>
        <w:fldChar w:fldCharType="begin"/>
      </w:r>
      <w:r>
        <w:instrText xml:space="preserve"> PAGEREF _Toc4306 \h </w:instrText>
      </w:r>
      <w:r>
        <w:fldChar w:fldCharType="separate"/>
      </w:r>
      <w:r>
        <w:t>23</w:t>
      </w:r>
      <w:r>
        <w:fldChar w:fldCharType="end"/>
      </w:r>
      <w:r>
        <w:rPr>
          <w:caps w:val="0"/>
          <w:smallCaps/>
          <w:szCs w:val="20"/>
        </w:rPr>
        <w:fldChar w:fldCharType="end"/>
      </w:r>
    </w:p>
    <w:p w14:paraId="7E3353C8">
      <w:pPr>
        <w:pStyle w:val="17"/>
        <w:tabs>
          <w:tab w:val="right" w:leader="dot" w:pos="8306"/>
          <w:tab w:val="clear" w:pos="8296"/>
        </w:tabs>
      </w:pPr>
      <w:r>
        <w:rPr>
          <w:caps w:val="0"/>
          <w:smallCaps/>
          <w:szCs w:val="20"/>
        </w:rPr>
        <w:fldChar w:fldCharType="begin"/>
      </w:r>
      <w:r>
        <w:rPr>
          <w:caps w:val="0"/>
          <w:smallCaps/>
          <w:szCs w:val="20"/>
        </w:rPr>
        <w:instrText xml:space="preserve"> HYPERLINK \l _Toc15803 </w:instrText>
      </w:r>
      <w:r>
        <w:rPr>
          <w:caps w:val="0"/>
          <w:smallCaps/>
          <w:szCs w:val="20"/>
        </w:rPr>
        <w:fldChar w:fldCharType="separate"/>
      </w:r>
      <w:r>
        <w:rPr>
          <w:rFonts w:hint="eastAsia" w:ascii="仿宋_GB2312" w:hAnsi="仿宋_GB2312" w:eastAsia="仿宋_GB2312" w:cs="仿宋_GB2312"/>
          <w:kern w:val="2"/>
          <w:szCs w:val="32"/>
          <w:lang w:bidi="ar-SA"/>
        </w:rPr>
        <w:t>一、收入支出决算总表</w:t>
      </w:r>
      <w:r>
        <w:tab/>
      </w:r>
      <w:r>
        <w:fldChar w:fldCharType="begin"/>
      </w:r>
      <w:r>
        <w:instrText xml:space="preserve"> PAGEREF _Toc15803 \h </w:instrText>
      </w:r>
      <w:r>
        <w:fldChar w:fldCharType="separate"/>
      </w:r>
      <w:r>
        <w:t>23</w:t>
      </w:r>
      <w:r>
        <w:fldChar w:fldCharType="end"/>
      </w:r>
      <w:r>
        <w:rPr>
          <w:caps w:val="0"/>
          <w:smallCaps/>
          <w:szCs w:val="20"/>
        </w:rPr>
        <w:fldChar w:fldCharType="end"/>
      </w:r>
    </w:p>
    <w:p w14:paraId="51B2B9A5">
      <w:pPr>
        <w:pStyle w:val="17"/>
        <w:tabs>
          <w:tab w:val="right" w:leader="dot" w:pos="8306"/>
          <w:tab w:val="clear" w:pos="8296"/>
        </w:tabs>
      </w:pPr>
      <w:r>
        <w:rPr>
          <w:caps w:val="0"/>
          <w:smallCaps/>
          <w:szCs w:val="20"/>
        </w:rPr>
        <w:fldChar w:fldCharType="begin"/>
      </w:r>
      <w:r>
        <w:rPr>
          <w:caps w:val="0"/>
          <w:smallCaps/>
          <w:szCs w:val="20"/>
        </w:rPr>
        <w:instrText xml:space="preserve"> HYPERLINK \l _Toc28462 </w:instrText>
      </w:r>
      <w:r>
        <w:rPr>
          <w:caps w:val="0"/>
          <w:smallCaps/>
          <w:szCs w:val="20"/>
        </w:rPr>
        <w:fldChar w:fldCharType="separate"/>
      </w:r>
      <w:r>
        <w:rPr>
          <w:rFonts w:hint="eastAsia" w:ascii="仿宋_GB2312" w:hAnsi="仿宋_GB2312" w:eastAsia="仿宋_GB2312" w:cs="仿宋_GB2312"/>
          <w:kern w:val="2"/>
          <w:szCs w:val="32"/>
          <w:lang w:bidi="ar-SA"/>
        </w:rPr>
        <w:t>二、收入决算表</w:t>
      </w:r>
      <w:r>
        <w:tab/>
      </w:r>
      <w:r>
        <w:fldChar w:fldCharType="begin"/>
      </w:r>
      <w:r>
        <w:instrText xml:space="preserve"> PAGEREF _Toc28462 \h </w:instrText>
      </w:r>
      <w:r>
        <w:fldChar w:fldCharType="separate"/>
      </w:r>
      <w:r>
        <w:t>23</w:t>
      </w:r>
      <w:r>
        <w:fldChar w:fldCharType="end"/>
      </w:r>
      <w:r>
        <w:rPr>
          <w:caps w:val="0"/>
          <w:smallCaps/>
          <w:szCs w:val="20"/>
        </w:rPr>
        <w:fldChar w:fldCharType="end"/>
      </w:r>
    </w:p>
    <w:p w14:paraId="340A38E1">
      <w:pPr>
        <w:pStyle w:val="17"/>
        <w:tabs>
          <w:tab w:val="right" w:leader="dot" w:pos="8306"/>
          <w:tab w:val="clear" w:pos="8296"/>
        </w:tabs>
      </w:pPr>
      <w:r>
        <w:rPr>
          <w:caps w:val="0"/>
          <w:smallCaps/>
          <w:szCs w:val="20"/>
        </w:rPr>
        <w:fldChar w:fldCharType="begin"/>
      </w:r>
      <w:r>
        <w:rPr>
          <w:caps w:val="0"/>
          <w:smallCaps/>
          <w:szCs w:val="20"/>
        </w:rPr>
        <w:instrText xml:space="preserve"> HYPERLINK \l _Toc29885 </w:instrText>
      </w:r>
      <w:r>
        <w:rPr>
          <w:caps w:val="0"/>
          <w:smallCaps/>
          <w:szCs w:val="20"/>
        </w:rPr>
        <w:fldChar w:fldCharType="separate"/>
      </w:r>
      <w:r>
        <w:rPr>
          <w:rFonts w:hint="eastAsia" w:ascii="仿宋_GB2312" w:hAnsi="仿宋_GB2312" w:eastAsia="仿宋_GB2312" w:cs="仿宋_GB2312"/>
          <w:kern w:val="2"/>
          <w:szCs w:val="32"/>
          <w:lang w:bidi="ar-SA"/>
        </w:rPr>
        <w:t>三、支出决算表</w:t>
      </w:r>
      <w:r>
        <w:tab/>
      </w:r>
      <w:r>
        <w:fldChar w:fldCharType="begin"/>
      </w:r>
      <w:r>
        <w:instrText xml:space="preserve"> PAGEREF _Toc29885 \h </w:instrText>
      </w:r>
      <w:r>
        <w:fldChar w:fldCharType="separate"/>
      </w:r>
      <w:r>
        <w:t>23</w:t>
      </w:r>
      <w:r>
        <w:fldChar w:fldCharType="end"/>
      </w:r>
      <w:r>
        <w:rPr>
          <w:caps w:val="0"/>
          <w:smallCaps/>
          <w:szCs w:val="20"/>
        </w:rPr>
        <w:fldChar w:fldCharType="end"/>
      </w:r>
    </w:p>
    <w:p w14:paraId="75D326E6">
      <w:pPr>
        <w:pStyle w:val="17"/>
        <w:tabs>
          <w:tab w:val="right" w:leader="dot" w:pos="8306"/>
          <w:tab w:val="clear" w:pos="8296"/>
        </w:tabs>
      </w:pPr>
      <w:r>
        <w:rPr>
          <w:caps w:val="0"/>
          <w:smallCaps/>
          <w:szCs w:val="20"/>
        </w:rPr>
        <w:fldChar w:fldCharType="begin"/>
      </w:r>
      <w:r>
        <w:rPr>
          <w:caps w:val="0"/>
          <w:smallCaps/>
          <w:szCs w:val="20"/>
        </w:rPr>
        <w:instrText xml:space="preserve"> HYPERLINK \l _Toc3853 </w:instrText>
      </w:r>
      <w:r>
        <w:rPr>
          <w:caps w:val="0"/>
          <w:smallCaps/>
          <w:szCs w:val="20"/>
        </w:rPr>
        <w:fldChar w:fldCharType="separate"/>
      </w:r>
      <w:r>
        <w:rPr>
          <w:rFonts w:hint="eastAsia" w:ascii="仿宋_GB2312" w:hAnsi="仿宋_GB2312" w:eastAsia="仿宋_GB2312" w:cs="仿宋_GB2312"/>
          <w:kern w:val="2"/>
          <w:szCs w:val="32"/>
          <w:lang w:bidi="ar-SA"/>
        </w:rPr>
        <w:t>四、财政拨款收入支出决算总表</w:t>
      </w:r>
      <w:r>
        <w:tab/>
      </w:r>
      <w:r>
        <w:fldChar w:fldCharType="begin"/>
      </w:r>
      <w:r>
        <w:instrText xml:space="preserve"> PAGEREF _Toc3853 \h </w:instrText>
      </w:r>
      <w:r>
        <w:fldChar w:fldCharType="separate"/>
      </w:r>
      <w:r>
        <w:t>23</w:t>
      </w:r>
      <w:r>
        <w:fldChar w:fldCharType="end"/>
      </w:r>
      <w:r>
        <w:rPr>
          <w:caps w:val="0"/>
          <w:smallCaps/>
          <w:szCs w:val="20"/>
        </w:rPr>
        <w:fldChar w:fldCharType="end"/>
      </w:r>
    </w:p>
    <w:p w14:paraId="135DD5F9">
      <w:pPr>
        <w:pStyle w:val="17"/>
        <w:tabs>
          <w:tab w:val="right" w:leader="dot" w:pos="8306"/>
          <w:tab w:val="clear" w:pos="8296"/>
        </w:tabs>
      </w:pPr>
      <w:r>
        <w:rPr>
          <w:caps w:val="0"/>
          <w:smallCaps/>
          <w:szCs w:val="20"/>
        </w:rPr>
        <w:fldChar w:fldCharType="begin"/>
      </w:r>
      <w:r>
        <w:rPr>
          <w:caps w:val="0"/>
          <w:smallCaps/>
          <w:szCs w:val="20"/>
        </w:rPr>
        <w:instrText xml:space="preserve"> HYPERLINK \l _Toc5398 </w:instrText>
      </w:r>
      <w:r>
        <w:rPr>
          <w:caps w:val="0"/>
          <w:smallCaps/>
          <w:szCs w:val="20"/>
        </w:rPr>
        <w:fldChar w:fldCharType="separate"/>
      </w:r>
      <w:r>
        <w:rPr>
          <w:rFonts w:hint="eastAsia" w:ascii="仿宋_GB2312" w:hAnsi="仿宋_GB2312" w:eastAsia="仿宋_GB2312" w:cs="仿宋_GB2312"/>
          <w:kern w:val="2"/>
          <w:szCs w:val="32"/>
          <w:lang w:bidi="ar-SA"/>
        </w:rPr>
        <w:t>五、财政拨款支出决算明细表</w:t>
      </w:r>
      <w:r>
        <w:tab/>
      </w:r>
      <w:r>
        <w:fldChar w:fldCharType="begin"/>
      </w:r>
      <w:r>
        <w:instrText xml:space="preserve"> PAGEREF _Toc5398 \h </w:instrText>
      </w:r>
      <w:r>
        <w:fldChar w:fldCharType="separate"/>
      </w:r>
      <w:r>
        <w:t>23</w:t>
      </w:r>
      <w:r>
        <w:fldChar w:fldCharType="end"/>
      </w:r>
      <w:r>
        <w:rPr>
          <w:caps w:val="0"/>
          <w:smallCaps/>
          <w:szCs w:val="20"/>
        </w:rPr>
        <w:fldChar w:fldCharType="end"/>
      </w:r>
    </w:p>
    <w:p w14:paraId="5E061883">
      <w:pPr>
        <w:pStyle w:val="17"/>
        <w:tabs>
          <w:tab w:val="right" w:leader="dot" w:pos="8306"/>
          <w:tab w:val="clear" w:pos="8296"/>
        </w:tabs>
      </w:pPr>
      <w:r>
        <w:rPr>
          <w:caps w:val="0"/>
          <w:smallCaps/>
          <w:szCs w:val="20"/>
        </w:rPr>
        <w:fldChar w:fldCharType="begin"/>
      </w:r>
      <w:r>
        <w:rPr>
          <w:caps w:val="0"/>
          <w:smallCaps/>
          <w:szCs w:val="20"/>
        </w:rPr>
        <w:instrText xml:space="preserve"> HYPERLINK \l _Toc16959 </w:instrText>
      </w:r>
      <w:r>
        <w:rPr>
          <w:caps w:val="0"/>
          <w:smallCaps/>
          <w:szCs w:val="20"/>
        </w:rPr>
        <w:fldChar w:fldCharType="separate"/>
      </w:r>
      <w:r>
        <w:rPr>
          <w:rFonts w:hint="eastAsia" w:ascii="仿宋_GB2312" w:hAnsi="仿宋_GB2312" w:eastAsia="仿宋_GB2312" w:cs="仿宋_GB2312"/>
          <w:kern w:val="2"/>
          <w:szCs w:val="32"/>
          <w:lang w:bidi="ar-SA"/>
        </w:rPr>
        <w:t>六、一般公共预算财政拨款支出决算表</w:t>
      </w:r>
      <w:r>
        <w:tab/>
      </w:r>
      <w:r>
        <w:fldChar w:fldCharType="begin"/>
      </w:r>
      <w:r>
        <w:instrText xml:space="preserve"> PAGEREF _Toc16959 \h </w:instrText>
      </w:r>
      <w:r>
        <w:fldChar w:fldCharType="separate"/>
      </w:r>
      <w:r>
        <w:t>23</w:t>
      </w:r>
      <w:r>
        <w:fldChar w:fldCharType="end"/>
      </w:r>
      <w:r>
        <w:rPr>
          <w:caps w:val="0"/>
          <w:smallCaps/>
          <w:szCs w:val="20"/>
        </w:rPr>
        <w:fldChar w:fldCharType="end"/>
      </w:r>
    </w:p>
    <w:p w14:paraId="17E06D70">
      <w:pPr>
        <w:pStyle w:val="17"/>
        <w:tabs>
          <w:tab w:val="right" w:leader="dot" w:pos="8306"/>
          <w:tab w:val="clear" w:pos="8296"/>
        </w:tabs>
      </w:pPr>
      <w:r>
        <w:rPr>
          <w:caps w:val="0"/>
          <w:smallCaps/>
          <w:szCs w:val="20"/>
        </w:rPr>
        <w:fldChar w:fldCharType="begin"/>
      </w:r>
      <w:r>
        <w:rPr>
          <w:caps w:val="0"/>
          <w:smallCaps/>
          <w:szCs w:val="20"/>
        </w:rPr>
        <w:instrText xml:space="preserve"> HYPERLINK \l _Toc619 </w:instrText>
      </w:r>
      <w:r>
        <w:rPr>
          <w:caps w:val="0"/>
          <w:smallCaps/>
          <w:szCs w:val="20"/>
        </w:rPr>
        <w:fldChar w:fldCharType="separate"/>
      </w:r>
      <w:r>
        <w:rPr>
          <w:rFonts w:hint="eastAsia" w:ascii="仿宋_GB2312" w:hAnsi="仿宋_GB2312" w:eastAsia="仿宋_GB2312" w:cs="仿宋_GB2312"/>
          <w:kern w:val="2"/>
          <w:szCs w:val="32"/>
          <w:lang w:bidi="ar-SA"/>
        </w:rPr>
        <w:t>七、一般公共预算财政拨款支出决算明细表</w:t>
      </w:r>
      <w:r>
        <w:tab/>
      </w:r>
      <w:r>
        <w:fldChar w:fldCharType="begin"/>
      </w:r>
      <w:r>
        <w:instrText xml:space="preserve"> PAGEREF _Toc619 \h </w:instrText>
      </w:r>
      <w:r>
        <w:fldChar w:fldCharType="separate"/>
      </w:r>
      <w:r>
        <w:t>23</w:t>
      </w:r>
      <w:r>
        <w:fldChar w:fldCharType="end"/>
      </w:r>
      <w:r>
        <w:rPr>
          <w:caps w:val="0"/>
          <w:smallCaps/>
          <w:szCs w:val="20"/>
        </w:rPr>
        <w:fldChar w:fldCharType="end"/>
      </w:r>
    </w:p>
    <w:p w14:paraId="27F116BE">
      <w:pPr>
        <w:pStyle w:val="17"/>
        <w:tabs>
          <w:tab w:val="right" w:leader="dot" w:pos="8306"/>
          <w:tab w:val="clear" w:pos="8296"/>
        </w:tabs>
      </w:pPr>
      <w:r>
        <w:rPr>
          <w:caps w:val="0"/>
          <w:smallCaps/>
          <w:szCs w:val="20"/>
        </w:rPr>
        <w:fldChar w:fldCharType="begin"/>
      </w:r>
      <w:r>
        <w:rPr>
          <w:caps w:val="0"/>
          <w:smallCaps/>
          <w:szCs w:val="20"/>
        </w:rPr>
        <w:instrText xml:space="preserve"> HYPERLINK \l _Toc6816 </w:instrText>
      </w:r>
      <w:r>
        <w:rPr>
          <w:caps w:val="0"/>
          <w:smallCaps/>
          <w:szCs w:val="20"/>
        </w:rPr>
        <w:fldChar w:fldCharType="separate"/>
      </w:r>
      <w:r>
        <w:rPr>
          <w:rFonts w:hint="eastAsia" w:ascii="仿宋_GB2312" w:hAnsi="仿宋_GB2312" w:eastAsia="仿宋_GB2312" w:cs="仿宋_GB2312"/>
          <w:kern w:val="2"/>
          <w:szCs w:val="32"/>
          <w:lang w:bidi="ar-SA"/>
        </w:rPr>
        <w:t>八、一般公共预算财政拨款基本支出决算表</w:t>
      </w:r>
      <w:r>
        <w:tab/>
      </w:r>
      <w:r>
        <w:fldChar w:fldCharType="begin"/>
      </w:r>
      <w:r>
        <w:instrText xml:space="preserve"> PAGEREF _Toc6816 \h </w:instrText>
      </w:r>
      <w:r>
        <w:fldChar w:fldCharType="separate"/>
      </w:r>
      <w:r>
        <w:t>23</w:t>
      </w:r>
      <w:r>
        <w:fldChar w:fldCharType="end"/>
      </w:r>
      <w:r>
        <w:rPr>
          <w:caps w:val="0"/>
          <w:smallCaps/>
          <w:szCs w:val="20"/>
        </w:rPr>
        <w:fldChar w:fldCharType="end"/>
      </w:r>
    </w:p>
    <w:p w14:paraId="3C801C36">
      <w:pPr>
        <w:pStyle w:val="17"/>
        <w:tabs>
          <w:tab w:val="right" w:leader="dot" w:pos="8306"/>
          <w:tab w:val="clear" w:pos="8296"/>
        </w:tabs>
      </w:pPr>
      <w:r>
        <w:rPr>
          <w:caps w:val="0"/>
          <w:smallCaps/>
          <w:szCs w:val="20"/>
        </w:rPr>
        <w:fldChar w:fldCharType="begin"/>
      </w:r>
      <w:r>
        <w:rPr>
          <w:caps w:val="0"/>
          <w:smallCaps/>
          <w:szCs w:val="20"/>
        </w:rPr>
        <w:instrText xml:space="preserve"> HYPERLINK \l _Toc30922 </w:instrText>
      </w:r>
      <w:r>
        <w:rPr>
          <w:caps w:val="0"/>
          <w:smallCaps/>
          <w:szCs w:val="20"/>
        </w:rPr>
        <w:fldChar w:fldCharType="separate"/>
      </w:r>
      <w:r>
        <w:rPr>
          <w:rFonts w:hint="eastAsia" w:ascii="仿宋_GB2312" w:hAnsi="仿宋_GB2312" w:eastAsia="仿宋_GB2312" w:cs="仿宋_GB2312"/>
          <w:kern w:val="2"/>
          <w:szCs w:val="32"/>
          <w:lang w:bidi="ar-SA"/>
        </w:rPr>
        <w:t>九、一般公共预算财政拨款项目支出决算表</w:t>
      </w:r>
      <w:r>
        <w:tab/>
      </w:r>
      <w:r>
        <w:fldChar w:fldCharType="begin"/>
      </w:r>
      <w:r>
        <w:instrText xml:space="preserve"> PAGEREF _Toc30922 \h </w:instrText>
      </w:r>
      <w:r>
        <w:fldChar w:fldCharType="separate"/>
      </w:r>
      <w:r>
        <w:t>23</w:t>
      </w:r>
      <w:r>
        <w:fldChar w:fldCharType="end"/>
      </w:r>
      <w:r>
        <w:rPr>
          <w:caps w:val="0"/>
          <w:smallCaps/>
          <w:szCs w:val="20"/>
        </w:rPr>
        <w:fldChar w:fldCharType="end"/>
      </w:r>
    </w:p>
    <w:p w14:paraId="55A16F5C">
      <w:pPr>
        <w:pStyle w:val="17"/>
        <w:tabs>
          <w:tab w:val="right" w:leader="dot" w:pos="8306"/>
          <w:tab w:val="clear" w:pos="8296"/>
        </w:tabs>
      </w:pPr>
      <w:r>
        <w:rPr>
          <w:caps w:val="0"/>
          <w:smallCaps/>
          <w:szCs w:val="20"/>
        </w:rPr>
        <w:fldChar w:fldCharType="begin"/>
      </w:r>
      <w:r>
        <w:rPr>
          <w:caps w:val="0"/>
          <w:smallCaps/>
          <w:szCs w:val="20"/>
        </w:rPr>
        <w:instrText xml:space="preserve"> HYPERLINK \l _Toc5919 </w:instrText>
      </w:r>
      <w:r>
        <w:rPr>
          <w:caps w:val="0"/>
          <w:smallCaps/>
          <w:szCs w:val="20"/>
        </w:rPr>
        <w:fldChar w:fldCharType="separate"/>
      </w:r>
      <w:r>
        <w:rPr>
          <w:rFonts w:hint="eastAsia" w:ascii="仿宋_GB2312" w:hAnsi="仿宋_GB2312" w:eastAsia="仿宋_GB2312" w:cs="仿宋_GB2312"/>
          <w:kern w:val="2"/>
          <w:szCs w:val="32"/>
          <w:lang w:bidi="ar-SA"/>
        </w:rPr>
        <w:t>十、政府性基金预算财政拨款收入支出决算表</w:t>
      </w:r>
      <w:r>
        <w:tab/>
      </w:r>
      <w:r>
        <w:fldChar w:fldCharType="begin"/>
      </w:r>
      <w:r>
        <w:instrText xml:space="preserve"> PAGEREF _Toc5919 \h </w:instrText>
      </w:r>
      <w:r>
        <w:fldChar w:fldCharType="separate"/>
      </w:r>
      <w:r>
        <w:t>23</w:t>
      </w:r>
      <w:r>
        <w:fldChar w:fldCharType="end"/>
      </w:r>
      <w:r>
        <w:rPr>
          <w:caps w:val="0"/>
          <w:smallCaps/>
          <w:szCs w:val="20"/>
        </w:rPr>
        <w:fldChar w:fldCharType="end"/>
      </w:r>
    </w:p>
    <w:p w14:paraId="241E8A9A">
      <w:pPr>
        <w:pStyle w:val="17"/>
        <w:tabs>
          <w:tab w:val="right" w:leader="dot" w:pos="8306"/>
          <w:tab w:val="clear" w:pos="8296"/>
        </w:tabs>
      </w:pPr>
      <w:r>
        <w:rPr>
          <w:caps w:val="0"/>
          <w:smallCaps/>
          <w:szCs w:val="20"/>
        </w:rPr>
        <w:fldChar w:fldCharType="begin"/>
      </w:r>
      <w:r>
        <w:rPr>
          <w:caps w:val="0"/>
          <w:smallCaps/>
          <w:szCs w:val="20"/>
        </w:rPr>
        <w:instrText xml:space="preserve"> HYPERLINK \l _Toc18965 </w:instrText>
      </w:r>
      <w:r>
        <w:rPr>
          <w:caps w:val="0"/>
          <w:smallCaps/>
          <w:szCs w:val="20"/>
        </w:rPr>
        <w:fldChar w:fldCharType="separate"/>
      </w:r>
      <w:r>
        <w:rPr>
          <w:rFonts w:hint="eastAsia" w:ascii="仿宋_GB2312" w:hAnsi="仿宋_GB2312" w:eastAsia="仿宋_GB2312" w:cs="仿宋_GB2312"/>
          <w:kern w:val="2"/>
          <w:szCs w:val="32"/>
          <w:lang w:bidi="ar-SA"/>
        </w:rPr>
        <w:t>十一、国有资本经营预算财政拨款收入支出决算表</w:t>
      </w:r>
      <w:r>
        <w:tab/>
      </w:r>
      <w:r>
        <w:fldChar w:fldCharType="begin"/>
      </w:r>
      <w:r>
        <w:instrText xml:space="preserve"> PAGEREF _Toc18965 \h </w:instrText>
      </w:r>
      <w:r>
        <w:fldChar w:fldCharType="separate"/>
      </w:r>
      <w:r>
        <w:t>23</w:t>
      </w:r>
      <w:r>
        <w:fldChar w:fldCharType="end"/>
      </w:r>
      <w:r>
        <w:rPr>
          <w:caps w:val="0"/>
          <w:smallCaps/>
          <w:szCs w:val="20"/>
        </w:rPr>
        <w:fldChar w:fldCharType="end"/>
      </w:r>
    </w:p>
    <w:p w14:paraId="2716F382">
      <w:pPr>
        <w:pStyle w:val="17"/>
        <w:tabs>
          <w:tab w:val="right" w:leader="dot" w:pos="8306"/>
          <w:tab w:val="clear" w:pos="8296"/>
        </w:tabs>
      </w:pPr>
      <w:r>
        <w:rPr>
          <w:caps w:val="0"/>
          <w:smallCaps/>
          <w:szCs w:val="20"/>
        </w:rPr>
        <w:fldChar w:fldCharType="begin"/>
      </w:r>
      <w:r>
        <w:rPr>
          <w:caps w:val="0"/>
          <w:smallCaps/>
          <w:szCs w:val="20"/>
        </w:rPr>
        <w:instrText xml:space="preserve"> HYPERLINK \l _Toc7681 </w:instrText>
      </w:r>
      <w:r>
        <w:rPr>
          <w:caps w:val="0"/>
          <w:smallCaps/>
          <w:szCs w:val="20"/>
        </w:rPr>
        <w:fldChar w:fldCharType="separate"/>
      </w:r>
      <w:r>
        <w:rPr>
          <w:rFonts w:hint="eastAsia" w:ascii="仿宋_GB2312" w:hAnsi="仿宋_GB2312" w:eastAsia="仿宋_GB2312" w:cs="仿宋_GB2312"/>
          <w:kern w:val="2"/>
          <w:szCs w:val="32"/>
          <w:lang w:bidi="ar-SA"/>
        </w:rPr>
        <w:t>十二、国有资本经营预算财政拨款支出决算表</w:t>
      </w:r>
      <w:r>
        <w:tab/>
      </w:r>
      <w:r>
        <w:fldChar w:fldCharType="begin"/>
      </w:r>
      <w:r>
        <w:instrText xml:space="preserve"> PAGEREF _Toc7681 \h </w:instrText>
      </w:r>
      <w:r>
        <w:fldChar w:fldCharType="separate"/>
      </w:r>
      <w:r>
        <w:t>23</w:t>
      </w:r>
      <w:r>
        <w:fldChar w:fldCharType="end"/>
      </w:r>
      <w:r>
        <w:rPr>
          <w:caps w:val="0"/>
          <w:smallCaps/>
          <w:szCs w:val="20"/>
        </w:rPr>
        <w:fldChar w:fldCharType="end"/>
      </w:r>
    </w:p>
    <w:p w14:paraId="73BDE90E">
      <w:pPr>
        <w:pStyle w:val="17"/>
        <w:tabs>
          <w:tab w:val="right" w:leader="dot" w:pos="8306"/>
          <w:tab w:val="clear" w:pos="8296"/>
        </w:tabs>
      </w:pPr>
      <w:r>
        <w:rPr>
          <w:caps w:val="0"/>
          <w:smallCaps/>
          <w:szCs w:val="20"/>
        </w:rPr>
        <w:fldChar w:fldCharType="begin"/>
      </w:r>
      <w:r>
        <w:rPr>
          <w:caps w:val="0"/>
          <w:smallCaps/>
          <w:szCs w:val="20"/>
        </w:rPr>
        <w:instrText xml:space="preserve"> HYPERLINK \l _Toc22466 </w:instrText>
      </w:r>
      <w:r>
        <w:rPr>
          <w:caps w:val="0"/>
          <w:smallCaps/>
          <w:szCs w:val="20"/>
        </w:rPr>
        <w:fldChar w:fldCharType="separate"/>
      </w:r>
      <w:r>
        <w:rPr>
          <w:rFonts w:hint="eastAsia" w:ascii="仿宋_GB2312" w:hAnsi="仿宋_GB2312" w:eastAsia="仿宋_GB2312" w:cs="仿宋_GB2312"/>
          <w:kern w:val="2"/>
          <w:szCs w:val="32"/>
          <w:lang w:bidi="ar-SA"/>
        </w:rPr>
        <w:t>十三、财政拨款“三公”经费支出决算表</w:t>
      </w:r>
      <w:r>
        <w:tab/>
      </w:r>
      <w:r>
        <w:fldChar w:fldCharType="begin"/>
      </w:r>
      <w:r>
        <w:instrText xml:space="preserve"> PAGEREF _Toc22466 \h </w:instrText>
      </w:r>
      <w:r>
        <w:fldChar w:fldCharType="separate"/>
      </w:r>
      <w:r>
        <w:t>23</w:t>
      </w:r>
      <w:r>
        <w:fldChar w:fldCharType="end"/>
      </w:r>
      <w:r>
        <w:rPr>
          <w:caps w:val="0"/>
          <w:smallCaps/>
          <w:szCs w:val="20"/>
        </w:rPr>
        <w:fldChar w:fldCharType="end"/>
      </w:r>
    </w:p>
    <w:p w14:paraId="52975B5D">
      <w:pPr>
        <w:pStyle w:val="5"/>
        <w:rPr>
          <w:rFonts w:hint="eastAsia" w:ascii="黑体" w:eastAsia="黑体" w:cs="黑体"/>
        </w:rPr>
      </w:pPr>
      <w:r>
        <w:rPr>
          <w:caps w:val="0"/>
          <w:smallCaps/>
          <w:szCs w:val="20"/>
        </w:rPr>
        <w:fldChar w:fldCharType="end"/>
      </w:r>
      <w:bookmarkStart w:id="13" w:name="_Toc111208495"/>
      <w:bookmarkStart w:id="14" w:name="_Toc23038"/>
    </w:p>
    <w:p w14:paraId="2048FA58">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15" w:name="_Toc8739"/>
      <w:r>
        <w:rPr>
          <w:rStyle w:val="24"/>
          <w:rFonts w:hint="eastAsia" w:ascii="方正公文小标宋" w:hAnsi="方正公文小标宋" w:eastAsia="方正公文小标宋" w:cs="方正公文小标宋"/>
          <w:b/>
          <w:bCs/>
          <w:lang w:val="en-US" w:eastAsia="zh-CN"/>
        </w:rPr>
        <w:t>第一部分 部门概况</w:t>
      </w:r>
      <w:bookmarkEnd w:id="12"/>
      <w:bookmarkEnd w:id="13"/>
      <w:bookmarkEnd w:id="14"/>
      <w:bookmarkEnd w:id="15"/>
    </w:p>
    <w:p w14:paraId="08A5BED6">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16" w:name="_Toc10216"/>
      <w:bookmarkStart w:id="17" w:name="_Toc79163602"/>
      <w:bookmarkStart w:id="18" w:name="_Toc15396600"/>
      <w:bookmarkStart w:id="19" w:name="_Toc15377197"/>
      <w:bookmarkStart w:id="20" w:name="_Toc25800"/>
      <w:bookmarkStart w:id="21" w:name="_Toc23086"/>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eastAsia="zh-CN"/>
        </w:rPr>
        <w:t>部门职责</w:t>
      </w:r>
      <w:bookmarkEnd w:id="21"/>
      <w:bookmarkStart w:id="23" w:name="_Toc15377198"/>
      <w:bookmarkStart w:id="24" w:name="_Toc15378445"/>
    </w:p>
    <w:bookmarkEnd w:id="23"/>
    <w:bookmarkEnd w:id="24"/>
    <w:p w14:paraId="623C4E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bookmarkStart w:id="25" w:name="_Toc31514"/>
      <w:bookmarkStart w:id="26" w:name="_Toc15377200"/>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14:paraId="749A91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14:paraId="37F488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14:paraId="74C00F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14:paraId="79B7EF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14:paraId="2C8856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14:paraId="2B418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7.负责全县党政密码通信、密码管理和密码保密及全县商用密码的管理工作；中央、省委、市委、县委文件和县级重要机密件的传递，领导机要专线电话的管理工作；</w:t>
      </w:r>
    </w:p>
    <w:p w14:paraId="2A0B1B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14:paraId="3020FF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s="楷体"/>
          <w:b/>
          <w:bCs w:val="0"/>
          <w:color w:val="000000"/>
          <w:sz w:val="32"/>
          <w:szCs w:val="32"/>
        </w:rPr>
      </w:pPr>
      <w:r>
        <w:rPr>
          <w:rFonts w:hint="eastAsia" w:ascii="仿宋_GB2312" w:eastAsia="仿宋_GB2312" w:cs="仿宋_GB2312"/>
          <w:sz w:val="32"/>
          <w:szCs w:val="32"/>
        </w:rPr>
        <w:t>9.承办县委领导和上级业务部门交办的其他工作。</w:t>
      </w:r>
    </w:p>
    <w:bookmarkEnd w:id="25"/>
    <w:p w14:paraId="4C815B00">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27" w:name="_Toc4487"/>
      <w:bookmarkStart w:id="28" w:name="_Toc111208497"/>
      <w:bookmarkStart w:id="29" w:name="_Toc2743"/>
      <w:r>
        <w:rPr>
          <w:rFonts w:hint="eastAsia" w:ascii="黑体" w:eastAsia="黑体"/>
          <w:b w:val="0"/>
          <w:color w:val="000000"/>
          <w:lang w:val="en-US" w:eastAsia="zh-CN"/>
        </w:rPr>
        <w:t>二、</w:t>
      </w:r>
      <w:r>
        <w:rPr>
          <w:rFonts w:hint="eastAsia" w:ascii="黑体" w:eastAsia="黑体"/>
          <w:b w:val="0"/>
          <w:color w:val="000000"/>
        </w:rPr>
        <w:t>机构设置</w:t>
      </w:r>
      <w:bookmarkEnd w:id="26"/>
      <w:bookmarkEnd w:id="27"/>
      <w:bookmarkEnd w:id="28"/>
      <w:bookmarkStart w:id="30" w:name="_Toc19720"/>
      <w:bookmarkStart w:id="31" w:name="_Toc19939"/>
      <w:bookmarkStart w:id="32" w:name="_Toc1153"/>
      <w:bookmarkStart w:id="33" w:name="_Toc6325"/>
      <w:bookmarkStart w:id="34" w:name="_Toc17616"/>
    </w:p>
    <w:p w14:paraId="4A2FCDC9">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黑体"/>
        </w:rPr>
      </w:pPr>
      <w:bookmarkStart w:id="35" w:name="_Toc14187"/>
      <w:bookmarkStart w:id="36" w:name="_Toc27643"/>
      <w:r>
        <w:rPr>
          <w:rFonts w:hint="eastAsia" w:ascii="仿宋_GB2312" w:eastAsia="仿宋_GB2312" w:cs="仿宋_GB2312"/>
          <w:b w:val="0"/>
          <w:bCs w:val="0"/>
          <w:color w:val="000000"/>
          <w:sz w:val="32"/>
          <w:szCs w:val="32"/>
        </w:rPr>
        <w:t>县委办下属二级单位0个，其中行政单位0个，参照公务员法管理的事业单位0个，其他事业单位0个。</w:t>
      </w:r>
      <w:bookmarkEnd w:id="29"/>
      <w:bookmarkEnd w:id="30"/>
      <w:bookmarkEnd w:id="31"/>
      <w:bookmarkEnd w:id="32"/>
      <w:bookmarkEnd w:id="33"/>
      <w:bookmarkEnd w:id="34"/>
      <w:bookmarkEnd w:id="35"/>
      <w:bookmarkEnd w:id="36"/>
      <w:bookmarkStart w:id="37" w:name="_Toc4756"/>
      <w:bookmarkStart w:id="38" w:name="_Toc111208498"/>
    </w:p>
    <w:p w14:paraId="1884903B">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39" w:name="_Toc15955"/>
      <w:r>
        <w:rPr>
          <w:rStyle w:val="24"/>
          <w:rFonts w:hint="eastAsia" w:ascii="方正公文小标宋" w:hAnsi="方正公文小标宋" w:eastAsia="方正公文小标宋" w:cs="方正公文小标宋"/>
          <w:b/>
          <w:bCs/>
          <w:lang w:val="en-US" w:eastAsia="zh-CN"/>
        </w:rPr>
        <w:t>第二部分 2024年度部门决算情况说明</w:t>
      </w:r>
      <w:bookmarkEnd w:id="22"/>
      <w:bookmarkEnd w:id="37"/>
      <w:bookmarkEnd w:id="38"/>
      <w:bookmarkEnd w:id="39"/>
    </w:p>
    <w:p w14:paraId="346F374F">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0" w:name="_Toc15377205"/>
      <w:bookmarkStart w:id="41" w:name="_Toc26705"/>
      <w:bookmarkStart w:id="42" w:name="_Toc111208499"/>
      <w:bookmarkStart w:id="43" w:name="_Toc14499"/>
      <w:r>
        <w:rPr>
          <w:rFonts w:hint="eastAsia" w:ascii="黑体" w:eastAsia="黑体"/>
          <w:b w:val="0"/>
          <w:color w:val="000000"/>
          <w:lang w:val="en-US" w:eastAsia="zh-CN"/>
        </w:rPr>
        <w:t>一、收入支出决算总体情况说</w:t>
      </w:r>
      <w:bookmarkEnd w:id="40"/>
      <w:r>
        <w:rPr>
          <w:rFonts w:hint="eastAsia" w:ascii="黑体" w:eastAsia="黑体"/>
          <w:b w:val="0"/>
          <w:color w:val="000000"/>
          <w:lang w:val="en-US" w:eastAsia="zh-CN"/>
        </w:rPr>
        <w:t>明</w:t>
      </w:r>
      <w:bookmarkEnd w:id="41"/>
      <w:bookmarkEnd w:id="42"/>
      <w:bookmarkEnd w:id="43"/>
    </w:p>
    <w:p w14:paraId="3332DC42">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4</w:t>
      </w:r>
      <w:r>
        <w:rPr>
          <w:rFonts w:hint="eastAsia" w:ascii="仿宋" w:eastAsia="仿宋"/>
          <w:color w:val="auto"/>
          <w:sz w:val="32"/>
          <w:szCs w:val="32"/>
          <w:highlight w:val="none"/>
        </w:rPr>
        <w:t>年度收、支总计</w:t>
      </w:r>
      <w:r>
        <w:rPr>
          <w:rFonts w:hint="eastAsia" w:ascii="仿宋" w:eastAsia="仿宋"/>
          <w:color w:val="auto"/>
          <w:sz w:val="32"/>
          <w:szCs w:val="32"/>
          <w:highlight w:val="none"/>
          <w:lang w:eastAsia="zh-CN"/>
        </w:rPr>
        <w:t>均为</w:t>
      </w:r>
      <w:r>
        <w:rPr>
          <w:rFonts w:hint="eastAsia" w:ascii="仿宋" w:eastAsia="仿宋"/>
          <w:color w:val="auto"/>
          <w:sz w:val="32"/>
          <w:szCs w:val="32"/>
          <w:highlight w:val="none"/>
          <w:lang w:val="en-US" w:eastAsia="zh-CN"/>
        </w:rPr>
        <w:t>1120.60</w:t>
      </w:r>
      <w:r>
        <w:rPr>
          <w:rFonts w:hint="eastAsia" w:ascii="仿宋" w:eastAsia="仿宋"/>
          <w:color w:val="auto"/>
          <w:sz w:val="32"/>
          <w:szCs w:val="32"/>
          <w:highlight w:val="none"/>
        </w:rPr>
        <w:t>万元。与</w:t>
      </w: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相比，收、支总计各</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21.49</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增长</w:t>
      </w:r>
      <w:r>
        <w:rPr>
          <w:rFonts w:hint="eastAsia" w:ascii="仿宋" w:eastAsia="仿宋"/>
          <w:color w:val="auto"/>
          <w:sz w:val="32"/>
          <w:szCs w:val="32"/>
          <w:highlight w:val="none"/>
          <w:lang w:val="en-US" w:eastAsia="zh-CN"/>
        </w:rPr>
        <w:t>2</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：人员变动，项目经费增加。</w:t>
      </w:r>
    </w:p>
    <w:p w14:paraId="31ED174F">
      <w:pPr>
        <w:pStyle w:val="5"/>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DC6010B">
      <w:pPr>
        <w:pStyle w:val="5"/>
        <w:rPr>
          <w:rFonts w:hint="eastAsia" w:ascii="仿宋_GB2312" w:eastAsia="仿宋_GB2312"/>
          <w:color w:val="000000"/>
          <w:sz w:val="32"/>
          <w:szCs w:val="32"/>
        </w:rPr>
      </w:pPr>
    </w:p>
    <w:p w14:paraId="0B7199A4">
      <w:pPr>
        <w:pStyle w:val="5"/>
        <w:rPr>
          <w:rFonts w:hint="eastAsia" w:ascii="仿宋_GB2312" w:eastAsia="仿宋_GB2312"/>
          <w:color w:val="000000"/>
          <w:sz w:val="32"/>
          <w:szCs w:val="32"/>
        </w:rPr>
      </w:pPr>
    </w:p>
    <w:p w14:paraId="5BBC9B60">
      <w:pPr>
        <w:pStyle w:val="5"/>
        <w:rPr>
          <w:rFonts w:hint="eastAsia" w:ascii="仿宋_GB2312" w:eastAsia="仿宋_GB2312"/>
          <w:color w:val="000000"/>
          <w:sz w:val="32"/>
          <w:szCs w:val="32"/>
        </w:rPr>
      </w:pPr>
    </w:p>
    <w:p w14:paraId="4087C698">
      <w:pPr>
        <w:pStyle w:val="5"/>
        <w:ind w:left="0" w:leftChars="0" w:firstLine="0" w:firstLineChars="0"/>
        <w:rPr>
          <w:rFonts w:hint="eastAsia" w:ascii="仿宋_GB2312" w:eastAsia="仿宋_GB2312"/>
          <w:color w:val="000000"/>
          <w:sz w:val="32"/>
          <w:szCs w:val="32"/>
        </w:rPr>
      </w:pPr>
    </w:p>
    <w:p w14:paraId="2B42BEFE">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4" w:name="_Toc111208500"/>
      <w:bookmarkStart w:id="45" w:name="_Toc25746"/>
      <w:bookmarkStart w:id="46" w:name="_Toc29276"/>
      <w:bookmarkStart w:id="47" w:name="_Toc15377206"/>
      <w:r>
        <w:rPr>
          <w:rFonts w:hint="eastAsia" w:ascii="黑体" w:eastAsia="黑体"/>
          <w:b w:val="0"/>
          <w:color w:val="000000"/>
          <w:lang w:val="en-US" w:eastAsia="zh-CN"/>
        </w:rPr>
        <w:t>二、收入决算情况说明</w:t>
      </w:r>
      <w:bookmarkEnd w:id="44"/>
      <w:bookmarkEnd w:id="45"/>
      <w:bookmarkEnd w:id="46"/>
      <w:bookmarkEnd w:id="47"/>
    </w:p>
    <w:p w14:paraId="3A2DFED5">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1120.60</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1120.60</w:t>
      </w:r>
      <w:r>
        <w:rPr>
          <w:rFonts w:hint="eastAsia" w:ascii="仿宋_GB2312" w:eastAsia="仿宋_GB2312" w:cs="仿宋_GB2312"/>
          <w:color w:val="000000"/>
          <w:sz w:val="32"/>
          <w:szCs w:val="32"/>
        </w:rPr>
        <w:t>万元，占100%。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14:paraId="7A4B8B66">
      <w:pPr>
        <w:pStyle w:val="16"/>
        <w:jc w:val="center"/>
      </w:pPr>
      <w:r>
        <w:rPr>
          <w:rFonts w:hint="eastAsia" w:ascii="仿宋_GB2312" w:eastAsia="仿宋_GB2312"/>
          <w:color w:val="FF0000"/>
          <w:sz w:val="32"/>
          <w:szCs w:val="32"/>
        </w:rPr>
        <w:drawing>
          <wp:inline distT="0" distB="0" distL="114300" distR="114300">
            <wp:extent cx="4399915" cy="2457450"/>
            <wp:effectExtent l="4445" t="4445" r="1524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0C4CCF3">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8" w:name="_Toc5412"/>
      <w:bookmarkStart w:id="49" w:name="_Toc15377207"/>
      <w:bookmarkStart w:id="50" w:name="_Toc26388"/>
      <w:bookmarkStart w:id="51" w:name="_Toc111208501"/>
      <w:r>
        <w:rPr>
          <w:rFonts w:hint="eastAsia" w:ascii="黑体" w:eastAsia="黑体"/>
          <w:b w:val="0"/>
          <w:color w:val="000000"/>
          <w:lang w:val="en-US" w:eastAsia="zh-CN"/>
        </w:rPr>
        <w:t>三、支出决算情况说明</w:t>
      </w:r>
      <w:bookmarkEnd w:id="48"/>
      <w:bookmarkEnd w:id="49"/>
      <w:bookmarkEnd w:id="50"/>
      <w:bookmarkEnd w:id="51"/>
    </w:p>
    <w:p w14:paraId="2361C115">
      <w:pPr>
        <w:pStyle w:val="5"/>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2024年本年支出合计</w:t>
      </w:r>
      <w:r>
        <w:rPr>
          <w:rFonts w:hint="eastAsia" w:ascii="仿宋_GB2312" w:eastAsia="仿宋_GB2312" w:cs="仿宋_GB2312"/>
          <w:color w:val="000000"/>
          <w:sz w:val="32"/>
          <w:szCs w:val="32"/>
          <w:lang w:val="en-US" w:eastAsia="zh-CN"/>
        </w:rPr>
        <w:t>1120.60</w:t>
      </w:r>
      <w:r>
        <w:rPr>
          <w:rFonts w:hint="eastAsia" w:ascii="仿宋_GB2312" w:eastAsia="仿宋_GB2312" w:cs="仿宋_GB2312"/>
          <w:color w:val="000000"/>
          <w:kern w:val="2"/>
          <w:sz w:val="32"/>
          <w:szCs w:val="32"/>
          <w:lang w:val="en-US" w:eastAsia="zh-CN" w:bidi="ar-SA"/>
        </w:rPr>
        <w:t>万元，其中：基本支出912.60万元，占81.4%；项目支出208.00万元，占18.6%。</w:t>
      </w:r>
    </w:p>
    <w:p w14:paraId="3A6E2A8E">
      <w:pPr>
        <w:jc w:val="center"/>
      </w:pPr>
      <w:r>
        <w:rPr>
          <w:rFonts w:hint="eastAsia" w:ascii="仿宋_GB2312" w:eastAsia="仿宋_GB2312"/>
          <w:color w:val="FF0000"/>
          <w:sz w:val="32"/>
          <w:szCs w:val="32"/>
          <w:lang w:eastAsia="zh-CN"/>
        </w:rPr>
        <w:drawing>
          <wp:inline distT="0" distB="0" distL="114300" distR="114300">
            <wp:extent cx="4224020" cy="2410460"/>
            <wp:effectExtent l="5080" t="4445" r="19050" b="23495"/>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1A93FA">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52" w:name="_Toc7971"/>
      <w:bookmarkStart w:id="53" w:name="_Toc111208502"/>
      <w:bookmarkStart w:id="54" w:name="_Toc27304"/>
      <w:bookmarkStart w:id="55" w:name="_Toc15377208"/>
      <w:r>
        <w:rPr>
          <w:rFonts w:hint="eastAsia" w:ascii="黑体" w:eastAsia="黑体"/>
          <w:b w:val="0"/>
          <w:color w:val="000000"/>
          <w:lang w:val="en-US" w:eastAsia="zh-CN"/>
        </w:rPr>
        <w:t>四、财政拨款收入支出决算总体情况说明</w:t>
      </w:r>
      <w:bookmarkEnd w:id="52"/>
      <w:bookmarkEnd w:id="53"/>
      <w:bookmarkEnd w:id="54"/>
      <w:bookmarkEnd w:id="55"/>
    </w:p>
    <w:p w14:paraId="47B300C2">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2024年财政拨款收、支总计</w:t>
      </w:r>
      <w:r>
        <w:rPr>
          <w:rFonts w:hint="eastAsia" w:ascii="仿宋_GB2312" w:eastAsia="仿宋_GB2312" w:cs="仿宋_GB2312"/>
          <w:color w:val="000000"/>
          <w:sz w:val="32"/>
          <w:szCs w:val="32"/>
          <w:lang w:val="en-US" w:eastAsia="zh-CN"/>
        </w:rPr>
        <w:t>1120.60</w:t>
      </w:r>
      <w:r>
        <w:rPr>
          <w:rFonts w:hint="eastAsia" w:ascii="仿宋_GB2312" w:eastAsia="仿宋_GB2312" w:cs="仿宋_GB2312"/>
          <w:color w:val="000000"/>
          <w:kern w:val="2"/>
          <w:sz w:val="32"/>
          <w:szCs w:val="32"/>
          <w:lang w:val="en-US" w:eastAsia="zh-CN" w:bidi="ar-SA"/>
        </w:rPr>
        <w:t>万元。与2023年相比，财政拨款收、支总计各</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21.49</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增长</w:t>
      </w:r>
      <w:r>
        <w:rPr>
          <w:rFonts w:hint="eastAsia" w:ascii="仿宋" w:eastAsia="仿宋"/>
          <w:color w:val="auto"/>
          <w:sz w:val="32"/>
          <w:szCs w:val="32"/>
          <w:highlight w:val="none"/>
          <w:lang w:val="en-US" w:eastAsia="zh-CN"/>
        </w:rPr>
        <w:t>2</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人员变动，项目经费增加。</w:t>
      </w:r>
    </w:p>
    <w:p w14:paraId="57DB941D">
      <w:pPr>
        <w:pStyle w:val="5"/>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13B64DF">
      <w:pPr>
        <w:pStyle w:val="5"/>
        <w:jc w:val="left"/>
      </w:pPr>
    </w:p>
    <w:p w14:paraId="1EED76EA">
      <w:pPr>
        <w:pStyle w:val="5"/>
        <w:jc w:val="left"/>
      </w:pPr>
    </w:p>
    <w:p w14:paraId="71E188AD">
      <w:pPr>
        <w:pStyle w:val="5"/>
        <w:jc w:val="left"/>
      </w:pPr>
    </w:p>
    <w:p w14:paraId="07DCA1C3">
      <w:pPr>
        <w:pStyle w:val="5"/>
        <w:jc w:val="left"/>
      </w:pPr>
    </w:p>
    <w:p w14:paraId="4FB0E73D">
      <w:pPr>
        <w:pStyle w:val="5"/>
        <w:jc w:val="left"/>
      </w:pPr>
    </w:p>
    <w:p w14:paraId="2F402CDE">
      <w:pPr>
        <w:pStyle w:val="5"/>
        <w:jc w:val="left"/>
      </w:pPr>
    </w:p>
    <w:p w14:paraId="222205A8">
      <w:pPr>
        <w:pStyle w:val="5"/>
        <w:jc w:val="left"/>
      </w:pPr>
    </w:p>
    <w:p w14:paraId="30F3D69F">
      <w:pPr>
        <w:pStyle w:val="3"/>
        <w:ind w:firstLine="640" w:firstLineChars="200"/>
        <w:rPr>
          <w:rFonts w:hint="eastAsia" w:ascii="黑体" w:eastAsia="黑体" w:cs="Times New Roman"/>
          <w:b w:val="0"/>
          <w:bCs/>
          <w:color w:val="000000"/>
        </w:rPr>
      </w:pPr>
      <w:bookmarkStart w:id="56" w:name="_Toc15377209"/>
      <w:bookmarkStart w:id="57" w:name="_Toc111208503"/>
      <w:bookmarkStart w:id="58" w:name="_Toc11217"/>
      <w:bookmarkStart w:id="59" w:name="_Toc15377211"/>
    </w:p>
    <w:p w14:paraId="583383CA">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60" w:name="_Toc17295"/>
      <w:r>
        <w:rPr>
          <w:rFonts w:hint="eastAsia" w:ascii="黑体" w:eastAsia="黑体"/>
          <w:b w:val="0"/>
          <w:color w:val="000000"/>
          <w:lang w:val="en-US" w:eastAsia="zh-CN"/>
        </w:rPr>
        <w:t>五、一般公共预算财政拨款支出决算情况说</w:t>
      </w:r>
      <w:bookmarkEnd w:id="56"/>
      <w:r>
        <w:rPr>
          <w:rFonts w:hint="eastAsia" w:ascii="黑体" w:eastAsia="黑体"/>
          <w:b w:val="0"/>
          <w:color w:val="000000"/>
          <w:lang w:val="en-US" w:eastAsia="zh-CN"/>
        </w:rPr>
        <w:t>明</w:t>
      </w:r>
      <w:bookmarkEnd w:id="57"/>
      <w:bookmarkEnd w:id="58"/>
      <w:bookmarkEnd w:id="60"/>
    </w:p>
    <w:p w14:paraId="0EBBC749">
      <w:pPr>
        <w:spacing w:line="600" w:lineRule="exact"/>
        <w:ind w:firstLine="643" w:firstLineChars="200"/>
        <w:outlineLvl w:val="2"/>
        <w:rPr>
          <w:rFonts w:hint="eastAsia" w:ascii="楷体_GB2312" w:eastAsia="楷体_GB2312" w:cs="楷体_GB2312"/>
          <w:b/>
          <w:bCs w:val="0"/>
          <w:color w:val="000000"/>
          <w:sz w:val="32"/>
          <w:szCs w:val="32"/>
        </w:rPr>
      </w:pPr>
      <w:bookmarkStart w:id="61" w:name="_Toc15377210"/>
      <w:r>
        <w:rPr>
          <w:rFonts w:hint="eastAsia" w:ascii="楷体_GB2312" w:eastAsia="楷体_GB2312" w:cs="楷体_GB2312"/>
          <w:b/>
          <w:bCs w:val="0"/>
          <w:color w:val="000000"/>
          <w:sz w:val="32"/>
          <w:szCs w:val="32"/>
        </w:rPr>
        <w:t>（一）一般公共预算财政拨款支出决算总体情况</w:t>
      </w:r>
      <w:bookmarkEnd w:id="61"/>
    </w:p>
    <w:p w14:paraId="33651379">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2024年一般公共预算财政拨款支出</w:t>
      </w:r>
      <w:r>
        <w:rPr>
          <w:rFonts w:hint="eastAsia" w:ascii="仿宋_GB2312" w:eastAsia="仿宋_GB2312" w:cs="仿宋_GB2312"/>
          <w:color w:val="000000"/>
          <w:sz w:val="32"/>
          <w:szCs w:val="32"/>
          <w:lang w:val="en-US" w:eastAsia="zh-CN"/>
        </w:rPr>
        <w:t>1120.60</w:t>
      </w:r>
      <w:r>
        <w:rPr>
          <w:rFonts w:hint="eastAsia" w:ascii="仿宋_GB2312" w:eastAsia="仿宋_GB2312" w:cs="仿宋_GB2312"/>
          <w:color w:val="000000"/>
          <w:kern w:val="2"/>
          <w:sz w:val="32"/>
          <w:szCs w:val="32"/>
          <w:lang w:val="en-US" w:eastAsia="zh-CN" w:bidi="ar-SA"/>
        </w:rPr>
        <w:t>万元，占本年支出合计的100%。与2023相比，一般公共预算财政拨款</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21.49</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增长</w:t>
      </w:r>
      <w:r>
        <w:rPr>
          <w:rFonts w:hint="eastAsia" w:ascii="仿宋" w:eastAsia="仿宋"/>
          <w:color w:val="auto"/>
          <w:sz w:val="32"/>
          <w:szCs w:val="32"/>
          <w:highlight w:val="none"/>
          <w:lang w:val="en-US" w:eastAsia="zh-CN"/>
        </w:rPr>
        <w:t>2</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：人员变动，项目经费增加。</w:t>
      </w:r>
    </w:p>
    <w:p w14:paraId="5F0D3E5E">
      <w:pPr>
        <w:pStyle w:val="5"/>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324475" cy="2619375"/>
            <wp:effectExtent l="0" t="0" r="15" b="39"/>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DA2D486">
      <w:pPr>
        <w:pStyle w:val="5"/>
        <w:ind w:firstLine="0"/>
        <w:rPr>
          <w:rFonts w:ascii="仿宋_GB2312" w:eastAsia="仿宋_GB2312"/>
          <w:b/>
          <w:color w:val="000000"/>
          <w:sz w:val="32"/>
          <w:szCs w:val="32"/>
        </w:rPr>
      </w:pPr>
    </w:p>
    <w:p w14:paraId="7ECB21D4">
      <w:pPr>
        <w:pStyle w:val="5"/>
        <w:ind w:firstLine="0"/>
        <w:rPr>
          <w:rFonts w:ascii="仿宋_GB2312" w:eastAsia="仿宋_GB2312"/>
          <w:b/>
          <w:color w:val="000000"/>
          <w:sz w:val="32"/>
          <w:szCs w:val="32"/>
        </w:rPr>
      </w:pPr>
    </w:p>
    <w:p w14:paraId="3F5D24D4">
      <w:pPr>
        <w:pStyle w:val="5"/>
        <w:ind w:firstLine="0"/>
        <w:rPr>
          <w:rFonts w:ascii="仿宋_GB2312" w:eastAsia="仿宋_GB2312"/>
          <w:b/>
          <w:color w:val="000000"/>
          <w:sz w:val="32"/>
          <w:szCs w:val="32"/>
        </w:rPr>
      </w:pPr>
    </w:p>
    <w:p w14:paraId="46B4B471">
      <w:pPr>
        <w:pStyle w:val="5"/>
        <w:ind w:firstLine="0"/>
        <w:rPr>
          <w:rFonts w:ascii="仿宋_GB2312" w:eastAsia="仿宋_GB2312"/>
          <w:b/>
          <w:color w:val="000000"/>
          <w:sz w:val="32"/>
          <w:szCs w:val="32"/>
        </w:rPr>
      </w:pPr>
    </w:p>
    <w:p w14:paraId="3108EE99">
      <w:pPr>
        <w:pStyle w:val="5"/>
        <w:ind w:firstLine="0"/>
        <w:rPr>
          <w:rFonts w:ascii="仿宋_GB2312" w:eastAsia="仿宋_GB2312"/>
          <w:b/>
          <w:color w:val="000000"/>
          <w:sz w:val="32"/>
          <w:szCs w:val="32"/>
        </w:rPr>
      </w:pPr>
    </w:p>
    <w:p w14:paraId="597DCB1F">
      <w:pPr>
        <w:pStyle w:val="5"/>
        <w:ind w:firstLine="0"/>
        <w:rPr>
          <w:rFonts w:ascii="仿宋_GB2312" w:eastAsia="仿宋_GB2312"/>
          <w:b/>
          <w:color w:val="000000"/>
          <w:sz w:val="32"/>
          <w:szCs w:val="32"/>
        </w:rPr>
      </w:pPr>
    </w:p>
    <w:bookmarkEnd w:id="59"/>
    <w:p w14:paraId="04087A39">
      <w:pPr>
        <w:spacing w:line="600" w:lineRule="exact"/>
        <w:ind w:firstLine="643" w:firstLineChars="200"/>
        <w:outlineLvl w:val="2"/>
        <w:rPr>
          <w:rFonts w:hint="eastAsia" w:ascii="楷体_GB2312" w:eastAsia="楷体_GB2312" w:cs="楷体_GB2312"/>
          <w:b/>
          <w:bCs w:val="0"/>
          <w:color w:val="000000"/>
          <w:sz w:val="32"/>
          <w:szCs w:val="32"/>
        </w:rPr>
      </w:pPr>
    </w:p>
    <w:p w14:paraId="162B243A">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14:paraId="7E6729E2">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2024年一般公共预算财政拨款支出1120.60万元，主要用于以下方面:一般公共服务支出890.16万元，占79.4%；社会保障和就业支出115.74万元，占10.3%；卫生健康支出50.39万元，占4.5%；住房保障支出64.30万元，占5.7%。</w:t>
      </w:r>
    </w:p>
    <w:p w14:paraId="287B30E7">
      <w:pPr>
        <w:pStyle w:val="5"/>
      </w:pPr>
      <w:bookmarkStart w:id="62" w:name="_Toc15377212"/>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F811A0E">
      <w:pPr>
        <w:pStyle w:val="5"/>
      </w:pPr>
    </w:p>
    <w:p w14:paraId="1FC53EB3">
      <w:pPr>
        <w:spacing w:line="600" w:lineRule="exact"/>
        <w:ind w:firstLine="643" w:firstLineChars="200"/>
        <w:outlineLvl w:val="2"/>
        <w:rPr>
          <w:rFonts w:hint="eastAsia" w:ascii="楷体_GB2312" w:eastAsia="楷体_GB2312" w:cs="楷体_GB2312"/>
          <w:b/>
          <w:bCs w:val="0"/>
          <w:color w:val="000000"/>
          <w:sz w:val="32"/>
          <w:szCs w:val="32"/>
        </w:rPr>
      </w:pPr>
    </w:p>
    <w:p w14:paraId="25A08F70">
      <w:pPr>
        <w:spacing w:line="600" w:lineRule="exact"/>
        <w:ind w:firstLine="643" w:firstLineChars="200"/>
        <w:outlineLvl w:val="2"/>
        <w:rPr>
          <w:rFonts w:hint="eastAsia" w:ascii="楷体_GB2312" w:eastAsia="楷体_GB2312" w:cs="楷体_GB2312"/>
          <w:b/>
          <w:bCs w:val="0"/>
          <w:color w:val="000000"/>
          <w:sz w:val="32"/>
          <w:szCs w:val="32"/>
        </w:rPr>
      </w:pPr>
    </w:p>
    <w:p w14:paraId="404A3F0C">
      <w:pPr>
        <w:spacing w:line="600" w:lineRule="exact"/>
        <w:ind w:firstLine="643" w:firstLineChars="200"/>
        <w:outlineLvl w:val="2"/>
        <w:rPr>
          <w:rFonts w:hint="eastAsia" w:ascii="楷体_GB2312" w:eastAsia="楷体_GB2312" w:cs="楷体_GB2312"/>
          <w:b/>
          <w:bCs w:val="0"/>
          <w:color w:val="000000"/>
          <w:sz w:val="32"/>
          <w:szCs w:val="32"/>
        </w:rPr>
      </w:pPr>
    </w:p>
    <w:p w14:paraId="07C8FEF2">
      <w:pPr>
        <w:spacing w:line="600" w:lineRule="exact"/>
        <w:ind w:firstLine="643" w:firstLineChars="200"/>
        <w:outlineLvl w:val="2"/>
        <w:rPr>
          <w:rFonts w:hint="eastAsia" w:ascii="楷体_GB2312" w:eastAsia="楷体_GB2312" w:cs="楷体_GB2312"/>
          <w:b/>
          <w:bCs w:val="0"/>
          <w:color w:val="000000"/>
          <w:sz w:val="32"/>
          <w:szCs w:val="32"/>
        </w:rPr>
      </w:pPr>
    </w:p>
    <w:p w14:paraId="2F2911CA">
      <w:pPr>
        <w:spacing w:line="600" w:lineRule="exact"/>
        <w:outlineLvl w:val="2"/>
        <w:rPr>
          <w:rFonts w:hint="eastAsia" w:ascii="楷体_GB2312" w:eastAsia="楷体_GB2312" w:cs="楷体_GB2312"/>
          <w:b/>
          <w:bCs w:val="0"/>
          <w:color w:val="000000"/>
          <w:sz w:val="32"/>
          <w:szCs w:val="32"/>
          <w:highlight w:val="yellow"/>
        </w:rPr>
      </w:pPr>
    </w:p>
    <w:p w14:paraId="25EE015B">
      <w:pPr>
        <w:pStyle w:val="3"/>
        <w:pageBreakBefore w:val="0"/>
        <w:numPr>
          <w:ilvl w:val="0"/>
          <w:numId w:val="0"/>
        </w:numPr>
        <w:kinsoku/>
        <w:wordWrap/>
        <w:overflowPunct/>
        <w:topLinePunct w:val="0"/>
        <w:autoSpaceDE/>
        <w:autoSpaceDN/>
        <w:bidi w:val="0"/>
        <w:spacing w:before="0" w:after="0" w:line="576" w:lineRule="exact"/>
        <w:ind w:firstLine="643" w:firstLineChars="200"/>
        <w:textAlignment w:val="auto"/>
        <w:rPr>
          <w:rFonts w:hint="eastAsia" w:ascii="楷体_GB2312" w:eastAsia="楷体_GB2312" w:cs="楷体_GB2312"/>
          <w:b/>
          <w:bCs w:val="0"/>
          <w:color w:val="000000"/>
          <w:sz w:val="32"/>
          <w:szCs w:val="32"/>
          <w:highlight w:val="none"/>
        </w:rPr>
      </w:pPr>
      <w:bookmarkStart w:id="63" w:name="_Toc705"/>
      <w:bookmarkStart w:id="64" w:name="_Toc5138"/>
      <w:r>
        <w:rPr>
          <w:rFonts w:hint="eastAsia" w:ascii="楷体_GB2312" w:eastAsia="楷体_GB2312" w:cs="楷体_GB2312"/>
          <w:b/>
          <w:bCs w:val="0"/>
          <w:color w:val="000000"/>
          <w:sz w:val="32"/>
          <w:szCs w:val="32"/>
          <w:highlight w:val="none"/>
        </w:rPr>
        <w:t>（三）一般公共预算财政拨款支出决算具体情况</w:t>
      </w:r>
      <w:bookmarkEnd w:id="62"/>
      <w:bookmarkEnd w:id="63"/>
      <w:bookmarkEnd w:id="64"/>
    </w:p>
    <w:p w14:paraId="4DFEAD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65" w:name="_Toc15377213"/>
      <w:bookmarkStart w:id="66" w:name="_Toc15378460"/>
      <w:bookmarkStart w:id="67" w:name="_Toc15377444"/>
      <w:r>
        <w:rPr>
          <w:rFonts w:hint="eastAsia" w:ascii="仿宋_GB2312" w:eastAsia="仿宋_GB2312" w:cs="仿宋_GB2312"/>
          <w:color w:val="000000"/>
          <w:kern w:val="2"/>
          <w:sz w:val="32"/>
          <w:szCs w:val="32"/>
          <w:lang w:val="en-US" w:eastAsia="zh-CN" w:bidi="ar-SA"/>
        </w:rPr>
        <w:t>2024年一般公共预算支出决算数为1120.60万元，完成预算100%。其中：</w:t>
      </w:r>
      <w:bookmarkEnd w:id="65"/>
      <w:bookmarkEnd w:id="66"/>
      <w:bookmarkEnd w:id="67"/>
    </w:p>
    <w:p w14:paraId="0D2377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1.一般公共服务支出（201）党委办公厅（室）及相关机构事务（31）行政运行（01）支出决算682.16万元，完成预算100%，决算数与预算数持平。</w:t>
      </w:r>
    </w:p>
    <w:p w14:paraId="1A77F7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2.一般公共服务支出（201）党委办公厅（室）及相关机构事务（31）一般行政事务管理（02）支出决算208.00万元，完成预算100%，决算数与预算数持平。</w:t>
      </w:r>
    </w:p>
    <w:p w14:paraId="20C309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3.社会保障和就业支出（208）行政事业单位养老支出（05）机关事业单位基本养老保险缴费支出（05）支出决算77.16万元，完成预算100%，决算数与预算数持平。</w:t>
      </w:r>
    </w:p>
    <w:p w14:paraId="3A3140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4.社会保障和就业支出（208）行政事业单位养老支出（05）机关事业单位职业年金缴费支出（06）支出决算38.58万元，完成预算100%，决算数与预算数持平。</w:t>
      </w:r>
    </w:p>
    <w:p w14:paraId="15F2C2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5.卫生健康支出（210）行政事业单位医疗（11）行政单位医疗（01）支出决算50.39万元，完成预算100%，决算数与预算数持平。</w:t>
      </w:r>
    </w:p>
    <w:p w14:paraId="567CBC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6.住房保障支出（221）住房改革支出（02）住房公积金（01）支出决算63.10万元，完成预算100%，决算数与预算数持平。</w:t>
      </w:r>
    </w:p>
    <w:p w14:paraId="0D6486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eastAsia="黑体" w:cs="Times New Roman"/>
          <w:bCs w:val="0"/>
          <w:color w:val="000000"/>
        </w:rPr>
      </w:pPr>
      <w:bookmarkStart w:id="68" w:name="_Toc15377214"/>
      <w:bookmarkStart w:id="69" w:name="_Toc32028"/>
      <w:bookmarkStart w:id="70" w:name="_Toc111208504"/>
      <w:r>
        <w:rPr>
          <w:rFonts w:hint="eastAsia" w:ascii="仿宋_GB2312" w:eastAsia="仿宋_GB2312" w:cs="仿宋_GB2312"/>
          <w:color w:val="000000"/>
          <w:kern w:val="2"/>
          <w:sz w:val="32"/>
          <w:szCs w:val="32"/>
          <w:lang w:val="en-US" w:eastAsia="zh-CN" w:bidi="ar-SA"/>
        </w:rPr>
        <w:t>7.住房保障支出（221）住房改革支出（02）购房补贴（03）支出决算1.20万元，完成预算100%，决算数与预算数持平。</w:t>
      </w:r>
    </w:p>
    <w:p w14:paraId="3B6F4C4F">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71" w:name="_Toc9404"/>
      <w:r>
        <w:rPr>
          <w:rFonts w:hint="eastAsia" w:ascii="黑体" w:eastAsia="黑体"/>
          <w:b w:val="0"/>
          <w:color w:val="000000"/>
          <w:lang w:val="en-US" w:eastAsia="zh-CN"/>
        </w:rPr>
        <w:t>六、一般公共预算财政拨款基本支出决算情况说</w:t>
      </w:r>
      <w:bookmarkEnd w:id="68"/>
      <w:r>
        <w:rPr>
          <w:rFonts w:hint="eastAsia" w:ascii="黑体" w:eastAsia="黑体"/>
          <w:b w:val="0"/>
          <w:color w:val="000000"/>
          <w:lang w:val="en-US" w:eastAsia="zh-CN"/>
        </w:rPr>
        <w:t>明</w:t>
      </w:r>
      <w:bookmarkEnd w:id="69"/>
      <w:bookmarkEnd w:id="70"/>
      <w:bookmarkEnd w:id="71"/>
    </w:p>
    <w:p w14:paraId="3B0021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2024年一般公共预算财政拨款基本支出912.60万元，其中：</w:t>
      </w:r>
    </w:p>
    <w:p w14:paraId="0119EA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809.79万元，主要包括：基本工资179.03万元、津贴补贴162.41万元、奖金206.99万元、机关事业单位基本养老保险缴费77.16万元、职业年金缴费38.58万元、职工基本医疗保险缴费50.39万元、其他社会保障缴费10.73万元、住房公积金63.10万元、医疗费8.21万元、生活补助13.14万元、奖励金0.04万元。</w:t>
      </w:r>
    </w:p>
    <w:p w14:paraId="2A37E8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公用经费102.81万元，主要包括：办公费17.00万元、邮电费3.00万元、差旅费10.00万元、培训费0.88万元、公务接待费0.35万元、公务用车运行维护费71.58万元。</w:t>
      </w:r>
    </w:p>
    <w:p w14:paraId="51DB94C1">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72" w:name="_Toc15377215"/>
      <w:bookmarkStart w:id="73" w:name="_Toc12613"/>
      <w:bookmarkStart w:id="74" w:name="_Toc8600"/>
      <w:bookmarkStart w:id="75" w:name="_Toc111208505"/>
      <w:r>
        <w:rPr>
          <w:rFonts w:hint="eastAsia" w:ascii="黑体" w:eastAsia="黑体"/>
          <w:b w:val="0"/>
          <w:color w:val="000000"/>
          <w:lang w:val="en-US" w:eastAsia="zh-CN"/>
        </w:rPr>
        <w:t>七、“三公”经费财政拨款支出决算情况说明</w:t>
      </w:r>
      <w:bookmarkEnd w:id="72"/>
      <w:bookmarkEnd w:id="73"/>
      <w:bookmarkEnd w:id="74"/>
      <w:bookmarkEnd w:id="75"/>
    </w:p>
    <w:p w14:paraId="60A63DD1">
      <w:pPr>
        <w:spacing w:line="600" w:lineRule="exact"/>
        <w:ind w:firstLine="643" w:firstLineChars="200"/>
        <w:outlineLvl w:val="2"/>
        <w:rPr>
          <w:rFonts w:ascii="仿宋" w:eastAsia="仿宋"/>
          <w:b/>
          <w:color w:val="000000"/>
          <w:sz w:val="32"/>
          <w:szCs w:val="32"/>
        </w:rPr>
      </w:pPr>
      <w:bookmarkStart w:id="76" w:name="_Toc15377216"/>
      <w:r>
        <w:rPr>
          <w:rFonts w:hint="eastAsia" w:ascii="楷体_GB2312" w:eastAsia="楷体_GB2312" w:cs="楷体_GB2312"/>
          <w:b/>
          <w:color w:val="000000"/>
          <w:sz w:val="32"/>
          <w:szCs w:val="32"/>
        </w:rPr>
        <w:t>（一）“三公”经费财政拨款支出决算总体情况说明</w:t>
      </w:r>
      <w:bookmarkEnd w:id="76"/>
    </w:p>
    <w:p w14:paraId="55C1ED1B">
      <w:pPr>
        <w:spacing w:line="600" w:lineRule="exact"/>
        <w:ind w:firstLine="640" w:firstLineChars="200"/>
        <w:outlineLvl w:val="2"/>
        <w:rPr>
          <w:rFonts w:hint="eastAsia" w:ascii="仿宋_GB2312" w:eastAsia="仿宋_GB2312" w:cs="仿宋_GB2312"/>
          <w:color w:val="000000"/>
          <w:kern w:val="2"/>
          <w:sz w:val="32"/>
          <w:szCs w:val="32"/>
          <w:lang w:val="en-US" w:eastAsia="zh-CN" w:bidi="ar-SA"/>
        </w:rPr>
      </w:pPr>
      <w:bookmarkStart w:id="77" w:name="_Toc15377217"/>
      <w:r>
        <w:rPr>
          <w:rFonts w:hint="eastAsia" w:ascii="仿宋_GB2312" w:eastAsia="仿宋_GB2312" w:cs="仿宋_GB2312"/>
          <w:color w:val="000000"/>
          <w:kern w:val="2"/>
          <w:sz w:val="32"/>
          <w:szCs w:val="32"/>
          <w:lang w:val="en-US" w:eastAsia="zh-CN" w:bidi="ar-SA"/>
        </w:rPr>
        <w:t>2024年“三公”经费财政拨款支出决算为71.93万元，完成预算100%。较上年度减少31.24万元，下降30.3%，主要原因是：厉行节约，压缩公车运行维护费支出。</w:t>
      </w:r>
    </w:p>
    <w:p w14:paraId="70D6AEA3">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77"/>
    </w:p>
    <w:p w14:paraId="4BF443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 w:eastAsia="仿宋"/>
          <w:color w:val="000000"/>
          <w:sz w:val="32"/>
          <w:szCs w:val="32"/>
        </w:rPr>
        <w:t>2</w:t>
      </w:r>
      <w:r>
        <w:rPr>
          <w:rFonts w:hint="eastAsia" w:ascii="仿宋_GB2312" w:eastAsia="仿宋_GB2312" w:cs="仿宋_GB2312"/>
          <w:color w:val="000000"/>
          <w:kern w:val="2"/>
          <w:sz w:val="32"/>
          <w:szCs w:val="32"/>
          <w:lang w:val="en-US" w:eastAsia="zh-CN" w:bidi="ar-SA"/>
        </w:rPr>
        <w:t>024年“三公”经费财政拨款支出71.93万公车运行维护费支出决算71.58万元，占99.5</w:t>
      </w:r>
      <w:bookmarkStart w:id="156" w:name="_GoBack"/>
      <w:bookmarkEnd w:id="156"/>
      <w:r>
        <w:rPr>
          <w:rFonts w:hint="eastAsia" w:ascii="仿宋_GB2312" w:eastAsia="仿宋_GB2312" w:cs="仿宋_GB2312"/>
          <w:color w:val="000000"/>
          <w:kern w:val="2"/>
          <w:sz w:val="32"/>
          <w:szCs w:val="32"/>
          <w:lang w:val="en-US" w:eastAsia="zh-CN" w:bidi="ar-SA"/>
        </w:rPr>
        <w:t>%；公务接待费支出决算0.35万元，占0.5%。具体情况如下：</w:t>
      </w:r>
    </w:p>
    <w:p w14:paraId="07478A3C">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eastAsia="仿宋_GB2312" w:cs="仿宋_GB2312"/>
          <w:color w:val="000000"/>
          <w:kern w:val="2"/>
          <w:sz w:val="32"/>
          <w:szCs w:val="32"/>
          <w:lang w:val="en-US" w:eastAsia="zh-CN" w:bidi="ar-SA"/>
        </w:rPr>
      </w:pPr>
    </w:p>
    <w:p w14:paraId="0F05D789">
      <w:pPr>
        <w:pStyle w:val="5"/>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4394200" cy="2715260"/>
            <wp:effectExtent l="0" t="0" r="0" b="0"/>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2345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78" w:name="_Toc111208506"/>
      <w:bookmarkStart w:id="79" w:name="_Toc9979"/>
      <w:bookmarkStart w:id="80" w:name="_Toc15377218"/>
      <w:r>
        <w:rPr>
          <w:rFonts w:hint="eastAsia" w:ascii="仿宋_GB2312" w:eastAsia="仿宋_GB2312" w:cs="仿宋_GB2312"/>
          <w:color w:val="000000"/>
          <w:kern w:val="2"/>
          <w:sz w:val="32"/>
          <w:szCs w:val="32"/>
          <w:lang w:val="en-US" w:eastAsia="zh-CN" w:bidi="ar-SA"/>
        </w:rPr>
        <w:t>1.因公出国（境）经费支出0.00万元。全年安排因公出国（境）团组0次，出国（境）0人。因公出国（境）支出决算与2023年相比无变化。</w:t>
      </w:r>
    </w:p>
    <w:p w14:paraId="3071B4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2.公务用车购置费0.00万元,公务用车购置支出决算与2023年相比减少0.00万元。公车运行维护费71.58万元，完成预算100%，减少16.2%。主要原因是：压缩公车运行维护费支出。 </w:t>
      </w:r>
    </w:p>
    <w:p w14:paraId="07C666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中：公务用车购置支出0万元。全年按规定更新购置公务用车0辆，其中：轿车0辆、金额0万元，越野车0辆、金额0万元，载客汽车0辆、金额0万元。截至2024年12月底，单位共有公务用车8辆，其中：轿车0辆、越野车8辆、载客汽车0辆。</w:t>
      </w:r>
    </w:p>
    <w:p w14:paraId="73E1BA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公务用车运行维护费支出71.58万元（公务用车购置费0万元）。主要用于单位公务用车日常维修维护。 </w:t>
      </w:r>
    </w:p>
    <w:p w14:paraId="4FB42B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3.公务接待费支出0.35万元，完成预算100%。公务接待费支出决算与2023年相比增加0.12万元，增长52.8%。主要原因是：2024年业务活动增加。 </w:t>
      </w:r>
    </w:p>
    <w:p w14:paraId="427258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国内公务接待支出0.35万元。国内公务接待3批次，38人次（不包括陪同人员），共计支出0.23万元。</w:t>
      </w:r>
    </w:p>
    <w:p w14:paraId="3CDD82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外事接待支出0.00万元，外事接待0批次，0人，共计支出0.00万元。</w:t>
      </w:r>
    </w:p>
    <w:bookmarkEnd w:id="78"/>
    <w:bookmarkEnd w:id="79"/>
    <w:bookmarkEnd w:id="80"/>
    <w:p w14:paraId="269A4C03">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81" w:name="_Toc12098"/>
      <w:bookmarkStart w:id="82" w:name="_Toc16559"/>
      <w:bookmarkStart w:id="83" w:name="_Toc2930"/>
      <w:r>
        <w:rPr>
          <w:rFonts w:hint="eastAsia" w:ascii="黑体" w:eastAsia="黑体"/>
          <w:b w:val="0"/>
          <w:color w:val="000000"/>
          <w:lang w:val="en-US" w:eastAsia="zh-CN"/>
        </w:rPr>
        <w:t>八、政府性基金预算支出决算情况说明</w:t>
      </w:r>
      <w:bookmarkEnd w:id="81"/>
      <w:bookmarkEnd w:id="82"/>
    </w:p>
    <w:p w14:paraId="153389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2024年政府性基金预算拨款支出0.00万元</w:t>
      </w:r>
      <w:bookmarkStart w:id="84" w:name="_Toc15377219"/>
      <w:r>
        <w:rPr>
          <w:rFonts w:hint="eastAsia" w:ascii="仿宋_GB2312" w:eastAsia="仿宋_GB2312" w:cs="仿宋_GB2312"/>
          <w:color w:val="000000"/>
          <w:kern w:val="2"/>
          <w:sz w:val="32"/>
          <w:szCs w:val="32"/>
          <w:lang w:val="en-US" w:eastAsia="zh-CN" w:bidi="ar-SA"/>
        </w:rPr>
        <w:t>。与2023年相比无变化。</w:t>
      </w:r>
    </w:p>
    <w:p w14:paraId="49515B28">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85" w:name="_Toc111208507"/>
      <w:bookmarkStart w:id="86" w:name="_Toc19133"/>
      <w:bookmarkStart w:id="87" w:name="_Toc3598"/>
      <w:bookmarkStart w:id="88" w:name="_Toc19072"/>
      <w:r>
        <w:rPr>
          <w:rFonts w:hint="eastAsia" w:ascii="黑体" w:eastAsia="黑体"/>
          <w:b w:val="0"/>
          <w:color w:val="000000"/>
          <w:lang w:val="en-US" w:eastAsia="zh-CN"/>
        </w:rPr>
        <w:t>九、国有资本经营预算支出决算情况说明</w:t>
      </w:r>
      <w:bookmarkEnd w:id="84"/>
      <w:bookmarkEnd w:id="85"/>
      <w:bookmarkEnd w:id="86"/>
      <w:bookmarkEnd w:id="87"/>
      <w:bookmarkEnd w:id="88"/>
    </w:p>
    <w:p w14:paraId="57009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2024年国有资本经营预算拨款支出0万元。与2023年相比无变化。</w:t>
      </w:r>
    </w:p>
    <w:p w14:paraId="1F50D7D1">
      <w:pPr>
        <w:pStyle w:val="3"/>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89" w:name="_Toc15377221"/>
      <w:bookmarkStart w:id="90" w:name="_Toc24656"/>
      <w:bookmarkStart w:id="91" w:name="_Toc8975"/>
      <w:bookmarkStart w:id="92" w:name="_Toc111208508"/>
      <w:bookmarkStart w:id="93" w:name="_Toc22281"/>
      <w:r>
        <w:rPr>
          <w:rFonts w:hint="eastAsia" w:ascii="黑体" w:eastAsia="黑体"/>
          <w:b w:val="0"/>
          <w:color w:val="000000"/>
          <w:lang w:val="en-US" w:eastAsia="zh-CN"/>
        </w:rPr>
        <w:t>十、其他重要事项的情况说明</w:t>
      </w:r>
      <w:bookmarkEnd w:id="89"/>
      <w:bookmarkEnd w:id="90"/>
      <w:bookmarkEnd w:id="91"/>
      <w:bookmarkEnd w:id="92"/>
      <w:bookmarkEnd w:id="93"/>
      <w:bookmarkStart w:id="94" w:name="_Toc15377222"/>
    </w:p>
    <w:p w14:paraId="37A6BCFA">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（一）机关运行经费支出情况</w:t>
      </w:r>
      <w:bookmarkEnd w:id="94"/>
    </w:p>
    <w:p w14:paraId="7428C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2024年，机关运行经费支出102.81万元，与2023年相比减少30.46万元，减少29.6%。主要原因是：压缩经费开支，经费减少。 </w:t>
      </w:r>
      <w:bookmarkStart w:id="95" w:name="_Toc15377223"/>
    </w:p>
    <w:p w14:paraId="036E0A58">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bookmarkEnd w:id="95"/>
    </w:p>
    <w:p w14:paraId="559EA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政府采购支出总额0.00万元，其中：政府采购货物支出0.00万元、政府采购工程支出0.00万元、政府采购服务支出0.00万元。授予中小企业合同金额0.00万元，其中：授予小微企业合同金额0.00万元。较2023年相比无变化。</w:t>
      </w:r>
    </w:p>
    <w:p w14:paraId="15374640">
      <w:pPr>
        <w:spacing w:line="600" w:lineRule="exact"/>
        <w:ind w:firstLine="643" w:firstLineChars="200"/>
        <w:outlineLvl w:val="2"/>
        <w:rPr>
          <w:rFonts w:hint="eastAsia" w:ascii="楷体_GB2312" w:eastAsia="楷体_GB2312" w:cs="楷体_GB2312"/>
          <w:b/>
          <w:color w:val="000000"/>
          <w:sz w:val="32"/>
          <w:szCs w:val="32"/>
        </w:rPr>
      </w:pPr>
      <w:bookmarkStart w:id="96" w:name="_Toc15377224"/>
      <w:r>
        <w:rPr>
          <w:rFonts w:hint="eastAsia" w:ascii="楷体_GB2312" w:eastAsia="楷体_GB2312" w:cs="楷体_GB2312"/>
          <w:b/>
          <w:color w:val="000000"/>
          <w:sz w:val="32"/>
          <w:szCs w:val="32"/>
        </w:rPr>
        <w:t>（三）国有资产占有使用情况</w:t>
      </w:r>
      <w:bookmarkEnd w:id="96"/>
    </w:p>
    <w:p w14:paraId="29D32D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截至2024年12月31日，共有车辆8辆，其中：主要领导干部用车0辆、机要通信用车1辆、应急保障用车7辆、其他用车0辆。单价50万元以上通用设备0台（套），单价100万元以上专用设备0台（套）。较2023年相比无变化。</w:t>
      </w:r>
    </w:p>
    <w:p w14:paraId="01AB7A7B">
      <w:pPr>
        <w:spacing w:line="600" w:lineRule="exact"/>
        <w:ind w:firstLine="643" w:firstLineChars="200"/>
        <w:outlineLvl w:val="2"/>
        <w:rPr>
          <w:rFonts w:hint="eastAsia" w:ascii="楷体_GB2312" w:eastAsia="楷体_GB2312" w:cs="楷体_GB2312"/>
          <w:b/>
          <w:color w:val="000000"/>
          <w:sz w:val="32"/>
          <w:szCs w:val="32"/>
          <w:highlight w:val="none"/>
        </w:rPr>
      </w:pPr>
      <w:r>
        <w:rPr>
          <w:rFonts w:hint="eastAsia" w:ascii="楷体_GB2312" w:eastAsia="楷体_GB2312" w:cs="楷体_GB2312"/>
          <w:b/>
          <w:color w:val="000000"/>
          <w:sz w:val="32"/>
          <w:szCs w:val="32"/>
          <w:highlight w:val="none"/>
        </w:rPr>
        <w:t>（四）预算绩效管理情况</w:t>
      </w:r>
    </w:p>
    <w:p w14:paraId="2BE6089B">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2024年度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eastAsia="zh-CN"/>
        </w:rPr>
        <w:t>设备维修维护、办公经费等</w:t>
      </w:r>
      <w:r>
        <w:rPr>
          <w:rFonts w:hint="eastAsia" w:ascii="仿宋_GB2312" w:eastAsia="仿宋_GB2312" w:cs="仿宋_GB2312"/>
          <w:color w:val="auto"/>
          <w:sz w:val="32"/>
          <w:szCs w:val="32"/>
          <w:highlight w:val="none"/>
          <w:lang w:val="en-US" w:eastAsia="zh-CN"/>
        </w:rPr>
        <w:t>3个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14:paraId="4623342B">
      <w:pPr>
        <w:spacing w:line="580" w:lineRule="exact"/>
        <w:ind w:firstLine="640" w:firstLineChars="200"/>
        <w:rPr>
          <w:rFonts w:hint="eastAsia"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2024年度一般公共预算、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全面开展绩效自评，形成中共茂县县委办公室</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项目</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000000"/>
          <w:sz w:val="32"/>
          <w:szCs w:val="32"/>
        </w:rPr>
        <w:t>绩效目标完成情况整体良好</w:t>
      </w:r>
      <w:r>
        <w:rPr>
          <w:rFonts w:hint="eastAsia" w:ascii="仿宋_GB2312" w:hAnsi="仿宋_GB2312" w:eastAsia="仿宋_GB2312" w:cs="仿宋_GB2312"/>
          <w:color w:val="000000"/>
          <w:sz w:val="32"/>
          <w:szCs w:val="32"/>
          <w:lang w:eastAsia="zh-CN"/>
        </w:rPr>
        <w:t>，自评良好</w:t>
      </w:r>
      <w:r>
        <w:rPr>
          <w:rFonts w:hint="eastAsia" w:ascii="仿宋_GB2312" w:hAnsi="仿宋_GB2312" w:eastAsia="仿宋_GB2312" w:cs="仿宋_GB2312"/>
          <w:color w:val="000000"/>
          <w:sz w:val="32"/>
          <w:szCs w:val="32"/>
        </w:rPr>
        <w:t>。</w:t>
      </w:r>
    </w:p>
    <w:p w14:paraId="2927A53C">
      <w:pPr>
        <w:pStyle w:val="2"/>
        <w:jc w:val="center"/>
        <w:rPr>
          <w:rFonts w:hint="eastAsia" w:ascii="黑体" w:eastAsia="黑体" w:cs="黑体"/>
        </w:rPr>
      </w:pPr>
    </w:p>
    <w:p w14:paraId="27D55D92">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97" w:name="_Toc23778"/>
      <w:r>
        <w:rPr>
          <w:rStyle w:val="24"/>
          <w:rFonts w:hint="eastAsia" w:ascii="方正公文小标宋" w:hAnsi="方正公文小标宋" w:eastAsia="方正公文小标宋" w:cs="方正公文小标宋"/>
          <w:b/>
          <w:bCs/>
          <w:lang w:val="en-US" w:eastAsia="zh-CN"/>
        </w:rPr>
        <w:t>第三部分 名词解释</w:t>
      </w:r>
      <w:bookmarkEnd w:id="83"/>
      <w:bookmarkEnd w:id="97"/>
    </w:p>
    <w:p w14:paraId="42A825FC">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3B589832">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1A1D804D">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09CA0238">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14:paraId="1F880D57">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14:paraId="0483DAF5">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14:paraId="56138655">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14:paraId="77C82926">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14:paraId="0B82131C">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14:paraId="06ED901C">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14:paraId="4D008554">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14:paraId="0859F165">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14:paraId="4B8D05CE">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14:paraId="138DC27D">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14:paraId="3C7D33EE">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14:paraId="600ADB9D">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14:paraId="5F64A1E0">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14:paraId="65EA6431">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14:paraId="1F149814">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8E2377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Style w:val="24"/>
          <w:rFonts w:hint="eastAsia" w:ascii="仿宋_GB2312" w:eastAsia="仿宋_GB2312" w:cs="仿宋_GB231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Style w:val="24"/>
          <w:rFonts w:hint="eastAsia" w:ascii="仿宋_GB2312" w:eastAsia="仿宋_GB2312" w:cs="仿宋_GB2312"/>
        </w:rPr>
        <w:br w:type="page"/>
      </w:r>
    </w:p>
    <w:p w14:paraId="1D3365C6">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98" w:name="_Toc15177"/>
      <w:bookmarkStart w:id="99" w:name="_Toc13401"/>
      <w:bookmarkStart w:id="100" w:name="_Toc111208510"/>
      <w:bookmarkStart w:id="101" w:name="_Toc29502"/>
      <w:r>
        <w:rPr>
          <w:rStyle w:val="24"/>
          <w:rFonts w:hint="eastAsia" w:ascii="方正公文小标宋" w:hAnsi="方正公文小标宋" w:eastAsia="方正公文小标宋" w:cs="方正公文小标宋"/>
          <w:b/>
          <w:bCs/>
          <w:lang w:val="en-US" w:eastAsia="zh-CN"/>
        </w:rPr>
        <w:t>第四部分 附件</w:t>
      </w:r>
      <w:bookmarkEnd w:id="98"/>
      <w:bookmarkEnd w:id="99"/>
      <w:bookmarkEnd w:id="100"/>
    </w:p>
    <w:p w14:paraId="2C7A59C3">
      <w:pPr>
        <w:widowControl/>
        <w:spacing w:line="600" w:lineRule="exact"/>
        <w:jc w:val="left"/>
        <w:textAlignment w:val="center"/>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附表1</w:t>
      </w:r>
    </w:p>
    <w:p w14:paraId="51B9EB48">
      <w:pPr>
        <w:widowControl/>
        <w:spacing w:line="600" w:lineRule="exact"/>
        <w:jc w:val="center"/>
        <w:textAlignment w:val="center"/>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部门预算绩效自评打分表</w:t>
      </w:r>
    </w:p>
    <w:tbl>
      <w:tblPr>
        <w:tblStyle w:val="19"/>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3EF3BE23">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B6ACF2">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3D6E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0E135224">
            <w:pPr>
              <w:widowControl/>
              <w:spacing w:line="240"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6338740">
            <w:pPr>
              <w:widowControl/>
              <w:spacing w:line="240"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备注</w:t>
            </w:r>
          </w:p>
        </w:tc>
      </w:tr>
      <w:tr w14:paraId="185AEE2F">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46E63A2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B81D">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4A6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B74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5AE67">
            <w:pPr>
              <w:widowControl/>
              <w:spacing w:line="240" w:lineRule="exact"/>
              <w:jc w:val="center"/>
              <w:rPr>
                <w:rFonts w:hint="eastAsia" w:ascii="仿宋_GB2312" w:hAnsi="仿宋_GB2312" w:eastAsia="仿宋_GB2312" w:cs="仿宋_GB2312"/>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592730E5">
            <w:pPr>
              <w:widowControl/>
              <w:spacing w:line="240" w:lineRule="exact"/>
              <w:jc w:val="center"/>
              <w:rPr>
                <w:rFonts w:hint="eastAsia" w:ascii="仿宋_GB2312" w:hAnsi="仿宋_GB2312" w:eastAsia="仿宋_GB2312" w:cs="仿宋_GB2312"/>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4880C72B">
            <w:pPr>
              <w:widowControl/>
              <w:spacing w:line="240" w:lineRule="exact"/>
              <w:jc w:val="center"/>
              <w:rPr>
                <w:rFonts w:hint="eastAsia" w:ascii="仿宋_GB2312" w:hAnsi="仿宋_GB2312" w:eastAsia="仿宋_GB2312" w:cs="仿宋_GB2312"/>
                <w:color w:val="000000"/>
                <w:sz w:val="24"/>
              </w:rPr>
            </w:pPr>
          </w:p>
        </w:tc>
      </w:tr>
      <w:tr w14:paraId="70A63628">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09DF3">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总体绩效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0684">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履职效能</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ACA0">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1AB857E1">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2FD0">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014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4C80">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0FCF664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EDBAD">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D62EF">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预算管理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CD5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8822">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B014">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37C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C85B">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092D1ADE">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F03EB">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1D63E">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6B47">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D09C">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F030">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C87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4AA1">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C6E6A3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F3669">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37C9B">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13A2">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D42F">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CE03">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D29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55C2">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3EF0A0E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0D312">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EC9AD">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30FD">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C96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8C9D">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AE5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EA68E">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046FABE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A5C50">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5C895">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99A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3B3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4B8B">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0F1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A99F">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50AA0BC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4CC4F">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906E2">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财务管理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A16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7B05">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0416">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AF2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6F60">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35DCE7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B45FD">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87074">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C354">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1FE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0108">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9C1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BC57">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65A553E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11935">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1A0AD">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F4F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F524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F4CF">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842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3A3D">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871A3A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77F83">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D83215">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资产管理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1BF0">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5ABF">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AD4B">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0F2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9EB7">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847A369">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0F293">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DAE6E">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9793">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5F3C">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73EA">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E79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BCAC">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5321CB3">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4FC4F">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总体绩效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987C">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资产管理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2B5E">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7A31">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FA00">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469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E71C">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49A142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574B6">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9D884">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采购管理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FB7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349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2F42">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DAA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3BFC">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0EAA53E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D604D">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D8CF8">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E9AE">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6CC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A4E4">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33C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8C88">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741312D">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89E6A">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2EBCF4B">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项目决策</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55C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203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3D8D">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FD65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F4BF">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6622119E">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898EF">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D7CFCBB">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CB4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913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B1DE">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966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606E">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5D22CAC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E4A57">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BBC3624">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620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4E2E">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BAC7">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BB2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12F2">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D8FB960">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2B89C">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109F6129">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项目执行</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A42D">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6473">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BBD2">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7CC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6263">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02CB5D66">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52D7E">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65F1A6D">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48438BE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78EE">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CAEA">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419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6FBB">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8F4C16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95D7A">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7454C70">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2433">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E25C">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54B5">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A5A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7DA6">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30D88DE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28843">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AC787">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目标实现</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9CE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DBB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5B92">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F0C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B04F">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3500EDAF">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14D23">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01A97">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4EE4">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B5D1">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609B">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0E1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6DD2">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6A73E60">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73326">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3FA0C">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F451">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FD9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CFDA">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6D1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EC34">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4230D3F">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60E8">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扣分项</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1EDD5">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AF55">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5B74">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21A0">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911A">
            <w:pPr>
              <w:widowControl/>
              <w:spacing w:line="240" w:lineRule="exact"/>
              <w:jc w:val="left"/>
              <w:textAlignment w:val="center"/>
              <w:rPr>
                <w:rFonts w:hint="eastAsia" w:ascii="仿宋_GB2312" w:hAnsi="仿宋_GB2312" w:eastAsia="仿宋_GB2312" w:cs="仿宋_GB2312"/>
                <w:color w:val="000000"/>
                <w:kern w:val="0"/>
                <w:sz w:val="24"/>
                <w:lang w:bidi="ar"/>
              </w:rPr>
            </w:pPr>
          </w:p>
        </w:tc>
      </w:tr>
    </w:tbl>
    <w:p w14:paraId="004AA4DA">
      <w:pPr>
        <w:pStyle w:val="37"/>
        <w:spacing w:line="20" w:lineRule="exact"/>
        <w:rPr>
          <w:rFonts w:hint="eastAsia" w:ascii="仿宋_GB2312" w:hAnsi="仿宋_GB2312" w:eastAsia="仿宋_GB2312" w:cs="仿宋_GB2312"/>
        </w:rPr>
      </w:pPr>
    </w:p>
    <w:p w14:paraId="7C09D921">
      <w:pPr>
        <w:rPr>
          <w:rFonts w:hint="eastAsia" w:ascii="仿宋_GB2312" w:hAnsi="仿宋_GB2312" w:eastAsia="仿宋_GB2312" w:cs="仿宋_GB2312"/>
        </w:rPr>
      </w:pPr>
      <w:r>
        <w:rPr>
          <w:rFonts w:hint="eastAsia" w:ascii="仿宋_GB2312" w:hAnsi="仿宋_GB2312" w:eastAsia="仿宋_GB2312" w:cs="仿宋_GB2312"/>
        </w:rPr>
        <w:br w:type="page"/>
      </w:r>
      <w:r>
        <w:rPr>
          <w:rFonts w:hint="eastAsia" w:ascii="黑体" w:hAnsi="黑体" w:eastAsia="黑体" w:cs="黑体"/>
          <w:color w:val="000000"/>
          <w:kern w:val="0"/>
          <w:sz w:val="32"/>
          <w:szCs w:val="32"/>
          <w:lang w:bidi="ar"/>
        </w:rPr>
        <w:t>附表2</w:t>
      </w:r>
    </w:p>
    <w:tbl>
      <w:tblPr>
        <w:tblStyle w:val="19"/>
        <w:tblW w:w="10560" w:type="dxa"/>
        <w:jc w:val="center"/>
        <w:tblLayout w:type="fixed"/>
        <w:tblCellMar>
          <w:top w:w="15" w:type="dxa"/>
          <w:left w:w="15" w:type="dxa"/>
          <w:bottom w:w="15" w:type="dxa"/>
          <w:right w:w="15" w:type="dxa"/>
        </w:tblCellMar>
      </w:tblPr>
      <w:tblGrid>
        <w:gridCol w:w="1308"/>
        <w:gridCol w:w="1347"/>
        <w:gridCol w:w="1273"/>
        <w:gridCol w:w="1409"/>
        <w:gridCol w:w="836"/>
        <w:gridCol w:w="1289"/>
        <w:gridCol w:w="1058"/>
        <w:gridCol w:w="926"/>
        <w:gridCol w:w="1114"/>
      </w:tblGrid>
      <w:tr w14:paraId="14E0C0FE">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37E8A08D">
            <w:pPr>
              <w:widowControl/>
              <w:spacing w:line="600" w:lineRule="exact"/>
              <w:jc w:val="center"/>
              <w:textAlignment w:val="center"/>
              <w:rPr>
                <w:rFonts w:hint="eastAsia" w:ascii="仿宋_GB2312" w:hAnsi="仿宋_GB2312" w:eastAsia="仿宋_GB2312" w:cs="仿宋_GB2312"/>
                <w:color w:val="000000"/>
                <w:sz w:val="28"/>
                <w:szCs w:val="28"/>
              </w:rPr>
            </w:pPr>
            <w:r>
              <w:rPr>
                <w:rFonts w:hint="eastAsia" w:ascii="黑体" w:hAnsi="黑体" w:eastAsia="黑体" w:cs="黑体"/>
                <w:color w:val="000000"/>
                <w:kern w:val="0"/>
                <w:sz w:val="32"/>
                <w:szCs w:val="32"/>
                <w:lang w:bidi="ar"/>
              </w:rPr>
              <w:t>部门整体绩效目标完成情况自评表</w:t>
            </w:r>
          </w:p>
        </w:tc>
      </w:tr>
      <w:tr w14:paraId="48CC1D92">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5D2C0B64">
            <w:pPr>
              <w:widowControl/>
              <w:spacing w:line="3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（2024年度）</w:t>
            </w:r>
          </w:p>
        </w:tc>
      </w:tr>
      <w:tr w14:paraId="22AC0025">
        <w:tblPrEx>
          <w:tblCellMar>
            <w:top w:w="15" w:type="dxa"/>
            <w:left w:w="15" w:type="dxa"/>
            <w:bottom w:w="15" w:type="dxa"/>
            <w:right w:w="15" w:type="dxa"/>
          </w:tblCellMar>
        </w:tblPrEx>
        <w:trPr>
          <w:trHeight w:val="475" w:hRule="atLeast"/>
          <w:jc w:val="center"/>
        </w:trPr>
        <w:tc>
          <w:tcPr>
            <w:tcW w:w="10560" w:type="dxa"/>
            <w:gridSpan w:val="9"/>
            <w:tcBorders>
              <w:bottom w:val="single" w:color="000000" w:sz="4" w:space="0"/>
            </w:tcBorders>
            <w:shd w:val="clear" w:color="auto" w:fill="auto"/>
            <w:vAlign w:val="center"/>
          </w:tcPr>
          <w:p w14:paraId="340D382A">
            <w:pPr>
              <w:widowControl/>
              <w:spacing w:line="300" w:lineRule="exact"/>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单位：万元</w:t>
            </w:r>
          </w:p>
        </w:tc>
      </w:tr>
      <w:tr w14:paraId="413A726D">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3DAB0">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03BC81">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中共茂县县委办公室</w:t>
            </w:r>
          </w:p>
        </w:tc>
      </w:tr>
      <w:tr w14:paraId="423EA048">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0AF86">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89C8F">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FBD1B">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4B1F06">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其他资金</w:t>
            </w:r>
          </w:p>
        </w:tc>
      </w:tr>
      <w:tr w14:paraId="45B80E53">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B1181">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580B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762A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11EF91">
            <w:pPr>
              <w:widowControl/>
              <w:spacing w:line="240" w:lineRule="exact"/>
              <w:jc w:val="left"/>
              <w:textAlignment w:val="center"/>
              <w:rPr>
                <w:rFonts w:hint="eastAsia" w:ascii="仿宋_GB2312" w:hAnsi="仿宋_GB2312" w:eastAsia="仿宋_GB2312" w:cs="仿宋_GB2312"/>
                <w:color w:val="000000"/>
                <w:kern w:val="0"/>
                <w:sz w:val="24"/>
                <w:lang w:eastAsia="zh-CN" w:bidi="ar"/>
              </w:rPr>
            </w:pPr>
            <w:r>
              <w:rPr>
                <w:rFonts w:hint="eastAsia" w:ascii="仿宋_GB2312" w:hAnsi="仿宋_GB2312" w:eastAsia="仿宋_GB2312" w:cs="仿宋_GB2312"/>
                <w:color w:val="000000"/>
                <w:kern w:val="0"/>
                <w:sz w:val="24"/>
                <w:lang w:val="en-US" w:eastAsia="zh-CN" w:bidi="ar"/>
              </w:rPr>
              <w:t>0</w:t>
            </w:r>
          </w:p>
        </w:tc>
      </w:tr>
      <w:tr w14:paraId="2AB647E7">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68F7">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年度总体</w:t>
            </w:r>
          </w:p>
          <w:p w14:paraId="15AE7A85">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F3C9A0">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保障单位日常工作正常运转，完成各项工作指标任务。</w:t>
            </w:r>
          </w:p>
        </w:tc>
      </w:tr>
      <w:tr w14:paraId="1D2CE7A0">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6021B">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年度主要</w:t>
            </w:r>
          </w:p>
          <w:p w14:paraId="74632668">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93CDA">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C98D95">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主要内容</w:t>
            </w:r>
          </w:p>
        </w:tc>
      </w:tr>
      <w:tr w14:paraId="32F406D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B1D7D">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CF2B1">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 xml:space="preserve">日常工作所需人员及运转经费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A1304F">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人员工资、各类保险、日常办公经费</w:t>
            </w:r>
          </w:p>
        </w:tc>
      </w:tr>
      <w:tr w14:paraId="5046D18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CFB1C">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5DFA5">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65555B">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3A42EF55">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38616">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年度绩效</w:t>
            </w:r>
          </w:p>
          <w:p w14:paraId="0C1ADF22">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7D49">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5136">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二级指标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0A0D">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三级指标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D450">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绩效指标</w:t>
            </w:r>
          </w:p>
          <w:p w14:paraId="73FEBE13">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91A3">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D85C">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6D75F310">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10F9">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实际完成</w:t>
            </w:r>
          </w:p>
          <w:p w14:paraId="2E5C0F75">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指标值</w:t>
            </w:r>
          </w:p>
        </w:tc>
      </w:tr>
      <w:tr w14:paraId="7A46532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9A770">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71FBE6C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5E6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数量指标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175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金额</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E07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3FB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78C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878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401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r>
      <w:tr w14:paraId="159C7CDC">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8AD98">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26D2E">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F9B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质量指标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25D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资金拨付率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537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14A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CB3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499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E78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r>
      <w:tr w14:paraId="716F8766">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462E6">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AAA19">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7DC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时效指标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7A5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资金到位及时率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4F8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E24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E44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657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2E5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r>
    </w:tbl>
    <w:p w14:paraId="0276C3D2">
      <w:pPr>
        <w:widowControl/>
        <w:spacing w:line="240" w:lineRule="exact"/>
        <w:jc w:val="left"/>
        <w:textAlignment w:val="center"/>
        <w:rPr>
          <w:rFonts w:hint="eastAsia" w:ascii="仿宋_GB2312" w:hAnsi="仿宋_GB2312" w:eastAsia="仿宋_GB2312" w:cs="仿宋_GB2312"/>
          <w:color w:val="000000"/>
          <w:kern w:val="0"/>
          <w:sz w:val="24"/>
          <w:lang w:bidi="ar"/>
        </w:rPr>
      </w:pPr>
    </w:p>
    <w:tbl>
      <w:tblPr>
        <w:tblStyle w:val="19"/>
        <w:tblW w:w="10560" w:type="dxa"/>
        <w:jc w:val="center"/>
        <w:tblLayout w:type="fixed"/>
        <w:tblCellMar>
          <w:top w:w="15" w:type="dxa"/>
          <w:left w:w="15" w:type="dxa"/>
          <w:bottom w:w="15" w:type="dxa"/>
          <w:right w:w="15" w:type="dxa"/>
        </w:tblCellMar>
      </w:tblPr>
      <w:tblGrid>
        <w:gridCol w:w="1308"/>
        <w:gridCol w:w="1347"/>
        <w:gridCol w:w="1273"/>
        <w:gridCol w:w="1424"/>
        <w:gridCol w:w="821"/>
        <w:gridCol w:w="1289"/>
        <w:gridCol w:w="1058"/>
        <w:gridCol w:w="926"/>
        <w:gridCol w:w="1114"/>
      </w:tblGrid>
      <w:tr w14:paraId="03B97AB9">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14:paraId="2128A345">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年度绩效</w:t>
            </w:r>
          </w:p>
          <w:p w14:paraId="72A76626">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指标</w:t>
            </w:r>
          </w:p>
        </w:tc>
        <w:tc>
          <w:tcPr>
            <w:tcW w:w="1347" w:type="dxa"/>
            <w:vMerge w:val="restart"/>
            <w:tcBorders>
              <w:top w:val="single" w:color="000000" w:sz="4" w:space="0"/>
              <w:left w:val="single" w:color="000000" w:sz="4" w:space="0"/>
              <w:right w:val="single" w:color="auto" w:sz="4" w:space="0"/>
            </w:tcBorders>
            <w:shd w:val="clear" w:color="auto" w:fill="auto"/>
            <w:vAlign w:val="center"/>
          </w:tcPr>
          <w:p w14:paraId="0F0B65A3">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效益指标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5A463C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可持续发展指标</w:t>
            </w:r>
          </w:p>
        </w:tc>
        <w:tc>
          <w:tcPr>
            <w:tcW w:w="1424" w:type="dxa"/>
            <w:tcBorders>
              <w:top w:val="single" w:color="000000" w:sz="4" w:space="0"/>
              <w:left w:val="single" w:color="auto" w:sz="4" w:space="0"/>
              <w:bottom w:val="single" w:color="000000" w:sz="4" w:space="0"/>
              <w:right w:val="single" w:color="000000" w:sz="4" w:space="0"/>
            </w:tcBorders>
            <w:shd w:val="clear" w:color="auto" w:fill="auto"/>
            <w:vAlign w:val="center"/>
          </w:tcPr>
          <w:p w14:paraId="4556DED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保障工作正常开展对社会带来的可持续发展效率</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06A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CDA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02E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306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465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r>
      <w:tr w14:paraId="581D21F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4F404">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1F6B0">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14:paraId="114E409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可持续影响指标</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8A3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保障工作正常开展对单位带来的可持续影响效率</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048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9F2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A92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888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6D9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r>
      <w:tr w14:paraId="308C3227">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A08DF">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0762">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C4F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满意度指标</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59C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该笔资金使该项工作得到顺利完成让社会得到的满意度</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AE3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BEA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E39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ABA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513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r>
    </w:tbl>
    <w:p w14:paraId="1080E33E">
      <w:pPr>
        <w:widowControl/>
        <w:spacing w:line="240" w:lineRule="exact"/>
        <w:jc w:val="left"/>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br w:type="page"/>
      </w:r>
    </w:p>
    <w:p w14:paraId="3CA807FA">
      <w:pPr>
        <w:pStyle w:val="37"/>
        <w:spacing w:before="0" w:after="0" w:line="578" w:lineRule="exact"/>
        <w:ind w:firstLine="640" w:firstLineChars="200"/>
        <w:rPr>
          <w:rFonts w:hint="eastAsia" w:ascii="黑体" w:hAnsi="黑体" w:eastAsia="黑体" w:cs="黑体"/>
          <w:b w:val="0"/>
          <w:color w:val="000000"/>
          <w:kern w:val="0"/>
          <w:sz w:val="32"/>
          <w:szCs w:val="32"/>
          <w:lang w:val="en-US" w:eastAsia="zh-CN" w:bidi="ar"/>
        </w:rPr>
      </w:pPr>
      <w:r>
        <w:rPr>
          <w:rFonts w:hint="eastAsia" w:ascii="黑体" w:hAnsi="黑体" w:eastAsia="黑体" w:cs="黑体"/>
          <w:b w:val="0"/>
          <w:color w:val="000000"/>
          <w:kern w:val="0"/>
          <w:sz w:val="32"/>
          <w:szCs w:val="32"/>
          <w:lang w:val="en-US" w:eastAsia="zh-CN" w:bidi="ar"/>
        </w:rPr>
        <w:t>附表3</w:t>
      </w:r>
    </w:p>
    <w:tbl>
      <w:tblPr>
        <w:tblStyle w:val="19"/>
        <w:tblW w:w="56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957"/>
        <w:gridCol w:w="786"/>
        <w:gridCol w:w="1082"/>
        <w:gridCol w:w="456"/>
        <w:gridCol w:w="727"/>
        <w:gridCol w:w="456"/>
        <w:gridCol w:w="1056"/>
        <w:gridCol w:w="576"/>
        <w:gridCol w:w="456"/>
        <w:gridCol w:w="2360"/>
      </w:tblGrid>
      <w:tr w14:paraId="57504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95388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黑体" w:hAnsi="黑体" w:eastAsia="黑体" w:cs="黑体"/>
                <w:color w:val="000000"/>
                <w:kern w:val="0"/>
                <w:sz w:val="32"/>
                <w:szCs w:val="32"/>
                <w:lang w:val="en-US" w:eastAsia="zh-CN" w:bidi="ar"/>
              </w:rPr>
              <w:t>部门预算项目支出绩效自评表（2024年度）</w:t>
            </w:r>
          </w:p>
        </w:tc>
      </w:tr>
      <w:tr w14:paraId="2B53C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676F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项目名称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A7DC4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51322324T000010468501-2024年设备维修维护</w:t>
            </w:r>
          </w:p>
        </w:tc>
      </w:tr>
      <w:tr w14:paraId="1E40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A5D3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主管部门</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52D72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w:t>
            </w:r>
          </w:p>
        </w:tc>
        <w:tc>
          <w:tcPr>
            <w:tcW w:w="441" w:type="pct"/>
            <w:tcBorders>
              <w:top w:val="nil"/>
              <w:left w:val="nil"/>
              <w:bottom w:val="nil"/>
              <w:right w:val="nil"/>
            </w:tcBorders>
            <w:shd w:val="clear" w:color="auto" w:fill="auto"/>
            <w:vAlign w:val="center"/>
          </w:tcPr>
          <w:p w14:paraId="0F9D577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实施单位 （盖章）</w:t>
            </w:r>
          </w:p>
        </w:tc>
        <w:tc>
          <w:tcPr>
            <w:tcW w:w="17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930B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中国共产党茂县委员会办公室（行政）</w:t>
            </w:r>
          </w:p>
        </w:tc>
      </w:tr>
      <w:tr w14:paraId="5627D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3273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项目基本情况</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4914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1.项目年度目标完成情况</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31F3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项目年度目标</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98F45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年度目标完成情况</w:t>
            </w:r>
          </w:p>
        </w:tc>
      </w:tr>
      <w:tr w14:paraId="45646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75D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9CBB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40610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2024年单位通信设备升级、维修维护等所需费用。其中TD工程400万元、2024换装16.1万元、线路租赁6万元、性能维护5.35万元、内网设备维护26.92万元</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2550F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对照年度目标，说明相关任务目标的完成情况（100字以内）</w:t>
            </w:r>
          </w:p>
        </w:tc>
      </w:tr>
      <w:tr w14:paraId="2C284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02CE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503E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2.项目实施内容及过程概述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3BC67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19113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AB18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预算执行情况（10分）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91C8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年度预算数（万元）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1749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年初预算</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B63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调整后预算数</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5AB1E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7383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预算执行率</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E83A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A00C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D42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原因</w:t>
            </w:r>
          </w:p>
        </w:tc>
      </w:tr>
      <w:tr w14:paraId="60685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56F1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BB85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总额</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07D3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11BF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CEA8C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0F7E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B1C5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5CB2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590A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F12C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E030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ED03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其中：财政资金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549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8178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4F89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680D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F60E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647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78E1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55572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C40A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7BE3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财政专户管理资金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EDD0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4C3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6DC8F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EA2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DDF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F62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F518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3F4EC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77E8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877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单位资金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C2F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43CE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ADB2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898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8E37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D13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13B0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516B6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1BC8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FAB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其他资金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080A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5C4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914E7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14FD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F27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1CE4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6AF1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201FE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2F94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绩效指标（90分）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48F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一级指标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44CA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B8B6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三级指标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E585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指标性质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1667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指标值</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E93E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度量单位</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253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完成值</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6D9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8DD5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E80E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未完成原因分析</w:t>
            </w:r>
          </w:p>
        </w:tc>
      </w:tr>
      <w:tr w14:paraId="79EE2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9772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0FED1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A014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质量指标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55DE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按标准完成2024年项目工作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D3C8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02AF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35C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89E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D0D1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40A0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5A26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1C765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0E90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42A1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140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时效指标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92A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根据项目建设内容，完成2024年资金支付进度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BEC9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2D56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E7F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B12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E69A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443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FD5A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36A27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3928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038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效益指标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AED9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社会效益指标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12C1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改善设备环境，保障信息安全不泄密</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7061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9A24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78B7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289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C39E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810A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B2B6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3EE18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93FE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5B7B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81DC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服务对象满意度指标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E241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提高信息化水平可持续性</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30CE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429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C2FB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9C9F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6D5D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2A78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7E7B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2CF2C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DD3E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84F3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6B09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A39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替换设备，提升职工工作满意度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138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B1E8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0A2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48C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8351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B769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5EBB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2AFC4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F079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9DA8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15B8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2AC2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提升信息工作安全满意度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BB0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07DD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69F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BA1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9AA6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40A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0623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3605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B0F4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C74B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成本指标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F486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经济成本指标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3FD4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控制成本，保质保量完成2024年项目工作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4E25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1B39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6C11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981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B5A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D3C6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8A48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2CA63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A0E5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37DD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AF8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社会成本指标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0D5B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控制设备成本，达到效率最大化</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544A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987B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F0F2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A3A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531E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A9C5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C1F5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54C10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25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C3693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合计</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4277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0637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8313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20CD0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517B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评价结论</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D81C8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结合自评情况，说明项目自评总分，说明项目实施取得的成效或成果。（200字以内）</w:t>
            </w:r>
          </w:p>
        </w:tc>
      </w:tr>
      <w:tr w14:paraId="4D4C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DCE9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存在问题</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CD006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结合自评情况，分析存在的问题及原因。（200字以内）</w:t>
            </w:r>
          </w:p>
        </w:tc>
      </w:tr>
      <w:tr w14:paraId="3DD09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0DD4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改进措施</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AC677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针对项目自评中发现的问题，提出下一步改进完善的意见及有关政策性建议。（200字以内）</w:t>
            </w:r>
          </w:p>
        </w:tc>
      </w:tr>
      <w:tr w14:paraId="6E21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6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B24C3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项目负责人：</w:t>
            </w:r>
          </w:p>
        </w:tc>
        <w:tc>
          <w:tcPr>
            <w:tcW w:w="28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812AC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财务负责人：</w:t>
            </w:r>
          </w:p>
        </w:tc>
      </w:tr>
      <w:tr w14:paraId="1F064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99" w:type="pct"/>
            <w:tcBorders>
              <w:top w:val="nil"/>
              <w:left w:val="nil"/>
              <w:bottom w:val="nil"/>
              <w:right w:val="nil"/>
            </w:tcBorders>
            <w:shd w:val="clear" w:color="auto" w:fill="auto"/>
            <w:vAlign w:val="center"/>
          </w:tcPr>
          <w:p w14:paraId="216D9DE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nil"/>
              <w:left w:val="nil"/>
              <w:bottom w:val="nil"/>
              <w:right w:val="nil"/>
            </w:tcBorders>
            <w:shd w:val="clear" w:color="auto" w:fill="auto"/>
            <w:vAlign w:val="center"/>
          </w:tcPr>
          <w:p w14:paraId="4EC1826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nil"/>
              <w:left w:val="nil"/>
              <w:bottom w:val="nil"/>
              <w:right w:val="nil"/>
            </w:tcBorders>
            <w:shd w:val="clear" w:color="auto" w:fill="auto"/>
            <w:vAlign w:val="center"/>
          </w:tcPr>
          <w:p w14:paraId="240902E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nil"/>
              <w:left w:val="nil"/>
              <w:bottom w:val="nil"/>
              <w:right w:val="nil"/>
            </w:tcBorders>
            <w:shd w:val="clear" w:color="auto" w:fill="auto"/>
            <w:vAlign w:val="center"/>
          </w:tcPr>
          <w:p w14:paraId="3F3AE75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14:paraId="2E89A28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0" w:type="pct"/>
            <w:tcBorders>
              <w:top w:val="nil"/>
              <w:left w:val="nil"/>
              <w:bottom w:val="nil"/>
              <w:right w:val="nil"/>
            </w:tcBorders>
            <w:shd w:val="clear" w:color="auto" w:fill="auto"/>
            <w:vAlign w:val="center"/>
          </w:tcPr>
          <w:p w14:paraId="668E7CB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14:paraId="38531DE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nil"/>
              <w:left w:val="nil"/>
              <w:bottom w:val="nil"/>
              <w:right w:val="nil"/>
            </w:tcBorders>
            <w:shd w:val="clear" w:color="auto" w:fill="auto"/>
            <w:vAlign w:val="center"/>
          </w:tcPr>
          <w:p w14:paraId="049EAE3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nil"/>
              <w:left w:val="nil"/>
              <w:bottom w:val="nil"/>
              <w:right w:val="nil"/>
            </w:tcBorders>
            <w:shd w:val="clear" w:color="auto" w:fill="auto"/>
            <w:vAlign w:val="center"/>
          </w:tcPr>
          <w:p w14:paraId="0D7F5A0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14:paraId="2E588A1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nil"/>
              <w:left w:val="nil"/>
              <w:bottom w:val="nil"/>
              <w:right w:val="nil"/>
            </w:tcBorders>
            <w:shd w:val="clear" w:color="auto" w:fill="auto"/>
            <w:vAlign w:val="center"/>
          </w:tcPr>
          <w:p w14:paraId="3D58150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p w14:paraId="5C5051BB">
            <w:pPr>
              <w:pStyle w:val="5"/>
              <w:rPr>
                <w:rFonts w:hint="eastAsia" w:ascii="仿宋_GB2312" w:hAnsi="仿宋_GB2312" w:eastAsia="仿宋_GB2312" w:cs="仿宋_GB2312"/>
                <w:color w:val="000000"/>
                <w:kern w:val="0"/>
                <w:sz w:val="24"/>
                <w:lang w:val="en-US" w:eastAsia="zh-CN" w:bidi="ar"/>
              </w:rPr>
            </w:pPr>
          </w:p>
          <w:p w14:paraId="4F4E6FB8">
            <w:pPr>
              <w:pStyle w:val="5"/>
              <w:rPr>
                <w:rFonts w:hint="eastAsia" w:ascii="仿宋_GB2312" w:hAnsi="仿宋_GB2312" w:eastAsia="仿宋_GB2312" w:cs="仿宋_GB2312"/>
                <w:color w:val="000000"/>
                <w:kern w:val="0"/>
                <w:sz w:val="24"/>
                <w:lang w:val="en-US" w:eastAsia="zh-CN" w:bidi="ar"/>
              </w:rPr>
            </w:pPr>
          </w:p>
          <w:p w14:paraId="730EEF9F">
            <w:pPr>
              <w:pStyle w:val="5"/>
              <w:rPr>
                <w:rFonts w:hint="eastAsia" w:ascii="仿宋_GB2312" w:hAnsi="仿宋_GB2312" w:eastAsia="仿宋_GB2312" w:cs="仿宋_GB2312"/>
                <w:color w:val="000000"/>
                <w:kern w:val="0"/>
                <w:sz w:val="24"/>
                <w:lang w:val="en-US" w:eastAsia="zh-CN" w:bidi="ar"/>
              </w:rPr>
            </w:pPr>
          </w:p>
          <w:p w14:paraId="42748E9E">
            <w:pPr>
              <w:pStyle w:val="5"/>
              <w:rPr>
                <w:rFonts w:hint="eastAsia" w:ascii="仿宋_GB2312" w:hAnsi="仿宋_GB2312" w:eastAsia="仿宋_GB2312" w:cs="仿宋_GB2312"/>
                <w:color w:val="000000"/>
                <w:kern w:val="0"/>
                <w:sz w:val="24"/>
                <w:lang w:val="en-US" w:eastAsia="zh-CN" w:bidi="ar"/>
              </w:rPr>
            </w:pPr>
          </w:p>
          <w:p w14:paraId="533D836F">
            <w:pPr>
              <w:pStyle w:val="5"/>
              <w:rPr>
                <w:rFonts w:hint="eastAsia" w:ascii="仿宋_GB2312" w:hAnsi="仿宋_GB2312" w:eastAsia="仿宋_GB2312" w:cs="仿宋_GB2312"/>
                <w:color w:val="000000"/>
                <w:kern w:val="0"/>
                <w:sz w:val="24"/>
                <w:lang w:val="en-US" w:eastAsia="zh-CN" w:bidi="ar"/>
              </w:rPr>
            </w:pPr>
          </w:p>
          <w:p w14:paraId="59D03687">
            <w:pPr>
              <w:pStyle w:val="5"/>
              <w:rPr>
                <w:rFonts w:hint="eastAsia" w:ascii="仿宋_GB2312" w:hAnsi="仿宋_GB2312" w:eastAsia="仿宋_GB2312" w:cs="仿宋_GB2312"/>
                <w:color w:val="000000"/>
                <w:kern w:val="0"/>
                <w:sz w:val="24"/>
                <w:lang w:val="en-US" w:eastAsia="zh-CN" w:bidi="ar"/>
              </w:rPr>
            </w:pPr>
          </w:p>
          <w:p w14:paraId="645737DB">
            <w:pPr>
              <w:pStyle w:val="5"/>
              <w:rPr>
                <w:rFonts w:hint="eastAsia" w:ascii="仿宋_GB2312" w:hAnsi="仿宋_GB2312" w:eastAsia="仿宋_GB2312" w:cs="仿宋_GB2312"/>
                <w:color w:val="000000"/>
                <w:kern w:val="0"/>
                <w:sz w:val="24"/>
                <w:lang w:val="en-US" w:eastAsia="zh-CN" w:bidi="ar"/>
              </w:rPr>
            </w:pPr>
          </w:p>
          <w:p w14:paraId="759DE36A">
            <w:pPr>
              <w:pStyle w:val="5"/>
              <w:rPr>
                <w:rFonts w:hint="eastAsia" w:ascii="仿宋_GB2312" w:hAnsi="仿宋_GB2312" w:eastAsia="仿宋_GB2312" w:cs="仿宋_GB2312"/>
                <w:color w:val="000000"/>
                <w:kern w:val="0"/>
                <w:sz w:val="24"/>
                <w:lang w:val="en-US" w:eastAsia="zh-CN" w:bidi="ar"/>
              </w:rPr>
            </w:pPr>
          </w:p>
          <w:p w14:paraId="0DFBB515">
            <w:pPr>
              <w:pStyle w:val="5"/>
              <w:rPr>
                <w:rFonts w:hint="eastAsia" w:ascii="仿宋_GB2312" w:hAnsi="仿宋_GB2312" w:eastAsia="仿宋_GB2312" w:cs="仿宋_GB2312"/>
                <w:color w:val="000000"/>
                <w:kern w:val="0"/>
                <w:sz w:val="24"/>
                <w:lang w:val="en-US" w:eastAsia="zh-CN" w:bidi="ar"/>
              </w:rPr>
            </w:pPr>
          </w:p>
          <w:p w14:paraId="65CDD759">
            <w:pPr>
              <w:pStyle w:val="5"/>
              <w:rPr>
                <w:rFonts w:hint="eastAsia" w:ascii="仿宋_GB2312" w:hAnsi="仿宋_GB2312" w:eastAsia="仿宋_GB2312" w:cs="仿宋_GB2312"/>
                <w:color w:val="000000"/>
                <w:kern w:val="0"/>
                <w:sz w:val="24"/>
                <w:lang w:val="en-US" w:eastAsia="zh-CN" w:bidi="ar"/>
              </w:rPr>
            </w:pPr>
          </w:p>
          <w:p w14:paraId="2E52D737">
            <w:pPr>
              <w:pStyle w:val="5"/>
              <w:rPr>
                <w:rFonts w:hint="eastAsia" w:ascii="仿宋_GB2312" w:hAnsi="仿宋_GB2312" w:eastAsia="仿宋_GB2312" w:cs="仿宋_GB2312"/>
                <w:color w:val="000000"/>
                <w:kern w:val="0"/>
                <w:sz w:val="24"/>
                <w:lang w:val="en-US" w:eastAsia="zh-CN" w:bidi="ar"/>
              </w:rPr>
            </w:pPr>
          </w:p>
          <w:p w14:paraId="5FB51291">
            <w:pPr>
              <w:pStyle w:val="5"/>
              <w:rPr>
                <w:rFonts w:hint="eastAsia" w:ascii="仿宋_GB2312" w:hAnsi="仿宋_GB2312" w:eastAsia="仿宋_GB2312" w:cs="仿宋_GB2312"/>
                <w:color w:val="000000"/>
                <w:kern w:val="0"/>
                <w:sz w:val="24"/>
                <w:lang w:val="en-US" w:eastAsia="zh-CN" w:bidi="ar"/>
              </w:rPr>
            </w:pPr>
          </w:p>
          <w:p w14:paraId="44B3D374">
            <w:pPr>
              <w:pStyle w:val="5"/>
              <w:rPr>
                <w:rFonts w:hint="eastAsia" w:ascii="仿宋_GB2312" w:hAnsi="仿宋_GB2312" w:eastAsia="仿宋_GB2312" w:cs="仿宋_GB2312"/>
                <w:color w:val="000000"/>
                <w:kern w:val="0"/>
                <w:sz w:val="24"/>
                <w:lang w:val="en-US" w:eastAsia="zh-CN" w:bidi="ar"/>
              </w:rPr>
            </w:pPr>
          </w:p>
          <w:p w14:paraId="6111665A">
            <w:pPr>
              <w:pStyle w:val="5"/>
              <w:rPr>
                <w:rFonts w:hint="eastAsia" w:ascii="仿宋_GB2312" w:hAnsi="仿宋_GB2312" w:eastAsia="仿宋_GB2312" w:cs="仿宋_GB2312"/>
                <w:color w:val="000000"/>
                <w:kern w:val="0"/>
                <w:sz w:val="24"/>
                <w:lang w:val="en-US" w:eastAsia="zh-CN" w:bidi="ar"/>
              </w:rPr>
            </w:pPr>
          </w:p>
        </w:tc>
      </w:tr>
      <w:tr w14:paraId="7AC1A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07213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部门预算项目支出绩效自评表（2024年度）</w:t>
            </w:r>
          </w:p>
        </w:tc>
      </w:tr>
      <w:tr w14:paraId="30B4E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79BF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项目名称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50CA1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51322325T000012409416-HJ建设</w:t>
            </w:r>
          </w:p>
        </w:tc>
      </w:tr>
      <w:tr w14:paraId="6340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6958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主管部门</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FCCFE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w:t>
            </w:r>
          </w:p>
        </w:tc>
        <w:tc>
          <w:tcPr>
            <w:tcW w:w="441" w:type="pct"/>
            <w:tcBorders>
              <w:top w:val="nil"/>
              <w:left w:val="nil"/>
              <w:bottom w:val="nil"/>
              <w:right w:val="nil"/>
            </w:tcBorders>
            <w:shd w:val="clear" w:color="auto" w:fill="auto"/>
            <w:vAlign w:val="center"/>
          </w:tcPr>
          <w:p w14:paraId="79BF755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实施单位 （盖章）</w:t>
            </w:r>
          </w:p>
        </w:tc>
        <w:tc>
          <w:tcPr>
            <w:tcW w:w="17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AF576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中国共产党茂县委员会办公室（行政）</w:t>
            </w:r>
          </w:p>
        </w:tc>
      </w:tr>
      <w:tr w14:paraId="08790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A57B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项目基本情况</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590A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1.项目年度目标完成情况</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2067F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项目年度目标</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92CC5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年度目标完成情况</w:t>
            </w:r>
          </w:p>
        </w:tc>
      </w:tr>
      <w:tr w14:paraId="00162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2BC1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BA3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F0BD9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HJ建设，保障县委信息安全与工作顺利进行</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AC3C4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对照年度目标，说明相关任务目标的完成情况（100字以内）</w:t>
            </w:r>
          </w:p>
        </w:tc>
      </w:tr>
      <w:tr w14:paraId="710F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8601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34A1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2.项目实施内容及过程概述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42949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193B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1838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预算执行情况（10分）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23A0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年度预算数（万元）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F78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年初预算</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899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调整后预算数</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F3BB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E74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预算执行率</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5CE7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E905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EAAB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原因</w:t>
            </w:r>
          </w:p>
        </w:tc>
      </w:tr>
      <w:tr w14:paraId="086D5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E830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1C77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总额</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08C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A81E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3B1D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02E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6FFA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04FC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E37E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D141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164A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57BA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其中：财政资金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B0B8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EFE7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87E2C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0CF8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377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B7F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160E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69D08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FB34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5D1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财政专户管理资金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F83B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338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31A7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DF1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439F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452B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87D1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61196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5CC9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2CE1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单位资金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6D56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460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321D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4BA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F7C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EED6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8D56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7A88A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CB98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CA2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其他资金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1A2E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AAC2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7BF3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24E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9387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AEA9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F65E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6B4A4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6DB9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绩效指标（90分）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9EF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一级指标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846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9CCF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三级指标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637D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指标性质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BC3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指标值</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99E8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度量单位</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C0E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完成值</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3DF6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A99B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E84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未完成原因分析</w:t>
            </w:r>
          </w:p>
        </w:tc>
      </w:tr>
      <w:tr w14:paraId="69386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3417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4FC4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6596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质量指标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2BF7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按标准完成2024年工作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1D93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8F0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422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0743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A55C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E2A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C2C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0D43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F885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09C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EB42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时效指标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E60B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按照建设时间要求完成建设内容</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1FA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5027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48F4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7D0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3D4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1D75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3F2F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03E1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88F3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3372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效益指标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977D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社会效益指标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55A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保障信息安全性及时性</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2C5C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F4B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5D4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F7E4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E375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33EC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662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18DBC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EC6B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8BA6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B01A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可持续影响指标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C22E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保障信息安全不泄密，可持续发展</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B84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7A39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10DB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6DCE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2D95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9A5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6452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7F56E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5204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CABF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ADD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9460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提升工作办公满意度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6EB6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4607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C5FE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583E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D34E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B56B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616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7B4A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2B79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8AD3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成本指标</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06AE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经济成本指标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A76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控制成本，达效益最大化</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0D03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FF7B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9C22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4342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AAC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93FD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EAD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085E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B73C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080B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A71C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41CD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控制成本，保质保量完成</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B5C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D0E9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5C01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C24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5D00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BE7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EFEE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598FC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25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BAE42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合计</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1B7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F9E6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367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527C7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A88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评价结论</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13DFF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结合自评情况，说明项目自评总分，说明项目实施取得的成效或成果。（200字以内）</w:t>
            </w:r>
          </w:p>
        </w:tc>
      </w:tr>
      <w:tr w14:paraId="6176A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F462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存在问题</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72978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结合自评情况，分析存在的问题及原因。（200字以内）</w:t>
            </w:r>
          </w:p>
        </w:tc>
      </w:tr>
      <w:tr w14:paraId="3C392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360C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改进措施</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64E8D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针对项目自评中发现的问题，提出下一步改进完善的意见及有关政策性建议。（200字以内）</w:t>
            </w:r>
          </w:p>
        </w:tc>
      </w:tr>
      <w:tr w14:paraId="21573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6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5AD02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项目负责人：</w:t>
            </w:r>
          </w:p>
        </w:tc>
        <w:tc>
          <w:tcPr>
            <w:tcW w:w="28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351C0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财务负责人：</w:t>
            </w:r>
          </w:p>
        </w:tc>
      </w:tr>
      <w:tr w14:paraId="4B70F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99" w:type="pct"/>
            <w:tcBorders>
              <w:top w:val="nil"/>
              <w:left w:val="nil"/>
              <w:bottom w:val="nil"/>
              <w:right w:val="nil"/>
            </w:tcBorders>
            <w:shd w:val="clear" w:color="auto" w:fill="auto"/>
            <w:vAlign w:val="center"/>
          </w:tcPr>
          <w:p w14:paraId="378EA8E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nil"/>
              <w:left w:val="nil"/>
              <w:bottom w:val="nil"/>
              <w:right w:val="nil"/>
            </w:tcBorders>
            <w:shd w:val="clear" w:color="auto" w:fill="auto"/>
            <w:vAlign w:val="center"/>
          </w:tcPr>
          <w:p w14:paraId="15E72A7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nil"/>
              <w:left w:val="nil"/>
              <w:bottom w:val="nil"/>
              <w:right w:val="nil"/>
            </w:tcBorders>
            <w:shd w:val="clear" w:color="auto" w:fill="auto"/>
            <w:vAlign w:val="center"/>
          </w:tcPr>
          <w:p w14:paraId="2CBA681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nil"/>
              <w:left w:val="nil"/>
              <w:bottom w:val="nil"/>
              <w:right w:val="nil"/>
            </w:tcBorders>
            <w:shd w:val="clear" w:color="auto" w:fill="auto"/>
            <w:vAlign w:val="center"/>
          </w:tcPr>
          <w:p w14:paraId="1C8AD76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14:paraId="6EEAA4D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0" w:type="pct"/>
            <w:tcBorders>
              <w:top w:val="nil"/>
              <w:left w:val="nil"/>
              <w:bottom w:val="nil"/>
              <w:right w:val="nil"/>
            </w:tcBorders>
            <w:shd w:val="clear" w:color="auto" w:fill="auto"/>
            <w:vAlign w:val="center"/>
          </w:tcPr>
          <w:p w14:paraId="424270D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14:paraId="193E13D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nil"/>
              <w:left w:val="nil"/>
              <w:bottom w:val="nil"/>
              <w:right w:val="nil"/>
            </w:tcBorders>
            <w:shd w:val="clear" w:color="auto" w:fill="auto"/>
            <w:vAlign w:val="center"/>
          </w:tcPr>
          <w:p w14:paraId="6821280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nil"/>
              <w:left w:val="nil"/>
              <w:bottom w:val="nil"/>
              <w:right w:val="nil"/>
            </w:tcBorders>
            <w:shd w:val="clear" w:color="auto" w:fill="auto"/>
            <w:vAlign w:val="center"/>
          </w:tcPr>
          <w:p w14:paraId="7022CFA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14:paraId="563DB75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nil"/>
              <w:left w:val="nil"/>
              <w:bottom w:val="nil"/>
              <w:right w:val="nil"/>
            </w:tcBorders>
            <w:shd w:val="clear" w:color="auto" w:fill="auto"/>
            <w:vAlign w:val="center"/>
          </w:tcPr>
          <w:p w14:paraId="00F766E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718E2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3F8D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部门预算项目支出绩效自评表（2024年度）</w:t>
            </w:r>
          </w:p>
        </w:tc>
      </w:tr>
      <w:tr w14:paraId="0EE11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1311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项目名称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1A63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51322325T000013255204-党费支出</w:t>
            </w:r>
          </w:p>
        </w:tc>
      </w:tr>
      <w:tr w14:paraId="02376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C65B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主管部门</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5352D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w:t>
            </w:r>
          </w:p>
        </w:tc>
        <w:tc>
          <w:tcPr>
            <w:tcW w:w="441" w:type="pct"/>
            <w:tcBorders>
              <w:top w:val="nil"/>
              <w:left w:val="nil"/>
              <w:bottom w:val="nil"/>
              <w:right w:val="nil"/>
            </w:tcBorders>
            <w:shd w:val="clear" w:color="auto" w:fill="auto"/>
            <w:vAlign w:val="center"/>
          </w:tcPr>
          <w:p w14:paraId="04DAE27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实施单位 （盖章）</w:t>
            </w:r>
          </w:p>
        </w:tc>
        <w:tc>
          <w:tcPr>
            <w:tcW w:w="17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5BA7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中国共产党茂县委员会办公室（行政）</w:t>
            </w:r>
          </w:p>
        </w:tc>
      </w:tr>
      <w:tr w14:paraId="36F52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86D6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项目基本情况</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9400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1.项目年度目标完成情况</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344F2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项目年度目标</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B6C6E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年度目标完成情况</w:t>
            </w:r>
          </w:p>
        </w:tc>
      </w:tr>
      <w:tr w14:paraId="66DCF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AEC5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7E58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58D65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购买党内书籍，提升党性修养</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04781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对照年度目标，说明相关任务目标的完成情况（100字以内）</w:t>
            </w:r>
          </w:p>
        </w:tc>
      </w:tr>
      <w:tr w14:paraId="007C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BFC8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D1C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2.项目实施内容及过程概述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AEE8B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25150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5A0F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预算执行情况（10分）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733C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年度预算数（万元）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4575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年初预算</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FA60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调整后预算数</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6A693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8DBF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预算执行率</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8973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454D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FF83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原因</w:t>
            </w:r>
          </w:p>
        </w:tc>
      </w:tr>
      <w:tr w14:paraId="5300D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9ADE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11A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总额</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5647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FAF2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AC8F9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5F35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E42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FAAA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E90A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79D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3C54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F915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其中：财政资金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2C5B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481A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69546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9E1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8342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BE3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0A3D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4A64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8726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DA17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财政专户管理资金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3E9F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22F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06949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00FA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FA29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56B0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905B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5B0D7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DE18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5204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单位资金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C981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607A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FF82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D3F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D616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2215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463B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13CEF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94BF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E5A5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其他资金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BA4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0774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8168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DA7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9837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076A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4662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671B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EC74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绩效指标（90分）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E01E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一级指标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C500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A0A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三级指标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212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指标性质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67E8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指标值</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48D7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度量单位</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9B4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完成值</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734C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EA14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CC3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未完成原因分析</w:t>
            </w:r>
          </w:p>
        </w:tc>
      </w:tr>
      <w:tr w14:paraId="706D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8CA0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FC7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475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数量指标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6170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购买图书60本</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7F6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8CD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ED2D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本</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1F81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FDEE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705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5114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2DECF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D9BF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F5E0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90A0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质量指标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E73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保质保量完成图书购买工作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343F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82BB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B384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本</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6F92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E6B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AAF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8EE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0CCB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5840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7D36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E452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时效指标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FC70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2024年完成支付</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D63A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774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2024</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80EC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6F6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92C3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88F4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B9C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786D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6225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643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效益指标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5CA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可持续发展指标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690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购买党内书籍，持续提升党性修养</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5BB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288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6BE0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730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463A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7654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24B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3F400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BC8E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425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68E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DADB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提升职工党内学习满意度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163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1B66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F850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24DB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F21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E486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FEA2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02541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F0C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4673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成本指标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9C6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经济成本指标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8F1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购买图书循环使用节约成本</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30BF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160B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2239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元/年</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E7A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492D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7B5D">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043E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754B6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25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22B6E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合计</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163B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26D8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EF35B">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14:paraId="0C08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101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评价结论</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D3B9C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结合自评情况，说明项目自评总分，说明项目实施取得的成效或成果。（200字以内）</w:t>
            </w:r>
          </w:p>
        </w:tc>
      </w:tr>
      <w:tr w14:paraId="0B8A5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EF6F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存在问题</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8CBB6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结合自评情况，分析存在的问题及原因。（200字以内）</w:t>
            </w:r>
          </w:p>
        </w:tc>
      </w:tr>
      <w:tr w14:paraId="02FD3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17E3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改进措施</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2D8093">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针对项目自评中发现的问题，提出下一步改进完善的意见及有关政策性建议。（200字以内）</w:t>
            </w:r>
          </w:p>
        </w:tc>
      </w:tr>
      <w:tr w14:paraId="52503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6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A8E92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项目负责人：</w:t>
            </w:r>
          </w:p>
        </w:tc>
        <w:tc>
          <w:tcPr>
            <w:tcW w:w="28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C9C575">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财务负责人：</w:t>
            </w:r>
          </w:p>
        </w:tc>
      </w:tr>
    </w:tbl>
    <w:p w14:paraId="1F109CC5">
      <w:pPr>
        <w:pStyle w:val="9"/>
        <w:spacing w:after="0" w:line="578" w:lineRule="exact"/>
        <w:ind w:left="0" w:leftChars="0" w:firstLine="0" w:firstLineChars="0"/>
        <w:rPr>
          <w:rFonts w:ascii="黑体" w:eastAsia="黑体" w:cs="黑体"/>
          <w:sz w:val="24"/>
          <w:szCs w:val="24"/>
          <w:highlight w:val="yellow"/>
        </w:rPr>
      </w:pPr>
    </w:p>
    <w:p w14:paraId="6D4E1FC6">
      <w:pPr>
        <w:pStyle w:val="9"/>
        <w:ind w:left="0" w:leftChars="0" w:firstLine="0" w:firstLineChars="0"/>
        <w:rPr>
          <w:rFonts w:ascii="Times New Roman" w:hAnsi="Times New Roman" w:eastAsia="黑体"/>
          <w:sz w:val="24"/>
          <w:szCs w:val="24"/>
        </w:rPr>
      </w:pPr>
    </w:p>
    <w:p w14:paraId="4F4C31D0">
      <w:pPr>
        <w:pStyle w:val="9"/>
        <w:ind w:left="0" w:leftChars="0" w:firstLine="0" w:firstLineChars="0"/>
        <w:rPr>
          <w:rFonts w:ascii="Times New Roman" w:hAnsi="Times New Roman" w:eastAsia="黑体"/>
          <w:sz w:val="24"/>
          <w:szCs w:val="24"/>
        </w:rPr>
      </w:pPr>
    </w:p>
    <w:p w14:paraId="134DA1AB">
      <w:pPr>
        <w:pStyle w:val="9"/>
        <w:ind w:left="0" w:leftChars="0" w:firstLine="0" w:firstLineChars="0"/>
        <w:rPr>
          <w:rFonts w:ascii="Times New Roman" w:hAnsi="Times New Roman" w:eastAsia="黑体"/>
          <w:sz w:val="24"/>
          <w:szCs w:val="24"/>
        </w:rPr>
      </w:pPr>
    </w:p>
    <w:p w14:paraId="3E453738">
      <w:pPr>
        <w:pStyle w:val="9"/>
        <w:ind w:left="0" w:leftChars="0" w:firstLine="0" w:firstLineChars="0"/>
        <w:rPr>
          <w:rFonts w:ascii="Times New Roman" w:hAnsi="Times New Roman" w:eastAsia="黑体"/>
          <w:sz w:val="24"/>
          <w:szCs w:val="24"/>
        </w:rPr>
      </w:pPr>
    </w:p>
    <w:p w14:paraId="3F72DAE4">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102" w:name="_Toc13634"/>
      <w:bookmarkStart w:id="103" w:name="_Toc4306"/>
      <w:r>
        <w:rPr>
          <w:rStyle w:val="24"/>
          <w:rFonts w:hint="eastAsia" w:ascii="方正公文小标宋" w:hAnsi="方正公文小标宋" w:eastAsia="方正公文小标宋" w:cs="方正公文小标宋"/>
          <w:b/>
          <w:bCs/>
          <w:lang w:val="en-US" w:eastAsia="zh-CN"/>
        </w:rPr>
        <w:t>第五部分 附表</w:t>
      </w:r>
      <w:bookmarkEnd w:id="101"/>
      <w:bookmarkEnd w:id="102"/>
      <w:bookmarkEnd w:id="103"/>
    </w:p>
    <w:p w14:paraId="1815C2F2">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4" w:name="_Toc15803"/>
      <w:bookmarkStart w:id="105" w:name="_Toc26370"/>
      <w:bookmarkStart w:id="106" w:name="_Toc17974"/>
      <w:bookmarkStart w:id="107" w:name="_Toc12986"/>
      <w:r>
        <w:rPr>
          <w:rFonts w:hint="eastAsia" w:ascii="仿宋_GB2312" w:hAnsi="仿宋_GB2312" w:eastAsia="仿宋_GB2312" w:cs="仿宋_GB2312"/>
          <w:b w:val="0"/>
          <w:color w:val="000000"/>
          <w:kern w:val="2"/>
          <w:sz w:val="32"/>
          <w:szCs w:val="32"/>
          <w:lang w:bidi="ar-SA"/>
        </w:rPr>
        <w:t>一、收入支出决算总表</w:t>
      </w:r>
      <w:bookmarkEnd w:id="104"/>
      <w:bookmarkEnd w:id="105"/>
      <w:bookmarkEnd w:id="106"/>
      <w:bookmarkEnd w:id="107"/>
    </w:p>
    <w:p w14:paraId="74E6D197">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8" w:name="_Toc13062"/>
      <w:bookmarkStart w:id="109" w:name="_Toc21996"/>
      <w:bookmarkStart w:id="110" w:name="_Toc13591"/>
      <w:bookmarkStart w:id="111" w:name="_Toc28462"/>
      <w:r>
        <w:rPr>
          <w:rFonts w:hint="eastAsia" w:ascii="仿宋_GB2312" w:hAnsi="仿宋_GB2312" w:eastAsia="仿宋_GB2312" w:cs="仿宋_GB2312"/>
          <w:b w:val="0"/>
          <w:color w:val="000000"/>
          <w:kern w:val="2"/>
          <w:sz w:val="32"/>
          <w:szCs w:val="32"/>
          <w:lang w:bidi="ar-SA"/>
        </w:rPr>
        <w:t>二、收入决算表</w:t>
      </w:r>
      <w:bookmarkEnd w:id="108"/>
      <w:bookmarkEnd w:id="109"/>
      <w:bookmarkEnd w:id="110"/>
      <w:bookmarkEnd w:id="111"/>
    </w:p>
    <w:p w14:paraId="649D7065">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2" w:name="_Toc16600"/>
      <w:bookmarkStart w:id="113" w:name="_Toc29885"/>
      <w:bookmarkStart w:id="114" w:name="_Toc23368"/>
      <w:bookmarkStart w:id="115" w:name="_Toc29688"/>
      <w:r>
        <w:rPr>
          <w:rFonts w:hint="eastAsia" w:ascii="仿宋_GB2312" w:hAnsi="仿宋_GB2312" w:eastAsia="仿宋_GB2312" w:cs="仿宋_GB2312"/>
          <w:b w:val="0"/>
          <w:color w:val="000000"/>
          <w:kern w:val="2"/>
          <w:sz w:val="32"/>
          <w:szCs w:val="32"/>
          <w:lang w:bidi="ar-SA"/>
        </w:rPr>
        <w:t>三、支出决算表</w:t>
      </w:r>
      <w:bookmarkEnd w:id="112"/>
      <w:bookmarkEnd w:id="113"/>
      <w:bookmarkEnd w:id="114"/>
      <w:bookmarkEnd w:id="115"/>
    </w:p>
    <w:p w14:paraId="2BBC4FD4">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6" w:name="_Toc3853"/>
      <w:bookmarkStart w:id="117" w:name="_Toc26630"/>
      <w:bookmarkStart w:id="118" w:name="_Toc31023"/>
      <w:bookmarkStart w:id="119" w:name="_Toc5964"/>
      <w:r>
        <w:rPr>
          <w:rFonts w:hint="eastAsia" w:ascii="仿宋_GB2312" w:hAnsi="仿宋_GB2312" w:eastAsia="仿宋_GB2312" w:cs="仿宋_GB2312"/>
          <w:b w:val="0"/>
          <w:color w:val="000000"/>
          <w:kern w:val="2"/>
          <w:sz w:val="32"/>
          <w:szCs w:val="32"/>
          <w:lang w:bidi="ar-SA"/>
        </w:rPr>
        <w:t>四、财政拨款收入支出决算总表</w:t>
      </w:r>
      <w:bookmarkEnd w:id="116"/>
      <w:bookmarkEnd w:id="117"/>
      <w:bookmarkEnd w:id="118"/>
      <w:bookmarkEnd w:id="119"/>
    </w:p>
    <w:p w14:paraId="1BC082D0">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0" w:name="_Toc5398"/>
      <w:bookmarkStart w:id="121" w:name="_Toc19934"/>
      <w:bookmarkStart w:id="122" w:name="_Toc14273"/>
      <w:bookmarkStart w:id="123" w:name="_Toc29494"/>
      <w:r>
        <w:rPr>
          <w:rFonts w:hint="eastAsia" w:ascii="仿宋_GB2312" w:hAnsi="仿宋_GB2312" w:eastAsia="仿宋_GB2312" w:cs="仿宋_GB2312"/>
          <w:b w:val="0"/>
          <w:color w:val="000000"/>
          <w:kern w:val="2"/>
          <w:sz w:val="32"/>
          <w:szCs w:val="32"/>
          <w:lang w:bidi="ar-SA"/>
        </w:rPr>
        <w:t>五、财政拨款支出决算明细表</w:t>
      </w:r>
      <w:bookmarkEnd w:id="120"/>
      <w:bookmarkEnd w:id="121"/>
      <w:bookmarkEnd w:id="122"/>
      <w:bookmarkEnd w:id="123"/>
    </w:p>
    <w:p w14:paraId="3AE459A0">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4" w:name="_Toc12507"/>
      <w:bookmarkStart w:id="125" w:name="_Toc16959"/>
      <w:bookmarkStart w:id="126" w:name="_Toc6686"/>
      <w:bookmarkStart w:id="127" w:name="_Toc16449"/>
      <w:r>
        <w:rPr>
          <w:rFonts w:hint="eastAsia" w:ascii="仿宋_GB2312" w:hAnsi="仿宋_GB2312" w:eastAsia="仿宋_GB2312" w:cs="仿宋_GB2312"/>
          <w:b w:val="0"/>
          <w:color w:val="000000"/>
          <w:kern w:val="2"/>
          <w:sz w:val="32"/>
          <w:szCs w:val="32"/>
          <w:lang w:bidi="ar-SA"/>
        </w:rPr>
        <w:t>六、一般公共预算财政拨款支出决算表</w:t>
      </w:r>
      <w:bookmarkEnd w:id="124"/>
      <w:bookmarkEnd w:id="125"/>
      <w:bookmarkEnd w:id="126"/>
      <w:bookmarkEnd w:id="127"/>
    </w:p>
    <w:p w14:paraId="1187BBCF">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8" w:name="_Toc3478"/>
      <w:bookmarkStart w:id="129" w:name="_Toc19514"/>
      <w:bookmarkStart w:id="130" w:name="_Toc619"/>
      <w:bookmarkStart w:id="131" w:name="_Toc16368"/>
      <w:r>
        <w:rPr>
          <w:rFonts w:hint="eastAsia" w:ascii="仿宋_GB2312" w:hAnsi="仿宋_GB2312" w:eastAsia="仿宋_GB2312" w:cs="仿宋_GB2312"/>
          <w:b w:val="0"/>
          <w:color w:val="000000"/>
          <w:kern w:val="2"/>
          <w:sz w:val="32"/>
          <w:szCs w:val="32"/>
          <w:lang w:bidi="ar-SA"/>
        </w:rPr>
        <w:t>七、一般公共预算财政拨款支出决算明细表</w:t>
      </w:r>
      <w:bookmarkEnd w:id="128"/>
      <w:bookmarkEnd w:id="129"/>
      <w:bookmarkEnd w:id="130"/>
      <w:bookmarkEnd w:id="131"/>
    </w:p>
    <w:p w14:paraId="1B1B82CE">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2" w:name="_Toc6418"/>
      <w:bookmarkStart w:id="133" w:name="_Toc6816"/>
      <w:bookmarkStart w:id="134" w:name="_Toc17352"/>
      <w:bookmarkStart w:id="135" w:name="_Toc191"/>
      <w:r>
        <w:rPr>
          <w:rFonts w:hint="eastAsia" w:ascii="仿宋_GB2312" w:hAnsi="仿宋_GB2312" w:eastAsia="仿宋_GB2312" w:cs="仿宋_GB2312"/>
          <w:b w:val="0"/>
          <w:color w:val="000000"/>
          <w:kern w:val="2"/>
          <w:sz w:val="32"/>
          <w:szCs w:val="32"/>
          <w:lang w:bidi="ar-SA"/>
        </w:rPr>
        <w:t>八、一般公共预算财政拨款基本支出决算表</w:t>
      </w:r>
      <w:bookmarkEnd w:id="132"/>
      <w:bookmarkEnd w:id="133"/>
      <w:bookmarkEnd w:id="134"/>
      <w:bookmarkEnd w:id="135"/>
    </w:p>
    <w:p w14:paraId="61E99569">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6" w:name="_Toc3726"/>
      <w:bookmarkStart w:id="137" w:name="_Toc30922"/>
      <w:bookmarkStart w:id="138" w:name="_Toc5204"/>
      <w:bookmarkStart w:id="139" w:name="_Toc7994"/>
      <w:r>
        <w:rPr>
          <w:rFonts w:hint="eastAsia" w:ascii="仿宋_GB2312" w:hAnsi="仿宋_GB2312" w:eastAsia="仿宋_GB2312" w:cs="仿宋_GB2312"/>
          <w:b w:val="0"/>
          <w:color w:val="000000"/>
          <w:kern w:val="2"/>
          <w:sz w:val="32"/>
          <w:szCs w:val="32"/>
          <w:lang w:bidi="ar-SA"/>
        </w:rPr>
        <w:t>九、一般公共预算财政拨款项目支出决算表</w:t>
      </w:r>
      <w:bookmarkEnd w:id="136"/>
      <w:bookmarkEnd w:id="137"/>
      <w:bookmarkEnd w:id="138"/>
      <w:bookmarkEnd w:id="139"/>
    </w:p>
    <w:p w14:paraId="3DE75E7B">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0" w:name="_Toc5919"/>
      <w:bookmarkStart w:id="141" w:name="_Toc20056"/>
      <w:bookmarkStart w:id="142" w:name="_Toc20756"/>
      <w:bookmarkStart w:id="143" w:name="_Toc10765"/>
      <w:r>
        <w:rPr>
          <w:rFonts w:hint="eastAsia" w:ascii="仿宋_GB2312" w:hAnsi="仿宋_GB2312" w:eastAsia="仿宋_GB2312" w:cs="仿宋_GB2312"/>
          <w:b w:val="0"/>
          <w:color w:val="000000"/>
          <w:kern w:val="2"/>
          <w:sz w:val="32"/>
          <w:szCs w:val="32"/>
          <w:lang w:bidi="ar-SA"/>
        </w:rPr>
        <w:t>十、政府性基金预算财政拨款收入支出决算表</w:t>
      </w:r>
      <w:bookmarkEnd w:id="140"/>
      <w:bookmarkEnd w:id="141"/>
      <w:bookmarkEnd w:id="142"/>
      <w:bookmarkEnd w:id="143"/>
    </w:p>
    <w:p w14:paraId="51329FA3">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4" w:name="_Toc13849"/>
      <w:bookmarkStart w:id="145" w:name="_Toc21387"/>
      <w:bookmarkStart w:id="146" w:name="_Toc18965"/>
      <w:bookmarkStart w:id="147" w:name="_Toc31709"/>
      <w:r>
        <w:rPr>
          <w:rFonts w:hint="eastAsia" w:ascii="仿宋_GB2312" w:hAnsi="仿宋_GB2312" w:eastAsia="仿宋_GB2312" w:cs="仿宋_GB2312"/>
          <w:b w:val="0"/>
          <w:color w:val="000000"/>
          <w:kern w:val="2"/>
          <w:sz w:val="32"/>
          <w:szCs w:val="32"/>
          <w:lang w:bidi="ar-SA"/>
        </w:rPr>
        <w:t>十一、国有资本经营预算财政拨款收入支出决算表</w:t>
      </w:r>
      <w:bookmarkEnd w:id="144"/>
      <w:bookmarkEnd w:id="145"/>
      <w:bookmarkEnd w:id="146"/>
      <w:bookmarkEnd w:id="147"/>
    </w:p>
    <w:p w14:paraId="2025CBE6">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8" w:name="_Toc7681"/>
      <w:bookmarkStart w:id="149" w:name="_Toc4354"/>
      <w:bookmarkStart w:id="150" w:name="_Toc13099"/>
      <w:bookmarkStart w:id="151" w:name="_Toc1140"/>
      <w:r>
        <w:rPr>
          <w:rFonts w:hint="eastAsia" w:ascii="仿宋_GB2312" w:hAnsi="仿宋_GB2312" w:eastAsia="仿宋_GB2312" w:cs="仿宋_GB2312"/>
          <w:b w:val="0"/>
          <w:color w:val="000000"/>
          <w:kern w:val="2"/>
          <w:sz w:val="32"/>
          <w:szCs w:val="32"/>
          <w:lang w:bidi="ar-SA"/>
        </w:rPr>
        <w:t>十二、国有资本经营预算财政拨款支出决算表</w:t>
      </w:r>
      <w:bookmarkEnd w:id="148"/>
      <w:bookmarkEnd w:id="149"/>
      <w:bookmarkEnd w:id="150"/>
      <w:bookmarkEnd w:id="151"/>
    </w:p>
    <w:p w14:paraId="6D621CD1">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52" w:name="_Toc19849"/>
      <w:bookmarkStart w:id="153" w:name="_Toc22466"/>
      <w:bookmarkStart w:id="154" w:name="_Toc24957"/>
      <w:bookmarkStart w:id="155" w:name="_Toc25065"/>
      <w:r>
        <w:rPr>
          <w:rFonts w:hint="eastAsia" w:ascii="仿宋_GB2312" w:hAnsi="仿宋_GB2312" w:eastAsia="仿宋_GB2312" w:cs="仿宋_GB2312"/>
          <w:b w:val="0"/>
          <w:color w:val="000000"/>
          <w:kern w:val="2"/>
          <w:sz w:val="32"/>
          <w:szCs w:val="32"/>
          <w:lang w:bidi="ar-SA"/>
        </w:rPr>
        <w:t>十三、财政拨款“三公”经费支出决算表</w:t>
      </w:r>
      <w:bookmarkEnd w:id="152"/>
      <w:bookmarkEnd w:id="153"/>
      <w:bookmarkEnd w:id="154"/>
      <w:bookmarkEnd w:id="155"/>
    </w:p>
    <w:p w14:paraId="597A8B18"/>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公文小标宋">
    <w:altName w:val="宋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4414713"/>
    </w:sdtPr>
    <w:sdtContent>
      <w:p w14:paraId="5CC30596">
        <w:pPr>
          <w:pStyle w:val="12"/>
          <w:jc w:val="center"/>
        </w:pPr>
        <w:r>
          <w:fldChar w:fldCharType="begin"/>
        </w:r>
        <w:r>
          <w:instrText xml:space="preserve">PAGE   \* MERGEFORMAT</w:instrText>
        </w:r>
        <w:r>
          <w:fldChar w:fldCharType="separate"/>
        </w:r>
        <w:r>
          <w:rPr>
            <w:lang w:val="zh-CN"/>
          </w:rPr>
          <w:t>4</w:t>
        </w:r>
        <w:r>
          <w:fldChar w:fldCharType="end"/>
        </w:r>
      </w:p>
    </w:sdtContent>
  </w:sdt>
  <w:p w14:paraId="00CA112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1A2EC">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MzlkY2FlNmExNzFhNGJlNGE5OGJlODk5MTVmZWVhZjcifQ=="/>
  </w:docVars>
  <w:rsids>
    <w:rsidRoot w:val="00000000"/>
    <w:rsid w:val="005C4610"/>
    <w:rsid w:val="0332625F"/>
    <w:rsid w:val="040C0819"/>
    <w:rsid w:val="05687F3F"/>
    <w:rsid w:val="07EA7730"/>
    <w:rsid w:val="0DCD25AD"/>
    <w:rsid w:val="0DE94428"/>
    <w:rsid w:val="0E0407B3"/>
    <w:rsid w:val="17743191"/>
    <w:rsid w:val="1C81466D"/>
    <w:rsid w:val="1D436C02"/>
    <w:rsid w:val="203B64EB"/>
    <w:rsid w:val="20DE5A3C"/>
    <w:rsid w:val="25C84CB1"/>
    <w:rsid w:val="2A0A2A5E"/>
    <w:rsid w:val="2C0A1FAF"/>
    <w:rsid w:val="2D265BF9"/>
    <w:rsid w:val="36A54032"/>
    <w:rsid w:val="36D90503"/>
    <w:rsid w:val="3ABB2076"/>
    <w:rsid w:val="3FB6F6BC"/>
    <w:rsid w:val="4BBF1BD0"/>
    <w:rsid w:val="4CC1057D"/>
    <w:rsid w:val="500B0F52"/>
    <w:rsid w:val="56843FDA"/>
    <w:rsid w:val="5DCA1C93"/>
    <w:rsid w:val="64D8544F"/>
    <w:rsid w:val="65B8426E"/>
    <w:rsid w:val="65BB4478"/>
    <w:rsid w:val="6A6D79F3"/>
    <w:rsid w:val="71B42DA0"/>
    <w:rsid w:val="71D92CBD"/>
    <w:rsid w:val="75483F2B"/>
    <w:rsid w:val="799D3C84"/>
    <w:rsid w:val="7C613B24"/>
    <w:rsid w:val="7E285D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autoRedefine/>
    <w:qFormat/>
    <w:uiPriority w:val="0"/>
    <w:pPr>
      <w:keepNext/>
      <w:keepLines/>
      <w:widowControl w:val="0"/>
      <w:spacing w:before="260" w:after="260" w:line="415" w:lineRule="auto"/>
      <w:outlineLvl w:val="2"/>
    </w:pPr>
    <w:rPr>
      <w:b/>
      <w:bCs/>
      <w:sz w:val="32"/>
      <w:szCs w:val="32"/>
    </w:rPr>
  </w:style>
  <w:style w:type="character" w:default="1" w:styleId="20">
    <w:name w:val="Default Paragraph Font"/>
    <w:autoRedefine/>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1"/>
    <w:autoRedefine/>
    <w:qFormat/>
    <w:uiPriority w:val="0"/>
    <w:pPr>
      <w:ind w:firstLine="680"/>
    </w:pPr>
  </w:style>
  <w:style w:type="paragraph" w:styleId="6">
    <w:name w:val="annotation text"/>
    <w:basedOn w:val="1"/>
    <w:autoRedefine/>
    <w:qFormat/>
    <w:uiPriority w:val="0"/>
    <w:pPr>
      <w:jc w:val="left"/>
    </w:pPr>
  </w:style>
  <w:style w:type="paragraph" w:styleId="7">
    <w:name w:val="Body Text"/>
    <w:basedOn w:val="1"/>
    <w:autoRedefine/>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autoRedefine/>
    <w:qFormat/>
    <w:uiPriority w:val="0"/>
    <w:pPr>
      <w:ind w:firstLine="200" w:firstLineChars="200"/>
    </w:pPr>
  </w:style>
  <w:style w:type="paragraph" w:styleId="10">
    <w:name w:val="toc 3"/>
    <w:basedOn w:val="1"/>
    <w:next w:val="1"/>
    <w:autoRedefine/>
    <w:qFormat/>
    <w:uiPriority w:val="0"/>
    <w:pPr>
      <w:tabs>
        <w:tab w:val="right" w:leader="dot" w:pos="8296"/>
      </w:tabs>
      <w:ind w:left="400" w:leftChars="400"/>
    </w:pPr>
  </w:style>
  <w:style w:type="paragraph" w:styleId="11">
    <w:name w:val="Balloon Text"/>
    <w:basedOn w:val="1"/>
    <w:autoRedefine/>
    <w:qFormat/>
    <w:uiPriority w:val="0"/>
    <w:rPr>
      <w:sz w:val="18"/>
      <w:szCs w:val="18"/>
    </w:rPr>
  </w:style>
  <w:style w:type="paragraph" w:styleId="12">
    <w:name w:val="footer"/>
    <w:basedOn w:val="1"/>
    <w:autoRedefine/>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autoRedefine/>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autoRedefine/>
    <w:qFormat/>
    <w:uiPriority w:val="0"/>
    <w:pPr>
      <w:snapToGrid w:val="0"/>
      <w:jc w:val="left"/>
    </w:pPr>
    <w:rPr>
      <w:sz w:val="18"/>
      <w:szCs w:val="18"/>
    </w:rPr>
  </w:style>
  <w:style w:type="paragraph" w:styleId="16">
    <w:name w:val="table of figures"/>
    <w:basedOn w:val="1"/>
    <w:next w:val="1"/>
    <w:autoRedefine/>
    <w:qFormat/>
    <w:uiPriority w:val="0"/>
    <w:pPr>
      <w:ind w:left="400" w:leftChars="200" w:hanging="200" w:hangingChars="200"/>
    </w:pPr>
  </w:style>
  <w:style w:type="paragraph" w:styleId="17">
    <w:name w:val="toc 2"/>
    <w:basedOn w:val="1"/>
    <w:next w:val="1"/>
    <w:autoRedefine/>
    <w:qFormat/>
    <w:uiPriority w:val="0"/>
    <w:pPr>
      <w:tabs>
        <w:tab w:val="right" w:leader="dot" w:pos="8296"/>
      </w:tabs>
      <w:ind w:left="200" w:leftChars="200"/>
    </w:pPr>
  </w:style>
  <w:style w:type="paragraph" w:styleId="18">
    <w:name w:val="Normal (Web)"/>
    <w:basedOn w:val="1"/>
    <w:autoRedefine/>
    <w:qFormat/>
    <w:uiPriority w:val="0"/>
    <w:pPr>
      <w:spacing w:beforeAutospacing="1" w:afterAutospacing="1"/>
    </w:pPr>
    <w:rPr>
      <w:rFonts w:cs="Times New Roman"/>
      <w:sz w:val="24"/>
      <w:lang w:eastAsia="zh-CN" w:bidi="ar-SA"/>
    </w:rPr>
  </w:style>
  <w:style w:type="character" w:styleId="21">
    <w:name w:val="Strong"/>
    <w:basedOn w:val="20"/>
    <w:autoRedefine/>
    <w:qFormat/>
    <w:uiPriority w:val="0"/>
    <w:rPr>
      <w:b/>
    </w:rPr>
  </w:style>
  <w:style w:type="character" w:styleId="22">
    <w:name w:val="Hyperlink"/>
    <w:basedOn w:val="20"/>
    <w:autoRedefine/>
    <w:qFormat/>
    <w:uiPriority w:val="0"/>
    <w:rPr>
      <w:color w:val="0000FF"/>
      <w:u w:val="single"/>
    </w:rPr>
  </w:style>
  <w:style w:type="character" w:styleId="23">
    <w:name w:val="annotation reference"/>
    <w:basedOn w:val="20"/>
    <w:autoRedefine/>
    <w:qFormat/>
    <w:uiPriority w:val="0"/>
    <w:rPr>
      <w:sz w:val="21"/>
      <w:szCs w:val="21"/>
    </w:rPr>
  </w:style>
  <w:style w:type="character" w:customStyle="1" w:styleId="24">
    <w:name w:val="heading 1 Char"/>
    <w:basedOn w:val="20"/>
    <w:link w:val="2"/>
    <w:autoRedefine/>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7">
    <w:name w:val="标题 5（有编号）（绿盟科技）"/>
    <w:next w:val="1"/>
    <w:autoRedefine/>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2024年收入</c:v>
                </c:pt>
                <c:pt idx="1">
                  <c:v>2024年支出</c:v>
                </c:pt>
                <c:pt idx="2">
                  <c:v>2023年收入</c:v>
                </c:pt>
                <c:pt idx="3">
                  <c:v>2023年支出</c:v>
                </c:pt>
              </c:strCache>
            </c:strRef>
          </c:cat>
          <c:val>
            <c:numRef>
              <c:f>Sheet1!$B$2:$B$5</c:f>
              <c:numCache>
                <c:formatCode>General</c:formatCode>
                <c:ptCount val="4"/>
                <c:pt idx="0">
                  <c:v>1120.6</c:v>
                </c:pt>
                <c:pt idx="1">
                  <c:v>1120.6</c:v>
                </c:pt>
                <c:pt idx="2">
                  <c:v>1099.1</c:v>
                </c:pt>
                <c:pt idx="3">
                  <c:v>1099.1</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912.6</c:v>
                </c:pt>
                <c:pt idx="1">
                  <c:v>208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2023年收入</c:v>
                </c:pt>
                <c:pt idx="1">
                  <c:v>2023年支出</c:v>
                </c:pt>
                <c:pt idx="2">
                  <c:v>2024年收入</c:v>
                </c:pt>
                <c:pt idx="3">
                  <c:v>2024年支出</c:v>
                </c:pt>
              </c:strCache>
            </c:strRef>
          </c:cat>
          <c:val>
            <c:numRef>
              <c:f>'Sheet1 (4)'!$B$2:$B$5</c:f>
              <c:numCache>
                <c:formatCode>General</c:formatCode>
                <c:ptCount val="4"/>
                <c:pt idx="0">
                  <c:v>1099.1</c:v>
                </c:pt>
                <c:pt idx="1">
                  <c:v>1099.1</c:v>
                </c:pt>
                <c:pt idx="2">
                  <c:v>1120.6</c:v>
                </c:pt>
                <c:pt idx="3">
                  <c:v>1120.6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2023年</c:v>
                </c:pt>
                <c:pt idx="1">
                  <c:v>2024年</c:v>
                </c:pt>
              </c:strCache>
            </c:strRef>
          </c:cat>
          <c:val>
            <c:numRef>
              <c:f>'Sheet1 (5)'!$B$2:$B$3</c:f>
              <c:numCache>
                <c:formatCode>General</c:formatCode>
                <c:ptCount val="2"/>
                <c:pt idx="0">
                  <c:v>1099.1</c:v>
                </c:pt>
                <c:pt idx="1">
                  <c:v>1120.6</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solidFill>
          <a:srgbClr val="FFFFFF"/>
        </a:solidFill>
      </c:spPr>
    </c:plotArea>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一般公共服务支出79.4%</c:v>
                </c:pt>
                <c:pt idx="1">
                  <c:v>社会保障和就业支出10.3%</c:v>
                </c:pt>
                <c:pt idx="2">
                  <c:v>卫生健康支出4.5%</c:v>
                </c:pt>
                <c:pt idx="3">
                  <c:v>住房保障支出5.7%</c:v>
                </c:pt>
              </c:strCache>
            </c:strRef>
          </c:cat>
          <c:val>
            <c:numRef>
              <c:f>'Sheet1 (6)'!$B$2:$B$5</c:f>
              <c:numCache>
                <c:formatCode>General</c:formatCode>
                <c:ptCount val="4"/>
                <c:pt idx="0">
                  <c:v>890.16</c:v>
                </c:pt>
                <c:pt idx="1">
                  <c:v>115.74</c:v>
                </c:pt>
                <c:pt idx="2">
                  <c:v>50.39</c:v>
                </c:pt>
                <c:pt idx="3">
                  <c:v>64.3</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一般公共服务支出79.4%</c:v>
                </c:pt>
                <c:pt idx="1">
                  <c:v>社会保障和就业支出10.3%</c:v>
                </c:pt>
                <c:pt idx="2">
                  <c:v>卫生健康支出4.5%</c:v>
                </c:pt>
                <c:pt idx="3">
                  <c:v>住房保障支出5.7%</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公务接待费0.5%</c:v>
                </c:pt>
                <c:pt idx="1">
                  <c:v>公务用车购置费0%</c:v>
                </c:pt>
                <c:pt idx="2">
                  <c:v>公车运行维护费99.5%</c:v>
                </c:pt>
                <c:pt idx="3">
                  <c:v>因公出国（境）费0%</c:v>
                </c:pt>
              </c:strCache>
            </c:strRef>
          </c:cat>
          <c:val>
            <c:numRef>
              <c:f>'Sheet1 (7)'!$B$2:$B$5</c:f>
              <c:numCache>
                <c:formatCode>General</c:formatCode>
                <c:ptCount val="4"/>
                <c:pt idx="0">
                  <c:v>0.35</c:v>
                </c:pt>
                <c:pt idx="1">
                  <c:v>0</c:v>
                </c:pt>
                <c:pt idx="2">
                  <c:v>71.58</c:v>
                </c:pt>
                <c:pt idx="3">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5852</Words>
  <Characters>6527</Characters>
  <Lines>666</Lines>
  <Paragraphs>299</Paragraphs>
  <TotalTime>1</TotalTime>
  <ScaleCrop>false</ScaleCrop>
  <LinksUpToDate>false</LinksUpToDate>
  <CharactersWithSpaces>6576</CharactersWithSpaces>
  <Application>WPS Office_12.1.0.17133_F1E327BC-269C-435d-A152-05C5408002CA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Administrator</cp:lastModifiedBy>
  <cp:lastPrinted>2025-09-15T03:21:00Z</cp:lastPrinted>
  <dcterms:modified xsi:type="dcterms:W3CDTF">2025-09-26T08:10:45Z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B93CA6F4BEAD4F359769D1203595D585</vt:lpwstr>
  </property>
  <property fmtid="{D5CDD505-2E9C-101B-9397-08002B2CF9AE}" pid="4" name="KSOTemplateDocerSaveRecord">
    <vt:lpwstr>eyJoZGlkIjoiMTMzYTk5OTM1YzU1ZjA0ZDMzMjM1YTkxZGYzMTA5NTQiLCJ1c2VySWQiOiIxMDM5NDYxNjA2In0=</vt:lpwstr>
  </property>
</Properties>
</file>