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8441"/>
      <w:bookmarkStart w:id="2" w:name="_Toc15396597"/>
      <w:bookmarkStart w:id="3" w:name="_Toc15396475"/>
      <w:bookmarkStart w:id="4" w:name="_Toc15377193"/>
      <w:bookmarkStart w:id="5" w:name="_Toc15377425"/>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6" w:name="_Toc15396476"/>
      <w:bookmarkStart w:id="7" w:name="_Toc15396598"/>
      <w:bookmarkStart w:id="8" w:name="_Toc15378442"/>
      <w:bookmarkStart w:id="9" w:name="_Toc15377194"/>
      <w:bookmarkStart w:id="10" w:name="_Toc15377426"/>
      <w:r>
        <w:rPr>
          <w:rFonts w:hint="eastAsia" w:ascii="方正小标宋简体" w:hAnsi="宋体" w:eastAsia="方正小标宋简体"/>
          <w:color w:val="000000"/>
          <w:sz w:val="44"/>
          <w:szCs w:val="44"/>
        </w:rPr>
        <w:t>四川省</w:t>
      </w:r>
      <w:bookmarkStart w:id="11" w:name="_Toc15306268"/>
      <w:r>
        <w:rPr>
          <w:rFonts w:hint="eastAsia" w:ascii="方正小标宋简体" w:hAnsi="宋体" w:eastAsia="方正小标宋简体"/>
          <w:color w:val="000000"/>
          <w:sz w:val="44"/>
          <w:szCs w:val="44"/>
        </w:rPr>
        <w:t>阿坝州茂县人大常委会办公室</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r>
        <w:rPr>
          <w:rFonts w:eastAsia="仿宋_GB2312"/>
          <w:sz w:val="32"/>
          <w:szCs w:val="32"/>
        </w:rPr>
        <w:t xml:space="preserve"> </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r>
        <w:rPr>
          <w:rFonts w:eastAsia="仿宋_GB2312"/>
          <w:sz w:val="32"/>
          <w:szCs w:val="32"/>
        </w:rPr>
        <w:t xml:space="preserve"> </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rPr>
          <w:rFonts w:ascii="仿宋" w:hAnsi="仿宋" w:eastAsia="仿宋"/>
          <w:sz w:val="28"/>
          <w:szCs w:val="28"/>
        </w:rPr>
      </w:pPr>
    </w:p>
    <w:p>
      <w:pPr>
        <w:pStyle w:val="10"/>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一、基本职能及主要工作…………………………………………4</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二、机构设置………………………………………………………4</w:t>
      </w:r>
    </w:p>
    <w:p>
      <w:pPr>
        <w:pStyle w:val="10"/>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  年度部门决算情况说明</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一、收入支出决算总体情况说明…………………………………5</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二、收入决算情况说明……………………………………………5</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三、支出决算情况说明……………………………………………6</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四、财政拨款收入支出决算总体情况说明………………………6</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五、一般公共预算财政拨款支出决算情况说明…………………7</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六、一般公共预算财政拨款基本支出决算情况说明……………9</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七、“三公”经费财政拨款支出决算情况说明…………………10</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八、政府性基金预算支出决算情况说明…………………………11</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九、国有资本经营预算支出决算情况说明………………………11</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十、其他重要事项的情况说明……………………………………11</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28"/>
          <w:szCs w:val="28"/>
        </w:rPr>
        <w:t>……………………………………………18</w:t>
      </w:r>
    </w:p>
    <w:p>
      <w:pPr>
        <w:pStyle w:val="10"/>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茂县人大常委会办公室2019年预算支出绩效报告……………20</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28"/>
          <w:szCs w:val="28"/>
        </w:rPr>
        <w:t>…………………………………………………26</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五、财政拨款支出决算明细表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七、一般公共预算财政拨款支出决算明细表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八、一般公共预算财政拨款基本支出决算表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九、一般公共预算财政拨款项目支出决算表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十、一般公共预算财政拨款“三公”经费支出决算表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十一、政府性基金预算财政拨款收入支出决算表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十二、政府性基金预算财政拨款“三公”经费支出决算表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十三、国有资本经营预算支出决算表</w:t>
      </w:r>
    </w:p>
    <w:p>
      <w:pPr>
        <w:pStyle w:val="10"/>
        <w:adjustRightInd w:val="0"/>
        <w:snapToGrid w:val="0"/>
        <w:spacing w:before="0" w:line="440" w:lineRule="exact"/>
        <w:jc w:val="left"/>
        <w:rPr>
          <w:rFonts w:hint="eastAsia" w:ascii="仿宋_GB2312" w:hAnsi="仿宋_GB2312" w:eastAsia="仿宋_GB2312" w:cs="仿宋_GB2312"/>
          <w:sz w:val="28"/>
          <w:szCs w:val="28"/>
        </w:rPr>
      </w:pPr>
      <w:bookmarkStart w:id="12" w:name="_Toc15396599"/>
      <w:bookmarkStart w:id="13" w:name="_Toc15377196"/>
      <w:r>
        <w:rPr>
          <w:rFonts w:hint="eastAsia" w:ascii="仿宋_GB2312" w:hAnsi="仿宋_GB2312" w:eastAsia="仿宋_GB2312" w:cs="仿宋_GB2312"/>
          <w:sz w:val="28"/>
          <w:szCs w:val="28"/>
        </w:rPr>
        <w:br w:type="page"/>
      </w:r>
    </w:p>
    <w:p>
      <w:pPr>
        <w:pStyle w:val="2"/>
        <w:numPr>
          <w:ilvl w:val="0"/>
          <w:numId w:val="1"/>
        </w:numPr>
        <w:jc w:val="center"/>
      </w:pPr>
      <w:r>
        <w:rPr>
          <w:rStyle w:val="24"/>
          <w:rFonts w:hint="eastAsia" w:ascii="黑体" w:hAnsi="黑体" w:eastAsia="黑体"/>
          <w:b w:val="0"/>
          <w:bCs w:val="0"/>
        </w:rPr>
        <w:t>部门概况</w:t>
      </w:r>
      <w:bookmarkEnd w:id="12"/>
      <w:bookmarkEnd w:id="13"/>
    </w:p>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autoSpaceDE w:val="0"/>
        <w:ind w:firstLine="643" w:firstLineChars="200"/>
        <w:rPr>
          <w:rFonts w:ascii="仿宋_GB2312" w:eastAsia="仿宋_GB2312"/>
          <w:color w:val="000000"/>
          <w:sz w:val="32"/>
          <w:szCs w:val="32"/>
        </w:rPr>
      </w:pPr>
      <w:bookmarkStart w:id="16" w:name="_Toc15396601"/>
      <w:bookmarkStart w:id="17" w:name="_Toc15377200"/>
      <w:r>
        <w:rPr>
          <w:rFonts w:hint="eastAsia" w:ascii="楷体_GB2312" w:hAnsi="仿宋" w:eastAsia="楷体_GB2312"/>
          <w:b/>
          <w:bCs/>
          <w:color w:val="000000"/>
          <w:sz w:val="32"/>
          <w:szCs w:val="32"/>
        </w:rPr>
        <w:t>（一）主要职能</w:t>
      </w:r>
      <w:r>
        <w:rPr>
          <w:rFonts w:hint="eastAsia" w:ascii="仿宋" w:hAnsi="仿宋" w:eastAsia="仿宋"/>
          <w:bCs/>
          <w:color w:val="000000"/>
          <w:sz w:val="32"/>
          <w:szCs w:val="32"/>
        </w:rPr>
        <w:t>：</w:t>
      </w:r>
      <w:r>
        <w:rPr>
          <w:rFonts w:hint="eastAsia" w:ascii="仿宋_GB2312" w:eastAsia="仿宋_GB2312"/>
          <w:color w:val="000000"/>
          <w:sz w:val="32"/>
          <w:szCs w:val="32"/>
        </w:rPr>
        <w:t>法律监督、工作监督、任职任免、重大事项决定。</w:t>
      </w:r>
    </w:p>
    <w:p>
      <w:pPr>
        <w:spacing w:line="600" w:lineRule="exact"/>
        <w:ind w:firstLine="643" w:firstLineChars="200"/>
        <w:outlineLvl w:val="1"/>
        <w:rPr>
          <w:rFonts w:ascii="楷体_GB2312" w:hAnsi="仿宋" w:eastAsia="楷体_GB2312"/>
          <w:b/>
          <w:bCs/>
          <w:color w:val="000000"/>
          <w:sz w:val="32"/>
          <w:szCs w:val="32"/>
        </w:rPr>
      </w:pPr>
      <w:bookmarkStart w:id="18" w:name="_Toc15378446"/>
      <w:bookmarkStart w:id="19" w:name="_Toc15377199"/>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201</w:t>
      </w:r>
      <w:r>
        <w:rPr>
          <w:rFonts w:hint="eastAsia" w:ascii="楷体_GB2312" w:hAnsi="仿宋" w:eastAsia="楷体_GB2312"/>
          <w:b/>
          <w:bCs/>
          <w:color w:val="000000"/>
          <w:sz w:val="32"/>
          <w:szCs w:val="32"/>
        </w:rPr>
        <w:t>9年重点工作完成情况</w:t>
      </w:r>
      <w:bookmarkEnd w:id="18"/>
      <w:bookmarkEnd w:id="19"/>
    </w:p>
    <w:p>
      <w:pPr>
        <w:pStyle w:val="3"/>
        <w:ind w:firstLine="640" w:firstLineChars="200"/>
        <w:rPr>
          <w:rFonts w:ascii="仿宋_GB2312" w:hAnsi="Times New Roman" w:eastAsia="仿宋_GB2312" w:cs="Times New Roman"/>
          <w:b w:val="0"/>
          <w:bCs w:val="0"/>
          <w:color w:val="000000"/>
        </w:rPr>
      </w:pPr>
      <w:r>
        <w:rPr>
          <w:rFonts w:ascii="仿宋_GB2312" w:hAnsi="Times New Roman" w:eastAsia="仿宋_GB2312" w:cs="Times New Roman"/>
          <w:b w:val="0"/>
          <w:bCs w:val="0"/>
          <w:color w:val="000000"/>
        </w:rPr>
        <w:t>一年来，县人大常委会以习近平新时代中国特色社会主义思想为指导，认真贯彻落实党的十九大和十九届二中、三中、四中全会精神和省州历次全会精神，紧紧围绕县委重大决策部署，团结和依靠全体代表，认真履行宪法和法律赋予的各项职权，以打造新时代责任人大、规范人大、实效人大、活力人大为目标，推动人大各项工作创新作为，为茂县加快建设“五地一中心”作出了积极贡献。全年共召开常委会会议9次，主任会议9次，听取和审议“一府一委两院”专项工作报告33项，作出决议决定15项，较好地完成了县十五届人大三次会议提出的目标任务。</w:t>
      </w:r>
    </w:p>
    <w:p>
      <w:pPr>
        <w:pStyle w:val="3"/>
        <w:ind w:firstLine="640" w:firstLineChars="200"/>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adjustRightInd w:val="0"/>
        <w:snapToGrid w:val="0"/>
        <w:spacing w:before="93" w:line="500" w:lineRule="exact"/>
        <w:ind w:firstLine="672" w:firstLineChars="210"/>
        <w:rPr>
          <w:color w:val="000000"/>
          <w:kern w:val="2"/>
          <w:sz w:val="32"/>
          <w:szCs w:val="32"/>
        </w:rPr>
      </w:pPr>
      <w:bookmarkStart w:id="20" w:name="_Toc15377204"/>
      <w:bookmarkStart w:id="21" w:name="_Toc15396602"/>
      <w:r>
        <w:rPr>
          <w:rFonts w:hint="eastAsia"/>
          <w:color w:val="000000"/>
          <w:kern w:val="2"/>
          <w:sz w:val="32"/>
          <w:szCs w:val="32"/>
        </w:rPr>
        <w:t>茂县人大常委会办公室下属一级决算单位1个，其中行政单位1个。</w:t>
      </w:r>
    </w:p>
    <w:p>
      <w:pPr>
        <w:pStyle w:val="2"/>
        <w:ind w:right="440"/>
        <w:jc w:val="right"/>
        <w:rPr>
          <w:rStyle w:val="24"/>
          <w:rFonts w:ascii="黑体" w:hAnsi="黑体" w:eastAsia="黑体"/>
          <w:b w:val="0"/>
          <w:bCs w:val="0"/>
        </w:rPr>
      </w:pPr>
      <w:r>
        <w:rPr>
          <w:rFonts w:hint="eastAsia" w:ascii="黑体" w:hAnsi="黑体" w:eastAsia="黑体"/>
          <w:b w:val="0"/>
          <w:color w:val="000000"/>
        </w:rPr>
        <w:t>第二部分</w:t>
      </w:r>
      <w:r>
        <w:rPr>
          <w:rStyle w:val="24"/>
          <w:rFonts w:hint="eastAsia" w:ascii="黑体" w:hAnsi="黑体" w:eastAsia="黑体"/>
          <w:b w:val="0"/>
          <w:bCs w:val="0"/>
        </w:rPr>
        <w:t>2019年度部门决算情况说明</w:t>
      </w:r>
      <w:bookmarkEnd w:id="20"/>
      <w:bookmarkEnd w:id="21"/>
    </w:p>
    <w:p/>
    <w:p>
      <w:pPr>
        <w:spacing w:line="600" w:lineRule="exact"/>
        <w:ind w:firstLine="640" w:firstLineChars="200"/>
        <w:outlineLvl w:val="1"/>
        <w:rPr>
          <w:rStyle w:val="25"/>
          <w:rFonts w:ascii="黑体" w:hAnsi="黑体" w:eastAsia="黑体"/>
          <w:b w:val="0"/>
        </w:rPr>
      </w:pPr>
      <w:bookmarkStart w:id="22" w:name="_Toc15377210"/>
      <w:r>
        <w:rPr>
          <w:rFonts w:hint="eastAsia" w:ascii="黑体" w:hAnsi="黑体" w:eastAsia="黑体"/>
          <w:color w:val="000000"/>
          <w:sz w:val="32"/>
          <w:szCs w:val="32"/>
        </w:rPr>
        <w:t>一、收</w:t>
      </w:r>
      <w:r>
        <w:rPr>
          <w:rStyle w:val="25"/>
          <w:rFonts w:hint="eastAsia" w:ascii="黑体" w:hAnsi="黑体" w:eastAsia="黑体"/>
          <w:b w:val="0"/>
        </w:rPr>
        <w:t>入支出决算总体情况说明</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2019年度收、支总计1150.1万元。与2018年相比，收入增加246.09万元，增长27.22</w:t>
      </w:r>
      <w:r>
        <w:rPr>
          <w:rFonts w:ascii="仿宋" w:hAnsi="仿宋" w:eastAsia="仿宋"/>
          <w:color w:val="000000"/>
          <w:sz w:val="32"/>
          <w:szCs w:val="32"/>
        </w:rPr>
        <w:t>%</w:t>
      </w:r>
      <w:r>
        <w:rPr>
          <w:rFonts w:hint="eastAsia" w:ascii="仿宋" w:hAnsi="仿宋" w:eastAsia="仿宋"/>
          <w:color w:val="000000"/>
          <w:sz w:val="32"/>
          <w:szCs w:val="32"/>
        </w:rPr>
        <w:t>。主要变动原因是2019年我单位增加了预算联网建设和会议室改造建设及工资福利的增加。</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180975</wp:posOffset>
            </wp:positionH>
            <wp:positionV relativeFrom="paragraph">
              <wp:posOffset>134620</wp:posOffset>
            </wp:positionV>
            <wp:extent cx="3248025" cy="1876425"/>
            <wp:effectExtent l="19050" t="0" r="9525"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outlineLvl w:val="1"/>
        <w:rPr>
          <w:rFonts w:ascii="仿宋_GB2312" w:eastAsia="仿宋_GB2312"/>
          <w:color w:val="000000"/>
          <w:sz w:val="32"/>
          <w:szCs w:val="32"/>
        </w:rPr>
      </w:pPr>
      <w:bookmarkStart w:id="23" w:name="_Toc15377206"/>
      <w:bookmarkStart w:id="24" w:name="_Toc15396604"/>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二、收</w:t>
      </w:r>
      <w:r>
        <w:rPr>
          <w:rStyle w:val="25"/>
          <w:rFonts w:hint="eastAsia" w:ascii="黑体" w:hAnsi="黑体" w:eastAsia="黑体"/>
          <w:b w:val="0"/>
        </w:rPr>
        <w:t>入决算情况说明</w:t>
      </w:r>
      <w:bookmarkEnd w:id="23"/>
      <w:bookmarkEnd w:id="24"/>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9年本年收入合计1150.1万元，其中：一般公共预算财政拨款收入1150.1万元，占100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0" locked="0" layoutInCell="1" allowOverlap="1">
            <wp:simplePos x="0" y="0"/>
            <wp:positionH relativeFrom="column">
              <wp:posOffset>428625</wp:posOffset>
            </wp:positionH>
            <wp:positionV relativeFrom="paragraph">
              <wp:posOffset>344170</wp:posOffset>
            </wp:positionV>
            <wp:extent cx="4400550" cy="1971675"/>
            <wp:effectExtent l="19050" t="0" r="1905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25" w:name="_Toc15377207"/>
      <w:bookmarkStart w:id="26" w:name="_Toc15396605"/>
      <w:r>
        <w:rPr>
          <w:rFonts w:hint="eastAsia" w:ascii="黑体" w:hAnsi="黑体" w:eastAsia="黑体"/>
          <w:color w:val="000000"/>
          <w:sz w:val="32"/>
          <w:szCs w:val="32"/>
        </w:rPr>
        <w:t>三、支</w:t>
      </w:r>
      <w:r>
        <w:rPr>
          <w:rStyle w:val="25"/>
          <w:rFonts w:hint="eastAsia" w:ascii="黑体" w:hAnsi="黑体" w:eastAsia="黑体"/>
          <w:b w:val="0"/>
        </w:rPr>
        <w:t>出决算情况说明</w:t>
      </w:r>
      <w:bookmarkEnd w:id="25"/>
      <w:bookmarkEnd w:id="26"/>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142875</wp:posOffset>
            </wp:positionH>
            <wp:positionV relativeFrom="paragraph">
              <wp:posOffset>990600</wp:posOffset>
            </wp:positionV>
            <wp:extent cx="4295775" cy="2466975"/>
            <wp:effectExtent l="19050" t="0" r="9525"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9年本年支出合计1127.06万元，年未结转和结余23.04万元。</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pStyle w:val="3"/>
        <w:ind w:firstLine="643" w:firstLineChars="200"/>
        <w:rPr>
          <w:rStyle w:val="25"/>
          <w:rFonts w:ascii="黑体" w:hAnsi="黑体" w:eastAsia="黑体"/>
          <w:b w:val="0"/>
          <w:bCs/>
        </w:rPr>
      </w:pPr>
      <w:bookmarkStart w:id="27" w:name="_Toc15377208"/>
      <w:bookmarkStart w:id="28" w:name="_Toc15396606"/>
      <w:r>
        <w:rPr>
          <w:rFonts w:hint="eastAsia" w:ascii="黑体" w:hAnsi="黑体" w:eastAsia="黑体"/>
          <w:color w:val="000000"/>
        </w:rPr>
        <w:t>四、财</w:t>
      </w:r>
      <w:r>
        <w:rPr>
          <w:rStyle w:val="25"/>
          <w:rFonts w:hint="eastAsia" w:ascii="黑体" w:hAnsi="黑体" w:eastAsia="黑体"/>
          <w:b w:val="0"/>
          <w:bCs/>
        </w:rPr>
        <w:t>政拨款收入支出决算总体情况说明</w:t>
      </w:r>
      <w:bookmarkEnd w:id="27"/>
      <w:bookmarkEnd w:id="2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2019年度收、支总计1150.1万元。与2018年相比，收入增加246.09万元，增长27.22</w:t>
      </w:r>
      <w:r>
        <w:rPr>
          <w:rFonts w:ascii="仿宋" w:hAnsi="仿宋" w:eastAsia="仿宋"/>
          <w:color w:val="000000"/>
          <w:sz w:val="32"/>
          <w:szCs w:val="32"/>
        </w:rPr>
        <w:t>%</w:t>
      </w:r>
      <w:r>
        <w:rPr>
          <w:rFonts w:hint="eastAsia" w:ascii="仿宋" w:hAnsi="仿宋" w:eastAsia="仿宋"/>
          <w:color w:val="000000"/>
          <w:sz w:val="32"/>
          <w:szCs w:val="32"/>
        </w:rPr>
        <w:t>。主要变动原因是2019年我单位增加了预算联网建设和会议室改造建设及工资福利的增加。</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drawing>
          <wp:anchor distT="0" distB="0" distL="114300" distR="114300" simplePos="0" relativeHeight="251662336" behindDoc="0" locked="0" layoutInCell="1" allowOverlap="1">
            <wp:simplePos x="0" y="0"/>
            <wp:positionH relativeFrom="column">
              <wp:posOffset>428625</wp:posOffset>
            </wp:positionH>
            <wp:positionV relativeFrom="paragraph">
              <wp:posOffset>15875</wp:posOffset>
            </wp:positionV>
            <wp:extent cx="4010025" cy="2428875"/>
            <wp:effectExtent l="19050" t="0" r="9525"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bookmarkEnd w:id="22"/>
    <w:p>
      <w:pPr>
        <w:pStyle w:val="3"/>
        <w:ind w:firstLine="964" w:firstLineChars="300"/>
        <w:rPr>
          <w:rFonts w:ascii="仿宋" w:hAnsi="仿宋" w:eastAsia="仿宋"/>
          <w:color w:val="000000"/>
        </w:rPr>
      </w:pPr>
      <w:bookmarkStart w:id="29" w:name="_Toc15396607"/>
      <w:bookmarkStart w:id="30" w:name="_Toc15377209"/>
      <w:r>
        <w:rPr>
          <w:rFonts w:hint="eastAsia" w:ascii="黑体" w:hAnsi="黑体" w:eastAsia="黑体"/>
          <w:color w:val="000000"/>
        </w:rPr>
        <w:t>五、一</w:t>
      </w:r>
      <w:r>
        <w:rPr>
          <w:rStyle w:val="25"/>
          <w:rFonts w:hint="eastAsia" w:ascii="黑体" w:hAnsi="黑体" w:eastAsia="黑体"/>
          <w:b w:val="0"/>
          <w:bCs/>
        </w:rPr>
        <w:t>般公共预算财政拨款支出决算情况说明</w:t>
      </w:r>
      <w:bookmarkEnd w:id="29"/>
      <w:bookmarkEnd w:id="30"/>
    </w:p>
    <w:p>
      <w:pPr>
        <w:spacing w:line="600" w:lineRule="exact"/>
        <w:ind w:firstLine="643" w:firstLineChars="200"/>
        <w:outlineLvl w:val="1"/>
        <w:rPr>
          <w:rFonts w:hint="eastAsia" w:ascii="楷体_GB2312" w:hAnsi="仿宋" w:eastAsia="楷体_GB2312"/>
          <w:b/>
          <w:bCs/>
          <w:color w:val="000000"/>
          <w:sz w:val="32"/>
          <w:szCs w:val="32"/>
        </w:rPr>
      </w:pPr>
      <w:r>
        <w:rPr>
          <w:rFonts w:hint="eastAsia" w:ascii="楷体_GB2312" w:hAnsi="仿宋" w:eastAsia="楷体_GB2312"/>
          <w:b/>
          <w:bCs/>
          <w:color w:val="000000"/>
          <w:sz w:val="32"/>
          <w:szCs w:val="32"/>
        </w:rPr>
        <w:t>（一）一般公共预算财政拨款支出决算总体情况</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9年一般公共预算财政拨款支出1127.06万元，占本年支出合计的100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8年相比，一般公共预算财政拨款支出增加223.05万元，增长24.67</w:t>
      </w:r>
      <w:r>
        <w:rPr>
          <w:rFonts w:ascii="仿宋" w:hAnsi="仿宋" w:eastAsia="仿宋"/>
          <w:color w:val="000000"/>
          <w:sz w:val="32"/>
          <w:szCs w:val="32"/>
        </w:rPr>
        <w:t>%</w:t>
      </w:r>
      <w:r>
        <w:rPr>
          <w:rFonts w:hint="eastAsia" w:ascii="仿宋" w:hAnsi="仿宋" w:eastAsia="仿宋"/>
          <w:color w:val="000000"/>
          <w:sz w:val="32"/>
          <w:szCs w:val="32"/>
        </w:rPr>
        <w:t>。主要变动原因是2019年我单位增加了预算联网建设和会议室改造建设及工资福利的增加。</w:t>
      </w:r>
      <w:bookmarkStart w:id="31" w:name="_Toc15377211"/>
    </w:p>
    <w:p>
      <w:pPr>
        <w:spacing w:line="600" w:lineRule="exact"/>
        <w:ind w:firstLine="640" w:firstLineChars="200"/>
        <w:outlineLvl w:val="1"/>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4384" behindDoc="0" locked="0" layoutInCell="1" allowOverlap="1">
            <wp:simplePos x="0" y="0"/>
            <wp:positionH relativeFrom="column">
              <wp:posOffset>409575</wp:posOffset>
            </wp:positionH>
            <wp:positionV relativeFrom="paragraph">
              <wp:posOffset>180975</wp:posOffset>
            </wp:positionV>
            <wp:extent cx="4514850" cy="2714625"/>
            <wp:effectExtent l="19050" t="0" r="1905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3" w:firstLineChars="200"/>
        <w:outlineLvl w:val="1"/>
        <w:rPr>
          <w:rFonts w:hint="eastAsia" w:ascii="楷体_GB2312" w:hAnsi="仿宋" w:eastAsia="楷体_GB2312"/>
          <w:b/>
          <w:bCs/>
          <w:color w:val="000000"/>
          <w:sz w:val="32"/>
          <w:szCs w:val="32"/>
        </w:rPr>
      </w:pPr>
      <w:r>
        <w:rPr>
          <w:rFonts w:hint="eastAsia" w:ascii="楷体_GB2312" w:hAnsi="仿宋" w:eastAsia="楷体_GB2312"/>
          <w:b/>
          <w:bCs/>
          <w:color w:val="000000"/>
          <w:sz w:val="32"/>
          <w:szCs w:val="32"/>
        </w:rPr>
        <w:t>（二）一般公共预算财政拨款支出决算结构情况</w:t>
      </w:r>
      <w:bookmarkEnd w:id="31"/>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政拨款支出1127.06万元，主要用于以下方面</w:t>
      </w:r>
      <w:r>
        <w:rPr>
          <w:rFonts w:ascii="仿宋" w:hAnsi="仿宋" w:eastAsia="仿宋"/>
          <w:color w:val="000000" w:themeColor="text1"/>
          <w:sz w:val="32"/>
          <w:szCs w:val="32"/>
        </w:rPr>
        <w:t>:</w:t>
      </w:r>
      <w:r>
        <w:rPr>
          <w:rFonts w:hint="eastAsia" w:ascii="仿宋" w:hAnsi="仿宋" w:eastAsia="仿宋"/>
          <w:color w:val="000000"/>
          <w:sz w:val="32"/>
          <w:szCs w:val="32"/>
        </w:rPr>
        <w:t>一般公共服务（类）</w:t>
      </w:r>
      <w:r>
        <w:rPr>
          <w:rFonts w:hint="eastAsia" w:ascii="仿宋" w:hAnsi="仿宋" w:eastAsia="仿宋"/>
          <w:color w:val="000000" w:themeColor="text1"/>
          <w:sz w:val="32"/>
          <w:szCs w:val="32"/>
        </w:rPr>
        <w:t>支出899.15万元，占79.78</w:t>
      </w:r>
      <w:r>
        <w:rPr>
          <w:rFonts w:ascii="仿宋" w:hAnsi="仿宋" w:eastAsia="仿宋"/>
          <w:color w:val="000000" w:themeColor="text1"/>
          <w:sz w:val="32"/>
          <w:szCs w:val="32"/>
        </w:rPr>
        <w:t>%</w:t>
      </w:r>
      <w:r>
        <w:rPr>
          <w:rFonts w:hint="eastAsia" w:ascii="仿宋" w:hAnsi="仿宋" w:eastAsia="仿宋"/>
          <w:color w:val="000000" w:themeColor="text1"/>
          <w:sz w:val="32"/>
          <w:szCs w:val="32"/>
        </w:rPr>
        <w:t>；社会保障和就业（</w:t>
      </w:r>
      <w:r>
        <w:rPr>
          <w:rFonts w:hint="eastAsia" w:ascii="仿宋" w:hAnsi="仿宋" w:eastAsia="仿宋"/>
          <w:color w:val="000000"/>
          <w:sz w:val="32"/>
          <w:szCs w:val="32"/>
        </w:rPr>
        <w:t>类</w:t>
      </w:r>
      <w:r>
        <w:rPr>
          <w:rFonts w:hint="eastAsia" w:ascii="仿宋" w:hAnsi="仿宋" w:eastAsia="仿宋"/>
          <w:color w:val="000000" w:themeColor="text1"/>
          <w:sz w:val="32"/>
          <w:szCs w:val="32"/>
        </w:rPr>
        <w:t>）支出107.41万元，占9.53</w:t>
      </w:r>
      <w:r>
        <w:rPr>
          <w:rFonts w:ascii="仿宋" w:hAnsi="仿宋" w:eastAsia="仿宋"/>
          <w:color w:val="000000" w:themeColor="text1"/>
          <w:sz w:val="32"/>
          <w:szCs w:val="32"/>
        </w:rPr>
        <w:t>%</w:t>
      </w:r>
      <w:r>
        <w:rPr>
          <w:rFonts w:hint="eastAsia" w:ascii="仿宋" w:hAnsi="仿宋" w:eastAsia="仿宋"/>
          <w:color w:val="000000" w:themeColor="text1"/>
          <w:sz w:val="32"/>
          <w:szCs w:val="32"/>
        </w:rPr>
        <w:t>；卫生健康支出（</w:t>
      </w:r>
      <w:r>
        <w:rPr>
          <w:rFonts w:hint="eastAsia" w:ascii="仿宋" w:hAnsi="仿宋" w:eastAsia="仿宋"/>
          <w:color w:val="000000"/>
          <w:sz w:val="32"/>
          <w:szCs w:val="32"/>
        </w:rPr>
        <w:t>类</w:t>
      </w:r>
      <w:r>
        <w:rPr>
          <w:rFonts w:hint="eastAsia" w:ascii="仿宋" w:hAnsi="仿宋" w:eastAsia="仿宋"/>
          <w:color w:val="000000" w:themeColor="text1"/>
          <w:sz w:val="32"/>
          <w:szCs w:val="32"/>
        </w:rPr>
        <w:t>）支出49.91万元，占4.43</w:t>
      </w:r>
      <w:r>
        <w:rPr>
          <w:rFonts w:ascii="仿宋" w:hAnsi="仿宋" w:eastAsia="仿宋"/>
          <w:color w:val="000000" w:themeColor="text1"/>
          <w:sz w:val="32"/>
          <w:szCs w:val="32"/>
        </w:rPr>
        <w:t>%</w:t>
      </w:r>
      <w:r>
        <w:rPr>
          <w:rFonts w:hint="eastAsia" w:ascii="仿宋" w:hAnsi="仿宋" w:eastAsia="仿宋"/>
          <w:color w:val="000000" w:themeColor="text1"/>
          <w:sz w:val="32"/>
          <w:szCs w:val="32"/>
        </w:rPr>
        <w:t>；农林水支出（</w:t>
      </w:r>
      <w:r>
        <w:rPr>
          <w:rFonts w:hint="eastAsia" w:ascii="仿宋" w:hAnsi="仿宋" w:eastAsia="仿宋"/>
          <w:color w:val="000000"/>
          <w:sz w:val="32"/>
          <w:szCs w:val="32"/>
        </w:rPr>
        <w:t>类</w:t>
      </w:r>
      <w:r>
        <w:rPr>
          <w:rFonts w:hint="eastAsia" w:ascii="仿宋" w:hAnsi="仿宋" w:eastAsia="仿宋"/>
          <w:color w:val="000000" w:themeColor="text1"/>
          <w:sz w:val="32"/>
          <w:szCs w:val="32"/>
        </w:rPr>
        <w:t>）0.84万元，占0.07%；住房保障（</w:t>
      </w:r>
      <w:r>
        <w:rPr>
          <w:rFonts w:hint="eastAsia" w:ascii="仿宋" w:hAnsi="仿宋" w:eastAsia="仿宋"/>
          <w:color w:val="000000"/>
          <w:sz w:val="32"/>
          <w:szCs w:val="32"/>
        </w:rPr>
        <w:t>类</w:t>
      </w:r>
      <w:r>
        <w:rPr>
          <w:rFonts w:hint="eastAsia" w:ascii="仿宋" w:hAnsi="仿宋" w:eastAsia="仿宋"/>
          <w:color w:val="000000" w:themeColor="text1"/>
          <w:sz w:val="32"/>
          <w:szCs w:val="32"/>
        </w:rPr>
        <w:t>）支出69.75万元，占6.19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ascii="仿宋" w:hAnsi="仿宋" w:eastAsia="仿宋"/>
          <w:color w:val="000000" w:themeColor="text1"/>
          <w:sz w:val="32"/>
          <w:szCs w:val="32"/>
        </w:rPr>
        <w:t xml:space="preserve"> </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66675</wp:posOffset>
            </wp:positionH>
            <wp:positionV relativeFrom="paragraph">
              <wp:posOffset>66675</wp:posOffset>
            </wp:positionV>
            <wp:extent cx="4476750" cy="2095500"/>
            <wp:effectExtent l="19050" t="0" r="19050" b="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3" w:firstLineChars="200"/>
        <w:outlineLvl w:val="1"/>
        <w:rPr>
          <w:rFonts w:hint="eastAsia" w:ascii="楷体_GB2312" w:hAnsi="仿宋" w:eastAsia="楷体_GB2312"/>
          <w:b/>
          <w:bCs/>
          <w:color w:val="000000"/>
          <w:sz w:val="32"/>
          <w:szCs w:val="32"/>
        </w:rPr>
      </w:pPr>
      <w:bookmarkStart w:id="32" w:name="_Toc15377212"/>
      <w:r>
        <w:rPr>
          <w:rFonts w:hint="eastAsia" w:ascii="楷体_GB2312" w:hAnsi="仿宋" w:eastAsia="楷体_GB2312"/>
          <w:b/>
          <w:bCs/>
          <w:color w:val="000000"/>
          <w:sz w:val="32"/>
          <w:szCs w:val="32"/>
        </w:rPr>
        <w:t>（三）一般公共预算财政拨款支出决算具体情况</w:t>
      </w:r>
      <w:bookmarkEnd w:id="32"/>
    </w:p>
    <w:p>
      <w:pPr>
        <w:spacing w:line="600" w:lineRule="exact"/>
        <w:ind w:firstLine="640" w:firstLineChars="200"/>
        <w:outlineLvl w:val="2"/>
        <w:rPr>
          <w:rStyle w:val="14"/>
          <w:bCs/>
          <w:color w:val="000000"/>
        </w:rPr>
      </w:pPr>
      <w:bookmarkStart w:id="33" w:name="_Toc15377213"/>
      <w:bookmarkStart w:id="34" w:name="_Toc15377444"/>
      <w:bookmarkStart w:id="35" w:name="_Toc15378460"/>
      <w:r>
        <w:rPr>
          <w:rStyle w:val="14"/>
          <w:rFonts w:hint="eastAsia" w:ascii="仿宋" w:hAnsi="仿宋" w:eastAsia="仿宋"/>
          <w:b w:val="0"/>
          <w:bCs/>
          <w:color w:val="000000"/>
          <w:sz w:val="32"/>
          <w:szCs w:val="32"/>
        </w:rPr>
        <w:t>2019年一般公共预算支出决算数为1127.06万元，完成预算100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33"/>
      <w:bookmarkEnd w:id="34"/>
      <w:bookmarkEnd w:id="35"/>
    </w:p>
    <w:p>
      <w:pPr>
        <w:spacing w:line="600" w:lineRule="exact"/>
        <w:ind w:firstLine="640" w:firstLineChars="200"/>
        <w:rPr>
          <w:rFonts w:ascii="仿宋_GB2312" w:eastAsia="仿宋_GB2312"/>
          <w:color w:val="000000"/>
          <w:sz w:val="32"/>
          <w:szCs w:val="32"/>
        </w:rPr>
      </w:pPr>
      <w:r>
        <w:rPr>
          <w:rStyle w:val="14"/>
          <w:rFonts w:ascii="仿宋" w:hAnsi="仿宋" w:eastAsia="仿宋"/>
          <w:b w:val="0"/>
          <w:bCs/>
          <w:color w:val="000000"/>
          <w:sz w:val="32"/>
          <w:szCs w:val="32"/>
        </w:rPr>
        <w:t>1.</w:t>
      </w:r>
      <w:r>
        <w:rPr>
          <w:rStyle w:val="14"/>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4"/>
          <w:rFonts w:hint="eastAsia" w:ascii="仿宋" w:hAnsi="仿宋" w:eastAsia="仿宋"/>
          <w:b w:val="0"/>
          <w:bCs/>
          <w:color w:val="000000"/>
          <w:sz w:val="32"/>
          <w:szCs w:val="32"/>
        </w:rPr>
        <w:t>）人大事务（款）</w:t>
      </w:r>
      <w:r>
        <w:rPr>
          <w:rFonts w:hint="eastAsia" w:ascii="仿宋_GB2312" w:eastAsia="仿宋_GB2312"/>
          <w:color w:val="000000"/>
          <w:sz w:val="32"/>
          <w:szCs w:val="32"/>
        </w:rPr>
        <w:t>行政运行支出（项）796.82万元，完成预算的97%，决算数小于预算数的主要原因是单位部分项目为跨年执行项目，资金结转至下一年度执行。</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Style w:val="14"/>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4"/>
          <w:rFonts w:hint="eastAsia" w:ascii="仿宋" w:hAnsi="仿宋" w:eastAsia="仿宋"/>
          <w:b w:val="0"/>
          <w:bCs/>
          <w:color w:val="000000"/>
          <w:sz w:val="32"/>
          <w:szCs w:val="32"/>
        </w:rPr>
        <w:t>）人大事务（款）</w:t>
      </w:r>
      <w:r>
        <w:rPr>
          <w:rFonts w:hint="eastAsia" w:ascii="仿宋_GB2312" w:eastAsia="仿宋_GB2312"/>
          <w:color w:val="000000"/>
          <w:sz w:val="32"/>
          <w:szCs w:val="32"/>
        </w:rPr>
        <w:t>一般行政管理事务支出（项）11.70万元，完成预算的97%，决算数小于预算数的主要原因是继续积极贯彻落实中央八项规定及省委省政府十项规定要求，加强单位经费管理。</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w:t>
      </w:r>
      <w:r>
        <w:rPr>
          <w:rStyle w:val="14"/>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4"/>
          <w:rFonts w:hint="eastAsia" w:ascii="仿宋" w:hAnsi="仿宋" w:eastAsia="仿宋"/>
          <w:b w:val="0"/>
          <w:bCs/>
          <w:color w:val="000000"/>
          <w:sz w:val="32"/>
          <w:szCs w:val="32"/>
        </w:rPr>
        <w:t>）人大事务（款）</w:t>
      </w:r>
      <w:r>
        <w:rPr>
          <w:rFonts w:hint="eastAsia" w:ascii="仿宋_GB2312" w:eastAsia="仿宋_GB2312"/>
          <w:color w:val="000000"/>
          <w:sz w:val="32"/>
          <w:szCs w:val="32"/>
        </w:rPr>
        <w:t>人大会议支出（项）48.79万元，完成预算的100%。</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w:t>
      </w:r>
      <w:r>
        <w:rPr>
          <w:rStyle w:val="14"/>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4"/>
          <w:rFonts w:hint="eastAsia" w:ascii="仿宋" w:hAnsi="仿宋" w:eastAsia="仿宋"/>
          <w:b w:val="0"/>
          <w:bCs/>
          <w:color w:val="000000"/>
          <w:sz w:val="32"/>
          <w:szCs w:val="32"/>
        </w:rPr>
        <w:t>）人大事务（款）</w:t>
      </w:r>
      <w:r>
        <w:rPr>
          <w:rFonts w:hint="eastAsia" w:ascii="仿宋_GB2312" w:eastAsia="仿宋_GB2312"/>
          <w:color w:val="000000"/>
          <w:sz w:val="32"/>
          <w:szCs w:val="32"/>
        </w:rPr>
        <w:t>代表工作支出（项）27.18万元，完成预算的100%。</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Style w:val="14"/>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4"/>
          <w:rFonts w:hint="eastAsia" w:ascii="仿宋" w:hAnsi="仿宋" w:eastAsia="仿宋"/>
          <w:b w:val="0"/>
          <w:bCs/>
          <w:color w:val="000000"/>
          <w:sz w:val="32"/>
          <w:szCs w:val="32"/>
        </w:rPr>
        <w:t>）人大事务（款）</w:t>
      </w:r>
      <w:r>
        <w:rPr>
          <w:rFonts w:hint="eastAsia" w:ascii="仿宋_GB2312" w:eastAsia="仿宋_GB2312"/>
          <w:color w:val="000000"/>
          <w:sz w:val="32"/>
          <w:szCs w:val="32"/>
        </w:rPr>
        <w:t>事业运行支出（项）14.66万元，完成预算的100%。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6.社会保障和就业支出（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14"/>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）机关事业单位基本养老保险缴费支出（项）73.50万元，完成预算的100%。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7.社会保障和就业支出（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14"/>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）机关事业单位职业年金缴费支出（项）33.91万元，完成预算的100%。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8.卫生健康支出（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14"/>
          <w:rFonts w:hint="eastAsia" w:ascii="仿宋" w:hAnsi="仿宋" w:eastAsia="仿宋"/>
          <w:b w:val="0"/>
          <w:bCs/>
          <w:color w:val="000000"/>
          <w:sz w:val="32"/>
          <w:szCs w:val="32"/>
        </w:rPr>
        <w:t>款</w:t>
      </w:r>
      <w:r>
        <w:rPr>
          <w:rFonts w:hint="eastAsia" w:ascii="仿宋_GB2312" w:eastAsia="仿宋_GB2312"/>
          <w:color w:val="000000"/>
          <w:sz w:val="32"/>
          <w:szCs w:val="32"/>
        </w:rPr>
        <w:t>）行政单位医疗支出（项）48.87万元，完成预算的100%。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9.卫生健康支出（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14"/>
          <w:rFonts w:hint="eastAsia" w:ascii="仿宋" w:hAnsi="仿宋" w:eastAsia="仿宋"/>
          <w:b w:val="0"/>
          <w:bCs/>
          <w:color w:val="000000"/>
          <w:sz w:val="32"/>
          <w:szCs w:val="32"/>
        </w:rPr>
        <w:t>款</w:t>
      </w:r>
      <w:r>
        <w:rPr>
          <w:rFonts w:hint="eastAsia" w:ascii="仿宋_GB2312" w:eastAsia="仿宋_GB2312"/>
          <w:color w:val="000000"/>
          <w:sz w:val="32"/>
          <w:szCs w:val="32"/>
        </w:rPr>
        <w:t>）事业单位医疗支出（项）1.04万元，完成预算的100%。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xml:space="preserve">    10.农林水支出（</w:t>
      </w:r>
      <w:r>
        <w:rPr>
          <w:rFonts w:hint="eastAsia" w:ascii="仿宋" w:hAnsi="仿宋" w:eastAsia="仿宋"/>
          <w:color w:val="000000"/>
          <w:sz w:val="32"/>
          <w:szCs w:val="32"/>
        </w:rPr>
        <w:t>类</w:t>
      </w:r>
      <w:r>
        <w:rPr>
          <w:rFonts w:hint="eastAsia" w:ascii="仿宋_GB2312" w:eastAsia="仿宋_GB2312"/>
          <w:color w:val="000000"/>
          <w:sz w:val="32"/>
          <w:szCs w:val="32"/>
        </w:rPr>
        <w:t>）扶贫（</w:t>
      </w:r>
      <w:r>
        <w:rPr>
          <w:rStyle w:val="14"/>
          <w:rFonts w:hint="eastAsia" w:ascii="仿宋" w:hAnsi="仿宋" w:eastAsia="仿宋"/>
          <w:b w:val="0"/>
          <w:bCs/>
          <w:color w:val="000000"/>
          <w:sz w:val="32"/>
          <w:szCs w:val="32"/>
        </w:rPr>
        <w:t>款</w:t>
      </w:r>
      <w:r>
        <w:rPr>
          <w:rFonts w:hint="eastAsia" w:ascii="仿宋_GB2312" w:eastAsia="仿宋_GB2312"/>
          <w:color w:val="000000"/>
          <w:sz w:val="32"/>
          <w:szCs w:val="32"/>
        </w:rPr>
        <w:t>）其他扶贫支出（项）0.84万元，完成预算的100%。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11.住房保障支出（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14"/>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）住房公积金支出（项）68.53万元，完成预算的100%。</w:t>
      </w:r>
    </w:p>
    <w:p>
      <w:pPr>
        <w:spacing w:line="600" w:lineRule="exact"/>
        <w:ind w:firstLine="640"/>
        <w:rPr>
          <w:rStyle w:val="25"/>
          <w:rFonts w:ascii="仿宋" w:hAnsi="仿宋" w:eastAsia="仿宋" w:cs="Times New Roman"/>
          <w:bCs w:val="0"/>
          <w:color w:val="000000"/>
        </w:rPr>
      </w:pPr>
      <w:r>
        <w:rPr>
          <w:rFonts w:hint="eastAsia" w:ascii="仿宋_GB2312" w:eastAsia="仿宋_GB2312"/>
          <w:color w:val="000000"/>
          <w:sz w:val="32"/>
          <w:szCs w:val="32"/>
        </w:rPr>
        <w:t>12.住房保障支出（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14"/>
          <w:rFonts w:hint="eastAsia" w:ascii="仿宋" w:hAnsi="仿宋" w:eastAsia="仿宋"/>
          <w:b w:val="0"/>
          <w:bCs/>
          <w:color w:val="000000"/>
          <w:sz w:val="32"/>
          <w:szCs w:val="32"/>
        </w:rPr>
        <w:t>款</w:t>
      </w:r>
      <w:r>
        <w:rPr>
          <w:rFonts w:hint="eastAsia" w:ascii="仿宋_GB2312" w:eastAsia="仿宋_GB2312"/>
          <w:color w:val="000000"/>
          <w:sz w:val="32"/>
          <w:szCs w:val="32"/>
        </w:rPr>
        <w:t xml:space="preserve">）购房补贴支出（项）1.22万元，完成预算的100%。 </w:t>
      </w:r>
      <w:r>
        <w:rPr>
          <w:rFonts w:hint="eastAsia" w:ascii="仿宋_GB2312" w:eastAsia="仿宋_GB2312"/>
          <w:color w:val="000000"/>
          <w:sz w:val="32"/>
          <w:szCs w:val="32"/>
        </w:rPr>
        <w:br w:type="textWrapping"/>
      </w:r>
      <w:bookmarkStart w:id="36" w:name="_Toc15377214"/>
      <w:bookmarkStart w:id="37" w:name="_Toc15396608"/>
      <w:r>
        <w:rPr>
          <w:rFonts w:hint="eastAsia" w:ascii="仿宋" w:hAnsi="仿宋" w:eastAsia="仿宋"/>
          <w:b/>
          <w:color w:val="000000"/>
          <w:sz w:val="32"/>
          <w:szCs w:val="32"/>
        </w:rPr>
        <w:t xml:space="preserve">    </w:t>
      </w: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9年一般公共预算财政拨款基本支出1038.56万元，其中：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870.75万元，主要包括：基本工资、津贴补贴、奖金、绩效工资、机关事业单位基本养老保险缴费、职业年金缴费、职工基本医疗保险、医疗费、其他社会保障缴费、抚恤金、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日常公用经费167.81万元，主要包括：办公费、邮电费、差旅费、维修（护）费、培训费、公务接待费、公务用车运行维护费等。</w:t>
      </w:r>
    </w:p>
    <w:p>
      <w:pPr>
        <w:spacing w:line="600" w:lineRule="exact"/>
        <w:ind w:firstLine="640"/>
        <w:outlineLvl w:val="1"/>
        <w:rPr>
          <w:rStyle w:val="25"/>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3" w:firstLineChars="200"/>
        <w:outlineLvl w:val="1"/>
        <w:rPr>
          <w:rFonts w:hint="eastAsia" w:ascii="楷体_GB2312" w:hAnsi="仿宋" w:eastAsia="楷体_GB2312"/>
          <w:b/>
          <w:bCs/>
          <w:color w:val="000000"/>
          <w:sz w:val="32"/>
          <w:szCs w:val="32"/>
        </w:rPr>
      </w:pPr>
      <w:bookmarkStart w:id="40" w:name="_Toc15377216"/>
      <w:r>
        <w:rPr>
          <w:rFonts w:hint="eastAsia" w:ascii="楷体_GB2312" w:hAnsi="仿宋" w:eastAsia="楷体_GB2312"/>
          <w:b/>
          <w:bCs/>
          <w:color w:val="000000"/>
          <w:sz w:val="32"/>
          <w:szCs w:val="32"/>
        </w:rPr>
        <w:t>（一）“三公”经费财政拨款支出决算总体情况说明</w:t>
      </w:r>
      <w:bookmarkEnd w:id="40"/>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9年“三公”经费财政拨款支出决算为36.97万元，完成预算100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3" w:firstLineChars="200"/>
        <w:outlineLvl w:val="1"/>
        <w:rPr>
          <w:rFonts w:ascii="仿宋" w:hAnsi="仿宋" w:eastAsia="仿宋"/>
          <w:b/>
          <w:color w:val="000000"/>
          <w:sz w:val="32"/>
          <w:szCs w:val="32"/>
        </w:rPr>
      </w:pPr>
      <w:bookmarkStart w:id="41" w:name="_Toc15377217"/>
      <w:bookmarkStart w:id="42" w:name="_Toc15396610"/>
      <w:bookmarkStart w:id="43" w:name="_Toc15377218"/>
      <w:r>
        <w:rPr>
          <w:rFonts w:hint="eastAsia" w:ascii="楷体_GB2312" w:hAnsi="仿宋" w:eastAsia="楷体_GB2312"/>
          <w:b/>
          <w:bCs/>
          <w:color w:val="000000"/>
          <w:sz w:val="32"/>
          <w:szCs w:val="32"/>
        </w:rPr>
        <w:t>（二）“三公”经费财政拨款支出决算具体情况说明</w:t>
      </w:r>
      <w:bookmarkEnd w:id="4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9年“三公”经费财政拨款支出决算中，无因公出国（境）费支出；公务用车购置及运行维护费支出决算31.85万元，占86</w:t>
      </w:r>
      <w:r>
        <w:rPr>
          <w:rFonts w:ascii="仿宋" w:hAnsi="仿宋" w:eastAsia="仿宋"/>
          <w:color w:val="000000"/>
          <w:sz w:val="32"/>
          <w:szCs w:val="32"/>
        </w:rPr>
        <w:t>%</w:t>
      </w:r>
      <w:r>
        <w:rPr>
          <w:rFonts w:hint="eastAsia" w:ascii="仿宋" w:hAnsi="仿宋" w:eastAsia="仿宋"/>
          <w:color w:val="000000"/>
          <w:sz w:val="32"/>
          <w:szCs w:val="32"/>
        </w:rPr>
        <w:t>；公务接待费支出决算5.12万元，占14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7456" behindDoc="0" locked="0" layoutInCell="1" allowOverlap="1">
            <wp:simplePos x="0" y="0"/>
            <wp:positionH relativeFrom="column">
              <wp:posOffset>720090</wp:posOffset>
            </wp:positionH>
            <wp:positionV relativeFrom="paragraph">
              <wp:posOffset>55880</wp:posOffset>
            </wp:positionV>
            <wp:extent cx="3774440" cy="2035810"/>
            <wp:effectExtent l="19050" t="0" r="16510" b="254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无因公出国（境）经费支出</w:t>
      </w:r>
      <w:r>
        <w:rPr>
          <w:rFonts w:hint="eastAsia" w:ascii="仿宋_GB2312" w:eastAsia="仿宋_GB2312"/>
          <w:color w:val="000000"/>
          <w:sz w:val="32"/>
          <w:szCs w:val="32"/>
        </w:rPr>
        <w:t>。</w:t>
      </w:r>
    </w:p>
    <w:p>
      <w:pPr>
        <w:spacing w:line="600" w:lineRule="exact"/>
        <w:ind w:firstLine="640"/>
        <w:rPr>
          <w:rFonts w:ascii="仿宋_GB2312" w:eastAsia="仿宋_GB2312"/>
          <w:color w:val="333333"/>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31.85万元,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8年增加0.1万元，增加0.3</w:t>
      </w:r>
      <w:r>
        <w:rPr>
          <w:rFonts w:ascii="仿宋_GB2312" w:eastAsia="仿宋_GB2312"/>
          <w:color w:val="000000"/>
          <w:sz w:val="32"/>
          <w:szCs w:val="32"/>
        </w:rPr>
        <w:t>%</w:t>
      </w:r>
      <w:r>
        <w:rPr>
          <w:rFonts w:hint="eastAsia" w:ascii="仿宋_GB2312" w:eastAsia="仿宋_GB2312"/>
          <w:color w:val="000000"/>
          <w:sz w:val="32"/>
          <w:szCs w:val="32"/>
        </w:rPr>
        <w:t>。主要原因是我单位两辆</w:t>
      </w:r>
      <w:r>
        <w:rPr>
          <w:rFonts w:hint="eastAsia" w:ascii="仿宋_GB2312" w:eastAsia="仿宋_GB2312"/>
          <w:color w:val="333333"/>
          <w:sz w:val="32"/>
          <w:szCs w:val="32"/>
        </w:rPr>
        <w:t>公务用车老旧，维修费高。</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月底，单位共有公务用车3辆，其中：越野车3辆。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31.85万元。主要用于3辆公务用车的燃料费、维修费、过路过桥费、保险费等支出。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5.12万元，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8年增加3.12万元，增长71</w:t>
      </w:r>
      <w:r>
        <w:rPr>
          <w:rFonts w:ascii="仿宋_GB2312" w:eastAsia="仿宋_GB2312"/>
          <w:color w:val="000000"/>
          <w:sz w:val="32"/>
          <w:szCs w:val="32"/>
        </w:rPr>
        <w:t>%</w:t>
      </w:r>
      <w:r>
        <w:rPr>
          <w:rFonts w:hint="eastAsia" w:ascii="仿宋_GB2312" w:eastAsia="仿宋_GB2312"/>
          <w:color w:val="000000"/>
          <w:sz w:val="32"/>
          <w:szCs w:val="32"/>
        </w:rPr>
        <w:t>。主要原因是会议和接待次数的增加。</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主要用于执行公务、开展业务活动开支的交通费、住宿费、用餐费等。国内公务接待36批次，583人次（不包括陪同人员），共计支出5.12万元，具体内容包括：接待省内、外和州内的考察、调研人员。</w:t>
      </w:r>
    </w:p>
    <w:p>
      <w:pPr>
        <w:spacing w:line="600" w:lineRule="exact"/>
        <w:ind w:firstLine="640" w:firstLineChars="20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9年无政府性基金预算拨款。</w:t>
      </w:r>
    </w:p>
    <w:p>
      <w:pPr>
        <w:spacing w:line="600" w:lineRule="exact"/>
        <w:ind w:firstLine="643" w:firstLineChars="200"/>
        <w:outlineLvl w:val="1"/>
        <w:rPr>
          <w:rStyle w:val="25"/>
          <w:rFonts w:ascii="黑体" w:hAnsi="黑体" w:eastAsia="黑体"/>
          <w:b w:val="0"/>
        </w:rPr>
      </w:pPr>
      <w:bookmarkStart w:id="44" w:name="_Toc15396611"/>
      <w:bookmarkStart w:id="45" w:name="_Toc15377219"/>
      <w:r>
        <w:rPr>
          <w:rStyle w:val="25"/>
          <w:rFonts w:hint="eastAsia" w:ascii="黑体" w:hAnsi="黑体" w:eastAsia="黑体"/>
        </w:rPr>
        <w:t>九、</w:t>
      </w:r>
      <w:r>
        <w:rPr>
          <w:rStyle w:val="25"/>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9年无国有资本经营预算拨款。</w:t>
      </w:r>
    </w:p>
    <w:p>
      <w:pPr>
        <w:spacing w:line="600" w:lineRule="exact"/>
        <w:ind w:firstLine="640" w:firstLineChars="200"/>
        <w:outlineLvl w:val="1"/>
        <w:rPr>
          <w:rStyle w:val="25"/>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6"/>
      <w:bookmarkEnd w:id="47"/>
    </w:p>
    <w:p>
      <w:pPr>
        <w:spacing w:line="600" w:lineRule="exact"/>
        <w:ind w:firstLine="643" w:firstLineChars="200"/>
        <w:outlineLvl w:val="2"/>
        <w:rPr>
          <w:rFonts w:ascii="仿宋" w:hAnsi="仿宋" w:eastAsia="仿宋"/>
          <w:color w:val="000000"/>
          <w:sz w:val="32"/>
          <w:szCs w:val="32"/>
        </w:rPr>
      </w:pPr>
      <w:bookmarkStart w:id="48" w:name="_Toc15377222"/>
      <w:r>
        <w:rPr>
          <w:rFonts w:hint="eastAsia" w:ascii="楷体_GB2312" w:hAnsi="仿宋" w:eastAsia="楷体_GB2312"/>
          <w:b/>
          <w:bCs/>
          <w:color w:val="000000"/>
          <w:sz w:val="32"/>
          <w:szCs w:val="32"/>
        </w:rPr>
        <w:t>（一）机关运行经费支出情况</w:t>
      </w:r>
      <w:bookmarkEnd w:id="48"/>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9年，茂县人大常委会办公室运行经费支出167.81万元，比</w:t>
      </w:r>
      <w:r>
        <w:rPr>
          <w:rFonts w:ascii="仿宋_GB2312" w:eastAsia="仿宋_GB2312"/>
          <w:color w:val="000000"/>
          <w:sz w:val="32"/>
          <w:szCs w:val="32"/>
        </w:rPr>
        <w:t>201</w:t>
      </w:r>
      <w:r>
        <w:rPr>
          <w:rFonts w:hint="eastAsia" w:ascii="仿宋_GB2312" w:eastAsia="仿宋_GB2312"/>
          <w:color w:val="000000"/>
          <w:sz w:val="32"/>
          <w:szCs w:val="32"/>
        </w:rPr>
        <w:t>8年增加89.73万元，增长114.92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bookmarkStart w:id="49" w:name="_Toc15377223"/>
      <w:r>
        <w:rPr>
          <w:rFonts w:hint="eastAsia" w:ascii="仿宋_GB2312" w:eastAsia="仿宋_GB2312"/>
          <w:color w:val="000000" w:themeColor="text1"/>
          <w:sz w:val="32"/>
          <w:szCs w:val="32"/>
        </w:rPr>
        <w:t>2019年我单位有会议室改造和预算联网建设。</w:t>
      </w:r>
    </w:p>
    <w:p>
      <w:pPr>
        <w:spacing w:line="600" w:lineRule="exact"/>
        <w:ind w:firstLine="643" w:firstLineChars="200"/>
        <w:rPr>
          <w:rFonts w:ascii="仿宋_GB2312" w:eastAsia="仿宋_GB2312"/>
          <w:color w:val="000000" w:themeColor="text1"/>
          <w:sz w:val="32"/>
          <w:szCs w:val="32"/>
        </w:rPr>
      </w:pPr>
      <w:r>
        <w:rPr>
          <w:rFonts w:hint="eastAsia" w:ascii="楷体_GB2312" w:hAnsi="仿宋" w:eastAsia="楷体_GB2312"/>
          <w:b/>
          <w:bCs/>
          <w:color w:val="000000"/>
          <w:sz w:val="32"/>
          <w:szCs w:val="32"/>
        </w:rPr>
        <w:t>（二）政府采购支出情况</w:t>
      </w:r>
      <w:bookmarkEnd w:id="4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9年无政府采购支出。</w:t>
      </w:r>
    </w:p>
    <w:p>
      <w:pPr>
        <w:spacing w:line="600" w:lineRule="exact"/>
        <w:ind w:firstLine="643" w:firstLineChars="200"/>
        <w:rPr>
          <w:rFonts w:hint="eastAsia" w:ascii="楷体_GB2312" w:hAnsi="仿宋" w:eastAsia="楷体_GB2312"/>
          <w:b/>
          <w:bCs/>
          <w:color w:val="000000"/>
          <w:sz w:val="32"/>
          <w:szCs w:val="32"/>
        </w:rPr>
      </w:pPr>
      <w:bookmarkStart w:id="50" w:name="_Toc15377224"/>
      <w:r>
        <w:rPr>
          <w:rFonts w:hint="eastAsia" w:ascii="楷体_GB2312" w:hAnsi="仿宋" w:eastAsia="楷体_GB2312"/>
          <w:b/>
          <w:bCs/>
          <w:color w:val="000000"/>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日，我单位共有车辆5辆，其中：一般公务用车3辆；单价50万元以上通用设备0台（套），单价100万元以上专用设备0台（套）。</w:t>
      </w:r>
    </w:p>
    <w:p>
      <w:pPr>
        <w:spacing w:line="600" w:lineRule="exact"/>
        <w:ind w:firstLine="643" w:firstLineChars="200"/>
        <w:rPr>
          <w:rFonts w:hint="eastAsia" w:ascii="楷体_GB2312" w:hAnsi="仿宋" w:eastAsia="楷体_GB2312"/>
          <w:b/>
          <w:bCs/>
          <w:color w:val="000000"/>
          <w:sz w:val="32"/>
          <w:szCs w:val="32"/>
        </w:rPr>
      </w:pPr>
      <w:r>
        <w:rPr>
          <w:rFonts w:hint="eastAsia" w:ascii="楷体_GB2312" w:hAnsi="仿宋" w:eastAsia="楷体_GB2312"/>
          <w:b/>
          <w:bCs/>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3个项目开展了预算事前绩效评估，对3个项目编制了绩效目标，预算执行过程中，选取3个项目开展绩效监控，年终执行完毕后，对3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我单位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本部门在2019年度部门决算中反映“考察经费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十五届人民代表大会第三次会议费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代表工作经费”等3个项目绩效目标实际完成情况。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（1）考察经费项目绩效目标完成情况综述。项目全年预算数11.70万元，执行数为11.70万元，完成预算的100%。通过项目实施，保障了我单位在外地考察学习的顺利完成。</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（2）十五届人民代表大会第三次会议费项目绩效目标完成情况综述。项目全年预算数48.79万元，执行数为48.79万元，完成预算的100%。通过项目实施，保障了第十五届人民代表大会第三次会议的顺利召开。</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（3）代表工作经费项目绩效目标完成情况综述。项目全年预算数27.18万元，执行数为27.18万元，完成预算的100%。通过项目实施，保障了全县及各乡镇人大代表工作的顺利开展。</w:t>
      </w:r>
    </w:p>
    <w:tbl>
      <w:tblPr>
        <w:tblStyle w:val="12"/>
        <w:tblpPr w:leftFromText="180" w:rightFromText="180" w:vertAnchor="text" w:horzAnchor="margin" w:tblpXSpec="center" w:tblpY="207"/>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考察经费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11.70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11.70</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学习和借鉴先进的工作经验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顺利完成茂县人大常委会办公室异地学习考察教育体制改革先进经验工作。</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0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预计14人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2019年组织常委会组成人员及教育局分管领导和各大院校校长一行14人参加异地学习考察教育体制改革先进经验工作</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不超过12万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实际支出11.7万</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保障异地学习考察教育体制改革先进经验工作顺利开展。</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圆满完成茂县人大常委会办公室异地学习考察教育体制改革先进经验的各项工作。</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spacing w:line="580" w:lineRule="exact"/>
        <w:ind w:firstLine="640" w:firstLineChars="200"/>
        <w:rPr>
          <w:rFonts w:ascii="仿宋_GB2312" w:hAnsi="仿宋_GB2312" w:eastAsia="仿宋_GB2312" w:cs="仿宋_GB2312"/>
          <w:sz w:val="32"/>
          <w:szCs w:val="32"/>
        </w:rPr>
      </w:pPr>
    </w:p>
    <w:p>
      <w:pPr>
        <w:spacing w:line="600" w:lineRule="exact"/>
        <w:ind w:firstLine="640" w:firstLineChars="200"/>
        <w:outlineLvl w:val="1"/>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2"/>
        <w:tblpPr w:leftFromText="180" w:rightFromText="180" w:vertAnchor="text" w:horzAnchor="margin" w:tblpXSpec="center" w:tblpY="301"/>
        <w:tblOverlap w:val="never"/>
        <w:tblW w:w="9960" w:type="dxa"/>
        <w:tblInd w:w="0" w:type="dxa"/>
        <w:tblLayout w:type="fixed"/>
        <w:tblCellMar>
          <w:top w:w="0" w:type="dxa"/>
          <w:left w:w="0" w:type="dxa"/>
          <w:bottom w:w="0" w:type="dxa"/>
          <w:right w:w="0" w:type="dxa"/>
        </w:tblCellMar>
      </w:tblPr>
      <w:tblGrid>
        <w:gridCol w:w="390"/>
        <w:gridCol w:w="1367"/>
        <w:gridCol w:w="243"/>
        <w:gridCol w:w="782"/>
        <w:gridCol w:w="68"/>
        <w:gridCol w:w="284"/>
        <w:gridCol w:w="1559"/>
        <w:gridCol w:w="481"/>
        <w:gridCol w:w="2071"/>
        <w:gridCol w:w="323"/>
        <w:gridCol w:w="2392"/>
      </w:tblGrid>
      <w:tr>
        <w:tblPrEx>
          <w:tblCellMar>
            <w:top w:w="0" w:type="dxa"/>
            <w:left w:w="0" w:type="dxa"/>
            <w:bottom w:w="0" w:type="dxa"/>
            <w:right w:w="0" w:type="dxa"/>
          </w:tblCellMar>
        </w:tblPrEx>
        <w:trPr>
          <w:trHeight w:val="1034" w:hRule="atLeast"/>
        </w:trPr>
        <w:tc>
          <w:tcPr>
            <w:tcW w:w="9960" w:type="dxa"/>
            <w:gridSpan w:val="11"/>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560" w:hRule="atLeast"/>
        </w:trPr>
        <w:tc>
          <w:tcPr>
            <w:tcW w:w="285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1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十五届人民代表大会第三次会议</w:t>
            </w:r>
          </w:p>
        </w:tc>
      </w:tr>
      <w:tr>
        <w:tblPrEx>
          <w:tblCellMar>
            <w:top w:w="0" w:type="dxa"/>
            <w:left w:w="0" w:type="dxa"/>
            <w:bottom w:w="0" w:type="dxa"/>
            <w:right w:w="0" w:type="dxa"/>
          </w:tblCellMar>
        </w:tblPrEx>
        <w:trPr>
          <w:trHeight w:val="276" w:hRule="atLeast"/>
        </w:trPr>
        <w:tc>
          <w:tcPr>
            <w:tcW w:w="285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1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48.79</w:t>
            </w:r>
          </w:p>
        </w:tc>
        <w:tc>
          <w:tcPr>
            <w:tcW w:w="28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48.79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48.79</w:t>
            </w:r>
          </w:p>
        </w:tc>
        <w:tc>
          <w:tcPr>
            <w:tcW w:w="28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48.79</w:t>
            </w:r>
          </w:p>
        </w:tc>
      </w:tr>
      <w:tr>
        <w:tblPrEx>
          <w:tblCellMar>
            <w:top w:w="0" w:type="dxa"/>
            <w:left w:w="0" w:type="dxa"/>
            <w:bottom w:w="0" w:type="dxa"/>
            <w:right w:w="0" w:type="dxa"/>
          </w:tblCellMar>
        </w:tblPrEx>
        <w:trPr>
          <w:trHeight w:val="1505"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8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303"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267"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93"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303"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完成十五届人民代表大会第三次会议</w:t>
            </w:r>
          </w:p>
        </w:tc>
        <w:tc>
          <w:tcPr>
            <w:tcW w:w="5267"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圆满完成十五届人民代表大会第三次会议的各项工作</w:t>
            </w:r>
          </w:p>
        </w:tc>
      </w:tr>
      <w:tr>
        <w:tblPrEx>
          <w:tblCellMar>
            <w:top w:w="0" w:type="dxa"/>
            <w:left w:w="0" w:type="dxa"/>
            <w:bottom w:w="0" w:type="dxa"/>
            <w:right w:w="0" w:type="dxa"/>
          </w:tblCellMar>
        </w:tblPrEx>
        <w:trPr>
          <w:trHeight w:val="957"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5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预计400人</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全县、各乡镇人大代表，常务委员会组成人员，各列席代表及工作人员共计330人参加第十五届人民代表大会第三次会议</w:t>
            </w:r>
          </w:p>
        </w:tc>
      </w:tr>
      <w:tr>
        <w:tblPrEx>
          <w:tblCellMar>
            <w:top w:w="0" w:type="dxa"/>
            <w:left w:w="0" w:type="dxa"/>
            <w:bottom w:w="0" w:type="dxa"/>
            <w:right w:w="0" w:type="dxa"/>
          </w:tblCellMar>
        </w:tblPrEx>
        <w:trPr>
          <w:trHeight w:val="54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w:t>
            </w:r>
          </w:p>
        </w:tc>
      </w:tr>
      <w:tr>
        <w:tblPrEx>
          <w:tblCellMar>
            <w:top w:w="0" w:type="dxa"/>
            <w:left w:w="0" w:type="dxa"/>
            <w:bottom w:w="0" w:type="dxa"/>
            <w:right w:w="0" w:type="dxa"/>
          </w:tblCellMar>
        </w:tblPrEx>
        <w:trPr>
          <w:trHeight w:val="555"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不超过50万</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w:t>
            </w:r>
            <w:r>
              <w:rPr>
                <w:rFonts w:hint="eastAsia" w:ascii="宋体" w:hAnsi="宋体" w:cs="宋体"/>
                <w:color w:val="000000"/>
                <w:kern w:val="0"/>
                <w:sz w:val="24"/>
              </w:rPr>
              <w:t>48.79万元</w:t>
            </w:r>
          </w:p>
        </w:tc>
      </w:tr>
      <w:tr>
        <w:tblPrEx>
          <w:tblCellMar>
            <w:top w:w="0" w:type="dxa"/>
            <w:left w:w="0" w:type="dxa"/>
            <w:bottom w:w="0" w:type="dxa"/>
            <w:right w:w="0" w:type="dxa"/>
          </w:tblCellMar>
        </w:tblPrEx>
        <w:trPr>
          <w:trHeight w:val="1049"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保障十五届人民代表大会第三次会议的各项工作的开展。</w:t>
            </w:r>
          </w:p>
          <w:p>
            <w:pPr>
              <w:widowControl/>
              <w:jc w:val="center"/>
              <w:textAlignment w:val="center"/>
              <w:rPr>
                <w:rFonts w:ascii="宋体" w:hAnsi="宋体" w:cs="宋体"/>
                <w:color w:val="000000"/>
                <w:sz w:val="24"/>
              </w:rPr>
            </w:pP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圆满完成十五届人民代表大会第三次会议的各项工作。</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34" w:hRule="atLeast"/>
        </w:trPr>
        <w:tc>
          <w:tcPr>
            <w:tcW w:w="9960" w:type="dxa"/>
            <w:gridSpan w:val="11"/>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代表工作</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27.18</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27.18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27.18</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27.18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完成全县、各乡镇代表工作</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圆满完成全县、各乡镇代表的各项工作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全县、各乡镇人大代表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全县、各乡镇人大代表开展各项工作经费</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不超过28万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实际支出27.18万</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保障全县、各乡镇人大代表各项工作的开展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圆满完成全县、各乡镇人大代表的各项工作</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本部门按要求对2019年部门整体支出绩效评价情况开展自评，《2019年部门整体支出绩效评价报告》见附件</w:t>
      </w:r>
      <w:r>
        <w:rPr>
          <w:rFonts w:ascii="仿宋_GB2312" w:eastAsia="仿宋_GB2312"/>
          <w:b/>
          <w:color w:val="000000"/>
          <w:sz w:val="32"/>
          <w:szCs w:val="32"/>
        </w:rPr>
        <w:br w:type="page"/>
      </w:r>
    </w:p>
    <w:p>
      <w:pPr>
        <w:widowControl/>
        <w:jc w:val="center"/>
        <w:rPr>
          <w:rStyle w:val="24"/>
          <w:rFonts w:hint="eastAsia" w:ascii="黑体" w:hAnsi="黑体" w:eastAsia="黑体"/>
          <w:b w:val="0"/>
        </w:rPr>
      </w:pPr>
      <w:bookmarkStart w:id="51" w:name="_Toc15396613"/>
      <w:bookmarkStart w:id="52" w:name="_Toc15377225"/>
      <w:bookmarkStart w:id="53" w:name="_Toc15377226"/>
      <w:r>
        <w:rPr>
          <w:rStyle w:val="24"/>
          <w:rFonts w:hint="eastAsia" w:ascii="黑体" w:hAnsi="黑体" w:eastAsia="黑体"/>
        </w:rPr>
        <w:t>第三部分</w:t>
      </w:r>
      <w:r>
        <w:rPr>
          <w:rStyle w:val="24"/>
          <w:rFonts w:hint="eastAsia" w:ascii="黑体" w:hAnsi="黑体" w:eastAsia="黑体"/>
          <w:lang w:val="en-US" w:eastAsia="zh-CN"/>
        </w:rPr>
        <w:t xml:space="preserve">  </w:t>
      </w:r>
      <w:r>
        <w:rPr>
          <w:rStyle w:val="24"/>
          <w:rFonts w:hint="eastAsia" w:ascii="黑体" w:hAnsi="黑体"/>
        </w:rPr>
        <w:t>名</w:t>
      </w:r>
      <w:r>
        <w:rPr>
          <w:rStyle w:val="24"/>
          <w:rFonts w:hint="eastAsia" w:ascii="黑体" w:hAnsi="黑体" w:eastAsia="黑体"/>
          <w:b w:val="0"/>
        </w:rPr>
        <w:t>词解释</w:t>
      </w:r>
      <w:bookmarkEnd w:id="51"/>
      <w:bookmarkEnd w:id="52"/>
    </w:p>
    <w:p>
      <w:pPr>
        <w:widowControl/>
        <w:jc w:val="center"/>
        <w:rPr>
          <w:rStyle w:val="24"/>
          <w:rFonts w:hint="eastAsia" w:ascii="黑体" w:hAnsi="黑体" w:eastAsia="黑体"/>
          <w:b w:val="0"/>
        </w:rPr>
      </w:pPr>
    </w:p>
    <w:p>
      <w:pPr>
        <w:pStyle w:val="22"/>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r>
        <w:rPr>
          <w:rStyle w:val="24"/>
          <w:rFonts w:hint="eastAsia" w:ascii="黑体" w:hAnsi="黑体" w:eastAsia="黑体"/>
        </w:rPr>
        <w:t xml:space="preserve">第四部分  </w:t>
      </w:r>
      <w:r>
        <w:rPr>
          <w:rStyle w:val="24"/>
          <w:rFonts w:hint="eastAsia" w:ascii="黑体" w:hAnsi="黑体" w:eastAsia="黑体"/>
          <w:b w:val="0"/>
        </w:rPr>
        <w:t>附件</w:t>
      </w:r>
    </w:p>
    <w:p>
      <w:pPr>
        <w:spacing w:line="600" w:lineRule="exact"/>
        <w:ind w:firstLine="2640" w:firstLineChars="600"/>
        <w:outlineLvl w:val="0"/>
        <w:rPr>
          <w:rStyle w:val="24"/>
          <w:rFonts w:ascii="黑体" w:hAnsi="黑体" w:eastAsia="黑体"/>
          <w:b w:val="0"/>
        </w:rPr>
      </w:pPr>
    </w:p>
    <w:p>
      <w:pPr>
        <w:spacing w:line="500" w:lineRule="exact"/>
        <w:ind w:firstLine="880" w:firstLineChars="200"/>
        <w:jc w:val="center"/>
        <w:rPr>
          <w:rFonts w:ascii="黑体" w:hAnsi="黑体" w:eastAsia="黑体" w:cs="宋体"/>
          <w:sz w:val="44"/>
          <w:szCs w:val="44"/>
          <w:shd w:val="clear" w:color="auto" w:fill="FFFFFF"/>
        </w:rPr>
      </w:pPr>
      <w:r>
        <w:rPr>
          <w:rFonts w:hint="eastAsia" w:ascii="黑体" w:hAnsi="黑体" w:eastAsia="黑体" w:cs="宋体"/>
          <w:sz w:val="44"/>
          <w:szCs w:val="44"/>
          <w:shd w:val="clear" w:color="auto" w:fill="FFFFFF"/>
        </w:rPr>
        <w:t>茂县人大常委会办公室</w:t>
      </w:r>
    </w:p>
    <w:p>
      <w:pPr>
        <w:spacing w:line="500" w:lineRule="exact"/>
        <w:ind w:firstLine="880" w:firstLineChars="200"/>
        <w:jc w:val="center"/>
        <w:rPr>
          <w:rFonts w:ascii="黑体" w:hAnsi="黑体" w:eastAsia="黑体" w:cs="宋体"/>
          <w:sz w:val="44"/>
          <w:szCs w:val="44"/>
          <w:shd w:val="clear" w:color="auto" w:fill="FFFFFF"/>
        </w:rPr>
      </w:pPr>
      <w:r>
        <w:rPr>
          <w:rFonts w:hint="eastAsia" w:ascii="黑体" w:hAnsi="黑体" w:eastAsia="黑体" w:cs="宋体"/>
          <w:sz w:val="44"/>
          <w:szCs w:val="44"/>
          <w:shd w:val="clear" w:color="auto" w:fill="FFFFFF"/>
        </w:rPr>
        <w:t>2019年预算支出绩效报告</w:t>
      </w:r>
    </w:p>
    <w:p>
      <w:pPr>
        <w:spacing w:line="500" w:lineRule="exact"/>
        <w:ind w:firstLine="420" w:firstLineChars="200"/>
        <w:rPr>
          <w:rFonts w:ascii="仿宋" w:hAnsi="仿宋" w:eastAsia="仿宋" w:cs="方正小标宋简体"/>
          <w:color w:val="000000"/>
          <w:kern w:val="0"/>
          <w:sz w:val="32"/>
          <w:szCs w:val="32"/>
          <w:shd w:val="clear" w:color="auto" w:fill="FFFFFF"/>
        </w:rPr>
      </w:pPr>
      <w:r>
        <w:rPr>
          <w:rFonts w:hint="eastAsia" w:ascii="仿宋" w:hAnsi="仿宋" w:eastAsia="仿宋" w:cs="方正小标宋简体"/>
          <w:color w:val="000000"/>
          <w:kern w:val="0"/>
          <w:shd w:val="clear" w:color="auto" w:fill="FFFFFF"/>
        </w:rPr>
        <w:t xml:space="preserve"> </w:t>
      </w:r>
    </w:p>
    <w:p>
      <w:pPr>
        <w:spacing w:line="5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一、单位概况</w:t>
      </w:r>
    </w:p>
    <w:p>
      <w:pPr>
        <w:spacing w:line="500" w:lineRule="exact"/>
        <w:ind w:firstLine="321" w:firstLineChars="100"/>
        <w:rPr>
          <w:rFonts w:hint="eastAsia"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（一）机构组成</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根据宪法和法律规定的主要职能，结合我县经济、社会发展状况，从依法治县和人大工作实际出发，县人大机关设科级综合办事机构1个，事业机构1个，设科级工作委员会5个。即设立常委会办公室、法制工作委员会、财政经济工作委员会、教科文卫工作委员会、人事代表工作委员会、农业工作委员会、人大常委会网络中心。</w:t>
      </w:r>
    </w:p>
    <w:p>
      <w:pPr>
        <w:spacing w:line="500" w:lineRule="exact"/>
        <w:ind w:firstLine="321" w:firstLineChars="10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（二）机构职能</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茂县人大常委会是茂县人民代表大会的常设机构。根据《宪法》、《地方组织法》及其他有关法律、法规的规定，县人大常委会的主要职能是：（一）保证宪法、法律和上级人民代表大会及其常委会的决议、决定在本行政区域内的遵守和执行。（二）领导或主持茂县人民代表的选举；领导和指导全县乡镇人民代表大会代表的选举。（三）召集茂县人民代表大会会议。（四）讨论、决定全县政治、经济和社会发展重大事项。（五）根据县人民政府的建议，决定对全县国民经济和社会发展计划、财政预算的部分变更。（六）监督县人民政府、县人民法院、县人民检察院工作，联系本级人大代表，受理人民群众对“一府两院”和国家机关工作人员的申诉和意见。（七）撤销乡镇人民代表大会及其主席团的不适当的决议；撤销县人民政府不适当的决定和命令。（八）依照法律规定的范围和程序决定县级国家机关工作人员职务的任免或撤销。（九）在县人民代表大会闭会期间，补选上一级人民代表大会出缺的代表以及罢免个别代表。</w:t>
      </w:r>
    </w:p>
    <w:p>
      <w:pPr>
        <w:spacing w:line="500" w:lineRule="exact"/>
        <w:ind w:firstLine="321" w:firstLineChars="10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（三）人员概况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茂县人大常委会办公室下属一级预算单位1个，其中行政单位1个，其他事业单位1个。总编制29名，其中：行政编制25名，其他事业编制4名。在职人员总数35人，其中：行政人员33人，其他事业人员2人；退休人员30人，遗属7人。</w:t>
      </w:r>
    </w:p>
    <w:p>
      <w:pPr>
        <w:spacing w:line="5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二、部门财政资金收支情况</w:t>
      </w:r>
    </w:p>
    <w:p>
      <w:pPr>
        <w:spacing w:line="500" w:lineRule="exact"/>
        <w:ind w:firstLine="321" w:firstLineChars="100"/>
        <w:rPr>
          <w:rFonts w:hint="eastAsia"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（一）部门财政资金收入情况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2019年部门总收入1150.1万元，其中财政拨款收入1150.1万元。</w:t>
      </w:r>
    </w:p>
    <w:p>
      <w:pPr>
        <w:spacing w:line="500" w:lineRule="exact"/>
        <w:ind w:firstLine="321" w:firstLineChars="100"/>
        <w:rPr>
          <w:rFonts w:hint="eastAsia"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(二)部门财政资金支出情况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2019年部门总支出1127.06万元，其中：一般公共服务支出899.15万元，社会保障和就业支出107.41万元，卫生健康支出49.91万元，农林水支出0.84万元，住房保障支出69.75万元。</w:t>
      </w:r>
    </w:p>
    <w:p>
      <w:pPr>
        <w:spacing w:line="500" w:lineRule="exact"/>
        <w:ind w:firstLine="960" w:firstLineChars="300"/>
        <w:rPr>
          <w:rFonts w:ascii="黑体" w:hAnsi="黑体" w:eastAsia="黑体" w:cs="仿宋"/>
          <w:color w:val="000000"/>
          <w:kern w:val="0"/>
          <w:sz w:val="32"/>
          <w:szCs w:val="32"/>
        </w:rPr>
      </w:pPr>
      <w:r>
        <w:rPr>
          <w:rFonts w:hint="eastAsia" w:ascii="黑体" w:hAnsi="黑体" w:eastAsia="黑体" w:cs="仿宋"/>
          <w:color w:val="000000"/>
          <w:kern w:val="0"/>
          <w:sz w:val="32"/>
          <w:szCs w:val="32"/>
        </w:rPr>
        <w:t>三、部门财政支出管理情况</w:t>
      </w:r>
    </w:p>
    <w:p>
      <w:pPr>
        <w:spacing w:line="500" w:lineRule="exact"/>
        <w:ind w:firstLine="482"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（一）预决算编制情况</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1.预算编制情况</w:t>
      </w:r>
    </w:p>
    <w:p>
      <w:pPr>
        <w:spacing w:line="500" w:lineRule="exact"/>
        <w:ind w:firstLine="480" w:firstLineChars="1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（1）人员情况：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2020年预算时，在职职工48人，其中：行政人员46人，其他事业人员2人；退休人员30人；遗属7人。</w:t>
      </w:r>
    </w:p>
    <w:p>
      <w:pPr>
        <w:spacing w:line="500" w:lineRule="exact"/>
        <w:ind w:firstLine="480" w:firstLineChars="1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（2）收入情况：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2020年预算收入总额为812.40万元，其中：基本支出752.56万元，项目支出59.84万元。</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（3）支出情况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2020年预算支出总额为812.40万元，其中：一般公共服务支出588.43万元，社会保障和就业支出105.53万元，卫生健康支出40.90万元，农林水支出0.84万元，住房保障支出76.70万元。</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决算编制情况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（1）收入情况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2019年我单位总收入为1150.1万元，财政拨款收入：1150.1万元。</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（2）年初结转和结余情况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2019年年未结转和结余23.04万元。</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（3）支出情况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2019年部门总支出1127.06万元，其中：一般公共服务支出899.15万元，社会保障和就业支出107.41万元，卫生健康支出49.91万元，农林水支出0.84万元，住房保障支出69.75万元。</w:t>
      </w:r>
    </w:p>
    <w:p>
      <w:pPr>
        <w:spacing w:line="500" w:lineRule="exact"/>
        <w:ind w:firstLine="482"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（二）执行管理情况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6月执行进度为53%，9月执行进度为80%，全年执行度为98%。</w:t>
      </w:r>
    </w:p>
    <w:p>
      <w:pPr>
        <w:spacing w:line="500" w:lineRule="exact"/>
        <w:ind w:firstLine="482"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（三）支出绩效情况</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部门支出绩效</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（1）行政运转保障</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2019年保障机关运转支出1127.06万元。其中，行政运行支出796.82万元，一般行政管理事务支出11.70万元，人大会议48.79万元，代表工作支出27.18万元，事业运行支出14.66万元，社会保障和就业支出107.41万元，卫生健康支出49.91万元，农林水支出0.84万元，住房保障支出69.75万元。</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（2）机关厉行节约</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2019年我单位“三公”经费支出36.97万元。其中，无因公出国（境）费、会议费，公务用车运行维护费31.85万元，公务接待费5.12万元。在单位厉行节约方面我单位进一步加强财务管理，严格按照财经制度执行，完善“三公”经费审核审批程序，使经费较好地控制在预算范围之内。</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专项预算项目（待批复项目）支出绩效</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（1）资金绩效分配情况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执行《茂县县级财政专项资金绩效分配管理暂行办法》，实施绩效分配情况。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（2）项目资金管理情况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严格执行《茂县县级财政专项资金绩效分配管理暂行办法》专款专用，资金支付依据和开支标准合规合法。</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（3）绩效目标完成情况</w:t>
      </w:r>
    </w:p>
    <w:p>
      <w:pPr>
        <w:spacing w:line="500" w:lineRule="exact"/>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一年来，县人大常委会以习近平新时代中国特色社会主义思想为指导，认真贯彻落实党的十九大和十九届二中、三中、四中全会精神和省州历次全会精神，紧紧围绕县委重大决策部署，团结和依靠全体代表，认真履行宪法和法律赋予的各项职权，以打造新时代责任人大、规范人大、实效人大、活力人大为目标，推动人大各项工作创新作为，为茂县加快建设“五地一中心”作出了积极贡献。全年共召开常委会会议9次，主任会议9次，听取和审议“一府一委两院”专项工作报告33项，作出决议决定15项，较好地完成了县十五届人大三次会议提出的目标任务。</w:t>
      </w:r>
    </w:p>
    <w:p>
      <w:pPr>
        <w:spacing w:line="500" w:lineRule="exact"/>
        <w:ind w:firstLine="482"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（四）财务管理情况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为进一步规范机关财务和加强财产管理工作，节约费用开支，提高资金使用效益，强化财务监督，严肃财经纪律，根据相关规定我单位制定局机关财务管理制度、公务用车管理制度、公务接待管理制度等，资产管理严格按照固定资产管理制度进行管理，茂县党校培训费管理办法等制度，并严格按照《会计法》《会计档案管理办法》进行会计凭证、账簿登记和会计档案管理。</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采购办公用品时严格按照文件精神，预算资金在限额标准以上的都通过填报《茂县政府采购计划申请表》向县财政申请，经审核批准后在组织实施。项目预算资金在限额标准以下的都通过填报《茂县政府采购备案表》经备案后在进行采购。</w:t>
      </w:r>
    </w:p>
    <w:p>
      <w:pPr>
        <w:spacing w:line="500" w:lineRule="exact"/>
        <w:ind w:firstLine="482"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（五）绩效管理工作开展情况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单位根据《茂县财政局关于开展2019年财政支出绩效评价工作的通知》为提高预算资金使用效益，强化支出责任，规范支出绩效评价行为，单位根据财政资金的实际使用情况开始了自评工作，我们将此项工作作为健全本单位制度机制、优化支出结构、资源配置的重要依据。</w:t>
      </w:r>
    </w:p>
    <w:p>
      <w:pPr>
        <w:spacing w:line="500" w:lineRule="exact"/>
        <w:ind w:firstLine="640"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四、评价结论及建议</w:t>
      </w:r>
    </w:p>
    <w:p>
      <w:pPr>
        <w:spacing w:line="500" w:lineRule="exact"/>
        <w:ind w:firstLine="482"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（一）评价结论</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预算编制方面</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按照县级部门预算编制通知和有关要求，按时完成基础库、项目库报送及预算编制工作，并按时提交部门预算草案。</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预算执行方面</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6月执行进度为53%，9月执行进度为80%，12月执行度为98%，严格控制行政成本，节能降耗，严格执行“三公”经费预算。</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支出绩效方面</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（1）建立了茂县人大常委会办公室财务管理制度、公务接待制度、车辆管理制度、财务公开制度等。严格按照相关制度进行财务核算，做到资金专款专用，资金支付依据和开支标准合规合法。</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（2）按照规定编制决算，审核汇总后报财政部门审批。加强决算审核和分析，规范决算管理工作，保证决算数据的完整、真实、准确。</w:t>
      </w:r>
    </w:p>
    <w:p>
      <w:pPr>
        <w:spacing w:line="500" w:lineRule="exact"/>
        <w:ind w:firstLine="482"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（二）存在问题及改进措施</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val="en-US" w:eastAsia="zh-CN"/>
        </w:rPr>
        <w:t>.</w:t>
      </w:r>
      <w:r>
        <w:rPr>
          <w:rFonts w:hint="eastAsia" w:ascii="仿宋_GB2312" w:hAnsi="Calibri" w:eastAsia="仿宋_GB2312" w:cs="仿宋"/>
          <w:color w:val="000000"/>
          <w:kern w:val="0"/>
          <w:sz w:val="32"/>
          <w:szCs w:val="32"/>
        </w:rPr>
        <w:t>编制单位预算，应当综合考虑年度工作计划和相应支出需求，做到准确无误。</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lang w:val="en-US" w:eastAsia="zh-CN"/>
        </w:rPr>
        <w:t>.</w:t>
      </w:r>
      <w:r>
        <w:rPr>
          <w:rFonts w:hint="eastAsia" w:ascii="仿宋_GB2312" w:hAnsi="Calibri" w:eastAsia="仿宋_GB2312" w:cs="仿宋"/>
          <w:color w:val="000000"/>
          <w:kern w:val="0"/>
          <w:sz w:val="32"/>
          <w:szCs w:val="32"/>
        </w:rPr>
        <w:t>部分日常公用支出为完成支出进度没有严格按照年初预算下达经济科目支出，今后将严格按照下达指标经济类型支出。</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2019年，根据我单位年初工作计划，按照中央和省、州的各项工作部署，统筹做好依法开展法律监督和工作监督、依法对重大事项作出决议和决定、依法任命国家机关工作人员、加强代表履职平台建设、强化常委会机关制度建设。积极履职，强化管理，较好的完成了年度工作目标。通过加强预算收支管理，不断建立健全内部管理制度，梳理内部管理流程，单位整体支出管理情况得到提升。</w:t>
      </w:r>
    </w:p>
    <w:p>
      <w:pPr>
        <w:spacing w:line="600" w:lineRule="exact"/>
        <w:jc w:val="center"/>
        <w:outlineLvl w:val="0"/>
        <w:rPr>
          <w:rStyle w:val="24"/>
          <w:rFonts w:ascii="黑体" w:hAnsi="黑体" w:eastAsia="黑体"/>
          <w:b w:val="0"/>
        </w:rPr>
      </w:pPr>
    </w:p>
    <w:p>
      <w:pPr>
        <w:spacing w:line="600" w:lineRule="exact"/>
        <w:jc w:val="center"/>
        <w:outlineLvl w:val="0"/>
        <w:rPr>
          <w:rFonts w:ascii="黑体" w:hAnsi="黑体" w:eastAsia="黑体"/>
          <w:color w:val="000000"/>
          <w:sz w:val="44"/>
          <w:szCs w:val="44"/>
        </w:rPr>
      </w:pPr>
      <w:bookmarkStart w:id="54"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hint="eastAsia" w:ascii="黑体" w:hAnsi="黑体" w:eastAsia="黑体"/>
          <w:b w:val="0"/>
          <w:lang w:val="en-US" w:eastAsia="zh-CN"/>
        </w:rPr>
        <w:t xml:space="preserve"> </w:t>
      </w:r>
      <w:bookmarkStart w:id="68" w:name="_GoBack"/>
      <w:bookmarkEnd w:id="68"/>
      <w:r>
        <w:rPr>
          <w:rStyle w:val="24"/>
          <w:rFonts w:hint="eastAsia" w:ascii="黑体" w:hAnsi="黑体" w:eastAsia="黑体"/>
          <w:b w:val="0"/>
        </w:rPr>
        <w:t xml:space="preserve"> 附表</w:t>
      </w:r>
      <w:bookmarkEnd w:id="53"/>
      <w:bookmarkEnd w:id="54"/>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5"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5"/>
    </w:p>
    <w:p>
      <w:pPr>
        <w:pStyle w:val="3"/>
        <w:rPr>
          <w:rFonts w:ascii="仿宋" w:hAnsi="仿宋" w:eastAsia="仿宋"/>
          <w:color w:val="000000"/>
        </w:rPr>
      </w:pPr>
      <w:bookmarkStart w:id="56"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6"/>
    </w:p>
    <w:p>
      <w:pPr>
        <w:pStyle w:val="3"/>
        <w:rPr>
          <w:rFonts w:ascii="仿宋" w:hAnsi="仿宋" w:eastAsia="仿宋"/>
          <w:color w:val="000000"/>
        </w:rPr>
      </w:pPr>
      <w:bookmarkStart w:id="57"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57"/>
    </w:p>
    <w:p>
      <w:pPr>
        <w:pStyle w:val="3"/>
        <w:rPr>
          <w:rFonts w:ascii="仿宋" w:hAnsi="仿宋" w:eastAsia="仿宋"/>
          <w:b w:val="0"/>
          <w:color w:val="000000"/>
        </w:rPr>
      </w:pPr>
      <w:bookmarkStart w:id="58"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58"/>
    </w:p>
    <w:p>
      <w:pPr>
        <w:pStyle w:val="3"/>
        <w:rPr>
          <w:rStyle w:val="25"/>
          <w:rFonts w:ascii="仿宋" w:hAnsi="仿宋" w:eastAsia="仿宋"/>
          <w:b w:val="0"/>
          <w:bCs w:val="0"/>
        </w:rPr>
      </w:pPr>
      <w:bookmarkStart w:id="59"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59"/>
      <w:bookmarkStart w:id="60"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0"/>
    </w:p>
    <w:p>
      <w:pPr>
        <w:pStyle w:val="3"/>
        <w:rPr>
          <w:rFonts w:ascii="仿宋" w:hAnsi="仿宋" w:eastAsia="仿宋"/>
          <w:color w:val="000000"/>
        </w:rPr>
      </w:pPr>
      <w:bookmarkStart w:id="61"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1"/>
    </w:p>
    <w:p>
      <w:pPr>
        <w:pStyle w:val="3"/>
        <w:rPr>
          <w:rFonts w:ascii="仿宋" w:hAnsi="仿宋" w:eastAsia="仿宋"/>
          <w:color w:val="000000"/>
        </w:rPr>
      </w:pPr>
      <w:bookmarkStart w:id="62"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2"/>
    </w:p>
    <w:p>
      <w:pPr>
        <w:pStyle w:val="3"/>
        <w:rPr>
          <w:rFonts w:ascii="仿宋" w:hAnsi="仿宋" w:eastAsia="仿宋"/>
          <w:color w:val="000000"/>
        </w:rPr>
      </w:pPr>
      <w:bookmarkStart w:id="63"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3"/>
    </w:p>
    <w:p>
      <w:pPr>
        <w:pStyle w:val="3"/>
        <w:rPr>
          <w:rFonts w:ascii="仿宋" w:hAnsi="仿宋" w:eastAsia="仿宋"/>
          <w:color w:val="000000"/>
        </w:rPr>
      </w:pPr>
      <w:bookmarkStart w:id="64"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4"/>
    </w:p>
    <w:p>
      <w:pPr>
        <w:pStyle w:val="3"/>
        <w:rPr>
          <w:rFonts w:ascii="仿宋" w:hAnsi="仿宋" w:eastAsia="仿宋"/>
          <w:color w:val="000000"/>
        </w:rPr>
      </w:pPr>
      <w:bookmarkStart w:id="65"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5"/>
    </w:p>
    <w:p>
      <w:pPr>
        <w:pStyle w:val="3"/>
        <w:rPr>
          <w:rFonts w:ascii="仿宋" w:hAnsi="仿宋" w:eastAsia="仿宋"/>
          <w:color w:val="000000"/>
        </w:rPr>
      </w:pPr>
      <w:bookmarkStart w:id="66"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6"/>
    </w:p>
    <w:p>
      <w:pPr>
        <w:pStyle w:val="3"/>
        <w:rPr>
          <w:rFonts w:ascii="仿宋" w:hAnsi="仿宋" w:eastAsia="仿宋"/>
          <w:color w:val="000000" w:themeColor="text1"/>
        </w:rPr>
      </w:pPr>
      <w:bookmarkStart w:id="67"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6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2B4053"/>
    <w:multiLevelType w:val="singleLevel"/>
    <w:tmpl w:val="FC2B4053"/>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76B9"/>
    <w:rsid w:val="000468DB"/>
    <w:rsid w:val="0006487A"/>
    <w:rsid w:val="00065F8F"/>
    <w:rsid w:val="00070A43"/>
    <w:rsid w:val="00075C82"/>
    <w:rsid w:val="000768F2"/>
    <w:rsid w:val="00077885"/>
    <w:rsid w:val="0009184B"/>
    <w:rsid w:val="00094236"/>
    <w:rsid w:val="0009593C"/>
    <w:rsid w:val="00097322"/>
    <w:rsid w:val="000A6A92"/>
    <w:rsid w:val="000B047F"/>
    <w:rsid w:val="000B5923"/>
    <w:rsid w:val="000B5A48"/>
    <w:rsid w:val="000B6FF3"/>
    <w:rsid w:val="000C3467"/>
    <w:rsid w:val="000C3CA6"/>
    <w:rsid w:val="000D1267"/>
    <w:rsid w:val="000D1D50"/>
    <w:rsid w:val="000D32AC"/>
    <w:rsid w:val="000D51B9"/>
    <w:rsid w:val="000D5782"/>
    <w:rsid w:val="000D6C9C"/>
    <w:rsid w:val="000E6613"/>
    <w:rsid w:val="000E7119"/>
    <w:rsid w:val="00114E9B"/>
    <w:rsid w:val="00135195"/>
    <w:rsid w:val="00142216"/>
    <w:rsid w:val="0014381C"/>
    <w:rsid w:val="00144D6A"/>
    <w:rsid w:val="0014729F"/>
    <w:rsid w:val="00157BAB"/>
    <w:rsid w:val="001628C2"/>
    <w:rsid w:val="001654D1"/>
    <w:rsid w:val="00174518"/>
    <w:rsid w:val="0018106D"/>
    <w:rsid w:val="001877A7"/>
    <w:rsid w:val="00191536"/>
    <w:rsid w:val="00196687"/>
    <w:rsid w:val="001A4941"/>
    <w:rsid w:val="001C0962"/>
    <w:rsid w:val="001C5F1E"/>
    <w:rsid w:val="001D7531"/>
    <w:rsid w:val="001E737D"/>
    <w:rsid w:val="001F0592"/>
    <w:rsid w:val="001F7506"/>
    <w:rsid w:val="002006CD"/>
    <w:rsid w:val="002017E2"/>
    <w:rsid w:val="00202B36"/>
    <w:rsid w:val="00204B7A"/>
    <w:rsid w:val="00204CDE"/>
    <w:rsid w:val="0021101A"/>
    <w:rsid w:val="00211278"/>
    <w:rsid w:val="00220536"/>
    <w:rsid w:val="00235629"/>
    <w:rsid w:val="0024292C"/>
    <w:rsid w:val="00260C38"/>
    <w:rsid w:val="002616C0"/>
    <w:rsid w:val="00265372"/>
    <w:rsid w:val="002662AA"/>
    <w:rsid w:val="00271282"/>
    <w:rsid w:val="00280496"/>
    <w:rsid w:val="00294DC9"/>
    <w:rsid w:val="00295495"/>
    <w:rsid w:val="002A31DE"/>
    <w:rsid w:val="002A3346"/>
    <w:rsid w:val="002B2613"/>
    <w:rsid w:val="002B4928"/>
    <w:rsid w:val="002C2714"/>
    <w:rsid w:val="002D19B0"/>
    <w:rsid w:val="002D6D05"/>
    <w:rsid w:val="002F1818"/>
    <w:rsid w:val="002F567B"/>
    <w:rsid w:val="003216A9"/>
    <w:rsid w:val="00335A74"/>
    <w:rsid w:val="00344586"/>
    <w:rsid w:val="0036561B"/>
    <w:rsid w:val="0037013F"/>
    <w:rsid w:val="00380C92"/>
    <w:rsid w:val="003A1903"/>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3149"/>
    <w:rsid w:val="00416CD4"/>
    <w:rsid w:val="004223DE"/>
    <w:rsid w:val="00434489"/>
    <w:rsid w:val="00437085"/>
    <w:rsid w:val="00443880"/>
    <w:rsid w:val="004464F4"/>
    <w:rsid w:val="00471401"/>
    <w:rsid w:val="00473F31"/>
    <w:rsid w:val="0048263A"/>
    <w:rsid w:val="0048399F"/>
    <w:rsid w:val="00487E5D"/>
    <w:rsid w:val="004A711F"/>
    <w:rsid w:val="004B1886"/>
    <w:rsid w:val="004B199D"/>
    <w:rsid w:val="004B4690"/>
    <w:rsid w:val="004B5DC9"/>
    <w:rsid w:val="004E0A2D"/>
    <w:rsid w:val="004E206B"/>
    <w:rsid w:val="004E6DF7"/>
    <w:rsid w:val="004F0FBD"/>
    <w:rsid w:val="004F403E"/>
    <w:rsid w:val="00505A47"/>
    <w:rsid w:val="00512FDA"/>
    <w:rsid w:val="00520DA0"/>
    <w:rsid w:val="005441B6"/>
    <w:rsid w:val="005664BB"/>
    <w:rsid w:val="00566FFA"/>
    <w:rsid w:val="0057481D"/>
    <w:rsid w:val="00575F0B"/>
    <w:rsid w:val="005840B1"/>
    <w:rsid w:val="0058486E"/>
    <w:rsid w:val="00585B33"/>
    <w:rsid w:val="0058780B"/>
    <w:rsid w:val="0059014D"/>
    <w:rsid w:val="005968CF"/>
    <w:rsid w:val="005A55F5"/>
    <w:rsid w:val="005B5C64"/>
    <w:rsid w:val="005C434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730"/>
    <w:rsid w:val="006B2B9A"/>
    <w:rsid w:val="006C1937"/>
    <w:rsid w:val="006D57AA"/>
    <w:rsid w:val="006F020C"/>
    <w:rsid w:val="006F3737"/>
    <w:rsid w:val="006F48AB"/>
    <w:rsid w:val="00701D68"/>
    <w:rsid w:val="00703C0A"/>
    <w:rsid w:val="007127B7"/>
    <w:rsid w:val="0071798E"/>
    <w:rsid w:val="00727533"/>
    <w:rsid w:val="0073303D"/>
    <w:rsid w:val="007416B6"/>
    <w:rsid w:val="00746F48"/>
    <w:rsid w:val="00750FB6"/>
    <w:rsid w:val="0075404D"/>
    <w:rsid w:val="0076182A"/>
    <w:rsid w:val="00767B7E"/>
    <w:rsid w:val="00773472"/>
    <w:rsid w:val="007770C3"/>
    <w:rsid w:val="00784D24"/>
    <w:rsid w:val="00785FBA"/>
    <w:rsid w:val="00786E4A"/>
    <w:rsid w:val="007875EB"/>
    <w:rsid w:val="00791F79"/>
    <w:rsid w:val="0079426B"/>
    <w:rsid w:val="007A2A50"/>
    <w:rsid w:val="007D1682"/>
    <w:rsid w:val="007D312A"/>
    <w:rsid w:val="007D3F19"/>
    <w:rsid w:val="007E23B0"/>
    <w:rsid w:val="007F1991"/>
    <w:rsid w:val="007F2C2F"/>
    <w:rsid w:val="007F55FC"/>
    <w:rsid w:val="007F5665"/>
    <w:rsid w:val="00800112"/>
    <w:rsid w:val="00813348"/>
    <w:rsid w:val="008253BB"/>
    <w:rsid w:val="00831260"/>
    <w:rsid w:val="00833962"/>
    <w:rsid w:val="0083706E"/>
    <w:rsid w:val="008408F6"/>
    <w:rsid w:val="008423A5"/>
    <w:rsid w:val="00850625"/>
    <w:rsid w:val="00853718"/>
    <w:rsid w:val="00855221"/>
    <w:rsid w:val="00860645"/>
    <w:rsid w:val="00867354"/>
    <w:rsid w:val="00871F71"/>
    <w:rsid w:val="00872FD8"/>
    <w:rsid w:val="00876E44"/>
    <w:rsid w:val="00885AF4"/>
    <w:rsid w:val="008939CD"/>
    <w:rsid w:val="00897E26"/>
    <w:rsid w:val="008B768C"/>
    <w:rsid w:val="008C4DB1"/>
    <w:rsid w:val="008C4EAF"/>
    <w:rsid w:val="008C5176"/>
    <w:rsid w:val="008C7FD0"/>
    <w:rsid w:val="008E1DE7"/>
    <w:rsid w:val="008E707C"/>
    <w:rsid w:val="008F6293"/>
    <w:rsid w:val="00900B08"/>
    <w:rsid w:val="00902155"/>
    <w:rsid w:val="00902FA3"/>
    <w:rsid w:val="00923564"/>
    <w:rsid w:val="0092392E"/>
    <w:rsid w:val="009315F9"/>
    <w:rsid w:val="00933499"/>
    <w:rsid w:val="00935150"/>
    <w:rsid w:val="00935C98"/>
    <w:rsid w:val="00946945"/>
    <w:rsid w:val="00951248"/>
    <w:rsid w:val="0095127A"/>
    <w:rsid w:val="0095152F"/>
    <w:rsid w:val="00954C49"/>
    <w:rsid w:val="00955E37"/>
    <w:rsid w:val="0097099F"/>
    <w:rsid w:val="00971997"/>
    <w:rsid w:val="00971FFC"/>
    <w:rsid w:val="009832F1"/>
    <w:rsid w:val="0098660A"/>
    <w:rsid w:val="009931C3"/>
    <w:rsid w:val="009B2C43"/>
    <w:rsid w:val="009B4EAE"/>
    <w:rsid w:val="009B7573"/>
    <w:rsid w:val="009C22F4"/>
    <w:rsid w:val="009C2E98"/>
    <w:rsid w:val="009C37FB"/>
    <w:rsid w:val="009D3447"/>
    <w:rsid w:val="009D4711"/>
    <w:rsid w:val="009E6316"/>
    <w:rsid w:val="009F1185"/>
    <w:rsid w:val="009F18CD"/>
    <w:rsid w:val="009F2A13"/>
    <w:rsid w:val="009F7527"/>
    <w:rsid w:val="00A039ED"/>
    <w:rsid w:val="00A04EB0"/>
    <w:rsid w:val="00A11011"/>
    <w:rsid w:val="00A13CC1"/>
    <w:rsid w:val="00A16847"/>
    <w:rsid w:val="00A237D8"/>
    <w:rsid w:val="00A268C4"/>
    <w:rsid w:val="00A307CD"/>
    <w:rsid w:val="00A331C8"/>
    <w:rsid w:val="00A35117"/>
    <w:rsid w:val="00A40A00"/>
    <w:rsid w:val="00A4142F"/>
    <w:rsid w:val="00A422EB"/>
    <w:rsid w:val="00A45BB7"/>
    <w:rsid w:val="00A4686C"/>
    <w:rsid w:val="00A56DF2"/>
    <w:rsid w:val="00A56E6E"/>
    <w:rsid w:val="00A67AB5"/>
    <w:rsid w:val="00A733B2"/>
    <w:rsid w:val="00A741C2"/>
    <w:rsid w:val="00A748F2"/>
    <w:rsid w:val="00A85A12"/>
    <w:rsid w:val="00A8629E"/>
    <w:rsid w:val="00A91760"/>
    <w:rsid w:val="00A9346C"/>
    <w:rsid w:val="00A93B00"/>
    <w:rsid w:val="00A93C21"/>
    <w:rsid w:val="00AA48CC"/>
    <w:rsid w:val="00AB64C9"/>
    <w:rsid w:val="00AC3C6A"/>
    <w:rsid w:val="00AD0F83"/>
    <w:rsid w:val="00AD5620"/>
    <w:rsid w:val="00AD656B"/>
    <w:rsid w:val="00AD7C1B"/>
    <w:rsid w:val="00AE16BA"/>
    <w:rsid w:val="00AE1EBE"/>
    <w:rsid w:val="00AE24C5"/>
    <w:rsid w:val="00AF37A0"/>
    <w:rsid w:val="00B03C9D"/>
    <w:rsid w:val="00B060AE"/>
    <w:rsid w:val="00B10517"/>
    <w:rsid w:val="00B12219"/>
    <w:rsid w:val="00B14E76"/>
    <w:rsid w:val="00B161B8"/>
    <w:rsid w:val="00B2048C"/>
    <w:rsid w:val="00B21ED0"/>
    <w:rsid w:val="00B310B9"/>
    <w:rsid w:val="00B31D66"/>
    <w:rsid w:val="00B35F3F"/>
    <w:rsid w:val="00B36CBB"/>
    <w:rsid w:val="00B400BA"/>
    <w:rsid w:val="00B425E0"/>
    <w:rsid w:val="00B42D90"/>
    <w:rsid w:val="00B440AA"/>
    <w:rsid w:val="00B44B70"/>
    <w:rsid w:val="00B53C56"/>
    <w:rsid w:val="00B55D07"/>
    <w:rsid w:val="00B57DAF"/>
    <w:rsid w:val="00B67664"/>
    <w:rsid w:val="00B77EA6"/>
    <w:rsid w:val="00B81598"/>
    <w:rsid w:val="00B841F1"/>
    <w:rsid w:val="00B944D6"/>
    <w:rsid w:val="00B968CC"/>
    <w:rsid w:val="00BA0445"/>
    <w:rsid w:val="00BB4376"/>
    <w:rsid w:val="00BB4DF0"/>
    <w:rsid w:val="00BC289F"/>
    <w:rsid w:val="00BC2D50"/>
    <w:rsid w:val="00BC5361"/>
    <w:rsid w:val="00BC5460"/>
    <w:rsid w:val="00BC6B50"/>
    <w:rsid w:val="00BD0E25"/>
    <w:rsid w:val="00BD3AEF"/>
    <w:rsid w:val="00BF228F"/>
    <w:rsid w:val="00BF5BD6"/>
    <w:rsid w:val="00C01B14"/>
    <w:rsid w:val="00C03E31"/>
    <w:rsid w:val="00C057E9"/>
    <w:rsid w:val="00C30E69"/>
    <w:rsid w:val="00C33E72"/>
    <w:rsid w:val="00C354B2"/>
    <w:rsid w:val="00C35554"/>
    <w:rsid w:val="00C42709"/>
    <w:rsid w:val="00C533CC"/>
    <w:rsid w:val="00C5751C"/>
    <w:rsid w:val="00C61BFC"/>
    <w:rsid w:val="00C62B85"/>
    <w:rsid w:val="00C65438"/>
    <w:rsid w:val="00C7484D"/>
    <w:rsid w:val="00C903E0"/>
    <w:rsid w:val="00C91CBB"/>
    <w:rsid w:val="00CB17E7"/>
    <w:rsid w:val="00CB4E70"/>
    <w:rsid w:val="00CC09B6"/>
    <w:rsid w:val="00CC33C1"/>
    <w:rsid w:val="00CC666F"/>
    <w:rsid w:val="00CD1E3F"/>
    <w:rsid w:val="00CE44F6"/>
    <w:rsid w:val="00CE49DA"/>
    <w:rsid w:val="00CE7B61"/>
    <w:rsid w:val="00D00095"/>
    <w:rsid w:val="00D114F0"/>
    <w:rsid w:val="00D179F5"/>
    <w:rsid w:val="00D20620"/>
    <w:rsid w:val="00D2207C"/>
    <w:rsid w:val="00D254F7"/>
    <w:rsid w:val="00D26091"/>
    <w:rsid w:val="00D2685C"/>
    <w:rsid w:val="00D313B5"/>
    <w:rsid w:val="00D34E7C"/>
    <w:rsid w:val="00D35489"/>
    <w:rsid w:val="00D36AFE"/>
    <w:rsid w:val="00D51276"/>
    <w:rsid w:val="00D7035F"/>
    <w:rsid w:val="00D93EDD"/>
    <w:rsid w:val="00D9466B"/>
    <w:rsid w:val="00DA634F"/>
    <w:rsid w:val="00DA65AC"/>
    <w:rsid w:val="00DB1913"/>
    <w:rsid w:val="00DC410D"/>
    <w:rsid w:val="00DC5A81"/>
    <w:rsid w:val="00DC68CA"/>
    <w:rsid w:val="00DC7CBA"/>
    <w:rsid w:val="00DD73B7"/>
    <w:rsid w:val="00DE3FB0"/>
    <w:rsid w:val="00DF229D"/>
    <w:rsid w:val="00DF28BC"/>
    <w:rsid w:val="00DF2C62"/>
    <w:rsid w:val="00DF34B9"/>
    <w:rsid w:val="00DF7548"/>
    <w:rsid w:val="00DF7D5D"/>
    <w:rsid w:val="00E01053"/>
    <w:rsid w:val="00E07ACF"/>
    <w:rsid w:val="00E24A09"/>
    <w:rsid w:val="00E31EB6"/>
    <w:rsid w:val="00E331A1"/>
    <w:rsid w:val="00E33202"/>
    <w:rsid w:val="00E336A9"/>
    <w:rsid w:val="00E41104"/>
    <w:rsid w:val="00E472B1"/>
    <w:rsid w:val="00E50624"/>
    <w:rsid w:val="00E51D7C"/>
    <w:rsid w:val="00E54C18"/>
    <w:rsid w:val="00E568DF"/>
    <w:rsid w:val="00E64269"/>
    <w:rsid w:val="00E64FED"/>
    <w:rsid w:val="00E66797"/>
    <w:rsid w:val="00E81BD9"/>
    <w:rsid w:val="00E82267"/>
    <w:rsid w:val="00E853CE"/>
    <w:rsid w:val="00E867B6"/>
    <w:rsid w:val="00E87F08"/>
    <w:rsid w:val="00EA010F"/>
    <w:rsid w:val="00EA6BBD"/>
    <w:rsid w:val="00EB382B"/>
    <w:rsid w:val="00EC6E18"/>
    <w:rsid w:val="00ED1B63"/>
    <w:rsid w:val="00ED3C1F"/>
    <w:rsid w:val="00ED4085"/>
    <w:rsid w:val="00ED420E"/>
    <w:rsid w:val="00ED6FBE"/>
    <w:rsid w:val="00EE2F57"/>
    <w:rsid w:val="00EE315F"/>
    <w:rsid w:val="00EF4C34"/>
    <w:rsid w:val="00EF77C6"/>
    <w:rsid w:val="00F04C57"/>
    <w:rsid w:val="00F05438"/>
    <w:rsid w:val="00F1361C"/>
    <w:rsid w:val="00F156F0"/>
    <w:rsid w:val="00F160C7"/>
    <w:rsid w:val="00F2408F"/>
    <w:rsid w:val="00F240E9"/>
    <w:rsid w:val="00F26060"/>
    <w:rsid w:val="00F36D8F"/>
    <w:rsid w:val="00F37DCC"/>
    <w:rsid w:val="00F417B1"/>
    <w:rsid w:val="00F45853"/>
    <w:rsid w:val="00F602DF"/>
    <w:rsid w:val="00F754A1"/>
    <w:rsid w:val="00F81FD9"/>
    <w:rsid w:val="00F841AA"/>
    <w:rsid w:val="00F84A94"/>
    <w:rsid w:val="00F87E96"/>
    <w:rsid w:val="00FA23E8"/>
    <w:rsid w:val="00FB62C8"/>
    <w:rsid w:val="00FC3F01"/>
    <w:rsid w:val="00FC60B1"/>
    <w:rsid w:val="00FD3CC1"/>
    <w:rsid w:val="00FF1E02"/>
    <w:rsid w:val="00FF30B4"/>
    <w:rsid w:val="05A228A1"/>
    <w:rsid w:val="10C055FF"/>
    <w:rsid w:val="16BB723D"/>
    <w:rsid w:val="240371BF"/>
    <w:rsid w:val="29FD04D3"/>
    <w:rsid w:val="319F7F4E"/>
    <w:rsid w:val="4ECE2238"/>
    <w:rsid w:val="5BF33125"/>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2"/>
                <c:pt idx="0">
                  <c:v>2018年</c:v>
                </c:pt>
                <c:pt idx="1">
                  <c:v>2019年</c:v>
                </c:pt>
              </c:strCache>
            </c:strRef>
          </c:cat>
          <c:val>
            <c:numRef>
              <c:f>Sheet1!$B$2:$B$4</c:f>
              <c:numCache>
                <c:formatCode>General</c:formatCode>
                <c:ptCount val="3"/>
                <c:pt idx="0">
                  <c:v>904.01</c:v>
                </c:pt>
                <c:pt idx="1">
                  <c:v>1150.1</c:v>
                </c:pt>
              </c:numCache>
            </c:numRef>
          </c:val>
        </c:ser>
        <c:dLbls>
          <c:showLegendKey val="0"/>
          <c:showVal val="1"/>
          <c:showCatName val="0"/>
          <c:showSerName val="0"/>
          <c:showPercent val="0"/>
          <c:showBubbleSize val="0"/>
        </c:dLbls>
        <c:gapWidth val="75"/>
        <c:overlap val="100"/>
        <c:axId val="42835968"/>
        <c:axId val="42838656"/>
      </c:barChart>
      <c:catAx>
        <c:axId val="4283596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2835968"/>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2019年</c:v>
                </c:pt>
              </c:strCache>
            </c:strRef>
          </c:cat>
          <c:val>
            <c:numRef>
              <c:f>Sheet1!$B$2</c:f>
              <c:numCache>
                <c:formatCode>General</c:formatCode>
                <c:ptCount val="1"/>
                <c:pt idx="0">
                  <c:v>1150.1</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支出合计</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2019年支出</c:v>
                </c:pt>
                <c:pt idx="1">
                  <c:v>年未结转和结余</c:v>
                </c:pt>
              </c:strCache>
            </c:strRef>
          </c:cat>
          <c:val>
            <c:numRef>
              <c:f>Sheet1!$B$2:$B$3</c:f>
              <c:numCache>
                <c:formatCode>General</c:formatCode>
                <c:ptCount val="2"/>
                <c:pt idx="0">
                  <c:v>1127.06</c:v>
                </c:pt>
                <c:pt idx="1">
                  <c:v>23.04</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收支总计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2"/>
                <c:pt idx="0">
                  <c:v>2018年</c:v>
                </c:pt>
                <c:pt idx="1">
                  <c:v>2019年</c:v>
                </c:pt>
              </c:strCache>
            </c:strRef>
          </c:cat>
          <c:val>
            <c:numRef>
              <c:f>Sheet1!$B$2:$B$4</c:f>
              <c:numCache>
                <c:formatCode>General</c:formatCode>
                <c:ptCount val="3"/>
                <c:pt idx="0">
                  <c:v>904.01</c:v>
                </c:pt>
                <c:pt idx="1">
                  <c:v>1150.1</c:v>
                </c:pt>
              </c:numCache>
            </c:numRef>
          </c:val>
        </c:ser>
        <c:dLbls>
          <c:showLegendKey val="0"/>
          <c:showVal val="1"/>
          <c:showCatName val="0"/>
          <c:showSerName val="0"/>
          <c:showPercent val="0"/>
          <c:showBubbleSize val="0"/>
        </c:dLbls>
        <c:gapWidth val="75"/>
        <c:axId val="77680000"/>
        <c:axId val="97068160"/>
      </c:barChart>
      <c:catAx>
        <c:axId val="7768000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7068160"/>
        <c:crosses val="autoZero"/>
        <c:auto val="1"/>
        <c:lblAlgn val="ctr"/>
        <c:lblOffset val="100"/>
        <c:noMultiLvlLbl val="0"/>
      </c:catAx>
      <c:valAx>
        <c:axId val="9706816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768000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c:v>
                </c:pt>
                <c:pt idx="1">
                  <c:v>2019年</c:v>
                </c:pt>
              </c:strCache>
            </c:strRef>
          </c:cat>
          <c:val>
            <c:numRef>
              <c:f>Sheet1!$B$2:$B$3</c:f>
              <c:numCache>
                <c:formatCode>General</c:formatCode>
                <c:ptCount val="2"/>
                <c:pt idx="0">
                  <c:v>904.01</c:v>
                </c:pt>
                <c:pt idx="1">
                  <c:v>1127.06</c:v>
                </c:pt>
              </c:numCache>
            </c:numRef>
          </c:val>
        </c:ser>
        <c:dLbls>
          <c:showLegendKey val="0"/>
          <c:showVal val="1"/>
          <c:showCatName val="0"/>
          <c:showSerName val="0"/>
          <c:showPercent val="0"/>
          <c:showBubbleSize val="0"/>
        </c:dLbls>
        <c:gapWidth val="75"/>
        <c:axId val="141599104"/>
        <c:axId val="141601024"/>
      </c:barChart>
      <c:catAx>
        <c:axId val="1415991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601024"/>
        <c:crosses val="autoZero"/>
        <c:auto val="1"/>
        <c:lblAlgn val="ctr"/>
        <c:lblOffset val="100"/>
        <c:noMultiLvlLbl val="0"/>
      </c:catAx>
      <c:valAx>
        <c:axId val="14160102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59910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c:v>
                </c:pt>
                <c:pt idx="1">
                  <c:v>社会保障和就业</c:v>
                </c:pt>
                <c:pt idx="2">
                  <c:v>卫生健康</c:v>
                </c:pt>
                <c:pt idx="3">
                  <c:v>住房保障</c:v>
                </c:pt>
                <c:pt idx="4">
                  <c:v>农林水支出</c:v>
                </c:pt>
              </c:strCache>
            </c:strRef>
          </c:cat>
          <c:val>
            <c:numRef>
              <c:f>Sheet1!$B$2:$B$6</c:f>
              <c:numCache>
                <c:formatCode>General</c:formatCode>
                <c:ptCount val="5"/>
                <c:pt idx="0">
                  <c:v>899.15</c:v>
                </c:pt>
                <c:pt idx="1">
                  <c:v>107.41</c:v>
                </c:pt>
                <c:pt idx="2">
                  <c:v>49.91</c:v>
                </c:pt>
                <c:pt idx="3">
                  <c:v>69.75</c:v>
                </c:pt>
                <c:pt idx="4">
                  <c:v>0.840000000000001</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General</c:formatCode>
                <c:ptCount val="2"/>
                <c:pt idx="0">
                  <c:v>31.85</c:v>
                </c:pt>
                <c:pt idx="1">
                  <c:v>5.12</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A7107E-8E2D-4A37-8F84-5B40EB52868B}">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1607</Words>
  <Characters>9162</Characters>
  <Lines>76</Lines>
  <Paragraphs>21</Paragraphs>
  <TotalTime>7</TotalTime>
  <ScaleCrop>false</ScaleCrop>
  <LinksUpToDate>false</LinksUpToDate>
  <CharactersWithSpaces>10748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2020-07-23T02:58:00Z</cp:lastPrinted>
  <dcterms:modified xsi:type="dcterms:W3CDTF">2020-09-27T02:48:22Z</dcterms:modified>
  <dc:title>四川省***</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