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193"/>
      <w:bookmarkStart w:id="2" w:name="_Toc15396475"/>
      <w:bookmarkStart w:id="3" w:name="_Toc15377425"/>
      <w:bookmarkStart w:id="4" w:name="_Toc15396597"/>
      <w:bookmarkStart w:id="5" w:name="_Toc15378441"/>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77426"/>
      <w:bookmarkStart w:id="8" w:name="_Toc15377194"/>
      <w:bookmarkStart w:id="9" w:name="_Toc15396598"/>
      <w:bookmarkStart w:id="10" w:name="_Toc15396476"/>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rPr>
        <w:t>茂县人大常委会办公室信息和预算联网中心</w:t>
      </w:r>
      <w:r>
        <w:rPr>
          <w:rFonts w:hint="eastAsia" w:ascii="方正小标宋简体" w:eastAsia="方正小标宋简体"/>
          <w:sz w:val="72"/>
          <w:szCs w:val="72"/>
          <w:lang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320" w:firstLineChars="100"/>
        <w:jc w:val="left"/>
        <w:rPr>
          <w:rFonts w:ascii="宋体"/>
          <w:sz w:val="32"/>
          <w:szCs w:val="32"/>
        </w:rPr>
      </w:pPr>
      <w:r>
        <w:rPr>
          <w:rFonts w:hint="eastAsia" w:ascii="宋体" w:cs="仿宋_GB2312"/>
          <w:sz w:val="32"/>
          <w:szCs w:val="32"/>
        </w:rPr>
        <w:t>保密审查情况：</w:t>
      </w:r>
    </w:p>
    <w:p>
      <w:pPr>
        <w:autoSpaceDE w:val="0"/>
        <w:autoSpaceDN w:val="0"/>
        <w:adjustRightInd w:val="0"/>
        <w:ind w:firstLine="320" w:firstLineChars="1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TOC \o \u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第一部分 部门概况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_Toc79163851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一、基本职能及主要工作</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_Toc79163852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（一）主要职能。</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_Toc79163853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（二）2021年重点工作完成情况。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_Toc79163854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二、机构设置</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4</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第二部分 2021年度部门决算情况说明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二、收入决算情况说明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四、财政拨款收入支出决算总体情况说明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五、一般公共预算财政拨款支出决算情况说明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（一）一般公共预算财政拨款支出决算总体情况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（二）一般公共预算财政拨款支出决算结构情况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（三）一般公共预算财政拨款支出决算具体情况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六、一般公共预算财政拨款基本支出决算情况说明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七、“三公”经费财政拨款支出决算情况说明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八、政府性基金预算支出决算情况说明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九、 国有资本经营预算支出决算情况说明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十、其他重要事项的情况说明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（一）机关运行经费支出情况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（二）政府采购支出情况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（三）国有资产占有使用情况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（四）预算绩效管理情况。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第三部分 名词解释</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第四部分 附件</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14</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第五部分 附表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二、收入决算表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三、支出决算表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四、财政拨款收入支出决算总表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五、财政拨款支出决算明细表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六、一般公共预算财政拨款支出决算表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七、一般公共预算财政拨款支出决算明细表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八、一般公共预算财政拨款基本支出决算表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九、一般公共预算财政拨款项目支出决算表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十、一般公共预算财政拨款“三公”经费支出决算表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十一、政府性基金预算财政拨款收入支出决算表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十二、政府性基金预算财政拨款“三公”经费支出决算表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十三、国有资本经营预算财政拨款支出决算表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十四、国有资本经营预算财政拨款支出决算表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r>
        <w:rPr>
          <w:rFonts w:hint="eastAsia" w:ascii="仿宋_GB2312" w:hAnsi="仿宋_GB2312" w:eastAsia="仿宋_GB2312" w:cs="仿宋_GB2312"/>
          <w:b w:val="0"/>
          <w:bCs w:val="0"/>
          <w:caps w:val="0"/>
          <w:sz w:val="28"/>
          <w:szCs w:val="28"/>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Style w:val="23"/>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eastAsia="仿宋"/>
          <w:b w:val="0"/>
          <w:bCs w:val="0"/>
        </w:rPr>
      </w:pPr>
      <w:bookmarkStart w:id="16" w:name="_Toc79163602"/>
      <w:bookmarkStart w:id="17" w:name="_Toc15377197"/>
      <w:bookmarkStart w:id="18" w:name="_Toc79163852"/>
      <w:bookmarkStart w:id="19" w:name="_Toc15396600"/>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ind w:firstLine="642" w:firstLineChars="200"/>
        <w:rPr>
          <w:rFonts w:hint="eastAsia" w:ascii="仿宋_GB2312" w:eastAsia="仿宋_GB2312" w:hAnsiTheme="majorEastAsia"/>
          <w:sz w:val="32"/>
          <w:szCs w:val="32"/>
        </w:rPr>
      </w:pPr>
      <w:bookmarkStart w:id="20" w:name="_Toc15378446"/>
      <w:bookmarkStart w:id="21" w:name="_Toc15377199"/>
      <w:bookmarkStart w:id="22" w:name="_Toc79163854"/>
      <w:bookmarkStart w:id="23" w:name="_Toc79163604"/>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hAnsiTheme="majorEastAsia"/>
          <w:sz w:val="32"/>
          <w:szCs w:val="32"/>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bookmarkEnd w:id="20"/>
    <w:bookmarkEnd w:id="21"/>
    <w:bookmarkEnd w:id="22"/>
    <w:bookmarkEnd w:id="23"/>
    <w:p>
      <w:pPr>
        <w:spacing w:line="600"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21</w:t>
      </w:r>
      <w:r>
        <w:rPr>
          <w:rFonts w:hint="eastAsia" w:ascii="楷体_GB2312" w:hAnsi="仿宋" w:eastAsia="楷体_GB2312"/>
          <w:b/>
          <w:bCs/>
          <w:color w:val="000000"/>
          <w:sz w:val="32"/>
          <w:szCs w:val="32"/>
        </w:rPr>
        <w:t>年重点工作完成情况</w:t>
      </w:r>
    </w:p>
    <w:p>
      <w:pPr>
        <w:ind w:firstLine="640" w:firstLineChars="200"/>
        <w:rPr>
          <w:rFonts w:hint="eastAsia" w:ascii="仿宋_GB2312" w:eastAsia="仿宋_GB2312" w:hAnsiTheme="majorEastAsia"/>
          <w:sz w:val="32"/>
          <w:szCs w:val="32"/>
        </w:rPr>
      </w:pPr>
      <w:bookmarkStart w:id="24" w:name="_Toc79163855"/>
      <w:bookmarkStart w:id="25" w:name="_Toc15377200"/>
      <w:bookmarkStart w:id="26" w:name="_Toc15396601"/>
      <w:bookmarkStart w:id="27" w:name="_Toc79163605"/>
      <w:r>
        <w:rPr>
          <w:rFonts w:hint="eastAsia" w:ascii="仿宋_GB2312" w:eastAsia="仿宋_GB2312" w:hAnsiTheme="majorEastAsia"/>
          <w:sz w:val="32"/>
          <w:szCs w:val="32"/>
          <w:lang w:val="en-US" w:eastAsia="zh-CN"/>
        </w:rPr>
        <w:t>2021年完成了</w:t>
      </w:r>
      <w:r>
        <w:rPr>
          <w:rFonts w:hint="eastAsia" w:ascii="仿宋_GB2312" w:eastAsia="仿宋_GB2312" w:hAnsiTheme="majorEastAsia"/>
          <w:sz w:val="32"/>
          <w:szCs w:val="32"/>
        </w:rPr>
        <w:t>县人大常委会机关信息网络和网站的</w:t>
      </w:r>
      <w:r>
        <w:rPr>
          <w:rFonts w:hint="eastAsia" w:ascii="仿宋_GB2312" w:eastAsia="仿宋_GB2312" w:hAnsiTheme="majorEastAsia"/>
          <w:sz w:val="32"/>
          <w:szCs w:val="32"/>
          <w:lang w:eastAsia="zh-CN"/>
        </w:rPr>
        <w:t>日常</w:t>
      </w:r>
      <w:r>
        <w:rPr>
          <w:rFonts w:hint="eastAsia" w:ascii="仿宋_GB2312" w:eastAsia="仿宋_GB2312" w:hAnsiTheme="majorEastAsia"/>
          <w:sz w:val="32"/>
          <w:szCs w:val="32"/>
        </w:rPr>
        <w:t>维护；收集、整理人大工作信息，县本级预算联网审查监督平台的日常管理、预算联网审查监督的事务性工作及行政辅助工作；完成县人大常委会办公室交办的其他任务。</w:t>
      </w:r>
    </w:p>
    <w:p>
      <w:pPr>
        <w:spacing w:line="580" w:lineRule="exact"/>
        <w:ind w:firstLine="645"/>
        <w:rPr>
          <w:rStyle w:val="24"/>
          <w:rFonts w:hint="eastAsia" w:ascii="黑体" w:eastAsia="黑体"/>
          <w:b w:val="0"/>
          <w:bCs w:val="0"/>
        </w:rPr>
      </w:pPr>
      <w:r>
        <w:rPr>
          <w:rStyle w:val="24"/>
          <w:rFonts w:hint="eastAsia" w:ascii="黑体" w:eastAsia="黑体"/>
          <w:b w:val="0"/>
          <w:bCs w:val="0"/>
        </w:rPr>
        <w:t>二、机构设置</w:t>
      </w:r>
      <w:bookmarkEnd w:id="24"/>
      <w:bookmarkEnd w:id="25"/>
      <w:bookmarkEnd w:id="26"/>
      <w:bookmarkEnd w:id="27"/>
    </w:p>
    <w:p>
      <w:pPr>
        <w:pStyle w:val="7"/>
        <w:adjustRightInd w:val="0"/>
        <w:snapToGrid w:val="0"/>
        <w:spacing w:before="93" w:line="500" w:lineRule="exact"/>
        <w:ind w:firstLine="672" w:firstLineChars="210"/>
        <w:rPr>
          <w:color w:val="000000"/>
          <w:kern w:val="2"/>
          <w:sz w:val="32"/>
          <w:szCs w:val="32"/>
        </w:rPr>
      </w:pPr>
      <w:r>
        <w:rPr>
          <w:rFonts w:hint="eastAsia" w:ascii="仿宋_GB2312" w:eastAsia="仿宋_GB2312" w:hAnsiTheme="majorEastAsia"/>
          <w:sz w:val="32"/>
          <w:szCs w:val="32"/>
        </w:rPr>
        <w:t>茂县人大常委会办公室信息和预算联网中心</w:t>
      </w:r>
      <w:r>
        <w:rPr>
          <w:rFonts w:hint="eastAsia" w:hAnsiTheme="majorEastAsia"/>
          <w:sz w:val="32"/>
          <w:szCs w:val="32"/>
          <w:lang w:eastAsia="zh-CN"/>
        </w:rPr>
        <w:t>属于</w:t>
      </w:r>
      <w:r>
        <w:rPr>
          <w:rFonts w:hint="eastAsia"/>
          <w:color w:val="000000"/>
          <w:kern w:val="2"/>
          <w:sz w:val="32"/>
          <w:szCs w:val="32"/>
          <w:lang w:val="en-US" w:eastAsia="zh-CN"/>
        </w:rPr>
        <w:t>事业单位</w:t>
      </w:r>
      <w:r>
        <w:rPr>
          <w:rFonts w:hint="eastAsia"/>
          <w:color w:val="000000"/>
          <w:kern w:val="2"/>
          <w:sz w:val="32"/>
          <w:szCs w:val="32"/>
        </w:rPr>
        <w:t>。</w:t>
      </w:r>
    </w:p>
    <w:p>
      <w:pPr>
        <w:widowControl/>
        <w:jc w:val="left"/>
        <w:rPr>
          <w:rFonts w:hint="eastAsia" w:ascii="黑体" w:eastAsia="黑体"/>
          <w:b w:val="0"/>
          <w:color w:val="000000"/>
        </w:rPr>
      </w:pPr>
      <w:bookmarkStart w:id="28" w:name="_Toc15377204"/>
      <w:bookmarkStart w:id="29" w:name="_Toc79163609"/>
      <w:bookmarkStart w:id="30" w:name="_Toc79163859"/>
      <w:bookmarkStart w:id="31" w:name="_Toc15396602"/>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center"/>
        <w:rPr>
          <w:rStyle w:val="23"/>
          <w:rFonts w:ascii="黑体" w:eastAsia="黑体"/>
          <w:b w:val="0"/>
          <w:bCs w:val="0"/>
        </w:rPr>
      </w:pPr>
      <w:r>
        <w:rPr>
          <w:rStyle w:val="23"/>
          <w:rFonts w:hint="eastAsia" w:ascii="黑体" w:eastAsia="黑体"/>
          <w:b w:val="0"/>
          <w:bCs w:val="0"/>
        </w:rPr>
        <w:t>第二部分 2021年度部门决算情况说明</w:t>
      </w:r>
      <w:bookmarkEnd w:id="28"/>
      <w:bookmarkEnd w:id="29"/>
      <w:bookmarkEnd w:id="30"/>
      <w:bookmarkEnd w:id="31"/>
    </w:p>
    <w:p/>
    <w:p>
      <w:pPr>
        <w:pStyle w:val="29"/>
        <w:numPr>
          <w:ilvl w:val="0"/>
          <w:numId w:val="1"/>
        </w:numPr>
        <w:spacing w:line="600" w:lineRule="exact"/>
        <w:ind w:firstLineChars="0"/>
        <w:outlineLvl w:val="1"/>
        <w:rPr>
          <w:rStyle w:val="24"/>
          <w:rFonts w:ascii="黑体" w:eastAsia="黑体"/>
          <w:b w:val="0"/>
        </w:rPr>
      </w:pPr>
      <w:bookmarkStart w:id="32" w:name="_Toc79163860"/>
      <w:bookmarkStart w:id="33" w:name="_Toc15377205"/>
      <w:bookmarkStart w:id="34" w:name="_Toc15396603"/>
      <w:bookmarkStart w:id="35" w:name="_Toc79163610"/>
      <w:r>
        <w:rPr>
          <w:rFonts w:hint="eastAsia" w:ascii="黑体" w:eastAsia="黑体"/>
          <w:color w:val="000000"/>
          <w:sz w:val="32"/>
          <w:szCs w:val="32"/>
        </w:rPr>
        <w:t>收</w:t>
      </w:r>
      <w:r>
        <w:rPr>
          <w:rStyle w:val="24"/>
          <w:rFonts w:hint="eastAsia" w:ascii="黑体" w:eastAsia="黑体"/>
          <w:b w:val="0"/>
        </w:rPr>
        <w:t>入支出决算总体情况说明</w:t>
      </w:r>
      <w:bookmarkEnd w:id="32"/>
      <w:bookmarkEnd w:id="33"/>
      <w:bookmarkEnd w:id="34"/>
      <w:bookmarkEnd w:id="3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47.82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spacing w:line="600" w:lineRule="exact"/>
        <w:ind w:firstLine="640" w:firstLineChars="200"/>
        <w:jc w:val="left"/>
        <w:rPr>
          <w:rFonts w:ascii="仿宋_GB2312" w:eastAsia="仿宋_GB2312"/>
          <w:color w:val="000000"/>
          <w:sz w:val="32"/>
          <w:szCs w:val="32"/>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bookmarkStart w:id="36" w:name="_Toc79163611"/>
      <w:bookmarkStart w:id="37" w:name="_Toc15377206"/>
      <w:bookmarkStart w:id="38" w:name="_Toc15396604"/>
      <w:bookmarkStart w:id="39" w:name="_Toc79163861"/>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648970</wp:posOffset>
            </wp:positionH>
            <wp:positionV relativeFrom="paragraph">
              <wp:posOffset>106680</wp:posOffset>
            </wp:positionV>
            <wp:extent cx="3248025" cy="1876425"/>
            <wp:effectExtent l="4445" t="4445" r="508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Style w:val="24"/>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4"/>
          <w:rFonts w:hint="eastAsia" w:ascii="黑体" w:eastAsia="黑体"/>
          <w:b w:val="0"/>
        </w:rPr>
        <w:t>入决算情况说明</w:t>
      </w:r>
      <w:bookmarkEnd w:id="36"/>
      <w:bookmarkEnd w:id="37"/>
      <w:bookmarkEnd w:id="38"/>
      <w:bookmarkEnd w:id="39"/>
    </w:p>
    <w:p>
      <w:pPr>
        <w:spacing w:line="600" w:lineRule="exact"/>
        <w:ind w:firstLine="640" w:firstLineChars="200"/>
        <w:rPr>
          <w:rFonts w:hint="eastAsia" w:ascii="仿宋_GB2312" w:eastAsia="仿宋"/>
          <w:color w:val="FF0000"/>
          <w:sz w:val="32"/>
          <w:szCs w:val="32"/>
          <w:lang w:eastAsia="zh-CN"/>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47.82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47.82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267970</wp:posOffset>
            </wp:positionV>
            <wp:extent cx="4400550" cy="2110105"/>
            <wp:effectExtent l="4445" t="4445" r="1460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pPr>
    </w:p>
    <w:p/>
    <w:p>
      <w:pPr>
        <w:pStyle w:val="2"/>
      </w:pPr>
    </w:p>
    <w:p/>
    <w:p>
      <w:pPr>
        <w:pStyle w:val="2"/>
      </w:pPr>
    </w:p>
    <w:p/>
    <w:p>
      <w:pPr>
        <w:pStyle w:val="2"/>
      </w:pPr>
    </w:p>
    <w:p>
      <w:pPr>
        <w:pStyle w:val="29"/>
        <w:numPr>
          <w:ilvl w:val="0"/>
          <w:numId w:val="0"/>
        </w:numPr>
        <w:spacing w:line="600" w:lineRule="exact"/>
        <w:ind w:firstLine="640" w:firstLineChars="200"/>
        <w:outlineLvl w:val="1"/>
        <w:rPr>
          <w:rStyle w:val="24"/>
          <w:rFonts w:ascii="黑体" w:eastAsia="黑体"/>
          <w:b w:val="0"/>
        </w:rPr>
      </w:pPr>
      <w:bookmarkStart w:id="40" w:name="_Toc15377207"/>
      <w:bookmarkStart w:id="41" w:name="_Toc79163612"/>
      <w:bookmarkStart w:id="42" w:name="_Toc15396605"/>
      <w:bookmarkStart w:id="43" w:name="_Toc79163862"/>
      <w:r>
        <w:rPr>
          <w:rFonts w:hint="eastAsia" w:ascii="黑体" w:eastAsia="黑体"/>
          <w:color w:val="000000"/>
          <w:sz w:val="32"/>
          <w:szCs w:val="32"/>
          <w:lang w:eastAsia="zh-CN"/>
        </w:rPr>
        <w:t>三、</w:t>
      </w:r>
      <w:r>
        <w:rPr>
          <w:rFonts w:hint="eastAsia" w:ascii="黑体" w:eastAsia="黑体"/>
          <w:color w:val="000000"/>
          <w:sz w:val="32"/>
          <w:szCs w:val="32"/>
        </w:rPr>
        <w:t>支</w:t>
      </w:r>
      <w:r>
        <w:rPr>
          <w:rStyle w:val="24"/>
          <w:rFonts w:hint="eastAsia" w:ascii="黑体" w:eastAsia="黑体"/>
          <w:b w:val="0"/>
        </w:rPr>
        <w:t>出决算情况说明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 w:eastAsia="仿宋"/>
          <w:color w:val="000000"/>
          <w:sz w:val="32"/>
          <w:szCs w:val="32"/>
          <w:lang w:val="en-US" w:eastAsia="zh-CN"/>
        </w:rPr>
        <w:t>47.82</w:t>
      </w:r>
      <w:r>
        <w:rPr>
          <w:rFonts w:hint="eastAsia" w:ascii="仿宋_GB2312" w:eastAsia="仿宋_GB2312"/>
          <w:sz w:val="32"/>
          <w:szCs w:val="32"/>
        </w:rPr>
        <w:t>万元，其中：基本支出</w:t>
      </w:r>
      <w:r>
        <w:rPr>
          <w:rFonts w:hint="eastAsia" w:ascii="仿宋" w:eastAsia="仿宋"/>
          <w:color w:val="000000"/>
          <w:sz w:val="32"/>
          <w:szCs w:val="32"/>
          <w:lang w:val="en-US" w:eastAsia="zh-CN"/>
        </w:rPr>
        <w:t>47.82</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default" w:ascii="仿宋" w:hAnsi="仿宋" w:eastAsia="仿宋"/>
          <w:color w:val="000000"/>
          <w:sz w:val="32"/>
          <w:szCs w:val="32"/>
          <w:lang w:val="en-US"/>
        </w:rPr>
        <w:drawing>
          <wp:anchor distT="0" distB="0" distL="114300" distR="114300" simplePos="0" relativeHeight="251661312" behindDoc="0" locked="0" layoutInCell="1" allowOverlap="1">
            <wp:simplePos x="0" y="0"/>
            <wp:positionH relativeFrom="column">
              <wp:posOffset>471805</wp:posOffset>
            </wp:positionH>
            <wp:positionV relativeFrom="paragraph">
              <wp:posOffset>74930</wp:posOffset>
            </wp:positionV>
            <wp:extent cx="4295775" cy="2025015"/>
            <wp:effectExtent l="4445" t="4445" r="5080" b="88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ind w:left="0" w:leftChars="0" w:firstLine="0" w:firstLineChars="0"/>
        <w:rPr>
          <w:rFonts w:ascii="仿宋_GB2312" w:eastAsia="仿宋_GB2312"/>
          <w:color w:val="FF0000"/>
          <w:sz w:val="32"/>
          <w:szCs w:val="32"/>
        </w:rPr>
      </w:pPr>
    </w:p>
    <w:p>
      <w:pPr>
        <w:rPr>
          <w:rFonts w:ascii="仿宋_GB2312" w:eastAsia="仿宋_GB2312"/>
          <w:color w:val="FF0000"/>
          <w:sz w:val="32"/>
          <w:szCs w:val="32"/>
        </w:rPr>
      </w:pPr>
    </w:p>
    <w:p>
      <w:pPr>
        <w:pStyle w:val="2"/>
        <w:rPr>
          <w:rFonts w:ascii="仿宋_GB2312" w:eastAsia="仿宋_GB2312"/>
          <w:color w:val="FF0000"/>
          <w:sz w:val="32"/>
          <w:szCs w:val="32"/>
        </w:rPr>
      </w:pPr>
    </w:p>
    <w:p>
      <w:pPr>
        <w:spacing w:line="600" w:lineRule="exact"/>
        <w:ind w:firstLine="640" w:firstLineChars="200"/>
        <w:outlineLvl w:val="1"/>
        <w:rPr>
          <w:rStyle w:val="24"/>
          <w:rFonts w:ascii="黑体" w:eastAsia="黑体"/>
          <w:b w:val="0"/>
        </w:rPr>
      </w:pPr>
      <w:bookmarkStart w:id="44" w:name="_Toc15396606"/>
      <w:bookmarkStart w:id="45" w:name="_Toc79163863"/>
      <w:bookmarkStart w:id="46" w:name="_Toc15377208"/>
      <w:bookmarkStart w:id="47" w:name="_Toc79163613"/>
      <w:r>
        <w:rPr>
          <w:rFonts w:hint="eastAsia" w:ascii="黑体" w:eastAsia="黑体"/>
          <w:color w:val="000000"/>
          <w:sz w:val="32"/>
          <w:szCs w:val="32"/>
        </w:rPr>
        <w:t>四、财</w:t>
      </w:r>
      <w:r>
        <w:rPr>
          <w:rStyle w:val="24"/>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47.82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w:t>
      </w:r>
      <w:r>
        <w:rPr>
          <w:rFonts w:hint="eastAsia" w:ascii="仿宋" w:eastAsia="仿宋"/>
          <w:color w:val="000000"/>
          <w:sz w:val="32"/>
          <w:szCs w:val="32"/>
          <w:lang w:eastAsia="zh-CN"/>
        </w:rPr>
        <w:t>财政拨款</w:t>
      </w:r>
      <w:r>
        <w:rPr>
          <w:rFonts w:hint="eastAsia" w:ascii="仿宋" w:eastAsia="仿宋"/>
          <w:color w:val="000000"/>
          <w:sz w:val="32"/>
          <w:szCs w:val="32"/>
        </w:rPr>
        <w:t>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spacing w:line="600" w:lineRule="exact"/>
        <w:rPr>
          <w:rFonts w:ascii="仿宋" w:eastAsia="仿宋"/>
          <w:color w:val="000000"/>
          <w:sz w:val="32"/>
          <w:szCs w:val="32"/>
        </w:rPr>
      </w:pPr>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749300</wp:posOffset>
            </wp:positionH>
            <wp:positionV relativeFrom="paragraph">
              <wp:posOffset>172085</wp:posOffset>
            </wp:positionV>
            <wp:extent cx="3248025" cy="1876425"/>
            <wp:effectExtent l="4445" t="4445" r="508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eastAsia="仿宋"/>
          <w:b/>
          <w:color w:val="00B050"/>
          <w:sz w:val="32"/>
          <w:szCs w:val="32"/>
        </w:rPr>
      </w:pPr>
    </w:p>
    <w:p>
      <w:pPr>
        <w:pStyle w:val="2"/>
        <w:rPr>
          <w:rFonts w:ascii="仿宋" w:eastAsia="仿宋"/>
          <w:b/>
          <w:color w:val="00B050"/>
          <w:sz w:val="32"/>
          <w:szCs w:val="32"/>
        </w:rPr>
      </w:pPr>
    </w:p>
    <w:p>
      <w:pPr>
        <w:rPr>
          <w:rFonts w:ascii="仿宋" w:eastAsia="仿宋"/>
          <w:b/>
          <w:color w:val="00B050"/>
          <w:sz w:val="32"/>
          <w:szCs w:val="32"/>
        </w:rPr>
      </w:pPr>
    </w:p>
    <w:p>
      <w:pPr>
        <w:pStyle w:val="2"/>
        <w:rPr>
          <w:rFonts w:ascii="仿宋" w:eastAsia="仿宋"/>
          <w:b/>
          <w:color w:val="00B050"/>
          <w:sz w:val="32"/>
          <w:szCs w:val="32"/>
        </w:rPr>
      </w:pPr>
    </w:p>
    <w:p>
      <w:pPr>
        <w:spacing w:line="600" w:lineRule="exact"/>
        <w:outlineLvl w:val="1"/>
        <w:rPr>
          <w:rFonts w:hint="eastAsia" w:ascii="黑体" w:eastAsia="黑体"/>
          <w:color w:val="000000"/>
          <w:sz w:val="32"/>
          <w:szCs w:val="32"/>
        </w:rPr>
      </w:pPr>
      <w:bookmarkStart w:id="48" w:name="_Toc15377209"/>
      <w:bookmarkStart w:id="49" w:name="_Toc79163614"/>
      <w:bookmarkStart w:id="50" w:name="_Toc15396607"/>
      <w:bookmarkStart w:id="51" w:name="_Toc79163864"/>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eastAsia="仿宋"/>
          <w:b/>
          <w:color w:val="000000"/>
          <w:sz w:val="32"/>
          <w:szCs w:val="32"/>
        </w:rPr>
      </w:pPr>
      <w:bookmarkStart w:id="52" w:name="_Toc79163865"/>
      <w:bookmarkStart w:id="53" w:name="_Toc79163615"/>
      <w:bookmarkStart w:id="54" w:name="_Toc15377210"/>
      <w:r>
        <w:rPr>
          <w:rFonts w:hint="eastAsia" w:asci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376555</wp:posOffset>
            </wp:positionH>
            <wp:positionV relativeFrom="paragraph">
              <wp:posOffset>99695</wp:posOffset>
            </wp:positionV>
            <wp:extent cx="4514850" cy="2714625"/>
            <wp:effectExtent l="4445" t="4445" r="1460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2" w:firstLineChars="200"/>
        <w:outlineLvl w:val="2"/>
        <w:rPr>
          <w:rFonts w:ascii="仿宋" w:eastAsia="仿宋"/>
          <w:b/>
          <w:color w:val="000000"/>
          <w:sz w:val="32"/>
          <w:szCs w:val="32"/>
        </w:rPr>
      </w:pPr>
      <w:bookmarkStart w:id="55" w:name="_Toc79163616"/>
      <w:bookmarkStart w:id="56" w:name="_Toc79163866"/>
      <w:bookmarkStart w:id="57" w:name="_Toc15377211"/>
      <w:r>
        <w:rPr>
          <w:rFonts w:hint="eastAsia" w:asci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hAnsi="仿宋" w:eastAsia="仿宋"/>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36.98</w:t>
      </w:r>
      <w:r>
        <w:rPr>
          <w:rFonts w:hint="eastAsia" w:ascii="仿宋" w:eastAsia="仿宋"/>
          <w:color w:val="000000"/>
          <w:sz w:val="32"/>
          <w:szCs w:val="32"/>
        </w:rPr>
        <w:t>万元，占</w:t>
      </w:r>
      <w:r>
        <w:rPr>
          <w:rFonts w:hint="eastAsia" w:ascii="仿宋" w:eastAsia="仿宋"/>
          <w:color w:val="000000"/>
          <w:sz w:val="32"/>
          <w:szCs w:val="32"/>
          <w:lang w:val="en-US" w:eastAsia="zh-CN"/>
        </w:rPr>
        <w:t>77.32</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4.79</w:t>
      </w:r>
      <w:r>
        <w:rPr>
          <w:rFonts w:hint="eastAsia" w:ascii="仿宋" w:eastAsia="仿宋"/>
          <w:color w:val="000000"/>
          <w:sz w:val="32"/>
          <w:szCs w:val="32"/>
        </w:rPr>
        <w:t>万元，占</w:t>
      </w:r>
      <w:r>
        <w:rPr>
          <w:rFonts w:hint="eastAsia" w:ascii="仿宋" w:eastAsia="仿宋"/>
          <w:color w:val="000000"/>
          <w:sz w:val="32"/>
          <w:szCs w:val="32"/>
          <w:lang w:val="en-US" w:eastAsia="zh-CN"/>
        </w:rPr>
        <w:t>10.01</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2.38</w:t>
      </w:r>
      <w:r>
        <w:rPr>
          <w:rFonts w:hint="eastAsia" w:ascii="仿宋" w:eastAsia="仿宋"/>
          <w:color w:val="000000"/>
          <w:sz w:val="32"/>
          <w:szCs w:val="32"/>
        </w:rPr>
        <w:t>万元，占</w:t>
      </w:r>
      <w:r>
        <w:rPr>
          <w:rFonts w:hint="eastAsia" w:ascii="仿宋" w:eastAsia="仿宋"/>
          <w:color w:val="000000"/>
          <w:sz w:val="32"/>
          <w:szCs w:val="32"/>
          <w:lang w:val="en-US" w:eastAsia="zh-CN"/>
        </w:rPr>
        <w:t>4.98</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3.68</w:t>
      </w:r>
      <w:r>
        <w:rPr>
          <w:rFonts w:hint="eastAsia" w:ascii="仿宋" w:eastAsia="仿宋"/>
          <w:color w:val="000000"/>
          <w:sz w:val="32"/>
          <w:szCs w:val="32"/>
        </w:rPr>
        <w:t>万元，占</w:t>
      </w:r>
      <w:r>
        <w:rPr>
          <w:rFonts w:hint="eastAsia" w:ascii="仿宋" w:eastAsia="仿宋"/>
          <w:color w:val="000000"/>
          <w:sz w:val="32"/>
          <w:szCs w:val="32"/>
          <w:lang w:val="en-US" w:eastAsia="zh-CN"/>
        </w:rPr>
        <w:t>7.69</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558800</wp:posOffset>
            </wp:positionH>
            <wp:positionV relativeFrom="paragraph">
              <wp:posOffset>318135</wp:posOffset>
            </wp:positionV>
            <wp:extent cx="4476750" cy="2268220"/>
            <wp:effectExtent l="4445" t="4445" r="14605" b="1333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
      <w:pPr>
        <w:pStyle w:val="2"/>
      </w:pPr>
    </w:p>
    <w:p/>
    <w:p>
      <w:pPr>
        <w:pStyle w:val="2"/>
      </w:pPr>
    </w:p>
    <w:p/>
    <w:p>
      <w:pPr>
        <w:pStyle w:val="2"/>
      </w:pPr>
    </w:p>
    <w:p/>
    <w:p>
      <w:pPr>
        <w:spacing w:line="600" w:lineRule="exact"/>
        <w:ind w:firstLine="642" w:firstLineChars="200"/>
        <w:outlineLvl w:val="2"/>
        <w:rPr>
          <w:rFonts w:ascii="仿宋" w:eastAsia="仿宋"/>
          <w:b/>
          <w:color w:val="000000"/>
          <w:sz w:val="32"/>
          <w:szCs w:val="32"/>
        </w:rPr>
      </w:pPr>
      <w:bookmarkStart w:id="58" w:name="_Toc79163617"/>
      <w:bookmarkStart w:id="59" w:name="_Toc79163867"/>
      <w:bookmarkStart w:id="60" w:name="_Toc15377212"/>
      <w:r>
        <w:rPr>
          <w:rFonts w:hint="eastAsia" w:ascii="仿宋" w:eastAsia="仿宋"/>
          <w:b/>
          <w:color w:val="000000"/>
          <w:sz w:val="32"/>
          <w:szCs w:val="32"/>
        </w:rPr>
        <w:t>（三）一般公共预算财政拨款支出决算具体情况</w:t>
      </w:r>
      <w:bookmarkEnd w:id="58"/>
      <w:bookmarkEnd w:id="59"/>
      <w:bookmarkEnd w:id="60"/>
    </w:p>
    <w:p>
      <w:pPr>
        <w:numPr>
          <w:ilvl w:val="0"/>
          <w:numId w:val="2"/>
        </w:numPr>
        <w:spacing w:line="600" w:lineRule="exact"/>
        <w:ind w:firstLine="640" w:firstLineChars="200"/>
        <w:rPr>
          <w:rStyle w:val="21"/>
          <w:rFonts w:hint="eastAsia" w:ascii="仿宋" w:hAnsi="仿宋" w:eastAsia="仿宋"/>
          <w:b w:val="0"/>
          <w:bCs/>
          <w:color w:val="000000"/>
          <w:sz w:val="32"/>
          <w:szCs w:val="32"/>
        </w:rPr>
      </w:pPr>
      <w:bookmarkStart w:id="61" w:name="_Toc15377444"/>
      <w:bookmarkStart w:id="62" w:name="_Toc15378460"/>
      <w:bookmarkStart w:id="63" w:name="_Toc15377213"/>
      <w:r>
        <w:rPr>
          <w:rStyle w:val="21"/>
          <w:rFonts w:hint="eastAsia" w:ascii="仿宋" w:hAnsi="仿宋" w:eastAsia="仿宋"/>
          <w:b w:val="0"/>
          <w:bCs/>
          <w:color w:val="000000"/>
          <w:sz w:val="32"/>
          <w:szCs w:val="32"/>
        </w:rPr>
        <w:t>2021年一般公共预算支出决算数为</w:t>
      </w:r>
      <w:r>
        <w:rPr>
          <w:rStyle w:val="21"/>
          <w:rFonts w:hint="eastAsia" w:ascii="仿宋" w:hAnsi="仿宋" w:eastAsia="仿宋"/>
          <w:b w:val="0"/>
          <w:bCs/>
          <w:color w:val="000000"/>
          <w:sz w:val="32"/>
          <w:szCs w:val="32"/>
          <w:lang w:val="en-US" w:eastAsia="zh-CN"/>
        </w:rPr>
        <w:t>47.82</w:t>
      </w:r>
      <w:r>
        <w:rPr>
          <w:rFonts w:hint="eastAsia" w:ascii="仿宋" w:eastAsia="仿宋"/>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hint="eastAsia" w:ascii="仿宋" w:hAnsi="仿宋" w:eastAsia="仿宋"/>
          <w:b w:val="0"/>
          <w:bCs/>
          <w:color w:val="000000"/>
          <w:sz w:val="32"/>
          <w:szCs w:val="32"/>
        </w:rPr>
        <w:t>%。其中：</w:t>
      </w:r>
      <w:bookmarkEnd w:id="61"/>
      <w:bookmarkEnd w:id="62"/>
      <w:bookmarkEnd w:id="63"/>
    </w:p>
    <w:p>
      <w:pPr>
        <w:numPr>
          <w:ilvl w:val="0"/>
          <w:numId w:val="2"/>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Style w:val="21"/>
          <w:rFonts w:hint="eastAsia" w:ascii="仿宋" w:hAnsi="仿宋" w:eastAsia="仿宋"/>
          <w:b w:val="0"/>
          <w:bCs/>
          <w:color w:val="000000"/>
          <w:sz w:val="32"/>
          <w:szCs w:val="32"/>
          <w:lang w:eastAsia="zh-CN"/>
        </w:rPr>
        <w:t>事业</w:t>
      </w:r>
      <w:r>
        <w:rPr>
          <w:rFonts w:hint="eastAsia" w:ascii="仿宋_GB2312" w:eastAsia="仿宋_GB2312"/>
          <w:color w:val="000000"/>
          <w:sz w:val="32"/>
          <w:szCs w:val="32"/>
        </w:rPr>
        <w:t>运行支出（项）</w:t>
      </w:r>
      <w:r>
        <w:rPr>
          <w:rFonts w:hint="eastAsia" w:ascii="仿宋_GB2312" w:eastAsia="仿宋_GB2312"/>
          <w:color w:val="000000"/>
          <w:sz w:val="32"/>
          <w:szCs w:val="32"/>
          <w:lang w:val="en-US" w:eastAsia="zh-CN"/>
        </w:rPr>
        <w:t>36.98</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_GB2312" w:eastAsia="仿宋_GB2312"/>
          <w:color w:val="000000"/>
          <w:sz w:val="32"/>
          <w:szCs w:val="32"/>
          <w:lang w:val="en-US" w:eastAsia="zh-CN"/>
        </w:rPr>
        <w:t>3.19</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单位医疗支出（项）</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万元，完成预算的100%。</w:t>
      </w:r>
    </w:p>
    <w:p>
      <w:pPr>
        <w:spacing w:line="600" w:lineRule="exact"/>
        <w:ind w:firstLine="640"/>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_GB2312" w:eastAsia="仿宋_GB2312"/>
          <w:color w:val="000000"/>
          <w:sz w:val="32"/>
          <w:szCs w:val="32"/>
          <w:lang w:val="en-US" w:eastAsia="zh-CN"/>
        </w:rPr>
        <w:t>3.68</w:t>
      </w:r>
      <w:r>
        <w:rPr>
          <w:rFonts w:hint="eastAsia" w:ascii="仿宋_GB2312" w:eastAsia="仿宋_GB2312"/>
          <w:color w:val="000000"/>
          <w:sz w:val="32"/>
          <w:szCs w:val="32"/>
        </w:rPr>
        <w:t>万元，完成预算的100%。</w:t>
      </w:r>
    </w:p>
    <w:p>
      <w:pPr>
        <w:tabs>
          <w:tab w:val="right" w:pos="8306"/>
        </w:tabs>
        <w:spacing w:line="600" w:lineRule="exact"/>
        <w:ind w:firstLine="640"/>
        <w:outlineLvl w:val="1"/>
        <w:rPr>
          <w:rStyle w:val="24"/>
        </w:rPr>
      </w:pPr>
      <w:bookmarkStart w:id="64" w:name="_Toc79163868"/>
      <w:bookmarkStart w:id="65" w:name="_Toc79163618"/>
      <w:bookmarkStart w:id="66" w:name="_Toc15396608"/>
      <w:bookmarkStart w:id="67" w:name="_Toc15377214"/>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4"/>
      <w:bookmarkEnd w:id="65"/>
      <w:bookmarkEnd w:id="66"/>
      <w:bookmarkEnd w:id="67"/>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47.82</w:t>
      </w:r>
      <w:r>
        <w:rPr>
          <w:rFonts w:hint="eastAsia" w:asci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45.51</w:t>
      </w:r>
      <w:r>
        <w:rPr>
          <w:rFonts w:hint="eastAsia" w:ascii="仿宋" w:hAnsi="仿宋" w:eastAsia="仿宋"/>
          <w:color w:val="000000"/>
          <w:sz w:val="32"/>
          <w:szCs w:val="32"/>
        </w:rPr>
        <w:t>万元，主要包括：基本工资、津贴补贴、奖金、绩效工资、机关事业单位基本养老保险缴费、职业年金缴费、职工基本医疗保险、医疗费、其他社会保障缴费、生活补助、医疗费补助、奖励金、住房公积金等。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2.31</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p>
    <w:p>
      <w:pPr>
        <w:spacing w:line="600" w:lineRule="exact"/>
        <w:ind w:firstLine="640" w:firstLineChars="200"/>
        <w:outlineLvl w:val="1"/>
        <w:rPr>
          <w:rStyle w:val="24"/>
          <w:rFonts w:ascii="黑体" w:eastAsia="黑体"/>
          <w:b w:val="0"/>
        </w:rPr>
      </w:pPr>
      <w:bookmarkStart w:id="68" w:name="_Toc15396609"/>
      <w:bookmarkStart w:id="69" w:name="_Toc15377215"/>
      <w:bookmarkStart w:id="70" w:name="_Toc79163869"/>
      <w:bookmarkStart w:id="71"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68"/>
      <w:bookmarkEnd w:id="69"/>
      <w:bookmarkEnd w:id="70"/>
      <w:bookmarkEnd w:id="71"/>
    </w:p>
    <w:p>
      <w:pPr>
        <w:spacing w:line="600" w:lineRule="exact"/>
        <w:ind w:firstLine="645"/>
        <w:rPr>
          <w:rFonts w:hint="default" w:ascii="仿宋" w:hAnsi="仿宋" w:eastAsia="仿宋_GB2312"/>
          <w:color w:val="000000"/>
          <w:sz w:val="32"/>
          <w:szCs w:val="32"/>
          <w:lang w:val="en-US" w:eastAsia="zh-CN"/>
        </w:rPr>
      </w:pPr>
      <w:bookmarkStart w:id="72" w:name="_Toc79163872"/>
      <w:bookmarkStart w:id="73" w:name="_Toc15396610"/>
      <w:bookmarkStart w:id="74" w:name="_Toc79163622"/>
      <w:bookmarkStart w:id="75" w:name="_Toc15377218"/>
      <w:r>
        <w:rPr>
          <w:rFonts w:hint="eastAsia" w:ascii="仿宋" w:hAnsi="仿宋" w:eastAsia="仿宋"/>
          <w:color w:val="000000"/>
          <w:sz w:val="32"/>
          <w:szCs w:val="32"/>
          <w:lang w:val="en-US" w:eastAsia="zh-CN"/>
        </w:rPr>
        <w:t>2021年</w:t>
      </w:r>
      <w:r>
        <w:rPr>
          <w:rFonts w:hint="eastAsia" w:ascii="仿宋_GB2312" w:eastAsia="仿宋_GB2312" w:hAnsiTheme="majorEastAsia"/>
          <w:sz w:val="32"/>
          <w:szCs w:val="32"/>
        </w:rPr>
        <w:t>茂县人大常委会办公室信息和预算联网中心</w:t>
      </w:r>
      <w:r>
        <w:rPr>
          <w:rFonts w:hint="eastAsia" w:ascii="仿宋_GB2312" w:eastAsia="仿宋_GB2312" w:hAnsiTheme="majorEastAsia"/>
          <w:sz w:val="32"/>
          <w:szCs w:val="32"/>
          <w:lang w:eastAsia="zh-CN"/>
        </w:rPr>
        <w:t>无“三公”经费支出。</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72"/>
      <w:bookmarkEnd w:id="73"/>
      <w:bookmarkEnd w:id="74"/>
      <w:bookmarkEnd w:id="75"/>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年无政府性基金预算拨款。</w:t>
      </w:r>
      <w:bookmarkStart w:id="76" w:name="_Toc79163623"/>
      <w:bookmarkStart w:id="77" w:name="_Toc79163873"/>
      <w:bookmarkStart w:id="78" w:name="_Toc15377219"/>
      <w:bookmarkStart w:id="79" w:name="_Toc15396611"/>
    </w:p>
    <w:p>
      <w:pPr>
        <w:spacing w:line="600" w:lineRule="exact"/>
        <w:ind w:firstLine="640"/>
        <w:rPr>
          <w:rStyle w:val="24"/>
          <w:rFonts w:ascii="黑体" w:eastAsia="黑体"/>
          <w:b w:val="0"/>
        </w:rPr>
      </w:pPr>
      <w:r>
        <w:rPr>
          <w:rStyle w:val="24"/>
          <w:rFonts w:hint="eastAsia" w:ascii="黑体" w:eastAsia="黑体"/>
          <w:b w:val="0"/>
          <w:lang w:eastAsia="zh-CN"/>
        </w:rPr>
        <w:t>九、</w:t>
      </w:r>
      <w:r>
        <w:rPr>
          <w:rStyle w:val="24"/>
          <w:rFonts w:hint="eastAsia" w:ascii="黑体" w:eastAsia="黑体"/>
          <w:b w:val="0"/>
        </w:rPr>
        <w:t>国有资本经营预算支出决算情况说明</w:t>
      </w:r>
      <w:bookmarkEnd w:id="76"/>
      <w:bookmarkEnd w:id="77"/>
      <w:bookmarkEnd w:id="78"/>
      <w:bookmarkEnd w:id="7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年无国有资本经营预算拨款。</w:t>
      </w:r>
    </w:p>
    <w:p>
      <w:pPr>
        <w:spacing w:line="600" w:lineRule="exact"/>
        <w:ind w:firstLine="640" w:firstLineChars="200"/>
        <w:outlineLvl w:val="1"/>
        <w:rPr>
          <w:rStyle w:val="24"/>
          <w:rFonts w:ascii="黑体" w:eastAsia="黑体"/>
        </w:rPr>
      </w:pPr>
      <w:bookmarkStart w:id="80" w:name="_Toc79163874"/>
      <w:bookmarkStart w:id="81" w:name="_Toc15396612"/>
      <w:bookmarkStart w:id="82" w:name="_Toc15377221"/>
      <w:bookmarkStart w:id="83" w:name="_Toc7916362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0"/>
      <w:bookmarkEnd w:id="81"/>
      <w:bookmarkEnd w:id="82"/>
      <w:bookmarkEnd w:id="83"/>
    </w:p>
    <w:p>
      <w:pPr>
        <w:spacing w:line="600" w:lineRule="exact"/>
        <w:ind w:firstLine="642" w:firstLineChars="200"/>
        <w:outlineLvl w:val="2"/>
        <w:rPr>
          <w:rFonts w:ascii="仿宋" w:eastAsia="仿宋"/>
          <w:color w:val="000000"/>
          <w:sz w:val="32"/>
          <w:szCs w:val="32"/>
        </w:rPr>
      </w:pPr>
      <w:bookmarkStart w:id="84" w:name="_Toc79163625"/>
      <w:bookmarkStart w:id="85" w:name="_Toc79163875"/>
      <w:bookmarkStart w:id="86" w:name="_Toc15377222"/>
      <w:r>
        <w:rPr>
          <w:rFonts w:hint="eastAsia" w:ascii="仿宋" w:eastAsia="仿宋"/>
          <w:b/>
          <w:color w:val="000000"/>
          <w:sz w:val="32"/>
          <w:szCs w:val="32"/>
        </w:rPr>
        <w:t>（一）机关运行经费支出情况</w:t>
      </w:r>
      <w:bookmarkEnd w:id="84"/>
      <w:bookmarkEnd w:id="85"/>
      <w:bookmarkEnd w:id="86"/>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87" w:name="_Toc79163876"/>
      <w:bookmarkStart w:id="88" w:name="_Toc79163626"/>
      <w:bookmarkStart w:id="89" w:name="_Toc15377223"/>
      <w:r>
        <w:rPr>
          <w:rFonts w:hint="eastAsia" w:ascii="仿宋" w:eastAsia="仿宋"/>
          <w:b/>
          <w:color w:val="000000"/>
          <w:sz w:val="32"/>
          <w:szCs w:val="32"/>
        </w:rPr>
        <w:t>（二）政府采购支出情况</w:t>
      </w:r>
      <w:bookmarkEnd w:id="87"/>
      <w:bookmarkEnd w:id="88"/>
      <w:bookmarkEnd w:id="89"/>
    </w:p>
    <w:p>
      <w:pPr>
        <w:spacing w:line="600" w:lineRule="exact"/>
        <w:ind w:firstLine="640" w:firstLineChars="200"/>
        <w:rPr>
          <w:rFonts w:hint="eastAsia" w:ascii="仿宋" w:eastAsia="仿宋_GB2312"/>
          <w:b/>
          <w:color w:val="FF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年无政府采购支出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0" w:name="_Toc15377224"/>
      <w:bookmarkStart w:id="91" w:name="_Toc79163627"/>
      <w:bookmarkStart w:id="92" w:name="_Toc79163877"/>
      <w:r>
        <w:rPr>
          <w:rFonts w:hint="eastAsia" w:ascii="仿宋" w:eastAsia="仿宋"/>
          <w:b/>
          <w:color w:val="000000"/>
          <w:sz w:val="32"/>
          <w:szCs w:val="32"/>
        </w:rPr>
        <w:t>（三）国有资产占有使用情况</w:t>
      </w:r>
      <w:bookmarkEnd w:id="90"/>
      <w:bookmarkEnd w:id="91"/>
      <w:bookmarkEnd w:id="9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3" w:name="_Toc79163878"/>
      <w:bookmarkStart w:id="94" w:name="_Toc79163628"/>
      <w:r>
        <w:rPr>
          <w:rFonts w:hint="eastAsia" w:ascii="仿宋" w:eastAsia="仿宋"/>
          <w:b/>
          <w:color w:val="000000"/>
          <w:sz w:val="32"/>
          <w:szCs w:val="32"/>
        </w:rPr>
        <w:t>（四）预算绩效管理情况。</w:t>
      </w:r>
      <w:bookmarkEnd w:id="93"/>
      <w:bookmarkEnd w:id="94"/>
    </w:p>
    <w:p>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numPr>
          <w:ilvl w:val="0"/>
          <w:numId w:val="0"/>
        </w:numPr>
        <w:spacing w:line="580" w:lineRule="exact"/>
        <w:ind w:firstLine="640" w:firstLineChars="200"/>
        <w:rPr>
          <w:rFonts w:hint="eastAsia" w:ascii="楷体_GB2312" w:eastAsia="楷体_GB2312" w:cs="楷体_GB2312"/>
          <w:sz w:val="32"/>
          <w:szCs w:val="32"/>
        </w:rPr>
      </w:pPr>
      <w:r>
        <w:rPr>
          <w:rFonts w:hint="eastAsia" w:ascii="仿宋_GB2312" w:eastAsia="仿宋_GB2312"/>
          <w:color w:val="000000"/>
          <w:sz w:val="32"/>
          <w:szCs w:val="32"/>
          <w:lang w:val="en-US" w:eastAsia="zh-CN"/>
        </w:rPr>
        <w:t>2021年无项目目标。</w:t>
      </w:r>
      <w:r>
        <w:rPr>
          <w:rFonts w:hint="eastAsia" w:ascii="仿宋_GB2312" w:eastAsia="仿宋_GB2312"/>
          <w:color w:val="000000"/>
          <w:sz w:val="32"/>
          <w:szCs w:val="32"/>
        </w:rPr>
        <w:br w:type="textWrapping"/>
      </w:r>
      <w:r>
        <w:rPr>
          <w:rFonts w:hint="eastAsia" w:ascii="仿宋_GB2312" w:hAnsi="仿宋_GB2312" w:eastAsia="仿宋_GB2312" w:cs="仿宋_GB2312"/>
          <w:sz w:val="32"/>
          <w:szCs w:val="32"/>
        </w:rPr>
        <w:t xml:space="preserve">    </w:t>
      </w: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部门绩效评价结果。</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numPr>
          <w:ilvl w:val="0"/>
          <w:numId w:val="3"/>
        </w:numPr>
        <w:spacing w:line="600" w:lineRule="exact"/>
        <w:ind w:left="0" w:firstLine="660" w:firstLineChars="150"/>
        <w:jc w:val="center"/>
        <w:outlineLvl w:val="0"/>
        <w:rPr>
          <w:rStyle w:val="23"/>
          <w:rFonts w:ascii="黑体" w:eastAsia="黑体"/>
          <w:b w:val="0"/>
        </w:rPr>
      </w:pPr>
      <w:bookmarkStart w:id="95" w:name="_Toc79163879"/>
      <w:bookmarkStart w:id="96" w:name="_Toc79163629"/>
      <w:bookmarkStart w:id="97" w:name="_Toc15396613"/>
      <w:bookmarkStart w:id="98" w:name="_Toc15377225"/>
      <w:r>
        <w:rPr>
          <w:rFonts w:hint="eastAsia" w:ascii="黑体" w:eastAsia="黑体"/>
          <w:color w:val="000000"/>
          <w:sz w:val="44"/>
          <w:szCs w:val="44"/>
        </w:rPr>
        <w:t>名</w:t>
      </w:r>
      <w:r>
        <w:rPr>
          <w:rStyle w:val="23"/>
          <w:rFonts w:hint="eastAsia" w:ascii="黑体" w:eastAsia="黑体"/>
          <w:b w:val="0"/>
        </w:rPr>
        <w:t>词解释</w:t>
      </w:r>
      <w:bookmarkEnd w:id="95"/>
      <w:bookmarkEnd w:id="96"/>
      <w:bookmarkEnd w:id="97"/>
      <w:bookmarkEnd w:id="98"/>
    </w:p>
    <w:p>
      <w:pPr>
        <w:spacing w:line="600" w:lineRule="exact"/>
        <w:jc w:val="left"/>
        <w:rPr>
          <w:rFonts w:ascii="宋体"/>
          <w:b/>
          <w:color w:val="000000"/>
          <w:sz w:val="44"/>
          <w:szCs w:val="44"/>
        </w:rPr>
      </w:pPr>
    </w:p>
    <w:p>
      <w:pPr>
        <w:pStyle w:val="28"/>
        <w:spacing w:line="560" w:lineRule="exact"/>
        <w:ind w:left="640"/>
        <w:rPr>
          <w:rFonts w:ascii="仿宋_GB2312" w:eastAsia="仿宋_GB2312"/>
          <w:sz w:val="32"/>
          <w:szCs w:val="32"/>
        </w:rPr>
      </w:pPr>
      <w:bookmarkStart w:id="99" w:name="_Toc15377226"/>
      <w:r>
        <w:rPr>
          <w:rFonts w:hint="eastAsia" w:ascii="仿宋_GB2312" w:eastAsia="仿宋_GB2312"/>
          <w:sz w:val="32"/>
          <w:szCs w:val="32"/>
        </w:rPr>
        <w:t xml:space="preserve">1.财政拨款收入：指州级财政当年拨付的资金。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hint="eastAsia" w:ascii="黑体" w:eastAsia="黑体"/>
          <w:b w:val="0"/>
        </w:rPr>
      </w:pPr>
      <w:r>
        <w:rPr>
          <w:rFonts w:ascii="宋体"/>
          <w:b/>
          <w:color w:val="000000"/>
          <w:sz w:val="44"/>
          <w:szCs w:val="44"/>
        </w:rPr>
        <w:br w:type="page"/>
      </w:r>
      <w:bookmarkStart w:id="100" w:name="_Toc79163630"/>
      <w:bookmarkStart w:id="101" w:name="_Toc15396614"/>
      <w:bookmarkStart w:id="102" w:name="_Toc79163880"/>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0"/>
      <w:bookmarkEnd w:id="101"/>
      <w:bookmarkEnd w:id="102"/>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茂县人大常委会办公室信息和预</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算联网中心</w:t>
      </w:r>
      <w:r>
        <w:rPr>
          <w:rFonts w:hint="eastAsia" w:ascii="黑体" w:hAnsi="黑体" w:eastAsia="黑体" w:cs="宋体"/>
          <w:sz w:val="44"/>
          <w:szCs w:val="44"/>
          <w:shd w:val="clear" w:color="auto" w:fill="FFFFFF"/>
          <w:lang w:val="en-US" w:eastAsia="zh-CN"/>
        </w:rPr>
        <w:t>2021</w:t>
      </w:r>
      <w:r>
        <w:rPr>
          <w:rFonts w:hint="eastAsia" w:ascii="黑体" w:hAnsi="黑体" w:eastAsia="黑体" w:cs="宋体"/>
          <w:sz w:val="44"/>
          <w:szCs w:val="44"/>
          <w:shd w:val="clear" w:color="auto" w:fill="FFFFFF"/>
        </w:rPr>
        <w:t>年</w:t>
      </w:r>
      <w:r>
        <w:rPr>
          <w:rFonts w:hint="eastAsia" w:ascii="黑体" w:hAnsi="黑体" w:eastAsia="黑体" w:cs="宋体"/>
          <w:sz w:val="44"/>
          <w:szCs w:val="44"/>
          <w:shd w:val="clear" w:color="auto" w:fill="FFFFFF"/>
          <w:lang w:eastAsia="zh-CN"/>
        </w:rPr>
        <w:t>整体</w:t>
      </w:r>
      <w:r>
        <w:rPr>
          <w:rFonts w:hint="eastAsia" w:ascii="黑体" w:hAnsi="黑体" w:eastAsia="黑体" w:cs="宋体"/>
          <w:sz w:val="44"/>
          <w:szCs w:val="44"/>
          <w:shd w:val="clear" w:color="auto" w:fill="FFFFFF"/>
        </w:rPr>
        <w:t>支出绩效报告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一、单位概况</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（一）机构组成</w:t>
      </w:r>
    </w:p>
    <w:p>
      <w:pPr>
        <w:spacing w:line="500" w:lineRule="exact"/>
        <w:ind w:firstLine="320" w:firstLineChars="100"/>
        <w:rPr>
          <w:rFonts w:hint="eastAsia" w:ascii="仿宋_GB2312" w:eastAsia="仿宋_GB2312" w:hAnsiTheme="majorEastAsia"/>
          <w:sz w:val="32"/>
          <w:szCs w:val="32"/>
        </w:rPr>
      </w:pPr>
      <w:r>
        <w:rPr>
          <w:rFonts w:hint="eastAsia" w:ascii="仿宋_GB2312" w:eastAsia="仿宋_GB2312" w:hAnsiTheme="majorEastAsia"/>
          <w:sz w:val="32"/>
          <w:szCs w:val="32"/>
        </w:rPr>
        <w:t>茂县人大常委会办公室信息和预算联网中心管理岗位3个，均为九级岗位；专业技术岗位4个，分别为：1个九级岗位、1个十级岗位、2个十一级岗位。</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（二）机构职能</w:t>
      </w:r>
    </w:p>
    <w:p>
      <w:pPr>
        <w:ind w:firstLine="640" w:firstLineChars="200"/>
        <w:rPr>
          <w:rFonts w:hint="eastAsia" w:ascii="仿宋_GB2312" w:eastAsia="仿宋_GB2312" w:hAnsiTheme="majorEastAsia"/>
          <w:sz w:val="32"/>
          <w:szCs w:val="32"/>
        </w:rPr>
      </w:pPr>
      <w:r>
        <w:rPr>
          <w:rFonts w:hint="eastAsia" w:ascii="仿宋_GB2312" w:hAnsi="仿宋_GB2312" w:eastAsia="仿宋_GB2312" w:cs="仿宋_GB2312"/>
          <w:color w:val="000000"/>
          <w:kern w:val="2"/>
          <w:sz w:val="32"/>
          <w:szCs w:val="32"/>
          <w:lang w:val="en-US" w:eastAsia="zh-CN" w:bidi="ar"/>
        </w:rPr>
        <w:t xml:space="preserve"> </w:t>
      </w:r>
      <w:r>
        <w:rPr>
          <w:rFonts w:hint="eastAsia" w:ascii="仿宋_GB2312" w:eastAsia="仿宋_GB2312" w:hAnsiTheme="majorEastAsia"/>
          <w:sz w:val="32"/>
          <w:szCs w:val="32"/>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p>
      <w:pPr>
        <w:ind w:firstLine="642" w:firstLineChars="2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（三）人员概况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eastAsia="仿宋_GB2312" w:hAnsiTheme="majorEastAsia"/>
          <w:sz w:val="32"/>
          <w:szCs w:val="32"/>
        </w:rPr>
        <w:t>茂县人大常委会办公室信息和预算联网中心</w:t>
      </w:r>
      <w:r>
        <w:rPr>
          <w:rFonts w:hint="eastAsia" w:ascii="仿宋_GB2312" w:hAnsi="仿宋_GB2312" w:eastAsia="仿宋_GB2312" w:cs="仿宋_GB2312"/>
          <w:color w:val="000000"/>
          <w:kern w:val="2"/>
          <w:sz w:val="32"/>
          <w:szCs w:val="32"/>
          <w:lang w:val="en-US" w:eastAsia="zh-CN" w:bidi="ar"/>
        </w:rPr>
        <w:t>属事业单位。总编制4名，在职人员总数3人。</w:t>
      </w:r>
    </w:p>
    <w:p>
      <w:pPr>
        <w:spacing w:line="500" w:lineRule="exact"/>
        <w:rPr>
          <w:rFonts w:hint="eastAsia" w:ascii="楷体_GB2312" w:hAnsi="Calibri" w:eastAsia="楷体_GB2312" w:cs="仿宋"/>
          <w:b/>
          <w:color w:val="000000"/>
          <w:kern w:val="0"/>
          <w:sz w:val="32"/>
          <w:szCs w:val="32"/>
          <w:lang w:val="en-US" w:eastAsia="zh-CN"/>
        </w:rPr>
      </w:pPr>
      <w:r>
        <w:rPr>
          <w:rFonts w:hint="eastAsia" w:ascii="黑体" w:hAnsi="黑体" w:eastAsia="黑体" w:cs="仿宋"/>
          <w:color w:val="000000"/>
          <w:kern w:val="0"/>
          <w:sz w:val="32"/>
          <w:szCs w:val="32"/>
          <w:lang w:val="en-US" w:eastAsia="zh-CN"/>
        </w:rPr>
        <w:t>二、部门财政资金收支情况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（一）部门财政资金收入情况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2021年我单位总收入47.82万元，其中财政拨款收入47.82万元。</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（二）部门财政资金支出情况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2021年我单位总支出47.82万元，其中：一般公共服务支出36.98万元，社会保障和就业支出4.79万元，卫生健康支出支出2.38万元，住房保障支出3.68万元。</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三、部门整体预算绩效管理情况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（一）部门预算管理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按照国家预算法编制预算、决算。根据县财政局的部署要求和下达的各项经费指标，按新《</w:t>
      </w:r>
      <w:r>
        <w:rPr>
          <w:rFonts w:hint="eastAsia" w:ascii="仿宋_GB2312" w:hAnsi="仿宋_GB2312" w:eastAsia="仿宋_GB2312" w:cs="仿宋_GB2312"/>
          <w:color w:val="000000"/>
          <w:kern w:val="2"/>
          <w:sz w:val="32"/>
          <w:szCs w:val="32"/>
          <w:lang w:val="en-US" w:eastAsia="zh-CN" w:bidi="ar"/>
        </w:rPr>
        <w:t>预</w:t>
      </w:r>
      <w:r>
        <w:rPr>
          <w:rFonts w:hint="eastAsia" w:ascii="仿宋_GB2312" w:hAnsi="仿宋_GB2312" w:eastAsia="仿宋_GB2312" w:cs="仿宋_GB2312"/>
          <w:color w:val="000000"/>
          <w:kern w:val="2"/>
          <w:sz w:val="32"/>
          <w:szCs w:val="32"/>
          <w:lang w:val="zh-CN" w:eastAsia="zh-CN" w:bidi="ar"/>
        </w:rPr>
        <w:t>算法》规定，结合本单位的实际情况，合理编制预算。财政资金实行统一管理，统筹安排，预算编制做到合理安排各项资金，确保单位正常运转。</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（二）执行管理情况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按要求严格预算执行管理、节能降耗，严格执行“三公”经费预算。以建设节约型机关、服务型机关、学习型机关、安全型机关为重点。部门预决算及“三公”经费全面向社会公示工作有序推进。本单位是按照财政全年下达的预算指标来安排各项工作，预算执行情祝总体良好。</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（三）综合管理情况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bookmarkStart w:id="149" w:name="_GoBack"/>
      <w:bookmarkEnd w:id="149"/>
      <w:r>
        <w:rPr>
          <w:rFonts w:hint="eastAsia" w:ascii="仿宋_GB2312" w:hAnsi="仿宋_GB2312" w:eastAsia="仿宋_GB2312" w:cs="仿宋_GB2312"/>
          <w:color w:val="000000"/>
          <w:kern w:val="2"/>
          <w:sz w:val="32"/>
          <w:szCs w:val="32"/>
          <w:lang w:val="en-US" w:eastAsia="zh-CN" w:bidi="ar"/>
        </w:rPr>
        <w:t>严格执行“收支两条钱”管理规定，和其他有关法律、法规对经费收入管理的要求；严格按照《预算法》、《会计法》、《行政单位财务管理制度》以及有关法律、法规要求支出各项费用。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为进一步规范机关财务和加强财产管理工作，节约费用开支，提高资金使用效益，强化财务监督，严肃财经纪律，根据相关规定我单位制定机关财务管理制度、公务用车管理制度、公务接待管理制度、财务公开制度等，资产管理严格按照固定资产管理制度进行管理，培训费管理办法等制度，并严格按照《会计法》《会计档案管理办法》进行会计凭证、账簿登记和会计档案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采购办公用品时严格按照茂府办发【2013】64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（四）整体绩效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zh-CN" w:eastAsia="zh-CN" w:bidi="ar"/>
        </w:rPr>
        <w:t>我单位根据《茂县财政局关于开展</w:t>
      </w:r>
      <w:r>
        <w:rPr>
          <w:rFonts w:hint="eastAsia" w:ascii="仿宋_GB2312" w:hAnsi="仿宋_GB2312" w:eastAsia="仿宋_GB2312" w:cs="仿宋_GB2312"/>
          <w:color w:val="000000"/>
          <w:kern w:val="2"/>
          <w:sz w:val="32"/>
          <w:szCs w:val="32"/>
          <w:lang w:val="en-US" w:eastAsia="zh-CN" w:bidi="ar"/>
        </w:rPr>
        <w:t>2020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绩效评价自查开展覆盖重点支出，将评价结果作为预算安排的重要依据，参照年度预算执行情况、“三年滚动规划”执行情况统筹支出需求，优化财政资金配置，不断强化绩效理念，推动我单位部门整体绩效管理水平不断提升。项目支出保障了重点工作的开展，绩效目标得到较好实现，绩效管理水平不断提高，绩效指标体系逐渐丰富和完善。</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四、评价结论及建议</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根据我单位整体支出情况的自查和自评，结论为：</w:t>
      </w:r>
      <w:r>
        <w:rPr>
          <w:rFonts w:hint="eastAsia" w:ascii="仿宋_GB2312" w:eastAsia="仿宋_GB2312" w:hAnsiTheme="majorEastAsia"/>
          <w:sz w:val="32"/>
          <w:szCs w:val="32"/>
        </w:rPr>
        <w:t>茂县人大常委会办公室信息和预算联网中心</w:t>
      </w:r>
      <w:r>
        <w:rPr>
          <w:rFonts w:hint="eastAsia" w:ascii="仿宋_GB2312" w:hAnsi="仿宋_GB2312" w:eastAsia="仿宋_GB2312" w:cs="仿宋_GB2312"/>
          <w:color w:val="000000"/>
          <w:kern w:val="2"/>
          <w:sz w:val="32"/>
          <w:szCs w:val="32"/>
          <w:lang w:val="en-US" w:eastAsia="zh-CN" w:bidi="ar"/>
        </w:rPr>
        <w:t>整体支出情况合法、合规，由于严格执行法律、政策、科学分配、有效使用、严密管理，有力地促进了我单位各项工作顺利完成和各项目标的实现，严格按照相关制度进行财务核算，做到资金专款专用，资金支付依据和开支标准合规合法。并按照规定编制决算，审核汇总后报财政部门审批。加强决算审核和分析，规范决算管理工作，保证决算数据的完整、真实、准确。自评得分</w:t>
      </w:r>
      <w:r>
        <w:rPr>
          <w:rFonts w:hint="eastAsia" w:ascii="仿宋_GB2312" w:hAnsi="仿宋_GB2312" w:cs="仿宋_GB2312"/>
          <w:color w:val="000000"/>
          <w:kern w:val="2"/>
          <w:sz w:val="32"/>
          <w:szCs w:val="32"/>
          <w:lang w:val="en-US" w:eastAsia="zh-CN" w:bidi="ar"/>
        </w:rPr>
        <w:t>90</w:t>
      </w:r>
      <w:r>
        <w:rPr>
          <w:rFonts w:hint="eastAsia" w:ascii="仿宋_GB2312" w:hAnsi="仿宋_GB2312" w:eastAsia="仿宋_GB2312" w:cs="仿宋_GB2312"/>
          <w:color w:val="000000"/>
          <w:kern w:val="2"/>
          <w:sz w:val="32"/>
          <w:szCs w:val="32"/>
          <w:lang w:val="en-US" w:eastAsia="zh-CN" w:bidi="ar"/>
        </w:rPr>
        <w:t>分。</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2、部分日常公用支出为完成支出进度没有严格按照年初预算下达经济科目支出，今后将严格按照下达指标经济类型支出。</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根据我单位年初工作计划，按照中央和省、州的各项工作部署，积极履职，强化管理，完成年度工作目标。通过加强预算收支管理，不断建立健全内部管理制度，梳理内部管理流程，单位整体支出管理情况得到提升。</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03" w:name="_Toc79163634"/>
      <w:bookmarkStart w:id="104" w:name="_Toc79163884"/>
    </w:p>
    <w:bookmarkEnd w:id="103"/>
    <w:bookmarkEnd w:id="104"/>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05" w:name="_Toc15396618"/>
      <w:bookmarkStart w:id="106" w:name="_Toc79163885"/>
      <w:bookmarkStart w:id="107" w:name="_Toc7916363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99"/>
      <w:bookmarkEnd w:id="105"/>
      <w:bookmarkEnd w:id="106"/>
      <w:bookmarkEnd w:id="107"/>
    </w:p>
    <w:p>
      <w:pPr>
        <w:pStyle w:val="4"/>
        <w:rPr>
          <w:rFonts w:ascii="仿宋" w:eastAsia="仿宋"/>
          <w:color w:val="000000"/>
        </w:rPr>
      </w:pPr>
      <w:bookmarkStart w:id="108" w:name="_Toc79163636"/>
      <w:bookmarkStart w:id="109" w:name="_Toc79163886"/>
      <w:bookmarkStart w:id="110" w:name="_Toc15396619"/>
      <w:r>
        <w:rPr>
          <w:rFonts w:hint="eastAsia" w:ascii="仿宋" w:eastAsia="仿宋"/>
          <w:b w:val="0"/>
          <w:color w:val="000000"/>
        </w:rPr>
        <w:t>一、收</w:t>
      </w:r>
      <w:r>
        <w:rPr>
          <w:rStyle w:val="24"/>
          <w:rFonts w:hint="eastAsia" w:ascii="仿宋" w:eastAsia="仿宋"/>
          <w:b w:val="0"/>
          <w:bCs w:val="0"/>
        </w:rPr>
        <w:t>入支出决算总表</w:t>
      </w:r>
      <w:bookmarkEnd w:id="108"/>
      <w:bookmarkEnd w:id="109"/>
      <w:bookmarkEnd w:id="110"/>
    </w:p>
    <w:p>
      <w:pPr>
        <w:pStyle w:val="4"/>
        <w:rPr>
          <w:rFonts w:ascii="仿宋" w:eastAsia="仿宋"/>
          <w:color w:val="000000"/>
        </w:rPr>
      </w:pPr>
      <w:bookmarkStart w:id="111" w:name="_Toc15396620"/>
      <w:bookmarkStart w:id="112" w:name="_Toc79163887"/>
      <w:bookmarkStart w:id="113" w:name="_Toc79163637"/>
      <w:r>
        <w:rPr>
          <w:rFonts w:hint="eastAsia" w:ascii="仿宋" w:eastAsia="仿宋"/>
          <w:b w:val="0"/>
          <w:color w:val="000000"/>
        </w:rPr>
        <w:t>二、收</w:t>
      </w:r>
      <w:r>
        <w:rPr>
          <w:rStyle w:val="24"/>
          <w:rFonts w:hint="eastAsia" w:ascii="仿宋" w:eastAsia="仿宋"/>
          <w:b w:val="0"/>
          <w:bCs w:val="0"/>
        </w:rPr>
        <w:t>入决算表</w:t>
      </w:r>
      <w:bookmarkEnd w:id="111"/>
      <w:bookmarkEnd w:id="112"/>
      <w:bookmarkEnd w:id="113"/>
    </w:p>
    <w:p>
      <w:pPr>
        <w:pStyle w:val="4"/>
        <w:rPr>
          <w:rFonts w:ascii="仿宋" w:eastAsia="仿宋"/>
          <w:color w:val="000000"/>
        </w:rPr>
      </w:pPr>
      <w:bookmarkStart w:id="114" w:name="_Toc79163638"/>
      <w:bookmarkStart w:id="115" w:name="_Toc79163888"/>
      <w:bookmarkStart w:id="116" w:name="_Toc15396621"/>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14"/>
      <w:bookmarkEnd w:id="115"/>
      <w:bookmarkEnd w:id="116"/>
    </w:p>
    <w:p>
      <w:pPr>
        <w:pStyle w:val="4"/>
        <w:rPr>
          <w:rFonts w:ascii="仿宋" w:eastAsia="仿宋"/>
          <w:b w:val="0"/>
          <w:color w:val="000000"/>
        </w:rPr>
      </w:pPr>
      <w:bookmarkStart w:id="117" w:name="_Toc15396622"/>
      <w:bookmarkStart w:id="118" w:name="_Toc79163889"/>
      <w:bookmarkStart w:id="119" w:name="_Toc7916363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17"/>
      <w:bookmarkEnd w:id="118"/>
      <w:bookmarkEnd w:id="119"/>
    </w:p>
    <w:p>
      <w:pPr>
        <w:pStyle w:val="4"/>
        <w:rPr>
          <w:rStyle w:val="24"/>
          <w:rFonts w:ascii="仿宋" w:eastAsia="仿宋"/>
          <w:b w:val="0"/>
          <w:bCs w:val="0"/>
        </w:rPr>
      </w:pPr>
      <w:bookmarkStart w:id="120" w:name="_Toc79163890"/>
      <w:bookmarkStart w:id="121" w:name="_Toc15396623"/>
      <w:bookmarkStart w:id="122" w:name="_Toc79163640"/>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20"/>
      <w:bookmarkEnd w:id="121"/>
      <w:bookmarkEnd w:id="122"/>
      <w:bookmarkStart w:id="123" w:name="_Toc15396624"/>
    </w:p>
    <w:p>
      <w:pPr>
        <w:pStyle w:val="4"/>
        <w:rPr>
          <w:rFonts w:ascii="仿宋" w:eastAsia="仿宋"/>
          <w:color w:val="000000"/>
        </w:rPr>
      </w:pPr>
      <w:bookmarkStart w:id="124" w:name="_Toc79163891"/>
      <w:bookmarkStart w:id="125" w:name="_Toc7916364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23"/>
      <w:bookmarkEnd w:id="124"/>
      <w:bookmarkEnd w:id="125"/>
    </w:p>
    <w:p>
      <w:pPr>
        <w:pStyle w:val="4"/>
        <w:rPr>
          <w:rFonts w:ascii="仿宋" w:eastAsia="仿宋"/>
          <w:color w:val="000000"/>
        </w:rPr>
      </w:pPr>
      <w:bookmarkStart w:id="126" w:name="_Toc15396625"/>
      <w:bookmarkStart w:id="127" w:name="_Toc79163642"/>
      <w:bookmarkStart w:id="128" w:name="_Toc79163892"/>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26"/>
      <w:bookmarkEnd w:id="127"/>
      <w:bookmarkEnd w:id="128"/>
    </w:p>
    <w:p>
      <w:pPr>
        <w:pStyle w:val="4"/>
        <w:rPr>
          <w:rFonts w:ascii="仿宋" w:eastAsia="仿宋"/>
          <w:color w:val="000000"/>
        </w:rPr>
      </w:pPr>
      <w:bookmarkStart w:id="129" w:name="_Toc79163893"/>
      <w:bookmarkStart w:id="130" w:name="_Toc79163643"/>
      <w:bookmarkStart w:id="131" w:name="_Toc1539662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29"/>
      <w:bookmarkEnd w:id="130"/>
      <w:bookmarkEnd w:id="131"/>
    </w:p>
    <w:p>
      <w:pPr>
        <w:pStyle w:val="4"/>
        <w:rPr>
          <w:rFonts w:ascii="仿宋" w:eastAsia="仿宋"/>
          <w:color w:val="000000"/>
        </w:rPr>
      </w:pPr>
      <w:bookmarkStart w:id="132" w:name="_Toc79163894"/>
      <w:bookmarkStart w:id="133" w:name="_Toc15396627"/>
      <w:bookmarkStart w:id="134" w:name="_Toc79163644"/>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32"/>
      <w:bookmarkEnd w:id="133"/>
      <w:bookmarkEnd w:id="134"/>
    </w:p>
    <w:p>
      <w:pPr>
        <w:pStyle w:val="4"/>
        <w:rPr>
          <w:rFonts w:ascii="仿宋" w:eastAsia="仿宋"/>
          <w:color w:val="000000"/>
        </w:rPr>
      </w:pPr>
      <w:bookmarkStart w:id="135" w:name="_Toc79163895"/>
      <w:bookmarkStart w:id="136" w:name="_Toc79163645"/>
      <w:bookmarkStart w:id="137" w:name="_Toc15396628"/>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35"/>
      <w:bookmarkEnd w:id="136"/>
      <w:bookmarkEnd w:id="137"/>
    </w:p>
    <w:p>
      <w:pPr>
        <w:pStyle w:val="4"/>
        <w:rPr>
          <w:rFonts w:ascii="仿宋" w:eastAsia="仿宋"/>
          <w:color w:val="000000"/>
        </w:rPr>
      </w:pPr>
      <w:bookmarkStart w:id="138" w:name="_Toc79163646"/>
      <w:bookmarkStart w:id="139" w:name="_Toc15396629"/>
      <w:bookmarkStart w:id="140" w:name="_Toc7916389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38"/>
      <w:bookmarkEnd w:id="139"/>
      <w:bookmarkEnd w:id="140"/>
    </w:p>
    <w:p>
      <w:pPr>
        <w:pStyle w:val="4"/>
        <w:rPr>
          <w:rFonts w:ascii="仿宋" w:eastAsia="仿宋"/>
          <w:color w:val="000000"/>
        </w:rPr>
      </w:pPr>
      <w:bookmarkStart w:id="141" w:name="_Toc79163647"/>
      <w:bookmarkStart w:id="142" w:name="_Toc15396630"/>
      <w:bookmarkStart w:id="143" w:name="_Toc79163897"/>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41"/>
      <w:bookmarkEnd w:id="142"/>
      <w:bookmarkEnd w:id="143"/>
    </w:p>
    <w:p>
      <w:pPr>
        <w:pStyle w:val="4"/>
        <w:rPr>
          <w:rStyle w:val="24"/>
          <w:rFonts w:ascii="仿宋" w:eastAsia="仿宋"/>
          <w:b w:val="0"/>
          <w:bCs w:val="0"/>
        </w:rPr>
      </w:pPr>
      <w:bookmarkStart w:id="144" w:name="_Toc79163898"/>
      <w:bookmarkStart w:id="145" w:name="_Toc15396631"/>
      <w:bookmarkStart w:id="146" w:name="_Toc79163648"/>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44"/>
      <w:bookmarkEnd w:id="145"/>
      <w:bookmarkEnd w:id="146"/>
    </w:p>
    <w:p>
      <w:pPr>
        <w:pStyle w:val="4"/>
        <w:rPr>
          <w:rStyle w:val="24"/>
          <w:rFonts w:ascii="仿宋" w:eastAsia="仿宋"/>
          <w:b w:val="0"/>
          <w:bCs w:val="0"/>
        </w:rPr>
      </w:pPr>
      <w:bookmarkStart w:id="147" w:name="_Toc79163649"/>
      <w:bookmarkStart w:id="148" w:name="_Toc79163899"/>
      <w:r>
        <w:rPr>
          <w:rStyle w:val="24"/>
          <w:rFonts w:hint="eastAsia" w:ascii="仿宋" w:eastAsia="仿宋"/>
          <w:b w:val="0"/>
          <w:bCs w:val="0"/>
        </w:rPr>
        <w:t>十四、国有资本经营预算财政拨款支出决算表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0ECF09C"/>
    <w:multiLevelType w:val="singleLevel"/>
    <w:tmpl w:val="50ECF09C"/>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36074E4"/>
    <w:rsid w:val="04306F17"/>
    <w:rsid w:val="07EE19DE"/>
    <w:rsid w:val="080E2DA4"/>
    <w:rsid w:val="081F5F9B"/>
    <w:rsid w:val="0A00567E"/>
    <w:rsid w:val="0C525369"/>
    <w:rsid w:val="187E3CA2"/>
    <w:rsid w:val="1AF33F35"/>
    <w:rsid w:val="26551950"/>
    <w:rsid w:val="27214F6D"/>
    <w:rsid w:val="27B06AAE"/>
    <w:rsid w:val="29585D80"/>
    <w:rsid w:val="2A4F68D0"/>
    <w:rsid w:val="2D0E53BF"/>
    <w:rsid w:val="2FEC2768"/>
    <w:rsid w:val="316A15DF"/>
    <w:rsid w:val="32BB2C95"/>
    <w:rsid w:val="348A6ADA"/>
    <w:rsid w:val="378912FA"/>
    <w:rsid w:val="3A98788D"/>
    <w:rsid w:val="3CE206DA"/>
    <w:rsid w:val="3E545CD6"/>
    <w:rsid w:val="3E7B115D"/>
    <w:rsid w:val="43451DED"/>
    <w:rsid w:val="46AA674F"/>
    <w:rsid w:val="48841B7C"/>
    <w:rsid w:val="4B592C17"/>
    <w:rsid w:val="50DC06AD"/>
    <w:rsid w:val="545E4B35"/>
    <w:rsid w:val="55F7237F"/>
    <w:rsid w:val="56E66A42"/>
    <w:rsid w:val="59214860"/>
    <w:rsid w:val="5AFFDF8A"/>
    <w:rsid w:val="5FB1CFF5"/>
    <w:rsid w:val="5FCDE678"/>
    <w:rsid w:val="60347DEF"/>
    <w:rsid w:val="650172FA"/>
    <w:rsid w:val="65404E39"/>
    <w:rsid w:val="6A324049"/>
    <w:rsid w:val="6A6F9B6D"/>
    <w:rsid w:val="6DAB13B0"/>
    <w:rsid w:val="6F663C1D"/>
    <w:rsid w:val="707A3C0D"/>
    <w:rsid w:val="75FBA754"/>
    <w:rsid w:val="76350302"/>
    <w:rsid w:val="77AFDCD7"/>
    <w:rsid w:val="78E30014"/>
    <w:rsid w:val="79173E9F"/>
    <w:rsid w:val="9B7D36AF"/>
    <w:rsid w:val="B6A6E0F3"/>
    <w:rsid w:val="BDB7FF48"/>
    <w:rsid w:val="BFF73109"/>
    <w:rsid w:val="D3DF245F"/>
    <w:rsid w:val="DFEF2651"/>
    <w:rsid w:val="FFC75C4A"/>
    <w:rsid w:val="FFDF4C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47.82</c:v>
                </c:pt>
                <c:pt idx="1">
                  <c:v>40.42</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2021年</c:v>
                </c:pt>
              </c:strCache>
            </c:strRef>
          </c:cat>
          <c:val>
            <c:numRef>
              <c:f>Sheet1!$B$2</c:f>
              <c:numCache>
                <c:formatCode>General</c:formatCode>
                <c:ptCount val="1"/>
                <c:pt idx="0">
                  <c:v>47.82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4648928307465"/>
          <c:y val="0.00940733772342427"/>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基本支出</c:v>
                </c:pt>
              </c:strCache>
            </c:strRef>
          </c:cat>
          <c:val>
            <c:numRef>
              <c:f>Sheet1!$B$2</c:f>
              <c:numCache>
                <c:formatCode>General</c:formatCode>
                <c:ptCount val="1"/>
                <c:pt idx="0">
                  <c:v>47.82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234604105572"/>
          <c:y val="0.278510998307953"/>
          <c:w val="0.833900293255132"/>
          <c:h val="0.622131979695432"/>
        </c:manualLayout>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47.82</c:v>
                </c:pt>
                <c:pt idx="1">
                  <c:v>40.42</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40.42</c:v>
                </c:pt>
                <c:pt idx="1">
                  <c:v>47.82</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36.98</c:v>
                </c:pt>
                <c:pt idx="1">
                  <c:v>4.79</c:v>
                </c:pt>
                <c:pt idx="2">
                  <c:v>2.38</c:v>
                </c:pt>
                <c:pt idx="3">
                  <c:v>3.68</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8035</Words>
  <Characters>8623</Characters>
  <Lines>596</Lines>
  <Paragraphs>286</Paragraphs>
  <TotalTime>1</TotalTime>
  <ScaleCrop>false</ScaleCrop>
  <LinksUpToDate>false</LinksUpToDate>
  <CharactersWithSpaces>8718</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2025-04-10T14:54:41Z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24908BEDF1CB9CE6316BF76720DED86D</vt:lpwstr>
  </property>
</Properties>
</file>