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600" w:lineRule="exact"/>
        <w:jc w:val="center"/>
        <w:outlineLvl w:val="0"/>
        <w:rPr>
          <w:rFonts w:ascii="方正小标宋简体" w:eastAsia="方正小标宋简体"/>
          <w:color w:val="000000"/>
          <w:sz w:val="72"/>
          <w:szCs w:val="72"/>
        </w:rPr>
      </w:pPr>
      <w:bookmarkStart w:id="0" w:name="_Toc15306267"/>
    </w:p>
    <w:p>
      <w:pPr>
        <w:overflowPunct w:val="0"/>
        <w:spacing w:line="600" w:lineRule="exact"/>
        <w:jc w:val="both"/>
        <w:outlineLvl w:val="0"/>
        <w:rPr>
          <w:rFonts w:ascii="方正小标宋简体" w:eastAsia="方正小标宋简体"/>
          <w:color w:val="000000"/>
          <w:sz w:val="72"/>
          <w:szCs w:val="72"/>
        </w:rPr>
      </w:pPr>
    </w:p>
    <w:p>
      <w:pPr>
        <w:overflowPunct w:val="0"/>
        <w:spacing w:line="600" w:lineRule="exact"/>
        <w:jc w:val="center"/>
        <w:outlineLvl w:val="0"/>
        <w:rPr>
          <w:rFonts w:ascii="方正小标宋简体" w:eastAsia="方正小标宋简体"/>
          <w:color w:val="000000"/>
          <w:sz w:val="72"/>
          <w:szCs w:val="72"/>
        </w:rPr>
      </w:pPr>
    </w:p>
    <w:p>
      <w:pPr>
        <w:overflowPunct w:val="0"/>
        <w:adjustRightInd w:val="0"/>
        <w:snapToGrid w:val="0"/>
        <w:spacing w:line="360" w:lineRule="auto"/>
        <w:jc w:val="center"/>
        <w:outlineLvl w:val="0"/>
        <w:rPr>
          <w:rFonts w:hint="eastAsia" w:ascii="方正小标宋简体" w:eastAsia="方正小标宋简体"/>
          <w:b/>
          <w:bCs/>
          <w:color w:val="000000"/>
          <w:sz w:val="44"/>
          <w:szCs w:val="44"/>
        </w:rPr>
      </w:pPr>
      <w:bookmarkStart w:id="1" w:name="_Toc15377425"/>
      <w:bookmarkStart w:id="2" w:name="_Toc15378441"/>
      <w:bookmarkStart w:id="3" w:name="_Toc15396475"/>
      <w:bookmarkStart w:id="4" w:name="_Toc15396597"/>
      <w:bookmarkStart w:id="5" w:name="_Toc15377193"/>
      <w:r>
        <w:rPr>
          <w:rFonts w:hint="eastAsia" w:ascii="方正小标宋简体" w:eastAsia="方正小标宋简体"/>
          <w:b/>
          <w:bCs/>
          <w:color w:val="000000"/>
          <w:sz w:val="44"/>
          <w:szCs w:val="44"/>
        </w:rPr>
        <w:t>2019年度</w:t>
      </w:r>
      <w:bookmarkEnd w:id="0"/>
      <w:bookmarkEnd w:id="1"/>
      <w:bookmarkEnd w:id="2"/>
      <w:bookmarkEnd w:id="3"/>
      <w:bookmarkEnd w:id="4"/>
      <w:bookmarkEnd w:id="5"/>
      <w:bookmarkStart w:id="6" w:name="_Toc15377426"/>
      <w:bookmarkStart w:id="7" w:name="_Toc15377194"/>
      <w:bookmarkStart w:id="8" w:name="_Toc15396598"/>
      <w:bookmarkStart w:id="9" w:name="_Toc15378442"/>
      <w:bookmarkStart w:id="10" w:name="_Toc15306268"/>
      <w:bookmarkStart w:id="11" w:name="_Toc15396476"/>
      <w:r>
        <w:rPr>
          <w:rFonts w:hint="eastAsia" w:ascii="方正小标宋简体" w:eastAsia="方正小标宋简体"/>
          <w:b/>
          <w:bCs/>
          <w:color w:val="000000"/>
          <w:sz w:val="44"/>
          <w:szCs w:val="44"/>
        </w:rPr>
        <w:t>茂县人民政府办公室</w:t>
      </w:r>
    </w:p>
    <w:p>
      <w:pPr>
        <w:overflowPunct w:val="0"/>
        <w:adjustRightInd w:val="0"/>
        <w:snapToGrid w:val="0"/>
        <w:spacing w:line="360" w:lineRule="auto"/>
        <w:jc w:val="center"/>
        <w:outlineLvl w:val="0"/>
        <w:rPr>
          <w:rFonts w:hint="eastAsia" w:ascii="方正小标宋简体" w:eastAsia="方正小标宋简体"/>
          <w:b/>
          <w:bCs/>
          <w:color w:val="000000"/>
          <w:sz w:val="44"/>
          <w:szCs w:val="44"/>
        </w:rPr>
      </w:pPr>
      <w:r>
        <w:rPr>
          <w:rFonts w:hint="eastAsia" w:ascii="方正小标宋简体" w:eastAsia="方正小标宋简体"/>
          <w:b/>
          <w:bCs/>
          <w:color w:val="000000"/>
          <w:sz w:val="44"/>
          <w:szCs w:val="44"/>
        </w:rPr>
        <w:t>部门决算</w:t>
      </w:r>
      <w:bookmarkEnd w:id="6"/>
      <w:bookmarkEnd w:id="7"/>
      <w:bookmarkEnd w:id="8"/>
      <w:bookmarkEnd w:id="9"/>
      <w:bookmarkEnd w:id="10"/>
      <w:bookmarkEnd w:id="11"/>
    </w:p>
    <w:p>
      <w:pPr>
        <w:overflowPunct w:val="0"/>
        <w:adjustRightInd w:val="0"/>
        <w:snapToGrid w:val="0"/>
        <w:spacing w:line="360" w:lineRule="auto"/>
        <w:jc w:val="center"/>
        <w:outlineLvl w:val="0"/>
        <w:rPr>
          <w:rFonts w:ascii="方正小标宋简体" w:eastAsia="方正小标宋简体"/>
          <w:color w:val="000000"/>
          <w:sz w:val="52"/>
          <w:szCs w:val="52"/>
        </w:rPr>
      </w:pPr>
    </w:p>
    <w:p>
      <w:pPr>
        <w:overflowPunct w:val="0"/>
        <w:rPr>
          <w:rFonts w:ascii="方正小标宋简体" w:eastAsia="方正小标宋简体"/>
          <w:sz w:val="36"/>
          <w:szCs w:val="36"/>
        </w:rPr>
      </w:pPr>
    </w:p>
    <w:p>
      <w:pPr>
        <w:overflowPunct w:val="0"/>
        <w:rPr>
          <w:rFonts w:ascii="方正小标宋简体" w:eastAsia="方正小标宋简体"/>
          <w:sz w:val="36"/>
          <w:szCs w:val="36"/>
        </w:rPr>
      </w:pPr>
    </w:p>
    <w:p>
      <w:pPr>
        <w:overflowPunct w:val="0"/>
        <w:rPr>
          <w:rFonts w:ascii="方正小标宋简体" w:eastAsia="方正小标宋简体"/>
          <w:sz w:val="36"/>
          <w:szCs w:val="36"/>
        </w:rPr>
      </w:pPr>
    </w:p>
    <w:p>
      <w:pPr>
        <w:overflowPunct w:val="0"/>
        <w:rPr>
          <w:rFonts w:ascii="方正小标宋简体" w:eastAsia="方正小标宋简体"/>
          <w:sz w:val="36"/>
          <w:szCs w:val="36"/>
        </w:rPr>
      </w:pPr>
    </w:p>
    <w:p>
      <w:pPr>
        <w:overflowPunct w:val="0"/>
        <w:rPr>
          <w:rFonts w:ascii="方正小标宋简体" w:eastAsia="方正小标宋简体"/>
          <w:sz w:val="36"/>
          <w:szCs w:val="36"/>
        </w:rPr>
      </w:pPr>
    </w:p>
    <w:p>
      <w:pPr>
        <w:overflowPunct w:val="0"/>
        <w:rPr>
          <w:rFonts w:ascii="方正小标宋简体" w:eastAsia="方正小标宋简体"/>
          <w:sz w:val="36"/>
          <w:szCs w:val="36"/>
        </w:rPr>
      </w:pPr>
    </w:p>
    <w:p>
      <w:pPr>
        <w:overflowPunct w:val="0"/>
        <w:autoSpaceDE w:val="0"/>
        <w:autoSpaceDN w:val="0"/>
        <w:adjustRightInd w:val="0"/>
        <w:ind w:firstLine="1276"/>
        <w:jc w:val="left"/>
        <w:rPr>
          <w:rFonts w:ascii="仿宋_GB2312" w:eastAsia="仿宋_GB2312" w:cs="仿宋_GB2312"/>
          <w:sz w:val="32"/>
          <w:szCs w:val="32"/>
        </w:rPr>
      </w:pPr>
      <w:r>
        <w:rPr>
          <w:rFonts w:hint="eastAsia" w:ascii="仿宋_GB2312" w:eastAsia="仿宋_GB2312" w:cs="仿宋_GB2312"/>
          <w:sz w:val="32"/>
          <w:szCs w:val="32"/>
        </w:rPr>
        <w:t>保密审查情况：</w:t>
      </w:r>
    </w:p>
    <w:p>
      <w:pPr>
        <w:overflowPunct w:val="0"/>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overflowPunct w:val="0"/>
        <w:jc w:val="center"/>
        <w:rPr>
          <w:rFonts w:ascii="黑体" w:eastAsia="黑体"/>
          <w:b/>
          <w:bCs/>
          <w:color w:val="000000"/>
          <w:sz w:val="48"/>
          <w:szCs w:val="48"/>
        </w:rPr>
      </w:pPr>
      <w:r>
        <w:rPr>
          <w:rFonts w:ascii="方正小标宋简体" w:eastAsia="方正小标宋简体"/>
          <w:sz w:val="36"/>
          <w:szCs w:val="36"/>
        </w:rPr>
        <w:br w:type="page"/>
      </w:r>
      <w:r>
        <w:rPr>
          <w:rFonts w:hint="eastAsia" w:ascii="方正小标宋简体" w:hAnsi="方正小标宋简体" w:eastAsia="方正小标宋简体" w:cs="方正小标宋简体"/>
          <w:b/>
          <w:bCs/>
          <w:color w:val="000000"/>
          <w:sz w:val="44"/>
          <w:szCs w:val="44"/>
        </w:rPr>
        <w:t>目</w:t>
      </w:r>
      <w:r>
        <w:rPr>
          <w:rFonts w:hint="eastAsia" w:ascii="方正小标宋简体" w:hAnsi="方正小标宋简体" w:eastAsia="方正小标宋简体" w:cs="方正小标宋简体"/>
          <w:b/>
          <w:bCs/>
          <w:color w:val="000000"/>
          <w:sz w:val="44"/>
          <w:szCs w:val="44"/>
          <w:lang w:val="en-US" w:eastAsia="zh-CN"/>
        </w:rPr>
        <w:t xml:space="preserve">  </w:t>
      </w:r>
      <w:r>
        <w:rPr>
          <w:rFonts w:hint="eastAsia" w:ascii="方正小标宋简体" w:hAnsi="方正小标宋简体" w:eastAsia="方正小标宋简体" w:cs="方正小标宋简体"/>
          <w:b/>
          <w:bCs/>
          <w:color w:val="000000"/>
          <w:sz w:val="44"/>
          <w:szCs w:val="44"/>
        </w:rPr>
        <w:t>录</w:t>
      </w:r>
    </w:p>
    <w:p>
      <w:pPr>
        <w:widowControl/>
        <w:overflowPunct w:val="0"/>
        <w:jc w:val="center"/>
        <w:rPr>
          <w:rFonts w:ascii="黑体" w:eastAsia="黑体" w:cs="Arial"/>
          <w:sz w:val="28"/>
          <w:szCs w:val="28"/>
        </w:rPr>
      </w:pPr>
    </w:p>
    <w:p>
      <w:pPr>
        <w:overflowPunct w:val="0"/>
        <w:jc w:val="distribut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第一部分  部门概况…………………………………………4</w:t>
      </w:r>
    </w:p>
    <w:p>
      <w:pPr>
        <w:pStyle w:val="16"/>
        <w:overflowPunct w:val="0"/>
        <w:adjustRightInd w:val="0"/>
        <w:snapToGrid w:val="0"/>
        <w:spacing w:line="440" w:lineRule="exact"/>
        <w:ind w:left="420" w:leftChars="0" w:firstLine="0"/>
        <w:jc w:val="distribut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一、基本职能及主要工作…………………………………4</w:t>
      </w:r>
    </w:p>
    <w:p>
      <w:pPr>
        <w:pStyle w:val="16"/>
        <w:overflowPunct w:val="0"/>
        <w:adjustRightInd w:val="0"/>
        <w:snapToGrid w:val="0"/>
        <w:spacing w:line="440" w:lineRule="exact"/>
        <w:jc w:val="distribut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二、机构设置………………………………………………5</w:t>
      </w:r>
    </w:p>
    <w:p>
      <w:pPr>
        <w:overflowPunct w:val="0"/>
        <w:jc w:val="distribut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第二部分  2019年度部门决算情况说明…………………………6</w:t>
      </w:r>
    </w:p>
    <w:p>
      <w:pPr>
        <w:pStyle w:val="16"/>
        <w:overflowPunct w:val="0"/>
        <w:adjustRightInd w:val="0"/>
        <w:snapToGrid w:val="0"/>
        <w:spacing w:line="440" w:lineRule="exact"/>
        <w:ind w:left="0" w:leftChars="0"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一、收入支出决算总体情况说明………………………………6</w:t>
      </w:r>
    </w:p>
    <w:p>
      <w:pPr>
        <w:pStyle w:val="16"/>
        <w:overflowPunct w:val="0"/>
        <w:adjustRightInd w:val="0"/>
        <w:snapToGrid w:val="0"/>
        <w:spacing w:line="440" w:lineRule="exact"/>
        <w:ind w:left="0" w:leftChars="0"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二、收入决算情况说明…………………………………………6</w:t>
      </w:r>
    </w:p>
    <w:p>
      <w:pPr>
        <w:pStyle w:val="16"/>
        <w:overflowPunct w:val="0"/>
        <w:adjustRightInd w:val="0"/>
        <w:snapToGrid w:val="0"/>
        <w:spacing w:line="440" w:lineRule="exact"/>
        <w:ind w:left="0" w:leftChars="0"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三、支出决算情况说明…………………………………………7</w:t>
      </w:r>
    </w:p>
    <w:p>
      <w:pPr>
        <w:pStyle w:val="16"/>
        <w:overflowPunct w:val="0"/>
        <w:adjustRightInd w:val="0"/>
        <w:snapToGrid w:val="0"/>
        <w:spacing w:line="440" w:lineRule="exact"/>
        <w:ind w:left="0" w:leftChars="0"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四、财政拨款收入支出决算总体情况说明……………………7</w:t>
      </w:r>
    </w:p>
    <w:p>
      <w:pPr>
        <w:pStyle w:val="16"/>
        <w:overflowPunct w:val="0"/>
        <w:adjustRightInd w:val="0"/>
        <w:snapToGrid w:val="0"/>
        <w:spacing w:line="440" w:lineRule="exact"/>
        <w:ind w:left="0" w:leftChars="0"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五、一般公共预算财政拨款支出决算情况说明………………8</w:t>
      </w:r>
    </w:p>
    <w:p>
      <w:pPr>
        <w:pStyle w:val="16"/>
        <w:overflowPunct w:val="0"/>
        <w:adjustRightInd w:val="0"/>
        <w:snapToGrid w:val="0"/>
        <w:spacing w:line="440" w:lineRule="exact"/>
        <w:ind w:left="0" w:leftChars="0"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六、一般公共预算财政拨款基本支出决算情况说 …………10</w:t>
      </w:r>
    </w:p>
    <w:p>
      <w:pPr>
        <w:pStyle w:val="16"/>
        <w:overflowPunct w:val="0"/>
        <w:adjustRightInd w:val="0"/>
        <w:snapToGrid w:val="0"/>
        <w:spacing w:line="440" w:lineRule="exact"/>
        <w:ind w:left="0" w:leftChars="0"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七、“三公”经费财政拨款支出决算情况说明………………11</w:t>
      </w:r>
    </w:p>
    <w:p>
      <w:pPr>
        <w:pStyle w:val="16"/>
        <w:overflowPunct w:val="0"/>
        <w:adjustRightInd w:val="0"/>
        <w:snapToGrid w:val="0"/>
        <w:spacing w:line="440" w:lineRule="exact"/>
        <w:ind w:left="0" w:leftChars="0"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八、政府性基金预算支出决算情况说明 ……………………13</w:t>
      </w:r>
    </w:p>
    <w:p>
      <w:pPr>
        <w:pStyle w:val="16"/>
        <w:overflowPunct w:val="0"/>
        <w:adjustRightInd w:val="0"/>
        <w:snapToGrid w:val="0"/>
        <w:spacing w:line="440" w:lineRule="exact"/>
        <w:ind w:left="0" w:leftChars="0"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 国有资本经营预算支出决算情况说明…………………13</w:t>
      </w:r>
    </w:p>
    <w:p>
      <w:pPr>
        <w:pStyle w:val="16"/>
        <w:overflowPunct w:val="0"/>
        <w:adjustRightInd w:val="0"/>
        <w:snapToGrid w:val="0"/>
        <w:spacing w:line="440" w:lineRule="exact"/>
        <w:ind w:left="0" w:leftChars="0"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十、其他重要事项的情况说明 ………………………………13</w:t>
      </w:r>
    </w:p>
    <w:p>
      <w:pPr>
        <w:pStyle w:val="13"/>
        <w:overflowPunct w:val="0"/>
        <w:adjustRightInd w:val="0"/>
        <w:snapToGrid w:val="0"/>
        <w:spacing w:before="0" w:line="440" w:lineRule="exact"/>
        <w:jc w:val="distribut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第三部分  名词解释…………………………………………19</w:t>
      </w:r>
    </w:p>
    <w:p>
      <w:pPr>
        <w:pStyle w:val="13"/>
        <w:overflowPunct w:val="0"/>
        <w:adjustRightInd w:val="0"/>
        <w:snapToGrid w:val="0"/>
        <w:spacing w:before="0" w:line="440" w:lineRule="exact"/>
        <w:jc w:val="distribut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第四部分  附件………………………………………………22</w:t>
      </w:r>
    </w:p>
    <w:p>
      <w:pPr>
        <w:pStyle w:val="13"/>
        <w:overflowPunct w:val="0"/>
        <w:adjustRightInd w:val="0"/>
        <w:snapToGrid w:val="0"/>
        <w:spacing w:before="0" w:line="440" w:lineRule="exact"/>
        <w:jc w:val="distribut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茂县人民政府办公室2019年部门整体支出绩效………22</w:t>
      </w:r>
    </w:p>
    <w:p>
      <w:pPr>
        <w:pStyle w:val="13"/>
        <w:overflowPunct w:val="0"/>
        <w:adjustRightInd w:val="0"/>
        <w:snapToGrid w:val="0"/>
        <w:spacing w:before="0" w:line="440" w:lineRule="exact"/>
        <w:jc w:val="distribut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第五部分  附表………………………………………………26</w:t>
      </w:r>
    </w:p>
    <w:p>
      <w:pPr>
        <w:pStyle w:val="16"/>
        <w:overflowPunct w:val="0"/>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p>
    <w:p>
      <w:pPr>
        <w:pStyle w:val="16"/>
        <w:overflowPunct w:val="0"/>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p>
    <w:p>
      <w:pPr>
        <w:pStyle w:val="16"/>
        <w:overflowPunct w:val="0"/>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p>
    <w:p>
      <w:pPr>
        <w:pStyle w:val="16"/>
        <w:overflowPunct w:val="0"/>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p>
    <w:p>
      <w:pPr>
        <w:pStyle w:val="16"/>
        <w:overflowPunct w:val="0"/>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五、财政拨款支出决算明细表</w:t>
      </w:r>
    </w:p>
    <w:p>
      <w:pPr>
        <w:pStyle w:val="16"/>
        <w:overflowPunct w:val="0"/>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p>
    <w:p>
      <w:pPr>
        <w:pStyle w:val="16"/>
        <w:overflowPunct w:val="0"/>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七、一般公共预算财政拨款支出决算明细表</w:t>
      </w:r>
    </w:p>
    <w:p>
      <w:pPr>
        <w:pStyle w:val="16"/>
        <w:overflowPunct w:val="0"/>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八、一般公共预算财政拨款基本支出决算表</w:t>
      </w:r>
    </w:p>
    <w:p>
      <w:pPr>
        <w:pStyle w:val="16"/>
        <w:overflowPunct w:val="0"/>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九、一般公共预算财政拨款项目支出决算表</w:t>
      </w:r>
    </w:p>
    <w:p>
      <w:pPr>
        <w:pStyle w:val="16"/>
        <w:overflowPunct w:val="0"/>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十、一般公共预算财政拨款“三公”经费支出决算表</w:t>
      </w:r>
    </w:p>
    <w:p>
      <w:pPr>
        <w:pStyle w:val="16"/>
        <w:overflowPunct w:val="0"/>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十一、政府性基金预算财政拨款收入支出决算表</w:t>
      </w:r>
    </w:p>
    <w:p>
      <w:pPr>
        <w:pStyle w:val="16"/>
        <w:overflowPunct w:val="0"/>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十二、政府性基金预算财政拨款“三公”经费支出决算表</w:t>
      </w:r>
    </w:p>
    <w:p>
      <w:pPr>
        <w:pStyle w:val="16"/>
        <w:overflowPunct w:val="0"/>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十三、国有资本经营预算支出决算表</w:t>
      </w:r>
    </w:p>
    <w:p>
      <w:pPr>
        <w:widowControl/>
        <w:overflowPunct w:val="0"/>
        <w:spacing w:line="440" w:lineRule="exact"/>
        <w:jc w:val="distribute"/>
        <w:rPr>
          <w:rFonts w:hint="eastAsia" w:ascii="仿宋_GB2312" w:hAnsi="仿宋_GB2312" w:eastAsia="仿宋_GB2312" w:cs="仿宋_GB2312"/>
          <w:b/>
          <w:sz w:val="24"/>
        </w:rPr>
      </w:pPr>
      <w:bookmarkStart w:id="12" w:name="_Toc15396599"/>
      <w:bookmarkStart w:id="13" w:name="_Toc15377196"/>
    </w:p>
    <w:p>
      <w:pPr>
        <w:widowControl/>
        <w:overflowPunct w:val="0"/>
        <w:spacing w:line="440" w:lineRule="exact"/>
        <w:jc w:val="left"/>
        <w:rPr>
          <w:rFonts w:hint="eastAsia" w:ascii="仿宋" w:eastAsia="仿宋"/>
          <w:b/>
          <w:sz w:val="24"/>
        </w:rPr>
      </w:pPr>
    </w:p>
    <w:p>
      <w:pPr>
        <w:widowControl/>
        <w:overflowPunct w:val="0"/>
        <w:spacing w:line="440" w:lineRule="exact"/>
        <w:jc w:val="left"/>
        <w:rPr>
          <w:rFonts w:ascii="仿宋" w:eastAsia="仿宋"/>
          <w:bCs/>
          <w:kern w:val="44"/>
          <w:sz w:val="24"/>
        </w:rPr>
      </w:pPr>
      <w:r>
        <w:rPr>
          <w:rFonts w:ascii="仿宋" w:eastAsia="仿宋"/>
          <w:b/>
          <w:sz w:val="24"/>
        </w:rPr>
        <w:br w:type="page"/>
      </w:r>
    </w:p>
    <w:p>
      <w:pPr>
        <w:pStyle w:val="2"/>
        <w:overflowPunct w:val="0"/>
        <w:spacing w:before="0" w:after="0" w:line="540" w:lineRule="exact"/>
        <w:ind w:left="0"/>
        <w:jc w:val="center"/>
        <w:rPr>
          <w:rStyle w:val="23"/>
          <w:rFonts w:hint="eastAsia" w:ascii="方正小标宋简体" w:eastAsia="方正小标宋简体"/>
          <w:b w:val="0"/>
          <w:bCs w:val="0"/>
        </w:rPr>
      </w:pPr>
      <w:r>
        <w:rPr>
          <w:rFonts w:hint="eastAsia" w:ascii="方正小标宋简体" w:eastAsia="方正小标宋简体"/>
          <w:b w:val="0"/>
          <w:bCs w:val="0"/>
        </w:rPr>
        <w:t xml:space="preserve">第一部分 </w:t>
      </w:r>
      <w:r>
        <w:rPr>
          <w:rStyle w:val="23"/>
          <w:rFonts w:hint="eastAsia" w:ascii="方正小标宋简体" w:eastAsia="方正小标宋简体"/>
          <w:b w:val="0"/>
          <w:bCs w:val="0"/>
        </w:rPr>
        <w:t>部门概况</w:t>
      </w:r>
      <w:bookmarkEnd w:id="12"/>
      <w:bookmarkEnd w:id="13"/>
    </w:p>
    <w:p>
      <w:pPr>
        <w:pStyle w:val="3"/>
        <w:overflowPunct w:val="0"/>
        <w:spacing w:before="0" w:after="0" w:line="540" w:lineRule="exact"/>
        <w:ind w:left="0" w:firstLine="640" w:firstLineChars="200"/>
        <w:rPr>
          <w:rFonts w:ascii="黑体" w:eastAsia="黑体"/>
          <w:b w:val="0"/>
          <w:bCs w:val="0"/>
          <w:color w:val="000000"/>
        </w:rPr>
      </w:pPr>
      <w:bookmarkStart w:id="14" w:name="_Toc15396600"/>
      <w:bookmarkStart w:id="15" w:name="_Toc15377197"/>
    </w:p>
    <w:p>
      <w:pPr>
        <w:pStyle w:val="3"/>
        <w:overflowPunct w:val="0"/>
        <w:spacing w:before="0" w:after="0" w:line="540" w:lineRule="exact"/>
        <w:ind w:left="0" w:firstLine="640" w:firstLineChars="200"/>
        <w:rPr>
          <w:rStyle w:val="24"/>
          <w:rFonts w:hint="eastAsia" w:ascii="黑体" w:eastAsia="黑体"/>
          <w:b w:val="0"/>
          <w:bCs w:val="0"/>
        </w:rPr>
      </w:pPr>
      <w:r>
        <w:rPr>
          <w:rFonts w:hint="eastAsia" w:ascii="黑体" w:eastAsia="黑体"/>
          <w:b w:val="0"/>
          <w:bCs w:val="0"/>
          <w:color w:val="000000"/>
        </w:rPr>
        <w:t>一、基</w:t>
      </w:r>
      <w:r>
        <w:rPr>
          <w:rStyle w:val="24"/>
          <w:rFonts w:hint="eastAsia" w:ascii="黑体" w:eastAsia="黑体"/>
          <w:b w:val="0"/>
          <w:bCs w:val="0"/>
        </w:rPr>
        <w:t>本职能及主要工作</w:t>
      </w:r>
      <w:bookmarkEnd w:id="14"/>
      <w:bookmarkEnd w:id="15"/>
    </w:p>
    <w:p>
      <w:pPr>
        <w:pStyle w:val="6"/>
        <w:overflowPunct w:val="0"/>
        <w:adjustRightInd w:val="0"/>
        <w:snapToGrid w:val="0"/>
        <w:spacing w:before="0" w:beforeLines="0" w:line="540" w:lineRule="exact"/>
        <w:ind w:left="0" w:firstLine="642" w:firstLineChars="200"/>
        <w:outlineLvl w:val="2"/>
        <w:rPr>
          <w:rFonts w:ascii="楷体_GB2312" w:eastAsia="楷体_GB2312"/>
          <w:b/>
          <w:bCs/>
          <w:color w:val="000000"/>
          <w:sz w:val="32"/>
          <w:szCs w:val="32"/>
        </w:rPr>
      </w:pPr>
      <w:bookmarkStart w:id="16" w:name="_Toc15378445"/>
      <w:bookmarkStart w:id="17" w:name="_Toc15377198"/>
      <w:r>
        <w:rPr>
          <w:rFonts w:ascii="楷体_GB2312" w:eastAsia="楷体_GB2312"/>
          <w:b/>
          <w:bCs/>
          <w:color w:val="000000"/>
          <w:sz w:val="32"/>
          <w:szCs w:val="32"/>
        </w:rPr>
        <w:t>（一）</w:t>
      </w:r>
      <w:r>
        <w:rPr>
          <w:rFonts w:hint="eastAsia" w:ascii="楷体_GB2312" w:eastAsia="楷体_GB2312"/>
          <w:b/>
          <w:bCs/>
          <w:color w:val="000000"/>
          <w:sz w:val="32"/>
          <w:szCs w:val="32"/>
        </w:rPr>
        <w:t>主要职能</w:t>
      </w:r>
      <w:bookmarkEnd w:id="16"/>
      <w:bookmarkEnd w:id="17"/>
    </w:p>
    <w:p>
      <w:pPr>
        <w:pStyle w:val="6"/>
        <w:overflowPunct w:val="0"/>
        <w:adjustRightInd w:val="0"/>
        <w:snapToGrid w:val="0"/>
        <w:spacing w:before="0" w:beforeLines="0" w:line="540" w:lineRule="exact"/>
        <w:ind w:left="0" w:firstLine="640" w:firstLineChars="200"/>
        <w:outlineLvl w:val="2"/>
        <w:rPr>
          <w:rFonts w:cs="仿宋_GB2312"/>
          <w:color w:val="000000"/>
          <w:kern w:val="2"/>
          <w:sz w:val="32"/>
          <w:szCs w:val="32"/>
        </w:rPr>
      </w:pPr>
      <w:r>
        <w:rPr>
          <w:rFonts w:hint="eastAsia" w:cs="仿宋_GB2312"/>
          <w:color w:val="000000"/>
          <w:kern w:val="2"/>
          <w:sz w:val="32"/>
          <w:szCs w:val="32"/>
        </w:rPr>
        <w:t>1.协助县政府领导同志组织起草或审核以县政府、县政府办公室名义发布的公文。办理州政府、州政府办公室及各州局发送县政府的文电。指导全县行政机关公文处理工作。</w:t>
      </w:r>
    </w:p>
    <w:p>
      <w:pPr>
        <w:pStyle w:val="6"/>
        <w:overflowPunct w:val="0"/>
        <w:adjustRightInd w:val="0"/>
        <w:snapToGrid w:val="0"/>
        <w:spacing w:before="0" w:beforeLines="0" w:line="540" w:lineRule="exact"/>
        <w:ind w:left="0" w:firstLine="640" w:firstLineChars="200"/>
        <w:outlineLvl w:val="2"/>
        <w:rPr>
          <w:rFonts w:cs="仿宋_GB2312"/>
          <w:color w:val="000000"/>
          <w:kern w:val="2"/>
          <w:sz w:val="32"/>
          <w:szCs w:val="32"/>
        </w:rPr>
      </w:pPr>
      <w:r>
        <w:rPr>
          <w:rFonts w:hint="eastAsia" w:cs="仿宋_GB2312"/>
          <w:color w:val="000000"/>
          <w:kern w:val="2"/>
          <w:sz w:val="32"/>
          <w:szCs w:val="32"/>
        </w:rPr>
        <w:t>2.研究县政府部门和各乡镇人民政府请示县政府的事项，提出审核意见，报县政府领导同志审批。</w:t>
      </w:r>
    </w:p>
    <w:p>
      <w:pPr>
        <w:pStyle w:val="6"/>
        <w:overflowPunct w:val="0"/>
        <w:adjustRightInd w:val="0"/>
        <w:snapToGrid w:val="0"/>
        <w:spacing w:before="0" w:beforeLines="0" w:line="540" w:lineRule="exact"/>
        <w:ind w:left="0" w:firstLine="640" w:firstLineChars="200"/>
        <w:outlineLvl w:val="2"/>
        <w:rPr>
          <w:rFonts w:cs="仿宋_GB2312"/>
          <w:color w:val="000000"/>
          <w:kern w:val="2"/>
          <w:sz w:val="32"/>
          <w:szCs w:val="32"/>
        </w:rPr>
      </w:pPr>
      <w:r>
        <w:rPr>
          <w:rFonts w:hint="eastAsia" w:cs="仿宋_GB2312"/>
          <w:color w:val="000000"/>
          <w:kern w:val="2"/>
          <w:sz w:val="32"/>
          <w:szCs w:val="32"/>
        </w:rPr>
        <w:t>3.负责县政府会议的准备工作，协助县政府领导同志组织实施会议决定事项。</w:t>
      </w:r>
    </w:p>
    <w:p>
      <w:pPr>
        <w:pStyle w:val="6"/>
        <w:overflowPunct w:val="0"/>
        <w:adjustRightInd w:val="0"/>
        <w:snapToGrid w:val="0"/>
        <w:spacing w:before="0" w:beforeLines="0" w:line="540" w:lineRule="exact"/>
        <w:ind w:left="0" w:firstLine="640" w:firstLineChars="200"/>
        <w:outlineLvl w:val="2"/>
        <w:rPr>
          <w:rFonts w:cs="仿宋_GB2312"/>
          <w:color w:val="000000"/>
          <w:kern w:val="2"/>
          <w:sz w:val="32"/>
          <w:szCs w:val="32"/>
        </w:rPr>
      </w:pPr>
      <w:r>
        <w:rPr>
          <w:rFonts w:hint="eastAsia" w:cs="仿宋_GB2312"/>
          <w:color w:val="000000"/>
          <w:kern w:val="2"/>
          <w:sz w:val="32"/>
          <w:szCs w:val="32"/>
        </w:rPr>
        <w:t>4.督促检查县政府各部门和各乡镇人民政府对县政府公文、会议决定事项及县政府领导有关指示的执行情况并跟踪调研，及时向县政府领导报告。</w:t>
      </w:r>
    </w:p>
    <w:p>
      <w:pPr>
        <w:pStyle w:val="6"/>
        <w:overflowPunct w:val="0"/>
        <w:adjustRightInd w:val="0"/>
        <w:snapToGrid w:val="0"/>
        <w:spacing w:before="0" w:beforeLines="0" w:line="540" w:lineRule="exact"/>
        <w:ind w:left="0" w:firstLine="640" w:firstLineChars="200"/>
        <w:outlineLvl w:val="2"/>
        <w:rPr>
          <w:rFonts w:cs="仿宋_GB2312"/>
          <w:color w:val="000000"/>
          <w:kern w:val="2"/>
          <w:sz w:val="32"/>
          <w:szCs w:val="32"/>
        </w:rPr>
      </w:pPr>
      <w:r>
        <w:rPr>
          <w:rFonts w:hint="eastAsia" w:cs="仿宋_GB2312"/>
          <w:color w:val="000000"/>
          <w:kern w:val="2"/>
          <w:sz w:val="32"/>
          <w:szCs w:val="32"/>
        </w:rPr>
        <w:t>5.办理人大、政协交办县政府的有关议案、提案；协助县政府领导组织处理由县政府直接处理的突发事件和重大事故。</w:t>
      </w:r>
    </w:p>
    <w:p>
      <w:pPr>
        <w:pStyle w:val="6"/>
        <w:overflowPunct w:val="0"/>
        <w:adjustRightInd w:val="0"/>
        <w:snapToGrid w:val="0"/>
        <w:spacing w:before="0" w:beforeLines="0" w:line="540" w:lineRule="exact"/>
        <w:ind w:left="0" w:firstLine="640" w:firstLineChars="200"/>
        <w:outlineLvl w:val="2"/>
        <w:rPr>
          <w:rFonts w:cs="仿宋_GB2312"/>
          <w:color w:val="000000"/>
          <w:kern w:val="2"/>
          <w:sz w:val="32"/>
          <w:szCs w:val="32"/>
        </w:rPr>
      </w:pPr>
      <w:r>
        <w:rPr>
          <w:rFonts w:hint="eastAsia" w:cs="仿宋_GB2312"/>
          <w:color w:val="000000"/>
          <w:kern w:val="2"/>
          <w:sz w:val="32"/>
          <w:szCs w:val="32"/>
        </w:rPr>
        <w:t>6.组织贯彻执行国家外事、台侨政策，研究拟定本县外事、台侨工作规章制度、发展规划，办理本县涉外事务和处理日常台侨工作。</w:t>
      </w:r>
    </w:p>
    <w:p>
      <w:pPr>
        <w:pStyle w:val="6"/>
        <w:overflowPunct w:val="0"/>
        <w:adjustRightInd w:val="0"/>
        <w:snapToGrid w:val="0"/>
        <w:spacing w:before="0" w:beforeLines="0" w:line="540" w:lineRule="exact"/>
        <w:ind w:left="0" w:firstLine="640" w:firstLineChars="200"/>
        <w:outlineLvl w:val="2"/>
        <w:rPr>
          <w:rFonts w:cs="仿宋_GB2312"/>
          <w:color w:val="000000"/>
          <w:kern w:val="2"/>
          <w:sz w:val="32"/>
          <w:szCs w:val="32"/>
        </w:rPr>
      </w:pPr>
      <w:r>
        <w:rPr>
          <w:rFonts w:hint="eastAsia" w:cs="仿宋_GB2312"/>
          <w:color w:val="000000"/>
          <w:kern w:val="2"/>
          <w:sz w:val="32"/>
          <w:szCs w:val="32"/>
        </w:rPr>
        <w:t>7.负责县政府值班工作，指导各乡镇人民政府和县政府部门值班工作，及时报告重要情况。</w:t>
      </w:r>
    </w:p>
    <w:p>
      <w:pPr>
        <w:pStyle w:val="6"/>
        <w:overflowPunct w:val="0"/>
        <w:adjustRightInd w:val="0"/>
        <w:snapToGrid w:val="0"/>
        <w:spacing w:before="0" w:beforeLines="0" w:line="540" w:lineRule="exact"/>
        <w:ind w:left="0" w:firstLine="640" w:firstLineChars="200"/>
        <w:outlineLvl w:val="2"/>
        <w:rPr>
          <w:rFonts w:cs="仿宋_GB2312"/>
          <w:color w:val="000000"/>
          <w:kern w:val="2"/>
          <w:sz w:val="32"/>
          <w:szCs w:val="32"/>
        </w:rPr>
      </w:pPr>
      <w:r>
        <w:rPr>
          <w:rFonts w:hint="eastAsia" w:cs="仿宋_GB2312"/>
          <w:color w:val="000000"/>
          <w:kern w:val="2"/>
          <w:sz w:val="32"/>
          <w:szCs w:val="32"/>
        </w:rPr>
        <w:t>8.指导、监督全县政府信息公开工作和机关行政效能建设工作，指导、监督全县政府系统电子政务工作和政府网站建设。</w:t>
      </w:r>
    </w:p>
    <w:p>
      <w:pPr>
        <w:pStyle w:val="6"/>
        <w:overflowPunct w:val="0"/>
        <w:adjustRightInd w:val="0"/>
        <w:snapToGrid w:val="0"/>
        <w:spacing w:before="0" w:beforeLines="0" w:line="540" w:lineRule="exact"/>
        <w:ind w:left="0" w:firstLine="640" w:firstLineChars="200"/>
        <w:outlineLvl w:val="2"/>
        <w:rPr>
          <w:rFonts w:cs="仿宋_GB2312"/>
          <w:color w:val="000000"/>
          <w:kern w:val="2"/>
          <w:sz w:val="32"/>
          <w:szCs w:val="32"/>
        </w:rPr>
      </w:pPr>
      <w:r>
        <w:rPr>
          <w:rFonts w:hint="eastAsia" w:cs="仿宋_GB2312"/>
          <w:color w:val="000000"/>
          <w:kern w:val="2"/>
          <w:sz w:val="32"/>
          <w:szCs w:val="32"/>
        </w:rPr>
        <w:t>9.组织办理涉及县政府工作的人大代表议案、批评、建议和政协委员提案、建议案工作。</w:t>
      </w:r>
    </w:p>
    <w:p>
      <w:pPr>
        <w:pStyle w:val="6"/>
        <w:overflowPunct w:val="0"/>
        <w:adjustRightInd w:val="0"/>
        <w:snapToGrid w:val="0"/>
        <w:spacing w:before="0" w:beforeLines="0" w:line="540" w:lineRule="exact"/>
        <w:ind w:left="0" w:firstLine="640" w:firstLineChars="200"/>
        <w:outlineLvl w:val="2"/>
        <w:rPr>
          <w:rFonts w:cs="仿宋_GB2312"/>
          <w:color w:val="000000"/>
          <w:kern w:val="2"/>
          <w:sz w:val="32"/>
          <w:szCs w:val="32"/>
        </w:rPr>
      </w:pPr>
      <w:r>
        <w:rPr>
          <w:rFonts w:hint="eastAsia" w:cs="仿宋_GB2312"/>
          <w:color w:val="000000"/>
          <w:kern w:val="2"/>
          <w:sz w:val="32"/>
          <w:szCs w:val="32"/>
        </w:rPr>
        <w:t>10.指导全县应急管理工作，协助县政府领导同志做好需由县政府组织处理的突发事件的应急处置工作。</w:t>
      </w:r>
    </w:p>
    <w:p>
      <w:pPr>
        <w:pStyle w:val="6"/>
        <w:overflowPunct w:val="0"/>
        <w:adjustRightInd w:val="0"/>
        <w:snapToGrid w:val="0"/>
        <w:spacing w:before="0" w:beforeLines="0" w:line="540" w:lineRule="exact"/>
        <w:ind w:left="0" w:firstLine="640" w:firstLineChars="200"/>
        <w:outlineLvl w:val="2"/>
        <w:rPr>
          <w:rFonts w:cs="仿宋_GB2312"/>
          <w:color w:val="000000"/>
          <w:kern w:val="2"/>
          <w:sz w:val="32"/>
          <w:szCs w:val="32"/>
        </w:rPr>
      </w:pPr>
      <w:r>
        <w:rPr>
          <w:rFonts w:hint="eastAsia" w:cs="仿宋_GB2312"/>
          <w:color w:val="000000"/>
          <w:kern w:val="2"/>
          <w:sz w:val="32"/>
          <w:szCs w:val="32"/>
        </w:rPr>
        <w:t>11.围绕县政府中心工作和县政府领导同志的指示，组织专题调查研究，及时反映情况，提出政策性建议。</w:t>
      </w:r>
    </w:p>
    <w:p>
      <w:pPr>
        <w:pStyle w:val="6"/>
        <w:overflowPunct w:val="0"/>
        <w:adjustRightInd w:val="0"/>
        <w:snapToGrid w:val="0"/>
        <w:spacing w:before="0" w:beforeLines="0" w:line="540" w:lineRule="exact"/>
        <w:ind w:left="0" w:firstLine="640" w:firstLineChars="200"/>
        <w:outlineLvl w:val="2"/>
        <w:rPr>
          <w:rFonts w:ascii="仿宋_GB2312" w:eastAsia="仿宋_GB2312" w:cs="仿宋_GB2312"/>
          <w:color w:val="000000"/>
          <w:sz w:val="32"/>
          <w:szCs w:val="32"/>
        </w:rPr>
      </w:pPr>
      <w:r>
        <w:rPr>
          <w:rFonts w:hint="eastAsia" w:cs="仿宋_GB2312"/>
          <w:color w:val="000000"/>
          <w:kern w:val="2"/>
          <w:sz w:val="32"/>
          <w:szCs w:val="32"/>
        </w:rPr>
        <w:t>12.负责县政府人民防空和民防工作，指导全县人民防空和民防工作。</w:t>
      </w:r>
    </w:p>
    <w:p>
      <w:pPr>
        <w:pStyle w:val="6"/>
        <w:overflowPunct w:val="0"/>
        <w:adjustRightInd w:val="0"/>
        <w:snapToGrid w:val="0"/>
        <w:spacing w:before="0" w:beforeLines="0" w:line="540" w:lineRule="exact"/>
        <w:ind w:left="0" w:firstLine="640" w:firstLineChars="200"/>
        <w:outlineLvl w:val="2"/>
        <w:rPr>
          <w:rFonts w:ascii="楷体" w:eastAsia="楷体" w:cs="仿宋_GB2312"/>
          <w:color w:val="000000"/>
          <w:sz w:val="32"/>
          <w:szCs w:val="32"/>
        </w:rPr>
      </w:pPr>
      <w:r>
        <w:rPr>
          <w:rFonts w:hint="eastAsia" w:ascii="仿宋_GB2312" w:eastAsia="仿宋_GB2312" w:cs="仿宋_GB2312"/>
          <w:color w:val="000000"/>
          <w:sz w:val="32"/>
          <w:szCs w:val="32"/>
        </w:rPr>
        <w:t>13.承办县政府和县政府领导交办的其他事项</w:t>
      </w:r>
      <w:r>
        <w:rPr>
          <w:rFonts w:hint="eastAsia" w:ascii="楷体" w:eastAsia="楷体" w:cs="仿宋_GB2312"/>
          <w:color w:val="000000"/>
          <w:sz w:val="32"/>
          <w:szCs w:val="32"/>
        </w:rPr>
        <w:t>。</w:t>
      </w:r>
      <w:bookmarkStart w:id="18" w:name="_Toc15378446"/>
      <w:bookmarkStart w:id="19" w:name="_Toc15377199"/>
    </w:p>
    <w:p>
      <w:pPr>
        <w:pStyle w:val="6"/>
        <w:overflowPunct w:val="0"/>
        <w:adjustRightInd w:val="0"/>
        <w:snapToGrid w:val="0"/>
        <w:spacing w:before="0" w:beforeLines="0" w:line="540" w:lineRule="exact"/>
        <w:ind w:left="0" w:firstLine="642" w:firstLineChars="200"/>
        <w:outlineLvl w:val="2"/>
        <w:rPr>
          <w:rFonts w:ascii="仿宋_GB2312" w:eastAsia="仿宋_GB2312"/>
          <w:sz w:val="32"/>
          <w:szCs w:val="32"/>
        </w:rPr>
      </w:pPr>
      <w:r>
        <w:rPr>
          <w:rFonts w:hint="eastAsia" w:ascii="楷体_GB2312" w:eastAsia="楷体_GB2312"/>
          <w:b/>
          <w:bCs/>
          <w:color w:val="000000"/>
          <w:sz w:val="32"/>
          <w:szCs w:val="32"/>
        </w:rPr>
        <w:t>（二）2019年重点工作完成情况</w:t>
      </w:r>
      <w:bookmarkEnd w:id="18"/>
      <w:bookmarkEnd w:id="19"/>
    </w:p>
    <w:p>
      <w:pPr>
        <w:pStyle w:val="6"/>
        <w:overflowPunct w:val="0"/>
        <w:adjustRightInd w:val="0"/>
        <w:snapToGrid w:val="0"/>
        <w:spacing w:before="0" w:beforeLines="0" w:line="540" w:lineRule="exact"/>
        <w:ind w:left="0" w:firstLine="640" w:firstLineChars="200"/>
        <w:outlineLvl w:val="2"/>
        <w:rPr>
          <w:rFonts w:ascii="黑体" w:eastAsia="黑体"/>
          <w:b w:val="0"/>
          <w:color w:val="000000"/>
        </w:rPr>
      </w:pPr>
      <w:r>
        <w:rPr>
          <w:rFonts w:hint="eastAsia" w:ascii="仿宋_GB2312" w:eastAsia="仿宋_GB2312"/>
          <w:sz w:val="32"/>
          <w:szCs w:val="32"/>
        </w:rPr>
        <w:t>一年来，坚持以政务运行为主体，严谨高效办文办会</w:t>
      </w:r>
      <w:r>
        <w:rPr>
          <w:rFonts w:ascii="仿宋_GB2312" w:eastAsia="仿宋_GB2312"/>
          <w:sz w:val="32"/>
          <w:szCs w:val="32"/>
        </w:rPr>
        <w:t>，</w:t>
      </w:r>
      <w:r>
        <w:rPr>
          <w:rFonts w:hint="eastAsia" w:ascii="仿宋_GB2312" w:eastAsia="仿宋_GB2312" w:cs="宋体"/>
          <w:sz w:val="32"/>
          <w:szCs w:val="32"/>
        </w:rPr>
        <w:t>持续抓好脱贫攻坚</w:t>
      </w:r>
      <w:r>
        <w:rPr>
          <w:rFonts w:ascii="仿宋_GB2312" w:eastAsia="仿宋_GB2312" w:cs="宋体"/>
          <w:sz w:val="32"/>
          <w:szCs w:val="32"/>
        </w:rPr>
        <w:t>，</w:t>
      </w:r>
      <w:r>
        <w:rPr>
          <w:rFonts w:hint="eastAsia" w:ascii="仿宋_GB2312" w:eastAsia="仿宋_GB2312" w:cs="宋体"/>
          <w:sz w:val="32"/>
          <w:szCs w:val="32"/>
        </w:rPr>
        <w:t>推进人民防空工作规范化</w:t>
      </w:r>
      <w:r>
        <w:rPr>
          <w:rFonts w:ascii="仿宋_GB2312" w:eastAsia="仿宋_GB2312" w:cs="宋体"/>
          <w:sz w:val="32"/>
          <w:szCs w:val="32"/>
        </w:rPr>
        <w:t>，</w:t>
      </w:r>
      <w:r>
        <w:rPr>
          <w:rFonts w:hint="eastAsia" w:ascii="仿宋_GB2312" w:eastAsia="仿宋_GB2312" w:cs="楷体_GB2312"/>
          <w:color w:val="000000"/>
          <w:sz w:val="32"/>
          <w:szCs w:val="32"/>
        </w:rPr>
        <w:t>纵深推进</w:t>
      </w:r>
      <w:r>
        <w:rPr>
          <w:rFonts w:hint="eastAsia" w:ascii="仿宋_GB2312" w:eastAsia="仿宋_GB2312" w:cs="楷体_GB2312"/>
          <w:sz w:val="32"/>
          <w:szCs w:val="32"/>
        </w:rPr>
        <w:t>政府信息公开</w:t>
      </w:r>
      <w:r>
        <w:rPr>
          <w:rFonts w:ascii="仿宋_GB2312" w:eastAsia="仿宋_GB2312" w:cs="楷体_GB2312"/>
          <w:sz w:val="32"/>
          <w:szCs w:val="32"/>
        </w:rPr>
        <w:t>，</w:t>
      </w:r>
      <w:r>
        <w:rPr>
          <w:rFonts w:hint="eastAsia" w:ascii="仿宋_GB2312" w:eastAsia="仿宋_GB2312" w:cs="宋体"/>
          <w:sz w:val="32"/>
          <w:szCs w:val="32"/>
        </w:rPr>
        <w:t>用心用情做好“两联一进”群众工作</w:t>
      </w:r>
      <w:r>
        <w:rPr>
          <w:rFonts w:ascii="仿宋_GB2312" w:eastAsia="仿宋_GB2312" w:cs="宋体"/>
          <w:sz w:val="32"/>
          <w:szCs w:val="32"/>
        </w:rPr>
        <w:t>，</w:t>
      </w:r>
      <w:r>
        <w:rPr>
          <w:rFonts w:hint="eastAsia" w:ascii="仿宋_GB2312" w:eastAsia="仿宋_GB2312" w:cs="楷体_GB2312"/>
          <w:sz w:val="32"/>
          <w:szCs w:val="32"/>
        </w:rPr>
        <w:t>积极协助配合推动涉改部门机构改革工作</w:t>
      </w:r>
      <w:r>
        <w:rPr>
          <w:rFonts w:ascii="仿宋_GB2312" w:eastAsia="仿宋_GB2312" w:cs="楷体_GB2312"/>
          <w:sz w:val="32"/>
          <w:szCs w:val="32"/>
        </w:rPr>
        <w:t>，</w:t>
      </w:r>
      <w:r>
        <w:rPr>
          <w:rFonts w:hint="eastAsia" w:ascii="仿宋_GB2312" w:eastAsia="仿宋_GB2312"/>
          <w:sz w:val="32"/>
          <w:szCs w:val="32"/>
        </w:rPr>
        <w:t>着力提升议案提案办理工作</w:t>
      </w:r>
      <w:r>
        <w:rPr>
          <w:rFonts w:ascii="仿宋_GB2312" w:eastAsia="仿宋_GB2312"/>
          <w:sz w:val="32"/>
          <w:szCs w:val="32"/>
        </w:rPr>
        <w:t>，</w:t>
      </w:r>
      <w:r>
        <w:rPr>
          <w:rFonts w:hint="eastAsia" w:ascii="仿宋_GB2312" w:eastAsia="仿宋_GB2312"/>
          <w:sz w:val="32"/>
          <w:szCs w:val="32"/>
        </w:rPr>
        <w:t>充分发挥综合协调职能，认真抓好各项协调工作</w:t>
      </w:r>
      <w:r>
        <w:rPr>
          <w:rFonts w:ascii="仿宋_GB2312" w:eastAsia="仿宋_GB2312"/>
          <w:sz w:val="32"/>
          <w:szCs w:val="32"/>
        </w:rPr>
        <w:t>，</w:t>
      </w:r>
      <w:r>
        <w:rPr>
          <w:rFonts w:hint="eastAsia" w:ascii="仿宋_GB2312" w:eastAsia="仿宋_GB2312"/>
          <w:sz w:val="32"/>
          <w:szCs w:val="32"/>
        </w:rPr>
        <w:t>确保各项工作顺畅运转。</w:t>
      </w:r>
      <w:bookmarkStart w:id="20" w:name="_Toc15377200"/>
      <w:bookmarkStart w:id="21" w:name="_Toc15396601"/>
    </w:p>
    <w:p>
      <w:pPr>
        <w:pStyle w:val="6"/>
        <w:overflowPunct w:val="0"/>
        <w:adjustRightInd w:val="0"/>
        <w:snapToGrid w:val="0"/>
        <w:spacing w:before="0" w:beforeLines="0" w:line="540" w:lineRule="exact"/>
        <w:ind w:left="0" w:firstLine="640" w:firstLineChars="200"/>
        <w:outlineLvl w:val="2"/>
        <w:rPr>
          <w:rFonts w:hint="eastAsia" w:ascii="黑体" w:eastAsia="黑体" w:cs="仿宋"/>
          <w:sz w:val="32"/>
          <w:szCs w:val="32"/>
        </w:rPr>
      </w:pPr>
      <w:r>
        <w:rPr>
          <w:rFonts w:hint="eastAsia" w:ascii="黑体" w:eastAsia="黑体"/>
          <w:color w:val="000000"/>
          <w:sz w:val="32"/>
          <w:szCs w:val="32"/>
        </w:rPr>
        <w:t>二、机</w:t>
      </w:r>
      <w:r>
        <w:rPr>
          <w:rStyle w:val="24"/>
          <w:rFonts w:hint="eastAsia" w:ascii="黑体" w:eastAsia="黑体"/>
          <w:b w:val="0"/>
          <w:bCs w:val="0"/>
        </w:rPr>
        <w:t>构设置</w:t>
      </w:r>
      <w:bookmarkEnd w:id="20"/>
      <w:bookmarkEnd w:id="21"/>
    </w:p>
    <w:p>
      <w:pPr>
        <w:pStyle w:val="6"/>
        <w:overflowPunct w:val="0"/>
        <w:adjustRightInd w:val="0"/>
        <w:snapToGrid w:val="0"/>
        <w:spacing w:before="0" w:beforeLines="0" w:line="540" w:lineRule="exact"/>
        <w:ind w:left="0" w:firstLine="640" w:firstLineChars="200"/>
        <w:outlineLvl w:val="2"/>
        <w:rPr>
          <w:rFonts w:cs="仿宋"/>
          <w:color w:val="000000"/>
          <w:sz w:val="32"/>
          <w:szCs w:val="32"/>
        </w:rPr>
      </w:pPr>
      <w:r>
        <w:rPr>
          <w:rFonts w:hint="eastAsia" w:ascii="仿宋_GB2312" w:eastAsia="仿宋_GB2312" w:cs="仿宋"/>
          <w:sz w:val="32"/>
          <w:szCs w:val="32"/>
        </w:rPr>
        <w:t>茂县人民政府办公室下属二级单位2个，其中行政单位1个，参照公务员法管理的事业单位0个，其他事业单位1个。</w:t>
      </w:r>
    </w:p>
    <w:p>
      <w:pPr>
        <w:pStyle w:val="6"/>
        <w:overflowPunct w:val="0"/>
        <w:adjustRightInd w:val="0"/>
        <w:snapToGrid w:val="0"/>
        <w:spacing w:before="0" w:beforeLines="0" w:line="540" w:lineRule="exact"/>
        <w:ind w:left="0" w:firstLine="640" w:firstLineChars="200"/>
        <w:outlineLvl w:val="2"/>
        <w:rPr>
          <w:rFonts w:cs="仿宋"/>
          <w:color w:val="000000"/>
          <w:sz w:val="32"/>
          <w:szCs w:val="32"/>
        </w:rPr>
      </w:pPr>
      <w:r>
        <w:rPr>
          <w:rFonts w:hint="eastAsia" w:cs="仿宋"/>
          <w:color w:val="000000"/>
          <w:sz w:val="32"/>
          <w:szCs w:val="32"/>
        </w:rPr>
        <w:t>纳入茂县人民政府办公室201</w:t>
      </w:r>
      <w:r>
        <w:rPr>
          <w:rFonts w:cs="仿宋"/>
          <w:color w:val="000000"/>
          <w:sz w:val="32"/>
          <w:szCs w:val="32"/>
        </w:rPr>
        <w:t>9</w:t>
      </w:r>
      <w:r>
        <w:rPr>
          <w:rFonts w:hint="eastAsia" w:cs="仿宋"/>
          <w:color w:val="000000"/>
          <w:sz w:val="32"/>
          <w:szCs w:val="32"/>
        </w:rPr>
        <w:t>年度部门决算编制范围的二级预算单位包括：</w:t>
      </w:r>
    </w:p>
    <w:p>
      <w:pPr>
        <w:pStyle w:val="6"/>
        <w:overflowPunct w:val="0"/>
        <w:adjustRightInd w:val="0"/>
        <w:snapToGrid w:val="0"/>
        <w:spacing w:before="0" w:beforeLines="0" w:line="540" w:lineRule="exact"/>
        <w:ind w:left="0" w:firstLine="640" w:firstLineChars="200"/>
        <w:outlineLvl w:val="2"/>
        <w:rPr>
          <w:rFonts w:cs="仿宋"/>
          <w:color w:val="000000"/>
          <w:sz w:val="32"/>
          <w:szCs w:val="32"/>
        </w:rPr>
      </w:pPr>
      <w:r>
        <w:rPr>
          <w:rFonts w:cs="仿宋"/>
          <w:color w:val="000000"/>
          <w:sz w:val="32"/>
          <w:szCs w:val="32"/>
        </w:rPr>
        <w:t>1.</w:t>
      </w:r>
      <w:r>
        <w:rPr>
          <w:rFonts w:hint="eastAsia" w:cs="仿宋"/>
          <w:color w:val="000000"/>
          <w:sz w:val="32"/>
          <w:szCs w:val="32"/>
        </w:rPr>
        <w:t>四川省阿坝州茂县人民政府办公室机关</w:t>
      </w:r>
    </w:p>
    <w:p>
      <w:pPr>
        <w:pStyle w:val="6"/>
        <w:overflowPunct w:val="0"/>
        <w:adjustRightInd w:val="0"/>
        <w:snapToGrid w:val="0"/>
        <w:spacing w:before="0" w:beforeLines="0" w:line="540" w:lineRule="exact"/>
        <w:ind w:left="0" w:firstLine="640" w:firstLineChars="200"/>
        <w:outlineLvl w:val="2"/>
        <w:rPr>
          <w:rFonts w:cs="仿宋"/>
          <w:color w:val="000000"/>
          <w:sz w:val="32"/>
          <w:szCs w:val="32"/>
        </w:rPr>
      </w:pPr>
      <w:r>
        <w:rPr>
          <w:rFonts w:cs="仿宋"/>
          <w:color w:val="000000"/>
          <w:sz w:val="32"/>
          <w:szCs w:val="32"/>
        </w:rPr>
        <w:t>2.</w:t>
      </w:r>
      <w:r>
        <w:rPr>
          <w:rFonts w:hint="eastAsia" w:cs="仿宋"/>
          <w:color w:val="000000"/>
          <w:sz w:val="32"/>
          <w:szCs w:val="32"/>
        </w:rPr>
        <w:t>四川省阿坝州茂县人民防空办公室</w:t>
      </w:r>
    </w:p>
    <w:p>
      <w:pPr>
        <w:pStyle w:val="6"/>
        <w:overflowPunct w:val="0"/>
        <w:adjustRightInd w:val="0"/>
        <w:snapToGrid w:val="0"/>
        <w:spacing w:before="0" w:beforeLines="0" w:line="540" w:lineRule="exact"/>
        <w:ind w:left="0" w:firstLine="640" w:firstLineChars="200"/>
        <w:outlineLvl w:val="2"/>
        <w:rPr>
          <w:rFonts w:cs="仿宋"/>
          <w:color w:val="000000"/>
          <w:sz w:val="32"/>
          <w:szCs w:val="32"/>
        </w:rPr>
      </w:pPr>
    </w:p>
    <w:p>
      <w:pPr>
        <w:pStyle w:val="2"/>
        <w:overflowPunct w:val="0"/>
        <w:spacing w:before="0" w:after="0" w:line="576" w:lineRule="exact"/>
        <w:ind w:left="0"/>
        <w:jc w:val="center"/>
        <w:rPr>
          <w:rFonts w:hint="eastAsia" w:ascii="方正小标宋简体" w:eastAsia="方正小标宋简体"/>
          <w:b w:val="0"/>
          <w:bCs w:val="0"/>
          <w:kern w:val="44"/>
          <w:sz w:val="44"/>
          <w:szCs w:val="44"/>
        </w:rPr>
      </w:pPr>
      <w:bookmarkStart w:id="22" w:name="_Toc15396602"/>
      <w:bookmarkStart w:id="23" w:name="_Toc15377204"/>
      <w:r>
        <w:rPr>
          <w:rFonts w:hint="eastAsia" w:ascii="方正小标宋简体" w:eastAsia="方正小标宋简体"/>
          <w:b w:val="0"/>
          <w:bCs w:val="0"/>
        </w:rPr>
        <w:t>第二部分</w:t>
      </w:r>
      <w:r>
        <w:rPr>
          <w:rFonts w:ascii="方正小标宋简体" w:eastAsia="方正小标宋简体"/>
          <w:b w:val="0"/>
          <w:bCs w:val="0"/>
        </w:rPr>
        <w:t xml:space="preserve">  </w:t>
      </w:r>
      <w:r>
        <w:rPr>
          <w:rFonts w:hint="eastAsia" w:ascii="方正小标宋简体" w:eastAsia="方正小标宋简体"/>
          <w:b w:val="0"/>
          <w:bCs w:val="0"/>
          <w:kern w:val="44"/>
          <w:sz w:val="44"/>
          <w:szCs w:val="44"/>
        </w:rPr>
        <w:t>2019年度部门决算情况说明</w:t>
      </w:r>
      <w:bookmarkEnd w:id="22"/>
      <w:bookmarkEnd w:id="23"/>
    </w:p>
    <w:p>
      <w:pPr>
        <w:overflowPunct w:val="0"/>
        <w:spacing w:line="576" w:lineRule="exact"/>
      </w:pPr>
    </w:p>
    <w:p>
      <w:pPr>
        <w:pStyle w:val="29"/>
        <w:numPr>
          <w:ilvl w:val="0"/>
          <w:numId w:val="1"/>
        </w:numPr>
        <w:overflowPunct w:val="0"/>
        <w:spacing w:line="576" w:lineRule="exact"/>
        <w:ind w:firstLineChars="0"/>
        <w:outlineLvl w:val="1"/>
        <w:rPr>
          <w:rStyle w:val="24"/>
          <w:rFonts w:ascii="黑体" w:eastAsia="黑体"/>
          <w:b w:val="0"/>
        </w:rPr>
      </w:pPr>
      <w:bookmarkStart w:id="24" w:name="_Toc15377205"/>
      <w:bookmarkStart w:id="25" w:name="_Toc15396603"/>
      <w:r>
        <w:rPr>
          <w:rFonts w:hint="eastAsia" w:ascii="黑体" w:eastAsia="黑体"/>
          <w:color w:val="000000"/>
          <w:sz w:val="32"/>
          <w:szCs w:val="32"/>
        </w:rPr>
        <w:t>收</w:t>
      </w:r>
      <w:r>
        <w:rPr>
          <w:rStyle w:val="24"/>
          <w:rFonts w:hint="eastAsia" w:ascii="黑体" w:eastAsia="黑体"/>
          <w:b w:val="0"/>
        </w:rPr>
        <w:t>入支出决算总体情况说明</w:t>
      </w:r>
      <w:bookmarkEnd w:id="24"/>
      <w:bookmarkEnd w:id="25"/>
    </w:p>
    <w:p>
      <w:pPr>
        <w:overflowPunct w:val="0"/>
        <w:spacing w:line="576" w:lineRule="exact"/>
        <w:ind w:firstLine="640" w:firstLineChars="200"/>
        <w:rPr>
          <w:rFonts w:hint="eastAsia" w:ascii="仿宋_GB2312" w:eastAsia="仿宋_GB2312" w:cs="仿宋"/>
          <w:color w:val="000000"/>
          <w:sz w:val="32"/>
          <w:szCs w:val="32"/>
        </w:rPr>
      </w:pPr>
      <w:r>
        <w:rPr>
          <w:rFonts w:hint="eastAsia" w:ascii="仿宋_GB2312" w:eastAsia="仿宋_GB2312" w:cs="仿宋"/>
          <w:color w:val="000000"/>
          <w:sz w:val="32"/>
          <w:szCs w:val="32"/>
        </w:rPr>
        <w:t>2019年度收入、支出总计1447.24万元。与2018年相比，收、支总计各增加299.24万元，增长26.06%。主要变动原因：1.政策性调整基本资标准，2.本年度</w:t>
      </w:r>
      <w:r>
        <w:rPr>
          <w:rFonts w:hint="eastAsia" w:ascii="仿宋_GB2312" w:eastAsia="仿宋_GB2312" w:cs="仿宋"/>
          <w:sz w:val="32"/>
          <w:szCs w:val="32"/>
        </w:rPr>
        <w:t>增加专项支出购买巨灾险，3.</w:t>
      </w:r>
      <w:r>
        <w:rPr>
          <w:rFonts w:hint="eastAsia" w:ascii="仿宋_GB2312" w:eastAsia="仿宋_GB2312"/>
          <w:color w:val="000000"/>
          <w:sz w:val="32"/>
          <w:szCs w:val="32"/>
        </w:rPr>
        <w:t>增加电子政务外网建设租用费，增加车辆租用费</w:t>
      </w:r>
      <w:r>
        <w:rPr>
          <w:rFonts w:hint="eastAsia" w:ascii="仿宋_GB2312" w:eastAsia="仿宋_GB2312" w:cs="仿宋"/>
          <w:sz w:val="32"/>
          <w:szCs w:val="32"/>
        </w:rPr>
        <w:t>。</w:t>
      </w:r>
    </w:p>
    <w:p>
      <w:pPr>
        <w:overflowPunct w:val="0"/>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（图1：收、支决算总计变动情况图）（柱状图）</w:t>
      </w:r>
    </w:p>
    <w:p>
      <w:pPr>
        <w:overflowPunct w:val="0"/>
        <w:ind w:firstLine="1575" w:firstLineChars="750"/>
        <w:rPr>
          <w:b/>
          <w:bCs/>
        </w:rPr>
      </w:pPr>
      <w:r>
        <w:object>
          <v:shape id="_x0000_i1025" o:spt="75" type="#_x0000_t75" style="height:183pt;width:333pt;" o:ole="t" filled="f" o:preferrelative="t" stroked="f" coordsize="21600,21600">
            <v:path/>
            <v:fill on="f" focussize="0,0"/>
            <v:stroke on="f" color="#000000"/>
            <v:imagedata r:id="rId7" o:title="7834525441601019359824"/>
            <o:lock v:ext="edit" aspectratio="t"/>
            <w10:wrap type="none"/>
            <w10:anchorlock/>
          </v:shape>
          <o:OLEObject Type="Embed" ProgID="Package" ShapeID="_x0000_i1025" DrawAspect="Icon" ObjectID="_1468075725" r:id="rId6">
            <o:LockedField>false</o:LockedField>
          </o:OLEObject>
        </w:object>
      </w:r>
    </w:p>
    <w:p>
      <w:pPr>
        <w:pStyle w:val="29"/>
        <w:numPr>
          <w:ilvl w:val="0"/>
          <w:numId w:val="1"/>
        </w:numPr>
        <w:overflowPunct w:val="0"/>
        <w:spacing w:line="576" w:lineRule="exact"/>
        <w:ind w:firstLineChars="0"/>
        <w:outlineLvl w:val="1"/>
        <w:rPr>
          <w:rStyle w:val="24"/>
          <w:rFonts w:ascii="黑体" w:eastAsia="黑体"/>
          <w:b w:val="0"/>
        </w:rPr>
      </w:pPr>
      <w:bookmarkStart w:id="26" w:name="_Toc15377206"/>
      <w:bookmarkStart w:id="27" w:name="_Toc15396604"/>
      <w:r>
        <w:rPr>
          <w:rFonts w:hint="eastAsia" w:ascii="黑体" w:eastAsia="黑体"/>
          <w:color w:val="000000"/>
          <w:sz w:val="32"/>
          <w:szCs w:val="32"/>
        </w:rPr>
        <w:t>收</w:t>
      </w:r>
      <w:r>
        <w:rPr>
          <w:rStyle w:val="24"/>
          <w:rFonts w:hint="eastAsia" w:ascii="黑体" w:eastAsia="黑体"/>
          <w:b w:val="0"/>
        </w:rPr>
        <w:t>入决算情况说明</w:t>
      </w:r>
      <w:bookmarkEnd w:id="26"/>
      <w:bookmarkEnd w:id="27"/>
    </w:p>
    <w:p>
      <w:pPr>
        <w:overflowPunct w:val="0"/>
        <w:spacing w:line="576" w:lineRule="exact"/>
        <w:ind w:firstLine="640" w:firstLineChars="200"/>
        <w:rPr>
          <w:rFonts w:hint="eastAsia" w:ascii="仿宋_GB2312" w:eastAsia="仿宋_GB2312" w:cs="仿宋"/>
          <w:color w:val="000000"/>
          <w:sz w:val="32"/>
          <w:szCs w:val="32"/>
        </w:rPr>
      </w:pPr>
      <w:r>
        <w:rPr>
          <w:rFonts w:hint="eastAsia" w:ascii="仿宋_GB2312" w:eastAsia="仿宋_GB2312" w:cs="仿宋"/>
          <w:color w:val="000000"/>
          <w:sz w:val="32"/>
          <w:szCs w:val="32"/>
        </w:rPr>
        <w:t>2019年本年收入合计1442.15万元，其中：一般公共预算财政拨款收入1242.15万元，占86.13%；政府性基金预算财政拨款收入200万元，占13.87%；上级补助收入0万元，占0%；事业收入0万元，占0%；经营收入0万元，占0%；附属单位上缴收入0万元，占0%；其他收入0万元，占0%。</w:t>
      </w:r>
    </w:p>
    <w:p>
      <w:pPr>
        <w:overflowPunct w:val="0"/>
        <w:spacing w:line="576" w:lineRule="exact"/>
        <w:ind w:firstLine="640" w:firstLineChars="200"/>
        <w:rPr>
          <w:rFonts w:hint="eastAsia" w:ascii="仿宋_GB2312" w:eastAsia="仿宋_GB2312" w:cs="仿宋"/>
          <w:color w:val="000000"/>
          <w:sz w:val="32"/>
          <w:szCs w:val="32"/>
        </w:rPr>
      </w:pPr>
      <w:r>
        <w:rPr>
          <w:rFonts w:hint="eastAsia" w:ascii="仿宋_GB2312" w:eastAsia="仿宋_GB2312" w:cs="仿宋"/>
          <w:color w:val="000000"/>
          <w:sz w:val="32"/>
          <w:szCs w:val="32"/>
        </w:rPr>
        <w:t>（图2：收入决算结构图）（饼状图）</w:t>
      </w:r>
    </w:p>
    <w:p>
      <w:pPr>
        <w:overflowPunct w:val="0"/>
        <w:spacing w:line="600" w:lineRule="exact"/>
        <w:ind w:firstLine="630" w:firstLineChars="300"/>
        <w:rPr>
          <w:rStyle w:val="24"/>
          <w:rFonts w:ascii="黑体" w:eastAsia="黑体"/>
          <w:b w:val="0"/>
        </w:rPr>
      </w:pPr>
      <w:r>
        <w:pict>
          <v:shape id="_x0000_s1026" o:spid="_x0000_s1026" o:spt="75" type="#_x0000_t75" style="position:absolute;left:0pt;margin-left:15.7pt;margin-top:110.9pt;height:128.2pt;width:270.7pt;mso-position-vertical-relative:page;mso-wrap-distance-bottom:0pt;mso-wrap-distance-top:0pt;z-index:251659264;mso-width-relative:page;mso-height-relative:page;" o:ole="t" filled="f" o:preferrelative="t" stroked="f" coordsize="21600,21600">
            <v:path/>
            <v:fill on="f" focussize="0,0"/>
            <v:stroke on="f" color="#000000"/>
            <v:imagedata r:id="rId9" o:title="6471373841601019359834"/>
            <o:lock v:ext="edit" aspectratio="t"/>
            <w10:wrap type="topAndBottom"/>
          </v:shape>
          <o:OLEObject Type="Embed" ProgID="Package" ShapeID="_x0000_s1026" DrawAspect="Icon" ObjectID="_1468075726" r:id="rId8">
            <o:LockedField>false</o:LockedField>
          </o:OLEObject>
        </w:pict>
      </w:r>
      <w:bookmarkStart w:id="28" w:name="_Toc15396605"/>
      <w:bookmarkStart w:id="29" w:name="_Toc15377207"/>
      <w:r>
        <w:rPr>
          <w:rFonts w:ascii="黑体" w:eastAsia="黑体"/>
          <w:color w:val="000000"/>
          <w:sz w:val="32"/>
          <w:szCs w:val="32"/>
        </w:rPr>
        <w:t>三、</w:t>
      </w:r>
      <w:r>
        <w:rPr>
          <w:rFonts w:hint="eastAsia" w:ascii="黑体" w:eastAsia="黑体"/>
          <w:color w:val="000000"/>
          <w:sz w:val="32"/>
          <w:szCs w:val="32"/>
        </w:rPr>
        <w:t>支</w:t>
      </w:r>
      <w:r>
        <w:rPr>
          <w:rStyle w:val="24"/>
          <w:rFonts w:hint="eastAsia" w:ascii="黑体" w:eastAsia="黑体"/>
          <w:b w:val="0"/>
        </w:rPr>
        <w:t>出决算情况说明</w:t>
      </w:r>
      <w:bookmarkEnd w:id="28"/>
      <w:bookmarkEnd w:id="29"/>
    </w:p>
    <w:p>
      <w:pPr>
        <w:overflowPunct w:val="0"/>
        <w:spacing w:line="576" w:lineRule="exact"/>
        <w:ind w:firstLine="640" w:firstLineChars="200"/>
        <w:rPr>
          <w:rFonts w:hint="eastAsia" w:ascii="仿宋_GB2312" w:eastAsia="仿宋_GB2312" w:cs="仿宋"/>
          <w:color w:val="000000"/>
          <w:sz w:val="32"/>
          <w:szCs w:val="32"/>
        </w:rPr>
      </w:pPr>
      <w:r>
        <w:rPr>
          <w:rFonts w:hint="eastAsia" w:ascii="仿宋_GB2312" w:eastAsia="仿宋_GB2312" w:cs="仿宋"/>
          <w:color w:val="000000"/>
          <w:sz w:val="32"/>
          <w:szCs w:val="32"/>
        </w:rPr>
        <w:t>2019年本年支出合计1428.63万元，其中：基本支出1194.18万元，占83.59%；项目支出234.45万元，占16.41%%；上缴上级支出0万元，占0%；经营支出0万元，占0%；对附属单位补助支出0万元，占0%。</w:t>
      </w:r>
    </w:p>
    <w:p>
      <w:pPr>
        <w:overflowPunct w:val="0"/>
        <w:spacing w:line="576" w:lineRule="exact"/>
        <w:ind w:firstLine="640" w:firstLineChars="200"/>
        <w:rPr>
          <w:rFonts w:hint="eastAsia" w:ascii="仿宋_GB2312" w:eastAsia="仿宋_GB2312" w:cs="仿宋"/>
          <w:color w:val="000000"/>
          <w:sz w:val="32"/>
          <w:szCs w:val="32"/>
        </w:rPr>
      </w:pPr>
      <w:r>
        <w:rPr>
          <w:rFonts w:hint="eastAsia" w:ascii="仿宋_GB2312" w:eastAsia="仿宋_GB2312" w:cs="仿宋"/>
          <w:color w:val="000000"/>
          <w:sz w:val="32"/>
          <w:szCs w:val="32"/>
        </w:rPr>
        <w:t>（图3：支出决算结构图）（饼状图）</w:t>
      </w:r>
    </w:p>
    <w:p>
      <w:pPr>
        <w:overflowPunct w:val="0"/>
        <w:spacing w:line="600" w:lineRule="exact"/>
        <w:ind w:firstLine="640" w:firstLineChars="200"/>
        <w:outlineLvl w:val="1"/>
        <w:rPr>
          <w:rFonts w:ascii="黑体" w:eastAsia="黑体"/>
          <w:color w:val="000000"/>
          <w:sz w:val="32"/>
          <w:szCs w:val="32"/>
        </w:rPr>
      </w:pPr>
      <w:bookmarkStart w:id="30" w:name="_Toc15377208"/>
      <w:bookmarkStart w:id="31" w:name="_Toc15396606"/>
      <w:r>
        <w:rPr>
          <w:rFonts w:hint="eastAsia" w:ascii="仿宋_GB2312" w:eastAsia="仿宋_GB2312" w:cs="仿宋"/>
          <w:color w:val="000000"/>
          <w:sz w:val="32"/>
          <w:szCs w:val="32"/>
        </w:rPr>
        <w:pict>
          <v:shape id="_x0000_s1027" o:spid="_x0000_s1027" o:spt="75" type="#_x0000_t75" style="position:absolute;left:0pt;margin-left:31.45pt;margin-top:422.75pt;height:134.8pt;width:307.2pt;mso-position-vertical-relative:page;mso-wrap-distance-left:8.95pt;mso-wrap-distance-right:8.95pt;z-index:251659264;mso-width-relative:page;mso-height-relative:page;" o:ole="t" filled="f" o:preferrelative="t" stroked="f" coordsize="21600,21600" wrapcoords="0 -1 0 21598 21599 21598 21599 -1 0 -1">
            <v:path/>
            <v:fill on="f" focussize="0,0"/>
            <v:stroke on="f" color="#000000"/>
            <v:imagedata r:id="rId11" o:title="294522901601019359843"/>
            <o:lock v:ext="edit" aspectratio="t"/>
            <w10:wrap type="tight"/>
          </v:shape>
          <o:OLEObject Type="Embed" ProgID="Package" ShapeID="_x0000_s1027" DrawAspect="Icon" ObjectID="_1468075727" r:id="rId10">
            <o:LockedField>false</o:LockedField>
          </o:OLEObject>
        </w:pict>
      </w:r>
    </w:p>
    <w:p>
      <w:pPr>
        <w:overflowPunct w:val="0"/>
        <w:spacing w:line="600" w:lineRule="exact"/>
        <w:ind w:firstLine="640" w:firstLineChars="200"/>
        <w:outlineLvl w:val="1"/>
        <w:rPr>
          <w:rFonts w:ascii="黑体" w:eastAsia="黑体"/>
          <w:color w:val="000000"/>
          <w:sz w:val="32"/>
          <w:szCs w:val="32"/>
        </w:rPr>
      </w:pPr>
    </w:p>
    <w:p>
      <w:pPr>
        <w:overflowPunct w:val="0"/>
        <w:spacing w:line="600" w:lineRule="exact"/>
        <w:ind w:firstLine="640" w:firstLineChars="200"/>
        <w:outlineLvl w:val="1"/>
        <w:rPr>
          <w:rFonts w:ascii="黑体" w:eastAsia="黑体"/>
          <w:color w:val="000000"/>
          <w:sz w:val="32"/>
          <w:szCs w:val="32"/>
        </w:rPr>
      </w:pPr>
    </w:p>
    <w:p>
      <w:pPr>
        <w:overflowPunct w:val="0"/>
        <w:spacing w:line="576" w:lineRule="exact"/>
        <w:ind w:firstLine="640" w:firstLineChars="200"/>
        <w:outlineLvl w:val="1"/>
        <w:rPr>
          <w:rFonts w:ascii="黑体" w:eastAsia="黑体"/>
          <w:color w:val="000000"/>
          <w:sz w:val="32"/>
          <w:szCs w:val="32"/>
        </w:rPr>
      </w:pPr>
    </w:p>
    <w:p>
      <w:pPr>
        <w:overflowPunct w:val="0"/>
        <w:spacing w:line="576" w:lineRule="exact"/>
        <w:ind w:firstLine="640" w:firstLineChars="200"/>
        <w:outlineLvl w:val="1"/>
        <w:rPr>
          <w:rFonts w:ascii="黑体" w:eastAsia="黑体"/>
          <w:color w:val="000000"/>
          <w:sz w:val="32"/>
          <w:szCs w:val="32"/>
        </w:rPr>
      </w:pPr>
    </w:p>
    <w:p>
      <w:pPr>
        <w:overflowPunct w:val="0"/>
        <w:spacing w:line="576" w:lineRule="exact"/>
        <w:ind w:firstLine="640" w:firstLineChars="200"/>
        <w:outlineLvl w:val="1"/>
        <w:rPr>
          <w:rStyle w:val="24"/>
          <w:rFonts w:ascii="黑体" w:eastAsia="黑体"/>
          <w:b w:val="0"/>
        </w:rPr>
      </w:pPr>
      <w:r>
        <w:rPr>
          <w:rFonts w:hint="eastAsia" w:ascii="黑体" w:eastAsia="黑体"/>
          <w:color w:val="000000"/>
          <w:sz w:val="32"/>
          <w:szCs w:val="32"/>
        </w:rPr>
        <w:t>四、财</w:t>
      </w:r>
      <w:r>
        <w:rPr>
          <w:rStyle w:val="24"/>
          <w:rFonts w:hint="eastAsia" w:ascii="黑体" w:eastAsia="黑体"/>
          <w:b w:val="0"/>
        </w:rPr>
        <w:t>政拨款收入支出决算总体情况说明</w:t>
      </w:r>
      <w:bookmarkEnd w:id="30"/>
      <w:bookmarkEnd w:id="31"/>
    </w:p>
    <w:p>
      <w:pPr>
        <w:overflowPunct w:val="0"/>
        <w:spacing w:line="576" w:lineRule="exact"/>
        <w:ind w:firstLine="640" w:firstLineChars="200"/>
        <w:rPr>
          <w:rFonts w:hint="eastAsia" w:ascii="仿宋_GB2312" w:eastAsia="仿宋_GB2312" w:cs="仿宋"/>
          <w:color w:val="000000"/>
          <w:sz w:val="32"/>
          <w:szCs w:val="32"/>
        </w:rPr>
      </w:pPr>
      <w:r>
        <w:rPr>
          <w:rFonts w:hint="eastAsia" w:ascii="仿宋_GB2312" w:eastAsia="仿宋_GB2312" w:cs="仿宋"/>
          <w:color w:val="000000"/>
          <w:sz w:val="32"/>
          <w:szCs w:val="32"/>
        </w:rPr>
        <w:t>2019年财政拨款收、支总计1447.24万元。与2018年相比，财政拨款收、支总计各增加299.24万元，增长26.06%%。主要变动原因是：1.政策性调整基本资标准，2.本年度增加专项支出购买巨灾险，3.增加电子政务外网建设租用费，增加车辆租用费。</w:t>
      </w:r>
    </w:p>
    <w:p>
      <w:pPr>
        <w:overflowPunct w:val="0"/>
        <w:spacing w:line="576" w:lineRule="exact"/>
        <w:ind w:firstLine="640" w:firstLineChars="200"/>
        <w:rPr>
          <w:rFonts w:hint="eastAsia" w:ascii="仿宋_GB2312" w:eastAsia="仿宋_GB2312" w:cs="仿宋"/>
          <w:color w:val="000000"/>
          <w:sz w:val="32"/>
          <w:szCs w:val="32"/>
        </w:rPr>
      </w:pPr>
      <w:r>
        <w:rPr>
          <w:rFonts w:hint="eastAsia" w:ascii="仿宋_GB2312" w:eastAsia="仿宋_GB2312" w:cs="仿宋"/>
          <w:color w:val="000000"/>
          <w:sz w:val="32"/>
          <w:szCs w:val="32"/>
        </w:rPr>
        <w:t>（图4：财政拨款收、支决算总计变动情况）（柱状图）</w:t>
      </w:r>
    </w:p>
    <w:p>
      <w:r>
        <w:object>
          <v:shape id="_x0000_i1026" o:spt="75" type="#_x0000_t75" style="height:142.45pt;width:324.7pt;" o:ole="t" filled="f" o:preferrelative="t" stroked="f" coordsize="21600,21600">
            <v:path/>
            <v:fill on="f" focussize="0,0"/>
            <v:stroke on="f" color="#000000"/>
            <v:imagedata r:id="rId13" o:title="6580388961601019359852"/>
            <o:lock v:ext="edit" aspectratio="t"/>
            <w10:wrap type="none"/>
            <w10:anchorlock/>
          </v:shape>
          <o:OLEObject Type="Embed" ProgID="Package" ShapeID="_x0000_i1026" DrawAspect="Icon" ObjectID="_1468075728" r:id="rId12">
            <o:LockedField>false</o:LockedField>
          </o:OLEObject>
        </w:object>
      </w:r>
    </w:p>
    <w:p>
      <w:pPr>
        <w:overflowPunct w:val="0"/>
        <w:spacing w:line="576" w:lineRule="exact"/>
        <w:ind w:firstLine="640" w:firstLineChars="200"/>
        <w:outlineLvl w:val="1"/>
        <w:rPr>
          <w:rStyle w:val="24"/>
          <w:rFonts w:ascii="黑体" w:eastAsia="黑体"/>
          <w:b w:val="0"/>
        </w:rPr>
      </w:pPr>
      <w:bookmarkStart w:id="32" w:name="_Toc15396607"/>
      <w:bookmarkStart w:id="33" w:name="_Toc15377209"/>
      <w:r>
        <w:rPr>
          <w:rFonts w:hint="eastAsia" w:ascii="黑体" w:eastAsia="黑体"/>
          <w:color w:val="000000"/>
          <w:sz w:val="32"/>
          <w:szCs w:val="32"/>
        </w:rPr>
        <w:t>五、</w:t>
      </w:r>
      <w:r>
        <w:rPr>
          <w:rFonts w:hint="eastAsia" w:ascii="黑体" w:eastAsia="黑体"/>
          <w:b/>
          <w:color w:val="000000"/>
          <w:sz w:val="32"/>
          <w:szCs w:val="32"/>
        </w:rPr>
        <w:t>一</w:t>
      </w:r>
      <w:r>
        <w:rPr>
          <w:rStyle w:val="24"/>
          <w:rFonts w:hint="eastAsia" w:ascii="黑体" w:eastAsia="黑体"/>
          <w:b w:val="0"/>
        </w:rPr>
        <w:t>般公共预算财政拨款支出决算情况说明</w:t>
      </w:r>
      <w:bookmarkEnd w:id="32"/>
      <w:bookmarkEnd w:id="33"/>
    </w:p>
    <w:p>
      <w:pPr>
        <w:overflowPunct w:val="0"/>
        <w:spacing w:line="576" w:lineRule="exact"/>
        <w:ind w:firstLine="642" w:firstLineChars="200"/>
        <w:outlineLvl w:val="2"/>
        <w:rPr>
          <w:rFonts w:hint="eastAsia" w:ascii="楷体_GB2312" w:eastAsia="楷体_GB2312" w:cs="楷体_GB2312"/>
          <w:b/>
          <w:bCs/>
          <w:sz w:val="32"/>
          <w:szCs w:val="32"/>
        </w:rPr>
      </w:pPr>
      <w:bookmarkStart w:id="34" w:name="_Toc15377210"/>
      <w:r>
        <w:rPr>
          <w:rFonts w:hint="eastAsia" w:ascii="仿宋" w:eastAsia="仿宋"/>
          <w:b/>
          <w:bCs/>
          <w:color w:val="000000"/>
          <w:sz w:val="32"/>
          <w:szCs w:val="32"/>
        </w:rPr>
        <w:t>（一）</w:t>
      </w:r>
      <w:r>
        <w:rPr>
          <w:rFonts w:hint="eastAsia" w:ascii="楷体_GB2312" w:eastAsia="楷体_GB2312" w:cs="楷体_GB2312"/>
          <w:b/>
          <w:bCs/>
          <w:sz w:val="32"/>
          <w:szCs w:val="32"/>
        </w:rPr>
        <w:t>一般公共预算财政拨款支出决算总体情况</w:t>
      </w:r>
      <w:bookmarkEnd w:id="34"/>
    </w:p>
    <w:p>
      <w:pPr>
        <w:overflowPunct w:val="0"/>
        <w:spacing w:line="576" w:lineRule="exact"/>
        <w:ind w:firstLine="640" w:firstLineChars="200"/>
        <w:rPr>
          <w:rFonts w:hint="eastAsia" w:ascii="仿宋_GB2312" w:eastAsia="仿宋_GB2312" w:cs="仿宋"/>
          <w:color w:val="000000"/>
          <w:sz w:val="32"/>
          <w:szCs w:val="32"/>
        </w:rPr>
      </w:pPr>
      <w:r>
        <w:rPr>
          <w:rFonts w:hint="eastAsia" w:ascii="仿宋_GB2312" w:eastAsia="仿宋_GB2312" w:cs="仿宋"/>
          <w:color w:val="000000"/>
          <w:sz w:val="32"/>
          <w:szCs w:val="32"/>
        </w:rPr>
        <w:t>2019年一般公共预算财政拨款支出1228.63万元，占本年支出合计的84.89%。与2018年相比，一般公共预算财政拨款支出增加139.57万元，增长12.81%。主要变动原因是：1.政策性调整基本资标准，2.增加电子政务外网建设租用费，增加车辆租用费。</w:t>
      </w:r>
    </w:p>
    <w:p>
      <w:pPr>
        <w:overflowPunct w:val="0"/>
        <w:spacing w:line="576" w:lineRule="exact"/>
        <w:ind w:left="0"/>
        <w:rPr>
          <w:rFonts w:hint="eastAsia" w:ascii="仿宋_GB2312" w:eastAsia="仿宋_GB2312" w:cs="仿宋"/>
          <w:color w:val="000000"/>
          <w:sz w:val="32"/>
          <w:szCs w:val="32"/>
        </w:rPr>
      </w:pPr>
      <w:r>
        <w:rPr>
          <w:rFonts w:hint="eastAsia" w:ascii="仿宋_GB2312" w:eastAsia="仿宋_GB2312" w:cs="仿宋"/>
          <w:color w:val="000000"/>
          <w:sz w:val="32"/>
          <w:szCs w:val="32"/>
        </w:rPr>
        <w:t>（图5：一般公共预算财政拨款支出决算变动情况）（柱状图）</w:t>
      </w:r>
    </w:p>
    <w:p>
      <w:pPr>
        <w:overflowPunct w:val="0"/>
        <w:spacing w:line="600" w:lineRule="exact"/>
        <w:ind w:firstLine="420" w:firstLineChars="200"/>
        <w:outlineLvl w:val="2"/>
        <w:rPr>
          <w:rFonts w:hint="eastAsia" w:ascii="楷体_GB2312" w:eastAsia="楷体_GB2312"/>
          <w:b/>
          <w:bCs/>
          <w:color w:val="000000"/>
          <w:sz w:val="32"/>
          <w:szCs w:val="32"/>
        </w:rPr>
      </w:pPr>
      <w:bookmarkStart w:id="35" w:name="_Toc15377211"/>
      <w:r>
        <w:pict>
          <v:shape id="_x0000_s1028" o:spid="_x0000_s1028" o:spt="75" type="#_x0000_t75" style="position:absolute;left:0pt;margin-left:31.45pt;margin-top:500.9pt;height:142.45pt;width:308.2pt;mso-position-vertical-relative:page;mso-wrap-distance-bottom:0pt;mso-wrap-distance-top:0pt;z-index:251659264;mso-width-relative:page;mso-height-relative:page;" o:ole="t" filled="f" o:preferrelative="t" stroked="f" coordsize="21600,21600">
            <v:path/>
            <v:fill on="f" focussize="0,0"/>
            <v:stroke on="f" color="#000000"/>
            <v:imagedata r:id="rId15" o:title="7077298851601019359861"/>
            <o:lock v:ext="edit" aspectratio="t"/>
            <w10:wrap type="topAndBottom"/>
          </v:shape>
          <o:OLEObject Type="Embed" ProgID="Package" ShapeID="_x0000_s1028" DrawAspect="Icon" ObjectID="_1468075729" r:id="rId14">
            <o:LockedField>false</o:LockedField>
          </o:OLEObject>
        </w:pict>
      </w:r>
      <w:r>
        <w:rPr>
          <w:rFonts w:hint="eastAsia" w:ascii="楷体_GB2312" w:eastAsia="楷体_GB2312"/>
          <w:b/>
          <w:color w:val="000000"/>
          <w:sz w:val="32"/>
          <w:szCs w:val="32"/>
        </w:rPr>
        <w:t>（</w:t>
      </w:r>
      <w:r>
        <w:rPr>
          <w:rFonts w:hint="eastAsia" w:ascii="楷体_GB2312" w:eastAsia="楷体_GB2312"/>
          <w:b/>
          <w:bCs/>
          <w:color w:val="000000"/>
          <w:sz w:val="32"/>
          <w:szCs w:val="32"/>
        </w:rPr>
        <w:t>二）一般公共预算财政拨款支出决算结构情况</w:t>
      </w:r>
      <w:bookmarkEnd w:id="35"/>
    </w:p>
    <w:p>
      <w:pPr>
        <w:overflowPunct w:val="0"/>
        <w:spacing w:line="576" w:lineRule="exact"/>
        <w:ind w:firstLine="640" w:firstLineChars="200"/>
        <w:rPr>
          <w:rFonts w:hint="eastAsia" w:ascii="仿宋_GB2312" w:eastAsia="仿宋_GB2312"/>
          <w:color w:val="000000"/>
          <w:sz w:val="32"/>
          <w:szCs w:val="32"/>
        </w:rPr>
      </w:pPr>
      <w:r>
        <w:rPr>
          <w:rFonts w:hint="eastAsia" w:ascii="仿宋_GB2312" w:eastAsia="仿宋_GB2312" w:cs="仿宋"/>
          <w:bCs/>
          <w:color w:val="000000"/>
          <w:sz w:val="32"/>
          <w:szCs w:val="32"/>
        </w:rPr>
        <w:t>20</w:t>
      </w:r>
      <w:r>
        <w:rPr>
          <w:rFonts w:hint="eastAsia" w:ascii="仿宋_GB2312" w:eastAsia="仿宋_GB2312" w:cs="仿宋"/>
          <w:color w:val="000000"/>
          <w:sz w:val="32"/>
          <w:szCs w:val="32"/>
        </w:rPr>
        <w:t>19</w:t>
      </w:r>
      <w:r>
        <w:rPr>
          <w:rFonts w:hint="eastAsia" w:ascii="仿宋_GB2312" w:eastAsia="仿宋_GB2312"/>
          <w:color w:val="000000"/>
          <w:sz w:val="32"/>
          <w:szCs w:val="32"/>
        </w:rPr>
        <w:t>年一般公共预算财政拨款支出1228.63万元，主要用于以下方面:</w:t>
      </w:r>
      <w:r>
        <w:rPr>
          <w:rFonts w:hint="eastAsia" w:ascii="仿宋_GB2312" w:eastAsia="仿宋_GB2312"/>
          <w:b/>
          <w:color w:val="000000"/>
          <w:sz w:val="32"/>
          <w:szCs w:val="32"/>
        </w:rPr>
        <w:t>一般公共服务（类）</w:t>
      </w:r>
      <w:r>
        <w:rPr>
          <w:rFonts w:hint="eastAsia" w:ascii="仿宋_GB2312" w:eastAsia="仿宋_GB2312"/>
          <w:color w:val="000000"/>
          <w:sz w:val="32"/>
          <w:szCs w:val="32"/>
        </w:rPr>
        <w:t>支出1027.91万元，占83.66%；</w:t>
      </w:r>
      <w:r>
        <w:rPr>
          <w:rFonts w:hint="eastAsia" w:ascii="仿宋_GB2312" w:eastAsia="仿宋_GB2312"/>
          <w:b/>
          <w:bCs/>
          <w:color w:val="000000"/>
          <w:sz w:val="32"/>
          <w:szCs w:val="32"/>
        </w:rPr>
        <w:t>国防（类）</w:t>
      </w:r>
      <w:r>
        <w:rPr>
          <w:rFonts w:hint="eastAsia" w:ascii="仿宋_GB2312" w:eastAsia="仿宋_GB2312"/>
          <w:color w:val="000000"/>
          <w:sz w:val="32"/>
          <w:szCs w:val="32"/>
        </w:rPr>
        <w:t>支出5.1万元，占0.41%，</w:t>
      </w:r>
      <w:r>
        <w:rPr>
          <w:rFonts w:hint="eastAsia" w:ascii="仿宋_GB2312" w:eastAsia="仿宋_GB2312"/>
          <w:b/>
          <w:color w:val="000000"/>
          <w:sz w:val="32"/>
          <w:szCs w:val="32"/>
        </w:rPr>
        <w:t>社会保障和就业（类）</w:t>
      </w:r>
      <w:r>
        <w:rPr>
          <w:rFonts w:hint="eastAsia" w:ascii="仿宋_GB2312" w:eastAsia="仿宋_GB2312"/>
          <w:color w:val="000000"/>
          <w:sz w:val="32"/>
          <w:szCs w:val="32"/>
        </w:rPr>
        <w:t>支出90.37万元，占7.35%；</w:t>
      </w:r>
      <w:r>
        <w:rPr>
          <w:rFonts w:hint="eastAsia" w:ascii="仿宋_GB2312" w:eastAsia="仿宋_GB2312"/>
          <w:b/>
          <w:bCs/>
          <w:color w:val="000000"/>
          <w:sz w:val="32"/>
          <w:szCs w:val="32"/>
        </w:rPr>
        <w:t>卫生健康（类）</w:t>
      </w:r>
      <w:r>
        <w:rPr>
          <w:rFonts w:hint="eastAsia" w:ascii="仿宋_GB2312" w:eastAsia="仿宋_GB2312"/>
          <w:color w:val="000000"/>
          <w:sz w:val="32"/>
          <w:szCs w:val="32"/>
        </w:rPr>
        <w:t>支出44.91万元，占3.66%；</w:t>
      </w:r>
      <w:r>
        <w:rPr>
          <w:rFonts w:hint="eastAsia" w:ascii="仿宋_GB2312" w:eastAsia="仿宋_GB2312"/>
          <w:b/>
          <w:bCs/>
          <w:color w:val="000000"/>
          <w:sz w:val="32"/>
          <w:szCs w:val="32"/>
        </w:rPr>
        <w:t>住房保障（类）</w:t>
      </w:r>
      <w:r>
        <w:rPr>
          <w:rFonts w:hint="eastAsia" w:ascii="仿宋_GB2312" w:eastAsia="仿宋_GB2312"/>
          <w:color w:val="000000"/>
          <w:sz w:val="32"/>
          <w:szCs w:val="32"/>
        </w:rPr>
        <w:t>支出59.66万元，占4.86%；</w:t>
      </w:r>
      <w:r>
        <w:rPr>
          <w:rFonts w:hint="eastAsia" w:ascii="仿宋_GB2312" w:eastAsia="仿宋_GB2312"/>
          <w:b/>
          <w:bCs/>
          <w:color w:val="000000"/>
          <w:sz w:val="32"/>
          <w:szCs w:val="32"/>
        </w:rPr>
        <w:t>农林水（类）</w:t>
      </w:r>
      <w:r>
        <w:rPr>
          <w:rFonts w:hint="eastAsia" w:ascii="仿宋_GB2312" w:eastAsia="仿宋_GB2312"/>
          <w:color w:val="000000"/>
          <w:sz w:val="32"/>
          <w:szCs w:val="32"/>
        </w:rPr>
        <w:t>支出0.68万元，占0.06%。</w:t>
      </w:r>
    </w:p>
    <w:p>
      <w:pPr>
        <w:overflowPunct w:val="0"/>
        <w:spacing w:line="576" w:lineRule="exact"/>
        <w:ind w:firstLine="640"/>
        <w:rPr>
          <w:rFonts w:hint="eastAsia" w:ascii="仿宋_GB2312" w:eastAsia="仿宋_GB2312"/>
          <w:color w:val="000000"/>
          <w:sz w:val="32"/>
          <w:szCs w:val="32"/>
        </w:rPr>
      </w:pPr>
      <w:r>
        <w:rPr>
          <w:rFonts w:hint="eastAsia" w:ascii="仿宋_GB2312" w:eastAsia="仿宋_GB2312"/>
          <w:color w:val="000000"/>
          <w:sz w:val="32"/>
          <w:szCs w:val="32"/>
        </w:rPr>
        <w:t>（图6：一般公共预算财政拨款支出决算结构）（饼状图）</w:t>
      </w:r>
      <w:r>
        <w:pict>
          <v:shape id="_x0000_s1029" o:spid="_x0000_s1029" o:spt="75" type="#_x0000_t75" style="position:absolute;left:0pt;margin-left:31.45pt;margin-top:251.25pt;height:135.95pt;width:324.7pt;mso-position-vertical-relative:page;mso-wrap-distance-bottom:0pt;mso-wrap-distance-top:0pt;z-index:251659264;mso-width-relative:page;mso-height-relative:page;" o:ole="t" filled="f" o:preferrelative="t" stroked="f" coordsize="21600,21600">
            <v:path/>
            <v:fill on="f" focussize="0,0"/>
            <v:stroke on="f" color="#000000"/>
            <v:imagedata r:id="rId17" o:title="4354488481601019359870"/>
            <o:lock v:ext="edit" aspectratio="t"/>
            <w10:wrap type="topAndBottom"/>
          </v:shape>
          <o:OLEObject Type="Embed" ProgID="Package" ShapeID="_x0000_s1029" DrawAspect="Icon" ObjectID="_1468075730" r:id="rId16">
            <o:LockedField>false</o:LockedField>
          </o:OLEObject>
        </w:pict>
      </w:r>
    </w:p>
    <w:p>
      <w:pPr>
        <w:overflowPunct w:val="0"/>
        <w:spacing w:line="576" w:lineRule="exact"/>
        <w:ind w:firstLine="642" w:firstLineChars="200"/>
        <w:outlineLvl w:val="2"/>
        <w:rPr>
          <w:rFonts w:hint="eastAsia" w:ascii="楷体_GB2312" w:eastAsia="楷体_GB2312"/>
          <w:b/>
          <w:color w:val="000000"/>
          <w:sz w:val="32"/>
          <w:szCs w:val="32"/>
        </w:rPr>
      </w:pPr>
      <w:bookmarkStart w:id="36" w:name="_Toc15377212"/>
      <w:r>
        <w:rPr>
          <w:rFonts w:hint="eastAsia" w:ascii="楷体_GB2312" w:eastAsia="楷体_GB2312"/>
          <w:b/>
          <w:color w:val="000000"/>
          <w:sz w:val="32"/>
          <w:szCs w:val="32"/>
        </w:rPr>
        <w:t>（三）一般公共预算财政拨款支出决算具体情况</w:t>
      </w:r>
      <w:bookmarkEnd w:id="36"/>
    </w:p>
    <w:p>
      <w:pPr>
        <w:overflowPunct w:val="0"/>
        <w:spacing w:line="576" w:lineRule="exact"/>
        <w:ind w:firstLine="642" w:firstLineChars="200"/>
        <w:outlineLvl w:val="2"/>
        <w:rPr>
          <w:rFonts w:hint="eastAsia" w:ascii="仿宋_GB2312" w:eastAsia="仿宋_GB2312"/>
          <w:color w:val="FF0000"/>
          <w:sz w:val="32"/>
          <w:szCs w:val="32"/>
        </w:rPr>
      </w:pPr>
      <w:bookmarkStart w:id="37" w:name="_Toc15378460"/>
      <w:bookmarkStart w:id="38" w:name="_Toc15377213"/>
      <w:bookmarkStart w:id="39" w:name="_Toc15377444"/>
      <w:r>
        <w:rPr>
          <w:rFonts w:hint="eastAsia" w:ascii="仿宋_GB2312" w:eastAsia="仿宋_GB2312"/>
          <w:b/>
          <w:color w:val="000000"/>
          <w:sz w:val="32"/>
          <w:szCs w:val="32"/>
        </w:rPr>
        <w:t>2019年般公共预算支出决算数为1228.63万元</w:t>
      </w:r>
      <w:r>
        <w:rPr>
          <w:rFonts w:hint="eastAsia" w:ascii="仿宋_GB2312" w:eastAsia="仿宋_GB2312"/>
          <w:color w:val="000000"/>
          <w:sz w:val="32"/>
          <w:szCs w:val="32"/>
        </w:rPr>
        <w:t>，</w:t>
      </w:r>
      <w:r>
        <w:rPr>
          <w:rStyle w:val="21"/>
          <w:rFonts w:hint="eastAsia" w:ascii="仿宋_GB2312" w:eastAsia="仿宋_GB2312"/>
          <w:bCs/>
          <w:color w:val="000000"/>
          <w:sz w:val="32"/>
          <w:szCs w:val="32"/>
        </w:rPr>
        <w:t>完成预算98.5%，结转18.61万元，用于下一年度项目开支。其中：</w:t>
      </w:r>
      <w:bookmarkEnd w:id="37"/>
      <w:bookmarkEnd w:id="38"/>
      <w:bookmarkEnd w:id="39"/>
    </w:p>
    <w:p>
      <w:pPr>
        <w:overflowPunct w:val="0"/>
        <w:spacing w:line="576" w:lineRule="exact"/>
        <w:ind w:firstLine="642" w:firstLineChars="200"/>
        <w:rPr>
          <w:rStyle w:val="21"/>
          <w:rFonts w:hint="eastAsia" w:ascii="仿宋_GB2312" w:eastAsia="仿宋_GB2312"/>
          <w:b w:val="0"/>
          <w:bCs/>
          <w:color w:val="000000"/>
          <w:sz w:val="32"/>
          <w:szCs w:val="32"/>
        </w:rPr>
      </w:pPr>
      <w:r>
        <w:rPr>
          <w:rStyle w:val="21"/>
          <w:rFonts w:hint="eastAsia" w:ascii="仿宋_GB2312" w:eastAsia="仿宋_GB2312"/>
          <w:bCs/>
          <w:color w:val="000000"/>
          <w:sz w:val="32"/>
          <w:szCs w:val="32"/>
        </w:rPr>
        <w:t>1.</w:t>
      </w:r>
      <w:r>
        <w:rPr>
          <w:rStyle w:val="21"/>
          <w:rFonts w:hint="eastAsia" w:ascii="仿宋_GB2312" w:eastAsia="仿宋_GB2312" w:cs="仿宋"/>
          <w:color w:val="000000"/>
          <w:sz w:val="32"/>
          <w:szCs w:val="32"/>
        </w:rPr>
        <w:t>一般公共服务（类）政府办公厅（室）及相关事务（款）行政运行（项）</w:t>
      </w:r>
      <w:r>
        <w:rPr>
          <w:rStyle w:val="21"/>
          <w:rFonts w:hint="eastAsia" w:ascii="仿宋_GB2312" w:eastAsia="仿宋_GB2312"/>
          <w:bCs/>
          <w:color w:val="000000"/>
          <w:sz w:val="32"/>
          <w:szCs w:val="32"/>
        </w:rPr>
        <w:t>:</w:t>
      </w:r>
      <w:r>
        <w:rPr>
          <w:rStyle w:val="21"/>
          <w:rFonts w:hint="eastAsia" w:ascii="仿宋_GB2312" w:eastAsia="仿宋_GB2312"/>
          <w:b w:val="0"/>
          <w:bCs/>
          <w:color w:val="000000"/>
          <w:sz w:val="32"/>
          <w:szCs w:val="32"/>
        </w:rPr>
        <w:t>支出决算为936.87万元，完成预算98.5%，，决算数小于预算数的主要原因是</w:t>
      </w:r>
      <w:r>
        <w:rPr>
          <w:rStyle w:val="21"/>
          <w:rFonts w:hint="eastAsia" w:ascii="仿宋_GB2312" w:eastAsia="仿宋_GB2312"/>
          <w:b w:val="0"/>
          <w:color w:val="000000"/>
          <w:sz w:val="32"/>
          <w:szCs w:val="32"/>
        </w:rPr>
        <w:t>结转18.61万元用于下一年度项目开支</w:t>
      </w:r>
      <w:r>
        <w:rPr>
          <w:rStyle w:val="21"/>
          <w:rFonts w:hint="eastAsia" w:ascii="仿宋_GB2312" w:eastAsia="仿宋_GB2312"/>
          <w:b w:val="0"/>
          <w:bCs/>
          <w:color w:val="000000"/>
          <w:sz w:val="32"/>
          <w:szCs w:val="32"/>
        </w:rPr>
        <w:t>。</w:t>
      </w:r>
    </w:p>
    <w:p>
      <w:pPr>
        <w:overflowPunct w:val="0"/>
        <w:spacing w:line="576" w:lineRule="exact"/>
        <w:ind w:firstLine="642" w:firstLineChars="200"/>
        <w:rPr>
          <w:rStyle w:val="21"/>
          <w:rFonts w:hint="eastAsia" w:ascii="仿宋_GB2312" w:eastAsia="仿宋_GB2312"/>
          <w:b w:val="0"/>
          <w:bCs/>
          <w:color w:val="000000"/>
          <w:sz w:val="32"/>
          <w:szCs w:val="32"/>
        </w:rPr>
      </w:pPr>
      <w:r>
        <w:rPr>
          <w:rFonts w:hint="eastAsia" w:ascii="仿宋_GB2312" w:eastAsia="仿宋_GB2312"/>
          <w:b/>
          <w:color w:val="000000"/>
          <w:sz w:val="32"/>
          <w:szCs w:val="32"/>
        </w:rPr>
        <w:t>2.</w:t>
      </w:r>
      <w:r>
        <w:rPr>
          <w:rStyle w:val="21"/>
          <w:rFonts w:hint="eastAsia" w:ascii="仿宋_GB2312" w:eastAsia="仿宋_GB2312" w:cs="仿宋"/>
          <w:color w:val="000000"/>
          <w:sz w:val="32"/>
          <w:szCs w:val="32"/>
        </w:rPr>
        <w:t>一般公共服务（类）政府办公厅（室）及相关事务（款）一般行政管理事务（项）</w:t>
      </w:r>
      <w:r>
        <w:rPr>
          <w:rStyle w:val="21"/>
          <w:rFonts w:hint="eastAsia" w:ascii="仿宋_GB2312" w:eastAsia="仿宋_GB2312"/>
          <w:b w:val="0"/>
          <w:bCs/>
          <w:color w:val="000000"/>
          <w:sz w:val="32"/>
          <w:szCs w:val="32"/>
        </w:rPr>
        <w:t>支出决算为28.67万元，完成预算100%，</w:t>
      </w:r>
      <w:r>
        <w:rPr>
          <w:rStyle w:val="21"/>
          <w:rFonts w:hint="eastAsia" w:ascii="仿宋_GB2312" w:eastAsia="仿宋_GB2312" w:cs="仿宋"/>
          <w:b w:val="0"/>
          <w:color w:val="000000"/>
          <w:sz w:val="32"/>
          <w:szCs w:val="32"/>
        </w:rPr>
        <w:t>决算数与预算数持平</w:t>
      </w:r>
      <w:r>
        <w:rPr>
          <w:rStyle w:val="21"/>
          <w:rFonts w:hint="eastAsia" w:ascii="仿宋_GB2312" w:eastAsia="仿宋_GB2312"/>
          <w:b w:val="0"/>
          <w:bCs/>
          <w:color w:val="000000"/>
          <w:sz w:val="32"/>
          <w:szCs w:val="32"/>
        </w:rPr>
        <w:t>。</w:t>
      </w:r>
    </w:p>
    <w:p>
      <w:pPr>
        <w:overflowPunct w:val="0"/>
        <w:spacing w:line="576" w:lineRule="exact"/>
        <w:ind w:firstLine="642" w:firstLineChars="200"/>
        <w:rPr>
          <w:rFonts w:hint="eastAsia" w:ascii="仿宋_GB2312" w:eastAsia="仿宋_GB2312"/>
          <w:b/>
          <w:color w:val="000000"/>
          <w:sz w:val="32"/>
          <w:szCs w:val="32"/>
        </w:rPr>
      </w:pPr>
      <w:r>
        <w:rPr>
          <w:rStyle w:val="21"/>
          <w:rFonts w:hint="eastAsia" w:ascii="仿宋_GB2312" w:eastAsia="仿宋_GB2312"/>
          <w:bCs/>
          <w:color w:val="000000"/>
          <w:sz w:val="32"/>
          <w:szCs w:val="32"/>
        </w:rPr>
        <w:t>3.</w:t>
      </w:r>
      <w:r>
        <w:rPr>
          <w:rStyle w:val="21"/>
          <w:rFonts w:hint="eastAsia" w:ascii="仿宋_GB2312" w:eastAsia="仿宋_GB2312" w:cs="仿宋"/>
          <w:color w:val="000000"/>
          <w:sz w:val="32"/>
          <w:szCs w:val="32"/>
        </w:rPr>
        <w:t>一般公共服务（类）政府办公厅（室）及相关事务（款）事业运行（项）</w:t>
      </w:r>
      <w:r>
        <w:rPr>
          <w:rStyle w:val="21"/>
          <w:rFonts w:hint="eastAsia" w:ascii="仿宋_GB2312" w:eastAsia="仿宋_GB2312"/>
          <w:bCs/>
          <w:color w:val="000000"/>
          <w:sz w:val="32"/>
          <w:szCs w:val="32"/>
        </w:rPr>
        <w:t>:</w:t>
      </w:r>
      <w:r>
        <w:rPr>
          <w:rStyle w:val="21"/>
          <w:rFonts w:hint="eastAsia" w:ascii="仿宋_GB2312" w:eastAsia="仿宋_GB2312"/>
          <w:b w:val="0"/>
          <w:bCs/>
          <w:color w:val="000000"/>
          <w:sz w:val="32"/>
          <w:szCs w:val="32"/>
        </w:rPr>
        <w:t>支出决算为62.37万元，完成预算100%，决算数与预算数持平。</w:t>
      </w:r>
    </w:p>
    <w:p>
      <w:pPr>
        <w:overflowPunct w:val="0"/>
        <w:spacing w:line="576" w:lineRule="exact"/>
        <w:ind w:firstLine="642" w:firstLineChars="200"/>
        <w:rPr>
          <w:rFonts w:hint="eastAsia" w:ascii="仿宋_GB2312" w:eastAsia="仿宋_GB2312"/>
          <w:b/>
          <w:color w:val="000000"/>
          <w:sz w:val="28"/>
          <w:szCs w:val="28"/>
        </w:rPr>
      </w:pPr>
      <w:r>
        <w:rPr>
          <w:rStyle w:val="21"/>
          <w:rFonts w:hint="eastAsia" w:ascii="仿宋_GB2312" w:eastAsia="仿宋_GB2312"/>
          <w:bCs/>
          <w:color w:val="000000"/>
          <w:sz w:val="32"/>
          <w:szCs w:val="32"/>
        </w:rPr>
        <w:t>4.</w:t>
      </w:r>
      <w:r>
        <w:rPr>
          <w:rStyle w:val="21"/>
          <w:rFonts w:hint="eastAsia" w:ascii="仿宋_GB2312" w:eastAsia="仿宋_GB2312" w:cs="仿宋"/>
          <w:color w:val="000000"/>
          <w:sz w:val="32"/>
          <w:szCs w:val="32"/>
        </w:rPr>
        <w:t>国防支出（类）</w:t>
      </w:r>
      <w:r>
        <w:rPr>
          <w:rStyle w:val="21"/>
          <w:rFonts w:hint="eastAsia" w:ascii="仿宋_GB2312" w:eastAsia="仿宋_GB2312"/>
          <w:bCs/>
          <w:color w:val="000000"/>
          <w:sz w:val="32"/>
          <w:szCs w:val="32"/>
        </w:rPr>
        <w:t>:</w:t>
      </w:r>
      <w:r>
        <w:rPr>
          <w:rStyle w:val="21"/>
          <w:rFonts w:hint="eastAsia" w:ascii="仿宋_GB2312" w:eastAsia="仿宋_GB2312"/>
          <w:b w:val="0"/>
          <w:bCs/>
          <w:color w:val="000000"/>
          <w:sz w:val="28"/>
          <w:szCs w:val="28"/>
        </w:rPr>
        <w:t>支出决算为5.1万元，完成预算100%，决算数与预算数持平。</w:t>
      </w:r>
    </w:p>
    <w:p>
      <w:pPr>
        <w:overflowPunct w:val="0"/>
        <w:spacing w:line="576" w:lineRule="exact"/>
        <w:ind w:firstLine="642" w:firstLineChars="200"/>
        <w:rPr>
          <w:rStyle w:val="21"/>
          <w:rFonts w:hint="eastAsia" w:ascii="仿宋_GB2312" w:eastAsia="仿宋_GB2312"/>
          <w:b w:val="0"/>
          <w:bCs/>
          <w:color w:val="000000"/>
          <w:sz w:val="32"/>
          <w:szCs w:val="32"/>
        </w:rPr>
      </w:pPr>
      <w:r>
        <w:rPr>
          <w:rStyle w:val="21"/>
          <w:rFonts w:hint="eastAsia" w:ascii="仿宋_GB2312" w:eastAsia="仿宋_GB2312"/>
          <w:bCs/>
          <w:color w:val="000000"/>
          <w:sz w:val="32"/>
          <w:szCs w:val="32"/>
        </w:rPr>
        <w:t>5.</w:t>
      </w:r>
      <w:r>
        <w:rPr>
          <w:rStyle w:val="21"/>
          <w:rFonts w:hint="eastAsia" w:ascii="仿宋_GB2312" w:eastAsia="仿宋_GB2312" w:cs="仿宋"/>
          <w:color w:val="000000"/>
          <w:sz w:val="32"/>
          <w:szCs w:val="32"/>
        </w:rPr>
        <w:t>社会保障和就业（类）行政事业单位离退休（款）行机关事业单位基本养老保险缴费支出（项）</w:t>
      </w:r>
      <w:r>
        <w:rPr>
          <w:rStyle w:val="21"/>
          <w:rFonts w:hint="eastAsia" w:ascii="仿宋_GB2312" w:eastAsia="仿宋_GB2312"/>
          <w:bCs/>
          <w:color w:val="000000"/>
          <w:sz w:val="32"/>
          <w:szCs w:val="32"/>
        </w:rPr>
        <w:t>:</w:t>
      </w:r>
      <w:r>
        <w:rPr>
          <w:rStyle w:val="21"/>
          <w:rFonts w:hint="eastAsia" w:ascii="仿宋_GB2312" w:eastAsia="仿宋_GB2312"/>
          <w:b w:val="0"/>
          <w:bCs/>
          <w:color w:val="000000"/>
          <w:sz w:val="32"/>
          <w:szCs w:val="32"/>
        </w:rPr>
        <w:t>支出决算为62万元，完成预算100%，决算数与预算数持平。</w:t>
      </w:r>
    </w:p>
    <w:p>
      <w:pPr>
        <w:overflowPunct w:val="0"/>
        <w:spacing w:line="576" w:lineRule="exact"/>
        <w:ind w:firstLine="642" w:firstLineChars="200"/>
        <w:rPr>
          <w:rFonts w:hint="eastAsia" w:ascii="仿宋_GB2312" w:eastAsia="仿宋_GB2312"/>
          <w:b/>
          <w:color w:val="000000"/>
          <w:sz w:val="32"/>
          <w:szCs w:val="32"/>
        </w:rPr>
      </w:pPr>
      <w:r>
        <w:rPr>
          <w:rStyle w:val="21"/>
          <w:rFonts w:hint="eastAsia" w:ascii="仿宋_GB2312" w:eastAsia="仿宋_GB2312"/>
          <w:bCs/>
          <w:color w:val="000000"/>
          <w:sz w:val="32"/>
          <w:szCs w:val="32"/>
        </w:rPr>
        <w:t>6.</w:t>
      </w:r>
      <w:r>
        <w:rPr>
          <w:rStyle w:val="21"/>
          <w:rFonts w:hint="eastAsia" w:ascii="仿宋_GB2312" w:eastAsia="仿宋_GB2312" w:cs="仿宋"/>
          <w:color w:val="000000"/>
          <w:sz w:val="32"/>
          <w:szCs w:val="32"/>
        </w:rPr>
        <w:t>社会保障和就业（类）行政事业单位离退休（款）行机关事业单位职业年金缴费支出（项）</w:t>
      </w:r>
      <w:r>
        <w:rPr>
          <w:rStyle w:val="21"/>
          <w:rFonts w:hint="eastAsia" w:ascii="仿宋_GB2312" w:eastAsia="仿宋_GB2312"/>
          <w:bCs/>
          <w:color w:val="000000"/>
          <w:sz w:val="32"/>
          <w:szCs w:val="32"/>
        </w:rPr>
        <w:t>:</w:t>
      </w:r>
      <w:r>
        <w:rPr>
          <w:rStyle w:val="21"/>
          <w:rFonts w:hint="eastAsia" w:ascii="仿宋_GB2312" w:eastAsia="仿宋_GB2312"/>
          <w:b w:val="0"/>
          <w:bCs/>
          <w:color w:val="000000"/>
          <w:sz w:val="32"/>
          <w:szCs w:val="32"/>
        </w:rPr>
        <w:t>支出决算为28.37万元，完成预算100%，决算数与预算数持平。</w:t>
      </w:r>
    </w:p>
    <w:p>
      <w:pPr>
        <w:overflowPunct w:val="0"/>
        <w:spacing w:line="576" w:lineRule="exact"/>
        <w:ind w:firstLine="642" w:firstLineChars="200"/>
        <w:rPr>
          <w:rStyle w:val="21"/>
          <w:rFonts w:hint="eastAsia" w:ascii="仿宋_GB2312" w:eastAsia="仿宋_GB2312"/>
          <w:b w:val="0"/>
          <w:bCs/>
          <w:color w:val="000000"/>
          <w:sz w:val="32"/>
          <w:szCs w:val="32"/>
        </w:rPr>
      </w:pPr>
      <w:r>
        <w:rPr>
          <w:rStyle w:val="21"/>
          <w:rFonts w:hint="eastAsia" w:ascii="仿宋_GB2312" w:eastAsia="仿宋_GB2312"/>
          <w:bCs/>
          <w:color w:val="000000"/>
          <w:sz w:val="32"/>
          <w:szCs w:val="32"/>
        </w:rPr>
        <w:t>7.</w:t>
      </w:r>
      <w:r>
        <w:rPr>
          <w:rStyle w:val="21"/>
          <w:rFonts w:hint="eastAsia" w:ascii="仿宋_GB2312" w:eastAsia="仿宋_GB2312" w:cs="仿宋"/>
          <w:color w:val="000000"/>
          <w:sz w:val="32"/>
          <w:szCs w:val="32"/>
        </w:rPr>
        <w:t>医疗卫生与计划生育（类）行政事业单位医疗（款）行政单位医疗（项）</w:t>
      </w:r>
      <w:r>
        <w:rPr>
          <w:rStyle w:val="21"/>
          <w:rFonts w:hint="eastAsia" w:ascii="仿宋_GB2312" w:eastAsia="仿宋_GB2312"/>
          <w:bCs/>
          <w:color w:val="000000"/>
          <w:sz w:val="32"/>
          <w:szCs w:val="32"/>
        </w:rPr>
        <w:t>:</w:t>
      </w:r>
      <w:r>
        <w:rPr>
          <w:rStyle w:val="21"/>
          <w:rFonts w:hint="eastAsia" w:ascii="仿宋_GB2312" w:eastAsia="仿宋_GB2312"/>
          <w:b w:val="0"/>
          <w:bCs/>
          <w:color w:val="000000"/>
          <w:sz w:val="32"/>
          <w:szCs w:val="32"/>
        </w:rPr>
        <w:t>支出决算为38.39万元，完成预算100%，决算数与预算数持平。</w:t>
      </w:r>
    </w:p>
    <w:p>
      <w:pPr>
        <w:overflowPunct w:val="0"/>
        <w:spacing w:line="576" w:lineRule="exact"/>
        <w:ind w:firstLine="642" w:firstLineChars="200"/>
        <w:rPr>
          <w:rStyle w:val="21"/>
          <w:rFonts w:hint="eastAsia" w:ascii="仿宋_GB2312" w:eastAsia="仿宋_GB2312" w:cs="仿宋"/>
          <w:b w:val="0"/>
          <w:color w:val="000000"/>
          <w:sz w:val="32"/>
          <w:szCs w:val="32"/>
        </w:rPr>
      </w:pPr>
      <w:r>
        <w:rPr>
          <w:rStyle w:val="21"/>
          <w:rFonts w:hint="eastAsia" w:ascii="仿宋_GB2312" w:eastAsia="仿宋_GB2312" w:cs="仿宋"/>
          <w:color w:val="000000"/>
          <w:sz w:val="32"/>
          <w:szCs w:val="32"/>
        </w:rPr>
        <w:t>8.医疗卫生与计划生育（类）行政事业单位医疗（款）事业单位医疗（项）:</w:t>
      </w:r>
      <w:r>
        <w:rPr>
          <w:rStyle w:val="21"/>
          <w:rFonts w:hint="eastAsia" w:ascii="仿宋_GB2312" w:eastAsia="仿宋_GB2312" w:cs="仿宋"/>
          <w:b w:val="0"/>
          <w:color w:val="000000"/>
          <w:sz w:val="32"/>
          <w:szCs w:val="32"/>
        </w:rPr>
        <w:t>支出决算为6.52万元，完成预算100%，决算数与预算数持平。</w:t>
      </w:r>
    </w:p>
    <w:p>
      <w:pPr>
        <w:overflowPunct w:val="0"/>
        <w:spacing w:line="576" w:lineRule="exact"/>
        <w:ind w:firstLine="642" w:firstLineChars="200"/>
        <w:rPr>
          <w:rStyle w:val="21"/>
          <w:rFonts w:hint="eastAsia" w:ascii="仿宋_GB2312" w:eastAsia="仿宋_GB2312" w:cs="仿宋"/>
          <w:b w:val="0"/>
          <w:color w:val="000000"/>
          <w:sz w:val="32"/>
          <w:szCs w:val="32"/>
        </w:rPr>
      </w:pPr>
      <w:r>
        <w:rPr>
          <w:rStyle w:val="21"/>
          <w:rFonts w:hint="eastAsia" w:ascii="仿宋_GB2312" w:eastAsia="仿宋_GB2312" w:cs="仿宋"/>
          <w:color w:val="000000"/>
          <w:sz w:val="32"/>
          <w:szCs w:val="32"/>
        </w:rPr>
        <w:t>9.农林水支出（类）扶贫（款）其他扶贫支出（项）:</w:t>
      </w:r>
      <w:r>
        <w:rPr>
          <w:rStyle w:val="21"/>
          <w:rFonts w:hint="eastAsia" w:ascii="仿宋_GB2312" w:eastAsia="仿宋_GB2312" w:cs="仿宋"/>
          <w:b w:val="0"/>
          <w:color w:val="000000"/>
          <w:sz w:val="32"/>
          <w:szCs w:val="32"/>
        </w:rPr>
        <w:t>支出决算为0.68万元，完成预算100%，决算数与预算数持平。</w:t>
      </w:r>
    </w:p>
    <w:p>
      <w:pPr>
        <w:overflowPunct w:val="0"/>
        <w:spacing w:line="576" w:lineRule="exact"/>
        <w:ind w:firstLine="642" w:firstLineChars="200"/>
        <w:rPr>
          <w:rStyle w:val="21"/>
          <w:rFonts w:hint="eastAsia" w:ascii="仿宋_GB2312" w:eastAsia="仿宋_GB2312" w:cs="仿宋"/>
          <w:b w:val="0"/>
          <w:color w:val="000000"/>
          <w:sz w:val="32"/>
          <w:szCs w:val="32"/>
        </w:rPr>
      </w:pPr>
      <w:r>
        <w:rPr>
          <w:rStyle w:val="21"/>
          <w:rFonts w:hint="eastAsia" w:ascii="仿宋_GB2312" w:eastAsia="仿宋_GB2312" w:cs="仿宋"/>
          <w:bCs/>
          <w:color w:val="000000"/>
          <w:sz w:val="32"/>
          <w:szCs w:val="32"/>
        </w:rPr>
        <w:t>10.</w:t>
      </w:r>
      <w:r>
        <w:rPr>
          <w:rStyle w:val="21"/>
          <w:rFonts w:hint="eastAsia" w:ascii="仿宋_GB2312" w:eastAsia="仿宋_GB2312" w:cs="仿宋"/>
          <w:color w:val="000000"/>
          <w:sz w:val="32"/>
          <w:szCs w:val="32"/>
        </w:rPr>
        <w:t>住房保障支出（类）住房改革支出（款）住房公积金（项）:</w:t>
      </w:r>
      <w:r>
        <w:rPr>
          <w:rStyle w:val="21"/>
          <w:rFonts w:hint="eastAsia" w:ascii="仿宋_GB2312" w:eastAsia="仿宋_GB2312" w:cs="仿宋"/>
          <w:b w:val="0"/>
          <w:color w:val="000000"/>
          <w:sz w:val="32"/>
          <w:szCs w:val="32"/>
        </w:rPr>
        <w:t>支出决算为 59.66万元，完成预算100%，决算数与预算数持平。</w:t>
      </w:r>
    </w:p>
    <w:p>
      <w:pPr>
        <w:tabs>
          <w:tab w:val="right" w:pos="8306"/>
        </w:tabs>
        <w:overflowPunct w:val="0"/>
        <w:spacing w:line="576" w:lineRule="exact"/>
        <w:ind w:firstLine="640"/>
        <w:outlineLvl w:val="1"/>
        <w:rPr>
          <w:rStyle w:val="24"/>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、一</w:t>
      </w:r>
      <w:r>
        <w:rPr>
          <w:rStyle w:val="24"/>
          <w:rFonts w:hint="eastAsia" w:ascii="黑体" w:eastAsia="黑体"/>
          <w:b w:val="0"/>
        </w:rPr>
        <w:t>般公共预算财政拨款基本支出决算情况说明</w:t>
      </w:r>
      <w:bookmarkEnd w:id="40"/>
      <w:bookmarkEnd w:id="41"/>
      <w:r>
        <w:rPr>
          <w:rStyle w:val="24"/>
          <w:rFonts w:ascii="黑体" w:eastAsia="黑体"/>
          <w:b w:val="0"/>
        </w:rPr>
        <w:tab/>
      </w:r>
    </w:p>
    <w:p>
      <w:pPr>
        <w:overflowPunct w:val="0"/>
        <w:spacing w:line="576" w:lineRule="exact"/>
        <w:ind w:firstLine="645"/>
        <w:rPr>
          <w:rFonts w:hint="eastAsia" w:ascii="仿宋_GB2312" w:eastAsia="仿宋_GB2312"/>
          <w:color w:val="000000"/>
          <w:sz w:val="32"/>
          <w:szCs w:val="32"/>
        </w:rPr>
      </w:pPr>
      <w:r>
        <w:rPr>
          <w:rFonts w:hint="eastAsia" w:ascii="仿宋_GB2312" w:eastAsia="仿宋_GB2312"/>
          <w:color w:val="000000"/>
          <w:sz w:val="32"/>
          <w:szCs w:val="32"/>
        </w:rPr>
        <w:t>2019年一般公共预算财政拨款基本支出1194.18万元，其中：</w:t>
      </w:r>
    </w:p>
    <w:p>
      <w:pPr>
        <w:overflowPunct w:val="0"/>
        <w:spacing w:line="576" w:lineRule="exact"/>
        <w:ind w:firstLine="645"/>
        <w:rPr>
          <w:rFonts w:hint="eastAsia" w:ascii="仿宋_GB2312" w:eastAsia="仿宋_GB2312"/>
          <w:color w:val="000000"/>
          <w:sz w:val="32"/>
          <w:szCs w:val="32"/>
        </w:rPr>
      </w:pPr>
      <w:r>
        <w:rPr>
          <w:rFonts w:hint="eastAsia" w:ascii="仿宋_GB2312" w:eastAsia="仿宋_GB2312"/>
          <w:color w:val="000000"/>
          <w:sz w:val="32"/>
          <w:szCs w:val="32"/>
        </w:rPr>
        <w:t>人员经费834.57万元，主要包括：基本工资、津贴补贴、奖金、绩效工资、机关事业单位基本养老保险缴费、职业年金缴费、其他社会保障缴费、抚恤金、生活补助、医疗费、奖励金、住房公积金等。</w:t>
      </w:r>
      <w:r>
        <w:rPr>
          <w:rFonts w:hint="eastAsia" w:ascii="仿宋_GB2312" w:eastAsia="仿宋_GB2312"/>
          <w:color w:val="000000"/>
          <w:sz w:val="32"/>
          <w:szCs w:val="32"/>
        </w:rPr>
        <w:br w:type="textWrapping"/>
      </w:r>
      <w:r>
        <w:rPr>
          <w:rFonts w:hint="eastAsia" w:ascii="仿宋_GB2312" w:eastAsia="仿宋_GB2312"/>
          <w:color w:val="000000"/>
          <w:sz w:val="32"/>
          <w:szCs w:val="32"/>
        </w:rPr>
        <w:t>　　日常公用经费359.61万元，主要包括：办公费、咨询费、水费、邮电费、物业管理费、差旅费、因公出国（境）费用、维修（护）费、租赁费、公务接待费、劳务费、公务用车运行维护费、其他交通费办公设备购置等。</w:t>
      </w:r>
    </w:p>
    <w:p>
      <w:pPr>
        <w:overflowPunct w:val="0"/>
        <w:spacing w:line="576" w:lineRule="exact"/>
        <w:ind w:firstLine="640"/>
        <w:outlineLvl w:val="1"/>
        <w:rPr>
          <w:rStyle w:val="24"/>
          <w:rFonts w:ascii="黑体" w:eastAsia="黑体"/>
          <w:b w:val="0"/>
        </w:rPr>
      </w:pPr>
      <w:bookmarkStart w:id="42" w:name="_Toc15396609"/>
      <w:bookmarkStart w:id="43" w:name="_Toc15377215"/>
      <w:r>
        <w:rPr>
          <w:rFonts w:hint="eastAsia" w:ascii="黑体" w:eastAsia="黑体"/>
          <w:color w:val="000000"/>
          <w:sz w:val="32"/>
          <w:szCs w:val="32"/>
        </w:rPr>
        <w:t>七、</w:t>
      </w:r>
      <w:r>
        <w:rPr>
          <w:rStyle w:val="24"/>
          <w:rFonts w:hint="eastAsia" w:ascii="黑体" w:eastAsia="黑体"/>
        </w:rPr>
        <w:t>“</w:t>
      </w:r>
      <w:r>
        <w:rPr>
          <w:rStyle w:val="24"/>
          <w:rFonts w:hint="eastAsia" w:ascii="黑体" w:eastAsia="黑体"/>
          <w:b w:val="0"/>
        </w:rPr>
        <w:t>三公”经费财政拨款支出决算情况说明</w:t>
      </w:r>
      <w:bookmarkEnd w:id="42"/>
      <w:bookmarkEnd w:id="43"/>
    </w:p>
    <w:p>
      <w:pPr>
        <w:overflowPunct w:val="0"/>
        <w:spacing w:line="576" w:lineRule="exact"/>
        <w:ind w:firstLine="642" w:firstLineChars="200"/>
        <w:outlineLvl w:val="2"/>
        <w:rPr>
          <w:rFonts w:hint="eastAsia" w:ascii="楷体_GB2312" w:eastAsia="楷体_GB2312"/>
          <w:b/>
          <w:color w:val="000000"/>
          <w:sz w:val="32"/>
          <w:szCs w:val="32"/>
        </w:rPr>
      </w:pPr>
      <w:bookmarkStart w:id="44" w:name="_Toc15377216"/>
      <w:r>
        <w:rPr>
          <w:rFonts w:hint="eastAsia" w:ascii="楷体_GB2312" w:eastAsia="楷体_GB2312"/>
          <w:b/>
          <w:color w:val="000000"/>
          <w:sz w:val="32"/>
          <w:szCs w:val="32"/>
        </w:rPr>
        <w:t>（一）“三公”经费财政拨款支出决算总体情况说明</w:t>
      </w:r>
      <w:bookmarkEnd w:id="44"/>
    </w:p>
    <w:p>
      <w:pPr>
        <w:overflowPunct w:val="0"/>
        <w:spacing w:line="576" w:lineRule="exact"/>
        <w:ind w:firstLine="645"/>
        <w:rPr>
          <w:rFonts w:hint="eastAsia" w:ascii="仿宋_GB2312" w:eastAsia="仿宋_GB2312"/>
          <w:color w:val="000000"/>
          <w:sz w:val="32"/>
          <w:szCs w:val="32"/>
        </w:rPr>
      </w:pPr>
      <w:r>
        <w:rPr>
          <w:rFonts w:hint="eastAsia" w:ascii="仿宋_GB2312" w:eastAsia="仿宋_GB2312"/>
          <w:color w:val="000000"/>
          <w:sz w:val="32"/>
          <w:szCs w:val="32"/>
        </w:rPr>
        <w:t>2019年“三公”经费财政拨款支出决算为162.97万元，完成预算100%，决算数与预算数持平。</w:t>
      </w:r>
    </w:p>
    <w:p>
      <w:pPr>
        <w:overflowPunct w:val="0"/>
        <w:spacing w:line="576" w:lineRule="exact"/>
        <w:ind w:firstLine="642" w:firstLineChars="200"/>
        <w:outlineLvl w:val="2"/>
        <w:rPr>
          <w:rFonts w:hint="eastAsia" w:ascii="楷体_GB2312" w:eastAsia="楷体_GB2312"/>
          <w:b/>
          <w:color w:val="000000"/>
          <w:sz w:val="32"/>
          <w:szCs w:val="32"/>
        </w:rPr>
      </w:pPr>
      <w:bookmarkStart w:id="45" w:name="_Toc15377217"/>
      <w:r>
        <w:rPr>
          <w:rFonts w:hint="eastAsia" w:ascii="楷体_GB2312" w:eastAsia="楷体_GB2312"/>
          <w:b/>
          <w:color w:val="000000"/>
          <w:sz w:val="32"/>
          <w:szCs w:val="32"/>
        </w:rPr>
        <w:t>（二）“三公”经费财政拨款支出决算具体情况说明</w:t>
      </w:r>
      <w:bookmarkEnd w:id="45"/>
    </w:p>
    <w:p>
      <w:pPr>
        <w:overflowPunct w:val="0"/>
        <w:spacing w:line="576"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2019年“三公”经费财政拨款支出决算中，因公出国（境）费支出决算11.74万元，占7.2%；公务用车购置及运行维护费支出决算150.95万元，占92.62%；公务接待费支出决算0.28万元，占0.17%。具体情况如下：</w:t>
      </w:r>
    </w:p>
    <w:p>
      <w:pPr>
        <w:overflowPunct w:val="0"/>
        <w:spacing w:line="360" w:lineRule="auto"/>
        <w:ind w:firstLine="641"/>
        <w:rPr>
          <w:rFonts w:hint="eastAsia" w:ascii="仿宋_GB2312" w:eastAsia="仿宋_GB2312"/>
          <w:color w:val="000000"/>
          <w:sz w:val="32"/>
          <w:szCs w:val="32"/>
        </w:rPr>
      </w:pPr>
      <w:r>
        <w:rPr>
          <w:rFonts w:hint="eastAsia" w:ascii="仿宋_GB2312" w:eastAsia="仿宋_GB2312"/>
          <w:color w:val="000000"/>
          <w:sz w:val="32"/>
          <w:szCs w:val="32"/>
        </w:rPr>
        <w:t>（图7：“三公”经费财政拨款支出结构）（饼状图）</w:t>
      </w:r>
    </w:p>
    <w:p>
      <w:pPr>
        <w:overflowPunct w:val="0"/>
        <w:spacing w:line="360" w:lineRule="auto"/>
        <w:ind w:firstLine="641"/>
      </w:pPr>
      <w:r>
        <w:object>
          <v:shape id="_x0000_i1027" o:spt="75" type="#_x0000_t75" style="height:142.45pt;width:324.7pt;" o:ole="t" filled="f" o:preferrelative="t" stroked="f" coordsize="21600,21600">
            <v:path/>
            <v:fill on="f" focussize="0,0"/>
            <v:stroke on="f" color="#000000"/>
            <v:imagedata r:id="rId19" o:title="2205012491601019359884"/>
            <o:lock v:ext="edit" aspectratio="t"/>
            <w10:wrap type="none"/>
            <w10:anchorlock/>
          </v:shape>
          <o:OLEObject Type="Embed" ProgID="Package" ShapeID="_x0000_i1027" DrawAspect="Icon" ObjectID="_1468075731" r:id="rId18">
            <o:LockedField>false</o:LockedField>
          </o:OLEObject>
        </w:object>
      </w:r>
    </w:p>
    <w:p>
      <w:pPr>
        <w:overflowPunct w:val="0"/>
        <w:spacing w:line="576" w:lineRule="exact"/>
        <w:ind w:firstLine="640"/>
        <w:rPr>
          <w:rFonts w:hint="eastAsia"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11.74万元，</w:t>
      </w:r>
      <w:r>
        <w:rPr>
          <w:rStyle w:val="21"/>
          <w:rFonts w:hint="eastAsia" w:ascii="仿宋_GB2312" w:eastAsia="仿宋_GB2312"/>
          <w:b w:val="0"/>
          <w:bCs/>
          <w:color w:val="000000"/>
          <w:sz w:val="32"/>
          <w:szCs w:val="32"/>
        </w:rPr>
        <w:t>完成预算100%。</w:t>
      </w:r>
      <w:r>
        <w:rPr>
          <w:rFonts w:hint="eastAsia" w:ascii="仿宋_GB2312" w:eastAsia="仿宋_GB2312"/>
          <w:color w:val="000000"/>
          <w:sz w:val="32"/>
          <w:szCs w:val="32"/>
        </w:rPr>
        <w:t>全年安排因公出国（境）团组0次，出国（境）2人。因公出国（境）支出决算比2018年增加8.1万元，增长222.53%%。主要原因是</w:t>
      </w:r>
      <w:r>
        <w:rPr>
          <w:rFonts w:hint="eastAsia" w:ascii="仿宋_GB2312" w:eastAsia="仿宋_GB2312" w:cs="仿宋_GB2312"/>
          <w:color w:val="000000"/>
          <w:sz w:val="32"/>
          <w:szCs w:val="32"/>
        </w:rPr>
        <w:t>增加因公出访任务。</w:t>
      </w:r>
    </w:p>
    <w:p>
      <w:pPr>
        <w:overflowPunct w:val="0"/>
        <w:spacing w:line="576" w:lineRule="exact"/>
        <w:ind w:firstLine="640"/>
        <w:rPr>
          <w:rFonts w:hint="eastAsia" w:ascii="仿宋_GB2312" w:eastAsia="仿宋_GB2312"/>
          <w:color w:val="000000"/>
          <w:sz w:val="32"/>
          <w:szCs w:val="32"/>
        </w:rPr>
      </w:pPr>
      <w:r>
        <w:rPr>
          <w:rFonts w:hint="eastAsia" w:ascii="仿宋_GB2312" w:eastAsia="仿宋_GB2312"/>
          <w:color w:val="000000"/>
          <w:sz w:val="32"/>
          <w:szCs w:val="32"/>
        </w:rPr>
        <w:t>开支内容包括：</w:t>
      </w:r>
      <w:r>
        <w:rPr>
          <w:rFonts w:hint="eastAsia" w:ascii="仿宋_GB2312" w:eastAsia="仿宋_GB2312" w:cs="仿宋_GB2312"/>
          <w:color w:val="000000"/>
          <w:sz w:val="32"/>
          <w:szCs w:val="32"/>
        </w:rPr>
        <w:t>出访人员机票、国际旅费、住宿费、伙食费、公杂费等。1.按四川省人民对外友好协会工作安排，前往日本、香港、柬埔寨进行友好访问。2.按阿坝州人民政府办公室工作安排，出访阿根廷、巴西、巴拿马。此次因公出国出访增进文化交流，推介茂县特色、生态、优质农产品，向外展示羌族文化，助力茂县经贸文化走出去，助推茂县羌民族地区经济发展。</w:t>
      </w:r>
    </w:p>
    <w:p>
      <w:pPr>
        <w:overflowPunct w:val="0"/>
        <w:spacing w:line="576" w:lineRule="exact"/>
        <w:ind w:firstLine="642" w:firstLineChars="200"/>
        <w:rPr>
          <w:rFonts w:ascii="仿宋_GB2312" w:eastAsia="仿宋_GB2312"/>
          <w:b/>
          <w:bCs/>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150.95万元,</w:t>
      </w:r>
      <w:r>
        <w:rPr>
          <w:rStyle w:val="21"/>
          <w:rFonts w:hint="eastAsia" w:ascii="仿宋_GB2312" w:eastAsia="仿宋_GB2312"/>
          <w:b w:val="0"/>
          <w:bCs/>
          <w:color w:val="000000"/>
          <w:sz w:val="32"/>
          <w:szCs w:val="32"/>
        </w:rPr>
        <w:t>完成预算100%。</w:t>
      </w:r>
      <w:r>
        <w:rPr>
          <w:rFonts w:hint="eastAsia" w:ascii="仿宋_GB2312" w:eastAsia="仿宋_GB2312"/>
          <w:color w:val="000000"/>
          <w:sz w:val="32"/>
          <w:szCs w:val="32"/>
        </w:rPr>
        <w:t>公务用车购置及运行维护费支出决算比2018年减少115.86万元，下降43.42%。主要原因是车辆购置费减少。其中：</w:t>
      </w:r>
      <w:r>
        <w:rPr>
          <w:rFonts w:hint="eastAsia" w:ascii="仿宋_GB2312" w:eastAsia="仿宋_GB2312"/>
          <w:b/>
          <w:color w:val="000000"/>
          <w:sz w:val="32"/>
          <w:szCs w:val="32"/>
        </w:rPr>
        <w:t>公务用车购置支出</w:t>
      </w:r>
      <w:r>
        <w:rPr>
          <w:rFonts w:ascii="仿宋_GB2312" w:eastAsia="仿宋_GB2312"/>
          <w:color w:val="000000"/>
          <w:sz w:val="32"/>
          <w:szCs w:val="32"/>
        </w:rPr>
        <w:t>17.33</w:t>
      </w:r>
      <w:r>
        <w:rPr>
          <w:rFonts w:hint="eastAsia" w:ascii="仿宋_GB2312" w:eastAsia="仿宋_GB2312"/>
          <w:color w:val="000000"/>
          <w:sz w:val="32"/>
          <w:szCs w:val="32"/>
        </w:rPr>
        <w:t>万元</w:t>
      </w:r>
      <w:r>
        <w:rPr>
          <w:rFonts w:ascii="仿宋_GB2312" w:eastAsia="仿宋_GB2312"/>
          <w:color w:val="000000"/>
          <w:sz w:val="32"/>
          <w:szCs w:val="32"/>
        </w:rPr>
        <w:t>，该支出为2018年车辆购置尾款，</w:t>
      </w:r>
      <w:r>
        <w:rPr>
          <w:rFonts w:hint="eastAsia" w:ascii="仿宋_GB2312" w:eastAsia="仿宋_GB2312"/>
          <w:color w:val="000000"/>
          <w:sz w:val="32"/>
          <w:szCs w:val="32"/>
        </w:rPr>
        <w:t>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w:t>
      </w:r>
      <w:r>
        <w:rPr>
          <w:rFonts w:ascii="仿宋_GB2312" w:eastAsia="仿宋_GB2312"/>
          <w:color w:val="000000"/>
          <w:sz w:val="32"/>
          <w:szCs w:val="32"/>
        </w:rPr>
        <w:t>。</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w:t>
      </w:r>
      <w:r>
        <w:rPr>
          <w:rFonts w:hint="eastAsia" w:ascii="仿宋_GB2312" w:eastAsia="仿宋_GB2312" w:cs="仿宋_GB2312"/>
          <w:color w:val="000000"/>
          <w:sz w:val="32"/>
          <w:szCs w:val="32"/>
        </w:rPr>
        <w:t>单位共有公务用车13辆，其中：轿车1辆、越野车12辆。</w:t>
      </w:r>
    </w:p>
    <w:p>
      <w:pPr>
        <w:overflowPunct w:val="0"/>
        <w:spacing w:line="576"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133.62</w:t>
      </w:r>
      <w:r>
        <w:rPr>
          <w:rFonts w:hint="eastAsia" w:ascii="仿宋_GB2312" w:eastAsia="仿宋_GB2312"/>
          <w:color w:val="000000"/>
          <w:sz w:val="32"/>
          <w:szCs w:val="32"/>
        </w:rPr>
        <w:t>万元。</w:t>
      </w:r>
      <w:r>
        <w:rPr>
          <w:rFonts w:hint="eastAsia" w:ascii="仿宋_GB2312" w:eastAsia="仿宋_GB2312" w:cs="仿宋_GB2312"/>
          <w:color w:val="000000"/>
          <w:sz w:val="32"/>
          <w:szCs w:val="32"/>
        </w:rPr>
        <w:t>主要用于</w:t>
      </w:r>
      <w:r>
        <w:rPr>
          <w:rFonts w:hint="eastAsia" w:ascii="仿宋_GB2312" w:eastAsia="仿宋_GB2312"/>
          <w:color w:val="000000"/>
          <w:sz w:val="32"/>
          <w:szCs w:val="32"/>
        </w:rPr>
        <w:t>下乡、出差</w:t>
      </w:r>
      <w:r>
        <w:rPr>
          <w:rFonts w:hint="eastAsia" w:ascii="仿宋_GB2312" w:eastAsia="仿宋_GB2312" w:cs="仿宋_GB2312"/>
          <w:color w:val="000000"/>
          <w:sz w:val="32"/>
          <w:szCs w:val="32"/>
        </w:rPr>
        <w:t>等所需的公务用车燃料费、维修费、过路过桥费、保险费等支出。</w:t>
      </w:r>
    </w:p>
    <w:p>
      <w:pPr>
        <w:overflowPunct w:val="0"/>
        <w:spacing w:line="576"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0.28</w:t>
      </w:r>
      <w:r>
        <w:rPr>
          <w:rFonts w:hint="eastAsia" w:ascii="仿宋_GB2312" w:eastAsia="仿宋_GB2312"/>
          <w:color w:val="000000"/>
          <w:sz w:val="32"/>
          <w:szCs w:val="32"/>
        </w:rPr>
        <w:t>万元，</w:t>
      </w:r>
      <w:r>
        <w:rPr>
          <w:rStyle w:val="21"/>
          <w:rFonts w:hint="eastAsia" w:ascii="仿宋" w:eastAsia="仿宋"/>
          <w:b w:val="0"/>
          <w:bCs/>
          <w:color w:val="000000"/>
          <w:sz w:val="32"/>
          <w:szCs w:val="32"/>
        </w:rPr>
        <w:t>完成预算</w:t>
      </w:r>
      <w:r>
        <w:rPr>
          <w:rStyle w:val="21"/>
          <w:rFonts w:ascii="仿宋" w:eastAsia="仿宋"/>
          <w:b w:val="0"/>
          <w:bCs/>
          <w:color w:val="000000"/>
          <w:sz w:val="32"/>
          <w:szCs w:val="32"/>
        </w:rPr>
        <w:t>100%</w:t>
      </w:r>
      <w:r>
        <w:rPr>
          <w:rStyle w:val="21"/>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8减少</w:t>
      </w:r>
      <w:r>
        <w:rPr>
          <w:rFonts w:ascii="仿宋_GB2312" w:eastAsia="仿宋_GB2312"/>
          <w:color w:val="000000"/>
          <w:sz w:val="32"/>
          <w:szCs w:val="32"/>
        </w:rPr>
        <w:t>13.14</w:t>
      </w:r>
      <w:r>
        <w:rPr>
          <w:rFonts w:hint="eastAsia" w:ascii="仿宋_GB2312" w:eastAsia="仿宋_GB2312"/>
          <w:color w:val="000000"/>
          <w:sz w:val="32"/>
          <w:szCs w:val="32"/>
        </w:rPr>
        <w:t>万元，下降</w:t>
      </w:r>
      <w:r>
        <w:rPr>
          <w:rFonts w:ascii="仿宋_GB2312" w:eastAsia="仿宋_GB2312"/>
          <w:color w:val="000000"/>
          <w:sz w:val="32"/>
          <w:szCs w:val="32"/>
        </w:rPr>
        <w:t>97%</w:t>
      </w:r>
      <w:r>
        <w:rPr>
          <w:rFonts w:hint="eastAsia" w:ascii="仿宋_GB2312" w:eastAsia="仿宋_GB2312"/>
          <w:color w:val="000000"/>
          <w:sz w:val="32"/>
          <w:szCs w:val="32"/>
        </w:rPr>
        <w:t>。主要原因</w:t>
      </w:r>
      <w:r>
        <w:rPr>
          <w:rFonts w:hint="eastAsia" w:ascii="仿宋_GB2312" w:eastAsia="仿宋_GB2312" w:cs="仿宋_GB2312"/>
          <w:color w:val="000000"/>
          <w:sz w:val="32"/>
          <w:szCs w:val="32"/>
        </w:rPr>
        <w:t>是认真贯彻落实中央八项规定及省委省政府十项规定要求，厉行节约</w:t>
      </w:r>
      <w:r>
        <w:rPr>
          <w:rFonts w:ascii="仿宋_GB2312" w:eastAsia="仿宋_GB2312" w:cs="仿宋_GB2312"/>
          <w:color w:val="000000"/>
          <w:sz w:val="32"/>
          <w:szCs w:val="32"/>
        </w:rPr>
        <w:t>。其中：</w:t>
      </w:r>
    </w:p>
    <w:p>
      <w:pPr>
        <w:overflowPunct w:val="0"/>
        <w:spacing w:line="576" w:lineRule="exact"/>
        <w:ind w:firstLine="640"/>
        <w:rPr>
          <w:rFonts w:ascii="仿宋_GB2312" w:eastAsia="仿宋_GB2312"/>
          <w:color w:val="000000"/>
          <w:sz w:val="32"/>
          <w:szCs w:val="32"/>
        </w:rPr>
      </w:pPr>
      <w:r>
        <w:rPr>
          <w:rFonts w:hint="eastAsia" w:ascii="仿宋" w:eastAsia="仿宋"/>
          <w:b/>
          <w:color w:val="000000"/>
          <w:sz w:val="32"/>
          <w:szCs w:val="32"/>
        </w:rPr>
        <w:t>国内公务接待支出</w:t>
      </w:r>
      <w:r>
        <w:rPr>
          <w:rFonts w:ascii="仿宋" w:eastAsia="仿宋"/>
          <w:color w:val="000000"/>
          <w:sz w:val="32"/>
          <w:szCs w:val="32"/>
        </w:rPr>
        <w:t>0.28</w:t>
      </w:r>
      <w:r>
        <w:rPr>
          <w:rFonts w:hint="eastAsia" w:ascii="仿宋_GB2312" w:eastAsia="仿宋_GB2312"/>
          <w:color w:val="000000"/>
          <w:sz w:val="32"/>
          <w:szCs w:val="32"/>
        </w:rPr>
        <w:t>万元，主要用于执行公务、开展业务活动开支的住宿费、用餐费等。</w:t>
      </w:r>
      <w:bookmarkStart w:id="73" w:name="_GoBack"/>
      <w:bookmarkEnd w:id="73"/>
      <w:r>
        <w:rPr>
          <w:rFonts w:hint="eastAsia" w:ascii="仿宋_GB2312" w:eastAsia="仿宋_GB2312"/>
          <w:color w:val="000000"/>
          <w:sz w:val="32"/>
          <w:szCs w:val="32"/>
        </w:rPr>
        <w:t>国内公务接待</w:t>
      </w:r>
      <w:r>
        <w:rPr>
          <w:rFonts w:ascii="仿宋_GB2312" w:eastAsia="仿宋_GB2312"/>
          <w:color w:val="000000"/>
          <w:sz w:val="32"/>
          <w:szCs w:val="32"/>
        </w:rPr>
        <w:t>7</w:t>
      </w:r>
      <w:r>
        <w:rPr>
          <w:rFonts w:hint="eastAsia" w:ascii="仿宋_GB2312" w:eastAsia="仿宋_GB2312"/>
          <w:color w:val="000000"/>
          <w:sz w:val="32"/>
          <w:szCs w:val="32"/>
        </w:rPr>
        <w:t>批次，</w:t>
      </w:r>
      <w:r>
        <w:rPr>
          <w:rFonts w:ascii="仿宋_GB2312" w:eastAsia="仿宋_GB2312"/>
          <w:color w:val="000000"/>
          <w:sz w:val="32"/>
          <w:szCs w:val="32"/>
        </w:rPr>
        <w:t>38</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0.28</w:t>
      </w:r>
      <w:r>
        <w:rPr>
          <w:rFonts w:hint="eastAsia" w:ascii="仿宋_GB2312" w:eastAsia="仿宋_GB2312"/>
          <w:color w:val="000000"/>
          <w:sz w:val="32"/>
          <w:szCs w:val="32"/>
        </w:rPr>
        <w:t>万元，具体内容包括：执行公务、开展业务活动开支的住宿费、用餐费等。</w:t>
      </w:r>
    </w:p>
    <w:p>
      <w:pPr>
        <w:overflowPunct w:val="0"/>
        <w:spacing w:line="576" w:lineRule="exact"/>
        <w:ind w:firstLine="642" w:firstLineChars="200"/>
        <w:rPr>
          <w:rFonts w:ascii="仿宋_GB2312" w:eastAsia="仿宋_GB2312"/>
          <w:color w:val="000000"/>
          <w:sz w:val="32"/>
          <w:szCs w:val="32"/>
        </w:rPr>
      </w:pPr>
      <w:r>
        <w:rPr>
          <w:rFonts w:hint="eastAsia" w:ascii="仿宋" w:eastAsia="仿宋"/>
          <w:b/>
          <w:color w:val="000000"/>
          <w:sz w:val="32"/>
          <w:szCs w:val="32"/>
        </w:rPr>
        <w:t>外事接待支出</w:t>
      </w:r>
      <w:r>
        <w:rPr>
          <w:rFonts w:ascii="仿宋" w:eastAsia="仿宋"/>
          <w:color w:val="000000"/>
          <w:sz w:val="32"/>
          <w:szCs w:val="32"/>
        </w:rPr>
        <w:t>0</w:t>
      </w:r>
      <w:r>
        <w:rPr>
          <w:rFonts w:hint="eastAsia" w:ascii="仿宋_GB2312" w:eastAsia="仿宋_GB2312"/>
          <w:color w:val="000000"/>
          <w:sz w:val="32"/>
          <w:szCs w:val="32"/>
        </w:rPr>
        <w:t>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w:t>
      </w:r>
    </w:p>
    <w:p>
      <w:pPr>
        <w:overflowPunct w:val="0"/>
        <w:spacing w:line="576" w:lineRule="exact"/>
        <w:ind w:firstLine="640"/>
        <w:outlineLvl w:val="1"/>
        <w:rPr>
          <w:rStyle w:val="24"/>
          <w:rFonts w:ascii="黑体" w:eastAsia="黑体"/>
        </w:rPr>
      </w:pPr>
      <w:bookmarkStart w:id="46" w:name="_Toc15396610"/>
      <w:bookmarkStart w:id="47" w:name="_Toc15377218"/>
      <w:r>
        <w:rPr>
          <w:rFonts w:hint="eastAsia" w:ascii="黑体" w:eastAsia="黑体"/>
          <w:color w:val="000000"/>
          <w:sz w:val="32"/>
          <w:szCs w:val="32"/>
        </w:rPr>
        <w:t>八、</w:t>
      </w:r>
      <w:r>
        <w:rPr>
          <w:rStyle w:val="24"/>
          <w:rFonts w:hint="eastAsia" w:ascii="黑体" w:eastAsia="黑体"/>
          <w:b w:val="0"/>
        </w:rPr>
        <w:t>政府性基金预算支出决算情况说明</w:t>
      </w:r>
      <w:bookmarkEnd w:id="46"/>
      <w:bookmarkEnd w:id="47"/>
    </w:p>
    <w:p>
      <w:pPr>
        <w:overflowPunct w:val="0"/>
        <w:spacing w:line="576"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ascii="仿宋_GB2312" w:eastAsia="仿宋_GB2312"/>
          <w:color w:val="000000"/>
          <w:sz w:val="32"/>
          <w:szCs w:val="32"/>
        </w:rPr>
        <w:t>200</w:t>
      </w:r>
      <w:r>
        <w:rPr>
          <w:rFonts w:hint="eastAsia" w:ascii="仿宋_GB2312" w:eastAsia="仿宋_GB2312"/>
          <w:color w:val="000000"/>
          <w:sz w:val="32"/>
          <w:szCs w:val="32"/>
        </w:rPr>
        <w:t>万元。</w:t>
      </w:r>
      <w:r>
        <w:rPr>
          <w:rFonts w:ascii="仿宋_GB2312" w:eastAsia="仿宋_GB2312"/>
          <w:color w:val="000000"/>
          <w:sz w:val="32"/>
          <w:szCs w:val="32"/>
        </w:rPr>
        <w:t>用于购买2019年度巨灾险。</w:t>
      </w:r>
    </w:p>
    <w:p>
      <w:pPr>
        <w:numPr>
          <w:ilvl w:val="0"/>
          <w:numId w:val="2"/>
        </w:numPr>
        <w:overflowPunct w:val="0"/>
        <w:spacing w:line="576" w:lineRule="exact"/>
        <w:ind w:left="0" w:firstLine="640"/>
        <w:outlineLvl w:val="1"/>
        <w:rPr>
          <w:rStyle w:val="24"/>
          <w:rFonts w:ascii="黑体" w:eastAsia="黑体"/>
          <w:b w:val="0"/>
        </w:rPr>
      </w:pPr>
      <w:bookmarkStart w:id="48" w:name="_Toc15377219"/>
      <w:bookmarkStart w:id="49" w:name="_Toc15396611"/>
      <w:r>
        <w:rPr>
          <w:rStyle w:val="24"/>
          <w:rFonts w:hint="eastAsia" w:ascii="黑体" w:eastAsia="黑体"/>
          <w:b w:val="0"/>
        </w:rPr>
        <w:t>国有资本经营预算支出决算情况说明</w:t>
      </w:r>
      <w:bookmarkEnd w:id="48"/>
      <w:bookmarkEnd w:id="49"/>
    </w:p>
    <w:p>
      <w:pPr>
        <w:overflowPunct w:val="0"/>
        <w:spacing w:line="576" w:lineRule="exact"/>
        <w:ind w:firstLine="640"/>
        <w:rPr>
          <w:rFonts w:asci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overflowPunct w:val="0"/>
        <w:spacing w:line="576" w:lineRule="exact"/>
        <w:ind w:firstLine="800" w:firstLineChars="250"/>
        <w:outlineLvl w:val="1"/>
        <w:rPr>
          <w:rStyle w:val="24"/>
          <w:rFonts w:ascii="黑体" w:eastAsia="黑体"/>
        </w:rPr>
      </w:pPr>
      <w:bookmarkStart w:id="50" w:name="_Toc15377221"/>
      <w:bookmarkStart w:id="51" w:name="_Toc15396612"/>
      <w:r>
        <w:rPr>
          <w:rFonts w:hint="eastAsia" w:ascii="黑体" w:eastAsia="黑体"/>
          <w:color w:val="000000"/>
          <w:sz w:val="32"/>
          <w:szCs w:val="32"/>
        </w:rPr>
        <w:t>十</w:t>
      </w:r>
      <w:r>
        <w:rPr>
          <w:rStyle w:val="24"/>
          <w:rFonts w:hint="eastAsia" w:ascii="黑体" w:eastAsia="黑体"/>
        </w:rPr>
        <w:t>、</w:t>
      </w:r>
      <w:r>
        <w:rPr>
          <w:rStyle w:val="24"/>
          <w:rFonts w:hint="eastAsia" w:ascii="黑体" w:eastAsia="黑体"/>
          <w:b w:val="0"/>
        </w:rPr>
        <w:t>其他重要事项的情况说明</w:t>
      </w:r>
      <w:bookmarkEnd w:id="50"/>
      <w:bookmarkEnd w:id="51"/>
    </w:p>
    <w:p>
      <w:pPr>
        <w:overflowPunct w:val="0"/>
        <w:spacing w:line="576" w:lineRule="exact"/>
        <w:ind w:firstLine="642" w:firstLineChars="200"/>
        <w:outlineLvl w:val="2"/>
        <w:rPr>
          <w:rFonts w:hint="eastAsia" w:ascii="楷体_GB2312" w:eastAsia="楷体_GB2312"/>
          <w:b/>
          <w:color w:val="000000"/>
          <w:sz w:val="32"/>
          <w:szCs w:val="32"/>
        </w:rPr>
      </w:pPr>
      <w:bookmarkStart w:id="52" w:name="_Toc15377222"/>
      <w:r>
        <w:rPr>
          <w:rFonts w:hint="eastAsia" w:ascii="楷体_GB2312" w:eastAsia="楷体_GB2312"/>
          <w:b/>
          <w:color w:val="000000"/>
          <w:sz w:val="32"/>
          <w:szCs w:val="32"/>
        </w:rPr>
        <w:t>（一）机关运行经费支出情况</w:t>
      </w:r>
      <w:bookmarkEnd w:id="52"/>
    </w:p>
    <w:p>
      <w:pPr>
        <w:overflowPunct w:val="0"/>
        <w:spacing w:line="576" w:lineRule="exact"/>
        <w:ind w:firstLine="640" w:firstLineChars="200"/>
        <w:rPr>
          <w:rFonts w:hint="eastAsia" w:ascii="仿宋_GB2312" w:eastAsia="仿宋_GB2312"/>
          <w:b/>
          <w:color w:val="FF0000"/>
          <w:sz w:val="32"/>
          <w:szCs w:val="32"/>
        </w:rPr>
      </w:pPr>
      <w:r>
        <w:rPr>
          <w:rFonts w:hint="eastAsia" w:ascii="仿宋_GB2312" w:eastAsia="仿宋_GB2312"/>
          <w:color w:val="000000"/>
          <w:sz w:val="32"/>
          <w:szCs w:val="32"/>
        </w:rPr>
        <w:t>2019年，茂县人民政府办公室机关运行经费支出354.24万元，比2018年增加51.68万元，增长17.08%。主要原因是增加电子政务外网建设租用费，增加车辆租用费。</w:t>
      </w:r>
    </w:p>
    <w:p>
      <w:pPr>
        <w:overflowPunct w:val="0"/>
        <w:spacing w:line="576" w:lineRule="exact"/>
        <w:ind w:firstLine="642" w:firstLineChars="200"/>
        <w:outlineLvl w:val="2"/>
        <w:rPr>
          <w:rFonts w:hint="eastAsia" w:ascii="楷体_GB2312" w:eastAsia="楷体_GB2312"/>
          <w:b/>
          <w:color w:val="000000"/>
          <w:sz w:val="32"/>
          <w:szCs w:val="32"/>
        </w:rPr>
      </w:pPr>
      <w:bookmarkStart w:id="53" w:name="_Toc15377223"/>
      <w:r>
        <w:rPr>
          <w:rFonts w:hint="eastAsia" w:ascii="楷体_GB2312" w:eastAsia="楷体_GB2312"/>
          <w:b/>
          <w:color w:val="000000"/>
          <w:sz w:val="32"/>
          <w:szCs w:val="32"/>
        </w:rPr>
        <w:t>（二）政府采购支出情况</w:t>
      </w:r>
      <w:bookmarkEnd w:id="53"/>
    </w:p>
    <w:p>
      <w:pPr>
        <w:overflowPunct w:val="0"/>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茂县人民政府办公室</w:t>
      </w:r>
      <w:r>
        <w:rPr>
          <w:rFonts w:hint="eastAsia" w:ascii="仿宋_GB2312" w:eastAsia="仿宋_GB2312"/>
          <w:color w:val="000000"/>
          <w:sz w:val="32"/>
          <w:szCs w:val="32"/>
        </w:rPr>
        <w:t>政府采购支出总额</w:t>
      </w:r>
      <w:r>
        <w:rPr>
          <w:rFonts w:ascii="仿宋_GB2312" w:eastAsia="仿宋_GB2312"/>
          <w:color w:val="000000"/>
          <w:sz w:val="32"/>
          <w:szCs w:val="32"/>
        </w:rPr>
        <w:t>7.07</w:t>
      </w:r>
      <w:r>
        <w:rPr>
          <w:rFonts w:hint="eastAsia" w:ascii="仿宋_GB2312" w:eastAsia="仿宋_GB2312"/>
          <w:color w:val="000000"/>
          <w:sz w:val="32"/>
          <w:szCs w:val="32"/>
        </w:rPr>
        <w:t>万元，其中：政府采购货物支出</w:t>
      </w:r>
      <w:r>
        <w:rPr>
          <w:rFonts w:ascii="仿宋_GB2312" w:eastAsia="仿宋_GB2312"/>
          <w:color w:val="000000"/>
          <w:sz w:val="32"/>
          <w:szCs w:val="32"/>
        </w:rPr>
        <w:t>7.07</w:t>
      </w:r>
      <w:r>
        <w:rPr>
          <w:rFonts w:hint="eastAsia" w:ascii="仿宋_GB2312" w:eastAsia="仿宋_GB2312"/>
          <w:color w:val="000000"/>
          <w:sz w:val="32"/>
          <w:szCs w:val="32"/>
        </w:rPr>
        <w:t>万元。主要用于</w:t>
      </w:r>
      <w:r>
        <w:rPr>
          <w:rFonts w:ascii="仿宋_GB2312" w:eastAsia="仿宋_GB2312"/>
          <w:color w:val="000000"/>
          <w:sz w:val="32"/>
          <w:szCs w:val="32"/>
        </w:rPr>
        <w:t>人防办为叠溪镇</w:t>
      </w:r>
      <w:r>
        <w:rPr>
          <w:rFonts w:hint="eastAsia" w:ascii="仿宋_GB2312" w:eastAsia="仿宋_GB2312"/>
          <w:color w:val="000000"/>
          <w:sz w:val="32"/>
          <w:szCs w:val="32"/>
          <w:lang w:eastAsia="zh-CN"/>
        </w:rPr>
        <w:t>新磨村地灾点</w:t>
      </w:r>
      <w:r>
        <w:rPr>
          <w:rFonts w:ascii="仿宋_GB2312" w:eastAsia="仿宋_GB2312"/>
          <w:color w:val="000000"/>
          <w:sz w:val="32"/>
          <w:szCs w:val="32"/>
        </w:rPr>
        <w:t>购买防空警报器及单位办公设备购置</w:t>
      </w:r>
      <w:r>
        <w:rPr>
          <w:rFonts w:hint="eastAsia" w:ascii="仿宋_GB2312" w:eastAsia="仿宋_GB2312"/>
          <w:color w:val="000000"/>
          <w:sz w:val="32"/>
          <w:szCs w:val="32"/>
        </w:rPr>
        <w:t>。授予中小企业合同金额</w:t>
      </w:r>
      <w:r>
        <w:rPr>
          <w:rFonts w:ascii="仿宋_GB2312" w:eastAsia="仿宋_GB2312"/>
          <w:color w:val="000000"/>
          <w:sz w:val="32"/>
          <w:szCs w:val="32"/>
        </w:rPr>
        <w:t>7.07</w:t>
      </w:r>
      <w:r>
        <w:rPr>
          <w:rFonts w:hint="eastAsia" w:ascii="仿宋_GB2312" w:eastAsia="仿宋_GB2312"/>
          <w:color w:val="000000"/>
          <w:sz w:val="32"/>
          <w:szCs w:val="32"/>
        </w:rPr>
        <w:t>万元，占政府采购支出总额的</w:t>
      </w:r>
      <w:r>
        <w:rPr>
          <w:rFonts w:ascii="仿宋_GB2312" w:eastAsia="仿宋_GB2312"/>
          <w:color w:val="000000"/>
          <w:sz w:val="32"/>
          <w:szCs w:val="32"/>
        </w:rPr>
        <w:t>100%</w:t>
      </w:r>
      <w:r>
        <w:rPr>
          <w:rFonts w:hint="eastAsia" w:ascii="仿宋_GB2312" w:eastAsia="仿宋_GB2312"/>
          <w:color w:val="000000"/>
          <w:sz w:val="32"/>
          <w:szCs w:val="32"/>
        </w:rPr>
        <w:t>，其中：授予小微企业合同金额</w:t>
      </w:r>
      <w:r>
        <w:rPr>
          <w:rFonts w:ascii="仿宋_GB2312" w:eastAsia="仿宋_GB2312"/>
          <w:color w:val="000000"/>
          <w:sz w:val="32"/>
          <w:szCs w:val="32"/>
        </w:rPr>
        <w:t>7.07</w:t>
      </w:r>
      <w:r>
        <w:rPr>
          <w:rFonts w:hint="eastAsia" w:ascii="仿宋_GB2312" w:eastAsia="仿宋_GB2312"/>
          <w:color w:val="000000"/>
          <w:sz w:val="32"/>
          <w:szCs w:val="32"/>
        </w:rPr>
        <w:t>万元，占政府采购支出总额的</w:t>
      </w:r>
      <w:r>
        <w:rPr>
          <w:rFonts w:ascii="仿宋_GB2312" w:eastAsia="仿宋_GB2312"/>
          <w:color w:val="000000"/>
          <w:sz w:val="32"/>
          <w:szCs w:val="32"/>
        </w:rPr>
        <w:t>100%</w:t>
      </w:r>
      <w:r>
        <w:rPr>
          <w:rFonts w:hint="eastAsia" w:ascii="仿宋_GB2312" w:eastAsia="仿宋_GB2312"/>
          <w:color w:val="000000"/>
          <w:sz w:val="32"/>
          <w:szCs w:val="32"/>
        </w:rPr>
        <w:t>。</w:t>
      </w:r>
    </w:p>
    <w:p>
      <w:pPr>
        <w:overflowPunct w:val="0"/>
        <w:spacing w:line="576" w:lineRule="exact"/>
        <w:ind w:firstLine="642" w:firstLineChars="200"/>
        <w:outlineLvl w:val="2"/>
        <w:rPr>
          <w:rFonts w:hint="eastAsia" w:ascii="楷体_GB2312" w:eastAsia="楷体_GB2312"/>
          <w:b/>
          <w:color w:val="000000"/>
          <w:sz w:val="32"/>
          <w:szCs w:val="32"/>
        </w:rPr>
      </w:pPr>
      <w:bookmarkStart w:id="54" w:name="_Toc15377224"/>
      <w:r>
        <w:rPr>
          <w:rFonts w:hint="eastAsia" w:ascii="楷体_GB2312" w:eastAsia="楷体_GB2312"/>
          <w:b/>
          <w:color w:val="000000"/>
          <w:sz w:val="32"/>
          <w:szCs w:val="32"/>
        </w:rPr>
        <w:t>（三）国有资产占有使用情况</w:t>
      </w:r>
      <w:bookmarkEnd w:id="54"/>
    </w:p>
    <w:p>
      <w:pPr>
        <w:overflowPunct w:val="0"/>
        <w:autoSpaceDE w:val="0"/>
        <w:autoSpaceDN w:val="0"/>
        <w:adjustRightInd w:val="0"/>
        <w:spacing w:line="576" w:lineRule="exact"/>
        <w:ind w:firstLine="640" w:firstLineChars="200"/>
        <w:jc w:val="left"/>
        <w:rPr>
          <w:rFonts w:asci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ascii="仿宋_GB2312" w:eastAsia="仿宋_GB2312"/>
          <w:color w:val="000000"/>
          <w:sz w:val="32"/>
          <w:szCs w:val="32"/>
        </w:rPr>
        <w:t>茂县人民政府办公室</w:t>
      </w:r>
      <w:r>
        <w:rPr>
          <w:rFonts w:hint="eastAsia" w:ascii="仿宋_GB2312" w:eastAsia="仿宋_GB2312"/>
          <w:color w:val="000000"/>
          <w:sz w:val="32"/>
          <w:szCs w:val="32"/>
        </w:rPr>
        <w:t>共有车辆</w:t>
      </w:r>
      <w:r>
        <w:rPr>
          <w:rFonts w:ascii="仿宋_GB2312" w:eastAsia="仿宋_GB2312"/>
          <w:color w:val="000000"/>
          <w:sz w:val="32"/>
          <w:szCs w:val="32"/>
        </w:rPr>
        <w:t>13</w:t>
      </w:r>
      <w:r>
        <w:rPr>
          <w:rFonts w:hint="eastAsia" w:ascii="仿宋_GB2312" w:eastAsia="仿宋_GB2312"/>
          <w:color w:val="000000"/>
          <w:sz w:val="32"/>
          <w:szCs w:val="32"/>
        </w:rPr>
        <w:t>辆，其中：其他用车</w:t>
      </w:r>
      <w:r>
        <w:rPr>
          <w:rFonts w:ascii="仿宋_GB2312" w:eastAsia="仿宋_GB2312"/>
          <w:color w:val="000000"/>
          <w:sz w:val="32"/>
          <w:szCs w:val="32"/>
        </w:rPr>
        <w:t>13</w:t>
      </w:r>
      <w:r>
        <w:rPr>
          <w:rFonts w:hint="eastAsia" w:ascii="仿宋_GB2312" w:eastAsia="仿宋_GB2312"/>
          <w:color w:val="000000"/>
          <w:sz w:val="32"/>
          <w:szCs w:val="32"/>
        </w:rPr>
        <w:t>辆</w:t>
      </w:r>
      <w:r>
        <w:rPr>
          <w:rFonts w:ascii="仿宋_GB2312" w:eastAsia="仿宋_GB2312"/>
          <w:color w:val="000000"/>
          <w:sz w:val="32"/>
          <w:szCs w:val="32"/>
        </w:rPr>
        <w:t>，</w:t>
      </w:r>
      <w:r>
        <w:rPr>
          <w:rFonts w:hint="eastAsia" w:ascii="仿宋_GB2312" w:eastAsia="仿宋_GB2312"/>
          <w:color w:val="000000"/>
          <w:sz w:val="32"/>
          <w:szCs w:val="32"/>
        </w:rPr>
        <w:t>其他用车主要是</w:t>
      </w:r>
      <w:r>
        <w:rPr>
          <w:rFonts w:ascii="仿宋_GB2312" w:eastAsia="仿宋_GB2312"/>
          <w:color w:val="000000"/>
          <w:sz w:val="32"/>
          <w:szCs w:val="32"/>
        </w:rPr>
        <w:t>未进行公车改革单位执行公务保障用车。</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overflowPunct w:val="0"/>
        <w:spacing w:line="576" w:lineRule="exact"/>
        <w:ind w:firstLine="642" w:firstLineChars="200"/>
        <w:outlineLvl w:val="2"/>
        <w:rPr>
          <w:rFonts w:hint="eastAsia" w:ascii="楷体_GB2312" w:eastAsia="楷体_GB2312"/>
          <w:b/>
          <w:color w:val="000000"/>
          <w:sz w:val="32"/>
          <w:szCs w:val="32"/>
        </w:rPr>
      </w:pPr>
      <w:r>
        <w:rPr>
          <w:rFonts w:hint="eastAsia" w:ascii="楷体_GB2312" w:eastAsia="楷体_GB2312"/>
          <w:b/>
          <w:color w:val="000000"/>
          <w:sz w:val="32"/>
          <w:szCs w:val="32"/>
        </w:rPr>
        <w:t>（四）预算绩效管理情况</w:t>
      </w:r>
    </w:p>
    <w:p>
      <w:pPr>
        <w:overflowPunct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w:t>
      </w:r>
      <w:r>
        <w:rPr>
          <w:rFonts w:ascii="仿宋_GB2312" w:eastAsia="仿宋_GB2312" w:cs="仿宋_GB2312"/>
          <w:sz w:val="32"/>
          <w:szCs w:val="32"/>
        </w:rPr>
        <w:t>茂县人民政府办公室</w:t>
      </w:r>
      <w:r>
        <w:rPr>
          <w:rFonts w:hint="eastAsia" w:ascii="仿宋_GB2312" w:eastAsia="仿宋_GB2312" w:cs="仿宋_GB2312"/>
          <w:sz w:val="32"/>
          <w:szCs w:val="32"/>
        </w:rPr>
        <w:t>在年初预算编制阶段，组织对</w:t>
      </w:r>
      <w:r>
        <w:rPr>
          <w:rFonts w:ascii="仿宋_GB2312" w:eastAsia="仿宋_GB2312" w:cs="仿宋_GB2312"/>
          <w:sz w:val="32"/>
          <w:szCs w:val="32"/>
        </w:rPr>
        <w:t>信息咨询服务费、</w:t>
      </w:r>
      <w:r>
        <w:rPr>
          <w:rFonts w:hint="eastAsia" w:ascii="仿宋_GB2312" w:eastAsia="仿宋_GB2312" w:cs="仿宋_GB2312"/>
          <w:sz w:val="32"/>
          <w:szCs w:val="32"/>
        </w:rPr>
        <w:t>巨灾险</w:t>
      </w:r>
      <w:r>
        <w:rPr>
          <w:rFonts w:ascii="仿宋_GB2312" w:eastAsia="仿宋_GB2312" w:cs="仿宋_GB2312"/>
          <w:sz w:val="32"/>
          <w:szCs w:val="32"/>
        </w:rPr>
        <w:t>两个项目进行</w:t>
      </w:r>
      <w:r>
        <w:rPr>
          <w:rFonts w:hint="eastAsia" w:ascii="仿宋_GB2312" w:eastAsia="仿宋_GB2312" w:cs="仿宋_GB2312"/>
          <w:sz w:val="32"/>
          <w:szCs w:val="32"/>
        </w:rPr>
        <w:t>预算事前绩效评估，对</w:t>
      </w:r>
      <w:r>
        <w:rPr>
          <w:rFonts w:ascii="仿宋_GB2312" w:eastAsia="仿宋_GB2312" w:cs="仿宋_GB2312"/>
          <w:sz w:val="32"/>
          <w:szCs w:val="32"/>
        </w:rPr>
        <w:t>2</w:t>
      </w:r>
      <w:r>
        <w:rPr>
          <w:rFonts w:hint="eastAsia" w:ascii="仿宋_GB2312" w:eastAsia="仿宋_GB2312" w:cs="仿宋_GB2312"/>
          <w:sz w:val="32"/>
          <w:szCs w:val="32"/>
        </w:rPr>
        <w:t>个项目编制了绩效目标，预算执行过程中，选取</w:t>
      </w:r>
      <w:r>
        <w:rPr>
          <w:rFonts w:ascii="仿宋_GB2312" w:eastAsia="仿宋_GB2312" w:cs="仿宋_GB2312"/>
          <w:sz w:val="32"/>
          <w:szCs w:val="32"/>
        </w:rPr>
        <w:t>2</w:t>
      </w:r>
      <w:r>
        <w:rPr>
          <w:rFonts w:hint="eastAsia" w:ascii="仿宋_GB2312" w:eastAsia="仿宋_GB2312" w:cs="仿宋_GB2312"/>
          <w:sz w:val="32"/>
          <w:szCs w:val="32"/>
        </w:rPr>
        <w:t>个项目开展绩效监控，年终执行完毕后，对</w:t>
      </w:r>
      <w:r>
        <w:rPr>
          <w:rFonts w:ascii="仿宋_GB2312" w:eastAsia="仿宋_GB2312" w:cs="仿宋_GB2312"/>
          <w:sz w:val="32"/>
          <w:szCs w:val="32"/>
        </w:rPr>
        <w:t>2</w:t>
      </w:r>
      <w:r>
        <w:rPr>
          <w:rFonts w:hint="eastAsia" w:ascii="仿宋_GB2312" w:eastAsia="仿宋_GB2312" w:cs="仿宋_GB2312"/>
          <w:sz w:val="32"/>
          <w:szCs w:val="32"/>
        </w:rPr>
        <w:t>个项目开展了绩效目标完成情况自评。</w:t>
      </w:r>
    </w:p>
    <w:p>
      <w:pPr>
        <w:overflowPunct w:val="0"/>
        <w:spacing w:line="576" w:lineRule="exact"/>
        <w:ind w:firstLine="640" w:firstLineChars="200"/>
        <w:rPr>
          <w:rFonts w:ascii="仿宋_GB2312" w:eastAsia="仿宋_GB2312" w:cs="仿宋_GB2312"/>
          <w:sz w:val="32"/>
          <w:szCs w:val="32"/>
        </w:rPr>
      </w:pPr>
      <w:r>
        <w:rPr>
          <w:rFonts w:ascii="仿宋_GB2312" w:eastAsia="仿宋_GB2312" w:cs="仿宋_GB2312"/>
          <w:sz w:val="32"/>
          <w:szCs w:val="32"/>
        </w:rPr>
        <w:t>我办</w:t>
      </w:r>
      <w:r>
        <w:rPr>
          <w:rFonts w:hint="eastAsia" w:ascii="仿宋_GB2312" w:eastAsia="仿宋_GB2312" w:cs="仿宋_GB2312"/>
          <w:sz w:val="32"/>
          <w:szCs w:val="32"/>
        </w:rPr>
        <w:t>按要求对2019年部门整体支出开展绩效自评，从评价情况来看从评价情况来看</w:t>
      </w:r>
      <w:r>
        <w:rPr>
          <w:rFonts w:hint="eastAsia" w:ascii="仿宋_GB2312" w:eastAsia="仿宋_GB2312" w:cs="仿宋"/>
          <w:sz w:val="32"/>
          <w:szCs w:val="32"/>
        </w:rPr>
        <w:t>我</w:t>
      </w:r>
      <w:r>
        <w:rPr>
          <w:rFonts w:ascii="仿宋_GB2312" w:eastAsia="仿宋_GB2312" w:cs="仿宋"/>
          <w:sz w:val="32"/>
          <w:szCs w:val="32"/>
        </w:rPr>
        <w:t>办</w:t>
      </w:r>
      <w:r>
        <w:rPr>
          <w:rFonts w:hint="eastAsia" w:ascii="仿宋_GB2312" w:eastAsia="仿宋_GB2312" w:cs="仿宋"/>
          <w:sz w:val="32"/>
          <w:szCs w:val="32"/>
        </w:rPr>
        <w:t>部门整体支出绩效评价自查自评结果良好，全年基本支出保证了部门的正常运行和日常工作的正常开展，绩效指标体系逐渐丰富和完善。按照规定向社会公开本年度单位部门</w:t>
      </w:r>
      <w:r>
        <w:rPr>
          <w:rFonts w:ascii="仿宋_GB2312" w:eastAsia="仿宋_GB2312" w:cs="仿宋"/>
          <w:sz w:val="32"/>
          <w:szCs w:val="32"/>
        </w:rPr>
        <w:t>预决算</w:t>
      </w:r>
      <w:r>
        <w:rPr>
          <w:rFonts w:hint="eastAsia" w:ascii="仿宋_GB2312" w:eastAsia="仿宋_GB2312" w:cs="仿宋"/>
          <w:sz w:val="32"/>
          <w:szCs w:val="32"/>
        </w:rPr>
        <w:t>及三公经费的使用情况</w:t>
      </w:r>
      <w:r>
        <w:rPr>
          <w:rFonts w:hint="eastAsia" w:ascii="仿宋_GB2312" w:eastAsia="仿宋_GB2312" w:cs="仿宋_GB2312"/>
          <w:sz w:val="32"/>
          <w:szCs w:val="32"/>
        </w:rPr>
        <w:t>。</w:t>
      </w:r>
    </w:p>
    <w:p>
      <w:pPr>
        <w:overflowPunct w:val="0"/>
        <w:spacing w:line="576" w:lineRule="exact"/>
        <w:ind w:firstLine="642" w:firstLineChars="200"/>
        <w:rPr>
          <w:rFonts w:ascii="仿宋_GB2312" w:eastAsia="仿宋_GB2312" w:cs="仿宋_GB2312"/>
          <w:sz w:val="32"/>
          <w:szCs w:val="32"/>
        </w:rPr>
      </w:pPr>
      <w:r>
        <w:rPr>
          <w:rFonts w:hint="eastAsia" w:ascii="仿宋_GB2312" w:eastAsia="仿宋_GB2312" w:cs="楷体_GB2312"/>
          <w:b/>
          <w:bCs/>
          <w:sz w:val="32"/>
          <w:szCs w:val="32"/>
        </w:rPr>
        <w:t>1.项目绩效目标完成情况</w:t>
      </w:r>
      <w:r>
        <w:rPr>
          <w:rFonts w:hint="eastAsia" w:ascii="仿宋_GB2312" w:eastAsia="仿宋_GB2312" w:cs="楷体_GB2312"/>
          <w:b/>
          <w:bCs/>
          <w:sz w:val="32"/>
          <w:szCs w:val="32"/>
        </w:rPr>
        <w:br w:type="textWrapping"/>
      </w:r>
      <w:r>
        <w:rPr>
          <w:rFonts w:hint="eastAsia" w:ascii="仿宋_GB2312" w:eastAsia="仿宋_GB2312" w:cs="仿宋_GB2312"/>
          <w:sz w:val="32"/>
          <w:szCs w:val="32"/>
        </w:rPr>
        <w:t xml:space="preserve">    本部门在2019年度部门决算中反映“</w:t>
      </w:r>
      <w:r>
        <w:rPr>
          <w:rFonts w:ascii="仿宋_GB2312" w:eastAsia="仿宋_GB2312" w:cs="仿宋_GB2312"/>
          <w:sz w:val="32"/>
          <w:szCs w:val="32"/>
        </w:rPr>
        <w:t>信息咨询服务费”</w:t>
      </w:r>
      <w:r>
        <w:rPr>
          <w:rFonts w:hint="eastAsia" w:ascii="仿宋_GB2312" w:eastAsia="仿宋_GB2312" w:cs="仿宋_GB2312"/>
          <w:sz w:val="32"/>
          <w:szCs w:val="32"/>
        </w:rPr>
        <w:t>“巨灾险”等</w:t>
      </w:r>
      <w:r>
        <w:rPr>
          <w:rFonts w:ascii="仿宋_GB2312" w:eastAsia="仿宋_GB2312" w:cs="仿宋_GB2312"/>
          <w:sz w:val="32"/>
          <w:szCs w:val="32"/>
        </w:rPr>
        <w:t>2</w:t>
      </w:r>
      <w:r>
        <w:rPr>
          <w:rFonts w:hint="eastAsia" w:ascii="仿宋_GB2312" w:eastAsia="仿宋_GB2312" w:cs="仿宋_GB2312"/>
          <w:sz w:val="32"/>
          <w:szCs w:val="32"/>
        </w:rPr>
        <w:t>个项目绩效目标实际完成情况。</w:t>
      </w:r>
    </w:p>
    <w:p>
      <w:pPr>
        <w:overflowPunct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w:t>
      </w:r>
      <w:r>
        <w:rPr>
          <w:rFonts w:ascii="仿宋_GB2312" w:eastAsia="仿宋_GB2312" w:cs="仿宋_GB2312"/>
          <w:sz w:val="32"/>
          <w:szCs w:val="32"/>
        </w:rPr>
        <w:t>信息咨询服务费</w:t>
      </w:r>
      <w:r>
        <w:rPr>
          <w:rFonts w:hint="eastAsia" w:ascii="仿宋_GB2312" w:eastAsia="仿宋_GB2312" w:cs="仿宋_GB2312"/>
          <w:sz w:val="32"/>
          <w:szCs w:val="32"/>
        </w:rPr>
        <w:t>项目绩效目标完成情况综述。项目全年预算数</w:t>
      </w:r>
      <w:r>
        <w:rPr>
          <w:rFonts w:ascii="仿宋_GB2312" w:eastAsia="仿宋_GB2312" w:cs="仿宋_GB2312"/>
          <w:sz w:val="32"/>
          <w:szCs w:val="32"/>
        </w:rPr>
        <w:t>10</w:t>
      </w:r>
      <w:r>
        <w:rPr>
          <w:rFonts w:hint="eastAsia" w:ascii="仿宋_GB2312" w:eastAsia="仿宋_GB2312" w:cs="仿宋_GB2312"/>
          <w:sz w:val="32"/>
          <w:szCs w:val="32"/>
        </w:rPr>
        <w:t>万元，执行数为</w:t>
      </w:r>
      <w:r>
        <w:rPr>
          <w:rFonts w:ascii="仿宋_GB2312" w:eastAsia="仿宋_GB2312" w:cs="仿宋_GB2312"/>
          <w:sz w:val="32"/>
          <w:szCs w:val="32"/>
        </w:rPr>
        <w:t>10</w:t>
      </w:r>
      <w:r>
        <w:rPr>
          <w:rFonts w:hint="eastAsia" w:ascii="仿宋_GB2312" w:eastAsia="仿宋_GB2312" w:cs="仿宋_GB2312"/>
          <w:sz w:val="32"/>
          <w:szCs w:val="32"/>
        </w:rPr>
        <w:t>万元，完成预算的</w:t>
      </w:r>
      <w:r>
        <w:rPr>
          <w:rFonts w:ascii="仿宋_GB2312" w:eastAsia="仿宋_GB2312" w:cs="仿宋_GB2312"/>
          <w:sz w:val="32"/>
          <w:szCs w:val="32"/>
        </w:rPr>
        <w:t>100</w:t>
      </w:r>
      <w:r>
        <w:rPr>
          <w:rFonts w:hint="eastAsia" w:ascii="仿宋_GB2312" w:eastAsia="仿宋_GB2312" w:cs="仿宋_GB2312"/>
          <w:sz w:val="32"/>
          <w:szCs w:val="32"/>
        </w:rPr>
        <w:t>%。通过项目实施，保障</w:t>
      </w:r>
      <w:r>
        <w:rPr>
          <w:rFonts w:ascii="仿宋_GB2312" w:eastAsia="仿宋_GB2312" w:cs="仿宋_GB2312"/>
          <w:sz w:val="32"/>
          <w:szCs w:val="32"/>
        </w:rPr>
        <w:t>获取信息的及时性、准确性，拓宽了信息渠道，为县政府依法决策、民主决策提供了依据，增强决策能力。</w:t>
      </w:r>
    </w:p>
    <w:p>
      <w:pPr>
        <w:overflowPunct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（2）巨灾险项目绩效目标完成情况综述。项目全年预算数</w:t>
      </w:r>
      <w:r>
        <w:rPr>
          <w:rFonts w:ascii="仿宋_GB2312" w:eastAsia="仿宋_GB2312" w:cs="仿宋_GB2312"/>
          <w:sz w:val="32"/>
          <w:szCs w:val="32"/>
        </w:rPr>
        <w:t>200</w:t>
      </w:r>
      <w:r>
        <w:rPr>
          <w:rFonts w:hint="eastAsia" w:ascii="仿宋_GB2312" w:eastAsia="仿宋_GB2312" w:cs="仿宋_GB2312"/>
          <w:sz w:val="32"/>
          <w:szCs w:val="32"/>
        </w:rPr>
        <w:t>万元，执行数为</w:t>
      </w:r>
      <w:r>
        <w:rPr>
          <w:rFonts w:ascii="仿宋_GB2312" w:eastAsia="仿宋_GB2312" w:cs="仿宋_GB2312"/>
          <w:sz w:val="32"/>
          <w:szCs w:val="32"/>
        </w:rPr>
        <w:t>200万</w:t>
      </w:r>
      <w:r>
        <w:rPr>
          <w:rFonts w:hint="eastAsia" w:ascii="仿宋_GB2312" w:eastAsia="仿宋_GB2312" w:cs="仿宋_GB2312"/>
          <w:sz w:val="32"/>
          <w:szCs w:val="32"/>
        </w:rPr>
        <w:t>元，完成预算的</w:t>
      </w:r>
      <w:r>
        <w:rPr>
          <w:rFonts w:ascii="仿宋_GB2312" w:eastAsia="仿宋_GB2312" w:cs="仿宋_GB2312"/>
          <w:sz w:val="32"/>
          <w:szCs w:val="32"/>
        </w:rPr>
        <w:t>100</w:t>
      </w:r>
      <w:r>
        <w:rPr>
          <w:rFonts w:hint="eastAsia" w:ascii="仿宋_GB2312" w:eastAsia="仿宋_GB2312" w:cs="仿宋_GB2312"/>
          <w:sz w:val="32"/>
          <w:szCs w:val="32"/>
        </w:rPr>
        <w:t>%。通过项目实施，</w:t>
      </w:r>
      <w:r>
        <w:rPr>
          <w:rFonts w:ascii="仿宋_GB2312" w:eastAsia="仿宋_GB2312" w:cs="仿宋_GB2312"/>
          <w:sz w:val="32"/>
          <w:szCs w:val="32"/>
        </w:rPr>
        <w:t>在应对地震、泥石泥、崩塌、突发性滑坡及强降雨等地灾及其他自然灾害时增强政府抵御自然灾害的能力，减少自然灾害给人民群众造成的损失。</w:t>
      </w:r>
    </w:p>
    <w:p>
      <w:pPr>
        <w:overflowPunct w:val="0"/>
        <w:spacing w:line="576" w:lineRule="exact"/>
        <w:rPr>
          <w:rFonts w:ascii="仿宋_GB2312" w:eastAsia="仿宋_GB2312" w:cs="仿宋_GB2312"/>
          <w:sz w:val="32"/>
          <w:szCs w:val="32"/>
        </w:rPr>
      </w:pPr>
    </w:p>
    <w:tbl>
      <w:tblPr>
        <w:tblStyle w:val="19"/>
        <w:tblpPr w:leftFromText="180" w:rightFromText="180" w:vertAnchor="text" w:horzAnchor="page" w:tblpXSpec="center" w:tblpY="423"/>
        <w:tblOverlap w:val="never"/>
        <w:tblW w:w="524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30"/>
        <w:gridCol w:w="942"/>
        <w:gridCol w:w="1157"/>
        <w:gridCol w:w="1365"/>
        <w:gridCol w:w="2646"/>
        <w:gridCol w:w="24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5000" w:type="pct"/>
            <w:gridSpan w:val="6"/>
            <w:tcBorders>
              <w:top w:val="nil"/>
              <w:left w:val="nil"/>
              <w:bottom w:val="nil"/>
              <w:right w:val="nil"/>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b/>
                <w:bCs/>
                <w:color w:val="000000"/>
                <w:kern w:val="0"/>
                <w:sz w:val="24"/>
              </w:rPr>
              <w:t>项目绩效目标完成情况表</w:t>
            </w:r>
            <w:r>
              <w:rPr>
                <w:rFonts w:hint="eastAsia" w:ascii="仿宋_GB2312" w:eastAsia="仿宋_GB2312" w:cs="宋体"/>
                <w:b/>
                <w:bCs/>
                <w:color w:val="000000"/>
                <w:kern w:val="0"/>
                <w:sz w:val="24"/>
              </w:rPr>
              <w:br w:type="textWrapping"/>
            </w:r>
            <w:r>
              <w:rPr>
                <w:rFonts w:hint="eastAsia" w:ascii="仿宋_GB2312" w:eastAsia="仿宋_GB2312" w:cs="宋体"/>
                <w:color w:val="000000"/>
                <w:kern w:val="0"/>
                <w:sz w:val="24"/>
              </w:rPr>
              <w:t>(2019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1519"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项目名称</w:t>
            </w:r>
          </w:p>
        </w:tc>
        <w:tc>
          <w:tcPr>
            <w:tcW w:w="3480"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信息咨询服务费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1519"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预算单位</w:t>
            </w:r>
          </w:p>
        </w:tc>
        <w:tc>
          <w:tcPr>
            <w:tcW w:w="3480"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茂县人民政府办公室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2"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预算执行情况(万元)</w:t>
            </w:r>
          </w:p>
        </w:tc>
        <w:tc>
          <w:tcPr>
            <w:tcW w:w="1127"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预算数:</w:t>
            </w:r>
          </w:p>
        </w:tc>
        <w:tc>
          <w:tcPr>
            <w:tcW w:w="7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10万元</w:t>
            </w:r>
          </w:p>
        </w:tc>
        <w:tc>
          <w:tcPr>
            <w:tcW w:w="142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执行数:</w:t>
            </w:r>
          </w:p>
        </w:tc>
        <w:tc>
          <w:tcPr>
            <w:tcW w:w="13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5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1127"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其中-财政拨款:</w:t>
            </w:r>
          </w:p>
        </w:tc>
        <w:tc>
          <w:tcPr>
            <w:tcW w:w="7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10万元</w:t>
            </w:r>
          </w:p>
        </w:tc>
        <w:tc>
          <w:tcPr>
            <w:tcW w:w="142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其中-财政拨款:</w:t>
            </w:r>
          </w:p>
        </w:tc>
        <w:tc>
          <w:tcPr>
            <w:tcW w:w="13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25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1127"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lang w:eastAsia="zh-CN"/>
              </w:rPr>
              <w:t>其他资金</w:t>
            </w:r>
            <w:r>
              <w:rPr>
                <w:rFonts w:hint="eastAsia" w:ascii="仿宋_GB2312" w:eastAsia="仿宋_GB2312" w:cs="宋体"/>
                <w:color w:val="000000"/>
                <w:kern w:val="0"/>
                <w:sz w:val="24"/>
              </w:rPr>
              <w:t>:</w:t>
            </w:r>
          </w:p>
        </w:tc>
        <w:tc>
          <w:tcPr>
            <w:tcW w:w="7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p>
        </w:tc>
        <w:tc>
          <w:tcPr>
            <w:tcW w:w="142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lang w:eastAsia="zh-CN"/>
              </w:rPr>
              <w:t>其他资金</w:t>
            </w:r>
            <w:r>
              <w:rPr>
                <w:rFonts w:hint="eastAsia" w:ascii="仿宋_GB2312" w:eastAsia="仿宋_GB2312" w:cs="宋体"/>
                <w:color w:val="000000"/>
                <w:kern w:val="0"/>
                <w:sz w:val="24"/>
              </w:rPr>
              <w:t>:</w:t>
            </w:r>
          </w:p>
        </w:tc>
        <w:tc>
          <w:tcPr>
            <w:tcW w:w="13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overflowPunct w:val="0"/>
              <w:jc w:val="center"/>
              <w:rPr>
                <w:rFonts w:ascii="仿宋_GB2312" w:eastAsia="仿宋_GB2312"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2"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年度目标完成情况</w:t>
            </w:r>
          </w:p>
        </w:tc>
        <w:tc>
          <w:tcPr>
            <w:tcW w:w="1860"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预期目标</w:t>
            </w:r>
          </w:p>
        </w:tc>
        <w:tc>
          <w:tcPr>
            <w:tcW w:w="2747"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257" w:type="pct"/>
            <w:vMerge w:val="continue"/>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tc>
        <w:tc>
          <w:tcPr>
            <w:tcW w:w="1860"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overflowPunct w:val="0"/>
              <w:spacing w:line="580" w:lineRule="exact"/>
              <w:ind w:firstLine="480" w:firstLineChars="200"/>
              <w:rPr>
                <w:rFonts w:ascii="仿宋_GB2312" w:eastAsia="仿宋_GB2312" w:cs="仿宋_GB2312"/>
                <w:sz w:val="24"/>
              </w:rPr>
            </w:pPr>
            <w:r>
              <w:rPr>
                <w:rFonts w:hint="eastAsia" w:ascii="仿宋_GB2312" w:eastAsia="仿宋_GB2312" w:cs="仿宋_GB2312"/>
                <w:sz w:val="24"/>
              </w:rPr>
              <w:t>保障获取信息的及时性、准确性，拓宽了信息渠道，为县政府依法决策、民主决策提供了依据，增强决策能力。</w:t>
            </w:r>
          </w:p>
          <w:p>
            <w:pPr>
              <w:widowControl/>
              <w:overflowPunct w:val="0"/>
              <w:jc w:val="center"/>
              <w:textAlignment w:val="center"/>
              <w:rPr>
                <w:rFonts w:ascii="仿宋_GB2312" w:eastAsia="仿宋_GB2312" w:cs="宋体"/>
                <w:color w:val="000000"/>
                <w:sz w:val="24"/>
              </w:rPr>
            </w:pPr>
          </w:p>
        </w:tc>
        <w:tc>
          <w:tcPr>
            <w:tcW w:w="2747"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overflowPunct w:val="0"/>
              <w:spacing w:line="580" w:lineRule="exact"/>
              <w:ind w:firstLine="480" w:firstLineChars="200"/>
              <w:rPr>
                <w:rFonts w:ascii="仿宋_GB2312" w:eastAsia="仿宋_GB2312" w:cs="仿宋_GB2312"/>
                <w:sz w:val="24"/>
              </w:rPr>
            </w:pPr>
            <w:r>
              <w:rPr>
                <w:rFonts w:hint="eastAsia" w:ascii="仿宋_GB2312" w:eastAsia="仿宋_GB2312" w:cs="仿宋_GB2312"/>
                <w:sz w:val="24"/>
              </w:rPr>
              <w:t>保障获取信息的及时性、准确性，拓宽了信息渠道，为县政府依法决策、民主决策提供了依据，增强决策能力。</w:t>
            </w:r>
          </w:p>
          <w:p>
            <w:pPr>
              <w:widowControl/>
              <w:overflowPunct w:val="0"/>
              <w:jc w:val="center"/>
              <w:textAlignment w:val="center"/>
              <w:rPr>
                <w:rFonts w:ascii="仿宋_GB2312" w:eastAsia="仿宋_GB2312"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95" w:hRule="atLeast"/>
        </w:trPr>
        <w:tc>
          <w:tcPr>
            <w:tcW w:w="392" w:type="pct"/>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绩效指标完成情况</w:t>
            </w:r>
          </w:p>
        </w:tc>
        <w:tc>
          <w:tcPr>
            <w:tcW w:w="506" w:type="pct"/>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一级指标</w:t>
            </w:r>
          </w:p>
        </w:tc>
        <w:tc>
          <w:tcPr>
            <w:tcW w:w="62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二级指标</w:t>
            </w:r>
          </w:p>
        </w:tc>
        <w:tc>
          <w:tcPr>
            <w:tcW w:w="7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三级指标</w:t>
            </w:r>
          </w:p>
        </w:tc>
        <w:tc>
          <w:tcPr>
            <w:tcW w:w="142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预期指标值(包含数字及文字描述)</w:t>
            </w:r>
          </w:p>
        </w:tc>
        <w:tc>
          <w:tcPr>
            <w:tcW w:w="13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5" w:hRule="atLeast"/>
        </w:trPr>
        <w:tc>
          <w:tcPr>
            <w:tcW w:w="257" w:type="pct"/>
            <w:vMerge w:val="continue"/>
            <w:tcBorders>
              <w:top w:val="single" w:color="auto" w:sz="4" w:space="0"/>
              <w:left w:val="single" w:color="auto" w:sz="4" w:space="0"/>
              <w:bottom w:val="nil"/>
              <w:right w:val="single" w:color="auto" w:sz="4" w:space="0"/>
            </w:tcBorders>
            <w:tcMar>
              <w:top w:w="15" w:type="dxa"/>
              <w:left w:w="15" w:type="dxa"/>
              <w:right w:w="15" w:type="dxa"/>
            </w:tcMar>
            <w:vAlign w:val="center"/>
          </w:tcPr>
          <w:p/>
        </w:tc>
        <w:tc>
          <w:tcPr>
            <w:tcW w:w="506" w:type="pct"/>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项目完成指标</w:t>
            </w:r>
          </w:p>
        </w:tc>
        <w:tc>
          <w:tcPr>
            <w:tcW w:w="62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数量指标</w:t>
            </w:r>
          </w:p>
        </w:tc>
        <w:tc>
          <w:tcPr>
            <w:tcW w:w="7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按照合同约提供信息</w:t>
            </w:r>
          </w:p>
        </w:tc>
        <w:tc>
          <w:tcPr>
            <w:tcW w:w="142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及时、准确提供信息</w:t>
            </w:r>
          </w:p>
        </w:tc>
        <w:tc>
          <w:tcPr>
            <w:tcW w:w="13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textAlignment w:val="center"/>
              <w:rPr>
                <w:rFonts w:ascii="仿宋_GB2312" w:eastAsia="仿宋_GB2312" w:cs="宋体"/>
                <w:color w:val="000000"/>
                <w:sz w:val="24"/>
              </w:rPr>
            </w:pPr>
            <w:r>
              <w:rPr>
                <w:rFonts w:hint="eastAsia" w:ascii="仿宋_GB2312" w:eastAsia="仿宋_GB2312" w:cs="宋体"/>
                <w:color w:val="000000"/>
                <w:sz w:val="24"/>
              </w:rPr>
              <w:t>已严格按照合同约定完成服务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257" w:type="pct"/>
            <w:vMerge w:val="continue"/>
            <w:tcBorders>
              <w:top w:val="nil"/>
              <w:left w:val="single" w:color="auto" w:sz="4" w:space="0"/>
              <w:bottom w:val="nil"/>
              <w:right w:val="single" w:color="auto" w:sz="4" w:space="0"/>
            </w:tcBorders>
            <w:tcMar>
              <w:top w:w="15" w:type="dxa"/>
              <w:left w:w="15" w:type="dxa"/>
              <w:right w:w="15" w:type="dxa"/>
            </w:tcMar>
            <w:vAlign w:val="center"/>
          </w:tcPr>
          <w:p/>
        </w:tc>
        <w:tc>
          <w:tcPr>
            <w:tcW w:w="506" w:type="pct"/>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项目完成指标</w:t>
            </w:r>
          </w:p>
        </w:tc>
        <w:tc>
          <w:tcPr>
            <w:tcW w:w="62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时效指标</w:t>
            </w:r>
          </w:p>
        </w:tc>
        <w:tc>
          <w:tcPr>
            <w:tcW w:w="7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服务时间</w:t>
            </w:r>
          </w:p>
        </w:tc>
        <w:tc>
          <w:tcPr>
            <w:tcW w:w="142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2019年1月1日至2019年12月31日</w:t>
            </w:r>
          </w:p>
        </w:tc>
        <w:tc>
          <w:tcPr>
            <w:tcW w:w="13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已完成2019年1月1日至2019年12月31日期间的服务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257" w:type="pct"/>
            <w:vMerge w:val="continue"/>
            <w:tcBorders>
              <w:top w:val="nil"/>
              <w:left w:val="single" w:color="auto" w:sz="4" w:space="0"/>
              <w:bottom w:val="nil"/>
              <w:right w:val="single" w:color="auto" w:sz="4" w:space="0"/>
            </w:tcBorders>
            <w:tcMar>
              <w:top w:w="15" w:type="dxa"/>
              <w:left w:w="15" w:type="dxa"/>
              <w:right w:w="15" w:type="dxa"/>
            </w:tcMar>
            <w:vAlign w:val="center"/>
          </w:tcPr>
          <w:p/>
        </w:tc>
        <w:tc>
          <w:tcPr>
            <w:tcW w:w="506" w:type="pct"/>
            <w:tcBorders>
              <w:top w:val="single" w:color="000000" w:sz="4" w:space="0"/>
              <w:left w:val="single" w:color="auto" w:sz="4" w:space="0"/>
              <w:bottom w:val="single" w:color="auto"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项目完成指标</w:t>
            </w:r>
          </w:p>
        </w:tc>
        <w:tc>
          <w:tcPr>
            <w:tcW w:w="62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成本指标</w:t>
            </w:r>
          </w:p>
        </w:tc>
        <w:tc>
          <w:tcPr>
            <w:tcW w:w="7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合同运维成本</w:t>
            </w:r>
          </w:p>
        </w:tc>
        <w:tc>
          <w:tcPr>
            <w:tcW w:w="142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不超过10万元</w:t>
            </w:r>
          </w:p>
        </w:tc>
        <w:tc>
          <w:tcPr>
            <w:tcW w:w="13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实际成本和支出为10万元。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257" w:type="pct"/>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tc>
        <w:tc>
          <w:tcPr>
            <w:tcW w:w="506"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满意度指标</w:t>
            </w:r>
          </w:p>
        </w:tc>
        <w:tc>
          <w:tcPr>
            <w:tcW w:w="620" w:type="pct"/>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满意度指标</w:t>
            </w:r>
          </w:p>
        </w:tc>
        <w:tc>
          <w:tcPr>
            <w:tcW w:w="7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服务对象满意度</w:t>
            </w:r>
          </w:p>
        </w:tc>
        <w:tc>
          <w:tcPr>
            <w:tcW w:w="142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大于等于90%</w:t>
            </w:r>
          </w:p>
        </w:tc>
        <w:tc>
          <w:tcPr>
            <w:tcW w:w="13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超过90%，未接到投诉和质疑</w:t>
            </w:r>
            <w:r>
              <w:rPr>
                <w:rFonts w:ascii="仿宋_GB2312" w:eastAsia="仿宋_GB2312" w:cs="宋体"/>
                <w:color w:val="00000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47" w:hRule="atLeast"/>
        </w:trPr>
        <w:tc>
          <w:tcPr>
            <w:tcW w:w="5000" w:type="pct"/>
            <w:gridSpan w:val="6"/>
            <w:tcBorders>
              <w:top w:val="nil"/>
              <w:left w:val="nil"/>
              <w:bottom w:val="nil"/>
              <w:right w:val="nil"/>
            </w:tcBorders>
            <w:tcMar>
              <w:top w:w="15" w:type="dxa"/>
              <w:left w:w="15" w:type="dxa"/>
              <w:right w:w="15" w:type="dxa"/>
            </w:tcMar>
            <w:vAlign w:val="center"/>
          </w:tcPr>
          <w:p>
            <w:pPr>
              <w:widowControl/>
              <w:overflowPunct w:val="0"/>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(2019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1519"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textAlignment w:val="center"/>
              <w:rPr>
                <w:rFonts w:ascii="仿宋_GB2312" w:eastAsia="仿宋_GB2312" w:cs="宋体"/>
                <w:color w:val="000000"/>
                <w:sz w:val="24"/>
              </w:rPr>
            </w:pPr>
            <w:r>
              <w:rPr>
                <w:rFonts w:ascii="仿宋_GB2312" w:eastAsia="仿宋_GB2312" w:cs="宋体"/>
                <w:color w:val="000000"/>
                <w:kern w:val="0"/>
                <w:sz w:val="24"/>
              </w:rPr>
              <w:t>项</w:t>
            </w:r>
            <w:r>
              <w:rPr>
                <w:rFonts w:hint="eastAsia" w:ascii="仿宋_GB2312" w:eastAsia="仿宋_GB2312" w:cs="宋体"/>
                <w:color w:val="000000"/>
                <w:kern w:val="0"/>
                <w:sz w:val="24"/>
              </w:rPr>
              <w:t>目名称</w:t>
            </w:r>
          </w:p>
        </w:tc>
        <w:tc>
          <w:tcPr>
            <w:tcW w:w="3480"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巨灾险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1519"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预算单位</w:t>
            </w:r>
          </w:p>
        </w:tc>
        <w:tc>
          <w:tcPr>
            <w:tcW w:w="3480"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茂县人民政府办公室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2"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预算执行情况(万元)</w:t>
            </w:r>
          </w:p>
        </w:tc>
        <w:tc>
          <w:tcPr>
            <w:tcW w:w="1127"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预算数:</w:t>
            </w:r>
          </w:p>
        </w:tc>
        <w:tc>
          <w:tcPr>
            <w:tcW w:w="7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200万元</w:t>
            </w:r>
          </w:p>
        </w:tc>
        <w:tc>
          <w:tcPr>
            <w:tcW w:w="142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执行数:</w:t>
            </w:r>
          </w:p>
        </w:tc>
        <w:tc>
          <w:tcPr>
            <w:tcW w:w="13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200万元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5" w:hRule="atLeast"/>
        </w:trPr>
        <w:tc>
          <w:tcPr>
            <w:tcW w:w="25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1127"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其中-财政拨款:</w:t>
            </w:r>
          </w:p>
        </w:tc>
        <w:tc>
          <w:tcPr>
            <w:tcW w:w="7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200万元</w:t>
            </w:r>
          </w:p>
        </w:tc>
        <w:tc>
          <w:tcPr>
            <w:tcW w:w="142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其中-财政拨款:</w:t>
            </w:r>
          </w:p>
        </w:tc>
        <w:tc>
          <w:tcPr>
            <w:tcW w:w="13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200万元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9" w:hRule="atLeast"/>
        </w:trPr>
        <w:tc>
          <w:tcPr>
            <w:tcW w:w="25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1127"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lang w:eastAsia="zh-CN"/>
              </w:rPr>
              <w:t>其他资金</w:t>
            </w:r>
            <w:r>
              <w:rPr>
                <w:rFonts w:hint="eastAsia" w:ascii="仿宋_GB2312" w:eastAsia="仿宋_GB2312" w:cs="宋体"/>
                <w:color w:val="000000"/>
                <w:kern w:val="0"/>
                <w:sz w:val="24"/>
              </w:rPr>
              <w:t>:</w:t>
            </w:r>
          </w:p>
        </w:tc>
        <w:tc>
          <w:tcPr>
            <w:tcW w:w="7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p>
        </w:tc>
        <w:tc>
          <w:tcPr>
            <w:tcW w:w="142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lang w:eastAsia="zh-CN"/>
              </w:rPr>
              <w:t>其他资金</w:t>
            </w:r>
            <w:r>
              <w:rPr>
                <w:rFonts w:hint="eastAsia" w:ascii="仿宋_GB2312" w:eastAsia="仿宋_GB2312" w:cs="宋体"/>
                <w:color w:val="000000"/>
                <w:kern w:val="0"/>
                <w:sz w:val="24"/>
              </w:rPr>
              <w:t>:</w:t>
            </w:r>
          </w:p>
        </w:tc>
        <w:tc>
          <w:tcPr>
            <w:tcW w:w="13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overflowPunct w:val="0"/>
              <w:jc w:val="center"/>
              <w:rPr>
                <w:rFonts w:ascii="仿宋_GB2312" w:eastAsia="仿宋_GB2312"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2"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年度目标完成情况</w:t>
            </w:r>
          </w:p>
        </w:tc>
        <w:tc>
          <w:tcPr>
            <w:tcW w:w="1860"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预期目标</w:t>
            </w:r>
          </w:p>
        </w:tc>
        <w:tc>
          <w:tcPr>
            <w:tcW w:w="2747"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25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1860"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overflowPunct w:val="0"/>
              <w:spacing w:line="280" w:lineRule="exact"/>
              <w:ind w:firstLine="480" w:firstLineChars="200"/>
              <w:rPr>
                <w:rFonts w:ascii="仿宋_GB2312" w:eastAsia="仿宋_GB2312" w:cs="仿宋_GB2312"/>
                <w:sz w:val="24"/>
              </w:rPr>
            </w:pPr>
            <w:r>
              <w:rPr>
                <w:rFonts w:hint="eastAsia" w:ascii="仿宋_GB2312" w:eastAsia="仿宋_GB2312" w:cs="仿宋_GB2312"/>
                <w:sz w:val="24"/>
              </w:rPr>
              <w:t>在应对</w:t>
            </w:r>
            <w:r>
              <w:rPr>
                <w:rFonts w:ascii="仿宋_GB2312" w:eastAsia="仿宋_GB2312" w:cs="仿宋_GB2312"/>
                <w:sz w:val="24"/>
              </w:rPr>
              <w:t>地震、</w:t>
            </w:r>
            <w:r>
              <w:rPr>
                <w:rFonts w:hint="eastAsia" w:ascii="仿宋_GB2312" w:eastAsia="仿宋_GB2312" w:cs="仿宋_GB2312"/>
                <w:sz w:val="24"/>
              </w:rPr>
              <w:t>泥石泥、崩塌、突发性滑坡及强降雨等地灾及其他自然灾害时增强政府抵御自然灾害的能力，减少自然灾害给人民群众造成的损失。</w:t>
            </w:r>
          </w:p>
        </w:tc>
        <w:tc>
          <w:tcPr>
            <w:tcW w:w="2747"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overflowPunct w:val="0"/>
              <w:spacing w:line="280" w:lineRule="exact"/>
              <w:ind w:firstLine="480" w:firstLineChars="200"/>
              <w:rPr>
                <w:rFonts w:ascii="仿宋_GB2312" w:eastAsia="仿宋_GB2312" w:cs="仿宋_GB2312"/>
                <w:sz w:val="24"/>
              </w:rPr>
            </w:pPr>
            <w:r>
              <w:rPr>
                <w:rFonts w:hint="eastAsia" w:ascii="仿宋_GB2312" w:eastAsia="仿宋_GB2312" w:cs="仿宋_GB2312"/>
                <w:sz w:val="24"/>
              </w:rPr>
              <w:t>在应对</w:t>
            </w:r>
            <w:r>
              <w:rPr>
                <w:rFonts w:ascii="仿宋_GB2312" w:eastAsia="仿宋_GB2312" w:cs="仿宋_GB2312"/>
                <w:sz w:val="24"/>
              </w:rPr>
              <w:t>地震、</w:t>
            </w:r>
            <w:r>
              <w:rPr>
                <w:rFonts w:hint="eastAsia" w:ascii="仿宋_GB2312" w:eastAsia="仿宋_GB2312" w:cs="仿宋_GB2312"/>
                <w:sz w:val="24"/>
              </w:rPr>
              <w:t>泥石泥、崩塌、突发性滑坡及强降雨等地灾及其他自然灾害时增强政府抵御自然灾害的能力，减少自然灾害给人民群众造成的损失。</w:t>
            </w:r>
          </w:p>
          <w:p>
            <w:pPr>
              <w:widowControl/>
              <w:overflowPunct w:val="0"/>
              <w:spacing w:line="280" w:lineRule="exact"/>
              <w:jc w:val="center"/>
              <w:textAlignment w:val="center"/>
              <w:rPr>
                <w:rFonts w:ascii="仿宋_GB2312" w:eastAsia="仿宋_GB2312"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5" w:hRule="atLeast"/>
        </w:trPr>
        <w:tc>
          <w:tcPr>
            <w:tcW w:w="392" w:type="pct"/>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绩效指标完成情况</w:t>
            </w:r>
          </w:p>
        </w:tc>
        <w:tc>
          <w:tcPr>
            <w:tcW w:w="50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一级指标</w:t>
            </w:r>
          </w:p>
        </w:tc>
        <w:tc>
          <w:tcPr>
            <w:tcW w:w="62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二级指标</w:t>
            </w:r>
          </w:p>
        </w:tc>
        <w:tc>
          <w:tcPr>
            <w:tcW w:w="7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三级指标</w:t>
            </w:r>
          </w:p>
        </w:tc>
        <w:tc>
          <w:tcPr>
            <w:tcW w:w="142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预期指标值(包含数字及文字描述)</w:t>
            </w:r>
          </w:p>
        </w:tc>
        <w:tc>
          <w:tcPr>
            <w:tcW w:w="13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257" w:type="pct"/>
            <w:vMerge w:val="continue"/>
            <w:tcBorders>
              <w:top w:val="nil"/>
              <w:left w:val="single" w:color="000000" w:sz="4" w:space="0"/>
              <w:bottom w:val="nil"/>
              <w:right w:val="single" w:color="000000" w:sz="4" w:space="0"/>
            </w:tcBorders>
            <w:tcMar>
              <w:top w:w="15" w:type="dxa"/>
              <w:left w:w="15" w:type="dxa"/>
              <w:right w:w="15" w:type="dxa"/>
            </w:tcMar>
            <w:vAlign w:val="center"/>
          </w:tcPr>
          <w:p/>
        </w:tc>
        <w:tc>
          <w:tcPr>
            <w:tcW w:w="50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项目完成指标</w:t>
            </w:r>
          </w:p>
        </w:tc>
        <w:tc>
          <w:tcPr>
            <w:tcW w:w="62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数量指标</w:t>
            </w:r>
          </w:p>
        </w:tc>
        <w:tc>
          <w:tcPr>
            <w:tcW w:w="7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textAlignment w:val="center"/>
              <w:rPr>
                <w:rFonts w:ascii="仿宋_GB2312" w:eastAsia="仿宋_GB2312" w:cs="宋体"/>
                <w:color w:val="000000"/>
                <w:sz w:val="24"/>
              </w:rPr>
            </w:pPr>
            <w:r>
              <w:rPr>
                <w:rFonts w:hint="eastAsia" w:ascii="仿宋_GB2312" w:eastAsia="仿宋_GB2312" w:cs="宋体"/>
                <w:color w:val="000000"/>
                <w:sz w:val="24"/>
              </w:rPr>
              <w:t>保险责任</w:t>
            </w:r>
          </w:p>
        </w:tc>
        <w:tc>
          <w:tcPr>
            <w:tcW w:w="142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1.地震和其他自然灾害所导致的政府财政支出。2.有3个及以上的涉灾赔偿单位危害程度的群体事件中，政府履行救助所产生的支出。</w:t>
            </w:r>
          </w:p>
        </w:tc>
        <w:tc>
          <w:tcPr>
            <w:tcW w:w="13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已按合同</w:t>
            </w:r>
            <w:r>
              <w:rPr>
                <w:rFonts w:ascii="仿宋_GB2312" w:eastAsia="仿宋_GB2312" w:cs="宋体"/>
                <w:color w:val="000000"/>
                <w:sz w:val="24"/>
              </w:rPr>
              <w:t>约定</w:t>
            </w:r>
            <w:r>
              <w:rPr>
                <w:rFonts w:hint="eastAsia" w:ascii="仿宋_GB2312" w:eastAsia="仿宋_GB2312" w:cs="宋体"/>
                <w:color w:val="000000"/>
                <w:sz w:val="24"/>
              </w:rPr>
              <w:t>完成“8.20”强降雨特大山洪泥石流灾害保险理赔50万元。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1" w:hRule="atLeast"/>
        </w:trPr>
        <w:tc>
          <w:tcPr>
            <w:tcW w:w="257" w:type="pct"/>
            <w:vMerge w:val="continue"/>
            <w:tcBorders>
              <w:top w:val="nil"/>
              <w:left w:val="single" w:color="000000" w:sz="4" w:space="0"/>
              <w:bottom w:val="nil"/>
              <w:right w:val="single" w:color="000000" w:sz="4" w:space="0"/>
            </w:tcBorders>
            <w:tcMar>
              <w:top w:w="15" w:type="dxa"/>
              <w:left w:w="15" w:type="dxa"/>
              <w:right w:w="15" w:type="dxa"/>
            </w:tcMar>
            <w:vAlign w:val="center"/>
          </w:tcPr>
          <w:p/>
        </w:tc>
        <w:tc>
          <w:tcPr>
            <w:tcW w:w="50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项目完成指标</w:t>
            </w:r>
          </w:p>
        </w:tc>
        <w:tc>
          <w:tcPr>
            <w:tcW w:w="62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时效指标</w:t>
            </w:r>
          </w:p>
        </w:tc>
        <w:tc>
          <w:tcPr>
            <w:tcW w:w="7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保险期间</w:t>
            </w:r>
          </w:p>
        </w:tc>
        <w:tc>
          <w:tcPr>
            <w:tcW w:w="142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2019年1月1日至2019年12月31日</w:t>
            </w:r>
          </w:p>
        </w:tc>
        <w:tc>
          <w:tcPr>
            <w:tcW w:w="13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已完成2019年1月1日至2019年12月31日期间的合约义务。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5" w:hRule="atLeast"/>
        </w:trPr>
        <w:tc>
          <w:tcPr>
            <w:tcW w:w="257" w:type="pct"/>
            <w:vMerge w:val="continue"/>
            <w:tcBorders>
              <w:top w:val="nil"/>
              <w:left w:val="single" w:color="000000" w:sz="4" w:space="0"/>
              <w:bottom w:val="nil"/>
              <w:right w:val="single" w:color="000000" w:sz="4" w:space="0"/>
            </w:tcBorders>
            <w:tcMar>
              <w:top w:w="15" w:type="dxa"/>
              <w:left w:w="15" w:type="dxa"/>
              <w:right w:w="15" w:type="dxa"/>
            </w:tcMar>
            <w:vAlign w:val="center"/>
          </w:tcPr>
          <w:p/>
        </w:tc>
        <w:tc>
          <w:tcPr>
            <w:tcW w:w="50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项目完成指标</w:t>
            </w:r>
          </w:p>
        </w:tc>
        <w:tc>
          <w:tcPr>
            <w:tcW w:w="62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成本指标</w:t>
            </w:r>
          </w:p>
        </w:tc>
        <w:tc>
          <w:tcPr>
            <w:tcW w:w="7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合同运维成本</w:t>
            </w:r>
          </w:p>
        </w:tc>
        <w:tc>
          <w:tcPr>
            <w:tcW w:w="142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textAlignment w:val="center"/>
              <w:rPr>
                <w:rFonts w:ascii="仿宋_GB2312" w:eastAsia="仿宋_GB2312" w:cs="宋体"/>
                <w:color w:val="000000"/>
                <w:sz w:val="24"/>
              </w:rPr>
            </w:pPr>
            <w:r>
              <w:rPr>
                <w:rFonts w:hint="eastAsia" w:ascii="仿宋_GB2312" w:eastAsia="仿宋_GB2312" w:cs="宋体"/>
                <w:color w:val="000000"/>
                <w:sz w:val="24"/>
              </w:rPr>
              <w:t>不超过200万元 。</w:t>
            </w:r>
          </w:p>
        </w:tc>
        <w:tc>
          <w:tcPr>
            <w:tcW w:w="13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实际成本和支出200万元。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257" w:type="pct"/>
            <w:vMerge w:val="continue"/>
            <w:tcBorders>
              <w:top w:val="nil"/>
              <w:left w:val="single" w:color="000000" w:sz="4" w:space="0"/>
              <w:bottom w:val="nil"/>
              <w:right w:val="single" w:color="000000" w:sz="4" w:space="0"/>
            </w:tcBorders>
            <w:tcMar>
              <w:top w:w="15" w:type="dxa"/>
              <w:left w:w="15" w:type="dxa"/>
              <w:right w:w="15" w:type="dxa"/>
            </w:tcMar>
            <w:vAlign w:val="center"/>
          </w:tcPr>
          <w:p/>
        </w:tc>
        <w:tc>
          <w:tcPr>
            <w:tcW w:w="50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效益指标</w:t>
            </w:r>
          </w:p>
        </w:tc>
        <w:tc>
          <w:tcPr>
            <w:tcW w:w="62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社会效益指标</w:t>
            </w:r>
          </w:p>
        </w:tc>
        <w:tc>
          <w:tcPr>
            <w:tcW w:w="7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通过购买巨灾险达到风险转移</w:t>
            </w:r>
          </w:p>
        </w:tc>
        <w:tc>
          <w:tcPr>
            <w:tcW w:w="142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仿宋_GB2312"/>
                <w:sz w:val="24"/>
              </w:rPr>
              <w:t>在应对</w:t>
            </w:r>
            <w:r>
              <w:rPr>
                <w:rFonts w:ascii="仿宋_GB2312" w:eastAsia="仿宋_GB2312" w:cs="仿宋_GB2312"/>
                <w:sz w:val="24"/>
              </w:rPr>
              <w:t>地震、</w:t>
            </w:r>
            <w:r>
              <w:rPr>
                <w:rFonts w:hint="eastAsia" w:ascii="仿宋_GB2312" w:eastAsia="仿宋_GB2312" w:cs="仿宋_GB2312"/>
                <w:sz w:val="24"/>
              </w:rPr>
              <w:t>泥石泥、崩塌、突发性滑坡及强降雨等地灾及其他自然灾害时增强政府抵御自然灾害的能力，减少自然灾害给人民群众造成的损失。</w:t>
            </w:r>
          </w:p>
        </w:tc>
        <w:tc>
          <w:tcPr>
            <w:tcW w:w="13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已达到预期目标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5" w:hRule="atLeast"/>
        </w:trPr>
        <w:tc>
          <w:tcPr>
            <w:tcW w:w="257" w:type="pct"/>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tc>
        <w:tc>
          <w:tcPr>
            <w:tcW w:w="50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满意度指标</w:t>
            </w:r>
          </w:p>
        </w:tc>
        <w:tc>
          <w:tcPr>
            <w:tcW w:w="62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kern w:val="0"/>
                <w:sz w:val="24"/>
              </w:rPr>
              <w:t>满意度指标</w:t>
            </w:r>
          </w:p>
        </w:tc>
        <w:tc>
          <w:tcPr>
            <w:tcW w:w="7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ascii="仿宋_GB2312" w:eastAsia="仿宋_GB2312" w:cs="宋体"/>
                <w:color w:val="000000"/>
                <w:sz w:val="24"/>
              </w:rPr>
              <w:t>服务对象满意度</w:t>
            </w:r>
          </w:p>
        </w:tc>
        <w:tc>
          <w:tcPr>
            <w:tcW w:w="142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大于等于90%</w:t>
            </w:r>
          </w:p>
        </w:tc>
        <w:tc>
          <w:tcPr>
            <w:tcW w:w="13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overflowPunct w:val="0"/>
              <w:jc w:val="center"/>
              <w:textAlignment w:val="center"/>
              <w:rPr>
                <w:rFonts w:ascii="仿宋_GB2312" w:eastAsia="仿宋_GB2312" w:cs="宋体"/>
                <w:color w:val="000000"/>
                <w:sz w:val="24"/>
              </w:rPr>
            </w:pPr>
            <w:r>
              <w:rPr>
                <w:rFonts w:hint="eastAsia" w:ascii="仿宋_GB2312" w:eastAsia="仿宋_GB2312" w:cs="宋体"/>
                <w:color w:val="000000"/>
                <w:sz w:val="24"/>
              </w:rPr>
              <w:t>超过90%，未接到投诉和质疑</w:t>
            </w:r>
            <w:r>
              <w:rPr>
                <w:rFonts w:ascii="仿宋_GB2312" w:eastAsia="仿宋_GB2312" w:cs="宋体"/>
                <w:color w:val="000000"/>
                <w:sz w:val="24"/>
              </w:rPr>
              <w:t>。</w:t>
            </w:r>
          </w:p>
        </w:tc>
      </w:tr>
    </w:tbl>
    <w:p>
      <w:pPr>
        <w:overflowPunct w:val="0"/>
        <w:spacing w:line="576" w:lineRule="exact"/>
        <w:ind w:left="630"/>
        <w:rPr>
          <w:rFonts w:hint="eastAsia" w:ascii="仿宋_GB2312" w:eastAsia="仿宋_GB2312" w:cs="楷体_GB2312"/>
          <w:b/>
          <w:bCs/>
          <w:sz w:val="32"/>
          <w:szCs w:val="32"/>
        </w:rPr>
      </w:pPr>
      <w:r>
        <w:rPr>
          <w:rFonts w:hint="eastAsia" w:ascii="仿宋_GB2312" w:eastAsia="仿宋_GB2312" w:cs="楷体_GB2312"/>
          <w:b/>
          <w:bCs/>
          <w:sz w:val="32"/>
          <w:szCs w:val="32"/>
        </w:rPr>
        <w:t>2.部门绩效评价结果</w:t>
      </w:r>
    </w:p>
    <w:p>
      <w:pPr>
        <w:overflowPunct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本部门按要求对2019年部门整体支出绩效评价情况开展自评，《</w:t>
      </w:r>
      <w:r>
        <w:rPr>
          <w:rFonts w:ascii="仿宋_GB2312" w:eastAsia="仿宋_GB2312" w:cs="仿宋_GB2312"/>
          <w:sz w:val="32"/>
          <w:szCs w:val="32"/>
        </w:rPr>
        <w:t>茂县人民政府办公室</w:t>
      </w:r>
      <w:r>
        <w:rPr>
          <w:rFonts w:hint="eastAsia" w:ascii="仿宋_GB2312" w:eastAsia="仿宋_GB2312" w:cs="仿宋_GB2312"/>
          <w:sz w:val="32"/>
          <w:szCs w:val="32"/>
        </w:rPr>
        <w:t>2019年部门整体支出绩效评价报告》见附件（附件1）。</w:t>
      </w:r>
    </w:p>
    <w:p>
      <w:pPr>
        <w:widowControl/>
        <w:overflowPunct w:val="0"/>
        <w:spacing w:line="576" w:lineRule="exact"/>
        <w:jc w:val="center"/>
        <w:rPr>
          <w:rStyle w:val="23"/>
          <w:rFonts w:hint="eastAsia" w:ascii="方正小标宋简体" w:eastAsia="方正小标宋简体"/>
          <w:b w:val="0"/>
          <w:bCs w:val="0"/>
        </w:rPr>
      </w:pPr>
      <w:r>
        <w:rPr>
          <w:rFonts w:ascii="仿宋_GB2312" w:eastAsia="仿宋_GB2312"/>
          <w:b/>
          <w:color w:val="000000"/>
          <w:sz w:val="32"/>
          <w:szCs w:val="32"/>
        </w:rPr>
        <w:br w:type="page"/>
      </w:r>
      <w:bookmarkStart w:id="55" w:name="_Toc15377225"/>
      <w:bookmarkStart w:id="56" w:name="_Toc15396613"/>
      <w:r>
        <w:rPr>
          <w:rFonts w:hint="eastAsia" w:ascii="方正小标宋简体" w:eastAsia="方正小标宋简体"/>
          <w:color w:val="000000"/>
          <w:sz w:val="44"/>
          <w:szCs w:val="44"/>
        </w:rPr>
        <w:t>第三部分 名</w:t>
      </w:r>
      <w:r>
        <w:rPr>
          <w:rStyle w:val="23"/>
          <w:rFonts w:hint="eastAsia" w:ascii="方正小标宋简体" w:eastAsia="方正小标宋简体"/>
          <w:b w:val="0"/>
          <w:bCs w:val="0"/>
        </w:rPr>
        <w:t>词解释</w:t>
      </w:r>
      <w:bookmarkEnd w:id="55"/>
      <w:bookmarkEnd w:id="56"/>
    </w:p>
    <w:p>
      <w:pPr>
        <w:overflowPunct w:val="0"/>
        <w:spacing w:line="576" w:lineRule="exact"/>
        <w:jc w:val="left"/>
        <w:rPr>
          <w:rFonts w:ascii="宋体"/>
          <w:b/>
          <w:color w:val="000000"/>
          <w:sz w:val="44"/>
          <w:szCs w:val="44"/>
        </w:rPr>
      </w:pPr>
    </w:p>
    <w:p>
      <w:pPr>
        <w:pStyle w:val="28"/>
        <w:overflowPunct w:val="0"/>
        <w:autoSpaceDE w:val="0"/>
        <w:autoSpaceDN w:val="0"/>
        <w:spacing w:line="576"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1.财政拨款收入：指单位从同级财政部门取得的财政预算资金。</w:t>
      </w:r>
    </w:p>
    <w:p>
      <w:pPr>
        <w:pStyle w:val="28"/>
        <w:overflowPunct w:val="0"/>
        <w:autoSpaceDE w:val="0"/>
        <w:autoSpaceDN w:val="0"/>
        <w:spacing w:line="576"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2.事业收入：指事业单位开展专业业务活动及辅助活动取得的收入。</w:t>
      </w:r>
    </w:p>
    <w:p>
      <w:pPr>
        <w:pStyle w:val="28"/>
        <w:overflowPunct w:val="0"/>
        <w:autoSpaceDE w:val="0"/>
        <w:autoSpaceDN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3.经营收入：指事业单位在专业业务活动及其辅助活动之外开展非独立核算经营活动取得的收入。</w:t>
      </w:r>
    </w:p>
    <w:p>
      <w:pPr>
        <w:pStyle w:val="28"/>
        <w:overflowPunct w:val="0"/>
        <w:autoSpaceDE w:val="0"/>
        <w:autoSpaceDN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4.其他收入：指单位取得的除上述收入以外的各项收入。</w:t>
      </w:r>
    </w:p>
    <w:p>
      <w:pPr>
        <w:pStyle w:val="28"/>
        <w:overflowPunct w:val="0"/>
        <w:autoSpaceDE w:val="0"/>
        <w:autoSpaceDN w:val="0"/>
        <w:spacing w:line="576"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8"/>
        <w:overflowPunct w:val="0"/>
        <w:autoSpaceDE w:val="0"/>
        <w:autoSpaceDN w:val="0"/>
        <w:spacing w:line="576"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6.年初结转和结余：指以前年度尚未完成、结转到本年按有关规定继续使用的资金。</w:t>
      </w:r>
    </w:p>
    <w:p>
      <w:pPr>
        <w:pStyle w:val="28"/>
        <w:overflowPunct w:val="0"/>
        <w:autoSpaceDE w:val="0"/>
        <w:autoSpaceDN w:val="0"/>
        <w:spacing w:line="576"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7.结余分配：指事业单位按照事业单位会计制度的规定从非财政补助结余中分配的事业基金和职工福利基金等。</w:t>
      </w:r>
    </w:p>
    <w:p>
      <w:pPr>
        <w:pStyle w:val="28"/>
        <w:overflowPunct w:val="0"/>
        <w:autoSpaceDE w:val="0"/>
        <w:autoSpaceDN w:val="0"/>
        <w:spacing w:line="576"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8、年末结转和结余：指单位按有关规定结转到下年或以后年度继续使用的资金。</w:t>
      </w:r>
    </w:p>
    <w:p>
      <w:pPr>
        <w:overflowPunct w:val="0"/>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9.一般公共服务（类）政府办公厅（室）及相关机构事务（款）行政运行（项）：指行政单位（包括实行公务员管理的事业单位）的基本支出。</w:t>
      </w:r>
    </w:p>
    <w:p>
      <w:pPr>
        <w:overflowPunct w:val="0"/>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10. 一般公共服务（类）政府办公厅（室）及相关机构事务（款）事业运行（项）：指事业单位的基本支出，不包括行政单位（包括实行公务员管理的事业单位）后勤服务中心、医务室等附属事业单位。</w:t>
      </w:r>
    </w:p>
    <w:p>
      <w:pPr>
        <w:overflowPunct w:val="0"/>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12.</w:t>
      </w:r>
      <w:r>
        <w:rPr>
          <w:rStyle w:val="21"/>
          <w:rFonts w:hint="eastAsia" w:ascii="仿宋_GB2312" w:eastAsia="仿宋_GB2312" w:cs="仿宋_GB2312"/>
          <w:b w:val="0"/>
          <w:color w:val="000000"/>
          <w:sz w:val="32"/>
          <w:szCs w:val="32"/>
        </w:rPr>
        <w:t>社会保障和就业支出（类）行政事业单位离退休（款）</w:t>
      </w:r>
      <w:r>
        <w:rPr>
          <w:rFonts w:hint="eastAsia" w:ascii="仿宋_GB2312" w:eastAsia="仿宋_GB2312" w:cs="仿宋_GB2312"/>
          <w:color w:val="000000"/>
          <w:sz w:val="32"/>
          <w:szCs w:val="32"/>
        </w:rPr>
        <w:t>机关事业单位基本养老保险缴费支出（项）：指反映机关事业单位实施养老保险制度由单位缴纳的基本养老保险费支出。</w:t>
      </w:r>
    </w:p>
    <w:p>
      <w:pPr>
        <w:overflowPunct w:val="0"/>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13.</w:t>
      </w:r>
      <w:r>
        <w:rPr>
          <w:rStyle w:val="21"/>
          <w:rFonts w:hint="eastAsia" w:ascii="仿宋_GB2312" w:eastAsia="仿宋_GB2312" w:cs="仿宋_GB2312"/>
          <w:b w:val="0"/>
          <w:color w:val="000000"/>
          <w:sz w:val="32"/>
          <w:szCs w:val="32"/>
        </w:rPr>
        <w:t>社会保障和就业支出（类）行政事业单位离退休（款）</w:t>
      </w:r>
      <w:r>
        <w:rPr>
          <w:rFonts w:hint="eastAsia" w:ascii="仿宋_GB2312" w:eastAsia="仿宋_GB2312" w:cs="仿宋_GB2312"/>
          <w:color w:val="000000"/>
          <w:sz w:val="32"/>
          <w:szCs w:val="32"/>
        </w:rPr>
        <w:t>机关事业单位职业年金缴费支出（项）：指反映机关事业单位实施养老保险制度由单位缴纳的职业年金支出。</w:t>
      </w:r>
    </w:p>
    <w:p>
      <w:pPr>
        <w:overflowPunct w:val="0"/>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14.医疗卫生与计划生育支出（类）医疗保障（款）行政单位医疗（项）：指反映财政部门集中安排的行政单位基本医疗保险缴费经费，未参加医疗保险的行政单位的公费医疗经费，按国家规定享受离休人员待遇的医疗经费。</w:t>
      </w:r>
    </w:p>
    <w:p>
      <w:pPr>
        <w:overflowPunct w:val="0"/>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15.</w:t>
      </w:r>
      <w:r>
        <w:rPr>
          <w:rStyle w:val="21"/>
          <w:rFonts w:hint="eastAsia" w:ascii="仿宋_GB2312" w:eastAsia="仿宋_GB2312" w:cs="仿宋_GB2312"/>
          <w:b w:val="0"/>
          <w:color w:val="000000"/>
          <w:sz w:val="32"/>
          <w:szCs w:val="32"/>
        </w:rPr>
        <w:t>医疗卫生与计划生育（类）行政事业单位医疗（11款）事业单位医疗（项）</w:t>
      </w:r>
      <w:r>
        <w:rPr>
          <w:rFonts w:hint="eastAsia" w:ascii="仿宋_GB2312" w:eastAsia="仿宋_GB2312" w:cs="仿宋_GB2312"/>
          <w:color w:val="000000"/>
          <w:sz w:val="32"/>
          <w:szCs w:val="32"/>
        </w:rPr>
        <w:t>：指事业单位用于缴纳单位基本医疗保险支出。</w:t>
      </w:r>
    </w:p>
    <w:p>
      <w:pPr>
        <w:overflowPunct w:val="0"/>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16.住房保障支出（类）住房改革支出（款）住房公积金（项）：指反映行政事业单位按人力资源和社会保障部、财政部规定的基本工资和津贴以及规定比例为职工缴纳的住房公积金。</w:t>
      </w:r>
    </w:p>
    <w:p>
      <w:pPr>
        <w:overflowPunct w:val="0"/>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17.住房保障支出（类）住房改革支出（款）购房补贴（项）：指反映按房改政策规定，行政事业单位向符合条件职工（含离退休人员）、军队（含武警）向转役复员离退休人员发放的用于购买住房的补贴。</w:t>
      </w:r>
    </w:p>
    <w:p>
      <w:pPr>
        <w:overflowPunct w:val="0"/>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18.基本支出：指为保障机构正常运转、完成日常工作任务而发生的人员支出和公用支出。</w:t>
      </w:r>
    </w:p>
    <w:p>
      <w:pPr>
        <w:overflowPunct w:val="0"/>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19.项目支出：指在基本支出之外为完成特定行政任务和事业发展目标所发生的支出。</w:t>
      </w:r>
    </w:p>
    <w:p>
      <w:pPr>
        <w:pStyle w:val="28"/>
        <w:overflowPunct w:val="0"/>
        <w:autoSpaceDE w:val="0"/>
        <w:autoSpaceDN w:val="0"/>
        <w:spacing w:line="576"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overflowPunct w:val="0"/>
        <w:autoSpaceDE w:val="0"/>
        <w:autoSpaceDN w:val="0"/>
        <w:spacing w:line="576"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overflowPunct w:val="0"/>
        <w:spacing w:line="576" w:lineRule="exact"/>
        <w:jc w:val="center"/>
        <w:outlineLvl w:val="0"/>
        <w:rPr>
          <w:rStyle w:val="23"/>
          <w:rFonts w:hint="eastAsia" w:ascii="方正小标宋简体" w:eastAsia="方正小标宋简体"/>
          <w:b w:val="0"/>
          <w:bCs w:val="0"/>
        </w:rPr>
      </w:pPr>
      <w:bookmarkStart w:id="57" w:name="_Toc15377226"/>
      <w:r>
        <w:rPr>
          <w:rFonts w:ascii="宋体"/>
          <w:b/>
          <w:color w:val="000000"/>
          <w:sz w:val="44"/>
          <w:szCs w:val="44"/>
        </w:rPr>
        <w:br w:type="page"/>
      </w:r>
      <w:bookmarkStart w:id="58" w:name="_Toc15396614"/>
      <w:r>
        <w:rPr>
          <w:rFonts w:hint="eastAsia" w:ascii="方正小标宋简体" w:eastAsia="方正小标宋简体"/>
          <w:color w:val="000000"/>
          <w:sz w:val="44"/>
          <w:szCs w:val="44"/>
        </w:rPr>
        <w:t>第</w:t>
      </w:r>
      <w:r>
        <w:rPr>
          <w:rStyle w:val="23"/>
          <w:rFonts w:hint="eastAsia" w:ascii="方正小标宋简体" w:eastAsia="方正小标宋简体"/>
          <w:b w:val="0"/>
          <w:bCs w:val="0"/>
        </w:rPr>
        <w:t>四部分 附件</w:t>
      </w:r>
      <w:bookmarkEnd w:id="58"/>
    </w:p>
    <w:p>
      <w:pPr>
        <w:overflowPunct w:val="0"/>
        <w:spacing w:line="576" w:lineRule="exact"/>
        <w:jc w:val="left"/>
        <w:outlineLvl w:val="0"/>
        <w:rPr>
          <w:rFonts w:ascii="方正小标宋简体" w:eastAsia="方正小标宋简体" w:cs="方正小标宋简体"/>
          <w:sz w:val="32"/>
          <w:szCs w:val="32"/>
        </w:rPr>
      </w:pPr>
      <w:r>
        <w:rPr>
          <w:rFonts w:hint="eastAsia" w:ascii="黑体" w:eastAsia="黑体" w:cs="黑体"/>
          <w:sz w:val="32"/>
          <w:szCs w:val="32"/>
        </w:rPr>
        <w:t>附件1</w:t>
      </w:r>
    </w:p>
    <w:p>
      <w:pPr>
        <w:overflowPunct w:val="0"/>
        <w:spacing w:line="576" w:lineRule="exact"/>
        <w:jc w:val="center"/>
        <w:rPr>
          <w:rFonts w:ascii="方正小标宋简体" w:eastAsia="方正小标宋简体" w:cs="方正小标宋简体"/>
          <w:sz w:val="44"/>
          <w:szCs w:val="44"/>
        </w:rPr>
      </w:pPr>
    </w:p>
    <w:p>
      <w:pPr>
        <w:overflowPunct w:val="0"/>
        <w:spacing w:line="576" w:lineRule="exact"/>
        <w:jc w:val="center"/>
        <w:rPr>
          <w:rFonts w:ascii="方正小标宋简体" w:eastAsia="方正小标宋简体"/>
          <w:color w:val="000000"/>
          <w:kern w:val="0"/>
          <w:sz w:val="40"/>
          <w:szCs w:val="44"/>
        </w:rPr>
      </w:pPr>
      <w:r>
        <w:rPr>
          <w:rFonts w:ascii="方正小标宋简体" w:eastAsia="方正小标宋简体"/>
          <w:color w:val="000000"/>
          <w:kern w:val="0"/>
          <w:sz w:val="40"/>
          <w:szCs w:val="44"/>
        </w:rPr>
        <w:t>茂县人民政府办公室</w:t>
      </w:r>
    </w:p>
    <w:p>
      <w:pPr>
        <w:overflowPunct w:val="0"/>
        <w:spacing w:line="576" w:lineRule="exact"/>
        <w:jc w:val="center"/>
        <w:rPr>
          <w:rFonts w:hint="eastAsia" w:ascii="方正小标宋简体" w:eastAsia="方正小标宋简体"/>
          <w:color w:val="000000"/>
          <w:kern w:val="0"/>
          <w:sz w:val="40"/>
          <w:szCs w:val="44"/>
          <w:lang w:val="zh-CN"/>
        </w:rPr>
      </w:pPr>
      <w:r>
        <w:rPr>
          <w:rFonts w:ascii="方正小标宋简体" w:eastAsia="方正小标宋简体"/>
          <w:color w:val="000000"/>
          <w:kern w:val="0"/>
          <w:sz w:val="40"/>
          <w:szCs w:val="44"/>
        </w:rPr>
        <w:t>2019年部门</w:t>
      </w:r>
      <w:r>
        <w:rPr>
          <w:rFonts w:hint="eastAsia" w:ascii="方正小标宋简体" w:eastAsia="方正小标宋简体"/>
          <w:color w:val="000000"/>
          <w:kern w:val="0"/>
          <w:sz w:val="40"/>
          <w:szCs w:val="44"/>
          <w:lang w:val="zh-CN"/>
        </w:rPr>
        <w:t>整体支出绩效评价报告</w:t>
      </w:r>
    </w:p>
    <w:p>
      <w:pPr>
        <w:overflowPunct w:val="0"/>
        <w:spacing w:line="576" w:lineRule="exact"/>
        <w:jc w:val="center"/>
        <w:rPr>
          <w:rFonts w:hint="eastAsia" w:ascii="方正小标宋简体" w:eastAsia="方正小标宋简体"/>
          <w:color w:val="000000"/>
          <w:kern w:val="0"/>
          <w:sz w:val="40"/>
          <w:szCs w:val="44"/>
          <w:lang w:val="zh-CN"/>
        </w:rPr>
      </w:pPr>
    </w:p>
    <w:p>
      <w:pPr>
        <w:widowControl/>
        <w:overflowPunct w:val="0"/>
        <w:adjustRightInd w:val="0"/>
        <w:snapToGrid w:val="0"/>
        <w:spacing w:line="576"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numPr>
          <w:ilvl w:val="0"/>
          <w:numId w:val="3"/>
        </w:numPr>
        <w:overflowPunct w:val="0"/>
        <w:adjustRightInd w:val="0"/>
        <w:snapToGrid w:val="0"/>
        <w:spacing w:line="576" w:lineRule="exact"/>
        <w:contextualSpacing/>
        <w:jc w:val="left"/>
        <w:rPr>
          <w:rFonts w:hint="eastAsia" w:ascii="楷体_GB2312" w:eastAsia="楷体_GB2312" w:cs="宋体"/>
          <w:b/>
          <w:bCs/>
          <w:color w:val="000000"/>
          <w:kern w:val="0"/>
          <w:sz w:val="32"/>
          <w:szCs w:val="32"/>
          <w:shd w:val="clear" w:color="auto" w:fill="FFFFFF"/>
          <w:lang w:val="zh-CN"/>
        </w:rPr>
      </w:pPr>
      <w:r>
        <w:rPr>
          <w:rFonts w:hint="eastAsia" w:ascii="楷体_GB2312" w:eastAsia="楷体_GB2312" w:cs="宋体"/>
          <w:b/>
          <w:bCs/>
          <w:color w:val="000000"/>
          <w:kern w:val="0"/>
          <w:sz w:val="32"/>
          <w:szCs w:val="32"/>
          <w:shd w:val="clear" w:color="auto" w:fill="FFFFFF"/>
          <w:lang w:val="zh-CN"/>
        </w:rPr>
        <w:t>机构组成</w:t>
      </w:r>
    </w:p>
    <w:p>
      <w:pPr>
        <w:widowControl/>
        <w:overflowPunct w:val="0"/>
        <w:adjustRightInd w:val="0"/>
        <w:snapToGrid w:val="0"/>
        <w:spacing w:line="576" w:lineRule="exact"/>
        <w:ind w:left="104"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sz w:val="32"/>
        </w:rPr>
        <w:t>茂县</w:t>
      </w:r>
      <w:r>
        <w:rPr>
          <w:rFonts w:ascii="仿宋_GB2312" w:eastAsia="仿宋_GB2312"/>
          <w:sz w:val="32"/>
        </w:rPr>
        <w:t>人民政府办公室</w:t>
      </w:r>
      <w:r>
        <w:rPr>
          <w:rFonts w:hint="eastAsia" w:ascii="仿宋_GB2312" w:eastAsia="仿宋_GB2312"/>
          <w:sz w:val="32"/>
        </w:rPr>
        <w:t>内设机构有：</w:t>
      </w:r>
      <w:r>
        <w:rPr>
          <w:rFonts w:hint="eastAsia" w:ascii="仿宋_GB2312" w:eastAsia="仿宋_GB2312"/>
          <w:sz w:val="32"/>
          <w:szCs w:val="32"/>
        </w:rPr>
        <w:t>秘书股、综合股、机关事务管理股</w:t>
      </w:r>
      <w:r>
        <w:rPr>
          <w:rFonts w:ascii="仿宋_GB2312" w:eastAsia="仿宋_GB2312"/>
          <w:sz w:val="32"/>
          <w:szCs w:val="32"/>
        </w:rPr>
        <w:t>，下设事业机构：茂县人民防空办公室、茂县人民政府</w:t>
      </w:r>
      <w:r>
        <w:rPr>
          <w:rFonts w:hint="eastAsia" w:ascii="仿宋_GB2312" w:eastAsia="仿宋_GB2312"/>
          <w:sz w:val="32"/>
          <w:szCs w:val="32"/>
        </w:rPr>
        <w:t>信息</w:t>
      </w:r>
      <w:r>
        <w:rPr>
          <w:rFonts w:ascii="仿宋_GB2312" w:eastAsia="仿宋_GB2312"/>
          <w:sz w:val="32"/>
          <w:szCs w:val="32"/>
        </w:rPr>
        <w:t>公开</w:t>
      </w:r>
      <w:r>
        <w:rPr>
          <w:rFonts w:hint="eastAsia" w:ascii="仿宋_GB2312" w:eastAsia="仿宋_GB2312"/>
          <w:sz w:val="32"/>
          <w:szCs w:val="32"/>
        </w:rPr>
        <w:t>工作</w:t>
      </w:r>
      <w:r>
        <w:rPr>
          <w:rFonts w:ascii="仿宋_GB2312" w:eastAsia="仿宋_GB2312"/>
          <w:sz w:val="32"/>
          <w:szCs w:val="32"/>
        </w:rPr>
        <w:t>中心、县机关后勤保障服务中心</w:t>
      </w:r>
      <w:r>
        <w:rPr>
          <w:rFonts w:hint="eastAsia" w:ascii="仿宋_GB2312" w:eastAsia="仿宋_GB2312"/>
          <w:sz w:val="32"/>
        </w:rPr>
        <w:t>。</w:t>
      </w:r>
    </w:p>
    <w:p>
      <w:pPr>
        <w:widowControl/>
        <w:overflowPunct w:val="0"/>
        <w:adjustRightInd w:val="0"/>
        <w:snapToGrid w:val="0"/>
        <w:spacing w:line="576" w:lineRule="exact"/>
        <w:ind w:firstLine="642" w:firstLineChars="200"/>
        <w:contextualSpacing/>
        <w:jc w:val="left"/>
        <w:rPr>
          <w:rFonts w:ascii="仿宋_GB2312" w:eastAsia="仿宋_GB2312" w:cs="宋体"/>
          <w:color w:val="000000"/>
          <w:kern w:val="0"/>
          <w:sz w:val="32"/>
          <w:szCs w:val="32"/>
          <w:shd w:val="clear" w:color="auto" w:fill="FFFFFF"/>
          <w:lang w:val="zh-CN"/>
        </w:rPr>
      </w:pPr>
      <w:r>
        <w:rPr>
          <w:rFonts w:hint="eastAsia" w:ascii="楷体_GB2312" w:eastAsia="楷体_GB2312" w:cs="宋体"/>
          <w:b/>
          <w:bCs/>
          <w:color w:val="000000"/>
          <w:kern w:val="0"/>
          <w:sz w:val="32"/>
          <w:szCs w:val="32"/>
          <w:shd w:val="clear" w:color="auto" w:fill="FFFFFF"/>
          <w:lang w:val="zh-CN"/>
        </w:rPr>
        <w:t>（二）机构职能</w:t>
      </w:r>
    </w:p>
    <w:p>
      <w:pPr>
        <w:overflowPunct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1.协助县政府领导同志组织起草或审核以县政府、县政府办公室名义发布的公文。办理州政府、州政府办公室及各州局发送县政府的文电。指导全县行政机关公文处理工作。</w:t>
      </w:r>
    </w:p>
    <w:p>
      <w:pPr>
        <w:overflowPunct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2.研究县政府部门和各乡镇人民政府请示县政府的事项，提出审核意见，报县政府领导同志审批。</w:t>
      </w:r>
      <w:r>
        <w:rPr>
          <w:rFonts w:hint="eastAsia" w:ascii="宋体" w:hAnsi="宋体" w:eastAsia="仿宋_GB2312" w:cs="宋体"/>
          <w:sz w:val="32"/>
          <w:szCs w:val="32"/>
        </w:rPr>
        <w:t>    </w:t>
      </w:r>
    </w:p>
    <w:p>
      <w:pPr>
        <w:overflowPunct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3.负责县政府会议的准备工作，协助县政府领导同志组织实施会议决定事项。 </w:t>
      </w:r>
      <w:r>
        <w:rPr>
          <w:rFonts w:hint="eastAsia" w:ascii="宋体" w:hAnsi="宋体" w:eastAsia="仿宋_GB2312" w:cs="宋体"/>
          <w:sz w:val="32"/>
          <w:szCs w:val="32"/>
        </w:rPr>
        <w:t>  </w:t>
      </w:r>
      <w:r>
        <w:rPr>
          <w:rFonts w:hint="eastAsia" w:ascii="仿宋_GB2312" w:eastAsia="仿宋_GB2312" w:cs="仿宋_GB2312"/>
          <w:sz w:val="32"/>
          <w:szCs w:val="32"/>
        </w:rPr>
        <w:t>　　</w:t>
      </w:r>
      <w:r>
        <w:rPr>
          <w:rFonts w:hint="eastAsia" w:ascii="宋体" w:hAnsi="宋体" w:eastAsia="仿宋_GB2312" w:cs="宋体"/>
          <w:sz w:val="32"/>
          <w:szCs w:val="32"/>
        </w:rPr>
        <w:t> </w:t>
      </w:r>
    </w:p>
    <w:p>
      <w:pPr>
        <w:overflowPunct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4.督促检查县政府各部门和各乡镇人民政府对县政府公文、会议决定事项及县政府领导有关指示的执行情况并跟踪调研，及时向县政府领导报告。 </w:t>
      </w:r>
      <w:r>
        <w:rPr>
          <w:rFonts w:hint="eastAsia" w:ascii="宋体" w:hAnsi="宋体" w:eastAsia="仿宋_GB2312" w:cs="宋体"/>
          <w:sz w:val="32"/>
          <w:szCs w:val="32"/>
        </w:rPr>
        <w:t>  </w:t>
      </w:r>
      <w:r>
        <w:rPr>
          <w:rFonts w:hint="eastAsia" w:ascii="仿宋_GB2312" w:eastAsia="仿宋_GB2312" w:cs="仿宋_GB2312"/>
          <w:sz w:val="32"/>
          <w:szCs w:val="32"/>
        </w:rPr>
        <w:t>　　</w:t>
      </w:r>
      <w:r>
        <w:rPr>
          <w:rFonts w:hint="eastAsia" w:ascii="宋体" w:hAnsi="宋体" w:eastAsia="仿宋_GB2312" w:cs="宋体"/>
          <w:sz w:val="32"/>
          <w:szCs w:val="32"/>
        </w:rPr>
        <w:t> </w:t>
      </w:r>
    </w:p>
    <w:p>
      <w:pPr>
        <w:overflowPunct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5.办理人大、政协交办县政府的有关议案、提案；协助县政府领导组织处理由县政府直接处理的突发事件和重大事故。 </w:t>
      </w:r>
      <w:r>
        <w:rPr>
          <w:rFonts w:hint="eastAsia" w:ascii="宋体" w:hAnsi="宋体" w:eastAsia="仿宋_GB2312" w:cs="宋体"/>
          <w:sz w:val="32"/>
          <w:szCs w:val="32"/>
        </w:rPr>
        <w:t>  </w:t>
      </w:r>
      <w:r>
        <w:rPr>
          <w:rFonts w:hint="eastAsia" w:ascii="仿宋_GB2312" w:eastAsia="仿宋_GB2312" w:cs="仿宋_GB2312"/>
          <w:sz w:val="32"/>
          <w:szCs w:val="32"/>
        </w:rPr>
        <w:t>　　</w:t>
      </w:r>
      <w:r>
        <w:rPr>
          <w:rFonts w:hint="eastAsia" w:ascii="宋体" w:hAnsi="宋体" w:eastAsia="仿宋_GB2312" w:cs="宋体"/>
          <w:sz w:val="32"/>
          <w:szCs w:val="32"/>
        </w:rPr>
        <w:t> </w:t>
      </w:r>
    </w:p>
    <w:p>
      <w:pPr>
        <w:overflowPunct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6.组织贯彻执行国家外事、台侨政策，研究拟定本县外事、台侨工作规章制度、发展规划，办理本县涉外事务和处理日常台侨工作。 </w:t>
      </w:r>
      <w:r>
        <w:rPr>
          <w:rFonts w:hint="eastAsia" w:ascii="宋体" w:hAnsi="宋体" w:eastAsia="仿宋_GB2312" w:cs="宋体"/>
          <w:sz w:val="32"/>
          <w:szCs w:val="32"/>
        </w:rPr>
        <w:t>  </w:t>
      </w:r>
      <w:r>
        <w:rPr>
          <w:rFonts w:hint="eastAsia" w:ascii="仿宋_GB2312" w:eastAsia="仿宋_GB2312" w:cs="仿宋_GB2312"/>
          <w:sz w:val="32"/>
          <w:szCs w:val="32"/>
        </w:rPr>
        <w:t>　　</w:t>
      </w:r>
      <w:r>
        <w:rPr>
          <w:rFonts w:hint="eastAsia" w:ascii="宋体" w:hAnsi="宋体" w:eastAsia="仿宋_GB2312" w:cs="宋体"/>
          <w:sz w:val="32"/>
          <w:szCs w:val="32"/>
        </w:rPr>
        <w:t> </w:t>
      </w:r>
    </w:p>
    <w:p>
      <w:pPr>
        <w:overflowPunct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7.负责县政府值班工作，指导各乡镇人民政府和县政府部门值班工作，及时报告重要情况。 </w:t>
      </w:r>
      <w:r>
        <w:rPr>
          <w:rFonts w:hint="eastAsia" w:ascii="宋体" w:hAnsi="宋体" w:eastAsia="仿宋_GB2312" w:cs="宋体"/>
          <w:sz w:val="32"/>
          <w:szCs w:val="32"/>
        </w:rPr>
        <w:t>  </w:t>
      </w:r>
      <w:r>
        <w:rPr>
          <w:rFonts w:hint="eastAsia" w:ascii="仿宋_GB2312" w:eastAsia="仿宋_GB2312" w:cs="仿宋_GB2312"/>
          <w:sz w:val="32"/>
          <w:szCs w:val="32"/>
        </w:rPr>
        <w:t>　　</w:t>
      </w:r>
      <w:r>
        <w:rPr>
          <w:rFonts w:hint="eastAsia" w:ascii="宋体" w:hAnsi="宋体" w:eastAsia="仿宋_GB2312" w:cs="宋体"/>
          <w:sz w:val="32"/>
          <w:szCs w:val="32"/>
        </w:rPr>
        <w:t> </w:t>
      </w:r>
    </w:p>
    <w:p>
      <w:pPr>
        <w:overflowPunct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8.指导、监督全县政府信息公开工作和机关行政效能建设工作，指导、监督全县政府系统电子政务工作和政府网站建设。 </w:t>
      </w:r>
      <w:r>
        <w:rPr>
          <w:rFonts w:hint="eastAsia" w:ascii="宋体" w:hAnsi="宋体" w:eastAsia="仿宋_GB2312" w:cs="宋体"/>
          <w:sz w:val="32"/>
          <w:szCs w:val="32"/>
        </w:rPr>
        <w:t>  </w:t>
      </w:r>
      <w:r>
        <w:rPr>
          <w:rFonts w:hint="eastAsia" w:ascii="仿宋_GB2312" w:eastAsia="仿宋_GB2312" w:cs="仿宋_GB2312"/>
          <w:sz w:val="32"/>
          <w:szCs w:val="32"/>
        </w:rPr>
        <w:t>　　</w:t>
      </w:r>
      <w:r>
        <w:rPr>
          <w:rFonts w:hint="eastAsia" w:ascii="宋体" w:hAnsi="宋体" w:eastAsia="仿宋_GB2312" w:cs="宋体"/>
          <w:sz w:val="32"/>
          <w:szCs w:val="32"/>
        </w:rPr>
        <w:t> </w:t>
      </w:r>
    </w:p>
    <w:p>
      <w:pPr>
        <w:overflowPunct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9.组织办理涉及县政府工作的人大代表议案、批评、建议和政协委员提案、建议案工作。 </w:t>
      </w:r>
      <w:r>
        <w:rPr>
          <w:rFonts w:hint="eastAsia" w:ascii="宋体" w:hAnsi="宋体" w:eastAsia="仿宋_GB2312" w:cs="宋体"/>
          <w:sz w:val="32"/>
          <w:szCs w:val="32"/>
        </w:rPr>
        <w:t>  </w:t>
      </w:r>
      <w:r>
        <w:rPr>
          <w:rFonts w:hint="eastAsia" w:ascii="仿宋_GB2312" w:eastAsia="仿宋_GB2312" w:cs="仿宋_GB2312"/>
          <w:sz w:val="32"/>
          <w:szCs w:val="32"/>
        </w:rPr>
        <w:t>　　</w:t>
      </w:r>
      <w:r>
        <w:rPr>
          <w:rFonts w:hint="eastAsia" w:ascii="宋体" w:hAnsi="宋体" w:eastAsia="仿宋_GB2312" w:cs="宋体"/>
          <w:sz w:val="32"/>
          <w:szCs w:val="32"/>
        </w:rPr>
        <w:t> </w:t>
      </w:r>
    </w:p>
    <w:p>
      <w:pPr>
        <w:overflowPunct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10.指导全县应急管理工作，协助县政府领导同志做好需由县政府组织处理的突发事件的应急处置工作。</w:t>
      </w:r>
      <w:r>
        <w:rPr>
          <w:rFonts w:hint="eastAsia" w:ascii="宋体" w:hAnsi="宋体" w:eastAsia="仿宋_GB2312" w:cs="宋体"/>
          <w:sz w:val="32"/>
          <w:szCs w:val="32"/>
        </w:rPr>
        <w:t> </w:t>
      </w:r>
      <w:r>
        <w:rPr>
          <w:rFonts w:hint="eastAsia" w:ascii="仿宋_GB2312" w:eastAsia="仿宋_GB2312" w:cs="仿宋_GB2312"/>
          <w:sz w:val="32"/>
          <w:szCs w:val="32"/>
        </w:rPr>
        <w:t>　　</w:t>
      </w:r>
      <w:r>
        <w:rPr>
          <w:rFonts w:hint="eastAsia" w:ascii="宋体" w:hAnsi="宋体" w:eastAsia="仿宋_GB2312" w:cs="宋体"/>
          <w:sz w:val="32"/>
          <w:szCs w:val="32"/>
        </w:rPr>
        <w:t> </w:t>
      </w:r>
    </w:p>
    <w:p>
      <w:pPr>
        <w:overflowPunct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11.围绕县政府中心工作和县政府领导同志的指示，组织专题调查研究，及时反映情况，提出政策性建议。</w:t>
      </w:r>
    </w:p>
    <w:p>
      <w:pPr>
        <w:widowControl/>
        <w:overflowPunct w:val="0"/>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hint="eastAsia" w:ascii="仿宋_GB2312" w:eastAsia="仿宋_GB2312" w:cs="仿宋_GB2312"/>
          <w:sz w:val="32"/>
          <w:szCs w:val="32"/>
        </w:rPr>
        <w:t>12.负责县政府人民防空和民防工作，指导全县人民防空和民防工作。</w:t>
      </w:r>
    </w:p>
    <w:p>
      <w:pPr>
        <w:widowControl/>
        <w:overflowPunct w:val="0"/>
        <w:adjustRightInd w:val="0"/>
        <w:snapToGrid w:val="0"/>
        <w:spacing w:line="576" w:lineRule="exact"/>
        <w:ind w:left="640" w:firstLine="0"/>
        <w:contextualSpacing/>
        <w:jc w:val="left"/>
        <w:rPr>
          <w:rFonts w:hint="eastAsia" w:ascii="楷体_GB2312" w:eastAsia="楷体_GB2312" w:cs="宋体"/>
          <w:b/>
          <w:bCs/>
          <w:color w:val="000000"/>
          <w:kern w:val="0"/>
          <w:sz w:val="32"/>
          <w:szCs w:val="32"/>
          <w:shd w:val="clear" w:color="auto" w:fill="FFFFFF"/>
          <w:lang w:val="zh-CN"/>
        </w:rPr>
      </w:pPr>
      <w:r>
        <w:rPr>
          <w:rFonts w:hint="eastAsia" w:ascii="楷体_GB2312" w:eastAsia="楷体_GB2312" w:cs="宋体"/>
          <w:b/>
          <w:bCs/>
          <w:color w:val="000000"/>
          <w:kern w:val="0"/>
          <w:sz w:val="32"/>
          <w:szCs w:val="32"/>
          <w:shd w:val="clear" w:color="auto" w:fill="FFFFFF"/>
          <w:lang w:val="zh-CN"/>
        </w:rPr>
        <w:t>（三）人员概况</w:t>
      </w:r>
    </w:p>
    <w:p>
      <w:pPr>
        <w:widowControl/>
        <w:overflowPunct w:val="0"/>
        <w:adjustRightInd w:val="0"/>
        <w:snapToGri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lang w:val="en-US" w:eastAsia="zh-CN"/>
        </w:rPr>
        <w:t>2019年</w:t>
      </w:r>
      <w:r>
        <w:rPr>
          <w:rFonts w:hint="eastAsia" w:ascii="仿宋_GB2312" w:eastAsia="仿宋_GB2312"/>
          <w:sz w:val="32"/>
          <w:szCs w:val="32"/>
        </w:rPr>
        <w:t>年末实有在职人数</w:t>
      </w:r>
      <w:r>
        <w:rPr>
          <w:rFonts w:ascii="仿宋_GB2312" w:eastAsia="仿宋_GB2312"/>
          <w:sz w:val="32"/>
          <w:szCs w:val="32"/>
        </w:rPr>
        <w:t>4</w:t>
      </w:r>
      <w:r>
        <w:rPr>
          <w:rFonts w:hint="eastAsia" w:ascii="仿宋_GB2312" w:eastAsia="仿宋_GB2312"/>
          <w:sz w:val="32"/>
          <w:szCs w:val="32"/>
        </w:rPr>
        <w:t>3人，行政在职</w:t>
      </w:r>
      <w:r>
        <w:rPr>
          <w:rFonts w:ascii="仿宋_GB2312" w:eastAsia="仿宋_GB2312"/>
          <w:sz w:val="32"/>
          <w:szCs w:val="32"/>
        </w:rPr>
        <w:t>35</w:t>
      </w:r>
      <w:r>
        <w:rPr>
          <w:rFonts w:hint="eastAsia" w:ascii="仿宋_GB2312" w:eastAsia="仿宋_GB2312"/>
          <w:sz w:val="32"/>
          <w:szCs w:val="32"/>
        </w:rPr>
        <w:t>人（</w:t>
      </w:r>
      <w:r>
        <w:rPr>
          <w:rFonts w:ascii="仿宋_GB2312" w:eastAsia="仿宋_GB2312"/>
          <w:sz w:val="32"/>
          <w:szCs w:val="32"/>
        </w:rPr>
        <w:t>公务员18</w:t>
      </w:r>
      <w:r>
        <w:rPr>
          <w:rFonts w:hint="eastAsia" w:ascii="仿宋_GB2312" w:eastAsia="仿宋_GB2312"/>
          <w:sz w:val="32"/>
          <w:szCs w:val="32"/>
        </w:rPr>
        <w:t>人，行政工勤17人），</w:t>
      </w:r>
      <w:r>
        <w:rPr>
          <w:rFonts w:ascii="仿宋_GB2312" w:eastAsia="仿宋_GB2312"/>
          <w:sz w:val="32"/>
          <w:szCs w:val="32"/>
        </w:rPr>
        <w:t>事业在职8人。</w:t>
      </w:r>
      <w:r>
        <w:rPr>
          <w:rFonts w:hint="eastAsia" w:ascii="仿宋_GB2312" w:eastAsia="仿宋_GB2312"/>
          <w:sz w:val="32"/>
          <w:szCs w:val="32"/>
          <w:lang w:val="en-US" w:eastAsia="zh-CN"/>
        </w:rPr>
        <w:t>2019年</w:t>
      </w:r>
      <w:r>
        <w:rPr>
          <w:rFonts w:hint="eastAsia" w:ascii="仿宋_GB2312" w:eastAsia="仿宋_GB2312"/>
          <w:sz w:val="32"/>
          <w:szCs w:val="32"/>
        </w:rPr>
        <w:t>年末实有退休人员1</w:t>
      </w:r>
      <w:r>
        <w:rPr>
          <w:rFonts w:ascii="仿宋_GB2312" w:eastAsia="仿宋_GB2312"/>
          <w:sz w:val="32"/>
          <w:szCs w:val="32"/>
        </w:rPr>
        <w:t>6</w:t>
      </w:r>
      <w:r>
        <w:rPr>
          <w:rFonts w:hint="eastAsia" w:ascii="仿宋_GB2312" w:eastAsia="仿宋_GB2312"/>
          <w:sz w:val="32"/>
          <w:szCs w:val="32"/>
        </w:rPr>
        <w:t>人，领取财政补贴退休人员1人。</w:t>
      </w:r>
    </w:p>
    <w:p>
      <w:pPr>
        <w:widowControl/>
        <w:overflowPunct w:val="0"/>
        <w:adjustRightInd w:val="0"/>
        <w:snapToGrid w:val="0"/>
        <w:spacing w:line="576"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numPr>
          <w:ilvl w:val="0"/>
          <w:numId w:val="4"/>
        </w:numPr>
        <w:overflowPunct w:val="0"/>
        <w:adjustRightInd w:val="0"/>
        <w:snapToGrid w:val="0"/>
        <w:spacing w:line="576" w:lineRule="exact"/>
        <w:contextualSpacing/>
        <w:jc w:val="left"/>
        <w:rPr>
          <w:rFonts w:hint="eastAsia" w:ascii="楷体_GB2312" w:eastAsia="楷体_GB2312" w:cs="宋体"/>
          <w:b/>
          <w:bCs/>
          <w:color w:val="000000"/>
          <w:kern w:val="0"/>
          <w:sz w:val="32"/>
          <w:szCs w:val="32"/>
          <w:shd w:val="clear" w:color="auto" w:fill="FFFFFF"/>
          <w:lang w:val="zh-CN"/>
        </w:rPr>
      </w:pPr>
      <w:r>
        <w:rPr>
          <w:rFonts w:hint="eastAsia" w:ascii="楷体_GB2312" w:eastAsia="楷体_GB2312" w:cs="宋体"/>
          <w:b/>
          <w:bCs/>
          <w:color w:val="000000"/>
          <w:kern w:val="0"/>
          <w:sz w:val="32"/>
          <w:szCs w:val="32"/>
          <w:shd w:val="clear" w:color="auto" w:fill="FFFFFF"/>
          <w:lang w:val="zh-CN"/>
        </w:rPr>
        <w:t>部门财政资金收入情况</w:t>
      </w:r>
    </w:p>
    <w:p>
      <w:pPr>
        <w:overflowPunct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201</w:t>
      </w:r>
      <w:r>
        <w:rPr>
          <w:rFonts w:ascii="仿宋_GB2312" w:eastAsia="仿宋_GB2312"/>
          <w:sz w:val="32"/>
          <w:szCs w:val="32"/>
        </w:rPr>
        <w:t>9</w:t>
      </w:r>
      <w:r>
        <w:rPr>
          <w:rFonts w:hint="eastAsia" w:ascii="仿宋_GB2312" w:eastAsia="仿宋_GB2312"/>
          <w:sz w:val="32"/>
          <w:szCs w:val="32"/>
        </w:rPr>
        <w:t>年收入合计</w:t>
      </w:r>
      <w:r>
        <w:rPr>
          <w:rFonts w:ascii="仿宋_GB2312" w:eastAsia="仿宋_GB2312"/>
          <w:sz w:val="32"/>
          <w:szCs w:val="32"/>
        </w:rPr>
        <w:t>1442.15</w:t>
      </w:r>
      <w:r>
        <w:rPr>
          <w:rFonts w:hint="eastAsia" w:ascii="仿宋_GB2312" w:eastAsia="仿宋_GB2312"/>
          <w:sz w:val="32"/>
          <w:szCs w:val="32"/>
        </w:rPr>
        <w:t>万元，其中</w:t>
      </w:r>
      <w:r>
        <w:rPr>
          <w:rFonts w:ascii="仿宋_GB2312" w:eastAsia="仿宋_GB2312"/>
          <w:sz w:val="32"/>
          <w:szCs w:val="32"/>
        </w:rPr>
        <w:t>一般公共预算</w:t>
      </w:r>
      <w:r>
        <w:rPr>
          <w:rFonts w:hint="eastAsia" w:ascii="仿宋_GB2312" w:eastAsia="仿宋_GB2312"/>
          <w:sz w:val="32"/>
          <w:szCs w:val="32"/>
        </w:rPr>
        <w:t>财政拨款收入</w:t>
      </w:r>
      <w:r>
        <w:rPr>
          <w:rFonts w:ascii="仿宋_GB2312" w:eastAsia="仿宋_GB2312"/>
          <w:sz w:val="32"/>
          <w:szCs w:val="32"/>
        </w:rPr>
        <w:t>1242.15</w:t>
      </w:r>
      <w:r>
        <w:rPr>
          <w:rFonts w:hint="eastAsia" w:ascii="仿宋_GB2312" w:eastAsia="仿宋_GB2312"/>
          <w:sz w:val="32"/>
          <w:szCs w:val="32"/>
        </w:rPr>
        <w:t>万元，占总收入</w:t>
      </w:r>
      <w:r>
        <w:rPr>
          <w:rFonts w:ascii="仿宋_GB2312" w:eastAsia="仿宋_GB2312"/>
          <w:sz w:val="32"/>
          <w:szCs w:val="32"/>
        </w:rPr>
        <w:t>86.13</w:t>
      </w:r>
      <w:r>
        <w:rPr>
          <w:rFonts w:hint="eastAsia" w:ascii="仿宋_GB2312" w:eastAsia="仿宋_GB2312"/>
          <w:sz w:val="32"/>
          <w:szCs w:val="32"/>
        </w:rPr>
        <w:t>%</w:t>
      </w:r>
      <w:r>
        <w:rPr>
          <w:rFonts w:ascii="仿宋_GB2312" w:eastAsia="仿宋_GB2312"/>
          <w:sz w:val="32"/>
          <w:szCs w:val="32"/>
        </w:rPr>
        <w:t>；政府性基金预算财政拨款收入200万元，占总收入13.87%</w:t>
      </w:r>
      <w:r>
        <w:rPr>
          <w:rFonts w:hint="eastAsia" w:ascii="仿宋_GB2312" w:eastAsia="仿宋_GB2312"/>
          <w:sz w:val="32"/>
          <w:szCs w:val="32"/>
        </w:rPr>
        <w:t>。</w:t>
      </w:r>
      <w:r>
        <w:rPr>
          <w:rFonts w:ascii="仿宋_GB2312" w:eastAsia="仿宋_GB2312"/>
          <w:sz w:val="32"/>
          <w:szCs w:val="32"/>
        </w:rPr>
        <w:t>与2018年相比增加353.09万元，增长32.42%,变动主要原因为：</w:t>
      </w:r>
      <w:r>
        <w:rPr>
          <w:rFonts w:ascii="仿宋_GB2312" w:eastAsia="仿宋_GB2312" w:cs="仿宋"/>
          <w:color w:val="000000"/>
          <w:sz w:val="32"/>
          <w:szCs w:val="32"/>
        </w:rPr>
        <w:t>1.政策性调整基本资标准，2.本年度</w:t>
      </w:r>
      <w:r>
        <w:rPr>
          <w:rFonts w:ascii="仿宋_GB2312" w:eastAsia="仿宋_GB2312" w:cs="仿宋"/>
          <w:sz w:val="32"/>
          <w:szCs w:val="32"/>
        </w:rPr>
        <w:t>增加专项支出购买巨灾险，3.</w:t>
      </w:r>
      <w:r>
        <w:rPr>
          <w:rFonts w:ascii="仿宋_GB2312" w:eastAsia="仿宋_GB2312"/>
          <w:color w:val="000000"/>
          <w:sz w:val="32"/>
          <w:szCs w:val="32"/>
        </w:rPr>
        <w:t>增加电子政务外网建设租用费，增加车辆租用费</w:t>
      </w:r>
      <w:r>
        <w:rPr>
          <w:rFonts w:ascii="仿宋_GB2312" w:eastAsia="仿宋_GB2312" w:cs="仿宋"/>
          <w:sz w:val="32"/>
          <w:szCs w:val="32"/>
        </w:rPr>
        <w:t>。</w:t>
      </w:r>
    </w:p>
    <w:p>
      <w:pPr>
        <w:widowControl/>
        <w:overflowPunct w:val="0"/>
        <w:adjustRightInd w:val="0"/>
        <w:snapToGrid w:val="0"/>
        <w:spacing w:line="576" w:lineRule="exact"/>
        <w:ind w:firstLine="642" w:firstLineChars="200"/>
        <w:contextualSpacing/>
        <w:jc w:val="left"/>
        <w:rPr>
          <w:rFonts w:hint="eastAsia" w:ascii="楷体_GB2312" w:eastAsia="楷体_GB2312" w:cs="宋体"/>
          <w:b/>
          <w:bCs/>
          <w:color w:val="000000"/>
          <w:kern w:val="0"/>
          <w:sz w:val="32"/>
          <w:szCs w:val="32"/>
          <w:shd w:val="clear" w:color="auto" w:fill="FFFFFF"/>
          <w:lang w:val="zh-CN"/>
        </w:rPr>
      </w:pPr>
      <w:r>
        <w:rPr>
          <w:rFonts w:hint="eastAsia" w:ascii="楷体_GB2312" w:eastAsia="楷体_GB2312" w:cs="宋体"/>
          <w:b/>
          <w:bCs/>
          <w:color w:val="000000"/>
          <w:kern w:val="0"/>
          <w:sz w:val="32"/>
          <w:szCs w:val="32"/>
          <w:shd w:val="clear" w:color="auto" w:fill="FFFFFF"/>
          <w:lang w:val="zh-CN"/>
        </w:rPr>
        <w:t>（二）部门财政资金支出情况</w:t>
      </w:r>
    </w:p>
    <w:p>
      <w:pPr>
        <w:widowControl/>
        <w:overflowPunct w:val="0"/>
        <w:adjustRightInd w:val="0"/>
        <w:snapToGri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201</w:t>
      </w:r>
      <w:r>
        <w:rPr>
          <w:rFonts w:ascii="仿宋_GB2312" w:eastAsia="仿宋_GB2312"/>
          <w:sz w:val="32"/>
          <w:szCs w:val="32"/>
        </w:rPr>
        <w:t>9</w:t>
      </w:r>
      <w:r>
        <w:rPr>
          <w:rFonts w:hint="eastAsia" w:ascii="仿宋_GB2312" w:eastAsia="仿宋_GB2312"/>
          <w:sz w:val="32"/>
          <w:szCs w:val="32"/>
        </w:rPr>
        <w:t>年支出合计</w:t>
      </w:r>
      <w:r>
        <w:rPr>
          <w:rFonts w:ascii="仿宋_GB2312" w:eastAsia="仿宋_GB2312"/>
          <w:sz w:val="32"/>
          <w:szCs w:val="32"/>
        </w:rPr>
        <w:t>1428.63</w:t>
      </w:r>
      <w:r>
        <w:rPr>
          <w:rFonts w:hint="eastAsia" w:ascii="仿宋_GB2312" w:eastAsia="仿宋_GB2312"/>
          <w:sz w:val="32"/>
          <w:szCs w:val="32"/>
        </w:rPr>
        <w:t>万元，其中基本支出</w:t>
      </w:r>
      <w:r>
        <w:rPr>
          <w:rFonts w:ascii="仿宋_GB2312" w:eastAsia="仿宋_GB2312"/>
          <w:sz w:val="32"/>
          <w:szCs w:val="32"/>
        </w:rPr>
        <w:t>1194.18</w:t>
      </w:r>
      <w:r>
        <w:rPr>
          <w:rFonts w:hint="eastAsia" w:ascii="仿宋_GB2312" w:eastAsia="仿宋_GB2312"/>
          <w:sz w:val="32"/>
          <w:szCs w:val="32"/>
        </w:rPr>
        <w:t>万元，占总支出</w:t>
      </w:r>
      <w:r>
        <w:rPr>
          <w:rFonts w:ascii="仿宋_GB2312" w:eastAsia="仿宋_GB2312"/>
          <w:sz w:val="32"/>
          <w:szCs w:val="32"/>
        </w:rPr>
        <w:t>83.59</w:t>
      </w:r>
      <w:r>
        <w:rPr>
          <w:rFonts w:hint="eastAsia" w:ascii="仿宋_GB2312" w:eastAsia="仿宋_GB2312"/>
          <w:sz w:val="32"/>
          <w:szCs w:val="32"/>
        </w:rPr>
        <w:t>%；项目支出</w:t>
      </w:r>
      <w:r>
        <w:rPr>
          <w:rFonts w:ascii="仿宋_GB2312" w:eastAsia="仿宋_GB2312"/>
          <w:sz w:val="32"/>
          <w:szCs w:val="32"/>
        </w:rPr>
        <w:t>234.45</w:t>
      </w:r>
      <w:r>
        <w:rPr>
          <w:rFonts w:hint="eastAsia" w:ascii="仿宋_GB2312" w:eastAsia="仿宋_GB2312"/>
          <w:sz w:val="32"/>
          <w:szCs w:val="32"/>
        </w:rPr>
        <w:t>万元，占总支出</w:t>
      </w:r>
      <w:r>
        <w:rPr>
          <w:rFonts w:ascii="仿宋_GB2312" w:eastAsia="仿宋_GB2312"/>
          <w:sz w:val="32"/>
          <w:szCs w:val="32"/>
        </w:rPr>
        <w:t>16.41</w:t>
      </w:r>
      <w:r>
        <w:rPr>
          <w:rFonts w:hint="eastAsia" w:ascii="仿宋_GB2312" w:eastAsia="仿宋_GB2312"/>
          <w:sz w:val="32"/>
          <w:szCs w:val="32"/>
        </w:rPr>
        <w:t>%。</w:t>
      </w:r>
      <w:r>
        <w:rPr>
          <w:rFonts w:ascii="仿宋_GB2312" w:eastAsia="仿宋_GB2312"/>
          <w:sz w:val="32"/>
          <w:szCs w:val="32"/>
        </w:rPr>
        <w:t>与2018年相比增加305.63万元，增长27.21%，变动主要原因为：</w:t>
      </w:r>
      <w:r>
        <w:rPr>
          <w:rFonts w:ascii="仿宋_GB2312" w:eastAsia="仿宋_GB2312" w:cs="仿宋"/>
          <w:color w:val="000000"/>
          <w:sz w:val="32"/>
          <w:szCs w:val="32"/>
        </w:rPr>
        <w:t>1.政策性调整基本资标准，2.本年度</w:t>
      </w:r>
      <w:r>
        <w:rPr>
          <w:rFonts w:ascii="仿宋_GB2312" w:eastAsia="仿宋_GB2312" w:cs="仿宋"/>
          <w:sz w:val="32"/>
          <w:szCs w:val="32"/>
        </w:rPr>
        <w:t>增加专项支出购买巨灾险，3.</w:t>
      </w:r>
      <w:r>
        <w:rPr>
          <w:rFonts w:ascii="仿宋_GB2312" w:eastAsia="仿宋_GB2312"/>
          <w:color w:val="000000"/>
          <w:sz w:val="32"/>
          <w:szCs w:val="32"/>
        </w:rPr>
        <w:t>增加电子政务外网建设租用费，增加车辆租用费</w:t>
      </w:r>
      <w:r>
        <w:rPr>
          <w:rFonts w:ascii="仿宋_GB2312" w:eastAsia="仿宋_GB2312" w:cs="仿宋"/>
          <w:sz w:val="32"/>
          <w:szCs w:val="32"/>
        </w:rPr>
        <w:t>。</w:t>
      </w:r>
    </w:p>
    <w:p>
      <w:pPr>
        <w:widowControl/>
        <w:overflowPunct w:val="0"/>
        <w:adjustRightInd w:val="0"/>
        <w:snapToGrid w:val="0"/>
        <w:spacing w:line="576"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overflowPunct w:val="0"/>
        <w:adjustRightInd w:val="0"/>
        <w:snapToGrid w:val="0"/>
        <w:spacing w:line="576" w:lineRule="exact"/>
        <w:ind w:firstLine="642" w:firstLineChars="200"/>
        <w:contextualSpacing/>
        <w:jc w:val="left"/>
        <w:rPr>
          <w:rFonts w:hint="eastAsia" w:ascii="楷体_GB2312" w:eastAsia="楷体_GB2312" w:cs="宋体"/>
          <w:b/>
          <w:bCs/>
          <w:color w:val="000000"/>
          <w:kern w:val="0"/>
          <w:sz w:val="32"/>
          <w:szCs w:val="32"/>
          <w:shd w:val="clear" w:color="auto" w:fill="FFFFFF"/>
          <w:lang w:val="zh-CN"/>
        </w:rPr>
      </w:pPr>
      <w:r>
        <w:rPr>
          <w:rFonts w:hint="eastAsia" w:ascii="楷体_GB2312" w:eastAsia="楷体_GB2312" w:cs="宋体"/>
          <w:b/>
          <w:bCs/>
          <w:color w:val="000000"/>
          <w:kern w:val="0"/>
          <w:sz w:val="32"/>
          <w:szCs w:val="32"/>
          <w:shd w:val="clear" w:color="auto" w:fill="FFFFFF"/>
          <w:lang w:val="zh-CN"/>
        </w:rPr>
        <w:t>（一）部门预算管理</w:t>
      </w:r>
    </w:p>
    <w:p>
      <w:pPr>
        <w:overflowPunct w:val="0"/>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我办严格按照县级部门预算编制通知和有关要求，按时完成201</w:t>
      </w:r>
      <w:r>
        <w:rPr>
          <w:rFonts w:ascii="仿宋_GB2312" w:eastAsia="仿宋_GB2312" w:cs="仿宋_GB2312"/>
          <w:sz w:val="32"/>
          <w:szCs w:val="32"/>
        </w:rPr>
        <w:t>9</w:t>
      </w:r>
      <w:r>
        <w:rPr>
          <w:rFonts w:hint="eastAsia" w:ascii="仿宋_GB2312" w:eastAsia="仿宋_GB2312" w:cs="仿宋_GB2312"/>
          <w:sz w:val="32"/>
          <w:szCs w:val="32"/>
        </w:rPr>
        <w:t>年预</w:t>
      </w:r>
      <w:r>
        <w:rPr>
          <w:rFonts w:ascii="仿宋_GB2312" w:eastAsia="仿宋_GB2312" w:cs="仿宋_GB2312"/>
          <w:sz w:val="32"/>
          <w:szCs w:val="32"/>
        </w:rPr>
        <w:t>决</w:t>
      </w:r>
      <w:r>
        <w:rPr>
          <w:rFonts w:hint="eastAsia" w:ascii="仿宋_GB2312" w:eastAsia="仿宋_GB2312" w:cs="仿宋_GB2312"/>
          <w:sz w:val="32"/>
          <w:szCs w:val="32"/>
        </w:rPr>
        <w:t>算编制工作，</w:t>
      </w:r>
      <w:r>
        <w:rPr>
          <w:rFonts w:hint="eastAsia" w:ascii="仿宋_GB2312" w:eastAsia="仿宋_GB2312"/>
          <w:sz w:val="32"/>
          <w:szCs w:val="32"/>
        </w:rPr>
        <w:t>根据我办职能职责，结合中长期规划和年度工作计划，明确了年度主要工作任务及年度内履职所要达到的效果，在预算编制中进一步夯实预算编制基础，及时更新相关基础数据，严格控制“三公”经费、会议费和培训费预算，预算编制做到了及时、完整、准确、合理、高效。</w:t>
      </w:r>
    </w:p>
    <w:p>
      <w:pPr>
        <w:overflowPunct w:val="0"/>
        <w:spacing w:line="576" w:lineRule="exact"/>
        <w:ind w:firstLine="642" w:firstLineChars="200"/>
        <w:rPr>
          <w:rFonts w:hint="eastAsia" w:ascii="楷体_GB2312" w:eastAsia="楷体_GB2312" w:cs="宋体"/>
          <w:b/>
          <w:bCs/>
          <w:color w:val="000000"/>
          <w:kern w:val="0"/>
          <w:sz w:val="32"/>
          <w:szCs w:val="32"/>
          <w:shd w:val="clear" w:color="auto" w:fill="FFFFFF"/>
          <w:lang w:val="zh-CN"/>
        </w:rPr>
      </w:pPr>
      <w:r>
        <w:rPr>
          <w:rFonts w:hint="eastAsia" w:ascii="楷体_GB2312" w:eastAsia="楷体_GB2312" w:cs="宋体"/>
          <w:b/>
          <w:bCs/>
          <w:color w:val="000000"/>
          <w:kern w:val="0"/>
          <w:sz w:val="32"/>
          <w:szCs w:val="32"/>
          <w:shd w:val="clear" w:color="auto" w:fill="FFFFFF"/>
          <w:lang w:val="zh-CN"/>
        </w:rPr>
        <w:t>（二）结果应用情况</w:t>
      </w:r>
    </w:p>
    <w:p>
      <w:pPr>
        <w:widowControl/>
        <w:overflowPunct w:val="0"/>
        <w:adjustRightInd w:val="0"/>
        <w:snapToGri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仿宋_GB2312"/>
          <w:sz w:val="32"/>
          <w:szCs w:val="32"/>
        </w:rPr>
        <w:t>我办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办部门整体绩效管理水平不断提升。</w:t>
      </w:r>
      <w:r>
        <w:rPr>
          <w:rFonts w:hint="eastAsia" w:ascii="仿宋_GB2312" w:eastAsia="仿宋_GB2312" w:cs="宋体"/>
          <w:color w:val="000000"/>
          <w:kern w:val="0"/>
          <w:sz w:val="32"/>
          <w:szCs w:val="32"/>
          <w:shd w:val="clear" w:color="auto" w:fill="FFFFFF"/>
          <w:lang w:val="zh-CN"/>
        </w:rPr>
        <w:t>包括部门绩效目标制定、目标实现、预算编制准确、支出控制、预算动态调整、执行进度、预算完成情况和违规记录等情况。</w:t>
      </w:r>
    </w:p>
    <w:p>
      <w:pPr>
        <w:widowControl/>
        <w:overflowPunct w:val="0"/>
        <w:adjustRightInd w:val="0"/>
        <w:snapToGrid w:val="0"/>
        <w:spacing w:line="576"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widowControl/>
        <w:numPr>
          <w:ilvl w:val="0"/>
          <w:numId w:val="5"/>
        </w:numPr>
        <w:overflowPunct w:val="0"/>
        <w:adjustRightInd w:val="0"/>
        <w:snapToGrid w:val="0"/>
        <w:spacing w:line="576" w:lineRule="exact"/>
        <w:contextualSpacing/>
        <w:jc w:val="left"/>
        <w:rPr>
          <w:rFonts w:hint="eastAsia" w:ascii="楷体_GB2312" w:eastAsia="楷体_GB2312" w:cs="宋体"/>
          <w:b/>
          <w:bCs/>
          <w:color w:val="000000"/>
          <w:kern w:val="0"/>
          <w:sz w:val="32"/>
          <w:szCs w:val="32"/>
          <w:shd w:val="clear" w:color="auto" w:fill="FFFFFF"/>
          <w:lang w:val="zh-CN"/>
        </w:rPr>
      </w:pPr>
      <w:r>
        <w:rPr>
          <w:rFonts w:hint="eastAsia" w:ascii="楷体_GB2312" w:eastAsia="楷体_GB2312" w:cs="宋体"/>
          <w:b/>
          <w:bCs/>
          <w:color w:val="000000"/>
          <w:kern w:val="0"/>
          <w:sz w:val="32"/>
          <w:szCs w:val="32"/>
          <w:shd w:val="clear" w:color="auto" w:fill="FFFFFF"/>
          <w:lang w:val="zh-CN"/>
        </w:rPr>
        <w:t>评价结论</w:t>
      </w:r>
    </w:p>
    <w:p>
      <w:pPr>
        <w:widowControl/>
        <w:overflowPunct w:val="0"/>
        <w:adjustRightInd w:val="0"/>
        <w:snapToGrid w:val="0"/>
        <w:spacing w:line="576" w:lineRule="exact"/>
        <w:ind w:firstLine="720"/>
        <w:jc w:val="left"/>
        <w:rPr>
          <w:rFonts w:ascii="仿宋_GB2312" w:eastAsia="仿宋_GB2312"/>
          <w:sz w:val="32"/>
          <w:szCs w:val="32"/>
        </w:rPr>
      </w:pPr>
      <w:r>
        <w:rPr>
          <w:rFonts w:hint="eastAsia" w:ascii="仿宋_GB2312" w:eastAsia="仿宋_GB2312"/>
          <w:sz w:val="32"/>
          <w:szCs w:val="32"/>
        </w:rPr>
        <w:t>部门支出与年初预算基本一致，达到预期绩效目标，充分发挥了财政资金的经济效益和社会效益。有力保障了茂县人民政府办公室各项工作正常运转和履职。</w:t>
      </w:r>
      <w:r>
        <w:rPr>
          <w:rFonts w:hint="eastAsia" w:ascii="仿宋_GB2312" w:eastAsia="仿宋_GB2312"/>
          <w:sz w:val="32"/>
          <w:szCs w:val="32"/>
          <w:lang w:eastAsia="zh-CN"/>
        </w:rPr>
        <w:t>建立健全</w:t>
      </w:r>
      <w:r>
        <w:rPr>
          <w:rFonts w:hint="eastAsia" w:ascii="仿宋_GB2312" w:eastAsia="仿宋_GB2312"/>
          <w:sz w:val="32"/>
          <w:szCs w:val="32"/>
        </w:rPr>
        <w:t>了财务管理制度，依法、有效使用财政资金。</w:t>
      </w:r>
      <w:r>
        <w:rPr>
          <w:rFonts w:hint="eastAsia" w:ascii="仿宋_GB2312" w:eastAsia="仿宋_GB2312" w:cs="仿宋_GB2312"/>
          <w:sz w:val="32"/>
          <w:szCs w:val="32"/>
        </w:rPr>
        <w:t>部门整体支出绩效评价自查自评结果良好，201</w:t>
      </w:r>
      <w:r>
        <w:rPr>
          <w:rFonts w:ascii="仿宋_GB2312" w:eastAsia="仿宋_GB2312" w:cs="仿宋_GB2312"/>
          <w:sz w:val="32"/>
          <w:szCs w:val="32"/>
        </w:rPr>
        <w:t>9</w:t>
      </w:r>
      <w:r>
        <w:rPr>
          <w:rFonts w:hint="eastAsia" w:ascii="仿宋_GB2312" w:eastAsia="仿宋_GB2312" w:cs="仿宋_GB2312"/>
          <w:sz w:val="32"/>
          <w:szCs w:val="32"/>
        </w:rPr>
        <w:t>年县级部门整体支出绩效评价指标9</w:t>
      </w:r>
      <w:r>
        <w:rPr>
          <w:rFonts w:ascii="仿宋_GB2312" w:eastAsia="仿宋_GB2312" w:cs="仿宋_GB2312"/>
          <w:sz w:val="32"/>
          <w:szCs w:val="32"/>
        </w:rPr>
        <w:t>8</w:t>
      </w:r>
      <w:r>
        <w:rPr>
          <w:rFonts w:hint="eastAsia" w:ascii="仿宋_GB2312" w:eastAsia="仿宋_GB2312" w:cs="仿宋_GB2312"/>
          <w:sz w:val="32"/>
          <w:szCs w:val="32"/>
        </w:rPr>
        <w:t>.5分。</w:t>
      </w:r>
    </w:p>
    <w:p>
      <w:pPr>
        <w:widowControl/>
        <w:overflowPunct w:val="0"/>
        <w:adjustRightInd w:val="0"/>
        <w:snapToGrid w:val="0"/>
        <w:spacing w:line="576" w:lineRule="exact"/>
        <w:ind w:firstLine="642" w:firstLineChars="200"/>
        <w:contextualSpacing/>
        <w:jc w:val="left"/>
        <w:rPr>
          <w:rFonts w:hint="eastAsia" w:ascii="楷体_GB2312" w:eastAsia="楷体_GB2312" w:cs="宋体"/>
          <w:b/>
          <w:bCs/>
          <w:color w:val="000000"/>
          <w:kern w:val="0"/>
          <w:sz w:val="32"/>
          <w:szCs w:val="32"/>
          <w:shd w:val="clear" w:color="auto" w:fill="FFFFFF"/>
          <w:lang w:val="zh-CN"/>
        </w:rPr>
      </w:pPr>
      <w:r>
        <w:rPr>
          <w:rFonts w:hint="eastAsia" w:ascii="楷体_GB2312" w:eastAsia="楷体_GB2312" w:cs="宋体"/>
          <w:b/>
          <w:bCs/>
          <w:color w:val="000000"/>
          <w:kern w:val="0"/>
          <w:sz w:val="32"/>
          <w:szCs w:val="32"/>
          <w:shd w:val="clear" w:color="auto" w:fill="FFFFFF"/>
          <w:lang w:val="zh-CN"/>
        </w:rPr>
        <w:t>（二）存在问题</w:t>
      </w:r>
    </w:p>
    <w:p>
      <w:pPr>
        <w:widowControl/>
        <w:overflowPunct w:val="0"/>
        <w:adjustRightInd w:val="0"/>
        <w:snapToGri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kern w:val="0"/>
          <w:sz w:val="32"/>
          <w:szCs w:val="32"/>
        </w:rPr>
        <w:t>一</w:t>
      </w:r>
      <w:r>
        <w:rPr>
          <w:rFonts w:hint="eastAsia" w:ascii="仿宋_GB2312" w:eastAsia="仿宋_GB2312" w:cs="宋体"/>
          <w:kern w:val="0"/>
          <w:sz w:val="32"/>
          <w:szCs w:val="32"/>
          <w:lang w:val="zh-CN"/>
        </w:rPr>
        <w:t>是单位对部门支出绩效评价工作的认识理解不够，年初预设的绩效指标</w:t>
      </w:r>
      <w:r>
        <w:rPr>
          <w:rFonts w:ascii="仿宋_GB2312" w:eastAsia="仿宋_GB2312" w:cs="宋体"/>
          <w:kern w:val="0"/>
          <w:sz w:val="32"/>
          <w:szCs w:val="32"/>
          <w:lang w:val="zh-CN"/>
        </w:rPr>
        <w:t>粗糙</w:t>
      </w:r>
      <w:r>
        <w:rPr>
          <w:rFonts w:hint="eastAsia" w:ascii="仿宋_GB2312" w:eastAsia="仿宋_GB2312" w:cs="宋体"/>
          <w:kern w:val="0"/>
          <w:sz w:val="32"/>
          <w:szCs w:val="32"/>
          <w:lang w:val="zh-CN"/>
        </w:rPr>
        <w:t>，二是</w:t>
      </w:r>
      <w:r>
        <w:rPr>
          <w:rFonts w:ascii="仿宋_GB2312" w:eastAsia="仿宋_GB2312" w:cs="宋体"/>
          <w:kern w:val="0"/>
          <w:sz w:val="32"/>
          <w:szCs w:val="32"/>
          <w:lang w:val="zh-CN"/>
        </w:rPr>
        <w:t>部分项目支出绩效指标无法用</w:t>
      </w:r>
      <w:r>
        <w:rPr>
          <w:rFonts w:hint="eastAsia" w:ascii="仿宋_GB2312" w:eastAsia="仿宋_GB2312" w:cs="宋体"/>
          <w:kern w:val="0"/>
          <w:sz w:val="32"/>
          <w:szCs w:val="32"/>
          <w:lang w:val="zh-CN"/>
        </w:rPr>
        <w:t>量化指标来进行考评。</w:t>
      </w:r>
    </w:p>
    <w:p>
      <w:pPr>
        <w:widowControl/>
        <w:overflowPunct w:val="0"/>
        <w:adjustRightInd w:val="0"/>
        <w:snapToGrid w:val="0"/>
        <w:spacing w:line="576" w:lineRule="exact"/>
        <w:ind w:firstLine="642" w:firstLineChars="200"/>
        <w:contextualSpacing/>
        <w:jc w:val="left"/>
        <w:rPr>
          <w:rFonts w:hint="eastAsia" w:ascii="楷体_GB2312" w:eastAsia="楷体_GB2312" w:cs="宋体"/>
          <w:b/>
          <w:bCs/>
          <w:color w:val="000000"/>
          <w:kern w:val="0"/>
          <w:sz w:val="32"/>
          <w:szCs w:val="32"/>
          <w:shd w:val="clear" w:color="auto" w:fill="FFFFFF"/>
          <w:lang w:val="zh-CN"/>
        </w:rPr>
      </w:pPr>
      <w:r>
        <w:rPr>
          <w:rFonts w:hint="eastAsia" w:ascii="楷体_GB2312" w:eastAsia="楷体_GB2312" w:cs="宋体"/>
          <w:b/>
          <w:bCs/>
          <w:color w:val="000000"/>
          <w:kern w:val="0"/>
          <w:sz w:val="32"/>
          <w:szCs w:val="32"/>
          <w:shd w:val="clear" w:color="auto" w:fill="FFFFFF"/>
          <w:lang w:val="zh-CN"/>
        </w:rPr>
        <w:t>（三）改进建议</w:t>
      </w:r>
    </w:p>
    <w:p>
      <w:pPr>
        <w:overflowPunct w:val="0"/>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针对存在的问题，我们将进一步科学设定绩效目标，加强预算执行管理。遵循先有预算、后有支出的原则，加强新《预算法》、《行政单位会计制度》等学习培训，规范部门预算收支核算</w:t>
      </w:r>
      <w:r>
        <w:rPr>
          <w:rFonts w:ascii="仿宋_GB2312" w:eastAsia="仿宋_GB2312" w:cs="仿宋_GB2312"/>
          <w:sz w:val="32"/>
          <w:szCs w:val="32"/>
        </w:rPr>
        <w:t>，</w:t>
      </w:r>
      <w:r>
        <w:rPr>
          <w:rFonts w:hint="eastAsia" w:ascii="仿宋_GB2312" w:eastAsia="仿宋_GB2312" w:cs="仿宋_GB2312"/>
          <w:sz w:val="32"/>
          <w:szCs w:val="32"/>
        </w:rPr>
        <w:t>加强财务管理和内部控制监督制度。</w:t>
      </w:r>
    </w:p>
    <w:p>
      <w:pPr>
        <w:overflowPunct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p>
      <w:pPr>
        <w:overflowPunct w:val="0"/>
        <w:spacing w:line="576" w:lineRule="exact"/>
        <w:jc w:val="center"/>
        <w:outlineLvl w:val="0"/>
        <w:rPr>
          <w:rStyle w:val="23"/>
          <w:rFonts w:ascii="黑体" w:eastAsia="黑体"/>
          <w:b w:val="0"/>
        </w:rPr>
      </w:pPr>
    </w:p>
    <w:p>
      <w:pPr>
        <w:overflowPunct w:val="0"/>
        <w:spacing w:line="576" w:lineRule="exact"/>
        <w:jc w:val="center"/>
        <w:outlineLvl w:val="0"/>
        <w:rPr>
          <w:rFonts w:hint="eastAsia" w:ascii="方正小标宋简体" w:eastAsia="方正小标宋简体"/>
          <w:color w:val="000000"/>
          <w:sz w:val="44"/>
          <w:szCs w:val="44"/>
        </w:rPr>
      </w:pPr>
      <w:bookmarkStart w:id="59" w:name="_Toc15396618"/>
    </w:p>
    <w:p>
      <w:pPr>
        <w:overflowPunct w:val="0"/>
        <w:spacing w:line="576" w:lineRule="exact"/>
        <w:jc w:val="center"/>
        <w:outlineLvl w:val="0"/>
        <w:rPr>
          <w:rFonts w:hint="eastAsia" w:ascii="方正小标宋简体" w:eastAsia="方正小标宋简体"/>
          <w:color w:val="000000"/>
          <w:sz w:val="44"/>
          <w:szCs w:val="44"/>
        </w:rPr>
      </w:pPr>
    </w:p>
    <w:p>
      <w:pPr>
        <w:overflowPunct w:val="0"/>
        <w:spacing w:line="576" w:lineRule="exact"/>
        <w:jc w:val="center"/>
        <w:outlineLvl w:val="0"/>
        <w:rPr>
          <w:rFonts w:hint="eastAsia" w:ascii="方正小标宋简体" w:eastAsia="方正小标宋简体"/>
          <w:color w:val="000000"/>
          <w:sz w:val="44"/>
          <w:szCs w:val="44"/>
        </w:rPr>
      </w:pPr>
    </w:p>
    <w:p>
      <w:pPr>
        <w:overflowPunct w:val="0"/>
        <w:spacing w:line="576" w:lineRule="exact"/>
        <w:jc w:val="center"/>
        <w:outlineLvl w:val="0"/>
        <w:rPr>
          <w:rFonts w:hint="eastAsia" w:ascii="方正小标宋简体" w:eastAsia="方正小标宋简体"/>
          <w:color w:val="000000"/>
          <w:sz w:val="44"/>
          <w:szCs w:val="44"/>
        </w:rPr>
      </w:pPr>
    </w:p>
    <w:p>
      <w:pPr>
        <w:overflowPunct w:val="0"/>
        <w:spacing w:line="576" w:lineRule="exact"/>
        <w:jc w:val="center"/>
        <w:outlineLvl w:val="0"/>
        <w:rPr>
          <w:rFonts w:hint="eastAsia" w:ascii="方正小标宋简体" w:eastAsia="方正小标宋简体"/>
          <w:color w:val="000000"/>
          <w:sz w:val="44"/>
          <w:szCs w:val="44"/>
        </w:rPr>
      </w:pPr>
    </w:p>
    <w:p>
      <w:pPr>
        <w:overflowPunct w:val="0"/>
        <w:spacing w:line="576" w:lineRule="exact"/>
        <w:jc w:val="center"/>
        <w:outlineLvl w:val="0"/>
        <w:rPr>
          <w:rFonts w:hint="eastAsia" w:ascii="方正小标宋简体" w:eastAsia="方正小标宋简体"/>
          <w:color w:val="000000"/>
          <w:sz w:val="44"/>
          <w:szCs w:val="44"/>
        </w:rPr>
      </w:pPr>
    </w:p>
    <w:p>
      <w:pPr>
        <w:overflowPunct w:val="0"/>
        <w:spacing w:line="576" w:lineRule="exact"/>
        <w:jc w:val="center"/>
        <w:outlineLvl w:val="0"/>
        <w:rPr>
          <w:rFonts w:hint="eastAsia" w:ascii="方正小标宋简体" w:eastAsia="方正小标宋简体"/>
          <w:color w:val="000000"/>
          <w:sz w:val="44"/>
          <w:szCs w:val="44"/>
        </w:rPr>
      </w:pPr>
    </w:p>
    <w:p>
      <w:pPr>
        <w:overflowPunct w:val="0"/>
        <w:spacing w:line="576" w:lineRule="exact"/>
        <w:jc w:val="center"/>
        <w:outlineLvl w:val="0"/>
        <w:rPr>
          <w:rFonts w:hint="eastAsia" w:ascii="方正小标宋简体" w:eastAsia="方正小标宋简体"/>
          <w:color w:val="000000"/>
          <w:sz w:val="44"/>
          <w:szCs w:val="44"/>
        </w:rPr>
      </w:pPr>
    </w:p>
    <w:p>
      <w:pPr>
        <w:numPr>
          <w:ilvl w:val="0"/>
          <w:numId w:val="6"/>
        </w:numPr>
        <w:overflowPunct w:val="0"/>
        <w:spacing w:line="576" w:lineRule="exact"/>
        <w:jc w:val="center"/>
        <w:outlineLvl w:val="0"/>
        <w:rPr>
          <w:rStyle w:val="23"/>
          <w:rFonts w:hint="eastAsia" w:ascii="方正小标宋简体" w:eastAsia="方正小标宋简体"/>
          <w:b w:val="0"/>
          <w:bCs w:val="0"/>
        </w:rPr>
      </w:pPr>
      <w:r>
        <w:rPr>
          <w:rStyle w:val="23"/>
          <w:rFonts w:ascii="方正小标宋简体" w:eastAsia="方正小标宋简体"/>
          <w:b w:val="0"/>
          <w:bCs w:val="0"/>
        </w:rPr>
        <w:t xml:space="preserve"> </w:t>
      </w:r>
      <w:r>
        <w:rPr>
          <w:rStyle w:val="23"/>
          <w:rFonts w:hint="eastAsia" w:ascii="方正小标宋简体" w:eastAsia="方正小标宋简体"/>
          <w:b w:val="0"/>
          <w:bCs w:val="0"/>
        </w:rPr>
        <w:t>附表</w:t>
      </w:r>
      <w:bookmarkEnd w:id="57"/>
      <w:bookmarkEnd w:id="59"/>
    </w:p>
    <w:p>
      <w:pPr>
        <w:numPr>
          <w:ilvl w:val="0"/>
          <w:numId w:val="0"/>
        </w:numPr>
        <w:overflowPunct w:val="0"/>
        <w:spacing w:line="576" w:lineRule="exact"/>
        <w:jc w:val="both"/>
        <w:outlineLvl w:val="0"/>
        <w:rPr>
          <w:rStyle w:val="23"/>
          <w:rFonts w:hint="eastAsia" w:ascii="方正小标宋简体" w:eastAsia="方正小标宋简体"/>
          <w:b w:val="0"/>
          <w:bCs w:val="0"/>
        </w:rPr>
      </w:pPr>
    </w:p>
    <w:p>
      <w:pPr>
        <w:pStyle w:val="3"/>
        <w:overflowPunct w:val="0"/>
        <w:spacing w:before="0" w:after="0" w:line="576" w:lineRule="exact"/>
        <w:rPr>
          <w:rFonts w:hint="eastAsia" w:ascii="仿宋_GB2312" w:eastAsia="仿宋_GB2312"/>
          <w:b w:val="0"/>
          <w:bCs w:val="0"/>
          <w:color w:val="000000"/>
        </w:rPr>
      </w:pPr>
      <w:bookmarkStart w:id="60" w:name="_Toc15396619"/>
      <w:r>
        <w:rPr>
          <w:rFonts w:hint="eastAsia" w:ascii="仿宋_GB2312" w:eastAsia="仿宋_GB2312"/>
          <w:b w:val="0"/>
          <w:bCs w:val="0"/>
          <w:color w:val="000000"/>
        </w:rPr>
        <w:t>一、收</w:t>
      </w:r>
      <w:r>
        <w:rPr>
          <w:rStyle w:val="24"/>
          <w:rFonts w:hint="eastAsia" w:ascii="仿宋_GB2312" w:eastAsia="仿宋_GB2312"/>
          <w:b w:val="0"/>
          <w:bCs w:val="0"/>
        </w:rPr>
        <w:t>入支出决算总表</w:t>
      </w:r>
      <w:bookmarkEnd w:id="60"/>
    </w:p>
    <w:p>
      <w:pPr>
        <w:pStyle w:val="3"/>
        <w:overflowPunct w:val="0"/>
        <w:spacing w:before="0" w:after="0" w:line="576" w:lineRule="exact"/>
        <w:rPr>
          <w:rFonts w:hint="eastAsia" w:ascii="仿宋_GB2312" w:eastAsia="仿宋_GB2312"/>
          <w:b w:val="0"/>
          <w:bCs w:val="0"/>
          <w:color w:val="000000"/>
        </w:rPr>
      </w:pPr>
      <w:bookmarkStart w:id="61" w:name="_Toc15396620"/>
      <w:r>
        <w:rPr>
          <w:rFonts w:hint="eastAsia" w:ascii="仿宋_GB2312" w:eastAsia="仿宋_GB2312"/>
          <w:b w:val="0"/>
          <w:bCs w:val="0"/>
          <w:color w:val="000000"/>
        </w:rPr>
        <w:t>二、收</w:t>
      </w:r>
      <w:r>
        <w:rPr>
          <w:rStyle w:val="24"/>
          <w:rFonts w:hint="eastAsia" w:ascii="仿宋_GB2312" w:eastAsia="仿宋_GB2312"/>
          <w:b w:val="0"/>
          <w:bCs w:val="0"/>
        </w:rPr>
        <w:t>入决算表</w:t>
      </w:r>
      <w:bookmarkEnd w:id="61"/>
    </w:p>
    <w:p>
      <w:pPr>
        <w:pStyle w:val="3"/>
        <w:overflowPunct w:val="0"/>
        <w:spacing w:before="0" w:after="0" w:line="576" w:lineRule="exact"/>
        <w:rPr>
          <w:rFonts w:hint="eastAsia" w:ascii="仿宋_GB2312" w:eastAsia="仿宋_GB2312"/>
          <w:b w:val="0"/>
          <w:bCs w:val="0"/>
          <w:color w:val="000000"/>
        </w:rPr>
      </w:pPr>
      <w:bookmarkStart w:id="62" w:name="_Toc15396621"/>
      <w:r>
        <w:rPr>
          <w:rStyle w:val="24"/>
          <w:rFonts w:hint="eastAsia" w:ascii="仿宋_GB2312" w:eastAsia="仿宋_GB2312"/>
          <w:b w:val="0"/>
          <w:bCs w:val="0"/>
        </w:rPr>
        <w:t>三、</w:t>
      </w:r>
      <w:r>
        <w:rPr>
          <w:rFonts w:hint="eastAsia" w:ascii="仿宋_GB2312" w:eastAsia="仿宋_GB2312"/>
          <w:b w:val="0"/>
          <w:bCs w:val="0"/>
          <w:color w:val="000000"/>
        </w:rPr>
        <w:t>支</w:t>
      </w:r>
      <w:r>
        <w:rPr>
          <w:rStyle w:val="24"/>
          <w:rFonts w:hint="eastAsia" w:ascii="仿宋_GB2312" w:eastAsia="仿宋_GB2312"/>
          <w:b w:val="0"/>
          <w:bCs w:val="0"/>
        </w:rPr>
        <w:t>出决算表</w:t>
      </w:r>
      <w:bookmarkEnd w:id="62"/>
    </w:p>
    <w:p>
      <w:pPr>
        <w:pStyle w:val="3"/>
        <w:overflowPunct w:val="0"/>
        <w:spacing w:before="0" w:after="0" w:line="576" w:lineRule="exact"/>
        <w:rPr>
          <w:rFonts w:hint="eastAsia" w:ascii="仿宋_GB2312" w:eastAsia="仿宋_GB2312"/>
          <w:b w:val="0"/>
          <w:bCs w:val="0"/>
          <w:color w:val="000000"/>
        </w:rPr>
      </w:pPr>
      <w:bookmarkStart w:id="63" w:name="_Toc15396622"/>
      <w:r>
        <w:rPr>
          <w:rStyle w:val="24"/>
          <w:rFonts w:hint="eastAsia" w:ascii="仿宋_GB2312" w:eastAsia="仿宋_GB2312"/>
          <w:b w:val="0"/>
          <w:bCs w:val="0"/>
        </w:rPr>
        <w:t>四、</w:t>
      </w:r>
      <w:r>
        <w:rPr>
          <w:rFonts w:hint="eastAsia" w:ascii="仿宋_GB2312" w:eastAsia="仿宋_GB2312"/>
          <w:b w:val="0"/>
          <w:bCs w:val="0"/>
          <w:color w:val="000000"/>
        </w:rPr>
        <w:t>财</w:t>
      </w:r>
      <w:r>
        <w:rPr>
          <w:rStyle w:val="24"/>
          <w:rFonts w:hint="eastAsia" w:ascii="仿宋_GB2312" w:eastAsia="仿宋_GB2312"/>
          <w:b w:val="0"/>
          <w:bCs w:val="0"/>
        </w:rPr>
        <w:t>政拨款收入支出决算总表</w:t>
      </w:r>
      <w:bookmarkEnd w:id="63"/>
    </w:p>
    <w:p>
      <w:pPr>
        <w:pStyle w:val="3"/>
        <w:overflowPunct w:val="0"/>
        <w:spacing w:before="0" w:after="0" w:line="576" w:lineRule="exact"/>
        <w:rPr>
          <w:rStyle w:val="24"/>
          <w:rFonts w:hint="eastAsia" w:ascii="仿宋_GB2312" w:eastAsia="仿宋_GB2312"/>
          <w:b w:val="0"/>
          <w:bCs w:val="0"/>
        </w:rPr>
      </w:pPr>
      <w:bookmarkStart w:id="64" w:name="_Toc15396623"/>
      <w:r>
        <w:rPr>
          <w:rStyle w:val="24"/>
          <w:rFonts w:hint="eastAsia" w:ascii="仿宋_GB2312" w:eastAsia="仿宋_GB2312"/>
          <w:b w:val="0"/>
          <w:bCs w:val="0"/>
        </w:rPr>
        <w:t>五、</w:t>
      </w:r>
      <w:r>
        <w:rPr>
          <w:rFonts w:hint="eastAsia" w:ascii="仿宋_GB2312" w:eastAsia="仿宋_GB2312"/>
          <w:b w:val="0"/>
          <w:bCs w:val="0"/>
          <w:color w:val="000000"/>
        </w:rPr>
        <w:t>财</w:t>
      </w:r>
      <w:r>
        <w:rPr>
          <w:rStyle w:val="24"/>
          <w:rFonts w:hint="eastAsia" w:ascii="仿宋_GB2312" w:eastAsia="仿宋_GB2312"/>
          <w:b w:val="0"/>
          <w:bCs w:val="0"/>
        </w:rPr>
        <w:t>政拨款支出决算明细表</w:t>
      </w:r>
      <w:bookmarkEnd w:id="64"/>
      <w:bookmarkStart w:id="65" w:name="_Toc15396624"/>
    </w:p>
    <w:p>
      <w:pPr>
        <w:pStyle w:val="3"/>
        <w:overflowPunct w:val="0"/>
        <w:spacing w:before="0" w:after="0" w:line="576" w:lineRule="exact"/>
        <w:rPr>
          <w:rFonts w:hint="eastAsia" w:ascii="仿宋_GB2312" w:eastAsia="仿宋_GB2312"/>
          <w:b w:val="0"/>
          <w:bCs w:val="0"/>
          <w:color w:val="000000"/>
        </w:rPr>
      </w:pPr>
      <w:r>
        <w:rPr>
          <w:rStyle w:val="24"/>
          <w:rFonts w:hint="eastAsia" w:ascii="仿宋_GB2312" w:eastAsia="仿宋_GB2312"/>
          <w:b w:val="0"/>
          <w:bCs w:val="0"/>
        </w:rPr>
        <w:t>六、</w:t>
      </w:r>
      <w:r>
        <w:rPr>
          <w:rFonts w:hint="eastAsia" w:ascii="仿宋_GB2312" w:eastAsia="仿宋_GB2312"/>
          <w:b w:val="0"/>
          <w:bCs w:val="0"/>
          <w:color w:val="000000"/>
        </w:rPr>
        <w:t>一</w:t>
      </w:r>
      <w:r>
        <w:rPr>
          <w:rStyle w:val="24"/>
          <w:rFonts w:hint="eastAsia" w:ascii="仿宋_GB2312" w:eastAsia="仿宋_GB2312"/>
          <w:b w:val="0"/>
          <w:bCs w:val="0"/>
        </w:rPr>
        <w:t>般公共预算财政拨款支出决算表</w:t>
      </w:r>
      <w:bookmarkEnd w:id="65"/>
    </w:p>
    <w:p>
      <w:pPr>
        <w:pStyle w:val="3"/>
        <w:overflowPunct w:val="0"/>
        <w:spacing w:before="0" w:after="0" w:line="576" w:lineRule="exact"/>
        <w:rPr>
          <w:rFonts w:hint="eastAsia" w:ascii="仿宋_GB2312" w:eastAsia="仿宋_GB2312"/>
          <w:b w:val="0"/>
          <w:bCs w:val="0"/>
          <w:color w:val="000000"/>
        </w:rPr>
      </w:pPr>
      <w:bookmarkStart w:id="66" w:name="_Toc15396625"/>
      <w:r>
        <w:rPr>
          <w:rStyle w:val="24"/>
          <w:rFonts w:hint="eastAsia" w:ascii="仿宋_GB2312" w:eastAsia="仿宋_GB2312"/>
          <w:b w:val="0"/>
          <w:bCs w:val="0"/>
        </w:rPr>
        <w:t>七、</w:t>
      </w:r>
      <w:r>
        <w:rPr>
          <w:rFonts w:hint="eastAsia" w:ascii="仿宋_GB2312" w:eastAsia="仿宋_GB2312"/>
          <w:b w:val="0"/>
          <w:bCs w:val="0"/>
          <w:color w:val="000000"/>
        </w:rPr>
        <w:t>一</w:t>
      </w:r>
      <w:r>
        <w:rPr>
          <w:rStyle w:val="24"/>
          <w:rFonts w:hint="eastAsia" w:ascii="仿宋_GB2312" w:eastAsia="仿宋_GB2312"/>
          <w:b w:val="0"/>
          <w:bCs w:val="0"/>
        </w:rPr>
        <w:t>般公共预算财政拨款支出决算明细表</w:t>
      </w:r>
      <w:bookmarkEnd w:id="66"/>
    </w:p>
    <w:p>
      <w:pPr>
        <w:pStyle w:val="3"/>
        <w:overflowPunct w:val="0"/>
        <w:spacing w:before="0" w:after="0" w:line="576" w:lineRule="exact"/>
        <w:rPr>
          <w:rFonts w:hint="eastAsia" w:ascii="仿宋_GB2312" w:eastAsia="仿宋_GB2312"/>
          <w:b w:val="0"/>
          <w:bCs w:val="0"/>
          <w:color w:val="000000"/>
        </w:rPr>
      </w:pPr>
      <w:bookmarkStart w:id="67" w:name="_Toc15396626"/>
      <w:r>
        <w:rPr>
          <w:rStyle w:val="24"/>
          <w:rFonts w:hint="eastAsia" w:ascii="仿宋_GB2312" w:eastAsia="仿宋_GB2312"/>
          <w:b w:val="0"/>
          <w:bCs w:val="0"/>
        </w:rPr>
        <w:t>八、</w:t>
      </w:r>
      <w:r>
        <w:rPr>
          <w:rFonts w:hint="eastAsia" w:ascii="仿宋_GB2312" w:eastAsia="仿宋_GB2312"/>
          <w:b w:val="0"/>
          <w:bCs w:val="0"/>
          <w:color w:val="000000"/>
        </w:rPr>
        <w:t>一</w:t>
      </w:r>
      <w:r>
        <w:rPr>
          <w:rStyle w:val="24"/>
          <w:rFonts w:hint="eastAsia" w:ascii="仿宋_GB2312" w:eastAsia="仿宋_GB2312"/>
          <w:b w:val="0"/>
          <w:bCs w:val="0"/>
        </w:rPr>
        <w:t>般公共预算财政拨款基本支出决算表</w:t>
      </w:r>
      <w:bookmarkEnd w:id="67"/>
    </w:p>
    <w:p>
      <w:pPr>
        <w:pStyle w:val="3"/>
        <w:overflowPunct w:val="0"/>
        <w:spacing w:before="0" w:after="0" w:line="576" w:lineRule="exact"/>
        <w:rPr>
          <w:rFonts w:hint="eastAsia" w:ascii="仿宋_GB2312" w:eastAsia="仿宋_GB2312"/>
          <w:b w:val="0"/>
          <w:bCs w:val="0"/>
          <w:color w:val="000000"/>
        </w:rPr>
      </w:pPr>
      <w:bookmarkStart w:id="68" w:name="_Toc15396627"/>
      <w:r>
        <w:rPr>
          <w:rStyle w:val="24"/>
          <w:rFonts w:hint="eastAsia" w:ascii="仿宋_GB2312" w:eastAsia="仿宋_GB2312"/>
          <w:b w:val="0"/>
          <w:bCs w:val="0"/>
        </w:rPr>
        <w:t>九、</w:t>
      </w:r>
      <w:r>
        <w:rPr>
          <w:rFonts w:hint="eastAsia" w:ascii="仿宋_GB2312" w:eastAsia="仿宋_GB2312"/>
          <w:b w:val="0"/>
          <w:bCs w:val="0"/>
          <w:color w:val="000000"/>
        </w:rPr>
        <w:t>一</w:t>
      </w:r>
      <w:r>
        <w:rPr>
          <w:rStyle w:val="24"/>
          <w:rFonts w:hint="eastAsia" w:ascii="仿宋_GB2312" w:eastAsia="仿宋_GB2312"/>
          <w:b w:val="0"/>
          <w:bCs w:val="0"/>
        </w:rPr>
        <w:t>般公共预算财政拨款项目支出决算表</w:t>
      </w:r>
      <w:bookmarkEnd w:id="68"/>
    </w:p>
    <w:p>
      <w:pPr>
        <w:pStyle w:val="3"/>
        <w:overflowPunct w:val="0"/>
        <w:spacing w:before="0" w:after="0" w:line="576" w:lineRule="exact"/>
        <w:rPr>
          <w:rFonts w:hint="eastAsia" w:ascii="仿宋_GB2312" w:eastAsia="仿宋_GB2312"/>
          <w:b w:val="0"/>
          <w:bCs w:val="0"/>
          <w:color w:val="000000"/>
        </w:rPr>
      </w:pPr>
      <w:bookmarkStart w:id="69" w:name="_Toc15396628"/>
      <w:r>
        <w:rPr>
          <w:rStyle w:val="24"/>
          <w:rFonts w:hint="eastAsia" w:ascii="仿宋_GB2312" w:eastAsia="仿宋_GB2312"/>
          <w:b w:val="0"/>
          <w:bCs w:val="0"/>
        </w:rPr>
        <w:t>十、</w:t>
      </w:r>
      <w:r>
        <w:rPr>
          <w:rFonts w:hint="eastAsia" w:ascii="仿宋_GB2312" w:eastAsia="仿宋_GB2312"/>
          <w:b w:val="0"/>
          <w:bCs w:val="0"/>
          <w:color w:val="000000"/>
        </w:rPr>
        <w:t>一</w:t>
      </w:r>
      <w:r>
        <w:rPr>
          <w:rStyle w:val="24"/>
          <w:rFonts w:hint="eastAsia" w:ascii="仿宋_GB2312" w:eastAsia="仿宋_GB2312"/>
          <w:b w:val="0"/>
          <w:bCs w:val="0"/>
        </w:rPr>
        <w:t>般公共预算财政拨款“三公”经费支出决算表</w:t>
      </w:r>
      <w:bookmarkEnd w:id="69"/>
    </w:p>
    <w:p>
      <w:pPr>
        <w:pStyle w:val="3"/>
        <w:overflowPunct w:val="0"/>
        <w:spacing w:before="0" w:after="0" w:line="576" w:lineRule="exact"/>
        <w:rPr>
          <w:rFonts w:hint="eastAsia" w:ascii="仿宋_GB2312" w:eastAsia="仿宋_GB2312"/>
          <w:b w:val="0"/>
          <w:bCs w:val="0"/>
          <w:color w:val="000000"/>
        </w:rPr>
      </w:pPr>
      <w:bookmarkStart w:id="70" w:name="_Toc15396629"/>
      <w:r>
        <w:rPr>
          <w:rStyle w:val="24"/>
          <w:rFonts w:hint="eastAsia" w:ascii="仿宋_GB2312" w:eastAsia="仿宋_GB2312"/>
          <w:b w:val="0"/>
          <w:bCs w:val="0"/>
        </w:rPr>
        <w:t>十一、</w:t>
      </w:r>
      <w:r>
        <w:rPr>
          <w:rFonts w:hint="eastAsia" w:ascii="仿宋_GB2312" w:eastAsia="仿宋_GB2312"/>
          <w:b w:val="0"/>
          <w:bCs w:val="0"/>
          <w:color w:val="000000"/>
        </w:rPr>
        <w:t>政</w:t>
      </w:r>
      <w:r>
        <w:rPr>
          <w:rStyle w:val="24"/>
          <w:rFonts w:hint="eastAsia" w:ascii="仿宋_GB2312" w:eastAsia="仿宋_GB2312"/>
          <w:b w:val="0"/>
          <w:bCs w:val="0"/>
        </w:rPr>
        <w:t>府性基金预算财政拨款收入支出决算表</w:t>
      </w:r>
      <w:bookmarkEnd w:id="70"/>
    </w:p>
    <w:p>
      <w:pPr>
        <w:pStyle w:val="3"/>
        <w:overflowPunct w:val="0"/>
        <w:spacing w:before="0" w:after="0" w:line="576" w:lineRule="exact"/>
        <w:rPr>
          <w:rFonts w:hint="eastAsia" w:ascii="仿宋_GB2312" w:eastAsia="仿宋_GB2312"/>
          <w:b w:val="0"/>
          <w:bCs w:val="0"/>
          <w:color w:val="000000"/>
        </w:rPr>
      </w:pPr>
      <w:bookmarkStart w:id="71" w:name="_Toc15396630"/>
      <w:r>
        <w:rPr>
          <w:rStyle w:val="24"/>
          <w:rFonts w:hint="eastAsia" w:ascii="仿宋_GB2312" w:eastAsia="仿宋_GB2312"/>
          <w:b w:val="0"/>
          <w:bCs w:val="0"/>
        </w:rPr>
        <w:t>十二、</w:t>
      </w:r>
      <w:r>
        <w:rPr>
          <w:rFonts w:hint="eastAsia" w:ascii="仿宋_GB2312" w:eastAsia="仿宋_GB2312"/>
          <w:b w:val="0"/>
          <w:bCs w:val="0"/>
          <w:color w:val="000000"/>
        </w:rPr>
        <w:t>政</w:t>
      </w:r>
      <w:r>
        <w:rPr>
          <w:rStyle w:val="24"/>
          <w:rFonts w:hint="eastAsia" w:ascii="仿宋_GB2312" w:eastAsia="仿宋_GB2312"/>
          <w:b w:val="0"/>
          <w:bCs w:val="0"/>
        </w:rPr>
        <w:t>府性基金预算财政拨款“三公”经费支出决算表</w:t>
      </w:r>
      <w:bookmarkEnd w:id="71"/>
    </w:p>
    <w:p>
      <w:pPr>
        <w:pStyle w:val="3"/>
        <w:overflowPunct w:val="0"/>
        <w:spacing w:before="0" w:after="0" w:line="576" w:lineRule="exact"/>
        <w:rPr>
          <w:rFonts w:hint="eastAsia" w:ascii="仿宋_GB2312" w:eastAsia="仿宋_GB2312"/>
          <w:b w:val="0"/>
          <w:bCs w:val="0"/>
          <w:color w:val="000000"/>
        </w:rPr>
      </w:pPr>
      <w:bookmarkStart w:id="72" w:name="_Toc15396631"/>
      <w:r>
        <w:rPr>
          <w:rStyle w:val="24"/>
          <w:rFonts w:hint="eastAsia" w:ascii="仿宋_GB2312" w:eastAsia="仿宋_GB2312"/>
          <w:b w:val="0"/>
          <w:bCs w:val="0"/>
        </w:rPr>
        <w:t>十三、</w:t>
      </w:r>
      <w:r>
        <w:rPr>
          <w:rFonts w:hint="eastAsia" w:ascii="仿宋_GB2312" w:eastAsia="仿宋_GB2312"/>
          <w:b w:val="0"/>
          <w:bCs w:val="0"/>
          <w:color w:val="000000"/>
        </w:rPr>
        <w:t>国</w:t>
      </w:r>
      <w:r>
        <w:rPr>
          <w:rStyle w:val="24"/>
          <w:rFonts w:hint="eastAsia" w:ascii="仿宋_GB2312" w:eastAsia="仿宋_GB2312"/>
          <w:b w:val="0"/>
          <w:bCs w:val="0"/>
        </w:rPr>
        <w:t>有资本经营预算支出决算表</w:t>
      </w:r>
      <w:bookmarkEnd w:id="72"/>
      <w:r>
        <w:rPr>
          <w:rStyle w:val="24"/>
          <w:rFonts w:hint="eastAsia" w:ascii="仿宋_GB2312" w:eastAsia="仿宋_GB2312"/>
          <w:b w:val="0"/>
          <w:bCs w:val="0"/>
        </w:rPr>
        <w:t xml:space="preserve"> </w:t>
      </w:r>
    </w:p>
    <w:sectPr>
      <w:headerReference r:id="rId3" w:type="default"/>
      <w:footerReference r:id="rId4" w:type="default"/>
      <w:pgSz w:w="11907" w:h="16840"/>
      <w:pgMar w:top="2098" w:right="1474" w:bottom="1985" w:left="1588"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18</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ADFCEC"/>
    <w:multiLevelType w:val="singleLevel"/>
    <w:tmpl w:val="9DADFCEC"/>
    <w:lvl w:ilvl="0" w:tentative="0">
      <w:start w:val="5"/>
      <w:numFmt w:val="chineseCounting"/>
      <w:suff w:val="space"/>
      <w:lvlText w:val="第%1部分"/>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2">
    <w:nsid w:val="E721C0B1"/>
    <w:multiLevelType w:val="multilevel"/>
    <w:tmpl w:val="E721C0B1"/>
    <w:lvl w:ilvl="0" w:tentative="0">
      <w:start w:val="1"/>
      <w:numFmt w:val="chineseCountingThousand"/>
      <w:lvlText w:val="（%1）"/>
      <w:lvlJc w:val="left"/>
      <w:pPr>
        <w:tabs>
          <w:tab w:val="left" w:pos="0"/>
        </w:tabs>
        <w:ind w:left="1600" w:hanging="960"/>
      </w:p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63FAC97F"/>
    <w:multiLevelType w:val="multilevel"/>
    <w:tmpl w:val="63FAC97F"/>
    <w:lvl w:ilvl="0" w:tentative="0">
      <w:start w:val="1"/>
      <w:numFmt w:val="chineseCountingThousand"/>
      <w:lvlText w:val="（%1）"/>
      <w:lvlJc w:val="left"/>
      <w:pPr>
        <w:tabs>
          <w:tab w:val="left" w:pos="0"/>
        </w:tabs>
        <w:ind w:left="1600" w:hanging="960"/>
      </w:p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5">
    <w:nsid w:val="707C4D1E"/>
    <w:multiLevelType w:val="multilevel"/>
    <w:tmpl w:val="707C4D1E"/>
    <w:lvl w:ilvl="0" w:tentative="0">
      <w:start w:val="1"/>
      <w:numFmt w:val="chineseCountingThousand"/>
      <w:lvlText w:val="（%1）"/>
      <w:lvlJc w:val="left"/>
      <w:pPr>
        <w:tabs>
          <w:tab w:val="left" w:pos="0"/>
        </w:tabs>
        <w:ind w:left="1600" w:hanging="960"/>
      </w:p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3"/>
  </w:num>
  <w:num w:numId="2">
    <w:abstractNumId w:val="1"/>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8030DD4"/>
    <w:rsid w:val="1FDDF656"/>
    <w:rsid w:val="39B745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4"/>
    <w:qFormat/>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toc 7"/>
    <w:basedOn w:val="1"/>
    <w:next w:val="1"/>
    <w:qFormat/>
    <w:uiPriority w:val="0"/>
    <w:pPr>
      <w:ind w:left="2520"/>
    </w:p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toc 5"/>
    <w:basedOn w:val="1"/>
    <w:next w:val="1"/>
    <w:qFormat/>
    <w:uiPriority w:val="0"/>
    <w:pPr>
      <w:ind w:left="1680"/>
    </w:pPr>
  </w:style>
  <w:style w:type="paragraph" w:styleId="8">
    <w:name w:val="toc 3"/>
    <w:basedOn w:val="1"/>
    <w:next w:val="1"/>
    <w:qFormat/>
    <w:uiPriority w:val="0"/>
    <w:pPr>
      <w:tabs>
        <w:tab w:val="right" w:leader="dot" w:pos="8296"/>
      </w:tabs>
      <w:ind w:left="400" w:leftChars="400"/>
    </w:pPr>
  </w:style>
  <w:style w:type="paragraph" w:styleId="9">
    <w:name w:val="toc 8"/>
    <w:basedOn w:val="1"/>
    <w:next w:val="1"/>
    <w:qFormat/>
    <w:uiPriority w:val="0"/>
    <w:pPr>
      <w:ind w:left="294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toc 4"/>
    <w:basedOn w:val="1"/>
    <w:next w:val="1"/>
    <w:qFormat/>
    <w:uiPriority w:val="0"/>
    <w:pPr>
      <w:ind w:left="1260"/>
    </w:pPr>
  </w:style>
  <w:style w:type="paragraph" w:styleId="15">
    <w:name w:val="toc 6"/>
    <w:basedOn w:val="1"/>
    <w:next w:val="1"/>
    <w:qFormat/>
    <w:uiPriority w:val="0"/>
    <w:pPr>
      <w:ind w:left="2100"/>
    </w:pPr>
  </w:style>
  <w:style w:type="paragraph" w:styleId="16">
    <w:name w:val="toc 2"/>
    <w:basedOn w:val="1"/>
    <w:next w:val="1"/>
    <w:qFormat/>
    <w:uiPriority w:val="0"/>
    <w:pPr>
      <w:tabs>
        <w:tab w:val="right" w:leader="dot" w:pos="8296"/>
      </w:tabs>
      <w:ind w:left="200" w:leftChars="200"/>
    </w:pPr>
  </w:style>
  <w:style w:type="paragraph" w:styleId="17">
    <w:name w:val="toc 9"/>
    <w:basedOn w:val="1"/>
    <w:next w:val="1"/>
    <w:qFormat/>
    <w:uiPriority w:val="0"/>
    <w:pPr>
      <w:ind w:left="3360"/>
    </w:pPr>
  </w:style>
  <w:style w:type="paragraph" w:styleId="18">
    <w:name w:val="index 1"/>
    <w:basedOn w:val="1"/>
    <w:next w:val="1"/>
    <w:qFormat/>
    <w:uiPriority w:val="0"/>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customStyle="1" w:styleId="23">
    <w:name w:val="heading 1 Char"/>
    <w:basedOn w:val="20"/>
    <w:link w:val="2"/>
    <w:qFormat/>
    <w:uiPriority w:val="0"/>
    <w:rPr>
      <w:rFonts w:ascii="Times New Roman" w:hAnsi="Times New Roman" w:eastAsia="宋体" w:cs="Times New Roman"/>
      <w:b/>
      <w:bCs/>
      <w:kern w:val="44"/>
      <w:sz w:val="44"/>
      <w:szCs w:val="44"/>
      <w:lang w:val="en-US" w:eastAsia="zh-CN" w:bidi="ar-SA"/>
    </w:rPr>
  </w:style>
  <w:style w:type="character" w:customStyle="1" w:styleId="24">
    <w:name w:val="heading 2 Char"/>
    <w:basedOn w:val="20"/>
    <w:link w:val="3"/>
    <w:qFormat/>
    <w:uiPriority w:val="0"/>
    <w:rPr>
      <w:rFonts w:ascii="Cambria" w:hAnsi="Cambria" w:eastAsia="宋体" w:cs="Times New Roman"/>
      <w:b/>
      <w:bCs/>
      <w:kern w:val="2"/>
      <w:sz w:val="32"/>
      <w:szCs w:val="32"/>
      <w:lang w:val="en-US" w:eastAsia="zh-CN" w:bidi="ar-SA"/>
    </w:rPr>
  </w:style>
  <w:style w:type="character" w:customStyle="1" w:styleId="25">
    <w:name w:val="Header Char"/>
    <w:basedOn w:val="20"/>
    <w:qFormat/>
    <w:uiPriority w:val="0"/>
    <w:rPr>
      <w:rFonts w:ascii="Times New Roman" w:hAnsi="Times New Roman"/>
      <w:sz w:val="18"/>
      <w:szCs w:val="18"/>
    </w:rPr>
  </w:style>
  <w:style w:type="character" w:customStyle="1" w:styleId="26">
    <w:name w:val="Footer Char"/>
    <w:basedOn w:val="20"/>
    <w:qFormat/>
    <w:uiPriority w:val="0"/>
    <w:rPr>
      <w:rFonts w:ascii="Times New Roman" w:hAnsi="Times New Roman"/>
      <w:sz w:val="18"/>
      <w:szCs w:val="18"/>
    </w:rPr>
  </w:style>
  <w:style w:type="character" w:customStyle="1" w:styleId="27">
    <w:name w:val="Body Text Char"/>
    <w:basedOn w:val="20"/>
    <w:qFormat/>
    <w:uiPriority w:val="0"/>
    <w:rPr>
      <w:rFonts w:ascii="Times New Roman" w:hAnsi="Times New Roman"/>
      <w:szCs w:val="24"/>
    </w:rPr>
  </w:style>
  <w:style w:type="paragraph" w:customStyle="1" w:styleId="2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9">
    <w:name w:val="列出段落1"/>
    <w:basedOn w:val="1"/>
    <w:qFormat/>
    <w:uiPriority w:val="0"/>
    <w:pPr>
      <w:ind w:firstLine="200" w:firstLineChars="200"/>
    </w:pPr>
  </w:style>
  <w:style w:type="paragraph" w:customStyle="1" w:styleId="30">
    <w:name w:val="TOC 标题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1">
    <w:name w:val="TOC 标题2"/>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oleObject" Target="embeddings/oleObject2.bin"/><Relationship Id="rId7" Type="http://schemas.openxmlformats.org/officeDocument/2006/relationships/image" Target="media/image1.png"/><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oleObject" Target="embeddings/oleObject7.bin"/><Relationship Id="rId17" Type="http://schemas.openxmlformats.org/officeDocument/2006/relationships/image" Target="media/image6.png"/><Relationship Id="rId16" Type="http://schemas.openxmlformats.org/officeDocument/2006/relationships/oleObject" Target="embeddings/oleObject6.bin"/><Relationship Id="rId15" Type="http://schemas.openxmlformats.org/officeDocument/2006/relationships/image" Target="media/image5.png"/><Relationship Id="rId14" Type="http://schemas.openxmlformats.org/officeDocument/2006/relationships/oleObject" Target="embeddings/oleObject5.bin"/><Relationship Id="rId13" Type="http://schemas.openxmlformats.org/officeDocument/2006/relationships/image" Target="media/image4.png"/><Relationship Id="rId12" Type="http://schemas.openxmlformats.org/officeDocument/2006/relationships/oleObject" Target="embeddings/oleObject4.bin"/><Relationship Id="rId11" Type="http://schemas.openxmlformats.org/officeDocument/2006/relationships/image" Target="media/image3.png"/><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27</Pages>
  <Words>9798</Words>
  <Characters>10605</Characters>
  <Lines>651</Lines>
  <Paragraphs>302</Paragraphs>
  <TotalTime>6</TotalTime>
  <ScaleCrop>false</ScaleCrop>
  <LinksUpToDate>false</LinksUpToDate>
  <CharactersWithSpaces>10701</CharactersWithSpaces>
  <Application>WPS Office_11.8.2.1116_F1E327BC-269C-435d-A152-05C5408002CA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2020-09-25T15:37:00Z</cp:lastPrinted>
  <dcterms:modified xsi:type="dcterms:W3CDTF">2023-07-13T19:16:22Z</dcterms:modified>
  <dc:title>四川省***</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2F38901132D5800606DDAF64F071DE80</vt:lpwstr>
  </property>
</Properties>
</file>