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eastAsia="宋体" w:cs="Times New Roman"/>
          <w:b/>
          <w:sz w:val="72"/>
          <w:szCs w:val="72"/>
        </w:rPr>
      </w:pPr>
      <w:bookmarkStart w:id="0" w:name="_Toc15378441"/>
      <w:bookmarkStart w:id="1" w:name="_Toc15377425"/>
      <w:bookmarkStart w:id="2" w:name="_Toc15396475"/>
      <w:bookmarkStart w:id="3" w:name="_Toc15377193"/>
      <w:bookmarkStart w:id="4" w:name="_Toc15396597"/>
      <w:bookmarkStart w:id="5" w:name="_Toc15306267"/>
    </w:p>
    <w:p>
      <w:pPr>
        <w:jc w:val="center"/>
        <w:rPr>
          <w:rFonts w:hint="eastAsia" w:ascii="方正小标宋简体" w:eastAsia="方正小标宋简体" w:cs="Times New Roman"/>
          <w:b/>
          <w:sz w:val="72"/>
          <w:szCs w:val="72"/>
        </w:rPr>
      </w:pPr>
      <w:r>
        <w:rPr>
          <w:rFonts w:hint="eastAsia" w:ascii="方正小标宋简体" w:eastAsia="方正小标宋简体" w:cs="Times New Roman"/>
          <w:b/>
          <w:sz w:val="72"/>
          <w:szCs w:val="72"/>
        </w:rPr>
        <w:t>202</w:t>
      </w:r>
      <w:r>
        <w:rPr>
          <w:rFonts w:hint="eastAsia" w:ascii="方正小标宋简体" w:eastAsia="方正小标宋简体" w:cs="Times New Roman"/>
          <w:b/>
          <w:sz w:val="72"/>
          <w:szCs w:val="72"/>
          <w:lang w:val="en-US" w:eastAsia="zh-CN"/>
        </w:rPr>
        <w:t>2</w:t>
      </w:r>
      <w:r>
        <w:rPr>
          <w:rFonts w:hint="eastAsia" w:ascii="方正小标宋简体" w:eastAsia="方正小标宋简体" w:cs="Times New Roman"/>
          <w:b/>
          <w:sz w:val="72"/>
          <w:szCs w:val="72"/>
        </w:rPr>
        <w:t>年度</w:t>
      </w:r>
      <w:bookmarkEnd w:id="0"/>
      <w:bookmarkEnd w:id="1"/>
      <w:bookmarkEnd w:id="2"/>
      <w:bookmarkEnd w:id="3"/>
      <w:bookmarkEnd w:id="4"/>
    </w:p>
    <w:bookmarkEnd w:id="5"/>
    <w:p>
      <w:pPr>
        <w:jc w:val="center"/>
        <w:rPr>
          <w:rFonts w:hint="eastAsia" w:ascii="宋体" w:eastAsia="宋体" w:cs="Times New Roman"/>
          <w:b/>
          <w:sz w:val="72"/>
          <w:szCs w:val="72"/>
        </w:rPr>
      </w:pPr>
      <w:bookmarkStart w:id="6" w:name="_Toc15377426"/>
      <w:bookmarkStart w:id="7" w:name="_Toc15396476"/>
      <w:bookmarkStart w:id="8" w:name="_Toc15396598"/>
      <w:bookmarkStart w:id="9" w:name="_Toc15378442"/>
      <w:bookmarkStart w:id="10" w:name="_Toc15306268"/>
      <w:bookmarkStart w:id="11" w:name="_Toc15377194"/>
      <w:r>
        <w:rPr>
          <w:rFonts w:hint="eastAsia" w:ascii="方正小标宋简体" w:eastAsia="方正小标宋简体" w:cs="Times New Roman"/>
          <w:b/>
          <w:sz w:val="72"/>
          <w:szCs w:val="72"/>
        </w:rPr>
        <w:t>阿坝州茂县人民政府办公室部门决算</w:t>
      </w:r>
      <w:bookmarkEnd w:id="6"/>
      <w:bookmarkEnd w:id="7"/>
      <w:bookmarkEnd w:id="8"/>
      <w:bookmarkEnd w:id="9"/>
      <w:bookmarkEnd w:id="10"/>
      <w:bookmarkEnd w:id="11"/>
      <w:r>
        <w:rPr>
          <w:rFonts w:hint="eastAsia" w:ascii="方正小标宋简体" w:eastAsia="方正小标宋简体" w:cs="Times New Roman"/>
          <w:b/>
          <w:sz w:val="72"/>
          <w:szCs w:val="72"/>
        </w:rPr>
        <w:t>编制说明</w:t>
      </w:r>
    </w:p>
    <w:p>
      <w:pPr>
        <w:jc w:val="center"/>
        <w:rPr>
          <w:rFonts w:hint="eastAsia" w:ascii="宋体" w:eastAsia="宋体" w:cs="Times New Roman"/>
          <w:b/>
          <w:sz w:val="72"/>
          <w:szCs w:val="72"/>
        </w:rPr>
      </w:pPr>
    </w:p>
    <w:p>
      <w:pPr>
        <w:pStyle w:val="2"/>
        <w:pageBreakBefore w:val="0"/>
        <w:widowControl w:val="0"/>
        <w:kinsoku/>
        <w:wordWrap/>
        <w:topLinePunct w:val="0"/>
        <w:bidi w:val="0"/>
        <w:spacing w:line="576" w:lineRule="exact"/>
        <w:textAlignment w:val="auto"/>
        <w:rPr>
          <w:sz w:val="72"/>
          <w:szCs w:val="72"/>
        </w:rPr>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ageBreakBefore w:val="0"/>
        <w:widowControl w:val="0"/>
        <w:kinsoku/>
        <w:wordWrap/>
        <w:topLinePunct w:val="0"/>
        <w:autoSpaceDE w:val="0"/>
        <w:autoSpaceDN w:val="0"/>
        <w:bidi w:val="0"/>
        <w:adjustRightInd w:val="0"/>
        <w:spacing w:line="576" w:lineRule="exact"/>
        <w:ind w:left="420" w:left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保密审查情况：已审查，内容审定</w:t>
      </w:r>
    </w:p>
    <w:p>
      <w:pPr>
        <w:pageBreakBefore w:val="0"/>
        <w:widowControl w:val="0"/>
        <w:kinsoku/>
        <w:wordWrap/>
        <w:topLinePunct w:val="0"/>
        <w:autoSpaceDE w:val="0"/>
        <w:autoSpaceDN w:val="0"/>
        <w:bidi w:val="0"/>
        <w:adjustRightInd w:val="0"/>
        <w:spacing w:line="576" w:lineRule="exact"/>
        <w:ind w:left="420" w:left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部门主要负责人审签情况：已审签，同意对外公开</w:t>
      </w:r>
    </w:p>
    <w:p>
      <w:pPr>
        <w:pStyle w:val="16"/>
        <w:widowControl/>
        <w:spacing w:line="576" w:lineRule="exact"/>
        <w:jc w:val="center"/>
        <w:rPr>
          <w:rFonts w:ascii="黑体" w:hAnsi="Times New Roman" w:eastAsia="黑体"/>
          <w:color w:val="000000"/>
          <w:sz w:val="48"/>
          <w:szCs w:val="48"/>
        </w:rPr>
      </w:pPr>
      <w:r>
        <w:rPr>
          <w:rFonts w:hint="eastAsia" w:ascii="仿宋_GB2312" w:eastAsia="仿宋_GB2312" w:cs="仿宋_GB2312"/>
          <w:color w:val="000000"/>
          <w:sz w:val="32"/>
          <w:szCs w:val="32"/>
        </w:rPr>
        <w:br w:type="page"/>
      </w:r>
      <w:bookmarkStart w:id="12" w:name="_Toc15377196"/>
      <w:r>
        <w:rPr>
          <w:rFonts w:hint="eastAsia" w:ascii="黑体" w:hAnsi="Times New Roman" w:eastAsia="黑体"/>
          <w:color w:val="000000"/>
          <w:sz w:val="48"/>
          <w:szCs w:val="48"/>
        </w:rPr>
        <w:t>目录</w:t>
      </w:r>
    </w:p>
    <w:p>
      <w:pPr>
        <w:pStyle w:val="13"/>
        <w:spacing w:line="576" w:lineRule="exact"/>
        <w:jc w:val="center"/>
      </w:pPr>
      <w:r>
        <w:rPr>
          <w:rFonts w:hint="eastAsia" w:hAnsi="Times New Roman"/>
          <w:b w:val="0"/>
          <w:bCs w:val="0"/>
          <w:sz w:val="24"/>
          <w:szCs w:val="24"/>
        </w:rPr>
        <w:t>公开时间：2023年9月12日</w:t>
      </w:r>
    </w:p>
    <w:p>
      <w:pPr>
        <w:pStyle w:val="13"/>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_Toc19574 </w:instrText>
      </w:r>
      <w:r>
        <w:fldChar w:fldCharType="separate"/>
      </w:r>
      <w:r>
        <w:rPr>
          <w:rFonts w:hint="eastAsia" w:ascii="黑体" w:eastAsia="黑体" w:cs="黑体"/>
        </w:rPr>
        <w:t xml:space="preserve">第一部分 </w:t>
      </w:r>
      <w:r>
        <w:rPr>
          <w:rFonts w:hint="eastAsia" w:ascii="黑体" w:eastAsia="黑体" w:cs="黑体"/>
          <w:bCs w:val="0"/>
        </w:rPr>
        <w:t>部门概况</w:t>
      </w:r>
      <w:r>
        <w:tab/>
      </w:r>
      <w:r>
        <w:fldChar w:fldCharType="begin"/>
      </w:r>
      <w:r>
        <w:instrText xml:space="preserve"> PAGEREF _Toc19574 \h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_Toc10813 </w:instrText>
      </w:r>
      <w:r>
        <w:fldChar w:fldCharType="separate"/>
      </w:r>
      <w:r>
        <w:rPr>
          <w:rFonts w:hint="eastAsia" w:ascii="黑体" w:eastAsia="黑体" w:cs="Times New Roman"/>
          <w:bCs w:val="0"/>
        </w:rPr>
        <w:t>一、基本职能及主要工作</w:t>
      </w:r>
      <w:r>
        <w:tab/>
      </w:r>
      <w:r>
        <w:fldChar w:fldCharType="begin"/>
      </w:r>
      <w:r>
        <w:instrText xml:space="preserve"> PAGEREF _Toc10813 \h </w:instrText>
      </w:r>
      <w:r>
        <w:fldChar w:fldCharType="separate"/>
      </w:r>
      <w:r>
        <w:t>4</w:t>
      </w:r>
      <w:r>
        <w:fldChar w:fldCharType="end"/>
      </w:r>
      <w:r>
        <w:fldChar w:fldCharType="end"/>
      </w:r>
    </w:p>
    <w:p>
      <w:pPr>
        <w:pStyle w:val="9"/>
        <w:tabs>
          <w:tab w:val="right" w:leader="dot" w:pos="8306"/>
          <w:tab w:val="clear" w:pos="8296"/>
        </w:tabs>
      </w:pPr>
      <w:r>
        <w:fldChar w:fldCharType="begin"/>
      </w:r>
      <w:r>
        <w:instrText xml:space="preserve"> HYPERLINK \l _Toc18900 </w:instrText>
      </w:r>
      <w:r>
        <w:fldChar w:fldCharType="separate"/>
      </w:r>
      <w:r>
        <w:rPr>
          <w:rFonts w:hint="eastAsia" w:ascii="仿宋_GB2312" w:eastAsia="仿宋_GB2312" w:cs="仿宋_GB2312"/>
          <w:bCs/>
          <w:szCs w:val="32"/>
        </w:rPr>
        <w:t>1.协助县政府领导同志组织起草或审核以县政府、县政府办公室名义发布的公文。办理州政府、州政府办公室及州政府各部门发送县政府的文电。指导全县行政机关公文处理工作。</w:t>
      </w:r>
      <w:r>
        <w:tab/>
      </w:r>
      <w:r>
        <w:fldChar w:fldCharType="begin"/>
      </w:r>
      <w:r>
        <w:instrText xml:space="preserve"> PAGEREF _Toc18900 \h </w:instrText>
      </w:r>
      <w:r>
        <w:fldChar w:fldCharType="separate"/>
      </w:r>
      <w:r>
        <w:t>4</w:t>
      </w:r>
      <w:r>
        <w:fldChar w:fldCharType="end"/>
      </w:r>
      <w:r>
        <w:fldChar w:fldCharType="end"/>
      </w:r>
    </w:p>
    <w:p>
      <w:pPr>
        <w:pStyle w:val="9"/>
        <w:tabs>
          <w:tab w:val="right" w:leader="dot" w:pos="8306"/>
          <w:tab w:val="clear" w:pos="8296"/>
        </w:tabs>
      </w:pPr>
      <w:r>
        <w:fldChar w:fldCharType="begin"/>
      </w:r>
      <w:r>
        <w:instrText xml:space="preserve"> HYPERLINK \l _Toc18688 </w:instrText>
      </w:r>
      <w:r>
        <w:fldChar w:fldCharType="separate"/>
      </w:r>
      <w:r>
        <w:rPr>
          <w:rFonts w:hint="eastAsia" w:ascii="仿宋" w:eastAsia="仿宋"/>
          <w:szCs w:val="32"/>
        </w:rPr>
        <w:t>（二）</w:t>
      </w:r>
      <w:r>
        <w:rPr>
          <w:rFonts w:ascii="仿宋" w:eastAsia="仿宋"/>
          <w:szCs w:val="32"/>
        </w:rPr>
        <w:t>202</w:t>
      </w:r>
      <w:r>
        <w:rPr>
          <w:rFonts w:hint="eastAsia" w:ascii="仿宋" w:eastAsia="仿宋"/>
          <w:szCs w:val="32"/>
          <w:lang w:val="en-US" w:eastAsia="zh-CN"/>
        </w:rPr>
        <w:t>2</w:t>
      </w:r>
      <w:r>
        <w:rPr>
          <w:rFonts w:hint="eastAsia" w:ascii="仿宋" w:eastAsia="仿宋"/>
          <w:szCs w:val="32"/>
        </w:rPr>
        <w:t>重点工作完成情况</w:t>
      </w:r>
      <w:r>
        <w:tab/>
      </w:r>
      <w:r>
        <w:fldChar w:fldCharType="begin"/>
      </w:r>
      <w:r>
        <w:instrText xml:space="preserve"> PAGEREF _Toc18688 \h </w:instrText>
      </w:r>
      <w:r>
        <w:fldChar w:fldCharType="separate"/>
      </w:r>
      <w:r>
        <w:t>5</w:t>
      </w:r>
      <w:r>
        <w:fldChar w:fldCharType="end"/>
      </w:r>
      <w:r>
        <w:fldChar w:fldCharType="end"/>
      </w:r>
    </w:p>
    <w:p>
      <w:pPr>
        <w:pStyle w:val="9"/>
        <w:tabs>
          <w:tab w:val="right" w:leader="dot" w:pos="8306"/>
          <w:tab w:val="clear" w:pos="8296"/>
        </w:tabs>
      </w:pPr>
      <w:r>
        <w:fldChar w:fldCharType="begin"/>
      </w:r>
      <w:r>
        <w:instrText xml:space="preserve"> HYPERLINK \l _Toc22425 </w:instrText>
      </w:r>
      <w:r>
        <w:fldChar w:fldCharType="separate"/>
      </w:r>
      <w:r>
        <w:rPr>
          <w:rFonts w:hint="eastAsia" w:ascii="楷体_GB2312" w:eastAsia="楷体_GB2312"/>
          <w:bCs/>
          <w:szCs w:val="32"/>
          <w:lang w:val="en-US" w:eastAsia="zh-CN"/>
        </w:rPr>
        <w:t>着力提升议案建议交办工作。</w:t>
      </w:r>
      <w:r>
        <w:rPr>
          <w:rFonts w:hint="eastAsia" w:ascii="仿宋_GB2312" w:eastAsia="仿宋_GB2312"/>
          <w:szCs w:val="32"/>
          <w:lang w:val="en-US" w:eastAsia="zh-CN"/>
        </w:rPr>
        <w:t>茂县第十六届人民代表大会第一次会议后，办公室及时确定牵头和承办单位，对县人大常委会转交县人民政府的57件建议</w:t>
      </w:r>
      <w:r>
        <w:rPr>
          <w:rFonts w:ascii="仿宋_GB2312" w:eastAsia="仿宋_GB2312"/>
          <w:szCs w:val="32"/>
          <w:lang w:val="en-US" w:eastAsia="zh-CN"/>
        </w:rPr>
        <w:t>进行</w:t>
      </w:r>
      <w:r>
        <w:rPr>
          <w:rFonts w:hint="eastAsia" w:ascii="仿宋_GB2312" w:eastAsia="仿宋_GB2312"/>
          <w:szCs w:val="32"/>
          <w:lang w:val="en-US" w:eastAsia="zh-CN"/>
        </w:rPr>
        <w:t>交办。在办理过程中，县政府办积极统筹协调。截至2022年10月底,57件县人大代表建议已全部答复，答复率100%，均获建议人满意；57件建议已全部或部分解决的42件</w:t>
      </w:r>
      <w:r>
        <w:rPr>
          <w:rFonts w:ascii="仿宋_GB2312" w:eastAsia="仿宋_GB2312"/>
          <w:szCs w:val="32"/>
          <w:lang w:val="en-US" w:eastAsia="zh-CN"/>
        </w:rPr>
        <w:t>，</w:t>
      </w:r>
      <w:r>
        <w:rPr>
          <w:rFonts w:hint="eastAsia" w:ascii="仿宋_GB2312" w:eastAsia="仿宋_GB2312"/>
          <w:szCs w:val="32"/>
          <w:lang w:val="en-US" w:eastAsia="zh-CN"/>
        </w:rPr>
        <w:t>占74%；正在解决的8件</w:t>
      </w:r>
      <w:r>
        <w:rPr>
          <w:rFonts w:ascii="仿宋_GB2312" w:eastAsia="仿宋_GB2312"/>
          <w:szCs w:val="32"/>
          <w:lang w:val="en-US" w:eastAsia="zh-CN"/>
        </w:rPr>
        <w:t>，</w:t>
      </w:r>
      <w:r>
        <w:rPr>
          <w:rFonts w:hint="eastAsia" w:ascii="仿宋_GB2312" w:eastAsia="仿宋_GB2312"/>
          <w:szCs w:val="32"/>
          <w:lang w:val="en-US" w:eastAsia="zh-CN"/>
        </w:rPr>
        <w:t>占4%；由于政策、资金等原因暂时不能解决的7件</w:t>
      </w:r>
      <w:r>
        <w:rPr>
          <w:rFonts w:ascii="仿宋_GB2312" w:eastAsia="仿宋_GB2312"/>
          <w:szCs w:val="32"/>
          <w:lang w:val="en-US" w:eastAsia="zh-CN"/>
        </w:rPr>
        <w:t>，</w:t>
      </w:r>
      <w:r>
        <w:rPr>
          <w:rFonts w:hint="eastAsia" w:ascii="仿宋_GB2312" w:eastAsia="仿宋_GB2312"/>
          <w:szCs w:val="32"/>
          <w:lang w:val="en-US" w:eastAsia="zh-CN"/>
        </w:rPr>
        <w:t>占12%。十六届茂县人大常委会第五次会议上审议了《茂县人民政府关于茂县第十六届人民代表大会第一次会议代表议案、建议、批评和意见办理情况的报告》，表决结果为满意。</w:t>
      </w:r>
      <w:r>
        <w:tab/>
      </w:r>
      <w:r>
        <w:fldChar w:fldCharType="begin"/>
      </w:r>
      <w:r>
        <w:instrText xml:space="preserve"> PAGEREF _Toc22425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_Toc21922 </w:instrText>
      </w:r>
      <w:r>
        <w:fldChar w:fldCharType="separate"/>
      </w:r>
      <w:r>
        <w:rPr>
          <w:rFonts w:hint="eastAsia" w:ascii="黑体" w:eastAsia="黑体" w:cs="Times New Roman"/>
          <w:bCs w:val="0"/>
        </w:rPr>
        <w:t>二、机构设置</w:t>
      </w:r>
      <w:r>
        <w:tab/>
      </w:r>
      <w:r>
        <w:fldChar w:fldCharType="begin"/>
      </w:r>
      <w:r>
        <w:instrText xml:space="preserve"> PAGEREF _Toc21922 \h </w:instrText>
      </w:r>
      <w:r>
        <w:fldChar w:fldCharType="separate"/>
      </w:r>
      <w:r>
        <w:t>9</w:t>
      </w:r>
      <w:r>
        <w:fldChar w:fldCharType="end"/>
      </w:r>
      <w:r>
        <w:fldChar w:fldCharType="end"/>
      </w:r>
    </w:p>
    <w:p>
      <w:pPr>
        <w:pStyle w:val="13"/>
        <w:tabs>
          <w:tab w:val="right" w:leader="dot" w:pos="8306"/>
          <w:tab w:val="clear" w:pos="8296"/>
        </w:tabs>
      </w:pPr>
      <w:r>
        <w:fldChar w:fldCharType="begin"/>
      </w:r>
      <w:r>
        <w:instrText xml:space="preserve"> HYPERLINK \l _Toc13172 </w:instrText>
      </w:r>
      <w:r>
        <w:fldChar w:fldCharType="separate"/>
      </w:r>
      <w:r>
        <w:rPr>
          <w:rFonts w:hint="eastAsia" w:ascii="黑体" w:eastAsia="黑体" w:cs="黑体"/>
        </w:rPr>
        <w:t>第二部分</w:t>
      </w:r>
      <w:r>
        <w:rPr>
          <w:rFonts w:ascii="黑体" w:eastAsia="黑体" w:cs="黑体"/>
        </w:rPr>
        <w:t xml:space="preserve"> </w:t>
      </w:r>
      <w:r>
        <w:rPr>
          <w:rFonts w:hint="eastAsia" w:ascii="黑体" w:eastAsia="黑体" w:cs="黑体"/>
        </w:rPr>
        <w:t>202</w:t>
      </w:r>
      <w:r>
        <w:rPr>
          <w:rFonts w:hint="eastAsia" w:ascii="黑体" w:eastAsia="黑体" w:cs="黑体"/>
          <w:lang w:val="en-US" w:eastAsia="zh-CN"/>
        </w:rPr>
        <w:t>2</w:t>
      </w:r>
      <w:r>
        <w:rPr>
          <w:rFonts w:hint="eastAsia" w:ascii="黑体" w:eastAsia="黑体" w:cs="黑体"/>
        </w:rPr>
        <w:t>年度部门决算情况说明</w:t>
      </w:r>
      <w:r>
        <w:tab/>
      </w:r>
      <w:r>
        <w:fldChar w:fldCharType="begin"/>
      </w:r>
      <w:r>
        <w:instrText xml:space="preserve"> PAGEREF _Toc13172 \h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_Toc20970 </w:instrText>
      </w:r>
      <w:r>
        <w:fldChar w:fldCharType="separate"/>
      </w:r>
      <w:r>
        <w:rPr>
          <w:rFonts w:hint="eastAsia" w:ascii="黑体" w:eastAsia="黑体" w:cs="Times New Roman"/>
          <w:bCs w:val="0"/>
        </w:rPr>
        <w:t>一、收入支出决算总体情况说明</w:t>
      </w:r>
      <w:r>
        <w:tab/>
      </w:r>
      <w:r>
        <w:fldChar w:fldCharType="begin"/>
      </w:r>
      <w:r>
        <w:instrText xml:space="preserve"> PAGEREF _Toc20970 \h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_Toc20405 </w:instrText>
      </w:r>
      <w:r>
        <w:fldChar w:fldCharType="separate"/>
      </w:r>
      <w:r>
        <w:rPr>
          <w:rFonts w:hint="eastAsia" w:ascii="黑体" w:eastAsia="黑体" w:cs="Times New Roman"/>
          <w:bCs w:val="0"/>
        </w:rPr>
        <w:t>二、收入决算情况说明</w:t>
      </w:r>
      <w:r>
        <w:tab/>
      </w:r>
      <w:r>
        <w:fldChar w:fldCharType="begin"/>
      </w:r>
      <w:r>
        <w:instrText xml:space="preserve"> PAGEREF _Toc20405 \h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_Toc2045 </w:instrText>
      </w:r>
      <w:r>
        <w:fldChar w:fldCharType="separate"/>
      </w:r>
      <w:r>
        <w:rPr>
          <w:rFonts w:hint="eastAsia" w:ascii="黑体" w:eastAsia="黑体" w:cs="Times New Roman"/>
          <w:bCs w:val="0"/>
        </w:rPr>
        <w:t>三、支出决算情况说明</w:t>
      </w:r>
      <w:r>
        <w:tab/>
      </w:r>
      <w:r>
        <w:fldChar w:fldCharType="begin"/>
      </w:r>
      <w:r>
        <w:instrText xml:space="preserve"> PAGEREF _Toc2045 \h </w:instrText>
      </w:r>
      <w:r>
        <w:fldChar w:fldCharType="separate"/>
      </w:r>
      <w:r>
        <w:t>12</w:t>
      </w:r>
      <w:r>
        <w:fldChar w:fldCharType="end"/>
      </w:r>
      <w:r>
        <w:fldChar w:fldCharType="end"/>
      </w:r>
    </w:p>
    <w:p>
      <w:pPr>
        <w:pStyle w:val="15"/>
        <w:tabs>
          <w:tab w:val="right" w:leader="dot" w:pos="8306"/>
          <w:tab w:val="clear" w:pos="8296"/>
        </w:tabs>
      </w:pPr>
      <w:r>
        <w:fldChar w:fldCharType="begin"/>
      </w:r>
      <w:r>
        <w:instrText xml:space="preserve"> HYPERLINK \l _Toc21149 </w:instrText>
      </w:r>
      <w:r>
        <w:fldChar w:fldCharType="separate"/>
      </w:r>
      <w:r>
        <w:rPr>
          <w:rFonts w:hint="eastAsia" w:ascii="黑体" w:eastAsia="黑体" w:cs="Times New Roman"/>
          <w:bCs w:val="0"/>
        </w:rPr>
        <w:t>四、财政拨款收入支出决算总体情况说明</w:t>
      </w:r>
      <w:r>
        <w:tab/>
      </w:r>
      <w:r>
        <w:fldChar w:fldCharType="begin"/>
      </w:r>
      <w:r>
        <w:instrText xml:space="preserve"> PAGEREF _Toc21149 \h </w:instrText>
      </w:r>
      <w:r>
        <w:fldChar w:fldCharType="separate"/>
      </w:r>
      <w:r>
        <w:t>13</w:t>
      </w:r>
      <w:r>
        <w:fldChar w:fldCharType="end"/>
      </w:r>
      <w:r>
        <w:fldChar w:fldCharType="end"/>
      </w:r>
    </w:p>
    <w:p>
      <w:pPr>
        <w:pStyle w:val="15"/>
        <w:tabs>
          <w:tab w:val="right" w:leader="dot" w:pos="8306"/>
          <w:tab w:val="clear" w:pos="8296"/>
        </w:tabs>
      </w:pPr>
      <w:r>
        <w:fldChar w:fldCharType="begin"/>
      </w:r>
      <w:r>
        <w:instrText xml:space="preserve"> HYPERLINK \l _Toc16129 </w:instrText>
      </w:r>
      <w: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_Toc16129 \h </w:instrText>
      </w:r>
      <w:r>
        <w:fldChar w:fldCharType="separate"/>
      </w:r>
      <w:r>
        <w:t>13</w:t>
      </w:r>
      <w:r>
        <w:fldChar w:fldCharType="end"/>
      </w:r>
      <w:r>
        <w:fldChar w:fldCharType="end"/>
      </w:r>
    </w:p>
    <w:p>
      <w:pPr>
        <w:pStyle w:val="9"/>
        <w:tabs>
          <w:tab w:val="right" w:leader="dot" w:pos="8306"/>
          <w:tab w:val="clear" w:pos="8296"/>
        </w:tabs>
      </w:pPr>
      <w:r>
        <w:fldChar w:fldCharType="begin"/>
      </w:r>
      <w:r>
        <w:instrText xml:space="preserve"> HYPERLINK \l _Toc24830 </w:instrText>
      </w:r>
      <w:r>
        <w:fldChar w:fldCharType="separate"/>
      </w:r>
      <w:r>
        <w:rPr>
          <w:rFonts w:hint="eastAsia" w:ascii="仿宋" w:eastAsia="仿宋"/>
          <w:szCs w:val="32"/>
        </w:rPr>
        <w:t>（一）一般公共预算财政拨款支出决算总体情况</w:t>
      </w:r>
      <w:r>
        <w:tab/>
      </w:r>
      <w:r>
        <w:fldChar w:fldCharType="begin"/>
      </w:r>
      <w:r>
        <w:instrText xml:space="preserve"> PAGEREF _Toc24830 \h </w:instrText>
      </w:r>
      <w:r>
        <w:fldChar w:fldCharType="separate"/>
      </w:r>
      <w:r>
        <w:t>13</w:t>
      </w:r>
      <w:r>
        <w:fldChar w:fldCharType="end"/>
      </w:r>
      <w:r>
        <w:fldChar w:fldCharType="end"/>
      </w:r>
    </w:p>
    <w:p>
      <w:pPr>
        <w:pStyle w:val="9"/>
        <w:tabs>
          <w:tab w:val="right" w:leader="dot" w:pos="8306"/>
          <w:tab w:val="clear" w:pos="8296"/>
        </w:tabs>
      </w:pPr>
      <w:r>
        <w:fldChar w:fldCharType="begin"/>
      </w:r>
      <w:r>
        <w:instrText xml:space="preserve"> HYPERLINK \l _Toc8636 </w:instrText>
      </w:r>
      <w:r>
        <w:fldChar w:fldCharType="separate"/>
      </w:r>
      <w:r>
        <w:rPr>
          <w:rFonts w:hint="eastAsia" w:ascii="仿宋" w:eastAsia="仿宋"/>
          <w:szCs w:val="32"/>
        </w:rPr>
        <w:t>（二）一般公共预算财政拨款支出决算结构情况（一般公共预算收支表）</w:t>
      </w:r>
      <w:r>
        <w:tab/>
      </w:r>
      <w:r>
        <w:fldChar w:fldCharType="begin"/>
      </w:r>
      <w:r>
        <w:instrText xml:space="preserve"> PAGEREF _Toc8636 \h </w:instrText>
      </w:r>
      <w:r>
        <w:fldChar w:fldCharType="separate"/>
      </w:r>
      <w:r>
        <w:t>14</w:t>
      </w:r>
      <w:r>
        <w:fldChar w:fldCharType="end"/>
      </w:r>
      <w:r>
        <w:fldChar w:fldCharType="end"/>
      </w:r>
    </w:p>
    <w:p>
      <w:pPr>
        <w:pStyle w:val="9"/>
        <w:tabs>
          <w:tab w:val="right" w:leader="dot" w:pos="8306"/>
          <w:tab w:val="clear" w:pos="8296"/>
        </w:tabs>
      </w:pPr>
      <w:r>
        <w:fldChar w:fldCharType="begin"/>
      </w:r>
      <w:r>
        <w:instrText xml:space="preserve"> HYPERLINK \l _Toc5844 </w:instrText>
      </w:r>
      <w:r>
        <w:fldChar w:fldCharType="separate"/>
      </w:r>
      <w:r>
        <w:rPr>
          <w:rFonts w:hint="eastAsia" w:ascii="仿宋" w:eastAsia="仿宋"/>
          <w:szCs w:val="32"/>
        </w:rPr>
        <w:t>（三）一般公共预算财政拨款支出决算具体情况</w:t>
      </w:r>
      <w:r>
        <w:tab/>
      </w:r>
      <w:r>
        <w:fldChar w:fldCharType="begin"/>
      </w:r>
      <w:r>
        <w:instrText xml:space="preserve"> PAGEREF _Toc5844 \h </w:instrText>
      </w:r>
      <w:r>
        <w:fldChar w:fldCharType="separate"/>
      </w:r>
      <w:r>
        <w:t>15</w:t>
      </w:r>
      <w:r>
        <w:fldChar w:fldCharType="end"/>
      </w:r>
      <w:r>
        <w:fldChar w:fldCharType="end"/>
      </w:r>
    </w:p>
    <w:p>
      <w:pPr>
        <w:pStyle w:val="15"/>
        <w:tabs>
          <w:tab w:val="right" w:leader="dot" w:pos="8306"/>
          <w:tab w:val="clear" w:pos="8296"/>
        </w:tabs>
      </w:pPr>
      <w:r>
        <w:fldChar w:fldCharType="begin"/>
      </w:r>
      <w:r>
        <w:instrText xml:space="preserve"> HYPERLINK \l _Toc20289 </w:instrText>
      </w:r>
      <w: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_Toc20289 \h </w:instrText>
      </w:r>
      <w:r>
        <w:fldChar w:fldCharType="separate"/>
      </w:r>
      <w:r>
        <w:t>16</w:t>
      </w:r>
      <w:r>
        <w:fldChar w:fldCharType="end"/>
      </w:r>
      <w:r>
        <w:fldChar w:fldCharType="end"/>
      </w:r>
    </w:p>
    <w:p>
      <w:pPr>
        <w:pStyle w:val="15"/>
        <w:tabs>
          <w:tab w:val="right" w:leader="dot" w:pos="8306"/>
          <w:tab w:val="clear" w:pos="8296"/>
        </w:tabs>
      </w:pPr>
      <w:r>
        <w:fldChar w:fldCharType="begin"/>
      </w:r>
      <w:r>
        <w:instrText xml:space="preserve"> HYPERLINK \l _Toc26060 </w:instrText>
      </w:r>
      <w:r>
        <w:fldChar w:fldCharType="separate"/>
      </w:r>
      <w:r>
        <w:rPr>
          <w:rFonts w:hint="eastAsia" w:ascii="黑体" w:eastAsia="黑体" w:cs="Times New Roman"/>
          <w:bCs w:val="0"/>
        </w:rPr>
        <w:t>七、“三公”经费财政拨款支出决算情况说明</w:t>
      </w:r>
      <w:r>
        <w:tab/>
      </w:r>
      <w:r>
        <w:fldChar w:fldCharType="begin"/>
      </w:r>
      <w:r>
        <w:instrText xml:space="preserve"> PAGEREF _Toc26060 \h </w:instrText>
      </w:r>
      <w:r>
        <w:fldChar w:fldCharType="separate"/>
      </w:r>
      <w:r>
        <w:t>17</w:t>
      </w:r>
      <w:r>
        <w:fldChar w:fldCharType="end"/>
      </w:r>
      <w:r>
        <w:fldChar w:fldCharType="end"/>
      </w:r>
    </w:p>
    <w:p>
      <w:pPr>
        <w:pStyle w:val="9"/>
        <w:tabs>
          <w:tab w:val="right" w:leader="dot" w:pos="8306"/>
          <w:tab w:val="clear" w:pos="8296"/>
        </w:tabs>
      </w:pPr>
      <w:r>
        <w:fldChar w:fldCharType="begin"/>
      </w:r>
      <w:r>
        <w:instrText xml:space="preserve"> HYPERLINK \l _Toc3560 </w:instrText>
      </w:r>
      <w:r>
        <w:fldChar w:fldCharType="separate"/>
      </w:r>
      <w:r>
        <w:rPr>
          <w:rFonts w:hint="eastAsia" w:ascii="仿宋" w:eastAsia="仿宋"/>
          <w:szCs w:val="32"/>
        </w:rPr>
        <w:t>（一）“三公”经费财政拨款支出决算总体情况说明</w:t>
      </w:r>
      <w:r>
        <w:tab/>
      </w:r>
      <w:r>
        <w:fldChar w:fldCharType="begin"/>
      </w:r>
      <w:r>
        <w:instrText xml:space="preserve"> PAGEREF _Toc3560 \h </w:instrText>
      </w:r>
      <w:r>
        <w:fldChar w:fldCharType="separate"/>
      </w:r>
      <w:r>
        <w:t>17</w:t>
      </w:r>
      <w:r>
        <w:fldChar w:fldCharType="end"/>
      </w:r>
      <w:r>
        <w:fldChar w:fldCharType="end"/>
      </w:r>
    </w:p>
    <w:p>
      <w:pPr>
        <w:pStyle w:val="9"/>
        <w:tabs>
          <w:tab w:val="right" w:leader="dot" w:pos="8306"/>
          <w:tab w:val="clear" w:pos="8296"/>
        </w:tabs>
      </w:pPr>
      <w:r>
        <w:fldChar w:fldCharType="begin"/>
      </w:r>
      <w:r>
        <w:instrText xml:space="preserve"> HYPERLINK \l _Toc4300 </w:instrText>
      </w:r>
      <w:r>
        <w:fldChar w:fldCharType="separate"/>
      </w:r>
      <w:r>
        <w:rPr>
          <w:rFonts w:hint="eastAsia" w:ascii="仿宋" w:eastAsia="仿宋"/>
          <w:szCs w:val="32"/>
        </w:rPr>
        <w:t>（二）“三公”经费财政拨款支出决算具体情况说明</w:t>
      </w:r>
      <w:r>
        <w:tab/>
      </w:r>
      <w:r>
        <w:fldChar w:fldCharType="begin"/>
      </w:r>
      <w:r>
        <w:instrText xml:space="preserve"> PAGEREF _Toc4300 \h </w:instrText>
      </w:r>
      <w:r>
        <w:fldChar w:fldCharType="separate"/>
      </w:r>
      <w:r>
        <w:t>17</w:t>
      </w:r>
      <w:r>
        <w:fldChar w:fldCharType="end"/>
      </w:r>
      <w:r>
        <w:fldChar w:fldCharType="end"/>
      </w:r>
    </w:p>
    <w:p>
      <w:pPr>
        <w:pStyle w:val="15"/>
        <w:tabs>
          <w:tab w:val="right" w:leader="dot" w:pos="8306"/>
          <w:tab w:val="clear" w:pos="8296"/>
        </w:tabs>
      </w:pPr>
      <w:r>
        <w:fldChar w:fldCharType="begin"/>
      </w:r>
      <w:r>
        <w:instrText xml:space="preserve"> HYPERLINK \l _Toc6950 </w:instrText>
      </w:r>
      <w:r>
        <w:fldChar w:fldCharType="separate"/>
      </w:r>
      <w:r>
        <w:rPr>
          <w:rFonts w:hint="eastAsia" w:ascii="黑体" w:eastAsia="黑体" w:cs="Times New Roman"/>
          <w:bCs w:val="0"/>
        </w:rPr>
        <w:t>八、政府性基金预算支出决算情况说明</w:t>
      </w:r>
      <w:r>
        <w:tab/>
      </w:r>
      <w:r>
        <w:fldChar w:fldCharType="begin"/>
      </w:r>
      <w:r>
        <w:instrText xml:space="preserve"> PAGEREF _Toc6950 \h </w:instrText>
      </w:r>
      <w:r>
        <w:fldChar w:fldCharType="separate"/>
      </w:r>
      <w:r>
        <w:t>19</w:t>
      </w:r>
      <w:r>
        <w:fldChar w:fldCharType="end"/>
      </w:r>
      <w:r>
        <w:fldChar w:fldCharType="end"/>
      </w:r>
    </w:p>
    <w:p>
      <w:pPr>
        <w:pStyle w:val="15"/>
        <w:tabs>
          <w:tab w:val="right" w:leader="dot" w:pos="8306"/>
          <w:tab w:val="clear" w:pos="8296"/>
        </w:tabs>
      </w:pPr>
      <w:r>
        <w:fldChar w:fldCharType="begin"/>
      </w:r>
      <w:r>
        <w:instrText xml:space="preserve"> HYPERLINK \l _Toc29947 </w:instrText>
      </w:r>
      <w:r>
        <w:fldChar w:fldCharType="separate"/>
      </w:r>
      <w:r>
        <w:rPr>
          <w:rFonts w:hint="eastAsia" w:ascii="黑体" w:eastAsia="黑体" w:cs="Times New Roman"/>
          <w:bCs w:val="0"/>
        </w:rPr>
        <w:t>九、国有资本经营预算支出决算情况说明</w:t>
      </w:r>
      <w:r>
        <w:tab/>
      </w:r>
      <w:r>
        <w:fldChar w:fldCharType="begin"/>
      </w:r>
      <w:r>
        <w:instrText xml:space="preserve"> PAGEREF _Toc29947 \h </w:instrText>
      </w:r>
      <w:r>
        <w:fldChar w:fldCharType="separate"/>
      </w:r>
      <w:r>
        <w:t>19</w:t>
      </w:r>
      <w:r>
        <w:fldChar w:fldCharType="end"/>
      </w:r>
      <w:r>
        <w:fldChar w:fldCharType="end"/>
      </w:r>
    </w:p>
    <w:p>
      <w:pPr>
        <w:pStyle w:val="15"/>
        <w:tabs>
          <w:tab w:val="right" w:leader="dot" w:pos="8306"/>
          <w:tab w:val="clear" w:pos="8296"/>
        </w:tabs>
      </w:pPr>
      <w:r>
        <w:fldChar w:fldCharType="begin"/>
      </w:r>
      <w:r>
        <w:instrText xml:space="preserve"> HYPERLINK \l _Toc9981 </w:instrText>
      </w:r>
      <w:r>
        <w:fldChar w:fldCharType="separate"/>
      </w:r>
      <w:r>
        <w:rPr>
          <w:rFonts w:hint="eastAsia" w:ascii="黑体" w:eastAsia="黑体" w:cs="Times New Roman"/>
          <w:bCs w:val="0"/>
        </w:rPr>
        <w:t>十、其他重要事项的情况说明</w:t>
      </w:r>
      <w:r>
        <w:tab/>
      </w:r>
      <w:r>
        <w:fldChar w:fldCharType="begin"/>
      </w:r>
      <w:r>
        <w:instrText xml:space="preserve"> PAGEREF _Toc9981 \h </w:instrText>
      </w:r>
      <w:r>
        <w:fldChar w:fldCharType="separate"/>
      </w:r>
      <w:r>
        <w:t>19</w:t>
      </w:r>
      <w:r>
        <w:fldChar w:fldCharType="end"/>
      </w:r>
      <w:r>
        <w:fldChar w:fldCharType="end"/>
      </w:r>
    </w:p>
    <w:p>
      <w:pPr>
        <w:pStyle w:val="9"/>
        <w:tabs>
          <w:tab w:val="right" w:leader="dot" w:pos="8306"/>
          <w:tab w:val="clear" w:pos="8296"/>
        </w:tabs>
      </w:pPr>
      <w:r>
        <w:fldChar w:fldCharType="begin"/>
      </w:r>
      <w:r>
        <w:instrText xml:space="preserve"> HYPERLINK \l _Toc5091 </w:instrText>
      </w:r>
      <w:r>
        <w:fldChar w:fldCharType="separate"/>
      </w:r>
      <w:r>
        <w:rPr>
          <w:rFonts w:hint="eastAsia" w:ascii="仿宋" w:eastAsia="仿宋"/>
          <w:szCs w:val="32"/>
        </w:rPr>
        <w:t>（一）机关运行经费支出情况</w:t>
      </w:r>
      <w:r>
        <w:tab/>
      </w:r>
      <w:r>
        <w:fldChar w:fldCharType="begin"/>
      </w:r>
      <w:r>
        <w:instrText xml:space="preserve"> PAGEREF _Toc5091 \h </w:instrText>
      </w:r>
      <w:r>
        <w:fldChar w:fldCharType="separate"/>
      </w:r>
      <w:r>
        <w:t>19</w:t>
      </w:r>
      <w:r>
        <w:fldChar w:fldCharType="end"/>
      </w:r>
      <w:r>
        <w:fldChar w:fldCharType="end"/>
      </w:r>
    </w:p>
    <w:p>
      <w:pPr>
        <w:pStyle w:val="9"/>
        <w:tabs>
          <w:tab w:val="right" w:leader="dot" w:pos="8306"/>
          <w:tab w:val="clear" w:pos="8296"/>
        </w:tabs>
      </w:pPr>
      <w:r>
        <w:fldChar w:fldCharType="begin"/>
      </w:r>
      <w:r>
        <w:instrText xml:space="preserve"> HYPERLINK \l _Toc16414 </w:instrText>
      </w:r>
      <w:r>
        <w:fldChar w:fldCharType="separate"/>
      </w:r>
      <w:r>
        <w:rPr>
          <w:rFonts w:hint="eastAsia" w:ascii="仿宋" w:eastAsia="仿宋"/>
          <w:szCs w:val="32"/>
        </w:rPr>
        <w:t>（二）政府采购支出情况(机构运行信息表)</w:t>
      </w:r>
      <w:r>
        <w:tab/>
      </w:r>
      <w:r>
        <w:fldChar w:fldCharType="begin"/>
      </w:r>
      <w:r>
        <w:instrText xml:space="preserve"> PAGEREF _Toc16414 \h </w:instrText>
      </w:r>
      <w:r>
        <w:fldChar w:fldCharType="separate"/>
      </w:r>
      <w:r>
        <w:t>19</w:t>
      </w:r>
      <w:r>
        <w:fldChar w:fldCharType="end"/>
      </w:r>
      <w:r>
        <w:fldChar w:fldCharType="end"/>
      </w:r>
    </w:p>
    <w:p>
      <w:pPr>
        <w:pStyle w:val="9"/>
        <w:tabs>
          <w:tab w:val="right" w:leader="dot" w:pos="8306"/>
          <w:tab w:val="clear" w:pos="8296"/>
        </w:tabs>
      </w:pPr>
      <w:r>
        <w:fldChar w:fldCharType="begin"/>
      </w:r>
      <w:r>
        <w:instrText xml:space="preserve"> HYPERLINK \l _Toc12178 </w:instrText>
      </w:r>
      <w:r>
        <w:fldChar w:fldCharType="separate"/>
      </w:r>
      <w:r>
        <w:rPr>
          <w:rFonts w:hint="eastAsia" w:ascii="仿宋" w:eastAsia="仿宋"/>
          <w:szCs w:val="32"/>
        </w:rPr>
        <w:t>（三）国有资产占有使用情况</w:t>
      </w:r>
      <w:r>
        <w:tab/>
      </w:r>
      <w:r>
        <w:fldChar w:fldCharType="begin"/>
      </w:r>
      <w:r>
        <w:instrText xml:space="preserve"> PAGEREF _Toc12178 \h </w:instrText>
      </w:r>
      <w:r>
        <w:fldChar w:fldCharType="separate"/>
      </w:r>
      <w:r>
        <w:t>19</w:t>
      </w:r>
      <w:r>
        <w:fldChar w:fldCharType="end"/>
      </w:r>
      <w:r>
        <w:fldChar w:fldCharType="end"/>
      </w:r>
    </w:p>
    <w:p>
      <w:pPr>
        <w:pStyle w:val="9"/>
        <w:tabs>
          <w:tab w:val="right" w:leader="dot" w:pos="8306"/>
          <w:tab w:val="clear" w:pos="8296"/>
        </w:tabs>
      </w:pPr>
      <w:r>
        <w:fldChar w:fldCharType="begin"/>
      </w:r>
      <w:r>
        <w:instrText xml:space="preserve"> HYPERLINK \l _Toc24056 </w:instrText>
      </w:r>
      <w:r>
        <w:fldChar w:fldCharType="separate"/>
      </w:r>
      <w:r>
        <w:rPr>
          <w:rFonts w:hint="eastAsia" w:ascii="仿宋" w:eastAsia="仿宋"/>
          <w:szCs w:val="32"/>
        </w:rPr>
        <w:t>（四）预算绩效管理情况</w:t>
      </w:r>
      <w:r>
        <w:tab/>
      </w:r>
      <w:r>
        <w:fldChar w:fldCharType="begin"/>
      </w:r>
      <w:r>
        <w:instrText xml:space="preserve"> PAGEREF _Toc24056 \h </w:instrText>
      </w:r>
      <w:r>
        <w:fldChar w:fldCharType="separate"/>
      </w:r>
      <w:r>
        <w:t>19</w:t>
      </w:r>
      <w:r>
        <w:fldChar w:fldCharType="end"/>
      </w:r>
      <w:r>
        <w:fldChar w:fldCharType="end"/>
      </w:r>
    </w:p>
    <w:p>
      <w:pPr>
        <w:pStyle w:val="13"/>
        <w:tabs>
          <w:tab w:val="right" w:leader="dot" w:pos="8306"/>
          <w:tab w:val="clear" w:pos="8296"/>
        </w:tabs>
      </w:pPr>
      <w:r>
        <w:fldChar w:fldCharType="begin"/>
      </w:r>
      <w:r>
        <w:instrText xml:space="preserve"> HYPERLINK \l _Toc4336 </w:instrText>
      </w:r>
      <w:r>
        <w:fldChar w:fldCharType="separate"/>
      </w:r>
      <w:r>
        <w:rPr>
          <w:rFonts w:hint="eastAsia" w:ascii="黑体" w:eastAsia="黑体" w:cs="黑体"/>
        </w:rPr>
        <w:t>第三部分 名词解释</w:t>
      </w:r>
      <w:r>
        <w:tab/>
      </w:r>
      <w:r>
        <w:fldChar w:fldCharType="begin"/>
      </w:r>
      <w:r>
        <w:instrText xml:space="preserve"> PAGEREF _Toc4336 \h </w:instrText>
      </w:r>
      <w:r>
        <w:fldChar w:fldCharType="separate"/>
      </w:r>
      <w:r>
        <w:t>21</w:t>
      </w:r>
      <w:r>
        <w:fldChar w:fldCharType="end"/>
      </w:r>
      <w:r>
        <w:fldChar w:fldCharType="end"/>
      </w:r>
    </w:p>
    <w:p>
      <w:pPr>
        <w:pStyle w:val="13"/>
        <w:tabs>
          <w:tab w:val="right" w:leader="dot" w:pos="8306"/>
          <w:tab w:val="clear" w:pos="8296"/>
        </w:tabs>
      </w:pPr>
      <w:r>
        <w:fldChar w:fldCharType="begin"/>
      </w:r>
      <w:r>
        <w:instrText xml:space="preserve"> HYPERLINK \l _Toc24638 </w:instrText>
      </w:r>
      <w:r>
        <w:fldChar w:fldCharType="separate"/>
      </w:r>
      <w:r>
        <w:rPr>
          <w:rFonts w:hint="eastAsia" w:ascii="黑体" w:eastAsia="黑体" w:cs="黑体"/>
        </w:rPr>
        <w:t>第四部分 附件</w:t>
      </w:r>
      <w:r>
        <w:tab/>
      </w:r>
      <w:r>
        <w:fldChar w:fldCharType="begin"/>
      </w:r>
      <w:r>
        <w:instrText xml:space="preserve"> PAGEREF _Toc24638 \h </w:instrText>
      </w:r>
      <w:r>
        <w:fldChar w:fldCharType="separate"/>
      </w:r>
      <w:r>
        <w:t>25</w:t>
      </w:r>
      <w:r>
        <w:fldChar w:fldCharType="end"/>
      </w:r>
      <w:r>
        <w:fldChar w:fldCharType="end"/>
      </w:r>
    </w:p>
    <w:p>
      <w:pPr>
        <w:pStyle w:val="13"/>
        <w:tabs>
          <w:tab w:val="right" w:leader="dot" w:pos="8306"/>
          <w:tab w:val="clear" w:pos="8296"/>
        </w:tabs>
      </w:pPr>
      <w:r>
        <w:fldChar w:fldCharType="begin"/>
      </w:r>
      <w:r>
        <w:instrText xml:space="preserve"> HYPERLINK \l _Toc4516 </w:instrText>
      </w:r>
      <w:r>
        <w:fldChar w:fldCharType="separate"/>
      </w:r>
      <w:r>
        <w:rPr>
          <w:rFonts w:hint="eastAsia" w:ascii="仿宋_GB2312" w:eastAsia="仿宋_GB2312" w:cs="仿宋_GB2312"/>
          <w:szCs w:val="32"/>
          <w:lang w:eastAsia="zh-CN"/>
        </w:rPr>
        <w:t>产出指标中预计完成时间为</w:t>
      </w:r>
      <w:r>
        <w:rPr>
          <w:rFonts w:hint="eastAsia" w:ascii="仿宋_GB2312" w:eastAsia="仿宋_GB2312" w:cs="仿宋_GB2312"/>
          <w:szCs w:val="32"/>
          <w:lang w:val="en-US" w:eastAsia="zh-CN"/>
        </w:rPr>
        <w:t>2022年7月31日前，实际于2022年7月31日前完成；预计成本控制在60万元以内，实际成本57.01万元。满意度指标中预计服务对象满意率</w:t>
      </w:r>
      <w:r>
        <w:rPr>
          <w:rFonts w:hint="eastAsia" w:ascii="仿宋_GB2312" w:eastAsia="仿宋_GB2312" w:cs="仿宋_GB2312"/>
          <w:bCs/>
          <w:szCs w:val="32"/>
          <w:lang w:val="en-US" w:eastAsia="zh-CN"/>
        </w:rPr>
        <w:t>好，实际服务对象满意率好。所有绩效指标值均达到预期目标。</w:t>
      </w:r>
      <w:r>
        <w:tab/>
      </w:r>
      <w:r>
        <w:fldChar w:fldCharType="begin"/>
      </w:r>
      <w:r>
        <w:instrText xml:space="preserve"> PAGEREF _Toc4516 \h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_Toc22449 </w:instrText>
      </w:r>
      <w:r>
        <w:fldChar w:fldCharType="separate"/>
      </w:r>
      <w:r>
        <w:rPr>
          <w:rFonts w:hint="eastAsia" w:ascii="黑体" w:eastAsia="黑体" w:cs="黑体"/>
        </w:rPr>
        <w:t>第五部分 附表</w:t>
      </w:r>
      <w:r>
        <w:tab/>
      </w:r>
      <w:r>
        <w:fldChar w:fldCharType="begin"/>
      </w:r>
      <w:r>
        <w:instrText xml:space="preserve"> PAGEREF _Toc22449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_Toc3644 </w:instrText>
      </w:r>
      <w:r>
        <w:fldChar w:fldCharType="separate"/>
      </w:r>
      <w:r>
        <w:rPr>
          <w:rFonts w:hint="eastAsia" w:ascii="黑体" w:eastAsia="黑体" w:cs="Times New Roman"/>
          <w:bCs w:val="0"/>
        </w:rPr>
        <w:t>一、收入支出决算总表</w:t>
      </w:r>
      <w:r>
        <w:tab/>
      </w:r>
      <w:r>
        <w:fldChar w:fldCharType="begin"/>
      </w:r>
      <w:r>
        <w:instrText xml:space="preserve"> PAGEREF _Toc3644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_Toc18996 </w:instrText>
      </w:r>
      <w:r>
        <w:fldChar w:fldCharType="separate"/>
      </w:r>
      <w:r>
        <w:rPr>
          <w:rFonts w:hint="eastAsia" w:ascii="黑体" w:eastAsia="黑体" w:cs="Times New Roman"/>
          <w:bCs w:val="0"/>
        </w:rPr>
        <w:t>二、收入决算表</w:t>
      </w:r>
      <w:r>
        <w:tab/>
      </w:r>
      <w:r>
        <w:fldChar w:fldCharType="begin"/>
      </w:r>
      <w:r>
        <w:instrText xml:space="preserve"> PAGEREF _Toc18996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_Toc19060 </w:instrText>
      </w:r>
      <w:r>
        <w:fldChar w:fldCharType="separate"/>
      </w:r>
      <w:r>
        <w:rPr>
          <w:rFonts w:hint="eastAsia" w:ascii="黑体" w:eastAsia="黑体" w:cs="Times New Roman"/>
          <w:bCs w:val="0"/>
        </w:rPr>
        <w:t>三、支出决算表</w:t>
      </w:r>
      <w:r>
        <w:tab/>
      </w:r>
      <w:r>
        <w:fldChar w:fldCharType="begin"/>
      </w:r>
      <w:r>
        <w:instrText xml:space="preserve"> PAGEREF _Toc19060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_Toc29803 </w:instrText>
      </w:r>
      <w:r>
        <w:fldChar w:fldCharType="separate"/>
      </w:r>
      <w:r>
        <w:rPr>
          <w:rFonts w:hint="eastAsia" w:ascii="黑体" w:eastAsia="黑体" w:cs="Times New Roman"/>
          <w:bCs w:val="0"/>
        </w:rPr>
        <w:t>四、财政拨款收入支出决算总表</w:t>
      </w:r>
      <w:r>
        <w:tab/>
      </w:r>
      <w:r>
        <w:fldChar w:fldCharType="begin"/>
      </w:r>
      <w:r>
        <w:instrText xml:space="preserve"> PAGEREF _Toc29803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_Toc24782 </w:instrText>
      </w:r>
      <w:r>
        <w:fldChar w:fldCharType="separate"/>
      </w:r>
      <w:r>
        <w:rPr>
          <w:rFonts w:hint="eastAsia" w:ascii="黑体" w:eastAsia="黑体" w:cs="Times New Roman"/>
          <w:bCs w:val="0"/>
        </w:rPr>
        <w:t>五、财政拨款支出决算明细表</w:t>
      </w:r>
      <w:r>
        <w:tab/>
      </w:r>
      <w:r>
        <w:fldChar w:fldCharType="begin"/>
      </w:r>
      <w:r>
        <w:instrText xml:space="preserve"> PAGEREF _Toc24782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_Toc23933 </w:instrText>
      </w:r>
      <w:r>
        <w:fldChar w:fldCharType="separate"/>
      </w:r>
      <w:r>
        <w:rPr>
          <w:rFonts w:hint="eastAsia" w:ascii="黑体" w:eastAsia="黑体" w:cs="Times New Roman"/>
          <w:bCs w:val="0"/>
        </w:rPr>
        <w:t>六、一般公共预算财政拨款支出决算表</w:t>
      </w:r>
      <w:r>
        <w:tab/>
      </w:r>
      <w:r>
        <w:fldChar w:fldCharType="begin"/>
      </w:r>
      <w:r>
        <w:instrText xml:space="preserve"> PAGEREF _Toc23933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_Toc24540 </w:instrText>
      </w:r>
      <w:r>
        <w:fldChar w:fldCharType="separate"/>
      </w:r>
      <w:r>
        <w:rPr>
          <w:rFonts w:hint="eastAsia" w:ascii="黑体" w:eastAsia="黑体" w:cs="Times New Roman"/>
          <w:bCs w:val="0"/>
        </w:rPr>
        <w:t>七、一般公共预算财政拨款支出决算明细表</w:t>
      </w:r>
      <w:r>
        <w:tab/>
      </w:r>
      <w:r>
        <w:fldChar w:fldCharType="begin"/>
      </w:r>
      <w:r>
        <w:instrText xml:space="preserve"> PAGEREF _Toc24540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_Toc30122 </w:instrText>
      </w:r>
      <w:r>
        <w:fldChar w:fldCharType="separate"/>
      </w:r>
      <w:r>
        <w:rPr>
          <w:rFonts w:hint="eastAsia" w:ascii="黑体" w:eastAsia="黑体" w:cs="Times New Roman"/>
          <w:bCs w:val="0"/>
        </w:rPr>
        <w:t>八、一般公共预算财政拨款基本支出决算表</w:t>
      </w:r>
      <w:r>
        <w:tab/>
      </w:r>
      <w:r>
        <w:fldChar w:fldCharType="begin"/>
      </w:r>
      <w:r>
        <w:instrText xml:space="preserve"> PAGEREF _Toc30122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_Toc2796 </w:instrText>
      </w:r>
      <w:r>
        <w:fldChar w:fldCharType="separate"/>
      </w:r>
      <w:r>
        <w:rPr>
          <w:rFonts w:hint="eastAsia" w:ascii="黑体" w:eastAsia="黑体" w:cs="Times New Roman"/>
          <w:bCs w:val="0"/>
        </w:rPr>
        <w:t>九、一般公共预算财政拨款项目支出决算表</w:t>
      </w:r>
      <w:r>
        <w:tab/>
      </w:r>
      <w:r>
        <w:fldChar w:fldCharType="begin"/>
      </w:r>
      <w:r>
        <w:instrText xml:space="preserve"> PAGEREF _Toc2796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_Toc32472 </w:instrText>
      </w:r>
      <w:r>
        <w:fldChar w:fldCharType="separate"/>
      </w:r>
      <w:r>
        <w:rPr>
          <w:rFonts w:hint="eastAsia" w:ascii="黑体" w:eastAsia="黑体" w:cs="Times New Roman"/>
          <w:bCs w:val="0"/>
        </w:rPr>
        <w:t>十、一般公共预算财政拨款“三公”经费支出决算表</w:t>
      </w:r>
      <w:r>
        <w:tab/>
      </w:r>
      <w:r>
        <w:fldChar w:fldCharType="begin"/>
      </w:r>
      <w:r>
        <w:instrText xml:space="preserve"> PAGEREF _Toc32472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_Toc8432 </w:instrText>
      </w:r>
      <w:r>
        <w:fldChar w:fldCharType="separate"/>
      </w:r>
      <w:r>
        <w:rPr>
          <w:rFonts w:hint="eastAsia" w:ascii="黑体" w:eastAsia="黑体" w:cs="Times New Roman"/>
          <w:bCs w:val="0"/>
        </w:rPr>
        <w:t>十一、政府性基金预算财政拨款收入支出决算表</w:t>
      </w:r>
      <w:r>
        <w:tab/>
      </w:r>
      <w:r>
        <w:fldChar w:fldCharType="begin"/>
      </w:r>
      <w:r>
        <w:instrText xml:space="preserve"> PAGEREF _Toc8432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_Toc13893 </w:instrText>
      </w:r>
      <w:r>
        <w:fldChar w:fldCharType="separate"/>
      </w:r>
      <w:r>
        <w:rPr>
          <w:rFonts w:hint="eastAsia" w:ascii="黑体" w:eastAsia="黑体" w:cs="Times New Roman"/>
          <w:bCs w:val="0"/>
        </w:rPr>
        <w:t>十二、政府性基金预算财政拨款“三公”经费支出决算表</w:t>
      </w:r>
      <w:r>
        <w:tab/>
      </w:r>
      <w:r>
        <w:fldChar w:fldCharType="begin"/>
      </w:r>
      <w:r>
        <w:instrText xml:space="preserve"> PAGEREF _Toc13893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_Toc25566 </w:instrText>
      </w:r>
      <w:r>
        <w:fldChar w:fldCharType="separate"/>
      </w:r>
      <w:r>
        <w:rPr>
          <w:rFonts w:hint="eastAsia" w:ascii="黑体" w:eastAsia="黑体" w:cs="Times New Roman"/>
          <w:bCs w:val="0"/>
        </w:rPr>
        <w:t>十三、国有资本经营预算财政拨款收入支出决算表</w:t>
      </w:r>
      <w:r>
        <w:tab/>
      </w:r>
      <w:r>
        <w:fldChar w:fldCharType="begin"/>
      </w:r>
      <w:r>
        <w:instrText xml:space="preserve"> PAGEREF _Toc25566 \h </w:instrText>
      </w:r>
      <w:r>
        <w:fldChar w:fldCharType="separate"/>
      </w:r>
      <w:r>
        <w:t>37</w:t>
      </w:r>
      <w:r>
        <w:fldChar w:fldCharType="end"/>
      </w:r>
      <w:r>
        <w:fldChar w:fldCharType="end"/>
      </w:r>
    </w:p>
    <w:p>
      <w:pPr>
        <w:pStyle w:val="15"/>
        <w:tabs>
          <w:tab w:val="right" w:leader="dot" w:pos="8306"/>
          <w:tab w:val="clear" w:pos="8296"/>
        </w:tabs>
      </w:pPr>
      <w:r>
        <w:fldChar w:fldCharType="begin"/>
      </w:r>
      <w:r>
        <w:instrText xml:space="preserve"> HYPERLINK \l _Toc12538 </w:instrText>
      </w:r>
      <w:r>
        <w:fldChar w:fldCharType="separate"/>
      </w:r>
      <w:r>
        <w:rPr>
          <w:rFonts w:hint="eastAsia" w:ascii="黑体" w:eastAsia="黑体" w:cs="Times New Roman"/>
          <w:bCs w:val="0"/>
        </w:rPr>
        <w:t>十四、国有资本经营预算财政拨款支出决算表</w:t>
      </w:r>
      <w:r>
        <w:tab/>
      </w:r>
      <w:r>
        <w:fldChar w:fldCharType="begin"/>
      </w:r>
      <w:r>
        <w:instrText xml:space="preserve"> PAGEREF _Toc12538 \h </w:instrText>
      </w:r>
      <w:r>
        <w:fldChar w:fldCharType="separate"/>
      </w:r>
      <w:r>
        <w:t>37</w:t>
      </w:r>
      <w:r>
        <w:fldChar w:fldCharType="end"/>
      </w:r>
      <w:r>
        <w:fldChar w:fldCharType="end"/>
      </w:r>
    </w:p>
    <w:p>
      <w:pPr>
        <w:spacing w:line="576" w:lineRule="exact"/>
      </w:pPr>
      <w:r>
        <w:fldChar w:fldCharType="end"/>
      </w:r>
    </w:p>
    <w:p>
      <w:pPr>
        <w:widowControl/>
        <w:adjustRightInd w:val="0"/>
        <w:snapToGrid w:val="0"/>
        <w:spacing w:line="576" w:lineRule="exact"/>
        <w:ind w:firstLine="1155" w:firstLineChars="550"/>
        <w:jc w:val="left"/>
        <w:rPr>
          <w:rFonts w:ascii="仿宋" w:eastAsia="仿宋"/>
          <w:color w:val="FF0000"/>
          <w:sz w:val="24"/>
        </w:rPr>
      </w:pPr>
      <w:r>
        <w:t> </w:t>
      </w:r>
      <w:r>
        <w:rPr>
          <w:rFonts w:ascii="仿宋" w:eastAsia="仿宋"/>
          <w:color w:val="FF0000"/>
          <w:sz w:val="24"/>
        </w:rPr>
        <w:t>(</w:t>
      </w:r>
      <w:r>
        <w:rPr>
          <w:rFonts w:hint="eastAsia" w:ascii="仿宋" w:eastAsia="仿宋"/>
          <w:color w:val="FF0000"/>
          <w:sz w:val="24"/>
        </w:rPr>
        <w:t>注：请部门根据实际注明页码</w:t>
      </w:r>
      <w:r>
        <w:rPr>
          <w:rFonts w:ascii="仿宋" w:eastAsia="仿宋"/>
          <w:color w:val="FF0000"/>
          <w:sz w:val="24"/>
        </w:rPr>
        <w:t>)</w:t>
      </w:r>
    </w:p>
    <w:p>
      <w:pPr>
        <w:pStyle w:val="16"/>
        <w:widowControl/>
        <w:spacing w:line="576" w:lineRule="exact"/>
      </w:pPr>
    </w:p>
    <w:p>
      <w:pPr>
        <w:pStyle w:val="2"/>
        <w:pageBreakBefore w:val="0"/>
        <w:widowControl w:val="0"/>
        <w:kinsoku/>
        <w:wordWrap/>
        <w:topLinePunct w:val="0"/>
        <w:bidi w:val="0"/>
        <w:spacing w:line="576" w:lineRule="exact"/>
        <w:textAlignment w:val="auto"/>
      </w:pPr>
    </w:p>
    <w:p>
      <w:pPr>
        <w:pStyle w:val="3"/>
        <w:keepNext/>
        <w:keepLines/>
        <w:pageBreakBefore w:val="0"/>
        <w:widowControl w:val="0"/>
        <w:kinsoku/>
        <w:wordWrap/>
        <w:topLinePunct w:val="0"/>
        <w:bidi w:val="0"/>
        <w:spacing w:line="576" w:lineRule="exact"/>
        <w:jc w:val="center"/>
        <w:textAlignment w:val="auto"/>
        <w:rPr>
          <w:rFonts w:hint="eastAsia" w:ascii="黑体" w:eastAsia="黑体" w:cs="黑体"/>
        </w:rPr>
      </w:pPr>
      <w:bookmarkStart w:id="13" w:name="_Toc111208495"/>
      <w:bookmarkStart w:id="14" w:name="_Toc113981009"/>
    </w:p>
    <w:p>
      <w:pPr>
        <w:rPr>
          <w:rFonts w:hint="eastAsia"/>
        </w:rPr>
      </w:pPr>
    </w:p>
    <w:p>
      <w:pPr>
        <w:pStyle w:val="9"/>
        <w:rPr>
          <w:rFonts w:hint="eastAsia"/>
        </w:rPr>
      </w:pPr>
    </w:p>
    <w:p>
      <w:pPr>
        <w:pStyle w:val="3"/>
        <w:keepNext/>
        <w:keepLines/>
        <w:pageBreakBefore w:val="0"/>
        <w:widowControl w:val="0"/>
        <w:kinsoku/>
        <w:wordWrap/>
        <w:overflowPunct/>
        <w:topLinePunct w:val="0"/>
        <w:autoSpaceDE/>
        <w:bidi w:val="0"/>
        <w:spacing w:line="576" w:lineRule="exact"/>
        <w:jc w:val="center"/>
        <w:textAlignment w:val="auto"/>
        <w:rPr>
          <w:rFonts w:ascii="黑体" w:eastAsia="黑体" w:cs="黑体"/>
          <w:b w:val="0"/>
          <w:bCs w:val="0"/>
        </w:rPr>
      </w:pPr>
      <w:bookmarkStart w:id="15" w:name="_Toc3439"/>
      <w:bookmarkStart w:id="16" w:name="_Toc19574"/>
      <w:r>
        <w:rPr>
          <w:rFonts w:hint="eastAsia" w:ascii="黑体" w:eastAsia="黑体" w:cs="黑体"/>
        </w:rPr>
        <w:t xml:space="preserve">第一部分 </w:t>
      </w:r>
      <w:r>
        <w:rPr>
          <w:rStyle w:val="23"/>
          <w:rFonts w:hint="eastAsia" w:ascii="黑体" w:eastAsia="黑体" w:cs="黑体"/>
          <w:b/>
          <w:bCs w:val="0"/>
        </w:rPr>
        <w:t>部门概况</w:t>
      </w:r>
      <w:bookmarkEnd w:id="12"/>
      <w:bookmarkEnd w:id="13"/>
      <w:bookmarkEnd w:id="14"/>
      <w:bookmarkEnd w:id="15"/>
      <w:bookmarkEnd w:id="16"/>
    </w:p>
    <w:p>
      <w:pPr>
        <w:pStyle w:val="4"/>
        <w:keepNext/>
        <w:keepLines/>
        <w:pageBreakBefore w:val="0"/>
        <w:widowControl w:val="0"/>
        <w:kinsoku/>
        <w:wordWrap/>
        <w:overflowPunct/>
        <w:topLinePunct w:val="0"/>
        <w:autoSpaceDE/>
        <w:bidi w:val="0"/>
        <w:spacing w:line="576" w:lineRule="exact"/>
        <w:ind w:left="319" w:leftChars="152" w:firstLine="321" w:firstLineChars="100"/>
        <w:textAlignment w:val="auto"/>
        <w:rPr>
          <w:rFonts w:hint="eastAsia" w:ascii="黑体" w:eastAsia="黑体" w:cs="Times New Roman"/>
          <w:bCs w:val="0"/>
          <w:color w:val="000000"/>
          <w:lang w:eastAsia="zh-CN"/>
        </w:rPr>
      </w:pPr>
      <w:bookmarkStart w:id="17" w:name="_Toc111208496"/>
      <w:bookmarkStart w:id="18" w:name="_Toc32225"/>
      <w:bookmarkStart w:id="19" w:name="_Toc113981010"/>
      <w:bookmarkStart w:id="20" w:name="_Toc15377197"/>
      <w:bookmarkStart w:id="21" w:name="_Toc10813"/>
      <w:r>
        <w:rPr>
          <w:rFonts w:hint="eastAsia" w:ascii="黑体" w:eastAsia="黑体" w:cs="Times New Roman"/>
          <w:bCs w:val="0"/>
          <w:color w:val="000000"/>
        </w:rPr>
        <w:t>一、基本职能及主要工作</w:t>
      </w:r>
      <w:bookmarkEnd w:id="17"/>
      <w:bookmarkEnd w:id="18"/>
      <w:bookmarkEnd w:id="19"/>
      <w:bookmarkEnd w:id="20"/>
      <w:bookmarkEnd w:id="21"/>
      <w:bookmarkStart w:id="22" w:name="_Toc79163853"/>
      <w:bookmarkStart w:id="23" w:name="_Toc79163603"/>
    </w:p>
    <w:p>
      <w:pPr>
        <w:pageBreakBefore w:val="0"/>
        <w:widowControl w:val="0"/>
        <w:kinsoku/>
        <w:wordWrap/>
        <w:overflowPunct/>
        <w:topLinePunct w:val="0"/>
        <w:autoSpaceDE/>
        <w:bidi w:val="0"/>
        <w:spacing w:line="576" w:lineRule="exact"/>
        <w:ind w:firstLine="321" w:firstLineChars="100"/>
        <w:textAlignment w:val="auto"/>
        <w:rPr>
          <w:rFonts w:hint="eastAsia" w:ascii="仿宋" w:eastAsia="仿宋"/>
          <w:b/>
          <w:color w:val="000000"/>
          <w:sz w:val="32"/>
          <w:szCs w:val="32"/>
        </w:rPr>
      </w:pPr>
      <w:r>
        <w:rPr>
          <w:rFonts w:hint="eastAsia" w:ascii="仿宋" w:eastAsia="仿宋"/>
          <w:b/>
          <w:color w:val="000000"/>
          <w:sz w:val="32"/>
          <w:szCs w:val="32"/>
        </w:rPr>
        <w:t>（一）主要职能</w:t>
      </w:r>
      <w:bookmarkEnd w:id="22"/>
      <w:bookmarkEnd w:id="23"/>
    </w:p>
    <w:p>
      <w:pPr>
        <w:pageBreakBefore w:val="0"/>
        <w:widowControl w:val="0"/>
        <w:kinsoku/>
        <w:wordWrap/>
        <w:overflowPunct/>
        <w:topLinePunct w:val="0"/>
        <w:autoSpaceDE/>
        <w:bidi w:val="0"/>
        <w:spacing w:line="576" w:lineRule="exact"/>
        <w:ind w:firstLine="640" w:firstLineChars="200"/>
        <w:textAlignment w:val="auto"/>
        <w:outlineLvl w:val="2"/>
        <w:rPr>
          <w:rFonts w:hint="eastAsia" w:ascii="仿宋_GB2312" w:eastAsia="仿宋_GB2312" w:cs="仿宋_GB2312"/>
          <w:b w:val="0"/>
          <w:bCs/>
          <w:color w:val="000000"/>
          <w:sz w:val="32"/>
          <w:szCs w:val="32"/>
        </w:rPr>
      </w:pPr>
      <w:bookmarkStart w:id="24" w:name="_Toc13883"/>
      <w:bookmarkStart w:id="25" w:name="_Toc18900"/>
      <w:r>
        <w:rPr>
          <w:rFonts w:hint="eastAsia" w:ascii="仿宋_GB2312" w:eastAsia="仿宋_GB2312" w:cs="仿宋_GB2312"/>
          <w:b w:val="0"/>
          <w:bCs/>
          <w:color w:val="000000"/>
          <w:sz w:val="32"/>
          <w:szCs w:val="32"/>
        </w:rPr>
        <w:t>1.协助县政府领导同志组织起草或审核以县政府、县政府办公室名义发布的公文。办理州政府、州政府办公室及州政府各部门发送县政府的文电。指导全县行政机关公文处理工作。</w:t>
      </w:r>
      <w:bookmarkEnd w:id="24"/>
      <w:bookmarkEnd w:id="25"/>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2.研究县政府部门和各乡镇人民政府请示县政府的事项，提出审核意见，报县政府领导同志审批。</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3.负责县政府会议的筹备工作，协助县政府领导同志组织实施会议决定事项。</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4.督促检查县政府各部门和各乡镇人民政府对县政府公文、会议决定事项及县政府领导有关指示的执行情况并跟踪调研，及时向县政府领导报告。</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5.组织办理涉及县政府工作的人大代表议案、批评、建议和政协委员提案、建议案工作。</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6.负责县政府值班工作，指导各乡镇人民政府和县政府部门值班工作，及时报告重要情况。协助县政府领导组织处理由县政府直接处理的突发事件和重大事故。</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7.指导、监督全县政府信息公开工作和机关行政效能建设工作，指导、监督全县政府系统电子政务工作和政府网站建设。</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8.围绕县政府中心工作和县政府领导同志的指示，组织专题调查研究，及时反映情况，提出意见和建议。</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9.负责县政府人民防空和民防工作，指导全县人民防空和民防工作。</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10.贯彻执行国家外事和港澳政策，研究拟定本县外事和港澳工作规章制度、发展规划，办理本县涉外事务和港澳事务。</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11.负责全县公务用车、办公用房及公共机构节能减排工作。</w:t>
      </w:r>
    </w:p>
    <w:p>
      <w:pPr>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sz w:val="32"/>
          <w:szCs w:val="32"/>
        </w:rPr>
        <w:t>12.完成县委、县政府交办的其他事项</w:t>
      </w:r>
      <w:r>
        <w:rPr>
          <w:rFonts w:hint="eastAsia" w:ascii="仿宋_GB2312" w:eastAsia="仿宋_GB2312"/>
          <w:sz w:val="32"/>
          <w:szCs w:val="32"/>
        </w:rPr>
        <w:t>。</w:t>
      </w:r>
      <w:bookmarkStart w:id="26" w:name="_Toc15378446"/>
      <w:bookmarkStart w:id="27" w:name="_Toc15377199"/>
    </w:p>
    <w:bookmarkEnd w:id="26"/>
    <w:bookmarkEnd w:id="27"/>
    <w:p>
      <w:pPr>
        <w:pageBreakBefore w:val="0"/>
        <w:widowControl w:val="0"/>
        <w:kinsoku/>
        <w:wordWrap/>
        <w:overflowPunct/>
        <w:topLinePunct w:val="0"/>
        <w:autoSpaceDE/>
        <w:bidi w:val="0"/>
        <w:spacing w:line="576" w:lineRule="exact"/>
        <w:ind w:firstLine="643" w:firstLineChars="200"/>
        <w:textAlignment w:val="auto"/>
        <w:outlineLvl w:val="2"/>
        <w:rPr>
          <w:rFonts w:hint="eastAsia" w:ascii="仿宋" w:eastAsia="仿宋"/>
          <w:b/>
          <w:color w:val="000000"/>
          <w:sz w:val="32"/>
          <w:szCs w:val="32"/>
        </w:rPr>
      </w:pPr>
      <w:bookmarkStart w:id="28" w:name="_Toc19663"/>
      <w:bookmarkStart w:id="29" w:name="_Toc18688"/>
      <w:bookmarkStart w:id="30" w:name="_Toc15377200"/>
      <w:r>
        <w:rPr>
          <w:rFonts w:hint="eastAsia" w:ascii="仿宋" w:eastAsia="仿宋"/>
          <w:b/>
          <w:color w:val="000000"/>
          <w:sz w:val="32"/>
          <w:szCs w:val="32"/>
        </w:rPr>
        <w:t>（二）</w:t>
      </w:r>
      <w:r>
        <w:rPr>
          <w:rFonts w:ascii="仿宋" w:eastAsia="仿宋"/>
          <w:b/>
          <w:color w:val="000000"/>
          <w:sz w:val="32"/>
          <w:szCs w:val="32"/>
        </w:rPr>
        <w:t>202</w:t>
      </w:r>
      <w:r>
        <w:rPr>
          <w:rFonts w:hint="eastAsia" w:ascii="仿宋" w:eastAsia="仿宋"/>
          <w:b/>
          <w:color w:val="000000"/>
          <w:sz w:val="32"/>
          <w:szCs w:val="32"/>
          <w:lang w:val="en-US" w:eastAsia="zh-CN"/>
        </w:rPr>
        <w:t>2</w:t>
      </w:r>
      <w:r>
        <w:rPr>
          <w:rFonts w:hint="eastAsia" w:ascii="仿宋" w:eastAsia="仿宋"/>
          <w:b/>
          <w:color w:val="000000"/>
          <w:sz w:val="32"/>
          <w:szCs w:val="32"/>
        </w:rPr>
        <w:t>重点工作完成情况</w:t>
      </w:r>
      <w:bookmarkEnd w:id="28"/>
      <w:bookmarkEnd w:id="29"/>
    </w:p>
    <w:p>
      <w:pPr>
        <w:keepNext w:val="0"/>
        <w:keepLines w:val="0"/>
        <w:pageBreakBefore w:val="0"/>
        <w:widowControl w:val="0"/>
        <w:kinsoku/>
        <w:wordWrap/>
        <w:overflowPunct/>
        <w:topLinePunct w:val="0"/>
        <w:autoSpaceDE/>
        <w:bidi w:val="0"/>
        <w:adjustRightInd w:val="0"/>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lang w:val="en-US" w:eastAsia="zh-CN"/>
        </w:rPr>
        <w:t>1.</w:t>
      </w:r>
      <w:r>
        <w:rPr>
          <w:rFonts w:hint="eastAsia" w:ascii="黑体" w:eastAsia="黑体"/>
          <w:sz w:val="32"/>
          <w:szCs w:val="32"/>
        </w:rPr>
        <w:t>加强队伍建设，着力提升机关形象</w:t>
      </w:r>
    </w:p>
    <w:p>
      <w:pPr>
        <w:keepNext w:val="0"/>
        <w:keepLines w:val="0"/>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一年来，县政府办坚决贯彻习近平新时代</w:t>
      </w:r>
      <w:r>
        <w:rPr>
          <w:rFonts w:ascii="仿宋_GB2312" w:eastAsia="仿宋_GB2312" w:cs="仿宋_GB2312"/>
          <w:sz w:val="32"/>
          <w:szCs w:val="32"/>
        </w:rPr>
        <w:t>中国</w:t>
      </w:r>
      <w:r>
        <w:rPr>
          <w:rFonts w:hint="eastAsia" w:ascii="仿宋_GB2312" w:eastAsia="仿宋_GB2312" w:cs="仿宋_GB2312"/>
          <w:sz w:val="32"/>
          <w:szCs w:val="32"/>
        </w:rPr>
        <w:t>特色社会主义思想，切实加强班子建设，提高政治站位，打造政治过硬、团结和谐、工作务实、清正廉明的干部队伍。</w:t>
      </w:r>
    </w:p>
    <w:p>
      <w:pPr>
        <w:keepNext w:val="0"/>
        <w:keepLines w:val="0"/>
        <w:pageBreakBefore w:val="0"/>
        <w:widowControl w:val="0"/>
        <w:kinsoku/>
        <w:wordWrap/>
        <w:overflowPunct/>
        <w:topLinePunct w:val="0"/>
        <w:autoSpaceDE/>
        <w:autoSpaceDN/>
        <w:bidi w:val="0"/>
        <w:spacing w:line="576" w:lineRule="exact"/>
        <w:ind w:left="0" w:firstLine="643" w:firstLineChars="200"/>
        <w:textAlignment w:val="auto"/>
        <w:rPr>
          <w:rFonts w:hint="eastAsia" w:ascii="仿宋_GB2312" w:eastAsia="仿宋_GB2312"/>
          <w:sz w:val="32"/>
          <w:szCs w:val="32"/>
        </w:rPr>
      </w:pPr>
      <w:r>
        <w:rPr>
          <w:rFonts w:hint="eastAsia" w:ascii="楷体_GB2312" w:eastAsia="楷体_GB2312"/>
          <w:b/>
          <w:bCs/>
          <w:sz w:val="32"/>
          <w:szCs w:val="32"/>
        </w:rPr>
        <w:t>强化理论武装。</w:t>
      </w:r>
      <w:r>
        <w:rPr>
          <w:rFonts w:hint="eastAsia" w:ascii="仿宋_GB2312" w:eastAsia="仿宋_GB2312"/>
          <w:sz w:val="32"/>
          <w:szCs w:val="32"/>
        </w:rPr>
        <w:t>坚持线上线下学习相结合，督促党员干部利用“学习强国”等平台开展个人自学，同时，将党员个人自学情况纳入年度民主评议党员的重要内容。利用办公室微信工作群、QQ群推送中国共产党简史解读、先进人物典型等学习篇目</w:t>
      </w:r>
      <w:r>
        <w:rPr>
          <w:rFonts w:hint="eastAsia" w:ascii="仿宋_GB2312" w:eastAsia="仿宋_GB2312"/>
          <w:sz w:val="32"/>
          <w:szCs w:val="32"/>
          <w:lang w:val="en-US" w:eastAsia="zh-CN"/>
        </w:rPr>
        <w:t>50余</w:t>
      </w:r>
      <w:r>
        <w:rPr>
          <w:rFonts w:hint="eastAsia" w:ascii="仿宋_GB2312" w:eastAsia="仿宋_GB2312"/>
          <w:sz w:val="32"/>
          <w:szCs w:val="32"/>
        </w:rPr>
        <w:t>篇。</w:t>
      </w:r>
      <w:r>
        <w:rPr>
          <w:rFonts w:ascii="仿宋_GB2312" w:eastAsia="仿宋_GB2312"/>
          <w:sz w:val="32"/>
          <w:szCs w:val="32"/>
        </w:rPr>
        <w:t>全年</w:t>
      </w:r>
      <w:r>
        <w:rPr>
          <w:rFonts w:hint="eastAsia" w:ascii="仿宋_GB2312" w:eastAsia="仿宋_GB2312"/>
          <w:sz w:val="32"/>
          <w:szCs w:val="32"/>
        </w:rPr>
        <w:t>集中开展党史学习教育</w:t>
      </w:r>
      <w:r>
        <w:rPr>
          <w:rFonts w:hint="eastAsia" w:ascii="仿宋_GB2312" w:eastAsia="仿宋_GB2312"/>
          <w:sz w:val="32"/>
          <w:szCs w:val="32"/>
          <w:lang w:val="en-US" w:eastAsia="zh-CN"/>
        </w:rPr>
        <w:t>23</w:t>
      </w:r>
      <w:r>
        <w:rPr>
          <w:rFonts w:hint="eastAsia" w:ascii="仿宋_GB2312" w:eastAsia="仿宋_GB2312"/>
          <w:sz w:val="32"/>
          <w:szCs w:val="32"/>
        </w:rPr>
        <w:t>次，组织学习了党的十九届</w:t>
      </w:r>
      <w:r>
        <w:rPr>
          <w:rFonts w:hint="eastAsia" w:ascii="仿宋_GB2312" w:eastAsia="仿宋_GB2312"/>
          <w:sz w:val="32"/>
          <w:szCs w:val="32"/>
          <w:lang w:eastAsia="zh-CN"/>
        </w:rPr>
        <w:t>六中</w:t>
      </w:r>
      <w:r>
        <w:rPr>
          <w:rFonts w:hint="eastAsia" w:ascii="仿宋_GB2312" w:eastAsia="仿宋_GB2312"/>
          <w:sz w:val="32"/>
          <w:szCs w:val="32"/>
        </w:rPr>
        <w:t>全会精神</w:t>
      </w:r>
      <w:r>
        <w:rPr>
          <w:rFonts w:hint="eastAsia" w:ascii="仿宋_GB2312" w:eastAsia="仿宋_GB2312"/>
          <w:sz w:val="32"/>
          <w:szCs w:val="32"/>
          <w:lang w:eastAsia="zh-CN"/>
        </w:rPr>
        <w:t>、党的二十大精神及</w:t>
      </w:r>
      <w:r>
        <w:rPr>
          <w:rFonts w:hint="eastAsia" w:ascii="仿宋_GB2312" w:eastAsia="仿宋_GB2312"/>
          <w:sz w:val="32"/>
          <w:szCs w:val="32"/>
        </w:rPr>
        <w:t>习近平总书记</w:t>
      </w:r>
      <w:r>
        <w:rPr>
          <w:rFonts w:hint="eastAsia" w:ascii="仿宋_GB2312" w:eastAsia="仿宋_GB2312"/>
          <w:sz w:val="32"/>
          <w:szCs w:val="32"/>
          <w:lang w:eastAsia="zh-CN"/>
        </w:rPr>
        <w:t>系列</w:t>
      </w:r>
      <w:r>
        <w:rPr>
          <w:rFonts w:hint="eastAsia" w:ascii="仿宋_GB2312" w:eastAsia="仿宋_GB2312"/>
          <w:sz w:val="32"/>
          <w:szCs w:val="32"/>
        </w:rPr>
        <w:t>重要讲话精神、省</w:t>
      </w:r>
      <w:r>
        <w:rPr>
          <w:rFonts w:hint="eastAsia" w:ascii="仿宋_GB2312" w:eastAsia="仿宋_GB2312"/>
          <w:sz w:val="32"/>
          <w:szCs w:val="32"/>
          <w:lang w:eastAsia="zh-CN"/>
        </w:rPr>
        <w:t>州县系列重要会议</w:t>
      </w:r>
      <w:r>
        <w:rPr>
          <w:rFonts w:hint="eastAsia" w:ascii="仿宋_GB2312" w:eastAsia="仿宋_GB2312"/>
          <w:sz w:val="32"/>
          <w:szCs w:val="32"/>
        </w:rPr>
        <w:t>精神</w:t>
      </w:r>
      <w:r>
        <w:rPr>
          <w:rFonts w:hint="eastAsia" w:ascii="仿宋_GB2312" w:eastAsia="仿宋_GB2312"/>
          <w:sz w:val="32"/>
          <w:szCs w:val="32"/>
          <w:lang w:eastAsia="zh-CN"/>
        </w:rPr>
        <w:t>、</w:t>
      </w:r>
      <w:r>
        <w:rPr>
          <w:rFonts w:hint="eastAsia" w:ascii="仿宋_GB2312" w:eastAsia="仿宋_GB2312"/>
          <w:sz w:val="32"/>
          <w:szCs w:val="32"/>
        </w:rPr>
        <w:t>《中国共产党章程》《中国共产党简史》《论中国共产党历史》《习近平新时代中国特色社会主义思想学习问答》《正确认识改革开放前和改革开放后两个历史时期》《十八大以来党和国家事业取得哪些历史性、根本性变革和成就》</w:t>
      </w:r>
      <w:r>
        <w:rPr>
          <w:rFonts w:hint="eastAsia" w:ascii="仿宋_GB2312" w:eastAsia="仿宋_GB2312"/>
          <w:sz w:val="32"/>
          <w:szCs w:val="32"/>
          <w:lang w:eastAsia="zh-CN"/>
        </w:rPr>
        <w:t>等内容。</w:t>
      </w:r>
    </w:p>
    <w:p>
      <w:pPr>
        <w:keepNext w:val="0"/>
        <w:keepLines w:val="0"/>
        <w:pageBreakBefore w:val="0"/>
        <w:widowControl w:val="0"/>
        <w:kinsoku/>
        <w:wordWrap/>
        <w:overflowPunct/>
        <w:topLinePunct w:val="0"/>
        <w:autoSpaceDE/>
        <w:bidi w:val="0"/>
        <w:spacing w:line="576" w:lineRule="exact"/>
        <w:ind w:left="0" w:firstLine="482" w:firstLineChars="150"/>
        <w:textAlignment w:val="auto"/>
        <w:rPr>
          <w:rFonts w:hint="eastAsia" w:ascii="仿宋_GB2312" w:eastAsia="仿宋_GB2312"/>
          <w:sz w:val="32"/>
          <w:szCs w:val="32"/>
          <w:lang w:eastAsia="zh-CN"/>
        </w:rPr>
      </w:pPr>
      <w:r>
        <w:rPr>
          <w:rFonts w:hint="eastAsia" w:ascii="楷体_GB2312" w:eastAsia="楷体_GB2312"/>
          <w:b/>
          <w:bCs/>
          <w:sz w:val="32"/>
          <w:szCs w:val="32"/>
          <w:lang w:eastAsia="zh-CN"/>
        </w:rPr>
        <w:t>提升党建工作。</w:t>
      </w:r>
      <w:r>
        <w:rPr>
          <w:rFonts w:hint="eastAsia" w:ascii="仿宋_GB2312" w:eastAsia="仿宋_GB2312"/>
          <w:sz w:val="32"/>
          <w:szCs w:val="32"/>
        </w:rPr>
        <w:t>认真履行党建工作第一责任人职责，成立党建工作领导小组，研究制定党建工作计划，共计召开</w:t>
      </w:r>
      <w:r>
        <w:rPr>
          <w:rFonts w:hint="eastAsia" w:ascii="仿宋_GB2312" w:eastAsia="仿宋_GB2312"/>
          <w:sz w:val="32"/>
          <w:szCs w:val="32"/>
          <w:lang w:val="en-US" w:eastAsia="zh-CN"/>
        </w:rPr>
        <w:t>10</w:t>
      </w:r>
      <w:r>
        <w:rPr>
          <w:rFonts w:hint="eastAsia" w:ascii="仿宋_GB2312" w:eastAsia="仿宋_GB2312"/>
          <w:sz w:val="32"/>
          <w:szCs w:val="32"/>
        </w:rPr>
        <w:t>次党建工作会议专题研究部署党建工作。按照党建工作“一岗双责”的要求，将党建工作任务细化分解落实到支部和相关股室，确保党建工作有人管、有人抓。认真召开科级班子民主生活会、党支部组织生活会，开展批评与自批评，认真查找问题，及时进行整改，进一步提高党员干部的思想意识，凝聚党员干部工作合力。</w:t>
      </w:r>
      <w:r>
        <w:rPr>
          <w:rFonts w:hint="eastAsia" w:ascii="仿宋_GB2312" w:eastAsia="仿宋_GB2312"/>
          <w:b/>
          <w:bCs/>
          <w:sz w:val="32"/>
          <w:szCs w:val="32"/>
        </w:rPr>
        <w:t>强化组织建设。</w:t>
      </w:r>
      <w:r>
        <w:rPr>
          <w:rFonts w:hint="eastAsia" w:ascii="仿宋_GB2312" w:eastAsia="仿宋_GB2312"/>
          <w:sz w:val="32"/>
          <w:szCs w:val="32"/>
        </w:rPr>
        <w:t>严肃党内政治生活，严格落实“三会一课”等党内基本制度，坚持每月定期开展主题党日活动，开展主题党日活动</w:t>
      </w:r>
      <w:r>
        <w:rPr>
          <w:rFonts w:hint="eastAsia" w:ascii="仿宋_GB2312" w:eastAsia="仿宋_GB2312"/>
          <w:sz w:val="32"/>
          <w:szCs w:val="32"/>
          <w:lang w:val="en-US" w:eastAsia="zh-CN"/>
        </w:rPr>
        <w:t>13</w:t>
      </w:r>
      <w:r>
        <w:rPr>
          <w:rFonts w:hint="eastAsia" w:ascii="仿宋_GB2312" w:eastAsia="仿宋_GB2312"/>
          <w:sz w:val="32"/>
          <w:szCs w:val="32"/>
        </w:rPr>
        <w:t>次。注重干部队伍建设，集体决定向组织推荐</w:t>
      </w:r>
      <w:r>
        <w:rPr>
          <w:rFonts w:hint="eastAsia" w:ascii="仿宋_GB2312" w:eastAsia="仿宋_GB2312"/>
          <w:sz w:val="32"/>
          <w:szCs w:val="32"/>
          <w:lang w:val="en-US" w:eastAsia="zh-CN"/>
        </w:rPr>
        <w:t>1</w:t>
      </w:r>
      <w:r>
        <w:rPr>
          <w:rFonts w:hint="eastAsia" w:ascii="仿宋_GB2312" w:eastAsia="仿宋_GB2312"/>
          <w:sz w:val="32"/>
          <w:szCs w:val="32"/>
        </w:rPr>
        <w:t>人</w:t>
      </w:r>
      <w:r>
        <w:rPr>
          <w:rFonts w:hint="eastAsia" w:ascii="仿宋_GB2312" w:eastAsia="仿宋_GB2312"/>
          <w:sz w:val="32"/>
          <w:szCs w:val="32"/>
          <w:lang w:val="en-US" w:eastAsia="zh-CN"/>
        </w:rPr>
        <w:t>晋升职级</w:t>
      </w:r>
      <w:r>
        <w:rPr>
          <w:rFonts w:hint="eastAsia" w:ascii="仿宋_GB2312" w:eastAsia="仿宋_GB2312"/>
          <w:sz w:val="32"/>
          <w:szCs w:val="32"/>
          <w:lang w:eastAsia="zh-CN"/>
        </w:rPr>
        <w:t>、</w:t>
      </w:r>
      <w:r>
        <w:rPr>
          <w:rFonts w:hint="eastAsia" w:ascii="仿宋_GB2312" w:eastAsia="仿宋_GB2312"/>
          <w:sz w:val="32"/>
          <w:szCs w:val="32"/>
          <w:lang w:val="en-US" w:eastAsia="zh-CN"/>
        </w:rPr>
        <w:t>1人拟任副科级领导职务</w:t>
      </w:r>
      <w:r>
        <w:rPr>
          <w:rFonts w:hint="eastAsia" w:ascii="仿宋_GB2312" w:eastAsia="仿宋_GB2312"/>
          <w:sz w:val="32"/>
          <w:szCs w:val="32"/>
        </w:rPr>
        <w:t>，集体决定对</w:t>
      </w:r>
      <w:r>
        <w:rPr>
          <w:rFonts w:hint="eastAsia" w:ascii="仿宋_GB2312" w:eastAsia="仿宋_GB2312"/>
          <w:sz w:val="32"/>
          <w:szCs w:val="32"/>
          <w:lang w:val="en-US" w:eastAsia="zh-CN"/>
        </w:rPr>
        <w:t>6</w:t>
      </w:r>
      <w:r>
        <w:rPr>
          <w:rFonts w:hint="eastAsia" w:ascii="仿宋_GB2312" w:eastAsia="仿宋_GB2312"/>
          <w:sz w:val="32"/>
          <w:szCs w:val="32"/>
        </w:rPr>
        <w:t>名优秀工作人员进行嘉奖。规范党费收缴管理，</w:t>
      </w:r>
      <w:r>
        <w:rPr>
          <w:rFonts w:hint="eastAsia" w:ascii="仿宋_GB2312" w:eastAsia="仿宋_GB2312"/>
          <w:sz w:val="32"/>
          <w:szCs w:val="32"/>
          <w:lang w:eastAsia="zh-CN"/>
        </w:rPr>
        <w:t>完成2022</w:t>
      </w:r>
      <w:r>
        <w:rPr>
          <w:rFonts w:hint="eastAsia" w:ascii="仿宋_GB2312" w:eastAsia="仿宋_GB2312"/>
          <w:sz w:val="32"/>
          <w:szCs w:val="32"/>
        </w:rPr>
        <w:t>年收缴党费</w:t>
      </w:r>
      <w:r>
        <w:rPr>
          <w:rFonts w:hint="eastAsia" w:ascii="仿宋_GB2312" w:eastAsia="仿宋_GB2312"/>
          <w:sz w:val="32"/>
          <w:szCs w:val="32"/>
          <w:lang w:eastAsia="zh-CN"/>
        </w:rPr>
        <w:t>工作</w:t>
      </w:r>
      <w:r>
        <w:rPr>
          <w:rFonts w:hint="eastAsia" w:ascii="仿宋_GB2312" w:eastAsia="仿宋_GB2312"/>
          <w:sz w:val="32"/>
          <w:szCs w:val="32"/>
        </w:rPr>
        <w:t>。</w:t>
      </w:r>
    </w:p>
    <w:p>
      <w:pPr>
        <w:keepNext w:val="0"/>
        <w:keepLines w:val="0"/>
        <w:pageBreakBefore w:val="0"/>
        <w:widowControl w:val="0"/>
        <w:kinsoku/>
        <w:wordWrap/>
        <w:overflowPunct/>
        <w:topLinePunct w:val="0"/>
        <w:autoSpaceDE/>
        <w:bidi w:val="0"/>
        <w:spacing w:line="576" w:lineRule="exact"/>
        <w:ind w:firstLine="643" w:firstLineChars="200"/>
        <w:textAlignment w:val="auto"/>
        <w:rPr>
          <w:rFonts w:hint="eastAsia" w:ascii="仿宋_GB2312" w:eastAsia="仿宋_GB2312"/>
          <w:sz w:val="32"/>
          <w:szCs w:val="32"/>
        </w:rPr>
      </w:pPr>
      <w:r>
        <w:rPr>
          <w:rFonts w:hint="eastAsia" w:ascii="楷体_GB2312" w:eastAsia="楷体_GB2312"/>
          <w:b/>
          <w:bCs/>
          <w:sz w:val="32"/>
          <w:szCs w:val="32"/>
        </w:rPr>
        <w:t>推进廉政建设</w:t>
      </w:r>
      <w:r>
        <w:rPr>
          <w:rFonts w:hint="eastAsia" w:ascii="楷体_GB2312" w:eastAsia="楷体_GB2312"/>
          <w:b/>
          <w:bCs/>
          <w:sz w:val="32"/>
          <w:szCs w:val="32"/>
          <w:lang w:val="en-US" w:eastAsia="zh-CN"/>
        </w:rPr>
        <w:t>,</w:t>
      </w:r>
      <w:r>
        <w:rPr>
          <w:rFonts w:hint="eastAsia" w:ascii="仿宋_GB2312" w:eastAsia="仿宋_GB2312"/>
          <w:b/>
          <w:bCs/>
          <w:sz w:val="32"/>
          <w:szCs w:val="32"/>
        </w:rPr>
        <w:t>落实主体责任。</w:t>
      </w:r>
      <w:r>
        <w:rPr>
          <w:rFonts w:hint="eastAsia" w:ascii="仿宋_GB2312" w:eastAsia="仿宋_GB2312"/>
          <w:sz w:val="32"/>
          <w:szCs w:val="32"/>
        </w:rPr>
        <w:t>调整党风廉政建设工作领导小组,党支部书记与班子成员签订党风廉政建设责任书，督促班子成员和分管股室负责人签订党风廉政建设责任书,形成层层抓落实的工作格局。</w:t>
      </w:r>
      <w:r>
        <w:rPr>
          <w:rFonts w:hint="eastAsia" w:ascii="仿宋_GB2312" w:eastAsia="仿宋_GB2312"/>
          <w:sz w:val="32"/>
          <w:szCs w:val="32"/>
          <w:lang w:eastAsia="zh-CN"/>
        </w:rPr>
        <w:t>2022</w:t>
      </w:r>
      <w:r>
        <w:rPr>
          <w:rFonts w:hint="eastAsia" w:ascii="仿宋_GB2312" w:eastAsia="仿宋_GB2312"/>
          <w:sz w:val="32"/>
          <w:szCs w:val="32"/>
        </w:rPr>
        <w:t>年，召开党风廉政建设、机关规范化建设、干部作风教育整顿等专题会议12次，研究部署党风廉政建设工作。</w:t>
      </w:r>
      <w:r>
        <w:rPr>
          <w:rFonts w:hint="eastAsia" w:ascii="仿宋_GB2312" w:eastAsia="仿宋_GB2312"/>
          <w:b/>
          <w:bCs/>
          <w:sz w:val="32"/>
          <w:szCs w:val="32"/>
        </w:rPr>
        <w:t>加强内部管理。</w:t>
      </w:r>
      <w:r>
        <w:rPr>
          <w:rFonts w:hint="eastAsia" w:ascii="仿宋_GB2312" w:eastAsia="仿宋_GB2312"/>
          <w:sz w:val="32"/>
          <w:szCs w:val="32"/>
        </w:rPr>
        <w:t>研究制定《茂县人民政府办公室2022年干部作风教育整顿专项行动整改方案》《茂县人民政府办公室推进机关规范化建设实施方案》，以实施“制度化”“创新化”“形象化”“精细化”、“流程化”“绩效化”管理为手段，加强干部队伍建设，完善管理制度，优化办公环境和服务体系，实现办公室班子执政能力显著增强、干部精神状态更加振奋、机关管理规范有序、工作运行科学高效。进一步梳理完善《茂县人民政府办公室请销假管理制度》《茂县人民政府办公室职工考勤制度》</w:t>
      </w:r>
      <w:r>
        <w:rPr>
          <w:rFonts w:hint="eastAsia" w:ascii="仿宋_GB2312" w:eastAsia="仿宋_GB2312"/>
          <w:sz w:val="32"/>
          <w:szCs w:val="32"/>
          <w:lang w:eastAsia="zh-CN"/>
        </w:rPr>
        <w:t>，</w:t>
      </w:r>
      <w:r>
        <w:rPr>
          <w:rFonts w:hint="eastAsia" w:ascii="仿宋_GB2312" w:eastAsia="仿宋_GB2312"/>
          <w:sz w:val="32"/>
          <w:szCs w:val="32"/>
        </w:rPr>
        <w:t>主动接受监督，邀请县纪委派驻县政府办纪检组（第三纪检组）参加县政府办公室主任会议、党支部会议。</w:t>
      </w:r>
    </w:p>
    <w:p>
      <w:pPr>
        <w:keepNext w:val="0"/>
        <w:keepLines w:val="0"/>
        <w:pageBreakBefore w:val="0"/>
        <w:widowControl w:val="0"/>
        <w:kinsoku/>
        <w:wordWrap/>
        <w:overflowPunct/>
        <w:topLinePunct w:val="0"/>
        <w:autoSpaceDE/>
        <w:bidi w:val="0"/>
        <w:adjustRightInd w:val="0"/>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lang w:val="en-US" w:eastAsia="zh-CN"/>
        </w:rPr>
        <w:t>2.</w:t>
      </w:r>
      <w:r>
        <w:rPr>
          <w:rFonts w:hint="eastAsia" w:ascii="黑体" w:eastAsia="黑体"/>
          <w:sz w:val="32"/>
          <w:szCs w:val="32"/>
        </w:rPr>
        <w:t>以提升服务为方向，扎实做好各项工作</w:t>
      </w:r>
    </w:p>
    <w:p>
      <w:pPr>
        <w:keepNext w:val="0"/>
        <w:keepLines w:val="0"/>
        <w:pageBreakBefore w:val="0"/>
        <w:widowControl w:val="0"/>
        <w:kinsoku/>
        <w:wordWrap/>
        <w:overflowPunct/>
        <w:topLinePunct w:val="0"/>
        <w:autoSpaceDE/>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坚持依法行政，依法依纪推进工作，</w:t>
      </w:r>
      <w:r>
        <w:rPr>
          <w:rFonts w:hint="eastAsia" w:ascii="仿宋_GB2312" w:eastAsia="仿宋_GB2312" w:cs="仿宋_GB2312"/>
          <w:sz w:val="32"/>
          <w:szCs w:val="32"/>
        </w:rPr>
        <w:t>切实践行“法无授权不可为，法定职责必须为”的法治理念</w:t>
      </w:r>
      <w:r>
        <w:rPr>
          <w:rFonts w:hint="eastAsia" w:ascii="仿宋_GB2312" w:eastAsia="仿宋_GB2312" w:cs="仿宋_GB2312"/>
          <w:sz w:val="32"/>
          <w:szCs w:val="32"/>
          <w:lang w:eastAsia="zh-CN"/>
        </w:rPr>
        <w:t>，</w:t>
      </w:r>
      <w:r>
        <w:rPr>
          <w:rFonts w:hint="eastAsia" w:ascii="仿宋_GB2312" w:eastAsia="仿宋_GB2312" w:cs="仿宋_GB2312"/>
          <w:sz w:val="32"/>
          <w:szCs w:val="32"/>
        </w:rPr>
        <w:t>坚持以政务运行为主体，强化服务保障能力，精心办文，周密办会，悉心调研，统筹协调，全力确保各项工作运转。</w:t>
      </w:r>
    </w:p>
    <w:p>
      <w:pPr>
        <w:pStyle w:val="42"/>
        <w:keepNext w:val="0"/>
        <w:keepLines w:val="0"/>
        <w:pageBreakBefore w:val="0"/>
        <w:widowControl w:val="0"/>
        <w:kinsoku/>
        <w:wordWrap/>
        <w:overflowPunct/>
        <w:topLinePunct w:val="0"/>
        <w:autoSpaceDE/>
        <w:autoSpaceDN w:val="0"/>
        <w:bidi w:val="0"/>
        <w:spacing w:line="576" w:lineRule="exact"/>
        <w:ind w:firstLine="627"/>
        <w:textAlignment w:val="auto"/>
        <w:rPr>
          <w:rFonts w:hint="eastAsia" w:ascii="仿宋_GB2312" w:eastAsia="仿宋_GB2312" w:cs="Times New Roman"/>
          <w:kern w:val="2"/>
          <w:sz w:val="32"/>
          <w:szCs w:val="32"/>
          <w:lang w:val="en-US" w:eastAsia="zh-CN" w:bidi="ar-SA"/>
        </w:rPr>
      </w:pPr>
      <w:r>
        <w:rPr>
          <w:rFonts w:hint="eastAsia" w:ascii="楷体_GB2312" w:eastAsia="楷体_GB2312" w:cs="Times New Roman"/>
          <w:b/>
          <w:bCs/>
          <w:kern w:val="2"/>
          <w:sz w:val="32"/>
          <w:szCs w:val="32"/>
          <w:lang w:val="en-US" w:eastAsia="zh-CN" w:bidi="ar-SA"/>
        </w:rPr>
        <w:t>高质量严要求做好办文办会。</w:t>
      </w:r>
      <w:r>
        <w:rPr>
          <w:rFonts w:hint="eastAsia" w:ascii="仿宋_GB2312" w:eastAsia="仿宋_GB2312" w:cs="Times New Roman"/>
          <w:kern w:val="2"/>
          <w:sz w:val="32"/>
          <w:szCs w:val="32"/>
          <w:lang w:val="en-US" w:eastAsia="zh-CN" w:bidi="ar-SA"/>
        </w:rPr>
        <w:t>坚持把服务大局、当好参谋作为政府办公室的重要职责，在文稿起草、办文办会等重点工作上，坚持高标准、高质量，并强化保密意识，严格规范管理档案资料，努力提升政务服务水平。全年，县政府办公室协助县政府领导完成10余篇调研报告，承接起草县政府领导讲话材料、汇报材料200余稿；承办了县政府常务会议24次、各类专题会议100余次。</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eastAsia="仿宋_GB2312"/>
          <w:sz w:val="32"/>
          <w:szCs w:val="32"/>
        </w:rPr>
      </w:pPr>
      <w:r>
        <w:rPr>
          <w:rFonts w:hint="eastAsia" w:ascii="楷体_GB2312" w:eastAsia="楷体_GB2312"/>
          <w:b/>
          <w:bCs/>
          <w:sz w:val="32"/>
          <w:szCs w:val="32"/>
          <w:lang w:val="en-US" w:eastAsia="zh-CN"/>
        </w:rPr>
        <w:t>抓实</w:t>
      </w:r>
      <w:r>
        <w:rPr>
          <w:rFonts w:hint="eastAsia" w:ascii="楷体_GB2312" w:eastAsia="楷体_GB2312"/>
          <w:b/>
          <w:bCs/>
          <w:sz w:val="32"/>
          <w:szCs w:val="32"/>
          <w:lang w:eastAsia="zh-CN"/>
        </w:rPr>
        <w:t>新冠肺炎疫情防控工作。</w:t>
      </w:r>
      <w:r>
        <w:rPr>
          <w:rFonts w:hint="eastAsia" w:ascii="仿宋_GB2312" w:eastAsia="仿宋_GB2312"/>
          <w:sz w:val="32"/>
          <w:szCs w:val="32"/>
          <w:lang w:eastAsia="zh-CN"/>
        </w:rPr>
        <w:t>以严的纪律主动抓好机关内部疫情防控工作并配合抓好疫情防控指挥部外事组工作。组织学习了《四川省新冠肺炎疫情防控指南》《阿坝州应对新冠肺炎疫情防控应急指挥部办公室关于做好近期疫情防控重点工作的通知》等相关文件，提高</w:t>
      </w:r>
      <w:r>
        <w:rPr>
          <w:rFonts w:hint="eastAsia" w:ascii="仿宋_GB2312" w:eastAsia="仿宋_GB2312"/>
          <w:sz w:val="32"/>
          <w:szCs w:val="32"/>
          <w:lang w:val="en-US" w:eastAsia="zh-CN"/>
        </w:rPr>
        <w:t>全体干部职工防疫意识并严格执行疫情防控政策新要求，积极配合落实好各项常态化防控措施，做到非必要不外出。</w:t>
      </w:r>
      <w:r>
        <w:rPr>
          <w:rFonts w:hint="eastAsia" w:ascii="仿宋_GB2312" w:eastAsia="仿宋_GB2312"/>
          <w:sz w:val="32"/>
          <w:szCs w:val="32"/>
        </w:rPr>
        <w:t>针对节</w:t>
      </w:r>
      <w:r>
        <w:rPr>
          <w:rFonts w:ascii="仿宋_GB2312" w:eastAsia="仿宋_GB2312"/>
          <w:sz w:val="32"/>
          <w:szCs w:val="32"/>
        </w:rPr>
        <w:t>假</w:t>
      </w:r>
      <w:r>
        <w:rPr>
          <w:rFonts w:hint="eastAsia" w:ascii="仿宋_GB2312" w:eastAsia="仿宋_GB2312"/>
          <w:sz w:val="32"/>
          <w:szCs w:val="32"/>
        </w:rPr>
        <w:t>后返岗实际情况，加强干部职工家庭返（来）县人员摸排，落实群防群控措施</w:t>
      </w:r>
      <w:r>
        <w:rPr>
          <w:rFonts w:hint="eastAsia" w:ascii="仿宋_GB2312" w:eastAsia="仿宋_GB2312"/>
          <w:sz w:val="32"/>
          <w:szCs w:val="32"/>
          <w:lang w:eastAsia="zh-CN"/>
        </w:rPr>
        <w:t>，</w:t>
      </w:r>
      <w:r>
        <w:rPr>
          <w:rFonts w:hint="eastAsia" w:ascii="仿宋_GB2312" w:eastAsia="仿宋_GB2312"/>
          <w:sz w:val="32"/>
          <w:szCs w:val="32"/>
        </w:rPr>
        <w:t>全面真实掌握干部职工活动轨迹，严格落实居家观察措施。</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3" w:firstLineChars="200"/>
        <w:textAlignment w:val="auto"/>
        <w:rPr>
          <w:rFonts w:hint="eastAsia" w:ascii="仿宋_GB2312" w:eastAsia="仿宋_GB2312"/>
          <w:sz w:val="32"/>
          <w:szCs w:val="32"/>
          <w:lang w:eastAsia="zh-CN"/>
        </w:rPr>
      </w:pPr>
      <w:r>
        <w:rPr>
          <w:rFonts w:hint="eastAsia" w:ascii="楷体_GB2312" w:eastAsia="楷体_GB2312"/>
          <w:b/>
          <w:bCs/>
          <w:sz w:val="32"/>
          <w:szCs w:val="32"/>
          <w:lang w:val="en-US" w:eastAsia="zh-CN"/>
        </w:rPr>
        <w:t>坚持重大事项集体决策。</w:t>
      </w:r>
      <w:r>
        <w:rPr>
          <w:rFonts w:hint="eastAsia" w:ascii="仿宋_GB2312" w:eastAsia="仿宋_GB2312"/>
          <w:sz w:val="32"/>
          <w:szCs w:val="32"/>
          <w:lang w:eastAsia="zh-CN"/>
        </w:rPr>
        <w:t>召开202</w:t>
      </w:r>
      <w:r>
        <w:rPr>
          <w:rFonts w:hint="eastAsia" w:ascii="仿宋_GB2312" w:eastAsia="仿宋_GB2312"/>
          <w:sz w:val="32"/>
          <w:szCs w:val="32"/>
          <w:lang w:val="en-US" w:eastAsia="zh-CN"/>
        </w:rPr>
        <w:t>2</w:t>
      </w:r>
      <w:r>
        <w:rPr>
          <w:rFonts w:hint="eastAsia" w:ascii="仿宋_GB2312" w:eastAsia="仿宋_GB2312"/>
          <w:sz w:val="32"/>
          <w:szCs w:val="32"/>
          <w:lang w:eastAsia="zh-CN"/>
        </w:rPr>
        <w:t>年茂县人民政府办公室主任(扩大)会议</w:t>
      </w:r>
      <w:r>
        <w:rPr>
          <w:rFonts w:hint="eastAsia" w:ascii="仿宋_GB2312" w:eastAsia="仿宋_GB2312"/>
          <w:sz w:val="32"/>
          <w:szCs w:val="32"/>
          <w:lang w:val="en-US" w:eastAsia="zh-CN"/>
        </w:rPr>
        <w:t>13</w:t>
      </w:r>
      <w:r>
        <w:rPr>
          <w:rFonts w:hint="eastAsia" w:ascii="仿宋_GB2312" w:eastAsia="仿宋_GB2312"/>
          <w:sz w:val="32"/>
          <w:szCs w:val="32"/>
          <w:lang w:eastAsia="zh-CN"/>
        </w:rPr>
        <w:t>次，集体研究班子成员工作分工方案；</w:t>
      </w:r>
      <w:r>
        <w:rPr>
          <w:rFonts w:hint="eastAsia" w:ascii="仿宋_GB2312" w:eastAsia="仿宋_GB2312"/>
          <w:sz w:val="32"/>
          <w:szCs w:val="32"/>
        </w:rPr>
        <w:t>集体研究县政府</w:t>
      </w:r>
      <w:r>
        <w:rPr>
          <w:rFonts w:hint="eastAsia" w:ascii="仿宋_GB2312" w:eastAsia="仿宋_GB2312"/>
          <w:sz w:val="32"/>
          <w:szCs w:val="32"/>
          <w:lang w:eastAsia="zh-CN"/>
        </w:rPr>
        <w:t>信息服务费、</w:t>
      </w:r>
      <w:r>
        <w:rPr>
          <w:rFonts w:hint="eastAsia" w:ascii="仿宋_GB2312" w:eastAsia="仿宋_GB2312"/>
          <w:sz w:val="32"/>
          <w:szCs w:val="32"/>
        </w:rPr>
        <w:t>公务用车维修</w:t>
      </w:r>
      <w:r>
        <w:rPr>
          <w:rFonts w:hint="eastAsia" w:ascii="仿宋_GB2312" w:eastAsia="仿宋_GB2312"/>
          <w:sz w:val="32"/>
          <w:szCs w:val="32"/>
          <w:lang w:eastAsia="zh-CN"/>
        </w:rPr>
        <w:t>费、改造房屋费等大额资金支付事宜；</w:t>
      </w:r>
      <w:r>
        <w:rPr>
          <w:rFonts w:hint="eastAsia" w:ascii="仿宋_GB2312" w:eastAsia="仿宋_GB2312"/>
          <w:sz w:val="32"/>
          <w:szCs w:val="32"/>
          <w:lang w:val="en-US" w:eastAsia="zh-CN"/>
        </w:rPr>
        <w:t>集体研究资产划转、资产处置</w:t>
      </w:r>
      <w:r>
        <w:rPr>
          <w:rFonts w:hint="eastAsia" w:ascii="仿宋_GB2312" w:eastAsia="仿宋_GB2312"/>
          <w:sz w:val="32"/>
          <w:szCs w:val="32"/>
          <w:lang w:eastAsia="zh-CN"/>
        </w:rPr>
        <w:t>等事宜。</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3" w:firstLineChars="200"/>
        <w:textAlignment w:val="auto"/>
        <w:rPr>
          <w:rFonts w:hint="eastAsia" w:ascii="仿宋_GB2312" w:eastAsia="仿宋_GB2312"/>
          <w:sz w:val="32"/>
          <w:szCs w:val="32"/>
        </w:rPr>
      </w:pPr>
      <w:r>
        <w:rPr>
          <w:rFonts w:hint="eastAsia" w:ascii="楷体_GB2312" w:eastAsia="楷体_GB2312"/>
          <w:b/>
          <w:bCs/>
          <w:sz w:val="32"/>
          <w:szCs w:val="32"/>
          <w:lang w:val="en-US" w:eastAsia="zh-CN"/>
        </w:rPr>
        <w:t>强化公务用车管理使用。</w:t>
      </w:r>
      <w:r>
        <w:rPr>
          <w:rFonts w:hint="eastAsia" w:ascii="仿宋_GB2312" w:eastAsia="仿宋_GB2312"/>
          <w:sz w:val="32"/>
          <w:szCs w:val="32"/>
        </w:rPr>
        <w:t>坚持实事求是原则，严格按程序开展公务用车报废、更新</w:t>
      </w:r>
      <w:r>
        <w:rPr>
          <w:rFonts w:hint="eastAsia" w:ascii="仿宋_GB2312" w:eastAsia="仿宋_GB2312"/>
          <w:sz w:val="32"/>
          <w:szCs w:val="32"/>
          <w:lang w:eastAsia="zh-CN"/>
        </w:rPr>
        <w:t>工作。报废一般执法执勤用车</w:t>
      </w:r>
      <w:r>
        <w:rPr>
          <w:rFonts w:hint="eastAsia" w:ascii="仿宋_GB2312" w:eastAsia="仿宋_GB2312"/>
          <w:sz w:val="32"/>
          <w:szCs w:val="32"/>
          <w:lang w:val="en-US" w:eastAsia="zh-CN"/>
        </w:rPr>
        <w:t>3辆,一般公务用车5辆。划转一般公务用车2辆,拟更新一般公务用车5辆、一般执法执勤用车1２辆、特种专业技术用车１辆。</w:t>
      </w:r>
      <w:r>
        <w:rPr>
          <w:rFonts w:hint="eastAsia" w:ascii="仿宋_GB2312" w:eastAsia="仿宋_GB2312"/>
          <w:sz w:val="32"/>
          <w:szCs w:val="32"/>
          <w:lang w:eastAsia="zh-CN"/>
        </w:rPr>
        <w:t>同意在编制内更新6辆国产执法执勤用车、５辆一般公务用车。</w:t>
      </w:r>
      <w:r>
        <w:rPr>
          <w:rFonts w:hint="eastAsia" w:ascii="仿宋_GB2312" w:eastAsia="仿宋_GB2312"/>
          <w:sz w:val="32"/>
          <w:szCs w:val="32"/>
          <w:lang w:val="en-US" w:eastAsia="zh-CN"/>
        </w:rPr>
        <w:t>核增一般公务用车辆编制1个。</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3" w:firstLineChars="200"/>
        <w:textAlignment w:val="auto"/>
        <w:rPr>
          <w:rFonts w:hint="eastAsia" w:ascii="仿宋_GB2312" w:eastAsia="仿宋_GB2312"/>
          <w:sz w:val="32"/>
          <w:szCs w:val="32"/>
          <w:lang w:eastAsia="zh-CN"/>
        </w:rPr>
      </w:pPr>
      <w:r>
        <w:rPr>
          <w:rFonts w:hint="eastAsia" w:ascii="楷体_GB2312" w:eastAsia="楷体_GB2312"/>
          <w:b/>
          <w:bCs/>
          <w:sz w:val="32"/>
          <w:szCs w:val="32"/>
          <w:lang w:val="en-US" w:eastAsia="zh-CN"/>
        </w:rPr>
        <w:t>推进人防工作规范化。</w:t>
      </w:r>
      <w:r>
        <w:rPr>
          <w:rFonts w:hint="eastAsia" w:ascii="仿宋_GB2312" w:eastAsia="仿宋_GB2312"/>
          <w:sz w:val="32"/>
          <w:szCs w:val="32"/>
        </w:rPr>
        <w:t>进一步规范、优化人防审批流程，积极推进网上办件，并完善“内部审批”“集体研究”“项目核对”等制度。坚持依法依规审批，促进人防“结建”工作规范化</w:t>
      </w:r>
      <w:r>
        <w:rPr>
          <w:rFonts w:hint="eastAsia" w:ascii="仿宋_GB2312" w:eastAsia="仿宋_GB2312"/>
          <w:sz w:val="32"/>
          <w:szCs w:val="32"/>
          <w:lang w:eastAsia="zh-CN"/>
        </w:rPr>
        <w:t>。</w:t>
      </w:r>
      <w:r>
        <w:rPr>
          <w:rFonts w:hint="eastAsia" w:ascii="仿宋_GB2312" w:eastAsia="仿宋_GB2312"/>
          <w:sz w:val="32"/>
          <w:szCs w:val="32"/>
        </w:rPr>
        <w:t>加强与相关部门的协调配合，强化源头管理，</w:t>
      </w:r>
      <w:r>
        <w:rPr>
          <w:rFonts w:ascii="仿宋_GB2312" w:eastAsia="仿宋_GB2312"/>
          <w:sz w:val="32"/>
          <w:szCs w:val="32"/>
        </w:rPr>
        <w:t>严格</w:t>
      </w:r>
      <w:r>
        <w:rPr>
          <w:rFonts w:ascii="仿宋_GB2312" w:eastAsia="仿宋_GB2312"/>
          <w:sz w:val="32"/>
          <w:szCs w:val="32"/>
          <w:lang w:eastAsia="zh-CN"/>
        </w:rPr>
        <w:t>依法依规</w:t>
      </w:r>
      <w:r>
        <w:rPr>
          <w:rFonts w:hint="eastAsia" w:ascii="仿宋_GB2312" w:eastAsia="仿宋_GB2312"/>
          <w:sz w:val="32"/>
          <w:szCs w:val="32"/>
        </w:rPr>
        <w:t>征收人防易地建设费</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eastAsia="仿宋_GB2312"/>
          <w:sz w:val="32"/>
          <w:szCs w:val="32"/>
          <w:lang w:val="en-US" w:eastAsia="zh-CN"/>
        </w:rPr>
      </w:pPr>
      <w:r>
        <w:rPr>
          <w:rFonts w:hint="eastAsia" w:ascii="楷体_GB2312" w:eastAsia="楷体_GB2312"/>
          <w:b/>
          <w:bCs/>
          <w:sz w:val="32"/>
          <w:szCs w:val="32"/>
          <w:lang w:val="en-US" w:eastAsia="zh-CN"/>
        </w:rPr>
        <w:t>用心用情解决群众实际困难。</w:t>
      </w:r>
      <w:r>
        <w:rPr>
          <w:rFonts w:hint="eastAsia" w:ascii="仿宋_GB2312" w:eastAsia="仿宋_GB2312"/>
          <w:sz w:val="32"/>
          <w:szCs w:val="32"/>
        </w:rPr>
        <w:t>结合“两联一进”群众工作，</w:t>
      </w:r>
      <w:r>
        <w:rPr>
          <w:rFonts w:hint="eastAsia" w:ascii="仿宋_GB2312" w:eastAsia="仿宋_GB2312"/>
          <w:sz w:val="32"/>
          <w:szCs w:val="32"/>
          <w:lang w:val="en-US" w:eastAsia="zh-CN"/>
        </w:rPr>
        <w:t>扎实开展“我为群众办实事”，广泛开展宣传活动，集中宣讲党的精神与政策，增强群众的法治意识。</w:t>
      </w:r>
      <w:r>
        <w:rPr>
          <w:rFonts w:hint="eastAsia" w:ascii="仿宋_GB2312" w:eastAsia="仿宋_GB2312"/>
          <w:sz w:val="32"/>
          <w:szCs w:val="32"/>
        </w:rPr>
        <w:t>组织干部</w:t>
      </w:r>
      <w:r>
        <w:rPr>
          <w:rFonts w:ascii="仿宋_GB2312" w:eastAsia="仿宋_GB2312"/>
          <w:sz w:val="32"/>
          <w:szCs w:val="32"/>
        </w:rPr>
        <w:t>进村</w:t>
      </w:r>
      <w:r>
        <w:rPr>
          <w:rFonts w:hint="eastAsia" w:ascii="仿宋_GB2312" w:eastAsia="仿宋_GB2312"/>
          <w:sz w:val="32"/>
          <w:szCs w:val="32"/>
        </w:rPr>
        <w:t>入户走访</w:t>
      </w:r>
      <w:r>
        <w:rPr>
          <w:rFonts w:hint="eastAsia" w:ascii="仿宋_GB2312" w:eastAsia="仿宋_GB2312"/>
          <w:sz w:val="32"/>
          <w:szCs w:val="32"/>
          <w:lang w:val="en-US" w:eastAsia="zh-CN"/>
        </w:rPr>
        <w:t>200多</w:t>
      </w:r>
      <w:r>
        <w:rPr>
          <w:rFonts w:hint="eastAsia" w:ascii="仿宋_GB2312" w:eastAsia="仿宋_GB2312"/>
          <w:sz w:val="32"/>
          <w:szCs w:val="32"/>
        </w:rPr>
        <w:t>人次，广泛收集群众意见建议</w:t>
      </w:r>
      <w:r>
        <w:rPr>
          <w:rFonts w:hint="eastAsia" w:ascii="仿宋_GB2312" w:eastAsia="仿宋_GB2312"/>
          <w:sz w:val="32"/>
          <w:szCs w:val="32"/>
          <w:lang w:eastAsia="zh-CN"/>
        </w:rPr>
        <w:t>，</w:t>
      </w:r>
      <w:r>
        <w:rPr>
          <w:rFonts w:hint="eastAsia" w:ascii="仿宋_GB2312" w:eastAsia="仿宋_GB2312"/>
          <w:sz w:val="32"/>
          <w:szCs w:val="32"/>
          <w:lang w:val="en-US" w:eastAsia="zh-CN"/>
        </w:rPr>
        <w:t>反映社情民意信息，</w:t>
      </w:r>
      <w:r>
        <w:rPr>
          <w:rFonts w:ascii="仿宋_GB2312" w:eastAsia="仿宋_GB2312"/>
          <w:sz w:val="32"/>
          <w:szCs w:val="32"/>
          <w:lang w:val="en-US" w:eastAsia="zh-CN"/>
        </w:rPr>
        <w:t>积极</w:t>
      </w:r>
      <w:r>
        <w:rPr>
          <w:rFonts w:hint="eastAsia" w:ascii="仿宋_GB2312" w:eastAsia="仿宋_GB2312"/>
          <w:sz w:val="32"/>
          <w:szCs w:val="32"/>
          <w:lang w:val="en-US" w:eastAsia="zh-CN"/>
        </w:rPr>
        <w:t>协调解决群众</w:t>
      </w:r>
      <w:r>
        <w:rPr>
          <w:rFonts w:ascii="仿宋_GB2312" w:eastAsia="仿宋_GB2312"/>
          <w:sz w:val="32"/>
          <w:szCs w:val="32"/>
          <w:lang w:val="en-US" w:eastAsia="zh-CN"/>
        </w:rPr>
        <w:t>反映</w:t>
      </w:r>
      <w:r>
        <w:rPr>
          <w:rFonts w:hint="eastAsia" w:ascii="仿宋_GB2312" w:eastAsia="仿宋_GB2312"/>
          <w:sz w:val="32"/>
          <w:szCs w:val="32"/>
          <w:lang w:val="en-US" w:eastAsia="zh-CN"/>
        </w:rPr>
        <w:t>问题。</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eastAsia="仿宋_GB2312"/>
          <w:sz w:val="32"/>
          <w:szCs w:val="32"/>
        </w:rPr>
      </w:pPr>
      <w:r>
        <w:rPr>
          <w:rFonts w:hint="eastAsia" w:ascii="楷体_GB2312" w:eastAsia="楷体_GB2312"/>
          <w:b/>
          <w:bCs/>
          <w:sz w:val="32"/>
          <w:szCs w:val="32"/>
          <w:lang w:val="en-US" w:eastAsia="zh-CN"/>
        </w:rPr>
        <w:t>纵深推进政府信息公开工作。</w:t>
      </w:r>
      <w:r>
        <w:rPr>
          <w:rFonts w:hint="eastAsia" w:ascii="仿宋_GB2312" w:eastAsia="仿宋_GB2312"/>
          <w:sz w:val="32"/>
          <w:szCs w:val="32"/>
        </w:rPr>
        <w:t>严格遵循“谁制作、谁审查、谁负责”原则和“谁公开谁审查、事前审查、全面审查和依法审查”原则，围绕群众关心、社会关注的热点，依法依规公开政府信息，主动回应社会关切，完善公开载体，推动转变政府职能、创新政府管理，提升政府公信力。配合州级主管部门做好政府信息资源开放共享工作，保障群众知情权，促进政府工作公开透明运行。</w:t>
      </w:r>
    </w:p>
    <w:p>
      <w:pPr>
        <w:pageBreakBefore w:val="0"/>
        <w:widowControl w:val="0"/>
        <w:kinsoku/>
        <w:wordWrap/>
        <w:overflowPunct/>
        <w:topLinePunct w:val="0"/>
        <w:autoSpaceDE/>
        <w:bidi w:val="0"/>
        <w:spacing w:line="576" w:lineRule="exact"/>
        <w:ind w:firstLine="643" w:firstLineChars="200"/>
        <w:textAlignment w:val="auto"/>
        <w:outlineLvl w:val="2"/>
        <w:rPr>
          <w:rFonts w:ascii="仿宋" w:eastAsia="仿宋"/>
          <w:color w:val="000000"/>
          <w:sz w:val="32"/>
          <w:szCs w:val="32"/>
        </w:rPr>
      </w:pPr>
      <w:bookmarkStart w:id="31" w:name="_Toc29724"/>
      <w:bookmarkStart w:id="32" w:name="_Toc22425"/>
      <w:r>
        <w:rPr>
          <w:rFonts w:hint="eastAsia" w:ascii="楷体_GB2312" w:eastAsia="楷体_GB2312"/>
          <w:b/>
          <w:bCs/>
          <w:sz w:val="32"/>
          <w:szCs w:val="32"/>
          <w:lang w:val="en-US" w:eastAsia="zh-CN"/>
        </w:rPr>
        <w:t>着力提升议案建议交办工作。</w:t>
      </w:r>
      <w:r>
        <w:rPr>
          <w:rFonts w:hint="eastAsia" w:ascii="仿宋_GB2312" w:eastAsia="仿宋_GB2312"/>
          <w:sz w:val="32"/>
          <w:szCs w:val="32"/>
          <w:lang w:val="en-US" w:eastAsia="zh-CN"/>
        </w:rPr>
        <w:t>茂县第十六届人民代表大会第一次会议后，办公室及时确定牵头和承办单位，对县人大常委会转交县人民政府的57件建议</w:t>
      </w:r>
      <w:r>
        <w:rPr>
          <w:rFonts w:ascii="仿宋_GB2312" w:eastAsia="仿宋_GB2312"/>
          <w:sz w:val="32"/>
          <w:szCs w:val="32"/>
          <w:lang w:val="en-US" w:eastAsia="zh-CN"/>
        </w:rPr>
        <w:t>进行</w:t>
      </w:r>
      <w:r>
        <w:rPr>
          <w:rFonts w:hint="eastAsia" w:ascii="仿宋_GB2312" w:eastAsia="仿宋_GB2312"/>
          <w:sz w:val="32"/>
          <w:szCs w:val="32"/>
          <w:lang w:val="en-US" w:eastAsia="zh-CN"/>
        </w:rPr>
        <w:t>交办。在办理过程中，县政府办积极统筹协调。截至2022年10月底,57件县人大代表建议已全部答复，答复率100%，均获建议人满意；57件建议已全部或部分解决的42件</w:t>
      </w:r>
      <w:r>
        <w:rPr>
          <w:rFonts w:ascii="仿宋_GB2312" w:eastAsia="仿宋_GB2312"/>
          <w:sz w:val="32"/>
          <w:szCs w:val="32"/>
          <w:lang w:val="en-US" w:eastAsia="zh-CN"/>
        </w:rPr>
        <w:t>，</w:t>
      </w:r>
      <w:r>
        <w:rPr>
          <w:rFonts w:hint="eastAsia" w:ascii="仿宋_GB2312" w:eastAsia="仿宋_GB2312"/>
          <w:sz w:val="32"/>
          <w:szCs w:val="32"/>
          <w:lang w:val="en-US" w:eastAsia="zh-CN"/>
        </w:rPr>
        <w:t>占74%；正在解决的8件</w:t>
      </w:r>
      <w:r>
        <w:rPr>
          <w:rFonts w:ascii="仿宋_GB2312" w:eastAsia="仿宋_GB2312"/>
          <w:sz w:val="32"/>
          <w:szCs w:val="32"/>
          <w:lang w:val="en-US" w:eastAsia="zh-CN"/>
        </w:rPr>
        <w:t>，</w:t>
      </w:r>
      <w:r>
        <w:rPr>
          <w:rFonts w:hint="eastAsia" w:ascii="仿宋_GB2312" w:eastAsia="仿宋_GB2312"/>
          <w:sz w:val="32"/>
          <w:szCs w:val="32"/>
          <w:lang w:val="en-US" w:eastAsia="zh-CN"/>
        </w:rPr>
        <w:t>占4%；由于政策、资金等原因暂时不能解决的7件</w:t>
      </w:r>
      <w:r>
        <w:rPr>
          <w:rFonts w:ascii="仿宋_GB2312" w:eastAsia="仿宋_GB2312"/>
          <w:sz w:val="32"/>
          <w:szCs w:val="32"/>
          <w:lang w:val="en-US" w:eastAsia="zh-CN"/>
        </w:rPr>
        <w:t>，</w:t>
      </w:r>
      <w:r>
        <w:rPr>
          <w:rFonts w:hint="eastAsia" w:ascii="仿宋_GB2312" w:eastAsia="仿宋_GB2312"/>
          <w:sz w:val="32"/>
          <w:szCs w:val="32"/>
          <w:lang w:val="en-US" w:eastAsia="zh-CN"/>
        </w:rPr>
        <w:t>占12%。十六届茂县人大常委会第五次会议上审议了《茂县人民政府关于茂县第十六届人民代表大会第一次会议代表议案、建议、批评和意见办理情况的报告》，表决结果为满意。</w:t>
      </w:r>
      <w:bookmarkEnd w:id="31"/>
      <w:bookmarkEnd w:id="32"/>
    </w:p>
    <w:p>
      <w:pPr>
        <w:pStyle w:val="4"/>
        <w:keepNext/>
        <w:keepLines/>
        <w:pageBreakBefore w:val="0"/>
        <w:widowControl w:val="0"/>
        <w:kinsoku/>
        <w:wordWrap/>
        <w:overflowPunct/>
        <w:topLinePunct w:val="0"/>
        <w:autoSpaceDE/>
        <w:bidi w:val="0"/>
        <w:spacing w:line="576" w:lineRule="exact"/>
        <w:ind w:firstLine="643" w:firstLineChars="200"/>
        <w:textAlignment w:val="auto"/>
        <w:rPr>
          <w:rFonts w:ascii="黑体" w:eastAsia="黑体" w:cs="Times New Roman"/>
          <w:bCs w:val="0"/>
          <w:color w:val="000000"/>
        </w:rPr>
      </w:pPr>
      <w:bookmarkStart w:id="33" w:name="_Toc113981011"/>
      <w:bookmarkStart w:id="34" w:name="_Toc111208497"/>
      <w:bookmarkStart w:id="35" w:name="_Toc32582"/>
      <w:bookmarkStart w:id="36" w:name="_Toc21922"/>
      <w:r>
        <w:rPr>
          <w:rFonts w:hint="eastAsia" w:ascii="黑体" w:eastAsia="黑体" w:cs="Times New Roman"/>
          <w:bCs w:val="0"/>
          <w:color w:val="000000"/>
        </w:rPr>
        <w:t>二、机构设置</w:t>
      </w:r>
      <w:bookmarkEnd w:id="30"/>
      <w:bookmarkEnd w:id="33"/>
      <w:bookmarkEnd w:id="34"/>
      <w:bookmarkEnd w:id="35"/>
      <w:bookmarkEnd w:id="36"/>
    </w:p>
    <w:p>
      <w:pPr>
        <w:pageBreakBefore w:val="0"/>
        <w:widowControl w:val="0"/>
        <w:kinsoku/>
        <w:wordWrap/>
        <w:overflowPunct/>
        <w:topLinePunct w:val="0"/>
        <w:autoSpaceDE/>
        <w:bidi w:val="0"/>
        <w:spacing w:line="576" w:lineRule="exact"/>
        <w:textAlignment w:val="auto"/>
        <w:rPr>
          <w:rFonts w:ascii="仿宋" w:eastAsia="仿宋"/>
          <w:color w:val="000000"/>
          <w:sz w:val="32"/>
          <w:szCs w:val="32"/>
        </w:rPr>
      </w:pPr>
      <w:r>
        <w:rPr>
          <w:rFonts w:ascii="仿宋" w:eastAsia="仿宋"/>
          <w:color w:val="000000"/>
          <w:sz w:val="32"/>
          <w:szCs w:val="32"/>
        </w:rPr>
        <w:tab/>
      </w:r>
      <w:r>
        <w:rPr>
          <w:rFonts w:ascii="仿宋" w:eastAsia="仿宋"/>
          <w:color w:val="000000"/>
          <w:sz w:val="32"/>
          <w:szCs w:val="32"/>
        </w:rPr>
        <w:t>茂县人民政府办公室下属二级单位2个，其中行政单位1个，参照公务员法管理的事业单位0个，其他事业单位1个。</w:t>
      </w:r>
      <w:r>
        <w:rPr>
          <w:rFonts w:ascii="仿宋" w:eastAsia="仿宋"/>
          <w:color w:val="000000"/>
          <w:sz w:val="32"/>
          <w:szCs w:val="32"/>
        </w:rPr>
        <w:cr/>
      </w:r>
      <w:r>
        <w:rPr>
          <w:rFonts w:ascii="仿宋" w:eastAsia="仿宋"/>
          <w:color w:val="000000"/>
          <w:sz w:val="32"/>
          <w:szCs w:val="32"/>
        </w:rPr>
        <w:t>纳入茂县人民政府办公室202</w:t>
      </w:r>
      <w:r>
        <w:rPr>
          <w:rFonts w:hint="eastAsia" w:ascii="仿宋" w:eastAsia="仿宋"/>
          <w:color w:val="000000"/>
          <w:sz w:val="32"/>
          <w:szCs w:val="32"/>
          <w:lang w:val="en-US" w:eastAsia="zh-CN"/>
        </w:rPr>
        <w:t>2</w:t>
      </w:r>
      <w:r>
        <w:rPr>
          <w:rFonts w:ascii="仿宋" w:eastAsia="仿宋"/>
          <w:color w:val="000000"/>
          <w:sz w:val="32"/>
          <w:szCs w:val="32"/>
        </w:rPr>
        <w:t>年度部门决算编制范围的二级预算单位包括：</w:t>
      </w:r>
      <w:r>
        <w:rPr>
          <w:rFonts w:ascii="仿宋" w:eastAsia="仿宋"/>
          <w:color w:val="000000"/>
          <w:sz w:val="32"/>
          <w:szCs w:val="32"/>
        </w:rPr>
        <w:cr/>
      </w:r>
      <w:r>
        <w:rPr>
          <w:rFonts w:ascii="仿宋" w:eastAsia="仿宋"/>
          <w:color w:val="000000"/>
          <w:sz w:val="32"/>
          <w:szCs w:val="32"/>
        </w:rPr>
        <w:t>1.茂县人民政府办公室（本级）</w:t>
      </w:r>
      <w:r>
        <w:rPr>
          <w:rFonts w:ascii="仿宋" w:eastAsia="仿宋"/>
          <w:color w:val="000000"/>
          <w:sz w:val="32"/>
          <w:szCs w:val="32"/>
        </w:rPr>
        <w:cr/>
      </w:r>
      <w:r>
        <w:rPr>
          <w:rFonts w:ascii="仿宋" w:eastAsia="仿宋"/>
          <w:color w:val="000000"/>
          <w:sz w:val="32"/>
          <w:szCs w:val="32"/>
        </w:rPr>
        <w:t>2.茂县人民防空办公室</w:t>
      </w:r>
    </w:p>
    <w:p>
      <w:pPr>
        <w:pageBreakBefore w:val="0"/>
        <w:widowControl/>
        <w:kinsoku/>
        <w:wordWrap/>
        <w:overflowPunct/>
        <w:topLinePunct w:val="0"/>
        <w:autoSpaceDE/>
        <w:bidi w:val="0"/>
        <w:spacing w:line="576" w:lineRule="exact"/>
        <w:jc w:val="left"/>
        <w:textAlignment w:val="auto"/>
        <w:rPr>
          <w:rFonts w:ascii="仿宋_GB2312" w:eastAsia="仿宋_GB2312"/>
          <w:b/>
          <w:bCs/>
          <w:color w:val="000000"/>
          <w:kern w:val="44"/>
          <w:sz w:val="44"/>
          <w:szCs w:val="44"/>
        </w:rPr>
      </w:pPr>
      <w:bookmarkStart w:id="37" w:name="_Toc15377204"/>
      <w:r>
        <w:rPr>
          <w:rFonts w:ascii="仿宋_GB2312" w:eastAsia="仿宋_GB2312"/>
          <w:color w:val="000000"/>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38" w:name="_Toc111208498"/>
      <w:bookmarkStart w:id="39" w:name="_Toc21512"/>
      <w:bookmarkStart w:id="40" w:name="_Toc113981012"/>
      <w:bookmarkStart w:id="41" w:name="_Toc13172"/>
      <w:r>
        <w:rPr>
          <w:rFonts w:hint="eastAsia" w:ascii="黑体" w:eastAsia="黑体" w:cs="黑体"/>
        </w:rPr>
        <w:t>第二部分</w:t>
      </w:r>
      <w:r>
        <w:rPr>
          <w:rFonts w:ascii="黑体" w:eastAsia="黑体" w:cs="黑体"/>
        </w:rPr>
        <w:t xml:space="preserve"> </w:t>
      </w:r>
      <w:r>
        <w:rPr>
          <w:rFonts w:hint="eastAsia" w:ascii="黑体" w:eastAsia="黑体" w:cs="黑体"/>
        </w:rPr>
        <w:t>202</w:t>
      </w:r>
      <w:r>
        <w:rPr>
          <w:rFonts w:hint="eastAsia" w:ascii="黑体" w:eastAsia="黑体" w:cs="黑体"/>
          <w:lang w:val="en-US" w:eastAsia="zh-CN"/>
        </w:rPr>
        <w:t>2</w:t>
      </w:r>
      <w:r>
        <w:rPr>
          <w:rFonts w:hint="eastAsia" w:ascii="黑体" w:eastAsia="黑体" w:cs="黑体"/>
        </w:rPr>
        <w:t>年度部门决算情况说明</w:t>
      </w:r>
      <w:bookmarkEnd w:id="37"/>
      <w:bookmarkEnd w:id="38"/>
      <w:bookmarkEnd w:id="39"/>
      <w:bookmarkEnd w:id="40"/>
      <w:bookmarkEnd w:id="41"/>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42" w:name="_Toc15377205"/>
      <w:bookmarkStart w:id="43" w:name="_Toc113981013"/>
      <w:bookmarkStart w:id="44" w:name="_Toc18095"/>
      <w:bookmarkStart w:id="45" w:name="_Toc111208499"/>
      <w:bookmarkStart w:id="46" w:name="_Toc20970"/>
      <w:r>
        <w:rPr>
          <w:rFonts w:hint="eastAsia" w:ascii="黑体" w:eastAsia="黑体" w:cs="Times New Roman"/>
          <w:bCs w:val="0"/>
          <w:color w:val="000000"/>
        </w:rPr>
        <w:t>一、收入支出决算总体情况说</w:t>
      </w:r>
      <w:bookmarkEnd w:id="42"/>
      <w:r>
        <w:rPr>
          <w:rFonts w:hint="eastAsia" w:ascii="黑体" w:eastAsia="黑体" w:cs="Times New Roman"/>
          <w:bCs w:val="0"/>
          <w:color w:val="000000"/>
        </w:rPr>
        <w:t>明</w:t>
      </w:r>
      <w:bookmarkEnd w:id="43"/>
      <w:bookmarkEnd w:id="44"/>
      <w:bookmarkEnd w:id="45"/>
      <w:bookmarkEnd w:id="46"/>
    </w:p>
    <w:p>
      <w:pPr>
        <w:pageBreakBefore w:val="0"/>
        <w:widowControl w:val="0"/>
        <w:kinsoku/>
        <w:wordWrap/>
        <w:topLinePunct w:val="0"/>
        <w:bidi w:val="0"/>
        <w:spacing w:line="576" w:lineRule="exact"/>
        <w:ind w:firstLine="640" w:firstLineChars="200"/>
        <w:textAlignment w:val="auto"/>
        <w:rPr>
          <w:rFonts w:ascii="仿宋_GB2312" w:eastAsia="仿宋_GB2312"/>
          <w:color w:val="00B0F0"/>
          <w:sz w:val="32"/>
          <w:szCs w:val="32"/>
        </w:rPr>
      </w:pPr>
      <w:r>
        <w:rPr>
          <w:rFonts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年度收、支总计</w:t>
      </w:r>
      <w:r>
        <w:rPr>
          <w:rFonts w:hint="eastAsia" w:ascii="仿宋" w:eastAsia="仿宋"/>
          <w:color w:val="000000"/>
          <w:sz w:val="32"/>
          <w:szCs w:val="32"/>
          <w:lang w:val="en-US" w:eastAsia="zh-CN"/>
        </w:rPr>
        <w:t>1251.04</w:t>
      </w:r>
      <w:r>
        <w:rPr>
          <w:rFonts w:hint="eastAsia" w:ascii="仿宋" w:eastAsia="仿宋"/>
          <w:color w:val="000000"/>
          <w:sz w:val="32"/>
          <w:szCs w:val="32"/>
        </w:rPr>
        <w:t>万元。与</w:t>
      </w: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年相比，收、支总计各</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29.61</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2.42</w:t>
      </w:r>
      <w:r>
        <w:rPr>
          <w:rFonts w:hint="eastAsia" w:ascii="仿宋" w:eastAsia="仿宋"/>
          <w:color w:val="000000"/>
          <w:sz w:val="32"/>
          <w:szCs w:val="32"/>
        </w:rPr>
        <w:t xml:space="preserve">%。 </w:t>
      </w:r>
    </w:p>
    <w:p>
      <w:pPr>
        <w:pageBreakBefore w:val="0"/>
        <w:widowControl w:val="0"/>
        <w:kinsoku/>
        <w:wordWrap/>
        <w:topLinePunct w:val="0"/>
        <w:bidi w:val="0"/>
        <w:spacing w:line="576"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rPr>
        <w:t>（图1：收、支决算总计变动情况图）</w:t>
      </w:r>
    </w:p>
    <w:p>
      <w:pPr>
        <w:pStyle w:val="2"/>
        <w:rPr>
          <w:rFonts w:hint="eastAsia" w:eastAsia="宋体"/>
          <w:lang w:eastAsia="zh-CN"/>
        </w:rPr>
      </w:pPr>
      <w:r>
        <w:rPr>
          <w:rFonts w:hint="eastAsia" w:eastAsia="宋体"/>
          <w:lang w:eastAsia="zh-CN"/>
        </w:rPr>
        <w:drawing>
          <wp:inline distT="0" distB="0" distL="114300" distR="114300">
            <wp:extent cx="4688840" cy="3800475"/>
            <wp:effectExtent l="4445" t="4445" r="12065" b="508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47" w:name="_Toc111208500"/>
      <w:bookmarkStart w:id="48" w:name="_Toc113981014"/>
      <w:bookmarkStart w:id="49" w:name="_Toc15377206"/>
      <w:bookmarkStart w:id="50" w:name="_Toc24806"/>
      <w:bookmarkStart w:id="51" w:name="_Toc20405"/>
      <w:r>
        <w:rPr>
          <w:rFonts w:hint="eastAsia" w:ascii="黑体" w:eastAsia="黑体" w:cs="Times New Roman"/>
          <w:bCs w:val="0"/>
          <w:color w:val="000000"/>
        </w:rPr>
        <w:t>二、收入决算情况说明</w:t>
      </w:r>
      <w:bookmarkEnd w:id="47"/>
      <w:bookmarkEnd w:id="48"/>
      <w:bookmarkEnd w:id="49"/>
      <w:bookmarkEnd w:id="50"/>
      <w:bookmarkEnd w:id="51"/>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年本年收入合计12</w:t>
      </w:r>
      <w:r>
        <w:rPr>
          <w:rFonts w:hint="eastAsia" w:ascii="仿宋" w:eastAsia="仿宋"/>
          <w:color w:val="000000"/>
          <w:sz w:val="32"/>
          <w:szCs w:val="32"/>
          <w:lang w:val="en-US" w:eastAsia="zh-CN"/>
        </w:rPr>
        <w:t>51.05</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1251.05</w:t>
      </w:r>
      <w:r>
        <w:rPr>
          <w:rFonts w:hint="eastAsia" w:ascii="仿宋" w:eastAsia="仿宋"/>
          <w:color w:val="000000"/>
          <w:sz w:val="32"/>
          <w:szCs w:val="32"/>
        </w:rPr>
        <w:t>万元，占10</w:t>
      </w:r>
      <w:r>
        <w:rPr>
          <w:rFonts w:hint="eastAsia" w:ascii="仿宋" w:eastAsia="仿宋"/>
          <w:color w:val="000000"/>
          <w:sz w:val="32"/>
          <w:szCs w:val="32"/>
          <w:lang w:eastAsia="zh-CN"/>
        </w:rPr>
        <w:t>0</w:t>
      </w:r>
      <w:r>
        <w:rPr>
          <w:rFonts w:hint="eastAsia" w:ascii="仿宋" w:eastAsia="仿宋"/>
          <w:color w:val="000000"/>
          <w:sz w:val="32"/>
          <w:szCs w:val="32"/>
        </w:rPr>
        <w:t>%；政府性基金预算财政拨款收入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%；国有资本经营预算财政拨款收入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%；上级补助收入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%；事业收入</w:t>
      </w:r>
      <w:r>
        <w:rPr>
          <w:rFonts w:hint="eastAsia" w:ascii="仿宋" w:eastAsia="仿宋"/>
          <w:color w:val="000000"/>
          <w:sz w:val="32"/>
          <w:szCs w:val="32"/>
          <w:lang w:eastAsia="zh-CN"/>
        </w:rPr>
        <w:t>0</w:t>
      </w:r>
      <w:r>
        <w:rPr>
          <w:rFonts w:hint="eastAsia" w:ascii="仿宋" w:eastAsia="仿宋"/>
          <w:color w:val="000000"/>
          <w:sz w:val="32"/>
          <w:szCs w:val="32"/>
        </w:rPr>
        <w:t>万元，占%；经营收入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%；附属单位上缴收入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%；其他收入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（图2：收入决算结构图）</w:t>
      </w:r>
    </w:p>
    <w:p>
      <w:pPr>
        <w:pStyle w:val="14"/>
        <w:pageBreakBefore w:val="0"/>
        <w:widowControl w:val="0"/>
        <w:kinsoku/>
        <w:wordWrap/>
        <w:topLinePunct w:val="0"/>
        <w:bidi w:val="0"/>
        <w:spacing w:line="576" w:lineRule="exact"/>
        <w:jc w:val="center"/>
        <w:textAlignment w:val="auto"/>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195580</wp:posOffset>
            </wp:positionH>
            <wp:positionV relativeFrom="paragraph">
              <wp:posOffset>246380</wp:posOffset>
            </wp:positionV>
            <wp:extent cx="4192905" cy="3101340"/>
            <wp:effectExtent l="4445" t="4445" r="12700" b="18415"/>
            <wp:wrapTight wrapText="bothSides">
              <wp:wrapPolygon>
                <wp:start x="-23" y="-31"/>
                <wp:lineTo x="-23" y="21463"/>
                <wp:lineTo x="21567" y="21463"/>
                <wp:lineTo x="21567" y="-31"/>
                <wp:lineTo x="-23" y="-31"/>
              </wp:wrapPolygon>
            </wp:wrapTight>
            <wp:docPr id="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4"/>
        <w:keepNext/>
        <w:keepLines/>
        <w:pageBreakBefore w:val="0"/>
        <w:widowControl w:val="0"/>
        <w:kinsoku/>
        <w:wordWrap/>
        <w:topLinePunct w:val="0"/>
        <w:bidi w:val="0"/>
        <w:spacing w:line="576" w:lineRule="exact"/>
        <w:ind w:firstLine="643" w:firstLineChars="200"/>
        <w:textAlignment w:val="auto"/>
        <w:rPr>
          <w:rFonts w:hint="eastAsia" w:ascii="黑体" w:eastAsia="黑体" w:cs="Times New Roman"/>
          <w:bCs w:val="0"/>
          <w:color w:val="000000"/>
        </w:rPr>
      </w:pPr>
      <w:bookmarkStart w:id="52" w:name="_Toc15377207"/>
      <w:bookmarkStart w:id="53" w:name="_Toc113981015"/>
      <w:bookmarkStart w:id="54" w:name="_Toc111208501"/>
      <w:bookmarkStart w:id="55" w:name="_Toc11505"/>
    </w:p>
    <w:p>
      <w:pPr>
        <w:pStyle w:val="4"/>
        <w:keepNext/>
        <w:keepLines/>
        <w:pageBreakBefore w:val="0"/>
        <w:widowControl w:val="0"/>
        <w:kinsoku/>
        <w:wordWrap/>
        <w:topLinePunct w:val="0"/>
        <w:bidi w:val="0"/>
        <w:spacing w:line="576" w:lineRule="exact"/>
        <w:ind w:firstLine="643" w:firstLineChars="200"/>
        <w:textAlignment w:val="auto"/>
        <w:rPr>
          <w:rFonts w:hint="eastAsia" w:ascii="黑体" w:eastAsia="黑体" w:cs="Times New Roman"/>
          <w:bCs w:val="0"/>
          <w:color w:val="000000"/>
        </w:rPr>
      </w:pPr>
    </w:p>
    <w:p>
      <w:pPr>
        <w:pStyle w:val="4"/>
        <w:keepNext/>
        <w:keepLines/>
        <w:pageBreakBefore w:val="0"/>
        <w:widowControl w:val="0"/>
        <w:kinsoku/>
        <w:wordWrap/>
        <w:topLinePunct w:val="0"/>
        <w:bidi w:val="0"/>
        <w:spacing w:line="576" w:lineRule="exact"/>
        <w:ind w:firstLine="643" w:firstLineChars="200"/>
        <w:textAlignment w:val="auto"/>
        <w:rPr>
          <w:rFonts w:hint="eastAsia" w:ascii="黑体" w:eastAsia="黑体" w:cs="Times New Roman"/>
          <w:bCs w:val="0"/>
          <w:color w:val="000000"/>
        </w:rPr>
      </w:pPr>
    </w:p>
    <w:p>
      <w:pPr>
        <w:pStyle w:val="4"/>
        <w:keepNext/>
        <w:keepLines/>
        <w:pageBreakBefore w:val="0"/>
        <w:widowControl w:val="0"/>
        <w:kinsoku/>
        <w:wordWrap/>
        <w:topLinePunct w:val="0"/>
        <w:bidi w:val="0"/>
        <w:spacing w:line="576" w:lineRule="exact"/>
        <w:ind w:firstLine="643" w:firstLineChars="200"/>
        <w:textAlignment w:val="auto"/>
        <w:rPr>
          <w:rFonts w:hint="eastAsia" w:ascii="黑体" w:eastAsia="黑体" w:cs="Times New Roman"/>
          <w:bCs w:val="0"/>
          <w:color w:val="000000"/>
        </w:rPr>
      </w:pP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56" w:name="_Toc2045"/>
      <w:r>
        <w:rPr>
          <w:rFonts w:hint="eastAsia" w:ascii="黑体" w:eastAsia="黑体" w:cs="Times New Roman"/>
          <w:bCs w:val="0"/>
          <w:color w:val="000000"/>
        </w:rPr>
        <w:t>三、支出决算情况说明</w:t>
      </w:r>
      <w:bookmarkEnd w:id="52"/>
      <w:bookmarkEnd w:id="53"/>
      <w:bookmarkEnd w:id="54"/>
      <w:bookmarkEnd w:id="55"/>
      <w:bookmarkEnd w:id="56"/>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ascii="仿宋" w:eastAsia="仿宋"/>
          <w:color w:val="000000"/>
          <w:sz w:val="32"/>
          <w:szCs w:val="32"/>
        </w:rPr>
        <w:t>年本年支出合计</w:t>
      </w:r>
      <w:r>
        <w:rPr>
          <w:rFonts w:hint="eastAsia" w:ascii="仿宋" w:eastAsia="仿宋"/>
          <w:color w:val="000000"/>
          <w:sz w:val="32"/>
          <w:szCs w:val="32"/>
        </w:rPr>
        <w:t>12</w:t>
      </w:r>
      <w:r>
        <w:rPr>
          <w:rFonts w:hint="eastAsia" w:ascii="仿宋" w:eastAsia="仿宋"/>
          <w:color w:val="000000"/>
          <w:sz w:val="32"/>
          <w:szCs w:val="32"/>
          <w:lang w:val="en-US" w:eastAsia="zh-CN"/>
        </w:rPr>
        <w:t>51.05</w:t>
      </w:r>
      <w:r>
        <w:rPr>
          <w:rFonts w:ascii="仿宋" w:eastAsia="仿宋"/>
          <w:color w:val="000000"/>
          <w:sz w:val="32"/>
          <w:szCs w:val="32"/>
        </w:rPr>
        <w:t>万元，其中：基本支出</w:t>
      </w:r>
      <w:r>
        <w:rPr>
          <w:rFonts w:hint="eastAsia" w:ascii="仿宋" w:eastAsia="仿宋"/>
          <w:color w:val="000000"/>
          <w:sz w:val="32"/>
          <w:szCs w:val="32"/>
          <w:lang w:val="en-US" w:eastAsia="zh-CN"/>
        </w:rPr>
        <w:t>1235.69</w:t>
      </w:r>
      <w:r>
        <w:rPr>
          <w:rFonts w:ascii="仿宋" w:eastAsia="仿宋"/>
          <w:color w:val="000000"/>
          <w:sz w:val="32"/>
          <w:szCs w:val="32"/>
        </w:rPr>
        <w:t>万元，占</w:t>
      </w:r>
      <w:r>
        <w:rPr>
          <w:rFonts w:hint="eastAsia" w:ascii="仿宋" w:eastAsia="仿宋"/>
          <w:color w:val="000000"/>
          <w:sz w:val="32"/>
          <w:szCs w:val="32"/>
          <w:lang w:val="en-US" w:eastAsia="zh-CN"/>
        </w:rPr>
        <w:t>98.77</w:t>
      </w:r>
      <w:r>
        <w:rPr>
          <w:rFonts w:ascii="仿宋" w:eastAsia="仿宋"/>
          <w:color w:val="000000"/>
          <w:sz w:val="32"/>
          <w:szCs w:val="32"/>
        </w:rPr>
        <w:t>%；项目支出</w:t>
      </w:r>
      <w:r>
        <w:rPr>
          <w:rFonts w:hint="eastAsia" w:ascii="仿宋" w:eastAsia="仿宋"/>
          <w:color w:val="000000"/>
          <w:sz w:val="32"/>
          <w:szCs w:val="32"/>
          <w:lang w:val="en-US" w:eastAsia="zh-CN"/>
        </w:rPr>
        <w:t>15.36</w:t>
      </w:r>
      <w:r>
        <w:rPr>
          <w:rFonts w:ascii="仿宋" w:eastAsia="仿宋"/>
          <w:color w:val="000000"/>
          <w:sz w:val="32"/>
          <w:szCs w:val="32"/>
        </w:rPr>
        <w:t>万元，占</w:t>
      </w:r>
      <w:r>
        <w:rPr>
          <w:rFonts w:hint="eastAsia" w:ascii="仿宋" w:eastAsia="仿宋"/>
          <w:color w:val="000000"/>
          <w:sz w:val="32"/>
          <w:szCs w:val="32"/>
          <w:lang w:val="en-US" w:eastAsia="zh-CN"/>
        </w:rPr>
        <w:t>1.23</w:t>
      </w:r>
      <w:r>
        <w:rPr>
          <w:rFonts w:ascii="仿宋" w:eastAsia="仿宋"/>
          <w:color w:val="000000"/>
          <w:sz w:val="32"/>
          <w:szCs w:val="32"/>
        </w:rPr>
        <w:t>%；上缴上级支出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%；经营支出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%；对附属单位补助支出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（图3：支出决算结构图）</w:t>
      </w:r>
    </w:p>
    <w:p>
      <w:pPr>
        <w:pageBreakBefore w:val="0"/>
        <w:widowControl w:val="0"/>
        <w:kinsoku/>
        <w:wordWrap/>
        <w:topLinePunct w:val="0"/>
        <w:bidi w:val="0"/>
        <w:spacing w:line="576" w:lineRule="exact"/>
        <w:jc w:val="center"/>
        <w:textAlignment w:val="auto"/>
        <w:rPr>
          <w:rFonts w:hint="eastAsia" w:ascii="仿宋_GB2312" w:eastAsia="仿宋_GB2312"/>
          <w:color w:val="FF0000"/>
          <w:sz w:val="32"/>
          <w:szCs w:val="32"/>
          <w:lang w:eastAsia="zh-CN"/>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617855</wp:posOffset>
            </wp:positionH>
            <wp:positionV relativeFrom="paragraph">
              <wp:posOffset>160020</wp:posOffset>
            </wp:positionV>
            <wp:extent cx="4126230" cy="2839720"/>
            <wp:effectExtent l="4445" t="4445" r="22225" b="13335"/>
            <wp:wrapTight wrapText="bothSides">
              <wp:wrapPolygon>
                <wp:start x="-23" y="-34"/>
                <wp:lineTo x="-23" y="21557"/>
                <wp:lineTo x="21517" y="21557"/>
                <wp:lineTo x="21517" y="-34"/>
                <wp:lineTo x="-23" y="-34"/>
              </wp:wrapPolygon>
            </wp:wrapTight>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pageBreakBefore w:val="0"/>
        <w:widowControl w:val="0"/>
        <w:kinsoku/>
        <w:wordWrap/>
        <w:topLinePunct w:val="0"/>
        <w:bidi w:val="0"/>
        <w:spacing w:line="576" w:lineRule="exact"/>
        <w:textAlignment w:val="auto"/>
      </w:pPr>
    </w:p>
    <w:p>
      <w:pPr>
        <w:pStyle w:val="4"/>
        <w:keepNext/>
        <w:keepLines/>
        <w:pageBreakBefore w:val="0"/>
        <w:widowControl w:val="0"/>
        <w:kinsoku/>
        <w:wordWrap/>
        <w:topLinePunct w:val="0"/>
        <w:bidi w:val="0"/>
        <w:spacing w:line="576" w:lineRule="exact"/>
        <w:ind w:firstLine="643" w:firstLineChars="200"/>
        <w:textAlignment w:val="auto"/>
        <w:rPr>
          <w:rFonts w:hint="eastAsia" w:ascii="黑体" w:eastAsia="黑体" w:cs="Times New Roman"/>
          <w:bCs w:val="0"/>
          <w:color w:val="000000"/>
        </w:rPr>
      </w:pPr>
      <w:bookmarkStart w:id="57" w:name="_Toc15377208"/>
      <w:bookmarkStart w:id="58" w:name="_Toc111208502"/>
      <w:bookmarkStart w:id="59" w:name="_Toc113981016"/>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60" w:name="_Toc25901"/>
      <w:bookmarkStart w:id="61" w:name="_Toc21149"/>
      <w:r>
        <w:rPr>
          <w:rFonts w:hint="eastAsia" w:ascii="黑体" w:eastAsia="黑体" w:cs="Times New Roman"/>
          <w:bCs w:val="0"/>
          <w:color w:val="000000"/>
        </w:rPr>
        <w:t>四、财政拨款收入支出决算总体情况说明</w:t>
      </w:r>
      <w:bookmarkEnd w:id="57"/>
      <w:bookmarkEnd w:id="58"/>
      <w:bookmarkEnd w:id="59"/>
      <w:bookmarkEnd w:id="60"/>
      <w:bookmarkEnd w:id="61"/>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1251.05</w:t>
      </w:r>
      <w:r>
        <w:rPr>
          <w:rFonts w:hint="eastAsia" w:ascii="仿宋" w:eastAsia="仿宋"/>
          <w:color w:val="000000"/>
          <w:sz w:val="32"/>
          <w:szCs w:val="32"/>
        </w:rPr>
        <w:t>万元。与202</w:t>
      </w:r>
      <w:r>
        <w:rPr>
          <w:rFonts w:hint="eastAsia" w:ascii="仿宋" w:eastAsia="仿宋"/>
          <w:color w:val="000000"/>
          <w:sz w:val="32"/>
          <w:szCs w:val="32"/>
          <w:lang w:val="en-US" w:eastAsia="zh-CN"/>
        </w:rPr>
        <w:t>1</w:t>
      </w:r>
      <w:r>
        <w:rPr>
          <w:rFonts w:hint="eastAsia" w:ascii="仿宋" w:eastAsia="仿宋"/>
          <w:color w:val="000000"/>
          <w:sz w:val="32"/>
          <w:szCs w:val="32"/>
        </w:rPr>
        <w:t>年相比，财政拨款收、支总计各</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29.61</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2.42</w:t>
      </w:r>
      <w:r>
        <w:rPr>
          <w:rFonts w:hint="eastAsia" w:ascii="仿宋" w:eastAsia="仿宋"/>
          <w:color w:val="000000"/>
          <w:sz w:val="32"/>
          <w:szCs w:val="32"/>
        </w:rPr>
        <w:t xml:space="preserve"> %。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pageBreakBefore w:val="0"/>
        <w:widowControl w:val="0"/>
        <w:kinsoku/>
        <w:wordWrap/>
        <w:topLinePunct w:val="0"/>
        <w:bidi w:val="0"/>
        <w:spacing w:line="576" w:lineRule="exact"/>
        <w:ind w:firstLine="0"/>
        <w:textAlignment w:val="auto"/>
      </w:pPr>
      <w:r>
        <w:rPr>
          <w:rFonts w:hint="eastAsia" w:eastAsia="宋体"/>
          <w:lang w:eastAsia="zh-CN"/>
        </w:rPr>
        <w:drawing>
          <wp:anchor distT="0" distB="0" distL="114300" distR="114300" simplePos="0" relativeHeight="251659264" behindDoc="0" locked="0" layoutInCell="1" allowOverlap="1">
            <wp:simplePos x="0" y="0"/>
            <wp:positionH relativeFrom="column">
              <wp:posOffset>425450</wp:posOffset>
            </wp:positionH>
            <wp:positionV relativeFrom="paragraph">
              <wp:posOffset>188595</wp:posOffset>
            </wp:positionV>
            <wp:extent cx="5080000" cy="3810000"/>
            <wp:effectExtent l="0" t="0" r="0" b="0"/>
            <wp:wrapTight wrapText="bothSides">
              <wp:wrapPolygon>
                <wp:start x="-27" y="-25"/>
                <wp:lineTo x="-27" y="21574"/>
                <wp:lineTo x="21599" y="21574"/>
                <wp:lineTo x="21599" y="-25"/>
                <wp:lineTo x="-27" y="-25"/>
              </wp:wrapPolygon>
            </wp:wrapTight>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pageBreakBefore w:val="0"/>
        <w:widowControl w:val="0"/>
        <w:kinsoku/>
        <w:wordWrap/>
        <w:topLinePunct w:val="0"/>
        <w:bidi w:val="0"/>
        <w:spacing w:line="576" w:lineRule="exact"/>
        <w:jc w:val="left"/>
        <w:textAlignment w:val="auto"/>
        <w:rPr>
          <w:rFonts w:hint="eastAsia" w:eastAsia="宋体"/>
          <w:lang w:eastAsia="zh-CN"/>
        </w:rPr>
      </w:pPr>
    </w:p>
    <w:p>
      <w:pPr>
        <w:pStyle w:val="2"/>
        <w:pageBreakBefore w:val="0"/>
        <w:widowControl w:val="0"/>
        <w:kinsoku/>
        <w:wordWrap/>
        <w:topLinePunct w:val="0"/>
        <w:bidi w:val="0"/>
        <w:spacing w:line="576" w:lineRule="exact"/>
        <w:jc w:val="center"/>
        <w:textAlignment w:val="auto"/>
      </w:pP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62" w:name="_Toc15377209"/>
      <w:bookmarkStart w:id="63" w:name="_Toc113981017"/>
      <w:bookmarkStart w:id="64" w:name="_Toc111208503"/>
      <w:bookmarkStart w:id="65" w:name="_Toc25102"/>
      <w:bookmarkStart w:id="66" w:name="_Toc16129"/>
      <w:r>
        <w:rPr>
          <w:rFonts w:hint="eastAsia" w:ascii="黑体" w:eastAsia="黑体" w:cs="Times New Roman"/>
          <w:bCs w:val="0"/>
          <w:color w:val="000000"/>
        </w:rPr>
        <w:t>五、一般公共预算财政拨款支出决算情况说</w:t>
      </w:r>
      <w:bookmarkEnd w:id="62"/>
      <w:r>
        <w:rPr>
          <w:rFonts w:hint="eastAsia" w:ascii="黑体" w:eastAsia="黑体" w:cs="Times New Roman"/>
          <w:bCs w:val="0"/>
          <w:color w:val="000000"/>
        </w:rPr>
        <w:t>明</w:t>
      </w:r>
      <w:bookmarkEnd w:id="63"/>
      <w:bookmarkEnd w:id="64"/>
      <w:bookmarkEnd w:id="65"/>
      <w:bookmarkEnd w:id="66"/>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67" w:name="_Toc19105"/>
      <w:bookmarkStart w:id="68" w:name="_Toc15377210"/>
      <w:bookmarkStart w:id="69" w:name="_Toc24830"/>
      <w:r>
        <w:rPr>
          <w:rFonts w:hint="eastAsia" w:ascii="仿宋" w:eastAsia="仿宋"/>
          <w:b/>
          <w:color w:val="000000"/>
          <w:sz w:val="32"/>
          <w:szCs w:val="32"/>
        </w:rPr>
        <w:t>（一）一般公共预算财政拨款支出决算总体情况</w:t>
      </w:r>
      <w:bookmarkEnd w:id="67"/>
      <w:bookmarkEnd w:id="68"/>
      <w:bookmarkEnd w:id="69"/>
    </w:p>
    <w:p>
      <w:pPr>
        <w:pageBreakBefore w:val="0"/>
        <w:widowControl w:val="0"/>
        <w:kinsoku/>
        <w:wordWrap/>
        <w:topLinePunct w:val="0"/>
        <w:bidi w:val="0"/>
        <w:spacing w:line="576" w:lineRule="exact"/>
        <w:ind w:firstLine="640" w:firstLineChars="200"/>
        <w:textAlignment w:val="auto"/>
        <w:rPr>
          <w:rFonts w:ascii="仿宋_GB2312" w:eastAsia="仿宋_GB2312"/>
          <w:color w:val="000000"/>
          <w:sz w:val="32"/>
          <w:szCs w:val="32"/>
          <w:highlight w:val="none"/>
        </w:rPr>
      </w:pPr>
      <w:bookmarkStart w:id="70" w:name="_Toc15377211"/>
      <w:r>
        <w:rPr>
          <w:rFonts w:hint="eastAsia" w:ascii="仿宋" w:eastAsia="仿宋"/>
          <w:color w:val="000000"/>
          <w:sz w:val="32"/>
          <w:szCs w:val="32"/>
          <w:highlight w:val="none"/>
        </w:rPr>
        <w:t>202</w:t>
      </w:r>
      <w:r>
        <w:rPr>
          <w:rFonts w:hint="eastAsia" w:ascii="仿宋" w:eastAsia="仿宋"/>
          <w:color w:val="000000"/>
          <w:sz w:val="32"/>
          <w:szCs w:val="32"/>
          <w:highlight w:val="none"/>
          <w:lang w:val="en-US" w:eastAsia="zh-CN"/>
        </w:rPr>
        <w:t>2</w:t>
      </w:r>
      <w:r>
        <w:rPr>
          <w:rFonts w:hint="eastAsia" w:ascii="仿宋" w:eastAsia="仿宋"/>
          <w:color w:val="000000"/>
          <w:sz w:val="32"/>
          <w:szCs w:val="32"/>
          <w:highlight w:val="none"/>
        </w:rPr>
        <w:t>年一般公共预算财政拨款支出</w:t>
      </w:r>
      <w:r>
        <w:rPr>
          <w:rFonts w:hint="eastAsia" w:ascii="仿宋" w:eastAsia="仿宋"/>
          <w:color w:val="000000"/>
          <w:sz w:val="32"/>
          <w:szCs w:val="32"/>
          <w:highlight w:val="none"/>
          <w:lang w:val="en-US" w:eastAsia="zh-CN"/>
        </w:rPr>
        <w:t>1251.05</w:t>
      </w:r>
      <w:r>
        <w:rPr>
          <w:rFonts w:hint="eastAsia" w:ascii="仿宋" w:eastAsia="仿宋"/>
          <w:color w:val="000000"/>
          <w:sz w:val="32"/>
          <w:szCs w:val="32"/>
          <w:highlight w:val="none"/>
        </w:rPr>
        <w:t>万元，占本年支出合计的10</w:t>
      </w:r>
      <w:r>
        <w:rPr>
          <w:rFonts w:hint="eastAsia" w:ascii="仿宋" w:eastAsia="仿宋"/>
          <w:color w:val="000000"/>
          <w:sz w:val="32"/>
          <w:szCs w:val="32"/>
          <w:highlight w:val="none"/>
          <w:lang w:eastAsia="zh-CN"/>
        </w:rPr>
        <w:t>0</w:t>
      </w:r>
      <w:r>
        <w:rPr>
          <w:rFonts w:hint="eastAsia" w:ascii="仿宋" w:eastAsia="仿宋"/>
          <w:color w:val="000000"/>
          <w:sz w:val="32"/>
          <w:szCs w:val="32"/>
          <w:highlight w:val="none"/>
        </w:rPr>
        <w:t>%。与202</w:t>
      </w:r>
      <w:r>
        <w:rPr>
          <w:rFonts w:hint="eastAsia" w:ascii="仿宋" w:eastAsia="仿宋"/>
          <w:color w:val="000000"/>
          <w:sz w:val="32"/>
          <w:szCs w:val="32"/>
          <w:highlight w:val="none"/>
          <w:lang w:val="en-US" w:eastAsia="zh-CN"/>
        </w:rPr>
        <w:t>1</w:t>
      </w:r>
      <w:r>
        <w:rPr>
          <w:rFonts w:hint="eastAsia" w:ascii="仿宋" w:eastAsia="仿宋"/>
          <w:color w:val="000000"/>
          <w:sz w:val="32"/>
          <w:szCs w:val="32"/>
          <w:highlight w:val="none"/>
        </w:rPr>
        <w:t>相比，一般公共预算财政拨款</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29.61</w:t>
      </w:r>
      <w:r>
        <w:rPr>
          <w:rFonts w:hint="eastAsia" w:ascii="仿宋" w:eastAsia="仿宋"/>
          <w:color w:val="000000"/>
          <w:sz w:val="32"/>
          <w:szCs w:val="32"/>
          <w:highlight w:val="none"/>
        </w:rPr>
        <w:t>万元，</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2.42</w:t>
      </w:r>
      <w:r>
        <w:rPr>
          <w:rFonts w:hint="eastAsia" w:ascii="仿宋" w:eastAsia="仿宋"/>
          <w:color w:val="000000"/>
          <w:sz w:val="32"/>
          <w:szCs w:val="32"/>
          <w:highlight w:val="none"/>
        </w:rPr>
        <w:t xml:space="preserve"> %。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highlight w:val="none"/>
        </w:rPr>
        <w:t>（图5：一般公共预算财政拨款支出决算变动情</w:t>
      </w:r>
      <w:r>
        <w:rPr>
          <w:rFonts w:hint="eastAsia" w:ascii="仿宋" w:eastAsia="仿宋"/>
          <w:color w:val="000000"/>
          <w:sz w:val="32"/>
          <w:szCs w:val="32"/>
        </w:rPr>
        <w:t>况）</w:t>
      </w:r>
    </w:p>
    <w:p>
      <w:pPr>
        <w:pStyle w:val="2"/>
        <w:pageBreakBefore w:val="0"/>
        <w:widowControl w:val="0"/>
        <w:kinsoku/>
        <w:wordWrap/>
        <w:topLinePunct w:val="0"/>
        <w:bidi w:val="0"/>
        <w:spacing w:line="576" w:lineRule="exact"/>
        <w:ind w:firstLine="0"/>
        <w:textAlignment w:val="auto"/>
        <w:rPr>
          <w:rFonts w:hint="eastAsia" w:ascii="仿宋_GB2312" w:eastAsia="仿宋_GB2312"/>
          <w:b/>
          <w:color w:val="000000"/>
          <w:sz w:val="32"/>
          <w:szCs w:val="32"/>
          <w:lang w:eastAsia="zh-CN"/>
        </w:rPr>
      </w:pPr>
      <w:r>
        <w:rPr>
          <w:rFonts w:hint="eastAsia" w:ascii="仿宋_GB2312" w:eastAsia="仿宋_GB2312"/>
          <w:b/>
          <w:color w:val="000000"/>
          <w:sz w:val="32"/>
          <w:szCs w:val="32"/>
          <w:lang w:eastAsia="zh-CN"/>
        </w:rPr>
        <w:drawing>
          <wp:anchor distT="0" distB="0" distL="114300" distR="114300" simplePos="0" relativeHeight="251659264" behindDoc="0" locked="0" layoutInCell="1" allowOverlap="1">
            <wp:simplePos x="0" y="0"/>
            <wp:positionH relativeFrom="column">
              <wp:posOffset>322580</wp:posOffset>
            </wp:positionH>
            <wp:positionV relativeFrom="paragraph">
              <wp:posOffset>247650</wp:posOffset>
            </wp:positionV>
            <wp:extent cx="4911090" cy="3577590"/>
            <wp:effectExtent l="0" t="0" r="0" b="0"/>
            <wp:wrapTight wrapText="bothSides">
              <wp:wrapPolygon>
                <wp:start x="-36" y="-46"/>
                <wp:lineTo x="-36" y="21576"/>
                <wp:lineTo x="21580" y="21576"/>
                <wp:lineTo x="21580" y="-46"/>
                <wp:lineTo x="-36" y="-46"/>
              </wp:wrapPolygon>
            </wp:wrapTight>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p>
    <w:p>
      <w:pPr>
        <w:pStyle w:val="2"/>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71" w:name="_Toc17268"/>
      <w:bookmarkStart w:id="72" w:name="_Toc8636"/>
      <w:r>
        <w:rPr>
          <w:rFonts w:hint="eastAsia" w:ascii="仿宋" w:eastAsia="仿宋"/>
          <w:b/>
          <w:color w:val="000000"/>
          <w:sz w:val="32"/>
          <w:szCs w:val="32"/>
        </w:rPr>
        <w:t>（二）一般公共预算财政拨款支出决算结构情况</w:t>
      </w:r>
      <w:bookmarkEnd w:id="70"/>
      <w:r>
        <w:rPr>
          <w:rFonts w:hint="eastAsia" w:ascii="仿宋" w:eastAsia="仿宋"/>
          <w:b/>
          <w:color w:val="000000"/>
          <w:sz w:val="32"/>
          <w:szCs w:val="32"/>
        </w:rPr>
        <w:t>（一般公共预算收支表）</w:t>
      </w:r>
      <w:bookmarkEnd w:id="71"/>
      <w:bookmarkEnd w:id="72"/>
    </w:p>
    <w:p>
      <w:pPr>
        <w:pageBreakBefore w:val="0"/>
        <w:widowControl w:val="0"/>
        <w:kinsoku/>
        <w:wordWrap/>
        <w:topLinePunct w:val="0"/>
        <w:bidi w:val="0"/>
        <w:spacing w:line="576" w:lineRule="exact"/>
        <w:ind w:firstLine="640" w:firstLineChars="200"/>
        <w:textAlignment w:val="auto"/>
        <w:rPr>
          <w:rFonts w:ascii="仿宋_GB2312" w:eastAsia="仿宋_GB2312"/>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1251.05</w:t>
      </w:r>
      <w:r>
        <w:rPr>
          <w:rFonts w:hint="eastAsia" w:ascii="仿宋" w:eastAsia="仿宋"/>
          <w:color w:val="000000"/>
          <w:sz w:val="32"/>
          <w:szCs w:val="32"/>
        </w:rPr>
        <w:t>万元，主要用于以下方面:一般公共服务支出</w:t>
      </w:r>
      <w:r>
        <w:rPr>
          <w:rFonts w:hint="eastAsia" w:ascii="仿宋" w:eastAsia="仿宋"/>
          <w:color w:val="000000"/>
          <w:sz w:val="32"/>
          <w:szCs w:val="32"/>
          <w:lang w:val="en-US" w:eastAsia="zh-CN"/>
        </w:rPr>
        <w:t>1019.20</w:t>
      </w:r>
      <w:r>
        <w:rPr>
          <w:rFonts w:hint="eastAsia" w:ascii="仿宋" w:eastAsia="仿宋"/>
          <w:color w:val="000000"/>
          <w:sz w:val="32"/>
          <w:szCs w:val="32"/>
        </w:rPr>
        <w:t>万元，占</w:t>
      </w:r>
      <w:r>
        <w:rPr>
          <w:rFonts w:hint="eastAsia" w:ascii="仿宋" w:eastAsia="仿宋"/>
          <w:color w:val="000000"/>
          <w:sz w:val="32"/>
          <w:szCs w:val="32"/>
          <w:lang w:val="en-US" w:eastAsia="zh-CN"/>
        </w:rPr>
        <w:t>81.47</w:t>
      </w:r>
      <w:r>
        <w:rPr>
          <w:rFonts w:hint="eastAsia" w:ascii="仿宋" w:eastAsia="仿宋"/>
          <w:color w:val="000000"/>
          <w:sz w:val="32"/>
          <w:szCs w:val="32"/>
        </w:rPr>
        <w:t>%；社会保障和就业支出</w:t>
      </w:r>
      <w:r>
        <w:rPr>
          <w:rFonts w:hint="eastAsia" w:ascii="仿宋" w:eastAsia="仿宋"/>
          <w:color w:val="000000"/>
          <w:sz w:val="32"/>
          <w:szCs w:val="32"/>
          <w:lang w:val="en-US" w:eastAsia="zh-CN"/>
        </w:rPr>
        <w:t>117.28</w:t>
      </w:r>
      <w:r>
        <w:rPr>
          <w:rFonts w:hint="eastAsia" w:ascii="仿宋" w:eastAsia="仿宋"/>
          <w:color w:val="000000"/>
          <w:sz w:val="32"/>
          <w:szCs w:val="32"/>
        </w:rPr>
        <w:t>万元，占</w:t>
      </w:r>
      <w:r>
        <w:rPr>
          <w:rFonts w:hint="eastAsia" w:ascii="仿宋" w:eastAsia="仿宋"/>
          <w:color w:val="000000"/>
          <w:sz w:val="32"/>
          <w:szCs w:val="32"/>
          <w:lang w:val="en-US" w:eastAsia="zh-CN"/>
        </w:rPr>
        <w:t>9.37</w:t>
      </w:r>
      <w:r>
        <w:rPr>
          <w:rFonts w:hint="eastAsia" w:ascii="仿宋" w:eastAsia="仿宋"/>
          <w:color w:val="000000"/>
          <w:sz w:val="32"/>
          <w:szCs w:val="32"/>
        </w:rPr>
        <w:t>%；卫生健康支出</w:t>
      </w:r>
      <w:r>
        <w:rPr>
          <w:rFonts w:hint="eastAsia" w:ascii="仿宋" w:eastAsia="仿宋"/>
          <w:color w:val="000000"/>
          <w:sz w:val="32"/>
          <w:szCs w:val="32"/>
          <w:lang w:val="en-US" w:eastAsia="zh-CN"/>
        </w:rPr>
        <w:t>47.98</w:t>
      </w:r>
      <w:r>
        <w:rPr>
          <w:rFonts w:hint="eastAsia" w:ascii="仿宋" w:eastAsia="仿宋"/>
          <w:color w:val="000000"/>
          <w:sz w:val="32"/>
          <w:szCs w:val="32"/>
        </w:rPr>
        <w:t>万元，占</w:t>
      </w:r>
      <w:r>
        <w:rPr>
          <w:rFonts w:hint="eastAsia" w:ascii="仿宋" w:eastAsia="仿宋"/>
          <w:color w:val="000000"/>
          <w:sz w:val="32"/>
          <w:szCs w:val="32"/>
          <w:lang w:val="en-US" w:eastAsia="zh-CN"/>
        </w:rPr>
        <w:t>3.84</w:t>
      </w:r>
      <w:r>
        <w:rPr>
          <w:rFonts w:hint="eastAsia" w:ascii="仿宋" w:eastAsia="仿宋"/>
          <w:color w:val="000000"/>
          <w:sz w:val="32"/>
          <w:szCs w:val="32"/>
        </w:rPr>
        <w:t>%；农林水支出0.36万元，占0.03%；住房保障支出</w:t>
      </w:r>
      <w:r>
        <w:rPr>
          <w:rFonts w:hint="eastAsia" w:ascii="仿宋" w:eastAsia="仿宋"/>
          <w:color w:val="000000"/>
          <w:sz w:val="32"/>
          <w:szCs w:val="32"/>
          <w:lang w:val="en-US" w:eastAsia="zh-CN"/>
        </w:rPr>
        <w:t>66.23</w:t>
      </w:r>
      <w:r>
        <w:rPr>
          <w:rFonts w:hint="eastAsia" w:ascii="仿宋" w:eastAsia="仿宋"/>
          <w:color w:val="000000"/>
          <w:sz w:val="32"/>
          <w:szCs w:val="32"/>
        </w:rPr>
        <w:t>万元，占5.08%。</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（图6：一般公共预算财政拨款支出决算结构）</w:t>
      </w:r>
      <w:bookmarkStart w:id="73" w:name="_Toc15377212"/>
    </w:p>
    <w:p>
      <w:pPr>
        <w:pStyle w:val="2"/>
        <w:pageBreakBefore w:val="0"/>
        <w:widowControl w:val="0"/>
        <w:kinsoku/>
        <w:wordWrap/>
        <w:topLinePunct w:val="0"/>
        <w:bidi w:val="0"/>
        <w:spacing w:line="576" w:lineRule="exact"/>
        <w:textAlignment w:val="auto"/>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224155</wp:posOffset>
            </wp:positionH>
            <wp:positionV relativeFrom="paragraph">
              <wp:posOffset>120650</wp:posOffset>
            </wp:positionV>
            <wp:extent cx="5080000" cy="3810000"/>
            <wp:effectExtent l="0" t="0" r="0" b="0"/>
            <wp:wrapTight wrapText="bothSides">
              <wp:wrapPolygon>
                <wp:start x="-21" y="-29"/>
                <wp:lineTo x="-21" y="21570"/>
                <wp:lineTo x="21564" y="21570"/>
                <wp:lineTo x="21564" y="-29"/>
                <wp:lineTo x="-21" y="-29"/>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74" w:name="_Toc4294"/>
      <w:bookmarkStart w:id="75" w:name="_Toc5844"/>
      <w:r>
        <w:rPr>
          <w:rFonts w:hint="eastAsia" w:ascii="仿宋" w:eastAsia="仿宋"/>
          <w:b/>
          <w:color w:val="000000"/>
          <w:sz w:val="32"/>
          <w:szCs w:val="32"/>
        </w:rPr>
        <w:t>（三）一般公共预算财政拨款支出决算具体情况</w:t>
      </w:r>
      <w:bookmarkEnd w:id="73"/>
      <w:bookmarkEnd w:id="74"/>
      <w:bookmarkEnd w:id="75"/>
    </w:p>
    <w:p>
      <w:pPr>
        <w:pageBreakBefore w:val="0"/>
        <w:widowControl w:val="0"/>
        <w:kinsoku/>
        <w:wordWrap/>
        <w:topLinePunct w:val="0"/>
        <w:bidi w:val="0"/>
        <w:spacing w:line="576" w:lineRule="exact"/>
        <w:ind w:firstLine="640"/>
        <w:textAlignment w:val="auto"/>
        <w:rPr>
          <w:rFonts w:ascii="仿宋" w:eastAsia="仿宋"/>
          <w:color w:val="000000"/>
          <w:sz w:val="32"/>
          <w:szCs w:val="32"/>
        </w:rPr>
      </w:pPr>
      <w:bookmarkStart w:id="76" w:name="_Toc15378460"/>
      <w:bookmarkStart w:id="77" w:name="_Toc15377213"/>
      <w:bookmarkStart w:id="78" w:name="_Toc15377444"/>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年一般公共预算支出决算数为</w:t>
      </w:r>
      <w:r>
        <w:rPr>
          <w:rFonts w:hint="eastAsia" w:ascii="仿宋" w:eastAsia="仿宋"/>
          <w:color w:val="000000"/>
          <w:sz w:val="32"/>
          <w:szCs w:val="32"/>
          <w:lang w:val="en-US" w:eastAsia="zh-CN"/>
        </w:rPr>
        <w:t>1251.05</w:t>
      </w:r>
      <w:r>
        <w:rPr>
          <w:rFonts w:hint="eastAsia" w:ascii="仿宋" w:eastAsia="仿宋"/>
          <w:color w:val="000000"/>
          <w:sz w:val="32"/>
          <w:szCs w:val="32"/>
        </w:rPr>
        <w:t>万</w:t>
      </w:r>
      <w:r>
        <w:rPr>
          <w:rFonts w:hint="eastAsia" w:ascii="仿宋" w:eastAsia="仿宋"/>
          <w:color w:val="000000"/>
          <w:sz w:val="32"/>
          <w:szCs w:val="32"/>
          <w:lang w:eastAsia="zh-CN"/>
        </w:rPr>
        <w:t>元</w:t>
      </w:r>
      <w:r>
        <w:rPr>
          <w:rFonts w:hint="eastAsia" w:ascii="仿宋" w:eastAsia="仿宋"/>
          <w:color w:val="000000"/>
          <w:sz w:val="32"/>
          <w:szCs w:val="32"/>
        </w:rPr>
        <w:t>，完成预算100%。其中：</w:t>
      </w:r>
      <w:bookmarkEnd w:id="76"/>
      <w:bookmarkEnd w:id="77"/>
      <w:bookmarkEnd w:id="78"/>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1.一般公共服务支出（201）政府办公厅（室）及相关机构事务（20103）行政运行（2010301）支出决算</w:t>
      </w:r>
      <w:r>
        <w:rPr>
          <w:rFonts w:hint="eastAsia" w:ascii="仿宋" w:eastAsia="仿宋"/>
          <w:color w:val="000000"/>
          <w:sz w:val="32"/>
          <w:szCs w:val="32"/>
          <w:lang w:val="en-US" w:eastAsia="zh-CN"/>
        </w:rPr>
        <w:t>867.83</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2.一般公共服务支出（201）政府办公厅（室）及相关机构事务（20103）事业运行（2010350）支出决算</w:t>
      </w:r>
      <w:r>
        <w:rPr>
          <w:rFonts w:hint="eastAsia" w:ascii="仿宋" w:eastAsia="仿宋"/>
          <w:color w:val="000000"/>
          <w:sz w:val="32"/>
          <w:szCs w:val="32"/>
          <w:lang w:val="en-US" w:eastAsia="zh-CN"/>
        </w:rPr>
        <w:t>136.37</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3.一般公共服务支出（201）政府办公厅（室）及相关机构事务（20103）其他政府办公厅（室）及相关机构事务支出（2010399）支出决算</w:t>
      </w:r>
      <w:r>
        <w:rPr>
          <w:rFonts w:hint="eastAsia" w:ascii="仿宋" w:eastAsia="仿宋"/>
          <w:color w:val="000000"/>
          <w:sz w:val="32"/>
          <w:szCs w:val="32"/>
          <w:lang w:val="en-US" w:eastAsia="zh-CN"/>
        </w:rPr>
        <w:t>15</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4.社会保障和就业支出（208）行政事业单位养老支出（20805）机关事业单位基本养老保险缴费支出（2080505）支出决算</w:t>
      </w:r>
      <w:r>
        <w:rPr>
          <w:rFonts w:hint="eastAsia" w:ascii="仿宋" w:eastAsia="仿宋"/>
          <w:color w:val="000000"/>
          <w:sz w:val="32"/>
          <w:szCs w:val="32"/>
          <w:lang w:val="en-US" w:eastAsia="zh-CN"/>
        </w:rPr>
        <w:t>78.19</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5.社会保障和就业支出（208）行政事业单位养老支出（20805）机关事业单位职业年金缴费支出（2080506）支出决算</w:t>
      </w:r>
      <w:r>
        <w:rPr>
          <w:rFonts w:hint="eastAsia" w:ascii="仿宋" w:eastAsia="仿宋"/>
          <w:color w:val="000000"/>
          <w:sz w:val="32"/>
          <w:szCs w:val="32"/>
          <w:lang w:val="en-US" w:eastAsia="zh-CN"/>
        </w:rPr>
        <w:t>39.09</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6.卫生健康支出（210）行政事业单位医疗（21011）行政单位医疗（2101101）支出决算</w:t>
      </w:r>
      <w:r>
        <w:rPr>
          <w:rFonts w:hint="eastAsia" w:ascii="仿宋" w:eastAsia="仿宋"/>
          <w:color w:val="000000"/>
          <w:sz w:val="32"/>
          <w:szCs w:val="32"/>
          <w:lang w:val="en-US" w:eastAsia="zh-CN"/>
        </w:rPr>
        <w:t>39.66</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7.卫生健康支出（210）行政事业单位医疗（21011）事业单位医疗（2101102）支出决算</w:t>
      </w:r>
      <w:r>
        <w:rPr>
          <w:rFonts w:hint="eastAsia" w:ascii="仿宋" w:eastAsia="仿宋"/>
          <w:color w:val="000000"/>
          <w:sz w:val="32"/>
          <w:szCs w:val="32"/>
          <w:lang w:val="en-US" w:eastAsia="zh-CN"/>
        </w:rPr>
        <w:t>8.32</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8.农林水支出（213）扶贫（21305）其他扶贫支出（2130599）支出决算0.36万元，完成预算100%。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9.住房保障支出（221）住房改革支出（22102）住房公积金（2210201）支出决算</w:t>
      </w:r>
      <w:r>
        <w:rPr>
          <w:rFonts w:hint="eastAsia" w:ascii="仿宋" w:eastAsia="仿宋"/>
          <w:color w:val="000000"/>
          <w:sz w:val="32"/>
          <w:szCs w:val="32"/>
          <w:lang w:val="en-US" w:eastAsia="zh-CN"/>
        </w:rPr>
        <w:t>64.2</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10.住房保障支出（221）住房改革支出（22102）购房补贴（2210203）支出决算</w:t>
      </w:r>
      <w:r>
        <w:rPr>
          <w:rFonts w:hint="eastAsia" w:ascii="仿宋" w:eastAsia="仿宋"/>
          <w:color w:val="000000"/>
          <w:sz w:val="32"/>
          <w:szCs w:val="32"/>
          <w:lang w:val="en-US" w:eastAsia="zh-CN"/>
        </w:rPr>
        <w:t>2.03</w:t>
      </w:r>
      <w:r>
        <w:rPr>
          <w:rFonts w:hint="eastAsia" w:ascii="仿宋" w:eastAsia="仿宋"/>
          <w:color w:val="000000"/>
          <w:sz w:val="32"/>
          <w:szCs w:val="32"/>
        </w:rPr>
        <w:t>万元，完成预算100%。</w:t>
      </w: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 w:val="0"/>
          <w:color w:val="000000"/>
        </w:rPr>
      </w:pPr>
      <w:bookmarkStart w:id="79" w:name="_Toc15377214"/>
      <w:bookmarkStart w:id="80" w:name="_Toc21285"/>
      <w:bookmarkStart w:id="81" w:name="_Toc113981018"/>
      <w:bookmarkStart w:id="82" w:name="_Toc111208504"/>
      <w:bookmarkStart w:id="83" w:name="_Toc20289"/>
      <w:r>
        <w:rPr>
          <w:rFonts w:hint="eastAsia" w:ascii="黑体" w:eastAsia="黑体" w:cs="Times New Roman"/>
          <w:bCs w:val="0"/>
          <w:color w:val="000000"/>
        </w:rPr>
        <w:t>六、一般公共预算财政拨款基本支出决算情况说</w:t>
      </w:r>
      <w:bookmarkEnd w:id="79"/>
      <w:r>
        <w:rPr>
          <w:rFonts w:hint="eastAsia" w:ascii="黑体" w:eastAsia="黑体" w:cs="Times New Roman"/>
          <w:bCs w:val="0"/>
          <w:color w:val="000000"/>
        </w:rPr>
        <w:t>明</w:t>
      </w:r>
      <w:bookmarkEnd w:id="80"/>
      <w:bookmarkEnd w:id="81"/>
      <w:bookmarkEnd w:id="82"/>
      <w:bookmarkEnd w:id="83"/>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1235.69</w:t>
      </w:r>
      <w:r>
        <w:rPr>
          <w:rFonts w:hint="eastAsia" w:ascii="仿宋" w:eastAsia="仿宋"/>
          <w:color w:val="000000"/>
          <w:sz w:val="32"/>
          <w:szCs w:val="32"/>
        </w:rPr>
        <w:t>万元，其中：</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1005.42</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206.77</w:t>
      </w:r>
      <w:r>
        <w:rPr>
          <w:rFonts w:hint="eastAsia" w:ascii="仿宋" w:eastAsia="仿宋"/>
          <w:color w:val="000000"/>
          <w:sz w:val="32"/>
          <w:szCs w:val="32"/>
        </w:rPr>
        <w:t>万元、津贴补贴</w:t>
      </w:r>
      <w:r>
        <w:rPr>
          <w:rFonts w:hint="eastAsia" w:ascii="仿宋" w:eastAsia="仿宋"/>
          <w:color w:val="000000"/>
          <w:sz w:val="32"/>
          <w:szCs w:val="32"/>
          <w:lang w:val="en-US" w:eastAsia="zh-CN"/>
        </w:rPr>
        <w:t>153.05</w:t>
      </w:r>
      <w:r>
        <w:rPr>
          <w:rFonts w:hint="eastAsia" w:ascii="仿宋" w:eastAsia="仿宋"/>
          <w:color w:val="000000"/>
          <w:sz w:val="32"/>
          <w:szCs w:val="32"/>
        </w:rPr>
        <w:t>万元、奖金</w:t>
      </w:r>
      <w:r>
        <w:rPr>
          <w:rFonts w:hint="eastAsia" w:ascii="仿宋" w:eastAsia="仿宋"/>
          <w:color w:val="000000"/>
          <w:sz w:val="32"/>
          <w:szCs w:val="32"/>
          <w:lang w:val="en-US" w:eastAsia="zh-CN"/>
        </w:rPr>
        <w:t>270.37</w:t>
      </w:r>
      <w:r>
        <w:rPr>
          <w:rFonts w:hint="eastAsia" w:ascii="仿宋" w:eastAsia="仿宋"/>
          <w:color w:val="000000"/>
          <w:sz w:val="32"/>
          <w:szCs w:val="32"/>
        </w:rPr>
        <w:t>万元、绩效工资</w:t>
      </w:r>
      <w:r>
        <w:rPr>
          <w:rFonts w:hint="eastAsia" w:ascii="仿宋" w:eastAsia="仿宋"/>
          <w:color w:val="000000"/>
          <w:sz w:val="32"/>
          <w:szCs w:val="32"/>
          <w:lang w:val="en-US" w:eastAsia="zh-CN"/>
        </w:rPr>
        <w:t>85.91</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78.19</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39.09</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47.98</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12.58</w:t>
      </w:r>
      <w:r>
        <w:rPr>
          <w:rFonts w:hint="eastAsia" w:ascii="仿宋" w:eastAsia="仿宋"/>
          <w:color w:val="000000"/>
          <w:sz w:val="32"/>
          <w:szCs w:val="32"/>
        </w:rPr>
        <w:t>万元、住房公积金</w:t>
      </w:r>
      <w:r>
        <w:rPr>
          <w:rFonts w:hint="eastAsia" w:ascii="仿宋" w:eastAsia="仿宋"/>
          <w:color w:val="000000"/>
          <w:sz w:val="32"/>
          <w:szCs w:val="32"/>
          <w:lang w:val="en-US" w:eastAsia="zh-CN"/>
        </w:rPr>
        <w:t>64.20</w:t>
      </w:r>
      <w:r>
        <w:rPr>
          <w:rFonts w:hint="eastAsia" w:ascii="仿宋" w:eastAsia="仿宋"/>
          <w:color w:val="000000"/>
          <w:sz w:val="32"/>
          <w:szCs w:val="32"/>
        </w:rPr>
        <w:t>万元、医疗费</w:t>
      </w:r>
      <w:r>
        <w:rPr>
          <w:rFonts w:hint="eastAsia" w:ascii="仿宋" w:eastAsia="仿宋"/>
          <w:color w:val="000000"/>
          <w:sz w:val="32"/>
          <w:szCs w:val="32"/>
          <w:lang w:val="en-US" w:eastAsia="zh-CN"/>
        </w:rPr>
        <w:t>4.95</w:t>
      </w:r>
      <w:r>
        <w:rPr>
          <w:rFonts w:hint="eastAsia" w:ascii="仿宋" w:eastAsia="仿宋"/>
          <w:color w:val="000000"/>
          <w:sz w:val="32"/>
          <w:szCs w:val="32"/>
        </w:rPr>
        <w:t>万元、</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21.44万元、</w:t>
      </w:r>
      <w:r>
        <w:rPr>
          <w:rFonts w:hint="eastAsia" w:ascii="仿宋" w:eastAsia="仿宋"/>
          <w:color w:val="000000"/>
          <w:sz w:val="32"/>
          <w:szCs w:val="32"/>
        </w:rPr>
        <w:t>生活补助</w:t>
      </w:r>
      <w:r>
        <w:rPr>
          <w:rFonts w:hint="eastAsia" w:ascii="仿宋" w:eastAsia="仿宋"/>
          <w:color w:val="000000"/>
          <w:sz w:val="32"/>
          <w:szCs w:val="32"/>
          <w:lang w:val="en-US" w:eastAsia="zh-CN"/>
        </w:rPr>
        <w:t>19.84</w:t>
      </w:r>
      <w:r>
        <w:rPr>
          <w:rFonts w:hint="eastAsia" w:ascii="仿宋" w:eastAsia="仿宋"/>
          <w:color w:val="000000"/>
          <w:sz w:val="32"/>
          <w:szCs w:val="32"/>
        </w:rPr>
        <w:t>万元、医疗费补助</w:t>
      </w:r>
      <w:r>
        <w:rPr>
          <w:rFonts w:hint="eastAsia" w:ascii="仿宋" w:eastAsia="仿宋"/>
          <w:color w:val="000000"/>
          <w:sz w:val="32"/>
          <w:szCs w:val="32"/>
          <w:lang w:val="en-US" w:eastAsia="zh-CN"/>
        </w:rPr>
        <w:t>1.04</w:t>
      </w:r>
      <w:r>
        <w:rPr>
          <w:rFonts w:hint="eastAsia" w:ascii="仿宋" w:eastAsia="仿宋"/>
          <w:color w:val="000000"/>
          <w:sz w:val="32"/>
          <w:szCs w:val="32"/>
        </w:rPr>
        <w:t>万元、奖励金0.0</w:t>
      </w:r>
      <w:r>
        <w:rPr>
          <w:rFonts w:hint="eastAsia" w:ascii="仿宋" w:eastAsia="仿宋"/>
          <w:color w:val="000000"/>
          <w:sz w:val="32"/>
          <w:szCs w:val="32"/>
          <w:lang w:val="en-US" w:eastAsia="zh-CN"/>
        </w:rPr>
        <w:t>1</w:t>
      </w:r>
      <w:r>
        <w:rPr>
          <w:rFonts w:hint="eastAsia" w:ascii="仿宋" w:eastAsia="仿宋"/>
          <w:color w:val="000000"/>
          <w:sz w:val="32"/>
          <w:szCs w:val="32"/>
        </w:rPr>
        <w:t>万元。</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230.27</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6</w:t>
      </w:r>
      <w:r>
        <w:rPr>
          <w:rFonts w:hint="eastAsia" w:ascii="仿宋" w:eastAsia="仿宋"/>
          <w:color w:val="000000"/>
          <w:sz w:val="32"/>
          <w:szCs w:val="32"/>
        </w:rPr>
        <w:t>万元、邮电费</w:t>
      </w:r>
      <w:r>
        <w:rPr>
          <w:rFonts w:hint="eastAsia" w:ascii="仿宋" w:eastAsia="仿宋"/>
          <w:color w:val="000000"/>
          <w:sz w:val="32"/>
          <w:szCs w:val="32"/>
          <w:lang w:val="en-US" w:eastAsia="zh-CN"/>
        </w:rPr>
        <w:t>4.5</w:t>
      </w:r>
      <w:r>
        <w:rPr>
          <w:rFonts w:hint="eastAsia" w:ascii="仿宋" w:eastAsia="仿宋"/>
          <w:color w:val="000000"/>
          <w:sz w:val="32"/>
          <w:szCs w:val="32"/>
        </w:rPr>
        <w:t>万元、差旅费</w:t>
      </w:r>
      <w:r>
        <w:rPr>
          <w:rFonts w:hint="eastAsia" w:ascii="仿宋" w:eastAsia="仿宋"/>
          <w:color w:val="000000"/>
          <w:sz w:val="32"/>
          <w:szCs w:val="32"/>
          <w:lang w:val="en-US" w:eastAsia="zh-CN"/>
        </w:rPr>
        <w:t>18.28</w:t>
      </w:r>
      <w:r>
        <w:rPr>
          <w:rFonts w:hint="eastAsia" w:ascii="仿宋" w:eastAsia="仿宋"/>
          <w:color w:val="000000"/>
          <w:sz w:val="32"/>
          <w:szCs w:val="32"/>
        </w:rPr>
        <w:t>万元、维修（护）费</w:t>
      </w:r>
      <w:r>
        <w:rPr>
          <w:rFonts w:hint="eastAsia" w:ascii="仿宋" w:eastAsia="仿宋"/>
          <w:color w:val="000000"/>
          <w:sz w:val="32"/>
          <w:szCs w:val="32"/>
          <w:lang w:val="en-US" w:eastAsia="zh-CN"/>
        </w:rPr>
        <w:t>3</w:t>
      </w:r>
      <w:r>
        <w:rPr>
          <w:rFonts w:hint="eastAsia" w:ascii="仿宋" w:eastAsia="仿宋"/>
          <w:color w:val="000000"/>
          <w:sz w:val="32"/>
          <w:szCs w:val="32"/>
        </w:rPr>
        <w:t>万元、租赁费</w:t>
      </w:r>
      <w:r>
        <w:rPr>
          <w:rFonts w:hint="eastAsia" w:ascii="仿宋" w:eastAsia="仿宋"/>
          <w:color w:val="000000"/>
          <w:sz w:val="32"/>
          <w:szCs w:val="32"/>
          <w:lang w:val="en-US" w:eastAsia="zh-CN"/>
        </w:rPr>
        <w:t>3</w:t>
      </w:r>
      <w:r>
        <w:rPr>
          <w:rFonts w:hint="eastAsia" w:ascii="仿宋" w:eastAsia="仿宋"/>
          <w:color w:val="000000"/>
          <w:sz w:val="32"/>
          <w:szCs w:val="32"/>
        </w:rPr>
        <w:t>万元、</w:t>
      </w:r>
      <w:r>
        <w:rPr>
          <w:rFonts w:hint="eastAsia" w:ascii="仿宋" w:eastAsia="仿宋"/>
          <w:color w:val="000000"/>
          <w:sz w:val="32"/>
          <w:szCs w:val="32"/>
          <w:lang w:eastAsia="zh-CN"/>
        </w:rPr>
        <w:t>培训费</w:t>
      </w:r>
      <w:r>
        <w:rPr>
          <w:rFonts w:hint="eastAsia" w:ascii="仿宋" w:eastAsia="仿宋"/>
          <w:color w:val="000000"/>
          <w:sz w:val="32"/>
          <w:szCs w:val="32"/>
          <w:lang w:val="en-US" w:eastAsia="zh-CN"/>
        </w:rPr>
        <w:t>0.74万元、</w:t>
      </w:r>
      <w:r>
        <w:rPr>
          <w:rFonts w:hint="eastAsia" w:ascii="仿宋" w:eastAsia="仿宋"/>
          <w:color w:val="000000"/>
          <w:sz w:val="32"/>
          <w:szCs w:val="32"/>
        </w:rPr>
        <w:t>公务接待费</w:t>
      </w:r>
      <w:r>
        <w:rPr>
          <w:rFonts w:hint="eastAsia" w:ascii="仿宋" w:eastAsia="仿宋"/>
          <w:color w:val="000000"/>
          <w:sz w:val="32"/>
          <w:szCs w:val="32"/>
          <w:lang w:val="en-US" w:eastAsia="zh-CN"/>
        </w:rPr>
        <w:t>0.34</w:t>
      </w:r>
      <w:r>
        <w:rPr>
          <w:rFonts w:hint="eastAsia" w:ascii="仿宋" w:eastAsia="仿宋"/>
          <w:color w:val="000000"/>
          <w:sz w:val="32"/>
          <w:szCs w:val="32"/>
        </w:rPr>
        <w:t>万元、公务用车运行维护费</w:t>
      </w:r>
      <w:r>
        <w:rPr>
          <w:rFonts w:hint="eastAsia" w:ascii="仿宋" w:eastAsia="仿宋"/>
          <w:color w:val="000000"/>
          <w:sz w:val="32"/>
          <w:szCs w:val="32"/>
          <w:lang w:val="en-US" w:eastAsia="zh-CN"/>
        </w:rPr>
        <w:t>137.4</w:t>
      </w:r>
      <w:r>
        <w:rPr>
          <w:rFonts w:hint="eastAsia" w:ascii="仿宋" w:eastAsia="仿宋"/>
          <w:color w:val="000000"/>
          <w:sz w:val="32"/>
          <w:szCs w:val="32"/>
        </w:rPr>
        <w:t>万元</w:t>
      </w:r>
      <w:r>
        <w:rPr>
          <w:rFonts w:hint="eastAsia" w:ascii="仿宋" w:eastAsia="仿宋"/>
          <w:color w:val="000000"/>
          <w:sz w:val="32"/>
          <w:szCs w:val="32"/>
          <w:lang w:eastAsia="zh-CN"/>
        </w:rPr>
        <w:t>、公务用车购置</w:t>
      </w:r>
      <w:r>
        <w:rPr>
          <w:rFonts w:hint="eastAsia" w:ascii="仿宋" w:eastAsia="仿宋"/>
          <w:color w:val="000000"/>
          <w:sz w:val="32"/>
          <w:szCs w:val="32"/>
        </w:rPr>
        <w:t>费</w:t>
      </w:r>
      <w:r>
        <w:rPr>
          <w:rFonts w:hint="eastAsia" w:ascii="仿宋" w:eastAsia="仿宋"/>
          <w:color w:val="000000"/>
          <w:sz w:val="32"/>
          <w:szCs w:val="32"/>
          <w:lang w:val="en-US" w:eastAsia="zh-CN"/>
        </w:rPr>
        <w:t>57.01</w:t>
      </w:r>
      <w:r>
        <w:rPr>
          <w:rFonts w:hint="eastAsia" w:ascii="仿宋" w:eastAsia="仿宋"/>
          <w:color w:val="000000"/>
          <w:sz w:val="32"/>
          <w:szCs w:val="32"/>
        </w:rPr>
        <w:t>万元。</w:t>
      </w: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84" w:name="_Toc15377215"/>
      <w:bookmarkStart w:id="85" w:name="_Toc22517"/>
      <w:bookmarkStart w:id="86" w:name="_Toc113981019"/>
      <w:bookmarkStart w:id="87" w:name="_Toc111208505"/>
      <w:bookmarkStart w:id="88" w:name="_Toc26060"/>
      <w:r>
        <w:rPr>
          <w:rFonts w:hint="eastAsia" w:ascii="黑体" w:eastAsia="黑体" w:cs="Times New Roman"/>
          <w:bCs w:val="0"/>
          <w:color w:val="000000"/>
        </w:rPr>
        <w:t>七、“三公”经费财政拨款支出决算情况说明</w:t>
      </w:r>
      <w:bookmarkEnd w:id="84"/>
      <w:bookmarkEnd w:id="85"/>
      <w:bookmarkEnd w:id="86"/>
      <w:bookmarkEnd w:id="87"/>
      <w:bookmarkEnd w:id="88"/>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89" w:name="_Toc15377216"/>
      <w:bookmarkStart w:id="90" w:name="_Toc17642"/>
      <w:bookmarkStart w:id="91" w:name="_Toc3560"/>
      <w:r>
        <w:rPr>
          <w:rFonts w:hint="eastAsia" w:ascii="仿宋" w:eastAsia="仿宋"/>
          <w:b/>
          <w:color w:val="000000"/>
          <w:sz w:val="32"/>
          <w:szCs w:val="32"/>
        </w:rPr>
        <w:t>（一）“三公”经费财政拨款支出决算总体情况说明</w:t>
      </w:r>
      <w:bookmarkEnd w:id="89"/>
      <w:bookmarkEnd w:id="90"/>
      <w:bookmarkEnd w:id="91"/>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194.75</w:t>
      </w:r>
      <w:r>
        <w:rPr>
          <w:rFonts w:hint="eastAsia" w:ascii="仿宋" w:eastAsia="仿宋"/>
          <w:color w:val="000000"/>
          <w:sz w:val="32"/>
          <w:szCs w:val="32"/>
        </w:rPr>
        <w:t>万元，完成预算10</w:t>
      </w:r>
      <w:r>
        <w:rPr>
          <w:rFonts w:hint="eastAsia" w:ascii="仿宋" w:eastAsia="仿宋"/>
          <w:color w:val="000000"/>
          <w:sz w:val="32"/>
          <w:szCs w:val="32"/>
          <w:lang w:eastAsia="zh-CN"/>
        </w:rPr>
        <w:t>0</w:t>
      </w:r>
      <w:r>
        <w:rPr>
          <w:rFonts w:hint="eastAsia" w:ascii="仿宋" w:eastAsia="仿宋"/>
          <w:color w:val="000000"/>
          <w:sz w:val="32"/>
          <w:szCs w:val="32"/>
        </w:rPr>
        <w:t>%。</w:t>
      </w:r>
      <w:bookmarkStart w:id="92" w:name="_Toc15377217"/>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93" w:name="_Toc11851"/>
      <w:bookmarkStart w:id="94" w:name="_Toc4300"/>
      <w:r>
        <w:rPr>
          <w:rFonts w:hint="eastAsia" w:ascii="仿宋" w:eastAsia="仿宋"/>
          <w:b/>
          <w:color w:val="000000"/>
          <w:sz w:val="32"/>
          <w:szCs w:val="32"/>
        </w:rPr>
        <w:t>（二）“三公”经费财政拨款支出决算具体情况说明</w:t>
      </w:r>
      <w:bookmarkEnd w:id="92"/>
      <w:bookmarkEnd w:id="93"/>
      <w:bookmarkEnd w:id="94"/>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年“三公”经费财政拨款支出</w:t>
      </w:r>
      <w:r>
        <w:rPr>
          <w:rFonts w:hint="eastAsia" w:ascii="仿宋" w:eastAsia="仿宋"/>
          <w:color w:val="000000"/>
          <w:sz w:val="32"/>
          <w:szCs w:val="32"/>
          <w:lang w:val="en-US" w:eastAsia="zh-CN"/>
        </w:rPr>
        <w:t>194.75</w:t>
      </w:r>
      <w:r>
        <w:rPr>
          <w:rFonts w:hint="eastAsia" w:ascii="仿宋" w:eastAsia="仿宋"/>
          <w:color w:val="000000"/>
          <w:sz w:val="32"/>
          <w:szCs w:val="32"/>
        </w:rPr>
        <w:t>万</w:t>
      </w:r>
      <w:r>
        <w:rPr>
          <w:rFonts w:hint="eastAsia" w:ascii="仿宋" w:eastAsia="仿宋"/>
          <w:color w:val="000000"/>
          <w:sz w:val="32"/>
          <w:szCs w:val="32"/>
          <w:lang w:eastAsia="zh-CN"/>
        </w:rPr>
        <w:t>元</w:t>
      </w:r>
      <w:r>
        <w:rPr>
          <w:rFonts w:hint="eastAsia" w:ascii="仿宋" w:eastAsia="仿宋"/>
          <w:color w:val="000000"/>
          <w:sz w:val="32"/>
          <w:szCs w:val="32"/>
        </w:rPr>
        <w:t>，因公出国（境）费支出决算</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194.41</w:t>
      </w:r>
      <w:r>
        <w:rPr>
          <w:rFonts w:hint="eastAsia" w:ascii="仿宋" w:eastAsia="仿宋"/>
          <w:color w:val="000000"/>
          <w:sz w:val="32"/>
          <w:szCs w:val="32"/>
        </w:rPr>
        <w:t>万元，占99.</w:t>
      </w:r>
      <w:r>
        <w:rPr>
          <w:rFonts w:hint="eastAsia" w:ascii="仿宋" w:eastAsia="仿宋"/>
          <w:color w:val="000000"/>
          <w:sz w:val="32"/>
          <w:szCs w:val="32"/>
          <w:lang w:val="en-US" w:eastAsia="zh-CN"/>
        </w:rPr>
        <w:t>82</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0.34</w:t>
      </w:r>
      <w:r>
        <w:rPr>
          <w:rFonts w:hint="eastAsia" w:ascii="仿宋" w:eastAsia="仿宋"/>
          <w:color w:val="000000"/>
          <w:sz w:val="32"/>
          <w:szCs w:val="32"/>
        </w:rPr>
        <w:t>万元，占0.</w:t>
      </w:r>
      <w:r>
        <w:rPr>
          <w:rFonts w:hint="eastAsia" w:ascii="仿宋" w:eastAsia="仿宋"/>
          <w:color w:val="000000"/>
          <w:sz w:val="32"/>
          <w:szCs w:val="32"/>
          <w:lang w:val="en-US" w:eastAsia="zh-CN"/>
        </w:rPr>
        <w:t>18</w:t>
      </w:r>
      <w:r>
        <w:rPr>
          <w:rFonts w:hint="eastAsia" w:ascii="仿宋" w:eastAsia="仿宋"/>
          <w:color w:val="000000"/>
          <w:sz w:val="32"/>
          <w:szCs w:val="32"/>
        </w:rPr>
        <w:t>%。具体情况如下：</w:t>
      </w:r>
    </w:p>
    <w:p>
      <w:pPr>
        <w:pageBreakBefore w:val="0"/>
        <w:widowControl w:val="0"/>
        <w:kinsoku/>
        <w:wordWrap/>
        <w:topLinePunct w:val="0"/>
        <w:bidi w:val="0"/>
        <w:spacing w:line="576"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rPr>
        <w:t>（图7：“三公”经费财政拨款支出结构）</w:t>
      </w:r>
    </w:p>
    <w:p>
      <w:pPr>
        <w:pStyle w:val="9"/>
        <w:rPr>
          <w:rFonts w:hint="eastAsia" w:ascii="仿宋" w:eastAsia="仿宋"/>
          <w:color w:val="000000"/>
          <w:sz w:val="32"/>
          <w:szCs w:val="32"/>
        </w:rPr>
      </w:pPr>
    </w:p>
    <w:p>
      <w:pPr>
        <w:rPr>
          <w:rFonts w:hint="eastAsia" w:ascii="仿宋" w:eastAsia="仿宋"/>
          <w:color w:val="000000"/>
          <w:sz w:val="32"/>
          <w:szCs w:val="32"/>
        </w:rPr>
      </w:pPr>
      <w:r>
        <w:rPr>
          <w:rFonts w:hint="eastAsia" w:ascii="仿宋_GB2312" w:eastAsia="仿宋_GB2312"/>
          <w:color w:val="000000"/>
          <w:sz w:val="32"/>
          <w:szCs w:val="32"/>
          <w:lang w:eastAsia="zh-CN"/>
        </w:rPr>
        <w:drawing>
          <wp:anchor distT="0" distB="0" distL="114300" distR="114300" simplePos="0" relativeHeight="251659264" behindDoc="0" locked="0" layoutInCell="1" allowOverlap="1">
            <wp:simplePos x="0" y="0"/>
            <wp:positionH relativeFrom="column">
              <wp:posOffset>436245</wp:posOffset>
            </wp:positionH>
            <wp:positionV relativeFrom="paragraph">
              <wp:posOffset>-497205</wp:posOffset>
            </wp:positionV>
            <wp:extent cx="4910455" cy="3397250"/>
            <wp:effectExtent l="0" t="0" r="0" b="0"/>
            <wp:wrapTight wrapText="bothSides">
              <wp:wrapPolygon>
                <wp:start x="-33" y="-53"/>
                <wp:lineTo x="-33" y="21566"/>
                <wp:lineTo x="21585" y="21566"/>
                <wp:lineTo x="21585" y="-53"/>
                <wp:lineTo x="-33" y="-53"/>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1.因公出国（境）经费支出</w:t>
      </w:r>
      <w:r>
        <w:rPr>
          <w:rFonts w:hint="eastAsia" w:ascii="仿宋" w:eastAsia="仿宋"/>
          <w:color w:val="000000"/>
          <w:sz w:val="32"/>
          <w:szCs w:val="32"/>
          <w:lang w:eastAsia="zh-CN"/>
        </w:rPr>
        <w:t>0</w:t>
      </w:r>
      <w:r>
        <w:rPr>
          <w:rFonts w:hint="eastAsia" w:ascii="仿宋" w:eastAsia="仿宋"/>
          <w:color w:val="000000"/>
          <w:sz w:val="32"/>
          <w:szCs w:val="32"/>
        </w:rPr>
        <w:t>万元。全年安排因公出国（境）团组0次，出国（境）0人。因公出国（境）支出决算比202</w:t>
      </w:r>
      <w:r>
        <w:rPr>
          <w:rFonts w:hint="eastAsia" w:ascii="仿宋" w:eastAsia="仿宋"/>
          <w:color w:val="000000"/>
          <w:sz w:val="32"/>
          <w:szCs w:val="32"/>
          <w:lang w:val="en-US" w:eastAsia="zh-CN"/>
        </w:rPr>
        <w:t>1</w:t>
      </w:r>
      <w:r>
        <w:rPr>
          <w:rFonts w:hint="eastAsia" w:ascii="仿宋" w:eastAsia="仿宋"/>
          <w:color w:val="000000"/>
          <w:sz w:val="32"/>
          <w:szCs w:val="32"/>
        </w:rPr>
        <w:t>年增加</w:t>
      </w:r>
      <w:r>
        <w:rPr>
          <w:rFonts w:hint="eastAsia" w:ascii="仿宋" w:eastAsia="仿宋"/>
          <w:color w:val="000000"/>
          <w:sz w:val="32"/>
          <w:szCs w:val="32"/>
          <w:lang w:eastAsia="zh-CN"/>
        </w:rPr>
        <w:t>0</w:t>
      </w:r>
      <w:r>
        <w:rPr>
          <w:rFonts w:hint="eastAsia" w:ascii="仿宋" w:eastAsia="仿宋"/>
          <w:color w:val="000000"/>
          <w:sz w:val="32"/>
          <w:szCs w:val="32"/>
        </w:rPr>
        <w:t xml:space="preserve">万元。 </w:t>
      </w:r>
    </w:p>
    <w:p>
      <w:pPr>
        <w:spacing w:line="600" w:lineRule="exact"/>
        <w:ind w:firstLine="640"/>
        <w:rPr>
          <w:rFonts w:ascii="仿宋" w:eastAsia="仿宋"/>
          <w:color w:val="000000"/>
          <w:sz w:val="32"/>
          <w:szCs w:val="32"/>
        </w:rPr>
      </w:pPr>
      <w:r>
        <w:rPr>
          <w:rFonts w:hint="eastAsia" w:ascii="仿宋" w:eastAsia="仿宋"/>
          <w:color w:val="000000"/>
          <w:sz w:val="32"/>
          <w:szCs w:val="32"/>
        </w:rPr>
        <w:t>2.公务用车购置及运行维护费支出</w:t>
      </w:r>
      <w:r>
        <w:rPr>
          <w:rFonts w:hint="eastAsia" w:ascii="仿宋" w:eastAsia="仿宋"/>
          <w:color w:val="000000"/>
          <w:sz w:val="32"/>
          <w:szCs w:val="32"/>
          <w:lang w:val="en-US" w:eastAsia="zh-CN"/>
        </w:rPr>
        <w:t>194.41</w:t>
      </w:r>
      <w:r>
        <w:rPr>
          <w:rFonts w:hint="eastAsia" w:ascii="仿宋" w:eastAsia="仿宋"/>
          <w:color w:val="000000"/>
          <w:sz w:val="32"/>
          <w:szCs w:val="32"/>
        </w:rPr>
        <w:t>万元,完成预算10</w:t>
      </w:r>
      <w:r>
        <w:rPr>
          <w:rFonts w:hint="eastAsia" w:ascii="仿宋" w:eastAsia="仿宋"/>
          <w:color w:val="000000"/>
          <w:sz w:val="32"/>
          <w:szCs w:val="32"/>
          <w:lang w:eastAsia="zh-CN"/>
        </w:rPr>
        <w:t>0</w:t>
      </w:r>
      <w:r>
        <w:rPr>
          <w:rFonts w:hint="eastAsia" w:ascii="仿宋" w:eastAsia="仿宋"/>
          <w:color w:val="000000"/>
          <w:sz w:val="32"/>
          <w:szCs w:val="32"/>
        </w:rPr>
        <w:t>%。公务用车购置及运行维护费支出决算比202</w:t>
      </w:r>
      <w:r>
        <w:rPr>
          <w:rFonts w:hint="eastAsia" w:ascii="仿宋" w:eastAsia="仿宋"/>
          <w:color w:val="000000"/>
          <w:sz w:val="32"/>
          <w:szCs w:val="32"/>
          <w:highlight w:val="none"/>
          <w:lang w:val="en-US" w:eastAsia="zh-CN"/>
        </w:rPr>
        <w:t>1</w:t>
      </w:r>
      <w:r>
        <w:rPr>
          <w:rFonts w:hint="eastAsia" w:ascii="仿宋" w:eastAsia="仿宋"/>
          <w:color w:val="000000"/>
          <w:sz w:val="32"/>
          <w:szCs w:val="32"/>
        </w:rPr>
        <w:t>年</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47.56</w:t>
      </w:r>
      <w:r>
        <w:rPr>
          <w:rFonts w:hint="eastAsia" w:ascii="仿宋" w:eastAsia="仿宋"/>
          <w:color w:val="000000"/>
          <w:sz w:val="32"/>
          <w:szCs w:val="32"/>
        </w:rPr>
        <w:t>万元，</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19.21</w:t>
      </w:r>
      <w:r>
        <w:rPr>
          <w:rFonts w:hint="eastAsia" w:ascii="仿宋" w:eastAsia="仿宋"/>
          <w:color w:val="000000"/>
          <w:sz w:val="32"/>
          <w:szCs w:val="32"/>
        </w:rPr>
        <w:t>%。 主要原因是本年度</w:t>
      </w:r>
      <w:r>
        <w:rPr>
          <w:rFonts w:hint="eastAsia" w:ascii="仿宋" w:eastAsia="仿宋"/>
          <w:color w:val="000000"/>
          <w:sz w:val="32"/>
          <w:szCs w:val="32"/>
          <w:lang w:eastAsia="zh-CN"/>
        </w:rPr>
        <w:t>公务用车运行维护费较上年减少</w:t>
      </w:r>
      <w:r>
        <w:rPr>
          <w:rFonts w:hint="eastAsia" w:ascii="仿宋" w:eastAsia="仿宋"/>
          <w:color w:val="000000"/>
          <w:sz w:val="32"/>
          <w:szCs w:val="32"/>
        </w:rPr>
        <w:t xml:space="preserve">。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其中：公务用车购置支出</w:t>
      </w:r>
      <w:r>
        <w:rPr>
          <w:rFonts w:hint="eastAsia" w:ascii="仿宋" w:eastAsia="仿宋"/>
          <w:color w:val="000000"/>
          <w:sz w:val="32"/>
          <w:szCs w:val="32"/>
          <w:lang w:val="en-US" w:eastAsia="zh-CN"/>
        </w:rPr>
        <w:t>57.01</w:t>
      </w:r>
      <w:r>
        <w:rPr>
          <w:rFonts w:hint="eastAsia" w:ascii="仿宋" w:eastAsia="仿宋"/>
          <w:color w:val="000000"/>
          <w:sz w:val="32"/>
          <w:szCs w:val="32"/>
        </w:rPr>
        <w:t>万元</w:t>
      </w:r>
      <w:r>
        <w:rPr>
          <w:rFonts w:hint="eastAsia" w:ascii="仿宋" w:eastAsia="仿宋"/>
          <w:color w:val="000000"/>
          <w:sz w:val="32"/>
          <w:szCs w:val="32"/>
          <w:lang w:eastAsia="zh-CN"/>
        </w:rPr>
        <w:t>，较</w:t>
      </w:r>
      <w:r>
        <w:rPr>
          <w:rFonts w:hint="eastAsia" w:ascii="仿宋" w:eastAsia="仿宋"/>
          <w:color w:val="000000"/>
          <w:sz w:val="32"/>
          <w:szCs w:val="32"/>
          <w:lang w:val="en-US" w:eastAsia="zh-CN"/>
        </w:rPr>
        <w:t>2021年增加5.83万元，主要原因车辆型号不同购置成本增加</w:t>
      </w:r>
      <w:r>
        <w:rPr>
          <w:rFonts w:hint="eastAsia" w:ascii="仿宋" w:eastAsia="仿宋"/>
          <w:color w:val="000000"/>
          <w:sz w:val="32"/>
          <w:szCs w:val="32"/>
        </w:rPr>
        <w:t>。全年按规定更新购置公务用车1辆，其中：轿车</w:t>
      </w:r>
      <w:r>
        <w:rPr>
          <w:rFonts w:hint="eastAsia" w:ascii="仿宋" w:eastAsia="仿宋"/>
          <w:color w:val="000000"/>
          <w:sz w:val="32"/>
          <w:szCs w:val="32"/>
          <w:lang w:val="en-US" w:eastAsia="zh-CN"/>
        </w:rPr>
        <w:t>1</w:t>
      </w:r>
      <w:r>
        <w:rPr>
          <w:rFonts w:hint="eastAsia" w:ascii="仿宋" w:eastAsia="仿宋"/>
          <w:color w:val="000000"/>
          <w:sz w:val="32"/>
          <w:szCs w:val="32"/>
        </w:rPr>
        <w:t>辆、金额</w:t>
      </w:r>
      <w:r>
        <w:rPr>
          <w:rFonts w:hint="eastAsia" w:ascii="仿宋" w:eastAsia="仿宋"/>
          <w:color w:val="000000"/>
          <w:sz w:val="32"/>
          <w:szCs w:val="32"/>
          <w:lang w:val="en-US" w:eastAsia="zh-CN"/>
        </w:rPr>
        <w:t>30.80</w:t>
      </w:r>
      <w:r>
        <w:rPr>
          <w:rFonts w:hint="eastAsia" w:ascii="仿宋" w:eastAsia="仿宋"/>
          <w:color w:val="000000"/>
          <w:sz w:val="32"/>
          <w:szCs w:val="32"/>
        </w:rPr>
        <w:t>万元，越野车</w:t>
      </w:r>
      <w:r>
        <w:rPr>
          <w:rFonts w:hint="eastAsia" w:ascii="仿宋" w:eastAsia="仿宋"/>
          <w:color w:val="000000"/>
          <w:sz w:val="32"/>
          <w:szCs w:val="32"/>
          <w:lang w:val="en-US" w:eastAsia="zh-CN"/>
        </w:rPr>
        <w:t>13</w:t>
      </w:r>
      <w:r>
        <w:rPr>
          <w:rFonts w:hint="eastAsia" w:ascii="仿宋" w:eastAsia="仿宋"/>
          <w:color w:val="000000"/>
          <w:sz w:val="32"/>
          <w:szCs w:val="32"/>
        </w:rPr>
        <w:t>辆、金额</w:t>
      </w:r>
      <w:r>
        <w:rPr>
          <w:rFonts w:hint="eastAsia" w:ascii="仿宋" w:eastAsia="仿宋"/>
          <w:color w:val="000000"/>
          <w:sz w:val="32"/>
          <w:szCs w:val="32"/>
          <w:lang w:val="en-US" w:eastAsia="zh-CN"/>
        </w:rPr>
        <w:t>779.69</w:t>
      </w:r>
      <w:r>
        <w:rPr>
          <w:rFonts w:hint="eastAsia" w:ascii="仿宋" w:eastAsia="仿宋"/>
          <w:color w:val="000000"/>
          <w:sz w:val="32"/>
          <w:szCs w:val="32"/>
        </w:rPr>
        <w:t>万元，载客汽车0辆、金额</w:t>
      </w:r>
      <w:r>
        <w:rPr>
          <w:rFonts w:hint="eastAsia" w:ascii="仿宋" w:eastAsia="仿宋"/>
          <w:color w:val="000000"/>
          <w:sz w:val="32"/>
          <w:szCs w:val="32"/>
          <w:lang w:eastAsia="zh-CN"/>
        </w:rPr>
        <w:t>0</w:t>
      </w:r>
      <w:r>
        <w:rPr>
          <w:rFonts w:hint="eastAsia" w:ascii="仿宋" w:eastAsia="仿宋"/>
          <w:color w:val="000000"/>
          <w:sz w:val="32"/>
          <w:szCs w:val="32"/>
        </w:rPr>
        <w:t>万元。截至</w: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2</w:t>
      </w:r>
      <w:r>
        <w:rPr>
          <w:rFonts w:hint="eastAsia" w:ascii="仿宋" w:eastAsia="仿宋"/>
          <w:color w:val="000000"/>
          <w:sz w:val="32"/>
          <w:szCs w:val="32"/>
        </w:rPr>
        <w:t>年</w:t>
      </w:r>
      <w:r>
        <w:rPr>
          <w:rFonts w:ascii="仿宋" w:eastAsia="仿宋"/>
          <w:color w:val="000000"/>
          <w:sz w:val="32"/>
          <w:szCs w:val="32"/>
        </w:rPr>
        <w:t>12</w:t>
      </w:r>
      <w:r>
        <w:rPr>
          <w:rFonts w:hint="eastAsia" w:ascii="仿宋" w:eastAsia="仿宋"/>
          <w:color w:val="000000"/>
          <w:sz w:val="32"/>
          <w:szCs w:val="32"/>
        </w:rPr>
        <w:t>月底，单位共有公务用车14辆，其中：轿车1辆、越野车13辆、载客汽车0辆。</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公务用车运行维护费支出</w:t>
      </w:r>
      <w:r>
        <w:rPr>
          <w:rFonts w:hint="eastAsia" w:ascii="仿宋" w:eastAsia="仿宋"/>
          <w:color w:val="000000"/>
          <w:sz w:val="32"/>
          <w:szCs w:val="32"/>
          <w:lang w:val="en-US" w:eastAsia="zh-CN"/>
        </w:rPr>
        <w:t>137.40</w:t>
      </w:r>
      <w:r>
        <w:rPr>
          <w:rFonts w:hint="eastAsia" w:ascii="仿宋" w:eastAsia="仿宋"/>
          <w:color w:val="000000"/>
          <w:sz w:val="32"/>
          <w:szCs w:val="32"/>
        </w:rPr>
        <w:t>万元</w:t>
      </w:r>
      <w:r>
        <w:rPr>
          <w:rFonts w:hint="eastAsia" w:ascii="仿宋" w:eastAsia="仿宋"/>
          <w:color w:val="000000"/>
          <w:sz w:val="32"/>
          <w:szCs w:val="32"/>
          <w:lang w:eastAsia="zh-CN"/>
        </w:rPr>
        <w:t>，较</w:t>
      </w:r>
      <w:r>
        <w:rPr>
          <w:rFonts w:hint="eastAsia" w:ascii="仿宋" w:eastAsia="仿宋"/>
          <w:color w:val="000000"/>
          <w:sz w:val="32"/>
          <w:szCs w:val="32"/>
          <w:lang w:val="en-US" w:eastAsia="zh-CN"/>
        </w:rPr>
        <w:t>2021年减少52.07万元，主要原因是本年度公务用车运行维护较上年减少</w:t>
      </w:r>
      <w:r>
        <w:rPr>
          <w:rFonts w:hint="eastAsia"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3.公务接待费支出</w:t>
      </w:r>
      <w:r>
        <w:rPr>
          <w:rFonts w:hint="eastAsia" w:ascii="仿宋" w:eastAsia="仿宋"/>
          <w:color w:val="000000"/>
          <w:sz w:val="32"/>
          <w:szCs w:val="32"/>
          <w:lang w:val="en-US" w:eastAsia="zh-CN"/>
        </w:rPr>
        <w:t>0.34</w:t>
      </w:r>
      <w:r>
        <w:rPr>
          <w:rFonts w:hint="eastAsia" w:ascii="仿宋" w:eastAsia="仿宋"/>
          <w:color w:val="000000"/>
          <w:sz w:val="32"/>
          <w:szCs w:val="32"/>
        </w:rPr>
        <w:t>万元，完成预算10</w:t>
      </w:r>
      <w:r>
        <w:rPr>
          <w:rFonts w:hint="eastAsia" w:ascii="仿宋" w:eastAsia="仿宋"/>
          <w:color w:val="000000"/>
          <w:sz w:val="32"/>
          <w:szCs w:val="32"/>
          <w:lang w:eastAsia="zh-CN"/>
        </w:rPr>
        <w:t>0</w:t>
      </w:r>
      <w:r>
        <w:rPr>
          <w:rFonts w:hint="eastAsia" w:ascii="仿宋" w:eastAsia="仿宋"/>
          <w:color w:val="000000"/>
          <w:sz w:val="32"/>
          <w:szCs w:val="32"/>
        </w:rPr>
        <w:t>%。公务接待费支出决算比202</w:t>
      </w:r>
      <w:r>
        <w:rPr>
          <w:rFonts w:hint="eastAsia" w:ascii="仿宋" w:eastAsia="仿宋"/>
          <w:color w:val="000000"/>
          <w:sz w:val="32"/>
          <w:szCs w:val="32"/>
          <w:lang w:val="en-US" w:eastAsia="zh-CN"/>
        </w:rPr>
        <w:t>1</w:t>
      </w:r>
      <w:r>
        <w:rPr>
          <w:rFonts w:hint="eastAsia" w:ascii="仿宋" w:eastAsia="仿宋"/>
          <w:color w:val="000000"/>
          <w:sz w:val="32"/>
          <w:szCs w:val="32"/>
        </w:rPr>
        <w:t>年减少</w:t>
      </w:r>
      <w:r>
        <w:rPr>
          <w:rFonts w:hint="eastAsia" w:ascii="仿宋" w:eastAsia="仿宋"/>
          <w:color w:val="000000"/>
          <w:sz w:val="32"/>
          <w:szCs w:val="32"/>
          <w:lang w:val="en-US" w:eastAsia="zh-CN"/>
        </w:rPr>
        <w:t>1.32</w:t>
      </w:r>
      <w:r>
        <w:rPr>
          <w:rFonts w:hint="eastAsia" w:ascii="仿宋" w:eastAsia="仿宋"/>
          <w:color w:val="000000"/>
          <w:sz w:val="32"/>
          <w:szCs w:val="32"/>
        </w:rPr>
        <w:t>万元，减少</w:t>
      </w:r>
      <w:r>
        <w:rPr>
          <w:rFonts w:hint="eastAsia" w:ascii="仿宋" w:eastAsia="仿宋"/>
          <w:color w:val="000000"/>
          <w:sz w:val="32"/>
          <w:szCs w:val="32"/>
          <w:lang w:val="en-US" w:eastAsia="zh-CN"/>
        </w:rPr>
        <w:t>79.60</w:t>
      </w:r>
      <w:r>
        <w:rPr>
          <w:rFonts w:ascii="仿宋" w:eastAsia="仿宋"/>
          <w:color w:val="000000"/>
          <w:sz w:val="32"/>
          <w:szCs w:val="32"/>
        </w:rPr>
        <w:t>%</w:t>
      </w:r>
      <w:r>
        <w:rPr>
          <w:rFonts w:hint="eastAsia" w:ascii="仿宋" w:eastAsia="仿宋"/>
          <w:color w:val="000000"/>
          <w:sz w:val="32"/>
          <w:szCs w:val="32"/>
          <w:lang w:eastAsia="zh-CN"/>
        </w:rPr>
        <w:t>，主要原因是本年度接待任务较上年减少</w:t>
      </w:r>
      <w:r>
        <w:rPr>
          <w:rFonts w:hint="eastAsia" w:ascii="仿宋" w:eastAsia="仿宋"/>
          <w:color w:val="000000"/>
          <w:sz w:val="32"/>
          <w:szCs w:val="32"/>
        </w:rPr>
        <w:t>。</w:t>
      </w:r>
      <w:bookmarkStart w:id="95" w:name="_Toc15377218"/>
      <w:r>
        <w:rPr>
          <w:rFonts w:hint="eastAsia"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国内公务接待支出</w:t>
      </w:r>
      <w:r>
        <w:rPr>
          <w:rFonts w:hint="eastAsia" w:ascii="仿宋" w:eastAsia="仿宋"/>
          <w:color w:val="000000"/>
          <w:sz w:val="32"/>
          <w:szCs w:val="32"/>
          <w:lang w:val="en-US" w:eastAsia="zh-CN"/>
        </w:rPr>
        <w:t>0.34</w:t>
      </w:r>
      <w:r>
        <w:rPr>
          <w:rFonts w:hint="eastAsia" w:ascii="仿宋" w:eastAsia="仿宋"/>
          <w:color w:val="000000"/>
          <w:sz w:val="32"/>
          <w:szCs w:val="32"/>
        </w:rPr>
        <w:t>万元。国内公务接待</w:t>
      </w:r>
      <w:r>
        <w:rPr>
          <w:rFonts w:hint="eastAsia" w:ascii="仿宋" w:eastAsia="仿宋"/>
          <w:color w:val="000000"/>
          <w:sz w:val="32"/>
          <w:szCs w:val="32"/>
          <w:lang w:val="en-US" w:eastAsia="zh-CN"/>
        </w:rPr>
        <w:t>6</w:t>
      </w:r>
      <w:r>
        <w:rPr>
          <w:rFonts w:hint="eastAsia" w:ascii="仿宋" w:eastAsia="仿宋"/>
          <w:color w:val="000000"/>
          <w:sz w:val="32"/>
          <w:szCs w:val="32"/>
        </w:rPr>
        <w:t>批次，</w:t>
      </w:r>
      <w:r>
        <w:rPr>
          <w:rFonts w:hint="eastAsia" w:ascii="仿宋" w:eastAsia="仿宋"/>
          <w:color w:val="000000"/>
          <w:sz w:val="32"/>
          <w:szCs w:val="32"/>
          <w:lang w:val="en-US" w:eastAsia="zh-CN"/>
        </w:rPr>
        <w:t>30</w:t>
      </w:r>
      <w:r>
        <w:rPr>
          <w:rFonts w:hint="eastAsia" w:ascii="仿宋" w:eastAsia="仿宋"/>
          <w:color w:val="000000"/>
          <w:sz w:val="32"/>
          <w:szCs w:val="32"/>
        </w:rPr>
        <w:t>人次（不包括陪同人员），共计支出</w:t>
      </w:r>
      <w:r>
        <w:rPr>
          <w:rFonts w:hint="eastAsia" w:ascii="仿宋" w:eastAsia="仿宋"/>
          <w:color w:val="000000"/>
          <w:sz w:val="32"/>
          <w:szCs w:val="32"/>
          <w:lang w:val="en-US" w:eastAsia="zh-CN"/>
        </w:rPr>
        <w:t>0.34</w:t>
      </w:r>
      <w:r>
        <w:rPr>
          <w:rFonts w:hint="eastAsia" w:ascii="仿宋" w:eastAsia="仿宋"/>
          <w:color w:val="000000"/>
          <w:sz w:val="32"/>
          <w:szCs w:val="32"/>
        </w:rPr>
        <w:t>万元。</w:t>
      </w:r>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外事接待支出</w:t>
      </w:r>
      <w:r>
        <w:rPr>
          <w:rFonts w:hint="eastAsia" w:ascii="仿宋" w:eastAsia="仿宋"/>
          <w:color w:val="000000"/>
          <w:sz w:val="32"/>
          <w:szCs w:val="32"/>
          <w:lang w:eastAsia="zh-CN"/>
        </w:rPr>
        <w:t>0</w:t>
      </w:r>
      <w:r>
        <w:rPr>
          <w:rFonts w:hint="eastAsia" w:ascii="仿宋" w:eastAsia="仿宋"/>
          <w:color w:val="000000"/>
          <w:sz w:val="32"/>
          <w:szCs w:val="32"/>
        </w:rPr>
        <w:t>万元，外事接待0批次，0人，共计支出</w:t>
      </w:r>
      <w:r>
        <w:rPr>
          <w:rFonts w:hint="eastAsia" w:ascii="仿宋" w:eastAsia="仿宋"/>
          <w:color w:val="000000"/>
          <w:sz w:val="32"/>
          <w:szCs w:val="32"/>
          <w:lang w:eastAsia="zh-CN"/>
        </w:rPr>
        <w:t>0</w:t>
      </w:r>
      <w:r>
        <w:rPr>
          <w:rFonts w:hint="eastAsia" w:ascii="仿宋" w:eastAsia="仿宋"/>
          <w:color w:val="000000"/>
          <w:sz w:val="32"/>
          <w:szCs w:val="32"/>
        </w:rPr>
        <w:t>万元。</w:t>
      </w: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96" w:name="_Toc14875"/>
      <w:bookmarkStart w:id="97" w:name="_Toc111208506"/>
      <w:bookmarkStart w:id="98" w:name="_Toc113981020"/>
      <w:bookmarkStart w:id="99" w:name="_Toc6950"/>
      <w:r>
        <w:rPr>
          <w:rFonts w:hint="eastAsia" w:ascii="黑体" w:eastAsia="黑体" w:cs="Times New Roman"/>
          <w:bCs w:val="0"/>
          <w:color w:val="000000"/>
        </w:rPr>
        <w:t>八、政府性基金预算支出决算情况说明</w:t>
      </w:r>
      <w:bookmarkEnd w:id="95"/>
      <w:bookmarkEnd w:id="96"/>
      <w:bookmarkEnd w:id="97"/>
      <w:bookmarkEnd w:id="98"/>
      <w:bookmarkEnd w:id="99"/>
    </w:p>
    <w:p>
      <w:pPr>
        <w:pageBreakBefore w:val="0"/>
        <w:widowControl w:val="0"/>
        <w:kinsoku/>
        <w:wordWrap/>
        <w:topLinePunct w:val="0"/>
        <w:bidi w:val="0"/>
        <w:spacing w:line="576" w:lineRule="exact"/>
        <w:ind w:firstLine="640"/>
        <w:textAlignment w:val="auto"/>
        <w:rPr>
          <w:rFonts w:ascii="仿宋" w:eastAsia="仿宋"/>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年政府性基金预算拨款支出</w:t>
      </w:r>
      <w:r>
        <w:rPr>
          <w:rFonts w:hint="eastAsia" w:ascii="仿宋" w:eastAsia="仿宋"/>
          <w:color w:val="000000"/>
          <w:sz w:val="32"/>
          <w:szCs w:val="32"/>
          <w:lang w:eastAsia="zh-CN"/>
        </w:rPr>
        <w:t>0</w:t>
      </w:r>
      <w:r>
        <w:rPr>
          <w:rFonts w:hint="eastAsia" w:ascii="仿宋" w:eastAsia="仿宋"/>
          <w:color w:val="000000"/>
          <w:sz w:val="32"/>
          <w:szCs w:val="32"/>
        </w:rPr>
        <w:t>万元。</w:t>
      </w:r>
      <w:bookmarkStart w:id="100" w:name="_Toc15377219"/>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01" w:name="_Toc113981021"/>
      <w:bookmarkStart w:id="102" w:name="_Toc111208507"/>
      <w:bookmarkStart w:id="103" w:name="_Toc29885"/>
      <w:bookmarkStart w:id="104" w:name="_Toc29947"/>
      <w:r>
        <w:rPr>
          <w:rFonts w:hint="eastAsia" w:ascii="黑体" w:eastAsia="黑体" w:cs="Times New Roman"/>
          <w:bCs w:val="0"/>
          <w:color w:val="000000"/>
        </w:rPr>
        <w:t>九、国有资本经营预算支出决算情况说明</w:t>
      </w:r>
      <w:bookmarkEnd w:id="100"/>
      <w:bookmarkEnd w:id="101"/>
      <w:bookmarkEnd w:id="102"/>
      <w:bookmarkEnd w:id="103"/>
      <w:bookmarkEnd w:id="104"/>
    </w:p>
    <w:p>
      <w:pPr>
        <w:pageBreakBefore w:val="0"/>
        <w:widowControl w:val="0"/>
        <w:kinsoku/>
        <w:wordWrap/>
        <w:topLinePunct w:val="0"/>
        <w:bidi w:val="0"/>
        <w:spacing w:line="576" w:lineRule="exact"/>
        <w:ind w:firstLine="640"/>
        <w:textAlignment w:val="auto"/>
        <w:rPr>
          <w:rFonts w:ascii="仿宋" w:eastAsia="仿宋"/>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年国有资本经营预算拨款支出</w:t>
      </w:r>
      <w:r>
        <w:rPr>
          <w:rFonts w:hint="eastAsia" w:ascii="仿宋" w:eastAsia="仿宋"/>
          <w:color w:val="000000"/>
          <w:sz w:val="32"/>
          <w:szCs w:val="32"/>
          <w:lang w:eastAsia="zh-CN"/>
        </w:rPr>
        <w:t>0</w:t>
      </w:r>
      <w:r>
        <w:rPr>
          <w:rFonts w:hint="eastAsia" w:ascii="仿宋" w:eastAsia="仿宋"/>
          <w:color w:val="000000"/>
          <w:sz w:val="32"/>
          <w:szCs w:val="32"/>
        </w:rPr>
        <w:t>万元。</w:t>
      </w:r>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05" w:name="_Toc18642"/>
      <w:bookmarkStart w:id="106" w:name="_Toc113981022"/>
      <w:bookmarkStart w:id="107" w:name="_Toc111208508"/>
      <w:bookmarkStart w:id="108" w:name="_Toc15377221"/>
      <w:bookmarkStart w:id="109" w:name="_Toc9981"/>
      <w:r>
        <w:rPr>
          <w:rFonts w:hint="eastAsia" w:ascii="黑体" w:eastAsia="黑体" w:cs="Times New Roman"/>
          <w:bCs w:val="0"/>
          <w:color w:val="000000"/>
        </w:rPr>
        <w:t>十、其他重要事项的情况说明</w:t>
      </w:r>
      <w:bookmarkEnd w:id="105"/>
      <w:bookmarkEnd w:id="106"/>
      <w:bookmarkEnd w:id="107"/>
      <w:bookmarkEnd w:id="108"/>
      <w:bookmarkEnd w:id="109"/>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110" w:name="_Toc15377222"/>
      <w:bookmarkStart w:id="111" w:name="_Toc9749"/>
      <w:bookmarkStart w:id="112" w:name="_Toc5091"/>
      <w:r>
        <w:rPr>
          <w:rFonts w:hint="eastAsia" w:ascii="仿宋" w:eastAsia="仿宋"/>
          <w:b/>
          <w:color w:val="000000"/>
          <w:sz w:val="32"/>
          <w:szCs w:val="32"/>
        </w:rPr>
        <w:t>（一）机关运行经费支出情况</w:t>
      </w:r>
      <w:bookmarkEnd w:id="110"/>
      <w:bookmarkEnd w:id="111"/>
      <w:bookmarkEnd w:id="112"/>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年，机关运行经费支出</w:t>
      </w:r>
      <w:r>
        <w:rPr>
          <w:rFonts w:hint="eastAsia" w:ascii="仿宋" w:eastAsia="仿宋"/>
          <w:color w:val="000000"/>
          <w:sz w:val="32"/>
          <w:szCs w:val="32"/>
          <w:lang w:val="en-US" w:eastAsia="zh-CN"/>
        </w:rPr>
        <w:t>221.98</w:t>
      </w:r>
      <w:r>
        <w:rPr>
          <w:rFonts w:hint="eastAsia" w:ascii="仿宋" w:eastAsia="仿宋"/>
          <w:color w:val="000000"/>
          <w:sz w:val="32"/>
          <w:szCs w:val="32"/>
        </w:rPr>
        <w:t>万元，比202</w:t>
      </w:r>
      <w:r>
        <w:rPr>
          <w:rFonts w:hint="eastAsia" w:ascii="仿宋" w:eastAsia="仿宋"/>
          <w:color w:val="000000"/>
          <w:sz w:val="32"/>
          <w:szCs w:val="32"/>
          <w:lang w:val="en-US" w:eastAsia="zh-CN"/>
        </w:rPr>
        <w:t>1</w:t>
      </w:r>
      <w:r>
        <w:rPr>
          <w:rFonts w:hint="eastAsia" w:ascii="仿宋" w:eastAsia="仿宋"/>
          <w:color w:val="000000"/>
          <w:sz w:val="32"/>
          <w:szCs w:val="32"/>
        </w:rPr>
        <w:t>年</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32.21</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16.97</w:t>
      </w:r>
      <w:r>
        <w:rPr>
          <w:rFonts w:hint="eastAsia" w:ascii="仿宋" w:eastAsia="仿宋"/>
          <w:color w:val="000000"/>
          <w:sz w:val="32"/>
          <w:szCs w:val="32"/>
        </w:rPr>
        <w:t xml:space="preserve"> %。 </w:t>
      </w:r>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113" w:name="_Toc15377223"/>
      <w:bookmarkStart w:id="114" w:name="_Toc4474"/>
      <w:bookmarkStart w:id="115" w:name="_Toc16414"/>
      <w:r>
        <w:rPr>
          <w:rFonts w:hint="eastAsia" w:ascii="仿宋" w:eastAsia="仿宋"/>
          <w:b/>
          <w:color w:val="000000"/>
          <w:sz w:val="32"/>
          <w:szCs w:val="32"/>
        </w:rPr>
        <w:t>（二）政府采购支出情况</w:t>
      </w:r>
      <w:bookmarkEnd w:id="113"/>
      <w:r>
        <w:rPr>
          <w:rFonts w:hint="eastAsia" w:ascii="仿宋" w:eastAsia="仿宋"/>
          <w:b/>
          <w:color w:val="000000"/>
          <w:sz w:val="32"/>
          <w:szCs w:val="32"/>
        </w:rPr>
        <w:t>(机构运行信息表)</w:t>
      </w:r>
      <w:bookmarkEnd w:id="114"/>
      <w:bookmarkEnd w:id="115"/>
    </w:p>
    <w:p>
      <w:pPr>
        <w:pageBreakBefore w:val="0"/>
        <w:widowControl w:val="0"/>
        <w:kinsoku/>
        <w:wordWrap/>
        <w:topLinePunct w:val="0"/>
        <w:bidi w:val="0"/>
        <w:spacing w:line="576" w:lineRule="exact"/>
        <w:ind w:firstLine="640"/>
        <w:textAlignment w:val="auto"/>
        <w:rPr>
          <w:rFonts w:ascii="仿宋_GB2312" w:eastAsia="仿宋_GB2312"/>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年，政府采购支出总额</w:t>
      </w:r>
      <w:r>
        <w:rPr>
          <w:rFonts w:hint="eastAsia" w:ascii="仿宋" w:eastAsia="仿宋"/>
          <w:color w:val="000000"/>
          <w:sz w:val="32"/>
          <w:szCs w:val="32"/>
          <w:lang w:val="en-US" w:eastAsia="zh-CN"/>
        </w:rPr>
        <w:t>57.01</w:t>
      </w:r>
      <w:r>
        <w:rPr>
          <w:rFonts w:hint="eastAsia" w:ascii="仿宋" w:eastAsia="仿宋"/>
          <w:color w:val="000000"/>
          <w:sz w:val="32"/>
          <w:szCs w:val="32"/>
        </w:rPr>
        <w:t>万元，其中：政府采购货物支出</w:t>
      </w:r>
      <w:r>
        <w:rPr>
          <w:rFonts w:hint="eastAsia" w:ascii="仿宋" w:eastAsia="仿宋"/>
          <w:color w:val="000000"/>
          <w:sz w:val="32"/>
          <w:szCs w:val="32"/>
          <w:lang w:val="en-US" w:eastAsia="zh-CN"/>
        </w:rPr>
        <w:t>57.01</w:t>
      </w:r>
      <w:r>
        <w:rPr>
          <w:rFonts w:hint="eastAsia" w:ascii="仿宋" w:eastAsia="仿宋"/>
          <w:color w:val="000000"/>
          <w:sz w:val="32"/>
          <w:szCs w:val="32"/>
        </w:rPr>
        <w:t>万元、政府采购工程支出</w:t>
      </w:r>
      <w:r>
        <w:rPr>
          <w:rFonts w:hint="eastAsia" w:ascii="仿宋" w:eastAsia="仿宋"/>
          <w:color w:val="000000"/>
          <w:sz w:val="32"/>
          <w:szCs w:val="32"/>
          <w:lang w:eastAsia="zh-CN"/>
        </w:rPr>
        <w:t>0</w:t>
      </w:r>
      <w:r>
        <w:rPr>
          <w:rFonts w:hint="eastAsia" w:ascii="仿宋" w:eastAsia="仿宋"/>
          <w:color w:val="000000"/>
          <w:sz w:val="32"/>
          <w:szCs w:val="32"/>
        </w:rPr>
        <w:t>万元、政府采购服务支出</w:t>
      </w:r>
      <w:r>
        <w:rPr>
          <w:rFonts w:hint="eastAsia" w:ascii="仿宋" w:eastAsia="仿宋"/>
          <w:color w:val="000000"/>
          <w:sz w:val="32"/>
          <w:szCs w:val="32"/>
          <w:lang w:eastAsia="zh-CN"/>
        </w:rPr>
        <w:t>0</w:t>
      </w:r>
      <w:r>
        <w:rPr>
          <w:rFonts w:hint="eastAsia" w:ascii="仿宋" w:eastAsia="仿宋"/>
          <w:color w:val="000000"/>
          <w:sz w:val="32"/>
          <w:szCs w:val="32"/>
        </w:rPr>
        <w:t>万元。</w:t>
      </w:r>
      <w:bookmarkStart w:id="219" w:name="_GoBack"/>
      <w:bookmarkEnd w:id="219"/>
      <w:r>
        <w:rPr>
          <w:rFonts w:hint="eastAsia" w:ascii="仿宋" w:eastAsia="仿宋"/>
          <w:color w:val="000000"/>
          <w:sz w:val="32"/>
          <w:szCs w:val="32"/>
        </w:rPr>
        <w:t>授予中小企业合同金额</w:t>
      </w:r>
      <w:r>
        <w:rPr>
          <w:rFonts w:hint="eastAsia" w:ascii="仿宋" w:eastAsia="仿宋"/>
          <w:color w:val="000000"/>
          <w:sz w:val="32"/>
          <w:szCs w:val="32"/>
          <w:lang w:val="en-US" w:eastAsia="zh-CN"/>
        </w:rPr>
        <w:t>57.01</w:t>
      </w:r>
      <w:r>
        <w:rPr>
          <w:rFonts w:hint="eastAsia" w:ascii="仿宋" w:eastAsia="仿宋"/>
          <w:color w:val="000000"/>
          <w:sz w:val="32"/>
          <w:szCs w:val="32"/>
        </w:rPr>
        <w:t>万元，其中：授予小微企业合同金额</w:t>
      </w:r>
      <w:r>
        <w:rPr>
          <w:rFonts w:hint="eastAsia" w:ascii="仿宋" w:eastAsia="仿宋"/>
          <w:color w:val="000000"/>
          <w:sz w:val="32"/>
          <w:szCs w:val="32"/>
          <w:lang w:val="en-US" w:eastAsia="zh-CN"/>
        </w:rPr>
        <w:t>57.01</w:t>
      </w:r>
      <w:r>
        <w:rPr>
          <w:rFonts w:hint="eastAsia" w:ascii="仿宋" w:eastAsia="仿宋"/>
          <w:color w:val="000000"/>
          <w:sz w:val="32"/>
          <w:szCs w:val="32"/>
        </w:rPr>
        <w:t>万元，占总合同的10</w:t>
      </w:r>
      <w:r>
        <w:rPr>
          <w:rFonts w:hint="eastAsia" w:ascii="仿宋" w:eastAsia="仿宋"/>
          <w:color w:val="000000"/>
          <w:sz w:val="32"/>
          <w:szCs w:val="32"/>
          <w:lang w:eastAsia="zh-CN"/>
        </w:rPr>
        <w:t>0</w:t>
      </w:r>
      <w:r>
        <w:rPr>
          <w:rFonts w:hint="eastAsia" w:ascii="仿宋" w:eastAsia="仿宋"/>
          <w:color w:val="000000"/>
          <w:sz w:val="32"/>
          <w:szCs w:val="32"/>
        </w:rPr>
        <w:t>%。</w:t>
      </w:r>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116" w:name="_Toc22190"/>
      <w:bookmarkStart w:id="117" w:name="_Toc15377224"/>
      <w:bookmarkStart w:id="118" w:name="_Toc12178"/>
      <w:r>
        <w:rPr>
          <w:rFonts w:hint="eastAsia" w:ascii="仿宋" w:eastAsia="仿宋"/>
          <w:b/>
          <w:color w:val="000000"/>
          <w:sz w:val="32"/>
          <w:szCs w:val="32"/>
        </w:rPr>
        <w:t>（三）国有资产占有使用情况</w:t>
      </w:r>
      <w:bookmarkEnd w:id="116"/>
      <w:bookmarkEnd w:id="117"/>
      <w:bookmarkEnd w:id="118"/>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截至202</w:t>
      </w:r>
      <w:r>
        <w:rPr>
          <w:rFonts w:hint="eastAsia" w:ascii="仿宋" w:eastAsia="仿宋"/>
          <w:color w:val="000000"/>
          <w:sz w:val="32"/>
          <w:szCs w:val="32"/>
          <w:lang w:val="en-US" w:eastAsia="zh-CN"/>
        </w:rPr>
        <w:t>2</w:t>
      </w:r>
      <w:r>
        <w:rPr>
          <w:rFonts w:hint="eastAsia" w:ascii="仿宋" w:eastAsia="仿宋"/>
          <w:color w:val="000000"/>
          <w:sz w:val="32"/>
          <w:szCs w:val="32"/>
        </w:rPr>
        <w:t>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日，共有车辆14辆，其中：主要领导干部用车0辆、机要通信用车0辆、应急保障用车14辆、其他用车0辆。单价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pageBreakBefore w:val="0"/>
        <w:widowControl w:val="0"/>
        <w:kinsoku/>
        <w:wordWrap/>
        <w:topLinePunct w:val="0"/>
        <w:bidi w:val="0"/>
        <w:spacing w:line="576" w:lineRule="exact"/>
        <w:ind w:firstLine="643" w:firstLineChars="200"/>
        <w:textAlignment w:val="auto"/>
        <w:outlineLvl w:val="2"/>
        <w:rPr>
          <w:rFonts w:ascii="仿宋" w:eastAsia="仿宋"/>
          <w:b/>
          <w:color w:val="000000"/>
          <w:sz w:val="32"/>
          <w:szCs w:val="32"/>
        </w:rPr>
      </w:pPr>
      <w:bookmarkStart w:id="119" w:name="_Toc32285"/>
      <w:bookmarkStart w:id="120" w:name="_Toc24056"/>
      <w:r>
        <w:rPr>
          <w:rFonts w:hint="eastAsia" w:ascii="仿宋" w:eastAsia="仿宋"/>
          <w:b/>
          <w:color w:val="000000"/>
          <w:sz w:val="32"/>
          <w:szCs w:val="32"/>
        </w:rPr>
        <w:t>（四）预算绩效管理情况</w:t>
      </w:r>
      <w:bookmarkEnd w:id="119"/>
      <w:bookmarkEnd w:id="120"/>
    </w:p>
    <w:p>
      <w:pPr>
        <w:pStyle w:val="46"/>
        <w:pageBreakBefore w:val="0"/>
        <w:widowControl w:val="0"/>
        <w:kinsoku/>
        <w:wordWrap/>
        <w:topLinePunct w:val="0"/>
        <w:bidi w:val="0"/>
        <w:spacing w:line="576" w:lineRule="exact"/>
        <w:ind w:firstLine="640" w:firstLineChars="200"/>
        <w:textAlignment w:val="auto"/>
      </w:pPr>
      <w:r>
        <w:rPr>
          <w:rFonts w:hint="eastAsia" w:ascii="仿宋_GB2312" w:eastAsia="仿宋_GB2312" w:cs="仿宋_GB2312"/>
          <w:color w:val="000000"/>
          <w:sz w:val="32"/>
          <w:szCs w:val="32"/>
        </w:rPr>
        <w:t>我</w:t>
      </w:r>
      <w:r>
        <w:rPr>
          <w:rFonts w:hint="eastAsia" w:ascii="仿宋_GB2312" w:eastAsia="仿宋_GB2312" w:cs="仿宋_GB2312"/>
          <w:color w:val="000000"/>
          <w:sz w:val="32"/>
          <w:szCs w:val="32"/>
          <w:lang w:eastAsia="zh-CN"/>
        </w:rPr>
        <w:t>单位</w:t>
      </w:r>
      <w:r>
        <w:rPr>
          <w:rFonts w:hint="eastAsia" w:ascii="仿宋_GB2312" w:eastAsia="仿宋_GB2312" w:cs="仿宋_GB2312"/>
          <w:color w:val="000000"/>
          <w:sz w:val="32"/>
          <w:szCs w:val="32"/>
        </w:rPr>
        <w:t>根据预算绩效管理要求，根据年初工作规划和重点性工作，积极</w:t>
      </w:r>
      <w:r>
        <w:rPr>
          <w:rFonts w:hint="eastAsia" w:ascii="仿宋_GB2312" w:eastAsia="仿宋_GB2312" w:cs="仿宋_GB2312"/>
          <w:sz w:val="32"/>
          <w:szCs w:val="32"/>
        </w:rPr>
        <w:t>履职，强化管理，通过加强预算收支管理，不断建立健全内部管理制度，梳理内部管理流程，较好的完成了年度工作目标。</w:t>
      </w:r>
      <w:r>
        <w:rPr>
          <w:rFonts w:ascii="仿宋_GB2312" w:eastAsia="仿宋_GB2312" w:cs="Times New Roman"/>
          <w:color w:val="000000"/>
          <w:sz w:val="32"/>
          <w:szCs w:val="32"/>
        </w:rPr>
        <w:t>在2022年度预算编制阶段，组织对</w:t>
      </w:r>
      <w:r>
        <w:rPr>
          <w:rFonts w:hint="eastAsia" w:ascii="仿宋_GB2312" w:eastAsia="仿宋_GB2312" w:cs="Times New Roman"/>
          <w:color w:val="000000"/>
          <w:sz w:val="32"/>
          <w:szCs w:val="32"/>
          <w:lang w:eastAsia="zh-CN"/>
        </w:rPr>
        <w:t>工资性支出</w:t>
      </w:r>
      <w:r>
        <w:rPr>
          <w:rFonts w:ascii="仿宋_GB2312" w:eastAsia="仿宋_GB2312" w:cs="Times New Roman"/>
          <w:color w:val="000000"/>
          <w:sz w:val="32"/>
          <w:szCs w:val="32"/>
        </w:rPr>
        <w:t>等项目开展了预算事前绩效评估，对</w:t>
      </w:r>
      <w:r>
        <w:rPr>
          <w:rFonts w:hint="eastAsia" w:ascii="仿宋_GB2312" w:eastAsia="仿宋_GB2312" w:cs="Times New Roman"/>
          <w:color w:val="000000"/>
          <w:sz w:val="32"/>
          <w:szCs w:val="32"/>
          <w:lang w:eastAsia="zh-CN"/>
        </w:rPr>
        <w:t>工资性支出</w:t>
      </w:r>
      <w:r>
        <w:rPr>
          <w:rFonts w:ascii="仿宋_GB2312" w:eastAsia="仿宋_GB2312" w:cs="Times New Roman"/>
          <w:color w:val="000000"/>
          <w:sz w:val="32"/>
          <w:szCs w:val="32"/>
        </w:rPr>
        <w:t>等项目编制了绩效目标，预算执行过程中，选取</w:t>
      </w:r>
      <w:r>
        <w:rPr>
          <w:rFonts w:hint="eastAsia" w:ascii="仿宋_GB2312" w:eastAsia="仿宋_GB2312" w:cs="Times New Roman"/>
          <w:color w:val="000000"/>
          <w:sz w:val="32"/>
          <w:szCs w:val="32"/>
          <w:lang w:eastAsia="zh-CN"/>
        </w:rPr>
        <w:t>工资性支出</w:t>
      </w:r>
      <w:r>
        <w:rPr>
          <w:rFonts w:ascii="仿宋_GB2312" w:eastAsia="仿宋_GB2312" w:cs="Times New Roman"/>
          <w:color w:val="000000"/>
          <w:sz w:val="32"/>
          <w:szCs w:val="32"/>
        </w:rPr>
        <w:t>等项目开展绩效监控，组织对</w:t>
      </w:r>
      <w:r>
        <w:rPr>
          <w:rFonts w:hint="eastAsia" w:ascii="仿宋_GB2312" w:eastAsia="仿宋_GB2312" w:cs="Times New Roman"/>
          <w:color w:val="000000"/>
          <w:sz w:val="32"/>
          <w:szCs w:val="32"/>
          <w:lang w:eastAsia="zh-CN"/>
        </w:rPr>
        <w:t>工资性支出</w:t>
      </w:r>
      <w:r>
        <w:rPr>
          <w:rFonts w:ascii="仿宋_GB2312" w:eastAsia="仿宋_GB2312" w:cs="Times New Roman"/>
          <w:color w:val="000000"/>
          <w:sz w:val="32"/>
          <w:szCs w:val="32"/>
        </w:rPr>
        <w:t>等项目开展绩效自评</w:t>
      </w:r>
      <w:r>
        <w:rPr>
          <w:rFonts w:ascii="仿宋_GB2312" w:eastAsia="仿宋_GB2312" w:cs="Times New Roman"/>
          <w:color w:val="000000"/>
          <w:sz w:val="32"/>
          <w:szCs w:val="32"/>
          <w:lang w:val="en-US" w:eastAsia="zh-CN"/>
        </w:rPr>
        <w:t>形成部门整体（含部门预算项目）绩效自评报告，部门整体（含部门预算项目）绩效自评得分为</w:t>
      </w:r>
      <w:r>
        <w:rPr>
          <w:rFonts w:hint="eastAsia" w:ascii="仿宋_GB2312" w:eastAsia="仿宋_GB2312" w:cs="Times New Roman"/>
          <w:color w:val="000000"/>
          <w:sz w:val="32"/>
          <w:szCs w:val="32"/>
          <w:lang w:val="en-US" w:eastAsia="zh-CN"/>
        </w:rPr>
        <w:t>95</w:t>
      </w:r>
      <w:r>
        <w:rPr>
          <w:rFonts w:ascii="仿宋_GB2312" w:eastAsia="仿宋_GB2312" w:cs="Times New Roman"/>
          <w:color w:val="000000"/>
          <w:sz w:val="32"/>
          <w:szCs w:val="32"/>
          <w:lang w:val="en-US" w:eastAsia="zh-CN"/>
        </w:rPr>
        <w:t>分，绩效自评综述：</w:t>
      </w:r>
      <w:r>
        <w:rPr>
          <w:rFonts w:hint="eastAsia" w:ascii="仿宋_GB2312" w:eastAsia="仿宋_GB2312" w:cs="仿宋"/>
          <w:sz w:val="32"/>
          <w:szCs w:val="32"/>
        </w:rPr>
        <w:t>自查自评结果良好，基本支出保证了部门的正常运行和日常工作的正常开展，绩效指标体系逐渐丰富和完善。</w:t>
      </w:r>
      <w:r>
        <w:rPr>
          <w:rFonts w:ascii="仿宋_GB2312" w:eastAsia="仿宋_GB2312" w:cs="Times New Roman"/>
          <w:color w:val="000000"/>
          <w:sz w:val="32"/>
          <w:szCs w:val="32"/>
          <w:lang w:val="en-US" w:eastAsia="zh-CN"/>
        </w:rPr>
        <w:t>绩效自评报告详见附件</w:t>
      </w:r>
      <w:r>
        <w:rPr>
          <w:rFonts w:ascii="仿宋_GB2312" w:eastAsia="仿宋_GB2312" w:cs="Times New Roman"/>
          <w:color w:val="000000"/>
          <w:sz w:val="32"/>
          <w:szCs w:val="32"/>
        </w:rPr>
        <w:t>，绩效自评表详见第四部分附件。</w:t>
      </w:r>
    </w:p>
    <w:p>
      <w:pPr>
        <w:pageBreakBefore w:val="0"/>
        <w:widowControl/>
        <w:kinsoku/>
        <w:wordWrap/>
        <w:topLinePunct w:val="0"/>
        <w:bidi w:val="0"/>
        <w:spacing w:line="576"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121" w:name="_Toc15134"/>
      <w:bookmarkStart w:id="122" w:name="_Toc113981023"/>
      <w:bookmarkStart w:id="123" w:name="_Toc15377225"/>
      <w:bookmarkStart w:id="124" w:name="_Toc111208509"/>
      <w:bookmarkStart w:id="125" w:name="_Toc4336"/>
      <w:r>
        <w:rPr>
          <w:rFonts w:hint="eastAsia" w:ascii="黑体" w:eastAsia="黑体" w:cs="黑体"/>
        </w:rPr>
        <w:t>第三部分 名词解释</w:t>
      </w:r>
      <w:bookmarkEnd w:id="121"/>
      <w:bookmarkEnd w:id="122"/>
      <w:bookmarkEnd w:id="123"/>
      <w:bookmarkEnd w:id="124"/>
      <w:bookmarkEnd w:id="125"/>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9.一般公共服务支出（201）政府办公厅（室）及相关机构事务（20103）行政运行（2010301）：反映行政单位（包括实行公务员管理的事业单位）的基本支出。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10.一般公共服务支出（201）政府办公厅（室）及相关机构事务（20103）事业运行（2010350）：反映事业单位的基本支出，不包括行政单位（包括实行公务员管理的事业单位）后勤服务中心、医务室等附属事业单位。</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11.一般公共服务支出（201）政府办公厅（室）及相关机构事务（20103）其他政府办公厅（室）及相关机构事务支出（2010399）：反映除上述项目以外的其他政府办公厅（室）及相关机构事务支岀。</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12.社会保障和就业支出（208）行政事业单位养老支出（20805）机关事业单位基本养老保险缴费支出（2080505）：反映机关事业单位实施养老保险制度由单位缴纳的基本养老保险费支出。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13.社会保障和就业支出（208）行政事业单位养老支出（20805）机关事业单位职业年金缴费支出（2080506）：反映机关事业单位实施养老保险制度由单位实际缴纳的职业年金支出。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15.卫生健康支出（210）行政事业单位医疗（21011）事业单位医疗（2101102）：反映财政部门安排的事业单位基本医疗保险缴费经费，未参加医疗保险的事业单位的公费医疗经费，按国家规定享受离休人员待遇的医疗经费。</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16.农林水支出（213）扶贫（21305）其他扶贫支出（2130599）：反映除上述项目以外其他用于扶贫方面的支出。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17.住房保障支出（221）住房改革支出（22102）住房公积金（2210201）：反映行政事业单位按人力资源和社会保障部、财政部规定的基本工资和津贴补贴以及规定比例为职工缴纳的住房公积金。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18.住房保障支出（221）住房改革支出（22102）购房补贴（2210203）：反映按房改政策规定，行政事业单位向符合条件职工（含离退休人员）、军队（含武警）向转役复员离退休人员发放的用于购买住房的补贴。</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19.基本支出：指为保障机构正常运转、完成日常工作任务而发生的人员支出和公用支出。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20.经营支出：指事业单位在专业业务活动及其辅助活动之外开展非独立核算经营活动发生的支出。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topLinePunct w:val="0"/>
        <w:bidi w:val="0"/>
        <w:spacing w:line="576" w:lineRule="exact"/>
        <w:ind w:firstLine="640"/>
        <w:textAlignment w:val="auto"/>
        <w:rPr>
          <w:rFonts w:ascii="仿宋_GB2312" w:eastAsia="仿宋_GB2312" w:cs="黑体"/>
          <w:sz w:val="32"/>
          <w:szCs w:val="32"/>
        </w:rPr>
      </w:pPr>
      <w:r>
        <w:rPr>
          <w:rFonts w:hint="eastAsia" w:ascii="仿宋" w:eastAsia="仿宋"/>
          <w:color w:val="000000"/>
          <w:sz w:val="32"/>
          <w:szCs w:val="32"/>
        </w:rPr>
        <w:t>23.财政应返还额度：为行政事业单位会计核算科目，用于核算实行国库集中支付的行政事业单位应收财政返还的资金额度。</w:t>
      </w:r>
    </w:p>
    <w:p>
      <w:pPr>
        <w:pageBreakBefore w:val="0"/>
        <w:widowControl/>
        <w:kinsoku/>
        <w:wordWrap/>
        <w:topLinePunct w:val="0"/>
        <w:bidi w:val="0"/>
        <w:spacing w:line="576" w:lineRule="exact"/>
        <w:jc w:val="left"/>
        <w:textAlignment w:val="auto"/>
        <w:rPr>
          <w:rStyle w:val="23"/>
          <w:rFonts w:ascii="黑体" w:eastAsia="黑体"/>
        </w:rPr>
      </w:pPr>
      <w:r>
        <w:rPr>
          <w:rStyle w:val="23"/>
          <w:rFonts w:ascii="黑体" w:eastAsia="黑体"/>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126" w:name="_Toc113981024"/>
      <w:bookmarkStart w:id="127" w:name="_Toc111208510"/>
      <w:bookmarkStart w:id="128" w:name="_Toc24800"/>
      <w:bookmarkStart w:id="129" w:name="_Toc24638"/>
      <w:r>
        <w:rPr>
          <w:rFonts w:hint="eastAsia" w:ascii="黑体" w:eastAsia="黑体" w:cs="黑体"/>
        </w:rPr>
        <w:t>第四部分 附件</w:t>
      </w:r>
      <w:bookmarkEnd w:id="126"/>
      <w:bookmarkEnd w:id="127"/>
      <w:bookmarkEnd w:id="128"/>
      <w:bookmarkEnd w:id="129"/>
    </w:p>
    <w:p>
      <w:pPr>
        <w:keepNext w:val="0"/>
        <w:keepLines w:val="0"/>
        <w:pageBreakBefore w:val="0"/>
        <w:widowControl/>
        <w:kinsoku/>
        <w:wordWrap/>
        <w:topLinePunct w:val="0"/>
        <w:bidi w:val="0"/>
        <w:spacing w:line="576" w:lineRule="exact"/>
        <w:contextualSpacing/>
        <w:jc w:val="center"/>
        <w:rPr>
          <w:rFonts w:hint="eastAsia" w:ascii="宋体" w:cs="Times New Roman"/>
          <w:b/>
          <w:sz w:val="44"/>
          <w:szCs w:val="44"/>
          <w:shd w:val="clear" w:color="auto" w:fill="FFFFFF"/>
          <w:lang w:eastAsia="zh-CN"/>
        </w:rPr>
      </w:pPr>
      <w:bookmarkStart w:id="130" w:name="_Toc113981025"/>
      <w:bookmarkStart w:id="131" w:name="_Toc79163635"/>
      <w:bookmarkStart w:id="132" w:name="_Toc111208512"/>
      <w:bookmarkStart w:id="133" w:name="_Toc79163885"/>
      <w:r>
        <w:rPr>
          <w:rFonts w:hint="eastAsia" w:ascii="宋体" w:cs="Times New Roman"/>
          <w:b/>
          <w:sz w:val="44"/>
          <w:szCs w:val="44"/>
          <w:shd w:val="clear" w:color="auto" w:fill="FFFFFF"/>
          <w:lang w:eastAsia="zh-CN"/>
        </w:rPr>
        <w:t>茂县人民政府办公室</w:t>
      </w:r>
    </w:p>
    <w:p>
      <w:pPr>
        <w:keepNext w:val="0"/>
        <w:keepLines w:val="0"/>
        <w:pageBreakBefore w:val="0"/>
        <w:widowControl/>
        <w:kinsoku/>
        <w:wordWrap/>
        <w:topLinePunct w:val="0"/>
        <w:bidi w:val="0"/>
        <w:spacing w:line="576" w:lineRule="exact"/>
        <w:contextualSpacing/>
        <w:jc w:val="center"/>
        <w:rPr>
          <w:rFonts w:ascii="宋体" w:cs="Times New Roman"/>
          <w:b/>
          <w:sz w:val="44"/>
          <w:szCs w:val="44"/>
          <w:shd w:val="clear" w:color="auto" w:fill="FFFFFF"/>
        </w:rPr>
      </w:pPr>
      <w:r>
        <w:rPr>
          <w:rFonts w:hint="eastAsia" w:ascii="宋体" w:cs="Times New Roman"/>
          <w:b/>
          <w:sz w:val="44"/>
          <w:szCs w:val="44"/>
          <w:shd w:val="clear" w:color="auto" w:fill="FFFFFF"/>
        </w:rPr>
        <w:t>202</w:t>
      </w:r>
      <w:r>
        <w:rPr>
          <w:rFonts w:hint="eastAsia" w:ascii="宋体" w:cs="Times New Roman"/>
          <w:b/>
          <w:sz w:val="44"/>
          <w:szCs w:val="44"/>
          <w:shd w:val="clear" w:color="auto" w:fill="FFFFFF"/>
          <w:lang w:val="en-US" w:eastAsia="zh-CN"/>
        </w:rPr>
        <w:t>2</w:t>
      </w:r>
      <w:r>
        <w:rPr>
          <w:rFonts w:hint="eastAsia" w:ascii="宋体" w:cs="Times New Roman"/>
          <w:b/>
          <w:sz w:val="44"/>
          <w:szCs w:val="44"/>
          <w:shd w:val="clear" w:color="auto" w:fill="FFFFFF"/>
        </w:rPr>
        <w:t>年县级部门整体支出</w:t>
      </w:r>
    </w:p>
    <w:p>
      <w:pPr>
        <w:keepNext w:val="0"/>
        <w:keepLines w:val="0"/>
        <w:pageBreakBefore w:val="0"/>
        <w:widowControl/>
        <w:kinsoku/>
        <w:wordWrap/>
        <w:topLinePunct w:val="0"/>
        <w:bidi w:val="0"/>
        <w:spacing w:line="576" w:lineRule="exact"/>
        <w:contextualSpacing/>
        <w:jc w:val="center"/>
        <w:rPr>
          <w:rFonts w:ascii="宋体" w:cs="Times New Roman"/>
          <w:b/>
          <w:sz w:val="44"/>
          <w:szCs w:val="44"/>
          <w:shd w:val="clear" w:color="auto" w:fill="FFFFFF"/>
        </w:rPr>
      </w:pPr>
      <w:r>
        <w:rPr>
          <w:rFonts w:hint="eastAsia" w:ascii="宋体" w:cs="Times New Roman"/>
          <w:b/>
          <w:sz w:val="44"/>
          <w:szCs w:val="44"/>
          <w:shd w:val="clear" w:color="auto" w:fill="FFFFFF"/>
        </w:rPr>
        <w:t>绩效评价报告</w:t>
      </w:r>
    </w:p>
    <w:p>
      <w:pPr>
        <w:keepNext w:val="0"/>
        <w:keepLines w:val="0"/>
        <w:pageBreakBefore w:val="0"/>
        <w:widowControl/>
        <w:kinsoku/>
        <w:wordWrap/>
        <w:topLinePunct w:val="0"/>
        <w:bidi w:val="0"/>
        <w:adjustRightInd w:val="0"/>
        <w:snapToGrid w:val="0"/>
        <w:spacing w:line="576" w:lineRule="exact"/>
        <w:ind w:firstLine="480" w:firstLineChars="200"/>
        <w:contextualSpacing/>
        <w:jc w:val="left"/>
        <w:rPr>
          <w:rFonts w:ascii="黑体" w:eastAsia="黑体" w:cs="宋体"/>
          <w:color w:val="000000"/>
          <w:kern w:val="0"/>
          <w:sz w:val="24"/>
          <w:szCs w:val="32"/>
          <w:shd w:val="clear" w:color="auto" w:fill="FFFFFF"/>
        </w:rPr>
      </w:pPr>
    </w:p>
    <w:p>
      <w:pPr>
        <w:keepNext w:val="0"/>
        <w:keepLines w:val="0"/>
        <w:pageBreakBefore w:val="0"/>
        <w:widowControl/>
        <w:kinsoku/>
        <w:wordWrap/>
        <w:topLinePunct w:val="0"/>
        <w:bidi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keepNext w:val="0"/>
        <w:keepLines w:val="0"/>
        <w:pageBreakBefore w:val="0"/>
        <w:widowControl/>
        <w:kinsoku/>
        <w:wordWrap/>
        <w:topLinePunct w:val="0"/>
        <w:bidi w:val="0"/>
        <w:adjustRightInd w:val="0"/>
        <w:snapToGrid w:val="0"/>
        <w:spacing w:line="576"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lang w:val="zh-CN"/>
        </w:rPr>
      </w:pPr>
      <w:r>
        <w:rPr>
          <w:rFonts w:hint="eastAsia" w:ascii="仿宋_GB2312" w:eastAsia="仿宋_GB2312" w:cs="仿宋_GB2312"/>
          <w:sz w:val="32"/>
          <w:szCs w:val="32"/>
          <w:shd w:val="clear" w:color="auto" w:fill="auto"/>
        </w:rPr>
        <w:t>茂县人民政府办公室内设机构有：秘书股、综合股、机关事务管理股，下设事业机构：茂县人民防空办公室、茂县人民政府信息公开工作中心、县机关后勤保障服务中心。</w:t>
      </w:r>
    </w:p>
    <w:p>
      <w:pPr>
        <w:keepNext w:val="0"/>
        <w:keepLines w:val="0"/>
        <w:pageBreakBefore w:val="0"/>
        <w:widowControl/>
        <w:numPr>
          <w:ilvl w:val="0"/>
          <w:numId w:val="1"/>
        </w:numPr>
        <w:kinsoku/>
        <w:wordWrap/>
        <w:topLinePunct w:val="0"/>
        <w:bidi w:val="0"/>
        <w:adjustRightInd w:val="0"/>
        <w:snapToGrid w:val="0"/>
        <w:spacing w:line="576" w:lineRule="exact"/>
        <w:ind w:left="0" w:firstLine="643" w:firstLineChars="200"/>
        <w:contextualSpacing/>
        <w:jc w:val="left"/>
        <w:rPr>
          <w:rFonts w:hint="eastAsia" w:ascii="楷体_GB2312" w:eastAsia="楷体_GB2312" w:cs="楷体_GB2312"/>
          <w:b/>
          <w:bCs/>
          <w:sz w:val="32"/>
          <w:szCs w:val="32"/>
          <w:shd w:val="clear" w:color="auto" w:fill="auto"/>
        </w:rPr>
      </w:pPr>
      <w:r>
        <w:rPr>
          <w:rFonts w:hint="eastAsia" w:ascii="楷体_GB2312" w:eastAsia="楷体_GB2312" w:cs="楷体_GB2312"/>
          <w:b/>
          <w:bCs/>
          <w:color w:val="000000"/>
          <w:kern w:val="0"/>
          <w:sz w:val="32"/>
          <w:szCs w:val="32"/>
          <w:shd w:val="clear" w:color="auto" w:fill="FFFFFF"/>
          <w:lang w:val="zh-CN"/>
        </w:rPr>
        <w:t>机构职能和人员概况</w:t>
      </w:r>
    </w:p>
    <w:p>
      <w:pPr>
        <w:keepNext w:val="0"/>
        <w:keepLines w:val="0"/>
        <w:pageBreakBefore w:val="0"/>
        <w:widowControl/>
        <w:kinsoku/>
        <w:wordWrap/>
        <w:topLinePunct w:val="0"/>
        <w:bidi w:val="0"/>
        <w:adjustRightInd w:val="0"/>
        <w:snapToGrid w:val="0"/>
        <w:spacing w:line="576" w:lineRule="exact"/>
        <w:ind w:left="0" w:firstLine="640" w:firstLineChars="200"/>
        <w:contextualSpacing/>
        <w:jc w:val="left"/>
        <w:rPr>
          <w:rFonts w:hint="eastAsia" w:ascii="仿宋_GB2312" w:eastAsia="仿宋_GB2312" w:cs="仿宋_GB2312"/>
          <w:sz w:val="32"/>
          <w:szCs w:val="32"/>
          <w:shd w:val="clear" w:color="auto" w:fill="auto"/>
        </w:rPr>
      </w:pPr>
      <w:r>
        <w:rPr>
          <w:rFonts w:hint="eastAsia" w:ascii="仿宋_GB2312" w:eastAsia="仿宋_GB2312" w:cs="仿宋_GB2312"/>
          <w:color w:val="000000"/>
          <w:kern w:val="0"/>
          <w:sz w:val="32"/>
          <w:szCs w:val="32"/>
          <w:shd w:val="clear" w:color="auto" w:fill="FFFFFF"/>
          <w:lang w:val="en-US" w:eastAsia="zh-CN"/>
        </w:rPr>
        <w:t xml:space="preserve"> </w:t>
      </w:r>
      <w:r>
        <w:rPr>
          <w:rFonts w:hint="eastAsia" w:ascii="仿宋_GB2312" w:eastAsia="仿宋_GB2312" w:cs="仿宋_GB2312"/>
          <w:sz w:val="32"/>
          <w:szCs w:val="32"/>
          <w:shd w:val="clear" w:color="auto" w:fill="auto"/>
        </w:rPr>
        <w:t>1.协助县政府领导同志组织起草或审核以县政府、县政府办公室名义发布的公文。办理州政府、州政府办公室及各州局发送县政府的文电。指导全县行政机关公文处理工作。</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2.研究县政府部门和各乡镇人民政府请示县政府的事项，提出审核意见，报县政府领导同志审批。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3.负责县政府会议的准备工作，协助县政府领导同志组织实施会议决定事项。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4.督促检查县政府各部门和各乡镇人民政府对县政府公文、会议决定事项及县政府领导有关指示的执行情况并跟踪调研，及时向县政府领导报告。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5.办理人大、政协交办县政府的有关议案、提案；协助县政府领导组织处理由县政府直接处理的突发事件和重大事故。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6.组织贯彻执行国家外事、台侨政策，研究拟定本县外事、台侨工作规章制度、发展规划，办理本县涉外事务和处理日常台侨工作。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7.负责县政府值班工作，指导各乡镇人民政府和县政府部门值班工作，及时报告重要情况。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8.指导、监督全县政府信息公开工作和机关行政效能建设工作，指导、监督全县政府系统电子政务工作和政府网站建设。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 9.组织办理涉及县政府工作的人大代表议案、批评、建议和政协委员提案、建议案工作。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10.指导全县应急管理工作，协助县政府领导同志做好需由县政府组织处理的突发事件的应急处置工作。 　　 </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rPr>
      </w:pPr>
      <w:r>
        <w:rPr>
          <w:rFonts w:hint="eastAsia" w:ascii="仿宋_GB2312" w:eastAsia="仿宋_GB2312" w:cs="仿宋_GB2312"/>
          <w:sz w:val="32"/>
          <w:szCs w:val="32"/>
          <w:shd w:val="clear" w:color="auto" w:fill="auto"/>
        </w:rPr>
        <w:t>11.围绕县政府中心工作和县政府领导同志的指示，组织专题调查研究，及时反映情况，提出政策性建议。</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color w:val="000000"/>
          <w:kern w:val="0"/>
          <w:sz w:val="32"/>
          <w:szCs w:val="32"/>
          <w:shd w:val="clear" w:color="auto" w:fill="FFFFFF"/>
          <w:lang w:val="en-US" w:eastAsia="zh-CN"/>
        </w:rPr>
      </w:pPr>
      <w:r>
        <w:rPr>
          <w:rFonts w:hint="eastAsia" w:ascii="仿宋_GB2312" w:eastAsia="仿宋_GB2312" w:cs="仿宋_GB2312"/>
          <w:sz w:val="32"/>
          <w:szCs w:val="32"/>
          <w:shd w:val="clear" w:color="auto" w:fill="auto"/>
        </w:rPr>
        <w:t>12.负责县政府人民防空和民防工作，指导全县人民防空和民防工作。</w:t>
      </w:r>
    </w:p>
    <w:p>
      <w:pPr>
        <w:keepNext w:val="0"/>
        <w:keepLines w:val="0"/>
        <w:pageBreakBefore w:val="0"/>
        <w:widowControl w:val="0"/>
        <w:kinsoku/>
        <w:wordWrap/>
        <w:topLinePunct w:val="0"/>
        <w:bidi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u w:val="none"/>
          <w:lang w:eastAsia="zh-CN"/>
        </w:rPr>
        <w:t>茂县人民政府办公室</w:t>
      </w:r>
      <w:r>
        <w:rPr>
          <w:rFonts w:hint="eastAsia" w:ascii="仿宋_GB2312" w:eastAsia="仿宋_GB2312" w:cs="宋体"/>
          <w:kern w:val="0"/>
          <w:sz w:val="32"/>
          <w:szCs w:val="32"/>
          <w:u w:val="none"/>
        </w:rPr>
        <w:t xml:space="preserve">总编制 </w:t>
      </w:r>
      <w:r>
        <w:rPr>
          <w:rFonts w:hint="eastAsia" w:ascii="仿宋_GB2312" w:eastAsia="仿宋_GB2312" w:cs="宋体"/>
          <w:kern w:val="0"/>
          <w:sz w:val="32"/>
          <w:szCs w:val="32"/>
          <w:u w:val="none"/>
          <w:lang w:val="en-US" w:eastAsia="zh-CN"/>
        </w:rPr>
        <w:t>59</w:t>
      </w:r>
      <w:r>
        <w:rPr>
          <w:rFonts w:hint="eastAsia" w:ascii="仿宋_GB2312" w:eastAsia="仿宋_GB2312" w:cs="宋体"/>
          <w:kern w:val="0"/>
          <w:sz w:val="32"/>
          <w:szCs w:val="32"/>
          <w:u w:val="none"/>
        </w:rPr>
        <w:t xml:space="preserve"> 名,其中:行政编制 </w:t>
      </w:r>
      <w:r>
        <w:rPr>
          <w:rFonts w:hint="eastAsia" w:ascii="仿宋_GB2312" w:eastAsia="仿宋_GB2312" w:cs="宋体"/>
          <w:kern w:val="0"/>
          <w:sz w:val="32"/>
          <w:szCs w:val="32"/>
          <w:u w:val="none"/>
          <w:lang w:val="en-US" w:eastAsia="zh-CN"/>
        </w:rPr>
        <w:t>22</w:t>
      </w:r>
      <w:r>
        <w:rPr>
          <w:rFonts w:hint="eastAsia" w:ascii="仿宋_GB2312" w:eastAsia="仿宋_GB2312" w:cs="宋体"/>
          <w:kern w:val="0"/>
          <w:sz w:val="32"/>
          <w:szCs w:val="32"/>
          <w:u w:val="none"/>
        </w:rPr>
        <w:t xml:space="preserve"> 名,行政工勤编制</w:t>
      </w:r>
      <w:r>
        <w:rPr>
          <w:rFonts w:hint="eastAsia" w:ascii="仿宋_GB2312" w:eastAsia="仿宋_GB2312" w:cs="宋体"/>
          <w:kern w:val="0"/>
          <w:sz w:val="32"/>
          <w:szCs w:val="32"/>
          <w:u w:val="none"/>
          <w:lang w:val="en-US" w:eastAsia="zh-CN"/>
        </w:rPr>
        <w:t>25</w:t>
      </w:r>
      <w:r>
        <w:rPr>
          <w:rFonts w:hint="eastAsia" w:ascii="仿宋_GB2312" w:eastAsia="仿宋_GB2312" w:cs="宋体"/>
          <w:kern w:val="0"/>
          <w:sz w:val="32"/>
          <w:szCs w:val="32"/>
          <w:u w:val="none"/>
        </w:rPr>
        <w:t xml:space="preserve"> 名</w:t>
      </w:r>
      <w:r>
        <w:rPr>
          <w:rFonts w:hint="eastAsia" w:ascii="仿宋_GB2312" w:eastAsia="仿宋_GB2312" w:cs="宋体"/>
          <w:kern w:val="0"/>
          <w:sz w:val="32"/>
          <w:szCs w:val="32"/>
          <w:u w:val="none"/>
          <w:lang w:eastAsia="zh-CN"/>
        </w:rPr>
        <w:t>（含人武部工勤编制</w:t>
      </w:r>
      <w:r>
        <w:rPr>
          <w:rFonts w:hint="eastAsia" w:ascii="仿宋_GB2312" w:eastAsia="仿宋_GB2312" w:cs="宋体"/>
          <w:kern w:val="0"/>
          <w:sz w:val="32"/>
          <w:szCs w:val="32"/>
          <w:u w:val="none"/>
          <w:lang w:val="en-US" w:eastAsia="zh-CN"/>
        </w:rPr>
        <w:t>7名）</w:t>
      </w:r>
      <w:r>
        <w:rPr>
          <w:rFonts w:hint="eastAsia" w:ascii="仿宋_GB2312" w:eastAsia="仿宋_GB2312" w:cs="宋体"/>
          <w:kern w:val="0"/>
          <w:sz w:val="32"/>
          <w:szCs w:val="32"/>
          <w:u w:val="none"/>
        </w:rPr>
        <w:t xml:space="preserve">，事业编制 </w:t>
      </w:r>
      <w:r>
        <w:rPr>
          <w:rFonts w:hint="eastAsia" w:ascii="仿宋_GB2312" w:eastAsia="仿宋_GB2312" w:cs="宋体"/>
          <w:kern w:val="0"/>
          <w:sz w:val="32"/>
          <w:szCs w:val="32"/>
          <w:u w:val="none"/>
          <w:lang w:val="en-US" w:eastAsia="zh-CN"/>
        </w:rPr>
        <w:t>12</w:t>
      </w:r>
      <w:r>
        <w:rPr>
          <w:rFonts w:hint="eastAsia" w:ascii="仿宋_GB2312" w:eastAsia="仿宋_GB2312" w:cs="宋体"/>
          <w:kern w:val="0"/>
          <w:sz w:val="32"/>
          <w:szCs w:val="32"/>
          <w:u w:val="none"/>
        </w:rPr>
        <w:t xml:space="preserve"> 名，事业工勤编制 </w:t>
      </w:r>
      <w:r>
        <w:rPr>
          <w:rFonts w:hint="eastAsia" w:ascii="仿宋_GB2312" w:eastAsia="仿宋_GB2312" w:cs="宋体"/>
          <w:kern w:val="0"/>
          <w:sz w:val="32"/>
          <w:szCs w:val="32"/>
          <w:u w:val="none"/>
          <w:lang w:val="en-US" w:eastAsia="zh-CN"/>
        </w:rPr>
        <w:t>1</w:t>
      </w:r>
      <w:r>
        <w:rPr>
          <w:rFonts w:hint="eastAsia" w:ascii="仿宋_GB2312" w:eastAsia="仿宋_GB2312" w:cs="宋体"/>
          <w:kern w:val="0"/>
          <w:sz w:val="32"/>
          <w:szCs w:val="32"/>
          <w:u w:val="none"/>
        </w:rPr>
        <w:t xml:space="preserve"> 名。</w:t>
      </w:r>
      <w:r>
        <w:rPr>
          <w:rFonts w:hint="eastAsia" w:ascii="仿宋_GB2312" w:eastAsia="仿宋_GB2312"/>
          <w:sz w:val="32"/>
          <w:szCs w:val="32"/>
          <w:u w:val="none"/>
          <w:lang w:eastAsia="zh-CN"/>
        </w:rPr>
        <w:t>年</w:t>
      </w:r>
      <w:r>
        <w:rPr>
          <w:rFonts w:hint="eastAsia" w:ascii="仿宋_GB2312" w:eastAsia="仿宋_GB2312"/>
          <w:sz w:val="32"/>
          <w:szCs w:val="32"/>
          <w:u w:val="none"/>
        </w:rPr>
        <w:t>末实有在职人</w:t>
      </w:r>
      <w:r>
        <w:rPr>
          <w:rFonts w:hint="eastAsia" w:ascii="仿宋_GB2312" w:eastAsia="仿宋_GB2312"/>
          <w:sz w:val="32"/>
          <w:szCs w:val="32"/>
        </w:rPr>
        <w:t>数</w:t>
      </w:r>
      <w:r>
        <w:rPr>
          <w:rFonts w:hint="eastAsia" w:ascii="仿宋_GB2312" w:eastAsia="仿宋_GB2312"/>
          <w:sz w:val="32"/>
          <w:szCs w:val="32"/>
          <w:lang w:val="en-US" w:eastAsia="zh-CN"/>
        </w:rPr>
        <w:t>55</w:t>
      </w:r>
      <w:r>
        <w:rPr>
          <w:rFonts w:hint="eastAsia" w:ascii="仿宋_GB2312" w:eastAsia="仿宋_GB2312"/>
          <w:sz w:val="32"/>
          <w:szCs w:val="32"/>
        </w:rPr>
        <w:t>人，行政在职4</w:t>
      </w:r>
      <w:r>
        <w:rPr>
          <w:rFonts w:hint="eastAsia" w:ascii="仿宋_GB2312" w:eastAsia="仿宋_GB2312"/>
          <w:sz w:val="32"/>
          <w:szCs w:val="32"/>
          <w:lang w:val="en-US" w:eastAsia="zh-CN"/>
        </w:rPr>
        <w:t>5</w:t>
      </w:r>
      <w:r>
        <w:rPr>
          <w:rFonts w:hint="eastAsia" w:ascii="仿宋_GB2312" w:eastAsia="仿宋_GB2312"/>
          <w:sz w:val="32"/>
          <w:szCs w:val="32"/>
        </w:rPr>
        <w:t>人（公务员</w:t>
      </w:r>
      <w:r>
        <w:rPr>
          <w:rFonts w:hint="eastAsia" w:ascii="仿宋_GB2312" w:eastAsia="仿宋_GB2312"/>
          <w:sz w:val="32"/>
          <w:szCs w:val="32"/>
          <w:lang w:val="en-US" w:eastAsia="zh-CN"/>
        </w:rPr>
        <w:t>22</w:t>
      </w:r>
      <w:r>
        <w:rPr>
          <w:rFonts w:hint="eastAsia" w:ascii="仿宋_GB2312" w:eastAsia="仿宋_GB2312"/>
          <w:sz w:val="32"/>
          <w:szCs w:val="32"/>
        </w:rPr>
        <w:t>人，行政工勤</w:t>
      </w:r>
      <w:r>
        <w:rPr>
          <w:rFonts w:hint="eastAsia" w:ascii="仿宋_GB2312" w:eastAsia="仿宋_GB2312"/>
          <w:sz w:val="32"/>
          <w:szCs w:val="32"/>
          <w:lang w:val="en-US" w:eastAsia="zh-CN"/>
        </w:rPr>
        <w:t>23</w:t>
      </w:r>
      <w:r>
        <w:rPr>
          <w:rFonts w:hint="eastAsia" w:ascii="仿宋_GB2312" w:eastAsia="仿宋_GB2312"/>
          <w:sz w:val="32"/>
          <w:szCs w:val="32"/>
        </w:rPr>
        <w:t>人</w:t>
      </w:r>
      <w:r>
        <w:rPr>
          <w:rFonts w:hint="eastAsia" w:ascii="仿宋_GB2312" w:eastAsia="仿宋_GB2312"/>
          <w:sz w:val="32"/>
          <w:szCs w:val="32"/>
          <w:lang w:val="en-US" w:eastAsia="zh-CN"/>
        </w:rPr>
        <w:t>，其中含人武部工勤人员7人</w:t>
      </w:r>
      <w:r>
        <w:rPr>
          <w:rFonts w:hint="eastAsia" w:ascii="仿宋_GB2312" w:eastAsia="仿宋_GB2312"/>
          <w:sz w:val="32"/>
          <w:szCs w:val="32"/>
        </w:rPr>
        <w:t>），事业在职</w:t>
      </w:r>
      <w:r>
        <w:rPr>
          <w:rFonts w:hint="eastAsia" w:ascii="仿宋_GB2312" w:eastAsia="仿宋_GB2312"/>
          <w:sz w:val="32"/>
          <w:szCs w:val="32"/>
          <w:lang w:val="en-US" w:eastAsia="zh-CN"/>
        </w:rPr>
        <w:t>10</w:t>
      </w:r>
      <w:r>
        <w:rPr>
          <w:rFonts w:hint="eastAsia" w:ascii="仿宋_GB2312" w:eastAsia="仿宋_GB2312"/>
          <w:sz w:val="32"/>
          <w:szCs w:val="32"/>
        </w:rPr>
        <w:t>人。年末实有退休人员</w:t>
      </w:r>
      <w:r>
        <w:rPr>
          <w:rFonts w:hint="eastAsia" w:ascii="仿宋_GB2312" w:eastAsia="仿宋_GB2312"/>
          <w:sz w:val="32"/>
          <w:szCs w:val="32"/>
          <w:lang w:val="en-US" w:eastAsia="zh-CN"/>
        </w:rPr>
        <w:t>20</w:t>
      </w:r>
      <w:r>
        <w:rPr>
          <w:rFonts w:hint="eastAsia" w:ascii="仿宋_GB2312" w:eastAsia="仿宋_GB2312"/>
          <w:sz w:val="32"/>
          <w:szCs w:val="32"/>
        </w:rPr>
        <w:t>人，领取财政补贴退休人员</w:t>
      </w:r>
      <w:r>
        <w:rPr>
          <w:rFonts w:hint="eastAsia" w:ascii="仿宋_GB2312" w:eastAsia="仿宋_GB2312"/>
          <w:sz w:val="32"/>
          <w:szCs w:val="32"/>
          <w:lang w:val="en-US" w:eastAsia="zh-CN"/>
        </w:rPr>
        <w:t>1</w:t>
      </w:r>
      <w:r>
        <w:rPr>
          <w:rFonts w:hint="eastAsia" w:ascii="仿宋_GB2312" w:eastAsia="仿宋_GB2312"/>
          <w:sz w:val="32"/>
          <w:szCs w:val="32"/>
        </w:rPr>
        <w:t>人。年末财政供养遗属人员</w:t>
      </w:r>
      <w:r>
        <w:rPr>
          <w:rFonts w:hint="eastAsia" w:ascii="仿宋_GB2312" w:eastAsia="仿宋_GB2312"/>
          <w:sz w:val="32"/>
          <w:szCs w:val="32"/>
          <w:lang w:val="en-US" w:eastAsia="zh-CN"/>
        </w:rPr>
        <w:t>4</w:t>
      </w:r>
      <w:r>
        <w:rPr>
          <w:rFonts w:hint="eastAsia" w:ascii="仿宋_GB2312" w:eastAsia="仿宋_GB2312"/>
          <w:sz w:val="32"/>
          <w:szCs w:val="32"/>
        </w:rPr>
        <w:t>人。</w:t>
      </w:r>
    </w:p>
    <w:p>
      <w:pPr>
        <w:pStyle w:val="2"/>
        <w:rPr>
          <w:rFonts w:hint="eastAsia" w:ascii="仿宋_GB2312" w:eastAsia="仿宋_GB2312"/>
          <w:sz w:val="32"/>
          <w:szCs w:val="32"/>
        </w:rPr>
      </w:pPr>
    </w:p>
    <w:p>
      <w:pPr>
        <w:keepNext w:val="0"/>
        <w:keepLines w:val="0"/>
        <w:pageBreakBefore w:val="0"/>
        <w:widowControl/>
        <w:numPr>
          <w:ilvl w:val="0"/>
          <w:numId w:val="1"/>
        </w:numPr>
        <w:kinsoku/>
        <w:wordWrap/>
        <w:topLinePunct w:val="0"/>
        <w:bidi w:val="0"/>
        <w:adjustRightInd w:val="0"/>
        <w:snapToGrid w:val="0"/>
        <w:spacing w:line="576" w:lineRule="exact"/>
        <w:ind w:left="0"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年度主要工作任务</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hint="eastAsia" w:ascii="仿宋_GB2312" w:eastAsia="仿宋_GB2312"/>
          <w:b/>
          <w:bCs/>
          <w:sz w:val="32"/>
          <w:szCs w:val="32"/>
          <w:lang w:eastAsia="zh-CN"/>
        </w:rPr>
        <w:t>一是</w:t>
      </w:r>
      <w:r>
        <w:rPr>
          <w:rFonts w:hint="eastAsia" w:ascii="仿宋_GB2312" w:eastAsia="仿宋_GB2312"/>
          <w:sz w:val="32"/>
          <w:szCs w:val="32"/>
        </w:rPr>
        <w:t>抓好政务服务工作。在调查研究、文稿起草、公文处理、政务信息等重点工作上，坚持高标准、高质量、出精品、创一流，力求调查研究优质高效、文稿起草精益求精、公文处理规范高效。</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hint="eastAsia" w:ascii="仿宋_GB2312" w:eastAsia="仿宋_GB2312"/>
          <w:b/>
          <w:bCs/>
          <w:sz w:val="32"/>
          <w:szCs w:val="32"/>
          <w:lang w:eastAsia="zh-CN"/>
        </w:rPr>
        <w:t>二是</w:t>
      </w:r>
      <w:r>
        <w:rPr>
          <w:rFonts w:hint="eastAsia" w:ascii="仿宋_GB2312" w:eastAsia="仿宋_GB2312"/>
          <w:sz w:val="32"/>
          <w:szCs w:val="32"/>
        </w:rPr>
        <w:t>发挥综合协调职能。充分发挥职能，积极搞好服务，对全局性和一些重点、难点工作，准确把握政策界限，协助政府领导，协调调动各方面力量，推动各项工作有序高效开展。</w:t>
      </w:r>
    </w:p>
    <w:p>
      <w:pPr>
        <w:keepNext w:val="0"/>
        <w:keepLines w:val="0"/>
        <w:pageBreakBefore w:val="0"/>
        <w:widowControl w:val="0"/>
        <w:kinsoku/>
        <w:wordWrap/>
        <w:overflowPunct/>
        <w:topLinePunct w:val="0"/>
        <w:autoSpaceDE/>
        <w:autoSpaceDN/>
        <w:adjustRightInd/>
        <w:snapToGrid/>
        <w:spacing w:line="554" w:lineRule="exact"/>
        <w:ind w:left="0" w:firstLine="640"/>
        <w:rPr>
          <w:rFonts w:hint="eastAsia" w:ascii="仿宋_GB2312" w:eastAsia="仿宋_GB2312"/>
          <w:sz w:val="32"/>
          <w:szCs w:val="32"/>
        </w:rPr>
      </w:pPr>
      <w:r>
        <w:rPr>
          <w:rFonts w:hint="eastAsia" w:ascii="仿宋_GB2312" w:eastAsia="仿宋_GB2312"/>
          <w:b/>
          <w:bCs/>
          <w:sz w:val="32"/>
          <w:szCs w:val="32"/>
          <w:lang w:eastAsia="zh-CN"/>
        </w:rPr>
        <w:t>三是</w:t>
      </w:r>
      <w:r>
        <w:rPr>
          <w:rFonts w:hint="eastAsia" w:ascii="仿宋_GB2312" w:eastAsia="仿宋_GB2312"/>
          <w:sz w:val="32"/>
          <w:szCs w:val="32"/>
        </w:rPr>
        <w:t>加强机关规范化建设。扎实开展常态化学习教育，持之以恒，一以贯之地抓好机关自身建设，树立雷厉风行的工作作风，不断提高工作效率，为全县经济社会持续健康发展做出积极的贡献。</w:t>
      </w:r>
    </w:p>
    <w:p>
      <w:pPr>
        <w:keepNext w:val="0"/>
        <w:keepLines w:val="0"/>
        <w:pageBreakBefore w:val="0"/>
        <w:widowControl w:val="0"/>
        <w:kinsoku/>
        <w:wordWrap/>
        <w:overflowPunct/>
        <w:topLinePunct w:val="0"/>
        <w:autoSpaceDE/>
        <w:autoSpaceDN/>
        <w:adjustRightInd/>
        <w:snapToGrid/>
        <w:spacing w:line="554" w:lineRule="exact"/>
        <w:ind w:left="0" w:firstLine="640"/>
        <w:rPr>
          <w:rFonts w:hint="eastAsia" w:ascii="仿宋_GB2312" w:eastAsia="仿宋_GB2312"/>
          <w:b w:val="0"/>
          <w:bCs w:val="0"/>
          <w:sz w:val="32"/>
          <w:szCs w:val="32"/>
          <w:lang w:eastAsia="zh-CN"/>
        </w:rPr>
      </w:pP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加强机关后勤保障。严格执行八项规定和中央、省、州、县关于厉行节约的相关规定，通过预算执行，增强经费支出管理精细程度，确保“三公经费”科学合理增减。强化保障支撑，提供优质服务，确保机关日常高效运转，全面落实节约措施，认真开展各项节能创建和减耗降排工作。</w:t>
      </w:r>
    </w:p>
    <w:p>
      <w:pPr>
        <w:keepNext w:val="0"/>
        <w:keepLines w:val="0"/>
        <w:pageBreakBefore w:val="0"/>
        <w:widowControl/>
        <w:numPr>
          <w:ilvl w:val="0"/>
          <w:numId w:val="1"/>
        </w:numPr>
        <w:kinsoku/>
        <w:wordWrap/>
        <w:topLinePunct w:val="0"/>
        <w:bidi w:val="0"/>
        <w:adjustRightInd w:val="0"/>
        <w:snapToGrid w:val="0"/>
        <w:spacing w:line="576" w:lineRule="exact"/>
        <w:ind w:left="0"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部门整体支出绩效目标</w:t>
      </w:r>
    </w:p>
    <w:p>
      <w:pPr>
        <w:keepNext w:val="0"/>
        <w:keepLines w:val="0"/>
        <w:pageBreakBefore w:val="0"/>
        <w:widowControl w:val="0"/>
        <w:kinsoku/>
        <w:wordWrap/>
        <w:topLinePunct w:val="0"/>
        <w:bidi w:val="0"/>
        <w:snapToGrid w:val="0"/>
        <w:spacing w:line="576" w:lineRule="exact"/>
        <w:ind w:firstLine="640" w:firstLineChars="200"/>
        <w:rPr>
          <w:rFonts w:hint="eastAsia" w:ascii="仿宋_GB2312" w:eastAsia="仿宋_GB2312"/>
          <w:sz w:val="32"/>
          <w:szCs w:val="32"/>
          <w:u w:val="none"/>
          <w:lang w:val="zh-CN" w:eastAsia="zh-CN"/>
        </w:rPr>
      </w:pPr>
      <w:r>
        <w:rPr>
          <w:rFonts w:hint="eastAsia" w:ascii="仿宋_GB2312" w:eastAsia="仿宋_GB2312"/>
          <w:sz w:val="32"/>
          <w:szCs w:val="32"/>
          <w:u w:val="none"/>
          <w:lang w:eastAsia="zh-CN"/>
        </w:rPr>
        <w:t>我单位根据预算绩效管理要求，根据年初工作规划和重点性工作，积极履职，强化管理，通过加强预算收支管理，不断建立健全内部管理制度，梳理内部管理流程，较好的完成年度工作目标。</w:t>
      </w:r>
    </w:p>
    <w:p>
      <w:pPr>
        <w:keepNext w:val="0"/>
        <w:keepLines w:val="0"/>
        <w:pageBreakBefore w:val="0"/>
        <w:widowControl/>
        <w:kinsoku/>
        <w:wordWrap/>
        <w:topLinePunct w:val="0"/>
        <w:bidi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kinsoku/>
        <w:wordWrap/>
        <w:topLinePunct w:val="0"/>
        <w:bidi w:val="0"/>
        <w:adjustRightInd w:val="0"/>
        <w:snapToGrid w:val="0"/>
        <w:spacing w:line="576"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（一）部门财政资金收入情况</w:t>
      </w:r>
    </w:p>
    <w:p>
      <w:pPr>
        <w:keepNext w:val="0"/>
        <w:keepLines w:val="0"/>
        <w:pageBreakBefore w:val="0"/>
        <w:widowControl w:val="0"/>
        <w:kinsoku/>
        <w:wordWrap/>
        <w:topLinePunct w:val="0"/>
        <w:bidi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年收入合计</w:t>
      </w:r>
      <w:r>
        <w:rPr>
          <w:rFonts w:hint="eastAsia" w:ascii="仿宋_GB2312" w:eastAsia="仿宋_GB2312"/>
          <w:sz w:val="32"/>
          <w:szCs w:val="32"/>
          <w:lang w:val="en-US" w:eastAsia="zh-CN"/>
        </w:rPr>
        <w:t>1251.05万元</w:t>
      </w:r>
      <w:r>
        <w:rPr>
          <w:rFonts w:hint="eastAsia" w:ascii="仿宋_GB2312" w:eastAsia="仿宋_GB2312"/>
          <w:sz w:val="32"/>
          <w:szCs w:val="32"/>
        </w:rPr>
        <w:t>，其中财政拨款收入</w:t>
      </w:r>
      <w:r>
        <w:rPr>
          <w:rFonts w:hint="eastAsia" w:ascii="仿宋_GB2312" w:eastAsia="仿宋_GB2312"/>
          <w:sz w:val="32"/>
          <w:szCs w:val="32"/>
          <w:lang w:val="en-US" w:eastAsia="zh-CN"/>
        </w:rPr>
        <w:t>1251.05万元</w:t>
      </w:r>
      <w:r>
        <w:rPr>
          <w:rFonts w:hint="eastAsia" w:ascii="仿宋_GB2312" w:eastAsia="仿宋_GB2312"/>
          <w:sz w:val="32"/>
          <w:szCs w:val="32"/>
        </w:rPr>
        <w:t>，占总收入100%。与202</w:t>
      </w:r>
      <w:r>
        <w:rPr>
          <w:rFonts w:hint="eastAsia" w:ascii="仿宋_GB2312" w:eastAsia="仿宋_GB2312"/>
          <w:sz w:val="32"/>
          <w:szCs w:val="32"/>
          <w:lang w:val="en-US" w:eastAsia="zh-CN"/>
        </w:rPr>
        <w:t>1</w:t>
      </w:r>
      <w:r>
        <w:rPr>
          <w:rFonts w:hint="eastAsia" w:ascii="仿宋_GB2312" w:eastAsia="仿宋_GB2312"/>
          <w:sz w:val="32"/>
          <w:szCs w:val="32"/>
        </w:rPr>
        <w:t>年相比</w:t>
      </w:r>
      <w:r>
        <w:rPr>
          <w:rFonts w:hint="eastAsia" w:ascii="仿宋_GB2312" w:eastAsia="仿宋_GB2312"/>
          <w:sz w:val="32"/>
          <w:szCs w:val="32"/>
          <w:lang w:eastAsia="zh-CN"/>
        </w:rPr>
        <w:t>增加</w:t>
      </w:r>
      <w:r>
        <w:rPr>
          <w:rFonts w:hint="eastAsia" w:ascii="仿宋_GB2312" w:eastAsia="仿宋_GB2312"/>
          <w:sz w:val="32"/>
          <w:szCs w:val="32"/>
          <w:lang w:val="en-US" w:eastAsia="zh-CN"/>
        </w:rPr>
        <w:t>29.6</w:t>
      </w:r>
      <w:r>
        <w:rPr>
          <w:rFonts w:hint="eastAsia" w:ascii="仿宋_GB2312" w:eastAsia="仿宋_GB2312"/>
          <w:sz w:val="32"/>
          <w:szCs w:val="32"/>
        </w:rPr>
        <w:t>1万元，</w:t>
      </w:r>
      <w:r>
        <w:rPr>
          <w:rFonts w:hint="eastAsia" w:ascii="仿宋_GB2312" w:eastAsia="仿宋_GB2312"/>
          <w:sz w:val="32"/>
          <w:szCs w:val="32"/>
          <w:lang w:eastAsia="zh-CN"/>
        </w:rPr>
        <w:t>增加</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2%,变动主要原因为：</w:t>
      </w:r>
      <w:r>
        <w:rPr>
          <w:rFonts w:hint="eastAsia" w:ascii="仿宋_GB2312" w:eastAsia="仿宋_GB2312"/>
          <w:sz w:val="32"/>
          <w:szCs w:val="32"/>
          <w:lang w:eastAsia="zh-CN"/>
        </w:rPr>
        <w:t>人员增加，人员支出增加。</w:t>
      </w:r>
    </w:p>
    <w:p>
      <w:pPr>
        <w:keepNext w:val="0"/>
        <w:keepLines w:val="0"/>
        <w:pageBreakBefore w:val="0"/>
        <w:widowControl/>
        <w:numPr>
          <w:ilvl w:val="0"/>
          <w:numId w:val="2"/>
        </w:numPr>
        <w:kinsoku/>
        <w:wordWrap/>
        <w:topLinePunct w:val="0"/>
        <w:bidi w:val="0"/>
        <w:adjustRightInd w:val="0"/>
        <w:snapToGrid w:val="0"/>
        <w:spacing w:line="576" w:lineRule="exact"/>
        <w:ind w:left="0"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部门财政资金支出情况</w:t>
      </w:r>
    </w:p>
    <w:p>
      <w:pPr>
        <w:keepNext w:val="0"/>
        <w:keepLines w:val="0"/>
        <w:pageBreakBefore w:val="0"/>
        <w:widowControl w:val="0"/>
        <w:kinsoku/>
        <w:wordWrap/>
        <w:topLinePunct w:val="0"/>
        <w:bidi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年支出合计</w:t>
      </w:r>
      <w:r>
        <w:rPr>
          <w:rFonts w:hint="eastAsia" w:ascii="仿宋_GB2312" w:eastAsia="仿宋_GB2312"/>
          <w:sz w:val="32"/>
          <w:szCs w:val="32"/>
          <w:lang w:val="en-US" w:eastAsia="zh-CN"/>
        </w:rPr>
        <w:t>1251.05</w:t>
      </w:r>
      <w:r>
        <w:rPr>
          <w:rFonts w:hint="eastAsia" w:ascii="仿宋_GB2312" w:eastAsia="仿宋_GB2312"/>
          <w:sz w:val="32"/>
          <w:szCs w:val="32"/>
        </w:rPr>
        <w:t>万元，其中基本支出</w:t>
      </w:r>
      <w:r>
        <w:rPr>
          <w:rFonts w:hint="eastAsia" w:ascii="仿宋_GB2312" w:eastAsia="仿宋_GB2312"/>
          <w:sz w:val="32"/>
          <w:szCs w:val="32"/>
          <w:lang w:val="en-US" w:eastAsia="zh-CN"/>
        </w:rPr>
        <w:t>1235.69</w:t>
      </w:r>
      <w:r>
        <w:rPr>
          <w:rFonts w:hint="eastAsia" w:ascii="仿宋_GB2312" w:eastAsia="仿宋_GB2312"/>
          <w:sz w:val="32"/>
          <w:szCs w:val="32"/>
        </w:rPr>
        <w:t>万元，占总支出</w:t>
      </w:r>
      <w:r>
        <w:rPr>
          <w:rFonts w:hint="eastAsia" w:ascii="仿宋_GB2312" w:eastAsia="仿宋_GB2312"/>
          <w:sz w:val="32"/>
          <w:szCs w:val="32"/>
          <w:lang w:val="en-US" w:eastAsia="zh-CN"/>
        </w:rPr>
        <w:t>98.77</w:t>
      </w:r>
      <w:r>
        <w:rPr>
          <w:rFonts w:hint="eastAsia" w:ascii="仿宋_GB2312" w:eastAsia="仿宋_GB2312"/>
          <w:sz w:val="32"/>
          <w:szCs w:val="32"/>
        </w:rPr>
        <w:t>%；项目支出</w:t>
      </w:r>
      <w:r>
        <w:rPr>
          <w:rFonts w:hint="eastAsia" w:ascii="仿宋_GB2312" w:eastAsia="仿宋_GB2312"/>
          <w:sz w:val="32"/>
          <w:szCs w:val="32"/>
          <w:lang w:val="en-US" w:eastAsia="zh-CN"/>
        </w:rPr>
        <w:t>15.36</w:t>
      </w:r>
      <w:r>
        <w:rPr>
          <w:rFonts w:hint="eastAsia" w:ascii="仿宋_GB2312" w:eastAsia="仿宋_GB2312"/>
          <w:sz w:val="32"/>
          <w:szCs w:val="32"/>
        </w:rPr>
        <w:t>万元，占总支出</w:t>
      </w:r>
      <w:r>
        <w:rPr>
          <w:rFonts w:hint="eastAsia" w:ascii="仿宋_GB2312" w:eastAsia="仿宋_GB2312"/>
          <w:sz w:val="32"/>
          <w:szCs w:val="32"/>
          <w:lang w:val="en-US" w:eastAsia="zh-CN"/>
        </w:rPr>
        <w:t>1.23</w:t>
      </w:r>
      <w:r>
        <w:rPr>
          <w:rFonts w:hint="eastAsia" w:ascii="仿宋_GB2312" w:eastAsia="仿宋_GB2312"/>
          <w:sz w:val="32"/>
          <w:szCs w:val="32"/>
        </w:rPr>
        <w:t>%。与202</w:t>
      </w:r>
      <w:r>
        <w:rPr>
          <w:rFonts w:hint="eastAsia" w:ascii="仿宋_GB2312" w:eastAsia="仿宋_GB2312"/>
          <w:sz w:val="32"/>
          <w:szCs w:val="32"/>
          <w:lang w:val="en-US" w:eastAsia="zh-CN"/>
        </w:rPr>
        <w:t>1</w:t>
      </w:r>
      <w:r>
        <w:rPr>
          <w:rFonts w:hint="eastAsia" w:ascii="仿宋_GB2312" w:eastAsia="仿宋_GB2312"/>
          <w:sz w:val="32"/>
          <w:szCs w:val="32"/>
        </w:rPr>
        <w:t>年相比</w:t>
      </w:r>
      <w:r>
        <w:rPr>
          <w:rFonts w:hint="eastAsia" w:ascii="仿宋_GB2312" w:eastAsia="仿宋_GB2312"/>
          <w:sz w:val="32"/>
          <w:szCs w:val="32"/>
          <w:lang w:eastAsia="zh-CN"/>
        </w:rPr>
        <w:t>增加</w:t>
      </w:r>
      <w:r>
        <w:rPr>
          <w:rFonts w:hint="eastAsia" w:ascii="仿宋_GB2312" w:eastAsia="仿宋_GB2312"/>
          <w:sz w:val="32"/>
          <w:szCs w:val="32"/>
          <w:lang w:val="en-US" w:eastAsia="zh-CN"/>
        </w:rPr>
        <w:t>29.61</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2.42</w:t>
      </w:r>
      <w:r>
        <w:rPr>
          <w:rFonts w:hint="eastAsia" w:ascii="仿宋_GB2312" w:eastAsia="仿宋_GB2312"/>
          <w:sz w:val="32"/>
          <w:szCs w:val="32"/>
        </w:rPr>
        <w:t>%，变动主要原因为：</w:t>
      </w:r>
      <w:r>
        <w:rPr>
          <w:rFonts w:hint="eastAsia" w:ascii="仿宋_GB2312" w:eastAsia="仿宋_GB2312"/>
          <w:sz w:val="32"/>
          <w:szCs w:val="32"/>
          <w:lang w:eastAsia="zh-CN"/>
        </w:rPr>
        <w:t>人员增加，人员支出增加。</w:t>
      </w:r>
    </w:p>
    <w:p>
      <w:pPr>
        <w:keepNext w:val="0"/>
        <w:keepLines w:val="0"/>
        <w:pageBreakBefore w:val="0"/>
        <w:widowControl/>
        <w:numPr>
          <w:ilvl w:val="0"/>
          <w:numId w:val="3"/>
        </w:numPr>
        <w:kinsoku/>
        <w:wordWrap/>
        <w:topLinePunct w:val="0"/>
        <w:bidi w:val="0"/>
        <w:adjustRightInd w:val="0"/>
        <w:snapToGrid w:val="0"/>
        <w:spacing w:line="576" w:lineRule="exact"/>
        <w:ind w:left="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部门整体预算绩效管理情况</w:t>
      </w:r>
    </w:p>
    <w:p>
      <w:pPr>
        <w:keepNext w:val="0"/>
        <w:keepLines w:val="0"/>
        <w:pageBreakBefore w:val="0"/>
        <w:widowControl/>
        <w:kinsoku/>
        <w:wordWrap/>
        <w:topLinePunct w:val="0"/>
        <w:bidi w:val="0"/>
        <w:adjustRightInd w:val="0"/>
        <w:snapToGrid w:val="0"/>
        <w:spacing w:line="576" w:lineRule="exact"/>
        <w:ind w:left="0"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（一）部门预算项目绩效管理</w:t>
      </w:r>
    </w:p>
    <w:p>
      <w:pPr>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cs="仿宋_GB2312"/>
          <w:sz w:val="32"/>
          <w:szCs w:val="32"/>
          <w:shd w:val="clear" w:color="auto" w:fill="auto"/>
          <w:lang w:val="zh-CN"/>
        </w:rPr>
      </w:pPr>
      <w:r>
        <w:rPr>
          <w:rFonts w:hint="eastAsia" w:ascii="仿宋_GB2312" w:eastAsia="仿宋_GB2312" w:cs="仿宋_GB2312"/>
          <w:sz w:val="32"/>
          <w:szCs w:val="32"/>
          <w:shd w:val="clear" w:color="auto" w:fill="auto"/>
        </w:rPr>
        <w:t>我办严格按照县级部门预算编制通知和有关要求，按时完成202</w:t>
      </w:r>
      <w:r>
        <w:rPr>
          <w:rFonts w:hint="eastAsia" w:ascii="仿宋_GB2312" w:eastAsia="仿宋_GB2312" w:cs="仿宋_GB2312"/>
          <w:sz w:val="32"/>
          <w:szCs w:val="32"/>
          <w:shd w:val="clear" w:color="auto" w:fill="auto"/>
          <w:lang w:val="en-US" w:eastAsia="zh-CN"/>
        </w:rPr>
        <w:t>2</w:t>
      </w:r>
      <w:r>
        <w:rPr>
          <w:rFonts w:hint="eastAsia" w:ascii="仿宋_GB2312" w:eastAsia="仿宋_GB2312" w:cs="仿宋_GB2312"/>
          <w:sz w:val="32"/>
          <w:szCs w:val="32"/>
          <w:shd w:val="clear" w:color="auto" w:fill="auto"/>
        </w:rPr>
        <w:t>年预决算、202</w:t>
      </w:r>
      <w:r>
        <w:rPr>
          <w:rFonts w:hint="eastAsia" w:ascii="仿宋_GB2312" w:eastAsia="仿宋_GB2312" w:cs="仿宋_GB2312"/>
          <w:sz w:val="32"/>
          <w:szCs w:val="32"/>
          <w:shd w:val="clear" w:color="auto" w:fill="auto"/>
          <w:lang w:val="en-US" w:eastAsia="zh-CN"/>
        </w:rPr>
        <w:t>3</w:t>
      </w:r>
      <w:r>
        <w:rPr>
          <w:rFonts w:hint="eastAsia" w:ascii="仿宋_GB2312" w:eastAsia="仿宋_GB2312" w:cs="仿宋_GB2312"/>
          <w:sz w:val="32"/>
          <w:szCs w:val="32"/>
          <w:shd w:val="clear" w:color="auto" w:fill="auto"/>
        </w:rPr>
        <w:t>年预算编制工作，根据我办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效</w:t>
      </w:r>
      <w:r>
        <w:rPr>
          <w:rFonts w:hint="eastAsia" w:ascii="仿宋_GB2312" w:eastAsia="仿宋_GB2312" w:cs="仿宋_GB2312"/>
          <w:sz w:val="32"/>
          <w:szCs w:val="32"/>
          <w:shd w:val="clear" w:color="auto" w:fill="auto"/>
          <w:lang w:eastAsia="zh-CN"/>
        </w:rPr>
        <w:t>。未出现资金分配使用</w:t>
      </w:r>
      <w:r>
        <w:rPr>
          <w:rFonts w:hint="eastAsia" w:ascii="仿宋_GB2312" w:eastAsia="仿宋_GB2312" w:cs="仿宋_GB2312"/>
          <w:sz w:val="32"/>
          <w:szCs w:val="32"/>
          <w:shd w:val="clear" w:color="auto" w:fill="auto"/>
          <w:lang w:val="zh-CN"/>
        </w:rPr>
        <w:t>等违规记录情况。</w:t>
      </w:r>
    </w:p>
    <w:p>
      <w:pPr>
        <w:keepNext w:val="0"/>
        <w:keepLines w:val="0"/>
        <w:pageBreakBefore w:val="0"/>
        <w:widowControl w:val="0"/>
        <w:kinsoku/>
        <w:wordWrap/>
        <w:overflowPunct w:val="0"/>
        <w:topLinePunct w:val="0"/>
        <w:autoSpaceDE w:val="0"/>
        <w:autoSpaceDN w:val="0"/>
        <w:bidi w:val="0"/>
        <w:snapToGrid w:val="0"/>
        <w:spacing w:line="576" w:lineRule="exact"/>
        <w:ind w:firstLine="643" w:firstLineChars="200"/>
        <w:textAlignment w:val="auto"/>
        <w:rPr>
          <w:rFonts w:hint="eastAsia" w:ascii="楷体_GB2312" w:eastAsia="楷体_GB2312" w:cs="楷体_GB2312"/>
          <w:b/>
          <w:bCs/>
          <w:sz w:val="32"/>
          <w:szCs w:val="32"/>
          <w:shd w:val="clear" w:color="auto" w:fill="auto"/>
          <w:lang w:val="zh-CN"/>
        </w:rPr>
      </w:pPr>
      <w:r>
        <w:rPr>
          <w:rFonts w:hint="eastAsia" w:ascii="楷体_GB2312" w:eastAsia="楷体_GB2312" w:cs="楷体_GB2312"/>
          <w:b/>
          <w:bCs/>
          <w:sz w:val="32"/>
          <w:szCs w:val="32"/>
          <w:shd w:val="clear" w:color="auto" w:fill="auto"/>
          <w:lang w:val="zh-CN"/>
        </w:rPr>
        <w:t>（二）结果应用情况</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eastAsia="仿宋_GB2312" w:cs="仿宋_GB2312"/>
          <w:color w:val="000000"/>
          <w:kern w:val="0"/>
          <w:sz w:val="32"/>
          <w:szCs w:val="32"/>
          <w:shd w:val="clear" w:color="auto" w:fill="FFFFFF"/>
          <w:lang w:val="zh-CN" w:eastAsia="zh-CN" w:bidi="ar-SA"/>
        </w:rPr>
      </w:pPr>
      <w:r>
        <w:rPr>
          <w:rFonts w:hint="eastAsia" w:ascii="仿宋_GB2312" w:eastAsia="仿宋_GB2312" w:cs="仿宋_GB2312"/>
          <w:color w:val="000000"/>
          <w:kern w:val="0"/>
          <w:sz w:val="32"/>
          <w:szCs w:val="32"/>
          <w:shd w:val="clear" w:color="auto" w:fill="FFFFFF"/>
          <w:lang w:val="zh-CN" w:eastAsia="zh-CN" w:bidi="ar-SA"/>
        </w:rPr>
        <w:t>1、部门支出绩效</w:t>
      </w:r>
    </w:p>
    <w:p>
      <w:pPr>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cs="仿宋_GB2312"/>
          <w:color w:val="333333"/>
          <w:kern w:val="0"/>
          <w:sz w:val="32"/>
          <w:szCs w:val="32"/>
          <w:lang w:bidi="ar-SA"/>
        </w:rPr>
      </w:pPr>
      <w:r>
        <w:rPr>
          <w:rFonts w:hint="eastAsia" w:ascii="仿宋_GB2312" w:eastAsia="仿宋_GB2312" w:cs="仿宋_GB2312"/>
          <w:sz w:val="32"/>
          <w:szCs w:val="32"/>
          <w:lang w:bidi="ar-SA"/>
        </w:rPr>
        <w:t>财政拨款安排支</w:t>
      </w:r>
      <w:r>
        <w:rPr>
          <w:rFonts w:hint="eastAsia" w:ascii="仿宋_GB2312" w:eastAsia="仿宋_GB2312" w:cs="仿宋_GB2312"/>
          <w:color w:val="333333"/>
          <w:kern w:val="0"/>
          <w:sz w:val="32"/>
          <w:szCs w:val="32"/>
          <w:lang w:bidi="ar-SA"/>
        </w:rPr>
        <w:t>出用于保障单位正常运转的日常支出，包括基本工资、津贴补贴等人员经费以及办公费、印刷费、水电费、办公设备购置等日常公用经费。</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eastAsia="仿宋_GB2312" w:cs="仿宋_GB2312"/>
          <w:color w:val="000000"/>
          <w:kern w:val="0"/>
          <w:sz w:val="32"/>
          <w:szCs w:val="32"/>
          <w:shd w:val="clear" w:color="auto" w:fill="FFFFFF"/>
          <w:lang w:val="zh-CN" w:eastAsia="zh-CN" w:bidi="ar-SA"/>
        </w:rPr>
      </w:pPr>
      <w:r>
        <w:rPr>
          <w:rFonts w:hint="eastAsia" w:ascii="仿宋_GB2312" w:eastAsia="仿宋_GB2312" w:cs="仿宋_GB2312"/>
          <w:color w:val="000000"/>
          <w:kern w:val="0"/>
          <w:sz w:val="32"/>
          <w:szCs w:val="32"/>
          <w:shd w:val="clear" w:color="auto" w:fill="FFFFFF"/>
          <w:lang w:val="zh-CN" w:eastAsia="zh-CN" w:bidi="ar-SA"/>
        </w:rPr>
        <w:t>2、机关节能降耗</w:t>
      </w:r>
    </w:p>
    <w:p>
      <w:pPr>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cs="仿宋_GB2312"/>
          <w:color w:val="333333"/>
          <w:kern w:val="0"/>
          <w:sz w:val="32"/>
          <w:szCs w:val="32"/>
          <w:lang w:bidi="ar-SA"/>
        </w:rPr>
      </w:pPr>
      <w:r>
        <w:rPr>
          <w:rFonts w:hint="eastAsia" w:ascii="仿宋_GB2312" w:eastAsia="仿宋_GB2312" w:cs="仿宋_GB2312"/>
          <w:color w:val="333333"/>
          <w:kern w:val="0"/>
          <w:sz w:val="32"/>
          <w:szCs w:val="32"/>
          <w:lang w:bidi="ar-SA"/>
        </w:rPr>
        <w:t>我办认真贯彻落实中央和省委省政府相关规定，厉行节约，严格控制因公出国（境）费用、会议费、车辆购置及运行费用和公务接待经费。</w:t>
      </w:r>
    </w:p>
    <w:p>
      <w:pPr>
        <w:snapToGrid w:val="0"/>
        <w:spacing w:line="520" w:lineRule="exact"/>
        <w:ind w:left="160" w:leftChars="76" w:firstLine="480" w:firstLineChars="150"/>
        <w:rPr>
          <w:rFonts w:hint="eastAsia" w:ascii="仿宋_GB2312" w:eastAsia="仿宋_GB2312" w:cs="仿宋"/>
          <w:color w:val="000000"/>
          <w:sz w:val="32"/>
          <w:szCs w:val="32"/>
          <w:lang w:bidi="ar-SA"/>
        </w:rPr>
      </w:pPr>
      <w:r>
        <w:rPr>
          <w:rFonts w:hint="eastAsia" w:ascii="仿宋_GB2312" w:eastAsia="仿宋_GB2312"/>
          <w:sz w:val="32"/>
          <w:szCs w:val="32"/>
        </w:rPr>
        <w:t>“三公”经费支出情况：202</w:t>
      </w:r>
      <w:r>
        <w:rPr>
          <w:rFonts w:hint="eastAsia" w:ascii="仿宋_GB2312" w:eastAsia="仿宋_GB2312"/>
          <w:sz w:val="32"/>
          <w:szCs w:val="32"/>
          <w:lang w:val="en-US" w:eastAsia="zh-CN"/>
        </w:rPr>
        <w:t>2</w:t>
      </w:r>
      <w:r>
        <w:rPr>
          <w:rFonts w:hint="eastAsia" w:ascii="仿宋_GB2312" w:eastAsia="仿宋_GB2312" w:cs="仿宋"/>
          <w:color w:val="000000"/>
          <w:sz w:val="32"/>
          <w:szCs w:val="32"/>
          <w:lang w:bidi="ar-SA"/>
        </w:rPr>
        <w:t>三公经费支出</w:t>
      </w:r>
      <w:r>
        <w:rPr>
          <w:rFonts w:hint="eastAsia" w:ascii="仿宋_GB2312" w:eastAsia="仿宋_GB2312" w:cs="仿宋"/>
          <w:color w:val="000000"/>
          <w:sz w:val="32"/>
          <w:szCs w:val="32"/>
          <w:lang w:val="en-US" w:eastAsia="zh-CN" w:bidi="ar-SA"/>
        </w:rPr>
        <w:t>194.75</w:t>
      </w:r>
      <w:r>
        <w:rPr>
          <w:rFonts w:hint="eastAsia" w:ascii="仿宋_GB2312" w:eastAsia="仿宋_GB2312" w:cs="仿宋"/>
          <w:color w:val="000000"/>
          <w:sz w:val="32"/>
          <w:szCs w:val="32"/>
          <w:lang w:bidi="ar-SA"/>
        </w:rPr>
        <w:t>万元，同上年数比较</w:t>
      </w:r>
      <w:r>
        <w:rPr>
          <w:rFonts w:hint="eastAsia" w:ascii="仿宋_GB2312" w:eastAsia="仿宋_GB2312" w:cs="仿宋"/>
          <w:color w:val="000000"/>
          <w:sz w:val="32"/>
          <w:szCs w:val="32"/>
          <w:lang w:eastAsia="zh-CN" w:bidi="ar-SA"/>
        </w:rPr>
        <w:t>减少</w:t>
      </w:r>
      <w:r>
        <w:rPr>
          <w:rFonts w:hint="eastAsia" w:ascii="仿宋_GB2312" w:eastAsia="仿宋_GB2312" w:cs="仿宋"/>
          <w:color w:val="000000"/>
          <w:sz w:val="32"/>
          <w:szCs w:val="32"/>
          <w:lang w:val="en-US" w:eastAsia="zh-CN" w:bidi="ar-SA"/>
        </w:rPr>
        <w:t>47.56</w:t>
      </w:r>
      <w:r>
        <w:rPr>
          <w:rFonts w:hint="eastAsia" w:ascii="仿宋_GB2312" w:eastAsia="仿宋_GB2312" w:cs="仿宋"/>
          <w:color w:val="000000"/>
          <w:sz w:val="32"/>
          <w:szCs w:val="32"/>
          <w:lang w:bidi="ar-SA"/>
        </w:rPr>
        <w:t>万元，</w:t>
      </w:r>
      <w:r>
        <w:rPr>
          <w:rFonts w:hint="eastAsia" w:ascii="仿宋_GB2312" w:eastAsia="仿宋_GB2312" w:cs="仿宋"/>
          <w:color w:val="000000"/>
          <w:sz w:val="32"/>
          <w:szCs w:val="32"/>
          <w:lang w:eastAsia="zh-CN" w:bidi="ar-SA"/>
        </w:rPr>
        <w:t>减少</w:t>
      </w:r>
      <w:r>
        <w:rPr>
          <w:rFonts w:hint="eastAsia" w:ascii="仿宋_GB2312" w:eastAsia="仿宋_GB2312" w:cs="仿宋"/>
          <w:color w:val="000000"/>
          <w:sz w:val="32"/>
          <w:szCs w:val="32"/>
          <w:lang w:val="en-US" w:eastAsia="zh-CN" w:bidi="ar-SA"/>
        </w:rPr>
        <w:t>19.63</w:t>
      </w:r>
      <w:r>
        <w:rPr>
          <w:rFonts w:hint="eastAsia" w:ascii="仿宋_GB2312" w:eastAsia="仿宋_GB2312" w:cs="仿宋"/>
          <w:color w:val="000000"/>
          <w:sz w:val="32"/>
          <w:szCs w:val="32"/>
          <w:lang w:bidi="ar-SA"/>
        </w:rPr>
        <w:t>%。其中：因公出国（境）费0万元，同上年数相比减少0万元，本年度无因公出国（境）任务。</w:t>
      </w:r>
    </w:p>
    <w:p>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cs="仿宋_GB2312"/>
          <w:color w:val="000000"/>
          <w:sz w:val="32"/>
          <w:szCs w:val="32"/>
          <w:lang w:bidi="ar-SA"/>
        </w:rPr>
        <w:t>公务用车购置支出</w:t>
      </w:r>
      <w:r>
        <w:rPr>
          <w:rFonts w:hint="eastAsia" w:ascii="仿宋_GB2312" w:eastAsia="仿宋_GB2312" w:cs="仿宋_GB2312"/>
          <w:color w:val="000000"/>
          <w:sz w:val="32"/>
          <w:szCs w:val="32"/>
          <w:lang w:val="en-US" w:eastAsia="zh-CN" w:bidi="ar-SA"/>
        </w:rPr>
        <w:t>57.01</w:t>
      </w:r>
      <w:r>
        <w:rPr>
          <w:rFonts w:hint="eastAsia" w:ascii="仿宋_GB2312" w:eastAsia="仿宋_GB2312" w:cs="仿宋_GB2312"/>
          <w:color w:val="000000"/>
          <w:sz w:val="32"/>
          <w:szCs w:val="32"/>
          <w:lang w:bidi="ar-SA"/>
        </w:rPr>
        <w:t>万元，本年度</w:t>
      </w:r>
      <w:r>
        <w:rPr>
          <w:rFonts w:hint="eastAsia" w:ascii="仿宋_GB2312" w:eastAsia="仿宋_GB2312" w:cs="仿宋_GB2312"/>
          <w:color w:val="000000"/>
          <w:sz w:val="32"/>
          <w:szCs w:val="32"/>
          <w:lang w:eastAsia="zh-CN" w:bidi="ar-SA"/>
        </w:rPr>
        <w:t>更新</w:t>
      </w:r>
      <w:r>
        <w:rPr>
          <w:rFonts w:hint="eastAsia" w:ascii="仿宋_GB2312" w:eastAsia="仿宋_GB2312" w:cs="仿宋_GB2312"/>
          <w:color w:val="000000"/>
          <w:sz w:val="32"/>
          <w:szCs w:val="32"/>
          <w:lang w:bidi="ar-SA"/>
        </w:rPr>
        <w:t>购置公务用车一辆。</w:t>
      </w: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年12月底，单位共有公务用车14辆，其中：轿车1辆，越野车13辆。</w:t>
      </w:r>
    </w:p>
    <w:p>
      <w:pPr>
        <w:snapToGrid w:val="0"/>
        <w:spacing w:line="520" w:lineRule="exact"/>
        <w:ind w:firstLine="640" w:firstLineChars="200"/>
        <w:rPr>
          <w:rFonts w:hint="eastAsia" w:ascii="仿宋_GB2312" w:eastAsia="仿宋_GB2312" w:cs="仿宋"/>
          <w:color w:val="000000"/>
          <w:sz w:val="32"/>
          <w:szCs w:val="32"/>
          <w:lang w:bidi="ar-SA"/>
        </w:rPr>
      </w:pPr>
      <w:r>
        <w:rPr>
          <w:rFonts w:hint="eastAsia" w:ascii="仿宋_GB2312" w:eastAsia="仿宋_GB2312" w:cs="仿宋"/>
          <w:color w:val="000000"/>
          <w:sz w:val="32"/>
          <w:szCs w:val="32"/>
          <w:lang w:bidi="ar-SA"/>
        </w:rPr>
        <w:t>公务车运行维护费</w:t>
      </w:r>
      <w:r>
        <w:rPr>
          <w:rFonts w:hint="eastAsia" w:ascii="仿宋_GB2312" w:eastAsia="仿宋_GB2312" w:cs="仿宋"/>
          <w:color w:val="000000"/>
          <w:sz w:val="32"/>
          <w:szCs w:val="32"/>
          <w:lang w:val="en-US" w:eastAsia="zh-CN" w:bidi="ar-SA"/>
        </w:rPr>
        <w:t>137.40</w:t>
      </w:r>
      <w:r>
        <w:rPr>
          <w:rFonts w:hint="eastAsia" w:ascii="仿宋_GB2312" w:eastAsia="仿宋_GB2312" w:cs="仿宋"/>
          <w:color w:val="000000"/>
          <w:sz w:val="32"/>
          <w:szCs w:val="32"/>
          <w:lang w:bidi="ar-SA"/>
        </w:rPr>
        <w:t>万元，同上年数相比</w:t>
      </w:r>
      <w:r>
        <w:rPr>
          <w:rFonts w:hint="eastAsia" w:ascii="仿宋_GB2312" w:eastAsia="仿宋_GB2312" w:cs="仿宋"/>
          <w:color w:val="000000"/>
          <w:sz w:val="32"/>
          <w:szCs w:val="32"/>
          <w:lang w:eastAsia="zh-CN" w:bidi="ar-SA"/>
        </w:rPr>
        <w:t>减少</w:t>
      </w:r>
      <w:r>
        <w:rPr>
          <w:rFonts w:hint="eastAsia" w:ascii="仿宋_GB2312" w:eastAsia="仿宋_GB2312" w:cs="仿宋"/>
          <w:color w:val="000000"/>
          <w:sz w:val="32"/>
          <w:szCs w:val="32"/>
          <w:lang w:val="en-US" w:eastAsia="zh-CN" w:bidi="ar-SA"/>
        </w:rPr>
        <w:t>52.07</w:t>
      </w:r>
      <w:r>
        <w:rPr>
          <w:rFonts w:hint="eastAsia" w:ascii="仿宋_GB2312" w:eastAsia="仿宋_GB2312" w:cs="仿宋"/>
          <w:color w:val="000000"/>
          <w:sz w:val="32"/>
          <w:szCs w:val="32"/>
          <w:lang w:bidi="ar-SA"/>
        </w:rPr>
        <w:t>万元，</w:t>
      </w:r>
      <w:r>
        <w:rPr>
          <w:rFonts w:hint="eastAsia" w:ascii="仿宋_GB2312" w:eastAsia="仿宋_GB2312" w:cs="仿宋"/>
          <w:color w:val="000000"/>
          <w:sz w:val="32"/>
          <w:szCs w:val="32"/>
          <w:lang w:eastAsia="zh-CN" w:bidi="ar-SA"/>
        </w:rPr>
        <w:t>减少</w:t>
      </w:r>
      <w:r>
        <w:rPr>
          <w:rFonts w:hint="eastAsia" w:ascii="仿宋_GB2312" w:eastAsia="仿宋_GB2312" w:cs="仿宋"/>
          <w:color w:val="000000"/>
          <w:sz w:val="32"/>
          <w:szCs w:val="32"/>
          <w:lang w:val="en-US" w:eastAsia="zh-CN" w:bidi="ar-SA"/>
        </w:rPr>
        <w:t>27.48</w:t>
      </w:r>
      <w:r>
        <w:rPr>
          <w:rFonts w:hint="eastAsia" w:ascii="仿宋_GB2312" w:eastAsia="仿宋_GB2312" w:cs="仿宋"/>
          <w:color w:val="000000"/>
          <w:sz w:val="32"/>
          <w:szCs w:val="32"/>
          <w:lang w:bidi="ar-SA"/>
        </w:rPr>
        <w:t>%。</w:t>
      </w:r>
    </w:p>
    <w:p>
      <w:pPr>
        <w:keepNext w:val="0"/>
        <w:keepLines w:val="0"/>
        <w:pageBreakBefore w:val="0"/>
        <w:widowControl/>
        <w:kinsoku/>
        <w:wordWrap/>
        <w:topLinePunct w:val="0"/>
        <w:bidi w:val="0"/>
        <w:adjustRightInd w:val="0"/>
        <w:snapToGrid w:val="0"/>
        <w:spacing w:line="576" w:lineRule="exact"/>
        <w:ind w:firstLine="640" w:firstLineChars="200"/>
        <w:contextualSpacing/>
        <w:jc w:val="left"/>
        <w:rPr>
          <w:rFonts w:hint="eastAsia" w:ascii="仿宋_GB2312" w:eastAsia="仿宋_GB2312" w:cs="仿宋"/>
          <w:color w:val="000000"/>
          <w:sz w:val="32"/>
          <w:szCs w:val="32"/>
          <w:lang w:bidi="ar-SA"/>
        </w:rPr>
      </w:pPr>
      <w:r>
        <w:rPr>
          <w:rFonts w:hint="eastAsia" w:ascii="仿宋_GB2312" w:eastAsia="仿宋_GB2312" w:cs="仿宋"/>
          <w:color w:val="000000"/>
          <w:sz w:val="32"/>
          <w:szCs w:val="32"/>
          <w:lang w:bidi="ar-SA"/>
        </w:rPr>
        <w:t>公务接待费</w:t>
      </w:r>
      <w:r>
        <w:rPr>
          <w:rFonts w:hint="eastAsia" w:ascii="仿宋_GB2312" w:eastAsia="仿宋_GB2312" w:cs="仿宋"/>
          <w:color w:val="000000"/>
          <w:sz w:val="32"/>
          <w:szCs w:val="32"/>
          <w:lang w:val="en-US" w:eastAsia="zh-CN" w:bidi="ar-SA"/>
        </w:rPr>
        <w:t>0.34</w:t>
      </w:r>
      <w:r>
        <w:rPr>
          <w:rFonts w:hint="eastAsia" w:ascii="仿宋_GB2312" w:eastAsia="仿宋_GB2312" w:cs="仿宋"/>
          <w:color w:val="000000"/>
          <w:sz w:val="32"/>
          <w:szCs w:val="32"/>
          <w:lang w:bidi="ar-SA"/>
        </w:rPr>
        <w:t>万元同上年数比较</w:t>
      </w:r>
      <w:r>
        <w:rPr>
          <w:rFonts w:hint="eastAsia" w:ascii="仿宋_GB2312" w:eastAsia="仿宋_GB2312" w:cs="仿宋"/>
          <w:color w:val="000000"/>
          <w:sz w:val="32"/>
          <w:szCs w:val="32"/>
          <w:lang w:eastAsia="zh-CN" w:bidi="ar-SA"/>
        </w:rPr>
        <w:t>减少</w:t>
      </w:r>
      <w:r>
        <w:rPr>
          <w:rFonts w:hint="eastAsia" w:ascii="仿宋_GB2312" w:eastAsia="仿宋_GB2312" w:cs="仿宋"/>
          <w:color w:val="000000"/>
          <w:sz w:val="32"/>
          <w:szCs w:val="32"/>
          <w:lang w:val="en-US" w:eastAsia="zh-CN" w:bidi="ar-SA"/>
        </w:rPr>
        <w:t>1.32</w:t>
      </w:r>
      <w:r>
        <w:rPr>
          <w:rFonts w:hint="eastAsia" w:ascii="仿宋_GB2312" w:eastAsia="仿宋_GB2312" w:cs="仿宋"/>
          <w:color w:val="000000"/>
          <w:sz w:val="32"/>
          <w:szCs w:val="32"/>
          <w:lang w:bidi="ar-SA"/>
        </w:rPr>
        <w:t>万元，减少</w:t>
      </w:r>
      <w:r>
        <w:rPr>
          <w:rFonts w:hint="eastAsia" w:ascii="仿宋_GB2312" w:eastAsia="仿宋_GB2312" w:cs="仿宋"/>
          <w:color w:val="000000"/>
          <w:sz w:val="32"/>
          <w:szCs w:val="32"/>
          <w:lang w:val="en-US" w:eastAsia="zh-CN" w:bidi="ar-SA"/>
        </w:rPr>
        <w:t>79.60</w:t>
      </w:r>
      <w:r>
        <w:rPr>
          <w:rFonts w:hint="eastAsia" w:ascii="仿宋_GB2312" w:eastAsia="仿宋_GB2312" w:cs="仿宋"/>
          <w:color w:val="000000"/>
          <w:sz w:val="32"/>
          <w:szCs w:val="32"/>
          <w:lang w:bidi="ar-SA"/>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人次，具体内容包括：接待时</w:t>
      </w:r>
      <w:r>
        <w:rPr>
          <w:rFonts w:hint="eastAsia" w:ascii="仿宋_GB2312" w:eastAsia="仿宋_GB2312"/>
          <w:color w:val="000000"/>
          <w:sz w:val="32"/>
          <w:szCs w:val="32"/>
          <w:lang w:eastAsia="zh-CN"/>
        </w:rPr>
        <w:t>产生</w:t>
      </w:r>
      <w:r>
        <w:rPr>
          <w:rFonts w:hint="eastAsia" w:ascii="仿宋_GB2312" w:eastAsia="仿宋_GB2312"/>
          <w:color w:val="000000"/>
          <w:sz w:val="32"/>
          <w:szCs w:val="32"/>
        </w:rPr>
        <w:t>的餐费。其中：外事接待0批次，0人，共计支出0万元</w:t>
      </w:r>
      <w:r>
        <w:rPr>
          <w:rFonts w:hint="eastAsia" w:ascii="仿宋_GB2312" w:eastAsia="仿宋_GB2312" w:cs="仿宋"/>
          <w:color w:val="000000"/>
          <w:sz w:val="32"/>
          <w:szCs w:val="32"/>
          <w:lang w:bidi="ar-SA"/>
        </w:rPr>
        <w:t>。</w:t>
      </w:r>
    </w:p>
    <w:p>
      <w:pPr>
        <w:keepNext w:val="0"/>
        <w:keepLines w:val="0"/>
        <w:pageBreakBefore w:val="0"/>
        <w:widowControl/>
        <w:kinsoku/>
        <w:wordWrap/>
        <w:topLinePunct w:val="0"/>
        <w:bidi w:val="0"/>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643" w:firstLineChars="200"/>
        <w:contextualSpacing/>
        <w:jc w:val="left"/>
        <w:textAlignment w:val="auto"/>
        <w:rPr>
          <w:rFonts w:hint="eastAsia" w:ascii="楷体_GB2312" w:eastAsia="楷体_GB2312" w:cs="楷体_GB2312"/>
          <w:b/>
          <w:bCs/>
          <w:color w:val="000000"/>
          <w:kern w:val="0"/>
          <w:sz w:val="32"/>
          <w:szCs w:val="32"/>
          <w:shd w:val="clear" w:color="auto" w:fill="FFFFFF"/>
          <w:lang w:val="en-US" w:eastAsia="zh-CN"/>
        </w:rPr>
      </w:pPr>
      <w:r>
        <w:rPr>
          <w:rFonts w:hint="eastAsia" w:ascii="楷体_GB2312" w:eastAsia="楷体_GB2312" w:cs="楷体_GB2312"/>
          <w:b/>
          <w:bCs/>
          <w:color w:val="000000"/>
          <w:kern w:val="0"/>
          <w:sz w:val="32"/>
          <w:szCs w:val="32"/>
          <w:shd w:val="clear" w:color="auto" w:fill="FFFFFF"/>
          <w:lang w:val="zh-CN"/>
        </w:rPr>
        <w:t>（一）评价结论</w:t>
      </w:r>
    </w:p>
    <w:p>
      <w:pPr>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b/>
          <w:color w:val="FF0000"/>
          <w:sz w:val="32"/>
          <w:szCs w:val="32"/>
        </w:rPr>
      </w:pPr>
      <w:r>
        <w:rPr>
          <w:rFonts w:ascii="仿宋_GB2312" w:eastAsia="仿宋_GB2312" w:cs="仿宋_GB2312"/>
          <w:sz w:val="32"/>
          <w:szCs w:val="32"/>
        </w:rPr>
        <w:t>我办</w:t>
      </w:r>
      <w:r>
        <w:rPr>
          <w:rFonts w:hint="eastAsia" w:ascii="仿宋_GB2312" w:eastAsia="仿宋_GB2312" w:cs="仿宋_GB2312"/>
          <w:sz w:val="32"/>
          <w:szCs w:val="32"/>
        </w:rPr>
        <w:t>按要求对</w:t>
      </w:r>
      <w:r>
        <w:rPr>
          <w:rFonts w:hint="eastAsia" w:ascii="仿宋_GB2312" w:eastAsia="仿宋_GB2312" w:cs="仿宋_GB2312"/>
          <w:sz w:val="32"/>
          <w:szCs w:val="32"/>
          <w:highlight w:val="none"/>
        </w:rPr>
        <w:t>20</w:t>
      </w:r>
      <w:r>
        <w:rPr>
          <w:rFonts w:ascii="仿宋_GB2312" w:eastAsia="仿宋_GB2312" w:cs="仿宋_GB2312"/>
          <w:sz w:val="32"/>
          <w:szCs w:val="32"/>
          <w:highlight w:val="none"/>
        </w:rPr>
        <w:t>2</w:t>
      </w:r>
      <w:r>
        <w:rPr>
          <w:rFonts w:hint="eastAsia" w:ascii="仿宋_GB2312" w:hAnsi="仿宋_GB2312" w:cs="仿宋_GB2312"/>
          <w:sz w:val="32"/>
          <w:szCs w:val="32"/>
          <w:highlight w:val="none"/>
          <w:lang w:val="en-US" w:eastAsia="zh-CN"/>
        </w:rPr>
        <w:t>2</w:t>
      </w:r>
      <w:r>
        <w:rPr>
          <w:rFonts w:hint="eastAsia" w:ascii="仿宋_GB2312" w:eastAsia="仿宋_GB2312" w:cs="仿宋_GB2312"/>
          <w:sz w:val="32"/>
          <w:szCs w:val="32"/>
          <w:highlight w:val="none"/>
        </w:rPr>
        <w:t>年</w:t>
      </w:r>
      <w:r>
        <w:rPr>
          <w:rFonts w:hint="eastAsia" w:ascii="仿宋_GB2312" w:hAns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r>
        <w:rPr>
          <w:rFonts w:hint="eastAsia" w:ascii="仿宋_GB2312" w:eastAsia="仿宋_GB2312" w:cs="仿宋_GB2312"/>
          <w:sz w:val="32"/>
          <w:szCs w:val="32"/>
        </w:rPr>
        <w:t>，从评价情况来看从评价情况来看</w:t>
      </w:r>
      <w:r>
        <w:rPr>
          <w:rFonts w:hint="eastAsia" w:ascii="仿宋_GB2312" w:eastAsia="仿宋_GB2312" w:cs="仿宋"/>
          <w:sz w:val="32"/>
          <w:szCs w:val="32"/>
        </w:rPr>
        <w:t>我</w:t>
      </w:r>
      <w:r>
        <w:rPr>
          <w:rFonts w:ascii="仿宋_GB2312" w:eastAsia="仿宋_GB2312" w:cs="仿宋"/>
          <w:sz w:val="32"/>
          <w:szCs w:val="32"/>
        </w:rPr>
        <w:t>办</w:t>
      </w:r>
      <w:r>
        <w:rPr>
          <w:rFonts w:hint="eastAsia" w:ascii="仿宋_GB2312" w:eastAsia="仿宋_GB2312" w:cs="仿宋"/>
          <w:sz w:val="32"/>
          <w:szCs w:val="32"/>
        </w:rPr>
        <w:t>部门整体支出绩效评价自查自评结果良好，基本支出保证了部门的正常运行和日常工作的正常开展，绩效指标体系逐渐丰富和完善。按照规定向社会公开年度单位部门</w:t>
      </w:r>
      <w:r>
        <w:rPr>
          <w:rFonts w:ascii="仿宋_GB2312" w:eastAsia="仿宋_GB2312" w:cs="仿宋"/>
          <w:sz w:val="32"/>
          <w:szCs w:val="32"/>
        </w:rPr>
        <w:t>预决算</w:t>
      </w:r>
      <w:r>
        <w:rPr>
          <w:rFonts w:hint="eastAsia" w:ascii="仿宋_GB2312" w:eastAsia="仿宋_GB2312" w:cs="仿宋"/>
          <w:sz w:val="32"/>
          <w:szCs w:val="32"/>
        </w:rPr>
        <w:t>及三公经费的使用情况</w:t>
      </w:r>
      <w:r>
        <w:rPr>
          <w:rFonts w:hint="eastAsia" w:ascii="仿宋_GB2312" w:eastAsia="仿宋_GB2312" w:cs="仿宋_GB2312"/>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643" w:firstLineChars="200"/>
        <w:contextualSpacing/>
        <w:jc w:val="left"/>
        <w:textAlignment w:val="auto"/>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（二）存在问题</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hAnsi="仿宋_GB2312" w:cs="宋体"/>
          <w:color w:val="000000"/>
          <w:kern w:val="0"/>
          <w:szCs w:val="32"/>
          <w:shd w:val="clear" w:color="auto" w:fill="FFFFFF"/>
          <w:lang w:val="zh-CN"/>
        </w:rPr>
      </w:pPr>
      <w:r>
        <w:rPr>
          <w:rFonts w:hint="eastAsia" w:ascii="仿宋_GB2312" w:eastAsia="仿宋_GB2312" w:cs="宋体"/>
          <w:kern w:val="0"/>
          <w:sz w:val="32"/>
          <w:szCs w:val="32"/>
        </w:rPr>
        <w:t>一</w:t>
      </w:r>
      <w:r>
        <w:rPr>
          <w:rFonts w:hint="eastAsia" w:ascii="仿宋_GB2312" w:eastAsia="仿宋_GB2312" w:cs="宋体"/>
          <w:kern w:val="0"/>
          <w:sz w:val="32"/>
          <w:szCs w:val="32"/>
          <w:lang w:val="zh-CN"/>
        </w:rPr>
        <w:t>是单位对部门支出绩效评价工作的认识理解不够，年初预设的绩效指标</w:t>
      </w:r>
      <w:r>
        <w:rPr>
          <w:rFonts w:ascii="仿宋_GB2312" w:eastAsia="仿宋_GB2312" w:cs="宋体"/>
          <w:kern w:val="0"/>
          <w:sz w:val="32"/>
          <w:szCs w:val="32"/>
          <w:lang w:val="zh-CN"/>
        </w:rPr>
        <w:t>粗糙</w:t>
      </w:r>
      <w:r>
        <w:rPr>
          <w:rFonts w:hint="eastAsia" w:ascii="仿宋_GB2312" w:eastAsia="仿宋_GB2312" w:cs="宋体"/>
          <w:kern w:val="0"/>
          <w:sz w:val="32"/>
          <w:szCs w:val="32"/>
          <w:lang w:val="zh-CN"/>
        </w:rPr>
        <w:t>，二是</w:t>
      </w:r>
      <w:r>
        <w:rPr>
          <w:rFonts w:ascii="仿宋_GB2312" w:eastAsia="仿宋_GB2312" w:cs="宋体"/>
          <w:kern w:val="0"/>
          <w:sz w:val="32"/>
          <w:szCs w:val="32"/>
          <w:lang w:val="zh-CN"/>
        </w:rPr>
        <w:t>部分项目支出绩效指标无法用</w:t>
      </w:r>
      <w:r>
        <w:rPr>
          <w:rFonts w:hint="eastAsia" w:ascii="仿宋_GB2312" w:eastAsia="仿宋_GB2312" w:cs="宋体"/>
          <w:kern w:val="0"/>
          <w:sz w:val="32"/>
          <w:szCs w:val="32"/>
          <w:lang w:val="zh-CN"/>
        </w:rPr>
        <w:t>量化指标来进行考评。</w:t>
      </w:r>
    </w:p>
    <w:p>
      <w:pPr>
        <w:keepNext w:val="0"/>
        <w:keepLines w:val="0"/>
        <w:pageBreakBefore w:val="0"/>
        <w:widowControl w:val="0"/>
        <w:kinsoku/>
        <w:wordWrap/>
        <w:overflowPunct w:val="0"/>
        <w:topLinePunct w:val="0"/>
        <w:autoSpaceDE w:val="0"/>
        <w:autoSpaceDN w:val="0"/>
        <w:bidi w:val="0"/>
        <w:snapToGrid w:val="0"/>
        <w:spacing w:line="576" w:lineRule="exact"/>
        <w:ind w:firstLine="643" w:firstLineChars="200"/>
        <w:textAlignment w:val="auto"/>
        <w:rPr>
          <w:rFonts w:hint="eastAsia" w:ascii="楷体_GB2312" w:eastAsia="楷体_GB2312" w:cs="仿宋"/>
          <w:b/>
          <w:bCs/>
          <w:sz w:val="32"/>
          <w:szCs w:val="32"/>
          <w:shd w:val="clear" w:color="auto" w:fill="auto"/>
          <w:lang w:val="zh-CN"/>
        </w:rPr>
      </w:pPr>
      <w:r>
        <w:rPr>
          <w:rFonts w:hint="eastAsia" w:ascii="楷体_GB2312" w:eastAsia="楷体_GB2312" w:cs="仿宋"/>
          <w:b/>
          <w:bCs/>
          <w:sz w:val="32"/>
          <w:szCs w:val="32"/>
          <w:shd w:val="clear" w:color="auto" w:fill="auto"/>
          <w:lang w:val="zh-CN"/>
        </w:rPr>
        <w:t>（三）改进建议</w:t>
      </w:r>
    </w:p>
    <w:p>
      <w:pPr>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针对存在的问题，我们将进一步科学设定绩效目标，加强预算执行管理。遵循先有预算、后有支出的原则，加强新《中华人民共和国预算法》《行政单位会计制度》等学习培训，规范部门预算收支核算</w:t>
      </w:r>
      <w:r>
        <w:rPr>
          <w:rFonts w:ascii="仿宋_GB2312" w:eastAsia="仿宋_GB2312" w:cs="仿宋_GB2312"/>
          <w:sz w:val="32"/>
          <w:szCs w:val="32"/>
        </w:rPr>
        <w:t>，</w:t>
      </w:r>
      <w:r>
        <w:rPr>
          <w:rFonts w:hint="eastAsia" w:ascii="仿宋_GB2312" w:eastAsia="仿宋_GB2312" w:cs="仿宋_GB2312"/>
          <w:sz w:val="32"/>
          <w:szCs w:val="32"/>
        </w:rPr>
        <w:t>加强财务管理和内部控制监督制度。</w:t>
      </w:r>
    </w:p>
    <w:p>
      <w:pPr>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茂县人民政府办公室</w:t>
      </w:r>
    </w:p>
    <w:p>
      <w:pPr>
        <w:pStyle w:val="2"/>
        <w:keepNext w:val="0"/>
        <w:keepLines w:val="0"/>
        <w:pageBreakBefore w:val="0"/>
        <w:widowControl w:val="0"/>
        <w:kinsoku/>
        <w:wordWrap/>
        <w:topLinePunct w:val="0"/>
        <w:bidi w:val="0"/>
        <w:spacing w:line="576" w:lineRule="exact"/>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2023年7月25日</w:t>
      </w: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556" w:lineRule="exact"/>
        <w:jc w:val="center"/>
        <w:textAlignment w:val="auto"/>
        <w:rPr>
          <w:rFonts w:hint="eastAsia" w:ascii="方正小标宋简体" w:eastAsia="方正小标宋简体" w:cs="方正小标宋简体"/>
          <w:color w:val="auto"/>
          <w:kern w:val="2"/>
          <w:sz w:val="44"/>
          <w:szCs w:val="44"/>
          <w:lang w:bidi="ar-SA"/>
        </w:rPr>
      </w:pPr>
      <w:r>
        <w:rPr>
          <w:rFonts w:hint="eastAsia" w:ascii="方正小标宋简体" w:eastAsia="方正小标宋简体"/>
          <w:sz w:val="44"/>
          <w:szCs w:val="44"/>
        </w:rPr>
        <w:t>“</w:t>
      </w:r>
      <w:r>
        <w:rPr>
          <w:rFonts w:hint="eastAsia" w:ascii="方正小标宋简体" w:eastAsia="方正小标宋简体"/>
          <w:sz w:val="44"/>
          <w:szCs w:val="44"/>
          <w:lang w:eastAsia="zh-CN"/>
        </w:rPr>
        <w:t>茂县人民政府办公室公务用车购置</w:t>
      </w:r>
      <w:r>
        <w:rPr>
          <w:rFonts w:hint="eastAsia" w:ascii="方正小标宋简体" w:eastAsia="方正小标宋简体"/>
          <w:sz w:val="44"/>
          <w:szCs w:val="44"/>
        </w:rPr>
        <w:t>”</w:t>
      </w:r>
      <w:r>
        <w:rPr>
          <w:rFonts w:hint="eastAsia" w:ascii="方正小标宋简体" w:eastAsia="方正小标宋简体" w:cs="方正小标宋简体"/>
          <w:color w:val="auto"/>
          <w:kern w:val="2"/>
          <w:sz w:val="44"/>
          <w:szCs w:val="44"/>
          <w:lang w:eastAsia="zh-CN" w:bidi="ar-SA"/>
        </w:rPr>
        <w:t>专项预算项目支出</w:t>
      </w:r>
      <w:r>
        <w:rPr>
          <w:rFonts w:hint="eastAsia" w:ascii="方正小标宋简体" w:eastAsia="方正小标宋简体" w:cs="方正小标宋简体"/>
          <w:color w:val="auto"/>
          <w:kern w:val="2"/>
          <w:sz w:val="44"/>
          <w:szCs w:val="44"/>
          <w:lang w:bidi="ar-SA"/>
        </w:rPr>
        <w:t>绩效自评报告</w:t>
      </w:r>
    </w:p>
    <w:p>
      <w:pPr>
        <w:keepNext w:val="0"/>
        <w:keepLines w:val="0"/>
        <w:pageBreakBefore w:val="0"/>
        <w:widowControl w:val="0"/>
        <w:kinsoku/>
        <w:wordWrap/>
        <w:overflowPunct/>
        <w:topLinePunct w:val="0"/>
        <w:autoSpaceDE/>
        <w:autoSpaceDN/>
        <w:bidi w:val="0"/>
        <w:adjustRightInd w:val="0"/>
        <w:snapToGrid w:val="0"/>
        <w:spacing w:line="556" w:lineRule="exact"/>
        <w:ind w:firstLine="420" w:firstLineChars="200"/>
        <w:textAlignment w:val="auto"/>
        <w:rPr>
          <w:rFonts w:hint="eastAsia" w:ascii="仿宋_GB2312" w:hAnsi="仿宋_GB2312"/>
          <w:lang w:val="zh-CN" w:eastAsia="zh-CN"/>
        </w:rPr>
      </w:pPr>
    </w:p>
    <w:p>
      <w:pPr>
        <w:keepNext w:val="0"/>
        <w:keepLines w:val="0"/>
        <w:pageBreakBefore w:val="0"/>
        <w:widowControl w:val="0"/>
        <w:kinsoku/>
        <w:wordWrap/>
        <w:overflowPunct/>
        <w:topLinePunct w:val="0"/>
        <w:autoSpaceDE/>
        <w:autoSpaceDN/>
        <w:bidi w:val="0"/>
        <w:adjustRightInd w:val="0"/>
        <w:snapToGrid w:val="0"/>
        <w:spacing w:line="556" w:lineRule="exact"/>
        <w:ind w:firstLine="640" w:firstLineChars="200"/>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为加强财政支出管理，提高财政资金使用效益，根据《茂县财政局</w:t>
      </w:r>
      <w:r>
        <w:rPr>
          <w:rFonts w:hint="eastAsia" w:ascii="仿宋_GB2312" w:eastAsia="仿宋_GB2312" w:cs="仿宋_GB2312"/>
          <w:color w:val="000000"/>
          <w:spacing w:val="0"/>
          <w:sz w:val="32"/>
          <w:szCs w:val="32"/>
          <w:shd w:val="clear" w:color="auto" w:fill="FFFFFF"/>
        </w:rPr>
        <w:t>关于开展202</w:t>
      </w:r>
      <w:r>
        <w:rPr>
          <w:rFonts w:hint="eastAsia" w:ascii="仿宋_GB2312" w:eastAsia="仿宋_GB2312" w:cs="仿宋_GB2312"/>
          <w:color w:val="000000"/>
          <w:spacing w:val="0"/>
          <w:sz w:val="32"/>
          <w:szCs w:val="32"/>
          <w:shd w:val="clear" w:color="auto" w:fill="FFFFFF"/>
          <w:lang w:val="en-US" w:eastAsia="zh-CN"/>
        </w:rPr>
        <w:t>3</w:t>
      </w:r>
      <w:r>
        <w:rPr>
          <w:rFonts w:hint="eastAsia" w:ascii="仿宋_GB2312" w:eastAsia="仿宋_GB2312" w:cs="仿宋_GB2312"/>
          <w:color w:val="000000"/>
          <w:spacing w:val="0"/>
          <w:sz w:val="32"/>
          <w:szCs w:val="32"/>
          <w:shd w:val="clear" w:color="auto" w:fill="FFFFFF"/>
        </w:rPr>
        <w:t>年</w:t>
      </w:r>
      <w:r>
        <w:rPr>
          <w:rFonts w:hint="eastAsia" w:ascii="仿宋_GB2312" w:eastAsia="仿宋_GB2312" w:cs="仿宋_GB2312"/>
          <w:color w:val="000000"/>
          <w:spacing w:val="0"/>
          <w:sz w:val="32"/>
          <w:szCs w:val="32"/>
          <w:shd w:val="clear" w:color="auto" w:fill="FFFFFF"/>
          <w:lang w:eastAsia="zh-CN"/>
        </w:rPr>
        <w:t>财政重点绩效评价工作的通知</w:t>
      </w:r>
      <w:r>
        <w:rPr>
          <w:rFonts w:hint="eastAsia" w:ascii="仿宋_GB2312" w:eastAsia="仿宋_GB2312" w:cs="仿宋_GB2312"/>
          <w:color w:val="000000"/>
          <w:spacing w:val="0"/>
          <w:sz w:val="32"/>
          <w:szCs w:val="32"/>
          <w:shd w:val="clear" w:color="auto" w:fill="FFFFFF"/>
        </w:rPr>
        <w:t>》（茂财发（202</w:t>
      </w:r>
      <w:r>
        <w:rPr>
          <w:rFonts w:hint="eastAsia" w:ascii="仿宋_GB2312" w:eastAsia="仿宋_GB2312" w:cs="仿宋_GB2312"/>
          <w:color w:val="000000"/>
          <w:spacing w:val="0"/>
          <w:sz w:val="32"/>
          <w:szCs w:val="32"/>
          <w:shd w:val="clear" w:color="auto" w:fill="FFFFFF"/>
          <w:lang w:val="en-US" w:eastAsia="zh-CN"/>
        </w:rPr>
        <w:t>3</w:t>
      </w:r>
      <w:r>
        <w:rPr>
          <w:rFonts w:hint="eastAsia" w:ascii="仿宋_GB2312" w:eastAsia="仿宋_GB2312" w:cs="仿宋_GB2312"/>
          <w:color w:val="000000"/>
          <w:spacing w:val="0"/>
          <w:sz w:val="32"/>
          <w:szCs w:val="32"/>
          <w:shd w:val="clear" w:color="auto" w:fill="FFFFFF"/>
        </w:rPr>
        <w:t>）</w:t>
      </w:r>
      <w:r>
        <w:rPr>
          <w:rFonts w:hint="eastAsia" w:ascii="仿宋_GB2312" w:eastAsia="仿宋_GB2312" w:cs="仿宋_GB2312"/>
          <w:color w:val="000000"/>
          <w:spacing w:val="0"/>
          <w:sz w:val="32"/>
          <w:szCs w:val="32"/>
          <w:shd w:val="clear" w:color="auto" w:fill="FFFFFF"/>
          <w:lang w:val="en-US" w:eastAsia="zh-CN"/>
        </w:rPr>
        <w:t>74</w:t>
      </w:r>
      <w:r>
        <w:rPr>
          <w:rFonts w:hint="eastAsia" w:ascii="仿宋_GB2312" w:eastAsia="仿宋_GB2312" w:cs="仿宋_GB2312"/>
          <w:color w:val="000000"/>
          <w:spacing w:val="0"/>
          <w:sz w:val="32"/>
          <w:szCs w:val="32"/>
          <w:shd w:val="clear" w:color="auto" w:fill="FFFFFF"/>
        </w:rPr>
        <w:t>号）等</w:t>
      </w:r>
      <w:r>
        <w:rPr>
          <w:rFonts w:hint="eastAsia" w:ascii="仿宋_GB2312" w:eastAsia="仿宋_GB2312" w:cs="仿宋_GB2312"/>
          <w:spacing w:val="0"/>
          <w:sz w:val="32"/>
          <w:szCs w:val="32"/>
        </w:rPr>
        <w:t>文件精神，茂县人民政府办公室成立了绩效评价工作小组，对202</w:t>
      </w:r>
      <w:r>
        <w:rPr>
          <w:rFonts w:hint="eastAsia" w:ascii="仿宋_GB2312" w:eastAsia="仿宋_GB2312" w:cs="仿宋_GB2312"/>
          <w:spacing w:val="0"/>
          <w:sz w:val="32"/>
          <w:szCs w:val="32"/>
          <w:lang w:val="en-US" w:eastAsia="zh-CN"/>
        </w:rPr>
        <w:t>2</w:t>
      </w:r>
      <w:r>
        <w:rPr>
          <w:rFonts w:hint="eastAsia" w:ascii="仿宋_GB2312" w:eastAsia="仿宋_GB2312" w:cs="仿宋_GB2312"/>
          <w:spacing w:val="0"/>
          <w:sz w:val="32"/>
          <w:szCs w:val="32"/>
        </w:rPr>
        <w:t>年度“</w:t>
      </w:r>
      <w:r>
        <w:rPr>
          <w:rFonts w:hint="eastAsia" w:ascii="仿宋_GB2312" w:eastAsia="仿宋_GB2312" w:cs="仿宋_GB2312"/>
          <w:sz w:val="32"/>
          <w:szCs w:val="32"/>
          <w:lang w:eastAsia="zh-CN"/>
        </w:rPr>
        <w:t>茂县人民政府办公室公务用车</w:t>
      </w:r>
      <w:r>
        <w:rPr>
          <w:rFonts w:hint="eastAsia" w:ascii="仿宋_GB2312" w:eastAsia="仿宋_GB2312" w:cs="仿宋_GB2312"/>
          <w:spacing w:val="0"/>
          <w:sz w:val="32"/>
          <w:szCs w:val="32"/>
        </w:rPr>
        <w:t>”项目支出开展绩效评价。现将有关情况报告如下：</w:t>
      </w:r>
    </w:p>
    <w:p>
      <w:pPr>
        <w:keepNext w:val="0"/>
        <w:keepLines w:val="0"/>
        <w:pageBreakBefore w:val="0"/>
        <w:widowControl w:val="0"/>
        <w:kinsoku/>
        <w:wordWrap/>
        <w:overflowPunct/>
        <w:topLinePunct w:val="0"/>
        <w:autoSpaceDE/>
        <w:autoSpaceDN/>
        <w:bidi w:val="0"/>
        <w:adjustRightInd w:val="0"/>
        <w:snapToGrid w:val="0"/>
        <w:spacing w:line="556" w:lineRule="exact"/>
        <w:ind w:firstLine="640" w:firstLineChars="200"/>
        <w:textAlignment w:val="auto"/>
        <w:rPr>
          <w:rFonts w:hint="eastAsia" w:ascii="黑体" w:eastAsia="黑体"/>
          <w:sz w:val="32"/>
          <w:szCs w:val="32"/>
          <w:lang w:val="zh-CN" w:eastAsia="zh-CN"/>
        </w:rPr>
      </w:pPr>
      <w:r>
        <w:rPr>
          <w:rFonts w:hint="eastAsia" w:ascii="黑体" w:eastAsia="黑体"/>
          <w:sz w:val="32"/>
          <w:szCs w:val="32"/>
        </w:rPr>
        <w:t>一、</w:t>
      </w:r>
      <w:r>
        <w:rPr>
          <w:rFonts w:hint="eastAsia" w:ascii="黑体" w:eastAsia="黑体"/>
          <w:sz w:val="32"/>
          <w:szCs w:val="32"/>
          <w:lang w:val="zh-CN" w:eastAsia="zh-CN"/>
        </w:rPr>
        <w:t>项目概况</w:t>
      </w:r>
    </w:p>
    <w:p>
      <w:pPr>
        <w:keepNext w:val="0"/>
        <w:keepLines w:val="0"/>
        <w:pageBreakBefore w:val="0"/>
        <w:widowControl w:val="0"/>
        <w:kinsoku/>
        <w:wordWrap/>
        <w:overflowPunct/>
        <w:topLinePunct w:val="0"/>
        <w:autoSpaceDE/>
        <w:autoSpaceDN/>
        <w:bidi w:val="0"/>
        <w:adjustRightInd w:val="0"/>
        <w:snapToGrid w:val="0"/>
        <w:spacing w:line="556" w:lineRule="exact"/>
        <w:ind w:firstLine="482" w:firstLineChars="150"/>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（一）项目基本情况</w:t>
      </w:r>
    </w:p>
    <w:p>
      <w:pPr>
        <w:keepNext w:val="0"/>
        <w:keepLines w:val="0"/>
        <w:pageBreakBefore w:val="0"/>
        <w:widowControl w:val="0"/>
        <w:kinsoku/>
        <w:wordWrap/>
        <w:overflowPunct w:val="0"/>
        <w:topLinePunct w:val="0"/>
        <w:autoSpaceDE w:val="0"/>
        <w:autoSpaceDN w:val="0"/>
        <w:bidi w:val="0"/>
        <w:snapToGrid w:val="0"/>
        <w:spacing w:line="556" w:lineRule="exact"/>
        <w:ind w:firstLine="640" w:firstLineChars="200"/>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1.项目主管部门在该项目管理中的职能。</w:t>
      </w:r>
    </w:p>
    <w:p>
      <w:pPr>
        <w:keepNext w:val="0"/>
        <w:keepLines w:val="0"/>
        <w:pageBreakBefore w:val="0"/>
        <w:widowControl w:val="0"/>
        <w:kinsoku/>
        <w:wordWrap/>
        <w:topLinePunct w:val="0"/>
        <w:bidi w:val="0"/>
        <w:spacing w:line="556" w:lineRule="exact"/>
        <w:ind w:firstLine="640" w:firstLineChars="200"/>
        <w:textAlignment w:val="auto"/>
        <w:rPr>
          <w:rFonts w:hint="eastAsia" w:ascii="黑体" w:eastAsia="黑体"/>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rPr>
        <w:t>协助县政府领导同志组织起草或审核以县政府、县政府办公室名义发布的公文。办理州政府、州政府办公室及州政府各部门发送县政府的文电。指导全县行政机关公文处理工作。</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rPr>
        <w:t>研究县政府部门和各乡镇人民政府请示县政府的事项，提出审核意见，报县政府领导同志审批。</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rPr>
        <w:t>负责县政府会议的筹备工作，协助县政府领导同志组织实施会议决定事项。</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4）</w:t>
      </w:r>
      <w:r>
        <w:rPr>
          <w:rFonts w:hint="eastAsia" w:ascii="仿宋_GB2312" w:eastAsia="仿宋_GB2312"/>
          <w:sz w:val="32"/>
          <w:szCs w:val="32"/>
        </w:rPr>
        <w:t>督促检查县政府各部门和各乡镇人民政府对县政府公文、会议决定事项及县政府领导有关指示的执行情况并跟踪调研，及时向县政府领导报告。</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5）</w:t>
      </w:r>
      <w:r>
        <w:rPr>
          <w:rFonts w:hint="eastAsia" w:ascii="仿宋_GB2312" w:eastAsia="仿宋_GB2312"/>
          <w:sz w:val="32"/>
          <w:szCs w:val="32"/>
        </w:rPr>
        <w:t>组织办理涉及县政府工作的人大代表议案、批评、建议和政协委员提案、建议案工作。</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6）</w:t>
      </w:r>
      <w:r>
        <w:rPr>
          <w:rFonts w:hint="eastAsia" w:ascii="仿宋_GB2312" w:eastAsia="仿宋_GB2312"/>
          <w:sz w:val="32"/>
          <w:szCs w:val="32"/>
        </w:rPr>
        <w:t>负责县政府值班工作，指导各乡镇人民政府和县政府部门值班工作，及时报告重要情况。协助县政府领导组织处理由县政府直接处理的突发事件和重大事故。</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7）</w:t>
      </w:r>
      <w:r>
        <w:rPr>
          <w:rFonts w:hint="eastAsia" w:ascii="仿宋_GB2312" w:eastAsia="仿宋_GB2312"/>
          <w:sz w:val="32"/>
          <w:szCs w:val="32"/>
        </w:rPr>
        <w:t>指导、监督全县政府信息公开工作和机关行政效能建设工作，指导、监督全县政府系统电子政务工作和政府网站建设。</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8）</w:t>
      </w:r>
      <w:r>
        <w:rPr>
          <w:rFonts w:hint="eastAsia" w:ascii="仿宋_GB2312" w:eastAsia="仿宋_GB2312"/>
          <w:sz w:val="32"/>
          <w:szCs w:val="32"/>
        </w:rPr>
        <w:t>围绕县政府中心工作和县政府领导同志的指示，组织专题调查研究，及时反映情况，提出意见和建议。</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9）</w:t>
      </w:r>
      <w:r>
        <w:rPr>
          <w:rFonts w:hint="eastAsia" w:ascii="仿宋_GB2312" w:eastAsia="仿宋_GB2312"/>
          <w:sz w:val="32"/>
          <w:szCs w:val="32"/>
        </w:rPr>
        <w:t>负责县政府人民防空和民防工作，指导全县人民防空和民防工作。</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10）</w:t>
      </w:r>
      <w:r>
        <w:rPr>
          <w:rFonts w:hint="eastAsia" w:ascii="仿宋_GB2312" w:eastAsia="仿宋_GB2312"/>
          <w:sz w:val="32"/>
          <w:szCs w:val="32"/>
        </w:rPr>
        <w:t>贯彻执行国家外事和港澳政策，研究拟定本县外事和港澳工作规章制度、发展规划，办理本县涉外事务和港澳事务。</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11）</w:t>
      </w:r>
      <w:r>
        <w:rPr>
          <w:rFonts w:hint="eastAsia" w:ascii="仿宋_GB2312" w:eastAsia="仿宋_GB2312"/>
          <w:sz w:val="32"/>
          <w:szCs w:val="32"/>
        </w:rPr>
        <w:t>负责全县公务用车、办公用房及公共机构节能减排工作。</w:t>
      </w:r>
    </w:p>
    <w:p>
      <w:pPr>
        <w:keepNext w:val="0"/>
        <w:keepLines w:val="0"/>
        <w:pageBreakBefore w:val="0"/>
        <w:widowControl w:val="0"/>
        <w:kinsoku/>
        <w:wordWrap/>
        <w:topLinePunct w:val="0"/>
        <w:bidi w:val="0"/>
        <w:spacing w:line="55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12）</w:t>
      </w:r>
      <w:r>
        <w:rPr>
          <w:rFonts w:hint="eastAsia" w:ascii="仿宋_GB2312" w:eastAsia="仿宋_GB2312"/>
          <w:sz w:val="32"/>
          <w:szCs w:val="32"/>
        </w:rPr>
        <w:t>完成县委、县政府交办的其他事项。</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lang w:val="zh-CN" w:eastAsia="zh-CN"/>
        </w:rPr>
        <w:t>2．项目立项、资金申报的依据。</w:t>
      </w:r>
      <w:r>
        <w:rPr>
          <w:rFonts w:hint="eastAsia" w:ascii="仿宋_GB2312" w:eastAsia="仿宋_GB2312" w:cs="仿宋_GB2312"/>
          <w:sz w:val="32"/>
          <w:szCs w:val="32"/>
        </w:rPr>
        <w:t>根据</w:t>
      </w:r>
      <w:r>
        <w:rPr>
          <w:rFonts w:hint="eastAsia" w:ascii="仿宋_GB2312" w:eastAsia="仿宋_GB2312" w:cs="仿宋_GB2312"/>
          <w:sz w:val="32"/>
          <w:szCs w:val="32"/>
          <w:lang w:eastAsia="zh-CN"/>
        </w:rPr>
        <w:t>我单位职能职责结合</w:t>
      </w:r>
      <w:r>
        <w:rPr>
          <w:rFonts w:hint="eastAsia" w:ascii="仿宋_GB2312" w:eastAsia="仿宋_GB2312" w:cs="仿宋_GB2312"/>
          <w:sz w:val="32"/>
          <w:szCs w:val="32"/>
          <w:lang w:val="en-US" w:eastAsia="zh-CN"/>
        </w:rPr>
        <w:t>2022年度重点工作</w:t>
      </w:r>
      <w:r>
        <w:rPr>
          <w:rFonts w:hint="eastAsia" w:ascii="仿宋_GB2312" w:eastAsia="仿宋_GB2312" w:cs="仿宋_GB2312"/>
          <w:sz w:val="32"/>
          <w:szCs w:val="32"/>
          <w:lang w:eastAsia="zh-CN" w:bidi="ar-SA"/>
        </w:rPr>
        <w:t>，为</w:t>
      </w:r>
      <w:r>
        <w:rPr>
          <w:rFonts w:hint="eastAsia" w:ascii="仿宋_GB2312" w:eastAsia="仿宋_GB2312" w:cs="仿宋_GB2312"/>
          <w:color w:val="000000"/>
          <w:kern w:val="0"/>
          <w:sz w:val="32"/>
          <w:szCs w:val="32"/>
          <w:lang w:val="en-US" w:eastAsia="zh-CN"/>
        </w:rPr>
        <w:t xml:space="preserve">保障政府办机关日常工作运转及县政府、办公室领导到基层指导调研、督促检查等相关工作的正常开展，依法依规申请追加工作经费57.01万元。 </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资金支持具体项目的条件、范围与支持方式。根据我单位职能职责结合</w:t>
      </w:r>
      <w:r>
        <w:rPr>
          <w:rFonts w:hint="eastAsia" w:ascii="仿宋_GB2312" w:eastAsia="仿宋_GB2312" w:cs="仿宋_GB2312"/>
          <w:sz w:val="32"/>
          <w:szCs w:val="32"/>
          <w:lang w:val="en-US" w:eastAsia="zh-CN"/>
        </w:rPr>
        <w:t>2022年度重点工作</w:t>
      </w:r>
      <w:r>
        <w:rPr>
          <w:rFonts w:hint="eastAsia" w:ascii="仿宋_GB2312" w:eastAsia="仿宋_GB2312" w:cs="仿宋_GB2312"/>
          <w:sz w:val="32"/>
          <w:szCs w:val="32"/>
          <w:lang w:val="zh-CN" w:eastAsia="zh-CN"/>
        </w:rPr>
        <w:t>，</w:t>
      </w:r>
      <w:r>
        <w:rPr>
          <w:rFonts w:hint="eastAsia" w:ascii="仿宋_GB2312" w:eastAsia="仿宋_GB2312" w:cs="仿宋_GB2312"/>
          <w:sz w:val="32"/>
          <w:szCs w:val="32"/>
          <w:lang w:val="en-US" w:eastAsia="zh-CN"/>
        </w:rPr>
        <w:t>保障政府办机关日常工作运转及县政府、办公室领导到基层指导调研、督促检查等相关工作的正常开展。</w:t>
      </w:r>
    </w:p>
    <w:p>
      <w:pPr>
        <w:spacing w:line="576" w:lineRule="exact"/>
        <w:jc w:val="left"/>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 xml:space="preserve">  4.</w:t>
      </w:r>
      <w:r>
        <w:rPr>
          <w:rFonts w:hint="eastAsia" w:ascii="仿宋_GB2312" w:eastAsia="仿宋_GB2312" w:cs="仿宋_GB2312"/>
          <w:sz w:val="32"/>
          <w:szCs w:val="32"/>
          <w:lang w:val="zh-CN" w:eastAsia="zh-CN"/>
        </w:rPr>
        <w:t>资金分配的原则及考虑因素。按照《</w:t>
      </w:r>
      <w:r>
        <w:rPr>
          <w:rFonts w:hint="eastAsia" w:ascii="仿宋_GB2312" w:eastAsia="仿宋_GB2312" w:cs="仿宋_GB2312"/>
          <w:sz w:val="32"/>
          <w:szCs w:val="32"/>
        </w:rPr>
        <w:t>茂县人民政府办</w:t>
      </w:r>
      <w:r>
        <w:rPr>
          <w:rFonts w:hint="eastAsia" w:ascii="仿宋_GB2312" w:eastAsia="仿宋_GB2312" w:cs="仿宋_GB2312"/>
          <w:sz w:val="32"/>
          <w:szCs w:val="32"/>
          <w:lang w:eastAsia="zh-CN"/>
        </w:rPr>
        <w:t>公</w:t>
      </w:r>
      <w:r>
        <w:rPr>
          <w:rFonts w:hint="eastAsia" w:ascii="仿宋_GB2312" w:eastAsia="仿宋_GB2312" w:cs="仿宋_GB2312"/>
          <w:sz w:val="32"/>
          <w:szCs w:val="32"/>
        </w:rPr>
        <w:t>室关于解决公务用车购置经费的请示</w:t>
      </w:r>
      <w:r>
        <w:rPr>
          <w:rFonts w:hint="eastAsia" w:ascii="仿宋_GB2312" w:eastAsia="仿宋_GB2312" w:cs="仿宋_GB2312"/>
          <w:sz w:val="32"/>
          <w:szCs w:val="32"/>
          <w:lang w:val="zh-CN" w:eastAsia="zh-CN"/>
        </w:rPr>
        <w:t>》，严格采购审批程序，加强支出管理，确定支出范围。</w:t>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（二）项目绩效目标</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hAnsi="仿宋_GB2312"/>
          <w:sz w:val="32"/>
          <w:szCs w:val="32"/>
          <w:lang w:val="zh-CN" w:eastAsia="zh-CN"/>
        </w:rPr>
      </w:pPr>
      <w:r>
        <w:rPr>
          <w:rFonts w:hint="eastAsia" w:ascii="仿宋_GB2312" w:eastAsia="仿宋_GB2312" w:cs="仿宋_GB2312"/>
          <w:sz w:val="32"/>
          <w:szCs w:val="32"/>
          <w:lang w:val="zh-CN" w:eastAsia="zh-CN"/>
        </w:rPr>
        <w:t>1．项目主要内容。</w:t>
      </w:r>
      <w:r>
        <w:rPr>
          <w:rFonts w:hint="eastAsia" w:ascii="仿宋_GB2312" w:hAnsi="仿宋_GB2312"/>
          <w:sz w:val="32"/>
          <w:szCs w:val="32"/>
          <w:lang w:val="zh-CN" w:eastAsia="zh-CN"/>
        </w:rPr>
        <w:t>现有</w:t>
      </w:r>
      <w:r>
        <w:rPr>
          <w:rFonts w:hint="eastAsia" w:ascii="仿宋_GB2312" w:eastAsia="仿宋_GB2312" w:cs="仿宋_GB2312"/>
          <w:sz w:val="32"/>
          <w:szCs w:val="32"/>
          <w:lang w:eastAsia="zh-CN" w:bidi="ar-SA"/>
        </w:rPr>
        <w:t>公务用车购置时间较长，使用年限长、频率高，车辆老化、车况较差，为保障县政府工作正常开展为保障县政府正常有序开展工作，县政府办公室拟购置</w:t>
      </w:r>
      <w:r>
        <w:rPr>
          <w:rFonts w:hint="eastAsia" w:ascii="仿宋_GB2312" w:eastAsia="仿宋_GB2312" w:cs="仿宋_GB2312"/>
          <w:sz w:val="32"/>
          <w:szCs w:val="32"/>
          <w:lang w:val="en-US" w:eastAsia="zh-CN" w:bidi="ar-SA"/>
        </w:rPr>
        <w:t>1辆排气量3.5升以下、价格为60万元以内的国产越野型公务用车</w:t>
      </w:r>
      <w:r>
        <w:rPr>
          <w:rFonts w:hint="eastAsia" w:ascii="仿宋_GB2312" w:hAnsi="仿宋_GB2312"/>
          <w:sz w:val="32"/>
          <w:szCs w:val="32"/>
          <w:lang w:val="zh-CN" w:eastAsia="zh-CN"/>
        </w:rPr>
        <w:t>。</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en-US" w:eastAsia="zh-CN" w:bidi="ar-SA"/>
        </w:rPr>
      </w:pPr>
      <w:r>
        <w:rPr>
          <w:rFonts w:hint="eastAsia" w:ascii="仿宋_GB2312" w:eastAsia="仿宋_GB2312" w:cs="仿宋_GB2312"/>
          <w:sz w:val="32"/>
          <w:szCs w:val="32"/>
          <w:lang w:val="zh-CN" w:eastAsia="zh-CN"/>
        </w:rPr>
        <w:t>2．项目应实现的具体绩效目标，包括目标的量化、细化情况以及项目实施进度计划等。根据我单位职能职责结合</w:t>
      </w:r>
      <w:r>
        <w:rPr>
          <w:rFonts w:hint="eastAsia" w:ascii="仿宋_GB2312" w:eastAsia="仿宋_GB2312" w:cs="仿宋_GB2312"/>
          <w:sz w:val="32"/>
          <w:szCs w:val="32"/>
          <w:lang w:val="en-US" w:eastAsia="zh-CN"/>
        </w:rPr>
        <w:t>2022年度重点工作</w:t>
      </w:r>
      <w:r>
        <w:rPr>
          <w:rFonts w:hint="eastAsia" w:ascii="仿宋_GB2312" w:eastAsia="仿宋_GB2312" w:cs="仿宋_GB2312"/>
          <w:sz w:val="32"/>
          <w:szCs w:val="32"/>
          <w:lang w:val="zh-CN" w:eastAsia="zh-CN"/>
        </w:rPr>
        <w:t>，</w:t>
      </w:r>
      <w:r>
        <w:rPr>
          <w:rFonts w:hint="eastAsia" w:ascii="仿宋_GB2312" w:eastAsia="仿宋_GB2312" w:cs="仿宋_GB2312"/>
          <w:sz w:val="32"/>
          <w:szCs w:val="32"/>
          <w:lang w:val="en-US" w:eastAsia="zh-CN"/>
        </w:rPr>
        <w:t>保障政府办机关日常工作运转及县政府、办公室领导到基层指导调研、督促检查等相关工作的正常开展。</w:t>
      </w:r>
      <w:r>
        <w:rPr>
          <w:rFonts w:hint="eastAsia" w:ascii="仿宋_GB2312" w:eastAsia="仿宋_GB2312" w:cs="仿宋_GB2312"/>
          <w:color w:val="000000"/>
          <w:sz w:val="32"/>
          <w:szCs w:val="32"/>
          <w:lang w:bidi="ar-SA"/>
        </w:rPr>
        <w:t>本年度</w:t>
      </w:r>
      <w:r>
        <w:rPr>
          <w:rFonts w:hint="eastAsia" w:ascii="仿宋_GB2312" w:eastAsia="仿宋_GB2312" w:cs="仿宋_GB2312"/>
          <w:color w:val="000000"/>
          <w:sz w:val="32"/>
          <w:szCs w:val="32"/>
          <w:lang w:eastAsia="zh-CN" w:bidi="ar-SA"/>
        </w:rPr>
        <w:t>更新</w:t>
      </w:r>
      <w:r>
        <w:rPr>
          <w:rFonts w:hint="eastAsia" w:ascii="仿宋_GB2312" w:eastAsia="仿宋_GB2312" w:cs="仿宋_GB2312"/>
          <w:color w:val="000000"/>
          <w:sz w:val="32"/>
          <w:szCs w:val="32"/>
          <w:lang w:bidi="ar-SA"/>
        </w:rPr>
        <w:t>购置</w:t>
      </w:r>
      <w:r>
        <w:rPr>
          <w:rFonts w:hint="eastAsia" w:ascii="仿宋_GB2312" w:eastAsia="仿宋_GB2312" w:cs="仿宋_GB2312"/>
          <w:sz w:val="32"/>
          <w:szCs w:val="32"/>
          <w:lang w:eastAsia="zh-CN" w:bidi="ar-SA"/>
        </w:rPr>
        <w:t>购置</w:t>
      </w:r>
      <w:r>
        <w:rPr>
          <w:rFonts w:hint="eastAsia" w:ascii="仿宋_GB2312" w:eastAsia="仿宋_GB2312" w:cs="仿宋_GB2312"/>
          <w:sz w:val="32"/>
          <w:szCs w:val="32"/>
          <w:lang w:val="en-US" w:eastAsia="zh-CN" w:bidi="ar-SA"/>
        </w:rPr>
        <w:t>1辆排气量3.5升以下、价格为57.01万元的国产越野型公务用车。</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3．分析评价申报内容与实际相符，申报目标合理可行。</w:t>
      </w:r>
      <w:r>
        <w:rPr>
          <w:rFonts w:hint="eastAsia" w:ascii="仿宋_GB2312" w:eastAsia="仿宋_GB2312" w:cs="仿宋_GB2312"/>
          <w:sz w:val="32"/>
          <w:szCs w:val="32"/>
          <w:lang w:val="en-US" w:eastAsia="zh-CN"/>
        </w:rPr>
        <w:t>2022年安排的“公务用车购置”项目资金57.01万元已全部完成支付，项目资金支付程序合规、手续齐全，不存在挤占、截留、挪用资金现象。</w:t>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（三）项目自评步骤及方法</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成立绩效评价工作小组，明确工作职责，制定评价方案。</w:t>
      </w:r>
      <w:r>
        <w:rPr>
          <w:rFonts w:hint="eastAsia" w:ascii="仿宋_GB2312" w:eastAsia="仿宋_GB2312" w:cs="仿宋_GB2312"/>
          <w:sz w:val="32"/>
          <w:szCs w:val="32"/>
          <w:lang w:val="zh-CN" w:eastAsia="zh-CN"/>
        </w:rPr>
        <w:t>自评小组依据专项资金绩效考评指标体系，对项目开展综合评分，全面考量项目实施程序的规范性、财务管理的合规性，以及项目执行率和目标绩效完成情况。</w:t>
      </w:r>
    </w:p>
    <w:p>
      <w:pPr>
        <w:keepNext w:val="0"/>
        <w:keepLines w:val="0"/>
        <w:pageBreakBefore w:val="0"/>
        <w:widowControl/>
        <w:suppressLineNumbers w:val="0"/>
        <w:kinsoku/>
        <w:wordWrap/>
        <w:topLinePunct w:val="0"/>
        <w:bidi w:val="0"/>
        <w:spacing w:line="556" w:lineRule="exact"/>
        <w:jc w:val="left"/>
        <w:textAlignment w:val="auto"/>
        <w:rPr>
          <w:rFonts w:hint="eastAsia" w:ascii="仿宋_GB2312" w:hAnsi="仿宋_GB2312"/>
          <w:sz w:val="32"/>
          <w:szCs w:val="32"/>
          <w:lang w:val="en-US" w:eastAsia="zh-CN"/>
        </w:rPr>
      </w:pPr>
      <w:r>
        <w:rPr>
          <w:rFonts w:hint="eastAsia" w:ascii="仿宋_GB2312" w:hAnsi="仿宋_GB2312"/>
          <w:sz w:val="32"/>
          <w:szCs w:val="32"/>
          <w:lang w:val="en-US" w:eastAsia="zh-CN"/>
        </w:rPr>
        <w:t xml:space="preserve"> </w:t>
      </w:r>
      <w:r>
        <w:rPr>
          <w:rFonts w:hint="eastAsia" w:ascii="黑体" w:eastAsia="黑体" w:cs="黑体"/>
          <w:sz w:val="32"/>
          <w:szCs w:val="32"/>
          <w:lang w:val="en-US" w:eastAsia="zh-CN"/>
        </w:rPr>
        <w:t xml:space="preserve"> 二、项目资金申报及使用情况</w:t>
      </w:r>
    </w:p>
    <w:p>
      <w:pPr>
        <w:keepNext w:val="0"/>
        <w:keepLines w:val="0"/>
        <w:pageBreakBefore w:val="0"/>
        <w:widowControl/>
        <w:suppressLineNumbers w:val="0"/>
        <w:kinsoku/>
        <w:wordWrap/>
        <w:topLinePunct w:val="0"/>
        <w:bidi w:val="0"/>
        <w:spacing w:line="556" w:lineRule="exact"/>
        <w:ind w:firstLine="640" w:firstLineChars="200"/>
        <w:jc w:val="distribute"/>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eastAsia="zh-CN"/>
        </w:rPr>
        <w:t>年财政拨款到位资金</w:t>
      </w:r>
      <w:r>
        <w:rPr>
          <w:rFonts w:hint="eastAsia" w:ascii="仿宋_GB2312" w:eastAsia="仿宋_GB2312" w:cs="仿宋_GB2312"/>
          <w:sz w:val="32"/>
          <w:szCs w:val="32"/>
          <w:lang w:val="en-US" w:eastAsia="zh-CN"/>
        </w:rPr>
        <w:t>57.01</w:t>
      </w:r>
      <w:r>
        <w:rPr>
          <w:rFonts w:hint="eastAsia" w:ascii="仿宋_GB2312" w:eastAsia="仿宋_GB2312" w:cs="仿宋_GB2312"/>
          <w:sz w:val="32"/>
          <w:szCs w:val="32"/>
          <w:lang w:val="zh-CN" w:eastAsia="zh-CN"/>
        </w:rPr>
        <w:t>万元，根据</w:t>
      </w:r>
      <w:r>
        <w:rPr>
          <w:rFonts w:hint="eastAsia" w:ascii="仿宋_GB2312" w:eastAsia="仿宋_GB2312" w:cs="仿宋_GB2312"/>
          <w:sz w:val="32"/>
          <w:szCs w:val="32"/>
          <w:lang w:val="en-US" w:eastAsia="zh-CN"/>
        </w:rPr>
        <w:t>2022年度重点工作开展情况及经济业务发生情况，</w:t>
      </w:r>
      <w:r>
        <w:rPr>
          <w:rFonts w:hint="eastAsia" w:ascii="仿宋_GB2312" w:eastAsia="仿宋_GB2312" w:cs="仿宋_GB2312"/>
          <w:sz w:val="32"/>
          <w:szCs w:val="32"/>
          <w:lang w:val="zh-CN" w:eastAsia="zh-CN"/>
        </w:rPr>
        <w:t>严格按照项目资金管理办法对资金进行计划申请、划拨、使用完成资金支付</w:t>
      </w:r>
      <w:r>
        <w:rPr>
          <w:rFonts w:hint="eastAsia" w:ascii="仿宋_GB2312" w:eastAsia="仿宋_GB2312" w:cs="仿宋_GB2312"/>
          <w:sz w:val="32"/>
          <w:szCs w:val="32"/>
          <w:lang w:val="en-US" w:eastAsia="zh-CN"/>
        </w:rPr>
        <w:t>57.01</w:t>
      </w:r>
      <w:r>
        <w:rPr>
          <w:rFonts w:hint="eastAsia" w:ascii="仿宋_GB2312" w:eastAsia="仿宋_GB2312" w:cs="仿宋_GB2312"/>
          <w:sz w:val="32"/>
          <w:szCs w:val="32"/>
          <w:lang w:val="zh-CN" w:eastAsia="zh-CN"/>
        </w:rPr>
        <w:t>万元，及时、规范对收支进行账务处理和会计核算。</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黑体" w:eastAsia="黑体" w:cs="黑体"/>
          <w:sz w:val="32"/>
          <w:szCs w:val="32"/>
          <w:lang w:val="en-US" w:eastAsia="zh-CN"/>
        </w:rPr>
      </w:pPr>
      <w:r>
        <w:rPr>
          <w:rFonts w:hint="eastAsia" w:ascii="黑体" w:eastAsia="黑体" w:cs="黑体"/>
          <w:sz w:val="32"/>
          <w:szCs w:val="32"/>
          <w:lang w:val="en-US" w:eastAsia="zh-CN"/>
        </w:rPr>
        <w:t>三、项目实施及管理情况</w:t>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（一）项目组织架构及实施流程</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bCs/>
          <w:sz w:val="32"/>
          <w:szCs w:val="32"/>
          <w:lang w:val="en-US" w:eastAsia="zh-CN"/>
        </w:rPr>
        <w:t>全年总体目标为更新购置公务用车1辆，保障政府工作运转效率</w:t>
      </w:r>
      <w:r>
        <w:rPr>
          <w:rFonts w:hint="eastAsia" w:ascii="仿宋_GB2312" w:eastAsia="仿宋_GB2312" w:cs="仿宋_GB2312"/>
          <w:sz w:val="32"/>
          <w:szCs w:val="32"/>
          <w:lang w:eastAsia="zh-CN"/>
        </w:rPr>
        <w:t>。实际购置公务用车</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辆，保障了政府工作运转效率，保质保量完成总体目标。</w:t>
      </w:r>
    </w:p>
    <w:p>
      <w:pPr>
        <w:keepNext w:val="0"/>
        <w:keepLines w:val="0"/>
        <w:pageBreakBefore w:val="0"/>
        <w:widowControl/>
        <w:numPr>
          <w:ilvl w:val="0"/>
          <w:numId w:val="4"/>
        </w:numPr>
        <w:suppressLineNumbers w:val="0"/>
        <w:kinsoku/>
        <w:wordWrap/>
        <w:topLinePunct w:val="0"/>
        <w:bidi w:val="0"/>
        <w:spacing w:line="556" w:lineRule="exact"/>
        <w:ind w:left="0"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项目管理情况</w:t>
      </w:r>
    </w:p>
    <w:p>
      <w:pPr>
        <w:spacing w:line="600" w:lineRule="exact"/>
        <w:ind w:firstLine="640" w:firstLineChars="200"/>
        <w:outlineLvl w:val="0"/>
        <w:rPr>
          <w:rFonts w:hint="eastAsia" w:ascii="仿宋_GB2312" w:eastAsia="仿宋_GB2312" w:cs="仿宋_GB2312"/>
          <w:sz w:val="32"/>
          <w:szCs w:val="32"/>
          <w:lang w:val="zh-CN" w:eastAsia="zh-CN"/>
        </w:rPr>
      </w:pPr>
      <w:bookmarkStart w:id="134" w:name="_Toc4516"/>
      <w:r>
        <w:rPr>
          <w:rFonts w:hint="eastAsia" w:ascii="仿宋_GB2312" w:eastAsia="仿宋_GB2312" w:cs="仿宋_GB2312"/>
          <w:sz w:val="32"/>
          <w:szCs w:val="32"/>
          <w:lang w:eastAsia="zh-CN"/>
        </w:rPr>
        <w:t>产出指标中预计完成时间为</w:t>
      </w:r>
      <w:r>
        <w:rPr>
          <w:rFonts w:hint="eastAsia" w:ascii="仿宋_GB2312" w:eastAsia="仿宋_GB2312" w:cs="仿宋_GB2312"/>
          <w:sz w:val="32"/>
          <w:szCs w:val="32"/>
          <w:lang w:val="en-US" w:eastAsia="zh-CN"/>
        </w:rPr>
        <w:t>2022年7月31日前，实际于2022年7月31日前完成；预计成本控制在60万元以内，实际成本57.01万元。满意度指标中预计服务对象满意率</w:t>
      </w:r>
      <w:r>
        <w:rPr>
          <w:rFonts w:hint="eastAsia" w:ascii="仿宋_GB2312" w:eastAsia="仿宋_GB2312" w:cs="仿宋_GB2312"/>
          <w:bCs/>
          <w:sz w:val="32"/>
          <w:szCs w:val="32"/>
          <w:lang w:val="en-US" w:eastAsia="zh-CN"/>
        </w:rPr>
        <w:t>好，实际服务对象满意率好。所有绩效指标值均达到预期目标。</w:t>
      </w:r>
      <w:bookmarkEnd w:id="134"/>
    </w:p>
    <w:p>
      <w:pPr>
        <w:keepNext w:val="0"/>
        <w:keepLines w:val="0"/>
        <w:pageBreakBefore w:val="0"/>
        <w:widowControl/>
        <w:numPr>
          <w:ilvl w:val="0"/>
          <w:numId w:val="4"/>
        </w:numPr>
        <w:suppressLineNumbers w:val="0"/>
        <w:kinsoku/>
        <w:wordWrap/>
        <w:topLinePunct w:val="0"/>
        <w:bidi w:val="0"/>
        <w:spacing w:line="556" w:lineRule="exact"/>
        <w:ind w:left="0"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项目监管情况</w:t>
      </w:r>
    </w:p>
    <w:p>
      <w:pPr>
        <w:keepNext w:val="0"/>
        <w:keepLines w:val="0"/>
        <w:pageBreakBefore w:val="0"/>
        <w:widowControl/>
        <w:suppressLineNumbers w:val="0"/>
        <w:kinsoku/>
        <w:wordWrap/>
        <w:topLinePunct w:val="0"/>
        <w:bidi w:val="0"/>
        <w:spacing w:line="556" w:lineRule="exact"/>
        <w:ind w:left="0"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“公务用车购置”项目支出均严格落实审批制，各个环节做到严格审核把关，自觉接受财政局、纪检监察部门的监督。</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黑体" w:eastAsia="黑体" w:cs="黑体"/>
          <w:sz w:val="32"/>
          <w:szCs w:val="32"/>
          <w:lang w:val="zh-CN" w:eastAsia="zh-CN"/>
        </w:rPr>
      </w:pPr>
      <w:r>
        <w:rPr>
          <w:rFonts w:hint="eastAsia" w:ascii="黑体" w:eastAsia="黑体" w:cs="黑体"/>
          <w:sz w:val="32"/>
          <w:szCs w:val="32"/>
          <w:lang w:val="en-US" w:eastAsia="zh-CN"/>
        </w:rPr>
        <w:t>四、项目绩效情况</w:t>
      </w:r>
      <w:r>
        <w:rPr>
          <w:rFonts w:hint="eastAsia" w:ascii="黑体" w:eastAsia="黑体" w:cs="黑体"/>
          <w:sz w:val="32"/>
          <w:szCs w:val="32"/>
          <w:lang w:val="zh-CN" w:eastAsia="zh-CN"/>
        </w:rPr>
        <w:tab/>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（一）项目完成情况</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2022年度按时完成车辆更新购置任务</w:t>
      </w:r>
      <w:r>
        <w:rPr>
          <w:rFonts w:hint="eastAsia" w:ascii="仿宋_GB2312" w:eastAsia="仿宋_GB2312" w:cs="仿宋_GB2312"/>
          <w:sz w:val="32"/>
          <w:szCs w:val="32"/>
          <w:lang w:val="zh-CN" w:eastAsia="zh-CN"/>
        </w:rPr>
        <w:t>。</w:t>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（二）项目效益情况</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以合理论证、据实开支为前提，“公务用车购置”项目完成目标任务，保障了政府办</w:t>
      </w:r>
      <w:r>
        <w:rPr>
          <w:rFonts w:hint="eastAsia" w:ascii="仿宋_GB2312" w:eastAsia="仿宋_GB2312" w:cs="仿宋_GB2312"/>
          <w:sz w:val="32"/>
          <w:szCs w:val="32"/>
          <w:lang w:val="en-US" w:eastAsia="zh-CN"/>
        </w:rPr>
        <w:t>2022年度政府工作</w:t>
      </w:r>
      <w:r>
        <w:rPr>
          <w:rFonts w:hint="eastAsia" w:ascii="仿宋_GB2312" w:eastAsia="仿宋_GB2312" w:cs="仿宋_GB2312"/>
          <w:sz w:val="32"/>
          <w:szCs w:val="32"/>
          <w:lang w:val="zh-CN" w:eastAsia="zh-CN"/>
        </w:rPr>
        <w:t>正常运转，提高了办事效率</w:t>
      </w:r>
      <w:r>
        <w:rPr>
          <w:rFonts w:hint="eastAsia" w:ascii="仿宋_GB2312" w:eastAsia="仿宋_GB2312" w:cs="仿宋_GB2312"/>
          <w:sz w:val="32"/>
          <w:szCs w:val="32"/>
          <w:lang w:val="en-US" w:eastAsia="zh-CN"/>
        </w:rPr>
        <w:t>。</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黑体" w:eastAsia="黑体" w:cs="黑体"/>
          <w:sz w:val="32"/>
          <w:szCs w:val="32"/>
          <w:lang w:val="en-US" w:eastAsia="zh-CN"/>
        </w:rPr>
      </w:pPr>
      <w:r>
        <w:rPr>
          <w:rFonts w:hint="eastAsia" w:ascii="黑体" w:eastAsia="黑体" w:cs="黑体"/>
          <w:sz w:val="32"/>
          <w:szCs w:val="32"/>
          <w:lang w:val="en-US" w:eastAsia="zh-CN"/>
        </w:rPr>
        <w:t>五、评价结论及建议</w:t>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（一）评价结论</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通过自评，该项目完成了预期目标，达到预期效果。</w:t>
      </w:r>
    </w:p>
    <w:p>
      <w:pPr>
        <w:keepNext w:val="0"/>
        <w:keepLines w:val="0"/>
        <w:pageBreakBefore w:val="0"/>
        <w:widowControl/>
        <w:suppressLineNumbers w:val="0"/>
        <w:kinsoku/>
        <w:wordWrap/>
        <w:topLinePunct w:val="0"/>
        <w:bidi w:val="0"/>
        <w:spacing w:line="556" w:lineRule="exact"/>
        <w:ind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（二）存在的问题</w:t>
      </w:r>
    </w:p>
    <w:p>
      <w:pPr>
        <w:keepNext w:val="0"/>
        <w:keepLines w:val="0"/>
        <w:pageBreakBefore w:val="0"/>
        <w:widowControl/>
        <w:suppressLineNumbers w:val="0"/>
        <w:kinsoku/>
        <w:wordWrap/>
        <w:topLinePunct w:val="0"/>
        <w:bidi w:val="0"/>
        <w:spacing w:line="556" w:lineRule="exact"/>
        <w:ind w:firstLine="640" w:firstLineChars="200"/>
        <w:jc w:val="left"/>
        <w:textAlignment w:val="auto"/>
        <w:rPr>
          <w:rFonts w:hint="eastAsia" w:ascii="仿宋_GB2312" w:hAnsi="仿宋_GB2312"/>
          <w:sz w:val="32"/>
          <w:szCs w:val="32"/>
          <w:lang w:val="zh-CN" w:eastAsia="zh-CN"/>
        </w:rPr>
      </w:pPr>
      <w:r>
        <w:rPr>
          <w:rFonts w:hint="eastAsia" w:ascii="仿宋_GB2312" w:hAnsi="仿宋_GB2312"/>
          <w:sz w:val="32"/>
          <w:szCs w:val="32"/>
          <w:lang w:val="zh-CN" w:eastAsia="zh-CN"/>
        </w:rPr>
        <w:t>无</w:t>
      </w:r>
    </w:p>
    <w:p>
      <w:pPr>
        <w:keepNext w:val="0"/>
        <w:keepLines w:val="0"/>
        <w:pageBreakBefore w:val="0"/>
        <w:widowControl/>
        <w:numPr>
          <w:ilvl w:val="0"/>
          <w:numId w:val="4"/>
        </w:numPr>
        <w:suppressLineNumbers w:val="0"/>
        <w:kinsoku/>
        <w:wordWrap/>
        <w:topLinePunct w:val="0"/>
        <w:bidi w:val="0"/>
        <w:spacing w:line="556" w:lineRule="exact"/>
        <w:ind w:left="0" w:firstLine="643" w:firstLineChars="200"/>
        <w:jc w:val="left"/>
        <w:textAlignment w:val="auto"/>
        <w:rPr>
          <w:rFonts w:hint="eastAsia" w:ascii="楷体" w:eastAsia="楷体" w:cs="楷体"/>
          <w:b/>
          <w:bCs/>
          <w:sz w:val="32"/>
          <w:szCs w:val="32"/>
          <w:lang w:val="zh-CN" w:eastAsia="zh-CN"/>
        </w:rPr>
      </w:pPr>
      <w:r>
        <w:rPr>
          <w:rFonts w:hint="eastAsia" w:ascii="楷体" w:eastAsia="楷体" w:cs="楷体"/>
          <w:b/>
          <w:bCs/>
          <w:sz w:val="32"/>
          <w:szCs w:val="32"/>
          <w:lang w:val="zh-CN" w:eastAsia="zh-CN"/>
        </w:rPr>
        <w:t>相关建议</w:t>
      </w:r>
    </w:p>
    <w:p>
      <w:pPr>
        <w:keepNext w:val="0"/>
        <w:keepLines w:val="0"/>
        <w:pageBreakBefore w:val="0"/>
        <w:widowControl/>
        <w:suppressLineNumbers w:val="0"/>
        <w:kinsoku/>
        <w:wordWrap/>
        <w:topLinePunct w:val="0"/>
        <w:bidi w:val="0"/>
        <w:spacing w:line="556" w:lineRule="exact"/>
        <w:ind w:left="420" w:left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无</w:t>
      </w:r>
    </w:p>
    <w:p>
      <w:pPr>
        <w:keepNext w:val="0"/>
        <w:keepLines w:val="0"/>
        <w:pageBreakBefore w:val="0"/>
        <w:widowControl/>
        <w:suppressLineNumbers w:val="0"/>
        <w:kinsoku/>
        <w:wordWrap/>
        <w:topLinePunct w:val="0"/>
        <w:bidi w:val="0"/>
        <w:spacing w:line="556" w:lineRule="exact"/>
        <w:jc w:val="left"/>
        <w:textAlignment w:val="auto"/>
        <w:rPr>
          <w:rFonts w:hint="eastAsia" w:ascii="仿宋_GB2312" w:eastAsia="仿宋_GB2312" w:cs="仿宋_GB2312"/>
          <w:sz w:val="32"/>
          <w:szCs w:val="32"/>
          <w:lang w:val="en-US" w:eastAsia="zh-CN"/>
        </w:rPr>
      </w:pPr>
      <w:r>
        <w:rPr>
          <w:rFonts w:hint="eastAsia" w:ascii="仿宋_GB2312" w:hAnsi="仿宋_GB2312"/>
          <w:sz w:val="32"/>
          <w:szCs w:val="32"/>
          <w:lang w:val="en-US" w:eastAsia="zh-CN"/>
        </w:rPr>
        <w:t xml:space="preserve">                                </w:t>
      </w:r>
      <w:r>
        <w:rPr>
          <w:rFonts w:hint="eastAsia" w:ascii="仿宋_GB2312" w:eastAsia="仿宋_GB2312" w:cs="仿宋_GB2312"/>
          <w:sz w:val="32"/>
          <w:szCs w:val="32"/>
          <w:lang w:val="en-US" w:eastAsia="zh-CN"/>
        </w:rPr>
        <w:t xml:space="preserve"> 茂县人民政府办公室</w:t>
      </w:r>
    </w:p>
    <w:p>
      <w:pPr>
        <w:keepNext w:val="0"/>
        <w:keepLines w:val="0"/>
        <w:pageBreakBefore w:val="0"/>
        <w:widowControl/>
        <w:suppressLineNumbers w:val="0"/>
        <w:kinsoku/>
        <w:wordWrap/>
        <w:topLinePunct w:val="0"/>
        <w:bidi w:val="0"/>
        <w:spacing w:line="556"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2023年7月25日</w:t>
      </w:r>
    </w:p>
    <w:p>
      <w:pPr>
        <w:keepNext w:val="0"/>
        <w:keepLines w:val="0"/>
        <w:pageBreakBefore w:val="0"/>
        <w:widowControl w:val="0"/>
        <w:kinsoku/>
        <w:wordWrap/>
        <w:topLinePunct w:val="0"/>
        <w:bidi w:val="0"/>
        <w:spacing w:after="312" w:afterLines="100" w:line="556" w:lineRule="exact"/>
        <w:jc w:val="left"/>
        <w:textAlignment w:val="auto"/>
        <w:rPr>
          <w:rFonts w:hint="eastAsia" w:ascii="仿宋_GB2312" w:eastAsia="仿宋_GB2312" w:cs="仿宋_GB2312"/>
          <w:sz w:val="32"/>
          <w:szCs w:val="32"/>
          <w:lang w:val="en-US" w:eastAsia="zh-CN"/>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p>
      <w:pPr>
        <w:pStyle w:val="2"/>
        <w:keepNext w:val="0"/>
        <w:keepLines w:val="0"/>
        <w:pageBreakBefore w:val="0"/>
        <w:widowControl w:val="0"/>
        <w:kinsoku/>
        <w:wordWrap/>
        <w:topLinePunct w:val="0"/>
        <w:bidi w:val="0"/>
        <w:spacing w:line="576" w:lineRule="exact"/>
        <w:rPr>
          <w:rFonts w:hint="eastAsia" w:ascii="仿宋_GB2312" w:eastAsia="仿宋_GB2312" w:cs="仿宋_GB2312"/>
          <w:sz w:val="32"/>
          <w:szCs w:val="32"/>
        </w:rPr>
      </w:pPr>
    </w:p>
    <w:tbl>
      <w:tblPr>
        <w:tblStyle w:val="17"/>
        <w:tblpPr w:leftFromText="180" w:rightFromText="180" w:vertAnchor="text" w:horzAnchor="page" w:tblpX="1256" w:tblpY="221"/>
        <w:tblOverlap w:val="never"/>
        <w:tblW w:w="51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16"/>
        <w:gridCol w:w="936"/>
        <w:gridCol w:w="1896"/>
        <w:gridCol w:w="3576"/>
        <w:gridCol w:w="1616"/>
        <w:gridCol w:w="237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874" w:type="pct"/>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hint="eastAsia" w:ascii="宋体" w:eastAsia="宋体" w:cs="宋体"/>
                <w:b/>
                <w:color w:val="000000"/>
                <w:sz w:val="32"/>
                <w:szCs w:val="32"/>
                <w:lang w:eastAsia="zh-CN"/>
              </w:rPr>
            </w:pPr>
            <w:r>
              <w:rPr>
                <w:rFonts w:hint="eastAsia" w:ascii="宋体" w:cs="宋体"/>
                <w:b/>
                <w:color w:val="000000"/>
                <w:sz w:val="32"/>
                <w:szCs w:val="32"/>
                <w:lang w:val="en-US" w:eastAsia="zh-CN"/>
              </w:rPr>
              <w:t>2</w:t>
            </w:r>
            <w:r>
              <w:rPr>
                <w:rFonts w:hint="eastAsia" w:ascii="宋体" w:cs="宋体"/>
                <w:b/>
                <w:color w:val="000000"/>
                <w:sz w:val="32"/>
                <w:szCs w:val="32"/>
              </w:rPr>
              <w:t>022年50万元以上（含）特定目标类部门预算项目绩效目标自评</w:t>
            </w:r>
            <w:r>
              <w:rPr>
                <w:rFonts w:hint="eastAsia" w:ascii="宋体" w:cs="宋体"/>
                <w:b/>
                <w:color w:val="000000"/>
                <w:sz w:val="32"/>
                <w:szCs w:val="32"/>
                <w:lang w:eastAsia="zh-CN"/>
              </w:rPr>
              <w:t>（公务用车购置）</w:t>
            </w:r>
          </w:p>
        </w:tc>
        <w:tc>
          <w:tcPr>
            <w:tcW w:w="125"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b/>
                <w:color w:val="000000"/>
                <w:kern w:val="0"/>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1025" w:hRule="atLeast"/>
        </w:trPr>
        <w:tc>
          <w:tcPr>
            <w:tcW w:w="17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hint="eastAsia" w:ascii="宋体" w:cs="宋体"/>
                <w:color w:val="000000"/>
                <w:kern w:val="0"/>
                <w:sz w:val="24"/>
              </w:rPr>
              <w:t>主管部门及代码</w:t>
            </w:r>
          </w:p>
        </w:tc>
        <w:tc>
          <w:tcPr>
            <w:tcW w:w="15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textAlignment w:val="center"/>
              <w:rPr>
                <w:rFonts w:ascii="宋体" w:eastAsia="宋体" w:cs="宋体"/>
                <w:color w:val="000000"/>
                <w:sz w:val="24"/>
                <w:lang w:val="en-US" w:eastAsia="zh-CN"/>
              </w:rPr>
            </w:pPr>
            <w:r>
              <w:rPr>
                <w:rFonts w:hint="eastAsia" w:ascii="宋体" w:cs="宋体"/>
                <w:color w:val="000000"/>
                <w:sz w:val="24"/>
                <w:lang w:val="en-US" w:eastAsia="zh-CN"/>
              </w:rPr>
              <w:t>茂县人民政府办公室103001</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hint="eastAsia" w:ascii="宋体" w:cs="宋体"/>
                <w:color w:val="000000"/>
                <w:kern w:val="0"/>
                <w:sz w:val="24"/>
              </w:rPr>
              <w:t>实施单位</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341" w:hRule="atLeast"/>
        </w:trPr>
        <w:tc>
          <w:tcPr>
            <w:tcW w:w="176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项目预算</w:t>
            </w:r>
          </w:p>
          <w:p>
            <w:pPr>
              <w:keepNext w:val="0"/>
              <w:keepLines w:val="0"/>
              <w:pageBreakBefore w:val="0"/>
              <w:widowControl/>
              <w:kinsoku/>
              <w:wordWrap/>
              <w:overflowPunct/>
              <w:topLinePunct w:val="0"/>
              <w:autoSpaceDE/>
              <w:autoSpaceDN/>
              <w:bidi w:val="0"/>
              <w:spacing w:line="520" w:lineRule="exact"/>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执行情况</w:t>
            </w:r>
          </w:p>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hint="eastAsia" w:ascii="宋体" w:cs="宋体"/>
                <w:color w:val="000000"/>
                <w:kern w:val="0"/>
                <w:sz w:val="24"/>
              </w:rPr>
              <w:t>（万元）</w:t>
            </w: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hint="eastAsia" w:ascii="宋体" w:cs="宋体"/>
                <w:color w:val="000000"/>
                <w:kern w:val="0"/>
                <w:sz w:val="24"/>
              </w:rPr>
              <w:t xml:space="preserve"> 预算数：</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eastAsia="宋体" w:cs="宋体"/>
                <w:color w:val="000000"/>
                <w:sz w:val="24"/>
                <w:lang w:val="en-US" w:eastAsia="zh-CN"/>
              </w:rPr>
            </w:pPr>
            <w:r>
              <w:rPr>
                <w:rFonts w:hint="eastAsia" w:ascii="宋体" w:cs="宋体"/>
                <w:color w:val="000000"/>
                <w:sz w:val="24"/>
                <w:lang w:val="en-US" w:eastAsia="zh-CN"/>
              </w:rPr>
              <w:t>57.01</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hint="eastAsia" w:ascii="宋体" w:cs="宋体"/>
                <w:color w:val="000000"/>
                <w:kern w:val="0"/>
                <w:sz w:val="24"/>
              </w:rPr>
              <w:t xml:space="preserve"> 执行数：</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right"/>
              <w:textAlignment w:val="center"/>
              <w:rPr>
                <w:rFonts w:ascii="宋体" w:eastAsia="宋体" w:cs="宋体"/>
                <w:color w:val="000000"/>
                <w:sz w:val="24"/>
                <w:lang w:val="en-US" w:eastAsia="zh-CN"/>
              </w:rPr>
            </w:pPr>
            <w:r>
              <w:rPr>
                <w:rFonts w:hint="eastAsia" w:ascii="宋体" w:cs="宋体"/>
                <w:color w:val="000000"/>
                <w:sz w:val="24"/>
                <w:lang w:val="en-US" w:eastAsia="zh-CN"/>
              </w:rPr>
              <w:t>57.01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577" w:hRule="atLeast"/>
        </w:trPr>
        <w:tc>
          <w:tcPr>
            <w:tcW w:w="17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kern w:val="0"/>
                <w:sz w:val="24"/>
              </w:rPr>
            </w:pPr>
            <w:r>
              <w:rPr>
                <w:rFonts w:hint="eastAsia" w:ascii="宋体" w:cs="宋体"/>
                <w:color w:val="000000"/>
                <w:kern w:val="0"/>
                <w:sz w:val="24"/>
              </w:rPr>
              <w:t>其中：</w:t>
            </w:r>
          </w:p>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hint="eastAsia" w:ascii="宋体" w:cs="宋体"/>
                <w:color w:val="000000"/>
                <w:kern w:val="0"/>
                <w:sz w:val="24"/>
              </w:rPr>
              <w:t>财政拨款</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eastAsia="宋体" w:cs="宋体"/>
                <w:color w:val="000000"/>
                <w:sz w:val="24"/>
                <w:lang w:val="en-US" w:eastAsia="zh-CN"/>
              </w:rPr>
            </w:pPr>
            <w:r>
              <w:rPr>
                <w:rFonts w:hint="eastAsia" w:ascii="宋体" w:cs="宋体"/>
                <w:color w:val="000000"/>
                <w:sz w:val="24"/>
                <w:lang w:val="en-US" w:eastAsia="zh-CN"/>
              </w:rPr>
              <w:t>57.01</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kern w:val="0"/>
                <w:sz w:val="24"/>
              </w:rPr>
            </w:pPr>
            <w:r>
              <w:rPr>
                <w:rFonts w:hint="eastAsia" w:ascii="宋体" w:cs="宋体"/>
                <w:color w:val="000000"/>
                <w:kern w:val="0"/>
                <w:sz w:val="24"/>
              </w:rPr>
              <w:t>其中：</w:t>
            </w:r>
          </w:p>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hint="eastAsia" w:ascii="宋体" w:cs="宋体"/>
                <w:color w:val="000000"/>
                <w:kern w:val="0"/>
                <w:sz w:val="24"/>
              </w:rPr>
              <w:t>财政拨款</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textAlignment w:val="center"/>
              <w:rPr>
                <w:rFonts w:ascii="宋体" w:eastAsia="宋体" w:cs="宋体"/>
                <w:color w:val="000000"/>
                <w:sz w:val="24"/>
                <w:lang w:val="en-US" w:eastAsia="zh-CN"/>
              </w:rPr>
            </w:pPr>
            <w:r>
              <w:rPr>
                <w:rFonts w:hint="eastAsia" w:ascii="宋体" w:cs="宋体"/>
                <w:color w:val="000000"/>
                <w:sz w:val="24"/>
                <w:lang w:val="en-US" w:eastAsia="zh-CN"/>
              </w:rPr>
              <w:t>57.01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341" w:hRule="atLeast"/>
        </w:trPr>
        <w:tc>
          <w:tcPr>
            <w:tcW w:w="17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hint="eastAsia" w:ascii="宋体" w:cs="宋体"/>
                <w:color w:val="000000"/>
                <w:kern w:val="0"/>
                <w:sz w:val="24"/>
              </w:rPr>
              <w:t>其他资金</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hint="eastAsia" w:ascii="宋体" w:cs="宋体"/>
                <w:color w:val="000000"/>
                <w:kern w:val="0"/>
                <w:sz w:val="24"/>
              </w:rPr>
              <w:t>其他资金</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217" w:hRule="atLeast"/>
        </w:trPr>
        <w:tc>
          <w:tcPr>
            <w:tcW w:w="112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kern w:val="0"/>
                <w:sz w:val="24"/>
              </w:rPr>
            </w:pPr>
            <w:r>
              <w:rPr>
                <w:rFonts w:hint="eastAsia" w:ascii="宋体" w:cs="宋体"/>
                <w:color w:val="000000"/>
                <w:kern w:val="0"/>
                <w:sz w:val="24"/>
              </w:rPr>
              <w:t>年度总体目标</w:t>
            </w:r>
          </w:p>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hint="eastAsia" w:ascii="宋体" w:cs="宋体"/>
                <w:color w:val="000000"/>
                <w:kern w:val="0"/>
                <w:sz w:val="24"/>
              </w:rPr>
              <w:t>完成情况</w:t>
            </w:r>
          </w:p>
        </w:tc>
        <w:tc>
          <w:tcPr>
            <w:tcW w:w="220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hint="eastAsia" w:ascii="宋体" w:cs="宋体"/>
                <w:color w:val="000000"/>
                <w:kern w:val="0"/>
                <w:sz w:val="24"/>
              </w:rPr>
              <w:t>预期目标</w:t>
            </w:r>
          </w:p>
        </w:tc>
        <w:tc>
          <w:tcPr>
            <w:tcW w:w="15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hint="eastAsia" w:ascii="宋体"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975" w:hRule="atLeast"/>
        </w:trPr>
        <w:tc>
          <w:tcPr>
            <w:tcW w:w="112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206" w:type="pct"/>
            <w:gridSpan w:val="3"/>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widowControl/>
              <w:kinsoku/>
              <w:wordWrap/>
              <w:overflowPunct/>
              <w:topLinePunct w:val="0"/>
              <w:autoSpaceDE/>
              <w:autoSpaceDN/>
              <w:bidi w:val="0"/>
              <w:spacing w:line="520" w:lineRule="exact"/>
              <w:jc w:val="left"/>
              <w:textAlignment w:val="top"/>
              <w:rPr>
                <w:rFonts w:hint="eastAsia" w:ascii="宋体" w:eastAsia="宋体" w:cs="宋体"/>
                <w:color w:val="000000"/>
                <w:sz w:val="24"/>
                <w:lang w:eastAsia="zh-CN"/>
              </w:rPr>
            </w:pPr>
            <w:r>
              <w:rPr>
                <w:rFonts w:hint="eastAsia" w:ascii="宋体" w:cs="宋体"/>
                <w:color w:val="000000"/>
                <w:sz w:val="24"/>
                <w:lang w:eastAsia="zh-CN"/>
              </w:rPr>
              <w:t>更新购置公务用车一辆</w:t>
            </w:r>
          </w:p>
        </w:tc>
        <w:tc>
          <w:tcPr>
            <w:tcW w:w="1545" w:type="pct"/>
            <w:gridSpan w:val="2"/>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widowControl/>
              <w:kinsoku/>
              <w:wordWrap/>
              <w:overflowPunct/>
              <w:topLinePunct w:val="0"/>
              <w:autoSpaceDE/>
              <w:autoSpaceDN/>
              <w:bidi w:val="0"/>
              <w:spacing w:line="520" w:lineRule="exact"/>
              <w:jc w:val="left"/>
              <w:textAlignment w:val="top"/>
              <w:rPr>
                <w:rFonts w:hint="eastAsia" w:ascii="宋体" w:eastAsia="宋体" w:cs="宋体"/>
                <w:color w:val="000000"/>
                <w:sz w:val="24"/>
                <w:lang w:eastAsia="zh-CN"/>
              </w:rPr>
            </w:pPr>
            <w:r>
              <w:rPr>
                <w:rFonts w:hint="eastAsia" w:ascii="宋体" w:cs="宋体"/>
                <w:color w:val="000000"/>
                <w:sz w:val="24"/>
                <w:lang w:eastAsia="zh-CN"/>
              </w:rPr>
              <w:t>完成更新购置公务用车一辆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738" w:hRule="atLeast"/>
        </w:trPr>
        <w:tc>
          <w:tcPr>
            <w:tcW w:w="1121"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年度绩效指标完成情况</w:t>
            </w:r>
          </w:p>
        </w:tc>
        <w:tc>
          <w:tcPr>
            <w:tcW w:w="6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一级</w:t>
            </w:r>
          </w:p>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二级</w:t>
            </w:r>
          </w:p>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三级</w:t>
            </w:r>
          </w:p>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预期指标值</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480" w:hRule="atLeast"/>
        </w:trPr>
        <w:tc>
          <w:tcPr>
            <w:tcW w:w="1121" w:type="pct"/>
            <w:vMerge w:val="continue"/>
            <w:tcBorders>
              <w:left w:val="single" w:color="000000" w:sz="4" w:space="0"/>
              <w:right w:val="single" w:color="000000" w:sz="4" w:space="0"/>
            </w:tcBorders>
            <w:shd w:val="clear" w:color="auto" w:fill="auto"/>
            <w:noWrap/>
            <w:vAlign w:val="center"/>
          </w:tcPr>
          <w:p/>
        </w:tc>
        <w:tc>
          <w:tcPr>
            <w:tcW w:w="6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kern w:val="0"/>
                <w:sz w:val="24"/>
                <w:szCs w:val="24"/>
              </w:rPr>
            </w:pPr>
            <w:r>
              <w:rPr>
                <w:rFonts w:hint="eastAsia" w:ascii="仿宋_GB2312" w:hAnsi="仿宋_GB2312" w:cs="仿宋_GB2312"/>
                <w:color w:val="000000"/>
                <w:kern w:val="0"/>
                <w:sz w:val="24"/>
                <w:szCs w:val="24"/>
              </w:rPr>
              <w:t>完成</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指标</w:t>
            </w: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数量指标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hint="eastAsia"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1辆</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hint="eastAsia"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1辆</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1辆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480" w:hRule="atLeast"/>
        </w:trPr>
        <w:tc>
          <w:tcPr>
            <w:tcW w:w="1121" w:type="pct"/>
            <w:vMerge w:val="continue"/>
            <w:tcBorders>
              <w:left w:val="single" w:color="000000" w:sz="4" w:space="0"/>
              <w:right w:val="single" w:color="000000" w:sz="4" w:space="0"/>
            </w:tcBorders>
            <w:shd w:val="clear" w:color="auto" w:fill="auto"/>
            <w:noWrap/>
            <w:vAlign w:val="center"/>
          </w:tcPr>
          <w:p/>
        </w:tc>
        <w:tc>
          <w:tcPr>
            <w:tcW w:w="6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质量指标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hint="eastAsia" w:ascii="仿宋_GB2312" w:hAnsi="仿宋_GB2312" w:eastAsia="宋体" w:cs="仿宋_GB2312"/>
                <w:color w:val="000000"/>
                <w:sz w:val="24"/>
                <w:szCs w:val="24"/>
                <w:lang w:eastAsia="zh-CN"/>
              </w:rPr>
            </w:pPr>
            <w:r>
              <w:rPr>
                <w:rFonts w:hint="eastAsia" w:ascii="仿宋_GB2312" w:hAnsi="仿宋_GB2312" w:cs="仿宋_GB2312"/>
                <w:color w:val="000000"/>
                <w:sz w:val="24"/>
                <w:szCs w:val="24"/>
                <w:lang w:eastAsia="zh-CN"/>
              </w:rPr>
              <w:t>验收合格率</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100%</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480" w:hRule="atLeast"/>
        </w:trPr>
        <w:tc>
          <w:tcPr>
            <w:tcW w:w="1121" w:type="pct"/>
            <w:vMerge w:val="continue"/>
            <w:tcBorders>
              <w:left w:val="single" w:color="000000" w:sz="4" w:space="0"/>
              <w:right w:val="single" w:color="000000" w:sz="4" w:space="0"/>
            </w:tcBorders>
            <w:shd w:val="clear" w:color="auto" w:fill="auto"/>
            <w:noWrap/>
            <w:vAlign w:val="center"/>
          </w:tcPr>
          <w:p/>
        </w:tc>
        <w:tc>
          <w:tcPr>
            <w:tcW w:w="6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时效指标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按期完成</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sz w:val="24"/>
                <w:szCs w:val="24"/>
                <w:lang w:val="en-US" w:eastAsia="zh-CN"/>
              </w:rPr>
              <w:t>按期完成</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sz w:val="24"/>
                <w:szCs w:val="24"/>
                <w:lang w:val="en-US" w:eastAsia="zh-CN"/>
              </w:rPr>
              <w:t>按期完成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480" w:hRule="atLeast"/>
        </w:trPr>
        <w:tc>
          <w:tcPr>
            <w:tcW w:w="1121" w:type="pct"/>
            <w:vMerge w:val="continue"/>
            <w:tcBorders>
              <w:left w:val="single" w:color="000000" w:sz="4" w:space="0"/>
              <w:right w:val="single" w:color="000000" w:sz="4" w:space="0"/>
            </w:tcBorders>
            <w:shd w:val="clear" w:color="auto" w:fill="auto"/>
            <w:noWrap/>
            <w:vAlign w:val="center"/>
          </w:tcPr>
          <w:p/>
        </w:tc>
        <w:tc>
          <w:tcPr>
            <w:tcW w:w="6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成本指标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57.01</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57.01</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hint="eastAsia" w:ascii="仿宋_GB2312" w:hAnsi="仿宋_GB2312" w:cs="仿宋_GB2312"/>
                <w:color w:val="000000"/>
                <w:sz w:val="24"/>
                <w:szCs w:val="24"/>
                <w:lang w:val="en-US" w:eastAsia="zh-CN"/>
              </w:rPr>
              <w:t>57.01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2097" w:hRule="atLeast"/>
        </w:trPr>
        <w:tc>
          <w:tcPr>
            <w:tcW w:w="1121" w:type="pct"/>
            <w:vMerge w:val="continue"/>
            <w:tcBorders>
              <w:left w:val="single" w:color="000000" w:sz="4" w:space="0"/>
              <w:right w:val="single" w:color="000000" w:sz="4" w:space="0"/>
            </w:tcBorders>
            <w:shd w:val="clear" w:color="auto" w:fill="auto"/>
            <w:noWrap/>
            <w:vAlign w:val="center"/>
          </w:tc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hint="eastAsia" w:ascii="仿宋_GB2312" w:hAnsi="仿宋_GB2312" w:eastAsia="宋体" w:cs="仿宋_GB2312"/>
                <w:color w:val="000000"/>
                <w:kern w:val="0"/>
                <w:sz w:val="24"/>
                <w:szCs w:val="24"/>
                <w:lang w:eastAsia="zh-CN"/>
              </w:rPr>
            </w:pPr>
            <w:r>
              <w:rPr>
                <w:rFonts w:hint="eastAsia" w:ascii="仿宋_GB2312" w:hAnsi="仿宋_GB2312" w:cs="仿宋_GB2312"/>
                <w:color w:val="000000"/>
                <w:kern w:val="0"/>
                <w:sz w:val="24"/>
                <w:szCs w:val="24"/>
              </w:rPr>
              <w:t>效益</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指标</w:t>
            </w: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社会效益  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sz w:val="24"/>
                <w:szCs w:val="24"/>
                <w:lang w:eastAsia="zh-CN"/>
              </w:rPr>
              <w:t>保障政府、政府办机关日常运转</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sz w:val="24"/>
                <w:szCs w:val="24"/>
                <w:lang w:eastAsia="zh-CN"/>
              </w:rPr>
              <w:t>良好</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sz w:val="24"/>
                <w:szCs w:val="24"/>
                <w:lang w:eastAsia="zh-CN"/>
              </w:rPr>
              <w:t>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 w:type="dxa"/>
          <w:trHeight w:val="480" w:hRule="atLeast"/>
        </w:trPr>
        <w:tc>
          <w:tcPr>
            <w:tcW w:w="1121" w:type="pct"/>
            <w:vMerge w:val="continue"/>
            <w:tcBorders>
              <w:left w:val="single" w:color="000000" w:sz="4" w:space="0"/>
              <w:bottom w:val="single" w:color="000000" w:sz="4" w:space="0"/>
              <w:right w:val="single" w:color="000000" w:sz="4" w:space="0"/>
            </w:tcBorders>
            <w:shd w:val="clear" w:color="auto" w:fill="auto"/>
            <w:noWrap/>
            <w:vAlign w:val="center"/>
          </w:tc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hint="eastAsia" w:ascii="仿宋_GB2312" w:hAnsi="仿宋_GB2312" w:eastAsia="宋体" w:cs="仿宋_GB2312"/>
                <w:color w:val="000000"/>
                <w:kern w:val="0"/>
                <w:sz w:val="24"/>
                <w:szCs w:val="24"/>
                <w:lang w:eastAsia="zh-CN"/>
              </w:rPr>
            </w:pPr>
            <w:r>
              <w:rPr>
                <w:rFonts w:hint="eastAsia" w:ascii="仿宋_GB2312" w:hAnsi="仿宋_GB2312" w:cs="仿宋_GB2312"/>
                <w:color w:val="000000"/>
                <w:kern w:val="0"/>
                <w:sz w:val="24"/>
                <w:szCs w:val="24"/>
              </w:rPr>
              <w:t>满意</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度指标</w:t>
            </w:r>
          </w:p>
        </w:tc>
        <w:tc>
          <w:tcPr>
            <w:tcW w:w="87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kern w:val="0"/>
                <w:sz w:val="24"/>
                <w:szCs w:val="24"/>
              </w:rPr>
            </w:pPr>
            <w:r>
              <w:rPr>
                <w:rFonts w:hint="eastAsia" w:ascii="仿宋_GB2312" w:hAnsi="仿宋_GB2312" w:cs="仿宋_GB2312"/>
                <w:color w:val="000000"/>
                <w:kern w:val="0"/>
                <w:sz w:val="24"/>
                <w:szCs w:val="24"/>
              </w:rPr>
              <w:t>满意度</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hint="eastAsia" w:ascii="仿宋_GB2312" w:hAnsi="仿宋_GB2312" w:cs="仿宋_GB2312"/>
                <w:color w:val="000000"/>
                <w:kern w:val="0"/>
                <w:sz w:val="24"/>
                <w:szCs w:val="24"/>
              </w:rPr>
              <w:t>指标</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hint="eastAsia" w:ascii="仿宋_GB2312" w:hAnsi="仿宋_GB2312" w:eastAsia="宋体" w:cs="仿宋_GB2312"/>
                <w:color w:val="000000"/>
                <w:sz w:val="24"/>
                <w:szCs w:val="24"/>
                <w:lang w:eastAsia="zh-CN"/>
              </w:rPr>
            </w:pPr>
            <w:r>
              <w:rPr>
                <w:rFonts w:hint="eastAsia" w:ascii="仿宋_GB2312" w:hAnsi="仿宋_GB2312" w:cs="仿宋_GB2312"/>
                <w:color w:val="000000"/>
                <w:sz w:val="24"/>
                <w:szCs w:val="24"/>
                <w:lang w:eastAsia="zh-CN"/>
              </w:rPr>
              <w:t>服务对象满意</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eastAsia="宋体" w:cs="仿宋_GB2312"/>
                <w:color w:val="000000"/>
                <w:sz w:val="24"/>
                <w:szCs w:val="24"/>
                <w:lang w:val="en-US" w:eastAsia="zh-CN"/>
              </w:rPr>
            </w:pPr>
            <w:r>
              <w:rPr>
                <w:rFonts w:ascii="Arial" w:hAnsi="Arial" w:cs="Arial"/>
                <w:color w:val="000000"/>
                <w:sz w:val="24"/>
                <w:szCs w:val="24"/>
              </w:rPr>
              <w:t>≥</w:t>
            </w:r>
            <w:r>
              <w:rPr>
                <w:rFonts w:hint="eastAsia" w:ascii="仿宋_GB2312" w:hAnsi="仿宋_GB2312" w:cs="仿宋_GB2312"/>
                <w:color w:val="000000"/>
                <w:sz w:val="24"/>
                <w:szCs w:val="24"/>
                <w:lang w:val="en-US" w:eastAsia="zh-CN"/>
              </w:rPr>
              <w:t>95%</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hAnsi="仿宋_GB2312" w:cs="仿宋_GB2312"/>
                <w:color w:val="000000"/>
                <w:sz w:val="24"/>
                <w:szCs w:val="24"/>
              </w:rPr>
            </w:pPr>
            <w:r>
              <w:rPr>
                <w:rFonts w:ascii="Arial" w:hAnsi="Arial" w:cs="Arial"/>
                <w:color w:val="000000"/>
                <w:sz w:val="24"/>
                <w:szCs w:val="24"/>
              </w:rPr>
              <w:t>≥</w:t>
            </w:r>
            <w:r>
              <w:rPr>
                <w:rFonts w:hint="eastAsia" w:ascii="仿宋_GB2312" w:hAnsi="仿宋_GB2312" w:cs="仿宋_GB2312"/>
                <w:color w:val="000000"/>
                <w:sz w:val="24"/>
                <w:szCs w:val="24"/>
                <w:lang w:val="en-US" w:eastAsia="zh-CN"/>
              </w:rPr>
              <w:t>95%</w:t>
            </w:r>
          </w:p>
        </w:tc>
      </w:tr>
    </w:tbl>
    <w:p>
      <w:pPr>
        <w:keepNext w:val="0"/>
        <w:keepLines w:val="0"/>
        <w:pageBreakBefore w:val="0"/>
        <w:widowControl/>
        <w:kinsoku/>
        <w:wordWrap/>
        <w:overflowPunct/>
        <w:topLinePunct w:val="0"/>
        <w:autoSpaceDE/>
        <w:autoSpaceDN/>
        <w:bidi w:val="0"/>
        <w:adjustRightInd w:val="0"/>
        <w:snapToGrid w:val="0"/>
        <w:spacing w:line="520" w:lineRule="exact"/>
        <w:contextualSpacing/>
        <w:jc w:val="left"/>
      </w:pPr>
      <w:r>
        <w:rPr>
          <w:rFonts w:hint="eastAsia" w:ascii="仿宋_GB2312" w:hAnsi="仿宋_GB2312" w:cs="宋体"/>
          <w:color w:val="000000"/>
          <w:kern w:val="0"/>
          <w:szCs w:val="32"/>
          <w:shd w:val="clear" w:color="auto" w:fill="FFFFFF"/>
        </w:rPr>
        <w:t>（注：有两个及以上50万元以上（含）特定目标类部门预算项目的，需分别开展绩效目标自评并填写附表）</w:t>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135" w:name="_Toc22449"/>
      <w:bookmarkStart w:id="136" w:name="_Toc13625"/>
      <w:r>
        <w:rPr>
          <w:rFonts w:hint="eastAsia" w:ascii="黑体" w:eastAsia="黑体" w:cs="黑体"/>
        </w:rPr>
        <w:t>第五部分 附表</w:t>
      </w:r>
      <w:bookmarkEnd w:id="130"/>
      <w:bookmarkEnd w:id="131"/>
      <w:bookmarkEnd w:id="132"/>
      <w:bookmarkEnd w:id="133"/>
      <w:bookmarkEnd w:id="135"/>
      <w:bookmarkEnd w:id="136"/>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37" w:name="_Toc79163886"/>
      <w:bookmarkStart w:id="138" w:name="_Toc111208513"/>
      <w:bookmarkStart w:id="139" w:name="_Toc79163636"/>
      <w:bookmarkStart w:id="140" w:name="_Toc113981026"/>
      <w:bookmarkStart w:id="141" w:name="_Toc4997"/>
      <w:bookmarkStart w:id="142" w:name="_Toc3644"/>
      <w:r>
        <w:rPr>
          <w:rFonts w:hint="eastAsia" w:ascii="黑体" w:eastAsia="黑体" w:cs="Times New Roman"/>
          <w:bCs w:val="0"/>
          <w:color w:val="000000"/>
        </w:rPr>
        <w:t>一、收入支出决算总表</w:t>
      </w:r>
      <w:bookmarkEnd w:id="137"/>
      <w:bookmarkEnd w:id="138"/>
      <w:bookmarkEnd w:id="139"/>
      <w:bookmarkEnd w:id="140"/>
      <w:bookmarkEnd w:id="141"/>
      <w:bookmarkEnd w:id="142"/>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43" w:name="_Toc79163887"/>
      <w:bookmarkStart w:id="144" w:name="_Toc79163637"/>
      <w:bookmarkStart w:id="145" w:name="_Toc111208514"/>
      <w:bookmarkStart w:id="146" w:name="_Toc8713"/>
      <w:bookmarkStart w:id="147" w:name="_Toc113981027"/>
      <w:bookmarkStart w:id="148" w:name="_Toc18996"/>
      <w:r>
        <w:rPr>
          <w:rFonts w:hint="eastAsia" w:ascii="黑体" w:eastAsia="黑体" w:cs="Times New Roman"/>
          <w:bCs w:val="0"/>
          <w:color w:val="000000"/>
        </w:rPr>
        <w:t>二、收入决算表</w:t>
      </w:r>
      <w:bookmarkEnd w:id="143"/>
      <w:bookmarkEnd w:id="144"/>
      <w:bookmarkEnd w:id="145"/>
      <w:bookmarkEnd w:id="146"/>
      <w:bookmarkEnd w:id="147"/>
      <w:bookmarkEnd w:id="148"/>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 w:val="0"/>
          <w:color w:val="000000"/>
        </w:rPr>
      </w:pPr>
      <w:bookmarkStart w:id="149" w:name="_Toc79163888"/>
      <w:bookmarkStart w:id="150" w:name="_Toc113981028"/>
      <w:bookmarkStart w:id="151" w:name="_Toc79163638"/>
      <w:bookmarkStart w:id="152" w:name="_Toc2039"/>
      <w:bookmarkStart w:id="153" w:name="_Toc111208515"/>
      <w:bookmarkStart w:id="154" w:name="_Toc19060"/>
      <w:r>
        <w:rPr>
          <w:rFonts w:hint="eastAsia" w:ascii="黑体" w:eastAsia="黑体" w:cs="Times New Roman"/>
          <w:bCs w:val="0"/>
          <w:color w:val="000000"/>
        </w:rPr>
        <w:t>三、支出决算表</w:t>
      </w:r>
      <w:bookmarkEnd w:id="149"/>
      <w:bookmarkEnd w:id="150"/>
      <w:bookmarkEnd w:id="151"/>
      <w:bookmarkEnd w:id="152"/>
      <w:bookmarkEnd w:id="153"/>
      <w:bookmarkEnd w:id="154"/>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55" w:name="_Toc79163639"/>
      <w:bookmarkStart w:id="156" w:name="_Toc14514"/>
      <w:bookmarkStart w:id="157" w:name="_Toc79163889"/>
      <w:bookmarkStart w:id="158" w:name="_Toc113981029"/>
      <w:bookmarkStart w:id="159" w:name="_Toc111208516"/>
      <w:bookmarkStart w:id="160" w:name="_Toc29803"/>
      <w:r>
        <w:rPr>
          <w:rFonts w:hint="eastAsia" w:ascii="黑体" w:eastAsia="黑体" w:cs="Times New Roman"/>
          <w:bCs w:val="0"/>
          <w:color w:val="000000"/>
        </w:rPr>
        <w:t>四、财政拨款收入支出决算总表</w:t>
      </w:r>
      <w:bookmarkEnd w:id="155"/>
      <w:bookmarkEnd w:id="156"/>
      <w:bookmarkEnd w:id="157"/>
      <w:bookmarkEnd w:id="158"/>
      <w:bookmarkEnd w:id="159"/>
      <w:bookmarkEnd w:id="160"/>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61" w:name="_Toc31265"/>
      <w:bookmarkStart w:id="162" w:name="_Toc111208517"/>
      <w:bookmarkStart w:id="163" w:name="_Toc79163640"/>
      <w:bookmarkStart w:id="164" w:name="_Toc113981030"/>
      <w:bookmarkStart w:id="165" w:name="_Toc79163890"/>
      <w:bookmarkStart w:id="166" w:name="_Toc24782"/>
      <w:r>
        <w:rPr>
          <w:rFonts w:hint="eastAsia" w:ascii="黑体" w:eastAsia="黑体" w:cs="Times New Roman"/>
          <w:bCs w:val="0"/>
          <w:color w:val="000000"/>
        </w:rPr>
        <w:t>五、财政拨款支出决算明细表</w:t>
      </w:r>
      <w:bookmarkEnd w:id="161"/>
      <w:bookmarkEnd w:id="162"/>
      <w:bookmarkEnd w:id="163"/>
      <w:bookmarkEnd w:id="164"/>
      <w:bookmarkEnd w:id="165"/>
      <w:bookmarkEnd w:id="166"/>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67" w:name="_Toc111208518"/>
      <w:bookmarkStart w:id="168" w:name="_Toc113981031"/>
      <w:bookmarkStart w:id="169" w:name="_Toc79163891"/>
      <w:bookmarkStart w:id="170" w:name="_Toc79163641"/>
      <w:bookmarkStart w:id="171" w:name="_Toc2402"/>
      <w:bookmarkStart w:id="172" w:name="_Toc23933"/>
      <w:r>
        <w:rPr>
          <w:rFonts w:hint="eastAsia" w:ascii="黑体" w:eastAsia="黑体" w:cs="Times New Roman"/>
          <w:bCs w:val="0"/>
          <w:color w:val="000000"/>
        </w:rPr>
        <w:t>六、一般公共预算财政拨款支出决算表</w:t>
      </w:r>
      <w:bookmarkEnd w:id="167"/>
      <w:bookmarkEnd w:id="168"/>
      <w:bookmarkEnd w:id="169"/>
      <w:bookmarkEnd w:id="170"/>
      <w:bookmarkEnd w:id="171"/>
      <w:bookmarkEnd w:id="172"/>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73" w:name="_Toc13734"/>
      <w:bookmarkStart w:id="174" w:name="_Toc79163642"/>
      <w:bookmarkStart w:id="175" w:name="_Toc79163892"/>
      <w:bookmarkStart w:id="176" w:name="_Toc113981032"/>
      <w:bookmarkStart w:id="177" w:name="_Toc111208519"/>
      <w:bookmarkStart w:id="178" w:name="_Toc24540"/>
      <w:r>
        <w:rPr>
          <w:rFonts w:hint="eastAsia" w:ascii="黑体" w:eastAsia="黑体" w:cs="Times New Roman"/>
          <w:bCs w:val="0"/>
          <w:color w:val="000000"/>
        </w:rPr>
        <w:t>七、一般公共预算财政拨款支出决算明细表</w:t>
      </w:r>
      <w:bookmarkEnd w:id="173"/>
      <w:bookmarkEnd w:id="174"/>
      <w:bookmarkEnd w:id="175"/>
      <w:bookmarkEnd w:id="176"/>
      <w:bookmarkEnd w:id="177"/>
      <w:bookmarkEnd w:id="178"/>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79" w:name="_Toc79163893"/>
      <w:bookmarkStart w:id="180" w:name="_Toc111208520"/>
      <w:bookmarkStart w:id="181" w:name="_Toc79163643"/>
      <w:bookmarkStart w:id="182" w:name="_Toc25777"/>
      <w:bookmarkStart w:id="183" w:name="_Toc113981033"/>
      <w:bookmarkStart w:id="184" w:name="_Toc30122"/>
      <w:r>
        <w:rPr>
          <w:rFonts w:hint="eastAsia" w:ascii="黑体" w:eastAsia="黑体" w:cs="Times New Roman"/>
          <w:bCs w:val="0"/>
          <w:color w:val="000000"/>
        </w:rPr>
        <w:t>八、一般公共预算财政拨款基本支出决算表</w:t>
      </w:r>
      <w:bookmarkEnd w:id="179"/>
      <w:bookmarkEnd w:id="180"/>
      <w:bookmarkEnd w:id="181"/>
      <w:bookmarkEnd w:id="182"/>
      <w:bookmarkEnd w:id="183"/>
      <w:bookmarkEnd w:id="184"/>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85" w:name="_Toc13878"/>
      <w:bookmarkStart w:id="186" w:name="_Toc79163644"/>
      <w:bookmarkStart w:id="187" w:name="_Toc79163894"/>
      <w:bookmarkStart w:id="188" w:name="_Toc113981034"/>
      <w:bookmarkStart w:id="189" w:name="_Toc111208521"/>
      <w:bookmarkStart w:id="190" w:name="_Toc2796"/>
      <w:r>
        <w:rPr>
          <w:rFonts w:hint="eastAsia" w:ascii="黑体" w:eastAsia="黑体" w:cs="Times New Roman"/>
          <w:bCs w:val="0"/>
          <w:color w:val="000000"/>
        </w:rPr>
        <w:t>九、一般公共预算财政拨款项目支出决算表</w:t>
      </w:r>
      <w:bookmarkEnd w:id="185"/>
      <w:bookmarkEnd w:id="186"/>
      <w:bookmarkEnd w:id="187"/>
      <w:bookmarkEnd w:id="188"/>
      <w:bookmarkEnd w:id="189"/>
      <w:bookmarkEnd w:id="190"/>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91" w:name="_Toc30502"/>
      <w:bookmarkStart w:id="192" w:name="_Toc79163895"/>
      <w:bookmarkStart w:id="193" w:name="_Toc32472"/>
      <w:bookmarkStart w:id="194" w:name="_Toc79163645"/>
      <w:bookmarkStart w:id="195" w:name="_Toc111208522"/>
      <w:bookmarkStart w:id="196" w:name="_Toc113981035"/>
      <w:r>
        <w:rPr>
          <w:rFonts w:hint="eastAsia" w:ascii="黑体" w:eastAsia="黑体" w:cs="Times New Roman"/>
          <w:bCs w:val="0"/>
          <w:color w:val="000000"/>
        </w:rPr>
        <w:t>十、一般公共预算财政拨款“三公”经费支出决算表</w:t>
      </w:r>
      <w:bookmarkEnd w:id="191"/>
      <w:bookmarkEnd w:id="192"/>
      <w:bookmarkEnd w:id="193"/>
      <w:bookmarkEnd w:id="194"/>
      <w:bookmarkEnd w:id="195"/>
      <w:bookmarkEnd w:id="196"/>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197" w:name="_Toc79163896"/>
      <w:bookmarkStart w:id="198" w:name="_Toc113981036"/>
      <w:bookmarkStart w:id="199" w:name="_Toc79163646"/>
      <w:bookmarkStart w:id="200" w:name="_Toc111208523"/>
      <w:bookmarkStart w:id="201" w:name="_Toc24457"/>
      <w:bookmarkStart w:id="202" w:name="_Toc8432"/>
      <w:r>
        <w:rPr>
          <w:rFonts w:hint="eastAsia" w:ascii="黑体" w:eastAsia="黑体" w:cs="Times New Roman"/>
          <w:bCs w:val="0"/>
          <w:color w:val="000000"/>
        </w:rPr>
        <w:t>十一、政府性基金预算财政拨款收入支出决算表</w:t>
      </w:r>
      <w:bookmarkEnd w:id="197"/>
      <w:bookmarkEnd w:id="198"/>
      <w:bookmarkEnd w:id="199"/>
      <w:bookmarkEnd w:id="200"/>
      <w:bookmarkEnd w:id="201"/>
      <w:bookmarkEnd w:id="202"/>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203" w:name="_Toc441"/>
      <w:bookmarkStart w:id="204" w:name="_Toc79163647"/>
      <w:bookmarkStart w:id="205" w:name="_Toc111208524"/>
      <w:bookmarkStart w:id="206" w:name="_Toc79163897"/>
      <w:bookmarkStart w:id="207" w:name="_Toc113981037"/>
      <w:bookmarkStart w:id="208" w:name="_Toc13893"/>
      <w:r>
        <w:rPr>
          <w:rFonts w:hint="eastAsia" w:ascii="黑体" w:eastAsia="黑体" w:cs="Times New Roman"/>
          <w:bCs w:val="0"/>
          <w:color w:val="000000"/>
        </w:rPr>
        <w:t>十二、政府性基金预算财政拨款“三公”经费支出决算表</w:t>
      </w:r>
      <w:bookmarkEnd w:id="203"/>
      <w:bookmarkEnd w:id="204"/>
      <w:bookmarkEnd w:id="205"/>
      <w:bookmarkEnd w:id="206"/>
      <w:bookmarkEnd w:id="207"/>
      <w:bookmarkEnd w:id="208"/>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Cs w:val="0"/>
          <w:color w:val="000000"/>
        </w:rPr>
      </w:pPr>
      <w:bookmarkStart w:id="209" w:name="_Toc79163648"/>
      <w:bookmarkStart w:id="210" w:name="_Toc79163898"/>
      <w:bookmarkStart w:id="211" w:name="_Toc111208525"/>
      <w:bookmarkStart w:id="212" w:name="_Toc12881"/>
      <w:bookmarkStart w:id="213" w:name="_Toc113981038"/>
      <w:bookmarkStart w:id="214" w:name="_Toc25566"/>
      <w:r>
        <w:rPr>
          <w:rFonts w:hint="eastAsia" w:ascii="黑体" w:eastAsia="黑体" w:cs="Times New Roman"/>
          <w:bCs w:val="0"/>
          <w:color w:val="000000"/>
        </w:rPr>
        <w:t>十三、</w:t>
      </w:r>
      <w:bookmarkEnd w:id="209"/>
      <w:bookmarkEnd w:id="210"/>
      <w:r>
        <w:rPr>
          <w:rFonts w:hint="eastAsia" w:ascii="黑体" w:eastAsia="黑体" w:cs="Times New Roman"/>
          <w:bCs w:val="0"/>
          <w:color w:val="000000"/>
        </w:rPr>
        <w:t>国有资本经营预算财政拨款收入支出决算表</w:t>
      </w:r>
      <w:bookmarkEnd w:id="211"/>
      <w:bookmarkEnd w:id="212"/>
      <w:bookmarkEnd w:id="213"/>
      <w:bookmarkEnd w:id="214"/>
    </w:p>
    <w:p>
      <w:pPr>
        <w:pStyle w:val="4"/>
        <w:keepNext/>
        <w:keepLines/>
        <w:pageBreakBefore w:val="0"/>
        <w:widowControl w:val="0"/>
        <w:kinsoku/>
        <w:wordWrap/>
        <w:topLinePunct w:val="0"/>
        <w:bidi w:val="0"/>
        <w:spacing w:line="576" w:lineRule="exact"/>
        <w:ind w:firstLine="643" w:firstLineChars="200"/>
        <w:textAlignment w:val="auto"/>
        <w:rPr>
          <w:rFonts w:ascii="黑体" w:eastAsia="黑体" w:cs="Times New Roman"/>
          <w:b w:val="0"/>
          <w:color w:val="000000"/>
        </w:rPr>
      </w:pPr>
      <w:bookmarkStart w:id="215" w:name="_Toc111208526"/>
      <w:bookmarkStart w:id="216" w:name="_Toc113981039"/>
      <w:bookmarkStart w:id="217" w:name="_Toc8070"/>
      <w:bookmarkStart w:id="218" w:name="_Toc12538"/>
      <w:r>
        <w:rPr>
          <w:rFonts w:hint="eastAsia" w:ascii="黑体" w:eastAsia="黑体" w:cs="Times New Roman"/>
          <w:bCs w:val="0"/>
          <w:color w:val="000000"/>
        </w:rPr>
        <w:t>十四、国有资本经营预算财政拨款支出决算表</w:t>
      </w:r>
      <w:bookmarkEnd w:id="215"/>
      <w:bookmarkEnd w:id="216"/>
      <w:bookmarkEnd w:id="217"/>
      <w:bookmarkEnd w:id="21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Lucida Sans">
    <w:panose1 w:val="020B0602030504020204"/>
    <w:charset w:val="01"/>
    <w:family w:val="auto"/>
    <w:pitch w:val="default"/>
    <w:sig w:usb0="00000003" w:usb1="00000000" w:usb2="00000000" w:usb3="00000000" w:csb0="2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1BFAD"/>
    <w:multiLevelType w:val="singleLevel"/>
    <w:tmpl w:val="D811BFAD"/>
    <w:lvl w:ilvl="0" w:tentative="0">
      <w:start w:val="3"/>
      <w:numFmt w:val="chineseCounting"/>
      <w:suff w:val="nothing"/>
      <w:lvlText w:val="%1、"/>
      <w:lvlJc w:val="left"/>
      <w:pPr>
        <w:ind w:left="0" w:firstLine="0"/>
      </w:pPr>
      <w:rPr>
        <w:rFonts w:hint="eastAsia"/>
      </w:rPr>
    </w:lvl>
  </w:abstractNum>
  <w:abstractNum w:abstractNumId="1">
    <w:nsid w:val="EB2095F5"/>
    <w:multiLevelType w:val="singleLevel"/>
    <w:tmpl w:val="EB2095F5"/>
    <w:lvl w:ilvl="0" w:tentative="0">
      <w:start w:val="2"/>
      <w:numFmt w:val="chineseCounting"/>
      <w:suff w:val="nothing"/>
      <w:lvlText w:val="（%1）"/>
      <w:lvlJc w:val="left"/>
      <w:pPr>
        <w:ind w:left="0" w:firstLine="0"/>
      </w:pPr>
      <w:rPr>
        <w:rFonts w:hint="eastAsia"/>
      </w:rPr>
    </w:lvl>
  </w:abstractNum>
  <w:abstractNum w:abstractNumId="2">
    <w:nsid w:val="12B36B9C"/>
    <w:multiLevelType w:val="singleLevel"/>
    <w:tmpl w:val="12B36B9C"/>
    <w:lvl w:ilvl="0" w:tentative="0">
      <w:start w:val="2"/>
      <w:numFmt w:val="chineseCounting"/>
      <w:suff w:val="nothing"/>
      <w:lvlText w:val="（%1）"/>
      <w:lvlJc w:val="left"/>
      <w:pPr>
        <w:ind w:left="0" w:firstLine="0"/>
      </w:pPr>
      <w:rPr>
        <w:rFonts w:hint="eastAsia"/>
      </w:rPr>
    </w:lvl>
  </w:abstractNum>
  <w:abstractNum w:abstractNumId="3">
    <w:nsid w:val="29783A50"/>
    <w:multiLevelType w:val="singleLevel"/>
    <w:tmpl w:val="29783A50"/>
    <w:lvl w:ilvl="0" w:tentative="0">
      <w:start w:val="2"/>
      <w:numFmt w:val="chineseCounting"/>
      <w:suff w:val="nothing"/>
      <w:lvlText w:val="（%1）"/>
      <w:lvlJc w:val="left"/>
      <w:pPr>
        <w:ind w:left="0" w:firstLine="0"/>
      </w:pPr>
      <w:rPr>
        <w:rFonts w:hint="eastAsia" w:ascii="楷体_GB2312" w:hAnsi="楷体_GB2312" w:eastAsia="楷体_GB2312" w:cs="楷体_GB2312"/>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Q4ZjlhN2U1NTdlODA1N2ExZTVjMGE2NDFmYWZhOWMifQ=="/>
  </w:docVars>
  <w:rsids>
    <w:rsidRoot w:val="00000000"/>
    <w:rsid w:val="187C66BE"/>
    <w:rsid w:val="3BF323A0"/>
    <w:rsid w:val="48A02DC9"/>
    <w:rsid w:val="673671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index 8"/>
    <w:basedOn w:val="1"/>
    <w:next w:val="1"/>
    <w:qFormat/>
    <w:uiPriority w:val="0"/>
    <w:pPr>
      <w:ind w:left="294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able of figures"/>
    <w:basedOn w:val="1"/>
    <w:next w:val="1"/>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rPr>
  </w:style>
  <w:style w:type="character" w:styleId="19">
    <w:name w:val="Strong"/>
    <w:basedOn w:val="18"/>
    <w:uiPriority w:val="0"/>
    <w:rPr>
      <w:b/>
    </w:rPr>
  </w:style>
  <w:style w:type="character" w:styleId="20">
    <w:name w:val="page number"/>
    <w:basedOn w:val="18"/>
    <w:qFormat/>
    <w:uiPriority w:val="0"/>
  </w:style>
  <w:style w:type="character" w:styleId="21">
    <w:name w:val="Hyperlink"/>
    <w:basedOn w:val="18"/>
    <w:qFormat/>
    <w:uiPriority w:val="0"/>
    <w:rPr>
      <w:color w:val="0000FF"/>
      <w:u w:val="single"/>
    </w:rPr>
  </w:style>
  <w:style w:type="character" w:styleId="22">
    <w:name w:val="annotation reference"/>
    <w:basedOn w:val="18"/>
    <w:uiPriority w:val="0"/>
    <w:rPr>
      <w:sz w:val="21"/>
      <w:szCs w:val="21"/>
    </w:rPr>
  </w:style>
  <w:style w:type="character" w:customStyle="1" w:styleId="23">
    <w:name w:val="heading 1 Char"/>
    <w:basedOn w:val="18"/>
    <w:link w:val="3"/>
    <w:uiPriority w:val="0"/>
    <w:rPr>
      <w:rFonts w:ascii="Times New Roman" w:hAnsi="Times New Roman" w:eastAsia="宋体" w:cs="Times New Roman"/>
      <w:b/>
      <w:bCs/>
      <w:kern w:val="44"/>
      <w:sz w:val="44"/>
      <w:szCs w:val="44"/>
      <w:lang w:val="en-US" w:eastAsia="zh-CN" w:bidi="ar-SA"/>
    </w:rPr>
  </w:style>
  <w:style w:type="paragraph" w:customStyle="1" w:styleId="24">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5">
    <w:name w:val="Header Char"/>
    <w:basedOn w:val="18"/>
    <w:qFormat/>
    <w:uiPriority w:val="0"/>
    <w:rPr>
      <w:rFonts w:ascii="Times New Roman" w:hAnsi="Times New Roman"/>
      <w:sz w:val="18"/>
      <w:szCs w:val="18"/>
    </w:rPr>
  </w:style>
  <w:style w:type="character" w:customStyle="1" w:styleId="26">
    <w:name w:val="Footer Char"/>
    <w:basedOn w:val="18"/>
    <w:qFormat/>
    <w:uiPriority w:val="0"/>
    <w:rPr>
      <w:rFonts w:ascii="Times New Roman" w:hAnsi="Times New Roman"/>
      <w:sz w:val="18"/>
      <w:szCs w:val="18"/>
    </w:rPr>
  </w:style>
  <w:style w:type="character" w:customStyle="1" w:styleId="27">
    <w:name w:val="Body Text Char"/>
    <w:basedOn w:val="18"/>
    <w:uiPriority w:val="0"/>
    <w:rPr>
      <w:rFonts w:ascii="Times New Roman" w:hAnsi="Times New Roman"/>
      <w:szCs w:val="24"/>
    </w:rPr>
  </w:style>
  <w:style w:type="paragraph" w:customStyle="1" w:styleId="28">
    <w:name w:val="List Paragraph"/>
    <w:basedOn w:val="1"/>
    <w:uiPriority w:val="0"/>
    <w:pPr>
      <w:ind w:firstLine="200" w:firstLineChars="200"/>
    </w:pPr>
  </w:style>
  <w:style w:type="paragraph" w:customStyle="1" w:styleId="29">
    <w:name w:val="TOC 标题1"/>
    <w:basedOn w:val="3"/>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0">
    <w:name w:val="Normalc016005b"/>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
    <w:name w:val="Default Paragraph Fontabf45a17"/>
    <w:uiPriority w:val="0"/>
  </w:style>
  <w:style w:type="paragraph" w:customStyle="1" w:styleId="32">
    <w:name w:val="Normal75124c00"/>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3">
    <w:name w:val="Default Paragraph Font7"/>
    <w:qFormat/>
    <w:uiPriority w:val="0"/>
  </w:style>
  <w:style w:type="paragraph" w:customStyle="1" w:styleId="34">
    <w:name w:val="Document Map3100762f"/>
    <w:basedOn w:val="32"/>
    <w:uiPriority w:val="0"/>
    <w:rPr>
      <w:rFonts w:ascii="宋体" w:eastAsia="宋体"/>
      <w:sz w:val="18"/>
      <w:szCs w:val="18"/>
    </w:rPr>
  </w:style>
  <w:style w:type="paragraph" w:customStyle="1" w:styleId="35">
    <w:name w:val="Balloon Text781fe588"/>
    <w:basedOn w:val="32"/>
    <w:qFormat/>
    <w:uiPriority w:val="0"/>
    <w:rPr>
      <w:sz w:val="18"/>
      <w:szCs w:val="18"/>
    </w:rPr>
  </w:style>
  <w:style w:type="paragraph" w:customStyle="1" w:styleId="36">
    <w:name w:val="footer4"/>
    <w:basedOn w:val="32"/>
    <w:uiPriority w:val="0"/>
    <w:pPr>
      <w:tabs>
        <w:tab w:val="center" w:pos="4153"/>
        <w:tab w:val="right" w:pos="8306"/>
      </w:tabs>
      <w:snapToGrid w:val="0"/>
      <w:jc w:val="left"/>
    </w:pPr>
    <w:rPr>
      <w:rFonts w:eastAsia="宋体"/>
      <w:sz w:val="18"/>
      <w:szCs w:val="18"/>
    </w:rPr>
  </w:style>
  <w:style w:type="paragraph" w:customStyle="1" w:styleId="37">
    <w:name w:val="header5"/>
    <w:basedOn w:val="32"/>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38">
    <w:name w:val="page number8"/>
    <w:basedOn w:val="33"/>
    <w:qFormat/>
    <w:uiPriority w:val="0"/>
  </w:style>
  <w:style w:type="paragraph" w:customStyle="1" w:styleId="39">
    <w:name w:val="四号正文9"/>
    <w:basedOn w:val="32"/>
    <w:uiPriority w:val="0"/>
    <w:pPr>
      <w:spacing w:line="360" w:lineRule="auto"/>
    </w:pPr>
    <w:rPr>
      <w:rFonts w:ascii="??" w:hAnsi="??" w:eastAsia="宋体" w:cs="宋体"/>
      <w:color w:val="000000"/>
      <w:kern w:val="0"/>
      <w:sz w:val="28"/>
      <w:szCs w:val="21"/>
    </w:rPr>
  </w:style>
  <w:style w:type="paragraph" w:customStyle="1" w:styleId="40">
    <w:name w:val="a23e1f1a6"/>
    <w:basedOn w:val="32"/>
    <w:uiPriority w:val="0"/>
    <w:pPr>
      <w:widowControl/>
      <w:spacing w:before="100" w:beforeAutospacing="1" w:after="100" w:afterAutospacing="1"/>
      <w:jc w:val="left"/>
    </w:pPr>
    <w:rPr>
      <w:rFonts w:ascii="宋体" w:eastAsia="宋体" w:cs="宋体"/>
      <w:kern w:val="0"/>
      <w:sz w:val="24"/>
    </w:rPr>
  </w:style>
  <w:style w:type="character" w:customStyle="1" w:styleId="41">
    <w:name w:val="font3111"/>
    <w:basedOn w:val="33"/>
    <w:uiPriority w:val="0"/>
    <w:rPr>
      <w:rFonts w:ascii="宋体" w:eastAsia="宋体" w:cs="宋体"/>
      <w:color w:val="000000"/>
      <w:sz w:val="24"/>
      <w:szCs w:val="24"/>
      <w:u w:val="none"/>
    </w:rPr>
  </w:style>
  <w:style w:type="paragraph" w:customStyle="1" w:styleId="42">
    <w:name w:val="p0"/>
    <w:next w:val="6"/>
    <w:qFormat/>
    <w:uiPriority w:val="0"/>
    <w:pPr>
      <w:widowControl w:val="0"/>
      <w:adjustRightInd/>
      <w:snapToGrid/>
      <w:jc w:val="both"/>
    </w:pPr>
    <w:rPr>
      <w:rFonts w:ascii="Times New Roman" w:hAnsi="Times New Roman" w:eastAsia="宋体" w:cs="Times New Roman"/>
      <w:kern w:val="2"/>
      <w:sz w:val="21"/>
      <w:szCs w:val="21"/>
      <w:lang w:val="en-US" w:eastAsia="zh-CN" w:bidi="ar-SA"/>
    </w:rPr>
  </w:style>
  <w:style w:type="paragraph" w:customStyle="1" w:styleId="43">
    <w:name w:val="WPSOffice手动目录 1"/>
    <w:uiPriority w:val="0"/>
    <w:rPr>
      <w:rFonts w:ascii="Times New Roman" w:hAnsi="Times New Roman" w:eastAsia="宋体" w:cs="Times New Roman"/>
      <w:sz w:val="20"/>
      <w:szCs w:val="20"/>
      <w:lang w:val="en-US" w:eastAsia="zh-CN" w:bidi="ar-SA"/>
    </w:rPr>
  </w:style>
  <w:style w:type="paragraph" w:customStyle="1" w:styleId="44">
    <w:name w:val="WPSOffice手动目录 2"/>
    <w:uiPriority w:val="0"/>
    <w:pPr>
      <w:ind w:left="200" w:leftChars="200"/>
    </w:pPr>
    <w:rPr>
      <w:rFonts w:ascii="Times New Roman" w:hAnsi="Times New Roman" w:eastAsia="宋体" w:cs="Times New Roman"/>
      <w:sz w:val="20"/>
      <w:szCs w:val="20"/>
      <w:lang w:val="en-US" w:eastAsia="zh-CN" w:bidi="ar-SA"/>
    </w:rPr>
  </w:style>
  <w:style w:type="paragraph" w:customStyle="1" w:styleId="45">
    <w:name w:val="WPSOffice手动目录 3"/>
    <w:uiPriority w:val="0"/>
    <w:pPr>
      <w:ind w:left="400" w:leftChars="400"/>
    </w:pPr>
    <w:rPr>
      <w:rFonts w:ascii="Times New Roman" w:hAnsi="Times New Roman" w:eastAsia="宋体" w:cs="Times New Roman"/>
      <w:sz w:val="20"/>
      <w:szCs w:val="20"/>
      <w:lang w:val="en-US" w:eastAsia="zh-CN" w:bidi="ar-SA"/>
    </w:rPr>
  </w:style>
  <w:style w:type="paragraph" w:customStyle="1" w:styleId="46">
    <w:name w:val="Normaledbb6d4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2021</c:v>
                </c:pt>
                <c:pt idx="1">
                  <c:v>2022</c:v>
                </c:pt>
              </c:numCache>
            </c:numRef>
          </c:cat>
          <c:val>
            <c:numRef>
              <c:f>'Sheet1'!$B$2:$B$3</c:f>
              <c:numCache>
                <c:formatCode>General</c:formatCode>
                <c:ptCount val="2"/>
                <c:pt idx="0">
                  <c:v>1221.44</c:v>
                </c:pt>
                <c:pt idx="1">
                  <c:v>1251.05</c:v>
                </c:pt>
              </c:numCache>
            </c:numRef>
          </c:val>
        </c:ser>
        <c:ser>
          <c:idx val="1"/>
          <c:order val="1"/>
          <c:tx>
            <c:strRef>
              <c:f>'Sheet1'!$C$1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2021</c:v>
                </c:pt>
                <c:pt idx="1">
                  <c:v>2022</c:v>
                </c:pt>
              </c:numCache>
            </c:numRef>
          </c:cat>
          <c:val>
            <c:numRef>
              <c:f>'Sheet1'!$C$2:$C$3</c:f>
              <c:numCache>
                <c:formatCode>General</c:formatCode>
                <c:ptCount val="2"/>
                <c:pt idx="0">
                  <c:v>1221.44</c:v>
                </c:pt>
                <c:pt idx="1">
                  <c:v>1251.05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支出决算结构</a:t>
            </a:r>
            <a:endParaRPr lang="zh-CN"/>
          </a:p>
        </c:rich>
      </c:tx>
      <c:layout/>
      <c:overlay val="0"/>
      <c:spPr>
        <a:noFill/>
        <a:ln>
          <a:noFill/>
        </a:ln>
      </c:spPr>
    </c:title>
    <c:autoTitleDeleted val="0"/>
    <c:plotArea>
      <c:layout/>
      <c:pieChart>
        <c:varyColors val="1"/>
        <c:ser>
          <c:idx val="0"/>
          <c:order val="0"/>
          <c:tx>
            <c:strRef>
              <c:f>'Sheet1 (3)'!$B$1</c:f>
              <c:strCache>
                <c:ptCount val="1"/>
                <c:pt idx="0">
                  <c:v>销售额</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numFmt formatCode="0.00%"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0.00%</c:formatCode>
                <c:ptCount val="5"/>
                <c:pt idx="0">
                  <c:v>0.9877</c:v>
                </c:pt>
                <c:pt idx="1">
                  <c:v>0.0123</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收入决算结构</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{10666067.59,0,0,0,0,0,0,0}</c:f>
              <c:numCache>
                <c:formatCode>General</c:formatCode>
                <c:ptCount val="8"/>
                <c:pt idx="0">
                  <c:v>10666067.59</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manualLayout>
          <c:xMode val="edge"/>
          <c:yMode val="edge"/>
          <c:x val="0.650392950702548"/>
          <c:y val="0.331746031746032"/>
        </c:manualLayout>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财政拨款收、支决算总计变动</a:t>
            </a:r>
            <a:endParaRPr lang="zh-CN"/>
          </a:p>
        </c:rich>
      </c:tx>
      <c:layout/>
      <c:overlay val="0"/>
      <c:spPr>
        <a:noFill/>
        <a:ln>
          <a:noFill/>
        </a:ln>
      </c:spPr>
    </c:title>
    <c:autoTitleDeleted val="0"/>
    <c:plotArea>
      <c:layout/>
      <c:barChart>
        <c:barDir val="col"/>
        <c:grouping val="clustered"/>
        <c:varyColors val="0"/>
        <c:ser>
          <c:idx val="0"/>
          <c:order val="0"/>
          <c:tx>
            <c:strRef>
              <c:f>'Sheet1 (4)'!$B$1</c:f>
              <c:strCache>
                <c:ptCount val="1"/>
                <c:pt idx="0">
                  <c:v>2021</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财政拨款收入</c:v>
                </c:pt>
                <c:pt idx="1">
                  <c:v>财政拨款支出</c:v>
                </c:pt>
              </c:strCache>
            </c:strRef>
          </c:cat>
          <c:val>
            <c:numRef>
              <c:f>'Sheet1 (4)'!$B$2:$B$3</c:f>
              <c:numCache>
                <c:formatCode>General</c:formatCode>
                <c:ptCount val="2"/>
                <c:pt idx="0">
                  <c:v>1221.44</c:v>
                </c:pt>
                <c:pt idx="1">
                  <c:v>1221.44</c:v>
                </c:pt>
              </c:numCache>
            </c:numRef>
          </c:val>
        </c:ser>
        <c:ser>
          <c:idx val="1"/>
          <c:order val="1"/>
          <c:tx>
            <c:strRef>
              <c:f>'Sheet1 (4)'!$C$1</c:f>
              <c:strCache>
                <c:ptCount val="1"/>
                <c:pt idx="0">
                  <c:v>2022</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财政拨款收入</c:v>
                </c:pt>
                <c:pt idx="1">
                  <c:v>财政拨款支出</c:v>
                </c:pt>
              </c:strCache>
            </c:strRef>
          </c:cat>
          <c:val>
            <c:numRef>
              <c:f>'Sheet1 (4)'!$C$2:$C$3</c:f>
              <c:numCache>
                <c:formatCode>General</c:formatCode>
                <c:ptCount val="2"/>
                <c:pt idx="0">
                  <c:v>1251.05</c:v>
                </c:pt>
                <c:pt idx="1">
                  <c:v>1251.05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egendEntry>
        <c:idx val="0"/>
        <c:txPr>
          <a:bodyPr rot="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Entry>
      <c:legendEntry>
        <c:idx val="1"/>
        <c:txPr>
          <a:bodyPr rot="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Entry>
      <c:layout/>
      <c:overlay val="0"/>
      <c:spPr>
        <a:noFill/>
        <a:ln>
          <a:noFill/>
        </a:ln>
      </c:spPr>
      <c:txPr>
        <a:bodyPr rot="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1"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一般公共预算财政拨款支出情况</a:t>
            </a:r>
            <a:endParaRPr lang="zh-CN"/>
          </a:p>
        </c:rich>
      </c:tx>
      <c:layout>
        <c:manualLayout>
          <c:xMode val="edge"/>
          <c:yMode val="edge"/>
          <c:x val="0.287625"/>
          <c:y val="0.022833332"/>
        </c:manualLayout>
      </c:layout>
      <c:overlay val="0"/>
      <c:spPr>
        <a:noFill/>
        <a:ln>
          <a:noFill/>
        </a:ln>
      </c:spPr>
    </c:title>
    <c:autoTitleDeleted val="0"/>
    <c:plotArea>
      <c:layout>
        <c:manualLayout>
          <c:layoutTarget val="inner"/>
          <c:xMode val="edge"/>
          <c:yMode val="edge"/>
          <c:x val="0.0467"/>
          <c:y val="0.127"/>
          <c:w val="0.927925"/>
          <c:h val="0.7165667"/>
        </c:manualLayout>
      </c:layout>
      <c:barChart>
        <c:barDir val="col"/>
        <c:grouping val="clustered"/>
        <c:varyColors val="0"/>
        <c:ser>
          <c:idx val="0"/>
          <c:order val="0"/>
          <c:tx>
            <c:strRef>
              <c:f>'Sheet1 (5)'!$B$1</c:f>
              <c:strCache>
                <c:ptCount val="1"/>
                <c:pt idx="0">
                  <c:v>2021</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c:f>
              <c:numCache>
                <c:formatCode>General</c:formatCode>
                <c:ptCount val="1"/>
              </c:numCache>
            </c:numRef>
          </c:cat>
          <c:val>
            <c:numRef>
              <c:f>Sheet1 (5)!$B$2</c:f>
              <c:numCache>
                <c:formatCode>General</c:formatCode>
                <c:ptCount val="1"/>
                <c:pt idx="0">
                  <c:v>1221.44</c:v>
                </c:pt>
              </c:numCache>
            </c:numRef>
          </c:val>
        </c:ser>
        <c:ser>
          <c:idx val="1"/>
          <c:order val="1"/>
          <c:tx>
            <c:strRef>
              <c:f>'Sheet1 (5)'!$C$1</c:f>
              <c:strCache>
                <c:ptCount val="1"/>
                <c:pt idx="0">
                  <c:v>2022</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c:f>
              <c:numCache>
                <c:formatCode>General</c:formatCode>
                <c:ptCount val="1"/>
              </c:numCache>
            </c:numRef>
          </c:cat>
          <c:val>
            <c:numRef>
              <c:f>Sheet1 (5)!$C$2</c:f>
              <c:numCache>
                <c:formatCode>General</c:formatCode>
                <c:ptCount val="1"/>
                <c:pt idx="0">
                  <c:v>1251.05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egendEntry>
        <c:idx val="0"/>
        <c:txPr>
          <a:bodyPr rot="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Entry>
      <c:legendEntry>
        <c:idx val="1"/>
        <c:txPr>
          <a:bodyPr rot="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Entry>
      <c:layout/>
      <c:overlay val="0"/>
      <c:spPr>
        <a:noFill/>
        <a:ln>
          <a:noFill/>
        </a:ln>
      </c:spPr>
      <c:txPr>
        <a:bodyPr rot="0" spcFirstLastPara="0" vertOverflow="ellipsis" vert="horz" wrap="square" anchor="ctr" anchorCtr="1"/>
        <a:lstStyle/>
        <a:p>
          <a:pPr>
            <a:defRPr lang="zh-CN" sz="900" b="1"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1"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一般公共预算财政拨款支出结构</a:t>
            </a:r>
            <a:endParaRPr lang="zh-CN"/>
          </a:p>
        </c:rich>
      </c:tx>
      <c:layout/>
      <c:overlay val="0"/>
      <c:spPr>
        <a:noFill/>
        <a:ln>
          <a:noFill/>
        </a:ln>
      </c:spPr>
    </c:title>
    <c:autoTitleDeleted val="0"/>
    <c:plotArea>
      <c:layout/>
      <c:pieChart>
        <c:varyColors val="1"/>
        <c:ser>
          <c:idx val="0"/>
          <c:order val="0"/>
          <c:tx>
            <c:strRef>
              <c:f>'Sheet1 (6)'!$B$1</c:f>
              <c:strCache>
                <c:ptCount val="1"/>
                <c:pt idx="0">
                  <c:v>销售额</c:v>
                </c:pt>
              </c:strCache>
            </c:strRef>
          </c:tx>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一般公共服务支出</c:v>
                </c:pt>
                <c:pt idx="1">
                  <c:v>社会保障和就业支出</c:v>
                </c:pt>
                <c:pt idx="2">
                  <c:v>卫生健康支出</c:v>
                </c:pt>
                <c:pt idx="3">
                  <c:v>农林水支出</c:v>
                </c:pt>
                <c:pt idx="4">
                  <c:v>住房保障支出</c:v>
                </c:pt>
              </c:strCache>
            </c:strRef>
          </c:cat>
          <c:val>
            <c:numRef>
              <c:f>'Sheet1 (6)'!$B$2:$B$6</c:f>
              <c:numCache>
                <c:formatCode>General</c:formatCode>
                <c:ptCount val="5"/>
                <c:pt idx="0">
                  <c:v>1019.2</c:v>
                </c:pt>
                <c:pt idx="1">
                  <c:v>117.28</c:v>
                </c:pt>
                <c:pt idx="2">
                  <c:v>47.98</c:v>
                </c:pt>
                <c:pt idx="3">
                  <c:v>0.36</c:v>
                </c:pt>
                <c:pt idx="4">
                  <c:v>66.23</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manualLayout>
          <c:xMode val="edge"/>
          <c:yMode val="edge"/>
          <c:x val="0.74575"/>
          <c:y val="0.43616667"/>
          <c:w val="0.230375"/>
          <c:h val="0.2426666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销售额</c:v>
                </c:pt>
              </c:strCache>
            </c:strRef>
          </c:tx>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c:v>
                </c:pt>
                <c:pt idx="1">
                  <c:v>公务用车购置及运行维护费</c:v>
                </c:pt>
                <c:pt idx="2">
                  <c:v>公务接待费</c:v>
                </c:pt>
              </c:strCache>
            </c:strRef>
          </c:cat>
          <c:val>
            <c:numRef>
              <c:f>'Sheet1 (7)'!$B$2:$B$4</c:f>
              <c:numCache>
                <c:formatCode>General</c:formatCode>
                <c:ptCount val="3"/>
                <c:pt idx="1">
                  <c:v>194.41</c:v>
                </c:pt>
                <c:pt idx="2">
                  <c:v>0.34</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37</Pages>
  <Words>13590</Words>
  <Characters>14812</Characters>
  <Lines>835</Lines>
  <Paragraphs>354</Paragraphs>
  <TotalTime>6</TotalTime>
  <ScaleCrop>false</ScaleCrop>
  <LinksUpToDate>false</LinksUpToDate>
  <CharactersWithSpaces>15419</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Administrator</cp:lastModifiedBy>
  <cp:lastPrinted>2023-09-14T08:03:00Z</cp:lastPrinted>
  <dcterms:modified xsi:type="dcterms:W3CDTF">2024-08-14T01:51:24Z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CBB6E199AA0043F49ED48B54FAB8ECFE_13</vt:lpwstr>
  </property>
</Properties>
</file>