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1" w:name="_Toc15378441"/>
      <w:bookmarkStart w:id="2" w:name="_Toc15396475"/>
      <w:bookmarkStart w:id="3" w:name="_Toc15377193"/>
      <w:bookmarkStart w:id="4" w:name="_Toc15396597"/>
      <w:bookmarkStart w:id="5" w:name="_Toc15377425"/>
      <w:r>
        <w:rPr>
          <w:rFonts w:hint="eastAsia" w:ascii="方正小标宋简体" w:hAnsi="方正小标宋简体" w:eastAsia="方正小标宋简体" w:cs="方正小标宋简体"/>
          <w:color w:val="000000"/>
          <w:sz w:val="44"/>
          <w:szCs w:val="44"/>
        </w:rPr>
        <w:t>20</w:t>
      </w:r>
      <w:r>
        <w:rPr>
          <w:rFonts w:hint="eastAsia" w:ascii="方正小标宋简体" w:hAnsi="方正小标宋简体" w:eastAsia="方正小标宋简体" w:cs="方正小标宋简体"/>
          <w:color w:val="000000"/>
          <w:sz w:val="44"/>
          <w:szCs w:val="44"/>
          <w:lang w:val="en-US" w:eastAsia="zh-CN"/>
        </w:rPr>
        <w:t>19</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bookmarkStart w:id="6" w:name="_Toc15396598"/>
      <w:bookmarkStart w:id="7" w:name="_Toc15377194"/>
      <w:bookmarkStart w:id="8" w:name="_Toc15377426"/>
      <w:bookmarkStart w:id="9" w:name="_Toc15378442"/>
      <w:bookmarkStart w:id="10" w:name="_Toc15396476"/>
      <w:r>
        <w:rPr>
          <w:rFonts w:hint="eastAsia" w:ascii="方正小标宋简体" w:hAnsi="方正小标宋简体" w:eastAsia="方正小标宋简体" w:cs="方正小标宋简体"/>
          <w:color w:val="000000"/>
          <w:sz w:val="44"/>
          <w:szCs w:val="44"/>
        </w:rPr>
        <w:t>四川省</w:t>
      </w:r>
      <w:bookmarkEnd w:id="0"/>
      <w:bookmarkStart w:id="11" w:name="_Toc15306268"/>
      <w:r>
        <w:rPr>
          <w:rFonts w:hint="eastAsia" w:ascii="方正小标宋简体" w:hAnsi="方正小标宋简体" w:eastAsia="方正小标宋简体" w:cs="方正小标宋简体"/>
          <w:color w:val="000000"/>
          <w:sz w:val="44"/>
          <w:szCs w:val="44"/>
        </w:rPr>
        <w:t>阿坝州茂县政协办公室部门决算</w:t>
      </w:r>
      <w:bookmarkEnd w:id="6"/>
      <w:bookmarkEnd w:id="7"/>
      <w:bookmarkEnd w:id="8"/>
      <w:bookmarkEnd w:id="9"/>
      <w:bookmarkEnd w:id="10"/>
      <w:bookmarkEnd w:id="11"/>
    </w:p>
    <w:p>
      <w:pPr>
        <w:adjustRightInd w:val="0"/>
        <w:snapToGrid w:val="0"/>
        <w:spacing w:line="360" w:lineRule="auto"/>
        <w:outlineLvl w:val="0"/>
        <w:rPr>
          <w:rFonts w:ascii="仿宋_GB2312" w:hAnsi="仿宋_GB2312" w:eastAsia="仿宋_GB2312" w:cs="仿宋_GB2312"/>
          <w:color w:val="000000"/>
          <w:sz w:val="32"/>
          <w:szCs w:val="32"/>
        </w:rPr>
      </w:pPr>
    </w:p>
    <w:p>
      <w:pPr>
        <w:adjustRightInd w:val="0"/>
        <w:snapToGrid w:val="0"/>
        <w:spacing w:line="360" w:lineRule="auto"/>
        <w:jc w:val="center"/>
        <w:outlineLvl w:val="0"/>
        <w:rPr>
          <w:rFonts w:ascii="方正小标宋简体" w:hAnsi="宋体" w:eastAsia="方正小标宋简体"/>
          <w:color w:val="000000"/>
          <w:sz w:val="52"/>
          <w:szCs w:val="52"/>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ind w:firstLine="640" w:firstLineChars="200"/>
        <w:jc w:val="both"/>
        <w:outlineLvl w:val="0"/>
        <w:rPr>
          <w:rFonts w:hint="eastAsia" w:ascii="方正小标宋简体" w:hAnsi="宋体" w:eastAsia="方正小标宋简体"/>
          <w:b w:val="0"/>
          <w:bCs w:val="0"/>
          <w:color w:val="000000"/>
          <w:sz w:val="32"/>
          <w:szCs w:val="32"/>
          <w:lang w:eastAsia="zh-CN"/>
        </w:rPr>
      </w:pPr>
      <w:r>
        <w:rPr>
          <w:rFonts w:hint="eastAsia" w:ascii="方正小标宋简体" w:hAnsi="宋体" w:eastAsia="方正小标宋简体"/>
          <w:b w:val="0"/>
          <w:bCs w:val="0"/>
          <w:color w:val="000000"/>
          <w:sz w:val="32"/>
          <w:szCs w:val="32"/>
          <w:lang w:eastAsia="zh-CN"/>
        </w:rPr>
        <w:t>保密审查情况：</w:t>
      </w:r>
    </w:p>
    <w:p>
      <w:pPr>
        <w:adjustRightInd w:val="0"/>
        <w:snapToGrid w:val="0"/>
        <w:spacing w:line="360" w:lineRule="auto"/>
        <w:ind w:firstLine="640" w:firstLineChars="200"/>
        <w:jc w:val="both"/>
        <w:outlineLvl w:val="0"/>
        <w:rPr>
          <w:rFonts w:ascii="方正小标宋简体" w:hAnsi="宋体" w:eastAsia="方正小标宋简体"/>
          <w:color w:val="000000"/>
          <w:sz w:val="36"/>
          <w:szCs w:val="36"/>
        </w:rPr>
      </w:pPr>
      <w:r>
        <w:rPr>
          <w:rFonts w:hint="eastAsia" w:ascii="方正小标宋简体" w:hAnsi="宋体" w:eastAsia="方正小标宋简体"/>
          <w:b w:val="0"/>
          <w:bCs w:val="0"/>
          <w:color w:val="000000"/>
          <w:sz w:val="32"/>
          <w:szCs w:val="32"/>
          <w:lang w:eastAsia="zh-CN"/>
        </w:rPr>
        <w:t>部门主要负责人审签情况：</w:t>
      </w:r>
      <w:r>
        <w:rPr>
          <w:rFonts w:ascii="方正小标宋简体" w:hAnsi="宋体" w:eastAsia="方正小标宋简体"/>
          <w:color w:val="000000"/>
          <w:sz w:val="36"/>
          <w:szCs w:val="36"/>
        </w:rPr>
        <w:br w:type="page"/>
      </w: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hint="default" w:ascii="黑体" w:hAnsi="黑体" w:eastAsia="黑体"/>
          <w:color w:val="000000"/>
          <w:sz w:val="48"/>
          <w:szCs w:val="48"/>
          <w:lang w:val="en-US" w:eastAsia="zh-CN"/>
        </w:rPr>
      </w:pPr>
      <w:r>
        <w:rPr>
          <w:rFonts w:hint="eastAsia" w:ascii="黑体" w:hAnsi="黑体" w:eastAsia="黑体"/>
          <w:color w:val="000000"/>
          <w:sz w:val="44"/>
          <w:szCs w:val="44"/>
        </w:rPr>
        <w:t>目</w:t>
      </w: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录</w:t>
      </w:r>
    </w:p>
    <w:p>
      <w:pPr>
        <w:widowControl/>
        <w:jc w:val="cente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"_Toc15396599"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fldChar w:fldCharType="end"/>
      </w:r>
    </w:p>
    <w:p>
      <w:pPr>
        <w:pStyle w:val="1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"_Toc15396602"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第二部分 201</w:t>
      </w:r>
      <w:r>
        <w:rPr>
          <w:rStyle w:val="15"/>
          <w:rFonts w:hint="eastAsia" w:ascii="仿宋_GB2312" w:hAnsi="仿宋_GB2312" w:eastAsia="仿宋_GB2312" w:cs="仿宋_GB2312"/>
          <w:sz w:val="32"/>
          <w:szCs w:val="32"/>
          <w:lang w:val="en-US" w:eastAsia="zh-CN"/>
        </w:rPr>
        <w:t>9</w:t>
      </w:r>
      <w:r>
        <w:rPr>
          <w:rStyle w:val="15"/>
          <w:rFonts w:hint="eastAsia" w:ascii="仿宋_GB2312" w:hAnsi="仿宋_GB2312" w:eastAsia="仿宋_GB2312" w:cs="仿宋_GB2312"/>
          <w:sz w:val="32"/>
          <w:szCs w:val="32"/>
        </w:rPr>
        <w:t>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"_Toc15396603"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bCs/>
          <w:sz w:val="32"/>
          <w:szCs w:val="32"/>
        </w:rPr>
        <w:t>一、</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w:t>
      </w:r>
      <w:r>
        <w:rPr>
          <w:rStyle w:val="15"/>
          <w:rFonts w:hint="eastAsia" w:ascii="仿宋_GB2312" w:hAnsi="仿宋_GB2312" w:eastAsia="仿宋_GB2312" w:cs="仿宋_GB2312"/>
          <w:bCs/>
          <w:sz w:val="32"/>
          <w:szCs w:val="32"/>
          <w:lang w:eastAsia="zh-CN"/>
        </w:rPr>
        <w:t>支出</w:t>
      </w:r>
      <w:r>
        <w:rPr>
          <w:rStyle w:val="15"/>
          <w:rFonts w:hint="eastAsia" w:ascii="仿宋_GB2312" w:hAnsi="仿宋_GB2312" w:eastAsia="仿宋_GB2312" w:cs="仿宋_GB2312"/>
          <w:bCs/>
          <w:sz w:val="32"/>
          <w:szCs w:val="32"/>
        </w:rPr>
        <w:t>决算</w:t>
      </w:r>
      <w:r>
        <w:rPr>
          <w:rStyle w:val="15"/>
          <w:rFonts w:hint="eastAsia" w:ascii="仿宋_GB2312" w:hAnsi="仿宋_GB2312" w:eastAsia="仿宋_GB2312" w:cs="仿宋_GB2312"/>
          <w:bCs/>
          <w:sz w:val="32"/>
          <w:szCs w:val="32"/>
          <w:lang w:eastAsia="zh-CN"/>
        </w:rPr>
        <w:t>总体</w:t>
      </w:r>
      <w:r>
        <w:rPr>
          <w:rStyle w:val="15"/>
          <w:rFonts w:hint="eastAsia" w:ascii="仿宋_GB2312" w:hAnsi="仿宋_GB2312" w:eastAsia="仿宋_GB2312" w:cs="仿宋_GB2312"/>
          <w:bCs/>
          <w:sz w:val="32"/>
          <w:szCs w:val="32"/>
        </w:rPr>
        <w:t>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bCs/>
          <w:sz w:val="32"/>
          <w:szCs w:val="32"/>
        </w:rPr>
        <w:t>二、</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"_Toc15396605"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bCs/>
          <w:sz w:val="32"/>
          <w:szCs w:val="32"/>
        </w:rPr>
        <w:t>三、</w:t>
      </w:r>
      <w:r>
        <w:rPr>
          <w:rStyle w:val="15"/>
          <w:rFonts w:hint="eastAsia" w:ascii="仿宋_GB2312" w:hAnsi="仿宋_GB2312" w:eastAsia="仿宋_GB2312" w:cs="仿宋_GB2312"/>
          <w:sz w:val="32"/>
          <w:szCs w:val="32"/>
        </w:rPr>
        <w:t>支</w:t>
      </w:r>
      <w:r>
        <w:rPr>
          <w:rStyle w:val="15"/>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"_Toc15396606"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四、财</w:t>
      </w:r>
      <w:r>
        <w:rPr>
          <w:rStyle w:val="15"/>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"_Toc15396607"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五、一</w:t>
      </w:r>
      <w:r>
        <w:rPr>
          <w:rStyle w:val="15"/>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六、一</w:t>
      </w:r>
      <w:r>
        <w:rPr>
          <w:rStyle w:val="15"/>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1"/>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"_Toc15396609"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七、“</w:t>
      </w:r>
      <w:r>
        <w:rPr>
          <w:rStyle w:val="15"/>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fldChar w:fldCharType="end"/>
      </w:r>
    </w:p>
    <w:p>
      <w:pPr>
        <w:pStyle w:val="11"/>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八、</w:t>
      </w:r>
      <w:r>
        <w:rPr>
          <w:rStyle w:val="15"/>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1"/>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bCs/>
          <w:sz w:val="32"/>
          <w:szCs w:val="32"/>
        </w:rPr>
        <w:t>九、</w:t>
      </w:r>
      <w:r>
        <w:rPr>
          <w:rStyle w:val="15"/>
          <w:rFonts w:hint="eastAsia" w:ascii="仿宋_GB2312" w:hAnsi="仿宋_GB2312" w:eastAsia="仿宋_GB2312" w:cs="仿宋_GB2312"/>
          <w:sz w:val="32"/>
          <w:szCs w:val="32"/>
        </w:rPr>
        <w:t>国</w:t>
      </w:r>
      <w:r>
        <w:rPr>
          <w:rStyle w:val="15"/>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1"/>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bidi="ar"/>
        </w:rPr>
        <w:t>十、其他重要事项的情况说明</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1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"_Toc15396613"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bCs/>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pPr>
        <w:pStyle w:val="1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zh-CN"/>
        </w:rPr>
        <w:t>茂县政协办公室部门</w:t>
      </w:r>
      <w:r>
        <w:rPr>
          <w:rFonts w:hint="eastAsia" w:ascii="仿宋_GB2312" w:hAnsi="仿宋_GB2312" w:eastAsia="仿宋_GB2312" w:cs="仿宋_GB2312"/>
          <w:sz w:val="32"/>
          <w:szCs w:val="32"/>
        </w:rPr>
        <w:t>2019年部门</w:t>
      </w:r>
      <w:r>
        <w:rPr>
          <w:rFonts w:hint="eastAsia" w:ascii="仿宋_GB2312" w:hAnsi="仿宋_GB2312" w:eastAsia="仿宋_GB2312" w:cs="仿宋_GB2312"/>
          <w:sz w:val="32"/>
          <w:szCs w:val="32"/>
          <w:lang w:val="zh-CN"/>
        </w:rPr>
        <w:t>整体支出绩效评价报告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pPr>
        <w:pStyle w:val="1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"_Toc15396619"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收入</w:t>
      </w:r>
      <w:r>
        <w:rPr>
          <w:rStyle w:val="15"/>
          <w:rFonts w:hint="eastAsia" w:ascii="仿宋_GB2312" w:hAnsi="仿宋_GB2312" w:eastAsia="仿宋_GB2312" w:cs="仿宋_GB2312"/>
          <w:sz w:val="32"/>
          <w:szCs w:val="32"/>
          <w:lang w:eastAsia="zh-CN"/>
        </w:rPr>
        <w:t>决算</w:t>
      </w:r>
      <w:r>
        <w:rPr>
          <w:rStyle w:val="15"/>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支出</w:t>
      </w:r>
      <w:r>
        <w:rPr>
          <w:rStyle w:val="15"/>
          <w:rFonts w:hint="eastAsia" w:ascii="仿宋_GB2312" w:hAnsi="仿宋_GB2312" w:eastAsia="仿宋_GB2312" w:cs="仿宋_GB2312"/>
          <w:sz w:val="32"/>
          <w:szCs w:val="32"/>
          <w:lang w:eastAsia="zh-CN"/>
        </w:rPr>
        <w:t>决算</w:t>
      </w:r>
      <w:r>
        <w:rPr>
          <w:rStyle w:val="15"/>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"_Toc15396622"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"_Toc15396624"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"_Toc15396625"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"_Toc15396626"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"_Toc15396627"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"_Toc15396628"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"_Toc15396629"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"_Toc15396630"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11"/>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"_Toc15396631" </w:instrText>
      </w:r>
      <w:r>
        <w:rPr>
          <w:rFonts w:hint="eastAsia" w:ascii="仿宋_GB2312" w:hAnsi="仿宋_GB2312" w:eastAsia="仿宋_GB2312" w:cs="仿宋_GB2312"/>
          <w:sz w:val="32"/>
          <w:szCs w:val="32"/>
        </w:rP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ind w:firstLine="1280" w:firstLineChars="400"/>
        <w:jc w:val="left"/>
        <w:rPr>
          <w:rFonts w:ascii="仿宋_GB2312" w:hAnsi="仿宋_GB2312" w:eastAsia="仿宋_GB2312" w:cs="仿宋_GB2312"/>
          <w:sz w:val="32"/>
          <w:szCs w:val="32"/>
        </w:rPr>
      </w:pPr>
      <w:bookmarkStart w:id="12" w:name="_Toc15396599"/>
      <w:bookmarkStart w:id="13" w:name="_Toc15377196"/>
    </w:p>
    <w:p>
      <w:pPr>
        <w:widowControl/>
        <w:jc w:val="left"/>
        <w:rPr>
          <w:rFonts w:ascii="仿宋_GB2312" w:hAnsi="仿宋_GB2312" w:eastAsia="仿宋_GB2312" w:cs="仿宋_GB2312"/>
          <w:bCs/>
          <w:kern w:val="44"/>
          <w:sz w:val="32"/>
          <w:szCs w:val="32"/>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adjustRightInd w:val="0"/>
        <w:snapToGrid w:val="0"/>
        <w:spacing w:line="360" w:lineRule="auto"/>
        <w:jc w:val="both"/>
        <w:outlineLvl w:val="0"/>
        <w:rPr>
          <w:rFonts w:hint="eastAsia" w:ascii="黑体" w:hAnsi="黑体" w:eastAsia="黑体"/>
          <w:sz w:val="44"/>
          <w:szCs w:val="44"/>
        </w:rPr>
      </w:pPr>
    </w:p>
    <w:bookmarkEnd w:id="12"/>
    <w:bookmarkEnd w:id="13"/>
    <w:p>
      <w:pPr>
        <w:pStyle w:val="2"/>
        <w:jc w:val="center"/>
        <w:rPr>
          <w:rFonts w:hint="eastAsia" w:ascii="黑体" w:hAnsi="黑体" w:eastAsia="黑体"/>
          <w:b w:val="0"/>
        </w:rPr>
      </w:pP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9"/>
          <w:rFonts w:hint="eastAsia" w:ascii="黑体" w:hAnsi="黑体" w:eastAsia="黑体"/>
          <w:b w:val="0"/>
          <w:bCs w:val="0"/>
        </w:rPr>
        <w:t>部门概况</w:t>
      </w:r>
    </w:p>
    <w:p>
      <w:pPr>
        <w:pStyle w:val="3"/>
        <w:ind w:firstLine="640" w:firstLineChars="200"/>
        <w:rPr>
          <w:rStyle w:val="30"/>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42" w:firstLineChars="200"/>
        <w:outlineLvl w:val="2"/>
        <w:rPr>
          <w:rFonts w:hint="eastAsia" w:ascii="楷体" w:hAnsi="楷体" w:eastAsia="楷体" w:cs="楷体"/>
          <w:b/>
          <w:bCs w:val="0"/>
          <w:color w:val="000000"/>
          <w:sz w:val="32"/>
          <w:szCs w:val="32"/>
        </w:rPr>
      </w:pPr>
      <w:bookmarkStart w:id="16" w:name="_Toc15378445"/>
      <w:bookmarkStart w:id="17" w:name="_Toc15377198"/>
      <w:r>
        <w:rPr>
          <w:rFonts w:hint="eastAsia" w:ascii="楷体" w:hAnsi="楷体" w:eastAsia="楷体" w:cs="楷体"/>
          <w:b/>
          <w:bCs w:val="0"/>
          <w:color w:val="000000"/>
          <w:sz w:val="32"/>
          <w:szCs w:val="32"/>
        </w:rPr>
        <w:t>（一）主要职能</w:t>
      </w:r>
      <w:bookmarkEnd w:id="16"/>
      <w:bookmarkEnd w:id="17"/>
    </w:p>
    <w:p>
      <w:pPr>
        <w:widowControl/>
        <w:spacing w:line="600" w:lineRule="exact"/>
        <w:ind w:firstLine="800" w:firstLineChars="250"/>
        <w:jc w:val="left"/>
        <w:rPr>
          <w:rFonts w:hint="eastAsia" w:ascii="仿宋" w:hAnsi="仿宋" w:eastAsia="仿宋"/>
          <w:bCs/>
          <w:color w:val="000000"/>
          <w:sz w:val="32"/>
          <w:szCs w:val="32"/>
        </w:rPr>
      </w:pPr>
      <w:r>
        <w:rPr>
          <w:rFonts w:hint="eastAsia" w:ascii="仿宋_GB2312" w:hAnsi="仿宋_GB2312" w:eastAsia="仿宋_GB2312" w:cs="仿宋_GB2312"/>
          <w:kern w:val="2"/>
          <w:sz w:val="32"/>
          <w:szCs w:val="32"/>
          <w:lang w:val="en-US" w:eastAsia="zh-CN"/>
        </w:rPr>
        <w:t>政治协商、民主监督、参政议政。</w:t>
      </w:r>
    </w:p>
    <w:p>
      <w:pPr>
        <w:pStyle w:val="5"/>
        <w:adjustRightInd w:val="0"/>
        <w:snapToGrid w:val="0"/>
        <w:spacing w:before="93" w:line="600" w:lineRule="exact"/>
        <w:ind w:firstLine="674" w:firstLineChars="210"/>
        <w:outlineLvl w:val="2"/>
        <w:rPr>
          <w:rFonts w:hint="eastAsia" w:ascii="楷体_GB2312" w:hAnsi="楷体_GB2312" w:eastAsia="楷体_GB2312" w:cs="楷体_GB2312"/>
          <w:b/>
          <w:bCs w:val="0"/>
          <w:color w:val="000000"/>
          <w:sz w:val="32"/>
          <w:szCs w:val="32"/>
          <w:lang w:val="en-US" w:eastAsia="zh-CN"/>
        </w:rPr>
      </w:pPr>
      <w:bookmarkStart w:id="18" w:name="_Toc15378446"/>
      <w:bookmarkStart w:id="19" w:name="_Toc15377199"/>
      <w:r>
        <w:rPr>
          <w:rFonts w:hint="eastAsia" w:ascii="楷体_GB2312" w:hAnsi="楷体_GB2312" w:eastAsia="楷体_GB2312" w:cs="楷体_GB2312"/>
          <w:b/>
          <w:bCs w:val="0"/>
          <w:color w:val="000000"/>
          <w:sz w:val="32"/>
          <w:szCs w:val="32"/>
        </w:rPr>
        <w:t>（二）2019年重点工作完成情况</w:t>
      </w:r>
      <w:bookmarkEnd w:id="18"/>
      <w:bookmarkEnd w:id="19"/>
    </w:p>
    <w:p>
      <w:pPr>
        <w:spacing w:line="560" w:lineRule="exact"/>
        <w:ind w:firstLine="640" w:firstLineChars="200"/>
        <w:rPr>
          <w:rFonts w:hint="eastAsia" w:ascii="仿宋" w:hAnsi="仿宋" w:eastAsia="仿宋"/>
          <w:bCs/>
          <w:color w:val="000000"/>
          <w:sz w:val="32"/>
          <w:szCs w:val="32"/>
          <w:lang w:val="en-US" w:eastAsia="zh-CN"/>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茂县政协办公室</w:t>
      </w:r>
      <w:r>
        <w:rPr>
          <w:rFonts w:hint="eastAsia" w:ascii="仿宋_GB2312" w:hAnsi="仿宋_GB2312" w:eastAsia="仿宋_GB2312" w:cs="仿宋_GB2312"/>
          <w:sz w:val="32"/>
          <w:szCs w:val="32"/>
        </w:rPr>
        <w:t>在县委的坚强领导下,以习近平新时代中国特色社会主义思想为引领，深入学习贯彻党的十九大及十九大二中、三中全会精神，</w:t>
      </w:r>
      <w:r>
        <w:rPr>
          <w:rFonts w:hint="eastAsia" w:ascii="仿宋_GB2312" w:hAnsi="仿宋_GB2312" w:eastAsia="仿宋_GB2312" w:cs="仿宋_GB2312"/>
          <w:spacing w:val="-3"/>
          <w:sz w:val="32"/>
          <w:szCs w:val="32"/>
        </w:rPr>
        <w:t>贯彻落实</w:t>
      </w:r>
      <w:r>
        <w:rPr>
          <w:rFonts w:hint="eastAsia" w:ascii="仿宋_GB2312" w:hAnsi="仿宋_GB2312" w:eastAsia="仿宋_GB2312" w:cs="仿宋_GB2312"/>
          <w:sz w:val="32"/>
          <w:szCs w:val="32"/>
        </w:rPr>
        <w:t>省委十一届三次全会精神，立足实际、全面</w:t>
      </w:r>
      <w:r>
        <w:rPr>
          <w:rFonts w:hint="eastAsia" w:ascii="仿宋_GB2312" w:hAnsi="仿宋_GB2312" w:eastAsia="仿宋_GB2312" w:cs="仿宋_GB2312"/>
          <w:sz w:val="32"/>
          <w:szCs w:val="32"/>
          <w:lang w:eastAsia="zh-CN"/>
        </w:rPr>
        <w:t>履行政治协商、民主监督、参政议政职能</w:t>
      </w:r>
      <w:r>
        <w:rPr>
          <w:rFonts w:hint="eastAsia" w:ascii="仿宋_GB2312" w:hAnsi="仿宋_GB2312" w:eastAsia="仿宋_GB2312" w:cs="仿宋_GB2312"/>
          <w:sz w:val="32"/>
          <w:szCs w:val="32"/>
        </w:rPr>
        <w:t>，丰富载体、全力引导</w:t>
      </w:r>
      <w:r>
        <w:rPr>
          <w:rFonts w:hint="eastAsia" w:ascii="仿宋_GB2312" w:hAnsi="仿宋_GB2312" w:eastAsia="仿宋_GB2312" w:cs="仿宋_GB2312"/>
          <w:sz w:val="32"/>
          <w:szCs w:val="32"/>
          <w:lang w:eastAsia="zh-CN"/>
        </w:rPr>
        <w:t>政协委员</w:t>
      </w:r>
      <w:r>
        <w:rPr>
          <w:rFonts w:hint="eastAsia" w:ascii="仿宋_GB2312" w:hAnsi="仿宋_GB2312" w:eastAsia="仿宋_GB2312" w:cs="仿宋_GB2312"/>
          <w:sz w:val="32"/>
          <w:szCs w:val="32"/>
        </w:rPr>
        <w:t>，围绕</w:t>
      </w:r>
      <w:bookmarkStart w:id="73" w:name="_GoBack"/>
      <w:bookmarkEnd w:id="73"/>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中心</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、全心助力脱贫攻坚，奋力书写</w:t>
      </w:r>
      <w:r>
        <w:rPr>
          <w:rFonts w:hint="eastAsia" w:ascii="仿宋_GB2312" w:hAnsi="仿宋_GB2312" w:eastAsia="仿宋_GB2312" w:cs="仿宋_GB2312"/>
          <w:sz w:val="32"/>
          <w:szCs w:val="32"/>
          <w:lang w:eastAsia="zh-CN"/>
        </w:rPr>
        <w:t>人民政协</w:t>
      </w:r>
      <w:r>
        <w:rPr>
          <w:rFonts w:hint="eastAsia" w:ascii="仿宋_GB2312" w:hAnsi="仿宋_GB2312" w:eastAsia="仿宋_GB2312" w:cs="仿宋_GB2312"/>
          <w:sz w:val="32"/>
          <w:szCs w:val="32"/>
        </w:rPr>
        <w:t>新篇章，积极为茂县跨越发展贡献力量</w:t>
      </w:r>
      <w:r>
        <w:rPr>
          <w:rFonts w:hint="eastAsia" w:ascii="仿宋_GB2312" w:hAnsi="仿宋_GB2312" w:eastAsia="仿宋_GB2312" w:cs="仿宋_GB2312"/>
          <w:sz w:val="32"/>
          <w:szCs w:val="32"/>
          <w:lang w:eastAsia="zh-CN"/>
        </w:rPr>
        <w:t>，为茂县的各项事业做出积极贡献。</w:t>
      </w:r>
    </w:p>
    <w:p>
      <w:pPr>
        <w:pStyle w:val="3"/>
        <w:ind w:firstLine="640" w:firstLineChars="200"/>
        <w:rPr>
          <w:rStyle w:val="30"/>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0"/>
      <w:bookmarkEnd w:id="21"/>
    </w:p>
    <w:p>
      <w:pPr>
        <w:ind w:firstLine="640" w:firstLineChars="200"/>
        <w:rPr>
          <w:rFonts w:hint="eastAsia" w:ascii="仿宋" w:hAnsi="仿宋" w:eastAsia="仿宋"/>
          <w:sz w:val="32"/>
          <w:szCs w:val="32"/>
        </w:rPr>
      </w:pPr>
      <w:r>
        <w:rPr>
          <w:rFonts w:hint="eastAsia" w:ascii="仿宋" w:hAnsi="仿宋" w:eastAsia="仿宋"/>
          <w:sz w:val="32"/>
          <w:szCs w:val="32"/>
          <w:lang w:eastAsia="zh-CN"/>
        </w:rPr>
        <w:t>茂县政协办</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0</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茂县政协办</w:t>
      </w:r>
      <w:r>
        <w:rPr>
          <w:rFonts w:hint="eastAsia" w:ascii="仿宋" w:hAnsi="仿宋" w:eastAsia="仿宋"/>
          <w:color w:val="000000"/>
          <w:sz w:val="32"/>
          <w:szCs w:val="32"/>
        </w:rPr>
        <w:t>2019年度部门决算编制范围的二级预算单位包括：</w:t>
      </w:r>
      <w:r>
        <w:rPr>
          <w:rFonts w:hint="eastAsia" w:ascii="仿宋" w:hAnsi="仿宋" w:eastAsia="仿宋"/>
          <w:color w:val="000000"/>
          <w:sz w:val="32"/>
          <w:szCs w:val="32"/>
          <w:lang w:eastAsia="zh-CN"/>
        </w:rPr>
        <w:t>无。</w:t>
      </w:r>
    </w:p>
    <w:p>
      <w:pPr>
        <w:widowControl/>
        <w:jc w:val="left"/>
        <w:rPr>
          <w:rFonts w:hint="eastAsia" w:ascii="黑体" w:hAnsi="黑体" w:eastAsia="黑体"/>
          <w:b w:val="0"/>
          <w:color w:val="000000"/>
        </w:rPr>
      </w:pPr>
      <w:r>
        <w:rPr>
          <w:rFonts w:ascii="仿宋" w:hAnsi="仿宋" w:eastAsia="仿宋"/>
          <w:color w:val="000000"/>
          <w:sz w:val="32"/>
          <w:szCs w:val="32"/>
        </w:rPr>
        <w:br w:type="page"/>
      </w:r>
      <w:bookmarkStart w:id="22" w:name="_Toc15396602"/>
      <w:bookmarkStart w:id="23" w:name="_Toc15377204"/>
    </w:p>
    <w:p>
      <w:pPr>
        <w:pStyle w:val="2"/>
        <w:ind w:right="440"/>
        <w:jc w:val="right"/>
        <w:rPr>
          <w:rStyle w:val="29"/>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2019年度部门决算情况说明</w:t>
      </w:r>
      <w:bookmarkEnd w:id="22"/>
      <w:bookmarkEnd w:id="23"/>
    </w:p>
    <w:p/>
    <w:p>
      <w:pPr>
        <w:pStyle w:val="31"/>
        <w:numPr>
          <w:ilvl w:val="0"/>
          <w:numId w:val="1"/>
        </w:numPr>
        <w:spacing w:line="600" w:lineRule="exact"/>
        <w:ind w:firstLineChars="0"/>
        <w:outlineLvl w:val="1"/>
        <w:rPr>
          <w:rStyle w:val="30"/>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966.28</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116.13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13.66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hAnsi="仿宋_GB2312" w:eastAsia="仿宋_GB2312" w:cs="仿宋_GB2312"/>
          <w:color w:val="000000"/>
          <w:sz w:val="32"/>
          <w:szCs w:val="32"/>
        </w:rPr>
        <w:t>主要变动原因是职工</w:t>
      </w:r>
      <w:r>
        <w:rPr>
          <w:rFonts w:hint="eastAsia" w:ascii="仿宋_GB2312" w:hAnsi="仿宋_GB2312" w:eastAsia="仿宋_GB2312" w:cs="仿宋_GB2312"/>
          <w:color w:val="000000"/>
          <w:sz w:val="32"/>
          <w:szCs w:val="32"/>
          <w:lang w:eastAsia="zh-CN"/>
        </w:rPr>
        <w:t>人员增加、职工</w:t>
      </w:r>
      <w:r>
        <w:rPr>
          <w:rFonts w:hint="eastAsia" w:ascii="仿宋_GB2312" w:hAnsi="仿宋_GB2312" w:eastAsia="仿宋_GB2312" w:cs="仿宋_GB2312"/>
          <w:color w:val="000000"/>
          <w:sz w:val="32"/>
          <w:szCs w:val="32"/>
        </w:rPr>
        <w:t>工资调标和住房公积金调标。</w:t>
      </w:r>
    </w:p>
    <w:p>
      <w:pPr>
        <w:spacing w:line="600" w:lineRule="exact"/>
        <w:ind w:firstLine="420" w:firstLineChars="200"/>
        <w:rPr>
          <w:rFonts w:ascii="仿宋" w:hAnsi="仿宋" w:eastAsia="仿宋"/>
          <w:color w:val="000000"/>
          <w:sz w:val="32"/>
          <w:szCs w:val="32"/>
        </w:rPr>
      </w:pPr>
      <w:r>
        <w:pict>
          <v:shape id="_x0000_s1041" o:spid="_x0000_s1041" o:spt="75" type="#_x0000_t75" style="position:absolute;left:0pt;margin-left:33.4pt;margin-top:9.05pt;height:158.4pt;width:335.7pt;mso-wrap-distance-bottom:0pt;mso-wrap-distance-left:9pt;mso-wrap-distance-right:9pt;mso-wrap-distance-top:0pt;z-index:251659264;mso-width-relative:page;mso-height-relative:page;" o:ole="t" filled="f" o:preferrelative="t" stroked="f" coordsize="21600,21600">
            <v:path/>
            <v:fill on="f" focussize="0,0"/>
            <v:stroke on="f"/>
            <v:imagedata r:id="rId7" o:title=""/>
            <o:lock v:ext="edit" aspectratio="t"/>
            <w10:wrap type="square"/>
          </v:shape>
          <o:OLEObject Type="Embed" ProgID="MSGraph.Chart.8" ShapeID="_x0000_s1041" DrawAspect="Content" ObjectID="_1468075725" r:id="rId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31"/>
        <w:numPr>
          <w:ilvl w:val="0"/>
          <w:numId w:val="1"/>
        </w:numPr>
        <w:spacing w:line="600" w:lineRule="exact"/>
        <w:ind w:firstLineChars="0"/>
        <w:outlineLvl w:val="1"/>
        <w:rPr>
          <w:rStyle w:val="3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pPr>
        <w:spacing w:line="600" w:lineRule="exact"/>
        <w:ind w:firstLine="420" w:firstLineChars="200"/>
        <w:outlineLvl w:val="1"/>
        <w:rPr>
          <w:rFonts w:ascii="仿宋" w:hAnsi="仿宋" w:eastAsia="仿宋"/>
          <w:color w:val="000000"/>
          <w:sz w:val="32"/>
          <w:szCs w:val="32"/>
        </w:rPr>
      </w:pPr>
      <w:r>
        <w:rPr>
          <w:rFonts w:ascii="仿宋_GB2312" w:hAnsi="仿宋_GB2312" w:eastAsia="仿宋_GB2312" w:cs="仿宋_GB2312"/>
        </w:rPr>
        <w:pict>
          <v:shape id="_x0000_s1042" o:spid="_x0000_s1042" o:spt="75" type="#_x0000_t75" style="position:absolute;left:0pt;margin-left:32.85pt;margin-top:135.4pt;height:119.1pt;width:322pt;mso-wrap-distance-bottom:0pt;mso-wrap-distance-top:0pt;z-index:251661312;mso-width-relative:page;mso-height-relative:page;" o:ole="t" filled="f" o:preferrelative="t" stroked="f" coordsize="21600,21600">
            <v:path/>
            <v:fill on="f" focussize="0,0"/>
            <v:stroke on="f"/>
            <v:imagedata r:id="rId9" o:title=""/>
            <o:lock v:ext="edit" aspectratio="t"/>
            <w10:wrap type="topAndBottom"/>
          </v:shape>
          <o:OLEObject Type="Embed" ProgID="MSGraph.Chart.8" ShapeID="_x0000_s1042" DrawAspect="Content" ObjectID="_1468075726" r:id="rId8">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966.28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966.28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ind w:firstLine="960" w:firstLineChars="3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31"/>
        <w:numPr>
          <w:ilvl w:val="0"/>
          <w:numId w:val="1"/>
        </w:numPr>
        <w:spacing w:line="600" w:lineRule="exact"/>
        <w:ind w:firstLineChars="0"/>
        <w:outlineLvl w:val="1"/>
        <w:rPr>
          <w:rStyle w:val="30"/>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pPr>
        <w:spacing w:line="600" w:lineRule="exact"/>
        <w:ind w:firstLine="640" w:firstLineChars="200"/>
        <w:outlineLvl w:val="1"/>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923.84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855.38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92.59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68.45</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,占7.41%</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p>
    <w:p>
      <w:pPr>
        <w:spacing w:line="600" w:lineRule="exact"/>
        <w:ind w:firstLine="420" w:firstLineChars="200"/>
        <w:outlineLvl w:val="1"/>
        <w:rPr>
          <w:rFonts w:ascii="仿宋" w:hAnsi="仿宋" w:eastAsia="仿宋"/>
          <w:color w:val="000000"/>
          <w:sz w:val="32"/>
          <w:szCs w:val="32"/>
        </w:rPr>
      </w:pPr>
      <w:r>
        <w:pict>
          <v:shape id="_x0000_s1043" o:spid="_x0000_s1043" o:spt="75" type="#_x0000_t75" style="position:absolute;left:0pt;margin-left:46.15pt;margin-top:15.95pt;height:146.65pt;width:320.8pt;mso-wrap-distance-bottom:0pt;mso-wrap-distance-left:9pt;mso-wrap-distance-right:9pt;mso-wrap-distance-top:0pt;z-index:251660288;mso-width-relative:page;mso-height-relative:page;" o:ole="t" filled="f" o:preferrelative="t" stroked="f" coordsize="21600,21600">
            <v:path/>
            <v:fill on="f" focussize="0,0"/>
            <v:stroke on="f"/>
            <v:imagedata r:id="rId11" o:title=""/>
            <o:lock v:ext="edit" aspectratio="t"/>
            <w10:wrap type="square"/>
          </v:shape>
          <o:OLEObject Type="Embed" ProgID="MSGraph.Chart.8" ShapeID="_x0000_s1043" DrawAspect="Content" ObjectID="_1468075727" r:id="rId10">
            <o:LockedField>false</o:LockedField>
          </o:OLEObject>
        </w:pic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30"/>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pPr>
        <w:spacing w:line="600" w:lineRule="exact"/>
        <w:ind w:firstLine="640"/>
        <w:rPr>
          <w:rFonts w:hint="eastAsia" w:ascii="仿宋_GB2312" w:hAnsi="仿宋_GB2312" w:eastAsia="仿宋_GB2312" w:cs="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lang w:val="en-US" w:eastAsia="zh-CN"/>
        </w:rPr>
        <w:t>966.28万元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923.84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116.13万元。</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职工</w:t>
      </w:r>
      <w:r>
        <w:rPr>
          <w:rFonts w:hint="eastAsia" w:ascii="仿宋_GB2312" w:hAnsi="仿宋_GB2312" w:eastAsia="仿宋_GB2312" w:cs="仿宋_GB2312"/>
          <w:color w:val="000000"/>
          <w:sz w:val="32"/>
          <w:szCs w:val="32"/>
          <w:lang w:eastAsia="zh-CN"/>
        </w:rPr>
        <w:t>人员增加、职工</w:t>
      </w:r>
      <w:r>
        <w:rPr>
          <w:rFonts w:hint="eastAsia" w:ascii="仿宋_GB2312" w:hAnsi="仿宋_GB2312" w:eastAsia="仿宋_GB2312" w:cs="仿宋_GB2312"/>
          <w:color w:val="000000"/>
          <w:sz w:val="32"/>
          <w:szCs w:val="32"/>
        </w:rPr>
        <w:t>工资调标和住房公积金调标。</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pict>
          <v:shape id="_x0000_s1044" o:spid="_x0000_s1044" o:spt="75" type="#_x0000_t75" style="position:absolute;left:0pt;margin-left:23.9pt;margin-top:12.35pt;height:162.05pt;width:314.65pt;mso-wrap-distance-bottom:0pt;mso-wrap-distance-top:0pt;z-index:251662336;mso-width-relative:page;mso-height-relative:page;" o:ole="t" filled="f" o:preferrelative="t" stroked="f" coordsize="21600,21600">
            <v:path/>
            <v:fill on="f" focussize="0,0"/>
            <v:stroke on="f"/>
            <v:imagedata r:id="rId13" o:title=""/>
            <o:lock v:ext="edit" aspectratio="t"/>
            <w10:wrap type="topAndBottom"/>
          </v:shape>
          <o:OLEObject Type="Embed" ProgID="MSGraph.Chart.8" ShapeID="_x0000_s1044" DrawAspect="Content" ObjectID="_1468075728" r:id="rId12">
            <o:LockedField>false</o:LockedField>
          </o:OLEObject>
        </w:pict>
      </w:r>
    </w:p>
    <w:p>
      <w:pPr>
        <w:spacing w:line="600" w:lineRule="exact"/>
        <w:rPr>
          <w:rFonts w:ascii="仿宋" w:hAnsi="仿宋" w:eastAsia="仿宋"/>
          <w:b/>
          <w:color w:val="00B050"/>
          <w:sz w:val="28"/>
          <w:szCs w:val="28"/>
        </w:rPr>
      </w:pPr>
      <w:r>
        <w:rPr>
          <w:rFonts w:hint="eastAsia" w:ascii="仿宋" w:hAnsi="仿宋" w:eastAsia="仿宋"/>
          <w:color w:val="000000" w:themeColor="text1"/>
          <w:sz w:val="28"/>
          <w:szCs w:val="28"/>
          <w14:textFill>
            <w14:solidFill>
              <w14:schemeClr w14:val="tx1"/>
            </w14:solidFill>
          </w14:textFill>
        </w:rPr>
        <w:t>（图4：财政拨款收、支决算总计变动情况）（柱状图）</w:t>
      </w:r>
    </w:p>
    <w:p>
      <w:pPr>
        <w:spacing w:line="600" w:lineRule="exact"/>
        <w:ind w:firstLine="640" w:firstLineChars="200"/>
        <w:outlineLvl w:val="1"/>
        <w:rPr>
          <w:rStyle w:val="3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pPr>
        <w:spacing w:line="600" w:lineRule="exact"/>
        <w:ind w:firstLine="642" w:firstLineChars="200"/>
        <w:outlineLvl w:val="2"/>
        <w:rPr>
          <w:rFonts w:hint="eastAsia" w:ascii="仿宋" w:hAnsi="仿宋" w:eastAsia="仿宋"/>
          <w:color w:val="000000" w:themeColor="text1"/>
          <w:sz w:val="32"/>
          <w:szCs w:val="32"/>
          <w14:textFill>
            <w14:solidFill>
              <w14:schemeClr w14:val="tx1"/>
            </w14:solidFill>
          </w14:textFill>
        </w:rPr>
      </w:pPr>
      <w:bookmarkStart w:id="34" w:name="_Toc15377210"/>
      <w:r>
        <w:rPr>
          <w:rFonts w:hint="eastAsia" w:ascii="楷体_GB2312" w:hAnsi="楷体_GB2312" w:eastAsia="楷体_GB2312" w:cs="楷体_GB2312"/>
          <w:b/>
          <w:color w:val="000000"/>
          <w:sz w:val="32"/>
          <w:szCs w:val="32"/>
        </w:rPr>
        <w:t>（一）一般公共预算财政拨款支出决算总体情况</w:t>
      </w:r>
      <w:bookmarkEnd w:id="34"/>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923.84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73.69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8.67</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职工</w:t>
      </w:r>
      <w:r>
        <w:rPr>
          <w:rFonts w:hint="eastAsia" w:ascii="仿宋_GB2312" w:hAnsi="仿宋_GB2312" w:eastAsia="仿宋_GB2312" w:cs="仿宋_GB2312"/>
          <w:color w:val="000000"/>
          <w:sz w:val="32"/>
          <w:szCs w:val="32"/>
          <w:lang w:eastAsia="zh-CN"/>
        </w:rPr>
        <w:t>人员增加、职工</w:t>
      </w:r>
      <w:r>
        <w:rPr>
          <w:rFonts w:hint="eastAsia" w:ascii="仿宋_GB2312" w:hAnsi="仿宋_GB2312" w:eastAsia="仿宋_GB2312" w:cs="仿宋_GB2312"/>
          <w:color w:val="000000"/>
          <w:sz w:val="32"/>
          <w:szCs w:val="32"/>
        </w:rPr>
        <w:t>工资调标和住房公积金调标。</w:t>
      </w:r>
    </w:p>
    <w:p>
      <w:pPr>
        <w:spacing w:line="600" w:lineRule="exact"/>
        <w:rPr>
          <w:rFonts w:hint="eastAsia" w:ascii="仿宋" w:hAnsi="仿宋" w:eastAsia="仿宋"/>
          <w:color w:val="000000" w:themeColor="text1"/>
          <w:sz w:val="32"/>
          <w:szCs w:val="32"/>
          <w14:textFill>
            <w14:solidFill>
              <w14:schemeClr w14:val="tx1"/>
            </w14:solidFill>
          </w14:textFill>
        </w:rPr>
      </w:pPr>
      <w:r>
        <w:rPr>
          <w:rFonts w:ascii="仿宋_GB2312" w:hAnsi="仿宋_GB2312" w:eastAsia="仿宋_GB2312" w:cs="仿宋_GB2312"/>
        </w:rPr>
        <w:pict>
          <v:shape id="_x0000_s1045" o:spid="_x0000_s1045" o:spt="75" type="#_x0000_t75" style="position:absolute;left:0pt;margin-left:54.25pt;margin-top:28.15pt;height:154.55pt;width:347.55pt;mso-wrap-distance-bottom:0pt;mso-wrap-distance-top:0pt;z-index:251663360;mso-width-relative:page;mso-height-relative:page;" o:ole="t" filled="f" o:preferrelative="t" stroked="f" coordsize="21600,21600">
            <v:path/>
            <v:fill on="f" focussize="0,0"/>
            <v:stroke on="f"/>
            <v:imagedata r:id="rId15" o:title=""/>
            <o:lock v:ext="edit" aspectratio="t"/>
            <w10:wrap type="topAndBottom"/>
          </v:shape>
          <o:OLEObject Type="Embed" ProgID="MSGraph.Chart.8" ShapeID="_x0000_s1045" DrawAspect="Content" ObjectID="_1468075729" r:id="rId14">
            <o:LockedField>false</o:LockedField>
          </o:OLEObject>
        </w:pict>
      </w:r>
    </w:p>
    <w:p>
      <w:pPr>
        <w:spacing w:line="6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（图5：一般公共预算财政拨款支出决算变动情况）（柱状图）</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spacing w:line="600" w:lineRule="exact"/>
        <w:ind w:firstLine="640"/>
        <w:rPr>
          <w:rFonts w:hint="eastAsia" w:ascii="仿宋" w:hAnsi="仿宋" w:eastAsia="仿宋"/>
          <w:b/>
          <w:color w:val="000000" w:themeColor="text1"/>
          <w:sz w:val="32"/>
          <w:szCs w:val="32"/>
          <w:lang w:eastAsia="zh-CN"/>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923.84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714.16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eastAsia="zh-CN"/>
          <w14:textFill>
            <w14:solidFill>
              <w14:schemeClr w14:val="tx1"/>
            </w14:solidFill>
          </w14:textFill>
        </w:rPr>
        <w:t>农林水</w:t>
      </w:r>
      <w:r>
        <w:rPr>
          <w:rFonts w:hint="eastAsia" w:ascii="仿宋" w:hAnsi="仿宋" w:eastAsia="仿宋"/>
          <w:b/>
          <w:bCs/>
          <w:color w:val="000000" w:themeColor="text1"/>
          <w:sz w:val="32"/>
          <w:szCs w:val="32"/>
          <w14:textFill>
            <w14:solidFill>
              <w14:schemeClr w14:val="tx1"/>
            </w14:solidFill>
          </w14:textFill>
        </w:rPr>
        <w:t>（类）</w:t>
      </w:r>
      <w:r>
        <w:rPr>
          <w:rFonts w:hint="eastAsia" w:ascii="仿宋" w:hAnsi="仿宋" w:eastAsia="仿宋"/>
          <w:b w:val="0"/>
          <w:bCs/>
          <w:color w:val="000000" w:themeColor="text1"/>
          <w:sz w:val="32"/>
          <w:szCs w:val="32"/>
          <w:lang w:eastAsia="zh-CN"/>
          <w14:textFill>
            <w14:solidFill>
              <w14:schemeClr w14:val="tx1"/>
            </w14:solidFill>
          </w14:textFill>
        </w:rPr>
        <w:t>支出</w:t>
      </w:r>
      <w:r>
        <w:rPr>
          <w:rFonts w:hint="eastAsia" w:ascii="仿宋" w:hAnsi="仿宋" w:eastAsia="仿宋"/>
          <w:b w:val="0"/>
          <w:bCs/>
          <w:color w:val="000000" w:themeColor="text1"/>
          <w:sz w:val="32"/>
          <w:szCs w:val="32"/>
          <w:lang w:val="en-US" w:eastAsia="zh-CN"/>
          <w14:textFill>
            <w14:solidFill>
              <w14:schemeClr w14:val="tx1"/>
            </w14:solidFill>
          </w14:textFill>
        </w:rPr>
        <w:t>2.64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0.29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94.54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46.17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66.33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7.18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lang w:val="en-US" w:eastAsia="zh-CN"/>
          <w14:textFill>
            <w14:solidFill>
              <w14:schemeClr w14:val="tx1"/>
            </w14:solidFill>
          </w14:textFill>
        </w:rPr>
      </w:pPr>
      <w:r>
        <w:pict>
          <v:shape id="_x0000_s1046" o:spid="_x0000_s1046" o:spt="75" type="#_x0000_t75" style="position:absolute;left:0pt;margin-left:19.3pt;margin-top:3.05pt;height:157.95pt;width:379.6pt;mso-wrap-distance-bottom:0pt;mso-wrap-distance-top:0pt;z-index:251664384;mso-width-relative:page;mso-height-relative:page;" o:ole="t" filled="f" o:preferrelative="t" stroked="f" coordsize="21600,21600">
            <v:path/>
            <v:fill on="f" focussize="0,0"/>
            <v:stroke on="f"/>
            <v:imagedata r:id="rId17" o:title=""/>
            <o:lock v:ext="edit" aspectratio="t"/>
            <w10:wrap type="topAndBottom"/>
          </v:shape>
          <o:OLEObject Type="Embed" ProgID="MSGraph.Chart.8" ShapeID="_x0000_s1046" DrawAspect="Content" ObjectID="_1468075730" r:id="rId16">
            <o:LockedField>false</o:LockedField>
          </o:OLEObject>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spacing w:line="600" w:lineRule="exact"/>
        <w:ind w:firstLine="640" w:firstLineChars="200"/>
        <w:outlineLvl w:val="2"/>
        <w:rPr>
          <w:rFonts w:ascii="仿宋" w:hAnsi="仿宋" w:eastAsia="仿宋"/>
          <w:b w:val="0"/>
          <w:bCs/>
          <w:color w:val="FF0000"/>
          <w:sz w:val="32"/>
          <w:szCs w:val="32"/>
        </w:rPr>
      </w:pPr>
      <w:bookmarkStart w:id="37" w:name="_Toc15377444"/>
      <w:bookmarkStart w:id="38" w:name="_Toc15378460"/>
      <w:bookmarkStart w:id="39" w:name="_Toc15377213"/>
      <w:r>
        <w:rPr>
          <w:rFonts w:hint="eastAsia" w:ascii="仿宋" w:hAnsi="仿宋" w:eastAsia="仿宋"/>
          <w:b w:val="0"/>
          <w:bCs/>
          <w:color w:val="000000" w:themeColor="text1"/>
          <w:sz w:val="32"/>
          <w:szCs w:val="32"/>
          <w14:textFill>
            <w14:solidFill>
              <w14:schemeClr w14:val="tx1"/>
            </w14:solidFill>
          </w14:textFill>
        </w:rPr>
        <w:t>2019年般公共预算支出决算数为</w:t>
      </w:r>
      <w:r>
        <w:rPr>
          <w:rFonts w:hint="eastAsia" w:ascii="仿宋" w:hAnsi="仿宋" w:eastAsia="仿宋"/>
          <w:b w:val="0"/>
          <w:bCs/>
          <w:color w:val="000000" w:themeColor="text1"/>
          <w:sz w:val="32"/>
          <w:szCs w:val="32"/>
          <w:lang w:val="en-US" w:eastAsia="zh-CN"/>
          <w14:textFill>
            <w14:solidFill>
              <w14:schemeClr w14:val="tx1"/>
            </w14:solidFill>
          </w14:textFill>
        </w:rPr>
        <w:t>923.84万元</w:t>
      </w:r>
      <w:r>
        <w:rPr>
          <w:rFonts w:hint="eastAsia" w:ascii="仿宋" w:hAnsi="仿宋" w:eastAsia="仿宋"/>
          <w:b w:val="0"/>
          <w:bCs/>
          <w:color w:val="000000" w:themeColor="text1"/>
          <w:sz w:val="32"/>
          <w:szCs w:val="32"/>
          <w14:textFill>
            <w14:solidFill>
              <w14:schemeClr w14:val="tx1"/>
            </w14:solidFill>
          </w14:textFill>
        </w:rPr>
        <w:t>，</w:t>
      </w:r>
      <w:r>
        <w:rPr>
          <w:rStyle w:val="14"/>
          <w:rFonts w:hint="eastAsia" w:ascii="仿宋" w:hAnsi="仿宋" w:eastAsia="仿宋"/>
          <w:b w:val="0"/>
          <w:bCs/>
          <w:color w:val="000000" w:themeColor="text1"/>
          <w:sz w:val="32"/>
          <w:szCs w:val="32"/>
          <w14:textFill>
            <w14:solidFill>
              <w14:schemeClr w14:val="tx1"/>
            </w14:solidFill>
          </w14:textFill>
        </w:rPr>
        <w:t>完成</w:t>
      </w:r>
      <w:r>
        <w:rPr>
          <w:rStyle w:val="14"/>
          <w:rFonts w:hint="eastAsia" w:ascii="仿宋" w:hAnsi="仿宋" w:eastAsia="仿宋"/>
          <w:b w:val="0"/>
          <w:bCs/>
          <w:color w:val="000000"/>
          <w:sz w:val="32"/>
          <w:szCs w:val="32"/>
        </w:rPr>
        <w:t>预算</w:t>
      </w:r>
      <w:r>
        <w:rPr>
          <w:rStyle w:val="14"/>
          <w:rFonts w:hint="eastAsia" w:ascii="仿宋" w:hAnsi="仿宋" w:eastAsia="仿宋"/>
          <w:b w:val="0"/>
          <w:bCs/>
          <w:color w:val="000000"/>
          <w:sz w:val="32"/>
          <w:szCs w:val="32"/>
          <w:lang w:val="en-US" w:eastAsia="zh-CN"/>
        </w:rPr>
        <w:t>95.60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。其中：</w:t>
      </w:r>
      <w:bookmarkEnd w:id="37"/>
      <w:bookmarkEnd w:id="38"/>
      <w:bookmarkEnd w:id="39"/>
    </w:p>
    <w:p>
      <w:pPr>
        <w:spacing w:line="600" w:lineRule="exact"/>
        <w:ind w:firstLine="642"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eastAsia="zh-CN"/>
        </w:rPr>
        <w:t>政协事务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行政运行</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648.34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97.19</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eastAsia="zh-CN"/>
        </w:rPr>
        <w:t>严格执行中央八项规定</w:t>
      </w:r>
      <w:r>
        <w:rPr>
          <w:rStyle w:val="14"/>
          <w:rFonts w:hint="eastAsia" w:ascii="仿宋" w:hAnsi="仿宋" w:eastAsia="仿宋"/>
          <w:b w:val="0"/>
          <w:bCs/>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rPr>
        <w:t>.住房保障支出（类）住房改革支出（款）住房公积金（项）：</w:t>
      </w:r>
      <w:r>
        <w:rPr>
          <w:rFonts w:hint="eastAsia" w:ascii="仿宋_GB2312" w:hAnsi="仿宋_GB2312" w:eastAsia="仿宋_GB2312" w:cs="仿宋_GB2312"/>
          <w:color w:val="000000"/>
          <w:sz w:val="32"/>
          <w:szCs w:val="32"/>
        </w:rPr>
        <w:t>支出决算为</w:t>
      </w:r>
      <w:r>
        <w:rPr>
          <w:rFonts w:hint="eastAsia" w:ascii="仿宋_GB2312" w:hAnsi="仿宋_GB2312" w:eastAsia="仿宋_GB2312" w:cs="仿宋_GB2312"/>
          <w:color w:val="000000"/>
          <w:sz w:val="32"/>
          <w:szCs w:val="32"/>
          <w:lang w:val="en-US" w:eastAsia="zh-CN"/>
        </w:rPr>
        <w:t>61.87</w:t>
      </w:r>
      <w:r>
        <w:rPr>
          <w:rFonts w:hint="eastAsia" w:ascii="仿宋_GB2312" w:hAnsi="仿宋_GB2312" w:eastAsia="仿宋_GB2312" w:cs="仿宋_GB2312"/>
          <w:color w:val="000000"/>
          <w:sz w:val="32"/>
          <w:szCs w:val="32"/>
        </w:rPr>
        <w:t>万元，完成预算100%，决算数等于预算数</w:t>
      </w:r>
      <w:r>
        <w:rPr>
          <w:rFonts w:hint="eastAsia" w:ascii="仿宋_GB2312" w:hAnsi="仿宋_GB2312" w:eastAsia="仿宋_GB2312" w:cs="仿宋_GB2312"/>
          <w:color w:val="000000"/>
          <w:sz w:val="32"/>
          <w:szCs w:val="32"/>
          <w:lang w:eastAsia="zh-CN"/>
        </w:rPr>
        <w:t>的主要原因是严格按预算执行</w:t>
      </w:r>
      <w:r>
        <w:rPr>
          <w:rFonts w:hint="eastAsia" w:ascii="仿宋_GB2312" w:hAnsi="仿宋_GB2312" w:eastAsia="仿宋_GB2312" w:cs="仿宋_GB2312"/>
          <w:color w:val="000000"/>
          <w:sz w:val="32"/>
          <w:szCs w:val="32"/>
        </w:rPr>
        <w:t>。</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hint="eastAsia" w:ascii="仿宋" w:hAnsi="仿宋" w:eastAsia="仿宋"/>
          <w:bCs/>
          <w:color w:val="000000"/>
          <w:sz w:val="32"/>
          <w:szCs w:val="32"/>
          <w:lang w:eastAsia="zh-CN"/>
        </w:rPr>
        <w:t>农林水支出</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eastAsia="zh-CN"/>
        </w:rPr>
        <w:t>扶贫</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其他扶贫</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严格按预算执行。</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4</w:t>
      </w:r>
      <w:r>
        <w:rPr>
          <w:rStyle w:val="14"/>
          <w:rFonts w:ascii="仿宋" w:hAnsi="仿宋" w:eastAsia="仿宋"/>
          <w:bCs/>
          <w:color w:val="000000"/>
          <w:sz w:val="32"/>
          <w:szCs w:val="32"/>
        </w:rPr>
        <w:t>.</w:t>
      </w:r>
      <w:r>
        <w:rPr>
          <w:rStyle w:val="14"/>
          <w:rFonts w:hint="eastAsia" w:ascii="仿宋_GB2312" w:hAnsi="仿宋_GB2312" w:eastAsia="仿宋_GB2312" w:cs="仿宋_GB2312"/>
          <w:bCs/>
          <w:color w:val="000000"/>
          <w:sz w:val="32"/>
          <w:szCs w:val="32"/>
        </w:rPr>
        <w:t>社会保障和就业（类）行政事业单位离退休（款）机关事业单位基本养老保险缴费（项）</w:t>
      </w:r>
      <w:r>
        <w:rPr>
          <w:rStyle w:val="14"/>
          <w:rFonts w:hint="eastAsia" w:ascii="仿宋_GB2312" w:hAnsi="仿宋_GB2312" w:eastAsia="仿宋_GB2312" w:cs="仿宋_GB2312"/>
          <w:bCs/>
          <w:color w:val="000000"/>
          <w:sz w:val="32"/>
          <w:szCs w:val="32"/>
          <w:lang w:eastAsia="zh-CN"/>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66.28</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严格按预算执行。</w:t>
      </w:r>
      <w:r>
        <w:rPr>
          <w:rStyle w:val="14"/>
          <w:rFonts w:hint="eastAsia" w:ascii="仿宋" w:hAnsi="仿宋" w:eastAsia="仿宋"/>
          <w:b w:val="0"/>
          <w:bCs/>
          <w:color w:val="000000"/>
          <w:sz w:val="32"/>
          <w:szCs w:val="32"/>
        </w:rPr>
        <w:t>。</w:t>
      </w:r>
    </w:p>
    <w:p>
      <w:pPr>
        <w:spacing w:line="600" w:lineRule="exact"/>
        <w:ind w:firstLine="642"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5</w:t>
      </w:r>
      <w:r>
        <w:rPr>
          <w:rStyle w:val="14"/>
          <w:rFonts w:ascii="仿宋" w:hAnsi="仿宋" w:eastAsia="仿宋"/>
          <w:bCs/>
          <w:color w:val="000000"/>
          <w:sz w:val="32"/>
          <w:szCs w:val="32"/>
        </w:rPr>
        <w:t>.</w:t>
      </w:r>
      <w:r>
        <w:rPr>
          <w:rStyle w:val="14"/>
          <w:rFonts w:hint="eastAsia" w:ascii="仿宋_GB2312" w:hAnsi="仿宋_GB2312" w:eastAsia="仿宋_GB2312" w:cs="仿宋_GB2312"/>
          <w:bCs/>
          <w:color w:val="000000"/>
          <w:sz w:val="32"/>
          <w:szCs w:val="32"/>
        </w:rPr>
        <w:t>医疗卫生与计划生育（类）行政事业单位医疗（款）政协单位医疗（项）:</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46.17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，决算数等于预算数的主要原因是</w:t>
      </w:r>
      <w:r>
        <w:rPr>
          <w:rStyle w:val="14"/>
          <w:rFonts w:hint="eastAsia" w:ascii="仿宋" w:hAnsi="仿宋" w:eastAsia="仿宋"/>
          <w:b w:val="0"/>
          <w:bCs/>
          <w:color w:val="000000"/>
          <w:sz w:val="32"/>
          <w:szCs w:val="32"/>
          <w:lang w:eastAsia="zh-CN"/>
        </w:rPr>
        <w:t>严格按预算执行</w:t>
      </w:r>
      <w:r>
        <w:rPr>
          <w:rStyle w:val="14"/>
          <w:rFonts w:hint="eastAsia" w:ascii="仿宋" w:hAnsi="仿宋" w:eastAsia="仿宋"/>
          <w:b w:val="0"/>
          <w:bCs/>
          <w:color w:val="000000"/>
          <w:sz w:val="32"/>
          <w:szCs w:val="32"/>
        </w:rPr>
        <w:t>。</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.社会保障和就业（类）行政事业单位离退休（款）机关事业单位职业年金缴费（项）:</w:t>
      </w:r>
      <w:r>
        <w:rPr>
          <w:rStyle w:val="14"/>
          <w:rFonts w:hint="eastAsia" w:ascii="仿宋_GB2312" w:hAnsi="仿宋_GB2312" w:eastAsia="仿宋_GB2312" w:cs="仿宋_GB2312"/>
          <w:b w:val="0"/>
          <w:color w:val="000000"/>
          <w:sz w:val="32"/>
          <w:szCs w:val="32"/>
        </w:rPr>
        <w:t>支出决算数为</w:t>
      </w:r>
      <w:r>
        <w:rPr>
          <w:rStyle w:val="14"/>
          <w:rFonts w:hint="eastAsia" w:ascii="仿宋_GB2312" w:hAnsi="仿宋_GB2312" w:eastAsia="仿宋_GB2312" w:cs="仿宋_GB2312"/>
          <w:b w:val="0"/>
          <w:color w:val="000000"/>
          <w:sz w:val="32"/>
          <w:szCs w:val="32"/>
          <w:lang w:val="en-US" w:eastAsia="zh-CN"/>
        </w:rPr>
        <w:t>28.26</w:t>
      </w:r>
      <w:r>
        <w:rPr>
          <w:rStyle w:val="14"/>
          <w:rFonts w:hint="eastAsia" w:ascii="仿宋_GB2312" w:hAnsi="仿宋_GB2312" w:eastAsia="仿宋_GB2312" w:cs="仿宋_GB2312"/>
          <w:b w:val="0"/>
          <w:color w:val="000000"/>
          <w:sz w:val="32"/>
          <w:szCs w:val="32"/>
        </w:rPr>
        <w:t>万元，完成预算100%，</w:t>
      </w:r>
      <w:r>
        <w:rPr>
          <w:rStyle w:val="14"/>
          <w:rFonts w:hint="eastAsia" w:ascii="仿宋_GB2312" w:hAnsi="仿宋_GB2312" w:eastAsia="仿宋_GB2312" w:cs="仿宋_GB2312"/>
          <w:b w:val="0"/>
          <w:bCs/>
          <w:color w:val="000000"/>
          <w:sz w:val="32"/>
          <w:szCs w:val="32"/>
        </w:rPr>
        <w:t>决算数等于预算数。</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 w:hAnsi="仿宋" w:eastAsia="仿宋"/>
          <w:bCs/>
          <w:color w:val="000000"/>
          <w:sz w:val="32"/>
          <w:szCs w:val="32"/>
        </w:rPr>
      </w:pPr>
      <w:r>
        <w:rPr>
          <w:rStyle w:val="14"/>
          <w:rFonts w:hint="eastAsia" w:ascii="仿宋_GB2312" w:hAnsi="仿宋_GB2312" w:eastAsia="仿宋_GB2312" w:cs="仿宋_GB2312"/>
          <w:b/>
          <w:bCs w:val="0"/>
          <w:color w:val="000000"/>
          <w:sz w:val="32"/>
          <w:szCs w:val="32"/>
          <w:lang w:val="en-US" w:eastAsia="zh-CN"/>
        </w:rPr>
        <w:t>7.</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eastAsia="zh-CN"/>
        </w:rPr>
        <w:t>政协事务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政协会议</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p>
    <w:p>
      <w:pPr>
        <w:pageBreakBefore w:val="0"/>
        <w:widowControl w:val="0"/>
        <w:kinsoku/>
        <w:wordWrap/>
        <w:overflowPunct/>
        <w:topLinePunct w:val="0"/>
        <w:autoSpaceDE/>
        <w:autoSpaceDN/>
        <w:bidi w:val="0"/>
        <w:adjustRightInd/>
        <w:snapToGrid/>
        <w:spacing w:line="576" w:lineRule="exact"/>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val="0"/>
          <w:color w:val="000000"/>
          <w:sz w:val="32"/>
          <w:szCs w:val="32"/>
          <w:lang w:val="en-US" w:eastAsia="zh-CN"/>
        </w:rPr>
        <w:t>支出决算数位为46.05万元，</w:t>
      </w:r>
      <w:r>
        <w:rPr>
          <w:rStyle w:val="14"/>
          <w:rFonts w:hint="eastAsia" w:ascii="仿宋_GB2312" w:hAnsi="仿宋_GB2312" w:eastAsia="仿宋_GB2312" w:cs="仿宋_GB2312"/>
          <w:b w:val="0"/>
          <w:color w:val="000000"/>
          <w:sz w:val="32"/>
          <w:szCs w:val="32"/>
        </w:rPr>
        <w:t>完成预算100%，</w:t>
      </w:r>
      <w:r>
        <w:rPr>
          <w:rStyle w:val="14"/>
          <w:rFonts w:hint="eastAsia" w:ascii="仿宋_GB2312" w:hAnsi="仿宋_GB2312" w:eastAsia="仿宋_GB2312" w:cs="仿宋_GB2312"/>
          <w:b w:val="0"/>
          <w:bCs/>
          <w:color w:val="000000"/>
          <w:sz w:val="32"/>
          <w:szCs w:val="32"/>
        </w:rPr>
        <w:t>决算数等于预算数。</w:t>
      </w:r>
    </w:p>
    <w:p>
      <w:pPr>
        <w:pageBreakBefore w:val="0"/>
        <w:widowControl w:val="0"/>
        <w:kinsoku/>
        <w:wordWrap/>
        <w:overflowPunct/>
        <w:topLinePunct w:val="0"/>
        <w:autoSpaceDE/>
        <w:autoSpaceDN/>
        <w:bidi w:val="0"/>
        <w:adjustRightInd/>
        <w:snapToGrid/>
        <w:spacing w:line="576" w:lineRule="exact"/>
        <w:ind w:firstLine="642" w:firstLineChars="200"/>
        <w:textAlignment w:val="auto"/>
        <w:rPr>
          <w:rStyle w:val="14"/>
          <w:rFonts w:ascii="仿宋" w:hAnsi="仿宋" w:eastAsia="仿宋"/>
          <w:bCs/>
          <w:color w:val="000000"/>
          <w:sz w:val="32"/>
          <w:szCs w:val="32"/>
        </w:rPr>
      </w:pPr>
      <w:r>
        <w:rPr>
          <w:rStyle w:val="14"/>
          <w:rFonts w:hint="eastAsia" w:ascii="仿宋_GB2312" w:hAnsi="仿宋_GB2312" w:eastAsia="仿宋_GB2312" w:cs="仿宋_GB2312"/>
          <w:b/>
          <w:bCs w:val="0"/>
          <w:color w:val="000000"/>
          <w:sz w:val="32"/>
          <w:szCs w:val="32"/>
          <w:lang w:val="en-US" w:eastAsia="zh-CN"/>
        </w:rPr>
        <w:t>8.</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eastAsia="zh-CN"/>
        </w:rPr>
        <w:t>政协事务</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eastAsia="zh-CN"/>
        </w:rPr>
        <w:t>委员视察</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p>
    <w:p>
      <w:pPr>
        <w:pageBreakBefore w:val="0"/>
        <w:widowControl w:val="0"/>
        <w:kinsoku/>
        <w:wordWrap/>
        <w:overflowPunct/>
        <w:topLinePunct w:val="0"/>
        <w:autoSpaceDE/>
        <w:autoSpaceDN/>
        <w:bidi w:val="0"/>
        <w:adjustRightInd/>
        <w:snapToGrid/>
        <w:spacing w:line="576" w:lineRule="exact"/>
        <w:textAlignment w:val="auto"/>
        <w:rPr>
          <w:rStyle w:val="14"/>
          <w:rFonts w:hint="eastAsia" w:ascii="仿宋_GB2312" w:hAnsi="仿宋_GB2312" w:eastAsia="仿宋_GB2312" w:cs="仿宋_GB2312"/>
          <w:b w:val="0"/>
          <w:bCs/>
          <w:color w:val="000000"/>
          <w:sz w:val="32"/>
          <w:szCs w:val="32"/>
        </w:rPr>
      </w:pPr>
      <w:r>
        <w:rPr>
          <w:rStyle w:val="14"/>
          <w:rFonts w:hint="eastAsia" w:ascii="仿宋_GB2312" w:hAnsi="仿宋_GB2312" w:eastAsia="仿宋_GB2312" w:cs="仿宋_GB2312"/>
          <w:b w:val="0"/>
          <w:bCs/>
          <w:color w:val="000000"/>
          <w:sz w:val="32"/>
          <w:szCs w:val="32"/>
          <w:lang w:val="en-US" w:eastAsia="zh-CN"/>
        </w:rPr>
        <w:t>支出决算数为19.20元，</w:t>
      </w:r>
      <w:r>
        <w:rPr>
          <w:rStyle w:val="14"/>
          <w:rFonts w:hint="eastAsia" w:ascii="仿宋_GB2312" w:hAnsi="仿宋_GB2312" w:eastAsia="仿宋_GB2312" w:cs="仿宋_GB2312"/>
          <w:b w:val="0"/>
          <w:color w:val="000000"/>
          <w:sz w:val="32"/>
          <w:szCs w:val="32"/>
        </w:rPr>
        <w:t>完成预算100%，</w:t>
      </w:r>
      <w:r>
        <w:rPr>
          <w:rStyle w:val="14"/>
          <w:rFonts w:hint="eastAsia" w:ascii="仿宋_GB2312" w:hAnsi="仿宋_GB2312" w:eastAsia="仿宋_GB2312" w:cs="仿宋_GB2312"/>
          <w:b w:val="0"/>
          <w:bCs/>
          <w:color w:val="000000"/>
          <w:sz w:val="32"/>
          <w:szCs w:val="32"/>
        </w:rPr>
        <w:t>决算数等于预算数。</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9</w:t>
      </w:r>
      <w:r>
        <w:rPr>
          <w:rFonts w:hint="eastAsia" w:ascii="仿宋_GB2312" w:hAnsi="仿宋_GB2312" w:eastAsia="仿宋_GB2312" w:cs="仿宋_GB2312"/>
          <w:b/>
          <w:bCs/>
          <w:color w:val="000000"/>
          <w:sz w:val="32"/>
          <w:szCs w:val="32"/>
        </w:rPr>
        <w:t>.住房保障支出（类）住房改革支出（款）</w:t>
      </w:r>
      <w:r>
        <w:rPr>
          <w:rFonts w:hint="eastAsia" w:ascii="仿宋_GB2312" w:hAnsi="仿宋_GB2312" w:eastAsia="仿宋_GB2312" w:cs="仿宋_GB2312"/>
          <w:b/>
          <w:bCs/>
          <w:color w:val="000000"/>
          <w:sz w:val="32"/>
          <w:szCs w:val="32"/>
          <w:lang w:eastAsia="zh-CN"/>
        </w:rPr>
        <w:t>购房补贴</w:t>
      </w:r>
      <w:r>
        <w:rPr>
          <w:rFonts w:hint="eastAsia" w:ascii="仿宋_GB2312" w:hAnsi="仿宋_GB2312" w:eastAsia="仿宋_GB2312" w:cs="仿宋_GB2312"/>
          <w:b/>
          <w:bCs/>
          <w:color w:val="000000"/>
          <w:sz w:val="32"/>
          <w:szCs w:val="32"/>
        </w:rPr>
        <w:t>（项）：</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color w:val="000000"/>
          <w:sz w:val="32"/>
          <w:szCs w:val="32"/>
        </w:rPr>
        <w:t>支出决算为</w:t>
      </w:r>
      <w:r>
        <w:rPr>
          <w:rFonts w:hint="eastAsia" w:ascii="仿宋_GB2312" w:hAnsi="仿宋_GB2312" w:eastAsia="仿宋_GB2312" w:cs="仿宋_GB2312"/>
          <w:color w:val="000000"/>
          <w:sz w:val="32"/>
          <w:szCs w:val="32"/>
          <w:lang w:val="en-US" w:eastAsia="zh-CN"/>
        </w:rPr>
        <w:t>4.46</w:t>
      </w:r>
      <w:r>
        <w:rPr>
          <w:rFonts w:hint="eastAsia" w:ascii="仿宋_GB2312" w:hAnsi="仿宋_GB2312" w:eastAsia="仿宋_GB2312" w:cs="仿宋_GB2312"/>
          <w:color w:val="000000"/>
          <w:sz w:val="32"/>
          <w:szCs w:val="32"/>
        </w:rPr>
        <w:t>万元，完成预算100%，决算数等于预算数</w:t>
      </w:r>
      <w:r>
        <w:rPr>
          <w:rFonts w:hint="eastAsia" w:ascii="仿宋_GB2312" w:hAnsi="仿宋_GB2312" w:eastAsia="仿宋_GB2312" w:cs="仿宋_GB2312"/>
          <w:color w:val="000000"/>
          <w:sz w:val="32"/>
          <w:szCs w:val="32"/>
          <w:lang w:eastAsia="zh-CN"/>
        </w:rPr>
        <w:t>的主要原因是严格按预算执行</w:t>
      </w:r>
      <w:r>
        <w:rPr>
          <w:rFonts w:hint="eastAsia" w:ascii="仿宋_GB2312" w:hAnsi="仿宋_GB2312" w:eastAsia="仿宋_GB2312" w:cs="仿宋_GB2312"/>
          <w:color w:val="000000"/>
          <w:sz w:val="32"/>
          <w:szCs w:val="32"/>
        </w:rPr>
        <w:t>。</w:t>
      </w:r>
    </w:p>
    <w:p>
      <w:pPr>
        <w:tabs>
          <w:tab w:val="right" w:pos="8306"/>
        </w:tabs>
        <w:spacing w:line="600" w:lineRule="exact"/>
        <w:ind w:firstLine="640"/>
        <w:outlineLvl w:val="1"/>
        <w:rPr>
          <w:rStyle w:val="3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855.38</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778.18</w:t>
      </w:r>
      <w:r>
        <w:rPr>
          <w:rFonts w:hint="eastAsia" w:ascii="仿宋" w:hAnsi="仿宋" w:eastAsia="仿宋"/>
          <w:color w:val="000000"/>
          <w:sz w:val="32"/>
          <w:szCs w:val="32"/>
        </w:rPr>
        <w:t>万元，主要包括：基本工资、津贴补贴、奖金</w:t>
      </w:r>
      <w:r>
        <w:rPr>
          <w:rFonts w:hint="eastAsia" w:ascii="仿宋" w:hAnsi="仿宋" w:eastAsia="仿宋"/>
          <w:color w:val="000000"/>
          <w:sz w:val="32"/>
          <w:szCs w:val="32"/>
          <w:lang w:eastAsia="zh-CN"/>
        </w:rPr>
        <w:t>、</w:t>
      </w:r>
      <w:r>
        <w:rPr>
          <w:rFonts w:hint="eastAsia" w:ascii="仿宋" w:hAnsi="仿宋" w:eastAsia="仿宋"/>
          <w:color w:val="000000"/>
          <w:sz w:val="32"/>
          <w:szCs w:val="32"/>
        </w:rPr>
        <w:t>机关事业单位基本养老保险缴费、职业年金缴费、其他社会保障缴费、其他工资福利支出、抚恤金、生活补助、医疗费补助、奖励金、住房公积金等。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77.20</w:t>
      </w:r>
      <w:r>
        <w:rPr>
          <w:rFonts w:hint="eastAsia" w:ascii="仿宋" w:hAnsi="仿宋" w:eastAsia="仿宋"/>
          <w:color w:val="000000"/>
          <w:sz w:val="32"/>
          <w:szCs w:val="32"/>
        </w:rPr>
        <w:t>万元，主要包括：办公费、邮电费、差旅费、会议费、培训费、公务接待费、公务用车运行维护费等。</w:t>
      </w:r>
    </w:p>
    <w:p>
      <w:pPr>
        <w:spacing w:line="600" w:lineRule="exact"/>
        <w:ind w:firstLine="640"/>
        <w:outlineLvl w:val="1"/>
        <w:rPr>
          <w:rStyle w:val="30"/>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pPr>
        <w:spacing w:line="600" w:lineRule="exact"/>
        <w:ind w:firstLine="640"/>
        <w:outlineLvl w:val="2"/>
        <w:rPr>
          <w:rFonts w:hint="eastAsia"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28.62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hint="eastAsia"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26.68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1.94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ascii="仿宋_GB2312" w:hAnsi="仿宋_GB2312" w:eastAsia="仿宋_GB2312" w:cs="仿宋_GB2312"/>
        </w:rPr>
        <w:pict>
          <v:shape id="_x0000_s1047" o:spid="_x0000_s1047" o:spt="75" type="#_x0000_t75" style="position:absolute;left:0pt;margin-left:16.55pt;margin-top:10.05pt;height:179.35pt;width:386.8pt;mso-wrap-distance-bottom:0pt;mso-wrap-distance-top:0pt;z-index:251665408;mso-width-relative:page;mso-height-relative:page;" o:ole="t" filled="f" o:preferrelative="t" stroked="f" coordsize="21600,21600">
            <v:path/>
            <v:fill on="f" focussize="0,0"/>
            <v:stroke on="f"/>
            <v:imagedata r:id="rId19" o:title=""/>
            <o:lock v:ext="edit" aspectratio="t"/>
            <w10:wrap type="topAndBottom"/>
          </v:shape>
          <o:OLEObject Type="Embed" ProgID="MSGraph.Chart.8" ShapeID="_x0000_s1047" DrawAspect="Content" ObjectID="_1468075731" r:id="rId18">
            <o:LockedField>false</o:LockedField>
          </o:OLEObject>
        </w:pic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增加</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26.68</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13.32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49.92</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是财政调整预算。</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val="0"/>
          <w:bCs/>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、单位公务用车</w:t>
      </w:r>
      <w:r>
        <w:rPr>
          <w:rFonts w:hint="eastAsia" w:ascii="仿宋_GB2312" w:eastAsia="仿宋_GB2312"/>
          <w:color w:val="000000"/>
          <w:sz w:val="32"/>
          <w:szCs w:val="32"/>
          <w:lang w:val="en-US" w:eastAsia="zh-CN"/>
        </w:rPr>
        <w:t>5辆。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val="0"/>
          <w:bCs/>
          <w:color w:val="000000"/>
          <w:sz w:val="32"/>
          <w:szCs w:val="32"/>
          <w:lang w:val="en-US" w:eastAsia="zh-CN"/>
        </w:rPr>
        <w:t>26.68</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单位履行政治协商、民主监督、参政议政职能</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b w:val="0"/>
          <w:bCs/>
          <w:color w:val="000000"/>
          <w:sz w:val="32"/>
          <w:szCs w:val="32"/>
          <w:lang w:val="en-US" w:eastAsia="zh-CN"/>
        </w:rPr>
        <w:t>1.94</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18.06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90.3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财政调整年初预算，</w:t>
      </w:r>
      <w:r>
        <w:rPr>
          <w:rFonts w:hint="eastAsia" w:ascii="仿宋_GB2312" w:eastAsia="仿宋_GB2312"/>
          <w:color w:val="000000"/>
          <w:sz w:val="32"/>
          <w:szCs w:val="32"/>
        </w:rPr>
        <w:t>其中：</w:t>
      </w:r>
    </w:p>
    <w:p>
      <w:pPr>
        <w:pageBreakBefore w:val="0"/>
        <w:kinsoku/>
        <w:wordWrap/>
        <w:overflowPunct/>
        <w:topLinePunct w:val="0"/>
        <w:bidi w:val="0"/>
        <w:snapToGrid/>
        <w:spacing w:line="576" w:lineRule="exact"/>
        <w:ind w:firstLine="642" w:firstLineChars="20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b w:val="0"/>
          <w:bCs/>
          <w:color w:val="000000"/>
          <w:sz w:val="32"/>
          <w:szCs w:val="32"/>
          <w:lang w:val="en-US" w:eastAsia="zh-CN"/>
        </w:rPr>
        <w:t>1.94</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116</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1.94</w:t>
      </w:r>
      <w:r>
        <w:rPr>
          <w:rFonts w:hint="eastAsia" w:ascii="仿宋_GB2312" w:eastAsia="仿宋_GB2312"/>
          <w:color w:val="000000"/>
          <w:sz w:val="32"/>
          <w:szCs w:val="32"/>
        </w:rPr>
        <w:t>万元，具体内容包括：省、州政协工作组</w:t>
      </w:r>
      <w:r>
        <w:rPr>
          <w:rFonts w:hint="eastAsia" w:ascii="仿宋_GB2312" w:eastAsia="仿宋_GB2312"/>
          <w:color w:val="000000"/>
          <w:sz w:val="32"/>
          <w:szCs w:val="32"/>
          <w:lang w:eastAsia="zh-CN"/>
        </w:rPr>
        <w:t>来茂县调研</w:t>
      </w:r>
      <w:r>
        <w:rPr>
          <w:rFonts w:hint="eastAsia" w:ascii="仿宋_GB2312" w:eastAsia="仿宋_GB2312"/>
          <w:color w:val="000000"/>
          <w:sz w:val="32"/>
          <w:szCs w:val="32"/>
        </w:rPr>
        <w:t>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友邻县政协考察组的接待支出</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万元；接待和慰问退休干部</w:t>
      </w:r>
      <w:r>
        <w:rPr>
          <w:rFonts w:hint="eastAsia" w:ascii="仿宋_GB2312" w:eastAsia="仿宋_GB2312"/>
          <w:color w:val="000000"/>
          <w:sz w:val="32"/>
          <w:szCs w:val="32"/>
          <w:lang w:val="en-US" w:eastAsia="zh-CN"/>
        </w:rPr>
        <w:t>0.34</w:t>
      </w:r>
      <w:r>
        <w:rPr>
          <w:rFonts w:hint="eastAsia" w:ascii="仿宋_GB2312" w:eastAsia="仿宋_GB2312"/>
          <w:color w:val="000000"/>
          <w:sz w:val="32"/>
          <w:szCs w:val="32"/>
        </w:rPr>
        <w:t>万元。</w:t>
      </w:r>
    </w:p>
    <w:p>
      <w:pPr>
        <w:spacing w:line="600" w:lineRule="exact"/>
        <w:ind w:firstLine="642" w:firstLineChars="200"/>
        <w:rPr>
          <w:rFonts w:ascii="黑体" w:eastAsia="黑体"/>
          <w:color w:val="000000"/>
          <w:sz w:val="32"/>
          <w:szCs w:val="32"/>
        </w:rPr>
      </w:pPr>
      <w:r>
        <w:rPr>
          <w:rFonts w:hint="eastAsia" w:ascii="仿宋" w:hAnsi="仿宋" w:eastAsia="仿宋"/>
          <w:b/>
          <w:bCs w:val="0"/>
          <w:color w:val="000000"/>
          <w:sz w:val="32"/>
          <w:szCs w:val="32"/>
        </w:rPr>
        <w:t>外事接待支出</w:t>
      </w:r>
      <w:r>
        <w:rPr>
          <w:rFonts w:hint="eastAsia" w:ascii="仿宋" w:hAnsi="仿宋" w:eastAsia="仿宋"/>
          <w:b w:val="0"/>
          <w:bCs/>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bookmarkStart w:id="46" w:name="_Toc15396610"/>
      <w:bookmarkStart w:id="47" w:name="_Toc15377218"/>
    </w:p>
    <w:p>
      <w:pPr>
        <w:spacing w:line="600" w:lineRule="exact"/>
        <w:ind w:firstLine="640"/>
        <w:outlineLvl w:val="1"/>
        <w:rPr>
          <w:rStyle w:val="30"/>
          <w:rFonts w:ascii="黑体" w:hAnsi="黑体" w:eastAsia="黑体"/>
        </w:rPr>
      </w:pPr>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30"/>
          <w:rFonts w:ascii="黑体" w:hAnsi="黑体" w:eastAsia="黑体"/>
          <w:b w:val="0"/>
        </w:rPr>
      </w:pPr>
      <w:bookmarkStart w:id="48" w:name="_Toc15396611"/>
      <w:bookmarkStart w:id="49" w:name="_Toc15377219"/>
      <w:r>
        <w:rPr>
          <w:rStyle w:val="30"/>
          <w:rFonts w:hint="eastAsia" w:ascii="黑体" w:hAnsi="黑体" w:eastAsia="黑体"/>
          <w:b w:val="0"/>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30"/>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0"/>
      <w:bookmarkEnd w:id="51"/>
    </w:p>
    <w:p>
      <w:pPr>
        <w:spacing w:line="600" w:lineRule="exact"/>
        <w:ind w:firstLine="642" w:firstLineChars="200"/>
        <w:outlineLvl w:val="2"/>
        <w:rPr>
          <w:rFonts w:hint="eastAsia"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茂县政协办公室</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77.20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14.17</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15.5</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财政调整年初预算。</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茂县政协办公室</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outlineLvl w:val="2"/>
        <w:rPr>
          <w:rFonts w:hint="eastAsia"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（三）国有资产占有使用情况</w:t>
      </w:r>
      <w:bookmarkEnd w:id="54"/>
    </w:p>
    <w:p>
      <w:pPr>
        <w:spacing w:line="600" w:lineRule="exact"/>
        <w:ind w:firstLine="640"/>
        <w:rPr>
          <w:rFonts w:hint="eastAsia" w:ascii="仿宋_GB2312" w:eastAsia="仿宋_GB2312"/>
          <w:color w:val="00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茂县政协办公室</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sz w:val="32"/>
          <w:szCs w:val="32"/>
        </w:rPr>
        <w:t>主要用于政协机关履行政治协商、民主监督、参政议政职能，</w:t>
      </w:r>
      <w:r>
        <w:rPr>
          <w:rFonts w:hint="eastAsia" w:ascii="仿宋_GB2312" w:eastAsia="仿宋_GB2312"/>
          <w:sz w:val="32"/>
          <w:szCs w:val="32"/>
        </w:rPr>
        <w:t>依法开展民主监督和调查、视察工作，完成</w:t>
      </w:r>
      <w:r>
        <w:rPr>
          <w:rFonts w:hint="eastAsia" w:ascii="仿宋_GB2312" w:eastAsia="仿宋_GB2312"/>
          <w:sz w:val="32"/>
          <w:szCs w:val="32"/>
          <w:lang w:eastAsia="zh-CN"/>
        </w:rPr>
        <w:t>县委、县政府</w:t>
      </w:r>
      <w:r>
        <w:rPr>
          <w:rFonts w:hint="eastAsia" w:ascii="仿宋_GB2312" w:eastAsia="仿宋_GB2312"/>
          <w:sz w:val="32"/>
          <w:szCs w:val="32"/>
        </w:rPr>
        <w:t>安排和布置的各项工作任务</w:t>
      </w:r>
      <w:r>
        <w:rPr>
          <w:rFonts w:hint="eastAsia" w:ascii="仿宋_GB2312" w:eastAsia="仿宋_GB2312"/>
          <w:color w:val="000000"/>
          <w:sz w:val="32"/>
          <w:szCs w:val="32"/>
        </w:rPr>
        <w:t>等</w:t>
      </w:r>
      <w:r>
        <w:rPr>
          <w:rFonts w:hint="eastAsia" w:ascii="仿宋_GB2312" w:eastAsia="仿宋_GB2312"/>
          <w:color w:val="000000"/>
          <w:sz w:val="32"/>
          <w:szCs w:val="32"/>
          <w:lang w:eastAsia="zh-CN"/>
        </w:rPr>
        <w:t>。</w:t>
      </w:r>
    </w:p>
    <w:p>
      <w:pPr>
        <w:spacing w:line="600" w:lineRule="exact"/>
        <w:ind w:firstLine="642" w:firstLineChars="200"/>
        <w:outlineLvl w:val="2"/>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pPr>
        <w:pageBreakBefore w:val="0"/>
        <w:widowControl/>
        <w:kinsoku/>
        <w:wordWrap/>
        <w:overflowPunct/>
        <w:topLinePunct w:val="0"/>
        <w:bidi w:val="0"/>
        <w:snapToGrid/>
        <w:spacing w:line="576"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本部门对201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年部门整体支出开展绩效自评，从评价情况来看，201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年我单位部门整体支出绩效评价自查自评结果良好</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全年基本支出保证了部门的正常运行和日常工作的正常开展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绩效目标得到较好实现，绩效管理水平不断提高，绩效指标体系逐渐丰富和完善</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“政协会议”、“委员视察”</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w:t>
      </w:r>
      <w:r>
        <w:rPr>
          <w:rFonts w:hint="eastAsia" w:ascii="仿宋_GB2312" w:hAnsi="仿宋_GB2312" w:eastAsia="仿宋_GB2312" w:cs="仿宋_GB2312"/>
          <w:sz w:val="32"/>
          <w:szCs w:val="32"/>
          <w:lang w:eastAsia="zh-CN"/>
        </w:rPr>
        <w:t>对这</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pPr>
        <w:pageBreakBefore w:val="0"/>
        <w:widowControl/>
        <w:kinsoku/>
        <w:wordWrap/>
        <w:overflowPunct/>
        <w:topLinePunct w:val="0"/>
        <w:bidi w:val="0"/>
        <w:snapToGrid/>
        <w:spacing w:line="576"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年我单位部门整体支出绩效评价自查自评结果良好</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全年基本支出保证了部门的正常运行和日常工作的正常开展</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绩效目标得到较好实现，绩效管理水平不断提高，绩效指标体系逐渐丰富和完善</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个项目支出绩效评价，从评价情况来看</w:t>
      </w:r>
      <w:r>
        <w:rPr>
          <w:rFonts w:hint="eastAsia" w:ascii="仿宋_GB2312" w:hAnsi="仿宋_GB2312" w:eastAsia="仿宋_GB2312" w:cs="仿宋_GB2312"/>
          <w:color w:val="000000"/>
          <w:kern w:val="0"/>
          <w:sz w:val="32"/>
          <w:szCs w:val="32"/>
        </w:rPr>
        <w:t>绩效管理水平不断提高，绩效指标体系逐渐丰富和完善</w:t>
      </w:r>
      <w:r>
        <w:rPr>
          <w:rFonts w:hint="eastAsia" w:ascii="仿宋_GB2312" w:hAnsi="仿宋_GB2312" w:eastAsia="仿宋_GB2312" w:cs="仿宋_GB2312"/>
          <w:color w:val="000000"/>
          <w:kern w:val="0"/>
          <w:sz w:val="32"/>
          <w:szCs w:val="32"/>
          <w:lang w:eastAsia="zh-CN"/>
        </w:rPr>
        <w:t>。</w:t>
      </w:r>
    </w:p>
    <w:p>
      <w:pPr>
        <w:spacing w:line="580"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政协会议</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委员视察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“政协会议”</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46.05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46.05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政协茂县第三次全体委员会议的成功召开。</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“委员视察”</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19.20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19.20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政协委员视察、调研活动的圆满完成，为县委、县政府决策提供了高质量的意见和建议。</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政协会议（第三次全体委员会议）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政协茂县委员会办公室</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46.05</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46.05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46.05</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2019年召开政协茂县委员会第三次全体委员会议一次。</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成功召开2019年政协茂县委员会第三次全体委员会议一次。参会人员396人，会期5天。政协委员提交提案66件。</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召开</w:t>
            </w:r>
            <w:r>
              <w:rPr>
                <w:rFonts w:hint="eastAsia" w:ascii="宋体" w:hAnsi="宋体" w:cs="宋体"/>
                <w:color w:val="000000"/>
                <w:sz w:val="24"/>
                <w:lang w:val="en-US" w:eastAsia="zh-CN"/>
              </w:rPr>
              <w:t>2019年度政协三次全委会。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kern w:val="0"/>
                <w:sz w:val="24"/>
                <w:lang w:eastAsia="zh-CN"/>
              </w:rPr>
              <w:t>参会委员</w:t>
            </w:r>
            <w:r>
              <w:rPr>
                <w:rFonts w:hint="eastAsia" w:ascii="宋体" w:hAnsi="宋体" w:cs="宋体"/>
                <w:color w:val="000000"/>
                <w:kern w:val="0"/>
                <w:sz w:val="24"/>
                <w:lang w:val="en-US" w:eastAsia="zh-CN"/>
              </w:rPr>
              <w:t>396</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按期完成会议预期目标。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95%</w:t>
            </w:r>
          </w:p>
        </w:tc>
      </w:tr>
    </w:tbl>
    <w:p>
      <w:pPr>
        <w:spacing w:line="580" w:lineRule="exact"/>
        <w:rPr>
          <w:rFonts w:ascii="仿宋_GB2312" w:hAnsi="仿宋_GB2312" w:eastAsia="仿宋_GB2312" w:cs="仿宋_GB2312"/>
          <w:sz w:val="32"/>
          <w:szCs w:val="32"/>
        </w:rPr>
      </w:pPr>
    </w:p>
    <w:p>
      <w:pPr>
        <w:spacing w:line="580" w:lineRule="exact"/>
        <w:ind w:left="63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茂县政协办公室</w:t>
      </w:r>
      <w:r>
        <w:rPr>
          <w:rFonts w:hint="eastAsia" w:ascii="仿宋_GB2312" w:hAnsi="仿宋_GB2312" w:eastAsia="仿宋_GB2312" w:cs="仿宋_GB2312"/>
          <w:sz w:val="32"/>
          <w:szCs w:val="32"/>
        </w:rPr>
        <w:t>2019年部门整体支出绩效评价报告》见附件（附件1）。本部门自行组织对</w:t>
      </w:r>
      <w:r>
        <w:rPr>
          <w:rFonts w:hint="eastAsia" w:ascii="仿宋_GB2312" w:hAnsi="仿宋_GB2312" w:eastAsia="仿宋_GB2312" w:cs="仿宋_GB2312"/>
          <w:sz w:val="32"/>
          <w:szCs w:val="32"/>
          <w:lang w:eastAsia="zh-CN"/>
        </w:rPr>
        <w:t>“政协会议”</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3"/>
        </w:numPr>
        <w:spacing w:line="600" w:lineRule="exact"/>
        <w:ind w:firstLine="660" w:firstLineChars="150"/>
        <w:jc w:val="center"/>
        <w:outlineLvl w:val="0"/>
        <w:rPr>
          <w:rStyle w:val="29"/>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widowControl/>
        <w:kinsoku/>
        <w:wordWrap/>
        <w:overflowPunct/>
        <w:topLinePunct w:val="0"/>
        <w:bidi w:val="0"/>
        <w:snapToGrid/>
        <w:spacing w:line="576" w:lineRule="exact"/>
        <w:ind w:firstLine="640" w:firstLineChars="200"/>
        <w:jc w:val="both"/>
        <w:textAlignment w:val="auto"/>
        <w:rPr>
          <w:rFonts w:ascii="仿宋_GB2312" w:hAnsi="仿宋_GB2312" w:eastAsia="仿宋_GB2312" w:cs="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一般公共服务（类）政协事务（款）行政运行（项）：</w:t>
      </w:r>
      <w:r>
        <w:rPr>
          <w:rFonts w:ascii="仿宋" w:hAnsi="仿宋" w:eastAsia="仿宋" w:cs="仿宋"/>
          <w:color w:val="000000"/>
          <w:kern w:val="0"/>
          <w:sz w:val="31"/>
          <w:szCs w:val="31"/>
        </w:rPr>
        <w:t xml:space="preserve"> </w:t>
      </w:r>
      <w:r>
        <w:rPr>
          <w:rFonts w:hint="eastAsia" w:ascii="仿宋_GB2312" w:hAnsi="仿宋_GB2312" w:eastAsia="仿宋_GB2312" w:cs="仿宋_GB2312"/>
          <w:color w:val="000000"/>
          <w:kern w:val="0"/>
          <w:sz w:val="31"/>
          <w:szCs w:val="31"/>
        </w:rPr>
        <w:t xml:space="preserve">指政协机关用于保障机构正常运行、开展日常工作的基本支出。 </w:t>
      </w:r>
    </w:p>
    <w:p>
      <w:pPr>
        <w:pageBreakBefore w:val="0"/>
        <w:widowControl/>
        <w:kinsoku/>
        <w:wordWrap/>
        <w:overflowPunct/>
        <w:topLinePunct w:val="0"/>
        <w:bidi w:val="0"/>
        <w:snapToGrid/>
        <w:spacing w:line="576" w:lineRule="exact"/>
        <w:ind w:firstLine="64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kern w:val="0"/>
          <w:sz w:val="31"/>
          <w:szCs w:val="31"/>
        </w:rPr>
        <w:t xml:space="preserve">社会保障和就业（类）行政事业单位离退休（款）机关事业单位基本养老保险缴费支出（项）：指部门实施养老保险制度由单位缴纳的养老保险费的支出。 </w:t>
      </w:r>
    </w:p>
    <w:p>
      <w:pPr>
        <w:pageBreakBefore w:val="0"/>
        <w:widowControl/>
        <w:kinsoku/>
        <w:wordWrap/>
        <w:overflowPunct/>
        <w:topLinePunct w:val="0"/>
        <w:bidi w:val="0"/>
        <w:snapToGrid/>
        <w:spacing w:line="576" w:lineRule="exact"/>
        <w:ind w:firstLine="62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kern w:val="0"/>
          <w:sz w:val="31"/>
          <w:szCs w:val="31"/>
        </w:rPr>
        <w:t xml:space="preserve">11.社会保障和就业（类）行政事业单位离退休（款）机关事业单位职业年金缴费支出（项）：指部门实施养老保险制度由单位缴纳的职业年金的支出。 </w:t>
      </w:r>
    </w:p>
    <w:p>
      <w:pPr>
        <w:pageBreakBefore w:val="0"/>
        <w:widowControl/>
        <w:kinsoku/>
        <w:wordWrap/>
        <w:overflowPunct/>
        <w:topLinePunct w:val="0"/>
        <w:bidi w:val="0"/>
        <w:snapToGrid/>
        <w:spacing w:line="576" w:lineRule="exact"/>
        <w:ind w:firstLine="64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sz w:val="32"/>
          <w:szCs w:val="32"/>
        </w:rPr>
        <w:t>12.</w:t>
      </w:r>
      <w:r>
        <w:rPr>
          <w:rFonts w:hint="eastAsia" w:ascii="仿宋_GB2312" w:hAnsi="仿宋_GB2312" w:eastAsia="仿宋_GB2312" w:cs="仿宋_GB2312"/>
          <w:color w:val="000000"/>
          <w:kern w:val="0"/>
          <w:sz w:val="31"/>
          <w:szCs w:val="31"/>
        </w:rPr>
        <w:t xml:space="preserve">医疗卫生与计划生育（类）行政事业单位医疗（款） </w:t>
      </w:r>
    </w:p>
    <w:p>
      <w:pPr>
        <w:pageBreakBefore w:val="0"/>
        <w:widowControl/>
        <w:kinsoku/>
        <w:wordWrap/>
        <w:overflowPunct/>
        <w:topLinePunct w:val="0"/>
        <w:bidi w:val="0"/>
        <w:snapToGrid/>
        <w:spacing w:line="576" w:lineRule="exact"/>
        <w:jc w:val="both"/>
        <w:textAlignment w:val="auto"/>
        <w:rPr>
          <w:rFonts w:ascii="仿宋_GB2312" w:hAnsi="仿宋_GB2312" w:eastAsia="仿宋_GB2312" w:cs="仿宋_GB2312"/>
        </w:rPr>
      </w:pPr>
      <w:r>
        <w:rPr>
          <w:rFonts w:hint="eastAsia" w:ascii="仿宋_GB2312" w:hAnsi="仿宋_GB2312" w:eastAsia="仿宋_GB2312" w:cs="仿宋_GB2312"/>
          <w:color w:val="000000"/>
          <w:kern w:val="0"/>
          <w:sz w:val="31"/>
          <w:szCs w:val="31"/>
        </w:rPr>
        <w:t xml:space="preserve">行政单位医疗（项）：指机关用于缴纳单位基本医疗保险支出。 </w:t>
      </w:r>
    </w:p>
    <w:p>
      <w:pPr>
        <w:pageBreakBefore w:val="0"/>
        <w:widowControl/>
        <w:kinsoku/>
        <w:wordWrap/>
        <w:overflowPunct/>
        <w:topLinePunct w:val="0"/>
        <w:bidi w:val="0"/>
        <w:snapToGrid/>
        <w:spacing w:line="576" w:lineRule="exact"/>
        <w:ind w:firstLine="64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sz w:val="32"/>
          <w:szCs w:val="32"/>
        </w:rPr>
        <w:t>13.</w:t>
      </w:r>
      <w:r>
        <w:rPr>
          <w:rFonts w:hint="eastAsia" w:ascii="仿宋_GB2312" w:hAnsi="仿宋_GB2312" w:eastAsia="仿宋_GB2312" w:cs="仿宋_GB2312"/>
          <w:color w:val="000000"/>
          <w:kern w:val="0"/>
          <w:sz w:val="31"/>
          <w:szCs w:val="31"/>
        </w:rPr>
        <w:t xml:space="preserve">住房保障（类）住房改革支出（款）住房公积金（项）： </w:t>
      </w:r>
    </w:p>
    <w:p>
      <w:pPr>
        <w:pageBreakBefore w:val="0"/>
        <w:widowControl/>
        <w:kinsoku/>
        <w:wordWrap/>
        <w:overflowPunct/>
        <w:topLinePunct w:val="0"/>
        <w:bidi w:val="0"/>
        <w:snapToGrid/>
        <w:spacing w:line="576" w:lineRule="exact"/>
        <w:jc w:val="both"/>
        <w:textAlignment w:val="auto"/>
        <w:rPr>
          <w:rFonts w:ascii="仿宋_GB2312" w:hAnsi="仿宋_GB2312" w:eastAsia="仿宋_GB2312" w:cs="仿宋_GB2312"/>
          <w:color w:val="000000"/>
          <w:kern w:val="0"/>
          <w:sz w:val="31"/>
          <w:szCs w:val="31"/>
        </w:rPr>
      </w:pPr>
      <w:r>
        <w:rPr>
          <w:rFonts w:hint="eastAsia" w:ascii="仿宋_GB2312" w:hAnsi="仿宋_GB2312" w:eastAsia="仿宋_GB2312" w:cs="仿宋_GB2312"/>
          <w:color w:val="000000"/>
          <w:kern w:val="0"/>
          <w:sz w:val="31"/>
          <w:szCs w:val="31"/>
        </w:rPr>
        <w:t>反映行政事业单位按规定为职工缴纳的住房公积金。</w:t>
      </w:r>
    </w:p>
    <w:p>
      <w:pPr>
        <w:pageBreakBefore w:val="0"/>
        <w:widowControl/>
        <w:kinsoku/>
        <w:wordWrap/>
        <w:overflowPunct/>
        <w:topLinePunct w:val="0"/>
        <w:bidi w:val="0"/>
        <w:snapToGrid/>
        <w:spacing w:line="576" w:lineRule="exact"/>
        <w:ind w:firstLine="620" w:firstLineChars="200"/>
        <w:jc w:val="both"/>
        <w:textAlignment w:val="auto"/>
        <w:rPr>
          <w:rFonts w:ascii="仿宋_GB2312" w:hAnsi="仿宋_GB2312" w:eastAsia="仿宋_GB2312" w:cs="仿宋_GB2312"/>
          <w:color w:val="000000"/>
          <w:kern w:val="0"/>
          <w:sz w:val="31"/>
          <w:szCs w:val="31"/>
        </w:rPr>
      </w:pPr>
      <w:r>
        <w:rPr>
          <w:rFonts w:hint="eastAsia" w:ascii="仿宋_GB2312" w:hAnsi="仿宋_GB2312" w:eastAsia="仿宋_GB2312" w:cs="仿宋_GB2312"/>
          <w:color w:val="000000"/>
          <w:kern w:val="0"/>
          <w:sz w:val="31"/>
          <w:szCs w:val="31"/>
        </w:rPr>
        <w:t>14.住房保障（类）住房改革支出（款）购房补贴（项）：反映行政事业单位按规定为退休职工支出的建房补贴。</w:t>
      </w:r>
    </w:p>
    <w:p>
      <w:pPr>
        <w:pageBreakBefore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napToGrid/>
        <w:spacing w:line="576" w:lineRule="exact"/>
        <w:ind w:firstLine="640" w:firstLineChars="200"/>
        <w:jc w:val="both"/>
        <w:textAlignment w:val="auto"/>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spacing w:line="600" w:lineRule="exact"/>
        <w:jc w:val="center"/>
        <w:outlineLvl w:val="0"/>
        <w:rPr>
          <w:rFonts w:ascii="宋体"/>
          <w:b/>
          <w:color w:val="000000"/>
          <w:sz w:val="44"/>
          <w:szCs w:val="44"/>
        </w:rPr>
      </w:pPr>
      <w:bookmarkStart w:id="57" w:name="_Toc15377226"/>
      <w:r>
        <w:rPr>
          <w:rFonts w:ascii="宋体"/>
          <w:b/>
          <w:color w:val="000000"/>
          <w:sz w:val="44"/>
          <w:szCs w:val="44"/>
        </w:rPr>
        <w:br w:type="page"/>
      </w:r>
      <w:bookmarkStart w:id="58" w:name="_Toc15396614"/>
    </w:p>
    <w:p>
      <w:pPr>
        <w:spacing w:line="600" w:lineRule="exact"/>
        <w:jc w:val="center"/>
        <w:outlineLvl w:val="0"/>
        <w:rPr>
          <w:rFonts w:ascii="宋体"/>
          <w:b/>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zh-CN"/>
        </w:rPr>
        <w:t>茂县政协办公室部门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（一）机构组成</w:t>
      </w:r>
    </w:p>
    <w:p>
      <w:pPr>
        <w:pStyle w:val="3"/>
        <w:pageBreakBefore w:val="0"/>
        <w:kinsoku/>
        <w:wordWrap/>
        <w:overflowPunct/>
        <w:topLinePunct w:val="0"/>
        <w:autoSpaceDE/>
        <w:autoSpaceDN/>
        <w:bidi w:val="0"/>
        <w:adjustRightInd/>
        <w:snapToGrid/>
        <w:spacing w:before="0" w:after="0" w:line="576" w:lineRule="exact"/>
        <w:ind w:firstLine="642"/>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val="0"/>
          <w:bCs w:val="0"/>
        </w:rPr>
        <w:t>中国人民政治协商会议四川省茂县委员会下属5个科级编制单位：政协办公室、农业委员会、经济委员会、科教文卫体委员会、提案民族宗教委员会。</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（二）机构职能</w:t>
      </w:r>
    </w:p>
    <w:p>
      <w:pPr>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政治协商、民主监督、参政议政</w:t>
      </w:r>
      <w:r>
        <w:rPr>
          <w:rFonts w:hint="eastAsia" w:ascii="仿宋_GB2312" w:hAnsi="仿宋_GB2312" w:eastAsia="仿宋_GB2312" w:cs="仿宋_GB2312"/>
          <w:sz w:val="32"/>
          <w:szCs w:val="32"/>
          <w:lang w:eastAsia="zh-CN"/>
        </w:rPr>
        <w:t>。</w:t>
      </w:r>
    </w:p>
    <w:p>
      <w:pPr>
        <w:widowControl/>
        <w:adjustRightInd w:val="0"/>
        <w:snapToGrid w:val="0"/>
        <w:spacing w:line="580" w:lineRule="exact"/>
        <w:ind w:firstLine="642"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（三）人员概况</w:t>
      </w:r>
    </w:p>
    <w:p>
      <w:pPr>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宋体" w:eastAsia="黑体" w:cs="宋体"/>
          <w:color w:val="000000"/>
          <w:kern w:val="0"/>
          <w:sz w:val="32"/>
          <w:szCs w:val="32"/>
          <w:shd w:val="clear" w:color="auto" w:fill="FFFFFF"/>
        </w:rPr>
      </w:pPr>
      <w:r>
        <w:rPr>
          <w:rFonts w:hint="eastAsia" w:ascii="仿宋_GB2312" w:eastAsia="仿宋_GB2312"/>
          <w:sz w:val="32"/>
          <w:szCs w:val="32"/>
        </w:rPr>
        <w:t>茂县政协行政编制1</w:t>
      </w:r>
      <w:r>
        <w:rPr>
          <w:rFonts w:hint="eastAsia" w:ascii="仿宋_GB2312" w:eastAsia="仿宋_GB2312"/>
          <w:sz w:val="32"/>
          <w:szCs w:val="32"/>
          <w:lang w:val="en-US" w:eastAsia="zh-CN"/>
        </w:rPr>
        <w:t>8</w:t>
      </w:r>
      <w:r>
        <w:rPr>
          <w:rFonts w:hint="eastAsia" w:ascii="仿宋_GB2312" w:eastAsia="仿宋_GB2312"/>
          <w:sz w:val="32"/>
          <w:szCs w:val="32"/>
        </w:rPr>
        <w:t>人，行政工勤编制5人，事业编制0人；行政在职4</w:t>
      </w:r>
      <w:r>
        <w:rPr>
          <w:rFonts w:hint="eastAsia" w:ascii="仿宋_GB2312" w:eastAsia="仿宋_GB2312"/>
          <w:sz w:val="32"/>
          <w:szCs w:val="32"/>
          <w:lang w:val="en-US" w:eastAsia="zh-CN"/>
        </w:rPr>
        <w:t>1</w:t>
      </w:r>
      <w:r>
        <w:rPr>
          <w:rFonts w:hint="eastAsia" w:ascii="仿宋_GB2312" w:eastAsia="仿宋_GB2312"/>
          <w:sz w:val="32"/>
          <w:szCs w:val="32"/>
        </w:rPr>
        <w:t>人，事业在职0人，遗属</w:t>
      </w:r>
      <w:r>
        <w:rPr>
          <w:rFonts w:hint="eastAsia" w:ascii="仿宋_GB2312" w:eastAsia="仿宋_GB2312"/>
          <w:sz w:val="32"/>
          <w:szCs w:val="32"/>
          <w:lang w:val="en-US" w:eastAsia="zh-CN"/>
        </w:rPr>
        <w:t>5</w:t>
      </w:r>
      <w:r>
        <w:rPr>
          <w:rFonts w:hint="eastAsia" w:ascii="仿宋_GB2312" w:eastAsia="仿宋_GB2312"/>
          <w:sz w:val="32"/>
          <w:szCs w:val="32"/>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（一）部门财政资金收入情况</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color w:val="000000"/>
          <w:kern w:val="0"/>
          <w:sz w:val="31"/>
          <w:szCs w:val="31"/>
        </w:rPr>
        <w:t>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年本部门财政拨款收入决算总额为</w:t>
      </w:r>
      <w:r>
        <w:rPr>
          <w:rFonts w:hint="eastAsia" w:ascii="仿宋_GB2312" w:hAnsi="仿宋_GB2312" w:eastAsia="仿宋_GB2312" w:cs="仿宋_GB2312"/>
          <w:color w:val="000000"/>
          <w:kern w:val="0"/>
          <w:sz w:val="31"/>
          <w:szCs w:val="31"/>
          <w:lang w:val="en-US" w:eastAsia="zh-CN"/>
        </w:rPr>
        <w:t>966.28</w:t>
      </w:r>
      <w:r>
        <w:rPr>
          <w:rFonts w:hint="eastAsia" w:ascii="仿宋_GB2312" w:hAnsi="仿宋_GB2312" w:eastAsia="仿宋_GB2312" w:cs="仿宋_GB2312"/>
          <w:color w:val="000000"/>
          <w:kern w:val="0"/>
          <w:sz w:val="31"/>
          <w:szCs w:val="31"/>
        </w:rPr>
        <w:t>万元</w:t>
      </w:r>
      <w:r>
        <w:rPr>
          <w:rFonts w:hint="eastAsia" w:ascii="仿宋_GB2312" w:hAnsi="仿宋_GB2312" w:eastAsia="仿宋_GB2312" w:cs="仿宋_GB2312"/>
          <w:color w:val="000000"/>
          <w:kern w:val="0"/>
          <w:sz w:val="31"/>
          <w:szCs w:val="31"/>
          <w:lang w:eastAsia="zh-CN"/>
        </w:rPr>
        <w:t>。</w:t>
      </w:r>
      <w:r>
        <w:rPr>
          <w:rFonts w:hint="eastAsia" w:ascii="仿宋_GB2312" w:hAnsi="仿宋_GB2312" w:eastAsia="仿宋_GB2312" w:cs="仿宋_GB2312"/>
          <w:color w:val="000000"/>
          <w:kern w:val="0"/>
          <w:sz w:val="31"/>
          <w:szCs w:val="31"/>
        </w:rPr>
        <w:t xml:space="preserve">其中：当年财政拨款收入 </w:t>
      </w:r>
      <w:r>
        <w:rPr>
          <w:rFonts w:hint="eastAsia" w:ascii="仿宋_GB2312" w:hAnsi="仿宋_GB2312" w:eastAsia="仿宋_GB2312" w:cs="仿宋_GB2312"/>
          <w:color w:val="000000"/>
          <w:kern w:val="0"/>
          <w:sz w:val="31"/>
          <w:szCs w:val="31"/>
          <w:lang w:val="en-US" w:eastAsia="zh-CN"/>
        </w:rPr>
        <w:t>966.28</w:t>
      </w:r>
      <w:r>
        <w:rPr>
          <w:rFonts w:hint="eastAsia" w:ascii="仿宋_GB2312" w:hAnsi="仿宋_GB2312" w:eastAsia="仿宋_GB2312" w:cs="仿宋_GB2312"/>
          <w:color w:val="000000"/>
          <w:kern w:val="0"/>
          <w:sz w:val="31"/>
          <w:szCs w:val="31"/>
        </w:rPr>
        <w:t xml:space="preserve"> 万元,均为一般公共预算财政拨款。 </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2"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（二）部门财政资金支出情况</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年本部门财政拨款支出决算总额</w:t>
      </w:r>
      <w:r>
        <w:rPr>
          <w:rFonts w:hint="eastAsia" w:ascii="仿宋_GB2312" w:hAnsi="仿宋_GB2312" w:eastAsia="仿宋_GB2312" w:cs="仿宋_GB2312"/>
          <w:color w:val="000000"/>
          <w:kern w:val="0"/>
          <w:sz w:val="31"/>
          <w:szCs w:val="31"/>
          <w:lang w:val="en-US" w:eastAsia="zh-CN"/>
        </w:rPr>
        <w:t>923.84</w:t>
      </w:r>
      <w:r>
        <w:rPr>
          <w:rFonts w:hint="eastAsia" w:ascii="仿宋_GB2312" w:hAnsi="仿宋_GB2312" w:eastAsia="仿宋_GB2312" w:cs="仿宋_GB2312"/>
          <w:color w:val="000000"/>
          <w:kern w:val="0"/>
          <w:sz w:val="31"/>
          <w:szCs w:val="31"/>
        </w:rPr>
        <w:t>万元。其中按功能分类，一般公共服务支出</w:t>
      </w:r>
      <w:r>
        <w:rPr>
          <w:rFonts w:hint="eastAsia" w:ascii="仿宋_GB2312" w:hAnsi="仿宋_GB2312" w:eastAsia="仿宋_GB2312" w:cs="仿宋_GB2312"/>
          <w:color w:val="000000"/>
          <w:kern w:val="0"/>
          <w:sz w:val="31"/>
          <w:szCs w:val="31"/>
          <w:lang w:val="en-US" w:eastAsia="zh-CN"/>
        </w:rPr>
        <w:t>714.16</w:t>
      </w:r>
      <w:r>
        <w:rPr>
          <w:rFonts w:hint="eastAsia" w:ascii="仿宋_GB2312" w:hAnsi="仿宋_GB2312" w:eastAsia="仿宋_GB2312" w:cs="仿宋_GB2312"/>
          <w:color w:val="000000"/>
          <w:kern w:val="0"/>
          <w:sz w:val="31"/>
          <w:szCs w:val="31"/>
        </w:rPr>
        <w:t>万元、社会保障和就业支出</w:t>
      </w:r>
      <w:r>
        <w:rPr>
          <w:rFonts w:hint="eastAsia" w:ascii="仿宋_GB2312" w:hAnsi="仿宋_GB2312" w:eastAsia="仿宋_GB2312" w:cs="仿宋_GB2312"/>
          <w:color w:val="000000"/>
          <w:kern w:val="0"/>
          <w:sz w:val="31"/>
          <w:szCs w:val="31"/>
          <w:lang w:val="en-US" w:eastAsia="zh-CN"/>
        </w:rPr>
        <w:t>94.54</w:t>
      </w:r>
      <w:r>
        <w:rPr>
          <w:rFonts w:hint="eastAsia" w:ascii="仿宋_GB2312" w:hAnsi="仿宋_GB2312" w:eastAsia="仿宋_GB2312" w:cs="仿宋_GB2312"/>
          <w:color w:val="000000"/>
          <w:kern w:val="0"/>
          <w:sz w:val="31"/>
          <w:szCs w:val="31"/>
        </w:rPr>
        <w:t>万元、医疗卫生与计划生育支出</w:t>
      </w:r>
      <w:r>
        <w:rPr>
          <w:rFonts w:hint="eastAsia" w:ascii="仿宋_GB2312" w:hAnsi="仿宋_GB2312" w:eastAsia="仿宋_GB2312" w:cs="仿宋_GB2312"/>
          <w:color w:val="000000"/>
          <w:kern w:val="0"/>
          <w:sz w:val="31"/>
          <w:szCs w:val="31"/>
          <w:lang w:val="en-US" w:eastAsia="zh-CN"/>
        </w:rPr>
        <w:t>46.17</w:t>
      </w:r>
      <w:r>
        <w:rPr>
          <w:rFonts w:hint="eastAsia" w:ascii="仿宋_GB2312" w:hAnsi="仿宋_GB2312" w:eastAsia="仿宋_GB2312" w:cs="仿宋_GB2312"/>
          <w:color w:val="000000"/>
          <w:kern w:val="0"/>
          <w:sz w:val="31"/>
          <w:szCs w:val="31"/>
        </w:rPr>
        <w:t>万元、住房保障支出</w:t>
      </w:r>
      <w:r>
        <w:rPr>
          <w:rFonts w:hint="eastAsia" w:ascii="仿宋_GB2312" w:hAnsi="仿宋_GB2312" w:eastAsia="仿宋_GB2312" w:cs="仿宋_GB2312"/>
          <w:color w:val="000000"/>
          <w:kern w:val="0"/>
          <w:sz w:val="31"/>
          <w:szCs w:val="31"/>
          <w:lang w:val="en-US" w:eastAsia="zh-CN"/>
        </w:rPr>
        <w:t>66.33</w:t>
      </w:r>
      <w:r>
        <w:rPr>
          <w:rFonts w:hint="eastAsia" w:ascii="仿宋_GB2312" w:hAnsi="仿宋_GB2312" w:eastAsia="仿宋_GB2312" w:cs="仿宋_GB2312"/>
          <w:color w:val="000000"/>
          <w:kern w:val="0"/>
          <w:sz w:val="31"/>
          <w:szCs w:val="31"/>
        </w:rPr>
        <w:t>万元；</w:t>
      </w:r>
      <w:r>
        <w:rPr>
          <w:rFonts w:hint="eastAsia" w:ascii="仿宋_GB2312" w:hAnsi="仿宋_GB2312" w:eastAsia="仿宋_GB2312" w:cs="仿宋_GB2312"/>
          <w:color w:val="000000"/>
          <w:kern w:val="0"/>
          <w:sz w:val="31"/>
          <w:szCs w:val="31"/>
          <w:lang w:eastAsia="zh-CN"/>
        </w:rPr>
        <w:t>农林水支出</w:t>
      </w:r>
      <w:r>
        <w:rPr>
          <w:rFonts w:hint="eastAsia" w:ascii="仿宋_GB2312" w:hAnsi="仿宋_GB2312" w:eastAsia="仿宋_GB2312" w:cs="仿宋_GB2312"/>
          <w:color w:val="000000"/>
          <w:kern w:val="0"/>
          <w:sz w:val="31"/>
          <w:szCs w:val="31"/>
          <w:lang w:val="en-US" w:eastAsia="zh-CN"/>
        </w:rPr>
        <w:t>2.64万元。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（一）部门预算管理</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我单位201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年以习近平新时代中国特色社会主义思想为指导，自觉践行新发展理念，根据政协职能积极谋划，确定目标任务，积极发挥公共财政职能作用，推动落实稳增长、促改革、调结构、惠民生、防风险各项工作。一是按照 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 xml:space="preserve"> 年部门预算编审要求，根据我单位职能结合中长期规划和年度工作计划，明确了年度主要工作任务及年度内履职所要达到的总体产出和效果，认真填报了我单位整体支出绩效评价指标体系，具体说明了单位预算编制、预算执行、综合管理、整体效益概况，设定了年度绩效数量指标、成本指标、效益指标等，详细反映了相应资金的工作任务、要达到的效果。二是按照《四川省省级预算绩效运行监控管理暂行办法》要求，认真组织开展单位的绩效监控工作，对预算执行各阶段完成情况进行动态跟踪监控，进一步明确完成目标可能性及时间。为有效使用财政资金，我单位根据实际工作开展情况，尽力提高财政资金使用效益，保障了单位各项工作的顺利开展。三是按照财政部门统一部署，我单位按要求公开了本部门 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 xml:space="preserve"> 年预算，按要求公开了本部门 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年决算，同时公开了绩效目标管理情况及部门整体支出绩效自评开展情况。</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（二）结果应用情况</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kern w:val="0"/>
          <w:sz w:val="31"/>
          <w:szCs w:val="31"/>
        </w:rPr>
        <w:t xml:space="preserve">我单位对部门预算绩效管理工作开展情况认真进行了自 查自评。绩效评价自查开展覆盖了单位全年支出，将评价结果作为预算执行的重要依据，大力调整支出结构，不断强化绩效 </w:t>
      </w:r>
    </w:p>
    <w:p>
      <w:pPr>
        <w:widowControl/>
        <w:adjustRightInd w:val="0"/>
        <w:snapToGrid w:val="0"/>
        <w:spacing w:line="580" w:lineRule="exact"/>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理念，推动我单位部门整体绩效管理水平不断提升</w:t>
      </w:r>
      <w:r>
        <w:rPr>
          <w:rFonts w:hint="eastAsia" w:ascii="仿宋_GB2312" w:hAnsi="仿宋_GB2312" w:eastAsia="仿宋_GB2312" w:cs="仿宋_GB2312"/>
          <w:color w:val="000000"/>
          <w:kern w:val="0"/>
          <w:sz w:val="31"/>
          <w:szCs w:val="31"/>
          <w:lang w:eastAsia="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（一）评价结论</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kern w:val="0"/>
          <w:sz w:val="31"/>
          <w:szCs w:val="31"/>
        </w:rPr>
        <w:t>201</w:t>
      </w:r>
      <w:r>
        <w:rPr>
          <w:rFonts w:hint="eastAsia" w:ascii="仿宋_GB2312" w:hAnsi="仿宋_GB2312" w:eastAsia="仿宋_GB2312" w:cs="仿宋_GB2312"/>
          <w:color w:val="000000"/>
          <w:kern w:val="0"/>
          <w:sz w:val="31"/>
          <w:szCs w:val="31"/>
          <w:lang w:val="en-US" w:eastAsia="zh-CN"/>
        </w:rPr>
        <w:t>9</w:t>
      </w:r>
      <w:r>
        <w:rPr>
          <w:rFonts w:hint="eastAsia" w:ascii="仿宋_GB2312" w:hAnsi="仿宋_GB2312" w:eastAsia="仿宋_GB2312" w:cs="仿宋_GB2312"/>
          <w:color w:val="000000"/>
          <w:kern w:val="0"/>
          <w:sz w:val="31"/>
          <w:szCs w:val="31"/>
        </w:rPr>
        <w:t xml:space="preserve"> 年我单位部门整体支出绩效评价自查自评结果良好，全年基本支出保证了部门的正常运行和日常工作的正常开 </w:t>
      </w:r>
    </w:p>
    <w:p>
      <w:pPr>
        <w:pageBreakBefore w:val="0"/>
        <w:widowControl/>
        <w:kinsoku/>
        <w:wordWrap/>
        <w:overflowPunct/>
        <w:topLinePunct w:val="0"/>
        <w:autoSpaceDE/>
        <w:autoSpaceDN/>
        <w:bidi w:val="0"/>
        <w:adjustRightInd/>
        <w:snapToGrid/>
        <w:spacing w:line="576" w:lineRule="exact"/>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展，达到了预期绩效目标。</w:t>
      </w:r>
      <w:r>
        <w:rPr>
          <w:rFonts w:hint="eastAsia" w:ascii="仿宋_GB2312" w:hAnsi="仿宋_GB2312" w:eastAsia="仿宋_GB2312" w:cs="仿宋_GB2312"/>
          <w:color w:val="000000"/>
          <w:kern w:val="0"/>
          <w:sz w:val="31"/>
          <w:szCs w:val="31"/>
          <w:lang w:eastAsia="zh-CN"/>
        </w:rPr>
        <w:t>按照《茂县财政局关于开展</w:t>
      </w:r>
      <w:r>
        <w:rPr>
          <w:rFonts w:hint="eastAsia" w:ascii="仿宋_GB2312" w:hAnsi="仿宋_GB2312" w:eastAsia="仿宋_GB2312" w:cs="仿宋_GB2312"/>
          <w:color w:val="000000"/>
          <w:kern w:val="0"/>
          <w:sz w:val="31"/>
          <w:szCs w:val="31"/>
          <w:lang w:val="en-US" w:eastAsia="zh-CN"/>
        </w:rPr>
        <w:t>2019年部门整体支出绩效评价工作的通知》的标准，茂县政协绩效评价指标体系自评得分98分。</w:t>
      </w:r>
    </w:p>
    <w:p>
      <w:pPr>
        <w:widowControl/>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（二）存在问题</w:t>
      </w:r>
    </w:p>
    <w:p>
      <w:pPr>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1"/>
          <w:szCs w:val="31"/>
        </w:rPr>
        <w:t>单位绩效目标设定有待更进一步细化、科学和合理。</w:t>
      </w:r>
    </w:p>
    <w:p>
      <w:pPr>
        <w:widowControl/>
        <w:numPr>
          <w:ilvl w:val="0"/>
          <w:numId w:val="0"/>
        </w:numPr>
        <w:adjustRightInd w:val="0"/>
        <w:snapToGrid w:val="0"/>
        <w:spacing w:line="580" w:lineRule="exact"/>
        <w:ind w:firstLine="642" w:firstLineChars="200"/>
        <w:contextualSpacing/>
        <w:jc w:val="left"/>
        <w:rPr>
          <w:rFonts w:hint="eastAsia" w:ascii="楷体_GB2312" w:hAnsi="楷体_GB2312" w:eastAsia="楷体_GB2312" w:cs="楷体_GB2312"/>
          <w:b/>
          <w:bCs/>
          <w:color w:val="000000"/>
          <w:kern w:val="0"/>
          <w:sz w:val="32"/>
          <w:szCs w:val="32"/>
          <w:shd w:val="clear" w:color="auto" w:fill="FFFFFF"/>
          <w:lang w:val="zh-CN"/>
        </w:rPr>
      </w:pPr>
      <w:r>
        <w:rPr>
          <w:rFonts w:hint="eastAsia" w:ascii="楷体_GB2312" w:hAnsi="楷体_GB2312" w:eastAsia="楷体_GB2312" w:cs="楷体_GB2312"/>
          <w:b/>
          <w:bCs/>
          <w:color w:val="000000"/>
          <w:kern w:val="0"/>
          <w:sz w:val="32"/>
          <w:szCs w:val="32"/>
          <w:shd w:val="clear" w:color="auto" w:fill="FFFFFF"/>
          <w:lang w:val="zh-CN"/>
        </w:rPr>
        <w:t>（三）改进建议</w:t>
      </w:r>
    </w:p>
    <w:p>
      <w:pPr>
        <w:keepNext w:val="0"/>
        <w:keepLines w:val="0"/>
        <w:pageBreakBefore w:val="0"/>
        <w:widowControl/>
        <w:kinsoku/>
        <w:wordWrap/>
        <w:overflowPunct/>
        <w:topLinePunct w:val="0"/>
        <w:autoSpaceDE/>
        <w:autoSpaceDN/>
        <w:bidi w:val="0"/>
        <w:adjustRightInd/>
        <w:snapToGrid/>
        <w:spacing w:line="576" w:lineRule="exact"/>
        <w:ind w:firstLine="620" w:firstLineChars="200"/>
        <w:jc w:val="both"/>
        <w:textAlignment w:val="auto"/>
        <w:rPr>
          <w:rFonts w:ascii="仿宋_GB2312" w:hAnsi="仿宋_GB2312" w:eastAsia="仿宋_GB2312" w:cs="仿宋_GB2312"/>
        </w:rPr>
      </w:pPr>
      <w:r>
        <w:rPr>
          <w:rFonts w:hint="eastAsia" w:ascii="仿宋_GB2312" w:hAnsi="仿宋_GB2312" w:eastAsia="仿宋_GB2312" w:cs="仿宋_GB2312"/>
          <w:color w:val="000000"/>
          <w:kern w:val="0"/>
          <w:sz w:val="31"/>
          <w:szCs w:val="31"/>
        </w:rPr>
        <w:t>针对存在的问题，我们将进一步科学设定绩效目标，加强预算执行管理。改进部门收支预算编制，夯实预算基础工作</w:t>
      </w:r>
      <w:r>
        <w:rPr>
          <w:rFonts w:hint="eastAsia" w:ascii="仿宋_GB2312" w:hAnsi="仿宋_GB2312" w:eastAsia="仿宋_GB2312" w:cs="仿宋_GB2312"/>
          <w:color w:val="000000"/>
          <w:kern w:val="0"/>
          <w:sz w:val="31"/>
          <w:szCs w:val="31"/>
          <w:lang w:eastAsia="zh-CN"/>
        </w:rPr>
        <w:t>，</w:t>
      </w:r>
      <w:r>
        <w:rPr>
          <w:rFonts w:hint="eastAsia" w:ascii="仿宋_GB2312" w:hAnsi="仿宋_GB2312" w:eastAsia="仿宋_GB2312" w:cs="仿宋_GB2312"/>
          <w:color w:val="000000"/>
          <w:kern w:val="0"/>
          <w:sz w:val="31"/>
          <w:szCs w:val="31"/>
        </w:rPr>
        <w:t xml:space="preserve">提高预算编制质量，努力提高财政资金的使用效益。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both"/>
        <w:outlineLvl w:val="0"/>
        <w:rPr>
          <w:rFonts w:hint="eastAsia" w:ascii="黑体" w:hAnsi="黑体" w:eastAsia="黑体"/>
          <w:color w:val="000000"/>
          <w:sz w:val="44"/>
          <w:szCs w:val="44"/>
        </w:rPr>
      </w:pPr>
      <w:bookmarkStart w:id="59" w:name="_Toc15396618"/>
    </w:p>
    <w:p>
      <w:pPr>
        <w:spacing w:line="600" w:lineRule="exact"/>
        <w:jc w:val="both"/>
        <w:outlineLvl w:val="0"/>
        <w:rPr>
          <w:rFonts w:ascii="仿宋" w:hAnsi="仿宋" w:eastAsia="仿宋"/>
          <w:b/>
          <w:color w:val="000000"/>
          <w:sz w:val="44"/>
          <w:szCs w:val="44"/>
        </w:rPr>
      </w:pPr>
      <w:r>
        <w:rPr>
          <w:rFonts w:hint="eastAsia" w:ascii="黑体" w:hAnsi="黑体" w:eastAsia="黑体"/>
          <w:color w:val="000000"/>
          <w:sz w:val="44"/>
          <w:szCs w:val="44"/>
          <w:lang w:val="en-US" w:eastAsia="zh-CN"/>
        </w:rPr>
        <w:t xml:space="preserve">          </w:t>
      </w:r>
      <w:r>
        <w:rPr>
          <w:rFonts w:hint="eastAsia" w:ascii="黑体" w:hAnsi="黑体" w:eastAsia="黑体"/>
          <w:color w:val="000000"/>
          <w:sz w:val="44"/>
          <w:szCs w:val="44"/>
        </w:rPr>
        <w:t>第</w:t>
      </w:r>
      <w:r>
        <w:rPr>
          <w:rStyle w:val="29"/>
          <w:rFonts w:hint="eastAsia" w:ascii="黑体" w:hAnsi="黑体" w:eastAsia="黑体"/>
          <w:b w:val="0"/>
        </w:rPr>
        <w:t>五部分 附表</w:t>
      </w:r>
      <w:bookmarkEnd w:id="57"/>
      <w:bookmarkEnd w:id="59"/>
    </w:p>
    <w:p>
      <w:pPr>
        <w:pStyle w:val="3"/>
        <w:rPr>
          <w:rFonts w:hint="eastAsia" w:ascii="仿宋" w:hAnsi="仿宋" w:eastAsia="仿宋"/>
          <w:b w:val="0"/>
          <w:color w:val="000000"/>
        </w:rPr>
      </w:pPr>
      <w:bookmarkStart w:id="60" w:name="_Toc15396619"/>
    </w:p>
    <w:p>
      <w:pPr>
        <w:pStyle w:val="3"/>
        <w:rPr>
          <w:rFonts w:ascii="仿宋" w:hAnsi="仿宋" w:eastAsia="仿宋"/>
          <w:color w:val="000000"/>
        </w:rPr>
      </w:pPr>
      <w:r>
        <w:rPr>
          <w:rFonts w:hint="eastAsia" w:ascii="仿宋" w:hAnsi="仿宋" w:eastAsia="仿宋"/>
          <w:b w:val="0"/>
          <w:color w:val="000000"/>
        </w:rPr>
        <w:t>一、收</w:t>
      </w:r>
      <w:r>
        <w:rPr>
          <w:rStyle w:val="30"/>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61"/>
    </w:p>
    <w:p>
      <w:pPr>
        <w:pStyle w:val="3"/>
        <w:rPr>
          <w:rFonts w:ascii="仿宋" w:hAnsi="仿宋" w:eastAsia="仿宋"/>
          <w:color w:val="000000"/>
        </w:rPr>
      </w:pPr>
      <w:bookmarkStart w:id="62"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62"/>
    </w:p>
    <w:p>
      <w:pPr>
        <w:pStyle w:val="3"/>
        <w:rPr>
          <w:rFonts w:ascii="仿宋" w:hAnsi="仿宋" w:eastAsia="仿宋"/>
          <w:b w:val="0"/>
          <w:color w:val="000000"/>
        </w:rPr>
      </w:pPr>
      <w:bookmarkStart w:id="63"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3"/>
    </w:p>
    <w:p>
      <w:pPr>
        <w:pStyle w:val="3"/>
        <w:rPr>
          <w:rStyle w:val="30"/>
          <w:rFonts w:ascii="仿宋" w:hAnsi="仿宋" w:eastAsia="仿宋"/>
          <w:b w:val="0"/>
          <w:bCs w:val="0"/>
        </w:rPr>
      </w:pPr>
      <w:bookmarkStart w:id="64"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64"/>
      <w:bookmarkStart w:id="65" w:name="_Toc15396624"/>
    </w:p>
    <w:p>
      <w:pPr>
        <w:pStyle w:val="3"/>
        <w:rPr>
          <w:rFonts w:ascii="仿宋" w:hAnsi="仿宋" w:eastAsia="仿宋"/>
          <w:color w:val="000000"/>
        </w:rPr>
      </w:pPr>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1"/>
    </w:p>
    <w:p>
      <w:pPr>
        <w:pStyle w:val="3"/>
        <w:rPr>
          <w:rFonts w:ascii="仿宋" w:hAnsi="仿宋" w:eastAsia="仿宋"/>
          <w:color w:val="000000" w:themeColor="text1"/>
          <w14:textFill>
            <w14:solidFill>
              <w14:schemeClr w14:val="tx1"/>
            </w14:solidFill>
          </w14:textFill>
        </w:rPr>
      </w:pPr>
      <w:bookmarkStart w:id="72"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2"/>
    </w:p>
    <w:p>
      <w:pPr>
        <w:pageBreakBefore w:val="0"/>
        <w:widowControl w:val="0"/>
        <w:kinsoku/>
        <w:wordWrap/>
        <w:overflowPunct/>
        <w:topLinePunct w:val="0"/>
        <w:autoSpaceDE/>
        <w:autoSpaceDN/>
        <w:bidi w:val="0"/>
        <w:adjustRightInd/>
        <w:snapToGrid/>
        <w:spacing w:line="576" w:lineRule="exact"/>
        <w:ind w:firstLine="420" w:firstLineChars="200"/>
        <w:textAlignment w:val="auto"/>
        <w:rPr>
          <w:lang w:val="en-US"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0F3C86"/>
    <w:rsid w:val="00114E9B"/>
    <w:rsid w:val="00141E15"/>
    <w:rsid w:val="0014729F"/>
    <w:rsid w:val="00157BAB"/>
    <w:rsid w:val="001654D1"/>
    <w:rsid w:val="0018106D"/>
    <w:rsid w:val="00184293"/>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3F3CAF"/>
    <w:rsid w:val="0040478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5FB5"/>
    <w:rsid w:val="005664BB"/>
    <w:rsid w:val="0057481D"/>
    <w:rsid w:val="0058486E"/>
    <w:rsid w:val="005B2F15"/>
    <w:rsid w:val="005D1C8B"/>
    <w:rsid w:val="005D5CED"/>
    <w:rsid w:val="005F1A4C"/>
    <w:rsid w:val="00605688"/>
    <w:rsid w:val="006070AF"/>
    <w:rsid w:val="00607E6C"/>
    <w:rsid w:val="006101B1"/>
    <w:rsid w:val="00614E44"/>
    <w:rsid w:val="00622830"/>
    <w:rsid w:val="00627D7A"/>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93D3B"/>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3D76"/>
    <w:rsid w:val="00F160C7"/>
    <w:rsid w:val="00F34614"/>
    <w:rsid w:val="00F36D8F"/>
    <w:rsid w:val="00F417B1"/>
    <w:rsid w:val="00F602DF"/>
    <w:rsid w:val="00F81FD9"/>
    <w:rsid w:val="00F841AA"/>
    <w:rsid w:val="00FA23E8"/>
    <w:rsid w:val="00FD3CC1"/>
    <w:rsid w:val="00FF1E02"/>
    <w:rsid w:val="00FF30B4"/>
    <w:rsid w:val="012B6082"/>
    <w:rsid w:val="012C7B18"/>
    <w:rsid w:val="01304B67"/>
    <w:rsid w:val="01765072"/>
    <w:rsid w:val="01B56F87"/>
    <w:rsid w:val="022A0E1E"/>
    <w:rsid w:val="02332E3B"/>
    <w:rsid w:val="024E51FC"/>
    <w:rsid w:val="025D1B97"/>
    <w:rsid w:val="02850738"/>
    <w:rsid w:val="02C94C58"/>
    <w:rsid w:val="02E20EC5"/>
    <w:rsid w:val="02FA33A1"/>
    <w:rsid w:val="032D4779"/>
    <w:rsid w:val="03A04F08"/>
    <w:rsid w:val="03AA6B30"/>
    <w:rsid w:val="03E567B1"/>
    <w:rsid w:val="0429524B"/>
    <w:rsid w:val="043579ED"/>
    <w:rsid w:val="049F76AE"/>
    <w:rsid w:val="04F328ED"/>
    <w:rsid w:val="052A17AA"/>
    <w:rsid w:val="05317BF5"/>
    <w:rsid w:val="05434147"/>
    <w:rsid w:val="05C1730B"/>
    <w:rsid w:val="05DA35F5"/>
    <w:rsid w:val="05E30F26"/>
    <w:rsid w:val="05E5644C"/>
    <w:rsid w:val="060501C3"/>
    <w:rsid w:val="062A0EBE"/>
    <w:rsid w:val="067363EA"/>
    <w:rsid w:val="06977672"/>
    <w:rsid w:val="075E60EB"/>
    <w:rsid w:val="0768433C"/>
    <w:rsid w:val="079F77BD"/>
    <w:rsid w:val="07D729D9"/>
    <w:rsid w:val="07F03800"/>
    <w:rsid w:val="083946BE"/>
    <w:rsid w:val="08662B2F"/>
    <w:rsid w:val="08695B03"/>
    <w:rsid w:val="08754060"/>
    <w:rsid w:val="08AB1C68"/>
    <w:rsid w:val="09533C3A"/>
    <w:rsid w:val="095E5EB8"/>
    <w:rsid w:val="09965FB2"/>
    <w:rsid w:val="09DC014A"/>
    <w:rsid w:val="0A1A01C4"/>
    <w:rsid w:val="0A300C72"/>
    <w:rsid w:val="0A5D1A3B"/>
    <w:rsid w:val="0A833568"/>
    <w:rsid w:val="0B562FAA"/>
    <w:rsid w:val="0BAF293B"/>
    <w:rsid w:val="0BB26BF4"/>
    <w:rsid w:val="0BF96070"/>
    <w:rsid w:val="0C2D5D35"/>
    <w:rsid w:val="0CD21799"/>
    <w:rsid w:val="0D297DC8"/>
    <w:rsid w:val="0DDB1C7B"/>
    <w:rsid w:val="0E3F5ECF"/>
    <w:rsid w:val="0E603C33"/>
    <w:rsid w:val="0E867115"/>
    <w:rsid w:val="0EFF0AFC"/>
    <w:rsid w:val="0F1C53BA"/>
    <w:rsid w:val="0F715200"/>
    <w:rsid w:val="0F86345D"/>
    <w:rsid w:val="0FB11239"/>
    <w:rsid w:val="0FC87F39"/>
    <w:rsid w:val="0FF65EC2"/>
    <w:rsid w:val="10574AC7"/>
    <w:rsid w:val="105D3D5C"/>
    <w:rsid w:val="10BE34C2"/>
    <w:rsid w:val="10C055FF"/>
    <w:rsid w:val="11696213"/>
    <w:rsid w:val="119D30D7"/>
    <w:rsid w:val="11F63B99"/>
    <w:rsid w:val="1214626C"/>
    <w:rsid w:val="122211FD"/>
    <w:rsid w:val="123B7BDC"/>
    <w:rsid w:val="12B57F32"/>
    <w:rsid w:val="12E11197"/>
    <w:rsid w:val="135301E7"/>
    <w:rsid w:val="13C9271E"/>
    <w:rsid w:val="13DB3F3F"/>
    <w:rsid w:val="13E95BC6"/>
    <w:rsid w:val="14173E68"/>
    <w:rsid w:val="141A58F1"/>
    <w:rsid w:val="143072C4"/>
    <w:rsid w:val="14516B2E"/>
    <w:rsid w:val="14550309"/>
    <w:rsid w:val="145B5C5D"/>
    <w:rsid w:val="14982F4D"/>
    <w:rsid w:val="15146200"/>
    <w:rsid w:val="153A40B2"/>
    <w:rsid w:val="15511981"/>
    <w:rsid w:val="159F2638"/>
    <w:rsid w:val="15C348CB"/>
    <w:rsid w:val="16043DAC"/>
    <w:rsid w:val="16394B23"/>
    <w:rsid w:val="16475262"/>
    <w:rsid w:val="16BB723D"/>
    <w:rsid w:val="170531EC"/>
    <w:rsid w:val="178366D1"/>
    <w:rsid w:val="17DC5749"/>
    <w:rsid w:val="18335635"/>
    <w:rsid w:val="18666C1C"/>
    <w:rsid w:val="186A1A6F"/>
    <w:rsid w:val="18A107A8"/>
    <w:rsid w:val="18BE0C84"/>
    <w:rsid w:val="18FC2583"/>
    <w:rsid w:val="19014F79"/>
    <w:rsid w:val="19343CE1"/>
    <w:rsid w:val="197F4ADC"/>
    <w:rsid w:val="19943836"/>
    <w:rsid w:val="1A7C0373"/>
    <w:rsid w:val="1B01574B"/>
    <w:rsid w:val="1B0D0A96"/>
    <w:rsid w:val="1B1E6C0B"/>
    <w:rsid w:val="1BBA0DFF"/>
    <w:rsid w:val="1BCB4EC2"/>
    <w:rsid w:val="1BD00936"/>
    <w:rsid w:val="1C0B45A4"/>
    <w:rsid w:val="1C0E6B4C"/>
    <w:rsid w:val="1C226C55"/>
    <w:rsid w:val="1C4516C7"/>
    <w:rsid w:val="1D7821C0"/>
    <w:rsid w:val="1DF86499"/>
    <w:rsid w:val="1E2D3289"/>
    <w:rsid w:val="1E4A7593"/>
    <w:rsid w:val="1E533BDC"/>
    <w:rsid w:val="1E56384D"/>
    <w:rsid w:val="1E627148"/>
    <w:rsid w:val="1F0316B8"/>
    <w:rsid w:val="1F0662F9"/>
    <w:rsid w:val="1F472536"/>
    <w:rsid w:val="1F5C5E8D"/>
    <w:rsid w:val="1F780FEF"/>
    <w:rsid w:val="1FD21941"/>
    <w:rsid w:val="209E0543"/>
    <w:rsid w:val="20B535EE"/>
    <w:rsid w:val="214F77CC"/>
    <w:rsid w:val="216B6984"/>
    <w:rsid w:val="21816CC9"/>
    <w:rsid w:val="21B632E7"/>
    <w:rsid w:val="21EA6A19"/>
    <w:rsid w:val="21ED0039"/>
    <w:rsid w:val="221023DF"/>
    <w:rsid w:val="221E03B9"/>
    <w:rsid w:val="222A6163"/>
    <w:rsid w:val="223C3697"/>
    <w:rsid w:val="227721F1"/>
    <w:rsid w:val="22A3336A"/>
    <w:rsid w:val="22F21354"/>
    <w:rsid w:val="230B5017"/>
    <w:rsid w:val="231C40C0"/>
    <w:rsid w:val="236446D1"/>
    <w:rsid w:val="23AC4BEF"/>
    <w:rsid w:val="23CE6908"/>
    <w:rsid w:val="240371BF"/>
    <w:rsid w:val="24311DEB"/>
    <w:rsid w:val="24477A21"/>
    <w:rsid w:val="244C3DC8"/>
    <w:rsid w:val="246B7678"/>
    <w:rsid w:val="24801EE9"/>
    <w:rsid w:val="248113E4"/>
    <w:rsid w:val="24AF11E6"/>
    <w:rsid w:val="24B13ADC"/>
    <w:rsid w:val="24DB4FF2"/>
    <w:rsid w:val="256F3591"/>
    <w:rsid w:val="259275E3"/>
    <w:rsid w:val="25B24852"/>
    <w:rsid w:val="266621E2"/>
    <w:rsid w:val="26D92802"/>
    <w:rsid w:val="270770FF"/>
    <w:rsid w:val="27176BBF"/>
    <w:rsid w:val="27765164"/>
    <w:rsid w:val="278C67D7"/>
    <w:rsid w:val="27BA0252"/>
    <w:rsid w:val="27EB39A8"/>
    <w:rsid w:val="281906FD"/>
    <w:rsid w:val="2889129E"/>
    <w:rsid w:val="2893555C"/>
    <w:rsid w:val="289F4079"/>
    <w:rsid w:val="28A91B7E"/>
    <w:rsid w:val="29006A5E"/>
    <w:rsid w:val="29D23E1C"/>
    <w:rsid w:val="29FD04D3"/>
    <w:rsid w:val="2A1A7D40"/>
    <w:rsid w:val="2A46042C"/>
    <w:rsid w:val="2A662B8E"/>
    <w:rsid w:val="2AB15BCE"/>
    <w:rsid w:val="2ADC2DD4"/>
    <w:rsid w:val="2B0D5CA1"/>
    <w:rsid w:val="2B503D6F"/>
    <w:rsid w:val="2B723288"/>
    <w:rsid w:val="2B8126C6"/>
    <w:rsid w:val="2B8A2C69"/>
    <w:rsid w:val="2B8C3FF6"/>
    <w:rsid w:val="2B9A3F81"/>
    <w:rsid w:val="2BD923C5"/>
    <w:rsid w:val="2BEB79AD"/>
    <w:rsid w:val="2C411696"/>
    <w:rsid w:val="2C6305B6"/>
    <w:rsid w:val="2CA8146D"/>
    <w:rsid w:val="2CF55897"/>
    <w:rsid w:val="2CFE2920"/>
    <w:rsid w:val="2D5B6D4E"/>
    <w:rsid w:val="2D627693"/>
    <w:rsid w:val="2D7E6EC5"/>
    <w:rsid w:val="2DD222F4"/>
    <w:rsid w:val="2DD3136C"/>
    <w:rsid w:val="2EBE2DB6"/>
    <w:rsid w:val="2EC302B5"/>
    <w:rsid w:val="2ECF7036"/>
    <w:rsid w:val="2ED16648"/>
    <w:rsid w:val="2EDE08C2"/>
    <w:rsid w:val="2F0552FA"/>
    <w:rsid w:val="2F7A459F"/>
    <w:rsid w:val="2FA25D99"/>
    <w:rsid w:val="2FCA46FA"/>
    <w:rsid w:val="2FDD1137"/>
    <w:rsid w:val="30226E05"/>
    <w:rsid w:val="303268A2"/>
    <w:rsid w:val="303645A7"/>
    <w:rsid w:val="309A0003"/>
    <w:rsid w:val="30F37399"/>
    <w:rsid w:val="30F93795"/>
    <w:rsid w:val="310D22A7"/>
    <w:rsid w:val="319F7F4E"/>
    <w:rsid w:val="32162521"/>
    <w:rsid w:val="327A226D"/>
    <w:rsid w:val="32A84E2A"/>
    <w:rsid w:val="32B145B0"/>
    <w:rsid w:val="32CF5C10"/>
    <w:rsid w:val="334B2012"/>
    <w:rsid w:val="3376451E"/>
    <w:rsid w:val="338D7557"/>
    <w:rsid w:val="33E34671"/>
    <w:rsid w:val="340830DF"/>
    <w:rsid w:val="341C4D47"/>
    <w:rsid w:val="345F08A2"/>
    <w:rsid w:val="347844E9"/>
    <w:rsid w:val="34996895"/>
    <w:rsid w:val="34A25DE3"/>
    <w:rsid w:val="354F7377"/>
    <w:rsid w:val="36141069"/>
    <w:rsid w:val="3641117A"/>
    <w:rsid w:val="37114488"/>
    <w:rsid w:val="371C3CEC"/>
    <w:rsid w:val="37315788"/>
    <w:rsid w:val="37410BCD"/>
    <w:rsid w:val="37607FB1"/>
    <w:rsid w:val="37A14067"/>
    <w:rsid w:val="37A4365D"/>
    <w:rsid w:val="392C76D1"/>
    <w:rsid w:val="39635907"/>
    <w:rsid w:val="398061CC"/>
    <w:rsid w:val="398654B2"/>
    <w:rsid w:val="39987C6B"/>
    <w:rsid w:val="39CB7C9B"/>
    <w:rsid w:val="3A8C3386"/>
    <w:rsid w:val="3A9158B5"/>
    <w:rsid w:val="3B640986"/>
    <w:rsid w:val="3C73263F"/>
    <w:rsid w:val="3CA14809"/>
    <w:rsid w:val="3D060FFA"/>
    <w:rsid w:val="3D127A99"/>
    <w:rsid w:val="3D170717"/>
    <w:rsid w:val="3D1E72A9"/>
    <w:rsid w:val="3DAE657F"/>
    <w:rsid w:val="3DC647D2"/>
    <w:rsid w:val="3DE97830"/>
    <w:rsid w:val="3E0D57FB"/>
    <w:rsid w:val="3EB2206F"/>
    <w:rsid w:val="3F0B25B7"/>
    <w:rsid w:val="3F1467A0"/>
    <w:rsid w:val="3FF33221"/>
    <w:rsid w:val="402C49CC"/>
    <w:rsid w:val="403C74A0"/>
    <w:rsid w:val="407C0980"/>
    <w:rsid w:val="409B036A"/>
    <w:rsid w:val="40C41A35"/>
    <w:rsid w:val="40EA6666"/>
    <w:rsid w:val="414D12B4"/>
    <w:rsid w:val="41940E89"/>
    <w:rsid w:val="41A61BFF"/>
    <w:rsid w:val="41AF4487"/>
    <w:rsid w:val="41C86F0C"/>
    <w:rsid w:val="42261F5B"/>
    <w:rsid w:val="423172FA"/>
    <w:rsid w:val="424D4F9B"/>
    <w:rsid w:val="42594F96"/>
    <w:rsid w:val="428444B3"/>
    <w:rsid w:val="42AE3EC5"/>
    <w:rsid w:val="435E1A97"/>
    <w:rsid w:val="43EE33D6"/>
    <w:rsid w:val="44E116D4"/>
    <w:rsid w:val="44E66ECD"/>
    <w:rsid w:val="457E3E6E"/>
    <w:rsid w:val="45D02BFA"/>
    <w:rsid w:val="46132183"/>
    <w:rsid w:val="462A343C"/>
    <w:rsid w:val="46964413"/>
    <w:rsid w:val="476F7567"/>
    <w:rsid w:val="481911B6"/>
    <w:rsid w:val="489C32FF"/>
    <w:rsid w:val="48F25627"/>
    <w:rsid w:val="48F60B81"/>
    <w:rsid w:val="49030D4B"/>
    <w:rsid w:val="492B5975"/>
    <w:rsid w:val="49334660"/>
    <w:rsid w:val="49955A8B"/>
    <w:rsid w:val="49E03B08"/>
    <w:rsid w:val="49EF7E86"/>
    <w:rsid w:val="4A2156C1"/>
    <w:rsid w:val="4A394323"/>
    <w:rsid w:val="4A461752"/>
    <w:rsid w:val="4A9B10CB"/>
    <w:rsid w:val="4AAC63BE"/>
    <w:rsid w:val="4B015824"/>
    <w:rsid w:val="4B0F2F77"/>
    <w:rsid w:val="4BE95DB0"/>
    <w:rsid w:val="4BF84A8B"/>
    <w:rsid w:val="4C137A24"/>
    <w:rsid w:val="4C1D7CE5"/>
    <w:rsid w:val="4C1F2254"/>
    <w:rsid w:val="4CEF20C8"/>
    <w:rsid w:val="4D796036"/>
    <w:rsid w:val="4D913E6D"/>
    <w:rsid w:val="4DCA6E2C"/>
    <w:rsid w:val="4DFB2B8C"/>
    <w:rsid w:val="4E6122CE"/>
    <w:rsid w:val="4EEE53D7"/>
    <w:rsid w:val="4F432616"/>
    <w:rsid w:val="4F5469B8"/>
    <w:rsid w:val="504D343E"/>
    <w:rsid w:val="50E67DE6"/>
    <w:rsid w:val="511563F5"/>
    <w:rsid w:val="511B2E72"/>
    <w:rsid w:val="514D572B"/>
    <w:rsid w:val="515A376C"/>
    <w:rsid w:val="51D41C36"/>
    <w:rsid w:val="51FB4A8F"/>
    <w:rsid w:val="5211121C"/>
    <w:rsid w:val="523B76AC"/>
    <w:rsid w:val="52462D4D"/>
    <w:rsid w:val="526844E9"/>
    <w:rsid w:val="52BE3045"/>
    <w:rsid w:val="52C24DD6"/>
    <w:rsid w:val="5399368B"/>
    <w:rsid w:val="543364A8"/>
    <w:rsid w:val="548C4C4C"/>
    <w:rsid w:val="54BF78FA"/>
    <w:rsid w:val="54D161D2"/>
    <w:rsid w:val="5519749E"/>
    <w:rsid w:val="552B48BF"/>
    <w:rsid w:val="553800C8"/>
    <w:rsid w:val="554E1B69"/>
    <w:rsid w:val="55582718"/>
    <w:rsid w:val="556428AE"/>
    <w:rsid w:val="56253812"/>
    <w:rsid w:val="56422D33"/>
    <w:rsid w:val="56F722F3"/>
    <w:rsid w:val="57434874"/>
    <w:rsid w:val="577108F7"/>
    <w:rsid w:val="577F641F"/>
    <w:rsid w:val="578375E2"/>
    <w:rsid w:val="57A82EE9"/>
    <w:rsid w:val="58433442"/>
    <w:rsid w:val="589B20BC"/>
    <w:rsid w:val="58A92A94"/>
    <w:rsid w:val="593B4764"/>
    <w:rsid w:val="596A66D4"/>
    <w:rsid w:val="59896B2E"/>
    <w:rsid w:val="5A215BEF"/>
    <w:rsid w:val="5A3211D8"/>
    <w:rsid w:val="5AFC3681"/>
    <w:rsid w:val="5B38305B"/>
    <w:rsid w:val="5B4772E9"/>
    <w:rsid w:val="5B543421"/>
    <w:rsid w:val="5B8573D2"/>
    <w:rsid w:val="5BD83DE4"/>
    <w:rsid w:val="5BEB0B70"/>
    <w:rsid w:val="5C517903"/>
    <w:rsid w:val="5C7F2CF3"/>
    <w:rsid w:val="5D0A3E3F"/>
    <w:rsid w:val="5D277062"/>
    <w:rsid w:val="5D450488"/>
    <w:rsid w:val="5D774724"/>
    <w:rsid w:val="5D86599D"/>
    <w:rsid w:val="5D980ACC"/>
    <w:rsid w:val="5DC0389D"/>
    <w:rsid w:val="5DD102E1"/>
    <w:rsid w:val="5E113916"/>
    <w:rsid w:val="5E3955B7"/>
    <w:rsid w:val="5E5D100D"/>
    <w:rsid w:val="5EA700D2"/>
    <w:rsid w:val="5EF260F7"/>
    <w:rsid w:val="5F1F4509"/>
    <w:rsid w:val="5F231ECF"/>
    <w:rsid w:val="5F407741"/>
    <w:rsid w:val="5F7311B7"/>
    <w:rsid w:val="5F887C8A"/>
    <w:rsid w:val="5F9B4215"/>
    <w:rsid w:val="5FBB68E3"/>
    <w:rsid w:val="5FBB6D0F"/>
    <w:rsid w:val="5FE72B64"/>
    <w:rsid w:val="600B4F7E"/>
    <w:rsid w:val="600C119F"/>
    <w:rsid w:val="60165B31"/>
    <w:rsid w:val="609F28D1"/>
    <w:rsid w:val="60D83064"/>
    <w:rsid w:val="60FD6E2C"/>
    <w:rsid w:val="61372C09"/>
    <w:rsid w:val="618A11CB"/>
    <w:rsid w:val="619A3418"/>
    <w:rsid w:val="619F0739"/>
    <w:rsid w:val="61AE689D"/>
    <w:rsid w:val="61C0401C"/>
    <w:rsid w:val="61D925AC"/>
    <w:rsid w:val="62114FAF"/>
    <w:rsid w:val="6244207C"/>
    <w:rsid w:val="628802CC"/>
    <w:rsid w:val="62C83821"/>
    <w:rsid w:val="62FD4F0F"/>
    <w:rsid w:val="63391239"/>
    <w:rsid w:val="63584831"/>
    <w:rsid w:val="645B6138"/>
    <w:rsid w:val="645E3B5E"/>
    <w:rsid w:val="64A1490A"/>
    <w:rsid w:val="654D2919"/>
    <w:rsid w:val="65983098"/>
    <w:rsid w:val="65B67F29"/>
    <w:rsid w:val="6637551D"/>
    <w:rsid w:val="664305D1"/>
    <w:rsid w:val="664A38BC"/>
    <w:rsid w:val="66763DED"/>
    <w:rsid w:val="66960195"/>
    <w:rsid w:val="66FE1FAD"/>
    <w:rsid w:val="670905C0"/>
    <w:rsid w:val="67567645"/>
    <w:rsid w:val="67821CAB"/>
    <w:rsid w:val="679828DA"/>
    <w:rsid w:val="67AF2E5A"/>
    <w:rsid w:val="6807687D"/>
    <w:rsid w:val="68271AC0"/>
    <w:rsid w:val="68345F67"/>
    <w:rsid w:val="68682A64"/>
    <w:rsid w:val="68B24E31"/>
    <w:rsid w:val="690C1A50"/>
    <w:rsid w:val="69175016"/>
    <w:rsid w:val="696A00B7"/>
    <w:rsid w:val="69AD2850"/>
    <w:rsid w:val="69B12D35"/>
    <w:rsid w:val="6A475F02"/>
    <w:rsid w:val="6A6825B0"/>
    <w:rsid w:val="6A6C5C4C"/>
    <w:rsid w:val="6ABE0050"/>
    <w:rsid w:val="6B024693"/>
    <w:rsid w:val="6B5E22DC"/>
    <w:rsid w:val="6B785F3E"/>
    <w:rsid w:val="6B7F4E4D"/>
    <w:rsid w:val="6B933F9A"/>
    <w:rsid w:val="6B9D48AC"/>
    <w:rsid w:val="6BAA6E73"/>
    <w:rsid w:val="6BAF4120"/>
    <w:rsid w:val="6C0E4EBF"/>
    <w:rsid w:val="6C422E8B"/>
    <w:rsid w:val="6C6E404B"/>
    <w:rsid w:val="6C913C5E"/>
    <w:rsid w:val="6CCF6DE7"/>
    <w:rsid w:val="6CD90514"/>
    <w:rsid w:val="6DCB2151"/>
    <w:rsid w:val="6DD10454"/>
    <w:rsid w:val="6E056DD5"/>
    <w:rsid w:val="6E5E0007"/>
    <w:rsid w:val="6ECD4146"/>
    <w:rsid w:val="6EEE5F67"/>
    <w:rsid w:val="6F0D0EA9"/>
    <w:rsid w:val="6F274523"/>
    <w:rsid w:val="6F7878CF"/>
    <w:rsid w:val="6F992D1E"/>
    <w:rsid w:val="70260878"/>
    <w:rsid w:val="7040445D"/>
    <w:rsid w:val="70577153"/>
    <w:rsid w:val="70A44954"/>
    <w:rsid w:val="70FD34ED"/>
    <w:rsid w:val="7106514E"/>
    <w:rsid w:val="712566F1"/>
    <w:rsid w:val="71504AC1"/>
    <w:rsid w:val="715D0ADA"/>
    <w:rsid w:val="717258BF"/>
    <w:rsid w:val="717F78D3"/>
    <w:rsid w:val="71B67FB7"/>
    <w:rsid w:val="71B75488"/>
    <w:rsid w:val="7250635E"/>
    <w:rsid w:val="725A1259"/>
    <w:rsid w:val="72821E59"/>
    <w:rsid w:val="72F811AA"/>
    <w:rsid w:val="735858A7"/>
    <w:rsid w:val="73BA515F"/>
    <w:rsid w:val="73E53F15"/>
    <w:rsid w:val="748B4C88"/>
    <w:rsid w:val="748C43D2"/>
    <w:rsid w:val="755156F1"/>
    <w:rsid w:val="755F17DF"/>
    <w:rsid w:val="75603B6E"/>
    <w:rsid w:val="75A24E52"/>
    <w:rsid w:val="75A83AA0"/>
    <w:rsid w:val="75B235EF"/>
    <w:rsid w:val="75BF4C38"/>
    <w:rsid w:val="75D518F3"/>
    <w:rsid w:val="75D95BA5"/>
    <w:rsid w:val="75E37661"/>
    <w:rsid w:val="75F82BCF"/>
    <w:rsid w:val="76032A89"/>
    <w:rsid w:val="76167CD3"/>
    <w:rsid w:val="763E5296"/>
    <w:rsid w:val="765F7017"/>
    <w:rsid w:val="76677C05"/>
    <w:rsid w:val="767E7591"/>
    <w:rsid w:val="76EB6B91"/>
    <w:rsid w:val="77004A23"/>
    <w:rsid w:val="77266590"/>
    <w:rsid w:val="77D35477"/>
    <w:rsid w:val="77D74FD9"/>
    <w:rsid w:val="77E43AE2"/>
    <w:rsid w:val="78234E6D"/>
    <w:rsid w:val="791D7A95"/>
    <w:rsid w:val="79914595"/>
    <w:rsid w:val="799D1320"/>
    <w:rsid w:val="7A430660"/>
    <w:rsid w:val="7A512EF7"/>
    <w:rsid w:val="7AA1227C"/>
    <w:rsid w:val="7AB306CF"/>
    <w:rsid w:val="7B3068B8"/>
    <w:rsid w:val="7B883DF7"/>
    <w:rsid w:val="7B892764"/>
    <w:rsid w:val="7BAB220E"/>
    <w:rsid w:val="7BB77BBC"/>
    <w:rsid w:val="7BC10986"/>
    <w:rsid w:val="7BD20A04"/>
    <w:rsid w:val="7C136E5D"/>
    <w:rsid w:val="7C3100B7"/>
    <w:rsid w:val="7C7750D1"/>
    <w:rsid w:val="7C7B02B7"/>
    <w:rsid w:val="7D277493"/>
    <w:rsid w:val="7D45328D"/>
    <w:rsid w:val="7D4D6058"/>
    <w:rsid w:val="7D572836"/>
    <w:rsid w:val="7D756CDC"/>
    <w:rsid w:val="7D8E495B"/>
    <w:rsid w:val="7D947676"/>
    <w:rsid w:val="7DA470FB"/>
    <w:rsid w:val="7E1D05D5"/>
    <w:rsid w:val="7E331F33"/>
    <w:rsid w:val="7E355AD7"/>
    <w:rsid w:val="7E402F90"/>
    <w:rsid w:val="7E4E66B1"/>
    <w:rsid w:val="7E9060BD"/>
    <w:rsid w:val="7EA67623"/>
    <w:rsid w:val="7F0E1A1C"/>
    <w:rsid w:val="7F3E404E"/>
    <w:rsid w:val="7F495A11"/>
    <w:rsid w:val="7F7A13D6"/>
    <w:rsid w:val="7FBB797D"/>
    <w:rsid w:val="7FD97D3A"/>
    <w:rsid w:val="7FDB201B"/>
    <w:rsid w:val="EEFF357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列出段落1"/>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character" w:customStyle="1" w:styleId="29">
    <w:name w:val="标题 1 字符"/>
    <w:basedOn w:val="13"/>
    <w:link w:val="2"/>
    <w:qFormat/>
    <w:uiPriority w:val="9"/>
    <w:rPr>
      <w:rFonts w:ascii="Times New Roman" w:hAnsi="Times New Roman"/>
      <w:b/>
      <w:bCs/>
      <w:kern w:val="44"/>
      <w:sz w:val="44"/>
      <w:szCs w:val="44"/>
    </w:rPr>
  </w:style>
  <w:style w:type="character" w:customStyle="1" w:styleId="30">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3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41"/>
    <customShpInfo spid="_x0000_s1042"/>
    <customShpInfo spid="_x0000_s1043"/>
    <customShpInfo spid="_x0000_s1044"/>
    <customShpInfo spid="_x0000_s1045"/>
    <customShpInfo spid="_x0000_s1046"/>
    <customShpInfo spid="_x0000_s104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8425</Words>
  <Characters>2207</Characters>
  <Lines>18</Lines>
  <Paragraphs>21</Paragraphs>
  <TotalTime>0</TotalTime>
  <ScaleCrop>false</ScaleCrop>
  <LinksUpToDate>false</LinksUpToDate>
  <CharactersWithSpaces>10611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2019-09-25T09:52:00Z</cp:lastPrinted>
  <dcterms:modified xsi:type="dcterms:W3CDTF">2023-07-13T22:23:31Z</dcterms:modified>
  <dc:title>四川省***</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C6D648AEED1D41C5E308B0647783E683</vt:lpwstr>
  </property>
</Properties>
</file>