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161" w:name="_GoBack"/>
      <w:bookmarkEnd w:id="16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1" w:name="_Toc15378441"/>
      <w:bookmarkStart w:id="2" w:name="_Toc15377193"/>
      <w:bookmarkStart w:id="3" w:name="_Toc15396475"/>
      <w:bookmarkStart w:id="4" w:name="_Toc15377425"/>
      <w:bookmarkStart w:id="5" w:name="_Toc15396597"/>
      <w:r>
        <w:rPr>
          <w:rFonts w:ascii="方正小标宋简体" w:hAnsi="方正小标宋简体" w:eastAsia="方正小标宋简体" w:cs="方正小标宋简体"/>
          <w:color w:val="000000"/>
          <w:sz w:val="44"/>
          <w:szCs w:val="44"/>
        </w:rPr>
        <w:t>2020</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6" w:name="_Toc15377426"/>
      <w:bookmarkStart w:id="7" w:name="_Toc15396598"/>
      <w:bookmarkStart w:id="8" w:name="_Toc15378442"/>
      <w:bookmarkStart w:id="9" w:name="_Toc15377194"/>
      <w:bookmarkStart w:id="10" w:name="_Toc15396476"/>
      <w:r>
        <w:rPr>
          <w:rFonts w:hint="eastAsia" w:ascii="方正小标宋简体" w:hAnsi="方正小标宋简体" w:eastAsia="方正小标宋简体" w:cs="方正小标宋简体"/>
          <w:color w:val="000000"/>
          <w:sz w:val="44"/>
          <w:szCs w:val="44"/>
        </w:rPr>
        <w:t>四川省茂县</w:t>
      </w:r>
      <w:bookmarkEnd w:id="0"/>
      <w:bookmarkStart w:id="11" w:name="_Toc15306268"/>
      <w:r>
        <w:rPr>
          <w:rFonts w:hint="eastAsia" w:ascii="方正小标宋简体" w:hAnsi="方正小标宋简体" w:eastAsia="方正小标宋简体" w:cs="方正小标宋简体"/>
          <w:color w:val="000000"/>
          <w:sz w:val="44"/>
          <w:szCs w:val="44"/>
        </w:rPr>
        <w:t>政协办公室部门决算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djustRightInd w:val="0"/>
        <w:snapToGrid w:val="0"/>
        <w:spacing w:line="360" w:lineRule="auto"/>
        <w:ind w:firstLine="1600" w:firstLineChars="500"/>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保密审查情况：</w:t>
      </w:r>
    </w:p>
    <w:p>
      <w:pPr>
        <w:adjustRightInd w:val="0"/>
        <w:snapToGrid w:val="0"/>
        <w:spacing w:line="360" w:lineRule="auto"/>
        <w:ind w:firstLine="1600" w:firstLineChars="500"/>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hint="eastAsia" w:ascii="方正小标宋简体" w:hAnsi="宋体" w:eastAsia="方正小标宋简体"/>
          <w:color w:val="000000"/>
          <w:sz w:val="36"/>
          <w:szCs w:val="36"/>
        </w:rPr>
      </w:pPr>
      <w:r>
        <w:rPr>
          <w:rFonts w:ascii="方正小标宋简体" w:hAnsi="宋体" w:eastAsia="方正小标宋简体"/>
          <w:sz w:val="36"/>
          <w:szCs w:val="36"/>
        </w:rPr>
        <w:br w:type="page"/>
      </w:r>
      <w:r>
        <w:rPr>
          <w:rFonts w:hint="eastAsia" w:ascii="方正小标宋简体" w:hAnsi="宋体" w:eastAsia="方正小标宋简体"/>
          <w:color w:val="000000"/>
          <w:sz w:val="36"/>
          <w:szCs w:val="36"/>
        </w:rPr>
        <w:t>目录</w:t>
      </w:r>
    </w:p>
    <w:p>
      <w:pPr>
        <w:pStyle w:val="14"/>
        <w:jc w:val="center"/>
        <w:rPr>
          <w:rFonts w:hint="eastAsia" w:ascii="仿宋" w:hAnsi="仿宋" w:eastAsia="仿宋" w:cs="仿宋"/>
          <w:color w:val="000000"/>
          <w:sz w:val="30"/>
          <w:szCs w:val="30"/>
        </w:rPr>
      </w:pPr>
      <w:r>
        <w:rPr>
          <w:rFonts w:hint="eastAsia" w:ascii="仿宋" w:hAnsi="仿宋" w:eastAsia="仿宋" w:cs="仿宋"/>
          <w:b w:val="0"/>
          <w:bCs w:val="0"/>
          <w:sz w:val="30"/>
          <w:szCs w:val="30"/>
        </w:rPr>
        <w:t>公开时间：2021年</w:t>
      </w:r>
      <w:r>
        <w:rPr>
          <w:rFonts w:hint="eastAsia" w:ascii="仿宋" w:hAnsi="仿宋" w:eastAsia="仿宋" w:cs="仿宋"/>
          <w:b w:val="0"/>
          <w:bCs w:val="0"/>
          <w:sz w:val="30"/>
          <w:szCs w:val="30"/>
          <w:lang w:val="en-US" w:eastAsia="zh-CN"/>
        </w:rPr>
        <w:t>9</w:t>
      </w:r>
      <w:r>
        <w:rPr>
          <w:rFonts w:hint="eastAsia" w:ascii="仿宋" w:hAnsi="仿宋" w:eastAsia="仿宋" w:cs="仿宋"/>
          <w:b w:val="0"/>
          <w:bCs w:val="0"/>
          <w:sz w:val="30"/>
          <w:szCs w:val="30"/>
        </w:rPr>
        <w:t xml:space="preserve"> 月</w:t>
      </w:r>
      <w:r>
        <w:rPr>
          <w:rFonts w:hint="eastAsia" w:ascii="仿宋" w:hAnsi="仿宋" w:eastAsia="仿宋" w:cs="仿宋"/>
          <w:b w:val="0"/>
          <w:bCs w:val="0"/>
          <w:sz w:val="30"/>
          <w:szCs w:val="30"/>
          <w:lang w:val="en-US" w:eastAsia="zh-CN"/>
        </w:rPr>
        <w:t>27</w:t>
      </w:r>
      <w:r>
        <w:rPr>
          <w:rFonts w:hint="eastAsia" w:ascii="仿宋" w:hAnsi="仿宋" w:eastAsia="仿宋" w:cs="仿宋"/>
          <w:b w:val="0"/>
          <w:bCs w:val="0"/>
          <w:sz w:val="30"/>
          <w:szCs w:val="30"/>
        </w:rPr>
        <w:t xml:space="preserve"> 日</w:t>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TOC \o \u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第一部分 部门概况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_Toc79163851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5</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一、基本职能及主要工作</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_Toc79163852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5</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（一）主要职能</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_Toc79163853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5</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（二）2020年重点工作完成情况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_Toc79163854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5</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二、机构设置</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_Toc79163855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5</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第二部分 2020年度部门决算情况说明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_Toc79163859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7</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一、收入支出决算总体情况说明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_Toc79163860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7</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二、收入决算情况说明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_Toc79163861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7</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三、支出决算情况说明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_Toc79163862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8</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四、财政拨款收入支出决算总体情况说明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_Toc79163863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8</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五、一般公共预算财政拨款支出决算情况说明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_Toc79163864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9</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（一）一般公共预算财政拨款支出决算总体情况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_Toc79163865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9</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（二）一般公共预算财政拨款支出决算结构情况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_Toc79163866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9</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（三）一般公共预算财政拨款支出决算具体情况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_Toc79163867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10</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六、一般公共预算财政拨款基本支出决算情况说明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_Toc79163868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11</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七、“三公”经费财政拨款支出决算情况说明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_Toc79163869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11</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（一）“三公”经费财政拨款支出决算总体情况说明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_Toc79163870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11</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（二）“三公”经费财政拨款支出决算具体情况说明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_Toc79163871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11</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八、政府性基金预算支出决算情况说明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_Toc79163872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13</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九、 国有资本经营预算支出决算情况说明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_Toc79163873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13</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十、其他重要事项的情况说明</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_Toc79163874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13</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（一）机关运行经费支出情况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_Toc79163875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13</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（二）政府采购支出情况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_Toc79163876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13</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（三）国有资产占有使用情况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_Toc79163877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14</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（四）预算绩效管理情况</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_Toc79163878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14</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第三部分 名词解释</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_Toc79163879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17</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第四部分 附件</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_Toc79163880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19</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附件1茂县政协办公室2020年部门整体支出绩效评价报告</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_Toc79163881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19</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第五部分 附表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_Toc79163885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一、收入支出决算总表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_Toc79163886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二、收入决算表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_Toc79163887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三、支出决算表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_Toc79163888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四、财政拨款收入支出决算总表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_Toc79163889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五、财政拨款支出决算明细表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_Toc79163890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六、一般公共预算财政拨款支出决算表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_Toc79163891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七、一般公共预算财政拨款支出决算明细表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_Toc79163892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八、一般公共预算财政拨款基本支出决算表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_Toc79163893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九、一般公共预算财政拨款项目支出决算表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_Toc79163894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十、一般公共预算财政拨款“三公”经费支出决算表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_Toc79163895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十一、政府性基金预算财政拨款收入支出决算表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_Toc79163896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十二、政府性基金预算财政拨款“三公”经费支出决算表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_Toc79163897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十三、国有资本经营预算财政拨款支出决算表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_Toc79163898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hint="eastAsia" w:ascii="仿宋" w:hAnsi="仿宋" w:eastAsia="仿宋" w:cs="仿宋"/>
          <w:b w:val="0"/>
          <w:bCs w:val="0"/>
          <w:caps w:val="0"/>
          <w:sz w:val="30"/>
          <w:szCs w:val="30"/>
        </w:rPr>
      </w:pPr>
      <w:r>
        <w:rPr>
          <w:rFonts w:hint="eastAsia" w:ascii="仿宋" w:hAnsi="仿宋" w:eastAsia="仿宋" w:cs="仿宋"/>
          <w:b w:val="0"/>
          <w:bCs w:val="0"/>
          <w:caps w:val="0"/>
          <w:sz w:val="30"/>
          <w:szCs w:val="30"/>
        </w:rPr>
        <w:t>十四、国有资本经营预算财政拨款支出决算表</w:t>
      </w:r>
      <w:r>
        <w:rPr>
          <w:rFonts w:hint="eastAsia" w:ascii="仿宋" w:hAnsi="仿宋" w:eastAsia="仿宋" w:cs="仿宋"/>
          <w:b w:val="0"/>
          <w:bCs w:val="0"/>
          <w:caps w:val="0"/>
          <w:sz w:val="30"/>
          <w:szCs w:val="30"/>
        </w:rPr>
        <w:tab/>
      </w:r>
      <w:r>
        <w:rPr>
          <w:rFonts w:hint="eastAsia" w:ascii="仿宋" w:hAnsi="仿宋" w:eastAsia="仿宋" w:cs="仿宋"/>
          <w:b w:val="0"/>
          <w:bCs w:val="0"/>
          <w:caps w:val="0"/>
          <w:sz w:val="30"/>
          <w:szCs w:val="30"/>
        </w:rPr>
        <w:fldChar w:fldCharType="begin"/>
      </w:r>
      <w:r>
        <w:rPr>
          <w:rFonts w:hint="eastAsia" w:ascii="仿宋" w:hAnsi="仿宋" w:eastAsia="仿宋" w:cs="仿宋"/>
          <w:b w:val="0"/>
          <w:bCs w:val="0"/>
          <w:caps w:val="0"/>
          <w:sz w:val="30"/>
          <w:szCs w:val="30"/>
        </w:rPr>
        <w:instrText xml:space="preserve"> PAGEREF _Toc79163899 \h </w:instrText>
      </w:r>
      <w:r>
        <w:rPr>
          <w:rFonts w:hint="eastAsia" w:ascii="仿宋" w:hAnsi="仿宋" w:eastAsia="仿宋" w:cs="仿宋"/>
          <w:b w:val="0"/>
          <w:bCs w:val="0"/>
          <w:caps w:val="0"/>
          <w:sz w:val="30"/>
          <w:szCs w:val="30"/>
        </w:rPr>
        <w:fldChar w:fldCharType="separate"/>
      </w:r>
      <w:r>
        <w:rPr>
          <w:rFonts w:hint="eastAsia" w:ascii="仿宋" w:hAnsi="仿宋" w:eastAsia="仿宋" w:cs="仿宋"/>
          <w:b w:val="0"/>
          <w:bCs w:val="0"/>
          <w:caps w:val="0"/>
          <w:sz w:val="30"/>
          <w:szCs w:val="30"/>
        </w:rPr>
        <w:t>22</w:t>
      </w:r>
      <w:r>
        <w:rPr>
          <w:rFonts w:hint="eastAsia" w:ascii="仿宋" w:hAnsi="仿宋" w:eastAsia="仿宋" w:cs="仿宋"/>
          <w:b w:val="0"/>
          <w:bCs w:val="0"/>
          <w:caps w:val="0"/>
          <w:sz w:val="30"/>
          <w:szCs w:val="30"/>
        </w:rPr>
        <w:fldChar w:fldCharType="end"/>
      </w:r>
    </w:p>
    <w:p>
      <w:pPr>
        <w:pStyle w:val="14"/>
        <w:tabs>
          <w:tab w:val="right" w:leader="dot" w:pos="8296"/>
        </w:tabs>
        <w:spacing w:before="93" w:after="0"/>
        <w:jc w:val="both"/>
        <w:rPr>
          <w:rFonts w:ascii="仿宋" w:hAnsi="仿宋" w:eastAsia="仿宋"/>
          <w:b w:val="0"/>
          <w:bCs w:val="0"/>
          <w:caps w:val="0"/>
          <w:sz w:val="28"/>
          <w:szCs w:val="28"/>
        </w:rPr>
      </w:pPr>
      <w:r>
        <w:rPr>
          <w:rFonts w:hint="eastAsia" w:ascii="仿宋" w:hAnsi="仿宋" w:eastAsia="仿宋" w:cs="仿宋"/>
          <w:b w:val="0"/>
          <w:bCs w:val="0"/>
          <w:caps w:val="0"/>
          <w:sz w:val="30"/>
          <w:szCs w:val="30"/>
        </w:rPr>
        <w:fldChar w:fldCharType="end"/>
      </w:r>
    </w:p>
    <w:p>
      <w:pPr>
        <w:widowControl/>
        <w:numPr>
          <w:ilvl w:val="0"/>
          <w:numId w:val="1"/>
        </w:numPr>
        <w:spacing w:line="440" w:lineRule="exact"/>
        <w:jc w:val="left"/>
        <w:rPr>
          <w:rFonts w:ascii="方正小标宋简体" w:hAnsi="方正小标宋简体" w:eastAsia="方正小标宋简体" w:cs="方正小标宋简体"/>
          <w:sz w:val="44"/>
          <w:szCs w:val="44"/>
        </w:rPr>
      </w:pPr>
      <w:bookmarkStart w:id="12" w:name="_Toc15396599"/>
      <w:bookmarkStart w:id="13" w:name="_Toc15377196"/>
      <w:r>
        <w:rPr>
          <w:rFonts w:ascii="仿宋" w:hAnsi="仿宋" w:eastAsia="仿宋"/>
          <w:b/>
          <w:sz w:val="24"/>
        </w:rPr>
        <w:br w:type="page"/>
      </w:r>
      <w:bookmarkStart w:id="14" w:name="_Toc79163851"/>
      <w:bookmarkStart w:id="15" w:name="_Toc79163601"/>
      <w:r>
        <w:rPr>
          <w:rFonts w:hint="eastAsia" w:ascii="方正小标宋简体" w:hAnsi="方正小标宋简体" w:eastAsia="方正小标宋简体" w:cs="方正小标宋简体"/>
          <w:sz w:val="44"/>
          <w:szCs w:val="44"/>
        </w:rPr>
        <w:t>部门概况</w:t>
      </w:r>
      <w:bookmarkEnd w:id="12"/>
      <w:bookmarkEnd w:id="13"/>
      <w:bookmarkEnd w:id="14"/>
      <w:bookmarkEnd w:id="15"/>
    </w:p>
    <w:p>
      <w:pPr>
        <w:widowControl/>
        <w:spacing w:line="440" w:lineRule="exact"/>
        <w:ind w:left="2268"/>
        <w:jc w:val="left"/>
        <w:rPr>
          <w:rFonts w:ascii="方正小标宋简体" w:hAnsi="方正小标宋简体" w:eastAsia="方正小标宋简体" w:cs="方正小标宋简体"/>
          <w:sz w:val="44"/>
          <w:szCs w:val="44"/>
        </w:rPr>
      </w:pPr>
    </w:p>
    <w:p>
      <w:pPr>
        <w:pStyle w:val="3"/>
        <w:keepNext w:val="0"/>
        <w:keepLines w:val="0"/>
        <w:spacing w:before="0" w:after="0" w:line="576" w:lineRule="exact"/>
        <w:ind w:firstLine="640" w:firstLineChars="200"/>
        <w:contextualSpacing/>
        <w:rPr>
          <w:rFonts w:ascii="黑体" w:hAnsi="黑体" w:eastAsia="黑体"/>
          <w:b w:val="0"/>
          <w:color w:val="000000"/>
        </w:rPr>
      </w:pPr>
      <w:bookmarkStart w:id="16" w:name="_Toc15377197"/>
      <w:bookmarkStart w:id="17" w:name="_Toc15396600"/>
      <w:bookmarkStart w:id="18" w:name="_Toc79163602"/>
      <w:bookmarkStart w:id="19" w:name="_Toc79163852"/>
      <w:r>
        <w:rPr>
          <w:rFonts w:hint="eastAsia" w:ascii="黑体" w:hAnsi="黑体" w:eastAsia="黑体"/>
          <w:b w:val="0"/>
          <w:color w:val="000000"/>
        </w:rPr>
        <w:t>一、基本职能及主要工作</w:t>
      </w:r>
      <w:bookmarkEnd w:id="16"/>
      <w:bookmarkEnd w:id="17"/>
      <w:bookmarkEnd w:id="18"/>
      <w:bookmarkEnd w:id="19"/>
      <w:bookmarkStart w:id="20" w:name="_Toc79163603"/>
      <w:bookmarkStart w:id="21" w:name="_Toc79163853"/>
      <w:bookmarkStart w:id="22" w:name="_Toc15378445"/>
      <w:bookmarkStart w:id="23" w:name="_Toc15377198"/>
    </w:p>
    <w:p>
      <w:pPr>
        <w:spacing w:line="576" w:lineRule="exact"/>
        <w:ind w:firstLine="642" w:firstLineChars="200"/>
        <w:outlineLvl w:val="1"/>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（一）主要职能</w:t>
      </w:r>
      <w:bookmarkEnd w:id="20"/>
      <w:bookmarkEnd w:id="21"/>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政治协商、民主监督、参政议政。</w:t>
      </w:r>
    </w:p>
    <w:bookmarkEnd w:id="22"/>
    <w:bookmarkEnd w:id="23"/>
    <w:p>
      <w:pPr>
        <w:spacing w:line="576" w:lineRule="exact"/>
        <w:ind w:firstLine="642" w:firstLineChars="200"/>
        <w:outlineLvl w:val="1"/>
        <w:rPr>
          <w:rFonts w:ascii="楷体_GB2312" w:hAnsi="楷体_GB2312" w:eastAsia="楷体_GB2312" w:cs="楷体_GB2312"/>
          <w:b/>
          <w:bCs/>
          <w:color w:val="000000"/>
          <w:sz w:val="32"/>
          <w:szCs w:val="32"/>
        </w:rPr>
      </w:pPr>
      <w:bookmarkStart w:id="24" w:name="_Toc79163854"/>
      <w:bookmarkStart w:id="25" w:name="_Toc15378446"/>
      <w:bookmarkStart w:id="26" w:name="_Toc15377199"/>
      <w:bookmarkStart w:id="27" w:name="_Toc79163604"/>
      <w:r>
        <w:rPr>
          <w:rFonts w:hint="eastAsia" w:ascii="楷体_GB2312" w:hAnsi="楷体_GB2312" w:eastAsia="楷体_GB2312" w:cs="楷体_GB2312"/>
          <w:b/>
          <w:bCs/>
          <w:color w:val="000000"/>
          <w:sz w:val="32"/>
          <w:szCs w:val="32"/>
        </w:rPr>
        <w:t>（二）</w:t>
      </w:r>
      <w:r>
        <w:rPr>
          <w:rFonts w:ascii="楷体_GB2312" w:hAnsi="楷体_GB2312" w:eastAsia="楷体_GB2312" w:cs="楷体_GB2312"/>
          <w:b/>
          <w:bCs/>
          <w:color w:val="000000"/>
          <w:sz w:val="32"/>
          <w:szCs w:val="32"/>
        </w:rPr>
        <w:t>2020</w:t>
      </w:r>
      <w:r>
        <w:rPr>
          <w:rFonts w:hint="eastAsia" w:ascii="楷体_GB2312" w:hAnsi="楷体_GB2312" w:eastAsia="楷体_GB2312" w:cs="楷体_GB2312"/>
          <w:b/>
          <w:bCs/>
          <w:color w:val="000000"/>
          <w:sz w:val="32"/>
          <w:szCs w:val="32"/>
        </w:rPr>
        <w:t>年重点工作完成情况</w:t>
      </w:r>
      <w:bookmarkEnd w:id="24"/>
      <w:bookmarkEnd w:id="25"/>
      <w:bookmarkEnd w:id="26"/>
      <w:bookmarkEnd w:id="27"/>
    </w:p>
    <w:p>
      <w:pPr>
        <w:spacing w:line="576" w:lineRule="exact"/>
        <w:ind w:firstLine="640" w:firstLineChars="200"/>
        <w:outlineLvl w:val="1"/>
        <w:rPr>
          <w:rFonts w:ascii="楷体_GB2312" w:hAnsi="楷体_GB2312" w:eastAsia="楷体_GB2312" w:cs="楷体_GB2312"/>
          <w:b/>
          <w:bCs/>
          <w:color w:val="000000"/>
          <w:sz w:val="32"/>
          <w:szCs w:val="32"/>
        </w:rPr>
      </w:pPr>
      <w:r>
        <w:rPr>
          <w:rFonts w:hint="eastAsia" w:ascii="仿宋_GB2312" w:hAnsi="仿宋_GB2312" w:eastAsia="仿宋_GB2312" w:cs="仿宋_GB2312"/>
          <w:bCs/>
          <w:sz w:val="32"/>
          <w:szCs w:val="32"/>
        </w:rPr>
        <w:t>一是细心安排，</w:t>
      </w:r>
      <w:r>
        <w:rPr>
          <w:rFonts w:hint="eastAsia" w:ascii="仿宋_GB2312" w:hAnsi="仿宋_GB2312" w:eastAsia="仿宋_GB2312" w:cs="仿宋_GB2312"/>
          <w:sz w:val="32"/>
          <w:szCs w:val="32"/>
        </w:rPr>
        <w:t>认真做好各类会议、活动的组织、协调和后勤保障等服务工作。协助顺利召开政协十五届四次全体会议，协助组织召开常委会议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次，召开主席会议</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次，党组会议</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次，为退休老干部参加政治学习和活动做好服务。</w:t>
      </w:r>
      <w:r>
        <w:rPr>
          <w:rFonts w:hint="eastAsia" w:ascii="仿宋_GB2312" w:hAnsi="仿宋_GB2312" w:eastAsia="仿宋_GB2312" w:cs="仿宋_GB2312"/>
          <w:bCs/>
          <w:sz w:val="32"/>
          <w:szCs w:val="32"/>
        </w:rPr>
        <w:t>二是精心组织</w:t>
      </w:r>
      <w:r>
        <w:rPr>
          <w:rFonts w:ascii="仿宋_GB2312" w:hAnsi="仿宋_GB2312" w:eastAsia="仿宋_GB2312" w:cs="仿宋_GB2312"/>
          <w:bCs/>
          <w:sz w:val="32"/>
          <w:szCs w:val="32"/>
        </w:rPr>
        <w:t>,</w:t>
      </w:r>
      <w:r>
        <w:rPr>
          <w:rFonts w:hint="eastAsia" w:ascii="仿宋_GB2312" w:hAnsi="仿宋_GB2312" w:eastAsia="仿宋_GB2312" w:cs="仿宋_GB2312"/>
          <w:sz w:val="32"/>
          <w:szCs w:val="32"/>
        </w:rPr>
        <w:t>认真落实县政协全年工作统一部署</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积极与相关部门、镇及各专委会、联络委、界别和委员沟通联系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精心筹划</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了政协各项履职活动园满完成。完成了“区划调整改革后镇村公共服务运行情况”“基层人民调解工作”等专题调研和“岷江上游干旱河谷综合治理情况”“松坪沟景区建设与环境保护”等视察活动。向全体政协委员发出抗击疫情的《致全县政协委员的一封信》和《拒绝非法捕杀、买卖、食用野生动物的倡议书》，动员全体委员积极投入抗击疫情的大局。聚焦森林草原防灭火专项整治工作，主动开展协商、调研、视察活动。</w:t>
      </w:r>
      <w:r>
        <w:rPr>
          <w:rFonts w:hint="eastAsia" w:ascii="仿宋_GB2312" w:hAnsi="仿宋_GB2312" w:eastAsia="仿宋_GB2312" w:cs="仿宋_GB2312"/>
          <w:bCs/>
          <w:sz w:val="32"/>
          <w:szCs w:val="32"/>
        </w:rPr>
        <w:t>三是</w:t>
      </w:r>
      <w:r>
        <w:rPr>
          <w:rFonts w:hint="eastAsia" w:ascii="仿宋_GB2312" w:hAnsi="仿宋_GB2312" w:eastAsia="仿宋_GB2312" w:cs="仿宋_GB2312"/>
          <w:sz w:val="32"/>
          <w:szCs w:val="32"/>
        </w:rPr>
        <w:t>主动加强同省、州政协工作联系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认真做好省、州政协领导到我县调研视察的联系、协调工作。</w:t>
      </w:r>
    </w:p>
    <w:p>
      <w:pPr>
        <w:pStyle w:val="3"/>
        <w:keepNext w:val="0"/>
        <w:keepLines w:val="0"/>
        <w:spacing w:before="0" w:after="0" w:line="576" w:lineRule="exact"/>
        <w:ind w:firstLine="640" w:firstLineChars="200"/>
        <w:contextualSpacing/>
        <w:rPr>
          <w:rFonts w:ascii="黑体" w:hAnsi="黑体" w:eastAsia="黑体"/>
          <w:b w:val="0"/>
          <w:color w:val="000000"/>
        </w:rPr>
      </w:pPr>
      <w:bookmarkStart w:id="28" w:name="_Toc79163855"/>
      <w:bookmarkStart w:id="29" w:name="_Toc15396601"/>
      <w:bookmarkStart w:id="30" w:name="_Toc15377200"/>
      <w:bookmarkStart w:id="31" w:name="_Toc79163605"/>
      <w:r>
        <w:rPr>
          <w:rFonts w:hint="eastAsia" w:ascii="黑体" w:hAnsi="黑体" w:eastAsia="黑体"/>
          <w:b w:val="0"/>
          <w:color w:val="000000"/>
        </w:rPr>
        <w:t>二、机构设置</w:t>
      </w:r>
      <w:bookmarkEnd w:id="28"/>
      <w:bookmarkEnd w:id="29"/>
      <w:bookmarkEnd w:id="30"/>
      <w:bookmarkEnd w:id="31"/>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茂县政协办下属二级单位</w:t>
      </w:r>
      <w:r>
        <w:rPr>
          <w:rFonts w:ascii="仿宋_GB2312" w:hAnsi="Tahoma" w:eastAsia="仿宋_GB2312" w:cs="Tahoma"/>
          <w:kern w:val="2"/>
          <w:sz w:val="32"/>
          <w:szCs w:val="32"/>
        </w:rPr>
        <w:t>0</w:t>
      </w:r>
      <w:r>
        <w:rPr>
          <w:rFonts w:hint="eastAsia" w:ascii="仿宋_GB2312" w:hAnsi="Tahoma" w:eastAsia="仿宋_GB2312" w:cs="Tahoma"/>
          <w:kern w:val="2"/>
          <w:sz w:val="32"/>
          <w:szCs w:val="32"/>
        </w:rPr>
        <w:t>个，其中行政单位</w:t>
      </w:r>
      <w:r>
        <w:rPr>
          <w:rFonts w:ascii="仿宋_GB2312" w:hAnsi="Tahoma" w:eastAsia="仿宋_GB2312" w:cs="Tahoma"/>
          <w:kern w:val="2"/>
          <w:sz w:val="32"/>
          <w:szCs w:val="32"/>
        </w:rPr>
        <w:t>0</w:t>
      </w:r>
      <w:r>
        <w:rPr>
          <w:rFonts w:hint="eastAsia" w:ascii="仿宋_GB2312" w:hAnsi="Tahoma" w:eastAsia="仿宋_GB2312" w:cs="Tahoma"/>
          <w:kern w:val="2"/>
          <w:sz w:val="32"/>
          <w:szCs w:val="32"/>
        </w:rPr>
        <w:t>个，参照公务员法管理的事业单位</w:t>
      </w:r>
      <w:r>
        <w:rPr>
          <w:rFonts w:ascii="仿宋_GB2312" w:hAnsi="Tahoma" w:eastAsia="仿宋_GB2312" w:cs="Tahoma"/>
          <w:kern w:val="2"/>
          <w:sz w:val="32"/>
          <w:szCs w:val="32"/>
        </w:rPr>
        <w:t>0</w:t>
      </w:r>
      <w:r>
        <w:rPr>
          <w:rFonts w:hint="eastAsia" w:ascii="仿宋_GB2312" w:hAnsi="Tahoma" w:eastAsia="仿宋_GB2312" w:cs="Tahoma"/>
          <w:kern w:val="2"/>
          <w:sz w:val="32"/>
          <w:szCs w:val="32"/>
        </w:rPr>
        <w:t>个，其他事业单位</w:t>
      </w:r>
      <w:r>
        <w:rPr>
          <w:rFonts w:ascii="仿宋_GB2312" w:hAnsi="Tahoma" w:eastAsia="仿宋_GB2312" w:cs="Tahoma"/>
          <w:kern w:val="2"/>
          <w:sz w:val="32"/>
          <w:szCs w:val="32"/>
        </w:rPr>
        <w:t>0</w:t>
      </w:r>
      <w:r>
        <w:rPr>
          <w:rFonts w:hint="eastAsia" w:ascii="仿宋_GB2312" w:hAnsi="Tahoma" w:eastAsia="仿宋_GB2312" w:cs="Tahoma"/>
          <w:kern w:val="2"/>
          <w:sz w:val="32"/>
          <w:szCs w:val="32"/>
        </w:rPr>
        <w:t>个。</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纳入茂县政协办</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年度部门决算编制范围的二级预算单位包括：无。</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br w:type="page"/>
      </w:r>
    </w:p>
    <w:p>
      <w:pPr>
        <w:adjustRightInd w:val="0"/>
        <w:snapToGrid w:val="0"/>
        <w:spacing w:line="360" w:lineRule="auto"/>
        <w:jc w:val="center"/>
        <w:outlineLvl w:val="0"/>
        <w:rPr>
          <w:rFonts w:ascii="方正小标宋简体" w:hAnsi="黑体" w:eastAsia="方正小标宋简体"/>
          <w:sz w:val="44"/>
          <w:szCs w:val="44"/>
        </w:rPr>
      </w:pPr>
      <w:bookmarkStart w:id="32" w:name="_Toc79163859"/>
      <w:bookmarkStart w:id="33" w:name="_Toc79163609"/>
      <w:bookmarkStart w:id="34" w:name="_Toc15377204"/>
      <w:bookmarkStart w:id="35" w:name="_Toc15396602"/>
      <w:r>
        <w:rPr>
          <w:rFonts w:hint="eastAsia" w:ascii="方正小标宋简体" w:hAnsi="黑体" w:eastAsia="方正小标宋简体"/>
          <w:sz w:val="44"/>
          <w:szCs w:val="44"/>
        </w:rPr>
        <w:t>第二部分</w:t>
      </w:r>
      <w:r>
        <w:rPr>
          <w:rFonts w:ascii="方正小标宋简体" w:hAnsi="黑体" w:eastAsia="方正小标宋简体"/>
          <w:sz w:val="44"/>
          <w:szCs w:val="44"/>
        </w:rPr>
        <w:t xml:space="preserve"> 2020</w:t>
      </w:r>
      <w:r>
        <w:rPr>
          <w:rFonts w:hint="eastAsia" w:ascii="方正小标宋简体" w:hAnsi="黑体" w:eastAsia="方正小标宋简体"/>
          <w:sz w:val="44"/>
          <w:szCs w:val="44"/>
        </w:rPr>
        <w:t>年度部门决算情况说明</w:t>
      </w:r>
      <w:bookmarkEnd w:id="32"/>
      <w:bookmarkEnd w:id="33"/>
      <w:bookmarkEnd w:id="34"/>
      <w:bookmarkEnd w:id="35"/>
    </w:p>
    <w:p>
      <w:pPr>
        <w:spacing w:line="576" w:lineRule="exact"/>
        <w:ind w:firstLine="640" w:firstLineChars="200"/>
        <w:outlineLvl w:val="1"/>
        <w:rPr>
          <w:rStyle w:val="40"/>
          <w:rFonts w:ascii="黑体" w:hAnsi="黑体" w:eastAsia="黑体"/>
          <w:b w:val="0"/>
        </w:rPr>
      </w:pPr>
      <w:bookmarkStart w:id="36" w:name="_Toc15396603"/>
      <w:bookmarkStart w:id="37" w:name="_Toc15377205"/>
      <w:bookmarkStart w:id="38" w:name="_Toc79163610"/>
      <w:bookmarkStart w:id="39" w:name="_Toc79163860"/>
      <w:r>
        <w:rPr>
          <w:rFonts w:hint="eastAsia" w:ascii="黑体" w:hAnsi="黑体" w:eastAsia="黑体"/>
          <w:color w:val="000000"/>
          <w:sz w:val="32"/>
          <w:szCs w:val="32"/>
        </w:rPr>
        <w:t>一、收</w:t>
      </w:r>
      <w:r>
        <w:rPr>
          <w:rStyle w:val="40"/>
          <w:rFonts w:hint="eastAsia" w:ascii="黑体" w:hAnsi="黑体" w:eastAsia="黑体"/>
          <w:b w:val="0"/>
        </w:rPr>
        <w:t>入支出决算总体情况说明</w:t>
      </w:r>
    </w:p>
    <w:bookmarkEnd w:id="36"/>
    <w:bookmarkEnd w:id="37"/>
    <w:bookmarkEnd w:id="38"/>
    <w:bookmarkEnd w:id="39"/>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年度收、支总计</w:t>
      </w:r>
      <w:r>
        <w:rPr>
          <w:rFonts w:ascii="仿宋_GB2312" w:hAnsi="Tahoma" w:eastAsia="仿宋_GB2312" w:cs="Tahoma"/>
          <w:kern w:val="2"/>
          <w:sz w:val="32"/>
          <w:szCs w:val="32"/>
        </w:rPr>
        <w:t>734.39</w:t>
      </w:r>
      <w:r>
        <w:rPr>
          <w:rFonts w:hint="eastAsia" w:ascii="仿宋_GB2312" w:hAnsi="Tahoma" w:eastAsia="仿宋_GB2312" w:cs="Tahoma"/>
          <w:kern w:val="2"/>
          <w:sz w:val="32"/>
          <w:szCs w:val="32"/>
        </w:rPr>
        <w:t>万元。与</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年相比，收、支总计各减少</w:t>
      </w:r>
      <w:r>
        <w:rPr>
          <w:rFonts w:ascii="仿宋_GB2312" w:hAnsi="Tahoma" w:eastAsia="仿宋_GB2312" w:cs="Tahoma"/>
          <w:kern w:val="2"/>
          <w:sz w:val="32"/>
          <w:szCs w:val="32"/>
        </w:rPr>
        <w:t>231.89</w:t>
      </w:r>
      <w:r>
        <w:rPr>
          <w:rFonts w:hint="eastAsia" w:ascii="仿宋_GB2312" w:hAnsi="Tahoma" w:eastAsia="仿宋_GB2312" w:cs="Tahoma"/>
          <w:kern w:val="2"/>
          <w:sz w:val="32"/>
          <w:szCs w:val="32"/>
        </w:rPr>
        <w:t>万元，下降</w:t>
      </w:r>
      <w:r>
        <w:rPr>
          <w:rFonts w:ascii="仿宋_GB2312" w:hAnsi="Tahoma" w:eastAsia="仿宋_GB2312" w:cs="Tahoma"/>
          <w:kern w:val="2"/>
          <w:sz w:val="32"/>
          <w:szCs w:val="32"/>
        </w:rPr>
        <w:t>31.58%</w:t>
      </w:r>
      <w:r>
        <w:rPr>
          <w:rFonts w:hint="eastAsia" w:ascii="仿宋_GB2312" w:hAnsi="Tahoma" w:eastAsia="仿宋_GB2312" w:cs="Tahoma"/>
          <w:kern w:val="2"/>
          <w:sz w:val="32"/>
          <w:szCs w:val="32"/>
        </w:rPr>
        <w:t>。主要变动原因是人员减少。</w:t>
      </w:r>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26" o:spid="_x0000_s1026" o:spt="75" type="#_x0000_t75" style="position:absolute;left:0pt;margin-left:29.95pt;margin-top:14.8pt;height:158.4pt;width:335.7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7" o:title=""/>
            <o:lock v:ext="edit" aspectratio="t"/>
            <w10:wrap type="square"/>
          </v:shape>
          <o:OLEObject Type="Embed" ProgID="MSGraph.Chart.8" ShapeID="_x0000_s1026" DrawAspect="Content" ObjectID="_1468075725" r:id="rId6">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（图</w:t>
      </w:r>
      <w:r>
        <w:rPr>
          <w:rFonts w:ascii="仿宋_GB2312" w:hAnsi="Tahoma" w:eastAsia="仿宋_GB2312" w:cs="Tahoma"/>
          <w:kern w:val="2"/>
          <w:sz w:val="32"/>
          <w:szCs w:val="32"/>
        </w:rPr>
        <w:t>1</w:t>
      </w:r>
      <w:r>
        <w:rPr>
          <w:rFonts w:hint="eastAsia" w:ascii="仿宋_GB2312" w:hAnsi="Tahoma" w:eastAsia="仿宋_GB2312" w:cs="Tahoma"/>
          <w:kern w:val="2"/>
          <w:sz w:val="32"/>
          <w:szCs w:val="32"/>
        </w:rPr>
        <w:t>：收、支决算总计变动情况图）（柱状图）</w:t>
      </w:r>
    </w:p>
    <w:p>
      <w:pPr>
        <w:pStyle w:val="19"/>
        <w:widowControl w:val="0"/>
        <w:numPr>
          <w:ilvl w:val="0"/>
          <w:numId w:val="2"/>
        </w:numPr>
        <w:spacing w:before="0" w:beforeAutospacing="0" w:after="0" w:afterAutospacing="0" w:line="576" w:lineRule="exact"/>
        <w:ind w:firstLine="640" w:firstLineChars="200"/>
        <w:contextualSpacing/>
        <w:jc w:val="both"/>
        <w:rPr>
          <w:rStyle w:val="40"/>
          <w:rFonts w:ascii="黑体" w:hAnsi="黑体" w:eastAsia="黑体"/>
          <w:b w:val="0"/>
        </w:rPr>
      </w:pPr>
      <w:bookmarkStart w:id="40" w:name="_Toc15396604"/>
      <w:bookmarkStart w:id="41" w:name="_Toc79163861"/>
      <w:bookmarkStart w:id="42" w:name="_Toc79163611"/>
      <w:bookmarkStart w:id="43" w:name="_Toc15377206"/>
      <w:r>
        <w:rPr>
          <w:rFonts w:hint="eastAsia" w:ascii="黑体" w:hAnsi="黑体" w:eastAsia="黑体"/>
          <w:color w:val="000000"/>
          <w:sz w:val="32"/>
          <w:szCs w:val="32"/>
        </w:rPr>
        <w:t>收</w:t>
      </w:r>
      <w:r>
        <w:rPr>
          <w:rStyle w:val="40"/>
          <w:rFonts w:hint="eastAsia" w:ascii="黑体" w:hAnsi="黑体" w:eastAsia="黑体"/>
          <w:b w:val="0"/>
        </w:rPr>
        <w:t>入决算情况说明</w:t>
      </w:r>
      <w:bookmarkEnd w:id="40"/>
      <w:bookmarkEnd w:id="41"/>
      <w:bookmarkEnd w:id="42"/>
      <w:bookmarkEnd w:id="43"/>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年本年收入合计</w:t>
      </w:r>
      <w:r>
        <w:rPr>
          <w:rFonts w:ascii="仿宋_GB2312" w:hAnsi="Tahoma" w:eastAsia="仿宋_GB2312" w:cs="Tahoma"/>
          <w:kern w:val="2"/>
          <w:sz w:val="32"/>
          <w:szCs w:val="32"/>
        </w:rPr>
        <w:t>691.95</w:t>
      </w:r>
      <w:r>
        <w:rPr>
          <w:rFonts w:hint="eastAsia" w:ascii="仿宋_GB2312" w:hAnsi="Tahoma" w:eastAsia="仿宋_GB2312" w:cs="Tahoma"/>
          <w:kern w:val="2"/>
          <w:sz w:val="32"/>
          <w:szCs w:val="32"/>
        </w:rPr>
        <w:t>万元，其中：一般公共预算财政拨款收入</w:t>
      </w:r>
      <w:r>
        <w:rPr>
          <w:rFonts w:ascii="仿宋_GB2312" w:hAnsi="Tahoma" w:eastAsia="仿宋_GB2312" w:cs="Tahoma"/>
          <w:kern w:val="2"/>
          <w:sz w:val="32"/>
          <w:szCs w:val="32"/>
        </w:rPr>
        <w:t>691.95</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100%</w:t>
      </w:r>
      <w:r>
        <w:rPr>
          <w:rFonts w:hint="eastAsia" w:ascii="仿宋_GB2312" w:hAnsi="Tahoma" w:eastAsia="仿宋_GB2312" w:cs="Tahoma"/>
          <w:kern w:val="2"/>
          <w:sz w:val="32"/>
          <w:szCs w:val="32"/>
        </w:rPr>
        <w:t>；政府性基金预算财政拨款收入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万元；上级补助收入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万元；事业收入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万元；经营收入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万元；附属单位上缴收入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万元；其他收入</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27" o:spid="_x0000_s1027" o:spt="75" type="#_x0000_t75" style="position:absolute;left:0pt;margin-left:54.5pt;margin-top:1.9pt;height:119.1pt;width:322pt;mso-wrap-distance-bottom:0pt;mso-wrap-distance-top:0pt;z-index:251661312;mso-width-relative:page;mso-height-relative:page;" o:ole="t" filled="f" o:preferrelative="t" stroked="f" coordsize="21600,21600">
            <v:path/>
            <v:fill on="f" focussize="0,0"/>
            <v:stroke on="f" joinstyle="miter"/>
            <v:imagedata r:id="rId9" o:title=""/>
            <o:lock v:ext="edit" aspectratio="t"/>
            <w10:wrap type="topAndBottom"/>
          </v:shape>
          <o:OLEObject Type="Embed" ProgID="MSGraph.Chart.8" ShapeID="_x0000_s1027" DrawAspect="Content" ObjectID="_1468075726" r:id="rId8">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（图</w:t>
      </w:r>
      <w:r>
        <w:rPr>
          <w:rFonts w:ascii="仿宋_GB2312" w:hAnsi="Tahoma" w:eastAsia="仿宋_GB2312" w:cs="Tahoma"/>
          <w:kern w:val="2"/>
          <w:sz w:val="32"/>
          <w:szCs w:val="32"/>
        </w:rPr>
        <w:t>2</w:t>
      </w:r>
      <w:r>
        <w:rPr>
          <w:rFonts w:hint="eastAsia" w:ascii="仿宋_GB2312" w:hAnsi="Tahoma" w:eastAsia="仿宋_GB2312" w:cs="Tahoma"/>
          <w:kern w:val="2"/>
          <w:sz w:val="32"/>
          <w:szCs w:val="32"/>
        </w:rPr>
        <w:t>：收入决算结构图）（饼状图）</w:t>
      </w:r>
    </w:p>
    <w:p>
      <w:pPr>
        <w:pStyle w:val="19"/>
        <w:widowControl w:val="0"/>
        <w:numPr>
          <w:ilvl w:val="0"/>
          <w:numId w:val="2"/>
        </w:numPr>
        <w:spacing w:before="0" w:beforeAutospacing="0" w:after="0" w:afterAutospacing="0" w:line="576" w:lineRule="exact"/>
        <w:ind w:firstLine="640" w:firstLineChars="200"/>
        <w:contextualSpacing/>
        <w:jc w:val="both"/>
        <w:rPr>
          <w:rFonts w:ascii="黑体" w:hAnsi="黑体" w:eastAsia="黑体"/>
          <w:color w:val="000000"/>
          <w:sz w:val="32"/>
          <w:szCs w:val="32"/>
        </w:rPr>
      </w:pPr>
      <w:bookmarkStart w:id="44" w:name="_Toc79163612"/>
      <w:bookmarkStart w:id="45" w:name="_Toc15396605"/>
      <w:bookmarkStart w:id="46" w:name="_Toc15377207"/>
      <w:bookmarkStart w:id="47" w:name="_Toc79163862"/>
      <w:r>
        <w:rPr>
          <w:rFonts w:hint="eastAsia" w:ascii="黑体" w:hAnsi="黑体" w:eastAsia="黑体"/>
          <w:color w:val="000000"/>
          <w:sz w:val="32"/>
          <w:szCs w:val="32"/>
        </w:rPr>
        <w:t>支出决算情况说明</w:t>
      </w:r>
      <w:bookmarkEnd w:id="44"/>
      <w:bookmarkEnd w:id="45"/>
      <w:bookmarkEnd w:id="46"/>
      <w:bookmarkEnd w:id="47"/>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年本年支出合计</w:t>
      </w:r>
      <w:r>
        <w:rPr>
          <w:rFonts w:ascii="仿宋_GB2312" w:hAnsi="Tahoma" w:eastAsia="仿宋_GB2312" w:cs="Tahoma"/>
          <w:kern w:val="2"/>
          <w:sz w:val="32"/>
          <w:szCs w:val="32"/>
        </w:rPr>
        <w:t>710.72</w:t>
      </w:r>
      <w:r>
        <w:rPr>
          <w:rFonts w:hint="eastAsia" w:ascii="仿宋_GB2312" w:hAnsi="Tahoma" w:eastAsia="仿宋_GB2312" w:cs="Tahoma"/>
          <w:kern w:val="2"/>
          <w:sz w:val="32"/>
          <w:szCs w:val="32"/>
        </w:rPr>
        <w:t>万元，其中：基本支出</w:t>
      </w:r>
      <w:r>
        <w:rPr>
          <w:rFonts w:ascii="仿宋_GB2312" w:hAnsi="Tahoma" w:eastAsia="仿宋_GB2312" w:cs="Tahoma"/>
          <w:kern w:val="2"/>
          <w:sz w:val="32"/>
          <w:szCs w:val="32"/>
        </w:rPr>
        <w:t>670.34</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94.32%</w:t>
      </w:r>
      <w:r>
        <w:rPr>
          <w:rFonts w:hint="eastAsia" w:ascii="仿宋_GB2312" w:hAnsi="Tahoma" w:eastAsia="仿宋_GB2312" w:cs="Tahoma"/>
          <w:kern w:val="2"/>
          <w:sz w:val="32"/>
          <w:szCs w:val="32"/>
        </w:rPr>
        <w:t>；项目支出</w:t>
      </w:r>
      <w:r>
        <w:rPr>
          <w:rFonts w:ascii="仿宋_GB2312" w:hAnsi="Tahoma" w:eastAsia="仿宋_GB2312" w:cs="Tahoma"/>
          <w:kern w:val="2"/>
          <w:sz w:val="32"/>
          <w:szCs w:val="32"/>
        </w:rPr>
        <w:t>40.39</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5.68%</w:t>
      </w:r>
      <w:r>
        <w:rPr>
          <w:rFonts w:hint="eastAsia" w:ascii="仿宋_GB2312" w:hAnsi="Tahoma" w:eastAsia="仿宋_GB2312" w:cs="Tahoma"/>
          <w:kern w:val="2"/>
          <w:sz w:val="32"/>
          <w:szCs w:val="32"/>
        </w:rPr>
        <w:t>；上缴上级支出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万元；经营支出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万元；对附属单位补助支出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28" o:spid="_x0000_s1028" o:spt="75" type="#_x0000_t75" style="position:absolute;left:0pt;margin-left:46.15pt;margin-top:9.85pt;height:146.65pt;width:320.8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1" o:title=""/>
            <o:lock v:ext="edit" aspectratio="t"/>
            <w10:wrap type="square"/>
          </v:shape>
          <o:OLEObject Type="Embed" ProgID="MSGraph.Chart.8" ShapeID="_x0000_s1028" DrawAspect="Content" ObjectID="_1468075727" r:id="rId10">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（图</w:t>
      </w:r>
      <w:r>
        <w:rPr>
          <w:rFonts w:ascii="仿宋_GB2312" w:hAnsi="Tahoma" w:eastAsia="仿宋_GB2312" w:cs="Tahoma"/>
          <w:kern w:val="2"/>
          <w:sz w:val="32"/>
          <w:szCs w:val="32"/>
        </w:rPr>
        <w:t>3</w:t>
      </w:r>
      <w:r>
        <w:rPr>
          <w:rFonts w:hint="eastAsia" w:ascii="仿宋_GB2312" w:hAnsi="Tahoma" w:eastAsia="仿宋_GB2312" w:cs="Tahoma"/>
          <w:kern w:val="2"/>
          <w:sz w:val="32"/>
          <w:szCs w:val="32"/>
        </w:rPr>
        <w:t>：支出决算结构图）（饼状图）</w:t>
      </w:r>
    </w:p>
    <w:p>
      <w:pPr>
        <w:pStyle w:val="19"/>
        <w:widowControl w:val="0"/>
        <w:numPr>
          <w:ilvl w:val="0"/>
          <w:numId w:val="2"/>
        </w:numPr>
        <w:spacing w:before="0" w:beforeAutospacing="0" w:after="0" w:afterAutospacing="0" w:line="576" w:lineRule="exact"/>
        <w:ind w:firstLine="640" w:firstLineChars="200"/>
        <w:contextualSpacing/>
        <w:jc w:val="both"/>
        <w:rPr>
          <w:rFonts w:ascii="黑体" w:hAnsi="黑体" w:eastAsia="黑体"/>
          <w:color w:val="000000"/>
          <w:sz w:val="32"/>
          <w:szCs w:val="32"/>
        </w:rPr>
      </w:pPr>
      <w:bookmarkStart w:id="48" w:name="_Toc15396606"/>
      <w:bookmarkStart w:id="49" w:name="_Toc79163613"/>
      <w:bookmarkStart w:id="50" w:name="_Toc15377208"/>
      <w:bookmarkStart w:id="51" w:name="_Toc79163863"/>
      <w:r>
        <w:rPr>
          <w:rFonts w:hint="eastAsia" w:ascii="黑体" w:hAnsi="黑体" w:eastAsia="黑体"/>
          <w:color w:val="000000"/>
          <w:sz w:val="32"/>
          <w:szCs w:val="32"/>
        </w:rPr>
        <w:t>财政拨款收入支出决算总体情况说明</w:t>
      </w:r>
      <w:bookmarkEnd w:id="48"/>
      <w:bookmarkEnd w:id="49"/>
      <w:bookmarkEnd w:id="50"/>
      <w:bookmarkEnd w:id="51"/>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年财政拨款收、支总计</w:t>
      </w:r>
      <w:r>
        <w:rPr>
          <w:rFonts w:ascii="仿宋_GB2312" w:hAnsi="Tahoma" w:eastAsia="仿宋_GB2312" w:cs="Tahoma"/>
          <w:kern w:val="2"/>
          <w:sz w:val="32"/>
          <w:szCs w:val="32"/>
        </w:rPr>
        <w:t>734.39</w:t>
      </w:r>
      <w:r>
        <w:rPr>
          <w:rFonts w:hint="eastAsia" w:ascii="仿宋_GB2312" w:hAnsi="Tahoma" w:eastAsia="仿宋_GB2312" w:cs="Tahoma"/>
          <w:kern w:val="2"/>
          <w:sz w:val="32"/>
          <w:szCs w:val="32"/>
        </w:rPr>
        <w:t>万元。与</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年相比，财政拨款收、支总计各减少</w:t>
      </w:r>
      <w:r>
        <w:rPr>
          <w:rFonts w:ascii="仿宋_GB2312" w:hAnsi="Tahoma" w:eastAsia="仿宋_GB2312" w:cs="Tahoma"/>
          <w:kern w:val="2"/>
          <w:sz w:val="32"/>
          <w:szCs w:val="32"/>
        </w:rPr>
        <w:t>231.89</w:t>
      </w:r>
      <w:r>
        <w:rPr>
          <w:rFonts w:hint="eastAsia" w:ascii="仿宋_GB2312" w:hAnsi="Tahoma" w:eastAsia="仿宋_GB2312" w:cs="Tahoma"/>
          <w:kern w:val="2"/>
          <w:sz w:val="32"/>
          <w:szCs w:val="32"/>
        </w:rPr>
        <w:t>万元，下降</w:t>
      </w:r>
      <w:r>
        <w:rPr>
          <w:rFonts w:ascii="仿宋_GB2312" w:hAnsi="Tahoma" w:eastAsia="仿宋_GB2312" w:cs="Tahoma"/>
          <w:kern w:val="2"/>
          <w:sz w:val="32"/>
          <w:szCs w:val="32"/>
        </w:rPr>
        <w:t>31.58%</w:t>
      </w:r>
      <w:r>
        <w:rPr>
          <w:rFonts w:hint="eastAsia" w:ascii="仿宋_GB2312" w:hAnsi="Tahoma" w:eastAsia="仿宋_GB2312" w:cs="Tahoma"/>
          <w:kern w:val="2"/>
          <w:sz w:val="32"/>
          <w:szCs w:val="32"/>
        </w:rPr>
        <w:t>。主要变动原因是人员减少。</w:t>
      </w:r>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29" o:spid="_x0000_s1029" o:spt="75" type="#_x0000_t75" style="position:absolute;left:0pt;margin-left:23.9pt;margin-top:-634.8pt;height:162.05pt;width:314.65pt;mso-wrap-distance-bottom:0pt;mso-wrap-distance-top:0pt;z-index:251662336;mso-width-relative:page;mso-height-relative:page;" o:ole="t" filled="f" o:preferrelative="t" stroked="f" coordsize="21600,21600">
            <v:path/>
            <v:fill on="f" focussize="0,0"/>
            <v:stroke on="f" joinstyle="miter"/>
            <v:imagedata r:id="rId13" o:title=""/>
            <o:lock v:ext="edit" aspectratio="t"/>
            <w10:wrap type="topAndBottom"/>
          </v:shape>
          <o:OLEObject Type="Embed" ProgID="MSGraph.Chart.8" ShapeID="_x0000_s1029" DrawAspect="Content" ObjectID="_1468075728" r:id="rId12">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（图</w:t>
      </w:r>
      <w:r>
        <w:rPr>
          <w:rFonts w:ascii="仿宋_GB2312" w:hAnsi="Tahoma" w:eastAsia="仿宋_GB2312" w:cs="Tahoma"/>
          <w:kern w:val="2"/>
          <w:sz w:val="32"/>
          <w:szCs w:val="32"/>
        </w:rPr>
        <w:t>4</w:t>
      </w:r>
      <w:r>
        <w:rPr>
          <w:rFonts w:hint="eastAsia" w:ascii="仿宋_GB2312" w:hAnsi="Tahoma" w:eastAsia="仿宋_GB2312" w:cs="Tahoma"/>
          <w:kern w:val="2"/>
          <w:sz w:val="32"/>
          <w:szCs w:val="32"/>
        </w:rPr>
        <w:t>：财政拨款收、支决算总计变动情况）（柱状图）</w:t>
      </w:r>
    </w:p>
    <w:p>
      <w:pPr>
        <w:pStyle w:val="19"/>
        <w:widowControl w:val="0"/>
        <w:spacing w:before="0" w:beforeAutospacing="0" w:after="0" w:afterAutospacing="0" w:line="576" w:lineRule="exact"/>
        <w:ind w:firstLine="640" w:firstLineChars="200"/>
        <w:contextualSpacing/>
        <w:jc w:val="both"/>
        <w:rPr>
          <w:rFonts w:ascii="黑体" w:hAnsi="黑体" w:eastAsia="黑体"/>
          <w:color w:val="000000"/>
          <w:sz w:val="32"/>
          <w:szCs w:val="32"/>
        </w:rPr>
      </w:pPr>
      <w:bookmarkStart w:id="52" w:name="_Toc15396607"/>
      <w:bookmarkStart w:id="53" w:name="_Toc15377209"/>
      <w:bookmarkStart w:id="54" w:name="_Toc79163614"/>
      <w:bookmarkStart w:id="55" w:name="_Toc79163864"/>
      <w:r>
        <w:rPr>
          <w:rFonts w:ascii="仿宋_GB2312" w:hAnsi="Tahoma" w:eastAsia="仿宋_GB2312" w:cs="Tahoma"/>
          <w:kern w:val="2"/>
          <w:sz w:val="32"/>
          <w:szCs w:val="32"/>
        </w:rPr>
        <w:t xml:space="preserve"> </w:t>
      </w:r>
      <w:r>
        <w:rPr>
          <w:rFonts w:hint="eastAsia" w:ascii="黑体" w:hAnsi="黑体" w:eastAsia="黑体"/>
          <w:color w:val="000000"/>
          <w:sz w:val="32"/>
          <w:szCs w:val="32"/>
        </w:rPr>
        <w:t>五、一般公共预算财政拨款支出决算情况说明</w:t>
      </w:r>
      <w:bookmarkEnd w:id="52"/>
      <w:bookmarkEnd w:id="53"/>
      <w:bookmarkEnd w:id="54"/>
      <w:bookmarkEnd w:id="55"/>
    </w:p>
    <w:p>
      <w:pPr>
        <w:spacing w:line="576" w:lineRule="exact"/>
        <w:ind w:firstLine="642" w:firstLineChars="200"/>
        <w:outlineLvl w:val="1"/>
        <w:rPr>
          <w:rFonts w:ascii="楷体_GB2312" w:hAnsi="楷体_GB2312" w:eastAsia="楷体_GB2312" w:cs="楷体_GB2312"/>
          <w:b/>
          <w:bCs/>
          <w:color w:val="000000"/>
          <w:sz w:val="32"/>
          <w:szCs w:val="32"/>
        </w:rPr>
      </w:pPr>
      <w:bookmarkStart w:id="56" w:name="_Toc79163865"/>
      <w:bookmarkStart w:id="57" w:name="_Toc15377210"/>
      <w:bookmarkStart w:id="58" w:name="_Toc79163615"/>
      <w:r>
        <w:rPr>
          <w:rFonts w:hint="eastAsia" w:ascii="楷体_GB2312" w:hAnsi="楷体_GB2312" w:eastAsia="楷体_GB2312" w:cs="楷体_GB2312"/>
          <w:b/>
          <w:bCs/>
          <w:color w:val="000000"/>
          <w:sz w:val="32"/>
          <w:szCs w:val="32"/>
        </w:rPr>
        <w:t>（一）一般公共预算财政拨款支出决算总体情况</w:t>
      </w:r>
      <w:bookmarkEnd w:id="56"/>
      <w:bookmarkEnd w:id="57"/>
      <w:bookmarkEnd w:id="58"/>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30" o:spid="_x0000_s1030" o:spt="75" type="#_x0000_t75" style="position:absolute;left:0pt;margin-left:33.35pt;margin-top:105pt;height:163.25pt;width:368.6pt;mso-wrap-distance-bottom:0pt;mso-wrap-distance-top:0pt;z-index:251662336;mso-width-relative:page;mso-height-relative:page;" o:ole="t" filled="f" o:preferrelative="t" stroked="f" coordsize="21600,21600">
            <v:path/>
            <v:fill on="f" focussize="0,0"/>
            <v:stroke on="f" joinstyle="miter"/>
            <v:imagedata r:id="rId15" o:title=""/>
            <o:lock v:ext="edit" aspectratio="t"/>
            <w10:wrap type="topAndBottom"/>
          </v:shape>
          <o:OLEObject Type="Embed" ProgID="MSGraph.Chart.8" ShapeID="_x0000_s1030" DrawAspect="Content" ObjectID="_1468075729" r:id="rId14">
            <o:LockedField>false</o:LockedField>
          </o:OLEObject>
        </w:pic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年一般公共预算财政拨款支出</w:t>
      </w:r>
      <w:r>
        <w:rPr>
          <w:rFonts w:ascii="仿宋_GB2312" w:hAnsi="Tahoma" w:eastAsia="仿宋_GB2312" w:cs="Tahoma"/>
          <w:kern w:val="2"/>
          <w:sz w:val="32"/>
          <w:szCs w:val="32"/>
        </w:rPr>
        <w:t>710.72</w:t>
      </w:r>
      <w:r>
        <w:rPr>
          <w:rFonts w:hint="eastAsia" w:ascii="仿宋_GB2312" w:hAnsi="Tahoma" w:eastAsia="仿宋_GB2312" w:cs="Tahoma"/>
          <w:kern w:val="2"/>
          <w:sz w:val="32"/>
          <w:szCs w:val="32"/>
        </w:rPr>
        <w:t>万元，占本年支出合计的</w:t>
      </w:r>
      <w:r>
        <w:rPr>
          <w:rFonts w:ascii="仿宋_GB2312" w:hAnsi="Tahoma" w:eastAsia="仿宋_GB2312" w:cs="Tahoma"/>
          <w:kern w:val="2"/>
          <w:sz w:val="32"/>
          <w:szCs w:val="32"/>
        </w:rPr>
        <w:t>100%</w:t>
      </w:r>
      <w:r>
        <w:rPr>
          <w:rFonts w:hint="eastAsia" w:ascii="仿宋_GB2312" w:hAnsi="Tahoma" w:eastAsia="仿宋_GB2312" w:cs="Tahoma"/>
          <w:kern w:val="2"/>
          <w:sz w:val="32"/>
          <w:szCs w:val="32"/>
        </w:rPr>
        <w:t>。与</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年相比，一般公共预算财政拨减少</w:t>
      </w:r>
      <w:r>
        <w:rPr>
          <w:rFonts w:ascii="仿宋_GB2312" w:hAnsi="Tahoma" w:eastAsia="仿宋_GB2312" w:cs="Tahoma"/>
          <w:kern w:val="2"/>
          <w:sz w:val="32"/>
          <w:szCs w:val="32"/>
        </w:rPr>
        <w:t>213.12</w:t>
      </w:r>
      <w:r>
        <w:rPr>
          <w:rFonts w:hint="eastAsia" w:ascii="仿宋_GB2312" w:hAnsi="Tahoma" w:eastAsia="仿宋_GB2312" w:cs="Tahoma"/>
          <w:kern w:val="2"/>
          <w:sz w:val="32"/>
          <w:szCs w:val="32"/>
        </w:rPr>
        <w:t>万元，下降</w:t>
      </w:r>
      <w:r>
        <w:rPr>
          <w:rFonts w:ascii="仿宋_GB2312" w:hAnsi="Tahoma" w:eastAsia="仿宋_GB2312" w:cs="Tahoma"/>
          <w:kern w:val="2"/>
          <w:sz w:val="32"/>
          <w:szCs w:val="32"/>
        </w:rPr>
        <w:t>29.99%</w:t>
      </w:r>
      <w:r>
        <w:rPr>
          <w:rFonts w:hint="eastAsia" w:ascii="仿宋_GB2312" w:hAnsi="Tahoma" w:eastAsia="仿宋_GB2312" w:cs="Tahoma"/>
          <w:kern w:val="2"/>
          <w:sz w:val="32"/>
          <w:szCs w:val="32"/>
        </w:rPr>
        <w:t>。主要变动原因是人员减少。（图</w:t>
      </w:r>
      <w:r>
        <w:rPr>
          <w:rFonts w:ascii="仿宋_GB2312" w:hAnsi="Tahoma" w:eastAsia="仿宋_GB2312" w:cs="Tahoma"/>
          <w:kern w:val="2"/>
          <w:sz w:val="32"/>
          <w:szCs w:val="32"/>
        </w:rPr>
        <w:t>5</w:t>
      </w:r>
      <w:r>
        <w:rPr>
          <w:rFonts w:hint="eastAsia" w:ascii="仿宋_GB2312" w:hAnsi="Tahoma" w:eastAsia="仿宋_GB2312" w:cs="Tahoma"/>
          <w:kern w:val="2"/>
          <w:sz w:val="32"/>
          <w:szCs w:val="32"/>
        </w:rPr>
        <w:t>：一般公共预算财政拨款支出决算变动情况）（柱状图）</w:t>
      </w:r>
    </w:p>
    <w:p>
      <w:pPr>
        <w:pStyle w:val="19"/>
        <w:widowControl w:val="0"/>
        <w:spacing w:before="0" w:beforeAutospacing="0" w:after="0" w:afterAutospacing="0" w:line="576" w:lineRule="exact"/>
        <w:ind w:firstLine="642" w:firstLineChars="200"/>
        <w:contextualSpacing/>
        <w:jc w:val="both"/>
        <w:rPr>
          <w:rFonts w:ascii="楷体_GB2312" w:hAnsi="楷体_GB2312" w:eastAsia="楷体_GB2312" w:cs="楷体_GB2312"/>
          <w:b/>
          <w:bCs/>
          <w:color w:val="000000"/>
          <w:kern w:val="2"/>
          <w:sz w:val="32"/>
          <w:szCs w:val="32"/>
          <w:lang w:val="zh-CN"/>
        </w:rPr>
      </w:pPr>
      <w:bookmarkStart w:id="59" w:name="_Toc79163866"/>
      <w:bookmarkStart w:id="60" w:name="_Toc79163616"/>
      <w:bookmarkStart w:id="61" w:name="_Toc15377211"/>
      <w:r>
        <w:rPr>
          <w:rFonts w:hint="eastAsia" w:ascii="楷体_GB2312" w:hAnsi="楷体_GB2312" w:eastAsia="楷体_GB2312" w:cs="楷体_GB2312"/>
          <w:b/>
          <w:bCs/>
          <w:color w:val="000000"/>
          <w:kern w:val="2"/>
          <w:sz w:val="32"/>
          <w:szCs w:val="32"/>
          <w:lang w:val="zh-CN"/>
        </w:rPr>
        <w:t>（二）一般公共预算财政拨款支出决算结构情况</w:t>
      </w:r>
      <w:bookmarkEnd w:id="59"/>
      <w:bookmarkEnd w:id="60"/>
      <w:bookmarkEnd w:id="61"/>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年一般公共预算财政拨款支出</w:t>
      </w:r>
      <w:r>
        <w:rPr>
          <w:rFonts w:ascii="仿宋_GB2312" w:hAnsi="Tahoma" w:eastAsia="仿宋_GB2312" w:cs="Tahoma"/>
          <w:kern w:val="2"/>
          <w:sz w:val="32"/>
          <w:szCs w:val="32"/>
        </w:rPr>
        <w:t>710.72</w:t>
      </w:r>
      <w:r>
        <w:rPr>
          <w:rFonts w:hint="eastAsia" w:ascii="仿宋_GB2312" w:hAnsi="Tahoma" w:eastAsia="仿宋_GB2312" w:cs="Tahoma"/>
          <w:kern w:val="2"/>
          <w:sz w:val="32"/>
          <w:szCs w:val="32"/>
        </w:rPr>
        <w:t>万元，主要用于以下方面</w:t>
      </w:r>
      <w:r>
        <w:rPr>
          <w:rFonts w:ascii="仿宋_GB2312" w:hAnsi="Tahoma" w:eastAsia="仿宋_GB2312" w:cs="Tahoma"/>
          <w:kern w:val="2"/>
          <w:sz w:val="32"/>
          <w:szCs w:val="32"/>
        </w:rPr>
        <w:t>:</w:t>
      </w:r>
      <w:r>
        <w:rPr>
          <w:rFonts w:hint="eastAsia" w:ascii="仿宋_GB2312" w:hAnsi="Tahoma" w:eastAsia="仿宋_GB2312" w:cs="Tahoma"/>
          <w:kern w:val="2"/>
          <w:sz w:val="32"/>
          <w:szCs w:val="32"/>
        </w:rPr>
        <w:t>一般公共服务（类）支出</w:t>
      </w:r>
      <w:r>
        <w:rPr>
          <w:rFonts w:ascii="仿宋_GB2312" w:hAnsi="Tahoma" w:eastAsia="仿宋_GB2312" w:cs="Tahoma"/>
          <w:kern w:val="2"/>
          <w:sz w:val="32"/>
          <w:szCs w:val="32"/>
        </w:rPr>
        <w:t>513.16</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79.24%</w:t>
      </w:r>
      <w:r>
        <w:rPr>
          <w:rFonts w:hint="eastAsia" w:ascii="仿宋_GB2312" w:hAnsi="Tahoma" w:eastAsia="仿宋_GB2312" w:cs="Tahoma"/>
          <w:kern w:val="2"/>
          <w:sz w:val="32"/>
          <w:szCs w:val="32"/>
        </w:rPr>
        <w:t>；社会保障和就业（类）支出</w:t>
      </w:r>
      <w:r>
        <w:rPr>
          <w:rFonts w:ascii="仿宋_GB2312" w:hAnsi="Tahoma" w:eastAsia="仿宋_GB2312" w:cs="Tahoma"/>
          <w:kern w:val="2"/>
          <w:sz w:val="32"/>
          <w:szCs w:val="32"/>
        </w:rPr>
        <w:t>63.83</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8.98%</w:t>
      </w:r>
      <w:r>
        <w:rPr>
          <w:rFonts w:hint="eastAsia" w:ascii="仿宋_GB2312" w:hAnsi="Tahoma" w:eastAsia="仿宋_GB2312" w:cs="Tahoma"/>
          <w:kern w:val="2"/>
          <w:sz w:val="32"/>
          <w:szCs w:val="32"/>
        </w:rPr>
        <w:t>；卫生健康支出（类</w:t>
      </w:r>
      <w:r>
        <w:rPr>
          <w:rFonts w:ascii="仿宋_GB2312" w:hAnsi="Tahoma" w:eastAsia="仿宋_GB2312" w:cs="Tahoma"/>
          <w:kern w:val="2"/>
          <w:sz w:val="32"/>
          <w:szCs w:val="32"/>
        </w:rPr>
        <w:t>)</w:t>
      </w:r>
      <w:r>
        <w:rPr>
          <w:rFonts w:hint="eastAsia" w:ascii="仿宋_GB2312" w:hAnsi="Tahoma" w:eastAsia="仿宋_GB2312" w:cs="Tahoma"/>
          <w:kern w:val="2"/>
          <w:sz w:val="32"/>
          <w:szCs w:val="32"/>
        </w:rPr>
        <w:t>支出</w:t>
      </w:r>
      <w:r>
        <w:rPr>
          <w:rFonts w:ascii="仿宋_GB2312" w:hAnsi="Tahoma" w:eastAsia="仿宋_GB2312" w:cs="Tahoma"/>
          <w:kern w:val="2"/>
          <w:sz w:val="32"/>
          <w:szCs w:val="32"/>
        </w:rPr>
        <w:t>34.57</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4.86%</w:t>
      </w:r>
      <w:r>
        <w:rPr>
          <w:rFonts w:hint="eastAsia" w:ascii="仿宋_GB2312" w:hAnsi="Tahoma" w:eastAsia="仿宋_GB2312" w:cs="Tahoma"/>
          <w:kern w:val="2"/>
          <w:sz w:val="32"/>
          <w:szCs w:val="32"/>
        </w:rPr>
        <w:t>；住房保障支出（类）支出</w:t>
      </w:r>
      <w:r>
        <w:rPr>
          <w:rFonts w:ascii="仿宋_GB2312" w:hAnsi="Tahoma" w:eastAsia="仿宋_GB2312" w:cs="Tahoma"/>
          <w:kern w:val="2"/>
          <w:sz w:val="32"/>
          <w:szCs w:val="32"/>
        </w:rPr>
        <w:t>49.17</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6.92%</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31" o:spid="_x0000_s1031" o:spt="75" type="#_x0000_t75" style="position:absolute;left:0pt;margin-left:5.25pt;margin-top:15.6pt;height:145.05pt;width:346.95pt;mso-wrap-distance-bottom:0pt;mso-wrap-distance-top:0pt;z-index:251663360;mso-width-relative:page;mso-height-relative:page;" o:ole="t" filled="f" o:preferrelative="t" stroked="f" coordsize="21600,21600">
            <v:path/>
            <v:fill on="f" focussize="0,0"/>
            <v:stroke on="f" joinstyle="miter"/>
            <v:imagedata r:id="rId17" o:title=""/>
            <o:lock v:ext="edit" aspectratio="t"/>
            <w10:wrap type="topAndBottom"/>
          </v:shape>
          <o:OLEObject Type="Embed" ProgID="MSGraph.Chart.8" ShapeID="_x0000_s1031" DrawAspect="Content" ObjectID="_1468075730" r:id="rId16">
            <o:LockedField>false</o:LockedField>
          </o:OLEObject>
        </w:pict>
      </w:r>
      <w:r>
        <w:rPr>
          <w:rFonts w:hint="eastAsia" w:ascii="仿宋_GB2312" w:hAnsi="Tahoma" w:eastAsia="仿宋_GB2312" w:cs="Tahoma"/>
          <w:kern w:val="2"/>
          <w:sz w:val="32"/>
          <w:szCs w:val="32"/>
        </w:rPr>
        <w:t>（图</w:t>
      </w:r>
      <w:r>
        <w:rPr>
          <w:rFonts w:ascii="仿宋_GB2312" w:hAnsi="Tahoma" w:eastAsia="仿宋_GB2312" w:cs="Tahoma"/>
          <w:kern w:val="2"/>
          <w:sz w:val="32"/>
          <w:szCs w:val="32"/>
        </w:rPr>
        <w:t>6</w:t>
      </w:r>
      <w:r>
        <w:rPr>
          <w:rFonts w:hint="eastAsia" w:ascii="仿宋_GB2312" w:hAnsi="Tahoma" w:eastAsia="仿宋_GB2312" w:cs="Tahoma"/>
          <w:kern w:val="2"/>
          <w:sz w:val="32"/>
          <w:szCs w:val="32"/>
        </w:rPr>
        <w:t>：一般公共预算财政拨款支出决算结构）（饼状图）</w:t>
      </w:r>
    </w:p>
    <w:p>
      <w:pPr>
        <w:pStyle w:val="19"/>
        <w:widowControl w:val="0"/>
        <w:spacing w:before="0" w:beforeAutospacing="0" w:after="0" w:afterAutospacing="0" w:line="576" w:lineRule="exact"/>
        <w:ind w:firstLine="642" w:firstLineChars="200"/>
        <w:contextualSpacing/>
        <w:jc w:val="both"/>
        <w:rPr>
          <w:rFonts w:ascii="楷体_GB2312" w:hAnsi="楷体_GB2312" w:eastAsia="楷体_GB2312" w:cs="楷体_GB2312"/>
          <w:b/>
          <w:bCs/>
          <w:color w:val="000000"/>
          <w:kern w:val="2"/>
          <w:sz w:val="32"/>
          <w:szCs w:val="32"/>
          <w:lang w:val="zh-CN"/>
        </w:rPr>
      </w:pPr>
      <w:bookmarkStart w:id="62" w:name="_Toc79163617"/>
      <w:bookmarkStart w:id="63" w:name="_Toc79163867"/>
      <w:bookmarkStart w:id="64" w:name="_Toc15377212"/>
      <w:r>
        <w:rPr>
          <w:rFonts w:hint="eastAsia" w:ascii="楷体_GB2312" w:hAnsi="楷体_GB2312" w:eastAsia="楷体_GB2312" w:cs="楷体_GB2312"/>
          <w:b/>
          <w:bCs/>
          <w:color w:val="000000"/>
          <w:kern w:val="2"/>
          <w:sz w:val="32"/>
          <w:szCs w:val="32"/>
          <w:lang w:val="zh-CN"/>
        </w:rPr>
        <w:t>（三）一般公共预算财政拨款支出决算具体情况</w:t>
      </w:r>
      <w:bookmarkEnd w:id="62"/>
      <w:bookmarkEnd w:id="63"/>
      <w:bookmarkEnd w:id="64"/>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bookmarkStart w:id="65" w:name="_Toc15378460"/>
      <w:bookmarkStart w:id="66" w:name="_Toc15377444"/>
      <w:bookmarkStart w:id="67" w:name="_Toc15377213"/>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年一般公共预算支出决算数为</w:t>
      </w:r>
      <w:r>
        <w:rPr>
          <w:rFonts w:ascii="仿宋_GB2312" w:hAnsi="Tahoma" w:eastAsia="仿宋_GB2312" w:cs="Tahoma"/>
          <w:kern w:val="2"/>
          <w:sz w:val="32"/>
          <w:szCs w:val="32"/>
        </w:rPr>
        <w:t>710.72</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96.78%</w:t>
      </w:r>
      <w:r>
        <w:rPr>
          <w:rFonts w:hint="eastAsia" w:ascii="仿宋_GB2312" w:hAnsi="Tahoma" w:eastAsia="仿宋_GB2312" w:cs="Tahoma"/>
          <w:kern w:val="2"/>
          <w:sz w:val="32"/>
          <w:szCs w:val="32"/>
        </w:rPr>
        <w:t>。其中：</w:t>
      </w:r>
      <w:bookmarkEnd w:id="65"/>
      <w:bookmarkEnd w:id="66"/>
      <w:bookmarkEnd w:id="67"/>
    </w:p>
    <w:p>
      <w:pPr>
        <w:pStyle w:val="19"/>
        <w:widowControl w:val="0"/>
        <w:numPr>
          <w:ilvl w:val="0"/>
          <w:numId w:val="3"/>
        </w:numPr>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hint="eastAsia" w:ascii="仿宋_GB2312" w:hAnsi="Tahoma" w:eastAsia="仿宋_GB2312" w:cs="Times New Roman"/>
          <w:b/>
          <w:bCs/>
          <w:kern w:val="2"/>
          <w:sz w:val="32"/>
          <w:szCs w:val="32"/>
        </w:rPr>
        <w:t>一般公共服务（类）政协事务（款）行政运行（项）</w:t>
      </w: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504</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numPr>
          <w:ilvl w:val="0"/>
          <w:numId w:val="3"/>
        </w:numPr>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hint="eastAsia" w:ascii="仿宋_GB2312" w:hAnsi="Tahoma" w:eastAsia="仿宋_GB2312" w:cs="Times New Roman"/>
          <w:b/>
          <w:bCs/>
          <w:kern w:val="2"/>
          <w:sz w:val="32"/>
          <w:szCs w:val="32"/>
        </w:rPr>
        <w:t>一般公共服务（类）政协事务（款）一般行政管理事务（项）</w:t>
      </w:r>
      <w:r>
        <w:rPr>
          <w:rFonts w:ascii="仿宋_GB2312" w:hAnsi="Tahoma" w:eastAsia="仿宋_GB2312" w:cs="Tahoma"/>
          <w:kern w:val="2"/>
          <w:sz w:val="32"/>
          <w:szCs w:val="32"/>
        </w:rPr>
        <w:t>23.67</w:t>
      </w:r>
      <w:r>
        <w:rPr>
          <w:rFonts w:hint="eastAsia" w:ascii="仿宋_GB2312" w:hAnsi="Tahoma" w:eastAsia="仿宋_GB2312" w:cs="Tahoma"/>
          <w:kern w:val="2"/>
          <w:sz w:val="32"/>
          <w:szCs w:val="32"/>
        </w:rPr>
        <w:t>万元，支出决算为</w:t>
      </w:r>
      <w:r>
        <w:rPr>
          <w:rFonts w:ascii="仿宋_GB2312" w:hAnsi="Tahoma" w:eastAsia="仿宋_GB2312" w:cs="Tahoma"/>
          <w:kern w:val="2"/>
          <w:sz w:val="32"/>
          <w:szCs w:val="32"/>
        </w:rPr>
        <w:t>0</w:t>
      </w:r>
      <w:r>
        <w:rPr>
          <w:rFonts w:hint="eastAsia" w:ascii="仿宋_GB2312" w:hAnsi="Tahoma" w:eastAsia="仿宋_GB2312" w:cs="Tahoma"/>
          <w:kern w:val="2"/>
          <w:sz w:val="32"/>
          <w:szCs w:val="32"/>
        </w:rPr>
        <w:t>，决算数小于预算数的主要原因是资金结转下年继续使用。</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3.</w:t>
      </w:r>
      <w:r>
        <w:rPr>
          <w:rFonts w:hint="eastAsia" w:ascii="仿宋_GB2312" w:hAnsi="Tahoma" w:eastAsia="仿宋_GB2312" w:cs="Tahoma"/>
          <w:b/>
          <w:bCs/>
          <w:kern w:val="2"/>
          <w:sz w:val="32"/>
          <w:szCs w:val="32"/>
        </w:rPr>
        <w:t>一般公共服务（类）政协事务（款）政协会议（项）</w:t>
      </w:r>
      <w:r>
        <w:rPr>
          <w:rFonts w:ascii="仿宋_GB2312" w:hAnsi="Tahoma" w:eastAsia="仿宋_GB2312" w:cs="Tahoma"/>
          <w:b/>
          <w:bCs/>
          <w:kern w:val="2"/>
          <w:sz w:val="32"/>
          <w:szCs w:val="32"/>
        </w:rPr>
        <w:t>:</w:t>
      </w: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40.39</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4.</w:t>
      </w:r>
      <w:r>
        <w:rPr>
          <w:rFonts w:hint="eastAsia" w:ascii="仿宋_GB2312" w:hAnsi="Tahoma" w:eastAsia="仿宋_GB2312" w:cs="Tahoma"/>
          <w:b/>
          <w:bCs/>
          <w:kern w:val="2"/>
          <w:sz w:val="32"/>
          <w:szCs w:val="32"/>
        </w:rPr>
        <w:t>社会保障和就业（类）行政事业单位养老（款）机关事业单位基本养老保险缴费支出（项）</w:t>
      </w:r>
      <w:r>
        <w:rPr>
          <w:rFonts w:ascii="仿宋_GB2312" w:hAnsi="Tahoma" w:eastAsia="仿宋_GB2312" w:cs="Tahoma"/>
          <w:b/>
          <w:bCs/>
          <w:kern w:val="2"/>
          <w:sz w:val="32"/>
          <w:szCs w:val="32"/>
        </w:rPr>
        <w:t>:</w:t>
      </w: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42.39</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5.</w:t>
      </w:r>
      <w:r>
        <w:rPr>
          <w:rFonts w:hint="eastAsia" w:ascii="仿宋_GB2312" w:hAnsi="Tahoma" w:eastAsia="仿宋_GB2312" w:cs="Tahoma"/>
          <w:b/>
          <w:bCs/>
          <w:kern w:val="2"/>
          <w:sz w:val="32"/>
          <w:szCs w:val="32"/>
        </w:rPr>
        <w:t>社会保障和就业（类）行政事业单位养老（款）机关事业单位职业年金缴费支出（项）</w:t>
      </w:r>
      <w:r>
        <w:rPr>
          <w:rFonts w:ascii="仿宋_GB2312" w:hAnsi="Tahoma" w:eastAsia="仿宋_GB2312" w:cs="Tahoma"/>
          <w:b/>
          <w:bCs/>
          <w:kern w:val="2"/>
          <w:sz w:val="32"/>
          <w:szCs w:val="32"/>
        </w:rPr>
        <w:t>:</w:t>
      </w: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21.44</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6.</w:t>
      </w:r>
      <w:r>
        <w:rPr>
          <w:rFonts w:hint="eastAsia" w:ascii="仿宋_GB2312" w:hAnsi="Tahoma" w:eastAsia="仿宋_GB2312" w:cs="Tahoma"/>
          <w:b/>
          <w:bCs/>
          <w:kern w:val="2"/>
          <w:sz w:val="32"/>
          <w:szCs w:val="32"/>
        </w:rPr>
        <w:t>卫生健康（类）行政事业单位医疗（款）行政单位医疗（项）</w:t>
      </w:r>
      <w:r>
        <w:rPr>
          <w:rFonts w:ascii="仿宋_GB2312" w:hAnsi="Tahoma" w:eastAsia="仿宋_GB2312" w:cs="Tahoma"/>
          <w:b/>
          <w:bCs/>
          <w:kern w:val="2"/>
          <w:sz w:val="32"/>
          <w:szCs w:val="32"/>
        </w:rPr>
        <w:t>:</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34.57</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7.</w:t>
      </w:r>
      <w:r>
        <w:rPr>
          <w:rFonts w:hint="eastAsia" w:ascii="仿宋_GB2312" w:hAnsi="Tahoma" w:eastAsia="仿宋_GB2312" w:cs="Tahoma"/>
          <w:b/>
          <w:bCs/>
          <w:kern w:val="2"/>
          <w:sz w:val="32"/>
          <w:szCs w:val="32"/>
        </w:rPr>
        <w:t>住房保障（类）住房改革支出（款）住房公积金（项）：</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47.95</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8.</w:t>
      </w:r>
      <w:r>
        <w:rPr>
          <w:rFonts w:hint="eastAsia" w:ascii="仿宋_GB2312" w:hAnsi="Tahoma" w:eastAsia="仿宋_GB2312" w:cs="Tahoma"/>
          <w:b/>
          <w:bCs/>
          <w:kern w:val="2"/>
          <w:sz w:val="32"/>
          <w:szCs w:val="32"/>
        </w:rPr>
        <w:t>住房保障（类）住房改革支出（款）购房补贴（项）：</w:t>
      </w:r>
      <w:r>
        <w:rPr>
          <w:rFonts w:hint="eastAsia" w:ascii="仿宋_GB2312" w:hAnsi="Tahoma" w:eastAsia="仿宋_GB2312" w:cs="Tahoma"/>
          <w:kern w:val="2"/>
          <w:sz w:val="32"/>
          <w:szCs w:val="32"/>
        </w:rPr>
        <w:t>支出决算为</w:t>
      </w:r>
      <w:r>
        <w:rPr>
          <w:rFonts w:ascii="仿宋_GB2312" w:hAnsi="Tahoma" w:eastAsia="仿宋_GB2312" w:cs="Tahoma"/>
          <w:kern w:val="2"/>
          <w:sz w:val="32"/>
          <w:szCs w:val="32"/>
        </w:rPr>
        <w:t>1.22</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3"/>
        <w:keepNext w:val="0"/>
        <w:keepLines w:val="0"/>
        <w:spacing w:before="0" w:after="0" w:line="576" w:lineRule="exact"/>
        <w:ind w:firstLine="640" w:firstLineChars="200"/>
        <w:rPr>
          <w:rFonts w:ascii="黑体" w:eastAsia="黑体"/>
          <w:b w:val="0"/>
          <w:color w:val="000000"/>
        </w:rPr>
      </w:pPr>
      <w:bookmarkStart w:id="68" w:name="_Toc15396608"/>
      <w:bookmarkStart w:id="69" w:name="_Toc79163868"/>
      <w:bookmarkStart w:id="70" w:name="_Toc79163618"/>
      <w:bookmarkStart w:id="71" w:name="_Toc15377214"/>
      <w:r>
        <w:rPr>
          <w:rFonts w:hint="eastAsia" w:ascii="黑体" w:eastAsia="黑体"/>
          <w:b w:val="0"/>
          <w:color w:val="000000"/>
        </w:rPr>
        <w:t>六、一般公共预算财政拨款基本支出决算情况说明</w:t>
      </w:r>
      <w:bookmarkEnd w:id="68"/>
      <w:bookmarkEnd w:id="69"/>
      <w:bookmarkEnd w:id="70"/>
      <w:bookmarkEnd w:id="71"/>
      <w:r>
        <w:rPr>
          <w:rFonts w:ascii="黑体" w:eastAsia="黑体"/>
          <w:b w:val="0"/>
          <w:color w:val="000000"/>
        </w:rPr>
        <w:tab/>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年一般公共预算财政拨款基本支出</w:t>
      </w:r>
      <w:r>
        <w:rPr>
          <w:rFonts w:ascii="仿宋_GB2312" w:hAnsi="Tahoma" w:eastAsia="仿宋_GB2312" w:cs="Tahoma"/>
          <w:kern w:val="2"/>
          <w:sz w:val="32"/>
          <w:szCs w:val="32"/>
        </w:rPr>
        <w:t>710.72</w:t>
      </w:r>
      <w:r>
        <w:rPr>
          <w:rFonts w:hint="eastAsia" w:ascii="仿宋_GB2312" w:hAnsi="Tahoma" w:eastAsia="仿宋_GB2312" w:cs="Tahoma"/>
          <w:kern w:val="2"/>
          <w:sz w:val="32"/>
          <w:szCs w:val="32"/>
        </w:rPr>
        <w:t>万元，其中：</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人员经费</w:t>
      </w:r>
      <w:r>
        <w:rPr>
          <w:rFonts w:ascii="仿宋_GB2312" w:hAnsi="Tahoma" w:eastAsia="仿宋_GB2312" w:cs="Tahoma"/>
          <w:kern w:val="2"/>
          <w:sz w:val="32"/>
          <w:szCs w:val="32"/>
        </w:rPr>
        <w:t>600.5</w:t>
      </w:r>
      <w:r>
        <w:rPr>
          <w:rFonts w:hint="eastAsia" w:ascii="仿宋_GB2312" w:hAnsi="Tahoma" w:eastAsia="仿宋_GB2312" w:cs="Tahoma"/>
          <w:kern w:val="2"/>
          <w:sz w:val="32"/>
          <w:szCs w:val="32"/>
        </w:rPr>
        <w:t>万元，主要包括：基本工资、津贴补贴、奖金、机关事业单位基本养老保险缴费、职业年金缴费、其他社会保障缴费、生活补助、医疗费补助、奖励金、住房公积金等。</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日常公用经费</w:t>
      </w:r>
      <w:r>
        <w:rPr>
          <w:rFonts w:ascii="仿宋_GB2312" w:hAnsi="Tahoma" w:eastAsia="仿宋_GB2312" w:cs="Tahoma"/>
          <w:kern w:val="2"/>
          <w:sz w:val="32"/>
          <w:szCs w:val="32"/>
        </w:rPr>
        <w:t>69.84</w:t>
      </w:r>
      <w:r>
        <w:rPr>
          <w:rFonts w:hint="eastAsia" w:ascii="仿宋_GB2312" w:hAnsi="Tahoma" w:eastAsia="仿宋_GB2312" w:cs="Tahoma"/>
          <w:kern w:val="2"/>
          <w:sz w:val="32"/>
          <w:szCs w:val="32"/>
        </w:rPr>
        <w:t>万元，主要包括：办公费、邮电费、差旅费、会议费、培训费、公务接待费、公务用车运行维护费等。</w:t>
      </w:r>
    </w:p>
    <w:p>
      <w:pPr>
        <w:pStyle w:val="3"/>
        <w:keepNext w:val="0"/>
        <w:keepLines w:val="0"/>
        <w:spacing w:before="0" w:after="0" w:line="576" w:lineRule="exact"/>
        <w:ind w:firstLine="640" w:firstLineChars="200"/>
        <w:rPr>
          <w:rFonts w:ascii="黑体" w:eastAsia="黑体"/>
          <w:b w:val="0"/>
          <w:color w:val="000000"/>
        </w:rPr>
      </w:pPr>
      <w:bookmarkStart w:id="72" w:name="_Toc79163869"/>
      <w:bookmarkStart w:id="73" w:name="_Toc15377215"/>
      <w:bookmarkStart w:id="74" w:name="_Toc15396609"/>
      <w:bookmarkStart w:id="75" w:name="_Toc79163619"/>
      <w:r>
        <w:rPr>
          <w:rFonts w:hint="eastAsia" w:ascii="黑体" w:eastAsia="黑体"/>
          <w:b w:val="0"/>
          <w:color w:val="000000"/>
        </w:rPr>
        <w:t>七、“三公”经费财政拨款支出决算情况说明</w:t>
      </w:r>
      <w:bookmarkEnd w:id="72"/>
      <w:bookmarkEnd w:id="73"/>
      <w:bookmarkEnd w:id="74"/>
      <w:bookmarkEnd w:id="75"/>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b/>
          <w:bCs/>
          <w:kern w:val="2"/>
          <w:sz w:val="32"/>
          <w:szCs w:val="32"/>
        </w:rPr>
      </w:pPr>
      <w:bookmarkStart w:id="76" w:name="_Toc79163620"/>
      <w:bookmarkStart w:id="77" w:name="_Toc79163870"/>
      <w:bookmarkStart w:id="78" w:name="_Toc15377216"/>
      <w:r>
        <w:rPr>
          <w:rFonts w:hint="eastAsia" w:ascii="仿宋_GB2312" w:hAnsi="Tahoma" w:eastAsia="仿宋_GB2312" w:cs="Tahoma"/>
          <w:b/>
          <w:bCs/>
          <w:kern w:val="2"/>
          <w:sz w:val="32"/>
          <w:szCs w:val="32"/>
        </w:rPr>
        <w:t>（一）“三公”经费财政拨款支出决算总体情况说明</w:t>
      </w:r>
      <w:bookmarkEnd w:id="76"/>
      <w:bookmarkEnd w:id="77"/>
      <w:bookmarkEnd w:id="78"/>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年“三公”经费财政拨款支出决算为</w:t>
      </w:r>
      <w:r>
        <w:rPr>
          <w:rFonts w:ascii="仿宋_GB2312" w:hAnsi="Tahoma" w:eastAsia="仿宋_GB2312" w:cs="Tahoma"/>
          <w:kern w:val="2"/>
          <w:sz w:val="32"/>
          <w:szCs w:val="32"/>
        </w:rPr>
        <w:t>25.19</w:t>
      </w:r>
      <w:r>
        <w:rPr>
          <w:rFonts w:hint="eastAsia" w:ascii="仿宋_GB2312" w:hAnsi="Tahoma" w:eastAsia="仿宋_GB2312" w:cs="Tahoma"/>
          <w:kern w:val="2"/>
          <w:sz w:val="32"/>
          <w:szCs w:val="32"/>
        </w:rPr>
        <w:t>万元，完成预算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b/>
          <w:bCs/>
          <w:kern w:val="2"/>
          <w:sz w:val="32"/>
          <w:szCs w:val="32"/>
        </w:rPr>
      </w:pPr>
      <w:bookmarkStart w:id="79" w:name="_Toc79163871"/>
      <w:bookmarkStart w:id="80" w:name="_Toc15377217"/>
      <w:bookmarkStart w:id="81" w:name="_Toc79163621"/>
      <w:r>
        <w:rPr>
          <w:rFonts w:hint="eastAsia" w:ascii="仿宋_GB2312" w:hAnsi="Tahoma" w:eastAsia="仿宋_GB2312" w:cs="Tahoma"/>
          <w:b/>
          <w:bCs/>
          <w:kern w:val="2"/>
          <w:sz w:val="32"/>
          <w:szCs w:val="32"/>
        </w:rPr>
        <w:t>（二）“三公”经费财政拨款支出决算具体情况说明</w:t>
      </w:r>
      <w:bookmarkEnd w:id="79"/>
      <w:bookmarkEnd w:id="80"/>
      <w:bookmarkEnd w:id="81"/>
    </w:p>
    <w:p>
      <w:pPr>
        <w:pStyle w:val="19"/>
        <w:widowControl w:val="0"/>
        <w:spacing w:before="0" w:beforeAutospacing="0" w:after="0" w:afterAutospacing="0" w:line="576" w:lineRule="exact"/>
        <w:ind w:firstLine="480" w:firstLineChars="200"/>
        <w:contextualSpacing/>
        <w:jc w:val="both"/>
        <w:rPr>
          <w:rFonts w:ascii="仿宋_GB2312" w:hAnsi="Tahoma" w:eastAsia="仿宋_GB2312" w:cs="Tahoma"/>
          <w:kern w:val="2"/>
          <w:sz w:val="32"/>
          <w:szCs w:val="32"/>
        </w:rPr>
      </w:pPr>
      <w:r>
        <w:pict>
          <v:shape id="_x0000_s1032" o:spid="_x0000_s1032" o:spt="75" type="#_x0000_t75" style="position:absolute;left:0pt;margin-left:17.35pt;margin-top:121.6pt;height:170.15pt;width:406.55pt;mso-wrap-distance-bottom:0pt;mso-wrap-distance-top:0pt;z-index:251664384;mso-width-relative:page;mso-height-relative:page;" o:ole="t" filled="f" o:preferrelative="t" stroked="f" coordsize="21600,21600">
            <v:path/>
            <v:fill on="f" focussize="0,0"/>
            <v:stroke on="f" joinstyle="miter"/>
            <v:imagedata r:id="rId19" o:title=""/>
            <o:lock v:ext="edit" aspectratio="t"/>
            <w10:wrap type="topAndBottom"/>
          </v:shape>
          <o:OLEObject Type="Embed" ProgID="MSGraph.Chart.8" ShapeID="_x0000_s1032" DrawAspect="Content" ObjectID="_1468075731" r:id="rId18">
            <o:LockedField>false</o:LockedField>
          </o:OLEObject>
        </w:pic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年“三公”经费财政拨款支出决算中，因公出国（境）费支出决算</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万元；公务用车购置及运行维护费支出决算</w:t>
      </w:r>
      <w:r>
        <w:rPr>
          <w:rFonts w:ascii="仿宋_GB2312" w:hAnsi="Tahoma" w:eastAsia="仿宋_GB2312" w:cs="Tahoma"/>
          <w:kern w:val="2"/>
          <w:sz w:val="32"/>
          <w:szCs w:val="32"/>
        </w:rPr>
        <w:t>22.15</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87.93%</w:t>
      </w:r>
      <w:r>
        <w:rPr>
          <w:rFonts w:hint="eastAsia" w:ascii="仿宋_GB2312" w:hAnsi="Tahoma" w:eastAsia="仿宋_GB2312" w:cs="Tahoma"/>
          <w:kern w:val="2"/>
          <w:sz w:val="32"/>
          <w:szCs w:val="32"/>
        </w:rPr>
        <w:t>；公务接待费支出决算</w:t>
      </w:r>
      <w:r>
        <w:rPr>
          <w:rFonts w:ascii="仿宋_GB2312" w:hAnsi="Tahoma" w:eastAsia="仿宋_GB2312" w:cs="Tahoma"/>
          <w:kern w:val="2"/>
          <w:sz w:val="32"/>
          <w:szCs w:val="32"/>
        </w:rPr>
        <w:t>3.04</w:t>
      </w:r>
      <w:r>
        <w:rPr>
          <w:rFonts w:hint="eastAsia" w:ascii="仿宋_GB2312" w:hAnsi="Tahoma" w:eastAsia="仿宋_GB2312" w:cs="Tahoma"/>
          <w:kern w:val="2"/>
          <w:sz w:val="32"/>
          <w:szCs w:val="32"/>
        </w:rPr>
        <w:t>万元，占</w:t>
      </w:r>
      <w:r>
        <w:rPr>
          <w:rFonts w:ascii="仿宋_GB2312" w:hAnsi="Tahoma" w:eastAsia="仿宋_GB2312" w:cs="Tahoma"/>
          <w:kern w:val="2"/>
          <w:sz w:val="32"/>
          <w:szCs w:val="32"/>
        </w:rPr>
        <w:t>12.07%</w:t>
      </w:r>
      <w:r>
        <w:rPr>
          <w:rFonts w:hint="eastAsia" w:ascii="仿宋_GB2312" w:hAnsi="Tahoma" w:eastAsia="仿宋_GB2312" w:cs="Tahoma"/>
          <w:kern w:val="2"/>
          <w:sz w:val="32"/>
          <w:szCs w:val="32"/>
        </w:rPr>
        <w:t>。具体情况如下：</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（图</w:t>
      </w:r>
      <w:r>
        <w:rPr>
          <w:rFonts w:ascii="仿宋_GB2312" w:hAnsi="Tahoma" w:eastAsia="仿宋_GB2312" w:cs="Tahoma"/>
          <w:kern w:val="2"/>
          <w:sz w:val="32"/>
          <w:szCs w:val="32"/>
        </w:rPr>
        <w:t>7</w:t>
      </w:r>
      <w:r>
        <w:rPr>
          <w:rFonts w:hint="eastAsia" w:ascii="仿宋_GB2312" w:hAnsi="Tahoma" w:eastAsia="仿宋_GB2312" w:cs="Tahoma"/>
          <w:kern w:val="2"/>
          <w:sz w:val="32"/>
          <w:szCs w:val="32"/>
        </w:rPr>
        <w:t>：“三公”经费财政拨款支出结构）（饼状图）</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1.</w:t>
      </w:r>
      <w:r>
        <w:rPr>
          <w:rFonts w:hint="eastAsia" w:ascii="仿宋_GB2312" w:hAnsi="Tahoma" w:eastAsia="仿宋_GB2312" w:cs="Tahoma"/>
          <w:b/>
          <w:bCs/>
          <w:kern w:val="2"/>
          <w:sz w:val="32"/>
          <w:szCs w:val="32"/>
        </w:rPr>
        <w:t>因公出国（境）经费支出</w:t>
      </w:r>
      <w:r>
        <w:rPr>
          <w:rFonts w:ascii="仿宋_GB2312" w:hAnsi="Tahoma" w:eastAsia="仿宋_GB2312" w:cs="Tahoma"/>
          <w:b/>
          <w:bCs/>
          <w:kern w:val="2"/>
          <w:sz w:val="32"/>
          <w:szCs w:val="32"/>
        </w:rPr>
        <w:t>0</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全年安排因公出国（境）团组</w:t>
      </w:r>
      <w:r>
        <w:rPr>
          <w:rFonts w:ascii="仿宋_GB2312" w:hAnsi="Tahoma" w:eastAsia="仿宋_GB2312" w:cs="Tahoma"/>
          <w:kern w:val="2"/>
          <w:sz w:val="32"/>
          <w:szCs w:val="32"/>
        </w:rPr>
        <w:t>0</w:t>
      </w:r>
      <w:r>
        <w:rPr>
          <w:rFonts w:hint="eastAsia" w:ascii="仿宋_GB2312" w:hAnsi="Tahoma" w:eastAsia="仿宋_GB2312" w:cs="Tahoma"/>
          <w:kern w:val="2"/>
          <w:sz w:val="32"/>
          <w:szCs w:val="32"/>
        </w:rPr>
        <w:t>次，出国（境）</w:t>
      </w:r>
      <w:r>
        <w:rPr>
          <w:rFonts w:ascii="仿宋_GB2312" w:hAnsi="Tahoma" w:eastAsia="仿宋_GB2312" w:cs="Tahoma"/>
          <w:kern w:val="2"/>
          <w:sz w:val="32"/>
          <w:szCs w:val="32"/>
        </w:rPr>
        <w:t>0</w:t>
      </w:r>
      <w:r>
        <w:rPr>
          <w:rFonts w:hint="eastAsia" w:ascii="仿宋_GB2312" w:hAnsi="Tahoma" w:eastAsia="仿宋_GB2312" w:cs="Tahoma"/>
          <w:kern w:val="2"/>
          <w:sz w:val="32"/>
          <w:szCs w:val="32"/>
        </w:rPr>
        <w:t>人。因公出国（境）支出决算比</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年无变化。</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2.</w:t>
      </w:r>
      <w:r>
        <w:rPr>
          <w:rFonts w:hint="eastAsia" w:ascii="仿宋_GB2312" w:hAnsi="Tahoma" w:eastAsia="仿宋_GB2312" w:cs="Tahoma"/>
          <w:b/>
          <w:bCs/>
          <w:kern w:val="2"/>
          <w:sz w:val="32"/>
          <w:szCs w:val="32"/>
        </w:rPr>
        <w:t>公务用车购置及运行维护费支出</w:t>
      </w:r>
      <w:r>
        <w:rPr>
          <w:rFonts w:ascii="仿宋_GB2312" w:hAnsi="Tahoma" w:eastAsia="仿宋_GB2312" w:cs="Tahoma"/>
          <w:b/>
          <w:bCs/>
          <w:kern w:val="2"/>
          <w:sz w:val="32"/>
          <w:szCs w:val="32"/>
        </w:rPr>
        <w:t>22.15</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。公务用车购置及运行维护费支出决算比</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年减少</w:t>
      </w:r>
      <w:r>
        <w:rPr>
          <w:rFonts w:ascii="仿宋_GB2312" w:hAnsi="Tahoma" w:eastAsia="仿宋_GB2312" w:cs="Tahoma"/>
          <w:kern w:val="2"/>
          <w:sz w:val="32"/>
          <w:szCs w:val="32"/>
        </w:rPr>
        <w:t>4.53</w:t>
      </w:r>
      <w:r>
        <w:rPr>
          <w:rFonts w:hint="eastAsia" w:ascii="仿宋_GB2312" w:hAnsi="Tahoma" w:eastAsia="仿宋_GB2312" w:cs="Tahoma"/>
          <w:kern w:val="2"/>
          <w:sz w:val="32"/>
          <w:szCs w:val="32"/>
        </w:rPr>
        <w:t>万元，下降</w:t>
      </w:r>
      <w:r>
        <w:rPr>
          <w:rFonts w:ascii="仿宋_GB2312" w:hAnsi="Tahoma" w:eastAsia="仿宋_GB2312" w:cs="Tahoma"/>
          <w:kern w:val="2"/>
          <w:sz w:val="32"/>
          <w:szCs w:val="32"/>
        </w:rPr>
        <w:t>20.45%</w:t>
      </w:r>
      <w:r>
        <w:rPr>
          <w:rFonts w:hint="eastAsia" w:ascii="仿宋_GB2312" w:hAnsi="Tahoma" w:eastAsia="仿宋_GB2312" w:cs="Tahoma"/>
          <w:kern w:val="2"/>
          <w:sz w:val="32"/>
          <w:szCs w:val="32"/>
        </w:rPr>
        <w:t>。主要原因是人员减少。</w:t>
      </w:r>
      <w:r>
        <w:rPr>
          <w:rFonts w:hint="eastAsia" w:ascii="仿宋_GB2312" w:hAnsi="Tahoma" w:eastAsia="仿宋_GB2312" w:cs="Tahoma"/>
          <w:b w:val="0"/>
          <w:bCs w:val="0"/>
          <w:kern w:val="2"/>
          <w:sz w:val="32"/>
          <w:szCs w:val="32"/>
        </w:rPr>
        <w:t>其中：</w:t>
      </w:r>
    </w:p>
    <w:p>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2" w:firstLineChars="200"/>
        <w:contextualSpacing/>
        <w:jc w:val="both"/>
        <w:textAlignment w:val="auto"/>
        <w:rPr>
          <w:rFonts w:ascii="仿宋_GB2312" w:hAnsi="Tahoma" w:eastAsia="仿宋_GB2312" w:cs="Tahoma"/>
          <w:kern w:val="2"/>
          <w:sz w:val="32"/>
          <w:szCs w:val="32"/>
        </w:rPr>
      </w:pPr>
      <w:r>
        <w:rPr>
          <w:rFonts w:hint="eastAsia" w:ascii="仿宋_GB2312" w:hAnsi="Tahoma" w:eastAsia="仿宋_GB2312" w:cs="Tahoma"/>
          <w:b/>
          <w:bCs/>
          <w:kern w:val="2"/>
          <w:sz w:val="32"/>
          <w:szCs w:val="32"/>
        </w:rPr>
        <w:t>公务用车购置支出</w:t>
      </w:r>
      <w:r>
        <w:rPr>
          <w:rFonts w:ascii="仿宋_GB2312" w:hAnsi="Tahoma" w:eastAsia="仿宋_GB2312" w:cs="Tahoma"/>
          <w:b/>
          <w:bCs/>
          <w:kern w:val="2"/>
          <w:sz w:val="32"/>
          <w:szCs w:val="32"/>
        </w:rPr>
        <w:t>0</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全年按规定更新购置公务用车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辆，金额</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万元。截至</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w:t>
      </w:r>
      <w:r>
        <w:rPr>
          <w:rFonts w:ascii="仿宋_GB2312" w:hAnsi="Tahoma" w:eastAsia="仿宋_GB2312" w:cs="Tahoma"/>
          <w:kern w:val="2"/>
          <w:sz w:val="32"/>
          <w:szCs w:val="32"/>
        </w:rPr>
        <w:t>12</w:t>
      </w:r>
      <w:r>
        <w:rPr>
          <w:rFonts w:hint="eastAsia" w:ascii="仿宋_GB2312" w:hAnsi="Tahoma" w:eastAsia="仿宋_GB2312" w:cs="Tahoma"/>
          <w:kern w:val="2"/>
          <w:sz w:val="32"/>
          <w:szCs w:val="32"/>
        </w:rPr>
        <w:t>月底，单位共有公务用车</w:t>
      </w:r>
      <w:r>
        <w:rPr>
          <w:rFonts w:ascii="仿宋_GB2312" w:hAnsi="Tahoma" w:eastAsia="仿宋_GB2312" w:cs="Tahoma"/>
          <w:kern w:val="2"/>
          <w:sz w:val="32"/>
          <w:szCs w:val="32"/>
        </w:rPr>
        <w:t>5</w:t>
      </w:r>
      <w:r>
        <w:rPr>
          <w:rFonts w:hint="eastAsia" w:ascii="仿宋_GB2312" w:hAnsi="Tahoma" w:eastAsia="仿宋_GB2312" w:cs="Tahoma"/>
          <w:kern w:val="2"/>
          <w:sz w:val="32"/>
          <w:szCs w:val="32"/>
        </w:rPr>
        <w:t>辆，其中：轿车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辆、越野车</w:t>
      </w:r>
      <w:r>
        <w:rPr>
          <w:rFonts w:ascii="仿宋_GB2312" w:hAnsi="Tahoma" w:eastAsia="仿宋_GB2312" w:cs="Tahoma"/>
          <w:kern w:val="2"/>
          <w:sz w:val="32"/>
          <w:szCs w:val="32"/>
        </w:rPr>
        <w:t>5</w:t>
      </w:r>
      <w:r>
        <w:rPr>
          <w:rFonts w:hint="eastAsia" w:ascii="仿宋_GB2312" w:hAnsi="Tahoma" w:eastAsia="仿宋_GB2312" w:cs="Tahoma"/>
          <w:kern w:val="2"/>
          <w:sz w:val="32"/>
          <w:szCs w:val="32"/>
        </w:rPr>
        <w:t>辆、载客汽车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hint="eastAsia" w:ascii="仿宋_GB2312" w:hAnsi="Tahoma" w:eastAsia="仿宋_GB2312" w:cs="Tahoma"/>
          <w:b/>
          <w:bCs/>
          <w:kern w:val="2"/>
          <w:sz w:val="32"/>
          <w:szCs w:val="32"/>
        </w:rPr>
        <w:t>公务用车运行维护费支出</w:t>
      </w:r>
      <w:r>
        <w:rPr>
          <w:rFonts w:ascii="仿宋_GB2312" w:hAnsi="Tahoma" w:eastAsia="仿宋_GB2312" w:cs="Tahoma"/>
          <w:b/>
          <w:bCs/>
          <w:kern w:val="2"/>
          <w:sz w:val="32"/>
          <w:szCs w:val="32"/>
        </w:rPr>
        <w:t>22.15</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主要用于单位履行政治协商、民主监督、参政议政职能等所需的公务用车燃料费、维修费、过路过桥费、保险费等支出。</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3.</w:t>
      </w:r>
      <w:r>
        <w:rPr>
          <w:rFonts w:hint="eastAsia" w:ascii="仿宋_GB2312" w:hAnsi="Tahoma" w:eastAsia="仿宋_GB2312" w:cs="Tahoma"/>
          <w:b/>
          <w:bCs/>
          <w:kern w:val="2"/>
          <w:sz w:val="32"/>
          <w:szCs w:val="32"/>
        </w:rPr>
        <w:t>公务接待费支出</w:t>
      </w:r>
      <w:r>
        <w:rPr>
          <w:rFonts w:ascii="仿宋_GB2312" w:hAnsi="Tahoma" w:eastAsia="仿宋_GB2312" w:cs="Tahoma"/>
          <w:b/>
          <w:bCs/>
          <w:kern w:val="2"/>
          <w:sz w:val="32"/>
          <w:szCs w:val="32"/>
        </w:rPr>
        <w:t>3.04</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完成预算</w:t>
      </w:r>
      <w:r>
        <w:rPr>
          <w:rFonts w:ascii="仿宋_GB2312" w:hAnsi="Tahoma" w:eastAsia="仿宋_GB2312" w:cs="Tahoma"/>
          <w:kern w:val="2"/>
          <w:sz w:val="32"/>
          <w:szCs w:val="32"/>
        </w:rPr>
        <w:t>100%</w:t>
      </w:r>
      <w:r>
        <w:rPr>
          <w:rFonts w:hint="eastAsia" w:ascii="仿宋_GB2312" w:hAnsi="Tahoma" w:eastAsia="仿宋_GB2312" w:cs="Tahoma"/>
          <w:kern w:val="2"/>
          <w:sz w:val="32"/>
          <w:szCs w:val="32"/>
        </w:rPr>
        <w:t>。公务接待费支出决算比</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年增加</w:t>
      </w:r>
      <w:r>
        <w:rPr>
          <w:rFonts w:ascii="仿宋_GB2312" w:hAnsi="Tahoma" w:eastAsia="仿宋_GB2312" w:cs="Tahoma"/>
          <w:kern w:val="2"/>
          <w:sz w:val="32"/>
          <w:szCs w:val="32"/>
        </w:rPr>
        <w:t>1.1</w:t>
      </w:r>
      <w:r>
        <w:rPr>
          <w:rFonts w:hint="eastAsia" w:ascii="仿宋_GB2312" w:hAnsi="Tahoma" w:eastAsia="仿宋_GB2312" w:cs="Tahoma"/>
          <w:kern w:val="2"/>
          <w:sz w:val="32"/>
          <w:szCs w:val="32"/>
        </w:rPr>
        <w:t>万元，增长</w:t>
      </w:r>
      <w:r>
        <w:rPr>
          <w:rFonts w:ascii="仿宋_GB2312" w:hAnsi="Tahoma" w:eastAsia="仿宋_GB2312" w:cs="Tahoma"/>
          <w:kern w:val="2"/>
          <w:sz w:val="32"/>
          <w:szCs w:val="32"/>
        </w:rPr>
        <w:t>36.18%</w:t>
      </w:r>
      <w:r>
        <w:rPr>
          <w:rFonts w:hint="eastAsia" w:ascii="仿宋_GB2312" w:hAnsi="Tahoma" w:eastAsia="仿宋_GB2312" w:cs="Tahoma"/>
          <w:kern w:val="2"/>
          <w:sz w:val="32"/>
          <w:szCs w:val="32"/>
        </w:rPr>
        <w:t>。主要原因是业务活动开展多、友邻县政协考察组来得多。其中：</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hint="eastAsia" w:ascii="仿宋_GB2312" w:hAnsi="Tahoma" w:eastAsia="仿宋_GB2312" w:cs="Tahoma"/>
          <w:b/>
          <w:bCs/>
          <w:kern w:val="2"/>
          <w:sz w:val="32"/>
          <w:szCs w:val="32"/>
        </w:rPr>
        <w:t>国内公务接待支出</w:t>
      </w:r>
      <w:r>
        <w:rPr>
          <w:rFonts w:ascii="仿宋_GB2312" w:hAnsi="Tahoma" w:eastAsia="仿宋_GB2312" w:cs="Tahoma"/>
          <w:b/>
          <w:bCs/>
          <w:kern w:val="2"/>
          <w:sz w:val="32"/>
          <w:szCs w:val="32"/>
        </w:rPr>
        <w:t>3.04</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主要用于执行公务、开展业务活动开支的交通费、住宿费、用餐费等。国内公务接待</w:t>
      </w:r>
      <w:r>
        <w:rPr>
          <w:rFonts w:ascii="仿宋_GB2312" w:hAnsi="Tahoma" w:eastAsia="仿宋_GB2312" w:cs="Tahoma"/>
          <w:kern w:val="2"/>
          <w:sz w:val="32"/>
          <w:szCs w:val="32"/>
        </w:rPr>
        <w:t>11</w:t>
      </w:r>
      <w:r>
        <w:rPr>
          <w:rFonts w:hint="eastAsia" w:ascii="仿宋_GB2312" w:hAnsi="Tahoma" w:eastAsia="仿宋_GB2312" w:cs="Tahoma"/>
          <w:kern w:val="2"/>
          <w:sz w:val="32"/>
          <w:szCs w:val="32"/>
        </w:rPr>
        <w:t>批次，</w:t>
      </w:r>
      <w:r>
        <w:rPr>
          <w:rFonts w:ascii="仿宋_GB2312" w:hAnsi="Tahoma" w:eastAsia="仿宋_GB2312" w:cs="Tahoma"/>
          <w:kern w:val="2"/>
          <w:sz w:val="32"/>
          <w:szCs w:val="32"/>
        </w:rPr>
        <w:t>99</w:t>
      </w:r>
      <w:r>
        <w:rPr>
          <w:rFonts w:hint="eastAsia" w:ascii="仿宋_GB2312" w:hAnsi="Tahoma" w:eastAsia="仿宋_GB2312" w:cs="Tahoma"/>
          <w:kern w:val="2"/>
          <w:sz w:val="32"/>
          <w:szCs w:val="32"/>
        </w:rPr>
        <w:t>人次（不包括陪同人员），共计支出</w:t>
      </w:r>
      <w:r>
        <w:rPr>
          <w:rFonts w:ascii="仿宋_GB2312" w:hAnsi="Tahoma" w:eastAsia="仿宋_GB2312" w:cs="Tahoma"/>
          <w:kern w:val="2"/>
          <w:sz w:val="32"/>
          <w:szCs w:val="32"/>
        </w:rPr>
        <w:t>3.04</w:t>
      </w:r>
      <w:r>
        <w:rPr>
          <w:rFonts w:hint="eastAsia" w:ascii="仿宋_GB2312" w:hAnsi="Tahoma" w:eastAsia="仿宋_GB2312" w:cs="Tahoma"/>
          <w:kern w:val="2"/>
          <w:sz w:val="32"/>
          <w:szCs w:val="32"/>
        </w:rPr>
        <w:t>万元，具体内容包括：省、州政协工作组来茂县调研支出、友邻县政协考察组的接待支出</w:t>
      </w:r>
      <w:r>
        <w:rPr>
          <w:rFonts w:ascii="仿宋_GB2312" w:hAnsi="Tahoma" w:eastAsia="仿宋_GB2312" w:cs="Tahoma"/>
          <w:kern w:val="2"/>
          <w:sz w:val="32"/>
          <w:szCs w:val="32"/>
        </w:rPr>
        <w:t>2</w:t>
      </w:r>
      <w:r>
        <w:rPr>
          <w:rFonts w:hint="eastAsia" w:ascii="仿宋_GB2312" w:hAnsi="Tahoma" w:eastAsia="仿宋_GB2312" w:cs="Tahoma"/>
          <w:kern w:val="2"/>
          <w:sz w:val="32"/>
          <w:szCs w:val="32"/>
        </w:rPr>
        <w:t>万元；接待和慰问退休干部</w:t>
      </w:r>
      <w:r>
        <w:rPr>
          <w:rFonts w:ascii="仿宋_GB2312" w:hAnsi="Tahoma" w:eastAsia="仿宋_GB2312" w:cs="Tahoma"/>
          <w:kern w:val="2"/>
          <w:sz w:val="32"/>
          <w:szCs w:val="32"/>
        </w:rPr>
        <w:t>1.04</w:t>
      </w:r>
      <w:r>
        <w:rPr>
          <w:rFonts w:hint="eastAsia" w:ascii="仿宋_GB2312" w:hAnsi="Tahoma" w:eastAsia="仿宋_GB2312" w:cs="Tahoma"/>
          <w:kern w:val="2"/>
          <w:sz w:val="32"/>
          <w:szCs w:val="32"/>
        </w:rPr>
        <w:t>万元。</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hint="eastAsia" w:ascii="仿宋_GB2312" w:hAnsi="Tahoma" w:eastAsia="仿宋_GB2312" w:cs="Tahoma"/>
          <w:b/>
          <w:bCs/>
          <w:kern w:val="2"/>
          <w:sz w:val="32"/>
          <w:szCs w:val="32"/>
        </w:rPr>
        <w:t>外事接待支出</w:t>
      </w:r>
      <w:r>
        <w:rPr>
          <w:rFonts w:ascii="仿宋_GB2312" w:hAnsi="Tahoma" w:eastAsia="仿宋_GB2312" w:cs="Tahoma"/>
          <w:b/>
          <w:bCs/>
          <w:kern w:val="2"/>
          <w:sz w:val="32"/>
          <w:szCs w:val="32"/>
        </w:rPr>
        <w:t>0</w:t>
      </w:r>
      <w:r>
        <w:rPr>
          <w:rFonts w:hint="eastAsia" w:ascii="仿宋_GB2312" w:hAnsi="Tahoma" w:eastAsia="仿宋_GB2312" w:cs="Tahoma"/>
          <w:b/>
          <w:bCs/>
          <w:kern w:val="2"/>
          <w:sz w:val="32"/>
          <w:szCs w:val="32"/>
        </w:rPr>
        <w:t>万元。</w:t>
      </w:r>
      <w:r>
        <w:rPr>
          <w:rFonts w:hint="eastAsia" w:ascii="仿宋_GB2312" w:hAnsi="Tahoma" w:eastAsia="仿宋_GB2312" w:cs="Tahoma"/>
          <w:kern w:val="2"/>
          <w:sz w:val="32"/>
          <w:szCs w:val="32"/>
        </w:rPr>
        <w:t>外事接待</w:t>
      </w:r>
      <w:r>
        <w:rPr>
          <w:rFonts w:ascii="仿宋_GB2312" w:hAnsi="Tahoma" w:eastAsia="仿宋_GB2312" w:cs="Tahoma"/>
          <w:kern w:val="2"/>
          <w:sz w:val="32"/>
          <w:szCs w:val="32"/>
        </w:rPr>
        <w:t>0</w:t>
      </w:r>
      <w:r>
        <w:rPr>
          <w:rFonts w:hint="eastAsia" w:ascii="仿宋_GB2312" w:hAnsi="Tahoma" w:eastAsia="仿宋_GB2312" w:cs="Tahoma"/>
          <w:kern w:val="2"/>
          <w:sz w:val="32"/>
          <w:szCs w:val="32"/>
        </w:rPr>
        <w:t>批次，</w:t>
      </w:r>
      <w:r>
        <w:rPr>
          <w:rFonts w:ascii="仿宋_GB2312" w:hAnsi="Tahoma" w:eastAsia="仿宋_GB2312" w:cs="Tahoma"/>
          <w:kern w:val="2"/>
          <w:sz w:val="32"/>
          <w:szCs w:val="32"/>
        </w:rPr>
        <w:t>0</w:t>
      </w:r>
      <w:r>
        <w:rPr>
          <w:rFonts w:hint="eastAsia" w:ascii="仿宋_GB2312" w:hAnsi="Tahoma" w:eastAsia="仿宋_GB2312" w:cs="Tahoma"/>
          <w:kern w:val="2"/>
          <w:sz w:val="32"/>
          <w:szCs w:val="32"/>
        </w:rPr>
        <w:t>人，共计支出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3"/>
        <w:keepNext w:val="0"/>
        <w:keepLines w:val="0"/>
        <w:spacing w:before="0" w:after="0" w:line="576" w:lineRule="exact"/>
        <w:ind w:firstLine="640" w:firstLineChars="200"/>
        <w:rPr>
          <w:rFonts w:ascii="黑体" w:eastAsia="黑体"/>
          <w:b w:val="0"/>
          <w:color w:val="000000"/>
        </w:rPr>
      </w:pPr>
      <w:bookmarkStart w:id="82" w:name="_Toc15377218"/>
      <w:bookmarkStart w:id="83" w:name="_Toc15396610"/>
      <w:bookmarkStart w:id="84" w:name="_Toc79163872"/>
      <w:bookmarkStart w:id="85" w:name="_Toc79163622"/>
      <w:r>
        <w:rPr>
          <w:rFonts w:hint="eastAsia" w:ascii="黑体" w:eastAsia="黑体"/>
          <w:b w:val="0"/>
          <w:color w:val="000000"/>
        </w:rPr>
        <w:t>八、政府性基金预算支出决算情况说明</w:t>
      </w:r>
      <w:bookmarkEnd w:id="82"/>
      <w:bookmarkEnd w:id="83"/>
      <w:bookmarkEnd w:id="84"/>
      <w:bookmarkEnd w:id="85"/>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年政府性基金预算拨款支出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3"/>
        <w:keepNext w:val="0"/>
        <w:keepLines w:val="0"/>
        <w:spacing w:before="0" w:after="0" w:line="576" w:lineRule="exact"/>
        <w:ind w:firstLine="640" w:firstLineChars="200"/>
        <w:rPr>
          <w:rFonts w:ascii="黑体" w:eastAsia="黑体"/>
          <w:b w:val="0"/>
          <w:color w:val="000000"/>
        </w:rPr>
      </w:pPr>
      <w:bookmarkStart w:id="86" w:name="_Toc79163623"/>
      <w:bookmarkStart w:id="87" w:name="_Toc15377219"/>
      <w:bookmarkStart w:id="88" w:name="_Toc15396611"/>
      <w:bookmarkStart w:id="89" w:name="_Toc79163873"/>
      <w:r>
        <w:rPr>
          <w:rFonts w:hint="eastAsia" w:ascii="黑体" w:eastAsia="黑体"/>
          <w:b w:val="0"/>
          <w:color w:val="000000"/>
        </w:rPr>
        <w:t>九、国有资本经营预算支出决算情况说明</w:t>
      </w:r>
      <w:bookmarkEnd w:id="86"/>
      <w:bookmarkEnd w:id="87"/>
      <w:bookmarkEnd w:id="88"/>
      <w:bookmarkEnd w:id="89"/>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年国有资本经营预算拨款支出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19"/>
        <w:widowControl w:val="0"/>
        <w:spacing w:before="0" w:beforeAutospacing="0" w:after="0" w:afterAutospacing="0" w:line="576" w:lineRule="exact"/>
        <w:ind w:firstLine="640" w:firstLineChars="200"/>
        <w:contextualSpacing/>
        <w:jc w:val="both"/>
        <w:rPr>
          <w:rFonts w:ascii="黑体" w:hAnsi="Cambria" w:eastAsia="黑体" w:cs="Times New Roman"/>
          <w:bCs/>
          <w:color w:val="000000"/>
          <w:kern w:val="2"/>
          <w:sz w:val="32"/>
          <w:szCs w:val="32"/>
        </w:rPr>
      </w:pPr>
      <w:bookmarkStart w:id="90" w:name="_Toc79163624"/>
      <w:bookmarkStart w:id="91" w:name="_Toc15377221"/>
      <w:bookmarkStart w:id="92" w:name="_Toc79163874"/>
      <w:bookmarkStart w:id="93" w:name="_Toc15396612"/>
      <w:r>
        <w:rPr>
          <w:rFonts w:hint="eastAsia" w:ascii="黑体" w:hAnsi="Cambria" w:eastAsia="黑体" w:cs="Times New Roman"/>
          <w:bCs/>
          <w:color w:val="000000"/>
          <w:kern w:val="2"/>
          <w:sz w:val="32"/>
          <w:szCs w:val="32"/>
        </w:rPr>
        <w:t>十、其他重要事项的情况说明</w:t>
      </w:r>
      <w:bookmarkEnd w:id="90"/>
      <w:bookmarkEnd w:id="91"/>
      <w:bookmarkEnd w:id="92"/>
      <w:bookmarkEnd w:id="93"/>
    </w:p>
    <w:p>
      <w:pPr>
        <w:pStyle w:val="19"/>
        <w:widowControl w:val="0"/>
        <w:spacing w:before="0" w:beforeAutospacing="0" w:after="0" w:afterAutospacing="0" w:line="576" w:lineRule="exact"/>
        <w:ind w:firstLine="642" w:firstLineChars="200"/>
        <w:contextualSpacing/>
        <w:jc w:val="both"/>
        <w:rPr>
          <w:rFonts w:ascii="楷体_GB2312" w:hAnsi="楷体_GB2312" w:eastAsia="楷体_GB2312" w:cs="楷体_GB2312"/>
          <w:b/>
          <w:bCs/>
          <w:color w:val="000000"/>
          <w:kern w:val="2"/>
          <w:sz w:val="32"/>
          <w:szCs w:val="32"/>
        </w:rPr>
      </w:pPr>
      <w:bookmarkStart w:id="94" w:name="_Toc79163875"/>
      <w:bookmarkStart w:id="95" w:name="_Toc79163625"/>
      <w:bookmarkStart w:id="96" w:name="_Toc15377222"/>
      <w:r>
        <w:rPr>
          <w:rFonts w:hint="eastAsia" w:ascii="楷体_GB2312" w:hAnsi="楷体_GB2312" w:eastAsia="楷体_GB2312" w:cs="楷体_GB2312"/>
          <w:b/>
          <w:bCs/>
          <w:color w:val="000000"/>
          <w:kern w:val="2"/>
          <w:sz w:val="32"/>
          <w:szCs w:val="32"/>
        </w:rPr>
        <w:t>（一）机关运行经费支出情况</w:t>
      </w:r>
      <w:bookmarkEnd w:id="94"/>
      <w:bookmarkEnd w:id="95"/>
      <w:bookmarkEnd w:id="96"/>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年，茂县政协办公室机关运行经费支出</w:t>
      </w:r>
      <w:r>
        <w:rPr>
          <w:rFonts w:ascii="仿宋_GB2312" w:hAnsi="Tahoma" w:eastAsia="仿宋_GB2312" w:cs="Tahoma"/>
          <w:kern w:val="2"/>
          <w:sz w:val="32"/>
          <w:szCs w:val="32"/>
        </w:rPr>
        <w:t>69.84</w:t>
      </w:r>
      <w:r>
        <w:rPr>
          <w:rFonts w:hint="eastAsia" w:ascii="仿宋_GB2312" w:hAnsi="Tahoma" w:eastAsia="仿宋_GB2312" w:cs="Tahoma"/>
          <w:kern w:val="2"/>
          <w:sz w:val="32"/>
          <w:szCs w:val="32"/>
        </w:rPr>
        <w:t>万元，比</w:t>
      </w:r>
      <w:r>
        <w:rPr>
          <w:rFonts w:ascii="仿宋_GB2312" w:hAnsi="Tahoma" w:eastAsia="仿宋_GB2312" w:cs="Tahoma"/>
          <w:kern w:val="2"/>
          <w:sz w:val="32"/>
          <w:szCs w:val="32"/>
        </w:rPr>
        <w:t>2019</w:t>
      </w:r>
      <w:r>
        <w:rPr>
          <w:rFonts w:hint="eastAsia" w:ascii="仿宋_GB2312" w:hAnsi="Tahoma" w:eastAsia="仿宋_GB2312" w:cs="Tahoma"/>
          <w:kern w:val="2"/>
          <w:sz w:val="32"/>
          <w:szCs w:val="32"/>
        </w:rPr>
        <w:t>年减少</w:t>
      </w:r>
      <w:r>
        <w:rPr>
          <w:rFonts w:ascii="仿宋_GB2312" w:hAnsi="Tahoma" w:eastAsia="仿宋_GB2312" w:cs="Tahoma"/>
          <w:kern w:val="2"/>
          <w:sz w:val="32"/>
          <w:szCs w:val="32"/>
        </w:rPr>
        <w:t>7.36</w:t>
      </w:r>
      <w:r>
        <w:rPr>
          <w:rFonts w:hint="eastAsia" w:ascii="仿宋_GB2312" w:hAnsi="Tahoma" w:eastAsia="仿宋_GB2312" w:cs="Tahoma"/>
          <w:kern w:val="2"/>
          <w:sz w:val="32"/>
          <w:szCs w:val="32"/>
        </w:rPr>
        <w:t>万元，下降</w:t>
      </w:r>
      <w:r>
        <w:rPr>
          <w:rFonts w:ascii="仿宋_GB2312" w:hAnsi="Tahoma" w:eastAsia="仿宋_GB2312" w:cs="Tahoma"/>
          <w:kern w:val="2"/>
          <w:sz w:val="32"/>
          <w:szCs w:val="32"/>
        </w:rPr>
        <w:t>10.54%</w:t>
      </w:r>
      <w:r>
        <w:rPr>
          <w:rFonts w:hint="eastAsia" w:ascii="仿宋_GB2312" w:hAnsi="Tahoma" w:eastAsia="仿宋_GB2312" w:cs="Tahoma"/>
          <w:kern w:val="2"/>
          <w:sz w:val="32"/>
          <w:szCs w:val="32"/>
        </w:rPr>
        <w:t>。主要原因是人员减少。</w:t>
      </w:r>
    </w:p>
    <w:p>
      <w:pPr>
        <w:pStyle w:val="19"/>
        <w:widowControl w:val="0"/>
        <w:spacing w:before="0" w:beforeAutospacing="0" w:after="0" w:afterAutospacing="0" w:line="576" w:lineRule="exact"/>
        <w:ind w:firstLine="642" w:firstLineChars="200"/>
        <w:contextualSpacing/>
        <w:jc w:val="both"/>
        <w:rPr>
          <w:rFonts w:ascii="楷体_GB2312" w:hAnsi="楷体_GB2312" w:eastAsia="楷体_GB2312" w:cs="楷体_GB2312"/>
          <w:b/>
          <w:bCs/>
          <w:color w:val="000000"/>
          <w:kern w:val="2"/>
          <w:sz w:val="32"/>
          <w:szCs w:val="32"/>
        </w:rPr>
      </w:pPr>
      <w:bookmarkStart w:id="97" w:name="_Toc79163876"/>
      <w:bookmarkStart w:id="98" w:name="_Toc15377223"/>
      <w:bookmarkStart w:id="99" w:name="_Toc79163626"/>
      <w:r>
        <w:rPr>
          <w:rFonts w:hint="eastAsia" w:ascii="楷体_GB2312" w:hAnsi="楷体_GB2312" w:eastAsia="楷体_GB2312" w:cs="楷体_GB2312"/>
          <w:b/>
          <w:bCs/>
          <w:color w:val="000000"/>
          <w:kern w:val="2"/>
          <w:sz w:val="32"/>
          <w:szCs w:val="32"/>
        </w:rPr>
        <w:t>（二）政府采购支出情况</w:t>
      </w:r>
      <w:bookmarkEnd w:id="97"/>
      <w:bookmarkEnd w:id="98"/>
      <w:bookmarkEnd w:id="99"/>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2020</w:t>
      </w:r>
      <w:r>
        <w:rPr>
          <w:rFonts w:hint="eastAsia" w:ascii="仿宋_GB2312" w:hAnsi="Tahoma" w:eastAsia="仿宋_GB2312" w:cs="Tahoma"/>
          <w:kern w:val="2"/>
          <w:sz w:val="32"/>
          <w:szCs w:val="32"/>
        </w:rPr>
        <w:t>年，茂县政协办公室政府采购支出总额</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万元，其中：政府采购货物支出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万元、政府采购工程支出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万元、政府采购服务支出</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万元。授予中小企业合同金额</w:t>
      </w:r>
      <w:r>
        <w:rPr>
          <w:rFonts w:ascii="仿宋_GB2312" w:hAnsi="Tahoma" w:eastAsia="仿宋_GB2312" w:cs="Tahoma"/>
          <w:kern w:val="2"/>
          <w:sz w:val="32"/>
          <w:szCs w:val="32"/>
        </w:rPr>
        <w:t>0</w:t>
      </w:r>
      <w:r>
        <w:rPr>
          <w:rFonts w:hint="eastAsia" w:ascii="仿宋_GB2312" w:hAnsi="Tahoma" w:eastAsia="仿宋_GB2312" w:cs="Tahoma"/>
          <w:kern w:val="2"/>
          <w:sz w:val="32"/>
          <w:szCs w:val="32"/>
        </w:rPr>
        <w:t>万元。</w:t>
      </w:r>
    </w:p>
    <w:p>
      <w:pPr>
        <w:pStyle w:val="19"/>
        <w:widowControl w:val="0"/>
        <w:spacing w:before="0" w:beforeAutospacing="0" w:after="0" w:afterAutospacing="0" w:line="576" w:lineRule="exact"/>
        <w:ind w:firstLine="642" w:firstLineChars="200"/>
        <w:contextualSpacing/>
        <w:jc w:val="both"/>
        <w:rPr>
          <w:rFonts w:ascii="楷体_GB2312" w:hAnsi="楷体_GB2312" w:eastAsia="楷体_GB2312" w:cs="楷体_GB2312"/>
          <w:b/>
          <w:bCs/>
          <w:color w:val="000000"/>
          <w:kern w:val="2"/>
          <w:sz w:val="32"/>
          <w:szCs w:val="32"/>
        </w:rPr>
      </w:pPr>
      <w:bookmarkStart w:id="100" w:name="_Toc79163627"/>
      <w:bookmarkStart w:id="101" w:name="_Toc79163877"/>
      <w:bookmarkStart w:id="102" w:name="_Toc15377224"/>
      <w:r>
        <w:rPr>
          <w:rFonts w:hint="eastAsia" w:ascii="楷体_GB2312" w:hAnsi="楷体_GB2312" w:eastAsia="楷体_GB2312" w:cs="楷体_GB2312"/>
          <w:b/>
          <w:bCs/>
          <w:color w:val="000000"/>
          <w:kern w:val="2"/>
          <w:sz w:val="32"/>
          <w:szCs w:val="32"/>
        </w:rPr>
        <w:t>（三）国有资产占有使用情况</w:t>
      </w:r>
      <w:bookmarkEnd w:id="100"/>
      <w:bookmarkEnd w:id="101"/>
      <w:bookmarkEnd w:id="102"/>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截至</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w:t>
      </w:r>
      <w:r>
        <w:rPr>
          <w:rFonts w:ascii="仿宋_GB2312" w:hAnsi="Tahoma" w:eastAsia="仿宋_GB2312" w:cs="Tahoma"/>
          <w:kern w:val="2"/>
          <w:sz w:val="32"/>
          <w:szCs w:val="32"/>
        </w:rPr>
        <w:t>12</w:t>
      </w:r>
      <w:r>
        <w:rPr>
          <w:rFonts w:hint="eastAsia" w:ascii="仿宋_GB2312" w:hAnsi="Tahoma" w:eastAsia="仿宋_GB2312" w:cs="Tahoma"/>
          <w:kern w:val="2"/>
          <w:sz w:val="32"/>
          <w:szCs w:val="32"/>
        </w:rPr>
        <w:t>月</w:t>
      </w:r>
      <w:r>
        <w:rPr>
          <w:rFonts w:ascii="仿宋_GB2312" w:hAnsi="Tahoma" w:eastAsia="仿宋_GB2312" w:cs="Tahoma"/>
          <w:kern w:val="2"/>
          <w:sz w:val="32"/>
          <w:szCs w:val="32"/>
        </w:rPr>
        <w:t>31</w:t>
      </w:r>
      <w:r>
        <w:rPr>
          <w:rFonts w:hint="eastAsia" w:ascii="仿宋_GB2312" w:hAnsi="Tahoma" w:eastAsia="仿宋_GB2312" w:cs="Tahoma"/>
          <w:kern w:val="2"/>
          <w:sz w:val="32"/>
          <w:szCs w:val="32"/>
        </w:rPr>
        <w:t>日，茂县政协办公室共有车辆</w:t>
      </w:r>
      <w:r>
        <w:rPr>
          <w:rFonts w:ascii="仿宋_GB2312" w:hAnsi="Tahoma" w:eastAsia="仿宋_GB2312" w:cs="Tahoma"/>
          <w:kern w:val="2"/>
          <w:sz w:val="32"/>
          <w:szCs w:val="32"/>
        </w:rPr>
        <w:t>5</w:t>
      </w:r>
      <w:r>
        <w:rPr>
          <w:rFonts w:hint="eastAsia" w:ascii="仿宋_GB2312" w:hAnsi="Tahoma" w:eastAsia="仿宋_GB2312" w:cs="Tahoma"/>
          <w:kern w:val="2"/>
          <w:sz w:val="32"/>
          <w:szCs w:val="32"/>
        </w:rPr>
        <w:t>辆，其中：主要领导干部用车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辆、机要通信用车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辆、应急保障用车</w:t>
      </w:r>
      <w:r>
        <w:rPr>
          <w:rFonts w:ascii="仿宋_GB2312" w:hAnsi="Tahoma" w:eastAsia="仿宋_GB2312" w:cs="Tahoma"/>
          <w:kern w:val="2"/>
          <w:sz w:val="32"/>
          <w:szCs w:val="32"/>
        </w:rPr>
        <w:t>0</w:t>
      </w:r>
      <w:r>
        <w:rPr>
          <w:rFonts w:hint="eastAsia" w:ascii="仿宋_GB2312" w:hAnsi="Tahoma" w:eastAsia="仿宋_GB2312" w:cs="Tahoma"/>
          <w:kern w:val="2"/>
          <w:sz w:val="32"/>
          <w:szCs w:val="32"/>
        </w:rPr>
        <w:t>辆、其他用车</w:t>
      </w:r>
      <w:r>
        <w:rPr>
          <w:rFonts w:ascii="仿宋_GB2312" w:hAnsi="Tahoma" w:eastAsia="仿宋_GB2312" w:cs="Tahoma"/>
          <w:kern w:val="2"/>
          <w:sz w:val="32"/>
          <w:szCs w:val="32"/>
        </w:rPr>
        <w:t>5</w:t>
      </w:r>
      <w:r>
        <w:rPr>
          <w:rFonts w:hint="eastAsia" w:ascii="仿宋_GB2312" w:hAnsi="Tahoma" w:eastAsia="仿宋_GB2312" w:cs="Tahoma"/>
          <w:kern w:val="2"/>
          <w:sz w:val="32"/>
          <w:szCs w:val="32"/>
        </w:rPr>
        <w:t>辆，其他用车主要是用于政协机关履行政治协商、民主监督、参政议政职能，依法开展民主监督和调查、视察工作，完成</w:t>
      </w:r>
      <w:r>
        <w:rPr>
          <w:rFonts w:hint="eastAsia" w:ascii="仿宋_GB2312" w:hAnsi="Tahoma" w:eastAsia="仿宋_GB2312" w:cs="Tahoma"/>
          <w:kern w:val="2"/>
          <w:sz w:val="32"/>
          <w:szCs w:val="32"/>
          <w:lang w:eastAsia="zh-CN"/>
        </w:rPr>
        <w:t>县委、县政府</w:t>
      </w:r>
      <w:r>
        <w:rPr>
          <w:rFonts w:hint="eastAsia" w:ascii="仿宋_GB2312" w:hAnsi="Tahoma" w:eastAsia="仿宋_GB2312" w:cs="Tahoma"/>
          <w:kern w:val="2"/>
          <w:sz w:val="32"/>
          <w:szCs w:val="32"/>
        </w:rPr>
        <w:t>安排和布置的各项工作任务等。</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bookmarkStart w:id="103" w:name="_Toc79163878"/>
      <w:bookmarkStart w:id="104" w:name="_Toc79163628"/>
      <w:r>
        <w:rPr>
          <w:rFonts w:hint="eastAsia" w:ascii="楷体_GB2312" w:hAnsi="楷体_GB2312" w:eastAsia="楷体_GB2312" w:cs="楷体_GB2312"/>
          <w:b/>
          <w:bCs/>
          <w:color w:val="000000"/>
          <w:kern w:val="2"/>
          <w:sz w:val="32"/>
          <w:szCs w:val="32"/>
        </w:rPr>
        <w:t>（四）预算绩效管理情况</w:t>
      </w:r>
      <w:bookmarkEnd w:id="103"/>
      <w:bookmarkEnd w:id="104"/>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根据预算绩效管理要求，本部门在年初预算编制阶段，组织对“政协会议”个项目开展了预算事前绩效评估，对</w:t>
      </w:r>
      <w:r>
        <w:rPr>
          <w:rFonts w:ascii="仿宋_GB2312" w:hAnsi="Tahoma" w:eastAsia="仿宋_GB2312" w:cs="Tahoma"/>
          <w:kern w:val="2"/>
          <w:sz w:val="32"/>
          <w:szCs w:val="32"/>
        </w:rPr>
        <w:t>1</w:t>
      </w:r>
      <w:r>
        <w:rPr>
          <w:rFonts w:hint="eastAsia" w:ascii="仿宋_GB2312" w:hAnsi="Tahoma" w:eastAsia="仿宋_GB2312" w:cs="Tahoma"/>
          <w:kern w:val="2"/>
          <w:sz w:val="32"/>
          <w:szCs w:val="32"/>
        </w:rPr>
        <w:t>个项目编制了绩效目标，预算执行过程中，对这</w:t>
      </w:r>
      <w:r>
        <w:rPr>
          <w:rFonts w:ascii="仿宋_GB2312" w:hAnsi="Tahoma" w:eastAsia="仿宋_GB2312" w:cs="Tahoma"/>
          <w:kern w:val="2"/>
          <w:sz w:val="32"/>
          <w:szCs w:val="32"/>
        </w:rPr>
        <w:t>1</w:t>
      </w:r>
      <w:r>
        <w:rPr>
          <w:rFonts w:hint="eastAsia" w:ascii="仿宋_GB2312" w:hAnsi="Tahoma" w:eastAsia="仿宋_GB2312" w:cs="Tahoma"/>
          <w:kern w:val="2"/>
          <w:sz w:val="32"/>
          <w:szCs w:val="32"/>
        </w:rPr>
        <w:t>个项目开展绩效监控，年终执行完毕后，对</w:t>
      </w:r>
      <w:r>
        <w:rPr>
          <w:rFonts w:ascii="仿宋_GB2312" w:hAnsi="Tahoma" w:eastAsia="仿宋_GB2312" w:cs="Tahoma"/>
          <w:kern w:val="2"/>
          <w:sz w:val="32"/>
          <w:szCs w:val="32"/>
        </w:rPr>
        <w:t>1</w:t>
      </w:r>
      <w:r>
        <w:rPr>
          <w:rFonts w:hint="eastAsia" w:ascii="仿宋_GB2312" w:hAnsi="Tahoma" w:eastAsia="仿宋_GB2312" w:cs="Tahoma"/>
          <w:kern w:val="2"/>
          <w:sz w:val="32"/>
          <w:szCs w:val="32"/>
        </w:rPr>
        <w:t>个项目开展了绩效目标完成情况自评。</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本部门按要求对</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年部门整体支出开展绩效自评，从评价情况来看，</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我单位部门整体支出绩效评价自查自评结果良好，全年基本支出保证了部门的正常运行和日常工作的正常开展，绩效目标得到较好实现，绩效管理水平不断提高，绩效指标体系逐渐丰富和完善。本部门还自行组织了</w:t>
      </w:r>
      <w:r>
        <w:rPr>
          <w:rFonts w:ascii="仿宋_GB2312" w:hAnsi="Tahoma" w:eastAsia="仿宋_GB2312" w:cs="Tahoma"/>
          <w:kern w:val="2"/>
          <w:sz w:val="32"/>
          <w:szCs w:val="32"/>
        </w:rPr>
        <w:t>1</w:t>
      </w:r>
      <w:r>
        <w:rPr>
          <w:rFonts w:hint="eastAsia" w:ascii="仿宋_GB2312" w:hAnsi="Tahoma" w:eastAsia="仿宋_GB2312" w:cs="Tahoma"/>
          <w:kern w:val="2"/>
          <w:sz w:val="32"/>
          <w:szCs w:val="32"/>
        </w:rPr>
        <w:t>个项目支出绩效评价，从评价情况来看绩效管理水平不断提高，绩效指标体系逐渐丰富和完善。</w:t>
      </w:r>
    </w:p>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b/>
          <w:bCs/>
          <w:kern w:val="2"/>
          <w:sz w:val="32"/>
          <w:szCs w:val="32"/>
        </w:rPr>
      </w:pPr>
      <w:r>
        <w:rPr>
          <w:rFonts w:ascii="仿宋_GB2312" w:hAnsi="Tahoma" w:eastAsia="仿宋_GB2312" w:cs="Tahoma"/>
          <w:b/>
          <w:bCs/>
          <w:kern w:val="2"/>
          <w:sz w:val="32"/>
          <w:szCs w:val="32"/>
        </w:rPr>
        <w:t>1.</w:t>
      </w:r>
      <w:r>
        <w:rPr>
          <w:rFonts w:hint="eastAsia" w:ascii="仿宋_GB2312" w:hAnsi="Tahoma" w:eastAsia="仿宋_GB2312" w:cs="Tahoma"/>
          <w:b/>
          <w:bCs/>
          <w:kern w:val="2"/>
          <w:sz w:val="32"/>
          <w:szCs w:val="32"/>
        </w:rPr>
        <w:t>项目绩效目标完成情况</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本部门在</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年度部门决算中反映“政协会议”</w:t>
      </w:r>
      <w:r>
        <w:rPr>
          <w:rFonts w:ascii="仿宋_GB2312" w:hAnsi="Tahoma" w:eastAsia="仿宋_GB2312" w:cs="Tahoma"/>
          <w:kern w:val="2"/>
          <w:sz w:val="32"/>
          <w:szCs w:val="32"/>
        </w:rPr>
        <w:t>1</w:t>
      </w:r>
      <w:r>
        <w:rPr>
          <w:rFonts w:hint="eastAsia" w:ascii="仿宋_GB2312" w:hAnsi="Tahoma" w:eastAsia="仿宋_GB2312" w:cs="Tahoma"/>
          <w:kern w:val="2"/>
          <w:sz w:val="32"/>
          <w:szCs w:val="32"/>
        </w:rPr>
        <w:t>个项目绩效目标实际完成情况。</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w:t>
      </w:r>
      <w:r>
        <w:rPr>
          <w:rFonts w:ascii="仿宋_GB2312" w:hAnsi="Tahoma" w:eastAsia="仿宋_GB2312" w:cs="Tahoma"/>
          <w:kern w:val="2"/>
          <w:sz w:val="32"/>
          <w:szCs w:val="32"/>
        </w:rPr>
        <w:t>1</w:t>
      </w:r>
      <w:r>
        <w:rPr>
          <w:rFonts w:hint="eastAsia" w:ascii="仿宋_GB2312" w:hAnsi="Tahoma" w:eastAsia="仿宋_GB2312" w:cs="Tahoma"/>
          <w:kern w:val="2"/>
          <w:sz w:val="32"/>
          <w:szCs w:val="32"/>
        </w:rPr>
        <w:t>）“政协会议”项目绩效目标完成情况综述。项目全年预算数</w:t>
      </w:r>
      <w:r>
        <w:rPr>
          <w:rFonts w:ascii="仿宋_GB2312" w:hAnsi="Tahoma" w:eastAsia="仿宋_GB2312" w:cs="Tahoma"/>
          <w:kern w:val="2"/>
          <w:sz w:val="32"/>
          <w:szCs w:val="32"/>
        </w:rPr>
        <w:t xml:space="preserve"> 40.39</w:t>
      </w:r>
      <w:r>
        <w:rPr>
          <w:rFonts w:hint="eastAsia" w:ascii="仿宋_GB2312" w:hAnsi="Tahoma" w:eastAsia="仿宋_GB2312" w:cs="Tahoma"/>
          <w:kern w:val="2"/>
          <w:sz w:val="32"/>
          <w:szCs w:val="32"/>
        </w:rPr>
        <w:t>万元，执行数为</w:t>
      </w:r>
      <w:r>
        <w:rPr>
          <w:rFonts w:ascii="仿宋_GB2312" w:hAnsi="Tahoma" w:eastAsia="仿宋_GB2312" w:cs="Tahoma"/>
          <w:kern w:val="2"/>
          <w:sz w:val="32"/>
          <w:szCs w:val="32"/>
        </w:rPr>
        <w:t xml:space="preserve"> 40.39</w:t>
      </w:r>
      <w:r>
        <w:rPr>
          <w:rFonts w:hint="eastAsia" w:ascii="仿宋_GB2312" w:hAnsi="Tahoma" w:eastAsia="仿宋_GB2312" w:cs="Tahoma"/>
          <w:kern w:val="2"/>
          <w:sz w:val="32"/>
          <w:szCs w:val="32"/>
        </w:rPr>
        <w:t>万元，完成预算的</w:t>
      </w:r>
      <w:r>
        <w:rPr>
          <w:rFonts w:ascii="仿宋_GB2312" w:hAnsi="Tahoma" w:eastAsia="仿宋_GB2312" w:cs="Tahoma"/>
          <w:kern w:val="2"/>
          <w:sz w:val="32"/>
          <w:szCs w:val="32"/>
        </w:rPr>
        <w:t>100%</w:t>
      </w:r>
      <w:r>
        <w:rPr>
          <w:rFonts w:hint="eastAsia" w:ascii="仿宋_GB2312" w:hAnsi="Tahoma" w:eastAsia="仿宋_GB2312" w:cs="Tahoma"/>
          <w:kern w:val="2"/>
          <w:sz w:val="32"/>
          <w:szCs w:val="32"/>
        </w:rPr>
        <w:t>。通过项目实施，保障了政协茂县第四次全体委员会议的成功召开。</w:t>
      </w: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ind w:firstLine="361" w:firstLineChars="100"/>
              <w:jc w:val="both"/>
              <w:textAlignment w:val="center"/>
              <w:rPr>
                <w:rFonts w:hint="eastAsia" w:ascii="宋体" w:hAnsi="宋体" w:cs="宋体"/>
                <w:b/>
                <w:bCs/>
                <w:color w:val="000000"/>
                <w:kern w:val="0"/>
                <w:sz w:val="36"/>
                <w:szCs w:val="36"/>
              </w:rPr>
            </w:pPr>
          </w:p>
          <w:p>
            <w:pPr>
              <w:widowControl/>
              <w:ind w:firstLine="361" w:firstLineChars="100"/>
              <w:jc w:val="center"/>
              <w:textAlignment w:val="center"/>
              <w:rPr>
                <w:rFonts w:asci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政协会议（第四次全体委员会议）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政协茂县委员会办公室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40.39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40.39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40.39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40.39</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年召开政协茂县委员会第四次全体委员会议一次。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成功召开</w:t>
            </w:r>
            <w:r>
              <w:rPr>
                <w:rFonts w:ascii="宋体" w:hAnsi="宋体" w:cs="宋体"/>
                <w:color w:val="000000"/>
                <w:sz w:val="24"/>
              </w:rPr>
              <w:t>2020</w:t>
            </w:r>
            <w:r>
              <w:rPr>
                <w:rFonts w:hint="eastAsia" w:ascii="宋体" w:hAnsi="宋体" w:cs="宋体"/>
                <w:color w:val="000000"/>
                <w:sz w:val="24"/>
              </w:rPr>
              <w:t>年政协茂县委员会第四次全体委员会议一次。参会人员</w:t>
            </w:r>
            <w:r>
              <w:rPr>
                <w:rFonts w:ascii="宋体" w:hAnsi="宋体" w:cs="宋体"/>
                <w:color w:val="000000"/>
                <w:sz w:val="24"/>
              </w:rPr>
              <w:t>398</w:t>
            </w:r>
            <w:r>
              <w:rPr>
                <w:rFonts w:hint="eastAsia" w:ascii="宋体" w:hAnsi="宋体" w:cs="宋体"/>
                <w:color w:val="000000"/>
                <w:sz w:val="24"/>
              </w:rPr>
              <w:t>人，会期</w:t>
            </w:r>
            <w:r>
              <w:rPr>
                <w:rFonts w:ascii="宋体" w:hAnsi="宋体" w:cs="宋体"/>
                <w:color w:val="000000"/>
                <w:sz w:val="24"/>
              </w:rPr>
              <w:t>5</w:t>
            </w:r>
            <w:r>
              <w:rPr>
                <w:rFonts w:hint="eastAsia" w:ascii="宋体" w:hAnsi="宋体" w:cs="宋体"/>
                <w:color w:val="000000"/>
                <w:sz w:val="24"/>
              </w:rPr>
              <w:t>天。政协委员提交提案</w:t>
            </w:r>
            <w:r>
              <w:rPr>
                <w:rFonts w:ascii="宋体" w:hAnsi="宋体" w:cs="宋体"/>
                <w:color w:val="000000"/>
                <w:sz w:val="24"/>
              </w:rPr>
              <w:t>65</w:t>
            </w:r>
            <w:r>
              <w:rPr>
                <w:rFonts w:hint="eastAsia" w:ascii="宋体" w:hAnsi="宋体" w:cs="宋体"/>
                <w:color w:val="000000"/>
                <w:sz w:val="24"/>
              </w:rPr>
              <w:t>件。</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召开</w:t>
            </w:r>
            <w:r>
              <w:rPr>
                <w:rFonts w:ascii="宋体" w:hAnsi="宋体" w:cs="宋体"/>
                <w:color w:val="000000"/>
                <w:sz w:val="24"/>
              </w:rPr>
              <w:t>2020</w:t>
            </w:r>
            <w:r>
              <w:rPr>
                <w:rFonts w:hint="eastAsia" w:ascii="宋体" w:hAnsi="宋体" w:cs="宋体"/>
                <w:color w:val="000000"/>
                <w:sz w:val="24"/>
              </w:rPr>
              <w:t>年度政协四次全委会。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参会委员</w:t>
            </w:r>
            <w:r>
              <w:rPr>
                <w:rFonts w:ascii="宋体" w:hAnsi="宋体" w:cs="宋体"/>
                <w:color w:val="000000"/>
                <w:kern w:val="0"/>
                <w:sz w:val="24"/>
              </w:rPr>
              <w:t>398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hAnsi="宋体" w:cs="宋体"/>
                <w:color w:val="000000"/>
                <w:sz w:val="24"/>
              </w:rPr>
              <w:t>按期完成会议预期目标。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98%</w:t>
            </w:r>
          </w:p>
        </w:tc>
      </w:tr>
    </w:tbl>
    <w:p>
      <w:pPr>
        <w:pStyle w:val="19"/>
        <w:widowControl w:val="0"/>
        <w:spacing w:before="0" w:beforeAutospacing="0" w:after="0" w:afterAutospacing="0" w:line="576" w:lineRule="exact"/>
        <w:ind w:firstLine="642" w:firstLineChars="200"/>
        <w:contextualSpacing/>
        <w:jc w:val="both"/>
        <w:rPr>
          <w:rFonts w:ascii="仿宋_GB2312" w:hAnsi="Tahoma" w:eastAsia="仿宋_GB2312" w:cs="Tahoma"/>
          <w:kern w:val="2"/>
          <w:sz w:val="32"/>
          <w:szCs w:val="32"/>
        </w:rPr>
      </w:pPr>
      <w:r>
        <w:rPr>
          <w:rFonts w:ascii="仿宋_GB2312" w:hAnsi="Tahoma" w:eastAsia="仿宋_GB2312" w:cs="Tahoma"/>
          <w:b/>
          <w:bCs/>
          <w:kern w:val="2"/>
          <w:sz w:val="32"/>
          <w:szCs w:val="32"/>
        </w:rPr>
        <w:t>2.</w:t>
      </w:r>
      <w:r>
        <w:rPr>
          <w:rFonts w:hint="eastAsia" w:ascii="仿宋_GB2312" w:hAnsi="Tahoma" w:eastAsia="仿宋_GB2312" w:cs="Tahoma"/>
          <w:b/>
          <w:bCs/>
          <w:kern w:val="2"/>
          <w:sz w:val="32"/>
          <w:szCs w:val="32"/>
        </w:rPr>
        <w:t>部门绩效评价结果</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本部门按要求对</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年部门整体支出绩效评价情况开展自评，《茂县政协办公室</w:t>
      </w:r>
      <w:r>
        <w:rPr>
          <w:rFonts w:ascii="仿宋_GB2312" w:hAnsi="Tahoma" w:eastAsia="仿宋_GB2312" w:cs="Tahoma"/>
          <w:kern w:val="2"/>
          <w:sz w:val="32"/>
          <w:szCs w:val="32"/>
        </w:rPr>
        <w:t>2020</w:t>
      </w:r>
      <w:r>
        <w:rPr>
          <w:rFonts w:hint="eastAsia" w:ascii="仿宋_GB2312" w:hAnsi="Tahoma" w:eastAsia="仿宋_GB2312" w:cs="Tahoma"/>
          <w:kern w:val="2"/>
          <w:sz w:val="32"/>
          <w:szCs w:val="32"/>
        </w:rPr>
        <w:t>年部门整体支出绩效评价报告》见附件（附件</w:t>
      </w:r>
      <w:r>
        <w:rPr>
          <w:rFonts w:ascii="仿宋_GB2312" w:hAnsi="Tahoma" w:eastAsia="仿宋_GB2312" w:cs="Tahoma"/>
          <w:kern w:val="2"/>
          <w:sz w:val="32"/>
          <w:szCs w:val="32"/>
        </w:rPr>
        <w:t>1</w:t>
      </w:r>
      <w:r>
        <w:rPr>
          <w:rFonts w:hint="eastAsia" w:ascii="仿宋_GB2312" w:hAnsi="Tahoma" w:eastAsia="仿宋_GB2312" w:cs="Tahoma"/>
          <w:kern w:val="2"/>
          <w:sz w:val="32"/>
          <w:szCs w:val="32"/>
        </w:rPr>
        <w:t>）。</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br w:type="page"/>
      </w:r>
    </w:p>
    <w:p>
      <w:pPr>
        <w:numPr>
          <w:ilvl w:val="0"/>
          <w:numId w:val="4"/>
        </w:numPr>
        <w:spacing w:line="600" w:lineRule="exact"/>
        <w:ind w:firstLine="660" w:firstLineChars="150"/>
        <w:jc w:val="center"/>
        <w:outlineLvl w:val="0"/>
        <w:rPr>
          <w:rFonts w:ascii="方正小标宋简体" w:hAnsi="黑体" w:eastAsia="方正小标宋简体"/>
          <w:color w:val="000000"/>
          <w:sz w:val="44"/>
          <w:szCs w:val="44"/>
        </w:rPr>
      </w:pPr>
      <w:bookmarkStart w:id="105" w:name="_Toc15377225"/>
      <w:bookmarkStart w:id="106" w:name="_Toc79163629"/>
      <w:bookmarkStart w:id="107" w:name="_Toc79163879"/>
      <w:bookmarkStart w:id="108" w:name="_Toc15396613"/>
      <w:r>
        <w:rPr>
          <w:rFonts w:hint="eastAsia" w:ascii="方正小标宋简体" w:hAnsi="黑体" w:eastAsia="方正小标宋简体"/>
          <w:color w:val="000000"/>
          <w:sz w:val="44"/>
          <w:szCs w:val="44"/>
        </w:rPr>
        <w:t>名词解释</w:t>
      </w:r>
      <w:bookmarkEnd w:id="105"/>
      <w:bookmarkEnd w:id="106"/>
      <w:bookmarkEnd w:id="107"/>
      <w:bookmarkEnd w:id="108"/>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1.</w:t>
      </w:r>
      <w:r>
        <w:rPr>
          <w:rFonts w:hint="eastAsia" w:ascii="仿宋_GB2312" w:hAnsi="Tahoma" w:eastAsia="仿宋_GB2312" w:cs="Tahoma"/>
          <w:kern w:val="2"/>
          <w:sz w:val="32"/>
          <w:szCs w:val="32"/>
        </w:rPr>
        <w:t>财政拨款收入：指单位从同级财政部门取得的财政预算资金。</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2.</w:t>
      </w:r>
      <w:r>
        <w:rPr>
          <w:rFonts w:hint="eastAsia" w:ascii="仿宋_GB2312" w:hAnsi="Tahoma" w:eastAsia="仿宋_GB2312" w:cs="Tahoma"/>
          <w:kern w:val="2"/>
          <w:sz w:val="32"/>
          <w:szCs w:val="32"/>
        </w:rPr>
        <w:t>年初结转和结余：指以前年度尚未完成、结转到本年按有关规定继续使用的资金。</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3</w:t>
      </w:r>
      <w:r>
        <w:rPr>
          <w:rFonts w:hint="eastAsia" w:ascii="仿宋_GB2312" w:hAnsi="Tahoma" w:eastAsia="仿宋_GB2312" w:cs="Tahoma"/>
          <w:kern w:val="2"/>
          <w:sz w:val="32"/>
          <w:szCs w:val="32"/>
        </w:rPr>
        <w:t>、年末结转和结余：指单位按有关规定结转到下年或以后年度继续使用的资金。</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4.</w:t>
      </w:r>
      <w:r>
        <w:rPr>
          <w:rFonts w:hint="eastAsia" w:ascii="仿宋_GB2312" w:hAnsi="Tahoma" w:eastAsia="仿宋_GB2312" w:cs="Tahoma"/>
          <w:kern w:val="2"/>
          <w:sz w:val="32"/>
          <w:szCs w:val="32"/>
        </w:rPr>
        <w:t>一般公共服务（类）政协事务（款）行政运行（项）：</w:t>
      </w:r>
      <w:r>
        <w:rPr>
          <w:rFonts w:ascii="仿宋_GB2312" w:hAnsi="Tahoma" w:eastAsia="仿宋_GB2312" w:cs="Tahoma"/>
          <w:kern w:val="2"/>
          <w:sz w:val="32"/>
          <w:szCs w:val="32"/>
        </w:rPr>
        <w:t xml:space="preserve"> </w:t>
      </w:r>
      <w:r>
        <w:rPr>
          <w:rFonts w:hint="eastAsia" w:ascii="仿宋_GB2312" w:hAnsi="Tahoma" w:eastAsia="仿宋_GB2312" w:cs="Tahoma"/>
          <w:kern w:val="2"/>
          <w:sz w:val="32"/>
          <w:szCs w:val="32"/>
        </w:rPr>
        <w:t>指政协机关用于保障机构正常运行、开展日常工作的基本支出。</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5.</w:t>
      </w:r>
      <w:r>
        <w:rPr>
          <w:rFonts w:hint="eastAsia" w:ascii="仿宋_GB2312" w:hAnsi="Tahoma" w:eastAsia="仿宋_GB2312" w:cs="Tahoma"/>
          <w:kern w:val="2"/>
          <w:sz w:val="32"/>
          <w:szCs w:val="32"/>
        </w:rPr>
        <w:t>社会保障和就业（类）行政事业单位养老（款）机关事业单位基本养老保险缴费支出（项）：指部门实施养老保险制度由单位缴纳的养老保险费的支出。</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6.</w:t>
      </w:r>
      <w:r>
        <w:rPr>
          <w:rFonts w:hint="eastAsia" w:ascii="仿宋_GB2312" w:hAnsi="Tahoma" w:eastAsia="仿宋_GB2312" w:cs="Tahoma"/>
          <w:kern w:val="2"/>
          <w:sz w:val="32"/>
          <w:szCs w:val="32"/>
        </w:rPr>
        <w:t>社会保障和就业（类）行政事业单位养老（款）机关事业单位职业年金缴费支出（项）：指部门实施养老保险制度由单位缴纳的职业年金的支出。</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7.</w:t>
      </w:r>
      <w:r>
        <w:rPr>
          <w:rFonts w:hint="eastAsia" w:ascii="仿宋_GB2312" w:hAnsi="Tahoma" w:eastAsia="仿宋_GB2312" w:cs="Tahoma"/>
          <w:kern w:val="2"/>
          <w:sz w:val="32"/>
          <w:szCs w:val="32"/>
        </w:rPr>
        <w:t>卫生健康（类）行政事业单位医疗（款）行政单位医疗（项）：指机关用于缴纳单位基本医疗保险支出。</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8.</w:t>
      </w:r>
      <w:r>
        <w:rPr>
          <w:rFonts w:hint="eastAsia" w:ascii="仿宋_GB2312" w:hAnsi="Tahoma" w:eastAsia="仿宋_GB2312" w:cs="Tahoma"/>
          <w:kern w:val="2"/>
          <w:sz w:val="32"/>
          <w:szCs w:val="32"/>
        </w:rPr>
        <w:t>住房保障（类）住房改革支出（款）住房公积金（项）：</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hint="eastAsia" w:ascii="仿宋_GB2312" w:hAnsi="Tahoma" w:eastAsia="仿宋_GB2312" w:cs="Tahoma"/>
          <w:kern w:val="2"/>
          <w:sz w:val="32"/>
          <w:szCs w:val="32"/>
        </w:rPr>
        <w:t>反映行政事业单位按规定为职工缴纳的住房公积金。</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9.</w:t>
      </w:r>
      <w:r>
        <w:rPr>
          <w:rFonts w:hint="eastAsia" w:ascii="仿宋_GB2312" w:hAnsi="Tahoma" w:eastAsia="仿宋_GB2312" w:cs="Tahoma"/>
          <w:kern w:val="2"/>
          <w:sz w:val="32"/>
          <w:szCs w:val="32"/>
        </w:rPr>
        <w:t>住房保障（类）住房改革支出（款）购房补贴（项）：反映行政事业单位按规定为退休职工支出的建房补贴。</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10.</w:t>
      </w:r>
      <w:r>
        <w:rPr>
          <w:rFonts w:hint="eastAsia" w:ascii="仿宋_GB2312" w:hAnsi="Tahoma" w:eastAsia="仿宋_GB2312" w:cs="Tahoma"/>
          <w:kern w:val="2"/>
          <w:sz w:val="32"/>
          <w:szCs w:val="32"/>
        </w:rPr>
        <w:t>基本支出：指为保障机构正常运转、完成日常工作任务而发生的人员支出和公用支出。</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11.</w:t>
      </w:r>
      <w:r>
        <w:rPr>
          <w:rFonts w:hint="eastAsia" w:ascii="仿宋_GB2312" w:hAnsi="Tahoma" w:eastAsia="仿宋_GB2312" w:cs="Tahoma"/>
          <w:kern w:val="2"/>
          <w:sz w:val="32"/>
          <w:szCs w:val="32"/>
        </w:rPr>
        <w:t>项目支出：指在基本支出之外为完成特定行政任务和事业发展目标所发生的支出。</w:t>
      </w:r>
      <w:r>
        <w:rPr>
          <w:rFonts w:ascii="仿宋_GB2312" w:hAnsi="Tahoma"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12.</w:t>
      </w:r>
      <w:r>
        <w:rPr>
          <w:rFonts w:hint="eastAsia" w:ascii="仿宋_GB2312" w:hAnsi="Tahoma" w:eastAsia="仿宋_GB2312" w:cs="Tahoma"/>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r>
        <w:rPr>
          <w:rFonts w:ascii="仿宋_GB2312" w:hAnsi="Tahoma" w:eastAsia="仿宋_GB2312" w:cs="Tahoma"/>
          <w:kern w:val="2"/>
          <w:sz w:val="32"/>
          <w:szCs w:val="32"/>
        </w:rPr>
        <w:t>13.</w:t>
      </w:r>
      <w:r>
        <w:rPr>
          <w:rFonts w:hint="eastAsia" w:ascii="仿宋_GB2312" w:hAnsi="Tahoma" w:eastAsia="仿宋_GB2312" w:cs="Tahoma"/>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widowControl w:val="0"/>
        <w:spacing w:before="0" w:beforeAutospacing="0" w:after="0" w:afterAutospacing="0" w:line="576" w:lineRule="exact"/>
        <w:ind w:firstLine="640" w:firstLineChars="200"/>
        <w:contextualSpacing/>
        <w:jc w:val="both"/>
        <w:rPr>
          <w:rFonts w:ascii="仿宋_GB2312" w:hAnsi="Tahoma" w:eastAsia="仿宋_GB2312" w:cs="Tahoma"/>
          <w:kern w:val="2"/>
          <w:sz w:val="32"/>
          <w:szCs w:val="32"/>
        </w:rPr>
      </w:pPr>
    </w:p>
    <w:p>
      <w:pPr>
        <w:spacing w:line="600" w:lineRule="exact"/>
        <w:jc w:val="left"/>
        <w:rPr>
          <w:rFonts w:ascii="黑体" w:hAnsi="黑体" w:eastAsia="黑体"/>
          <w:color w:val="000000"/>
          <w:sz w:val="44"/>
          <w:szCs w:val="44"/>
        </w:rPr>
      </w:pPr>
      <w:bookmarkStart w:id="109" w:name="_Toc79163880"/>
      <w:bookmarkStart w:id="110" w:name="_Toc79163630"/>
      <w:bookmarkStart w:id="111" w:name="_Toc15396614"/>
      <w:bookmarkStart w:id="112" w:name="_Toc15377226"/>
    </w:p>
    <w:p>
      <w:pPr>
        <w:spacing w:line="600" w:lineRule="exact"/>
        <w:jc w:val="left"/>
        <w:rPr>
          <w:rFonts w:ascii="黑体" w:hAnsi="黑体" w:eastAsia="黑体"/>
          <w:color w:val="000000"/>
          <w:sz w:val="44"/>
          <w:szCs w:val="44"/>
        </w:rPr>
      </w:pPr>
    </w:p>
    <w:p>
      <w:pPr>
        <w:spacing w:line="600" w:lineRule="exact"/>
        <w:jc w:val="left"/>
        <w:rPr>
          <w:rFonts w:ascii="黑体" w:hAnsi="黑体" w:eastAsia="黑体"/>
          <w:color w:val="000000"/>
          <w:sz w:val="44"/>
          <w:szCs w:val="44"/>
        </w:rPr>
      </w:pPr>
    </w:p>
    <w:p>
      <w:pPr>
        <w:spacing w:line="600" w:lineRule="exact"/>
        <w:jc w:val="left"/>
        <w:rPr>
          <w:rFonts w:ascii="黑体" w:hAnsi="黑体" w:eastAsia="黑体"/>
          <w:color w:val="000000"/>
          <w:sz w:val="44"/>
          <w:szCs w:val="44"/>
        </w:rPr>
      </w:pPr>
    </w:p>
    <w:p>
      <w:pPr>
        <w:spacing w:line="600" w:lineRule="exact"/>
        <w:jc w:val="left"/>
        <w:rPr>
          <w:rFonts w:ascii="黑体" w:hAnsi="黑体" w:eastAsia="黑体"/>
          <w:color w:val="000000"/>
          <w:sz w:val="44"/>
          <w:szCs w:val="44"/>
        </w:rPr>
      </w:pPr>
    </w:p>
    <w:p>
      <w:pPr>
        <w:spacing w:line="600" w:lineRule="exact"/>
        <w:jc w:val="left"/>
        <w:rPr>
          <w:rFonts w:ascii="黑体" w:hAnsi="黑体" w:eastAsia="黑体"/>
          <w:color w:val="000000"/>
          <w:sz w:val="44"/>
          <w:szCs w:val="44"/>
        </w:rPr>
      </w:pPr>
    </w:p>
    <w:p>
      <w:pPr>
        <w:spacing w:line="600" w:lineRule="exact"/>
        <w:jc w:val="left"/>
        <w:rPr>
          <w:rStyle w:val="24"/>
          <w:rFonts w:ascii="黑体" w:hAnsi="黑体" w:eastAsia="黑体"/>
          <w:b w:val="0"/>
        </w:rPr>
      </w:pPr>
      <w:r>
        <w:rPr>
          <w:rFonts w:ascii="黑体" w:hAnsi="黑体" w:eastAsia="黑体"/>
          <w:color w:val="000000"/>
          <w:sz w:val="44"/>
          <w:szCs w:val="44"/>
        </w:rPr>
        <w:t xml:space="preserve">             </w:t>
      </w:r>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09"/>
      <w:bookmarkEnd w:id="110"/>
      <w:bookmarkEnd w:id="111"/>
    </w:p>
    <w:p>
      <w:pPr>
        <w:spacing w:line="600" w:lineRule="exact"/>
        <w:jc w:val="left"/>
        <w:outlineLvl w:val="0"/>
        <w:rPr>
          <w:rFonts w:ascii="黑体" w:hAnsi="宋体" w:eastAsia="黑体" w:cs="宋体"/>
          <w:color w:val="000000"/>
          <w:kern w:val="0"/>
          <w:sz w:val="24"/>
          <w:szCs w:val="32"/>
          <w:shd w:val="clear" w:color="auto" w:fill="FFFFFF"/>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茂县政协办公室</w:t>
      </w:r>
      <w:r>
        <w:rPr>
          <w:rFonts w:ascii="方正小标宋简体" w:hAnsi="宋体" w:eastAsia="方正小标宋简体"/>
          <w:color w:val="000000"/>
          <w:kern w:val="0"/>
          <w:sz w:val="40"/>
          <w:szCs w:val="44"/>
        </w:rPr>
        <w:t>2020</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Style w:val="3"/>
        <w:keepNext w:val="0"/>
        <w:keepLines w:val="0"/>
        <w:spacing w:before="0" w:after="0" w:line="576" w:lineRule="exact"/>
        <w:ind w:firstLine="641"/>
        <w:rPr>
          <w:rFonts w:ascii="仿宋_GB2312" w:hAnsi="宋体" w:eastAsia="仿宋_GB2312" w:cs="宋体"/>
          <w:color w:val="000000"/>
          <w:kern w:val="0"/>
          <w:shd w:val="clear" w:color="auto" w:fill="FFFFFF"/>
          <w:lang w:val="zh-CN"/>
        </w:rPr>
      </w:pPr>
      <w:r>
        <w:rPr>
          <w:rFonts w:hint="eastAsia" w:ascii="仿宋_GB2312" w:hAnsi="仿宋_GB2312" w:eastAsia="仿宋_GB2312" w:cs="仿宋_GB2312"/>
          <w:b w:val="0"/>
          <w:bCs w:val="0"/>
        </w:rPr>
        <w:t>中国人民政治协商会议四川省茂县委员会下属</w:t>
      </w:r>
      <w:r>
        <w:rPr>
          <w:rFonts w:ascii="仿宋_GB2312" w:hAnsi="仿宋_GB2312" w:eastAsia="仿宋_GB2312" w:cs="仿宋_GB2312"/>
          <w:b w:val="0"/>
          <w:bCs w:val="0"/>
        </w:rPr>
        <w:t>5</w:t>
      </w:r>
      <w:r>
        <w:rPr>
          <w:rFonts w:hint="eastAsia" w:ascii="仿宋_GB2312" w:hAnsi="仿宋_GB2312" w:eastAsia="仿宋_GB2312" w:cs="仿宋_GB2312"/>
          <w:b w:val="0"/>
          <w:bCs w:val="0"/>
        </w:rPr>
        <w:t>个科级编制单位：政协办公室、农业委员会、经济委员会、科教文卫体委员会、提案民族宗教委员会。</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政治协商、民主监督、参政议政。</w:t>
      </w:r>
    </w:p>
    <w:p>
      <w:pPr>
        <w:widowControl/>
        <w:adjustRightInd w:val="0"/>
        <w:snapToGrid w:val="0"/>
        <w:spacing w:line="580"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spacing w:line="576" w:lineRule="exact"/>
        <w:ind w:firstLine="640" w:firstLineChars="200"/>
        <w:rPr>
          <w:rFonts w:ascii="黑体" w:hAnsi="宋体" w:eastAsia="黑体" w:cs="宋体"/>
          <w:color w:val="000000"/>
          <w:kern w:val="0"/>
          <w:sz w:val="32"/>
          <w:szCs w:val="32"/>
          <w:shd w:val="clear" w:color="auto" w:fill="FFFFFF"/>
        </w:rPr>
      </w:pPr>
      <w:r>
        <w:rPr>
          <w:rFonts w:hint="eastAsia" w:ascii="仿宋_GB2312" w:eastAsia="仿宋_GB2312"/>
          <w:sz w:val="32"/>
          <w:szCs w:val="32"/>
        </w:rPr>
        <w:t>茂县政协行政编制</w:t>
      </w:r>
      <w:r>
        <w:rPr>
          <w:rFonts w:ascii="仿宋_GB2312" w:eastAsia="仿宋_GB2312"/>
          <w:sz w:val="32"/>
          <w:szCs w:val="32"/>
        </w:rPr>
        <w:t>18</w:t>
      </w:r>
      <w:r>
        <w:rPr>
          <w:rFonts w:hint="eastAsia" w:ascii="仿宋_GB2312" w:eastAsia="仿宋_GB2312"/>
          <w:sz w:val="32"/>
          <w:szCs w:val="32"/>
        </w:rPr>
        <w:t>人，行政工勤编制</w:t>
      </w:r>
      <w:r>
        <w:rPr>
          <w:rFonts w:ascii="仿宋_GB2312" w:eastAsia="仿宋_GB2312"/>
          <w:sz w:val="32"/>
          <w:szCs w:val="32"/>
        </w:rPr>
        <w:t>5</w:t>
      </w:r>
      <w:r>
        <w:rPr>
          <w:rFonts w:hint="eastAsia" w:ascii="仿宋_GB2312" w:eastAsia="仿宋_GB2312"/>
          <w:sz w:val="32"/>
          <w:szCs w:val="32"/>
        </w:rPr>
        <w:t>人，事业编制</w:t>
      </w:r>
      <w:r>
        <w:rPr>
          <w:rFonts w:ascii="仿宋_GB2312" w:eastAsia="仿宋_GB2312"/>
          <w:sz w:val="32"/>
          <w:szCs w:val="32"/>
        </w:rPr>
        <w:t>0</w:t>
      </w:r>
      <w:r>
        <w:rPr>
          <w:rFonts w:hint="eastAsia" w:ascii="仿宋_GB2312" w:eastAsia="仿宋_GB2312"/>
          <w:sz w:val="32"/>
          <w:szCs w:val="32"/>
        </w:rPr>
        <w:t>人；行政在职</w:t>
      </w:r>
      <w:r>
        <w:rPr>
          <w:rFonts w:ascii="仿宋_GB2312" w:eastAsia="仿宋_GB2312"/>
          <w:sz w:val="32"/>
          <w:szCs w:val="32"/>
        </w:rPr>
        <w:t>24</w:t>
      </w:r>
      <w:r>
        <w:rPr>
          <w:rFonts w:hint="eastAsia" w:ascii="仿宋_GB2312" w:eastAsia="仿宋_GB2312"/>
          <w:sz w:val="32"/>
          <w:szCs w:val="32"/>
        </w:rPr>
        <w:t>人，事业在职</w:t>
      </w:r>
      <w:r>
        <w:rPr>
          <w:rFonts w:ascii="仿宋_GB2312" w:eastAsia="仿宋_GB2312"/>
          <w:sz w:val="32"/>
          <w:szCs w:val="32"/>
        </w:rPr>
        <w:t>0</w:t>
      </w:r>
      <w:r>
        <w:rPr>
          <w:rFonts w:hint="eastAsia" w:ascii="仿宋_GB2312" w:eastAsia="仿宋_GB2312"/>
          <w:sz w:val="32"/>
          <w:szCs w:val="32"/>
        </w:rPr>
        <w:t>人，遗属</w:t>
      </w:r>
      <w:r>
        <w:rPr>
          <w:rFonts w:ascii="仿宋_GB2312" w:eastAsia="仿宋_GB2312"/>
          <w:sz w:val="32"/>
          <w:szCs w:val="32"/>
        </w:rPr>
        <w:t>4</w:t>
      </w:r>
      <w:r>
        <w:rPr>
          <w:rFonts w:hint="eastAsia" w:ascii="仿宋_GB2312" w:eastAsia="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widowControl/>
        <w:spacing w:line="576" w:lineRule="exact"/>
        <w:ind w:firstLine="620" w:firstLineChars="200"/>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color w:val="000000"/>
          <w:kern w:val="0"/>
          <w:sz w:val="31"/>
          <w:szCs w:val="31"/>
        </w:rPr>
        <w:t>2020</w:t>
      </w:r>
      <w:r>
        <w:rPr>
          <w:rFonts w:hint="eastAsia" w:ascii="仿宋_GB2312" w:hAnsi="仿宋_GB2312" w:eastAsia="仿宋_GB2312" w:cs="仿宋_GB2312"/>
          <w:color w:val="000000"/>
          <w:kern w:val="0"/>
          <w:sz w:val="31"/>
          <w:szCs w:val="31"/>
        </w:rPr>
        <w:t>年本部门财政拨款收入决算总额为</w:t>
      </w:r>
      <w:r>
        <w:rPr>
          <w:rFonts w:ascii="仿宋_GB2312" w:hAnsi="仿宋_GB2312" w:eastAsia="仿宋_GB2312" w:cs="仿宋_GB2312"/>
          <w:color w:val="000000"/>
          <w:kern w:val="0"/>
          <w:sz w:val="31"/>
          <w:szCs w:val="31"/>
        </w:rPr>
        <w:t>734.39</w:t>
      </w:r>
      <w:r>
        <w:rPr>
          <w:rFonts w:hint="eastAsia" w:ascii="仿宋_GB2312" w:hAnsi="仿宋_GB2312" w:eastAsia="仿宋_GB2312" w:cs="仿宋_GB2312"/>
          <w:color w:val="000000"/>
          <w:kern w:val="0"/>
          <w:sz w:val="31"/>
          <w:szCs w:val="31"/>
        </w:rPr>
        <w:t>万元。其中：当年财政拨款收入</w:t>
      </w:r>
      <w:r>
        <w:rPr>
          <w:rFonts w:ascii="仿宋_GB2312" w:hAnsi="仿宋_GB2312" w:eastAsia="仿宋_GB2312" w:cs="仿宋_GB2312"/>
          <w:color w:val="000000"/>
          <w:kern w:val="0"/>
          <w:sz w:val="31"/>
          <w:szCs w:val="31"/>
        </w:rPr>
        <w:t xml:space="preserve"> 691.95</w:t>
      </w:r>
      <w:r>
        <w:rPr>
          <w:rFonts w:hint="eastAsia" w:ascii="仿宋_GB2312" w:hAnsi="仿宋_GB2312" w:eastAsia="仿宋_GB2312" w:cs="仿宋_GB2312"/>
          <w:color w:val="000000"/>
          <w:kern w:val="0"/>
          <w:sz w:val="31"/>
          <w:szCs w:val="31"/>
        </w:rPr>
        <w:t>万元</w:t>
      </w:r>
      <w:r>
        <w:rPr>
          <w:rFonts w:ascii="仿宋_GB2312" w:hAnsi="仿宋_GB2312" w:eastAsia="仿宋_GB2312" w:cs="仿宋_GB2312"/>
          <w:color w:val="000000"/>
          <w:kern w:val="0"/>
          <w:sz w:val="31"/>
          <w:szCs w:val="31"/>
        </w:rPr>
        <w:t>,</w:t>
      </w:r>
      <w:r>
        <w:rPr>
          <w:rFonts w:hint="eastAsia" w:ascii="仿宋_GB2312" w:hAnsi="仿宋_GB2312" w:eastAsia="仿宋_GB2312" w:cs="仿宋_GB2312"/>
          <w:color w:val="000000"/>
          <w:kern w:val="0"/>
          <w:sz w:val="31"/>
          <w:szCs w:val="31"/>
        </w:rPr>
        <w:t>一般公共预算财政拨款年初结转和结余</w:t>
      </w:r>
      <w:r>
        <w:rPr>
          <w:rFonts w:ascii="仿宋_GB2312" w:hAnsi="仿宋_GB2312" w:eastAsia="仿宋_GB2312" w:cs="仿宋_GB2312"/>
          <w:color w:val="000000"/>
          <w:kern w:val="0"/>
          <w:sz w:val="31"/>
          <w:szCs w:val="31"/>
        </w:rPr>
        <w:t>42.44</w:t>
      </w:r>
      <w:r>
        <w:rPr>
          <w:rFonts w:hint="eastAsia" w:ascii="仿宋_GB2312" w:hAnsi="仿宋_GB2312" w:eastAsia="仿宋_GB2312" w:cs="仿宋_GB2312"/>
          <w:color w:val="000000"/>
          <w:kern w:val="0"/>
          <w:sz w:val="31"/>
          <w:szCs w:val="31"/>
        </w:rPr>
        <w:t>万元。</w:t>
      </w:r>
      <w:r>
        <w:rPr>
          <w:rFonts w:ascii="仿宋_GB2312" w:hAnsi="仿宋_GB2312" w:eastAsia="仿宋_GB2312" w:cs="仿宋_GB2312"/>
          <w:color w:val="000000"/>
          <w:kern w:val="0"/>
          <w:sz w:val="31"/>
          <w:szCs w:val="31"/>
        </w:rPr>
        <w:t xml:space="preserve"> </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80" w:lineRule="exact"/>
        <w:ind w:firstLine="62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color w:val="000000"/>
          <w:kern w:val="0"/>
          <w:sz w:val="31"/>
          <w:szCs w:val="31"/>
        </w:rPr>
        <w:t>2020</w:t>
      </w:r>
      <w:r>
        <w:rPr>
          <w:rFonts w:hint="eastAsia" w:ascii="仿宋_GB2312" w:hAnsi="仿宋_GB2312" w:eastAsia="仿宋_GB2312" w:cs="仿宋_GB2312"/>
          <w:color w:val="000000"/>
          <w:kern w:val="0"/>
          <w:sz w:val="31"/>
          <w:szCs w:val="31"/>
        </w:rPr>
        <w:t>年本部门财政拨款支出决算总额</w:t>
      </w:r>
      <w:r>
        <w:rPr>
          <w:rFonts w:ascii="仿宋_GB2312" w:hAnsi="仿宋_GB2312" w:eastAsia="仿宋_GB2312" w:cs="仿宋_GB2312"/>
          <w:color w:val="000000"/>
          <w:kern w:val="0"/>
          <w:sz w:val="31"/>
          <w:szCs w:val="31"/>
        </w:rPr>
        <w:t>710.72</w:t>
      </w:r>
      <w:r>
        <w:rPr>
          <w:rFonts w:hint="eastAsia" w:ascii="仿宋_GB2312" w:hAnsi="仿宋_GB2312" w:eastAsia="仿宋_GB2312" w:cs="仿宋_GB2312"/>
          <w:color w:val="000000"/>
          <w:kern w:val="0"/>
          <w:sz w:val="31"/>
          <w:szCs w:val="31"/>
        </w:rPr>
        <w:t>万元。其中按功能分类，一般公共服务支出</w:t>
      </w:r>
      <w:r>
        <w:rPr>
          <w:rFonts w:ascii="仿宋_GB2312" w:hAnsi="仿宋_GB2312" w:eastAsia="仿宋_GB2312" w:cs="仿宋_GB2312"/>
          <w:color w:val="000000"/>
          <w:kern w:val="0"/>
          <w:sz w:val="31"/>
          <w:szCs w:val="31"/>
        </w:rPr>
        <w:t>563.16</w:t>
      </w:r>
      <w:r>
        <w:rPr>
          <w:rFonts w:hint="eastAsia" w:ascii="仿宋_GB2312" w:hAnsi="仿宋_GB2312" w:eastAsia="仿宋_GB2312" w:cs="仿宋_GB2312"/>
          <w:color w:val="000000"/>
          <w:kern w:val="0"/>
          <w:sz w:val="31"/>
          <w:szCs w:val="31"/>
        </w:rPr>
        <w:t>万元、社会保障和就业支出</w:t>
      </w:r>
      <w:r>
        <w:rPr>
          <w:rFonts w:ascii="仿宋_GB2312" w:hAnsi="仿宋_GB2312" w:eastAsia="仿宋_GB2312" w:cs="仿宋_GB2312"/>
          <w:color w:val="000000"/>
          <w:kern w:val="0"/>
          <w:sz w:val="31"/>
          <w:szCs w:val="31"/>
        </w:rPr>
        <w:t>63.83</w:t>
      </w:r>
      <w:r>
        <w:rPr>
          <w:rFonts w:hint="eastAsia" w:ascii="仿宋_GB2312" w:hAnsi="仿宋_GB2312" w:eastAsia="仿宋_GB2312" w:cs="仿宋_GB2312"/>
          <w:color w:val="000000"/>
          <w:kern w:val="0"/>
          <w:sz w:val="31"/>
          <w:szCs w:val="31"/>
        </w:rPr>
        <w:t>万元、卫生健康支出</w:t>
      </w:r>
      <w:r>
        <w:rPr>
          <w:rFonts w:ascii="仿宋_GB2312" w:hAnsi="仿宋_GB2312" w:eastAsia="仿宋_GB2312" w:cs="仿宋_GB2312"/>
          <w:color w:val="000000"/>
          <w:kern w:val="0"/>
          <w:sz w:val="31"/>
          <w:szCs w:val="31"/>
        </w:rPr>
        <w:t>34.57</w:t>
      </w:r>
      <w:r>
        <w:rPr>
          <w:rFonts w:hint="eastAsia" w:ascii="仿宋_GB2312" w:hAnsi="仿宋_GB2312" w:eastAsia="仿宋_GB2312" w:cs="仿宋_GB2312"/>
          <w:color w:val="000000"/>
          <w:kern w:val="0"/>
          <w:sz w:val="31"/>
          <w:szCs w:val="31"/>
        </w:rPr>
        <w:t>万元、住房保障支出</w:t>
      </w:r>
      <w:r>
        <w:rPr>
          <w:rFonts w:ascii="仿宋_GB2312" w:hAnsi="仿宋_GB2312" w:eastAsia="仿宋_GB2312" w:cs="仿宋_GB2312"/>
          <w:color w:val="000000"/>
          <w:kern w:val="0"/>
          <w:sz w:val="31"/>
          <w:szCs w:val="31"/>
        </w:rPr>
        <w:t>49.17</w:t>
      </w:r>
      <w:r>
        <w:rPr>
          <w:rFonts w:hint="eastAsia" w:ascii="仿宋_GB2312" w:hAnsi="仿宋_GB2312" w:eastAsia="仿宋_GB2312" w:cs="仿宋_GB2312"/>
          <w:color w:val="000000"/>
          <w:kern w:val="0"/>
          <w:sz w:val="31"/>
          <w:szCs w:val="31"/>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widowControl/>
        <w:spacing w:line="576" w:lineRule="exact"/>
        <w:ind w:firstLine="62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我单位</w:t>
      </w:r>
      <w:r>
        <w:rPr>
          <w:rFonts w:ascii="仿宋_GB2312" w:hAnsi="仿宋_GB2312" w:eastAsia="仿宋_GB2312" w:cs="仿宋_GB2312"/>
          <w:color w:val="000000"/>
          <w:kern w:val="0"/>
          <w:sz w:val="31"/>
          <w:szCs w:val="31"/>
        </w:rPr>
        <w:t>2020</w:t>
      </w:r>
      <w:r>
        <w:rPr>
          <w:rFonts w:hint="eastAsia" w:ascii="仿宋_GB2312" w:hAnsi="仿宋_GB2312" w:eastAsia="仿宋_GB2312" w:cs="仿宋_GB2312"/>
          <w:color w:val="000000"/>
          <w:kern w:val="0"/>
          <w:sz w:val="31"/>
          <w:szCs w:val="31"/>
        </w:rPr>
        <w:t>年以习近平新时代中国特色社会主义思想为指导，自觉践行新发展理念，根据政协职能积极谋划，确定目标任务，积极发挥公共财政职能作用，推动落实稳增长、促改革、调结构、惠民生、防风险各项工作。一是按照</w:t>
      </w:r>
      <w:r>
        <w:rPr>
          <w:rFonts w:ascii="仿宋_GB2312" w:hAnsi="仿宋_GB2312" w:eastAsia="仿宋_GB2312" w:cs="仿宋_GB2312"/>
          <w:color w:val="000000"/>
          <w:kern w:val="0"/>
          <w:sz w:val="31"/>
          <w:szCs w:val="31"/>
        </w:rPr>
        <w:t xml:space="preserve"> 2020</w:t>
      </w:r>
      <w:r>
        <w:rPr>
          <w:rFonts w:hint="eastAsia" w:ascii="仿宋_GB2312" w:hAnsi="仿宋_GB2312" w:eastAsia="仿宋_GB2312" w:cs="仿宋_GB2312"/>
          <w:color w:val="000000"/>
          <w:kern w:val="0"/>
          <w:sz w:val="31"/>
          <w:szCs w:val="31"/>
        </w:rPr>
        <w:t>年部门预算编审要求，根据我单位职能结合中长期规划和年度工作计划，明确了年度主要工作任务及年度内履职所要达到的总体产出和效果，认真填报了我单位整体支出绩效评价指标体系，具体说明了单位预算编制、预算执行、综合管理、整体效益概况，设定了年度绩效数量指标、成本指标、效益指标等，详细反映了相应资金的工作任务、要达到的效果。二是按照《四川省省级预算绩效运行监控管理暂行办法》要求，认真组织开展单位的绩效监控工作，对预算执行各阶段完成情况进行动态跟踪监控，进一步明确完成目标可能性及时间。为有效使用财政资金，我单位根据实际工作开展情况，尽力提高财政资金使用效益，保障了单位各项工作的顺利开展。三是按照财政部门统一部署，我单位按要求公开了本部门</w:t>
      </w:r>
      <w:r>
        <w:rPr>
          <w:rFonts w:ascii="仿宋_GB2312" w:hAnsi="仿宋_GB2312" w:eastAsia="仿宋_GB2312" w:cs="仿宋_GB2312"/>
          <w:color w:val="000000"/>
          <w:kern w:val="0"/>
          <w:sz w:val="31"/>
          <w:szCs w:val="31"/>
        </w:rPr>
        <w:t xml:space="preserve"> 2020 </w:t>
      </w:r>
      <w:r>
        <w:rPr>
          <w:rFonts w:hint="eastAsia" w:ascii="仿宋_GB2312" w:hAnsi="仿宋_GB2312" w:eastAsia="仿宋_GB2312" w:cs="仿宋_GB2312"/>
          <w:color w:val="000000"/>
          <w:kern w:val="0"/>
          <w:sz w:val="31"/>
          <w:szCs w:val="31"/>
        </w:rPr>
        <w:t>年预算，按要求公开了本部门</w:t>
      </w:r>
      <w:r>
        <w:rPr>
          <w:rFonts w:ascii="仿宋_GB2312" w:hAnsi="仿宋_GB2312" w:eastAsia="仿宋_GB2312" w:cs="仿宋_GB2312"/>
          <w:color w:val="000000"/>
          <w:kern w:val="0"/>
          <w:sz w:val="31"/>
          <w:szCs w:val="31"/>
        </w:rPr>
        <w:t xml:space="preserve"> 2020</w:t>
      </w:r>
      <w:r>
        <w:rPr>
          <w:rFonts w:hint="eastAsia" w:ascii="仿宋_GB2312" w:hAnsi="仿宋_GB2312" w:eastAsia="仿宋_GB2312" w:cs="仿宋_GB2312"/>
          <w:color w:val="000000"/>
          <w:kern w:val="0"/>
          <w:sz w:val="31"/>
          <w:szCs w:val="31"/>
        </w:rPr>
        <w:t>年决算，同时公开了绩效目标管理情况及部门整体支出绩效自评开展情况。</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widowControl/>
        <w:spacing w:line="576" w:lineRule="exact"/>
        <w:ind w:firstLine="620" w:firstLineChars="200"/>
        <w:rPr>
          <w:rFonts w:ascii="仿宋_GB2312" w:hAnsi="仿宋_GB2312" w:eastAsia="仿宋_GB2312" w:cs="仿宋_GB2312"/>
        </w:rPr>
      </w:pPr>
      <w:r>
        <w:rPr>
          <w:rFonts w:hint="eastAsia" w:ascii="仿宋_GB2312" w:hAnsi="仿宋_GB2312" w:eastAsia="仿宋_GB2312" w:cs="仿宋_GB2312"/>
          <w:color w:val="000000"/>
          <w:kern w:val="0"/>
          <w:sz w:val="31"/>
          <w:szCs w:val="31"/>
        </w:rPr>
        <w:t>我单位对部门预算绩效管理工作开展情况认真进行了自</w:t>
      </w:r>
      <w:r>
        <w:rPr>
          <w:rFonts w:ascii="仿宋_GB2312" w:hAnsi="仿宋_GB2312" w:eastAsia="仿宋_GB2312" w:cs="仿宋_GB2312"/>
          <w:color w:val="000000"/>
          <w:kern w:val="0"/>
          <w:sz w:val="31"/>
          <w:szCs w:val="31"/>
        </w:rPr>
        <w:t xml:space="preserve"> </w:t>
      </w:r>
      <w:r>
        <w:rPr>
          <w:rFonts w:hint="eastAsia" w:ascii="仿宋_GB2312" w:hAnsi="仿宋_GB2312" w:eastAsia="仿宋_GB2312" w:cs="仿宋_GB2312"/>
          <w:color w:val="000000"/>
          <w:kern w:val="0"/>
          <w:sz w:val="31"/>
          <w:szCs w:val="31"/>
        </w:rPr>
        <w:t>查自评。绩效评价自查开展覆盖了单位全年支出，将评价结果作为预算执行的重要依据，大力调整支出结构，不断强化绩效</w:t>
      </w:r>
      <w:r>
        <w:rPr>
          <w:rFonts w:ascii="仿宋_GB2312" w:hAnsi="仿宋_GB2312" w:eastAsia="仿宋_GB2312" w:cs="仿宋_GB2312"/>
          <w:color w:val="000000"/>
          <w:kern w:val="0"/>
          <w:sz w:val="31"/>
          <w:szCs w:val="31"/>
        </w:rPr>
        <w:t xml:space="preserve"> </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理念，推动我单位部门整体绩效管理水平不断提升。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widowControl/>
        <w:spacing w:line="576" w:lineRule="exact"/>
        <w:ind w:firstLine="620" w:firstLineChars="200"/>
        <w:rPr>
          <w:rFonts w:ascii="仿宋_GB2312" w:hAnsi="仿宋_GB2312" w:eastAsia="仿宋_GB2312" w:cs="仿宋_GB2312"/>
        </w:rPr>
      </w:pPr>
      <w:r>
        <w:rPr>
          <w:rFonts w:ascii="仿宋_GB2312" w:hAnsi="仿宋_GB2312" w:eastAsia="仿宋_GB2312" w:cs="仿宋_GB2312"/>
          <w:color w:val="000000"/>
          <w:kern w:val="0"/>
          <w:sz w:val="31"/>
          <w:szCs w:val="31"/>
        </w:rPr>
        <w:t>2020</w:t>
      </w:r>
      <w:r>
        <w:rPr>
          <w:rFonts w:hint="eastAsia" w:ascii="仿宋_GB2312" w:hAnsi="仿宋_GB2312" w:eastAsia="仿宋_GB2312" w:cs="仿宋_GB2312"/>
          <w:color w:val="000000"/>
          <w:kern w:val="0"/>
          <w:sz w:val="31"/>
          <w:szCs w:val="31"/>
        </w:rPr>
        <w:t>年我单位部门整体支出绩效评价自查自评结果良好，全年基本支出保证了部门的正常运行和日常工作的正常开</w:t>
      </w:r>
      <w:r>
        <w:rPr>
          <w:rFonts w:ascii="仿宋_GB2312" w:hAnsi="仿宋_GB2312" w:eastAsia="仿宋_GB2312" w:cs="仿宋_GB2312"/>
          <w:color w:val="000000"/>
          <w:kern w:val="0"/>
          <w:sz w:val="31"/>
          <w:szCs w:val="31"/>
        </w:rPr>
        <w:t xml:space="preserve"> </w:t>
      </w:r>
    </w:p>
    <w:p>
      <w:pPr>
        <w:widowControl/>
        <w:spacing w:line="576" w:lineRule="exac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展，达到了预期绩效目标。按照《茂县财政局关于开展</w:t>
      </w:r>
      <w:r>
        <w:rPr>
          <w:rFonts w:ascii="仿宋_GB2312" w:hAnsi="仿宋_GB2312" w:eastAsia="仿宋_GB2312" w:cs="仿宋_GB2312"/>
          <w:color w:val="000000"/>
          <w:kern w:val="0"/>
          <w:sz w:val="31"/>
          <w:szCs w:val="31"/>
        </w:rPr>
        <w:t>2020</w:t>
      </w:r>
      <w:r>
        <w:rPr>
          <w:rFonts w:hint="eastAsia" w:ascii="仿宋_GB2312" w:hAnsi="仿宋_GB2312" w:eastAsia="仿宋_GB2312" w:cs="仿宋_GB2312"/>
          <w:color w:val="000000"/>
          <w:kern w:val="0"/>
          <w:sz w:val="31"/>
          <w:szCs w:val="31"/>
        </w:rPr>
        <w:t>年部门整体支出绩效评价工作的通知》的标准，茂县政协绩效评价指标体系自评得分</w:t>
      </w:r>
      <w:r>
        <w:rPr>
          <w:rFonts w:ascii="仿宋_GB2312" w:hAnsi="仿宋_GB2312" w:eastAsia="仿宋_GB2312" w:cs="仿宋_GB2312"/>
          <w:color w:val="000000"/>
          <w:kern w:val="0"/>
          <w:sz w:val="31"/>
          <w:szCs w:val="31"/>
        </w:rPr>
        <w:t>89</w:t>
      </w:r>
      <w:r>
        <w:rPr>
          <w:rFonts w:hint="eastAsia" w:ascii="仿宋_GB2312" w:hAnsi="仿宋_GB2312" w:eastAsia="仿宋_GB2312" w:cs="仿宋_GB2312"/>
          <w:color w:val="000000"/>
          <w:kern w:val="0"/>
          <w:sz w:val="31"/>
          <w:szCs w:val="31"/>
        </w:rPr>
        <w:t>分。</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widowControl/>
        <w:spacing w:line="576" w:lineRule="exact"/>
        <w:ind w:firstLine="62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单位绩效目标设定有待更进一步细化、科学和合理。</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widowControl/>
        <w:spacing w:line="576" w:lineRule="exact"/>
        <w:ind w:firstLine="620" w:firstLineChars="200"/>
        <w:rPr>
          <w:rFonts w:ascii="仿宋_GB2312" w:hAnsi="仿宋_GB2312" w:eastAsia="仿宋_GB2312" w:cs="仿宋_GB2312"/>
        </w:rPr>
      </w:pPr>
      <w:r>
        <w:rPr>
          <w:rFonts w:hint="eastAsia" w:ascii="仿宋_GB2312" w:hAnsi="仿宋_GB2312" w:eastAsia="仿宋_GB2312" w:cs="仿宋_GB2312"/>
          <w:color w:val="000000"/>
          <w:kern w:val="0"/>
          <w:sz w:val="31"/>
          <w:szCs w:val="31"/>
        </w:rPr>
        <w:t>针对存在的问题，我们将进一步科学设定绩效目标，加强预算执行管理。改进部门收支预算编制，夯实预算基础工作，提高预算编制质量，努力提高财政资金的使用效益。</w:t>
      </w:r>
      <w:r>
        <w:rPr>
          <w:rFonts w:ascii="仿宋_GB2312" w:hAnsi="仿宋_GB2312" w:eastAsia="仿宋_GB2312" w:cs="仿宋_GB2312"/>
          <w:color w:val="000000"/>
          <w:kern w:val="0"/>
          <w:sz w:val="31"/>
          <w:szCs w:val="31"/>
        </w:rPr>
        <w:t xml:space="preserve">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5" w:name="_Toc79163883"/>
      <w:bookmarkStart w:id="116" w:name="_Toc79163633"/>
    </w:p>
    <w:p>
      <w:pPr>
        <w:spacing w:line="600" w:lineRule="exact"/>
        <w:jc w:val="left"/>
        <w:outlineLvl w:val="0"/>
        <w:rPr>
          <w:rFonts w:ascii="黑体" w:hAnsi="黑体" w:eastAsia="黑体" w:cs="黑体"/>
          <w:sz w:val="32"/>
          <w:szCs w:val="32"/>
        </w:rPr>
      </w:pPr>
    </w:p>
    <w:bookmarkEnd w:id="115"/>
    <w:bookmarkEnd w:id="116"/>
    <w:p>
      <w:pPr>
        <w:widowControl/>
        <w:jc w:val="left"/>
        <w:rPr>
          <w:rStyle w:val="24"/>
          <w:rFonts w:ascii="黑体" w:hAnsi="黑体" w:eastAsia="黑体"/>
          <w:b w:val="0"/>
        </w:rPr>
      </w:pPr>
      <w:r>
        <w:rPr>
          <w:rStyle w:val="24"/>
          <w:rFonts w:ascii="黑体" w:hAnsi="黑体" w:eastAsia="黑体"/>
          <w:b w:val="0"/>
        </w:rPr>
        <w:br w:type="page"/>
      </w:r>
      <w:bookmarkStart w:id="117" w:name="_Toc79163635"/>
      <w:bookmarkStart w:id="118" w:name="_Toc79163885"/>
      <w:bookmarkStart w:id="119" w:name="_Toc15396618"/>
      <w:r>
        <w:rPr>
          <w:rStyle w:val="24"/>
          <w:rFonts w:ascii="黑体" w:hAnsi="黑体" w:eastAsia="黑体"/>
          <w:b w:val="0"/>
        </w:rPr>
        <w:t xml:space="preserve">           </w:t>
      </w: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12"/>
      <w:bookmarkEnd w:id="117"/>
      <w:bookmarkEnd w:id="118"/>
      <w:bookmarkEnd w:id="119"/>
    </w:p>
    <w:p>
      <w:pPr>
        <w:widowControl/>
        <w:jc w:val="left"/>
        <w:rPr>
          <w:rStyle w:val="24"/>
          <w:rFonts w:ascii="黑体" w:hAnsi="黑体" w:eastAsia="黑体"/>
          <w:b w:val="0"/>
        </w:rPr>
      </w:pPr>
    </w:p>
    <w:p>
      <w:pPr>
        <w:pStyle w:val="3"/>
        <w:keepNext w:val="0"/>
        <w:keepLines w:val="0"/>
        <w:spacing w:before="0" w:after="0" w:line="240" w:lineRule="auto"/>
        <w:rPr>
          <w:rFonts w:ascii="仿宋_GB2312" w:hAnsi="仿宋" w:eastAsia="仿宋_GB2312"/>
          <w:b w:val="0"/>
          <w:color w:val="000000"/>
        </w:rPr>
      </w:pPr>
      <w:bookmarkStart w:id="120" w:name="_Toc15396619"/>
      <w:bookmarkStart w:id="121" w:name="_Toc79163636"/>
      <w:bookmarkStart w:id="122" w:name="_Toc79163886"/>
      <w:r>
        <w:rPr>
          <w:rFonts w:hint="eastAsia" w:ascii="仿宋_GB2312" w:hAnsi="仿宋" w:eastAsia="仿宋_GB2312"/>
          <w:b w:val="0"/>
          <w:color w:val="000000"/>
        </w:rPr>
        <w:t>一、收入支出决算总表</w:t>
      </w:r>
      <w:bookmarkEnd w:id="120"/>
      <w:bookmarkEnd w:id="121"/>
      <w:bookmarkEnd w:id="122"/>
    </w:p>
    <w:p>
      <w:pPr>
        <w:pStyle w:val="3"/>
        <w:keepNext w:val="0"/>
        <w:keepLines w:val="0"/>
        <w:spacing w:before="0" w:after="0" w:line="240" w:lineRule="auto"/>
        <w:rPr>
          <w:rFonts w:ascii="仿宋_GB2312" w:hAnsi="仿宋" w:eastAsia="仿宋_GB2312"/>
          <w:b w:val="0"/>
          <w:color w:val="000000"/>
        </w:rPr>
      </w:pPr>
      <w:bookmarkStart w:id="123" w:name="_Toc15396620"/>
      <w:bookmarkStart w:id="124" w:name="_Toc79163637"/>
      <w:bookmarkStart w:id="125" w:name="_Toc79163887"/>
      <w:r>
        <w:rPr>
          <w:rFonts w:hint="eastAsia" w:ascii="仿宋_GB2312" w:hAnsi="仿宋" w:eastAsia="仿宋_GB2312"/>
          <w:b w:val="0"/>
          <w:color w:val="000000"/>
        </w:rPr>
        <w:t>二、收入决算表</w:t>
      </w:r>
      <w:bookmarkEnd w:id="123"/>
      <w:bookmarkEnd w:id="124"/>
      <w:bookmarkEnd w:id="125"/>
    </w:p>
    <w:p>
      <w:pPr>
        <w:pStyle w:val="3"/>
        <w:keepNext w:val="0"/>
        <w:keepLines w:val="0"/>
        <w:spacing w:before="0" w:after="0" w:line="240" w:lineRule="auto"/>
        <w:rPr>
          <w:rFonts w:ascii="仿宋_GB2312" w:hAnsi="仿宋" w:eastAsia="仿宋_GB2312"/>
          <w:b w:val="0"/>
          <w:color w:val="000000"/>
        </w:rPr>
      </w:pPr>
      <w:bookmarkStart w:id="126" w:name="_Toc15396621"/>
      <w:bookmarkStart w:id="127" w:name="_Toc79163888"/>
      <w:bookmarkStart w:id="128" w:name="_Toc79163638"/>
      <w:r>
        <w:rPr>
          <w:rFonts w:hint="eastAsia" w:ascii="仿宋_GB2312" w:hAnsi="仿宋" w:eastAsia="仿宋_GB2312"/>
          <w:b w:val="0"/>
          <w:color w:val="000000"/>
        </w:rPr>
        <w:t>三、支出决算表</w:t>
      </w:r>
      <w:bookmarkEnd w:id="126"/>
      <w:bookmarkEnd w:id="127"/>
      <w:bookmarkEnd w:id="128"/>
    </w:p>
    <w:p>
      <w:pPr>
        <w:pStyle w:val="3"/>
        <w:keepNext w:val="0"/>
        <w:keepLines w:val="0"/>
        <w:spacing w:before="0" w:after="0" w:line="240" w:lineRule="auto"/>
        <w:rPr>
          <w:rFonts w:ascii="仿宋_GB2312" w:hAnsi="仿宋" w:eastAsia="仿宋_GB2312"/>
          <w:b w:val="0"/>
          <w:color w:val="000000"/>
        </w:rPr>
      </w:pPr>
      <w:bookmarkStart w:id="129" w:name="_Toc15396622"/>
      <w:bookmarkStart w:id="130" w:name="_Toc79163889"/>
      <w:bookmarkStart w:id="131" w:name="_Toc79163639"/>
      <w:r>
        <w:rPr>
          <w:rFonts w:hint="eastAsia" w:ascii="仿宋_GB2312" w:hAnsi="仿宋" w:eastAsia="仿宋_GB2312"/>
          <w:b w:val="0"/>
          <w:color w:val="000000"/>
        </w:rPr>
        <w:t>四、财政拨款收入支出决算总表</w:t>
      </w:r>
      <w:bookmarkEnd w:id="129"/>
      <w:bookmarkEnd w:id="130"/>
      <w:bookmarkEnd w:id="131"/>
    </w:p>
    <w:p>
      <w:pPr>
        <w:pStyle w:val="3"/>
        <w:keepNext w:val="0"/>
        <w:keepLines w:val="0"/>
        <w:spacing w:before="0" w:after="0" w:line="240" w:lineRule="auto"/>
        <w:rPr>
          <w:rFonts w:ascii="仿宋_GB2312" w:hAnsi="仿宋" w:eastAsia="仿宋_GB2312"/>
          <w:b w:val="0"/>
          <w:color w:val="000000"/>
        </w:rPr>
      </w:pPr>
      <w:bookmarkStart w:id="132" w:name="_Toc79163640"/>
      <w:bookmarkStart w:id="133" w:name="_Toc15396623"/>
      <w:bookmarkStart w:id="134" w:name="_Toc79163890"/>
      <w:r>
        <w:rPr>
          <w:rFonts w:hint="eastAsia" w:ascii="仿宋_GB2312" w:hAnsi="仿宋" w:eastAsia="仿宋_GB2312"/>
          <w:b w:val="0"/>
          <w:color w:val="000000"/>
        </w:rPr>
        <w:t>五、财政拨款支出决算明细表</w:t>
      </w:r>
      <w:bookmarkEnd w:id="132"/>
      <w:bookmarkEnd w:id="133"/>
      <w:bookmarkEnd w:id="134"/>
      <w:bookmarkStart w:id="135" w:name="_Toc15396624"/>
    </w:p>
    <w:p>
      <w:pPr>
        <w:pStyle w:val="3"/>
        <w:keepNext w:val="0"/>
        <w:keepLines w:val="0"/>
        <w:spacing w:before="0" w:after="0" w:line="240" w:lineRule="auto"/>
        <w:rPr>
          <w:rFonts w:ascii="仿宋_GB2312" w:hAnsi="仿宋" w:eastAsia="仿宋_GB2312"/>
          <w:b w:val="0"/>
          <w:color w:val="000000"/>
        </w:rPr>
      </w:pPr>
      <w:bookmarkStart w:id="136" w:name="_Toc79163891"/>
      <w:bookmarkStart w:id="137" w:name="_Toc79163641"/>
      <w:r>
        <w:rPr>
          <w:rFonts w:hint="eastAsia" w:ascii="仿宋_GB2312" w:hAnsi="仿宋" w:eastAsia="仿宋_GB2312"/>
          <w:b w:val="0"/>
          <w:color w:val="000000"/>
        </w:rPr>
        <w:t>六、一般公共预算财政拨款支出决算表</w:t>
      </w:r>
      <w:bookmarkEnd w:id="135"/>
      <w:bookmarkEnd w:id="136"/>
      <w:bookmarkEnd w:id="137"/>
    </w:p>
    <w:p>
      <w:pPr>
        <w:pStyle w:val="3"/>
        <w:keepNext w:val="0"/>
        <w:keepLines w:val="0"/>
        <w:spacing w:before="0" w:after="0" w:line="240" w:lineRule="auto"/>
        <w:rPr>
          <w:rFonts w:ascii="仿宋_GB2312" w:hAnsi="仿宋" w:eastAsia="仿宋_GB2312"/>
          <w:b w:val="0"/>
          <w:color w:val="000000"/>
        </w:rPr>
      </w:pPr>
      <w:bookmarkStart w:id="138" w:name="_Toc15396625"/>
      <w:bookmarkStart w:id="139" w:name="_Toc79163892"/>
      <w:bookmarkStart w:id="140" w:name="_Toc79163642"/>
      <w:r>
        <w:rPr>
          <w:rFonts w:hint="eastAsia" w:ascii="仿宋_GB2312" w:hAnsi="仿宋" w:eastAsia="仿宋_GB2312"/>
          <w:b w:val="0"/>
          <w:color w:val="000000"/>
        </w:rPr>
        <w:t>七、一般公共预算财政拨款支出决算明细表</w:t>
      </w:r>
      <w:bookmarkEnd w:id="138"/>
      <w:bookmarkEnd w:id="139"/>
      <w:bookmarkEnd w:id="140"/>
    </w:p>
    <w:p>
      <w:pPr>
        <w:pStyle w:val="3"/>
        <w:keepNext w:val="0"/>
        <w:keepLines w:val="0"/>
        <w:spacing w:before="0" w:after="0" w:line="240" w:lineRule="auto"/>
        <w:rPr>
          <w:rFonts w:ascii="仿宋_GB2312" w:hAnsi="仿宋" w:eastAsia="仿宋_GB2312"/>
          <w:b w:val="0"/>
          <w:color w:val="000000"/>
        </w:rPr>
      </w:pPr>
      <w:bookmarkStart w:id="141" w:name="_Toc79163893"/>
      <w:bookmarkStart w:id="142" w:name="_Toc79163643"/>
      <w:bookmarkStart w:id="143" w:name="_Toc15396626"/>
      <w:r>
        <w:rPr>
          <w:rFonts w:hint="eastAsia" w:ascii="仿宋_GB2312" w:hAnsi="仿宋" w:eastAsia="仿宋_GB2312"/>
          <w:b w:val="0"/>
          <w:color w:val="000000"/>
        </w:rPr>
        <w:t>八、一般公共预算财政拨款基本支出决算表</w:t>
      </w:r>
      <w:bookmarkEnd w:id="141"/>
      <w:bookmarkEnd w:id="142"/>
      <w:bookmarkEnd w:id="143"/>
    </w:p>
    <w:p>
      <w:pPr>
        <w:pStyle w:val="3"/>
        <w:keepNext w:val="0"/>
        <w:keepLines w:val="0"/>
        <w:spacing w:before="0" w:after="0" w:line="240" w:lineRule="auto"/>
        <w:rPr>
          <w:rFonts w:ascii="仿宋_GB2312" w:hAnsi="仿宋" w:eastAsia="仿宋_GB2312"/>
          <w:b w:val="0"/>
          <w:color w:val="000000"/>
        </w:rPr>
      </w:pPr>
      <w:bookmarkStart w:id="144" w:name="_Toc15396627"/>
      <w:bookmarkStart w:id="145" w:name="_Toc79163644"/>
      <w:bookmarkStart w:id="146" w:name="_Toc79163894"/>
      <w:r>
        <w:rPr>
          <w:rFonts w:hint="eastAsia" w:ascii="仿宋_GB2312" w:hAnsi="仿宋" w:eastAsia="仿宋_GB2312"/>
          <w:b w:val="0"/>
          <w:color w:val="000000"/>
        </w:rPr>
        <w:t>九、一般公共预算财政拨款项目支出决算表</w:t>
      </w:r>
      <w:bookmarkEnd w:id="144"/>
      <w:bookmarkEnd w:id="145"/>
      <w:bookmarkEnd w:id="146"/>
    </w:p>
    <w:p>
      <w:pPr>
        <w:pStyle w:val="3"/>
        <w:keepNext w:val="0"/>
        <w:keepLines w:val="0"/>
        <w:spacing w:before="0" w:after="0" w:line="240" w:lineRule="auto"/>
        <w:rPr>
          <w:rFonts w:ascii="仿宋_GB2312" w:hAnsi="仿宋" w:eastAsia="仿宋_GB2312"/>
          <w:b w:val="0"/>
          <w:color w:val="000000"/>
        </w:rPr>
      </w:pPr>
      <w:bookmarkStart w:id="147" w:name="_Toc79163645"/>
      <w:bookmarkStart w:id="148" w:name="_Toc79163895"/>
      <w:bookmarkStart w:id="149" w:name="_Toc15396628"/>
      <w:r>
        <w:rPr>
          <w:rFonts w:hint="eastAsia" w:ascii="仿宋_GB2312" w:hAnsi="仿宋" w:eastAsia="仿宋_GB2312"/>
          <w:b w:val="0"/>
          <w:color w:val="000000"/>
        </w:rPr>
        <w:t>十、一般公共预算财政拨款“三公”经费支出决算表</w:t>
      </w:r>
      <w:bookmarkEnd w:id="147"/>
      <w:bookmarkEnd w:id="148"/>
      <w:bookmarkEnd w:id="149"/>
    </w:p>
    <w:p>
      <w:pPr>
        <w:pStyle w:val="3"/>
        <w:keepNext w:val="0"/>
        <w:keepLines w:val="0"/>
        <w:spacing w:before="0" w:after="0" w:line="240" w:lineRule="auto"/>
        <w:rPr>
          <w:rFonts w:ascii="仿宋_GB2312" w:hAnsi="仿宋" w:eastAsia="仿宋_GB2312"/>
          <w:b w:val="0"/>
          <w:color w:val="000000"/>
        </w:rPr>
      </w:pPr>
      <w:bookmarkStart w:id="150" w:name="_Toc15396629"/>
      <w:bookmarkStart w:id="151" w:name="_Toc79163896"/>
      <w:bookmarkStart w:id="152" w:name="_Toc79163646"/>
      <w:r>
        <w:rPr>
          <w:rFonts w:hint="eastAsia" w:ascii="仿宋_GB2312" w:hAnsi="仿宋" w:eastAsia="仿宋_GB2312"/>
          <w:b w:val="0"/>
          <w:color w:val="000000"/>
        </w:rPr>
        <w:t>十一、政府性基金预算财政拨款收入支出决算表</w:t>
      </w:r>
      <w:bookmarkEnd w:id="150"/>
      <w:bookmarkEnd w:id="151"/>
      <w:bookmarkEnd w:id="152"/>
    </w:p>
    <w:p>
      <w:pPr>
        <w:pStyle w:val="3"/>
        <w:keepNext w:val="0"/>
        <w:keepLines w:val="0"/>
        <w:spacing w:before="0" w:after="0" w:line="240" w:lineRule="auto"/>
        <w:rPr>
          <w:rFonts w:ascii="仿宋_GB2312" w:hAnsi="仿宋" w:eastAsia="仿宋_GB2312"/>
          <w:b w:val="0"/>
          <w:color w:val="000000"/>
        </w:rPr>
      </w:pPr>
      <w:bookmarkStart w:id="153" w:name="_Toc79163647"/>
      <w:bookmarkStart w:id="154" w:name="_Toc79163897"/>
      <w:bookmarkStart w:id="155" w:name="_Toc15396630"/>
      <w:r>
        <w:rPr>
          <w:rFonts w:hint="eastAsia" w:ascii="仿宋_GB2312" w:hAnsi="仿宋" w:eastAsia="仿宋_GB2312"/>
          <w:b w:val="0"/>
          <w:color w:val="000000"/>
        </w:rPr>
        <w:t>十二、政府性基金预算财政拨款“三公”经费支出决算表</w:t>
      </w:r>
      <w:bookmarkEnd w:id="153"/>
      <w:bookmarkEnd w:id="154"/>
      <w:bookmarkEnd w:id="155"/>
    </w:p>
    <w:p>
      <w:pPr>
        <w:pStyle w:val="3"/>
        <w:keepNext w:val="0"/>
        <w:keepLines w:val="0"/>
        <w:spacing w:before="0" w:after="0" w:line="240" w:lineRule="auto"/>
        <w:rPr>
          <w:rFonts w:ascii="仿宋_GB2312" w:hAnsi="仿宋" w:eastAsia="仿宋_GB2312"/>
          <w:b w:val="0"/>
          <w:color w:val="000000"/>
        </w:rPr>
      </w:pPr>
      <w:bookmarkStart w:id="156" w:name="_Toc79163648"/>
      <w:bookmarkStart w:id="157" w:name="_Toc79163898"/>
      <w:bookmarkStart w:id="158" w:name="_Toc15396631"/>
      <w:r>
        <w:rPr>
          <w:rFonts w:hint="eastAsia" w:ascii="仿宋_GB2312" w:hAnsi="仿宋" w:eastAsia="仿宋_GB2312"/>
          <w:b w:val="0"/>
          <w:color w:val="000000"/>
        </w:rPr>
        <w:t>十三、国有资本经营预算财政拨款支出决算表</w:t>
      </w:r>
      <w:bookmarkEnd w:id="156"/>
      <w:bookmarkEnd w:id="157"/>
      <w:bookmarkEnd w:id="158"/>
    </w:p>
    <w:p>
      <w:pPr>
        <w:pStyle w:val="3"/>
        <w:keepNext w:val="0"/>
        <w:keepLines w:val="0"/>
        <w:spacing w:before="0" w:after="0" w:line="240" w:lineRule="auto"/>
        <w:rPr>
          <w:rFonts w:ascii="仿宋_GB2312" w:hAnsi="仿宋" w:eastAsia="仿宋_GB2312"/>
          <w:b w:val="0"/>
          <w:color w:val="000000"/>
        </w:rPr>
      </w:pPr>
      <w:bookmarkStart w:id="159" w:name="_Toc79163649"/>
      <w:bookmarkStart w:id="160" w:name="_Toc79163899"/>
      <w:r>
        <w:rPr>
          <w:rFonts w:hint="eastAsia" w:ascii="仿宋_GB2312" w:hAnsi="仿宋" w:eastAsia="仿宋_GB2312"/>
          <w:b w:val="0"/>
          <w:color w:val="00000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Light">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6</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5D19793B"/>
    <w:multiLevelType w:val="singleLevel"/>
    <w:tmpl w:val="5D19793B"/>
    <w:lvl w:ilvl="0" w:tentative="0">
      <w:start w:val="1"/>
      <w:numFmt w:val="chineseCounting"/>
      <w:suff w:val="space"/>
      <w:lvlText w:val="第%1部分"/>
      <w:lvlJc w:val="left"/>
      <w:pPr>
        <w:ind w:left="2268"/>
      </w:pPr>
      <w:rPr>
        <w:rFonts w:hint="eastAsia" w:cs="Times New Roman"/>
      </w:rPr>
    </w:lvl>
  </w:abstractNum>
  <w:abstractNum w:abstractNumId="2">
    <w:nsid w:val="614FC17B"/>
    <w:multiLevelType w:val="singleLevel"/>
    <w:tmpl w:val="614FC17B"/>
    <w:lvl w:ilvl="0" w:tentative="0">
      <w:start w:val="1"/>
      <w:numFmt w:val="decimal"/>
      <w:suff w:val="nothing"/>
      <w:lvlText w:val="%1."/>
      <w:lvlJc w:val="left"/>
      <w:rPr>
        <w:rFonts w:cs="Times New Roman"/>
      </w:rPr>
    </w:lvl>
  </w:abstractNum>
  <w:abstractNum w:abstractNumId="3">
    <w:nsid w:val="78806BE4"/>
    <w:multiLevelType w:val="singleLevel"/>
    <w:tmpl w:val="78806BE4"/>
    <w:lvl w:ilvl="0" w:tentative="0">
      <w:start w:val="2"/>
      <w:numFmt w:val="chineseCounting"/>
      <w:suff w:val="nothing"/>
      <w:lvlText w:val="%1、"/>
      <w:lvlJc w:val="left"/>
      <w:rPr>
        <w:rFonts w:hint="eastAsia"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1BF9"/>
    <w:rsid w:val="000222C6"/>
    <w:rsid w:val="0002549F"/>
    <w:rsid w:val="000468DB"/>
    <w:rsid w:val="0006487A"/>
    <w:rsid w:val="00065F8F"/>
    <w:rsid w:val="00070A43"/>
    <w:rsid w:val="000768F2"/>
    <w:rsid w:val="0009184B"/>
    <w:rsid w:val="00091E92"/>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157F"/>
    <w:rsid w:val="00114E9B"/>
    <w:rsid w:val="00115301"/>
    <w:rsid w:val="00126DCE"/>
    <w:rsid w:val="001319E1"/>
    <w:rsid w:val="0013202D"/>
    <w:rsid w:val="00142216"/>
    <w:rsid w:val="00143F16"/>
    <w:rsid w:val="00144D6A"/>
    <w:rsid w:val="0014729F"/>
    <w:rsid w:val="00157BAB"/>
    <w:rsid w:val="001654D1"/>
    <w:rsid w:val="00174518"/>
    <w:rsid w:val="0018106D"/>
    <w:rsid w:val="001877A7"/>
    <w:rsid w:val="00191536"/>
    <w:rsid w:val="00196687"/>
    <w:rsid w:val="001C0962"/>
    <w:rsid w:val="001D7531"/>
    <w:rsid w:val="001E737D"/>
    <w:rsid w:val="001F0592"/>
    <w:rsid w:val="001F5C89"/>
    <w:rsid w:val="001F7506"/>
    <w:rsid w:val="002006CD"/>
    <w:rsid w:val="00202B36"/>
    <w:rsid w:val="00204B7A"/>
    <w:rsid w:val="00204CDE"/>
    <w:rsid w:val="0021101A"/>
    <w:rsid w:val="00220536"/>
    <w:rsid w:val="00232225"/>
    <w:rsid w:val="00235629"/>
    <w:rsid w:val="0025350E"/>
    <w:rsid w:val="00256262"/>
    <w:rsid w:val="002571BB"/>
    <w:rsid w:val="00260C38"/>
    <w:rsid w:val="002616C0"/>
    <w:rsid w:val="00265372"/>
    <w:rsid w:val="00265E5E"/>
    <w:rsid w:val="002662AA"/>
    <w:rsid w:val="00267A2C"/>
    <w:rsid w:val="00271D02"/>
    <w:rsid w:val="0027224D"/>
    <w:rsid w:val="00280496"/>
    <w:rsid w:val="00294DC9"/>
    <w:rsid w:val="00295495"/>
    <w:rsid w:val="002A31DE"/>
    <w:rsid w:val="002B2613"/>
    <w:rsid w:val="002D6D05"/>
    <w:rsid w:val="002F1818"/>
    <w:rsid w:val="002F567B"/>
    <w:rsid w:val="00306456"/>
    <w:rsid w:val="003216A9"/>
    <w:rsid w:val="00335A74"/>
    <w:rsid w:val="0036561B"/>
    <w:rsid w:val="0037013F"/>
    <w:rsid w:val="00380C92"/>
    <w:rsid w:val="003858FE"/>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1CD4"/>
    <w:rsid w:val="00406254"/>
    <w:rsid w:val="004223DE"/>
    <w:rsid w:val="0043041F"/>
    <w:rsid w:val="00434489"/>
    <w:rsid w:val="00437085"/>
    <w:rsid w:val="004433B3"/>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4F4C55"/>
    <w:rsid w:val="00505A47"/>
    <w:rsid w:val="00512FDA"/>
    <w:rsid w:val="00520DA0"/>
    <w:rsid w:val="005269A7"/>
    <w:rsid w:val="005269D7"/>
    <w:rsid w:val="0054248D"/>
    <w:rsid w:val="005664BB"/>
    <w:rsid w:val="00566FFA"/>
    <w:rsid w:val="0057481D"/>
    <w:rsid w:val="0058486E"/>
    <w:rsid w:val="00585B33"/>
    <w:rsid w:val="0059014D"/>
    <w:rsid w:val="005B3D1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28D3"/>
    <w:rsid w:val="006A3141"/>
    <w:rsid w:val="006A5E34"/>
    <w:rsid w:val="006B2422"/>
    <w:rsid w:val="006B2B9A"/>
    <w:rsid w:val="006C1937"/>
    <w:rsid w:val="006E65B1"/>
    <w:rsid w:val="006F020C"/>
    <w:rsid w:val="006F0ED0"/>
    <w:rsid w:val="0070035B"/>
    <w:rsid w:val="007127B7"/>
    <w:rsid w:val="0071798E"/>
    <w:rsid w:val="007416B6"/>
    <w:rsid w:val="00746F48"/>
    <w:rsid w:val="0075404D"/>
    <w:rsid w:val="0076182A"/>
    <w:rsid w:val="00767B7E"/>
    <w:rsid w:val="007770C3"/>
    <w:rsid w:val="00784D24"/>
    <w:rsid w:val="00785FBA"/>
    <w:rsid w:val="00786E4A"/>
    <w:rsid w:val="00787428"/>
    <w:rsid w:val="007875EB"/>
    <w:rsid w:val="0079426B"/>
    <w:rsid w:val="007A45B3"/>
    <w:rsid w:val="007D1682"/>
    <w:rsid w:val="007D312A"/>
    <w:rsid w:val="007D3F19"/>
    <w:rsid w:val="007E23B0"/>
    <w:rsid w:val="007E23E5"/>
    <w:rsid w:val="007F07B9"/>
    <w:rsid w:val="007F1991"/>
    <w:rsid w:val="007F2C2F"/>
    <w:rsid w:val="007F55FC"/>
    <w:rsid w:val="007F5665"/>
    <w:rsid w:val="007F6C41"/>
    <w:rsid w:val="00800112"/>
    <w:rsid w:val="00813348"/>
    <w:rsid w:val="00815031"/>
    <w:rsid w:val="008253BB"/>
    <w:rsid w:val="0083706E"/>
    <w:rsid w:val="008408F6"/>
    <w:rsid w:val="008423A5"/>
    <w:rsid w:val="008475D2"/>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D32BD"/>
    <w:rsid w:val="008E1DE7"/>
    <w:rsid w:val="008E707C"/>
    <w:rsid w:val="00900B08"/>
    <w:rsid w:val="00902155"/>
    <w:rsid w:val="00902FA3"/>
    <w:rsid w:val="00912668"/>
    <w:rsid w:val="00923564"/>
    <w:rsid w:val="0092392E"/>
    <w:rsid w:val="009315F9"/>
    <w:rsid w:val="00933499"/>
    <w:rsid w:val="009334D8"/>
    <w:rsid w:val="00935C98"/>
    <w:rsid w:val="00946945"/>
    <w:rsid w:val="00951248"/>
    <w:rsid w:val="0095152F"/>
    <w:rsid w:val="00954C49"/>
    <w:rsid w:val="00955E37"/>
    <w:rsid w:val="00956CF6"/>
    <w:rsid w:val="00962656"/>
    <w:rsid w:val="0097099F"/>
    <w:rsid w:val="00971997"/>
    <w:rsid w:val="00971FFC"/>
    <w:rsid w:val="0098660A"/>
    <w:rsid w:val="009931C3"/>
    <w:rsid w:val="009B251E"/>
    <w:rsid w:val="009B2C43"/>
    <w:rsid w:val="009B4EAE"/>
    <w:rsid w:val="009B7573"/>
    <w:rsid w:val="009C22F4"/>
    <w:rsid w:val="009C2A4B"/>
    <w:rsid w:val="009C2E98"/>
    <w:rsid w:val="009D3447"/>
    <w:rsid w:val="009D3AF1"/>
    <w:rsid w:val="009D4711"/>
    <w:rsid w:val="009F1185"/>
    <w:rsid w:val="009F18CD"/>
    <w:rsid w:val="009F2A13"/>
    <w:rsid w:val="009F5CCB"/>
    <w:rsid w:val="009F7527"/>
    <w:rsid w:val="00A04EB0"/>
    <w:rsid w:val="00A13CC1"/>
    <w:rsid w:val="00A16847"/>
    <w:rsid w:val="00A237D8"/>
    <w:rsid w:val="00A268C4"/>
    <w:rsid w:val="00A2792E"/>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171D"/>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2A9C"/>
    <w:rsid w:val="00B35F3F"/>
    <w:rsid w:val="00B36CBB"/>
    <w:rsid w:val="00B425E0"/>
    <w:rsid w:val="00B440AA"/>
    <w:rsid w:val="00B44B70"/>
    <w:rsid w:val="00B53C56"/>
    <w:rsid w:val="00B57DAF"/>
    <w:rsid w:val="00B71B70"/>
    <w:rsid w:val="00B77EA6"/>
    <w:rsid w:val="00B81598"/>
    <w:rsid w:val="00B841F1"/>
    <w:rsid w:val="00B90E4E"/>
    <w:rsid w:val="00B944D6"/>
    <w:rsid w:val="00B965DC"/>
    <w:rsid w:val="00B9794B"/>
    <w:rsid w:val="00BB4DF0"/>
    <w:rsid w:val="00BC289F"/>
    <w:rsid w:val="00BC2D50"/>
    <w:rsid w:val="00BC5361"/>
    <w:rsid w:val="00BC5460"/>
    <w:rsid w:val="00BC6B50"/>
    <w:rsid w:val="00BD0E25"/>
    <w:rsid w:val="00BD635D"/>
    <w:rsid w:val="00BE0502"/>
    <w:rsid w:val="00BF5BD6"/>
    <w:rsid w:val="00C03E31"/>
    <w:rsid w:val="00C33E72"/>
    <w:rsid w:val="00C354B2"/>
    <w:rsid w:val="00C35554"/>
    <w:rsid w:val="00C36731"/>
    <w:rsid w:val="00C40F61"/>
    <w:rsid w:val="00C42709"/>
    <w:rsid w:val="00C533CC"/>
    <w:rsid w:val="00C5751C"/>
    <w:rsid w:val="00C61BFC"/>
    <w:rsid w:val="00C62B85"/>
    <w:rsid w:val="00C65438"/>
    <w:rsid w:val="00C87FD8"/>
    <w:rsid w:val="00C90782"/>
    <w:rsid w:val="00C91381"/>
    <w:rsid w:val="00C91CBB"/>
    <w:rsid w:val="00C93BD0"/>
    <w:rsid w:val="00CB4E70"/>
    <w:rsid w:val="00CC09B6"/>
    <w:rsid w:val="00CC666F"/>
    <w:rsid w:val="00CD1E3F"/>
    <w:rsid w:val="00CE44F6"/>
    <w:rsid w:val="00CE49DA"/>
    <w:rsid w:val="00CE7348"/>
    <w:rsid w:val="00CE7B61"/>
    <w:rsid w:val="00D00095"/>
    <w:rsid w:val="00D114F0"/>
    <w:rsid w:val="00D20620"/>
    <w:rsid w:val="00D254F7"/>
    <w:rsid w:val="00D26091"/>
    <w:rsid w:val="00D2685C"/>
    <w:rsid w:val="00D34E7C"/>
    <w:rsid w:val="00D35489"/>
    <w:rsid w:val="00D36AFE"/>
    <w:rsid w:val="00D51276"/>
    <w:rsid w:val="00D7035F"/>
    <w:rsid w:val="00D81A47"/>
    <w:rsid w:val="00D90887"/>
    <w:rsid w:val="00DA634F"/>
    <w:rsid w:val="00DA65AC"/>
    <w:rsid w:val="00DB1913"/>
    <w:rsid w:val="00DC410D"/>
    <w:rsid w:val="00DC5A81"/>
    <w:rsid w:val="00DC68CA"/>
    <w:rsid w:val="00DC74B0"/>
    <w:rsid w:val="00DC7CBA"/>
    <w:rsid w:val="00DD73B7"/>
    <w:rsid w:val="00DE0007"/>
    <w:rsid w:val="00DF28BC"/>
    <w:rsid w:val="00DF34B9"/>
    <w:rsid w:val="00DF3969"/>
    <w:rsid w:val="00E01053"/>
    <w:rsid w:val="00E07ACF"/>
    <w:rsid w:val="00E32CAD"/>
    <w:rsid w:val="00E331A1"/>
    <w:rsid w:val="00E33202"/>
    <w:rsid w:val="00E336A9"/>
    <w:rsid w:val="00E3744E"/>
    <w:rsid w:val="00E472B1"/>
    <w:rsid w:val="00E50624"/>
    <w:rsid w:val="00E568DF"/>
    <w:rsid w:val="00E61F4F"/>
    <w:rsid w:val="00E64269"/>
    <w:rsid w:val="00E70975"/>
    <w:rsid w:val="00E82267"/>
    <w:rsid w:val="00E853CE"/>
    <w:rsid w:val="00E867B6"/>
    <w:rsid w:val="00EA010F"/>
    <w:rsid w:val="00ED1B63"/>
    <w:rsid w:val="00ED2698"/>
    <w:rsid w:val="00ED3C1F"/>
    <w:rsid w:val="00ED4085"/>
    <w:rsid w:val="00ED420E"/>
    <w:rsid w:val="00ED6FBE"/>
    <w:rsid w:val="00EE2F57"/>
    <w:rsid w:val="00EF4C34"/>
    <w:rsid w:val="00EF60EF"/>
    <w:rsid w:val="00EF6ECD"/>
    <w:rsid w:val="00EF77C6"/>
    <w:rsid w:val="00F05438"/>
    <w:rsid w:val="00F1361C"/>
    <w:rsid w:val="00F156F0"/>
    <w:rsid w:val="00F160C7"/>
    <w:rsid w:val="00F2408F"/>
    <w:rsid w:val="00F240E9"/>
    <w:rsid w:val="00F36D8F"/>
    <w:rsid w:val="00F417B1"/>
    <w:rsid w:val="00F45324"/>
    <w:rsid w:val="00F45853"/>
    <w:rsid w:val="00F54BA4"/>
    <w:rsid w:val="00F602DF"/>
    <w:rsid w:val="00F61BE7"/>
    <w:rsid w:val="00F754A1"/>
    <w:rsid w:val="00F81FD9"/>
    <w:rsid w:val="00F841AA"/>
    <w:rsid w:val="00F84A94"/>
    <w:rsid w:val="00F87E96"/>
    <w:rsid w:val="00F87EDD"/>
    <w:rsid w:val="00FA23E8"/>
    <w:rsid w:val="00FC2607"/>
    <w:rsid w:val="00FD3CC1"/>
    <w:rsid w:val="00FD56F3"/>
    <w:rsid w:val="00FF0203"/>
    <w:rsid w:val="00FF1E02"/>
    <w:rsid w:val="00FF30B4"/>
    <w:rsid w:val="00FF5C3E"/>
    <w:rsid w:val="01292F38"/>
    <w:rsid w:val="01325C18"/>
    <w:rsid w:val="01365A1F"/>
    <w:rsid w:val="014257A0"/>
    <w:rsid w:val="01511909"/>
    <w:rsid w:val="0154592E"/>
    <w:rsid w:val="015F249F"/>
    <w:rsid w:val="01846A69"/>
    <w:rsid w:val="01A11A5D"/>
    <w:rsid w:val="01AF20E7"/>
    <w:rsid w:val="01B21CF4"/>
    <w:rsid w:val="01DD0B96"/>
    <w:rsid w:val="02206EC7"/>
    <w:rsid w:val="022A5203"/>
    <w:rsid w:val="022E192B"/>
    <w:rsid w:val="02367659"/>
    <w:rsid w:val="02961C1F"/>
    <w:rsid w:val="02C9499C"/>
    <w:rsid w:val="02ED756E"/>
    <w:rsid w:val="031924B0"/>
    <w:rsid w:val="032D697E"/>
    <w:rsid w:val="033A079C"/>
    <w:rsid w:val="034575C1"/>
    <w:rsid w:val="035356E8"/>
    <w:rsid w:val="03A54FC5"/>
    <w:rsid w:val="03AE2767"/>
    <w:rsid w:val="03D71A99"/>
    <w:rsid w:val="03FC5D89"/>
    <w:rsid w:val="04116146"/>
    <w:rsid w:val="041B6E00"/>
    <w:rsid w:val="045108DB"/>
    <w:rsid w:val="0454276B"/>
    <w:rsid w:val="045724F3"/>
    <w:rsid w:val="045B5922"/>
    <w:rsid w:val="04656D13"/>
    <w:rsid w:val="04826629"/>
    <w:rsid w:val="048B00F9"/>
    <w:rsid w:val="04907A30"/>
    <w:rsid w:val="04F50CDA"/>
    <w:rsid w:val="04FB4442"/>
    <w:rsid w:val="053F3D5B"/>
    <w:rsid w:val="054A002E"/>
    <w:rsid w:val="05BB2D73"/>
    <w:rsid w:val="05BC5A89"/>
    <w:rsid w:val="05F03AC6"/>
    <w:rsid w:val="060D0F1C"/>
    <w:rsid w:val="06293C71"/>
    <w:rsid w:val="063203F1"/>
    <w:rsid w:val="06880DB4"/>
    <w:rsid w:val="06C2135D"/>
    <w:rsid w:val="06EB6F8E"/>
    <w:rsid w:val="075F7A41"/>
    <w:rsid w:val="07AB4FD5"/>
    <w:rsid w:val="07CB0531"/>
    <w:rsid w:val="08931174"/>
    <w:rsid w:val="08ED1D1A"/>
    <w:rsid w:val="091A6FBC"/>
    <w:rsid w:val="09574F67"/>
    <w:rsid w:val="0A194099"/>
    <w:rsid w:val="0A2032A3"/>
    <w:rsid w:val="0AB5356F"/>
    <w:rsid w:val="0AD46E61"/>
    <w:rsid w:val="0AE72FCC"/>
    <w:rsid w:val="0B256948"/>
    <w:rsid w:val="0B423243"/>
    <w:rsid w:val="0B427258"/>
    <w:rsid w:val="0BFC4FE5"/>
    <w:rsid w:val="0C1050BE"/>
    <w:rsid w:val="0C194E4D"/>
    <w:rsid w:val="0C1B742F"/>
    <w:rsid w:val="0C346FC5"/>
    <w:rsid w:val="0CB50EF5"/>
    <w:rsid w:val="0CDD689E"/>
    <w:rsid w:val="0D5D0C70"/>
    <w:rsid w:val="0D5D38AB"/>
    <w:rsid w:val="0D687A79"/>
    <w:rsid w:val="0D774EC7"/>
    <w:rsid w:val="0D7D6EF0"/>
    <w:rsid w:val="0DA367AA"/>
    <w:rsid w:val="0DA62975"/>
    <w:rsid w:val="0DB92321"/>
    <w:rsid w:val="0DC71BF1"/>
    <w:rsid w:val="0DDD1E7E"/>
    <w:rsid w:val="0E007A95"/>
    <w:rsid w:val="0E1E54BF"/>
    <w:rsid w:val="0E3E33F7"/>
    <w:rsid w:val="0E6C56DE"/>
    <w:rsid w:val="0EC624B0"/>
    <w:rsid w:val="0ECE140D"/>
    <w:rsid w:val="0ED2096C"/>
    <w:rsid w:val="0EDB6FB0"/>
    <w:rsid w:val="0EEB0A0B"/>
    <w:rsid w:val="0EEB3AE5"/>
    <w:rsid w:val="0EF36A19"/>
    <w:rsid w:val="0F2C600F"/>
    <w:rsid w:val="0F301149"/>
    <w:rsid w:val="0F3E0C8E"/>
    <w:rsid w:val="0F3F2B5F"/>
    <w:rsid w:val="0F486FEC"/>
    <w:rsid w:val="0FB26381"/>
    <w:rsid w:val="0FDE6087"/>
    <w:rsid w:val="101D2341"/>
    <w:rsid w:val="105356D3"/>
    <w:rsid w:val="1084052C"/>
    <w:rsid w:val="10A31C42"/>
    <w:rsid w:val="10C055FF"/>
    <w:rsid w:val="10CC56B4"/>
    <w:rsid w:val="110649E2"/>
    <w:rsid w:val="11150FC8"/>
    <w:rsid w:val="112F385C"/>
    <w:rsid w:val="11643243"/>
    <w:rsid w:val="11731947"/>
    <w:rsid w:val="11807C60"/>
    <w:rsid w:val="118107EC"/>
    <w:rsid w:val="11966FFC"/>
    <w:rsid w:val="12017C40"/>
    <w:rsid w:val="126A5C11"/>
    <w:rsid w:val="12AB2C3E"/>
    <w:rsid w:val="12E77497"/>
    <w:rsid w:val="13066354"/>
    <w:rsid w:val="134B7E4F"/>
    <w:rsid w:val="136716B4"/>
    <w:rsid w:val="136C6621"/>
    <w:rsid w:val="138752DC"/>
    <w:rsid w:val="139F5F2F"/>
    <w:rsid w:val="13E13FBF"/>
    <w:rsid w:val="14581EF0"/>
    <w:rsid w:val="14644CC4"/>
    <w:rsid w:val="1475753B"/>
    <w:rsid w:val="14B55F2A"/>
    <w:rsid w:val="14D6321A"/>
    <w:rsid w:val="14DE20AE"/>
    <w:rsid w:val="14F502E7"/>
    <w:rsid w:val="15102DCC"/>
    <w:rsid w:val="151F7A5D"/>
    <w:rsid w:val="154E2E34"/>
    <w:rsid w:val="155F0EA2"/>
    <w:rsid w:val="15B26789"/>
    <w:rsid w:val="15E2710D"/>
    <w:rsid w:val="15F55E98"/>
    <w:rsid w:val="163F1E2E"/>
    <w:rsid w:val="164D7245"/>
    <w:rsid w:val="165D6F3B"/>
    <w:rsid w:val="1668776C"/>
    <w:rsid w:val="167F5B7C"/>
    <w:rsid w:val="16836D2C"/>
    <w:rsid w:val="16BB723D"/>
    <w:rsid w:val="16EA590C"/>
    <w:rsid w:val="17A04A20"/>
    <w:rsid w:val="17B70C3C"/>
    <w:rsid w:val="17E860D5"/>
    <w:rsid w:val="17F241B9"/>
    <w:rsid w:val="180D0CC0"/>
    <w:rsid w:val="180F26D6"/>
    <w:rsid w:val="18245DAB"/>
    <w:rsid w:val="18A068BB"/>
    <w:rsid w:val="18B036D6"/>
    <w:rsid w:val="18DD4198"/>
    <w:rsid w:val="18FD6A6E"/>
    <w:rsid w:val="19927D05"/>
    <w:rsid w:val="19C45A1F"/>
    <w:rsid w:val="19D767FA"/>
    <w:rsid w:val="1A003C3B"/>
    <w:rsid w:val="1A226FCC"/>
    <w:rsid w:val="1A325B4F"/>
    <w:rsid w:val="1A3B4CDF"/>
    <w:rsid w:val="1A9F13DC"/>
    <w:rsid w:val="1B276898"/>
    <w:rsid w:val="1B350DB4"/>
    <w:rsid w:val="1B8C7717"/>
    <w:rsid w:val="1BB24DAF"/>
    <w:rsid w:val="1BD70873"/>
    <w:rsid w:val="1BF355FB"/>
    <w:rsid w:val="1C195BB0"/>
    <w:rsid w:val="1C1E0050"/>
    <w:rsid w:val="1C386D83"/>
    <w:rsid w:val="1C4E01DE"/>
    <w:rsid w:val="1C893C24"/>
    <w:rsid w:val="1CB8130D"/>
    <w:rsid w:val="1CCB6CC1"/>
    <w:rsid w:val="1D155CEE"/>
    <w:rsid w:val="1D2731DC"/>
    <w:rsid w:val="1D6820B4"/>
    <w:rsid w:val="1E5441A8"/>
    <w:rsid w:val="1E674868"/>
    <w:rsid w:val="1E6F10C7"/>
    <w:rsid w:val="1E9E1F73"/>
    <w:rsid w:val="1EA16CF3"/>
    <w:rsid w:val="1EAD0448"/>
    <w:rsid w:val="1EBE4753"/>
    <w:rsid w:val="1EC816A3"/>
    <w:rsid w:val="1F0D222F"/>
    <w:rsid w:val="1F541666"/>
    <w:rsid w:val="1F7122E0"/>
    <w:rsid w:val="1F794D0F"/>
    <w:rsid w:val="1F7A3625"/>
    <w:rsid w:val="1F980417"/>
    <w:rsid w:val="1FB530FC"/>
    <w:rsid w:val="2024058C"/>
    <w:rsid w:val="20260714"/>
    <w:rsid w:val="2062499D"/>
    <w:rsid w:val="207D6BCE"/>
    <w:rsid w:val="20A1708C"/>
    <w:rsid w:val="20C84600"/>
    <w:rsid w:val="20F35205"/>
    <w:rsid w:val="21291421"/>
    <w:rsid w:val="21902A44"/>
    <w:rsid w:val="21BB047E"/>
    <w:rsid w:val="21C5675C"/>
    <w:rsid w:val="21D25A21"/>
    <w:rsid w:val="225C660D"/>
    <w:rsid w:val="22A36D5E"/>
    <w:rsid w:val="22A623D6"/>
    <w:rsid w:val="22F761A3"/>
    <w:rsid w:val="22FD0956"/>
    <w:rsid w:val="23062147"/>
    <w:rsid w:val="23277D5B"/>
    <w:rsid w:val="23373D9B"/>
    <w:rsid w:val="233F0F15"/>
    <w:rsid w:val="234870A9"/>
    <w:rsid w:val="240371BF"/>
    <w:rsid w:val="242B2E69"/>
    <w:rsid w:val="243562E5"/>
    <w:rsid w:val="24962B63"/>
    <w:rsid w:val="24DB68C3"/>
    <w:rsid w:val="251A0C77"/>
    <w:rsid w:val="25A060A8"/>
    <w:rsid w:val="26086036"/>
    <w:rsid w:val="263E413C"/>
    <w:rsid w:val="26752D51"/>
    <w:rsid w:val="267A3DEC"/>
    <w:rsid w:val="26880494"/>
    <w:rsid w:val="26C10D7B"/>
    <w:rsid w:val="26C815B7"/>
    <w:rsid w:val="271A2216"/>
    <w:rsid w:val="27384844"/>
    <w:rsid w:val="27964D42"/>
    <w:rsid w:val="279F5F78"/>
    <w:rsid w:val="27A4680D"/>
    <w:rsid w:val="27BA07DF"/>
    <w:rsid w:val="27BE1A2E"/>
    <w:rsid w:val="27C80E13"/>
    <w:rsid w:val="283D3E18"/>
    <w:rsid w:val="28D6472B"/>
    <w:rsid w:val="291D5F5C"/>
    <w:rsid w:val="29775739"/>
    <w:rsid w:val="297A7EBC"/>
    <w:rsid w:val="29811F6F"/>
    <w:rsid w:val="2984794E"/>
    <w:rsid w:val="299271EF"/>
    <w:rsid w:val="29FD04D3"/>
    <w:rsid w:val="2A523948"/>
    <w:rsid w:val="2A685393"/>
    <w:rsid w:val="2A6E4597"/>
    <w:rsid w:val="2A910E3F"/>
    <w:rsid w:val="2AB61FD0"/>
    <w:rsid w:val="2AF40BC0"/>
    <w:rsid w:val="2B11592F"/>
    <w:rsid w:val="2B6A4D2F"/>
    <w:rsid w:val="2B93359F"/>
    <w:rsid w:val="2B9E5D23"/>
    <w:rsid w:val="2BA02CDA"/>
    <w:rsid w:val="2C094908"/>
    <w:rsid w:val="2C1D6875"/>
    <w:rsid w:val="2CA74FCB"/>
    <w:rsid w:val="2D0D575E"/>
    <w:rsid w:val="2D2D4184"/>
    <w:rsid w:val="2D50242D"/>
    <w:rsid w:val="2D9C3CE9"/>
    <w:rsid w:val="2D9E112D"/>
    <w:rsid w:val="2DB71AF4"/>
    <w:rsid w:val="2DBF2CFA"/>
    <w:rsid w:val="2DD814E1"/>
    <w:rsid w:val="2E5E18BD"/>
    <w:rsid w:val="2E704FC8"/>
    <w:rsid w:val="2E761002"/>
    <w:rsid w:val="2E766012"/>
    <w:rsid w:val="2E8E5EB5"/>
    <w:rsid w:val="2EC006FD"/>
    <w:rsid w:val="2EEF39AA"/>
    <w:rsid w:val="2EF53318"/>
    <w:rsid w:val="2F256B48"/>
    <w:rsid w:val="2FAD28FA"/>
    <w:rsid w:val="2FB82899"/>
    <w:rsid w:val="2FD46D27"/>
    <w:rsid w:val="2FE22707"/>
    <w:rsid w:val="300369FF"/>
    <w:rsid w:val="30566126"/>
    <w:rsid w:val="306062BA"/>
    <w:rsid w:val="307F461E"/>
    <w:rsid w:val="30886F37"/>
    <w:rsid w:val="30894372"/>
    <w:rsid w:val="30B24A75"/>
    <w:rsid w:val="30B4533A"/>
    <w:rsid w:val="31020333"/>
    <w:rsid w:val="31272769"/>
    <w:rsid w:val="319E0F2F"/>
    <w:rsid w:val="319F7F4E"/>
    <w:rsid w:val="31AB6166"/>
    <w:rsid w:val="31D82F90"/>
    <w:rsid w:val="328E671D"/>
    <w:rsid w:val="32A1543B"/>
    <w:rsid w:val="32B53511"/>
    <w:rsid w:val="32EC3F0B"/>
    <w:rsid w:val="32F242D7"/>
    <w:rsid w:val="335B7D20"/>
    <w:rsid w:val="336B0F8C"/>
    <w:rsid w:val="337C69DD"/>
    <w:rsid w:val="338F7D80"/>
    <w:rsid w:val="33D50A51"/>
    <w:rsid w:val="33DC389F"/>
    <w:rsid w:val="33E146A1"/>
    <w:rsid w:val="33F04FCE"/>
    <w:rsid w:val="33F55E7D"/>
    <w:rsid w:val="341E6727"/>
    <w:rsid w:val="34530D59"/>
    <w:rsid w:val="345E329D"/>
    <w:rsid w:val="346F6E65"/>
    <w:rsid w:val="34807AD5"/>
    <w:rsid w:val="34A7150C"/>
    <w:rsid w:val="34BE3D32"/>
    <w:rsid w:val="34C00556"/>
    <w:rsid w:val="34DC470F"/>
    <w:rsid w:val="34DF7785"/>
    <w:rsid w:val="35115ABD"/>
    <w:rsid w:val="35202B7E"/>
    <w:rsid w:val="352516B6"/>
    <w:rsid w:val="352619DD"/>
    <w:rsid w:val="35491F70"/>
    <w:rsid w:val="355C0395"/>
    <w:rsid w:val="359C458D"/>
    <w:rsid w:val="35CA29FA"/>
    <w:rsid w:val="36912CFD"/>
    <w:rsid w:val="36B27AB2"/>
    <w:rsid w:val="36D57275"/>
    <w:rsid w:val="372210ED"/>
    <w:rsid w:val="372B6D0F"/>
    <w:rsid w:val="374746C9"/>
    <w:rsid w:val="374D4CBB"/>
    <w:rsid w:val="37A5240E"/>
    <w:rsid w:val="38184071"/>
    <w:rsid w:val="38667CAF"/>
    <w:rsid w:val="386E3C3E"/>
    <w:rsid w:val="38957F3E"/>
    <w:rsid w:val="389B0DCA"/>
    <w:rsid w:val="38B00399"/>
    <w:rsid w:val="38BF4703"/>
    <w:rsid w:val="38D42A0B"/>
    <w:rsid w:val="38D473BF"/>
    <w:rsid w:val="395E6654"/>
    <w:rsid w:val="3963620E"/>
    <w:rsid w:val="398A0EE2"/>
    <w:rsid w:val="399F50F6"/>
    <w:rsid w:val="39AC2C2D"/>
    <w:rsid w:val="39C563A5"/>
    <w:rsid w:val="39CD3E30"/>
    <w:rsid w:val="3A19054E"/>
    <w:rsid w:val="3A1C76AD"/>
    <w:rsid w:val="3A4F2F8D"/>
    <w:rsid w:val="3A5E29F9"/>
    <w:rsid w:val="3A8C40BC"/>
    <w:rsid w:val="3AAC0450"/>
    <w:rsid w:val="3AC621F7"/>
    <w:rsid w:val="3AC91C36"/>
    <w:rsid w:val="3AD7661D"/>
    <w:rsid w:val="3AE14B04"/>
    <w:rsid w:val="3AE96C66"/>
    <w:rsid w:val="3B110751"/>
    <w:rsid w:val="3B4573F9"/>
    <w:rsid w:val="3B89323C"/>
    <w:rsid w:val="3BB05ADD"/>
    <w:rsid w:val="3BB569B4"/>
    <w:rsid w:val="3BB72CCA"/>
    <w:rsid w:val="3BC3571F"/>
    <w:rsid w:val="3BD17564"/>
    <w:rsid w:val="3BD73CB3"/>
    <w:rsid w:val="3C4D5823"/>
    <w:rsid w:val="3C69671D"/>
    <w:rsid w:val="3CAD56CF"/>
    <w:rsid w:val="3CBB0289"/>
    <w:rsid w:val="3CF605AA"/>
    <w:rsid w:val="3D094457"/>
    <w:rsid w:val="3D250CE2"/>
    <w:rsid w:val="3D484204"/>
    <w:rsid w:val="3D7078AC"/>
    <w:rsid w:val="3D71363C"/>
    <w:rsid w:val="3D727613"/>
    <w:rsid w:val="3D9511CB"/>
    <w:rsid w:val="3E72140D"/>
    <w:rsid w:val="3EB5254F"/>
    <w:rsid w:val="3ED90CAE"/>
    <w:rsid w:val="3EE0177F"/>
    <w:rsid w:val="3F224F06"/>
    <w:rsid w:val="3F4B33AE"/>
    <w:rsid w:val="3FAD4FF6"/>
    <w:rsid w:val="3FB52231"/>
    <w:rsid w:val="3FD41E37"/>
    <w:rsid w:val="3FDD3869"/>
    <w:rsid w:val="40121811"/>
    <w:rsid w:val="40155B93"/>
    <w:rsid w:val="40426BA0"/>
    <w:rsid w:val="406900A2"/>
    <w:rsid w:val="406D6C92"/>
    <w:rsid w:val="408A5041"/>
    <w:rsid w:val="409249E9"/>
    <w:rsid w:val="409C677A"/>
    <w:rsid w:val="40A97878"/>
    <w:rsid w:val="40AB240B"/>
    <w:rsid w:val="40B25F21"/>
    <w:rsid w:val="40B44A23"/>
    <w:rsid w:val="40BA0FF9"/>
    <w:rsid w:val="40C84967"/>
    <w:rsid w:val="410A05FD"/>
    <w:rsid w:val="411C18BC"/>
    <w:rsid w:val="4153209A"/>
    <w:rsid w:val="426118E8"/>
    <w:rsid w:val="42812E3F"/>
    <w:rsid w:val="4313228F"/>
    <w:rsid w:val="434765E9"/>
    <w:rsid w:val="434E581B"/>
    <w:rsid w:val="43B545FE"/>
    <w:rsid w:val="44406D3F"/>
    <w:rsid w:val="444B4127"/>
    <w:rsid w:val="449C084E"/>
    <w:rsid w:val="449F1748"/>
    <w:rsid w:val="44CD4BF0"/>
    <w:rsid w:val="44D36585"/>
    <w:rsid w:val="45600D93"/>
    <w:rsid w:val="457231F2"/>
    <w:rsid w:val="45740EAB"/>
    <w:rsid w:val="45951E4E"/>
    <w:rsid w:val="45CC1270"/>
    <w:rsid w:val="45CD4AB3"/>
    <w:rsid w:val="460115EE"/>
    <w:rsid w:val="4627667A"/>
    <w:rsid w:val="464B5E7B"/>
    <w:rsid w:val="46D11DD5"/>
    <w:rsid w:val="46E83710"/>
    <w:rsid w:val="46F3169F"/>
    <w:rsid w:val="473914CA"/>
    <w:rsid w:val="474B7CFB"/>
    <w:rsid w:val="476D62D8"/>
    <w:rsid w:val="47B20AA4"/>
    <w:rsid w:val="47C90086"/>
    <w:rsid w:val="47E673D4"/>
    <w:rsid w:val="482A225E"/>
    <w:rsid w:val="48606FAE"/>
    <w:rsid w:val="48FF6459"/>
    <w:rsid w:val="491262AF"/>
    <w:rsid w:val="491C446A"/>
    <w:rsid w:val="495C47B8"/>
    <w:rsid w:val="497E0AE6"/>
    <w:rsid w:val="497E7ED3"/>
    <w:rsid w:val="49A61E7D"/>
    <w:rsid w:val="4A334A71"/>
    <w:rsid w:val="4A366DE1"/>
    <w:rsid w:val="4A403619"/>
    <w:rsid w:val="4A42183E"/>
    <w:rsid w:val="4A71348A"/>
    <w:rsid w:val="4AAB4CAC"/>
    <w:rsid w:val="4AB415BF"/>
    <w:rsid w:val="4AB71818"/>
    <w:rsid w:val="4AEB5874"/>
    <w:rsid w:val="4B0F1CE6"/>
    <w:rsid w:val="4B2F0843"/>
    <w:rsid w:val="4B4D74F7"/>
    <w:rsid w:val="4B9706F2"/>
    <w:rsid w:val="4BCF587B"/>
    <w:rsid w:val="4C763D76"/>
    <w:rsid w:val="4C853F6C"/>
    <w:rsid w:val="4C865E2D"/>
    <w:rsid w:val="4C8A3102"/>
    <w:rsid w:val="4CAE7646"/>
    <w:rsid w:val="4CBB6D75"/>
    <w:rsid w:val="4CE2553E"/>
    <w:rsid w:val="4CEF72F7"/>
    <w:rsid w:val="4CF569EE"/>
    <w:rsid w:val="4D31352D"/>
    <w:rsid w:val="4D5E340A"/>
    <w:rsid w:val="4D8B70AB"/>
    <w:rsid w:val="4DA07109"/>
    <w:rsid w:val="4DA41001"/>
    <w:rsid w:val="4E011F61"/>
    <w:rsid w:val="4E065A86"/>
    <w:rsid w:val="4E1A4875"/>
    <w:rsid w:val="4E1D03AA"/>
    <w:rsid w:val="4E220494"/>
    <w:rsid w:val="4E3B578D"/>
    <w:rsid w:val="4E733120"/>
    <w:rsid w:val="4EA0214D"/>
    <w:rsid w:val="4ECE2238"/>
    <w:rsid w:val="4EFC26F6"/>
    <w:rsid w:val="4F1F09E0"/>
    <w:rsid w:val="4F662B89"/>
    <w:rsid w:val="4F67646D"/>
    <w:rsid w:val="4FC20FB1"/>
    <w:rsid w:val="4FDB3217"/>
    <w:rsid w:val="500358A9"/>
    <w:rsid w:val="50115652"/>
    <w:rsid w:val="503F1614"/>
    <w:rsid w:val="50451AF5"/>
    <w:rsid w:val="506632D0"/>
    <w:rsid w:val="50667DEF"/>
    <w:rsid w:val="50B36816"/>
    <w:rsid w:val="50F41D80"/>
    <w:rsid w:val="510F49CA"/>
    <w:rsid w:val="51531F68"/>
    <w:rsid w:val="51587BE4"/>
    <w:rsid w:val="516E5BC9"/>
    <w:rsid w:val="519123DE"/>
    <w:rsid w:val="51A84D8B"/>
    <w:rsid w:val="51EE3BF3"/>
    <w:rsid w:val="51F314E3"/>
    <w:rsid w:val="5204251F"/>
    <w:rsid w:val="52102CEE"/>
    <w:rsid w:val="525357F6"/>
    <w:rsid w:val="52611E60"/>
    <w:rsid w:val="529D6C9A"/>
    <w:rsid w:val="52B1048D"/>
    <w:rsid w:val="52EB095F"/>
    <w:rsid w:val="53782197"/>
    <w:rsid w:val="53A416DC"/>
    <w:rsid w:val="53CD236D"/>
    <w:rsid w:val="5436153F"/>
    <w:rsid w:val="543E68F0"/>
    <w:rsid w:val="54551C8B"/>
    <w:rsid w:val="545B2571"/>
    <w:rsid w:val="548F3798"/>
    <w:rsid w:val="54913E91"/>
    <w:rsid w:val="54D5427A"/>
    <w:rsid w:val="550E4977"/>
    <w:rsid w:val="551F4125"/>
    <w:rsid w:val="55277C3F"/>
    <w:rsid w:val="552C0894"/>
    <w:rsid w:val="5550178F"/>
    <w:rsid w:val="558D0622"/>
    <w:rsid w:val="55CE3FBE"/>
    <w:rsid w:val="55D01EAE"/>
    <w:rsid w:val="56001B8A"/>
    <w:rsid w:val="56404540"/>
    <w:rsid w:val="56C731B6"/>
    <w:rsid w:val="577C536B"/>
    <w:rsid w:val="57D40BB1"/>
    <w:rsid w:val="57E63B98"/>
    <w:rsid w:val="583D2EB1"/>
    <w:rsid w:val="584239A8"/>
    <w:rsid w:val="585936B0"/>
    <w:rsid w:val="58692503"/>
    <w:rsid w:val="589F4E75"/>
    <w:rsid w:val="58A7773E"/>
    <w:rsid w:val="590533EF"/>
    <w:rsid w:val="591F49D5"/>
    <w:rsid w:val="592109AE"/>
    <w:rsid w:val="59265417"/>
    <w:rsid w:val="5941524E"/>
    <w:rsid w:val="59DF7F63"/>
    <w:rsid w:val="5A2C756C"/>
    <w:rsid w:val="5A41734E"/>
    <w:rsid w:val="5A73548B"/>
    <w:rsid w:val="5A813F4A"/>
    <w:rsid w:val="5ABB24C3"/>
    <w:rsid w:val="5AD92D6B"/>
    <w:rsid w:val="5B450F32"/>
    <w:rsid w:val="5B4929EF"/>
    <w:rsid w:val="5B700FEF"/>
    <w:rsid w:val="5B7B355B"/>
    <w:rsid w:val="5B7D7171"/>
    <w:rsid w:val="5B9966F1"/>
    <w:rsid w:val="5C1C157B"/>
    <w:rsid w:val="5C1D3777"/>
    <w:rsid w:val="5C491B55"/>
    <w:rsid w:val="5C4D03B0"/>
    <w:rsid w:val="5C801AC7"/>
    <w:rsid w:val="5C821034"/>
    <w:rsid w:val="5C8F538E"/>
    <w:rsid w:val="5CC424CB"/>
    <w:rsid w:val="5CD52103"/>
    <w:rsid w:val="5CDB5033"/>
    <w:rsid w:val="5D170E92"/>
    <w:rsid w:val="5D230B0D"/>
    <w:rsid w:val="5D2E4E5F"/>
    <w:rsid w:val="5D68148E"/>
    <w:rsid w:val="5D827C1F"/>
    <w:rsid w:val="5DE23444"/>
    <w:rsid w:val="5E2E1508"/>
    <w:rsid w:val="5E364BCC"/>
    <w:rsid w:val="5E516D0C"/>
    <w:rsid w:val="5E734D30"/>
    <w:rsid w:val="5EA7040D"/>
    <w:rsid w:val="5EB6084D"/>
    <w:rsid w:val="5EEB1427"/>
    <w:rsid w:val="5F160F36"/>
    <w:rsid w:val="5F2A525F"/>
    <w:rsid w:val="5F9B1FE2"/>
    <w:rsid w:val="5F9D36B7"/>
    <w:rsid w:val="5FCA6F0A"/>
    <w:rsid w:val="5FFF9051"/>
    <w:rsid w:val="60120EAB"/>
    <w:rsid w:val="60937198"/>
    <w:rsid w:val="6099115D"/>
    <w:rsid w:val="60E01D2E"/>
    <w:rsid w:val="614C530B"/>
    <w:rsid w:val="618C4972"/>
    <w:rsid w:val="61BC75A3"/>
    <w:rsid w:val="61D623A4"/>
    <w:rsid w:val="61F10C39"/>
    <w:rsid w:val="61FC26B1"/>
    <w:rsid w:val="6270731F"/>
    <w:rsid w:val="6274720D"/>
    <w:rsid w:val="628E7C94"/>
    <w:rsid w:val="62E25297"/>
    <w:rsid w:val="63055D49"/>
    <w:rsid w:val="631A4000"/>
    <w:rsid w:val="6341414A"/>
    <w:rsid w:val="63524CE0"/>
    <w:rsid w:val="636A07FA"/>
    <w:rsid w:val="637D3614"/>
    <w:rsid w:val="63BB54FD"/>
    <w:rsid w:val="63C07288"/>
    <w:rsid w:val="63D56FFD"/>
    <w:rsid w:val="63D73ECE"/>
    <w:rsid w:val="63F96AEE"/>
    <w:rsid w:val="640B2AAA"/>
    <w:rsid w:val="6490357E"/>
    <w:rsid w:val="6496100B"/>
    <w:rsid w:val="64AC3A32"/>
    <w:rsid w:val="64FA171D"/>
    <w:rsid w:val="65651291"/>
    <w:rsid w:val="65684FC2"/>
    <w:rsid w:val="65B66159"/>
    <w:rsid w:val="663D46B3"/>
    <w:rsid w:val="66DC60E4"/>
    <w:rsid w:val="67031EA9"/>
    <w:rsid w:val="674C3866"/>
    <w:rsid w:val="67662D44"/>
    <w:rsid w:val="676F4554"/>
    <w:rsid w:val="679047F7"/>
    <w:rsid w:val="67CD771F"/>
    <w:rsid w:val="67F83745"/>
    <w:rsid w:val="68463219"/>
    <w:rsid w:val="68B22580"/>
    <w:rsid w:val="68D65507"/>
    <w:rsid w:val="691A4ED9"/>
    <w:rsid w:val="694138AE"/>
    <w:rsid w:val="69F815C9"/>
    <w:rsid w:val="6A0412DA"/>
    <w:rsid w:val="6A21590A"/>
    <w:rsid w:val="6ABA7B05"/>
    <w:rsid w:val="6AE262F0"/>
    <w:rsid w:val="6AF03085"/>
    <w:rsid w:val="6AF27E24"/>
    <w:rsid w:val="6B172A7D"/>
    <w:rsid w:val="6B1E19FB"/>
    <w:rsid w:val="6B203F91"/>
    <w:rsid w:val="6B303E01"/>
    <w:rsid w:val="6B3D56CF"/>
    <w:rsid w:val="6BA41B6B"/>
    <w:rsid w:val="6BBE163B"/>
    <w:rsid w:val="6C0922DA"/>
    <w:rsid w:val="6C0A7AC2"/>
    <w:rsid w:val="6C1563F9"/>
    <w:rsid w:val="6C1D2468"/>
    <w:rsid w:val="6C4A05C8"/>
    <w:rsid w:val="6CA03205"/>
    <w:rsid w:val="6CDA13CE"/>
    <w:rsid w:val="6CEF7EE6"/>
    <w:rsid w:val="6CFC68B8"/>
    <w:rsid w:val="6D2A0B16"/>
    <w:rsid w:val="6DB85225"/>
    <w:rsid w:val="6DF846E6"/>
    <w:rsid w:val="6E106B6E"/>
    <w:rsid w:val="6E3D0C39"/>
    <w:rsid w:val="6E3D6F08"/>
    <w:rsid w:val="6E6F0A97"/>
    <w:rsid w:val="6E8E51F4"/>
    <w:rsid w:val="6EAA7479"/>
    <w:rsid w:val="6EB06A0F"/>
    <w:rsid w:val="6F49216E"/>
    <w:rsid w:val="6F785565"/>
    <w:rsid w:val="6F847243"/>
    <w:rsid w:val="6FB83AC7"/>
    <w:rsid w:val="6FDC3991"/>
    <w:rsid w:val="701915B6"/>
    <w:rsid w:val="702C7E85"/>
    <w:rsid w:val="70600183"/>
    <w:rsid w:val="70815438"/>
    <w:rsid w:val="70B57EDE"/>
    <w:rsid w:val="70BD1C6E"/>
    <w:rsid w:val="717F1AEE"/>
    <w:rsid w:val="7188141A"/>
    <w:rsid w:val="71AC20D3"/>
    <w:rsid w:val="71F32ACE"/>
    <w:rsid w:val="720401C9"/>
    <w:rsid w:val="72166DF0"/>
    <w:rsid w:val="72315E03"/>
    <w:rsid w:val="723E1039"/>
    <w:rsid w:val="72734D90"/>
    <w:rsid w:val="72762A19"/>
    <w:rsid w:val="728C195F"/>
    <w:rsid w:val="72AA127E"/>
    <w:rsid w:val="72AE401E"/>
    <w:rsid w:val="72C005CE"/>
    <w:rsid w:val="72C75A52"/>
    <w:rsid w:val="72CE0570"/>
    <w:rsid w:val="72E929E9"/>
    <w:rsid w:val="73254F91"/>
    <w:rsid w:val="732A4EB9"/>
    <w:rsid w:val="733421CD"/>
    <w:rsid w:val="734B393D"/>
    <w:rsid w:val="7359203A"/>
    <w:rsid w:val="745A192B"/>
    <w:rsid w:val="745A2B9D"/>
    <w:rsid w:val="745B0F2A"/>
    <w:rsid w:val="74904886"/>
    <w:rsid w:val="74A16D7F"/>
    <w:rsid w:val="74A6097E"/>
    <w:rsid w:val="74D63775"/>
    <w:rsid w:val="74D73200"/>
    <w:rsid w:val="74F1742E"/>
    <w:rsid w:val="74F67B47"/>
    <w:rsid w:val="75046811"/>
    <w:rsid w:val="75580B55"/>
    <w:rsid w:val="75616142"/>
    <w:rsid w:val="758B1165"/>
    <w:rsid w:val="75954062"/>
    <w:rsid w:val="759768E7"/>
    <w:rsid w:val="759A1CBA"/>
    <w:rsid w:val="75F50D98"/>
    <w:rsid w:val="760074AF"/>
    <w:rsid w:val="760E6B19"/>
    <w:rsid w:val="7611103B"/>
    <w:rsid w:val="761165F4"/>
    <w:rsid w:val="762706EA"/>
    <w:rsid w:val="76634783"/>
    <w:rsid w:val="76634F9A"/>
    <w:rsid w:val="76A30837"/>
    <w:rsid w:val="76B21196"/>
    <w:rsid w:val="76B62EB4"/>
    <w:rsid w:val="76BD4FAE"/>
    <w:rsid w:val="77562AE8"/>
    <w:rsid w:val="77F42258"/>
    <w:rsid w:val="77F72EA7"/>
    <w:rsid w:val="781E5BA0"/>
    <w:rsid w:val="78374DA6"/>
    <w:rsid w:val="78554072"/>
    <w:rsid w:val="78642082"/>
    <w:rsid w:val="786C1C9D"/>
    <w:rsid w:val="789A29DB"/>
    <w:rsid w:val="791C77D3"/>
    <w:rsid w:val="794512EE"/>
    <w:rsid w:val="79477C5C"/>
    <w:rsid w:val="79920485"/>
    <w:rsid w:val="79BE64B9"/>
    <w:rsid w:val="79CE76F0"/>
    <w:rsid w:val="7A0739DE"/>
    <w:rsid w:val="7A1C4F4E"/>
    <w:rsid w:val="7A3B6B4F"/>
    <w:rsid w:val="7A60358B"/>
    <w:rsid w:val="7A8750CE"/>
    <w:rsid w:val="7AB41062"/>
    <w:rsid w:val="7B2533FA"/>
    <w:rsid w:val="7B3C6629"/>
    <w:rsid w:val="7BD66984"/>
    <w:rsid w:val="7BEA6816"/>
    <w:rsid w:val="7C2465E0"/>
    <w:rsid w:val="7C533EC2"/>
    <w:rsid w:val="7C6523E9"/>
    <w:rsid w:val="7C8401D6"/>
    <w:rsid w:val="7CC42717"/>
    <w:rsid w:val="7CDC686E"/>
    <w:rsid w:val="7D302726"/>
    <w:rsid w:val="7D5F5095"/>
    <w:rsid w:val="7DA136A4"/>
    <w:rsid w:val="7DE046E1"/>
    <w:rsid w:val="7DFF5E23"/>
    <w:rsid w:val="7E1B29BE"/>
    <w:rsid w:val="7E530EC4"/>
    <w:rsid w:val="7E786626"/>
    <w:rsid w:val="7EA23DD3"/>
    <w:rsid w:val="7EC05866"/>
    <w:rsid w:val="7F1250F1"/>
    <w:rsid w:val="7F1E1D3C"/>
    <w:rsid w:val="7F8A0107"/>
    <w:rsid w:val="7F8A3BF9"/>
    <w:rsid w:val="7FA24979"/>
    <w:rsid w:val="7FDE239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9"/>
    <w:pPr>
      <w:keepNext/>
      <w:keepLines/>
      <w:spacing w:before="260" w:after="260" w:line="416" w:lineRule="auto"/>
      <w:outlineLvl w:val="2"/>
    </w:pPr>
    <w:rPr>
      <w:b/>
      <w:bCs/>
      <w:sz w:val="32"/>
      <w:szCs w:val="32"/>
    </w:rPr>
  </w:style>
  <w:style w:type="character" w:default="1" w:styleId="21">
    <w:name w:val="Default Paragraph Font"/>
    <w:semiHidden/>
    <w:qFormat/>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 w:eastAsia="Times New Roman"/>
      <w:sz w:val="18"/>
      <w:szCs w:val="18"/>
    </w:rPr>
  </w:style>
  <w:style w:type="paragraph" w:styleId="6">
    <w:name w:val="Document Map"/>
    <w:basedOn w:val="1"/>
    <w:link w:val="27"/>
    <w:semiHidden/>
    <w:qFormat/>
    <w:uiPriority w:val="99"/>
    <w:pPr>
      <w:shd w:val="clear" w:color="auto" w:fill="000080"/>
    </w:pPr>
  </w:style>
  <w:style w:type="paragraph" w:styleId="7">
    <w:name w:val="Body Text"/>
    <w:basedOn w:val="1"/>
    <w:link w:val="34"/>
    <w:qFormat/>
    <w:uiPriority w:val="99"/>
    <w:pPr>
      <w:spacing w:beforeLines="30"/>
    </w:pPr>
    <w:rPr>
      <w:rFonts w:ascii="仿宋_GB2312" w:eastAsia="仿宋_GB2312"/>
      <w:kern w:val="0"/>
      <w:sz w:val="24"/>
      <w:szCs w:val="20"/>
    </w:rPr>
  </w:style>
  <w:style w:type="paragraph" w:styleId="8">
    <w:name w:val="toc 5"/>
    <w:basedOn w:val="1"/>
    <w:next w:val="1"/>
    <w:qFormat/>
    <w:uiPriority w:val="99"/>
    <w:pPr>
      <w:ind w:left="840"/>
      <w:jc w:val="left"/>
    </w:pPr>
    <w:rPr>
      <w:rFonts w:ascii="??" w:eastAsia="Times New Roman"/>
      <w:sz w:val="18"/>
      <w:szCs w:val="18"/>
    </w:rPr>
  </w:style>
  <w:style w:type="paragraph" w:styleId="9">
    <w:name w:val="toc 3"/>
    <w:basedOn w:val="1"/>
    <w:next w:val="1"/>
    <w:qFormat/>
    <w:uiPriority w:val="99"/>
    <w:pPr>
      <w:ind w:left="420"/>
      <w:jc w:val="left"/>
    </w:pPr>
    <w:rPr>
      <w:rFonts w:ascii="??" w:eastAsia="Times New Roman"/>
      <w:i/>
      <w:iCs/>
      <w:sz w:val="20"/>
      <w:szCs w:val="20"/>
    </w:rPr>
  </w:style>
  <w:style w:type="paragraph" w:styleId="10">
    <w:name w:val="toc 8"/>
    <w:basedOn w:val="1"/>
    <w:next w:val="1"/>
    <w:qFormat/>
    <w:uiPriority w:val="99"/>
    <w:pPr>
      <w:ind w:left="1470"/>
      <w:jc w:val="left"/>
    </w:pPr>
    <w:rPr>
      <w:rFonts w:ascii="??" w:eastAsia="Times New Roman"/>
      <w:sz w:val="18"/>
      <w:szCs w:val="18"/>
    </w:rPr>
  </w:style>
  <w:style w:type="paragraph" w:styleId="11">
    <w:name w:val="Balloon Text"/>
    <w:basedOn w:val="1"/>
    <w:link w:val="29"/>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99"/>
    <w:pPr>
      <w:spacing w:before="120" w:after="120"/>
      <w:jc w:val="left"/>
    </w:pPr>
    <w:rPr>
      <w:rFonts w:ascii="??" w:eastAsia="Times New Roman"/>
      <w:b/>
      <w:bCs/>
      <w:caps/>
      <w:sz w:val="20"/>
      <w:szCs w:val="20"/>
    </w:rPr>
  </w:style>
  <w:style w:type="paragraph" w:styleId="15">
    <w:name w:val="toc 4"/>
    <w:basedOn w:val="1"/>
    <w:next w:val="1"/>
    <w:qFormat/>
    <w:uiPriority w:val="99"/>
    <w:pPr>
      <w:ind w:left="630"/>
      <w:jc w:val="left"/>
    </w:pPr>
    <w:rPr>
      <w:rFonts w:ascii="??" w:eastAsia="Times New Roman"/>
      <w:sz w:val="18"/>
      <w:szCs w:val="18"/>
    </w:rPr>
  </w:style>
  <w:style w:type="paragraph" w:styleId="16">
    <w:name w:val="toc 6"/>
    <w:basedOn w:val="1"/>
    <w:next w:val="1"/>
    <w:qFormat/>
    <w:uiPriority w:val="99"/>
    <w:pPr>
      <w:ind w:left="1050"/>
      <w:jc w:val="left"/>
    </w:pPr>
    <w:rPr>
      <w:rFonts w:ascii="??" w:eastAsia="Times New Roman"/>
      <w:sz w:val="18"/>
      <w:szCs w:val="18"/>
    </w:rPr>
  </w:style>
  <w:style w:type="paragraph" w:styleId="17">
    <w:name w:val="toc 2"/>
    <w:basedOn w:val="1"/>
    <w:next w:val="1"/>
    <w:qFormat/>
    <w:uiPriority w:val="99"/>
    <w:pPr>
      <w:ind w:left="210"/>
      <w:jc w:val="left"/>
    </w:pPr>
    <w:rPr>
      <w:rFonts w:ascii="??" w:eastAsia="Times New Roman"/>
      <w:smallCaps/>
      <w:sz w:val="20"/>
      <w:szCs w:val="20"/>
    </w:rPr>
  </w:style>
  <w:style w:type="paragraph" w:styleId="18">
    <w:name w:val="toc 9"/>
    <w:basedOn w:val="1"/>
    <w:next w:val="1"/>
    <w:qFormat/>
    <w:uiPriority w:val="99"/>
    <w:pPr>
      <w:ind w:left="1680"/>
      <w:jc w:val="left"/>
    </w:pPr>
    <w:rPr>
      <w:rFonts w:ascii="??" w:eastAsia="Times New Roman"/>
      <w:sz w:val="18"/>
      <w:szCs w:val="18"/>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22">
    <w:name w:val="Strong"/>
    <w:basedOn w:val="21"/>
    <w:qFormat/>
    <w:uiPriority w:val="99"/>
    <w:rPr>
      <w:rFonts w:cs="Times New Roman"/>
      <w:b/>
    </w:rPr>
  </w:style>
  <w:style w:type="character" w:styleId="23">
    <w:name w:val="Hyperlink"/>
    <w:basedOn w:val="21"/>
    <w:qFormat/>
    <w:uiPriority w:val="99"/>
    <w:rPr>
      <w:rFonts w:cs="Times New Roman"/>
      <w:color w:val="0000FF"/>
      <w:u w:val="single"/>
    </w:rPr>
  </w:style>
  <w:style w:type="character" w:customStyle="1" w:styleId="24">
    <w:name w:val="Heading 1 Char"/>
    <w:basedOn w:val="21"/>
    <w:link w:val="2"/>
    <w:qFormat/>
    <w:locked/>
    <w:uiPriority w:val="99"/>
    <w:rPr>
      <w:rFonts w:ascii="Times New Roman" w:hAnsi="Times New Roman" w:cs="Times New Roman"/>
      <w:b/>
      <w:bCs/>
      <w:kern w:val="44"/>
      <w:sz w:val="44"/>
      <w:szCs w:val="44"/>
    </w:rPr>
  </w:style>
  <w:style w:type="character" w:customStyle="1" w:styleId="25">
    <w:name w:val="Heading 2 Char"/>
    <w:basedOn w:val="21"/>
    <w:link w:val="3"/>
    <w:qFormat/>
    <w:locked/>
    <w:uiPriority w:val="99"/>
    <w:rPr>
      <w:rFonts w:ascii="Cambria" w:hAnsi="Cambria" w:eastAsia="宋体" w:cs="Times New Roman"/>
      <w:b/>
      <w:bCs/>
      <w:kern w:val="2"/>
      <w:sz w:val="32"/>
      <w:szCs w:val="32"/>
    </w:rPr>
  </w:style>
  <w:style w:type="character" w:customStyle="1" w:styleId="26">
    <w:name w:val="Heading 3 Char"/>
    <w:basedOn w:val="21"/>
    <w:link w:val="4"/>
    <w:qFormat/>
    <w:locked/>
    <w:uiPriority w:val="99"/>
    <w:rPr>
      <w:rFonts w:ascii="Times New Roman" w:hAnsi="Times New Roman" w:cs="Times New Roman"/>
      <w:b/>
      <w:bCs/>
      <w:kern w:val="2"/>
      <w:sz w:val="32"/>
      <w:szCs w:val="32"/>
    </w:rPr>
  </w:style>
  <w:style w:type="character" w:customStyle="1" w:styleId="27">
    <w:name w:val="Document Map Char"/>
    <w:basedOn w:val="21"/>
    <w:link w:val="6"/>
    <w:semiHidden/>
    <w:qFormat/>
    <w:locked/>
    <w:uiPriority w:val="99"/>
    <w:rPr>
      <w:rFonts w:ascii="Times New Roman" w:hAnsi="Times New Roman" w:cs="Times New Roman"/>
      <w:sz w:val="2"/>
    </w:rPr>
  </w:style>
  <w:style w:type="character" w:customStyle="1" w:styleId="28">
    <w:name w:val="Body Text Char"/>
    <w:basedOn w:val="21"/>
    <w:link w:val="7"/>
    <w:semiHidden/>
    <w:qFormat/>
    <w:locked/>
    <w:uiPriority w:val="99"/>
    <w:rPr>
      <w:rFonts w:ascii="Times New Roman" w:hAnsi="Times New Roman" w:cs="Times New Roman"/>
      <w:sz w:val="24"/>
      <w:szCs w:val="24"/>
    </w:rPr>
  </w:style>
  <w:style w:type="character" w:customStyle="1" w:styleId="29">
    <w:name w:val="Balloon Text Char"/>
    <w:basedOn w:val="21"/>
    <w:link w:val="11"/>
    <w:semiHidden/>
    <w:qFormat/>
    <w:locked/>
    <w:uiPriority w:val="99"/>
    <w:rPr>
      <w:rFonts w:ascii="Times New Roman" w:hAnsi="Times New Roman" w:cs="Times New Roman"/>
      <w:kern w:val="2"/>
      <w:sz w:val="18"/>
      <w:szCs w:val="18"/>
    </w:rPr>
  </w:style>
  <w:style w:type="character" w:customStyle="1" w:styleId="30">
    <w:name w:val="Footer Char"/>
    <w:basedOn w:val="21"/>
    <w:link w:val="12"/>
    <w:semiHidden/>
    <w:qFormat/>
    <w:locked/>
    <w:uiPriority w:val="99"/>
    <w:rPr>
      <w:rFonts w:ascii="Times New Roman" w:hAnsi="Times New Roman" w:cs="Times New Roman"/>
      <w:sz w:val="18"/>
      <w:szCs w:val="18"/>
    </w:rPr>
  </w:style>
  <w:style w:type="character" w:customStyle="1" w:styleId="31">
    <w:name w:val="Header Char"/>
    <w:basedOn w:val="21"/>
    <w:link w:val="13"/>
    <w:semiHidden/>
    <w:qFormat/>
    <w:locked/>
    <w:uiPriority w:val="99"/>
    <w:rPr>
      <w:rFonts w:ascii="Times New Roman" w:hAnsi="Times New Roman" w:cs="Times New Roman"/>
      <w:sz w:val="18"/>
      <w:szCs w:val="18"/>
    </w:rPr>
  </w:style>
  <w:style w:type="character" w:customStyle="1" w:styleId="32">
    <w:name w:val="Header Char1"/>
    <w:link w:val="13"/>
    <w:semiHidden/>
    <w:qFormat/>
    <w:locked/>
    <w:uiPriority w:val="99"/>
    <w:rPr>
      <w:sz w:val="18"/>
    </w:rPr>
  </w:style>
  <w:style w:type="character" w:customStyle="1" w:styleId="33">
    <w:name w:val="Footer Char1"/>
    <w:link w:val="12"/>
    <w:qFormat/>
    <w:locked/>
    <w:uiPriority w:val="99"/>
    <w:rPr>
      <w:sz w:val="18"/>
    </w:rPr>
  </w:style>
  <w:style w:type="character" w:customStyle="1" w:styleId="34">
    <w:name w:val="Body Text Char1"/>
    <w:link w:val="7"/>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6">
    <w:name w:val="列表段落1"/>
    <w:basedOn w:val="1"/>
    <w:qFormat/>
    <w:uiPriority w:val="99"/>
    <w:pPr>
      <w:ind w:firstLine="420" w:firstLineChars="200"/>
    </w:pPr>
  </w:style>
  <w:style w:type="paragraph" w:customStyle="1" w:styleId="37">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2"/>
    <w:basedOn w:val="2"/>
    <w:next w:val="1"/>
    <w:qFormat/>
    <w:uiPriority w:val="99"/>
    <w:pPr>
      <w:widowControl/>
      <w:spacing w:before="240" w:after="0" w:line="259" w:lineRule="auto"/>
      <w:jc w:val="left"/>
      <w:outlineLvl w:val="9"/>
    </w:pPr>
    <w:rPr>
      <w:rFonts w:ascii="?? Light" w:hAnsi="?? Light"/>
      <w:b w:val="0"/>
      <w:bCs w:val="0"/>
      <w:color w:val="2F5496"/>
      <w:kern w:val="0"/>
      <w:sz w:val="32"/>
      <w:szCs w:val="32"/>
    </w:rPr>
  </w:style>
  <w:style w:type="character" w:customStyle="1" w:styleId="40">
    <w:name w:val="Heading 2 Char1"/>
    <w:basedOn w:val="21"/>
    <w:link w:val="3"/>
    <w:qFormat/>
    <w:locked/>
    <w:uiPriority w:val="9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22</Pages>
  <Words>1339</Words>
  <Characters>7637</Characters>
  <Lines>0</Lines>
  <Paragraphs>0</Paragraphs>
  <TotalTime>1</TotalTime>
  <ScaleCrop>false</ScaleCrop>
  <LinksUpToDate>false</LinksUpToDate>
  <CharactersWithSpaces>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2021-09-26T11:17:00Z</cp:lastPrinted>
  <dcterms:modified xsi:type="dcterms:W3CDTF">2023-07-13T19:04:03Z</dcterms:modified>
  <dc:title>阿坝州部门决算说明</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7B1484A07FB14AB4B30747BA441FF91B</vt:lpwstr>
  </property>
</Properties>
</file>