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600" w:lineRule="exact"/>
        <w:jc w:val="center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eastAsia="黑体"/>
          <w:sz w:val="72"/>
          <w:szCs w:val="72"/>
        </w:rPr>
      </w:pPr>
      <w:bookmarkStart w:id="1" w:name="_Toc15396475"/>
      <w:bookmarkStart w:id="2" w:name="_Toc15377425"/>
      <w:bookmarkStart w:id="3" w:name="_Toc15378441"/>
      <w:bookmarkStart w:id="4" w:name="_Toc15396597"/>
      <w:bookmarkStart w:id="5" w:name="_Toc15377193"/>
      <w:r>
        <w:rPr>
          <w:rFonts w:hint="eastAsia" w:ascii="黑体" w:eastAsia="黑体"/>
          <w:sz w:val="72"/>
          <w:szCs w:val="72"/>
        </w:rPr>
        <w:t>2021年度</w:t>
      </w:r>
      <w:bookmarkEnd w:id="1"/>
      <w:bookmarkEnd w:id="2"/>
      <w:bookmarkEnd w:id="3"/>
      <w:bookmarkEnd w:id="4"/>
      <w:bookmarkEnd w:id="5"/>
    </w:p>
    <w:p>
      <w:pPr>
        <w:jc w:val="center"/>
        <w:rPr>
          <w:rFonts w:hint="eastAsia" w:ascii="黑体" w:eastAsia="黑体"/>
          <w:sz w:val="72"/>
          <w:szCs w:val="72"/>
        </w:rPr>
      </w:pPr>
      <w:bookmarkStart w:id="6" w:name="_Toc15377194"/>
      <w:bookmarkStart w:id="7" w:name="_Toc15377426"/>
      <w:bookmarkStart w:id="8" w:name="_Toc15396598"/>
      <w:bookmarkStart w:id="9" w:name="_Toc15396476"/>
      <w:bookmarkStart w:id="10" w:name="_Toc15378442"/>
      <w:r>
        <w:rPr>
          <w:rFonts w:hint="eastAsia" w:ascii="黑体" w:eastAsia="黑体"/>
          <w:sz w:val="72"/>
          <w:szCs w:val="72"/>
        </w:rPr>
        <w:t>四川省茂县</w:t>
      </w:r>
      <w:bookmarkEnd w:id="0"/>
      <w:bookmarkStart w:id="11" w:name="_Toc15306268"/>
      <w:r>
        <w:rPr>
          <w:rFonts w:hint="eastAsia" w:ascii="黑体" w:eastAsia="黑体"/>
          <w:sz w:val="72"/>
          <w:szCs w:val="72"/>
          <w:lang w:eastAsia="zh-CN"/>
        </w:rPr>
        <w:t>政协委员信息服务中心</w:t>
      </w:r>
      <w:r>
        <w:rPr>
          <w:rFonts w:hint="eastAsia" w:ascii="黑体" w:eastAsia="黑体"/>
          <w:sz w:val="72"/>
          <w:szCs w:val="72"/>
        </w:rPr>
        <w:t>部门决算</w:t>
      </w:r>
      <w:bookmarkEnd w:id="6"/>
      <w:bookmarkEnd w:id="7"/>
      <w:bookmarkEnd w:id="8"/>
      <w:bookmarkEnd w:id="9"/>
      <w:bookmarkEnd w:id="10"/>
      <w:bookmarkEnd w:id="11"/>
    </w:p>
    <w:p>
      <w:pPr>
        <w:widowControl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保密审查情况：</w:t>
      </w: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部门主要负责人审签情况：</w:t>
      </w:r>
    </w:p>
    <w:p>
      <w:pPr>
        <w:widowControl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widowControl/>
        <w:jc w:val="center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目录</w:t>
      </w:r>
    </w:p>
    <w:p>
      <w:pPr>
        <w:pStyle w:val="14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公开时间：202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日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TOC \o \u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第一部分 部门概况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5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一、基本职能及主要工作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5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（一）主要职能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5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（二）202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年重点工作完成情况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5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二、机构设置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5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第二部分 202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年度部门决算情况说明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一、收入支出决算总体情况说明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二、收入决算情况说明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三、支出决算情况说明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四、财政拨款收入支出决算总体情况说明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7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五、一般公共预算财政拨款支出决算情况说明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7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（一）一般公共预算财政拨款支出决算总体情况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7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（二）一般公共预算财政拨款支出决算结构情况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7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（三）一般公共预算财政拨款支出决算具体情况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7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六、一般公共预算财政拨款基本支出决算情况说明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8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七、“三公”经费财政拨款支出决算情况说明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8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（一）“三公”经费财政拨款支出决算总体情况说明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8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（二）“三公”经费财政拨款支出决算具体情况说明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8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八、政府性基金预算支出决算情况说明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_Toc79163872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九、 国有资本经营预算支出决算情况说明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10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十、其他重要事项的情况说明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_Toc79163874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（一）机关运行经费支出情况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10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（二）政府采购支出情况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10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（三）国有资产占有使用情况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10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（四）预算绩效管理情况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11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第三部分 名词解释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_Toc79163879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第四部分 附件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_Toc79163880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_Toc79163880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茂县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eastAsia="zh-CN"/>
        </w:rPr>
        <w:t>政协委员信息服务中心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年部门整体支出绩效评价报告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instrText xml:space="preserve"> PAGEREF _Toc79163881 \h </w:instrTex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第五部分 附表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一、收入支出决算总表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二、收入决算表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三、支出决算表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四、财政拨款收入支出决算总表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五、财政拨款支出决算明细表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六、一般公共预算财政拨款支出决算表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七、一般公共预算财政拨款支出决算明细表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八、一般公共预算财政拨款基本支出决算表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九、一般公共预算财政拨款项目支出决算表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十、一般公共预算财政拨款“三公”经费支出决算表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十一、政府性基金预算财政拨款收入支出决算表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十二、政府性基金预算财政拨款“三公”经费支出决算表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十三、国有资本经营预算财政拨款支出决算表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>十四、国有资本经营预算财政拨款支出决算表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  <w:lang w:val="en-US" w:eastAsia="zh-CN"/>
        </w:rPr>
        <w:t>16</w:t>
      </w:r>
    </w:p>
    <w:p>
      <w:pPr>
        <w:pStyle w:val="14"/>
        <w:tabs>
          <w:tab w:val="right" w:leader="dot" w:pos="8296"/>
        </w:tabs>
        <w:spacing w:before="93" w:after="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aps w:val="0"/>
          <w:sz w:val="32"/>
          <w:szCs w:val="32"/>
        </w:rPr>
        <w:fldChar w:fldCharType="end"/>
      </w:r>
    </w:p>
    <w:p>
      <w:pPr>
        <w:widowControl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40" w:lineRule="exact"/>
        <w:jc w:val="left"/>
        <w:rPr>
          <w:rFonts w:hint="eastAsia" w:ascii="仿宋_GB2312" w:hAnsi="仿宋_GB2312" w:eastAsia="仿宋_GB2312" w:cs="仿宋_GB2312"/>
          <w:bCs/>
          <w:kern w:val="44"/>
          <w:sz w:val="32"/>
          <w:szCs w:val="32"/>
        </w:rPr>
      </w:pPr>
      <w:bookmarkStart w:id="12" w:name="_Toc15377196"/>
      <w:bookmarkStart w:id="13" w:name="_Toc15396599"/>
      <w:r>
        <w:rPr>
          <w:rFonts w:hint="eastAsia" w:ascii="仿宋_GB2312" w:hAnsi="仿宋_GB2312" w:eastAsia="仿宋_GB2312" w:cs="仿宋_GB2312"/>
          <w:b/>
          <w:sz w:val="32"/>
          <w:szCs w:val="32"/>
        </w:rPr>
        <w:br w:type="page"/>
      </w:r>
    </w:p>
    <w:p>
      <w:pPr>
        <w:pStyle w:val="3"/>
        <w:jc w:val="center"/>
        <w:rPr>
          <w:rStyle w:val="24"/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14" w:name="_Toc79163851"/>
      <w:bookmarkStart w:id="15" w:name="_Toc79163601"/>
      <w:r>
        <w:rPr>
          <w:rFonts w:hint="eastAsia" w:ascii="黑体" w:eastAsia="黑体"/>
          <w:b w:val="0"/>
        </w:rPr>
        <w:t>第一部分 部门概况</w:t>
      </w:r>
      <w:bookmarkEnd w:id="12"/>
      <w:bookmarkEnd w:id="13"/>
      <w:bookmarkEnd w:id="14"/>
      <w:bookmarkEnd w:id="15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 w:firstLine="640" w:firstLineChars="200"/>
        <w:contextualSpacing/>
        <w:textAlignment w:val="auto"/>
        <w:rPr>
          <w:rFonts w:hint="eastAsia" w:ascii="黑体" w:hAnsi="黑体" w:eastAsia="黑体" w:cs="黑体"/>
          <w:b w:val="0"/>
          <w:color w:val="000000"/>
          <w:sz w:val="32"/>
          <w:szCs w:val="32"/>
        </w:rPr>
      </w:pPr>
      <w:bookmarkStart w:id="16" w:name="_Toc15377197"/>
      <w:bookmarkStart w:id="17" w:name="_Toc15396600"/>
      <w:bookmarkStart w:id="18" w:name="_Toc79163852"/>
      <w:bookmarkStart w:id="19" w:name="_Toc79163602"/>
      <w:r>
        <w:rPr>
          <w:rFonts w:hint="eastAsia" w:ascii="黑体" w:hAnsi="黑体" w:eastAsia="黑体" w:cs="黑体"/>
          <w:b w:val="0"/>
          <w:color w:val="000000"/>
          <w:sz w:val="32"/>
          <w:szCs w:val="32"/>
        </w:rPr>
        <w:t>一、基本职能及主要工作</w:t>
      </w:r>
      <w:bookmarkEnd w:id="16"/>
      <w:bookmarkEnd w:id="17"/>
      <w:bookmarkEnd w:id="18"/>
      <w:bookmarkEnd w:id="19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bookmarkStart w:id="20" w:name="_Toc79163853"/>
      <w:bookmarkStart w:id="21" w:name="_Toc79163603"/>
      <w:bookmarkStart w:id="22" w:name="_Toc15378445"/>
      <w:bookmarkStart w:id="23" w:name="_Toc15377198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（一）主要职能。</w:t>
      </w:r>
      <w:bookmarkEnd w:id="20"/>
      <w:bookmarkEnd w:id="21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负责政协委员反映社情民意信息收集和数据统计；政协机关网站及公众号的运营维护；撰写宣传信息、理论文章；完成县政协机关交办的其他工作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  <w:bookmarkEnd w:id="22"/>
      <w:bookmarkEnd w:id="23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bookmarkStart w:id="24" w:name="_Toc15377199"/>
      <w:bookmarkStart w:id="25" w:name="_Toc15378446"/>
      <w:bookmarkStart w:id="26" w:name="_Toc79163604"/>
      <w:bookmarkStart w:id="27" w:name="_Toc79163854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（二）2021年重点工作完成情况。</w:t>
      </w:r>
      <w:bookmarkEnd w:id="24"/>
      <w:bookmarkEnd w:id="25"/>
      <w:bookmarkEnd w:id="26"/>
      <w:bookmarkEnd w:id="27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协助政协机关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认真做好各类会议、活动的组织、协调和后勤保障等服务工作。协助顺利召开政协十五届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次全体会议，为退休老干部参加政治学习和活动做好服务。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认真落实县政协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全年工作统一部署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bookmarkStart w:id="142" w:name="_GoBack"/>
      <w:bookmarkEnd w:id="142"/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社情民意信息收集和数据统计、政协机关网站及公众号的运营维护、撰写宣传信息、理论文章。三是完成县政协机关交办的其他工作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Style w:val="25"/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28" w:name="_Toc79163605"/>
      <w:bookmarkStart w:id="29" w:name="_Toc15377200"/>
      <w:bookmarkStart w:id="30" w:name="_Toc79163855"/>
      <w:bookmarkStart w:id="31" w:name="_Toc15396601"/>
      <w:r>
        <w:rPr>
          <w:rFonts w:hint="eastAsia" w:ascii="黑体" w:hAnsi="黑体" w:eastAsia="黑体" w:cs="黑体"/>
          <w:b w:val="0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color w:val="000000"/>
          <w:sz w:val="32"/>
          <w:szCs w:val="32"/>
        </w:rPr>
        <w:t>二、机构设置</w:t>
      </w:r>
      <w:bookmarkEnd w:id="28"/>
      <w:bookmarkEnd w:id="29"/>
      <w:bookmarkEnd w:id="30"/>
      <w:bookmarkEnd w:id="31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茂县政协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委员信息服务中心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下属二级单位0个。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br w:type="page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32" w:name="_Toc15396602"/>
      <w:bookmarkStart w:id="33" w:name="_Toc15377204"/>
      <w:bookmarkStart w:id="34" w:name="_Toc79163859"/>
      <w:bookmarkStart w:id="35" w:name="_Toc79163609"/>
      <w:r>
        <w:rPr>
          <w:rFonts w:hint="eastAsia" w:ascii="黑体" w:hAnsi="Times New Roman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>第二部分 2021年度部门决算情况说明</w:t>
      </w:r>
      <w:bookmarkEnd w:id="32"/>
      <w:bookmarkEnd w:id="33"/>
      <w:bookmarkEnd w:id="34"/>
      <w:bookmarkEnd w:id="35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Chars="0"/>
        <w:textAlignment w:val="auto"/>
        <w:outlineLvl w:val="1"/>
        <w:rPr>
          <w:rStyle w:val="25"/>
          <w:rFonts w:hint="eastAsia" w:ascii="黑体" w:hAnsi="黑体" w:eastAsia="黑体" w:cs="黑体"/>
          <w:b w:val="0"/>
          <w:sz w:val="32"/>
          <w:szCs w:val="32"/>
        </w:rPr>
      </w:pPr>
      <w:bookmarkStart w:id="36" w:name="_Toc79163610"/>
      <w:bookmarkStart w:id="37" w:name="_Toc15396603"/>
      <w:bookmarkStart w:id="38" w:name="_Toc15377205"/>
      <w:bookmarkStart w:id="39" w:name="_Toc79163860"/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收入支出决算总体情况说明</w:t>
      </w:r>
      <w:bookmarkEnd w:id="36"/>
      <w:bookmarkEnd w:id="37"/>
      <w:bookmarkEnd w:id="38"/>
      <w:bookmarkEnd w:id="39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年度收、支总计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无数据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3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Chars="0"/>
        <w:textAlignment w:val="auto"/>
        <w:outlineLvl w:val="1"/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bookmarkStart w:id="40" w:name="_Toc79163861"/>
      <w:bookmarkStart w:id="41" w:name="_Toc79163611"/>
      <w:bookmarkStart w:id="42" w:name="_Toc15396604"/>
      <w:bookmarkStart w:id="43" w:name="_Toc15377206"/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收入决算情况说明</w:t>
      </w:r>
      <w:bookmarkEnd w:id="40"/>
      <w:bookmarkEnd w:id="41"/>
      <w:bookmarkEnd w:id="42"/>
      <w:bookmarkEnd w:id="43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年本年收入合计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万元，其中：一般公共预算财政拨款收入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万元，占100%；政府性基金预算财政拨款收入0万元；上级补助收入0万元；事业收入0万元；经营收入0万元；附属单位上缴收入0万元；其他收入0万元。</w:t>
      </w:r>
    </w:p>
    <w:p>
      <w:pPr>
        <w:pageBreakBefore w:val="0"/>
        <w:tabs>
          <w:tab w:val="left" w:pos="2598"/>
        </w:tabs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1127125</wp:posOffset>
            </wp:positionH>
            <wp:positionV relativeFrom="paragraph">
              <wp:posOffset>99695</wp:posOffset>
            </wp:positionV>
            <wp:extent cx="3272790" cy="1776730"/>
            <wp:effectExtent l="4445" t="4445" r="18415" b="9525"/>
            <wp:wrapTopAndBottom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（图2：收入决算结构图）（饼状图）</w:t>
      </w:r>
    </w:p>
    <w:p>
      <w:pPr>
        <w:pStyle w:val="3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left="640" w:leftChars="0" w:right="0" w:rightChars="0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bookmarkStart w:id="44" w:name="_Toc79163862"/>
      <w:bookmarkStart w:id="45" w:name="_Toc15377207"/>
      <w:bookmarkStart w:id="46" w:name="_Toc79163612"/>
      <w:bookmarkStart w:id="47" w:name="_Toc15396605"/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三、支出决算情况说明</w:t>
      </w:r>
      <w:bookmarkEnd w:id="44"/>
      <w:bookmarkEnd w:id="45"/>
      <w:bookmarkEnd w:id="46"/>
      <w:bookmarkEnd w:id="47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年本年支出合计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%；项目支出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万元；上缴上级支出0万元；经营支出0万元；对附属单位补助支出0万元。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439420</wp:posOffset>
            </wp:positionV>
            <wp:extent cx="3152775" cy="1743075"/>
            <wp:effectExtent l="4445" t="4445" r="5080" b="5080"/>
            <wp:wrapTopAndBottom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（图3：支出决算结构图）（饼状图）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outlineLvl w:val="1"/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bookmarkStart w:id="48" w:name="_Toc79163863"/>
      <w:bookmarkStart w:id="49" w:name="_Toc15396606"/>
      <w:bookmarkStart w:id="50" w:name="_Toc15377208"/>
      <w:bookmarkStart w:id="51" w:name="_Toc79163613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财政拨款收入支出决算总体情况说明</w:t>
      </w:r>
      <w:bookmarkEnd w:id="48"/>
      <w:bookmarkEnd w:id="49"/>
      <w:bookmarkEnd w:id="50"/>
      <w:bookmarkEnd w:id="51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年财政拨款收、支总计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万元。20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无数据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outlineLvl w:val="1"/>
        <w:rPr>
          <w:rStyle w:val="25"/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52" w:name="_Toc15377209"/>
      <w:bookmarkStart w:id="53" w:name="_Toc15396607"/>
      <w:bookmarkStart w:id="54" w:name="_Toc79163614"/>
      <w:bookmarkStart w:id="55" w:name="_Toc79163864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一般公共预算财政拨款支出决算情况说明</w:t>
      </w:r>
      <w:bookmarkEnd w:id="52"/>
      <w:bookmarkEnd w:id="53"/>
      <w:bookmarkEnd w:id="54"/>
      <w:bookmarkEnd w:id="55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bookmarkStart w:id="56" w:name="_Toc79163615"/>
      <w:bookmarkStart w:id="57" w:name="_Toc15377210"/>
      <w:bookmarkStart w:id="58" w:name="_Toc79163865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（一）一般公共预算财政拨款支出决算总体情况</w:t>
      </w:r>
      <w:bookmarkEnd w:id="56"/>
      <w:bookmarkEnd w:id="57"/>
      <w:bookmarkEnd w:id="58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年一般公共预算财政拨款支出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万元，占本年支出合计的100%。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无数据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bookmarkStart w:id="59" w:name="_Toc79163866"/>
      <w:bookmarkStart w:id="60" w:name="_Toc79163616"/>
      <w:bookmarkStart w:id="61" w:name="_Toc15377211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一般公共预算财政拨款支出决算结构情况</w:t>
      </w:r>
      <w:bookmarkEnd w:id="59"/>
      <w:bookmarkEnd w:id="60"/>
      <w:bookmarkEnd w:id="61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年一般公共预算财政拨款支出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万元，主要用于以下方面:一般公共服务（类）支出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9.09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72.32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%；社会保障和就业（类）支出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1.58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%；卫生健康支出（类)支出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0.7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5.57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%；住房保障支出（类）支出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1.19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9.47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501390" cy="1918970"/>
            <wp:effectExtent l="5080" t="4445" r="17780" b="19685"/>
            <wp:docPr id="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（图6：一般公共预算财政拨款支出决算结构）（饼状图）</w:t>
      </w:r>
    </w:p>
    <w:p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2" w:name="_Toc79163617"/>
      <w:bookmarkStart w:id="63" w:name="_Toc15377212"/>
      <w:bookmarkStart w:id="64" w:name="_Toc79163867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一般公共预算财政拨款支出决算具体情况</w:t>
      </w:r>
      <w:bookmarkEnd w:id="62"/>
      <w:bookmarkEnd w:id="63"/>
      <w:bookmarkEnd w:id="64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年一般公共预算支出决算数为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12.57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万元，完成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预算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%。其中：</w:t>
      </w:r>
    </w:p>
    <w:p>
      <w:pPr>
        <w:pStyle w:val="19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一般公共服务（类）政协事务（款）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运行（项）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: 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9.09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万元，完成预算100%。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社会保障和就业（类）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事业单位养老（款）机关事业单位基本养老保险缴费支出（项）: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1.05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万元，完成预算100%。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.社会保障和就业（类）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行政机关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事业单位养老（款）机关事业单位职业年金缴费支出（项）: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0.53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万元，完成预算100%。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卫生健康（类）行政事业单位医疗（款）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单位医疗（项）: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0.7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万元，完成预算100%。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.住房保障（类）住房改革支出（款）住房公积金（项）：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1.19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万元，完成预算100%。</w:t>
      </w:r>
    </w:p>
    <w:p>
      <w:pPr>
        <w:pageBreakBefore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/>
        <w:textAlignment w:val="auto"/>
        <w:outlineLvl w:val="1"/>
        <w:rPr>
          <w:rStyle w:val="25"/>
          <w:rFonts w:hint="eastAsia" w:ascii="仿宋_GB2312" w:hAnsi="仿宋_GB2312" w:eastAsia="仿宋_GB2312" w:cs="仿宋_GB2312"/>
          <w:b w:val="0"/>
          <w:sz w:val="32"/>
          <w:szCs w:val="32"/>
        </w:rPr>
      </w:pPr>
      <w:bookmarkStart w:id="65" w:name="_Toc79163618"/>
      <w:bookmarkStart w:id="66" w:name="_Toc79163868"/>
      <w:bookmarkStart w:id="67" w:name="_Toc15396608"/>
      <w:bookmarkStart w:id="68" w:name="_Toc15377214"/>
      <w:r>
        <w:rPr>
          <w:rFonts w:hint="eastAsia" w:ascii="黑体" w:hAnsi="黑体" w:eastAsia="黑体" w:cs="黑体"/>
          <w:color w:val="000000"/>
          <w:sz w:val="32"/>
          <w:szCs w:val="32"/>
        </w:rPr>
        <w:t>六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、一</w:t>
      </w:r>
      <w:r>
        <w:rPr>
          <w:rStyle w:val="25"/>
          <w:rFonts w:hint="eastAsia" w:ascii="黑体" w:hAnsi="黑体" w:eastAsia="黑体" w:cs="黑体"/>
          <w:b w:val="0"/>
          <w:sz w:val="32"/>
          <w:szCs w:val="32"/>
        </w:rPr>
        <w:t>般公共预算财政拨款基本支出决算情况说明</w:t>
      </w:r>
      <w:bookmarkEnd w:id="65"/>
      <w:bookmarkEnd w:id="66"/>
      <w:bookmarkEnd w:id="67"/>
      <w:bookmarkEnd w:id="68"/>
      <w:r>
        <w:rPr>
          <w:rStyle w:val="25"/>
          <w:rFonts w:hint="eastAsia" w:ascii="仿宋_GB2312" w:hAnsi="仿宋_GB2312" w:eastAsia="仿宋_GB2312" w:cs="仿宋_GB2312"/>
          <w:b w:val="0"/>
          <w:sz w:val="32"/>
          <w:szCs w:val="32"/>
        </w:rPr>
        <w:tab/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年一般公共预算财政拨款基本支出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万元，其中：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人员经费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万元，主要包括：基本工资、津贴补贴、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绩效工资、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关事业单位基本养老保险缴费、职业年金缴费、其他社会保障缴费、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奖励金、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住房公积金等。</w:t>
      </w:r>
    </w:p>
    <w:p>
      <w:pPr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/>
        <w:textAlignment w:val="auto"/>
        <w:outlineLvl w:val="1"/>
        <w:rPr>
          <w:rStyle w:val="25"/>
          <w:rFonts w:hint="eastAsia" w:ascii="黑体" w:hAnsi="黑体" w:eastAsia="黑体" w:cs="黑体"/>
          <w:b w:val="0"/>
          <w:sz w:val="32"/>
          <w:szCs w:val="32"/>
        </w:rPr>
      </w:pPr>
      <w:bookmarkStart w:id="69" w:name="_Toc79163869"/>
      <w:bookmarkStart w:id="70" w:name="_Toc15396609"/>
      <w:bookmarkStart w:id="71" w:name="_Toc79163619"/>
      <w:bookmarkStart w:id="72" w:name="_Toc15377215"/>
      <w:r>
        <w:rPr>
          <w:rStyle w:val="25"/>
          <w:rFonts w:hint="eastAsia" w:ascii="黑体" w:hAnsi="黑体" w:eastAsia="黑体" w:cs="黑体"/>
          <w:sz w:val="32"/>
          <w:szCs w:val="32"/>
        </w:rPr>
        <w:t>“</w:t>
      </w:r>
      <w:r>
        <w:rPr>
          <w:rStyle w:val="25"/>
          <w:rFonts w:hint="eastAsia" w:ascii="黑体" w:hAnsi="黑体" w:eastAsia="黑体" w:cs="黑体"/>
          <w:b w:val="0"/>
          <w:sz w:val="32"/>
          <w:szCs w:val="32"/>
        </w:rPr>
        <w:t>三公”经费财政拨款支出决算情况说明</w:t>
      </w:r>
      <w:bookmarkEnd w:id="69"/>
      <w:bookmarkEnd w:id="70"/>
      <w:bookmarkEnd w:id="71"/>
      <w:bookmarkEnd w:id="72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（一）“三公”经费财政拨款支出决算总体情况说明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年“三公”经费财政拨款支出决算为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万元。</w:t>
      </w:r>
    </w:p>
    <w:p>
      <w:pPr>
        <w:pStyle w:val="19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bookmarkStart w:id="73" w:name="_Toc79163621"/>
      <w:bookmarkStart w:id="74" w:name="_Toc15377217"/>
      <w:bookmarkStart w:id="75" w:name="_Toc79163871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“三公”经费财政拨款支出决算具体情况说明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年“三公”经费财政拨款支出决算中，因公出国（境）费支出决算0万元；公务用车购置及运行维护费支出决算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万元；公务接待费支出决算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因公出国（境）经费支出0万元。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全年安排因公出国（境）团组0次，出国（境）0人。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2020年无因公出国（境）经费支出，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1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2.公务用车购置及运行维护费支出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完成预算100%。20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公务用车购置及运行维护费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公务用车购置支出0万元。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全年按规定更新购置公务用车0辆，金额0万元。截至202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年12月底，单位共有公务用车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公务用车运行维护费支出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主要用于单位履行政治协商、民主监督、参政议政职能等所需的公务用车燃料费、维修费、过路过桥费、保险费等支出。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3.公务接待费支出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年公务接待费支出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国内公务接待支出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主要用于执行公务、开展业务活动开支的交通费、住宿费、用餐费等。国内公务接待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批次，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人次（不包括陪同人员），共计支出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外事接待支出0万元。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外事接待0批次，0人，共计支出0万元。</w:t>
      </w:r>
    </w:p>
    <w:bookmarkEnd w:id="73"/>
    <w:bookmarkEnd w:id="74"/>
    <w:bookmarkEnd w:id="75"/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/>
        <w:textAlignment w:val="auto"/>
        <w:outlineLvl w:val="1"/>
        <w:rPr>
          <w:rStyle w:val="25"/>
          <w:rFonts w:hint="eastAsia" w:ascii="黑体" w:hAnsi="黑体" w:eastAsia="黑体" w:cs="黑体"/>
          <w:sz w:val="32"/>
          <w:szCs w:val="32"/>
        </w:rPr>
      </w:pPr>
      <w:bookmarkStart w:id="76" w:name="_Toc15396610"/>
      <w:bookmarkStart w:id="77" w:name="_Toc15377218"/>
      <w:bookmarkStart w:id="78" w:name="_Toc79163622"/>
      <w:bookmarkStart w:id="79" w:name="_Toc79163872"/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八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政府性基金预算支出决算情况说明</w:t>
      </w:r>
      <w:bookmarkEnd w:id="76"/>
      <w:bookmarkEnd w:id="77"/>
      <w:bookmarkEnd w:id="78"/>
      <w:bookmarkEnd w:id="79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2021年政府性基金预算拨款支出0万元。</w:t>
      </w:r>
    </w:p>
    <w:p>
      <w:pPr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570" w:lineRule="exact"/>
        <w:ind w:left="0" w:right="0" w:rightChars="0" w:firstLine="640"/>
        <w:textAlignment w:val="auto"/>
        <w:outlineLvl w:val="1"/>
        <w:rPr>
          <w:rStyle w:val="25"/>
          <w:rFonts w:hint="eastAsia" w:ascii="黑体" w:hAnsi="黑体" w:eastAsia="黑体" w:cs="黑体"/>
          <w:b w:val="0"/>
          <w:sz w:val="32"/>
          <w:szCs w:val="32"/>
        </w:rPr>
      </w:pPr>
      <w:bookmarkStart w:id="80" w:name="_Toc15396611"/>
      <w:bookmarkStart w:id="81" w:name="_Toc15377219"/>
      <w:bookmarkStart w:id="82" w:name="_Toc79163873"/>
      <w:bookmarkStart w:id="83" w:name="_Toc79163623"/>
      <w:r>
        <w:rPr>
          <w:rStyle w:val="25"/>
          <w:rFonts w:hint="eastAsia" w:ascii="黑体" w:hAnsi="黑体" w:eastAsia="黑体" w:cs="黑体"/>
          <w:b w:val="0"/>
          <w:sz w:val="32"/>
          <w:szCs w:val="32"/>
        </w:rPr>
        <w:t>国有资本经营预算支出决算情况说明</w:t>
      </w:r>
      <w:bookmarkEnd w:id="80"/>
      <w:bookmarkEnd w:id="81"/>
      <w:bookmarkEnd w:id="82"/>
      <w:bookmarkEnd w:id="83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2021年国有资本经营预算拨款支出0万元。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outlineLvl w:val="1"/>
        <w:rPr>
          <w:rStyle w:val="25"/>
          <w:rFonts w:hint="eastAsia" w:ascii="黑体" w:hAnsi="黑体" w:eastAsia="黑体" w:cs="黑体"/>
          <w:b w:val="0"/>
          <w:sz w:val="32"/>
          <w:szCs w:val="32"/>
        </w:rPr>
      </w:pPr>
      <w:bookmarkStart w:id="84" w:name="_Toc15396612"/>
      <w:bookmarkStart w:id="85" w:name="_Toc79163874"/>
      <w:bookmarkStart w:id="86" w:name="_Toc79163624"/>
      <w:bookmarkStart w:id="87" w:name="_Toc15377221"/>
      <w:r>
        <w:rPr>
          <w:rStyle w:val="25"/>
          <w:rFonts w:hint="eastAsia" w:ascii="黑体" w:hAnsi="黑体" w:eastAsia="黑体" w:cs="黑体"/>
          <w:b w:val="0"/>
          <w:sz w:val="32"/>
          <w:szCs w:val="32"/>
          <w:lang w:val="en-US"/>
        </w:rPr>
        <w:t xml:space="preserve">   </w:t>
      </w:r>
      <w:r>
        <w:rPr>
          <w:rStyle w:val="25"/>
          <w:rFonts w:hint="eastAsia" w:ascii="黑体" w:hAnsi="黑体" w:eastAsia="黑体" w:cs="黑体"/>
          <w:b w:val="0"/>
          <w:sz w:val="32"/>
          <w:szCs w:val="32"/>
        </w:rPr>
        <w:t>十、其他重要事项的情况说明</w:t>
      </w:r>
      <w:bookmarkEnd w:id="84"/>
      <w:bookmarkEnd w:id="85"/>
      <w:bookmarkEnd w:id="86"/>
      <w:bookmarkEnd w:id="87"/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（一）机关运行经费支出情况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年，茂县政协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委员信息服务中心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运行经费支出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万元，主要原因是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该机构于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2021年新设立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（二）政府采购支出情况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年，茂县政协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委员信息服务中心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政府采购支出总额0万元，其中：政府采购货物支出0万元、政府采购工程支出0万元、政府采购服务支出0万元。授予中小企业合同金额0万元。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（三）国有资产占有使用情况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截至202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年12月31日，茂县政协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委员信息服务中心无国有资产。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</w:rPr>
        <w:t>（四）预算绩效管理情况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根据预算绩效管理要求，本部门在年初预算编制阶段，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无项目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本部门按要求对202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年部门整体支出开展绩效自评，从评价情况来看，202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部门整体支出绩效评价自查自评结果良好，全年基本支出保证了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的正常运行和日常工作的正常开展，绩效目标得到较好实现，绩效管理水平不断提高，绩效指标体系逐渐丰富和完善。</w:t>
      </w:r>
    </w:p>
    <w:p>
      <w:pPr>
        <w:pStyle w:val="19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项目绩效目标完成情况</w:t>
      </w:r>
    </w:p>
    <w:p>
      <w:pPr>
        <w:pStyle w:val="1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本单位无项目。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2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2.部门绩效评价结果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本部门按要求对202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年部门整体支出绩效评价情况开展自评，《茂县政协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委员信息服务中心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年部门整体支出绩效评价报告》见附件（附件1）。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2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br w:type="page"/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ind w:leftChars="150" w:right="0" w:rightChars="0"/>
        <w:jc w:val="both"/>
        <w:textAlignment w:val="auto"/>
        <w:outlineLvl w:val="0"/>
        <w:rPr>
          <w:rStyle w:val="24"/>
          <w:rFonts w:hint="eastAsia" w:ascii="仿宋_GB2312" w:hAnsi="仿宋_GB2312" w:eastAsia="仿宋_GB2312" w:cs="仿宋_GB2312"/>
          <w:b w:val="0"/>
          <w:sz w:val="32"/>
          <w:szCs w:val="32"/>
        </w:rPr>
      </w:pPr>
      <w:bookmarkStart w:id="88" w:name="_Toc79163629"/>
      <w:bookmarkStart w:id="89" w:name="_Toc15396613"/>
      <w:bookmarkStart w:id="90" w:name="_Toc79163879"/>
      <w:bookmarkStart w:id="91" w:name="_Toc15377225"/>
      <w:r>
        <w:rPr>
          <w:rFonts w:hint="eastAsia" w:ascii="黑体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 xml:space="preserve">        </w:t>
      </w:r>
      <w:r>
        <w:rPr>
          <w:rFonts w:hint="eastAsia" w:ascii="黑体" w:hAnsi="Times New Roman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>第</w:t>
      </w:r>
      <w:r>
        <w:rPr>
          <w:rFonts w:hint="eastAsia" w:ascii="黑体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>三</w:t>
      </w:r>
      <w:r>
        <w:rPr>
          <w:rFonts w:hint="eastAsia" w:ascii="黑体" w:hAnsi="Times New Roman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>部分</w:t>
      </w:r>
      <w:r>
        <w:rPr>
          <w:rFonts w:hint="eastAsia" w:ascii="黑体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kern w:val="44"/>
          <w:sz w:val="44"/>
          <w:szCs w:val="44"/>
          <w:lang w:val="en-US" w:eastAsia="zh-CN" w:bidi="ar-SA"/>
        </w:rPr>
        <w:t>名词解</w:t>
      </w:r>
      <w:r>
        <w:rPr>
          <w:rStyle w:val="24"/>
          <w:rFonts w:hint="eastAsia" w:ascii="黑体" w:hAnsi="黑体" w:eastAsia="黑体" w:cs="黑体"/>
          <w:b w:val="0"/>
          <w:sz w:val="44"/>
          <w:szCs w:val="44"/>
        </w:rPr>
        <w:t>释</w:t>
      </w:r>
      <w:bookmarkEnd w:id="88"/>
      <w:bookmarkEnd w:id="89"/>
      <w:bookmarkEnd w:id="90"/>
      <w:bookmarkEnd w:id="91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1.财政拨款收入：指单位从同级财政部门取得的财政预算资金。 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.一般公共服务（类）政协事务（款）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事业运行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（项）:指政协机关用于保障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事业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机构正常运行、开展日常工作的基本支出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.社会保障和就业（类）行政事业单位养老（款）机关事业单位基本养老保险缴费支出（项）：指部门实施养老保险制度由单位缴纳的养老保险费的支出。 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.社会保障和就业（类）行政事业单位养老（款）机关事业单位职业年金缴费支出（项）：指部门实施养老保险制度由单位缴纳的职业年金的支出。 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.卫生健康（类）行政事业单位医疗（款）行政单位医疗（项）：指机关用于缴纳单位基本医疗保险支出。 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6.住房保障（类）住房改革支出（款）住房公积金（项）： 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反映行政事业单位按规定为职工缴纳的住房公积金。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.基本支出：指为保障机构正常运转、完成日常工作任务而发生的人员支出和公用支出。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both"/>
        <w:textAlignment w:val="auto"/>
        <w:outlineLvl w:val="0"/>
        <w:rPr>
          <w:rFonts w:hint="eastAsia" w:ascii="黑体" w:eastAsia="黑体" w:cs="Times New Roman"/>
          <w:b w:val="0"/>
          <w:bCs/>
          <w:kern w:val="44"/>
          <w:sz w:val="44"/>
          <w:szCs w:val="44"/>
          <w:lang w:val="en-US" w:eastAsia="zh-CN" w:bidi="ar-SA"/>
        </w:rPr>
      </w:pPr>
      <w:bookmarkStart w:id="92" w:name="_Toc15377226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br w:type="page"/>
      </w:r>
      <w:bookmarkStart w:id="93" w:name="_Toc79163880"/>
      <w:bookmarkStart w:id="94" w:name="_Toc79163630"/>
      <w:bookmarkStart w:id="95" w:name="_Toc15396614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黑体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>第四部分 附件</w:t>
      </w:r>
      <w:bookmarkEnd w:id="93"/>
      <w:bookmarkEnd w:id="94"/>
      <w:bookmarkEnd w:id="95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96" w:name="_Toc79163881"/>
      <w:bookmarkStart w:id="97" w:name="_Toc79163631"/>
      <w:r>
        <w:rPr>
          <w:rFonts w:hint="eastAsia" w:ascii="黑体" w:hAnsi="黑体" w:eastAsia="黑体" w:cs="黑体"/>
          <w:sz w:val="32"/>
          <w:szCs w:val="32"/>
        </w:rPr>
        <w:t>附件1</w:t>
      </w:r>
      <w:bookmarkEnd w:id="96"/>
      <w:bookmarkEnd w:id="97"/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center"/>
        <w:textAlignment w:val="auto"/>
        <w:outlineLvl w:val="0"/>
        <w:rPr>
          <w:rFonts w:hint="eastAsia" w:ascii="方正小标宋简体" w:eastAsia="方正小标宋简体" w:cs="黑体"/>
          <w:sz w:val="44"/>
          <w:szCs w:val="44"/>
          <w:lang w:val="zh-CN" w:eastAsia="zh-CN"/>
        </w:rPr>
      </w:pPr>
      <w:r>
        <w:rPr>
          <w:rFonts w:hint="eastAsia" w:ascii="方正小标宋简体" w:eastAsia="方正小标宋简体" w:cs="黑体"/>
          <w:sz w:val="44"/>
          <w:szCs w:val="44"/>
          <w:lang w:val="zh-CN" w:eastAsia="zh-CN"/>
        </w:rPr>
        <w:t>茂县政协委员信息服务中心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center"/>
        <w:textAlignment w:val="auto"/>
        <w:outlineLvl w:val="0"/>
        <w:rPr>
          <w:rFonts w:hint="eastAsia" w:ascii="方正小标宋简体" w:eastAsia="方正小标宋简体" w:cs="黑体"/>
          <w:sz w:val="44"/>
          <w:szCs w:val="44"/>
          <w:lang w:val="zh-CN" w:eastAsia="zh-CN"/>
        </w:rPr>
      </w:pPr>
      <w:r>
        <w:rPr>
          <w:rFonts w:hint="eastAsia" w:ascii="方正小标宋简体" w:eastAsia="方正小标宋简体" w:cs="黑体"/>
          <w:sz w:val="44"/>
          <w:szCs w:val="44"/>
          <w:lang w:val="zh-CN" w:eastAsia="zh-CN"/>
        </w:rPr>
        <w:t>202</w:t>
      </w:r>
      <w:r>
        <w:rPr>
          <w:rFonts w:hint="eastAsia" w:ascii="方正小标宋简体" w:eastAsia="方正小标宋简体" w:cs="黑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 w:cs="黑体"/>
          <w:sz w:val="44"/>
          <w:szCs w:val="44"/>
          <w:lang w:val="zh-CN" w:eastAsia="zh-CN"/>
        </w:rPr>
        <w:t>年部门整体支出绩效评价报告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zh-CN"/>
        </w:rPr>
        <w:t>部门（单位）概况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（一）机构组成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 w:firstLine="641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茂县政协委员信息服务中心机构设置情况：设置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1个股级事业单位（茂县政协委员信息服务中心）。</w:t>
      </w:r>
    </w:p>
    <w:p>
      <w:pPr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机构职能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right="0" w:rightChars="0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负责政协委员反映社情民意信息收集和数据统计；政协机关网站及公众号的运营维护；撰写宣传信息、理论文章；完成县政协机关交办的其他工作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（三）人员概况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茂县政协委员信息服务中心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事业在职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二、部门财政资金收支情况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（一）部门财政资金收入情况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年本部门财政拨款收入决算总额为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万元。其中：当年财政拨款收入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万元。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（二）部门财政资金支出情况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年本部门财政拨款支出决算总额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12.57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万元。其中按功能分类，一般公共服务支出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9.09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万元、社会保障和就业支出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1.58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万元、卫生健康支出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万元、住房保障支出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1.19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三、部门整体预算绩效管理情况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我单位202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年以习近平新时代中国特色社会主义思想为指导，自觉践行新发展理念，根据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政协委员信息服务中心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职能积极谋划，确定目标任务，积极发挥公共财政职能作用，推动落实稳增长、促改革、调结构、惠民生、防风险各项工作。一是按照 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部门预算编审要求，根据我单位职能结合中长期规划和年度工作计划，明确了年度主要工作任务及年度内履职所要达到的总体产出和效果，认真填报了我单位整体支出绩效评价指标体系，具体说明了单位预算编制、预算执行、综合管理、整体效益概况，设定了年度绩效数量指标、成本指标、效益指标等，详细反映了相应资金的工作任务、要达到的效果。二是按照《四川省省级预算绩效运行监控管理暂行办法》要求，认真组织开展单位的绩效监控工作，对预算执行各阶段完成情况进行动态跟踪监控，进一步明确完成目标可能性及时间。为有效使用财政资金，我单位根据实际工作开展情况，尽力提高财政资金使用效益，保障了单位各项工作的顺利开展。三是按照财政部门统一部署，我单位按要求公开了本部门预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决算，同时公开了绩效目标管理情况及部门整体支出绩效自评开展情况。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shd w:val="clear" w:color="auto" w:fill="FFFFFF"/>
          <w:lang w:val="zh-CN"/>
          <w14:textFill>
            <w14:solidFill>
              <w14:schemeClr w14:val="tx1"/>
            </w14:solidFill>
          </w14:textFill>
        </w:rPr>
        <w:t>）结果应用情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况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我单位对部门预算绩效管理工作开展情况认真进行了自 查自评。绩效评价自查开展覆盖了单位全年支出，将评价结果作为预算执行的重要依据，大力调整支出结构，不断强化绩效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理念，推动我单位部门整体绩效管理水平不断提升。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（一）评价结论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年我单位部门整体支出绩效评价自查自评结果良好，全年基本支出保证了部门的正常运行和日常工作的正常开展，达到了预期绩效目标。按照《茂县财政局关于开展202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年部门整体支出绩效评价工作的通知》的标准，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政协委员信息服务中心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绩效评价指标体系自评得分89分。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（二）存在问题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单位绩效目标设定有待更进一步细化、科学和合理。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 w:rightChars="0" w:firstLine="642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（三）改进建议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针对存在的问题，我们将进一步科学设定绩效目标，加强预算执行管理。改进部门收支预算编制，夯实预算基础工作，提高预算编制质量，努力提高财政资金的使用效益。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Style w:val="24"/>
          <w:rFonts w:hint="eastAsia" w:ascii="仿宋_GB2312" w:hAnsi="仿宋_GB2312" w:eastAsia="仿宋_GB2312" w:cs="仿宋_GB2312"/>
          <w:b w:val="0"/>
          <w:sz w:val="32"/>
          <w:szCs w:val="32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0" w:lineRule="exact"/>
        <w:ind w:right="0" w:rightChars="0"/>
        <w:jc w:val="both"/>
        <w:textAlignment w:val="auto"/>
        <w:outlineLvl w:val="0"/>
        <w:rPr>
          <w:rFonts w:hint="eastAsia" w:ascii="黑体" w:hAnsi="Times New Roman" w:eastAsia="黑体" w:cs="Times New Roman"/>
          <w:b w:val="0"/>
          <w:bCs/>
          <w:kern w:val="44"/>
          <w:sz w:val="44"/>
          <w:szCs w:val="44"/>
          <w:lang w:val="en-US" w:eastAsia="zh-CN" w:bidi="ar-SA"/>
        </w:rPr>
      </w:pPr>
      <w:bookmarkStart w:id="98" w:name="_Toc79163885"/>
      <w:bookmarkStart w:id="99" w:name="_Toc79163635"/>
      <w:bookmarkStart w:id="100" w:name="_Toc15396618"/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黑体" w:hAnsi="Times New Roman" w:eastAsia="黑体" w:cs="Times New Roman"/>
          <w:b w:val="0"/>
          <w:bCs/>
          <w:kern w:val="44"/>
          <w:sz w:val="44"/>
          <w:szCs w:val="44"/>
          <w:lang w:val="en-US" w:eastAsia="zh-CN" w:bidi="ar-SA"/>
        </w:rPr>
        <w:t xml:space="preserve"> 第五部分 附表</w:t>
      </w:r>
      <w:bookmarkEnd w:id="92"/>
      <w:bookmarkEnd w:id="98"/>
      <w:bookmarkEnd w:id="99"/>
      <w:bookmarkEnd w:id="10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01" w:name="_Toc79163636"/>
      <w:bookmarkStart w:id="102" w:name="_Toc79163886"/>
      <w:bookmarkStart w:id="103" w:name="_Toc15396619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一、收入支出决算总表</w:t>
      </w:r>
      <w:bookmarkEnd w:id="101"/>
      <w:bookmarkEnd w:id="102"/>
      <w:bookmarkEnd w:id="103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04" w:name="_Toc15396620"/>
      <w:bookmarkStart w:id="105" w:name="_Toc79163637"/>
      <w:bookmarkStart w:id="106" w:name="_Toc79163887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二、收入决算表</w:t>
      </w:r>
      <w:bookmarkEnd w:id="104"/>
      <w:bookmarkEnd w:id="105"/>
      <w:bookmarkEnd w:id="106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07" w:name="_Toc79163888"/>
      <w:bookmarkStart w:id="108" w:name="_Toc15396621"/>
      <w:bookmarkStart w:id="109" w:name="_Toc79163638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三、支出决算表</w:t>
      </w:r>
      <w:bookmarkEnd w:id="107"/>
      <w:bookmarkEnd w:id="108"/>
      <w:bookmarkEnd w:id="109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10" w:name="_Toc79163639"/>
      <w:bookmarkStart w:id="111" w:name="_Toc15396622"/>
      <w:bookmarkStart w:id="112" w:name="_Toc79163889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四、财政拨款收入支出决算总表</w:t>
      </w:r>
      <w:bookmarkEnd w:id="110"/>
      <w:bookmarkEnd w:id="111"/>
      <w:bookmarkEnd w:id="112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13" w:name="_Toc79163640"/>
      <w:bookmarkStart w:id="114" w:name="_Toc15396623"/>
      <w:bookmarkStart w:id="115" w:name="_Toc79163890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五、财政拨款支出决算明细表</w:t>
      </w:r>
      <w:bookmarkEnd w:id="113"/>
      <w:bookmarkEnd w:id="114"/>
      <w:bookmarkEnd w:id="115"/>
      <w:bookmarkStart w:id="116" w:name="_Toc15396624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17" w:name="_Toc79163891"/>
      <w:bookmarkStart w:id="118" w:name="_Toc79163641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六、一般公共预算财政拨款支出决算表</w:t>
      </w:r>
      <w:bookmarkEnd w:id="116"/>
      <w:bookmarkEnd w:id="117"/>
      <w:bookmarkEnd w:id="118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19" w:name="_Toc15396625"/>
      <w:bookmarkStart w:id="120" w:name="_Toc79163642"/>
      <w:bookmarkStart w:id="121" w:name="_Toc79163892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七、一般公共预算财政拨款支出决算明细表</w:t>
      </w:r>
      <w:bookmarkEnd w:id="119"/>
      <w:bookmarkEnd w:id="120"/>
      <w:bookmarkEnd w:id="121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22" w:name="_Toc15396626"/>
      <w:bookmarkStart w:id="123" w:name="_Toc79163893"/>
      <w:bookmarkStart w:id="124" w:name="_Toc79163643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八、一般公共预算财政拨款基本支出决算表</w:t>
      </w:r>
      <w:bookmarkEnd w:id="122"/>
      <w:bookmarkEnd w:id="123"/>
      <w:bookmarkEnd w:id="124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25" w:name="_Toc79163644"/>
      <w:bookmarkStart w:id="126" w:name="_Toc15396627"/>
      <w:bookmarkStart w:id="127" w:name="_Toc79163894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九、一般公共预算财政拨款项目支出决算表</w:t>
      </w:r>
      <w:bookmarkEnd w:id="125"/>
      <w:bookmarkEnd w:id="126"/>
      <w:bookmarkEnd w:id="127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28" w:name="_Toc79163645"/>
      <w:bookmarkStart w:id="129" w:name="_Toc15396628"/>
      <w:bookmarkStart w:id="130" w:name="_Toc79163895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十、一般公共预算财政拨款“三公”经费支出决算表</w:t>
      </w:r>
      <w:bookmarkEnd w:id="128"/>
      <w:bookmarkEnd w:id="129"/>
      <w:bookmarkEnd w:id="13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31" w:name="_Toc79163896"/>
      <w:bookmarkStart w:id="132" w:name="_Toc79163646"/>
      <w:bookmarkStart w:id="133" w:name="_Toc15396629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十一、政府性基金预算财政拨款收入支出决算表</w:t>
      </w:r>
      <w:bookmarkEnd w:id="131"/>
      <w:bookmarkEnd w:id="132"/>
      <w:bookmarkEnd w:id="133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34" w:name="_Toc79163647"/>
      <w:bookmarkStart w:id="135" w:name="_Toc15396630"/>
      <w:bookmarkStart w:id="136" w:name="_Toc79163897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十二、政府性基金预算财政拨款“三公”经费支出决算表</w:t>
      </w:r>
      <w:bookmarkEnd w:id="134"/>
      <w:bookmarkEnd w:id="135"/>
      <w:bookmarkEnd w:id="136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37" w:name="_Toc79163898"/>
      <w:bookmarkStart w:id="138" w:name="_Toc15396631"/>
      <w:bookmarkStart w:id="139" w:name="_Toc79163648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十三、国有资本经营预算财政拨款支出决算表</w:t>
      </w:r>
      <w:bookmarkEnd w:id="137"/>
      <w:bookmarkEnd w:id="138"/>
      <w:bookmarkEnd w:id="139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7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</w:pPr>
      <w:bookmarkStart w:id="140" w:name="_Toc79163899"/>
      <w:bookmarkStart w:id="141" w:name="_Toc79163649"/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十四、国有资本经营预算财政拨款支出决算表</w:t>
      </w:r>
      <w:bookmarkEnd w:id="140"/>
      <w:bookmarkEnd w:id="14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pPr>
        <w:ind w:left="0" w:firstLine="0"/>
      </w:pPr>
      <w:rPr>
        <w:rFonts w:hint="eastAsia" w:cs="Times New Roman"/>
      </w:rPr>
    </w:lvl>
  </w:abstractNum>
  <w:abstractNum w:abstractNumId="1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>
    <w:nsid w:val="614FC17B"/>
    <w:multiLevelType w:val="singleLevel"/>
    <w:tmpl w:val="614FC17B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3">
    <w:nsid w:val="632BD363"/>
    <w:multiLevelType w:val="singleLevel"/>
    <w:tmpl w:val="632BD363"/>
    <w:lvl w:ilvl="0" w:tentative="0">
      <w:start w:val="2"/>
      <w:numFmt w:val="chineseCounting"/>
      <w:suff w:val="nothing"/>
      <w:lvlText w:val="（%1）"/>
      <w:lvlJc w:val="left"/>
    </w:lvl>
  </w:abstractNum>
  <w:abstractNum w:abstractNumId="4">
    <w:nsid w:val="632C11E3"/>
    <w:multiLevelType w:val="singleLevel"/>
    <w:tmpl w:val="632C11E3"/>
    <w:lvl w:ilvl="0" w:tentative="0">
      <w:start w:val="7"/>
      <w:numFmt w:val="chineseCounting"/>
      <w:suff w:val="nothing"/>
      <w:lvlText w:val="%1、"/>
      <w:lvlJc w:val="left"/>
    </w:lvl>
  </w:abstractNum>
  <w:abstractNum w:abstractNumId="5">
    <w:nsid w:val="632C175C"/>
    <w:multiLevelType w:val="singleLevel"/>
    <w:tmpl w:val="632C175C"/>
    <w:lvl w:ilvl="0" w:tentative="0">
      <w:start w:val="2"/>
      <w:numFmt w:val="chineseCounting"/>
      <w:suff w:val="nothing"/>
      <w:lvlText w:val="（%1）"/>
      <w:lvlJc w:val="left"/>
    </w:lvl>
  </w:abstractNum>
  <w:abstractNum w:abstractNumId="6">
    <w:nsid w:val="632D875F"/>
    <w:multiLevelType w:val="singleLevel"/>
    <w:tmpl w:val="632D875F"/>
    <w:lvl w:ilvl="0" w:tentative="0">
      <w:start w:val="1"/>
      <w:numFmt w:val="decimal"/>
      <w:suff w:val="nothing"/>
      <w:lvlText w:val="%1."/>
      <w:lvlJc w:val="left"/>
    </w:lvl>
  </w:abstractNum>
  <w:abstractNum w:abstractNumId="7">
    <w:nsid w:val="632D88CF"/>
    <w:multiLevelType w:val="singleLevel"/>
    <w:tmpl w:val="632D88CF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0177F77"/>
    <w:rsid w:val="003A7793"/>
    <w:rsid w:val="004027E4"/>
    <w:rsid w:val="00534FA2"/>
    <w:rsid w:val="00650DC0"/>
    <w:rsid w:val="0073021F"/>
    <w:rsid w:val="009364CB"/>
    <w:rsid w:val="00A47985"/>
    <w:rsid w:val="00EE2E63"/>
    <w:rsid w:val="011F5680"/>
    <w:rsid w:val="01340C4E"/>
    <w:rsid w:val="01553113"/>
    <w:rsid w:val="01573AC9"/>
    <w:rsid w:val="016F39E4"/>
    <w:rsid w:val="017730E3"/>
    <w:rsid w:val="01BE7C47"/>
    <w:rsid w:val="025D0D86"/>
    <w:rsid w:val="029546EB"/>
    <w:rsid w:val="029C22D3"/>
    <w:rsid w:val="02AA216A"/>
    <w:rsid w:val="02E16B3C"/>
    <w:rsid w:val="032B2EB6"/>
    <w:rsid w:val="03543661"/>
    <w:rsid w:val="039550D6"/>
    <w:rsid w:val="039D1C8E"/>
    <w:rsid w:val="039F10E2"/>
    <w:rsid w:val="03D43128"/>
    <w:rsid w:val="03DA6DF5"/>
    <w:rsid w:val="03FC3A79"/>
    <w:rsid w:val="041A535C"/>
    <w:rsid w:val="04520C93"/>
    <w:rsid w:val="04682C07"/>
    <w:rsid w:val="04CC2DDC"/>
    <w:rsid w:val="05177F02"/>
    <w:rsid w:val="053F512A"/>
    <w:rsid w:val="0560033F"/>
    <w:rsid w:val="056737A4"/>
    <w:rsid w:val="05760A56"/>
    <w:rsid w:val="0599265E"/>
    <w:rsid w:val="05DF5AB3"/>
    <w:rsid w:val="060412F7"/>
    <w:rsid w:val="06087723"/>
    <w:rsid w:val="060F3EBE"/>
    <w:rsid w:val="06312126"/>
    <w:rsid w:val="063D1E32"/>
    <w:rsid w:val="063E18BE"/>
    <w:rsid w:val="064415DC"/>
    <w:rsid w:val="06536288"/>
    <w:rsid w:val="06547FC1"/>
    <w:rsid w:val="066F6AAA"/>
    <w:rsid w:val="06896C66"/>
    <w:rsid w:val="068D05B4"/>
    <w:rsid w:val="06D35396"/>
    <w:rsid w:val="06F50DEE"/>
    <w:rsid w:val="06FB0FDF"/>
    <w:rsid w:val="07184495"/>
    <w:rsid w:val="072753EF"/>
    <w:rsid w:val="073E0F6F"/>
    <w:rsid w:val="0756582D"/>
    <w:rsid w:val="075A61A2"/>
    <w:rsid w:val="07C74384"/>
    <w:rsid w:val="084A3022"/>
    <w:rsid w:val="084A4E92"/>
    <w:rsid w:val="08957B89"/>
    <w:rsid w:val="096C3981"/>
    <w:rsid w:val="097C0323"/>
    <w:rsid w:val="097F1CC6"/>
    <w:rsid w:val="09AF7319"/>
    <w:rsid w:val="09D65CD4"/>
    <w:rsid w:val="0A232648"/>
    <w:rsid w:val="0A2D3513"/>
    <w:rsid w:val="0A2E00B3"/>
    <w:rsid w:val="0A3E2A24"/>
    <w:rsid w:val="0A6B22AC"/>
    <w:rsid w:val="0A6E59F0"/>
    <w:rsid w:val="0A77354B"/>
    <w:rsid w:val="0A7F1D7A"/>
    <w:rsid w:val="0A8E48A5"/>
    <w:rsid w:val="0A964FB3"/>
    <w:rsid w:val="0AD424C1"/>
    <w:rsid w:val="0ADF4D70"/>
    <w:rsid w:val="0AE4708B"/>
    <w:rsid w:val="0AF90C12"/>
    <w:rsid w:val="0B23739D"/>
    <w:rsid w:val="0B4B5BE3"/>
    <w:rsid w:val="0BA60A5A"/>
    <w:rsid w:val="0BE80856"/>
    <w:rsid w:val="0BEE09CF"/>
    <w:rsid w:val="0C231364"/>
    <w:rsid w:val="0C24486D"/>
    <w:rsid w:val="0C2A3F55"/>
    <w:rsid w:val="0C582467"/>
    <w:rsid w:val="0C8255B3"/>
    <w:rsid w:val="0CA52D5A"/>
    <w:rsid w:val="0CBE1658"/>
    <w:rsid w:val="0CF044FF"/>
    <w:rsid w:val="0CF270AA"/>
    <w:rsid w:val="0D242428"/>
    <w:rsid w:val="0D2D0D09"/>
    <w:rsid w:val="0D371894"/>
    <w:rsid w:val="0D405DF8"/>
    <w:rsid w:val="0D4A0D23"/>
    <w:rsid w:val="0D6337B6"/>
    <w:rsid w:val="0D7323EE"/>
    <w:rsid w:val="0DA5209E"/>
    <w:rsid w:val="0DC03287"/>
    <w:rsid w:val="0DC8240A"/>
    <w:rsid w:val="0DF41200"/>
    <w:rsid w:val="0E2B10CC"/>
    <w:rsid w:val="0E3967ED"/>
    <w:rsid w:val="0E73656E"/>
    <w:rsid w:val="0E814392"/>
    <w:rsid w:val="0EB00948"/>
    <w:rsid w:val="0F0315C8"/>
    <w:rsid w:val="0F142490"/>
    <w:rsid w:val="0FC2282F"/>
    <w:rsid w:val="0FCC3930"/>
    <w:rsid w:val="0FE552D5"/>
    <w:rsid w:val="10034EC1"/>
    <w:rsid w:val="10216EF4"/>
    <w:rsid w:val="1023299D"/>
    <w:rsid w:val="102E0765"/>
    <w:rsid w:val="10421150"/>
    <w:rsid w:val="104840CA"/>
    <w:rsid w:val="10702ACD"/>
    <w:rsid w:val="10BC06F6"/>
    <w:rsid w:val="10EE6195"/>
    <w:rsid w:val="11353D33"/>
    <w:rsid w:val="11524AA5"/>
    <w:rsid w:val="115D2437"/>
    <w:rsid w:val="117C1A86"/>
    <w:rsid w:val="118D2374"/>
    <w:rsid w:val="119B532E"/>
    <w:rsid w:val="119E6EF0"/>
    <w:rsid w:val="11A51FDA"/>
    <w:rsid w:val="11AD4C16"/>
    <w:rsid w:val="11C22EB6"/>
    <w:rsid w:val="11E76CC4"/>
    <w:rsid w:val="11F2040C"/>
    <w:rsid w:val="11F75ACE"/>
    <w:rsid w:val="121511F1"/>
    <w:rsid w:val="123D6C9B"/>
    <w:rsid w:val="124C1661"/>
    <w:rsid w:val="12935C80"/>
    <w:rsid w:val="12A40C95"/>
    <w:rsid w:val="12B71E1C"/>
    <w:rsid w:val="12DE7028"/>
    <w:rsid w:val="12F50AC0"/>
    <w:rsid w:val="130E47B4"/>
    <w:rsid w:val="1342201D"/>
    <w:rsid w:val="135B393F"/>
    <w:rsid w:val="1362147C"/>
    <w:rsid w:val="136271BA"/>
    <w:rsid w:val="136F7B0B"/>
    <w:rsid w:val="137B3EFB"/>
    <w:rsid w:val="137D6324"/>
    <w:rsid w:val="13874A0E"/>
    <w:rsid w:val="13957D9B"/>
    <w:rsid w:val="13F9310F"/>
    <w:rsid w:val="141D7BB7"/>
    <w:rsid w:val="144903D2"/>
    <w:rsid w:val="147A7668"/>
    <w:rsid w:val="14810EEC"/>
    <w:rsid w:val="14DE04BC"/>
    <w:rsid w:val="14F2250F"/>
    <w:rsid w:val="14F27BC0"/>
    <w:rsid w:val="14F95D82"/>
    <w:rsid w:val="15174474"/>
    <w:rsid w:val="151F6A1E"/>
    <w:rsid w:val="154758BB"/>
    <w:rsid w:val="15712D3F"/>
    <w:rsid w:val="158F12F7"/>
    <w:rsid w:val="161D1B23"/>
    <w:rsid w:val="16251D70"/>
    <w:rsid w:val="166946E5"/>
    <w:rsid w:val="168B7447"/>
    <w:rsid w:val="16B75A92"/>
    <w:rsid w:val="16D173A2"/>
    <w:rsid w:val="173A7D6E"/>
    <w:rsid w:val="17697437"/>
    <w:rsid w:val="17BE1ED5"/>
    <w:rsid w:val="17C452B7"/>
    <w:rsid w:val="17C95BEE"/>
    <w:rsid w:val="181C7618"/>
    <w:rsid w:val="182779F2"/>
    <w:rsid w:val="18301E86"/>
    <w:rsid w:val="18C43F8D"/>
    <w:rsid w:val="18CC67D9"/>
    <w:rsid w:val="18DC2440"/>
    <w:rsid w:val="18E70F7E"/>
    <w:rsid w:val="19000D13"/>
    <w:rsid w:val="19061B36"/>
    <w:rsid w:val="192A2589"/>
    <w:rsid w:val="192B2026"/>
    <w:rsid w:val="192B7AFD"/>
    <w:rsid w:val="195C432C"/>
    <w:rsid w:val="1A257120"/>
    <w:rsid w:val="1A484F76"/>
    <w:rsid w:val="1A624B36"/>
    <w:rsid w:val="1B35299A"/>
    <w:rsid w:val="1B393CCD"/>
    <w:rsid w:val="1B5A552E"/>
    <w:rsid w:val="1B626156"/>
    <w:rsid w:val="1B9F6941"/>
    <w:rsid w:val="1BCD7C05"/>
    <w:rsid w:val="1BDD4615"/>
    <w:rsid w:val="1BE267FA"/>
    <w:rsid w:val="1C403F62"/>
    <w:rsid w:val="1C447A27"/>
    <w:rsid w:val="1C841CA5"/>
    <w:rsid w:val="1CB41DB0"/>
    <w:rsid w:val="1CEA4C57"/>
    <w:rsid w:val="1CFC2F3A"/>
    <w:rsid w:val="1D304155"/>
    <w:rsid w:val="1D3A3D7D"/>
    <w:rsid w:val="1D3F6A96"/>
    <w:rsid w:val="1D496230"/>
    <w:rsid w:val="1D6C7E24"/>
    <w:rsid w:val="1DA674C1"/>
    <w:rsid w:val="1DAB1783"/>
    <w:rsid w:val="1DAC3F60"/>
    <w:rsid w:val="1DB27CB5"/>
    <w:rsid w:val="1DFF46A3"/>
    <w:rsid w:val="1E154AB3"/>
    <w:rsid w:val="1E272442"/>
    <w:rsid w:val="1E5870DB"/>
    <w:rsid w:val="1E772410"/>
    <w:rsid w:val="1E810024"/>
    <w:rsid w:val="1EAA66AE"/>
    <w:rsid w:val="1EB630F1"/>
    <w:rsid w:val="1ED059B7"/>
    <w:rsid w:val="1EF51B1A"/>
    <w:rsid w:val="1EFF17D8"/>
    <w:rsid w:val="1F2737B2"/>
    <w:rsid w:val="1F316172"/>
    <w:rsid w:val="1F9256D8"/>
    <w:rsid w:val="1F962A98"/>
    <w:rsid w:val="1FBE139D"/>
    <w:rsid w:val="1FCF32CD"/>
    <w:rsid w:val="204D7E64"/>
    <w:rsid w:val="207A6929"/>
    <w:rsid w:val="208D775A"/>
    <w:rsid w:val="20A8627C"/>
    <w:rsid w:val="20B34D22"/>
    <w:rsid w:val="20DA039E"/>
    <w:rsid w:val="20F710AA"/>
    <w:rsid w:val="21045079"/>
    <w:rsid w:val="214500B5"/>
    <w:rsid w:val="214D5772"/>
    <w:rsid w:val="217C0564"/>
    <w:rsid w:val="21EC6EAD"/>
    <w:rsid w:val="2203512B"/>
    <w:rsid w:val="222C0FB7"/>
    <w:rsid w:val="225C2672"/>
    <w:rsid w:val="2263165A"/>
    <w:rsid w:val="22D9704B"/>
    <w:rsid w:val="22EF3C22"/>
    <w:rsid w:val="23197179"/>
    <w:rsid w:val="2372718B"/>
    <w:rsid w:val="23A801EC"/>
    <w:rsid w:val="23FF37EA"/>
    <w:rsid w:val="240945E0"/>
    <w:rsid w:val="24096FD8"/>
    <w:rsid w:val="240A4C61"/>
    <w:rsid w:val="241119DF"/>
    <w:rsid w:val="24145319"/>
    <w:rsid w:val="242956AC"/>
    <w:rsid w:val="248D2B50"/>
    <w:rsid w:val="24BA4900"/>
    <w:rsid w:val="24E73071"/>
    <w:rsid w:val="24E76E2D"/>
    <w:rsid w:val="24FC0C9C"/>
    <w:rsid w:val="258C38EF"/>
    <w:rsid w:val="259A576A"/>
    <w:rsid w:val="25B0023D"/>
    <w:rsid w:val="25B05A40"/>
    <w:rsid w:val="25C2736F"/>
    <w:rsid w:val="25D5397B"/>
    <w:rsid w:val="25E9464A"/>
    <w:rsid w:val="26856D06"/>
    <w:rsid w:val="26A358FD"/>
    <w:rsid w:val="26DC46DB"/>
    <w:rsid w:val="26F348E6"/>
    <w:rsid w:val="2717418F"/>
    <w:rsid w:val="27393002"/>
    <w:rsid w:val="27482FDA"/>
    <w:rsid w:val="274916B6"/>
    <w:rsid w:val="27537365"/>
    <w:rsid w:val="2756031C"/>
    <w:rsid w:val="27696BCE"/>
    <w:rsid w:val="27777370"/>
    <w:rsid w:val="27793D36"/>
    <w:rsid w:val="279D5BCC"/>
    <w:rsid w:val="27B02CC8"/>
    <w:rsid w:val="27C05BB9"/>
    <w:rsid w:val="27E028E0"/>
    <w:rsid w:val="27F8017F"/>
    <w:rsid w:val="28270120"/>
    <w:rsid w:val="28283607"/>
    <w:rsid w:val="284F422C"/>
    <w:rsid w:val="286644F9"/>
    <w:rsid w:val="28AB0891"/>
    <w:rsid w:val="28E134A3"/>
    <w:rsid w:val="29134124"/>
    <w:rsid w:val="291A11F8"/>
    <w:rsid w:val="2934712E"/>
    <w:rsid w:val="295A282B"/>
    <w:rsid w:val="29B13236"/>
    <w:rsid w:val="29CF25E3"/>
    <w:rsid w:val="29D62A5E"/>
    <w:rsid w:val="29ED2614"/>
    <w:rsid w:val="29EF3EF8"/>
    <w:rsid w:val="29FC0DDD"/>
    <w:rsid w:val="2A084DB6"/>
    <w:rsid w:val="2A270CBA"/>
    <w:rsid w:val="2A4A097A"/>
    <w:rsid w:val="2A7A14B3"/>
    <w:rsid w:val="2AD44B74"/>
    <w:rsid w:val="2ADC7AA7"/>
    <w:rsid w:val="2AE10803"/>
    <w:rsid w:val="2B05032A"/>
    <w:rsid w:val="2B2F2357"/>
    <w:rsid w:val="2B853A24"/>
    <w:rsid w:val="2BBE4E48"/>
    <w:rsid w:val="2BC5531F"/>
    <w:rsid w:val="2BFBFAFF"/>
    <w:rsid w:val="2C0331D9"/>
    <w:rsid w:val="2C3E6DAD"/>
    <w:rsid w:val="2C6D0868"/>
    <w:rsid w:val="2CB7257B"/>
    <w:rsid w:val="2CB979DC"/>
    <w:rsid w:val="2CBA62EA"/>
    <w:rsid w:val="2CBD1245"/>
    <w:rsid w:val="2CD317A0"/>
    <w:rsid w:val="2CD87ECF"/>
    <w:rsid w:val="2CF06750"/>
    <w:rsid w:val="2D05644F"/>
    <w:rsid w:val="2D904785"/>
    <w:rsid w:val="2DB010CD"/>
    <w:rsid w:val="2DBA0876"/>
    <w:rsid w:val="2DF90B98"/>
    <w:rsid w:val="2E0717F6"/>
    <w:rsid w:val="2E300AA1"/>
    <w:rsid w:val="2E3713DD"/>
    <w:rsid w:val="2E647CE1"/>
    <w:rsid w:val="2E687C0B"/>
    <w:rsid w:val="2E7226FB"/>
    <w:rsid w:val="2EAE428E"/>
    <w:rsid w:val="2EC1198A"/>
    <w:rsid w:val="2ED012A6"/>
    <w:rsid w:val="2EF777E5"/>
    <w:rsid w:val="2F1816E9"/>
    <w:rsid w:val="2F2736AB"/>
    <w:rsid w:val="2F6F241E"/>
    <w:rsid w:val="2F8C3CAF"/>
    <w:rsid w:val="2F927E5C"/>
    <w:rsid w:val="2FA81DE0"/>
    <w:rsid w:val="2FB053C9"/>
    <w:rsid w:val="2FD6584C"/>
    <w:rsid w:val="2FE07F34"/>
    <w:rsid w:val="2FE80325"/>
    <w:rsid w:val="30095263"/>
    <w:rsid w:val="300E3256"/>
    <w:rsid w:val="30222B28"/>
    <w:rsid w:val="3022454D"/>
    <w:rsid w:val="302A1715"/>
    <w:rsid w:val="30354484"/>
    <w:rsid w:val="3055081F"/>
    <w:rsid w:val="3061188B"/>
    <w:rsid w:val="309663F0"/>
    <w:rsid w:val="30C654E8"/>
    <w:rsid w:val="30D40DC0"/>
    <w:rsid w:val="3120545C"/>
    <w:rsid w:val="314F3A40"/>
    <w:rsid w:val="315F4EF7"/>
    <w:rsid w:val="318662D4"/>
    <w:rsid w:val="31B431FC"/>
    <w:rsid w:val="31BF3661"/>
    <w:rsid w:val="31E7091B"/>
    <w:rsid w:val="320632E6"/>
    <w:rsid w:val="32341AE0"/>
    <w:rsid w:val="32CB655B"/>
    <w:rsid w:val="32D36001"/>
    <w:rsid w:val="32EE6800"/>
    <w:rsid w:val="33000FD2"/>
    <w:rsid w:val="33115280"/>
    <w:rsid w:val="334E2B56"/>
    <w:rsid w:val="336700C0"/>
    <w:rsid w:val="338A074D"/>
    <w:rsid w:val="33B43954"/>
    <w:rsid w:val="33D11D7D"/>
    <w:rsid w:val="33E87B9C"/>
    <w:rsid w:val="34475891"/>
    <w:rsid w:val="347030D7"/>
    <w:rsid w:val="34BD34E8"/>
    <w:rsid w:val="34EC0811"/>
    <w:rsid w:val="351103F9"/>
    <w:rsid w:val="3511083F"/>
    <w:rsid w:val="3560162E"/>
    <w:rsid w:val="35621036"/>
    <w:rsid w:val="356A5961"/>
    <w:rsid w:val="357276D6"/>
    <w:rsid w:val="358A4173"/>
    <w:rsid w:val="3593431F"/>
    <w:rsid w:val="359E5159"/>
    <w:rsid w:val="359F6F62"/>
    <w:rsid w:val="35D4062A"/>
    <w:rsid w:val="35E35710"/>
    <w:rsid w:val="35FE1B65"/>
    <w:rsid w:val="36236677"/>
    <w:rsid w:val="36325D21"/>
    <w:rsid w:val="364277DA"/>
    <w:rsid w:val="3661508B"/>
    <w:rsid w:val="36823F75"/>
    <w:rsid w:val="368D57F8"/>
    <w:rsid w:val="369D5F67"/>
    <w:rsid w:val="36AD7FBC"/>
    <w:rsid w:val="371F20D5"/>
    <w:rsid w:val="372F01AC"/>
    <w:rsid w:val="375529AC"/>
    <w:rsid w:val="376227B5"/>
    <w:rsid w:val="37647926"/>
    <w:rsid w:val="37C8703B"/>
    <w:rsid w:val="37D713C4"/>
    <w:rsid w:val="380C7DF3"/>
    <w:rsid w:val="382A4B17"/>
    <w:rsid w:val="383C0589"/>
    <w:rsid w:val="38573A87"/>
    <w:rsid w:val="3871650A"/>
    <w:rsid w:val="3899257C"/>
    <w:rsid w:val="38B434B5"/>
    <w:rsid w:val="38C64401"/>
    <w:rsid w:val="38D57C86"/>
    <w:rsid w:val="38F32331"/>
    <w:rsid w:val="390B6E16"/>
    <w:rsid w:val="3915774E"/>
    <w:rsid w:val="3949349B"/>
    <w:rsid w:val="39B26287"/>
    <w:rsid w:val="39DB38BB"/>
    <w:rsid w:val="39EA622D"/>
    <w:rsid w:val="39F163AA"/>
    <w:rsid w:val="3A0050A2"/>
    <w:rsid w:val="3A87228E"/>
    <w:rsid w:val="3AC778B2"/>
    <w:rsid w:val="3AD25D38"/>
    <w:rsid w:val="3B003AC3"/>
    <w:rsid w:val="3B231E5D"/>
    <w:rsid w:val="3B4B4440"/>
    <w:rsid w:val="3B781C7B"/>
    <w:rsid w:val="3B7B3E68"/>
    <w:rsid w:val="3BB914FE"/>
    <w:rsid w:val="3BD10E62"/>
    <w:rsid w:val="3BEA0AD0"/>
    <w:rsid w:val="3C0773C7"/>
    <w:rsid w:val="3CC72349"/>
    <w:rsid w:val="3CEB7474"/>
    <w:rsid w:val="3CF46369"/>
    <w:rsid w:val="3D107396"/>
    <w:rsid w:val="3D1D6136"/>
    <w:rsid w:val="3D3F11C7"/>
    <w:rsid w:val="3D660AD2"/>
    <w:rsid w:val="3D845E46"/>
    <w:rsid w:val="3D9768B5"/>
    <w:rsid w:val="3DC548BE"/>
    <w:rsid w:val="3DDF09D7"/>
    <w:rsid w:val="3E0B4C99"/>
    <w:rsid w:val="3E297267"/>
    <w:rsid w:val="3E4E7410"/>
    <w:rsid w:val="3ED75B45"/>
    <w:rsid w:val="3F392B31"/>
    <w:rsid w:val="3F460880"/>
    <w:rsid w:val="3F8A09AE"/>
    <w:rsid w:val="3FA209D2"/>
    <w:rsid w:val="3FCA4247"/>
    <w:rsid w:val="3FCC6E66"/>
    <w:rsid w:val="3FEB1BB3"/>
    <w:rsid w:val="3FF82338"/>
    <w:rsid w:val="3FF934D2"/>
    <w:rsid w:val="3FF9422E"/>
    <w:rsid w:val="400B0453"/>
    <w:rsid w:val="401D48ED"/>
    <w:rsid w:val="40303BC7"/>
    <w:rsid w:val="40414F3F"/>
    <w:rsid w:val="40960D1D"/>
    <w:rsid w:val="40AA1BA1"/>
    <w:rsid w:val="40DB6118"/>
    <w:rsid w:val="40E8526D"/>
    <w:rsid w:val="410901B4"/>
    <w:rsid w:val="41347739"/>
    <w:rsid w:val="4164749B"/>
    <w:rsid w:val="416B5C2E"/>
    <w:rsid w:val="417D235A"/>
    <w:rsid w:val="41A81187"/>
    <w:rsid w:val="41A8684F"/>
    <w:rsid w:val="41D55204"/>
    <w:rsid w:val="420F6FCD"/>
    <w:rsid w:val="423029C2"/>
    <w:rsid w:val="42314822"/>
    <w:rsid w:val="425A655D"/>
    <w:rsid w:val="4275545E"/>
    <w:rsid w:val="42A84FEE"/>
    <w:rsid w:val="42CA6476"/>
    <w:rsid w:val="42D979DF"/>
    <w:rsid w:val="42E70CB7"/>
    <w:rsid w:val="42ED036C"/>
    <w:rsid w:val="42F25D78"/>
    <w:rsid w:val="430A4C85"/>
    <w:rsid w:val="432D544F"/>
    <w:rsid w:val="43385BE7"/>
    <w:rsid w:val="436324FB"/>
    <w:rsid w:val="436C6514"/>
    <w:rsid w:val="439D79C2"/>
    <w:rsid w:val="44025FF0"/>
    <w:rsid w:val="44050B05"/>
    <w:rsid w:val="442A0163"/>
    <w:rsid w:val="444C4B89"/>
    <w:rsid w:val="444F1CAD"/>
    <w:rsid w:val="4474772B"/>
    <w:rsid w:val="448C675B"/>
    <w:rsid w:val="44BB4C36"/>
    <w:rsid w:val="44ED2D4F"/>
    <w:rsid w:val="44F6040D"/>
    <w:rsid w:val="4503206B"/>
    <w:rsid w:val="45157C9A"/>
    <w:rsid w:val="452405CF"/>
    <w:rsid w:val="452B5B78"/>
    <w:rsid w:val="45413D7E"/>
    <w:rsid w:val="45440BC3"/>
    <w:rsid w:val="456C000F"/>
    <w:rsid w:val="4570058F"/>
    <w:rsid w:val="457C0AB6"/>
    <w:rsid w:val="45BA2C73"/>
    <w:rsid w:val="45DC72A8"/>
    <w:rsid w:val="45FE3387"/>
    <w:rsid w:val="46353153"/>
    <w:rsid w:val="463702D9"/>
    <w:rsid w:val="46517C17"/>
    <w:rsid w:val="4667497B"/>
    <w:rsid w:val="468C796F"/>
    <w:rsid w:val="469258AC"/>
    <w:rsid w:val="46E30A0B"/>
    <w:rsid w:val="47024CEA"/>
    <w:rsid w:val="470A30A8"/>
    <w:rsid w:val="47106F10"/>
    <w:rsid w:val="472225DE"/>
    <w:rsid w:val="472260AB"/>
    <w:rsid w:val="47472A78"/>
    <w:rsid w:val="4763732C"/>
    <w:rsid w:val="476C45BB"/>
    <w:rsid w:val="4790568D"/>
    <w:rsid w:val="479937AB"/>
    <w:rsid w:val="47AF66FB"/>
    <w:rsid w:val="47DF7677"/>
    <w:rsid w:val="480F06BC"/>
    <w:rsid w:val="481D505D"/>
    <w:rsid w:val="48214FD2"/>
    <w:rsid w:val="48723C88"/>
    <w:rsid w:val="48D0073C"/>
    <w:rsid w:val="48FD7E25"/>
    <w:rsid w:val="49233604"/>
    <w:rsid w:val="49665C54"/>
    <w:rsid w:val="4993312E"/>
    <w:rsid w:val="49A35A27"/>
    <w:rsid w:val="49D54CD9"/>
    <w:rsid w:val="49D818E3"/>
    <w:rsid w:val="49E566FD"/>
    <w:rsid w:val="49EC5001"/>
    <w:rsid w:val="4A17616D"/>
    <w:rsid w:val="4A374F24"/>
    <w:rsid w:val="4A5D35A8"/>
    <w:rsid w:val="4ABB024F"/>
    <w:rsid w:val="4ACC2D26"/>
    <w:rsid w:val="4B223B3A"/>
    <w:rsid w:val="4B480727"/>
    <w:rsid w:val="4B4A472C"/>
    <w:rsid w:val="4B506D2F"/>
    <w:rsid w:val="4B5139C2"/>
    <w:rsid w:val="4B58003A"/>
    <w:rsid w:val="4BA60329"/>
    <w:rsid w:val="4BB741D5"/>
    <w:rsid w:val="4BBC7A8E"/>
    <w:rsid w:val="4C0162DD"/>
    <w:rsid w:val="4C0807DC"/>
    <w:rsid w:val="4C0D4C72"/>
    <w:rsid w:val="4C236853"/>
    <w:rsid w:val="4C5D7C38"/>
    <w:rsid w:val="4C7363B1"/>
    <w:rsid w:val="4C781392"/>
    <w:rsid w:val="4CB86AAC"/>
    <w:rsid w:val="4CC72692"/>
    <w:rsid w:val="4CD47F5C"/>
    <w:rsid w:val="4CE11DBC"/>
    <w:rsid w:val="4CFF79F1"/>
    <w:rsid w:val="4D1D7C74"/>
    <w:rsid w:val="4D674992"/>
    <w:rsid w:val="4D9D2EE1"/>
    <w:rsid w:val="4DC40ACF"/>
    <w:rsid w:val="4DC7686A"/>
    <w:rsid w:val="4DDC6381"/>
    <w:rsid w:val="4DF669F1"/>
    <w:rsid w:val="4E0E0704"/>
    <w:rsid w:val="4E154C24"/>
    <w:rsid w:val="4E4771DD"/>
    <w:rsid w:val="4E537353"/>
    <w:rsid w:val="4E681EE5"/>
    <w:rsid w:val="4E8E554F"/>
    <w:rsid w:val="4E920AD3"/>
    <w:rsid w:val="4E921973"/>
    <w:rsid w:val="4EB24396"/>
    <w:rsid w:val="4EB95FDC"/>
    <w:rsid w:val="4EC34911"/>
    <w:rsid w:val="4F07276A"/>
    <w:rsid w:val="4F4D0BA9"/>
    <w:rsid w:val="4F6276F7"/>
    <w:rsid w:val="4F9D3A49"/>
    <w:rsid w:val="4FAD49BA"/>
    <w:rsid w:val="4FDB3CA3"/>
    <w:rsid w:val="4FDD26EB"/>
    <w:rsid w:val="4FEC5624"/>
    <w:rsid w:val="50196390"/>
    <w:rsid w:val="505A7205"/>
    <w:rsid w:val="509A0A46"/>
    <w:rsid w:val="50B31B91"/>
    <w:rsid w:val="50B35D72"/>
    <w:rsid w:val="50BA25DF"/>
    <w:rsid w:val="50E816D1"/>
    <w:rsid w:val="50ED009B"/>
    <w:rsid w:val="51006E66"/>
    <w:rsid w:val="51350470"/>
    <w:rsid w:val="51547159"/>
    <w:rsid w:val="51676FF5"/>
    <w:rsid w:val="51AD1BC8"/>
    <w:rsid w:val="51AD1E6F"/>
    <w:rsid w:val="51B23DA1"/>
    <w:rsid w:val="51D90263"/>
    <w:rsid w:val="51F41D47"/>
    <w:rsid w:val="51F474B2"/>
    <w:rsid w:val="52702852"/>
    <w:rsid w:val="52A50DA6"/>
    <w:rsid w:val="52BB6F77"/>
    <w:rsid w:val="52BF2BE1"/>
    <w:rsid w:val="52FB5AE7"/>
    <w:rsid w:val="530D2591"/>
    <w:rsid w:val="53303F2C"/>
    <w:rsid w:val="534E4A63"/>
    <w:rsid w:val="537816CF"/>
    <w:rsid w:val="537F730E"/>
    <w:rsid w:val="539C125F"/>
    <w:rsid w:val="53AE1B51"/>
    <w:rsid w:val="53B950C7"/>
    <w:rsid w:val="53D61D4B"/>
    <w:rsid w:val="53DA1237"/>
    <w:rsid w:val="53FE3D6D"/>
    <w:rsid w:val="542D60B8"/>
    <w:rsid w:val="54354FE6"/>
    <w:rsid w:val="54455CB6"/>
    <w:rsid w:val="54495BD5"/>
    <w:rsid w:val="544D0461"/>
    <w:rsid w:val="54792A10"/>
    <w:rsid w:val="54977D3B"/>
    <w:rsid w:val="549B0111"/>
    <w:rsid w:val="54B17187"/>
    <w:rsid w:val="54C4648C"/>
    <w:rsid w:val="54D24B5D"/>
    <w:rsid w:val="54F34DA3"/>
    <w:rsid w:val="55116D33"/>
    <w:rsid w:val="552E67E2"/>
    <w:rsid w:val="552F6792"/>
    <w:rsid w:val="55695D8F"/>
    <w:rsid w:val="55BA0281"/>
    <w:rsid w:val="55BB30FC"/>
    <w:rsid w:val="55CB6A60"/>
    <w:rsid w:val="55F27804"/>
    <w:rsid w:val="562A4125"/>
    <w:rsid w:val="563B3C12"/>
    <w:rsid w:val="563F64A2"/>
    <w:rsid w:val="56413644"/>
    <w:rsid w:val="56AB493C"/>
    <w:rsid w:val="572068E7"/>
    <w:rsid w:val="572527AB"/>
    <w:rsid w:val="57316988"/>
    <w:rsid w:val="573C4500"/>
    <w:rsid w:val="57A838EA"/>
    <w:rsid w:val="57A8555C"/>
    <w:rsid w:val="5809590A"/>
    <w:rsid w:val="580B0917"/>
    <w:rsid w:val="5814443C"/>
    <w:rsid w:val="5838116C"/>
    <w:rsid w:val="587638F5"/>
    <w:rsid w:val="58E8622A"/>
    <w:rsid w:val="59536D0A"/>
    <w:rsid w:val="59632AD4"/>
    <w:rsid w:val="59712DDB"/>
    <w:rsid w:val="59850DBF"/>
    <w:rsid w:val="59C669DB"/>
    <w:rsid w:val="59CE33C5"/>
    <w:rsid w:val="5A2F26C7"/>
    <w:rsid w:val="5A5D218A"/>
    <w:rsid w:val="5A6027B6"/>
    <w:rsid w:val="5A8447BC"/>
    <w:rsid w:val="5AAC1D30"/>
    <w:rsid w:val="5AEA2FD1"/>
    <w:rsid w:val="5AEB0640"/>
    <w:rsid w:val="5AFF6524"/>
    <w:rsid w:val="5B382E38"/>
    <w:rsid w:val="5B3D0AA7"/>
    <w:rsid w:val="5B400A64"/>
    <w:rsid w:val="5B6D15A6"/>
    <w:rsid w:val="5B731918"/>
    <w:rsid w:val="5B92320C"/>
    <w:rsid w:val="5B9B7DE4"/>
    <w:rsid w:val="5BA30A9E"/>
    <w:rsid w:val="5BBD6D09"/>
    <w:rsid w:val="5BC669CD"/>
    <w:rsid w:val="5BD5278A"/>
    <w:rsid w:val="5BD9011F"/>
    <w:rsid w:val="5C1F47A1"/>
    <w:rsid w:val="5C2B1F9F"/>
    <w:rsid w:val="5C4757AD"/>
    <w:rsid w:val="5C7A51FF"/>
    <w:rsid w:val="5CB31C83"/>
    <w:rsid w:val="5CBA0BEE"/>
    <w:rsid w:val="5CCA00D0"/>
    <w:rsid w:val="5D672664"/>
    <w:rsid w:val="5DA34DBF"/>
    <w:rsid w:val="5DBC34DA"/>
    <w:rsid w:val="5DF270AC"/>
    <w:rsid w:val="5E0554B3"/>
    <w:rsid w:val="5E093C4D"/>
    <w:rsid w:val="5E213DE7"/>
    <w:rsid w:val="5E500922"/>
    <w:rsid w:val="5E5B68D4"/>
    <w:rsid w:val="5E67510F"/>
    <w:rsid w:val="5E857F4C"/>
    <w:rsid w:val="5E8E5C87"/>
    <w:rsid w:val="5ED9540F"/>
    <w:rsid w:val="5F535221"/>
    <w:rsid w:val="5F741DC4"/>
    <w:rsid w:val="5F870643"/>
    <w:rsid w:val="5FA044C9"/>
    <w:rsid w:val="5FEB7BA3"/>
    <w:rsid w:val="5FFB55E2"/>
    <w:rsid w:val="600C64CC"/>
    <w:rsid w:val="60172814"/>
    <w:rsid w:val="60364D17"/>
    <w:rsid w:val="60607250"/>
    <w:rsid w:val="60996DB7"/>
    <w:rsid w:val="60AA035E"/>
    <w:rsid w:val="60AF0456"/>
    <w:rsid w:val="60BF05E9"/>
    <w:rsid w:val="60D63C22"/>
    <w:rsid w:val="60E54FCF"/>
    <w:rsid w:val="610E6C81"/>
    <w:rsid w:val="611706D1"/>
    <w:rsid w:val="61315CC5"/>
    <w:rsid w:val="6132342A"/>
    <w:rsid w:val="614D7CAC"/>
    <w:rsid w:val="61624A10"/>
    <w:rsid w:val="616739A1"/>
    <w:rsid w:val="616922EF"/>
    <w:rsid w:val="618D0D73"/>
    <w:rsid w:val="61AC79C7"/>
    <w:rsid w:val="61B970AD"/>
    <w:rsid w:val="61D3613A"/>
    <w:rsid w:val="61E26829"/>
    <w:rsid w:val="62052ADC"/>
    <w:rsid w:val="621351CE"/>
    <w:rsid w:val="623F6220"/>
    <w:rsid w:val="62513074"/>
    <w:rsid w:val="62783636"/>
    <w:rsid w:val="62A26CB2"/>
    <w:rsid w:val="62DA2331"/>
    <w:rsid w:val="636830A6"/>
    <w:rsid w:val="636C6AC9"/>
    <w:rsid w:val="63E9627F"/>
    <w:rsid w:val="63FF28F5"/>
    <w:rsid w:val="642E18D2"/>
    <w:rsid w:val="643856D7"/>
    <w:rsid w:val="64593940"/>
    <w:rsid w:val="6479596E"/>
    <w:rsid w:val="64981FEB"/>
    <w:rsid w:val="64AC2F30"/>
    <w:rsid w:val="64C03933"/>
    <w:rsid w:val="64C10CCE"/>
    <w:rsid w:val="64C64AB1"/>
    <w:rsid w:val="64E546DC"/>
    <w:rsid w:val="64EF2F22"/>
    <w:rsid w:val="64F03841"/>
    <w:rsid w:val="64F82EDA"/>
    <w:rsid w:val="650D3E77"/>
    <w:rsid w:val="6529203E"/>
    <w:rsid w:val="654B693A"/>
    <w:rsid w:val="655C550A"/>
    <w:rsid w:val="65807852"/>
    <w:rsid w:val="65A55FE4"/>
    <w:rsid w:val="65F032E7"/>
    <w:rsid w:val="65F436B3"/>
    <w:rsid w:val="664B5DBB"/>
    <w:rsid w:val="66567C38"/>
    <w:rsid w:val="66685FDB"/>
    <w:rsid w:val="66D80871"/>
    <w:rsid w:val="66ED0A4D"/>
    <w:rsid w:val="67034298"/>
    <w:rsid w:val="674C750A"/>
    <w:rsid w:val="6754248E"/>
    <w:rsid w:val="676E1FB7"/>
    <w:rsid w:val="678E16BF"/>
    <w:rsid w:val="67965715"/>
    <w:rsid w:val="67B744C2"/>
    <w:rsid w:val="67F371D2"/>
    <w:rsid w:val="67FF1904"/>
    <w:rsid w:val="688648EE"/>
    <w:rsid w:val="689A75FB"/>
    <w:rsid w:val="68D712B9"/>
    <w:rsid w:val="68DC01D7"/>
    <w:rsid w:val="68E40003"/>
    <w:rsid w:val="68E94CA9"/>
    <w:rsid w:val="68EE4C27"/>
    <w:rsid w:val="68EE74B6"/>
    <w:rsid w:val="690F12B9"/>
    <w:rsid w:val="69301668"/>
    <w:rsid w:val="69516A9E"/>
    <w:rsid w:val="69644337"/>
    <w:rsid w:val="698F51A9"/>
    <w:rsid w:val="69A60484"/>
    <w:rsid w:val="69BC4197"/>
    <w:rsid w:val="69C72875"/>
    <w:rsid w:val="69D04DB8"/>
    <w:rsid w:val="69DC7147"/>
    <w:rsid w:val="6A0F3685"/>
    <w:rsid w:val="6A26766B"/>
    <w:rsid w:val="6AAC1004"/>
    <w:rsid w:val="6AB543FB"/>
    <w:rsid w:val="6AC7540D"/>
    <w:rsid w:val="6AD3694B"/>
    <w:rsid w:val="6ADE6BE2"/>
    <w:rsid w:val="6B2E466F"/>
    <w:rsid w:val="6B4D11CE"/>
    <w:rsid w:val="6B604FD0"/>
    <w:rsid w:val="6BA52731"/>
    <w:rsid w:val="6BD47CF8"/>
    <w:rsid w:val="6BE61F5D"/>
    <w:rsid w:val="6BF45AC3"/>
    <w:rsid w:val="6BF94D7C"/>
    <w:rsid w:val="6BFF09BD"/>
    <w:rsid w:val="6C1F299C"/>
    <w:rsid w:val="6C274688"/>
    <w:rsid w:val="6CA226F2"/>
    <w:rsid w:val="6CD033BB"/>
    <w:rsid w:val="6CE3352C"/>
    <w:rsid w:val="6CF43CE8"/>
    <w:rsid w:val="6D1B52A2"/>
    <w:rsid w:val="6D1C68EC"/>
    <w:rsid w:val="6D472515"/>
    <w:rsid w:val="6D757166"/>
    <w:rsid w:val="6D8510A3"/>
    <w:rsid w:val="6DD02B68"/>
    <w:rsid w:val="6DD07D4F"/>
    <w:rsid w:val="6DDB415B"/>
    <w:rsid w:val="6E0536D4"/>
    <w:rsid w:val="6E21519E"/>
    <w:rsid w:val="6E2A32F7"/>
    <w:rsid w:val="6E2F3CE3"/>
    <w:rsid w:val="6E6A54B8"/>
    <w:rsid w:val="6E6E1354"/>
    <w:rsid w:val="6E9B3FD3"/>
    <w:rsid w:val="6EB012A4"/>
    <w:rsid w:val="6EC6082A"/>
    <w:rsid w:val="6EE137ED"/>
    <w:rsid w:val="6EEB643E"/>
    <w:rsid w:val="6F06212A"/>
    <w:rsid w:val="6F17123B"/>
    <w:rsid w:val="6F3A1152"/>
    <w:rsid w:val="6F5D6114"/>
    <w:rsid w:val="6F6C74BC"/>
    <w:rsid w:val="6F7C1492"/>
    <w:rsid w:val="6FAC4855"/>
    <w:rsid w:val="6FAF08A9"/>
    <w:rsid w:val="6FC97604"/>
    <w:rsid w:val="6FE76946"/>
    <w:rsid w:val="70125AA3"/>
    <w:rsid w:val="701B234A"/>
    <w:rsid w:val="703C2F6C"/>
    <w:rsid w:val="706053F2"/>
    <w:rsid w:val="707657FC"/>
    <w:rsid w:val="70C70399"/>
    <w:rsid w:val="70FB6B2D"/>
    <w:rsid w:val="710B64CD"/>
    <w:rsid w:val="714C711E"/>
    <w:rsid w:val="718821C9"/>
    <w:rsid w:val="7189658C"/>
    <w:rsid w:val="71C21C9E"/>
    <w:rsid w:val="71CC6D8F"/>
    <w:rsid w:val="71DA3D6D"/>
    <w:rsid w:val="71DA4F59"/>
    <w:rsid w:val="71E04D58"/>
    <w:rsid w:val="72096BA1"/>
    <w:rsid w:val="72377A33"/>
    <w:rsid w:val="72655545"/>
    <w:rsid w:val="72904281"/>
    <w:rsid w:val="72FD154A"/>
    <w:rsid w:val="737E37DF"/>
    <w:rsid w:val="73AF1C7B"/>
    <w:rsid w:val="7427118C"/>
    <w:rsid w:val="746E27E7"/>
    <w:rsid w:val="74824C15"/>
    <w:rsid w:val="74947D3B"/>
    <w:rsid w:val="74AE6B7F"/>
    <w:rsid w:val="74C84854"/>
    <w:rsid w:val="74D56265"/>
    <w:rsid w:val="74F63313"/>
    <w:rsid w:val="75265AD6"/>
    <w:rsid w:val="758564B5"/>
    <w:rsid w:val="75D56BA0"/>
    <w:rsid w:val="75DA78BF"/>
    <w:rsid w:val="75DB3512"/>
    <w:rsid w:val="760769ED"/>
    <w:rsid w:val="7621132F"/>
    <w:rsid w:val="7639492E"/>
    <w:rsid w:val="763B5A46"/>
    <w:rsid w:val="769532F5"/>
    <w:rsid w:val="76975D28"/>
    <w:rsid w:val="76AF2123"/>
    <w:rsid w:val="76F843E8"/>
    <w:rsid w:val="76FD5229"/>
    <w:rsid w:val="77080A48"/>
    <w:rsid w:val="7710655E"/>
    <w:rsid w:val="77270491"/>
    <w:rsid w:val="778F4EB4"/>
    <w:rsid w:val="77C27B15"/>
    <w:rsid w:val="785B3A6C"/>
    <w:rsid w:val="78641535"/>
    <w:rsid w:val="786F7C15"/>
    <w:rsid w:val="7879287C"/>
    <w:rsid w:val="78F20A37"/>
    <w:rsid w:val="78FE49BF"/>
    <w:rsid w:val="792D3A71"/>
    <w:rsid w:val="79406F6B"/>
    <w:rsid w:val="79567802"/>
    <w:rsid w:val="796F7DEA"/>
    <w:rsid w:val="79717FD3"/>
    <w:rsid w:val="79BD4159"/>
    <w:rsid w:val="79E90E63"/>
    <w:rsid w:val="7A152833"/>
    <w:rsid w:val="7A5F1FB6"/>
    <w:rsid w:val="7A7F795D"/>
    <w:rsid w:val="7AA6618B"/>
    <w:rsid w:val="7AB55FAF"/>
    <w:rsid w:val="7ABE45F7"/>
    <w:rsid w:val="7AEC7A37"/>
    <w:rsid w:val="7B285AB0"/>
    <w:rsid w:val="7B311B07"/>
    <w:rsid w:val="7B361990"/>
    <w:rsid w:val="7B597795"/>
    <w:rsid w:val="7B755631"/>
    <w:rsid w:val="7B866E7B"/>
    <w:rsid w:val="7B9D630D"/>
    <w:rsid w:val="7BCC4E2D"/>
    <w:rsid w:val="7C0712C8"/>
    <w:rsid w:val="7C186CFE"/>
    <w:rsid w:val="7C231BB2"/>
    <w:rsid w:val="7C3D7A8E"/>
    <w:rsid w:val="7C9F6643"/>
    <w:rsid w:val="7CE177EF"/>
    <w:rsid w:val="7CF20D9C"/>
    <w:rsid w:val="7D0510E5"/>
    <w:rsid w:val="7D191C6C"/>
    <w:rsid w:val="7D2409BF"/>
    <w:rsid w:val="7D2A6035"/>
    <w:rsid w:val="7D3765B9"/>
    <w:rsid w:val="7D4041AC"/>
    <w:rsid w:val="7D421DB7"/>
    <w:rsid w:val="7D4C58CB"/>
    <w:rsid w:val="7D59488E"/>
    <w:rsid w:val="7D600758"/>
    <w:rsid w:val="7DB172D4"/>
    <w:rsid w:val="7DF11E5B"/>
    <w:rsid w:val="7E043F79"/>
    <w:rsid w:val="7E366E7F"/>
    <w:rsid w:val="7E453FD6"/>
    <w:rsid w:val="7E4C403C"/>
    <w:rsid w:val="7E607C58"/>
    <w:rsid w:val="7E6420EC"/>
    <w:rsid w:val="7E796C58"/>
    <w:rsid w:val="7E9125F6"/>
    <w:rsid w:val="7EAC4724"/>
    <w:rsid w:val="7EE32B0D"/>
    <w:rsid w:val="7EE56A1E"/>
    <w:rsid w:val="7EFD16DA"/>
    <w:rsid w:val="7F29781B"/>
    <w:rsid w:val="7F2C2B38"/>
    <w:rsid w:val="7F3D2F35"/>
    <w:rsid w:val="7F5B5A88"/>
    <w:rsid w:val="7F65220C"/>
    <w:rsid w:val="7F6D4709"/>
    <w:rsid w:val="7FBA459A"/>
    <w:rsid w:val="7FDD5255"/>
    <w:rsid w:val="7FF56B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5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6">
    <w:name w:val="toc 7"/>
    <w:basedOn w:val="1"/>
    <w:next w:val="1"/>
    <w:qFormat/>
    <w:uiPriority w:val="0"/>
    <w:pPr>
      <w:ind w:left="1260"/>
      <w:jc w:val="left"/>
    </w:pPr>
    <w:rPr>
      <w:rFonts w:ascii="等线" w:eastAsia="等线"/>
      <w:sz w:val="18"/>
      <w:szCs w:val="18"/>
    </w:rPr>
  </w:style>
  <w:style w:type="paragraph" w:styleId="7">
    <w:name w:val="Body Text"/>
    <w:basedOn w:val="1"/>
    <w:qFormat/>
    <w:uiPriority w:val="0"/>
    <w:pPr>
      <w:spacing w:before="30" w:beforeLines="30"/>
    </w:pPr>
    <w:rPr>
      <w:rFonts w:ascii="仿宋_GB2312" w:eastAsia="仿宋_GB2312"/>
      <w:kern w:val="0"/>
      <w:sz w:val="24"/>
      <w:szCs w:val="20"/>
    </w:rPr>
  </w:style>
  <w:style w:type="paragraph" w:styleId="8">
    <w:name w:val="toc 5"/>
    <w:basedOn w:val="1"/>
    <w:next w:val="1"/>
    <w:qFormat/>
    <w:uiPriority w:val="0"/>
    <w:pPr>
      <w:ind w:left="840"/>
      <w:jc w:val="left"/>
    </w:pPr>
    <w:rPr>
      <w:rFonts w:ascii="等线" w:eastAsia="等线"/>
      <w:sz w:val="18"/>
      <w:szCs w:val="18"/>
    </w:rPr>
  </w:style>
  <w:style w:type="paragraph" w:styleId="9">
    <w:name w:val="toc 3"/>
    <w:basedOn w:val="1"/>
    <w:next w:val="1"/>
    <w:qFormat/>
    <w:uiPriority w:val="0"/>
    <w:pPr>
      <w:ind w:left="420"/>
      <w:jc w:val="left"/>
    </w:pPr>
    <w:rPr>
      <w:rFonts w:ascii="等线" w:eastAsia="等线"/>
      <w:i/>
      <w:iCs/>
      <w:sz w:val="20"/>
      <w:szCs w:val="20"/>
    </w:rPr>
  </w:style>
  <w:style w:type="paragraph" w:styleId="10">
    <w:name w:val="toc 8"/>
    <w:basedOn w:val="1"/>
    <w:next w:val="1"/>
    <w:qFormat/>
    <w:uiPriority w:val="0"/>
    <w:pPr>
      <w:ind w:left="1470"/>
      <w:jc w:val="left"/>
    </w:pPr>
    <w:rPr>
      <w:rFonts w:ascii="等线" w:eastAsia="等线"/>
      <w:sz w:val="18"/>
      <w:szCs w:val="18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14">
    <w:name w:val="toc 1"/>
    <w:basedOn w:val="1"/>
    <w:next w:val="1"/>
    <w:qFormat/>
    <w:uiPriority w:val="0"/>
    <w:pPr>
      <w:spacing w:before="120" w:after="120"/>
      <w:jc w:val="left"/>
    </w:pPr>
    <w:rPr>
      <w:rFonts w:ascii="等线" w:eastAsia="等线"/>
      <w:b/>
      <w:bCs/>
      <w:caps/>
      <w:sz w:val="20"/>
      <w:szCs w:val="20"/>
    </w:rPr>
  </w:style>
  <w:style w:type="paragraph" w:styleId="15">
    <w:name w:val="toc 4"/>
    <w:basedOn w:val="1"/>
    <w:next w:val="1"/>
    <w:qFormat/>
    <w:uiPriority w:val="0"/>
    <w:pPr>
      <w:ind w:left="630"/>
      <w:jc w:val="left"/>
    </w:pPr>
    <w:rPr>
      <w:rFonts w:ascii="等线" w:eastAsia="等线"/>
      <w:sz w:val="18"/>
      <w:szCs w:val="18"/>
    </w:rPr>
  </w:style>
  <w:style w:type="paragraph" w:styleId="16">
    <w:name w:val="toc 6"/>
    <w:basedOn w:val="1"/>
    <w:next w:val="1"/>
    <w:qFormat/>
    <w:uiPriority w:val="0"/>
    <w:pPr>
      <w:ind w:left="1050"/>
      <w:jc w:val="left"/>
    </w:pPr>
    <w:rPr>
      <w:rFonts w:ascii="等线" w:eastAsia="等线"/>
      <w:sz w:val="18"/>
      <w:szCs w:val="18"/>
    </w:rPr>
  </w:style>
  <w:style w:type="paragraph" w:styleId="17">
    <w:name w:val="toc 2"/>
    <w:basedOn w:val="1"/>
    <w:next w:val="1"/>
    <w:qFormat/>
    <w:uiPriority w:val="0"/>
    <w:pPr>
      <w:ind w:left="210"/>
      <w:jc w:val="left"/>
    </w:pPr>
    <w:rPr>
      <w:rFonts w:ascii="等线" w:eastAsia="等线"/>
      <w:smallCaps/>
      <w:sz w:val="20"/>
      <w:szCs w:val="20"/>
    </w:rPr>
  </w:style>
  <w:style w:type="paragraph" w:styleId="18">
    <w:name w:val="toc 9"/>
    <w:basedOn w:val="1"/>
    <w:next w:val="1"/>
    <w:qFormat/>
    <w:uiPriority w:val="0"/>
    <w:pPr>
      <w:ind w:left="1680"/>
      <w:jc w:val="left"/>
    </w:pPr>
    <w:rPr>
      <w:rFonts w:ascii="等线" w:eastAsia="等线"/>
      <w:sz w:val="18"/>
      <w:szCs w:val="18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22">
    <w:name w:val="Strong"/>
    <w:basedOn w:val="21"/>
    <w:qFormat/>
    <w:uiPriority w:val="0"/>
    <w:rPr>
      <w:rFonts w:cs="Times New Roman"/>
      <w:b/>
    </w:rPr>
  </w:style>
  <w:style w:type="character" w:styleId="23">
    <w:name w:val="Hyperlink"/>
    <w:basedOn w:val="21"/>
    <w:qFormat/>
    <w:uiPriority w:val="0"/>
    <w:rPr>
      <w:rFonts w:cs="Times New Roman"/>
      <w:color w:val="0000FF"/>
      <w:u w:val="single"/>
    </w:rPr>
  </w:style>
  <w:style w:type="character" w:customStyle="1" w:styleId="24">
    <w:name w:val="heading 1 Char"/>
    <w:basedOn w:val="21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5">
    <w:name w:val="heading 2 Char"/>
    <w:basedOn w:val="21"/>
    <w:link w:val="4"/>
    <w:qFormat/>
    <w:uiPriority w:val="0"/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6">
    <w:name w:val="Body Text Char"/>
    <w:basedOn w:val="21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27">
    <w:name w:val="Footer Char"/>
    <w:basedOn w:val="21"/>
    <w:qFormat/>
    <w:uiPriority w:val="0"/>
    <w:rPr>
      <w:rFonts w:ascii="Times New Roman" w:hAnsi="Times New Roman" w:cs="Times New Roman"/>
      <w:sz w:val="18"/>
      <w:szCs w:val="18"/>
    </w:rPr>
  </w:style>
  <w:style w:type="character" w:customStyle="1" w:styleId="28">
    <w:name w:val="Header Char"/>
    <w:basedOn w:val="21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customStyle="1" w:styleId="30">
    <w:name w:val="列表段落1"/>
    <w:basedOn w:val="1"/>
    <w:qFormat/>
    <w:uiPriority w:val="0"/>
    <w:pPr>
      <w:ind w:firstLine="200" w:firstLineChars="200"/>
    </w:pPr>
  </w:style>
  <w:style w:type="paragraph" w:customStyle="1" w:styleId="31">
    <w:name w:val="TOC 标题1"/>
    <w:basedOn w:val="3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2">
    <w:name w:val="TOC Heading1"/>
    <w:basedOn w:val="3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3">
    <w:name w:val="TOC Heading"/>
    <w:basedOn w:val="3"/>
    <w:next w:val="1"/>
    <w:qFormat/>
    <w:uiPriority w:val="0"/>
    <w:pPr>
      <w:keepNext/>
      <w:keepLines/>
      <w:widowControl/>
      <w:spacing w:before="240" w:after="0" w:line="259" w:lineRule="auto"/>
      <w:jc w:val="left"/>
      <w:outlineLvl w:val="9"/>
    </w:pPr>
    <w:rPr>
      <w:rFonts w:ascii="等线 Light" w:eastAsia="等线 Light" w:cs="Times New Roman"/>
      <w:b w:val="0"/>
      <w:bCs w:val="0"/>
      <w:color w:val="2F5496"/>
      <w:kern w:val="0"/>
      <w:sz w:val="32"/>
      <w:szCs w:val="32"/>
    </w:rPr>
  </w:style>
  <w:style w:type="paragraph" w:customStyle="1" w:styleId="34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 w:eastAsia="zh-CN"/>
    </w:rPr>
  </w:style>
  <w:style w:type="character" w:customStyle="1" w:styleId="35">
    <w:name w:val="Heading 1 Char"/>
    <w:basedOn w:val="21"/>
    <w:link w:val="3"/>
    <w:qFormat/>
    <w:locked/>
    <w:uiPriority w:val="99"/>
    <w:rPr>
      <w:rFonts w:ascii="Times New Roman" w:hAnsi="Times New Roman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Documents%20and%20Settings\Administrator\&#26700;&#38754;\&#26032;&#24314;%20Microsoft%20Excel%20&#24037;&#20316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Documents%20and%20Settings\Administrator\&#26700;&#38754;\&#26032;&#24314;%20Microsoft%20Excel%20&#24037;&#20316;&#34920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Documents%20and%20Settings\Administrator\&#26700;&#38754;\&#26032;&#24314;%20Microsoft%20Excel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800" b="0"/>
              <a:t>一般公共</a:t>
            </a:r>
            <a:r>
              <a:rPr sz="800" b="0">
                <a:solidFill>
                  <a:schemeClr val="tx1">
                    <a:lumMod val="75000"/>
                    <a:lumOff val="25000"/>
                  </a:schemeClr>
                </a:solidFill>
                <a:uFillTx/>
              </a:rPr>
              <a:t>预算</a:t>
            </a:r>
            <a:r>
              <a:rPr sz="800" b="0"/>
              <a:t>财政拨</a:t>
            </a:r>
            <a:r>
              <a:rPr sz="800" b="0">
                <a:solidFill>
                  <a:schemeClr val="tx1">
                    <a:lumMod val="75000"/>
                    <a:lumOff val="25000"/>
                  </a:schemeClr>
                </a:solidFill>
                <a:uFillTx/>
              </a:rPr>
              <a:t>款收入</a:t>
            </a:r>
            <a:endParaRPr sz="800" b="0">
              <a:solidFill>
                <a:schemeClr val="tx1">
                  <a:lumMod val="75000"/>
                  <a:lumOff val="25000"/>
                </a:schemeClr>
              </a:solidFill>
              <a:uFillTx/>
            </a:endParaRPr>
          </a:p>
        </c:rich>
      </c:tx>
      <c:layout>
        <c:manualLayout>
          <c:xMode val="edge"/>
          <c:yMode val="edge"/>
          <c:x val="0.451796353132334"/>
          <c:y val="0.011556240369799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9991562995624"/>
          <c:y val="0.0515641253624837"/>
          <c:w val="0.37940379403794"/>
          <c:h val="0.70050035739814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基本支出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占</c:v>
                </c:pt>
              </c:strCache>
            </c:strRef>
          </c:cat>
          <c:val>
            <c:numRef>
              <c:f>Sheet1!$B$2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328194444444444"/>
          <c:y val="0.00694444444444444"/>
          <c:w val="0.396388888888889"/>
          <c:h val="0.66064814814814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基本支出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</c:f>
              <c:strCache>
                <c:ptCount val="1"/>
                <c:pt idx="0">
                  <c:v>占</c:v>
                </c:pt>
              </c:strCache>
            </c:strRef>
          </c:cat>
          <c:val>
            <c:numRef>
              <c:f>Sheet1!$B$2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32172651432717"/>
          <c:y val="0.0099272005294507"/>
          <c:w val="0.468262604280014"/>
          <c:h val="0.85440105890139"/>
        </c:manualLayout>
      </c:layout>
      <c:pieChart>
        <c:varyColors val="1"/>
        <c:ser>
          <c:idx val="0"/>
          <c:order val="0"/>
          <c:tx>
            <c:strRef>
              <c:f>'[新建 Microsoft Excel 工作表.xlsx]Sheet1'!$B$1</c:f>
              <c:strCache>
                <c:ptCount val="1"/>
                <c:pt idx="0">
                  <c:v>占</c:v>
                </c:pt>
              </c:strCache>
            </c:strRef>
          </c:tx>
          <c:spPr/>
          <c:explosion val="0"/>
          <c:dPt>
            <c:idx val="0"/>
            <c:bubble3D val="0"/>
            <c:explosion val="5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72.32</a:t>
                    </a:r>
                    <a:r>
                      <a:t>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7318797878609"/>
                  <c:y val="-0.120143884892086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12.57</a:t>
                    </a:r>
                    <a:r>
                      <a:t>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939893930465527"/>
                  <c:y val="-0.19472422062350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5.57</a:t>
                    </a:r>
                    <a:r>
                      <a:t>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377599399311208"/>
                  <c:y val="-0.22468598366839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9.47</a:t>
                    </a:r>
                    <a:r>
                      <a:t>%</a:t>
                    </a:r>
                  </a:p>
                </c:rich>
              </c:tx>
              <c:numFmt formatCode="General" sourceLinked="1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'[新建 Microsoft Excel 工作表.xlsx]Sheet1'!$A$2:$A$5</c:f>
              <c:strCache>
                <c:ptCount val="4"/>
                <c:pt idx="0">
                  <c:v>一般公共服务支出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'[新建 Microsoft Excel 工作表.xlsx]Sheet1'!$B$2:$B$5</c:f>
              <c:numCache>
                <c:formatCode>0.00%</c:formatCode>
                <c:ptCount val="4"/>
                <c:pt idx="0">
                  <c:v>0.8287</c:v>
                </c:pt>
                <c:pt idx="1">
                  <c:v>0.0747</c:v>
                </c:pt>
                <c:pt idx="2">
                  <c:v>0.0392</c:v>
                </c:pt>
                <c:pt idx="3">
                  <c:v>0.0575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四川省财政厅</Company>
  <Pages>24</Pages>
  <Words>8035</Words>
  <Characters>8623</Characters>
  <Lines>596</Lines>
  <Paragraphs>286</Paragraphs>
  <TotalTime>0</TotalTime>
  <ScaleCrop>false</ScaleCrop>
  <LinksUpToDate>false</LinksUpToDate>
  <CharactersWithSpaces>8718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2021-08-06T17:38:00Z</dcterms:created>
  <dc:creator>曹颖</dc:creator>
  <cp:lastModifiedBy>user</cp:lastModifiedBy>
  <cp:lastPrinted>2022-09-23T11:53:00Z</cp:lastPrinted>
  <dcterms:modified xsi:type="dcterms:W3CDTF">2022-09-26T15:56:40Z</dcterms:modified>
  <dc:title>阿坝州部门决算说明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1BC1F0E1ED87BAB3385B3163F3AEEABE</vt:lpwstr>
  </property>
</Properties>
</file>