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52"/>
          <w:szCs w:val="52"/>
        </w:rPr>
      </w:pPr>
      <w:bookmarkStart w:id="1" w:name="_Toc15378441"/>
      <w:bookmarkStart w:id="2" w:name="_Toc15377193"/>
      <w:bookmarkStart w:id="3" w:name="_Toc15396597"/>
      <w:bookmarkStart w:id="4" w:name="_Toc15396475"/>
      <w:bookmarkStart w:id="5" w:name="_Toc15377425"/>
      <w:r>
        <w:rPr>
          <w:rFonts w:ascii="黑体" w:hAnsi="黑体" w:eastAsia="黑体"/>
          <w:color w:val="000000"/>
          <w:sz w:val="52"/>
          <w:szCs w:val="52"/>
        </w:rPr>
        <w:t>201</w:t>
      </w:r>
      <w:r>
        <w:rPr>
          <w:rFonts w:hint="eastAsia" w:ascii="黑体" w:hAnsi="黑体" w:eastAsia="黑体"/>
          <w:color w:val="000000"/>
          <w:sz w:val="52"/>
          <w:szCs w:val="52"/>
        </w:rPr>
        <w:t>9</w:t>
      </w:r>
      <w:r>
        <w:rPr>
          <w:rFonts w:hint="eastAsia" w:ascii="方正小标宋简体" w:hAnsi="宋体" w:eastAsia="方正小标宋简体"/>
          <w:color w:val="000000"/>
          <w:sz w:val="52"/>
          <w:szCs w:val="5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52"/>
          <w:szCs w:val="52"/>
        </w:rPr>
      </w:pPr>
      <w:bookmarkStart w:id="6" w:name="_Toc15377194"/>
      <w:bookmarkStart w:id="7" w:name="_Toc15378442"/>
      <w:bookmarkStart w:id="8" w:name="_Toc15396598"/>
      <w:bookmarkStart w:id="9" w:name="_Toc15377426"/>
      <w:bookmarkStart w:id="10" w:name="_Toc15396476"/>
      <w:r>
        <w:rPr>
          <w:rFonts w:hint="eastAsia" w:ascii="方正小标宋简体" w:hAnsi="宋体" w:eastAsia="方正小标宋简体"/>
          <w:color w:val="000000"/>
          <w:sz w:val="52"/>
          <w:szCs w:val="52"/>
        </w:rPr>
        <w:t>四川省阿坝州</w:t>
      </w:r>
      <w:bookmarkEnd w:id="0"/>
      <w:bookmarkStart w:id="11" w:name="_Toc15306268"/>
      <w:r>
        <w:rPr>
          <w:rFonts w:hint="eastAsia" w:ascii="方正小标宋简体" w:hAnsi="宋体" w:eastAsia="方正小标宋简体"/>
          <w:color w:val="000000"/>
          <w:sz w:val="52"/>
          <w:szCs w:val="52"/>
        </w:rPr>
        <w:t>茂县纪委决算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
      <w:pPr>
        <w:pStyle w:val="10"/>
        <w:numPr>
          <w:ilvl w:val="0"/>
          <w:numId w:val="1"/>
        </w:numPr>
        <w:adjustRightInd w:val="0"/>
        <w:snapToGrid w:val="0"/>
        <w:spacing w:before="0"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部门概况........................................4</w:t>
      </w:r>
    </w:p>
    <w:p>
      <w:pPr>
        <w:pStyle w:val="11"/>
        <w:adjustRightInd w:val="0"/>
        <w:snapToGrid w:val="0"/>
        <w:spacing w:line="440" w:lineRule="exact"/>
        <w:jc w:val="left"/>
        <w:rPr>
          <w:rFonts w:ascii="仿宋_GB2312" w:hAnsi="仿宋_GB2312" w:eastAsia="仿宋_GB2312" w:cs="仿宋_GB2312"/>
          <w:sz w:val="24"/>
        </w:rPr>
      </w:pPr>
      <w:r>
        <w:rPr>
          <w:rFonts w:hint="eastAsia" w:ascii="仿宋_GB2312" w:hAnsi="仿宋_GB2312" w:eastAsia="仿宋_GB2312" w:cs="仿宋_GB2312"/>
          <w:sz w:val="24"/>
        </w:rPr>
        <w:t>一、基本职能及主要工作................................4</w:t>
      </w:r>
    </w:p>
    <w:p>
      <w:pPr>
        <w:pStyle w:val="11"/>
        <w:numPr>
          <w:ilvl w:val="0"/>
          <w:numId w:val="2"/>
        </w:numPr>
        <w:adjustRightInd w:val="0"/>
        <w:snapToGrid w:val="0"/>
        <w:spacing w:line="440" w:lineRule="exact"/>
        <w:jc w:val="left"/>
        <w:rPr>
          <w:rFonts w:ascii="仿宋_GB2312" w:hAnsi="仿宋_GB2312" w:eastAsia="仿宋_GB2312" w:cs="仿宋_GB2312"/>
          <w:sz w:val="24"/>
        </w:rPr>
      </w:pPr>
      <w:r>
        <w:rPr>
          <w:rFonts w:hint="eastAsia" w:ascii="仿宋_GB2312" w:hAnsi="仿宋_GB2312" w:eastAsia="仿宋_GB2312" w:cs="仿宋_GB2312"/>
          <w:sz w:val="24"/>
        </w:rPr>
        <w:t>机构设置..........................................7</w:t>
      </w:r>
    </w:p>
    <w:p>
      <w:pPr>
        <w:pStyle w:val="10"/>
        <w:adjustRightInd w:val="0"/>
        <w:snapToGrid w:val="0"/>
        <w:spacing w:before="0"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第二部分对部门决算情况说..................................8</w:t>
      </w:r>
    </w:p>
    <w:p>
      <w:pPr>
        <w:pStyle w:val="11"/>
        <w:adjustRightInd w:val="0"/>
        <w:snapToGrid w:val="0"/>
        <w:spacing w:line="440" w:lineRule="exact"/>
        <w:jc w:val="left"/>
        <w:rPr>
          <w:rFonts w:ascii="仿宋_GB2312" w:hAnsi="仿宋_GB2312" w:eastAsia="仿宋_GB2312" w:cs="仿宋_GB2312"/>
          <w:sz w:val="24"/>
        </w:rPr>
      </w:pPr>
      <w:r>
        <w:rPr>
          <w:rFonts w:hint="eastAsia" w:ascii="仿宋_GB2312" w:hAnsi="仿宋_GB2312" w:eastAsia="仿宋_GB2312" w:cs="仿宋_GB2312"/>
          <w:sz w:val="24"/>
        </w:rPr>
        <w:t>一、收入支出决算总体情况说明..........................8</w:t>
      </w:r>
    </w:p>
    <w:p>
      <w:pPr>
        <w:pStyle w:val="11"/>
        <w:adjustRightInd w:val="0"/>
        <w:snapToGrid w:val="0"/>
        <w:spacing w:line="440" w:lineRule="exact"/>
        <w:jc w:val="left"/>
        <w:rPr>
          <w:rFonts w:ascii="仿宋_GB2312" w:hAnsi="仿宋_GB2312" w:eastAsia="仿宋_GB2312" w:cs="仿宋_GB2312"/>
          <w:sz w:val="24"/>
        </w:rPr>
      </w:pPr>
      <w:r>
        <w:rPr>
          <w:rFonts w:hint="eastAsia" w:ascii="仿宋_GB2312" w:hAnsi="仿宋_GB2312" w:eastAsia="仿宋_GB2312" w:cs="仿宋_GB2312"/>
          <w:sz w:val="24"/>
        </w:rPr>
        <w:t>二、收入决算情况说明..................................8</w:t>
      </w:r>
    </w:p>
    <w:p>
      <w:pPr>
        <w:pStyle w:val="11"/>
        <w:adjustRightInd w:val="0"/>
        <w:snapToGrid w:val="0"/>
        <w:spacing w:line="440" w:lineRule="exact"/>
        <w:jc w:val="left"/>
        <w:rPr>
          <w:rFonts w:ascii="仿宋_GB2312" w:hAnsi="仿宋_GB2312" w:eastAsia="仿宋_GB2312" w:cs="仿宋_GB2312"/>
          <w:sz w:val="24"/>
        </w:rPr>
      </w:pPr>
      <w:r>
        <w:rPr>
          <w:rFonts w:hint="eastAsia" w:ascii="仿宋_GB2312" w:hAnsi="仿宋_GB2312" w:eastAsia="仿宋_GB2312" w:cs="仿宋_GB2312"/>
          <w:sz w:val="24"/>
        </w:rPr>
        <w:t>三、支出决算情况说明..................................9</w:t>
      </w:r>
    </w:p>
    <w:p>
      <w:pPr>
        <w:pStyle w:val="11"/>
        <w:adjustRightInd w:val="0"/>
        <w:snapToGrid w:val="0"/>
        <w:spacing w:line="440" w:lineRule="exact"/>
        <w:jc w:val="left"/>
        <w:rPr>
          <w:rFonts w:ascii="仿宋_GB2312" w:hAnsi="仿宋_GB2312" w:eastAsia="仿宋_GB2312" w:cs="仿宋_GB2312"/>
          <w:sz w:val="24"/>
        </w:rPr>
      </w:pPr>
      <w:r>
        <w:rPr>
          <w:rFonts w:hint="eastAsia" w:ascii="仿宋_GB2312" w:hAnsi="仿宋_GB2312" w:eastAsia="仿宋_GB2312" w:cs="仿宋_GB2312"/>
          <w:sz w:val="24"/>
        </w:rPr>
        <w:t>四、财政拨款收入支出决算总体情况说明..................9</w:t>
      </w:r>
    </w:p>
    <w:p>
      <w:pPr>
        <w:pStyle w:val="11"/>
        <w:adjustRightInd w:val="0"/>
        <w:snapToGrid w:val="0"/>
        <w:spacing w:line="440" w:lineRule="exact"/>
        <w:jc w:val="left"/>
        <w:rPr>
          <w:rFonts w:ascii="仿宋_GB2312" w:hAnsi="仿宋_GB2312" w:eastAsia="仿宋_GB2312" w:cs="仿宋_GB2312"/>
          <w:sz w:val="24"/>
        </w:rPr>
      </w:pPr>
      <w:r>
        <w:rPr>
          <w:rFonts w:hint="eastAsia" w:ascii="仿宋_GB2312" w:hAnsi="仿宋_GB2312" w:eastAsia="仿宋_GB2312" w:cs="仿宋_GB2312"/>
          <w:sz w:val="24"/>
        </w:rPr>
        <w:t>五、一般公共预算财政拨款支出决算情况说明..............9</w:t>
      </w:r>
    </w:p>
    <w:p>
      <w:pPr>
        <w:pStyle w:val="11"/>
        <w:adjustRightInd w:val="0"/>
        <w:snapToGrid w:val="0"/>
        <w:spacing w:line="440" w:lineRule="exact"/>
        <w:jc w:val="left"/>
        <w:rPr>
          <w:rFonts w:ascii="仿宋_GB2312" w:hAnsi="仿宋_GB2312" w:eastAsia="仿宋_GB2312" w:cs="仿宋_GB2312"/>
          <w:sz w:val="24"/>
        </w:rPr>
      </w:pPr>
      <w:r>
        <w:rPr>
          <w:rFonts w:hint="eastAsia" w:ascii="仿宋_GB2312" w:hAnsi="仿宋_GB2312" w:eastAsia="仿宋_GB2312" w:cs="仿宋_GB2312"/>
          <w:sz w:val="24"/>
        </w:rPr>
        <w:t>六、一般公共预算财政拨款基本支出决算情况说明..........12</w:t>
      </w:r>
    </w:p>
    <w:p>
      <w:pPr>
        <w:pStyle w:val="11"/>
        <w:adjustRightInd w:val="0"/>
        <w:snapToGrid w:val="0"/>
        <w:spacing w:line="440" w:lineRule="exact"/>
        <w:jc w:val="left"/>
        <w:rPr>
          <w:rFonts w:ascii="仿宋_GB2312" w:hAnsi="仿宋_GB2312" w:eastAsia="仿宋_GB2312" w:cs="仿宋_GB2312"/>
          <w:sz w:val="24"/>
        </w:rPr>
      </w:pPr>
      <w:r>
        <w:rPr>
          <w:rFonts w:hint="eastAsia" w:ascii="仿宋_GB2312" w:hAnsi="仿宋_GB2312" w:eastAsia="仿宋_GB2312" w:cs="仿宋_GB2312"/>
          <w:sz w:val="24"/>
        </w:rPr>
        <w:t>七、“三公”经费财政拨款支出决算情况说明...............12</w:t>
      </w:r>
    </w:p>
    <w:p>
      <w:pPr>
        <w:pStyle w:val="11"/>
        <w:adjustRightInd w:val="0"/>
        <w:snapToGrid w:val="0"/>
        <w:spacing w:line="440" w:lineRule="exact"/>
        <w:jc w:val="left"/>
        <w:rPr>
          <w:rFonts w:ascii="仿宋_GB2312" w:hAnsi="仿宋_GB2312" w:eastAsia="仿宋_GB2312" w:cs="仿宋_GB2312"/>
          <w:sz w:val="24"/>
        </w:rPr>
      </w:pPr>
      <w:r>
        <w:rPr>
          <w:rFonts w:hint="eastAsia" w:ascii="仿宋_GB2312" w:hAnsi="仿宋_GB2312" w:eastAsia="仿宋_GB2312" w:cs="仿宋_GB2312"/>
          <w:sz w:val="24"/>
        </w:rPr>
        <w:t>八、政府性基金预算支出决算情况说明....................14</w:t>
      </w:r>
    </w:p>
    <w:p>
      <w:pPr>
        <w:pStyle w:val="11"/>
        <w:adjustRightInd w:val="0"/>
        <w:snapToGrid w:val="0"/>
        <w:spacing w:line="440" w:lineRule="exact"/>
        <w:ind w:leftChars="0"/>
        <w:jc w:val="left"/>
        <w:rPr>
          <w:rFonts w:ascii="仿宋_GB2312" w:hAnsi="仿宋_GB2312" w:eastAsia="仿宋_GB2312" w:cs="仿宋_GB2312"/>
          <w:sz w:val="24"/>
        </w:rPr>
      </w:pPr>
      <w:r>
        <w:rPr>
          <w:rFonts w:hint="eastAsia" w:ascii="仿宋_GB2312" w:hAnsi="仿宋_GB2312" w:eastAsia="仿宋_GB2312" w:cs="仿宋_GB2312"/>
          <w:sz w:val="24"/>
        </w:rPr>
        <w:t>九、 国有资本经营预算支出决算情况说明.................14</w:t>
      </w:r>
    </w:p>
    <w:p>
      <w:pPr>
        <w:adjustRightInd w:val="0"/>
        <w:snapToGrid w:val="0"/>
        <w:spacing w:line="440" w:lineRule="exact"/>
        <w:ind w:firstLine="480" w:firstLineChars="200"/>
        <w:jc w:val="left"/>
        <w:rPr>
          <w:rFonts w:ascii="仿宋_GB2312" w:hAnsi="仿宋_GB2312" w:eastAsia="仿宋_GB2312" w:cs="仿宋_GB2312"/>
          <w:sz w:val="24"/>
        </w:rPr>
      </w:pPr>
      <w:r>
        <w:rPr>
          <w:rStyle w:val="15"/>
          <w:rFonts w:hint="eastAsia" w:ascii="仿宋_GB2312" w:hAnsi="仿宋_GB2312" w:eastAsia="仿宋_GB2312" w:cs="仿宋_GB2312"/>
          <w:color w:val="000000" w:themeColor="text1"/>
          <w:sz w:val="24"/>
          <w:u w:val="none"/>
        </w:rPr>
        <w:t>十、</w:t>
      </w:r>
      <w:r>
        <w:rPr>
          <w:rFonts w:hint="eastAsia" w:ascii="仿宋_GB2312" w:hAnsi="仿宋_GB2312" w:eastAsia="仿宋_GB2312" w:cs="仿宋_GB2312"/>
          <w:sz w:val="24"/>
        </w:rPr>
        <w:t>其他重要事项的情况说明............................14</w:t>
      </w:r>
    </w:p>
    <w:p>
      <w:pPr>
        <w:pStyle w:val="10"/>
        <w:adjustRightInd w:val="0"/>
        <w:snapToGrid w:val="0"/>
        <w:spacing w:before="0"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第三部分名词解释..........................................18</w:t>
      </w:r>
    </w:p>
    <w:p>
      <w:pPr>
        <w:pStyle w:val="10"/>
        <w:adjustRightInd w:val="0"/>
        <w:snapToGrid w:val="0"/>
        <w:spacing w:before="0"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第四部分附件..............................................21</w:t>
      </w:r>
    </w:p>
    <w:p>
      <w:pPr>
        <w:pStyle w:val="11"/>
        <w:adjustRightInd w:val="0"/>
        <w:snapToGrid w:val="0"/>
        <w:spacing w:line="440" w:lineRule="exact"/>
        <w:jc w:val="left"/>
        <w:rPr>
          <w:rFonts w:ascii="仿宋_GB2312" w:hAnsi="仿宋_GB2312" w:eastAsia="仿宋_GB2312" w:cs="仿宋_GB2312"/>
          <w:sz w:val="24"/>
        </w:rPr>
      </w:pPr>
      <w:r>
        <w:rPr>
          <w:rFonts w:hint="eastAsia" w:ascii="仿宋_GB2312" w:hAnsi="仿宋_GB2312" w:eastAsia="仿宋_GB2312" w:cs="仿宋_GB2312"/>
          <w:sz w:val="24"/>
        </w:rPr>
        <w:t>茂县纪委2019年部门整体支出绩效评价报告................21</w:t>
      </w:r>
    </w:p>
    <w:p>
      <w:pPr>
        <w:pStyle w:val="10"/>
        <w:adjustRightInd w:val="0"/>
        <w:snapToGrid w:val="0"/>
        <w:spacing w:before="0"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第五部分附表..............................................24</w:t>
      </w:r>
    </w:p>
    <w:p>
      <w:pPr>
        <w:pStyle w:val="11"/>
        <w:adjustRightInd w:val="0"/>
        <w:snapToGrid w:val="0"/>
        <w:spacing w:line="440" w:lineRule="exact"/>
        <w:jc w:val="left"/>
        <w:rPr>
          <w:rFonts w:ascii="仿宋_GB2312" w:hAnsi="仿宋_GB2312" w:eastAsia="仿宋_GB2312" w:cs="仿宋_GB2312"/>
          <w:sz w:val="24"/>
        </w:rPr>
      </w:pPr>
      <w:r>
        <w:rPr>
          <w:rFonts w:hint="eastAsia" w:ascii="仿宋_GB2312" w:hAnsi="仿宋_GB2312" w:eastAsia="仿宋_GB2312" w:cs="仿宋_GB2312"/>
          <w:sz w:val="24"/>
        </w:rPr>
        <w:t>一、收入支出决算总表...................................24</w:t>
      </w:r>
    </w:p>
    <w:p>
      <w:pPr>
        <w:pStyle w:val="11"/>
        <w:adjustRightInd w:val="0"/>
        <w:snapToGrid w:val="0"/>
        <w:spacing w:line="440" w:lineRule="exact"/>
        <w:jc w:val="left"/>
        <w:rPr>
          <w:rFonts w:ascii="仿宋_GB2312" w:hAnsi="仿宋_GB2312" w:eastAsia="仿宋_GB2312" w:cs="仿宋_GB2312"/>
          <w:sz w:val="24"/>
        </w:rPr>
      </w:pPr>
      <w:r>
        <w:rPr>
          <w:rFonts w:hint="eastAsia" w:ascii="仿宋_GB2312" w:hAnsi="仿宋_GB2312" w:eastAsia="仿宋_GB2312" w:cs="仿宋_GB2312"/>
          <w:sz w:val="24"/>
        </w:rPr>
        <w:t>二、收入决算表.........................................24</w:t>
      </w:r>
    </w:p>
    <w:p>
      <w:pPr>
        <w:pStyle w:val="11"/>
        <w:adjustRightInd w:val="0"/>
        <w:snapToGrid w:val="0"/>
        <w:spacing w:line="440" w:lineRule="exact"/>
        <w:jc w:val="left"/>
        <w:rPr>
          <w:rFonts w:ascii="仿宋_GB2312" w:hAnsi="仿宋_GB2312" w:eastAsia="仿宋_GB2312" w:cs="仿宋_GB2312"/>
          <w:sz w:val="24"/>
        </w:rPr>
      </w:pPr>
      <w:r>
        <w:rPr>
          <w:rFonts w:hint="eastAsia" w:ascii="仿宋_GB2312" w:hAnsi="仿宋_GB2312" w:eastAsia="仿宋_GB2312" w:cs="仿宋_GB2312"/>
          <w:sz w:val="24"/>
        </w:rPr>
        <w:t>三、支出决算表.........................................24</w:t>
      </w:r>
    </w:p>
    <w:p>
      <w:pPr>
        <w:pStyle w:val="11"/>
        <w:adjustRightInd w:val="0"/>
        <w:snapToGrid w:val="0"/>
        <w:spacing w:line="440" w:lineRule="exact"/>
        <w:jc w:val="left"/>
        <w:rPr>
          <w:rFonts w:ascii="仿宋_GB2312" w:hAnsi="仿宋_GB2312" w:eastAsia="仿宋_GB2312" w:cs="仿宋_GB2312"/>
          <w:sz w:val="24"/>
        </w:rPr>
      </w:pPr>
      <w:r>
        <w:rPr>
          <w:rFonts w:hint="eastAsia" w:ascii="仿宋_GB2312" w:hAnsi="仿宋_GB2312" w:eastAsia="仿宋_GB2312" w:cs="仿宋_GB2312"/>
          <w:sz w:val="24"/>
        </w:rPr>
        <w:t>四、财政拨款收入支出决算总表...........................24</w:t>
      </w:r>
    </w:p>
    <w:p>
      <w:pPr>
        <w:pStyle w:val="11"/>
        <w:adjustRightInd w:val="0"/>
        <w:snapToGrid w:val="0"/>
        <w:spacing w:line="440" w:lineRule="exact"/>
        <w:jc w:val="left"/>
        <w:rPr>
          <w:rFonts w:ascii="仿宋_GB2312" w:hAnsi="仿宋_GB2312" w:eastAsia="仿宋_GB2312" w:cs="仿宋_GB2312"/>
          <w:sz w:val="24"/>
        </w:rPr>
      </w:pPr>
      <w:r>
        <w:rPr>
          <w:rFonts w:hint="eastAsia" w:ascii="仿宋_GB2312" w:hAnsi="仿宋_GB2312" w:eastAsia="仿宋_GB2312" w:cs="仿宋_GB2312"/>
          <w:sz w:val="24"/>
        </w:rPr>
        <w:t>五、财政拨款支出决算明细表.............................24</w:t>
      </w:r>
    </w:p>
    <w:p>
      <w:pPr>
        <w:pStyle w:val="11"/>
        <w:adjustRightInd w:val="0"/>
        <w:snapToGrid w:val="0"/>
        <w:spacing w:line="440" w:lineRule="exact"/>
        <w:jc w:val="left"/>
        <w:rPr>
          <w:rFonts w:ascii="仿宋_GB2312" w:hAnsi="仿宋_GB2312" w:eastAsia="仿宋_GB2312" w:cs="仿宋_GB2312"/>
          <w:sz w:val="24"/>
        </w:rPr>
      </w:pPr>
      <w:r>
        <w:rPr>
          <w:rFonts w:hint="eastAsia" w:ascii="仿宋_GB2312" w:hAnsi="仿宋_GB2312" w:eastAsia="仿宋_GB2312" w:cs="仿宋_GB2312"/>
          <w:sz w:val="24"/>
        </w:rPr>
        <w:t>六、一般公共预算财政拨款支出决算表.....................24</w:t>
      </w:r>
    </w:p>
    <w:p>
      <w:pPr>
        <w:pStyle w:val="11"/>
        <w:adjustRightInd w:val="0"/>
        <w:snapToGrid w:val="0"/>
        <w:spacing w:line="440" w:lineRule="exact"/>
        <w:jc w:val="left"/>
        <w:rPr>
          <w:rFonts w:ascii="仿宋_GB2312" w:hAnsi="仿宋_GB2312" w:eastAsia="仿宋_GB2312" w:cs="仿宋_GB2312"/>
          <w:sz w:val="24"/>
        </w:rPr>
      </w:pPr>
      <w:r>
        <w:rPr>
          <w:rFonts w:hint="eastAsia" w:ascii="仿宋_GB2312" w:hAnsi="仿宋_GB2312" w:eastAsia="仿宋_GB2312" w:cs="仿宋_GB2312"/>
          <w:sz w:val="24"/>
        </w:rPr>
        <w:t>七、一般公共预算财政拨款支出决算明细表.................24</w:t>
      </w:r>
    </w:p>
    <w:p>
      <w:pPr>
        <w:pStyle w:val="11"/>
        <w:adjustRightInd w:val="0"/>
        <w:snapToGrid w:val="0"/>
        <w:spacing w:line="440" w:lineRule="exact"/>
        <w:jc w:val="left"/>
        <w:rPr>
          <w:rFonts w:ascii="仿宋_GB2312" w:hAnsi="仿宋_GB2312" w:eastAsia="仿宋_GB2312" w:cs="仿宋_GB2312"/>
          <w:sz w:val="24"/>
        </w:rPr>
      </w:pPr>
      <w:r>
        <w:rPr>
          <w:rFonts w:hint="eastAsia" w:ascii="仿宋_GB2312" w:hAnsi="仿宋_GB2312" w:eastAsia="仿宋_GB2312" w:cs="仿宋_GB2312"/>
          <w:sz w:val="24"/>
        </w:rPr>
        <w:t>八、一般公共预算财政拨款基本支出决算表.................24</w:t>
      </w:r>
    </w:p>
    <w:p>
      <w:pPr>
        <w:pStyle w:val="11"/>
        <w:adjustRightInd w:val="0"/>
        <w:snapToGrid w:val="0"/>
        <w:spacing w:line="440" w:lineRule="exact"/>
        <w:jc w:val="left"/>
        <w:rPr>
          <w:rFonts w:ascii="仿宋_GB2312" w:hAnsi="仿宋_GB2312" w:eastAsia="仿宋_GB2312" w:cs="仿宋_GB2312"/>
          <w:sz w:val="24"/>
        </w:rPr>
      </w:pPr>
      <w:r>
        <w:rPr>
          <w:rFonts w:hint="eastAsia" w:ascii="仿宋_GB2312" w:hAnsi="仿宋_GB2312" w:eastAsia="仿宋_GB2312" w:cs="仿宋_GB2312"/>
          <w:sz w:val="24"/>
        </w:rPr>
        <w:t>九、一般公共预算财政拨款项目支出决算表.................24</w:t>
      </w:r>
    </w:p>
    <w:p>
      <w:pPr>
        <w:pStyle w:val="11"/>
        <w:adjustRightInd w:val="0"/>
        <w:snapToGrid w:val="0"/>
        <w:spacing w:line="440" w:lineRule="exact"/>
        <w:jc w:val="left"/>
        <w:rPr>
          <w:rFonts w:ascii="仿宋_GB2312" w:hAnsi="仿宋_GB2312" w:eastAsia="仿宋_GB2312" w:cs="仿宋_GB2312"/>
          <w:sz w:val="24"/>
        </w:rPr>
      </w:pPr>
      <w:r>
        <w:rPr>
          <w:rFonts w:hint="eastAsia" w:ascii="仿宋_GB2312" w:hAnsi="仿宋_GB2312" w:eastAsia="仿宋_GB2312" w:cs="仿宋_GB2312"/>
          <w:sz w:val="24"/>
        </w:rPr>
        <w:t>十、一般公共预算财政拨款“三公”经费支出决算表.........24</w:t>
      </w:r>
    </w:p>
    <w:p>
      <w:pPr>
        <w:pStyle w:val="11"/>
        <w:adjustRightInd w:val="0"/>
        <w:snapToGrid w:val="0"/>
        <w:spacing w:line="440" w:lineRule="exact"/>
        <w:jc w:val="left"/>
        <w:rPr>
          <w:rFonts w:ascii="仿宋_GB2312" w:hAnsi="仿宋_GB2312" w:eastAsia="仿宋_GB2312" w:cs="仿宋_GB2312"/>
          <w:sz w:val="24"/>
        </w:rPr>
      </w:pPr>
      <w:r>
        <w:rPr>
          <w:rFonts w:hint="eastAsia" w:ascii="仿宋_GB2312" w:hAnsi="仿宋_GB2312" w:eastAsia="仿宋_GB2312" w:cs="仿宋_GB2312"/>
          <w:sz w:val="24"/>
        </w:rPr>
        <w:t>十一、政府性基金预算财政拨款收入支出决算表.............24</w:t>
      </w:r>
    </w:p>
    <w:p>
      <w:pPr>
        <w:pStyle w:val="11"/>
        <w:adjustRightInd w:val="0"/>
        <w:snapToGrid w:val="0"/>
        <w:spacing w:line="440" w:lineRule="exact"/>
        <w:jc w:val="left"/>
        <w:rPr>
          <w:rFonts w:ascii="仿宋_GB2312" w:hAnsi="仿宋_GB2312" w:eastAsia="仿宋_GB2312" w:cs="仿宋_GB2312"/>
          <w:sz w:val="24"/>
        </w:rPr>
      </w:pPr>
      <w:r>
        <w:rPr>
          <w:rFonts w:hint="eastAsia" w:ascii="仿宋_GB2312" w:hAnsi="仿宋_GB2312" w:eastAsia="仿宋_GB2312" w:cs="仿宋_GB2312"/>
          <w:sz w:val="24"/>
        </w:rPr>
        <w:t>十二、政府性基金预算财政拨款“三公”经费支出决算表</w:t>
      </w:r>
      <w:r>
        <w:rPr>
          <w:rFonts w:hint="eastAsia" w:ascii="仿宋" w:hAnsi="仿宋" w:eastAsia="仿宋"/>
          <w:sz w:val="24"/>
          <w:szCs w:val="28"/>
        </w:rPr>
        <w:t>.......24</w:t>
      </w:r>
    </w:p>
    <w:p>
      <w:pPr>
        <w:pStyle w:val="11"/>
        <w:adjustRightInd w:val="0"/>
        <w:snapToGrid w:val="0"/>
        <w:spacing w:line="440" w:lineRule="exact"/>
        <w:jc w:val="left"/>
        <w:rPr>
          <w:rFonts w:ascii="仿宋_GB2312" w:hAnsi="仿宋_GB2312" w:eastAsia="仿宋_GB2312" w:cs="仿宋_GB2312"/>
          <w:sz w:val="24"/>
        </w:rPr>
      </w:pPr>
      <w:r>
        <w:rPr>
          <w:rFonts w:hint="eastAsia" w:ascii="仿宋_GB2312" w:hAnsi="仿宋_GB2312" w:eastAsia="仿宋_GB2312" w:cs="仿宋_GB2312"/>
          <w:sz w:val="24"/>
        </w:rPr>
        <w:t>十三、国有资本经营预算支出决算表</w:t>
      </w:r>
      <w:r>
        <w:rPr>
          <w:rFonts w:hint="eastAsia" w:ascii="仿宋" w:hAnsi="仿宋" w:eastAsia="仿宋"/>
          <w:sz w:val="24"/>
          <w:szCs w:val="28"/>
        </w:rPr>
        <w:t>.........................24</w:t>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2"/>
        <w:jc w:val="center"/>
        <w:rPr>
          <w:rFonts w:ascii="黑体" w:eastAsia="黑体"/>
          <w:color w:val="000000"/>
          <w:sz w:val="32"/>
          <w:szCs w:val="32"/>
        </w:rPr>
      </w:pPr>
      <w:r>
        <w:rPr>
          <w:rFonts w:hint="eastAsia" w:ascii="黑体" w:hAnsi="黑体" w:eastAsia="黑体"/>
          <w:b w:val="0"/>
        </w:rPr>
        <w:t xml:space="preserve">第一部分 </w:t>
      </w:r>
      <w:r>
        <w:rPr>
          <w:rStyle w:val="24"/>
          <w:rFonts w:hint="eastAsia" w:ascii="黑体" w:hAnsi="黑体" w:eastAsia="黑体"/>
          <w:b w:val="0"/>
          <w:bCs w:val="0"/>
        </w:rPr>
        <w:t>部门概况</w:t>
      </w:r>
      <w:bookmarkEnd w:id="12"/>
      <w:bookmarkEnd w:id="13"/>
    </w:p>
    <w:p>
      <w:pPr>
        <w:pStyle w:val="3"/>
        <w:numPr>
          <w:ilvl w:val="0"/>
          <w:numId w:val="3"/>
        </w:numPr>
        <w:spacing w:before="0" w:after="0" w:line="240" w:lineRule="auto"/>
        <w:rPr>
          <w:rStyle w:val="25"/>
          <w:rFonts w:ascii="黑体" w:hAnsi="黑体" w:eastAsia="黑体"/>
          <w:b w:val="0"/>
          <w:bCs w:val="0"/>
        </w:rPr>
      </w:pPr>
      <w:bookmarkStart w:id="14" w:name="_Toc15396600"/>
      <w:bookmarkStart w:id="15" w:name="_Toc15377197"/>
      <w:r>
        <w:rPr>
          <w:rFonts w:hint="eastAsia" w:ascii="黑体" w:hAnsi="黑体" w:eastAsia="黑体"/>
          <w:b w:val="0"/>
          <w:color w:val="000000"/>
        </w:rPr>
        <w:t>基</w:t>
      </w:r>
      <w:r>
        <w:rPr>
          <w:rStyle w:val="25"/>
          <w:rFonts w:hint="eastAsia" w:ascii="黑体" w:hAnsi="黑体" w:eastAsia="黑体"/>
          <w:b w:val="0"/>
          <w:bCs w:val="0"/>
        </w:rPr>
        <w:t>本职能及主要工作</w:t>
      </w:r>
      <w:bookmarkEnd w:id="14"/>
      <w:bookmarkEnd w:id="15"/>
      <w:bookmarkStart w:id="16" w:name="_Toc15377199"/>
      <w:bookmarkStart w:id="17" w:name="_Toc15378446"/>
    </w:p>
    <w:p>
      <w:pPr>
        <w:pStyle w:val="3"/>
        <w:numPr>
          <w:ilvl w:val="0"/>
          <w:numId w:val="4"/>
        </w:numPr>
        <w:spacing w:before="0" w:after="0" w:line="240" w:lineRule="auto"/>
        <w:rPr>
          <w:rFonts w:ascii="仿宋" w:hAnsi="仿宋" w:eastAsia="仿宋" w:cs="仿宋"/>
          <w:b w:val="0"/>
          <w:bCs w:val="0"/>
          <w:sz w:val="30"/>
          <w:szCs w:val="30"/>
        </w:rPr>
      </w:pPr>
      <w:r>
        <w:rPr>
          <w:rFonts w:hint="eastAsia" w:ascii="仿宋" w:hAnsi="仿宋" w:eastAsia="仿宋" w:cs="仿宋"/>
          <w:b w:val="0"/>
          <w:bCs w:val="0"/>
          <w:sz w:val="30"/>
          <w:szCs w:val="30"/>
        </w:rPr>
        <w:t>部门职能简介</w:t>
      </w:r>
    </w:p>
    <w:p>
      <w:pPr>
        <w:pStyle w:val="3"/>
        <w:spacing w:line="240" w:lineRule="auto"/>
        <w:ind w:firstLine="600" w:firstLineChars="200"/>
        <w:rPr>
          <w:rFonts w:ascii="仿宋" w:hAnsi="仿宋" w:eastAsia="仿宋" w:cs="仿宋"/>
          <w:b w:val="0"/>
          <w:bCs w:val="0"/>
          <w:sz w:val="30"/>
          <w:szCs w:val="30"/>
        </w:rPr>
      </w:pPr>
      <w:r>
        <w:rPr>
          <w:rFonts w:hint="eastAsia" w:ascii="仿宋" w:hAnsi="仿宋" w:eastAsia="仿宋" w:cs="仿宋"/>
          <w:b w:val="0"/>
          <w:bCs w:val="0"/>
          <w:sz w:val="30"/>
          <w:szCs w:val="30"/>
        </w:rPr>
        <w:t>主要职责是：</w:t>
      </w:r>
    </w:p>
    <w:p>
      <w:pPr>
        <w:ind w:firstLine="540" w:firstLineChars="180"/>
        <w:rPr>
          <w:rFonts w:ascii="仿宋" w:hAnsi="仿宋" w:eastAsia="仿宋" w:cs="仿宋"/>
          <w:sz w:val="30"/>
          <w:szCs w:val="30"/>
        </w:rPr>
      </w:pPr>
      <w:r>
        <w:rPr>
          <w:rFonts w:hint="eastAsia" w:ascii="仿宋" w:hAnsi="仿宋" w:eastAsia="仿宋" w:cs="仿宋"/>
          <w:sz w:val="30"/>
          <w:szCs w:val="30"/>
        </w:rPr>
        <w:t>1.主管全县党的纪律检查工作。负责贯彻落实中央和省州县党委关于加强党风廉政建设的决定，认真抓好反腐败斗争，维护党的章程和其他党内法规，检查党的路线、方针、政策和决议的执行情况。</w:t>
      </w:r>
    </w:p>
    <w:p>
      <w:pPr>
        <w:spacing w:line="520" w:lineRule="exact"/>
        <w:ind w:firstLine="600" w:firstLineChars="200"/>
        <w:rPr>
          <w:rFonts w:ascii="仿宋" w:hAnsi="仿宋" w:eastAsia="仿宋" w:cs="仿宋"/>
          <w:sz w:val="30"/>
          <w:szCs w:val="30"/>
        </w:rPr>
      </w:pPr>
      <w:r>
        <w:rPr>
          <w:rFonts w:hint="eastAsia" w:ascii="仿宋" w:hAnsi="仿宋" w:eastAsia="仿宋" w:cs="仿宋"/>
          <w:sz w:val="30"/>
          <w:szCs w:val="30"/>
        </w:rPr>
        <w:t>2.主管全县行政监察工作。负责贯彻落实党中央、国务院和省州县党委、政府有关行政监察工作的决定，监督检查县政府各部门及其工作人员和各乡镇人民政府及其主要负责人贯彻执行国家政策和法律法规、国民经济和社会发展计划及县政府颁发的决定、命令的情况。</w:t>
      </w:r>
    </w:p>
    <w:p>
      <w:pPr>
        <w:spacing w:line="520" w:lineRule="exact"/>
        <w:ind w:firstLine="600" w:firstLineChars="200"/>
        <w:rPr>
          <w:rFonts w:ascii="仿宋" w:hAnsi="仿宋" w:eastAsia="仿宋" w:cs="仿宋"/>
          <w:sz w:val="30"/>
          <w:szCs w:val="30"/>
        </w:rPr>
      </w:pPr>
      <w:r>
        <w:rPr>
          <w:rFonts w:hint="eastAsia" w:ascii="仿宋" w:hAnsi="仿宋" w:eastAsia="仿宋" w:cs="仿宋"/>
          <w:sz w:val="30"/>
          <w:szCs w:val="30"/>
        </w:rPr>
        <w:t>3.负责检查并处理县委、县政府机关各部门、各乡镇党组织和县委管理的党员领导干部违反党的章程及其他党内法规的案件，决定或取消对这些案件中的党员的处分；受理党员的控告和申诉，必要时直接查处下级党的纪律检查机关管辖范围内的比较重要或复杂的案件。</w:t>
      </w:r>
    </w:p>
    <w:p>
      <w:pPr>
        <w:spacing w:line="520" w:lineRule="exact"/>
        <w:ind w:firstLine="600" w:firstLineChars="200"/>
        <w:rPr>
          <w:rFonts w:ascii="仿宋" w:hAnsi="仿宋" w:eastAsia="仿宋" w:cs="仿宋"/>
          <w:sz w:val="30"/>
          <w:szCs w:val="30"/>
        </w:rPr>
      </w:pPr>
      <w:r>
        <w:rPr>
          <w:rFonts w:hint="eastAsia" w:ascii="仿宋" w:hAnsi="仿宋" w:eastAsia="仿宋" w:cs="仿宋"/>
          <w:sz w:val="30"/>
          <w:szCs w:val="30"/>
        </w:rPr>
        <w:t>4.负责调查处理县政府各部门及其工作人员和各乡镇人民政府及其负责人违反国家政策、法律、法规以及违反政纪的行为，并根据责任人所犯错误的情节轻重，按照《中华人民共和国行政监察法》规定给予行政处分（对涉及选举产生的领导干部按法定程序办理）；受理监察对象不服政纪处分的申诉，受理个人或单位对监察对象违纪行为的检举、控告。</w:t>
      </w:r>
    </w:p>
    <w:p>
      <w:pPr>
        <w:spacing w:line="520" w:lineRule="exact"/>
        <w:ind w:firstLine="600" w:firstLineChars="200"/>
        <w:rPr>
          <w:rFonts w:ascii="仿宋" w:hAnsi="仿宋" w:eastAsia="仿宋" w:cs="仿宋"/>
          <w:sz w:val="30"/>
          <w:szCs w:val="30"/>
        </w:rPr>
      </w:pPr>
      <w:r>
        <w:rPr>
          <w:rFonts w:hint="eastAsia" w:ascii="仿宋" w:hAnsi="仿宋" w:eastAsia="仿宋" w:cs="仿宋"/>
          <w:sz w:val="30"/>
          <w:szCs w:val="30"/>
        </w:rPr>
        <w:t>5.负责作出关于维护党纪的决定，制定全县党风党纪教育规划，配合有关部门做好党的纪检工作方针政策的宣传工作和对党员遵守纪律的教育工作。</w:t>
      </w:r>
    </w:p>
    <w:p>
      <w:pPr>
        <w:spacing w:line="520" w:lineRule="exact"/>
        <w:ind w:firstLine="600" w:firstLineChars="200"/>
        <w:rPr>
          <w:rFonts w:ascii="仿宋" w:hAnsi="仿宋" w:eastAsia="仿宋" w:cs="仿宋"/>
          <w:sz w:val="30"/>
          <w:szCs w:val="30"/>
        </w:rPr>
      </w:pPr>
      <w:r>
        <w:rPr>
          <w:rFonts w:hint="eastAsia" w:ascii="仿宋" w:hAnsi="仿宋" w:eastAsia="仿宋" w:cs="仿宋"/>
          <w:sz w:val="30"/>
          <w:szCs w:val="30"/>
        </w:rPr>
        <w:t>6.会同有关部门做好行政监察工作的方针、政策和法律法规的宣传工作，教育国家机关工作人员遵纪守法、为政清廉。</w:t>
      </w:r>
    </w:p>
    <w:p>
      <w:pPr>
        <w:spacing w:line="520" w:lineRule="exact"/>
        <w:ind w:firstLine="600" w:firstLineChars="200"/>
        <w:rPr>
          <w:rFonts w:ascii="仿宋" w:hAnsi="仿宋" w:eastAsia="仿宋" w:cs="仿宋"/>
          <w:sz w:val="30"/>
          <w:szCs w:val="30"/>
        </w:rPr>
      </w:pPr>
      <w:r>
        <w:rPr>
          <w:rFonts w:hint="eastAsia" w:ascii="仿宋" w:hAnsi="仿宋" w:eastAsia="仿宋" w:cs="仿宋"/>
          <w:sz w:val="30"/>
          <w:szCs w:val="30"/>
        </w:rPr>
        <w:t>7.负责对党的纪检工作理论及有关问题进行调查研究，拟定党纪条规和政策规定，参与制定党内法规。</w:t>
      </w:r>
    </w:p>
    <w:p>
      <w:pPr>
        <w:spacing w:line="520" w:lineRule="exact"/>
        <w:ind w:firstLine="600" w:firstLineChars="200"/>
        <w:rPr>
          <w:rFonts w:ascii="仿宋" w:hAnsi="仿宋" w:eastAsia="仿宋" w:cs="仿宋"/>
          <w:sz w:val="30"/>
          <w:szCs w:val="30"/>
        </w:rPr>
      </w:pPr>
      <w:r>
        <w:rPr>
          <w:rFonts w:hint="eastAsia" w:ascii="仿宋" w:hAnsi="仿宋" w:eastAsia="仿宋" w:cs="仿宋"/>
          <w:sz w:val="30"/>
          <w:szCs w:val="30"/>
        </w:rPr>
        <w:t>8.调查研究县政府各部门和各乡镇人民政府制定有关政策、法规的情况，对违反国家法律、法规的条款，提出修改、补充的建议。</w:t>
      </w:r>
    </w:p>
    <w:p>
      <w:pPr>
        <w:spacing w:line="520" w:lineRule="exact"/>
        <w:ind w:firstLine="600" w:firstLineChars="200"/>
        <w:rPr>
          <w:rFonts w:ascii="仿宋" w:hAnsi="仿宋" w:eastAsia="仿宋" w:cs="仿宋"/>
          <w:sz w:val="30"/>
          <w:szCs w:val="30"/>
        </w:rPr>
      </w:pPr>
      <w:r>
        <w:rPr>
          <w:rFonts w:hint="eastAsia" w:ascii="仿宋" w:hAnsi="仿宋" w:eastAsia="仿宋" w:cs="仿宋"/>
          <w:sz w:val="30"/>
          <w:szCs w:val="30"/>
        </w:rPr>
        <w:t>9.会同县直机关各部门以及各乡镇党委、政府，做好纪检监察干部的管理工作。组织和指导全县纪检、监察系统干部的培训工作。</w:t>
      </w:r>
    </w:p>
    <w:p>
      <w:pPr>
        <w:spacing w:line="520" w:lineRule="exact"/>
        <w:ind w:firstLine="600" w:firstLineChars="200"/>
        <w:rPr>
          <w:rFonts w:ascii="仿宋" w:hAnsi="仿宋" w:eastAsia="仿宋" w:cs="仿宋"/>
          <w:sz w:val="30"/>
          <w:szCs w:val="30"/>
        </w:rPr>
      </w:pPr>
      <w:r>
        <w:rPr>
          <w:rFonts w:hint="eastAsia" w:ascii="仿宋" w:hAnsi="仿宋" w:eastAsia="仿宋" w:cs="仿宋"/>
          <w:sz w:val="30"/>
          <w:szCs w:val="30"/>
        </w:rPr>
        <w:t>10.完成</w:t>
      </w:r>
      <w:r>
        <w:rPr>
          <w:rFonts w:hint="eastAsia" w:ascii="仿宋" w:hAnsi="仿宋" w:eastAsia="仿宋" w:cs="仿宋"/>
          <w:sz w:val="30"/>
          <w:szCs w:val="30"/>
          <w:lang w:eastAsia="zh-CN"/>
        </w:rPr>
        <w:t>县委、县政府</w:t>
      </w:r>
      <w:r>
        <w:rPr>
          <w:rFonts w:hint="eastAsia" w:ascii="仿宋" w:hAnsi="仿宋" w:eastAsia="仿宋" w:cs="仿宋"/>
          <w:sz w:val="30"/>
          <w:szCs w:val="30"/>
        </w:rPr>
        <w:t>和州纪委监察委授权和交办的其他任务。</w:t>
      </w:r>
    </w:p>
    <w:p>
      <w:pPr>
        <w:spacing w:line="520" w:lineRule="exact"/>
        <w:ind w:firstLine="600" w:firstLineChars="200"/>
        <w:rPr>
          <w:rFonts w:ascii="仿宋" w:hAnsi="仿宋" w:eastAsia="仿宋" w:cs="仿宋"/>
          <w:sz w:val="30"/>
          <w:szCs w:val="30"/>
        </w:rPr>
      </w:pPr>
      <w:r>
        <w:rPr>
          <w:rFonts w:hint="eastAsia" w:ascii="仿宋" w:hAnsi="仿宋" w:eastAsia="仿宋" w:cs="仿宋"/>
          <w:bCs/>
          <w:color w:val="000000"/>
          <w:sz w:val="30"/>
          <w:szCs w:val="30"/>
        </w:rPr>
        <w:t>（二）2019年重点工作完成情况</w:t>
      </w:r>
    </w:p>
    <w:p>
      <w:pPr>
        <w:spacing w:line="552" w:lineRule="exact"/>
        <w:ind w:firstLine="675" w:firstLineChars="225"/>
        <w:rPr>
          <w:rFonts w:ascii="仿宋" w:hAnsi="仿宋" w:eastAsia="仿宋" w:cs="仿宋"/>
          <w:sz w:val="30"/>
          <w:szCs w:val="30"/>
        </w:rPr>
      </w:pPr>
      <w:r>
        <w:rPr>
          <w:rFonts w:hint="eastAsia" w:ascii="仿宋" w:hAnsi="仿宋" w:eastAsia="仿宋" w:cs="仿宋"/>
          <w:bCs/>
          <w:sz w:val="30"/>
          <w:szCs w:val="30"/>
        </w:rPr>
        <w:t>1.围绕</w:t>
      </w:r>
      <w:bookmarkStart w:id="72" w:name="_GoBack"/>
      <w:bookmarkEnd w:id="72"/>
      <w:r>
        <w:rPr>
          <w:rFonts w:hint="eastAsia" w:ascii="仿宋" w:hAnsi="仿宋" w:eastAsia="仿宋" w:cs="仿宋"/>
          <w:bCs/>
          <w:sz w:val="30"/>
          <w:szCs w:val="30"/>
          <w:lang w:eastAsia="zh-CN"/>
        </w:rPr>
        <w:t>县委县政府</w:t>
      </w:r>
      <w:r>
        <w:rPr>
          <w:rFonts w:hint="eastAsia" w:ascii="仿宋" w:hAnsi="仿宋" w:eastAsia="仿宋" w:cs="仿宋"/>
          <w:bCs/>
          <w:sz w:val="30"/>
          <w:szCs w:val="30"/>
        </w:rPr>
        <w:t>中心，服务大局增添工作举措。</w:t>
      </w:r>
      <w:r>
        <w:rPr>
          <w:rFonts w:hint="eastAsia" w:ascii="仿宋" w:hAnsi="仿宋" w:eastAsia="仿宋" w:cs="仿宋"/>
          <w:sz w:val="30"/>
          <w:szCs w:val="30"/>
        </w:rPr>
        <w:t>结合茂县实际，立足于纪检监察工作的职能职责，服务</w:t>
      </w:r>
      <w:r>
        <w:rPr>
          <w:rFonts w:hint="eastAsia" w:ascii="仿宋" w:hAnsi="仿宋" w:eastAsia="仿宋" w:cs="仿宋"/>
          <w:sz w:val="30"/>
          <w:szCs w:val="30"/>
          <w:lang w:eastAsia="zh-CN"/>
        </w:rPr>
        <w:t>县委县政府</w:t>
      </w:r>
      <w:r>
        <w:rPr>
          <w:rFonts w:hint="eastAsia" w:ascii="仿宋" w:hAnsi="仿宋" w:eastAsia="仿宋" w:cs="仿宋"/>
          <w:sz w:val="30"/>
          <w:szCs w:val="30"/>
        </w:rPr>
        <w:t>的重大决策部署上下功夫，加强对党的路线方针政策执行情况、党内政治生活状况、民主集中制等各项制度执行情况的监督检查，不断创新载体，拓宽廉政教育渠道，抓好警示教育、风险防控，不断深化纪检监察体制机制改革；执行“三重一大”集体决策制度、“三会一课”和一把手“三个不直接分管”、末位表态等制度落实的监督。</w:t>
      </w:r>
    </w:p>
    <w:p>
      <w:pPr>
        <w:spacing w:line="552" w:lineRule="exact"/>
        <w:ind w:firstLine="675" w:firstLineChars="225"/>
        <w:rPr>
          <w:rFonts w:ascii="仿宋" w:hAnsi="仿宋" w:eastAsia="仿宋" w:cs="仿宋"/>
          <w:spacing w:val="-4"/>
          <w:sz w:val="30"/>
          <w:szCs w:val="30"/>
        </w:rPr>
      </w:pPr>
      <w:r>
        <w:rPr>
          <w:rFonts w:hint="eastAsia" w:ascii="仿宋" w:hAnsi="仿宋" w:eastAsia="仿宋" w:cs="仿宋"/>
          <w:bCs/>
          <w:sz w:val="30"/>
          <w:szCs w:val="30"/>
        </w:rPr>
        <w:t>2.把握改革目标任务，推进纪检监察体制改革。</w:t>
      </w:r>
      <w:r>
        <w:rPr>
          <w:rFonts w:hint="eastAsia" w:ascii="仿宋" w:hAnsi="仿宋" w:eastAsia="仿宋" w:cs="仿宋"/>
          <w:sz w:val="30"/>
          <w:szCs w:val="30"/>
        </w:rPr>
        <w:t>在完成人员转隶的基础上，加强政治业务培训，推进深度融合，强弱项、补短板、提能力，进一步优化委机关内设机构、派驻机构职能职责、人员配置，有效推动理念、思想、业务、作风、文化深度融</w:t>
      </w:r>
      <w:r>
        <w:rPr>
          <w:rFonts w:hint="eastAsia" w:ascii="仿宋" w:hAnsi="仿宋" w:eastAsia="仿宋" w:cs="仿宋"/>
          <w:spacing w:val="-4"/>
          <w:sz w:val="30"/>
          <w:szCs w:val="30"/>
        </w:rPr>
        <w:t>合。实施组织创新、制度创新和业绩创新，实现“1+1&gt;2”的效果。</w:t>
      </w:r>
    </w:p>
    <w:p>
      <w:pPr>
        <w:spacing w:line="552" w:lineRule="exact"/>
        <w:ind w:firstLine="675" w:firstLineChars="225"/>
        <w:rPr>
          <w:rFonts w:ascii="仿宋" w:hAnsi="仿宋" w:eastAsia="仿宋" w:cs="仿宋"/>
          <w:sz w:val="30"/>
          <w:szCs w:val="30"/>
        </w:rPr>
      </w:pPr>
      <w:r>
        <w:rPr>
          <w:rFonts w:hint="eastAsia" w:ascii="仿宋" w:hAnsi="仿宋" w:eastAsia="仿宋" w:cs="仿宋"/>
          <w:bCs/>
          <w:sz w:val="30"/>
          <w:szCs w:val="30"/>
        </w:rPr>
        <w:t>3.坚定不移惩治腐败，保持惩治腐败高压态势。</w:t>
      </w:r>
      <w:r>
        <w:rPr>
          <w:rFonts w:hint="eastAsia" w:ascii="仿宋" w:hAnsi="仿宋" w:eastAsia="仿宋" w:cs="仿宋"/>
          <w:sz w:val="30"/>
          <w:szCs w:val="30"/>
        </w:rPr>
        <w:t>坚持无禁区、全覆盖、零容忍，坚持重遏制、强高压、长震慑。深入实践运用“四种形态”，</w:t>
      </w:r>
      <w:bookmarkStart w:id="18" w:name="baidusnap2"/>
      <w:bookmarkEnd w:id="18"/>
      <w:r>
        <w:rPr>
          <w:rFonts w:hint="eastAsia" w:ascii="仿宋" w:hAnsi="仿宋" w:eastAsia="仿宋" w:cs="仿宋"/>
          <w:sz w:val="30"/>
          <w:szCs w:val="30"/>
        </w:rPr>
        <w:t>下功夫加强日常管理和监督，建立健全执纪审查安全工作责任制，履行好案件审核把关和监督制约职责，不断提高执纪审查质量。不断强化信访工作，特别是各乡镇纪委和派驻机构要通过认真监督检查，力争发现问题线索一批，执纪审查一批，解决一批具体问题；突出纪律审查的重点，注重纪律审查的方式，抓早抓小、联合作战、区域交叉、提级审查等。</w:t>
      </w:r>
    </w:p>
    <w:p>
      <w:pPr>
        <w:spacing w:line="552" w:lineRule="exact"/>
        <w:ind w:firstLine="675" w:firstLineChars="225"/>
        <w:rPr>
          <w:rFonts w:ascii="仿宋" w:hAnsi="仿宋" w:eastAsia="仿宋" w:cs="仿宋"/>
          <w:sz w:val="30"/>
          <w:szCs w:val="30"/>
        </w:rPr>
      </w:pPr>
      <w:r>
        <w:rPr>
          <w:rFonts w:hint="eastAsia" w:ascii="仿宋" w:hAnsi="仿宋" w:eastAsia="仿宋" w:cs="仿宋"/>
          <w:bCs/>
          <w:sz w:val="30"/>
          <w:szCs w:val="30"/>
        </w:rPr>
        <w:t>4.持之以恒正风肃纪，八项规定精神落实督查。</w:t>
      </w:r>
      <w:r>
        <w:rPr>
          <w:rFonts w:hint="eastAsia" w:ascii="仿宋" w:hAnsi="仿宋" w:eastAsia="仿宋" w:cs="仿宋"/>
          <w:sz w:val="30"/>
          <w:szCs w:val="30"/>
        </w:rPr>
        <w:t>关注“四风”隐形变异、改头换面等新动向，严查顶风违纪行为，坚决防止反弹回潮。坚持“八项规定”精神落实监督要常抓不懈，坚决治理“庸懒散浮拖”，从严执纪常态化；重点解决发生在群众身边的四风和腐败问题，搞好扶贫领域、生态保护、扫黑除恶等方面专项治理监督；切实加强中央巡视反馈意见落实整改监督。</w:t>
      </w:r>
    </w:p>
    <w:p>
      <w:pPr>
        <w:spacing w:line="552" w:lineRule="exact"/>
        <w:ind w:firstLine="675" w:firstLineChars="225"/>
        <w:rPr>
          <w:rFonts w:ascii="仿宋" w:hAnsi="仿宋" w:eastAsia="仿宋" w:cs="仿宋"/>
          <w:sz w:val="30"/>
          <w:szCs w:val="30"/>
        </w:rPr>
      </w:pPr>
      <w:r>
        <w:rPr>
          <w:rFonts w:hint="eastAsia" w:ascii="仿宋" w:hAnsi="仿宋" w:eastAsia="仿宋" w:cs="仿宋"/>
          <w:bCs/>
          <w:sz w:val="30"/>
          <w:szCs w:val="30"/>
        </w:rPr>
        <w:t>5.持续深化政治巡察，全面从严治党延伸基层。</w:t>
      </w:r>
      <w:r>
        <w:rPr>
          <w:rFonts w:hint="eastAsia" w:ascii="仿宋" w:hAnsi="仿宋" w:eastAsia="仿宋" w:cs="仿宋"/>
          <w:sz w:val="30"/>
          <w:szCs w:val="30"/>
        </w:rPr>
        <w:t>完善巡察制度建设，切实提高巡察政治站位，健全整改督查制度，健全完善巡察机构与纪检、组织、政法、宣传、审计等部门的协作配合机制。抓好巡察成果运用，严格落实巡察发现问题反馈、报告和公开等相关制度。</w:t>
      </w:r>
    </w:p>
    <w:p>
      <w:pPr>
        <w:spacing w:line="552" w:lineRule="exact"/>
        <w:ind w:firstLine="675" w:firstLineChars="225"/>
        <w:rPr>
          <w:rFonts w:ascii="仿宋" w:hAnsi="仿宋" w:eastAsia="仿宋" w:cs="仿宋"/>
          <w:sz w:val="30"/>
          <w:szCs w:val="30"/>
        </w:rPr>
      </w:pPr>
      <w:r>
        <w:rPr>
          <w:rFonts w:hint="eastAsia" w:ascii="仿宋" w:hAnsi="仿宋" w:eastAsia="仿宋" w:cs="仿宋"/>
          <w:bCs/>
          <w:sz w:val="30"/>
          <w:szCs w:val="30"/>
        </w:rPr>
        <w:t>6.加强派驻机构管理，发挥派驻监督探头作用。</w:t>
      </w:r>
      <w:r>
        <w:rPr>
          <w:rFonts w:hint="eastAsia" w:ascii="仿宋" w:hAnsi="仿宋" w:eastAsia="仿宋" w:cs="仿宋"/>
          <w:sz w:val="30"/>
          <w:szCs w:val="30"/>
        </w:rPr>
        <w:t>通过调研、走访、座谈、查阅材料等方式，找准履行职能的切入点、着力点、结合点，抓好监督执纪工作任务落实。积极构建制度健全、运转有序、保障有力的工作机制，依纪依规开展派驻监督工作，发挥好“探头”作用。</w:t>
      </w:r>
    </w:p>
    <w:p>
      <w:pPr>
        <w:spacing w:line="552" w:lineRule="exact"/>
        <w:ind w:firstLine="675" w:firstLineChars="225"/>
        <w:rPr>
          <w:rFonts w:ascii="仿宋" w:hAnsi="仿宋" w:eastAsia="仿宋" w:cs="仿宋"/>
          <w:sz w:val="30"/>
          <w:szCs w:val="30"/>
        </w:rPr>
      </w:pPr>
      <w:r>
        <w:rPr>
          <w:rFonts w:hint="eastAsia" w:ascii="仿宋" w:hAnsi="仿宋" w:eastAsia="仿宋" w:cs="仿宋"/>
          <w:bCs/>
          <w:sz w:val="30"/>
          <w:szCs w:val="30"/>
        </w:rPr>
        <w:t>7.强化重点领域执纪，解决群众身边微腐问题。</w:t>
      </w:r>
      <w:r>
        <w:rPr>
          <w:rFonts w:hint="eastAsia" w:ascii="仿宋" w:hAnsi="仿宋" w:eastAsia="仿宋" w:cs="仿宋"/>
          <w:sz w:val="30"/>
          <w:szCs w:val="30"/>
        </w:rPr>
        <w:t>开展专项治理，坚决查处党员干部在扶贫领域中吃拿卡要、挪用克扣、优亲厚友等问题，坚决惩治放纵、包庇黑恶势力甚至充当“保护伞”的党员干部。强化措施，严格落实精准扶贫、生态环保等领域监督执纪问责各项工作机制，严肃追究责任，把全面从严治党覆盖到“最后一公里”。</w:t>
      </w:r>
    </w:p>
    <w:p>
      <w:pPr>
        <w:spacing w:line="552" w:lineRule="exact"/>
        <w:ind w:firstLine="675" w:firstLineChars="225"/>
        <w:rPr>
          <w:rFonts w:ascii="仿宋" w:hAnsi="仿宋" w:eastAsia="仿宋" w:cs="仿宋"/>
          <w:spacing w:val="-10"/>
          <w:sz w:val="30"/>
          <w:szCs w:val="30"/>
        </w:rPr>
      </w:pPr>
      <w:r>
        <w:rPr>
          <w:rFonts w:hint="eastAsia" w:ascii="仿宋" w:hAnsi="仿宋" w:eastAsia="仿宋" w:cs="仿宋"/>
          <w:bCs/>
          <w:sz w:val="30"/>
          <w:szCs w:val="30"/>
        </w:rPr>
        <w:t>8.聚焦全面从严治党，进一步夯实“两个责任”。</w:t>
      </w:r>
      <w:r>
        <w:rPr>
          <w:rFonts w:hint="eastAsia" w:ascii="仿宋" w:hAnsi="仿宋" w:eastAsia="仿宋" w:cs="仿宋"/>
          <w:sz w:val="30"/>
          <w:szCs w:val="30"/>
        </w:rPr>
        <w:t>抓牢管党治党“牛鼻子”，切实抓好党员干部日常监督管理，着力解决责任虚化空转问题，全面落实“两个责任”。认真落实“一案双查”制度，强化责任追究。重点是要强化责任意识，</w:t>
      </w:r>
      <w:r>
        <w:rPr>
          <w:rFonts w:hint="eastAsia" w:ascii="仿宋" w:hAnsi="仿宋" w:eastAsia="仿宋" w:cs="仿宋"/>
          <w:spacing w:val="-10"/>
          <w:sz w:val="30"/>
          <w:szCs w:val="30"/>
        </w:rPr>
        <w:t>促进责任落实，突出责任细化、责任分解、责任督查督办、责任追究。</w:t>
      </w:r>
    </w:p>
    <w:p>
      <w:pPr>
        <w:spacing w:line="552" w:lineRule="exact"/>
        <w:ind w:firstLine="675" w:firstLineChars="225"/>
        <w:rPr>
          <w:rFonts w:ascii="仿宋" w:hAnsi="仿宋" w:eastAsia="仿宋" w:cs="仿宋"/>
          <w:bCs/>
          <w:color w:val="000000"/>
          <w:sz w:val="30"/>
          <w:szCs w:val="30"/>
        </w:rPr>
      </w:pPr>
      <w:r>
        <w:rPr>
          <w:rFonts w:hint="eastAsia" w:ascii="仿宋" w:hAnsi="仿宋" w:eastAsia="仿宋" w:cs="仿宋"/>
          <w:bCs/>
          <w:sz w:val="30"/>
          <w:szCs w:val="30"/>
        </w:rPr>
        <w:t>9.加强队伍自身建设，努力锻造纪监干部队伍。</w:t>
      </w:r>
      <w:r>
        <w:rPr>
          <w:rFonts w:hint="eastAsia" w:ascii="仿宋" w:hAnsi="仿宋" w:eastAsia="仿宋" w:cs="仿宋"/>
          <w:sz w:val="30"/>
          <w:szCs w:val="30"/>
        </w:rPr>
        <w:t>开展以“大学习、大讨论、大调研”为主题的专项活动，全面提升综合素质。认真落实各自岗位职责，严明纪律，纪检干部要特别遵守党纪法规；强化日常管理，特别是纪检监察系统内部监管；做好表率，要不惹事、不出事、干成事。</w:t>
      </w:r>
      <w:bookmarkEnd w:id="16"/>
      <w:bookmarkEnd w:id="17"/>
    </w:p>
    <w:p>
      <w:pPr>
        <w:pStyle w:val="3"/>
        <w:rPr>
          <w:rStyle w:val="25"/>
          <w:b w:val="0"/>
          <w:bCs w:val="0"/>
        </w:rPr>
      </w:pPr>
      <w:bookmarkStart w:id="19" w:name="_Toc15396601"/>
      <w:bookmarkStart w:id="20" w:name="_Toc15377200"/>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19"/>
      <w:bookmarkEnd w:id="20"/>
    </w:p>
    <w:p>
      <w:pPr>
        <w:ind w:firstLine="800" w:firstLineChars="250"/>
        <w:rPr>
          <w:rFonts w:ascii="仿宋" w:hAnsi="仿宋" w:eastAsia="仿宋"/>
          <w:sz w:val="32"/>
          <w:szCs w:val="32"/>
        </w:rPr>
      </w:pPr>
      <w:r>
        <w:rPr>
          <w:rFonts w:hint="eastAsia" w:ascii="仿宋" w:hAnsi="仿宋" w:eastAsia="仿宋"/>
          <w:sz w:val="32"/>
          <w:szCs w:val="32"/>
        </w:rPr>
        <w:t>茂县纪委下属二级单位0个，其中行政单位0个，参照公务员法管理的事业单位</w:t>
      </w:r>
      <w:r>
        <w:rPr>
          <w:rFonts w:hint="eastAsia" w:ascii="仿宋" w:hAnsi="仿宋" w:eastAsia="仿宋"/>
          <w:bCs/>
          <w:sz w:val="32"/>
          <w:szCs w:val="32"/>
        </w:rPr>
        <w:t>0</w:t>
      </w:r>
      <w:r>
        <w:rPr>
          <w:rFonts w:hint="eastAsia" w:ascii="仿宋" w:hAnsi="仿宋" w:eastAsia="仿宋"/>
          <w:sz w:val="32"/>
          <w:szCs w:val="32"/>
        </w:rPr>
        <w:t>个，其他事业单位0个。</w:t>
      </w:r>
    </w:p>
    <w:p>
      <w:pPr>
        <w:pStyle w:val="5"/>
        <w:adjustRightInd w:val="0"/>
        <w:snapToGrid w:val="0"/>
        <w:spacing w:before="93" w:line="600" w:lineRule="exact"/>
        <w:ind w:firstLine="672" w:firstLineChars="210"/>
        <w:rPr>
          <w:rFonts w:ascii="仿宋" w:hAnsi="仿宋" w:eastAsia="仿宋"/>
          <w:color w:val="000000"/>
          <w:sz w:val="32"/>
          <w:szCs w:val="32"/>
        </w:rPr>
      </w:pPr>
      <w:r>
        <w:rPr>
          <w:rFonts w:hint="eastAsia" w:ascii="仿宋" w:hAnsi="仿宋" w:eastAsia="仿宋"/>
          <w:color w:val="000000"/>
          <w:sz w:val="32"/>
          <w:szCs w:val="32"/>
        </w:rPr>
        <w:t>纳入茂县纪委2019年度部门决算编制范围的二级预算单位无</w:t>
      </w:r>
      <w:r>
        <w:rPr>
          <w:rFonts w:ascii="仿宋" w:hAnsi="仿宋" w:eastAsia="仿宋"/>
          <w:color w:val="000000"/>
          <w:sz w:val="32"/>
          <w:szCs w:val="32"/>
        </w:rPr>
        <w:br w:type="page"/>
      </w:r>
    </w:p>
    <w:p>
      <w:pPr>
        <w:pStyle w:val="2"/>
        <w:ind w:right="440"/>
        <w:jc w:val="right"/>
        <w:rPr>
          <w:rStyle w:val="24"/>
          <w:rFonts w:ascii="黑体" w:hAnsi="黑体" w:eastAsia="黑体"/>
          <w:b w:val="0"/>
          <w:bCs w:val="0"/>
        </w:rPr>
      </w:pPr>
      <w:bookmarkStart w:id="21" w:name="_Toc15377204"/>
      <w:bookmarkStart w:id="22" w:name="_Toc15396602"/>
      <w:r>
        <w:rPr>
          <w:rFonts w:hint="eastAsia" w:ascii="黑体" w:hAnsi="黑体" w:eastAsia="黑体"/>
          <w:b w:val="0"/>
          <w:color w:val="000000"/>
        </w:rPr>
        <w:t>第二部分</w:t>
      </w:r>
      <w:r>
        <w:rPr>
          <w:rStyle w:val="24"/>
          <w:rFonts w:hint="eastAsia" w:ascii="黑体" w:hAnsi="黑体" w:eastAsia="黑体"/>
          <w:b w:val="0"/>
          <w:bCs w:val="0"/>
        </w:rPr>
        <w:t>2019年度部门决算情况说明</w:t>
      </w:r>
      <w:bookmarkEnd w:id="21"/>
      <w:bookmarkEnd w:id="22"/>
    </w:p>
    <w:p/>
    <w:p>
      <w:pPr>
        <w:pStyle w:val="23"/>
        <w:numPr>
          <w:ilvl w:val="0"/>
          <w:numId w:val="5"/>
        </w:numPr>
        <w:spacing w:line="600" w:lineRule="exact"/>
        <w:ind w:firstLineChars="0"/>
        <w:outlineLvl w:val="1"/>
        <w:rPr>
          <w:rStyle w:val="25"/>
          <w:rFonts w:ascii="黑体" w:hAnsi="黑体" w:eastAsia="黑体"/>
          <w:b w:val="0"/>
        </w:rPr>
      </w:pPr>
      <w:bookmarkStart w:id="23" w:name="_Toc15377205"/>
      <w:bookmarkStart w:id="24" w:name="_Toc15396603"/>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3"/>
      <w:bookmarkEnd w:id="24"/>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sz w:val="32"/>
          <w:szCs w:val="32"/>
        </w:rPr>
        <w:t>2019年度收1439.52万元、支1439.52万元。与2018年相比，收支增加699.9万元，主要变动原因是人员增加，人员经费开支增加。</w:t>
      </w:r>
    </w:p>
    <w:p>
      <w:pPr>
        <w:spacing w:beforeLines="100" w:afterLines="100" w:line="360" w:lineRule="auto"/>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drawing>
          <wp:inline distT="0" distB="0" distL="0" distR="0">
            <wp:extent cx="3638550" cy="1558925"/>
            <wp:effectExtent l="19050" t="0" r="19050" b="2571"/>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3"/>
        <w:numPr>
          <w:ilvl w:val="0"/>
          <w:numId w:val="5"/>
        </w:numPr>
        <w:spacing w:line="600" w:lineRule="exact"/>
        <w:ind w:firstLineChars="0"/>
        <w:outlineLvl w:val="1"/>
        <w:rPr>
          <w:rStyle w:val="25"/>
          <w:rFonts w:ascii="黑体" w:hAnsi="黑体" w:eastAsia="黑体"/>
          <w:b w:val="0"/>
        </w:rPr>
      </w:pPr>
      <w:bookmarkStart w:id="25" w:name="_Toc15377206"/>
      <w:bookmarkStart w:id="26" w:name="_Toc15396604"/>
      <w:r>
        <w:rPr>
          <w:rFonts w:hint="eastAsia" w:ascii="黑体" w:hAnsi="黑体" w:eastAsia="黑体"/>
          <w:color w:val="000000"/>
          <w:sz w:val="32"/>
          <w:szCs w:val="32"/>
        </w:rPr>
        <w:t>收</w:t>
      </w:r>
      <w:r>
        <w:rPr>
          <w:rStyle w:val="25"/>
          <w:rFonts w:hint="eastAsia" w:ascii="黑体" w:hAnsi="黑体" w:eastAsia="黑体"/>
          <w:b w:val="0"/>
        </w:rPr>
        <w:t>入决算情况说明</w:t>
      </w:r>
      <w:bookmarkEnd w:id="25"/>
      <w:bookmarkEnd w:id="26"/>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9年本年收入合计1439.52万元，其中：一般公共预算财政拨款收入1439.52万元，占100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w:t>
      </w:r>
      <w:r>
        <w:rPr>
          <w:rFonts w:hint="eastAsia" w:ascii="仿宋" w:hAnsi="仿宋" w:eastAsia="仿宋"/>
          <w:color w:val="000000" w:themeColor="text1"/>
          <w:sz w:val="32"/>
          <w:szCs w:val="32"/>
        </w:rPr>
        <w:t>上级补助收入0</w:t>
      </w:r>
      <w:r>
        <w:rPr>
          <w:rFonts w:hint="eastAsia" w:ascii="仿宋" w:hAnsi="仿宋" w:eastAsia="仿宋"/>
          <w:color w:val="000000"/>
          <w:sz w:val="32"/>
          <w:szCs w:val="32"/>
        </w:rPr>
        <w:t>万元,事业收入0万元,经营收入0万元，附属单位上缴收入0万元，其他收入0万元。</w:t>
      </w:r>
    </w:p>
    <w:p>
      <w:pPr>
        <w:spacing w:line="360" w:lineRule="auto"/>
        <w:ind w:firstLine="640" w:firstLineChars="200"/>
        <w:outlineLvl w:val="1"/>
        <w:rPr>
          <w:rFonts w:ascii="仿宋" w:hAnsi="仿宋" w:eastAsia="仿宋"/>
          <w:color w:val="000000"/>
          <w:sz w:val="32"/>
          <w:szCs w:val="32"/>
        </w:rPr>
      </w:pPr>
      <w:r>
        <w:rPr>
          <w:rFonts w:ascii="仿宋" w:hAnsi="仿宋" w:eastAsia="仿宋"/>
          <w:color w:val="000000"/>
          <w:sz w:val="32"/>
          <w:szCs w:val="32"/>
        </w:rPr>
        <w:drawing>
          <wp:inline distT="0" distB="0" distL="0" distR="0">
            <wp:extent cx="4878705" cy="1985010"/>
            <wp:effectExtent l="19050" t="0" r="16791"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3"/>
        <w:numPr>
          <w:ilvl w:val="0"/>
          <w:numId w:val="5"/>
        </w:numPr>
        <w:spacing w:line="600" w:lineRule="exact"/>
        <w:ind w:firstLineChars="0"/>
        <w:outlineLvl w:val="1"/>
        <w:rPr>
          <w:rStyle w:val="25"/>
          <w:rFonts w:ascii="黑体" w:hAnsi="黑体" w:eastAsia="黑体"/>
          <w:b w:val="0"/>
        </w:rPr>
      </w:pPr>
      <w:bookmarkStart w:id="27" w:name="_Toc15377207"/>
      <w:bookmarkStart w:id="28" w:name="_Toc15396605"/>
      <w:r>
        <w:rPr>
          <w:rFonts w:hint="eastAsia" w:ascii="黑体" w:hAnsi="黑体" w:eastAsia="黑体"/>
          <w:color w:val="000000"/>
          <w:sz w:val="32"/>
          <w:szCs w:val="32"/>
        </w:rPr>
        <w:t>支</w:t>
      </w:r>
      <w:r>
        <w:rPr>
          <w:rStyle w:val="25"/>
          <w:rFonts w:hint="eastAsia" w:ascii="黑体" w:hAnsi="黑体" w:eastAsia="黑体"/>
          <w:b w:val="0"/>
        </w:rPr>
        <w:t>出决算情况说明</w:t>
      </w:r>
      <w:bookmarkEnd w:id="27"/>
      <w:bookmarkEnd w:id="28"/>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9年本年支出合计1439.52万元，其中：基本支出1204.75万元，占84</w:t>
      </w:r>
      <w:r>
        <w:rPr>
          <w:rFonts w:ascii="仿宋" w:hAnsi="仿宋" w:eastAsia="仿宋"/>
          <w:color w:val="000000"/>
          <w:sz w:val="32"/>
          <w:szCs w:val="32"/>
        </w:rPr>
        <w:t>%</w:t>
      </w:r>
      <w:r>
        <w:rPr>
          <w:rFonts w:hint="eastAsia" w:ascii="仿宋" w:hAnsi="仿宋" w:eastAsia="仿宋"/>
          <w:color w:val="000000"/>
          <w:sz w:val="32"/>
          <w:szCs w:val="32"/>
        </w:rPr>
        <w:t>；项目支出234.77万元，占16</w:t>
      </w:r>
      <w:r>
        <w:rPr>
          <w:rFonts w:ascii="仿宋" w:hAnsi="仿宋" w:eastAsia="仿宋"/>
          <w:color w:val="000000"/>
          <w:sz w:val="32"/>
          <w:szCs w:val="32"/>
        </w:rPr>
        <w:t>%</w:t>
      </w:r>
      <w:r>
        <w:rPr>
          <w:rFonts w:hint="eastAsia" w:ascii="仿宋" w:hAnsi="仿宋" w:eastAsia="仿宋"/>
          <w:color w:val="000000"/>
          <w:sz w:val="32"/>
          <w:szCs w:val="32"/>
        </w:rPr>
        <w:t>；上缴上级支出0万元，经营支出0万元，对附属单位补助支出0万元。</w:t>
      </w:r>
    </w:p>
    <w:p>
      <w:pPr>
        <w:spacing w:line="360" w:lineRule="auto"/>
        <w:ind w:firstLine="640" w:firstLineChars="200"/>
        <w:rPr>
          <w:rFonts w:ascii="仿宋_GB2312" w:eastAsia="仿宋_GB2312"/>
          <w:color w:val="FF0000"/>
          <w:sz w:val="32"/>
          <w:szCs w:val="32"/>
        </w:rPr>
      </w:pPr>
      <w:r>
        <w:rPr>
          <w:rFonts w:ascii="仿宋_GB2312" w:eastAsia="仿宋_GB2312"/>
          <w:color w:val="FF0000"/>
          <w:sz w:val="32"/>
          <w:szCs w:val="32"/>
        </w:rPr>
        <w:drawing>
          <wp:inline distT="0" distB="0" distL="0" distR="0">
            <wp:extent cx="4395470" cy="1155065"/>
            <wp:effectExtent l="19050" t="0" r="23725" b="6428"/>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outlineLvl w:val="1"/>
        <w:rPr>
          <w:rStyle w:val="25"/>
          <w:rFonts w:ascii="黑体" w:hAnsi="黑体" w:eastAsia="黑体"/>
          <w:b w:val="0"/>
        </w:rPr>
      </w:pPr>
      <w:bookmarkStart w:id="29" w:name="_Toc15396606"/>
      <w:bookmarkStart w:id="30" w:name="_Toc15377208"/>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29"/>
      <w:bookmarkEnd w:id="30"/>
    </w:p>
    <w:p>
      <w:pPr>
        <w:spacing w:line="360" w:lineRule="auto"/>
        <w:ind w:firstLine="64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9年财政拨款收1439.52万元、支1439.52万元。与</w:t>
      </w:r>
      <w:r>
        <w:rPr>
          <w:rFonts w:ascii="仿宋" w:hAnsi="仿宋" w:eastAsia="仿宋"/>
          <w:color w:val="000000"/>
          <w:sz w:val="32"/>
          <w:szCs w:val="32"/>
        </w:rPr>
        <w:t>201</w:t>
      </w:r>
      <w:r>
        <w:rPr>
          <w:rFonts w:hint="eastAsia" w:ascii="仿宋" w:hAnsi="仿宋" w:eastAsia="仿宋"/>
          <w:color w:val="000000"/>
          <w:sz w:val="32"/>
          <w:szCs w:val="32"/>
        </w:rPr>
        <w:t>8年相比，收支增加699.9万元，主要变动原因是人员增加，人员经费开支增加。</w:t>
      </w:r>
    </w:p>
    <w:p>
      <w:pPr>
        <w:spacing w:line="360" w:lineRule="auto"/>
        <w:ind w:firstLine="640" w:firstLineChars="200"/>
        <w:outlineLvl w:val="1"/>
        <w:rPr>
          <w:rFonts w:ascii="黑体" w:hAnsi="黑体" w:eastAsia="黑体"/>
          <w:color w:val="000000"/>
          <w:sz w:val="32"/>
          <w:szCs w:val="32"/>
        </w:rPr>
      </w:pPr>
      <w:bookmarkStart w:id="31" w:name="_Toc15377209"/>
      <w:bookmarkStart w:id="32" w:name="_Toc15396607"/>
      <w:r>
        <w:rPr>
          <w:rFonts w:ascii="黑体" w:hAnsi="黑体" w:eastAsia="黑体"/>
          <w:color w:val="000000"/>
          <w:sz w:val="32"/>
          <w:szCs w:val="32"/>
        </w:rPr>
        <w:drawing>
          <wp:inline distT="0" distB="0" distL="0" distR="0">
            <wp:extent cx="3638550" cy="1558925"/>
            <wp:effectExtent l="19050" t="0" r="19050" b="2571"/>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25"/>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1"/>
      <w:bookmarkEnd w:id="32"/>
    </w:p>
    <w:p>
      <w:pPr>
        <w:spacing w:line="600" w:lineRule="exact"/>
        <w:ind w:firstLine="642" w:firstLineChars="200"/>
        <w:outlineLvl w:val="2"/>
        <w:rPr>
          <w:rFonts w:ascii="仿宋" w:hAnsi="仿宋" w:eastAsia="仿宋"/>
          <w:b/>
          <w:color w:val="000000"/>
          <w:sz w:val="32"/>
          <w:szCs w:val="32"/>
        </w:rPr>
      </w:pPr>
      <w:bookmarkStart w:id="33" w:name="_Toc15377210"/>
      <w:r>
        <w:rPr>
          <w:rFonts w:hint="eastAsia" w:ascii="仿宋" w:hAnsi="仿宋" w:eastAsia="仿宋"/>
          <w:b/>
          <w:color w:val="000000"/>
          <w:sz w:val="32"/>
          <w:szCs w:val="32"/>
        </w:rPr>
        <w:t>（一）一般公共预算财政拨款支出决算总体情况</w:t>
      </w:r>
      <w:bookmarkEnd w:id="33"/>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9年一般公共预算财政拨款支出1439.52万元，占本年支出合计的100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8年相比，一般公共预算财政拨款收支增加699.9万元，主要变动原因是人员增加，人员经费开支增加。</w:t>
      </w:r>
    </w:p>
    <w:p>
      <w:pPr>
        <w:spacing w:line="360" w:lineRule="auto"/>
        <w:ind w:firstLine="640" w:firstLineChars="200"/>
        <w:rPr>
          <w:rFonts w:ascii="仿宋" w:hAnsi="仿宋" w:eastAsia="仿宋"/>
          <w:color w:val="000000"/>
          <w:sz w:val="32"/>
          <w:szCs w:val="32"/>
        </w:rPr>
      </w:pPr>
      <w:r>
        <w:rPr>
          <w:rFonts w:ascii="仿宋" w:hAnsi="仿宋" w:eastAsia="仿宋"/>
          <w:color w:val="000000"/>
          <w:sz w:val="32"/>
          <w:szCs w:val="32"/>
        </w:rPr>
        <w:drawing>
          <wp:inline distT="0" distB="0" distL="0" distR="0">
            <wp:extent cx="3638550" cy="1558925"/>
            <wp:effectExtent l="19050" t="0" r="19050" b="2571"/>
            <wp:docPr id="8"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2" w:firstLineChars="200"/>
        <w:outlineLvl w:val="2"/>
        <w:rPr>
          <w:rFonts w:ascii="仿宋" w:hAnsi="仿宋" w:eastAsia="仿宋"/>
          <w:b/>
          <w:color w:val="000000"/>
          <w:sz w:val="32"/>
          <w:szCs w:val="32"/>
        </w:rPr>
      </w:pPr>
      <w:bookmarkStart w:id="34" w:name="_Toc15377211"/>
      <w:r>
        <w:rPr>
          <w:rFonts w:hint="eastAsia" w:ascii="仿宋" w:hAnsi="仿宋" w:eastAsia="仿宋"/>
          <w:b/>
          <w:color w:val="000000"/>
          <w:sz w:val="32"/>
          <w:szCs w:val="32"/>
        </w:rPr>
        <w:t>（二）一般公共预算财政拨款支出决算结构情况</w:t>
      </w:r>
      <w:bookmarkEnd w:id="34"/>
    </w:p>
    <w:p>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政拨款支出1439.52万元，主要用于以下方面</w:t>
      </w:r>
      <w:r>
        <w:rPr>
          <w:rFonts w:ascii="仿宋" w:hAnsi="仿宋" w:eastAsia="仿宋"/>
          <w:color w:val="000000" w:themeColor="text1"/>
          <w:sz w:val="32"/>
          <w:szCs w:val="32"/>
        </w:rPr>
        <w:t>:</w:t>
      </w:r>
      <w:r>
        <w:rPr>
          <w:rFonts w:hint="eastAsia" w:ascii="仿宋" w:hAnsi="仿宋" w:eastAsia="仿宋"/>
          <w:color w:val="000000" w:themeColor="text1"/>
          <w:sz w:val="32"/>
          <w:szCs w:val="32"/>
        </w:rPr>
        <w:t>一般公共服务（类）支出1183.01万元，占82</w:t>
      </w:r>
      <w:r>
        <w:rPr>
          <w:rFonts w:ascii="仿宋" w:hAnsi="仿宋" w:eastAsia="仿宋"/>
          <w:color w:val="000000" w:themeColor="text1"/>
          <w:sz w:val="32"/>
          <w:szCs w:val="32"/>
        </w:rPr>
        <w:t>%</w:t>
      </w:r>
      <w:r>
        <w:rPr>
          <w:rFonts w:hint="eastAsia" w:ascii="仿宋" w:hAnsi="仿宋" w:eastAsia="仿宋"/>
          <w:color w:val="000000" w:themeColor="text1"/>
          <w:sz w:val="32"/>
          <w:szCs w:val="32"/>
        </w:rPr>
        <w:t>；社会保障和就业（类）支出118.54万元，占8</w:t>
      </w:r>
      <w:r>
        <w:rPr>
          <w:rFonts w:ascii="仿宋" w:hAnsi="仿宋" w:eastAsia="仿宋"/>
          <w:color w:val="000000" w:themeColor="text1"/>
          <w:sz w:val="32"/>
          <w:szCs w:val="32"/>
        </w:rPr>
        <w:t>%</w:t>
      </w:r>
      <w:r>
        <w:rPr>
          <w:rFonts w:hint="eastAsia" w:ascii="仿宋" w:hAnsi="仿宋" w:eastAsia="仿宋"/>
          <w:color w:val="000000" w:themeColor="text1"/>
          <w:sz w:val="32"/>
          <w:szCs w:val="32"/>
        </w:rPr>
        <w:t>；卫生健康支出(类)56.48万元，占4</w:t>
      </w:r>
      <w:r>
        <w:rPr>
          <w:rFonts w:ascii="仿宋" w:hAnsi="仿宋" w:eastAsia="仿宋"/>
          <w:color w:val="000000" w:themeColor="text1"/>
          <w:sz w:val="32"/>
          <w:szCs w:val="32"/>
        </w:rPr>
        <w:t>%</w:t>
      </w:r>
      <w:r>
        <w:rPr>
          <w:rFonts w:hint="eastAsia" w:ascii="仿宋" w:hAnsi="仿宋" w:eastAsia="仿宋"/>
          <w:color w:val="000000" w:themeColor="text1"/>
          <w:sz w:val="32"/>
          <w:szCs w:val="32"/>
        </w:rPr>
        <w:t>；住房保障支出(类)81.49万元，占6</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spacing w:line="360" w:lineRule="auto"/>
        <w:ind w:firstLine="641"/>
        <w:rPr>
          <w:rFonts w:ascii="仿宋" w:hAnsi="仿宋" w:eastAsia="仿宋"/>
          <w:color w:val="000000" w:themeColor="text1"/>
          <w:sz w:val="32"/>
          <w:szCs w:val="32"/>
        </w:rPr>
      </w:pPr>
      <w:r>
        <w:rPr>
          <w:rFonts w:ascii="仿宋" w:hAnsi="仿宋" w:eastAsia="仿宋"/>
          <w:color w:val="000000" w:themeColor="text1"/>
          <w:sz w:val="32"/>
          <w:szCs w:val="32"/>
        </w:rPr>
        <w:drawing>
          <wp:inline distT="0" distB="0" distL="0" distR="0">
            <wp:extent cx="4277995" cy="2204085"/>
            <wp:effectExtent l="19050" t="0" r="27231" b="5142"/>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2" w:firstLineChars="200"/>
        <w:outlineLvl w:val="2"/>
        <w:rPr>
          <w:rFonts w:ascii="仿宋" w:hAnsi="仿宋" w:eastAsia="仿宋"/>
          <w:b/>
          <w:color w:val="000000"/>
          <w:sz w:val="32"/>
          <w:szCs w:val="32"/>
        </w:rPr>
      </w:pPr>
      <w:bookmarkStart w:id="35" w:name="_Toc15377212"/>
      <w:r>
        <w:rPr>
          <w:rFonts w:hint="eastAsia" w:ascii="仿宋" w:hAnsi="仿宋" w:eastAsia="仿宋"/>
          <w:b/>
          <w:color w:val="000000"/>
          <w:sz w:val="32"/>
          <w:szCs w:val="32"/>
        </w:rPr>
        <w:t>（三）一般公共预算财政拨款支出决算具体情况</w:t>
      </w:r>
      <w:bookmarkEnd w:id="35"/>
    </w:p>
    <w:p>
      <w:pPr>
        <w:spacing w:line="600" w:lineRule="exact"/>
        <w:ind w:firstLine="640" w:firstLineChars="200"/>
        <w:outlineLvl w:val="2"/>
        <w:rPr>
          <w:rFonts w:ascii="仿宋" w:hAnsi="仿宋" w:eastAsia="仿宋"/>
          <w:bCs/>
          <w:color w:val="FF0000"/>
          <w:sz w:val="32"/>
          <w:szCs w:val="32"/>
        </w:rPr>
      </w:pPr>
      <w:bookmarkStart w:id="36" w:name="_Toc15377213"/>
      <w:bookmarkStart w:id="37" w:name="_Toc15377444"/>
      <w:bookmarkStart w:id="38" w:name="_Toc15378460"/>
      <w:r>
        <w:rPr>
          <w:rFonts w:hint="eastAsia" w:ascii="仿宋" w:hAnsi="仿宋" w:eastAsia="仿宋"/>
          <w:bCs/>
          <w:color w:val="000000" w:themeColor="text1"/>
          <w:sz w:val="32"/>
          <w:szCs w:val="32"/>
        </w:rPr>
        <w:t>2019年一般公共预算支出决算数为1439.52万元，</w:t>
      </w:r>
      <w:r>
        <w:rPr>
          <w:rStyle w:val="14"/>
          <w:rFonts w:hint="eastAsia" w:ascii="仿宋" w:hAnsi="仿宋" w:eastAsia="仿宋"/>
          <w:b w:val="0"/>
          <w:bCs/>
          <w:color w:val="000000" w:themeColor="text1"/>
          <w:sz w:val="32"/>
          <w:szCs w:val="32"/>
        </w:rPr>
        <w:t>完成</w:t>
      </w:r>
      <w:r>
        <w:rPr>
          <w:rStyle w:val="14"/>
          <w:rFonts w:hint="eastAsia" w:ascii="仿宋" w:hAnsi="仿宋" w:eastAsia="仿宋"/>
          <w:b w:val="0"/>
          <w:bCs/>
          <w:color w:val="000000"/>
          <w:sz w:val="32"/>
          <w:szCs w:val="32"/>
        </w:rPr>
        <w:t>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。其中：</w:t>
      </w:r>
      <w:bookmarkEnd w:id="36"/>
      <w:bookmarkEnd w:id="37"/>
      <w:bookmarkEnd w:id="38"/>
    </w:p>
    <w:p>
      <w:pPr>
        <w:pStyle w:val="23"/>
        <w:spacing w:line="600" w:lineRule="exact"/>
        <w:ind w:firstLine="640"/>
        <w:rPr>
          <w:rStyle w:val="14"/>
          <w:rFonts w:ascii="仿宋" w:hAnsi="仿宋" w:eastAsia="仿宋"/>
          <w:b w:val="0"/>
          <w:bCs/>
          <w:color w:val="000000"/>
          <w:sz w:val="32"/>
          <w:szCs w:val="32"/>
        </w:rPr>
      </w:pPr>
      <w:r>
        <w:rPr>
          <w:rStyle w:val="14"/>
          <w:rFonts w:hint="eastAsia" w:ascii="仿宋" w:hAnsi="仿宋" w:eastAsia="仿宋"/>
          <w:b w:val="0"/>
          <w:bCs/>
          <w:color w:val="000000"/>
          <w:sz w:val="32"/>
          <w:szCs w:val="32"/>
        </w:rPr>
        <w:t>1.一般公共服务（类）纪检监察事务（款）行政运行(项)</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支出决算为922.95万元，完成预算99</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，决算数小于预算数的主要原因是年底产生了结余资金。</w:t>
      </w:r>
    </w:p>
    <w:p>
      <w:pPr>
        <w:spacing w:line="600" w:lineRule="exact"/>
        <w:ind w:firstLine="640" w:firstLineChars="200"/>
        <w:rPr>
          <w:rStyle w:val="14"/>
          <w:rFonts w:ascii="仿宋" w:hAnsi="仿宋" w:eastAsia="仿宋"/>
          <w:b w:val="0"/>
          <w:bCs/>
          <w:color w:val="000000"/>
          <w:sz w:val="32"/>
          <w:szCs w:val="32"/>
        </w:rPr>
      </w:pPr>
      <w:r>
        <w:rPr>
          <w:rFonts w:hint="eastAsia" w:ascii="仿宋" w:hAnsi="仿宋" w:eastAsia="仿宋"/>
          <w:bCs/>
          <w:color w:val="000000"/>
          <w:sz w:val="32"/>
          <w:szCs w:val="32"/>
        </w:rPr>
        <w:t>2.</w:t>
      </w:r>
      <w:r>
        <w:rPr>
          <w:rStyle w:val="14"/>
          <w:rFonts w:hint="eastAsia" w:ascii="仿宋" w:hAnsi="仿宋" w:eastAsia="仿宋"/>
          <w:b w:val="0"/>
          <w:bCs/>
          <w:color w:val="000000"/>
          <w:sz w:val="32"/>
          <w:szCs w:val="32"/>
        </w:rPr>
        <w:t>一般公共服务（类）纪检监察事务（款）</w:t>
      </w:r>
      <w:r>
        <w:rPr>
          <w:rFonts w:hint="eastAsia" w:ascii="仿宋" w:hAnsi="仿宋" w:eastAsia="仿宋"/>
          <w:bCs/>
          <w:color w:val="000000"/>
          <w:sz w:val="32"/>
          <w:szCs w:val="32"/>
        </w:rPr>
        <w:t>一般行政管理事务（项）：支出决算数为234.76万元，</w:t>
      </w:r>
      <w:r>
        <w:rPr>
          <w:rStyle w:val="14"/>
          <w:rFonts w:hint="eastAsia" w:ascii="仿宋" w:hAnsi="仿宋" w:eastAsia="仿宋"/>
          <w:b w:val="0"/>
          <w:bCs/>
          <w:color w:val="000000"/>
          <w:sz w:val="32"/>
          <w:szCs w:val="32"/>
        </w:rPr>
        <w:t>完成预算75</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，决算数小于预算数的主要原因是年底产生了结余资金。</w:t>
      </w:r>
    </w:p>
    <w:p>
      <w:pPr>
        <w:spacing w:line="600" w:lineRule="exact"/>
        <w:ind w:firstLine="640" w:firstLineChars="200"/>
        <w:rPr>
          <w:rFonts w:ascii="仿宋" w:hAnsi="仿宋" w:eastAsia="仿宋"/>
          <w:bCs/>
          <w:color w:val="000000"/>
          <w:sz w:val="32"/>
          <w:szCs w:val="32"/>
        </w:rPr>
      </w:pPr>
      <w:r>
        <w:rPr>
          <w:rStyle w:val="14"/>
          <w:rFonts w:hint="eastAsia" w:ascii="仿宋" w:hAnsi="仿宋" w:eastAsia="仿宋"/>
          <w:b w:val="0"/>
          <w:bCs/>
          <w:color w:val="000000"/>
          <w:sz w:val="32"/>
          <w:szCs w:val="32"/>
        </w:rPr>
        <w:t>3.一般公共服务（类）纪检监察事务（款）</w:t>
      </w:r>
      <w:r>
        <w:rPr>
          <w:rFonts w:hint="eastAsia" w:ascii="仿宋" w:hAnsi="仿宋" w:eastAsia="仿宋"/>
          <w:bCs/>
          <w:color w:val="000000"/>
          <w:sz w:val="32"/>
          <w:szCs w:val="32"/>
        </w:rPr>
        <w:t>事业运行（项）：支出决算数为25.3万元，</w:t>
      </w:r>
      <w:r>
        <w:rPr>
          <w:rStyle w:val="14"/>
          <w:rFonts w:hint="eastAsia" w:ascii="仿宋" w:hAnsi="仿宋" w:eastAsia="仿宋"/>
          <w:b w:val="0"/>
          <w:bCs/>
          <w:color w:val="000000"/>
          <w:sz w:val="32"/>
          <w:szCs w:val="32"/>
        </w:rPr>
        <w:t>完成预算96</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，决算数小于预算数的主要原因是年底产生了结余资金。</w:t>
      </w:r>
    </w:p>
    <w:p>
      <w:pPr>
        <w:spacing w:line="600" w:lineRule="exact"/>
        <w:ind w:firstLine="640" w:firstLineChars="200"/>
        <w:jc w:val="left"/>
        <w:rPr>
          <w:rStyle w:val="14"/>
          <w:rFonts w:ascii="仿宋" w:hAnsi="仿宋" w:eastAsia="仿宋"/>
          <w:b w:val="0"/>
          <w:bCs/>
          <w:color w:val="000000"/>
          <w:sz w:val="32"/>
          <w:szCs w:val="32"/>
        </w:rPr>
      </w:pPr>
      <w:r>
        <w:rPr>
          <w:rStyle w:val="14"/>
          <w:rFonts w:hint="eastAsia" w:ascii="仿宋" w:hAnsi="仿宋" w:eastAsia="仿宋"/>
          <w:b w:val="0"/>
          <w:bCs/>
          <w:color w:val="000000"/>
          <w:sz w:val="32"/>
          <w:szCs w:val="32"/>
        </w:rPr>
        <w:t>4.社会保障和就业（类）行政事业单位离退休（款）机关事业单位基本养老保险缴费支出(项)</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支出决算为80.74万元，完成预算100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0" w:firstLineChars="200"/>
        <w:rPr>
          <w:rFonts w:ascii="仿宋" w:hAnsi="仿宋" w:eastAsia="仿宋"/>
          <w:bCs/>
          <w:color w:val="000000"/>
          <w:sz w:val="32"/>
          <w:szCs w:val="32"/>
        </w:rPr>
      </w:pPr>
      <w:r>
        <w:rPr>
          <w:rStyle w:val="14"/>
          <w:rFonts w:hint="eastAsia" w:ascii="仿宋" w:hAnsi="仿宋" w:eastAsia="仿宋"/>
          <w:b w:val="0"/>
          <w:bCs/>
          <w:color w:val="000000"/>
          <w:sz w:val="32"/>
          <w:szCs w:val="32"/>
        </w:rPr>
        <w:t>5.社会保障和就业（类）行政事业单位离退休（款）机关事业单位职业年金缴费支出(项): 支出决算为37.8万元，完成预算100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0" w:firstLineChars="200"/>
        <w:rPr>
          <w:rStyle w:val="14"/>
          <w:rFonts w:ascii="仿宋" w:hAnsi="仿宋" w:eastAsia="仿宋"/>
          <w:b w:val="0"/>
          <w:bCs/>
          <w:color w:val="000000"/>
          <w:sz w:val="32"/>
          <w:szCs w:val="32"/>
        </w:rPr>
      </w:pPr>
      <w:r>
        <w:rPr>
          <w:rStyle w:val="14"/>
          <w:rFonts w:hint="eastAsia" w:ascii="仿宋" w:hAnsi="仿宋" w:eastAsia="仿宋"/>
          <w:b w:val="0"/>
          <w:bCs/>
          <w:color w:val="000000"/>
          <w:sz w:val="32"/>
          <w:szCs w:val="32"/>
        </w:rPr>
        <w:t>6.</w:t>
      </w:r>
      <w:r>
        <w:rPr>
          <w:rFonts w:hint="eastAsia" w:ascii="仿宋" w:hAnsi="仿宋" w:eastAsia="仿宋"/>
          <w:bCs/>
          <w:color w:val="000000" w:themeColor="text1"/>
          <w:sz w:val="32"/>
          <w:szCs w:val="32"/>
        </w:rPr>
        <w:t>卫生健康</w:t>
      </w:r>
      <w:r>
        <w:rPr>
          <w:rStyle w:val="14"/>
          <w:rFonts w:hint="eastAsia" w:ascii="仿宋" w:hAnsi="仿宋" w:eastAsia="仿宋"/>
          <w:b w:val="0"/>
          <w:bCs/>
          <w:color w:val="000000"/>
          <w:sz w:val="32"/>
          <w:szCs w:val="32"/>
        </w:rPr>
        <w:t>（类）行政事业单位医疗（款）行政单位医疗(项): 支出决算为54.5万元，完成预算100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0" w:firstLineChars="200"/>
        <w:rPr>
          <w:rStyle w:val="14"/>
          <w:rFonts w:ascii="仿宋" w:hAnsi="仿宋" w:eastAsia="仿宋"/>
          <w:b w:val="0"/>
          <w:bCs/>
          <w:color w:val="000000"/>
          <w:sz w:val="32"/>
          <w:szCs w:val="32"/>
        </w:rPr>
      </w:pPr>
      <w:r>
        <w:rPr>
          <w:rFonts w:hint="eastAsia" w:ascii="仿宋" w:hAnsi="仿宋" w:eastAsia="仿宋"/>
          <w:bCs/>
          <w:color w:val="000000" w:themeColor="text1"/>
          <w:sz w:val="32"/>
          <w:szCs w:val="32"/>
        </w:rPr>
        <w:t>7.卫生健康</w:t>
      </w:r>
      <w:r>
        <w:rPr>
          <w:rStyle w:val="14"/>
          <w:rFonts w:hint="eastAsia" w:ascii="仿宋" w:hAnsi="仿宋" w:eastAsia="仿宋"/>
          <w:b w:val="0"/>
          <w:bCs/>
          <w:color w:val="000000"/>
          <w:sz w:val="32"/>
          <w:szCs w:val="32"/>
        </w:rPr>
        <w:t>（类）行政事业单位医疗（款）事业单位医疗(项):支出决算为1.98万元，完成预算100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0" w:firstLineChars="200"/>
        <w:rPr>
          <w:rStyle w:val="14"/>
          <w:rFonts w:ascii="仿宋" w:hAnsi="仿宋" w:eastAsia="仿宋"/>
          <w:b w:val="0"/>
          <w:bCs/>
          <w:color w:val="000000"/>
          <w:sz w:val="32"/>
          <w:szCs w:val="32"/>
        </w:rPr>
      </w:pPr>
      <w:r>
        <w:rPr>
          <w:rStyle w:val="14"/>
          <w:rFonts w:hint="eastAsia" w:ascii="仿宋" w:hAnsi="仿宋" w:eastAsia="仿宋"/>
          <w:b w:val="0"/>
          <w:bCs/>
          <w:color w:val="000000"/>
          <w:sz w:val="32"/>
          <w:szCs w:val="32"/>
        </w:rPr>
        <w:t>8.住房保障支出（类）住房改革支出（款）住房公积金（项）：支出决算为81.5万元，完成预算100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0" w:firstLineChars="200"/>
        <w:rPr>
          <w:rFonts w:ascii="仿宋" w:hAnsi="仿宋" w:eastAsia="仿宋"/>
          <w:color w:val="000000"/>
          <w:sz w:val="32"/>
          <w:szCs w:val="32"/>
        </w:rPr>
      </w:pPr>
      <w:r>
        <w:rPr>
          <w:rStyle w:val="14"/>
          <w:rFonts w:hint="eastAsia" w:ascii="仿宋" w:hAnsi="仿宋" w:eastAsia="仿宋"/>
          <w:b w:val="0"/>
          <w:bCs/>
          <w:color w:val="000000"/>
          <w:sz w:val="32"/>
          <w:szCs w:val="32"/>
        </w:rPr>
        <w:t>9.住房保障支出（类）住房改革支出（款）购房补贴（项）：支出决算为0万元，完成预算0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，决算数小于预算数的主要原因是，退休人员在年底办理退休手续，将该笔资金结转到下年进行支付。</w:t>
      </w:r>
    </w:p>
    <w:p>
      <w:pPr>
        <w:tabs>
          <w:tab w:val="right" w:pos="8306"/>
        </w:tabs>
        <w:spacing w:line="600" w:lineRule="exact"/>
        <w:ind w:firstLine="640"/>
        <w:outlineLvl w:val="1"/>
        <w:rPr>
          <w:rStyle w:val="25"/>
        </w:rPr>
      </w:pPr>
      <w:bookmarkStart w:id="39" w:name="_Toc15377214"/>
      <w:bookmarkStart w:id="40"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39"/>
      <w:bookmarkEnd w:id="40"/>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9年一般公共预算财政拨款基本支出1204.75万元，其中：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1028.21万元，主要包括：基本工资、津贴补贴、奖金、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176.55万元，主要包括：办公费、印刷费、咨询费、手续费、水费、电费、邮电费、差旅费、维修（护）费、租赁费、会议费、培训费、公务接待费、劳务费、委托业务费、工会经费、公务用车运行维护费、其他交通费、其他商品和服务支出、办公设备购置、信息网络及软件购置更新、其他资本性支出等。</w:t>
      </w:r>
    </w:p>
    <w:p>
      <w:pPr>
        <w:spacing w:line="600" w:lineRule="exact"/>
        <w:ind w:firstLine="640"/>
        <w:outlineLvl w:val="1"/>
        <w:rPr>
          <w:rStyle w:val="25"/>
          <w:rFonts w:ascii="黑体" w:hAnsi="黑体" w:eastAsia="黑体"/>
          <w:b w:val="0"/>
        </w:rPr>
      </w:pPr>
      <w:bookmarkStart w:id="41" w:name="_Toc15377215"/>
      <w:bookmarkStart w:id="42" w:name="_Toc15396609"/>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41"/>
      <w:bookmarkEnd w:id="42"/>
    </w:p>
    <w:p>
      <w:pPr>
        <w:spacing w:line="600" w:lineRule="exact"/>
        <w:ind w:firstLine="640"/>
        <w:outlineLvl w:val="2"/>
        <w:rPr>
          <w:rFonts w:ascii="仿宋" w:hAnsi="仿宋" w:eastAsia="仿宋"/>
          <w:b/>
          <w:color w:val="000000"/>
          <w:sz w:val="32"/>
          <w:szCs w:val="32"/>
        </w:rPr>
      </w:pPr>
      <w:bookmarkStart w:id="43" w:name="_Toc15377216"/>
      <w:r>
        <w:rPr>
          <w:rFonts w:hint="eastAsia" w:ascii="仿宋" w:hAnsi="仿宋" w:eastAsia="仿宋"/>
          <w:bCs/>
          <w:color w:val="000000"/>
          <w:sz w:val="32"/>
          <w:szCs w:val="32"/>
        </w:rPr>
        <w:t>（一）“三公”经费财政拨款支出决算总体情况说明</w:t>
      </w:r>
      <w:bookmarkEnd w:id="43"/>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9年“三公”经费财政拨款支出决算为27.73万元，完成预算100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Cs/>
          <w:color w:val="000000"/>
          <w:sz w:val="32"/>
          <w:szCs w:val="32"/>
        </w:rPr>
      </w:pPr>
      <w:bookmarkStart w:id="44" w:name="_Toc15377217"/>
      <w:r>
        <w:rPr>
          <w:rFonts w:hint="eastAsia" w:ascii="仿宋" w:hAnsi="仿宋" w:eastAsia="仿宋"/>
          <w:bCs/>
          <w:color w:val="000000"/>
          <w:sz w:val="32"/>
          <w:szCs w:val="32"/>
        </w:rPr>
        <w:t>（二）“三公”经费财政拨款支出决算具体情况说明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；公务用车购置及运行维护费支出决算25.16万元，占91</w:t>
      </w:r>
      <w:r>
        <w:rPr>
          <w:rFonts w:ascii="仿宋" w:hAnsi="仿宋" w:eastAsia="仿宋"/>
          <w:color w:val="000000"/>
          <w:sz w:val="32"/>
          <w:szCs w:val="32"/>
        </w:rPr>
        <w:t>%</w:t>
      </w:r>
      <w:r>
        <w:rPr>
          <w:rFonts w:hint="eastAsia" w:ascii="仿宋" w:hAnsi="仿宋" w:eastAsia="仿宋"/>
          <w:color w:val="000000"/>
          <w:sz w:val="32"/>
          <w:szCs w:val="32"/>
        </w:rPr>
        <w:t>；公务接待费支出决算2.57万元，占9</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360" w:lineRule="auto"/>
        <w:ind w:firstLine="641"/>
        <w:rPr>
          <w:rFonts w:ascii="仿宋" w:hAnsi="仿宋" w:eastAsia="仿宋"/>
          <w:color w:val="000000"/>
          <w:sz w:val="32"/>
          <w:szCs w:val="32"/>
        </w:rPr>
      </w:pPr>
      <w:r>
        <w:rPr>
          <w:rFonts w:ascii="仿宋" w:hAnsi="仿宋" w:eastAsia="仿宋"/>
          <w:color w:val="000000"/>
          <w:sz w:val="32"/>
          <w:szCs w:val="32"/>
        </w:rPr>
        <w:drawing>
          <wp:inline distT="0" distB="0" distL="0" distR="0">
            <wp:extent cx="4081145" cy="2209800"/>
            <wp:effectExtent l="19050" t="0" r="14024"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_GB2312" w:eastAsia="仿宋_GB2312"/>
          <w:b/>
          <w:color w:val="000000"/>
          <w:sz w:val="32"/>
          <w:szCs w:val="32"/>
        </w:rPr>
      </w:pPr>
      <w:r>
        <w:rPr>
          <w:rFonts w:ascii="仿宋_GB2312" w:eastAsia="仿宋_GB2312"/>
          <w:bCs/>
          <w:color w:val="000000"/>
          <w:sz w:val="32"/>
          <w:szCs w:val="32"/>
        </w:rPr>
        <w:t>1.</w:t>
      </w:r>
      <w:r>
        <w:rPr>
          <w:rFonts w:hint="eastAsia" w:ascii="仿宋_GB2312" w:eastAsia="仿宋_GB2312"/>
          <w:bCs/>
          <w:color w:val="000000"/>
          <w:sz w:val="32"/>
          <w:szCs w:val="32"/>
        </w:rPr>
        <w:t>因公出国（境）经费支出0万元，</w:t>
      </w:r>
      <w:r>
        <w:rPr>
          <w:rStyle w:val="14"/>
          <w:rFonts w:hint="eastAsia" w:ascii="仿宋" w:hAnsi="仿宋" w:eastAsia="仿宋"/>
          <w:b w:val="0"/>
          <w:bCs/>
          <w:color w:val="000000"/>
          <w:sz w:val="32"/>
          <w:szCs w:val="32"/>
        </w:rPr>
        <w:t>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全年安排因公出国（境）团组0次，出国（境）0人。因公出国（境）支出决算与</w:t>
      </w:r>
      <w:r>
        <w:rPr>
          <w:rFonts w:ascii="仿宋_GB2312" w:eastAsia="仿宋_GB2312"/>
          <w:color w:val="000000"/>
          <w:sz w:val="32"/>
          <w:szCs w:val="32"/>
        </w:rPr>
        <w:t>201</w:t>
      </w:r>
      <w:r>
        <w:rPr>
          <w:rFonts w:hint="eastAsia" w:ascii="仿宋_GB2312" w:eastAsia="仿宋_GB2312"/>
          <w:color w:val="000000"/>
          <w:sz w:val="32"/>
          <w:szCs w:val="32"/>
        </w:rPr>
        <w:t>8年持平。</w:t>
      </w:r>
    </w:p>
    <w:p>
      <w:pPr>
        <w:spacing w:line="600" w:lineRule="exact"/>
        <w:ind w:firstLine="640"/>
        <w:rPr>
          <w:rFonts w:ascii="仿宋_GB2312" w:eastAsia="仿宋_GB2312"/>
          <w:b/>
          <w:color w:val="000000"/>
          <w:sz w:val="32"/>
          <w:szCs w:val="32"/>
        </w:rPr>
      </w:pPr>
      <w:r>
        <w:rPr>
          <w:rFonts w:ascii="仿宋_GB2312" w:eastAsia="仿宋_GB2312"/>
          <w:bCs/>
          <w:color w:val="000000"/>
          <w:sz w:val="32"/>
          <w:szCs w:val="32"/>
        </w:rPr>
        <w:t>2.</w:t>
      </w:r>
      <w:r>
        <w:rPr>
          <w:rFonts w:hint="eastAsia" w:ascii="仿宋_GB2312" w:eastAsia="仿宋_GB2312"/>
          <w:bCs/>
          <w:color w:val="000000"/>
          <w:sz w:val="32"/>
          <w:szCs w:val="32"/>
        </w:rPr>
        <w:t>公务用车购置及运行维护费支出25.16万元,</w:t>
      </w:r>
      <w:r>
        <w:rPr>
          <w:rStyle w:val="14"/>
          <w:rFonts w:hint="eastAsia" w:ascii="仿宋" w:hAnsi="仿宋" w:eastAsia="仿宋"/>
          <w:b w:val="0"/>
          <w:bCs/>
          <w:color w:val="000000"/>
          <w:sz w:val="32"/>
          <w:szCs w:val="32"/>
        </w:rPr>
        <w:t>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8年增加10.29万元，增长69</w:t>
      </w:r>
      <w:r>
        <w:rPr>
          <w:rFonts w:ascii="仿宋_GB2312" w:eastAsia="仿宋_GB2312"/>
          <w:color w:val="000000"/>
          <w:sz w:val="32"/>
          <w:szCs w:val="32"/>
        </w:rPr>
        <w:t>%</w:t>
      </w:r>
      <w:r>
        <w:rPr>
          <w:rFonts w:hint="eastAsia" w:ascii="仿宋_GB2312" w:eastAsia="仿宋_GB2312"/>
          <w:color w:val="000000"/>
          <w:sz w:val="32"/>
          <w:szCs w:val="32"/>
        </w:rPr>
        <w:t>。主要原因是工作量增加。</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Cs/>
          <w:color w:val="000000"/>
          <w:sz w:val="32"/>
          <w:szCs w:val="32"/>
        </w:rPr>
        <w:t>公务用车购置支出0</w:t>
      </w:r>
      <w:r>
        <w:rPr>
          <w:rFonts w:hint="eastAsia" w:ascii="仿宋_GB2312" w:eastAsia="仿宋_GB2312"/>
          <w:color w:val="000000"/>
          <w:sz w:val="32"/>
          <w:szCs w:val="32"/>
        </w:rPr>
        <w:t>万元。全年按规定更新购置公务用车0辆，金额0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月底，单位共有公务用车2辆，其中：主要领导干部用车0辆、机要通信用车0辆、应急保障用车0辆、 执法执勤用车2辆。</w:t>
      </w:r>
    </w:p>
    <w:p>
      <w:pPr>
        <w:spacing w:line="600" w:lineRule="exact"/>
        <w:ind w:firstLine="640"/>
        <w:rPr>
          <w:rFonts w:ascii="仿宋_GB2312" w:eastAsia="仿宋_GB2312"/>
          <w:color w:val="000000"/>
          <w:sz w:val="32"/>
          <w:szCs w:val="32"/>
        </w:rPr>
      </w:pPr>
      <w:r>
        <w:rPr>
          <w:rFonts w:hint="eastAsia" w:ascii="仿宋_GB2312" w:eastAsia="仿宋_GB2312"/>
          <w:bCs/>
          <w:color w:val="000000"/>
          <w:sz w:val="32"/>
          <w:szCs w:val="32"/>
        </w:rPr>
        <w:t>公务用车运行维护费支出25.16</w:t>
      </w:r>
      <w:r>
        <w:rPr>
          <w:rFonts w:hint="eastAsia" w:ascii="仿宋_GB2312" w:eastAsia="仿宋_GB2312"/>
          <w:color w:val="000000"/>
          <w:sz w:val="32"/>
          <w:szCs w:val="32"/>
        </w:rPr>
        <w:t>万元。主要用于办案人员下乡出差办案取证等所需的公务用车燃料费、维修费、过路过桥费、保险费等支出。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Cs/>
          <w:color w:val="000000"/>
          <w:sz w:val="32"/>
          <w:szCs w:val="32"/>
        </w:rPr>
        <w:t>3.</w:t>
      </w:r>
      <w:r>
        <w:rPr>
          <w:rFonts w:hint="eastAsia" w:ascii="仿宋_GB2312" w:eastAsia="仿宋_GB2312"/>
          <w:bCs/>
          <w:color w:val="000000"/>
          <w:sz w:val="32"/>
          <w:szCs w:val="32"/>
        </w:rPr>
        <w:t>公务接待费支出2.57</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8年增加0.62万元，增长32</w:t>
      </w:r>
      <w:r>
        <w:rPr>
          <w:rFonts w:ascii="仿宋_GB2312" w:eastAsia="仿宋_GB2312"/>
          <w:color w:val="000000"/>
          <w:sz w:val="32"/>
          <w:szCs w:val="32"/>
        </w:rPr>
        <w:t>%</w:t>
      </w:r>
      <w:r>
        <w:rPr>
          <w:rFonts w:hint="eastAsia" w:ascii="仿宋_GB2312" w:eastAsia="仿宋_GB2312"/>
          <w:color w:val="000000"/>
          <w:sz w:val="32"/>
          <w:szCs w:val="32"/>
        </w:rPr>
        <w:t>。主要原因是工作量增加：</w:t>
      </w:r>
    </w:p>
    <w:p>
      <w:pPr>
        <w:spacing w:line="600" w:lineRule="exact"/>
        <w:ind w:firstLine="640"/>
        <w:rPr>
          <w:rFonts w:ascii="仿宋_GB2312" w:eastAsia="仿宋_GB2312"/>
          <w:color w:val="000000"/>
          <w:sz w:val="32"/>
          <w:szCs w:val="32"/>
        </w:rPr>
      </w:pPr>
      <w:r>
        <w:rPr>
          <w:rFonts w:hint="eastAsia" w:ascii="仿宋" w:hAnsi="仿宋" w:eastAsia="仿宋"/>
          <w:bCs/>
          <w:color w:val="000000"/>
          <w:sz w:val="32"/>
          <w:szCs w:val="32"/>
        </w:rPr>
        <w:t>国内公务接待支出</w:t>
      </w:r>
      <w:r>
        <w:rPr>
          <w:rFonts w:hint="eastAsia" w:ascii="仿宋" w:hAnsi="仿宋" w:eastAsia="仿宋"/>
          <w:color w:val="000000"/>
          <w:sz w:val="32"/>
          <w:szCs w:val="32"/>
        </w:rPr>
        <w:t>2.57</w:t>
      </w:r>
      <w:r>
        <w:rPr>
          <w:rFonts w:hint="eastAsia" w:ascii="仿宋_GB2312" w:eastAsia="仿宋_GB2312"/>
          <w:color w:val="000000"/>
          <w:sz w:val="32"/>
          <w:szCs w:val="32"/>
        </w:rPr>
        <w:t>万元，主要用于执行公务、开展业务活动开支的交通费、住宿费、用餐费等。国内公务接待40批次，514人次（不包括陪同人员），共计支出2.57万元。</w:t>
      </w:r>
    </w:p>
    <w:p>
      <w:pPr>
        <w:spacing w:line="600" w:lineRule="exact"/>
        <w:ind w:firstLine="640" w:firstLineChars="200"/>
        <w:rPr>
          <w:rFonts w:ascii="仿宋_GB2312" w:eastAsia="仿宋_GB2312"/>
          <w:color w:val="000000" w:themeColor="text1"/>
          <w:sz w:val="32"/>
          <w:szCs w:val="32"/>
        </w:rPr>
      </w:pPr>
      <w:r>
        <w:rPr>
          <w:rFonts w:hint="eastAsia" w:ascii="仿宋" w:hAnsi="仿宋" w:eastAsia="仿宋"/>
          <w:bCs/>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，外事接待0批次，0人，共计支出0万元。</w:t>
      </w:r>
      <w:bookmarkStart w:id="45" w:name="_Toc15396610"/>
      <w:bookmarkStart w:id="46" w:name="_Toc15377218"/>
    </w:p>
    <w:p>
      <w:pPr>
        <w:spacing w:line="600" w:lineRule="exact"/>
        <w:ind w:firstLine="640"/>
        <w:outlineLvl w:val="1"/>
        <w:rPr>
          <w:rStyle w:val="25"/>
          <w:rFonts w:ascii="黑体" w:hAnsi="黑体" w:eastAsia="黑体"/>
        </w:rPr>
      </w:pPr>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5"/>
      <w:bookmarkEnd w:id="46"/>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9年政府性基金预算拨款支出0万元。</w:t>
      </w:r>
    </w:p>
    <w:p>
      <w:pPr>
        <w:numPr>
          <w:ilvl w:val="0"/>
          <w:numId w:val="6"/>
        </w:numPr>
        <w:spacing w:line="600" w:lineRule="exact"/>
        <w:ind w:firstLine="640"/>
        <w:outlineLvl w:val="1"/>
        <w:rPr>
          <w:rStyle w:val="25"/>
          <w:rFonts w:ascii="黑体" w:hAnsi="黑体" w:eastAsia="黑体"/>
          <w:b w:val="0"/>
        </w:rPr>
      </w:pPr>
      <w:bookmarkStart w:id="47" w:name="_Toc15377219"/>
      <w:bookmarkStart w:id="48" w:name="_Toc15396611"/>
      <w:r>
        <w:rPr>
          <w:rStyle w:val="25"/>
          <w:rFonts w:hint="eastAsia" w:ascii="黑体" w:hAnsi="黑体" w:eastAsia="黑体"/>
          <w:b w:val="0"/>
        </w:rPr>
        <w:t>国有资本经营预算支出决算情况说明</w:t>
      </w:r>
      <w:bookmarkEnd w:id="47"/>
      <w:bookmarkEnd w:id="48"/>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pPr>
        <w:spacing w:line="600" w:lineRule="exact"/>
        <w:ind w:firstLine="800" w:firstLineChars="250"/>
        <w:outlineLvl w:val="1"/>
        <w:rPr>
          <w:rStyle w:val="25"/>
          <w:rFonts w:ascii="黑体" w:hAnsi="黑体" w:eastAsia="黑体"/>
        </w:rPr>
      </w:pPr>
      <w:bookmarkStart w:id="49" w:name="_Toc15396612"/>
      <w:bookmarkStart w:id="50" w:name="_Toc15377221"/>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49"/>
      <w:bookmarkEnd w:id="50"/>
    </w:p>
    <w:p>
      <w:pPr>
        <w:spacing w:line="600" w:lineRule="exact"/>
        <w:ind w:firstLine="640" w:firstLineChars="200"/>
        <w:outlineLvl w:val="2"/>
        <w:rPr>
          <w:rFonts w:ascii="仿宋" w:hAnsi="仿宋" w:eastAsia="仿宋"/>
          <w:color w:val="000000"/>
          <w:sz w:val="32"/>
          <w:szCs w:val="32"/>
        </w:rPr>
      </w:pPr>
      <w:bookmarkStart w:id="51" w:name="_Toc15377222"/>
      <w:r>
        <w:rPr>
          <w:rFonts w:hint="eastAsia" w:ascii="仿宋" w:hAnsi="仿宋" w:eastAsia="仿宋"/>
          <w:bCs/>
          <w:color w:val="000000"/>
          <w:sz w:val="32"/>
          <w:szCs w:val="32"/>
        </w:rPr>
        <w:t>（一）机关运行经费支出情况</w:t>
      </w:r>
      <w:bookmarkEnd w:id="51"/>
    </w:p>
    <w:p>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9年，茂县纪委机关运行经费支出171.73万元，比</w:t>
      </w:r>
      <w:r>
        <w:rPr>
          <w:rFonts w:ascii="仿宋_GB2312" w:eastAsia="仿宋_GB2312"/>
          <w:color w:val="000000"/>
          <w:sz w:val="32"/>
          <w:szCs w:val="32"/>
        </w:rPr>
        <w:t>201</w:t>
      </w:r>
      <w:r>
        <w:rPr>
          <w:rFonts w:hint="eastAsia" w:ascii="仿宋_GB2312" w:eastAsia="仿宋_GB2312"/>
          <w:color w:val="000000"/>
          <w:sz w:val="32"/>
          <w:szCs w:val="32"/>
        </w:rPr>
        <w:t>8年增加67.64万元，增长65</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主要原因是人员增加及工作量增加。</w:t>
      </w:r>
    </w:p>
    <w:p>
      <w:pPr>
        <w:autoSpaceDE w:val="0"/>
        <w:autoSpaceDN w:val="0"/>
        <w:adjustRightInd w:val="0"/>
        <w:spacing w:line="600" w:lineRule="exact"/>
        <w:ind w:firstLine="640" w:firstLineChars="200"/>
        <w:jc w:val="left"/>
        <w:outlineLvl w:val="2"/>
        <w:rPr>
          <w:rFonts w:ascii="仿宋" w:hAnsi="仿宋" w:eastAsia="仿宋"/>
          <w:bCs/>
          <w:color w:val="000000"/>
          <w:sz w:val="32"/>
          <w:szCs w:val="32"/>
        </w:rPr>
      </w:pPr>
      <w:bookmarkStart w:id="52" w:name="_Toc15377223"/>
      <w:r>
        <w:rPr>
          <w:rFonts w:hint="eastAsia" w:ascii="仿宋" w:hAnsi="仿宋" w:eastAsia="仿宋"/>
          <w:bCs/>
          <w:color w:val="000000"/>
          <w:sz w:val="32"/>
          <w:szCs w:val="32"/>
        </w:rPr>
        <w:t>（二）政府采购支出情况</w:t>
      </w:r>
      <w:bookmarkEnd w:id="52"/>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9年，茂县纪委政府采购支出总额0万元，其中：政府采购货物支出0万元、政府采购工程支出0万元、政府采购服务支出0万元。</w:t>
      </w:r>
    </w:p>
    <w:p>
      <w:pPr>
        <w:autoSpaceDE w:val="0"/>
        <w:autoSpaceDN w:val="0"/>
        <w:adjustRightInd w:val="0"/>
        <w:spacing w:line="600" w:lineRule="exact"/>
        <w:ind w:firstLine="640" w:firstLineChars="200"/>
        <w:jc w:val="left"/>
        <w:outlineLvl w:val="2"/>
        <w:rPr>
          <w:rFonts w:ascii="仿宋" w:hAnsi="仿宋" w:eastAsia="仿宋"/>
          <w:bCs/>
          <w:color w:val="000000"/>
          <w:sz w:val="32"/>
          <w:szCs w:val="32"/>
        </w:rPr>
      </w:pPr>
      <w:bookmarkStart w:id="53" w:name="_Toc15377224"/>
      <w:r>
        <w:rPr>
          <w:rFonts w:hint="eastAsia" w:ascii="仿宋" w:hAnsi="仿宋" w:eastAsia="仿宋"/>
          <w:bCs/>
          <w:color w:val="000000"/>
          <w:sz w:val="32"/>
          <w:szCs w:val="32"/>
        </w:rPr>
        <w:t>（三）国有资产占有使用情况</w:t>
      </w:r>
      <w:bookmarkEnd w:id="53"/>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日，茂县纪委共有车辆2辆，其中：主要领导干部用车0辆、机要通信用车0辆、应急保障用车0辆、其他用车2辆，</w:t>
      </w:r>
      <w:r>
        <w:rPr>
          <w:rFonts w:hint="eastAsia" w:ascii="仿宋_GB2312" w:eastAsia="仿宋_GB2312"/>
          <w:color w:val="000000" w:themeColor="text1"/>
          <w:sz w:val="32"/>
          <w:szCs w:val="32"/>
        </w:rPr>
        <w:t>其他用车主要是用于</w:t>
      </w:r>
      <w:r>
        <w:rPr>
          <w:rFonts w:hint="eastAsia" w:ascii="仿宋_GB2312" w:eastAsia="仿宋_GB2312"/>
          <w:color w:val="000000"/>
          <w:sz w:val="32"/>
          <w:szCs w:val="32"/>
        </w:rPr>
        <w:t>办案人员下乡出差办案取证等所需的公务用车燃料费、维修费、过路过桥费、保险费等支出。</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0" w:firstLineChars="200"/>
        <w:jc w:val="left"/>
        <w:outlineLvl w:val="2"/>
        <w:rPr>
          <w:rFonts w:ascii="仿宋" w:hAnsi="仿宋" w:eastAsia="仿宋"/>
          <w:bCs/>
          <w:color w:val="000000"/>
          <w:sz w:val="32"/>
          <w:szCs w:val="32"/>
        </w:rPr>
      </w:pPr>
      <w:r>
        <w:rPr>
          <w:rFonts w:hint="eastAsia" w:ascii="仿宋" w:hAnsi="仿宋" w:eastAsia="仿宋"/>
          <w:bCs/>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根据预算绩效管理要求，本部门对2个项目编制了绩效目标，预算执行过程中，选取2个项目开展绩效监控，年终执行完毕后，对2个项目开展了绩效目标完成情况自评。</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本部门按要求对2019年部门整体支出开展绩效自评，从评价情况来看，我单位工作人员保质保量完成各项工作，切实做到让老百姓满意。</w:t>
      </w:r>
    </w:p>
    <w:p>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本部门在2019年度部门决算中反映“审讯系统升级及廉政文化长廊建设</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“检举举报平台建设</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2个项目绩效目标实际完成情况。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（1）审讯系统升级及廉政文化长廊建设，项目全年预算数92.54万元，执行数为92.54万元，完成预算的100%。通过项目实施，保障了工作正常开展，让工作保质保量完成，切实做到让老百姓满意。</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（2）检举举报平台建设，项目全年预算数21.54万元，执行数为21.54万元，完成预算的100%。通过项目实施，保障了纪检工作的有效开展，为社会举报提供了一个便捷平台。</w:t>
      </w: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529"/>
        <w:gridCol w:w="1228"/>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textAlignment w:val="center"/>
              <w:rPr>
                <w:rFonts w:ascii="宋体" w:hAnsi="宋体" w:cs="宋体"/>
                <w:color w:val="000000"/>
                <w:sz w:val="36"/>
                <w:szCs w:val="36"/>
              </w:rPr>
            </w:pPr>
          </w:p>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审讯系统升级及廉政文化长廊建设</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茂县纪委</w:t>
            </w:r>
          </w:p>
        </w:tc>
      </w:tr>
      <w:tr>
        <w:tblPrEx>
          <w:tblCellMar>
            <w:top w:w="0" w:type="dxa"/>
            <w:left w:w="0" w:type="dxa"/>
            <w:bottom w:w="0" w:type="dxa"/>
            <w:right w:w="0" w:type="dxa"/>
          </w:tblCellMar>
        </w:tblPrEx>
        <w:trPr>
          <w:trHeight w:val="276" w:hRule="atLeast"/>
          <w:jc w:val="center"/>
        </w:trPr>
        <w:tc>
          <w:tcPr>
            <w:tcW w:w="52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25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92.54万元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92.54万元</w:t>
            </w:r>
          </w:p>
        </w:tc>
      </w:tr>
      <w:tr>
        <w:tblPrEx>
          <w:tblCellMar>
            <w:top w:w="0" w:type="dxa"/>
            <w:left w:w="0" w:type="dxa"/>
            <w:bottom w:w="0" w:type="dxa"/>
            <w:right w:w="0" w:type="dxa"/>
          </w:tblCellMar>
        </w:tblPrEx>
        <w:trPr>
          <w:trHeight w:val="276"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25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92.54万元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92.54万元</w:t>
            </w:r>
          </w:p>
        </w:tc>
      </w:tr>
      <w:tr>
        <w:tblPrEx>
          <w:tblCellMar>
            <w:top w:w="0" w:type="dxa"/>
            <w:left w:w="0" w:type="dxa"/>
            <w:bottom w:w="0" w:type="dxa"/>
            <w:right w:w="0" w:type="dxa"/>
          </w:tblCellMar>
        </w:tblPrEx>
        <w:trPr>
          <w:trHeight w:val="1098"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25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hAnsi="宋体" w:cs="宋体"/>
                <w:color w:val="000000"/>
                <w:sz w:val="24"/>
              </w:rPr>
              <w:t>0万元</w:t>
            </w:r>
          </w:p>
        </w:tc>
      </w:tr>
      <w:tr>
        <w:tblPrEx>
          <w:tblCellMar>
            <w:top w:w="0" w:type="dxa"/>
            <w:left w:w="0" w:type="dxa"/>
            <w:bottom w:w="0" w:type="dxa"/>
            <w:right w:w="0" w:type="dxa"/>
          </w:tblCellMar>
        </w:tblPrEx>
        <w:trPr>
          <w:trHeight w:val="276" w:hRule="atLeast"/>
          <w:jc w:val="center"/>
        </w:trPr>
        <w:tc>
          <w:tcPr>
            <w:tcW w:w="52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64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041"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64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保障及提升纪检工作有效开展</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保障及提升纪检工作有效开展，切实为老百姓参与廉政建设提供便捷</w:t>
            </w:r>
          </w:p>
        </w:tc>
      </w:tr>
      <w:tr>
        <w:tblPrEx>
          <w:tblCellMar>
            <w:top w:w="0" w:type="dxa"/>
            <w:left w:w="0" w:type="dxa"/>
            <w:bottom w:w="0" w:type="dxa"/>
            <w:right w:w="0" w:type="dxa"/>
          </w:tblCellMar>
        </w:tblPrEx>
        <w:trPr>
          <w:trHeight w:val="933" w:hRule="atLeast"/>
          <w:jc w:val="center"/>
        </w:trPr>
        <w:tc>
          <w:tcPr>
            <w:tcW w:w="529"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1348" w:hRule="atLeast"/>
          <w:jc w:val="center"/>
        </w:trPr>
        <w:tc>
          <w:tcPr>
            <w:tcW w:w="52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审讯系统升级及廉政文化长廊建设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完成审讯系统升级及廉政文化长廊建设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完成审讯系统升级及廉政文化长廊建设</w:t>
            </w:r>
          </w:p>
        </w:tc>
      </w:tr>
      <w:tr>
        <w:tblPrEx>
          <w:tblCellMar>
            <w:top w:w="0" w:type="dxa"/>
            <w:left w:w="0" w:type="dxa"/>
            <w:bottom w:w="0" w:type="dxa"/>
            <w:right w:w="0" w:type="dxa"/>
          </w:tblCellMar>
        </w:tblPrEx>
        <w:trPr>
          <w:trHeight w:val="1297" w:hRule="atLeast"/>
          <w:jc w:val="center"/>
        </w:trPr>
        <w:tc>
          <w:tcPr>
            <w:tcW w:w="52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工作完成度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按期完成审讯系统升级及廉政文化长廊建设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按期完成审讯系统升级及廉政文化长廊建设</w:t>
            </w:r>
          </w:p>
        </w:tc>
      </w:tr>
      <w:tr>
        <w:tblPrEx>
          <w:tblCellMar>
            <w:top w:w="0" w:type="dxa"/>
            <w:left w:w="0" w:type="dxa"/>
            <w:bottom w:w="0" w:type="dxa"/>
            <w:right w:w="0" w:type="dxa"/>
          </w:tblCellMar>
        </w:tblPrEx>
        <w:trPr>
          <w:trHeight w:val="1042" w:hRule="atLeast"/>
          <w:jc w:val="center"/>
        </w:trPr>
        <w:tc>
          <w:tcPr>
            <w:tcW w:w="52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2019年度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2019年度</w:t>
            </w:r>
          </w:p>
        </w:tc>
      </w:tr>
      <w:tr>
        <w:tblPrEx>
          <w:tblCellMar>
            <w:top w:w="0" w:type="dxa"/>
            <w:left w:w="0" w:type="dxa"/>
            <w:bottom w:w="0" w:type="dxa"/>
            <w:right w:w="0" w:type="dxa"/>
          </w:tblCellMar>
        </w:tblPrEx>
        <w:trPr>
          <w:trHeight w:val="1050" w:hRule="atLeast"/>
          <w:jc w:val="center"/>
        </w:trPr>
        <w:tc>
          <w:tcPr>
            <w:tcW w:w="52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&gt;90%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&gt;95%</w:t>
            </w: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textAlignment w:val="center"/>
              <w:rPr>
                <w:rFonts w:ascii="宋体" w:hAnsi="宋体" w:cs="宋体"/>
                <w:color w:val="000000"/>
                <w:sz w:val="36"/>
                <w:szCs w:val="36"/>
              </w:rPr>
            </w:pPr>
          </w:p>
          <w:p>
            <w:pPr>
              <w:widowControl/>
              <w:textAlignment w:val="center"/>
              <w:rPr>
                <w:rFonts w:ascii="宋体" w:hAnsi="宋体" w:cs="宋体"/>
                <w:color w:val="000000"/>
                <w:sz w:val="36"/>
                <w:szCs w:val="36"/>
              </w:rPr>
            </w:pPr>
          </w:p>
          <w:p>
            <w:pPr>
              <w:widowControl/>
              <w:textAlignment w:val="center"/>
              <w:rPr>
                <w:rFonts w:ascii="宋体" w:hAnsi="宋体" w:cs="宋体"/>
                <w:color w:val="000000"/>
                <w:sz w:val="36"/>
                <w:szCs w:val="36"/>
              </w:rPr>
            </w:pPr>
          </w:p>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2160" w:firstLineChars="900"/>
              <w:textAlignment w:val="center"/>
              <w:rPr>
                <w:rFonts w:ascii="宋体" w:hAnsi="宋体" w:cs="宋体"/>
                <w:color w:val="000000"/>
                <w:sz w:val="24"/>
              </w:rPr>
            </w:pPr>
            <w:r>
              <w:rPr>
                <w:rFonts w:hint="eastAsia" w:ascii="仿宋_GB2312" w:hAnsi="仿宋_GB2312" w:eastAsia="仿宋_GB2312" w:cs="仿宋_GB2312"/>
                <w:sz w:val="24"/>
              </w:rPr>
              <w:t>检举举报平台建设</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茂县纪委</w:t>
            </w:r>
          </w:p>
        </w:tc>
      </w:tr>
      <w:tr>
        <w:tblPrEx>
          <w:tblCellMar>
            <w:top w:w="0" w:type="dxa"/>
            <w:left w:w="0" w:type="dxa"/>
            <w:bottom w:w="0" w:type="dxa"/>
            <w:right w:w="0" w:type="dxa"/>
          </w:tblCellMar>
        </w:tblPrEx>
        <w:trPr>
          <w:trHeight w:val="276" w:hRule="atLeast"/>
          <w:jc w:val="center"/>
        </w:trPr>
        <w:tc>
          <w:tcPr>
            <w:tcW w:w="52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25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21.54万元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21.54万元</w:t>
            </w:r>
          </w:p>
        </w:tc>
      </w:tr>
      <w:tr>
        <w:tblPrEx>
          <w:tblCellMar>
            <w:top w:w="0" w:type="dxa"/>
            <w:left w:w="0" w:type="dxa"/>
            <w:bottom w:w="0" w:type="dxa"/>
            <w:right w:w="0" w:type="dxa"/>
          </w:tblCellMar>
        </w:tblPrEx>
        <w:trPr>
          <w:trHeight w:val="276"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25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21.54万元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21.54万元</w:t>
            </w:r>
          </w:p>
        </w:tc>
      </w:tr>
      <w:tr>
        <w:tblPrEx>
          <w:tblCellMar>
            <w:top w:w="0" w:type="dxa"/>
            <w:left w:w="0" w:type="dxa"/>
            <w:bottom w:w="0" w:type="dxa"/>
            <w:right w:w="0" w:type="dxa"/>
          </w:tblCellMar>
        </w:tblPrEx>
        <w:trPr>
          <w:trHeight w:val="1278"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25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hAnsi="宋体" w:cs="宋体"/>
                <w:color w:val="000000"/>
                <w:sz w:val="24"/>
              </w:rPr>
              <w:t>0万元</w:t>
            </w:r>
          </w:p>
        </w:tc>
      </w:tr>
      <w:tr>
        <w:tblPrEx>
          <w:tblCellMar>
            <w:top w:w="0" w:type="dxa"/>
            <w:left w:w="0" w:type="dxa"/>
            <w:bottom w:w="0" w:type="dxa"/>
            <w:right w:w="0" w:type="dxa"/>
          </w:tblCellMar>
        </w:tblPrEx>
        <w:trPr>
          <w:trHeight w:val="276" w:hRule="atLeast"/>
          <w:jc w:val="center"/>
        </w:trPr>
        <w:tc>
          <w:tcPr>
            <w:tcW w:w="52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64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52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64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保障及提升纪检工作有效开展</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保障及提升纪检工作有效开展，切实为老百姓参与廉政建设提供便捷，为构建一个和谐廉洁的社会提供强有力的保障</w:t>
            </w:r>
          </w:p>
        </w:tc>
      </w:tr>
      <w:tr>
        <w:tblPrEx>
          <w:tblCellMar>
            <w:top w:w="0" w:type="dxa"/>
            <w:left w:w="0" w:type="dxa"/>
            <w:bottom w:w="0" w:type="dxa"/>
            <w:right w:w="0" w:type="dxa"/>
          </w:tblCellMar>
        </w:tblPrEx>
        <w:trPr>
          <w:trHeight w:val="943" w:hRule="atLeast"/>
          <w:jc w:val="center"/>
        </w:trPr>
        <w:tc>
          <w:tcPr>
            <w:tcW w:w="529"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854" w:hRule="atLeast"/>
          <w:jc w:val="center"/>
        </w:trPr>
        <w:tc>
          <w:tcPr>
            <w:tcW w:w="52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检举举报平台建设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完成检举举报平台建设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完成检举举报平台建设</w:t>
            </w:r>
          </w:p>
        </w:tc>
      </w:tr>
      <w:tr>
        <w:tblPrEx>
          <w:tblCellMar>
            <w:top w:w="0" w:type="dxa"/>
            <w:left w:w="0" w:type="dxa"/>
            <w:bottom w:w="0" w:type="dxa"/>
            <w:right w:w="0" w:type="dxa"/>
          </w:tblCellMar>
        </w:tblPrEx>
        <w:trPr>
          <w:trHeight w:val="1057" w:hRule="atLeast"/>
          <w:jc w:val="center"/>
        </w:trPr>
        <w:tc>
          <w:tcPr>
            <w:tcW w:w="52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工作完成度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按期完成检举举报平台建设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按期完成检举举报平台建设</w:t>
            </w:r>
          </w:p>
        </w:tc>
      </w:tr>
      <w:tr>
        <w:tblPrEx>
          <w:tblCellMar>
            <w:top w:w="0" w:type="dxa"/>
            <w:left w:w="0" w:type="dxa"/>
            <w:bottom w:w="0" w:type="dxa"/>
            <w:right w:w="0" w:type="dxa"/>
          </w:tblCellMar>
        </w:tblPrEx>
        <w:trPr>
          <w:trHeight w:val="926" w:hRule="atLeast"/>
          <w:jc w:val="center"/>
        </w:trPr>
        <w:tc>
          <w:tcPr>
            <w:tcW w:w="52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2019年度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2019年度</w:t>
            </w:r>
          </w:p>
        </w:tc>
      </w:tr>
      <w:tr>
        <w:tblPrEx>
          <w:tblCellMar>
            <w:top w:w="0" w:type="dxa"/>
            <w:left w:w="0" w:type="dxa"/>
            <w:bottom w:w="0" w:type="dxa"/>
            <w:right w:w="0" w:type="dxa"/>
          </w:tblCellMar>
        </w:tblPrEx>
        <w:trPr>
          <w:trHeight w:val="854" w:hRule="atLeast"/>
          <w:jc w:val="center"/>
        </w:trPr>
        <w:tc>
          <w:tcPr>
            <w:tcW w:w="529"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&gt;90%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&gt;95%</w:t>
            </w:r>
          </w:p>
        </w:tc>
      </w:tr>
    </w:tbl>
    <w:p>
      <w:pPr>
        <w:spacing w:line="580" w:lineRule="exact"/>
        <w:rPr>
          <w:rFonts w:ascii="楷体_GB2312" w:hAnsi="楷体_GB2312" w:eastAsia="楷体_GB2312" w:cs="楷体_GB2312"/>
          <w:sz w:val="32"/>
          <w:szCs w:val="32"/>
        </w:rPr>
      </w:pPr>
    </w:p>
    <w:p>
      <w:pPr>
        <w:spacing w:line="580" w:lineRule="exact"/>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本部门按要求对2019年部门整体支出绩效评价情况开展自评，《茂县纪委2019年部门整体支出绩效评价报告》见附件（附件1）。</w:t>
      </w:r>
      <w:r>
        <w:rPr>
          <w:rFonts w:ascii="仿宋_GB2312" w:eastAsia="仿宋_GB2312"/>
          <w:b/>
          <w:color w:val="000000"/>
          <w:sz w:val="32"/>
          <w:szCs w:val="32"/>
        </w:rPr>
        <w:br w:type="page"/>
      </w:r>
    </w:p>
    <w:p>
      <w:pPr>
        <w:numPr>
          <w:ilvl w:val="0"/>
          <w:numId w:val="7"/>
        </w:numPr>
        <w:spacing w:line="600" w:lineRule="exact"/>
        <w:ind w:firstLine="660" w:firstLineChars="150"/>
        <w:jc w:val="center"/>
        <w:outlineLvl w:val="0"/>
        <w:rPr>
          <w:rStyle w:val="24"/>
          <w:rFonts w:ascii="黑体" w:hAnsi="黑体" w:eastAsia="黑体"/>
          <w:b w:val="0"/>
        </w:rPr>
      </w:pPr>
      <w:bookmarkStart w:id="54" w:name="_Toc15377225"/>
      <w:bookmarkStart w:id="55" w:name="_Toc15396613"/>
      <w:r>
        <w:rPr>
          <w:rFonts w:hint="eastAsia" w:ascii="黑体" w:hAnsi="黑体" w:eastAsia="黑体"/>
          <w:color w:val="000000"/>
          <w:sz w:val="44"/>
          <w:szCs w:val="44"/>
        </w:rPr>
        <w:t>名</w:t>
      </w:r>
      <w:r>
        <w:rPr>
          <w:rStyle w:val="24"/>
          <w:rFonts w:hint="eastAsia" w:ascii="黑体" w:hAnsi="黑体" w:eastAsia="黑体"/>
          <w:b w:val="0"/>
        </w:rPr>
        <w:t>词解释</w:t>
      </w:r>
      <w:bookmarkEnd w:id="54"/>
      <w:bookmarkEnd w:id="55"/>
    </w:p>
    <w:p>
      <w:pPr>
        <w:spacing w:line="600" w:lineRule="exact"/>
        <w:jc w:val="left"/>
        <w:rPr>
          <w:rFonts w:ascii="宋体"/>
          <w:b/>
          <w:color w:val="000000"/>
          <w:sz w:val="44"/>
          <w:szCs w:val="44"/>
        </w:rPr>
      </w:pPr>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Style w:val="14"/>
          <w:rFonts w:hint="eastAsia" w:ascii="仿宋_GB2312" w:hAnsi="仿宋_GB2312" w:eastAsia="仿宋_GB2312" w:cs="仿宋_GB2312"/>
          <w:b w:val="0"/>
          <w:bCs/>
          <w:color w:val="000000"/>
          <w:sz w:val="32"/>
          <w:szCs w:val="32"/>
        </w:rPr>
        <w:t xml:space="preserve"> 一般公共服务（类）纪检监察事务（款）行政运行（项）</w:t>
      </w:r>
      <w:r>
        <w:rPr>
          <w:rFonts w:hint="eastAsia" w:ascii="仿宋_GB2312" w:hAnsi="仿宋_GB2312" w:eastAsia="仿宋_GB2312" w:cs="仿宋_GB2312"/>
          <w:color w:val="000000"/>
          <w:sz w:val="32"/>
          <w:szCs w:val="32"/>
        </w:rPr>
        <w:t>：指单位开展日常工作所需日常公用经费开支及单位职工的人员经费开支</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10.</w:t>
      </w:r>
      <w:r>
        <w:rPr>
          <w:rStyle w:val="14"/>
          <w:rFonts w:hint="eastAsia" w:ascii="仿宋_GB2312" w:hAnsi="仿宋_GB2312" w:eastAsia="仿宋_GB2312" w:cs="仿宋_GB2312"/>
          <w:b w:val="0"/>
          <w:bCs/>
          <w:color w:val="000000"/>
          <w:sz w:val="32"/>
          <w:szCs w:val="32"/>
        </w:rPr>
        <w:t xml:space="preserve"> 一般公共服务（类）纪检监察事务（款）一般行政管理事务（项）</w:t>
      </w:r>
      <w:r>
        <w:rPr>
          <w:rFonts w:hint="eastAsia" w:ascii="仿宋_GB2312" w:eastAsia="仿宋_GB2312"/>
          <w:color w:val="000000"/>
          <w:sz w:val="32"/>
          <w:szCs w:val="32"/>
        </w:rPr>
        <w:t>：指单位申请日常工作所需专项开支经费。</w:t>
      </w:r>
    </w:p>
    <w:p>
      <w:pPr>
        <w:ind w:firstLine="640" w:firstLineChars="200"/>
        <w:rPr>
          <w:rFonts w:ascii="仿宋_GB2312" w:eastAsia="仿宋_GB2312"/>
          <w:color w:val="000000"/>
          <w:sz w:val="32"/>
          <w:szCs w:val="32"/>
        </w:rPr>
      </w:pPr>
      <w:r>
        <w:rPr>
          <w:rFonts w:ascii="仿宋_GB2312" w:eastAsia="仿宋_GB2312"/>
          <w:color w:val="000000"/>
          <w:sz w:val="32"/>
          <w:szCs w:val="32"/>
        </w:rPr>
        <w:t>11.</w:t>
      </w:r>
      <w:r>
        <w:rPr>
          <w:rStyle w:val="14"/>
          <w:rFonts w:hint="eastAsia" w:ascii="仿宋_GB2312" w:hAnsi="仿宋_GB2312" w:eastAsia="仿宋_GB2312" w:cs="仿宋_GB2312"/>
          <w:b w:val="0"/>
          <w:bCs/>
          <w:color w:val="000000"/>
          <w:sz w:val="32"/>
          <w:szCs w:val="32"/>
        </w:rPr>
        <w:t xml:space="preserve"> 一般公共服务（类）纪检监察事务（款）事业运行（项）</w:t>
      </w:r>
      <w:r>
        <w:rPr>
          <w:rFonts w:hint="eastAsia" w:ascii="仿宋_GB2312" w:eastAsia="仿宋_GB2312"/>
          <w:color w:val="000000"/>
          <w:sz w:val="32"/>
          <w:szCs w:val="32"/>
        </w:rPr>
        <w:t>：指</w:t>
      </w:r>
      <w:r>
        <w:rPr>
          <w:rFonts w:hint="eastAsia" w:ascii="仿宋_GB2312" w:hAnsi="仿宋_GB2312" w:eastAsia="仿宋_GB2312" w:cs="仿宋_GB2312"/>
          <w:color w:val="000000"/>
          <w:sz w:val="32"/>
          <w:szCs w:val="32"/>
        </w:rPr>
        <w:t>单位开展日常工作所需日常公用经费开支及单位职工的人员经费开支</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2</w:t>
      </w:r>
      <w:r>
        <w:rPr>
          <w:rFonts w:ascii="仿宋_GB2312" w:eastAsia="仿宋_GB2312"/>
          <w:color w:val="000000"/>
          <w:sz w:val="32"/>
          <w:szCs w:val="32"/>
        </w:rPr>
        <w:t>.</w:t>
      </w:r>
      <w:r>
        <w:rPr>
          <w:rFonts w:hint="eastAsia" w:ascii="仿宋_GB2312" w:eastAsia="仿宋_GB2312"/>
          <w:color w:val="000000"/>
          <w:sz w:val="32"/>
          <w:szCs w:val="32"/>
        </w:rPr>
        <w:t>社会保障和就业（类）行政事业单位离退休（款）机关事业单位基本养老保险缴费支出（项）：指</w:t>
      </w:r>
      <w:r>
        <w:rPr>
          <w:rFonts w:hint="eastAsia" w:ascii="仿宋_GB2312" w:hAnsi="仿宋_GB2312" w:eastAsia="仿宋_GB2312" w:cs="仿宋_GB2312"/>
          <w:color w:val="000000"/>
          <w:sz w:val="32"/>
          <w:szCs w:val="32"/>
        </w:rPr>
        <w:t>给单位职工缴纳单位部分的养老保险</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3</w:t>
      </w:r>
      <w:r>
        <w:rPr>
          <w:rFonts w:ascii="仿宋_GB2312" w:eastAsia="仿宋_GB2312"/>
          <w:color w:val="000000"/>
          <w:sz w:val="32"/>
          <w:szCs w:val="32"/>
        </w:rPr>
        <w:t>.</w:t>
      </w:r>
      <w:r>
        <w:rPr>
          <w:rStyle w:val="14"/>
          <w:rFonts w:hint="eastAsia" w:ascii="仿宋_GB2312" w:hAnsi="仿宋_GB2312" w:eastAsia="仿宋_GB2312" w:cs="仿宋_GB2312"/>
          <w:b w:val="0"/>
          <w:bCs/>
          <w:color w:val="000000"/>
          <w:sz w:val="32"/>
          <w:szCs w:val="32"/>
        </w:rPr>
        <w:t>社会保障和就业（类）行政事业离退休（款）机关事业单位职业年金缴费支出（项）</w:t>
      </w:r>
      <w:r>
        <w:rPr>
          <w:rFonts w:hint="eastAsia" w:ascii="仿宋_GB2312" w:hAnsi="仿宋_GB2312" w:eastAsia="仿宋_GB2312" w:cs="仿宋_GB2312"/>
          <w:color w:val="000000"/>
          <w:sz w:val="32"/>
          <w:szCs w:val="32"/>
        </w:rPr>
        <w:t>：指给单位职工缴纳单位部分职业年金。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4</w:t>
      </w:r>
      <w:r>
        <w:rPr>
          <w:rFonts w:ascii="仿宋_GB2312" w:eastAsia="仿宋_GB2312"/>
          <w:color w:val="000000"/>
          <w:sz w:val="32"/>
          <w:szCs w:val="32"/>
        </w:rPr>
        <w:t>.</w:t>
      </w:r>
      <w:r>
        <w:rPr>
          <w:rStyle w:val="14"/>
          <w:rFonts w:hint="eastAsia" w:ascii="仿宋_GB2312" w:hAnsi="仿宋_GB2312" w:eastAsia="仿宋_GB2312" w:cs="仿宋_GB2312"/>
          <w:b w:val="0"/>
          <w:bCs/>
          <w:color w:val="000000"/>
          <w:sz w:val="32"/>
          <w:szCs w:val="32"/>
        </w:rPr>
        <w:t>卫生健康支出（类）行政事业单位医疗（款）行政单位医疗（项）</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color w:val="000000"/>
          <w:sz w:val="32"/>
          <w:szCs w:val="32"/>
        </w:rPr>
        <w:t>指给单位职工缴纳单位部分的医疗保险。</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5</w:t>
      </w:r>
      <w:r>
        <w:rPr>
          <w:rFonts w:ascii="仿宋_GB2312" w:eastAsia="仿宋_GB2312"/>
          <w:color w:val="000000"/>
          <w:sz w:val="32"/>
          <w:szCs w:val="32"/>
        </w:rPr>
        <w:t>.</w:t>
      </w:r>
      <w:r>
        <w:rPr>
          <w:rFonts w:hint="eastAsia" w:ascii="仿宋_GB2312" w:hAnsi="仿宋_GB2312" w:eastAsia="仿宋_GB2312" w:cs="仿宋_GB2312"/>
          <w:color w:val="000000"/>
          <w:sz w:val="32"/>
          <w:szCs w:val="32"/>
        </w:rPr>
        <w:t>住房保障(类)住房改革支出（款）住房公积金（项）：指给单位职工缴纳单位部分的住房公积金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w:t>
      </w:r>
      <w:r>
        <w:rPr>
          <w:rFonts w:hint="eastAsia" w:ascii="仿宋_GB2312" w:hAnsi="仿宋_GB2312" w:eastAsia="仿宋_GB2312" w:cs="仿宋_GB2312"/>
          <w:color w:val="000000"/>
          <w:sz w:val="32"/>
          <w:szCs w:val="32"/>
        </w:rPr>
        <w:t>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w:t>
      </w:r>
      <w:r>
        <w:rPr>
          <w:rFonts w:hint="eastAsia" w:ascii="仿宋_GB2312" w:hAnsi="仿宋_GB2312" w:eastAsia="仿宋_GB2312" w:cs="仿宋_GB2312"/>
          <w:color w:val="000000"/>
          <w:sz w:val="32"/>
          <w:szCs w:val="32"/>
        </w:rPr>
        <w:t>指在基本支出之外为完成特定行政任务和事业发展目标所发生的支出。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Style w:val="24"/>
          <w:rFonts w:ascii="仿宋_GB2312" w:hAnsi="Calibri" w:eastAsia="仿宋_GB2312"/>
          <w:b w:val="0"/>
          <w:bCs w:val="0"/>
          <w:kern w:val="0"/>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6" w:name="_Toc15377226"/>
      <w:r>
        <w:rPr>
          <w:rFonts w:ascii="宋体"/>
          <w:b/>
          <w:sz w:val="44"/>
          <w:szCs w:val="44"/>
        </w:rPr>
        <w:br w:type="page"/>
      </w:r>
      <w:bookmarkStart w:id="57" w:name="_Toc15396614"/>
      <w:r>
        <w:rPr>
          <w:rFonts w:hint="eastAsia" w:ascii="黑体" w:hAnsi="黑体" w:eastAsia="黑体"/>
          <w:sz w:val="44"/>
          <w:szCs w:val="44"/>
        </w:rPr>
        <w:t>第</w:t>
      </w:r>
      <w:r>
        <w:rPr>
          <w:rStyle w:val="24"/>
          <w:rFonts w:hint="eastAsia" w:ascii="黑体" w:hAnsi="黑体" w:eastAsia="黑体"/>
          <w:b w:val="0"/>
        </w:rPr>
        <w:t>四部分 附件</w:t>
      </w:r>
      <w:bookmarkEnd w:id="57"/>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rPr>
        <w:t>茂县纪委</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spacing w:line="600" w:lineRule="exact"/>
        <w:jc w:val="center"/>
        <w:rPr>
          <w:rFonts w:ascii="方正小标宋简体" w:hAnsi="宋体" w:eastAsia="方正小标宋简体"/>
          <w:color w:val="000000"/>
          <w:kern w:val="0"/>
          <w:sz w:val="40"/>
          <w:szCs w:val="44"/>
          <w:lang w:val="zh-CN"/>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widowControl/>
        <w:spacing w:line="600" w:lineRule="exact"/>
        <w:ind w:left="210" w:leftChars="100" w:firstLine="640" w:firstLineChars="20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kern w:val="0"/>
          <w:sz w:val="32"/>
          <w:szCs w:val="32"/>
        </w:rPr>
        <w:t>本部门下属二级预算单位</w:t>
      </w:r>
      <w:r>
        <w:rPr>
          <w:rFonts w:hint="eastAsia" w:ascii="仿宋_GB2312" w:hAnsi="宋体" w:eastAsia="仿宋_GB2312" w:cs="宋体"/>
          <w:kern w:val="0"/>
          <w:sz w:val="32"/>
          <w:szCs w:val="32"/>
          <w:u w:val="single"/>
        </w:rPr>
        <w:t>0</w:t>
      </w:r>
      <w:r>
        <w:rPr>
          <w:rFonts w:hint="eastAsia" w:ascii="仿宋_GB2312" w:hAnsi="宋体" w:eastAsia="仿宋_GB2312" w:cs="宋体"/>
          <w:kern w:val="0"/>
          <w:sz w:val="32"/>
          <w:szCs w:val="32"/>
        </w:rPr>
        <w:t>个，其中内设机构为10室1委1中心。</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w:t>
      </w:r>
    </w:p>
    <w:p>
      <w:pPr>
        <w:widowControl/>
        <w:spacing w:line="600" w:lineRule="exact"/>
        <w:ind w:firstLine="800" w:firstLineChars="2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主要职责是：</w:t>
      </w:r>
    </w:p>
    <w:p>
      <w:pPr>
        <w:spacing w:line="520" w:lineRule="exact"/>
        <w:ind w:firstLine="576" w:firstLineChars="180"/>
        <w:rPr>
          <w:rFonts w:ascii="仿宋_GB2312" w:eastAsia="仿宋_GB2312"/>
          <w:sz w:val="32"/>
          <w:szCs w:val="32"/>
        </w:rPr>
      </w:pPr>
      <w:r>
        <w:rPr>
          <w:rFonts w:hint="eastAsia" w:ascii="仿宋_GB2312"/>
          <w:sz w:val="32"/>
          <w:szCs w:val="32"/>
        </w:rPr>
        <w:t>1.</w:t>
      </w:r>
      <w:r>
        <w:rPr>
          <w:rFonts w:hint="eastAsia" w:ascii="仿宋_GB2312" w:eastAsia="仿宋_GB2312"/>
          <w:sz w:val="32"/>
          <w:szCs w:val="32"/>
        </w:rPr>
        <w:t>主管全县党的纪律检查工作。负责贯彻落实中央和省州县党委关于加强党风廉政建设的决定，认真抓好反腐败斗争，维护党的章程和其他党内法规，检查党的路线、方针、政策和决议的执行情况。</w:t>
      </w:r>
    </w:p>
    <w:p>
      <w:pPr>
        <w:spacing w:line="520" w:lineRule="exact"/>
        <w:ind w:firstLine="678" w:firstLineChars="212"/>
        <w:rPr>
          <w:rFonts w:ascii="仿宋_GB2312" w:eastAsia="仿宋_GB2312"/>
          <w:sz w:val="32"/>
          <w:szCs w:val="32"/>
        </w:rPr>
      </w:pPr>
      <w:r>
        <w:rPr>
          <w:rFonts w:hint="eastAsia" w:ascii="仿宋_GB2312"/>
          <w:sz w:val="32"/>
          <w:szCs w:val="32"/>
        </w:rPr>
        <w:t>2.</w:t>
      </w:r>
      <w:r>
        <w:rPr>
          <w:rFonts w:hint="eastAsia" w:ascii="仿宋_GB2312" w:eastAsia="仿宋_GB2312"/>
          <w:sz w:val="32"/>
          <w:szCs w:val="32"/>
        </w:rPr>
        <w:t>主管全县行政监察工作。负责贯彻落实党中央、国务院和省州县党委、政府有关行政监察工作的决定，监督检查县政府各部门及其工作人员和各乡镇人民政府及其主要负责人贯彻执行国家政策和法律法规、国民经济和社会发展计划及县政府颁发的决定、命令的情况。</w:t>
      </w:r>
    </w:p>
    <w:p>
      <w:pPr>
        <w:spacing w:line="520" w:lineRule="exact"/>
        <w:ind w:firstLine="678" w:firstLineChars="212"/>
        <w:rPr>
          <w:rFonts w:ascii="仿宋_GB2312" w:eastAsia="仿宋_GB2312"/>
          <w:sz w:val="32"/>
          <w:szCs w:val="32"/>
        </w:rPr>
      </w:pPr>
      <w:r>
        <w:rPr>
          <w:rFonts w:hint="eastAsia" w:ascii="仿宋_GB2312"/>
          <w:sz w:val="32"/>
          <w:szCs w:val="32"/>
        </w:rPr>
        <w:t>3.</w:t>
      </w:r>
      <w:r>
        <w:rPr>
          <w:rFonts w:hint="eastAsia" w:ascii="仿宋_GB2312" w:eastAsia="仿宋_GB2312"/>
          <w:sz w:val="32"/>
          <w:szCs w:val="32"/>
        </w:rPr>
        <w:t>负责检查并处理县委、县政府机关各部门、各乡镇党组织和县委管理的党员领导干部违反党的章程及其他党内法规的案件，决定或取消对这些案件中的党员的处分；受理党员的控告和申诉，必要时直接查处下级党的纪律检查机关管辖范围内的比较重要或复杂的案件。</w:t>
      </w:r>
    </w:p>
    <w:p>
      <w:pPr>
        <w:spacing w:line="520" w:lineRule="exact"/>
        <w:ind w:firstLine="678" w:firstLineChars="212"/>
        <w:rPr>
          <w:rFonts w:ascii="仿宋_GB2312" w:eastAsia="仿宋_GB2312"/>
          <w:sz w:val="32"/>
          <w:szCs w:val="32"/>
        </w:rPr>
      </w:pPr>
      <w:r>
        <w:rPr>
          <w:rFonts w:hint="eastAsia" w:ascii="仿宋_GB2312"/>
          <w:sz w:val="32"/>
          <w:szCs w:val="32"/>
        </w:rPr>
        <w:t>4.</w:t>
      </w:r>
      <w:r>
        <w:rPr>
          <w:rFonts w:hint="eastAsia" w:ascii="仿宋_GB2312" w:eastAsia="仿宋_GB2312"/>
          <w:sz w:val="32"/>
          <w:szCs w:val="32"/>
        </w:rPr>
        <w:t>负责调查处理县政府各部门及其工作人员和各乡镇人民政府及其负责人违反国家政策、法律、法规以及违反政纪的行为，并根据责任人所犯错误的情节轻重，按照《中华人民共和国行政监察法》规定给予行政处分（对涉及选举产生的领导干部按法定程序办理）；受理监察对象不服政纪处分的申诉，受理个人或单位对监察对象违纪行为的检举、控告。</w:t>
      </w:r>
    </w:p>
    <w:p>
      <w:pPr>
        <w:spacing w:line="520" w:lineRule="exact"/>
        <w:ind w:firstLine="678" w:firstLineChars="212"/>
        <w:rPr>
          <w:rFonts w:ascii="仿宋_GB2312" w:eastAsia="仿宋_GB2312"/>
          <w:sz w:val="32"/>
          <w:szCs w:val="32"/>
        </w:rPr>
      </w:pPr>
      <w:r>
        <w:rPr>
          <w:rFonts w:hint="eastAsia" w:ascii="仿宋_GB2312"/>
          <w:sz w:val="32"/>
          <w:szCs w:val="32"/>
        </w:rPr>
        <w:t>5.</w:t>
      </w:r>
      <w:r>
        <w:rPr>
          <w:rFonts w:hint="eastAsia" w:ascii="仿宋_GB2312" w:eastAsia="仿宋_GB2312"/>
          <w:sz w:val="32"/>
          <w:szCs w:val="32"/>
        </w:rPr>
        <w:t>负责作出关于维护党纪的决定，制定全县党风党纪教育规划，配合有关部门做好党的纪检工作方针政策的宣传工作和对党员遵守纪律的教育工作。</w:t>
      </w:r>
    </w:p>
    <w:p>
      <w:pPr>
        <w:spacing w:line="520" w:lineRule="exact"/>
        <w:ind w:firstLine="678" w:firstLineChars="212"/>
        <w:rPr>
          <w:rFonts w:ascii="仿宋_GB2312" w:eastAsia="仿宋_GB2312"/>
          <w:sz w:val="32"/>
          <w:szCs w:val="32"/>
        </w:rPr>
      </w:pPr>
      <w:r>
        <w:rPr>
          <w:rFonts w:hint="eastAsia" w:ascii="仿宋_GB2312"/>
          <w:sz w:val="32"/>
          <w:szCs w:val="32"/>
        </w:rPr>
        <w:t>6.</w:t>
      </w:r>
      <w:r>
        <w:rPr>
          <w:rFonts w:hint="eastAsia" w:ascii="仿宋_GB2312" w:eastAsia="仿宋_GB2312"/>
          <w:sz w:val="32"/>
          <w:szCs w:val="32"/>
        </w:rPr>
        <w:t>会同有关部门做好行政监察工作的方针、政策和法律法规的宣传工作，教育国家机关工作人员遵纪守法、为政清廉。</w:t>
      </w:r>
    </w:p>
    <w:p>
      <w:pPr>
        <w:spacing w:line="520" w:lineRule="exact"/>
        <w:ind w:firstLine="678" w:firstLineChars="212"/>
        <w:rPr>
          <w:rFonts w:ascii="仿宋_GB2312" w:eastAsia="仿宋_GB2312"/>
          <w:sz w:val="32"/>
          <w:szCs w:val="32"/>
        </w:rPr>
      </w:pPr>
      <w:r>
        <w:rPr>
          <w:rFonts w:hint="eastAsia" w:ascii="仿宋_GB2312"/>
          <w:sz w:val="32"/>
          <w:szCs w:val="32"/>
        </w:rPr>
        <w:t>7.</w:t>
      </w:r>
      <w:r>
        <w:rPr>
          <w:rFonts w:hint="eastAsia" w:ascii="仿宋_GB2312" w:eastAsia="仿宋_GB2312"/>
          <w:sz w:val="32"/>
          <w:szCs w:val="32"/>
        </w:rPr>
        <w:t>负责对党的纪检工作理论及有关问题进行调查研究，拟定党纪条规和政策规定，参与制定党内法规。</w:t>
      </w:r>
    </w:p>
    <w:p>
      <w:pPr>
        <w:spacing w:line="520" w:lineRule="exact"/>
        <w:ind w:firstLine="678" w:firstLineChars="212"/>
        <w:rPr>
          <w:rFonts w:ascii="仿宋_GB2312" w:eastAsia="仿宋_GB2312"/>
          <w:sz w:val="32"/>
          <w:szCs w:val="32"/>
        </w:rPr>
      </w:pPr>
      <w:r>
        <w:rPr>
          <w:rFonts w:hint="eastAsia" w:ascii="仿宋_GB2312"/>
          <w:sz w:val="32"/>
          <w:szCs w:val="32"/>
        </w:rPr>
        <w:t>8.</w:t>
      </w:r>
      <w:r>
        <w:rPr>
          <w:rFonts w:hint="eastAsia" w:ascii="仿宋_GB2312" w:eastAsia="仿宋_GB2312"/>
          <w:sz w:val="32"/>
          <w:szCs w:val="32"/>
        </w:rPr>
        <w:t>调查研究县政府各部门和各乡镇人民政府制定有关政策、法规的情况，对违反国家法律、法规的条款，提出修改、补充的建议。</w:t>
      </w:r>
    </w:p>
    <w:p>
      <w:pPr>
        <w:spacing w:line="520" w:lineRule="exact"/>
        <w:ind w:firstLine="678" w:firstLineChars="212"/>
        <w:rPr>
          <w:rFonts w:ascii="仿宋_GB2312" w:eastAsia="仿宋_GB2312"/>
          <w:sz w:val="32"/>
          <w:szCs w:val="32"/>
        </w:rPr>
      </w:pPr>
      <w:r>
        <w:rPr>
          <w:rFonts w:hint="eastAsia" w:ascii="仿宋_GB2312"/>
          <w:sz w:val="32"/>
          <w:szCs w:val="32"/>
        </w:rPr>
        <w:t>9.</w:t>
      </w:r>
      <w:r>
        <w:rPr>
          <w:rFonts w:hint="eastAsia" w:ascii="仿宋_GB2312" w:eastAsia="仿宋_GB2312"/>
          <w:sz w:val="32"/>
          <w:szCs w:val="32"/>
        </w:rPr>
        <w:t>会同县直机关各部门以及各乡镇党委、政府，做好纪检监察干部的管理工作。组织和指导全县纪检、监察系统干部的培训工作。</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rPr>
      </w:pPr>
      <w:r>
        <w:rPr>
          <w:rFonts w:hint="eastAsia" w:ascii="仿宋_GB2312"/>
          <w:sz w:val="32"/>
          <w:szCs w:val="32"/>
        </w:rPr>
        <w:t>10.</w:t>
      </w:r>
      <w:r>
        <w:rPr>
          <w:rFonts w:hint="eastAsia" w:ascii="仿宋_GB2312" w:eastAsia="仿宋_GB2312"/>
          <w:sz w:val="32"/>
          <w:szCs w:val="32"/>
        </w:rPr>
        <w:t>完成</w:t>
      </w:r>
      <w:r>
        <w:rPr>
          <w:rFonts w:hint="eastAsia" w:ascii="仿宋_GB2312" w:eastAsia="仿宋_GB2312"/>
          <w:sz w:val="32"/>
          <w:szCs w:val="32"/>
          <w:lang w:eastAsia="zh-CN"/>
        </w:rPr>
        <w:t>县委、县政府</w:t>
      </w:r>
      <w:r>
        <w:rPr>
          <w:rFonts w:hint="eastAsia" w:ascii="仿宋_GB2312" w:eastAsia="仿宋_GB2312"/>
          <w:sz w:val="32"/>
          <w:szCs w:val="32"/>
        </w:rPr>
        <w:t>和州纪委监察委授权和交办的其他任务。</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kern w:val="0"/>
          <w:sz w:val="32"/>
          <w:szCs w:val="32"/>
        </w:rPr>
        <w:t>总编制</w:t>
      </w:r>
      <w:r>
        <w:rPr>
          <w:rFonts w:hint="eastAsia" w:ascii="仿宋_GB2312" w:hAnsi="宋体" w:cs="宋体"/>
          <w:kern w:val="0"/>
          <w:sz w:val="32"/>
          <w:szCs w:val="32"/>
          <w:u w:val="single"/>
        </w:rPr>
        <w:t>60</w:t>
      </w:r>
      <w:r>
        <w:rPr>
          <w:rFonts w:hint="eastAsia" w:ascii="仿宋_GB2312" w:hAnsi="宋体" w:eastAsia="仿宋_GB2312" w:cs="宋体"/>
          <w:kern w:val="0"/>
          <w:sz w:val="32"/>
          <w:szCs w:val="32"/>
        </w:rPr>
        <w:t>名,其中:行政编制</w:t>
      </w:r>
      <w:r>
        <w:rPr>
          <w:rFonts w:hint="eastAsia" w:ascii="仿宋_GB2312" w:hAnsi="宋体" w:cs="宋体"/>
          <w:kern w:val="0"/>
          <w:sz w:val="32"/>
          <w:szCs w:val="32"/>
          <w:u w:val="single"/>
        </w:rPr>
        <w:t>53</w:t>
      </w:r>
      <w:r>
        <w:rPr>
          <w:rFonts w:hint="eastAsia" w:ascii="仿宋_GB2312" w:hAnsi="宋体" w:eastAsia="仿宋_GB2312" w:cs="宋体"/>
          <w:kern w:val="0"/>
          <w:sz w:val="32"/>
          <w:szCs w:val="32"/>
        </w:rPr>
        <w:t>名,参照公务员法管理的事业编制</w:t>
      </w:r>
      <w:r>
        <w:rPr>
          <w:rFonts w:hint="eastAsia" w:ascii="仿宋_GB2312" w:hAnsi="宋体" w:eastAsia="仿宋_GB2312" w:cs="宋体"/>
          <w:kern w:val="0"/>
          <w:sz w:val="32"/>
          <w:szCs w:val="32"/>
          <w:u w:val="single"/>
        </w:rPr>
        <w:t>0</w:t>
      </w:r>
      <w:r>
        <w:rPr>
          <w:rFonts w:hint="eastAsia" w:ascii="仿宋_GB2312" w:hAnsi="宋体" w:eastAsia="仿宋_GB2312" w:cs="宋体"/>
          <w:kern w:val="0"/>
          <w:sz w:val="32"/>
          <w:szCs w:val="32"/>
        </w:rPr>
        <w:t>名，行政工勤编制</w:t>
      </w:r>
      <w:r>
        <w:rPr>
          <w:rFonts w:hint="eastAsia" w:ascii="仿宋_GB2312" w:hAnsi="宋体" w:cs="宋体"/>
          <w:kern w:val="0"/>
          <w:sz w:val="32"/>
          <w:szCs w:val="32"/>
          <w:u w:val="single"/>
        </w:rPr>
        <w:t>4</w:t>
      </w:r>
      <w:r>
        <w:rPr>
          <w:rFonts w:hint="eastAsia" w:ascii="仿宋_GB2312" w:hAnsi="宋体" w:eastAsia="仿宋_GB2312" w:cs="宋体"/>
          <w:kern w:val="0"/>
          <w:sz w:val="32"/>
          <w:szCs w:val="32"/>
        </w:rPr>
        <w:t>名，事业编制</w:t>
      </w:r>
      <w:r>
        <w:rPr>
          <w:rFonts w:hint="eastAsia" w:ascii="仿宋_GB2312" w:hAnsi="宋体" w:eastAsia="仿宋_GB2312" w:cs="宋体"/>
          <w:kern w:val="0"/>
          <w:sz w:val="32"/>
          <w:szCs w:val="32"/>
          <w:u w:val="single"/>
        </w:rPr>
        <w:t>3</w:t>
      </w:r>
      <w:r>
        <w:rPr>
          <w:rFonts w:hint="eastAsia" w:ascii="仿宋_GB2312" w:hAnsi="宋体" w:eastAsia="仿宋_GB2312" w:cs="宋体"/>
          <w:kern w:val="0"/>
          <w:sz w:val="32"/>
          <w:szCs w:val="32"/>
        </w:rPr>
        <w:t>名，事业工勤编制</w:t>
      </w:r>
      <w:r>
        <w:rPr>
          <w:rFonts w:hint="eastAsia" w:ascii="仿宋_GB2312" w:hAnsi="宋体" w:eastAsia="仿宋_GB2312" w:cs="宋体"/>
          <w:kern w:val="0"/>
          <w:sz w:val="32"/>
          <w:szCs w:val="32"/>
          <w:u w:val="single"/>
        </w:rPr>
        <w:t>0</w:t>
      </w:r>
      <w:r>
        <w:rPr>
          <w:rFonts w:hint="eastAsia" w:ascii="仿宋_GB2312" w:hAnsi="宋体" w:eastAsia="仿宋_GB2312" w:cs="宋体"/>
          <w:kern w:val="0"/>
          <w:sz w:val="32"/>
          <w:szCs w:val="32"/>
        </w:rPr>
        <w:t>名。在职人员总数</w:t>
      </w:r>
      <w:r>
        <w:rPr>
          <w:rFonts w:hint="eastAsia" w:ascii="仿宋_GB2312" w:hAnsi="宋体" w:cs="宋体"/>
          <w:kern w:val="0"/>
          <w:sz w:val="32"/>
          <w:szCs w:val="32"/>
          <w:u w:val="single"/>
        </w:rPr>
        <w:t>66</w:t>
      </w:r>
      <w:r>
        <w:rPr>
          <w:rFonts w:hint="eastAsia" w:ascii="仿宋_GB2312" w:hAnsi="宋体" w:eastAsia="仿宋_GB2312" w:cs="宋体"/>
          <w:kern w:val="0"/>
          <w:sz w:val="32"/>
          <w:szCs w:val="32"/>
        </w:rPr>
        <w:t>名，其中：行政人员</w:t>
      </w:r>
      <w:r>
        <w:rPr>
          <w:rFonts w:hint="eastAsia" w:ascii="仿宋_GB2312" w:hAnsi="宋体" w:cs="宋体"/>
          <w:kern w:val="0"/>
          <w:sz w:val="32"/>
          <w:szCs w:val="32"/>
          <w:u w:val="single"/>
        </w:rPr>
        <w:t>57</w:t>
      </w:r>
      <w:r>
        <w:rPr>
          <w:rFonts w:hint="eastAsia" w:ascii="仿宋_GB2312" w:hAnsi="宋体" w:eastAsia="仿宋_GB2312" w:cs="宋体"/>
          <w:kern w:val="0"/>
          <w:sz w:val="32"/>
          <w:szCs w:val="32"/>
        </w:rPr>
        <w:t>名，参照公务员法管理的事业人员</w:t>
      </w:r>
      <w:r>
        <w:rPr>
          <w:rFonts w:hint="eastAsia" w:ascii="仿宋_GB2312" w:hAnsi="宋体" w:eastAsia="仿宋_GB2312" w:cs="宋体"/>
          <w:kern w:val="0"/>
          <w:sz w:val="32"/>
          <w:szCs w:val="32"/>
          <w:u w:val="single"/>
        </w:rPr>
        <w:t>0</w:t>
      </w:r>
      <w:r>
        <w:rPr>
          <w:rFonts w:hint="eastAsia" w:ascii="仿宋_GB2312" w:hAnsi="宋体" w:eastAsia="仿宋_GB2312" w:cs="宋体"/>
          <w:kern w:val="0"/>
          <w:sz w:val="32"/>
          <w:szCs w:val="32"/>
        </w:rPr>
        <w:t>名，行政工勤人员</w:t>
      </w:r>
      <w:r>
        <w:rPr>
          <w:rFonts w:hint="eastAsia" w:ascii="仿宋_GB2312" w:hAnsi="宋体" w:eastAsia="仿宋_GB2312" w:cs="宋体"/>
          <w:kern w:val="0"/>
          <w:sz w:val="32"/>
          <w:szCs w:val="32"/>
          <w:u w:val="single"/>
        </w:rPr>
        <w:t>6</w:t>
      </w:r>
      <w:r>
        <w:rPr>
          <w:rFonts w:hint="eastAsia" w:ascii="仿宋_GB2312" w:hAnsi="宋体" w:eastAsia="仿宋_GB2312" w:cs="宋体"/>
          <w:kern w:val="0"/>
          <w:sz w:val="32"/>
          <w:szCs w:val="32"/>
        </w:rPr>
        <w:t>名；事业人员</w:t>
      </w:r>
      <w:r>
        <w:rPr>
          <w:rFonts w:hint="eastAsia" w:ascii="仿宋_GB2312" w:hAnsi="宋体" w:eastAsia="仿宋_GB2312" w:cs="宋体"/>
          <w:kern w:val="0"/>
          <w:sz w:val="32"/>
          <w:szCs w:val="32"/>
          <w:u w:val="single"/>
        </w:rPr>
        <w:t>3</w:t>
      </w:r>
      <w:r>
        <w:rPr>
          <w:rFonts w:hint="eastAsia" w:ascii="仿宋_GB2312" w:hAnsi="宋体" w:eastAsia="仿宋_GB2312" w:cs="宋体"/>
          <w:kern w:val="0"/>
          <w:sz w:val="32"/>
          <w:szCs w:val="32"/>
        </w:rPr>
        <w:t>名，事业工勤人员</w:t>
      </w:r>
      <w:r>
        <w:rPr>
          <w:rFonts w:hint="eastAsia" w:ascii="仿宋_GB2312" w:hAnsi="宋体" w:eastAsia="仿宋_GB2312" w:cs="宋体"/>
          <w:kern w:val="0"/>
          <w:sz w:val="32"/>
          <w:szCs w:val="32"/>
          <w:u w:val="single"/>
        </w:rPr>
        <w:t>0</w:t>
      </w:r>
      <w:r>
        <w:rPr>
          <w:rFonts w:hint="eastAsia" w:ascii="仿宋_GB2312" w:hAnsi="宋体" w:eastAsia="仿宋_GB2312" w:cs="宋体"/>
          <w:kern w:val="0"/>
          <w:sz w:val="32"/>
          <w:szCs w:val="32"/>
        </w:rPr>
        <w:t>名。离休人员</w:t>
      </w:r>
      <w:r>
        <w:rPr>
          <w:rFonts w:hint="eastAsia" w:ascii="仿宋_GB2312" w:hAnsi="宋体" w:eastAsia="仿宋_GB2312" w:cs="宋体"/>
          <w:kern w:val="0"/>
          <w:sz w:val="32"/>
          <w:szCs w:val="32"/>
          <w:u w:val="single"/>
        </w:rPr>
        <w:t>0</w:t>
      </w:r>
      <w:r>
        <w:rPr>
          <w:rFonts w:hint="eastAsia" w:ascii="仿宋_GB2312" w:hAnsi="宋体" w:eastAsia="仿宋_GB2312" w:cs="宋体"/>
          <w:kern w:val="0"/>
          <w:sz w:val="32"/>
          <w:szCs w:val="32"/>
        </w:rPr>
        <w:t>人，退休人员</w:t>
      </w:r>
      <w:r>
        <w:rPr>
          <w:rFonts w:hint="eastAsia" w:ascii="仿宋_GB2312" w:hAnsi="宋体" w:eastAsia="仿宋_GB2312" w:cs="宋体"/>
          <w:kern w:val="0"/>
          <w:sz w:val="32"/>
          <w:szCs w:val="32"/>
          <w:u w:val="single"/>
        </w:rPr>
        <w:t>6</w:t>
      </w:r>
      <w:r>
        <w:rPr>
          <w:rFonts w:hint="eastAsia" w:ascii="仿宋_GB2312" w:hAnsi="宋体" w:eastAsia="仿宋_GB2312" w:cs="宋体"/>
          <w:kern w:val="0"/>
          <w:sz w:val="32"/>
          <w:szCs w:val="32"/>
        </w:rPr>
        <w:t>人；编外长期聘用人员</w:t>
      </w:r>
      <w:r>
        <w:rPr>
          <w:rFonts w:hint="eastAsia" w:ascii="仿宋_GB2312" w:hAnsi="宋体" w:eastAsia="仿宋_GB2312" w:cs="宋体"/>
          <w:kern w:val="0"/>
          <w:sz w:val="32"/>
          <w:szCs w:val="32"/>
          <w:u w:val="single"/>
        </w:rPr>
        <w:t>0</w:t>
      </w:r>
      <w:r>
        <w:rPr>
          <w:rFonts w:hint="eastAsia" w:ascii="仿宋_GB2312" w:hAnsi="宋体" w:eastAsia="仿宋_GB2312" w:cs="宋体"/>
          <w:kern w:val="0"/>
          <w:sz w:val="32"/>
          <w:szCs w:val="32"/>
        </w:rPr>
        <w:t>名。</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snapToGrid w:val="0"/>
        <w:spacing w:line="520" w:lineRule="exact"/>
        <w:rPr>
          <w:rFonts w:ascii="仿宋_GB2312" w:hAnsi="宋体" w:eastAsia="仿宋_GB2312" w:cs="宋体"/>
          <w:color w:val="000000"/>
          <w:kern w:val="0"/>
          <w:sz w:val="32"/>
          <w:szCs w:val="32"/>
          <w:shd w:val="clear" w:color="auto" w:fill="FFFFFF"/>
          <w:lang w:val="zh-CN"/>
        </w:rPr>
      </w:pPr>
      <w:r>
        <w:rPr>
          <w:rFonts w:hint="eastAsia" w:ascii="仿宋_GB2312" w:hAnsi="仿宋"/>
          <w:sz w:val="32"/>
          <w:szCs w:val="32"/>
        </w:rPr>
        <w:t>2019年，部门预算收入总额为1439.52万元。</w:t>
      </w:r>
    </w:p>
    <w:p>
      <w:pPr>
        <w:widowControl/>
        <w:numPr>
          <w:ilvl w:val="0"/>
          <w:numId w:val="4"/>
        </w:numPr>
        <w:adjustRightInd w:val="0"/>
        <w:snapToGrid w:val="0"/>
        <w:spacing w:line="580" w:lineRule="exact"/>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widowControl/>
        <w:adjustRightInd w:val="0"/>
        <w:snapToGrid w:val="0"/>
        <w:spacing w:line="580" w:lineRule="exact"/>
        <w:contextualSpacing/>
        <w:jc w:val="left"/>
        <w:rPr>
          <w:rFonts w:ascii="仿宋_GB2312" w:hAnsi="仿宋"/>
          <w:sz w:val="32"/>
          <w:szCs w:val="32"/>
        </w:rPr>
      </w:pPr>
      <w:r>
        <w:rPr>
          <w:rFonts w:hint="eastAsia" w:ascii="仿宋_GB2312" w:hAnsi="仿宋"/>
          <w:sz w:val="32"/>
          <w:szCs w:val="32"/>
        </w:rPr>
        <w:t>2019年，部门预算支出总额为1439.52万元。</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ascii="仿宋_GB2312" w:hAnsi="仿宋"/>
          <w:sz w:val="32"/>
          <w:szCs w:val="32"/>
          <w:lang w:val="zh-CN"/>
        </w:rPr>
      </w:pPr>
      <w:r>
        <w:rPr>
          <w:rFonts w:hint="eastAsia" w:ascii="仿宋_GB2312" w:hAnsi="仿宋"/>
          <w:sz w:val="32"/>
          <w:szCs w:val="32"/>
          <w:lang w:val="zh-CN"/>
        </w:rPr>
        <w:t>我单位预决算编制是严格按照要求报送资料，保证资料的真实性和完整性，完全对本单位的收支情况如实反映。</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ascii="仿宋_GB2312" w:hAnsi="仿宋"/>
          <w:sz w:val="32"/>
          <w:szCs w:val="32"/>
          <w:lang w:val="zh-CN"/>
        </w:rPr>
      </w:pPr>
      <w:r>
        <w:rPr>
          <w:rFonts w:hint="eastAsia" w:ascii="仿宋_GB2312" w:hAnsi="仿宋"/>
          <w:sz w:val="32"/>
          <w:szCs w:val="32"/>
          <w:lang w:val="zh-CN"/>
        </w:rPr>
        <w:t>我单位严格按照预算执行进度进行资金使用管理，中期进行评估，“三公”经费严格按照预算执行，做到对资金的有效管理。</w:t>
      </w:r>
    </w:p>
    <w:p>
      <w:pPr>
        <w:widowControl/>
        <w:adjustRightInd w:val="0"/>
        <w:snapToGrid w:val="0"/>
        <w:spacing w:line="580" w:lineRule="exact"/>
        <w:ind w:firstLine="640" w:firstLineChars="200"/>
        <w:contextualSpacing/>
        <w:jc w:val="left"/>
        <w:rPr>
          <w:rFonts w:ascii="仿宋_GB2312"/>
          <w:szCs w:val="32"/>
          <w:lang w:val="zh-CN"/>
        </w:rPr>
      </w:pPr>
      <w:r>
        <w:rPr>
          <w:rFonts w:hint="eastAsia" w:ascii="仿宋_GB2312" w:hAnsi="仿宋"/>
          <w:sz w:val="32"/>
          <w:szCs w:val="32"/>
          <w:lang w:val="zh-CN"/>
        </w:rPr>
        <w:t>本单位对所有项目都进行严格管理，比如：严格按照政策进行采购、资产管理、内控制度管理、信息公开、绩效评价及依法接受财政监督情况等。</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（一）评价结论。良好</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（二）存在问题。进一步加强完善制度建设</w:t>
      </w:r>
    </w:p>
    <w:p>
      <w:pPr>
        <w:widowControl/>
        <w:adjustRightInd w:val="0"/>
        <w:snapToGrid w:val="0"/>
        <w:spacing w:line="580" w:lineRule="exact"/>
        <w:ind w:firstLine="640" w:firstLineChars="200"/>
        <w:contextualSpacing/>
        <w:jc w:val="left"/>
        <w:rPr>
          <w:rStyle w:val="24"/>
          <w:rFonts w:ascii="黑体" w:hAnsi="黑体" w:eastAsia="黑体"/>
          <w:b w:val="0"/>
        </w:rPr>
      </w:pPr>
      <w:r>
        <w:rPr>
          <w:rFonts w:hint="eastAsia" w:ascii="仿宋_GB2312" w:hAnsi="宋体" w:eastAsia="仿宋_GB2312" w:cs="宋体"/>
          <w:color w:val="000000"/>
          <w:kern w:val="0"/>
          <w:sz w:val="32"/>
          <w:szCs w:val="32"/>
          <w:shd w:val="clear" w:color="auto" w:fill="FFFFFF"/>
          <w:lang w:val="zh-CN"/>
        </w:rPr>
        <w:t>（三）改进建议。不断总结经验，不断完善制度</w:t>
      </w:r>
    </w:p>
    <w:p>
      <w:pPr>
        <w:widowControl/>
        <w:jc w:val="left"/>
        <w:rPr>
          <w:rStyle w:val="24"/>
          <w:rFonts w:ascii="黑体" w:hAnsi="黑体" w:eastAsia="黑体"/>
          <w:b w:val="0"/>
        </w:rPr>
      </w:pPr>
      <w:r>
        <w:rPr>
          <w:rStyle w:val="24"/>
          <w:rFonts w:ascii="黑体" w:hAnsi="黑体" w:eastAsia="黑体"/>
          <w:b w:val="0"/>
        </w:rPr>
        <w:br w:type="page"/>
      </w:r>
    </w:p>
    <w:p>
      <w:pPr>
        <w:spacing w:line="600" w:lineRule="exact"/>
        <w:jc w:val="center"/>
        <w:outlineLvl w:val="0"/>
        <w:rPr>
          <w:rStyle w:val="24"/>
          <w:rFonts w:ascii="黑体" w:hAnsi="黑体" w:eastAsia="黑体"/>
          <w:b w:val="0"/>
        </w:rPr>
      </w:pPr>
    </w:p>
    <w:p>
      <w:pPr>
        <w:spacing w:line="600" w:lineRule="exact"/>
        <w:jc w:val="center"/>
        <w:outlineLvl w:val="0"/>
        <w:rPr>
          <w:rStyle w:val="24"/>
          <w:rFonts w:ascii="黑体" w:hAnsi="黑体" w:eastAsia="黑体"/>
          <w:b w:val="0"/>
        </w:rPr>
      </w:pPr>
      <w:bookmarkStart w:id="58" w:name="_Toc15396618"/>
      <w:r>
        <w:rPr>
          <w:rFonts w:hint="eastAsia" w:ascii="黑体" w:hAnsi="黑体" w:eastAsia="黑体"/>
          <w:color w:val="000000"/>
          <w:sz w:val="44"/>
          <w:szCs w:val="44"/>
        </w:rPr>
        <w:t>第</w:t>
      </w:r>
      <w:r>
        <w:rPr>
          <w:rStyle w:val="24"/>
          <w:rFonts w:hint="eastAsia" w:ascii="黑体" w:hAnsi="黑体" w:eastAsia="黑体"/>
          <w:b w:val="0"/>
        </w:rPr>
        <w:t>五部分 附表</w:t>
      </w:r>
      <w:bookmarkEnd w:id="56"/>
      <w:bookmarkEnd w:id="58"/>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59"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59"/>
    </w:p>
    <w:p>
      <w:pPr>
        <w:pStyle w:val="3"/>
        <w:rPr>
          <w:rFonts w:ascii="仿宋" w:hAnsi="仿宋" w:eastAsia="仿宋"/>
          <w:color w:val="000000"/>
        </w:rPr>
      </w:pPr>
      <w:bookmarkStart w:id="60" w:name="_Toc15396620"/>
      <w:r>
        <w:rPr>
          <w:rFonts w:hint="eastAsia" w:ascii="仿宋" w:hAnsi="仿宋" w:eastAsia="仿宋"/>
          <w:b w:val="0"/>
          <w:color w:val="000000"/>
        </w:rPr>
        <w:t>二、收</w:t>
      </w:r>
      <w:r>
        <w:rPr>
          <w:rStyle w:val="25"/>
          <w:rFonts w:hint="eastAsia" w:ascii="仿宋" w:hAnsi="仿宋" w:eastAsia="仿宋"/>
          <w:b w:val="0"/>
          <w:bCs w:val="0"/>
        </w:rPr>
        <w:t>入决算表</w:t>
      </w:r>
      <w:bookmarkEnd w:id="60"/>
    </w:p>
    <w:p>
      <w:pPr>
        <w:pStyle w:val="3"/>
        <w:rPr>
          <w:rFonts w:ascii="仿宋" w:hAnsi="仿宋" w:eastAsia="仿宋"/>
          <w:color w:val="000000"/>
        </w:rPr>
      </w:pPr>
      <w:bookmarkStart w:id="61"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61"/>
    </w:p>
    <w:p>
      <w:pPr>
        <w:pStyle w:val="3"/>
        <w:rPr>
          <w:rFonts w:ascii="仿宋" w:hAnsi="仿宋" w:eastAsia="仿宋"/>
          <w:b w:val="0"/>
          <w:color w:val="000000"/>
        </w:rPr>
      </w:pPr>
      <w:bookmarkStart w:id="62"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62"/>
    </w:p>
    <w:p>
      <w:pPr>
        <w:pStyle w:val="3"/>
        <w:rPr>
          <w:rStyle w:val="25"/>
          <w:rFonts w:ascii="仿宋" w:hAnsi="仿宋" w:eastAsia="仿宋"/>
          <w:b w:val="0"/>
          <w:bCs w:val="0"/>
        </w:rPr>
      </w:pPr>
      <w:bookmarkStart w:id="63"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63"/>
      <w:bookmarkStart w:id="64" w:name="_Toc15396624"/>
    </w:p>
    <w:p>
      <w:pPr>
        <w:pStyle w:val="3"/>
        <w:rPr>
          <w:rFonts w:ascii="仿宋" w:hAnsi="仿宋" w:eastAsia="仿宋"/>
          <w:color w:val="000000"/>
        </w:rPr>
      </w:pPr>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64"/>
    </w:p>
    <w:p>
      <w:pPr>
        <w:pStyle w:val="3"/>
        <w:rPr>
          <w:rFonts w:ascii="仿宋" w:hAnsi="仿宋" w:eastAsia="仿宋"/>
          <w:color w:val="000000"/>
        </w:rPr>
      </w:pPr>
      <w:bookmarkStart w:id="65"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65"/>
    </w:p>
    <w:p>
      <w:pPr>
        <w:pStyle w:val="3"/>
        <w:rPr>
          <w:rFonts w:ascii="仿宋" w:hAnsi="仿宋" w:eastAsia="仿宋"/>
          <w:color w:val="000000"/>
        </w:rPr>
      </w:pPr>
      <w:bookmarkStart w:id="66"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66"/>
    </w:p>
    <w:p>
      <w:pPr>
        <w:pStyle w:val="3"/>
        <w:rPr>
          <w:rFonts w:ascii="仿宋" w:hAnsi="仿宋" w:eastAsia="仿宋"/>
          <w:color w:val="000000"/>
        </w:rPr>
      </w:pPr>
      <w:bookmarkStart w:id="67"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67"/>
    </w:p>
    <w:p>
      <w:pPr>
        <w:pStyle w:val="3"/>
        <w:rPr>
          <w:rFonts w:ascii="仿宋" w:hAnsi="仿宋" w:eastAsia="仿宋"/>
          <w:color w:val="000000"/>
        </w:rPr>
      </w:pPr>
      <w:bookmarkStart w:id="68"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68"/>
    </w:p>
    <w:p>
      <w:pPr>
        <w:pStyle w:val="3"/>
        <w:rPr>
          <w:rFonts w:ascii="仿宋" w:hAnsi="仿宋" w:eastAsia="仿宋"/>
          <w:color w:val="000000"/>
        </w:rPr>
      </w:pPr>
      <w:bookmarkStart w:id="69"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69"/>
    </w:p>
    <w:p>
      <w:pPr>
        <w:pStyle w:val="3"/>
        <w:rPr>
          <w:rFonts w:ascii="仿宋" w:hAnsi="仿宋" w:eastAsia="仿宋"/>
          <w:color w:val="000000"/>
        </w:rPr>
      </w:pPr>
      <w:bookmarkStart w:id="70"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70"/>
    </w:p>
    <w:p>
      <w:pPr>
        <w:pStyle w:val="3"/>
        <w:rPr>
          <w:rFonts w:ascii="仿宋" w:hAnsi="仿宋" w:eastAsia="仿宋"/>
          <w:color w:val="000000" w:themeColor="text1"/>
        </w:rPr>
      </w:pPr>
      <w:bookmarkStart w:id="71"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71"/>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25</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E05045"/>
    <w:multiLevelType w:val="singleLevel"/>
    <w:tmpl w:val="93E05045"/>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D0300C0F"/>
    <w:multiLevelType w:val="singleLevel"/>
    <w:tmpl w:val="D0300C0F"/>
    <w:lvl w:ilvl="0" w:tentative="0">
      <w:start w:val="1"/>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F78435A9"/>
    <w:multiLevelType w:val="singleLevel"/>
    <w:tmpl w:val="F78435A9"/>
    <w:lvl w:ilvl="0" w:tentative="0">
      <w:start w:val="1"/>
      <w:numFmt w:val="chineseCounting"/>
      <w:suff w:val="space"/>
      <w:lvlText w:val="第%1部分"/>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32383C25"/>
    <w:multiLevelType w:val="singleLevel"/>
    <w:tmpl w:val="32383C25"/>
    <w:lvl w:ilvl="0" w:tentative="0">
      <w:start w:val="1"/>
      <w:numFmt w:val="chineseCounting"/>
      <w:suff w:val="nothing"/>
      <w:lvlText w:val="（%1）"/>
      <w:lvlJc w:val="left"/>
      <w:rPr>
        <w:rFonts w:hint="eastAsia"/>
      </w:rPr>
    </w:lvl>
  </w:abstractNum>
  <w:num w:numId="1">
    <w:abstractNumId w:val="4"/>
  </w:num>
  <w:num w:numId="2">
    <w:abstractNumId w:val="0"/>
  </w:num>
  <w:num w:numId="3">
    <w:abstractNumId w:val="2"/>
  </w:num>
  <w:num w:numId="4">
    <w:abstractNumId w:val="6"/>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26C51"/>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0873"/>
    <w:rsid w:val="00114E9B"/>
    <w:rsid w:val="00142216"/>
    <w:rsid w:val="00144D6A"/>
    <w:rsid w:val="0014729F"/>
    <w:rsid w:val="00157BAB"/>
    <w:rsid w:val="001654D1"/>
    <w:rsid w:val="00174518"/>
    <w:rsid w:val="0018106D"/>
    <w:rsid w:val="001877A7"/>
    <w:rsid w:val="00191536"/>
    <w:rsid w:val="00196687"/>
    <w:rsid w:val="001C0962"/>
    <w:rsid w:val="001D7531"/>
    <w:rsid w:val="001E09C9"/>
    <w:rsid w:val="001E737D"/>
    <w:rsid w:val="001F0592"/>
    <w:rsid w:val="001F7506"/>
    <w:rsid w:val="002006CD"/>
    <w:rsid w:val="00202B36"/>
    <w:rsid w:val="002033A3"/>
    <w:rsid w:val="00204B7A"/>
    <w:rsid w:val="00204CDE"/>
    <w:rsid w:val="0021101A"/>
    <w:rsid w:val="00220536"/>
    <w:rsid w:val="00235629"/>
    <w:rsid w:val="0023743F"/>
    <w:rsid w:val="00241A44"/>
    <w:rsid w:val="00260C38"/>
    <w:rsid w:val="002616C0"/>
    <w:rsid w:val="00265372"/>
    <w:rsid w:val="002662AA"/>
    <w:rsid w:val="00280496"/>
    <w:rsid w:val="00294DC9"/>
    <w:rsid w:val="00295495"/>
    <w:rsid w:val="002A31DE"/>
    <w:rsid w:val="002B2613"/>
    <w:rsid w:val="002B57B1"/>
    <w:rsid w:val="002D19B0"/>
    <w:rsid w:val="002D6D05"/>
    <w:rsid w:val="002F1818"/>
    <w:rsid w:val="002F567B"/>
    <w:rsid w:val="00305136"/>
    <w:rsid w:val="003216A9"/>
    <w:rsid w:val="00335A74"/>
    <w:rsid w:val="0036561B"/>
    <w:rsid w:val="0037013F"/>
    <w:rsid w:val="00380C92"/>
    <w:rsid w:val="003840FE"/>
    <w:rsid w:val="003A484F"/>
    <w:rsid w:val="003A4883"/>
    <w:rsid w:val="003B0BE0"/>
    <w:rsid w:val="003B0C1B"/>
    <w:rsid w:val="003B688C"/>
    <w:rsid w:val="003C0291"/>
    <w:rsid w:val="003C2616"/>
    <w:rsid w:val="003C39AE"/>
    <w:rsid w:val="003C7B60"/>
    <w:rsid w:val="003D0C0F"/>
    <w:rsid w:val="003D1FB2"/>
    <w:rsid w:val="003D66DA"/>
    <w:rsid w:val="003E1310"/>
    <w:rsid w:val="003E45D8"/>
    <w:rsid w:val="003E6F55"/>
    <w:rsid w:val="003F6619"/>
    <w:rsid w:val="00406254"/>
    <w:rsid w:val="00416CD4"/>
    <w:rsid w:val="004223DE"/>
    <w:rsid w:val="00434489"/>
    <w:rsid w:val="00437085"/>
    <w:rsid w:val="00443880"/>
    <w:rsid w:val="004464F4"/>
    <w:rsid w:val="004561FF"/>
    <w:rsid w:val="004565E5"/>
    <w:rsid w:val="00471401"/>
    <w:rsid w:val="00473F31"/>
    <w:rsid w:val="0048263A"/>
    <w:rsid w:val="00487E5D"/>
    <w:rsid w:val="004A711F"/>
    <w:rsid w:val="004B199D"/>
    <w:rsid w:val="004B4690"/>
    <w:rsid w:val="004E0A2D"/>
    <w:rsid w:val="004E206B"/>
    <w:rsid w:val="004E6DF7"/>
    <w:rsid w:val="004E7522"/>
    <w:rsid w:val="004F0FBD"/>
    <w:rsid w:val="004F403E"/>
    <w:rsid w:val="00505A47"/>
    <w:rsid w:val="00512FDA"/>
    <w:rsid w:val="00520DA0"/>
    <w:rsid w:val="00530539"/>
    <w:rsid w:val="005664BB"/>
    <w:rsid w:val="00566FFA"/>
    <w:rsid w:val="0057481D"/>
    <w:rsid w:val="00575ADD"/>
    <w:rsid w:val="00575F0B"/>
    <w:rsid w:val="0058486E"/>
    <w:rsid w:val="00585B33"/>
    <w:rsid w:val="0059014D"/>
    <w:rsid w:val="00597BC7"/>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353DC"/>
    <w:rsid w:val="006360F5"/>
    <w:rsid w:val="006440E4"/>
    <w:rsid w:val="0066343B"/>
    <w:rsid w:val="00664777"/>
    <w:rsid w:val="006748A4"/>
    <w:rsid w:val="00681A31"/>
    <w:rsid w:val="00683E73"/>
    <w:rsid w:val="006A3141"/>
    <w:rsid w:val="006A5E34"/>
    <w:rsid w:val="006B130C"/>
    <w:rsid w:val="006B2422"/>
    <w:rsid w:val="006B2B9A"/>
    <w:rsid w:val="006C1937"/>
    <w:rsid w:val="006F020C"/>
    <w:rsid w:val="007127B7"/>
    <w:rsid w:val="0071798E"/>
    <w:rsid w:val="00727533"/>
    <w:rsid w:val="007416B6"/>
    <w:rsid w:val="00746F48"/>
    <w:rsid w:val="0075404D"/>
    <w:rsid w:val="0076182A"/>
    <w:rsid w:val="00767B7E"/>
    <w:rsid w:val="007770C3"/>
    <w:rsid w:val="00784375"/>
    <w:rsid w:val="00784D24"/>
    <w:rsid w:val="00785FBA"/>
    <w:rsid w:val="00786E4A"/>
    <w:rsid w:val="007875EB"/>
    <w:rsid w:val="007904F4"/>
    <w:rsid w:val="0079426B"/>
    <w:rsid w:val="007C5D2E"/>
    <w:rsid w:val="007D1682"/>
    <w:rsid w:val="007D312A"/>
    <w:rsid w:val="007D3F19"/>
    <w:rsid w:val="007E23B0"/>
    <w:rsid w:val="007F17C6"/>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14FC"/>
    <w:rsid w:val="008B768C"/>
    <w:rsid w:val="008C4DB1"/>
    <w:rsid w:val="008C4EAF"/>
    <w:rsid w:val="008C5176"/>
    <w:rsid w:val="008C7FD0"/>
    <w:rsid w:val="008E1DE7"/>
    <w:rsid w:val="008E707C"/>
    <w:rsid w:val="00900B08"/>
    <w:rsid w:val="00902155"/>
    <w:rsid w:val="00902FA3"/>
    <w:rsid w:val="009222C7"/>
    <w:rsid w:val="00922EA4"/>
    <w:rsid w:val="00923564"/>
    <w:rsid w:val="0092392E"/>
    <w:rsid w:val="00924B39"/>
    <w:rsid w:val="009315F9"/>
    <w:rsid w:val="00933499"/>
    <w:rsid w:val="00935C98"/>
    <w:rsid w:val="0094444B"/>
    <w:rsid w:val="00946945"/>
    <w:rsid w:val="00951248"/>
    <w:rsid w:val="0095152F"/>
    <w:rsid w:val="00953A4E"/>
    <w:rsid w:val="00954C49"/>
    <w:rsid w:val="00955E37"/>
    <w:rsid w:val="0097099F"/>
    <w:rsid w:val="00971997"/>
    <w:rsid w:val="00971FFC"/>
    <w:rsid w:val="0098660A"/>
    <w:rsid w:val="009931C3"/>
    <w:rsid w:val="009A5D5B"/>
    <w:rsid w:val="009A79FC"/>
    <w:rsid w:val="009B2C43"/>
    <w:rsid w:val="009B4EAE"/>
    <w:rsid w:val="009B640E"/>
    <w:rsid w:val="009B7573"/>
    <w:rsid w:val="009C22F4"/>
    <w:rsid w:val="009C2E98"/>
    <w:rsid w:val="009C37FB"/>
    <w:rsid w:val="009C4A85"/>
    <w:rsid w:val="009D3447"/>
    <w:rsid w:val="009D4711"/>
    <w:rsid w:val="009F1185"/>
    <w:rsid w:val="009F18CD"/>
    <w:rsid w:val="009F2A13"/>
    <w:rsid w:val="009F7527"/>
    <w:rsid w:val="00A039ED"/>
    <w:rsid w:val="00A049BE"/>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26F1"/>
    <w:rsid w:val="00AB64C9"/>
    <w:rsid w:val="00AC3C6A"/>
    <w:rsid w:val="00AD0F83"/>
    <w:rsid w:val="00AD5620"/>
    <w:rsid w:val="00AD656B"/>
    <w:rsid w:val="00AD7C1B"/>
    <w:rsid w:val="00AE16BA"/>
    <w:rsid w:val="00AE1EBE"/>
    <w:rsid w:val="00AE4E5E"/>
    <w:rsid w:val="00AF37A0"/>
    <w:rsid w:val="00B03C9D"/>
    <w:rsid w:val="00B060AE"/>
    <w:rsid w:val="00B10517"/>
    <w:rsid w:val="00B14E76"/>
    <w:rsid w:val="00B15BDC"/>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A3D3E"/>
    <w:rsid w:val="00BB4DF0"/>
    <w:rsid w:val="00BC289F"/>
    <w:rsid w:val="00BC2D50"/>
    <w:rsid w:val="00BC5361"/>
    <w:rsid w:val="00BC5460"/>
    <w:rsid w:val="00BC6B50"/>
    <w:rsid w:val="00BD0E25"/>
    <w:rsid w:val="00BE5D25"/>
    <w:rsid w:val="00BF41C3"/>
    <w:rsid w:val="00BF5BD6"/>
    <w:rsid w:val="00C03E31"/>
    <w:rsid w:val="00C12138"/>
    <w:rsid w:val="00C30E69"/>
    <w:rsid w:val="00C33793"/>
    <w:rsid w:val="00C33E72"/>
    <w:rsid w:val="00C354B2"/>
    <w:rsid w:val="00C35554"/>
    <w:rsid w:val="00C42709"/>
    <w:rsid w:val="00C533CC"/>
    <w:rsid w:val="00C5751C"/>
    <w:rsid w:val="00C60D4E"/>
    <w:rsid w:val="00C61BFC"/>
    <w:rsid w:val="00C62B85"/>
    <w:rsid w:val="00C65438"/>
    <w:rsid w:val="00C91CBB"/>
    <w:rsid w:val="00CB4E70"/>
    <w:rsid w:val="00CC09B6"/>
    <w:rsid w:val="00CC666F"/>
    <w:rsid w:val="00CD1E3F"/>
    <w:rsid w:val="00CE44F6"/>
    <w:rsid w:val="00CE49DA"/>
    <w:rsid w:val="00CE7B61"/>
    <w:rsid w:val="00CF7C07"/>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B24AC"/>
    <w:rsid w:val="00DC410D"/>
    <w:rsid w:val="00DC5A81"/>
    <w:rsid w:val="00DC68CA"/>
    <w:rsid w:val="00DC7CBA"/>
    <w:rsid w:val="00DD6547"/>
    <w:rsid w:val="00DD73B7"/>
    <w:rsid w:val="00DF28BC"/>
    <w:rsid w:val="00DF34B9"/>
    <w:rsid w:val="00DF7548"/>
    <w:rsid w:val="00E01053"/>
    <w:rsid w:val="00E07ACF"/>
    <w:rsid w:val="00E14322"/>
    <w:rsid w:val="00E331A1"/>
    <w:rsid w:val="00E33202"/>
    <w:rsid w:val="00E336A9"/>
    <w:rsid w:val="00E370A8"/>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EF7E63"/>
    <w:rsid w:val="00F05438"/>
    <w:rsid w:val="00F1361C"/>
    <w:rsid w:val="00F156F0"/>
    <w:rsid w:val="00F160C7"/>
    <w:rsid w:val="00F2408F"/>
    <w:rsid w:val="00F240E9"/>
    <w:rsid w:val="00F3274B"/>
    <w:rsid w:val="00F36D8F"/>
    <w:rsid w:val="00F417B1"/>
    <w:rsid w:val="00F45853"/>
    <w:rsid w:val="00F57405"/>
    <w:rsid w:val="00F602DF"/>
    <w:rsid w:val="00F754A1"/>
    <w:rsid w:val="00F81FD9"/>
    <w:rsid w:val="00F841AA"/>
    <w:rsid w:val="00F84A94"/>
    <w:rsid w:val="00F87E96"/>
    <w:rsid w:val="00FA23E8"/>
    <w:rsid w:val="00FC35B5"/>
    <w:rsid w:val="00FD2884"/>
    <w:rsid w:val="00FD3CC1"/>
    <w:rsid w:val="00FF1E02"/>
    <w:rsid w:val="00FF30B4"/>
    <w:rsid w:val="04485DCB"/>
    <w:rsid w:val="05D92138"/>
    <w:rsid w:val="07EA169F"/>
    <w:rsid w:val="0B912033"/>
    <w:rsid w:val="0ECD0C2D"/>
    <w:rsid w:val="1079458D"/>
    <w:rsid w:val="10C055FF"/>
    <w:rsid w:val="11231023"/>
    <w:rsid w:val="12114ED7"/>
    <w:rsid w:val="12E655B7"/>
    <w:rsid w:val="13394287"/>
    <w:rsid w:val="14EA7CEB"/>
    <w:rsid w:val="166C0142"/>
    <w:rsid w:val="16BB723D"/>
    <w:rsid w:val="17E7650F"/>
    <w:rsid w:val="1BE97628"/>
    <w:rsid w:val="1DC62BC7"/>
    <w:rsid w:val="1DF60883"/>
    <w:rsid w:val="21166AC1"/>
    <w:rsid w:val="221515CD"/>
    <w:rsid w:val="22C77FC3"/>
    <w:rsid w:val="240371BF"/>
    <w:rsid w:val="2454289B"/>
    <w:rsid w:val="29D03B55"/>
    <w:rsid w:val="29F86039"/>
    <w:rsid w:val="29FD04D3"/>
    <w:rsid w:val="2A4A3A22"/>
    <w:rsid w:val="2A9C4507"/>
    <w:rsid w:val="2B133327"/>
    <w:rsid w:val="2C591F8A"/>
    <w:rsid w:val="2F8215FC"/>
    <w:rsid w:val="301114F8"/>
    <w:rsid w:val="319F7F4E"/>
    <w:rsid w:val="31F7572C"/>
    <w:rsid w:val="32567FA2"/>
    <w:rsid w:val="32D12268"/>
    <w:rsid w:val="33321FC9"/>
    <w:rsid w:val="346520A2"/>
    <w:rsid w:val="34CE6DA7"/>
    <w:rsid w:val="35215869"/>
    <w:rsid w:val="37924688"/>
    <w:rsid w:val="38B23EBB"/>
    <w:rsid w:val="395621A1"/>
    <w:rsid w:val="3E57579A"/>
    <w:rsid w:val="3F1956AA"/>
    <w:rsid w:val="40014FEC"/>
    <w:rsid w:val="405F7D62"/>
    <w:rsid w:val="409C5782"/>
    <w:rsid w:val="418506BF"/>
    <w:rsid w:val="425F53C8"/>
    <w:rsid w:val="427B7FF5"/>
    <w:rsid w:val="4AB500A9"/>
    <w:rsid w:val="4AEE3321"/>
    <w:rsid w:val="4E29267E"/>
    <w:rsid w:val="4E55763D"/>
    <w:rsid w:val="4ECE2238"/>
    <w:rsid w:val="543B1737"/>
    <w:rsid w:val="554154EA"/>
    <w:rsid w:val="55B02E32"/>
    <w:rsid w:val="5A8B706C"/>
    <w:rsid w:val="663B6C08"/>
    <w:rsid w:val="68294257"/>
    <w:rsid w:val="6B6503A4"/>
    <w:rsid w:val="6C31019E"/>
    <w:rsid w:val="6C5715AD"/>
    <w:rsid w:val="6FBF4880"/>
    <w:rsid w:val="70BB2D01"/>
    <w:rsid w:val="714D45BD"/>
    <w:rsid w:val="72734D90"/>
    <w:rsid w:val="729F07D1"/>
    <w:rsid w:val="73774F2B"/>
    <w:rsid w:val="75BC7370"/>
    <w:rsid w:val="779004E6"/>
    <w:rsid w:val="78996095"/>
    <w:rsid w:val="79FD2C47"/>
    <w:rsid w:val="79FE1B5F"/>
    <w:rsid w:val="7A692A71"/>
    <w:rsid w:val="7A954F54"/>
    <w:rsid w:val="7AB770FD"/>
    <w:rsid w:val="7B0373DF"/>
    <w:rsid w:val="7C823D4F"/>
    <w:rsid w:val="7C8C00F3"/>
    <w:rsid w:val="7D394988"/>
    <w:rsid w:val="7D4C6CF6"/>
    <w:rsid w:val="7EB36E7D"/>
    <w:rsid w:val="BD7E77A2"/>
    <w:rsid w:val="FE5A189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Char"/>
    <w:basedOn w:val="13"/>
    <w:link w:val="2"/>
    <w:qFormat/>
    <w:uiPriority w:val="9"/>
    <w:rPr>
      <w:rFonts w:ascii="Times New Roman" w:hAnsi="Times New Roman"/>
      <w:b/>
      <w:bCs/>
      <w:kern w:val="44"/>
      <w:sz w:val="44"/>
      <w:szCs w:val="44"/>
    </w:rPr>
  </w:style>
  <w:style w:type="character" w:customStyle="1" w:styleId="25">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
    <w:rPr>
      <w:rFonts w:ascii="Times New Roman" w:hAnsi="Times New Roman"/>
      <w:b/>
      <w:bCs/>
      <w:kern w:val="2"/>
      <w:sz w:val="32"/>
      <w:szCs w:val="32"/>
    </w:rPr>
  </w:style>
  <w:style w:type="paragraph" w:customStyle="1" w:styleId="29">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invertIfNegative val="0"/>
          <c:dLbls>
            <c:delete val="1"/>
          </c:dLbls>
          <c:cat>
            <c:strRef>
              <c:f>Sheet1!$A$2:$A$5</c:f>
              <c:strCache>
                <c:ptCount val="2"/>
                <c:pt idx="0">
                  <c:v>2018年</c:v>
                </c:pt>
                <c:pt idx="1">
                  <c:v>2019年</c:v>
                </c:pt>
              </c:strCache>
            </c:strRef>
          </c:cat>
          <c:val>
            <c:numRef>
              <c:f>Sheet1!$B$2:$B$5</c:f>
              <c:numCache>
                <c:formatCode>General</c:formatCode>
                <c:ptCount val="4"/>
                <c:pt idx="0">
                  <c:v>739.62</c:v>
                </c:pt>
                <c:pt idx="1">
                  <c:v>1439.52</c:v>
                </c:pt>
              </c:numCache>
            </c:numRef>
          </c:val>
        </c:ser>
        <c:ser>
          <c:idx val="1"/>
          <c:order val="1"/>
          <c:tx>
            <c:strRef>
              <c:f>Sheet1!$C$1</c:f>
              <c:strCache>
                <c:ptCount val="1"/>
                <c:pt idx="0">
                  <c:v>支出</c:v>
                </c:pt>
              </c:strCache>
            </c:strRef>
          </c:tx>
          <c:invertIfNegative val="0"/>
          <c:dLbls>
            <c:delete val="1"/>
          </c:dLbls>
          <c:cat>
            <c:strRef>
              <c:f>Sheet1!$A$2:$A$5</c:f>
              <c:strCache>
                <c:ptCount val="2"/>
                <c:pt idx="0">
                  <c:v>2018年</c:v>
                </c:pt>
                <c:pt idx="1">
                  <c:v>2019年</c:v>
                </c:pt>
              </c:strCache>
            </c:strRef>
          </c:cat>
          <c:val>
            <c:numRef>
              <c:f>Sheet1!$C$2:$C$5</c:f>
              <c:numCache>
                <c:formatCode>General</c:formatCode>
                <c:ptCount val="4"/>
                <c:pt idx="0">
                  <c:v>739.62</c:v>
                </c:pt>
                <c:pt idx="1">
                  <c:v>1439.52</c:v>
                </c:pt>
              </c:numCache>
            </c:numRef>
          </c:val>
        </c:ser>
        <c:ser>
          <c:idx val="2"/>
          <c:order val="2"/>
          <c:tx>
            <c:strRef>
              <c:f>Sheet1!$D$1</c:f>
              <c:strCache>
                <c:ptCount val="1"/>
                <c:pt idx="0">
                  <c:v>列1</c:v>
                </c:pt>
              </c:strCache>
            </c:strRef>
          </c:tx>
          <c:invertIfNegative val="0"/>
          <c:dLbls>
            <c:delete val="1"/>
          </c:dLbls>
          <c:cat>
            <c:strRef>
              <c:f>Sheet1!$A$2:$A$5</c:f>
              <c:strCache>
                <c:ptCount val="2"/>
                <c:pt idx="0">
                  <c:v>2018年</c:v>
                </c:pt>
                <c:pt idx="1">
                  <c:v>2019年</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82219392"/>
        <c:axId val="82220928"/>
      </c:barChart>
      <c:catAx>
        <c:axId val="82219392"/>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2220928"/>
        <c:crosses val="autoZero"/>
        <c:auto val="1"/>
        <c:lblAlgn val="ctr"/>
        <c:lblOffset val="100"/>
        <c:noMultiLvlLbl val="0"/>
      </c:catAx>
      <c:valAx>
        <c:axId val="8222092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2219392"/>
        <c:crosses val="autoZero"/>
        <c:crossBetween val="between"/>
      </c:valAx>
    </c:plotArea>
    <c:legend>
      <c:legendPos val="r"/>
      <c:legendEntry>
        <c:idx val="2"/>
        <c:delete val="1"/>
      </c:legendEntry>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2019年收入</c:v>
                </c:pt>
              </c:strCache>
            </c:strRef>
          </c:tx>
          <c:explosion val="0"/>
          <c:dPt>
            <c:idx val="0"/>
            <c:bubble3D val="0"/>
          </c:dPt>
          <c:dPt>
            <c:idx val="1"/>
            <c:bubble3D val="0"/>
          </c:dPt>
          <c:dPt>
            <c:idx val="2"/>
            <c:bubble3D val="0"/>
          </c:dPt>
          <c:dPt>
            <c:idx val="3"/>
            <c:bubble3D val="0"/>
          </c:dPt>
          <c:dLbls>
            <c:delete val="1"/>
          </c:dLbls>
          <c:cat>
            <c:strRef>
              <c:f>Sheet1!$A$2:$A$5</c:f>
              <c:strCache>
                <c:ptCount val="4"/>
                <c:pt idx="0">
                  <c:v>一般公共预算财政拨款收入</c:v>
                </c:pt>
                <c:pt idx="1">
                  <c:v>政府性基金预算财政拨款收入</c:v>
                </c:pt>
                <c:pt idx="2">
                  <c:v>上级补助收入</c:v>
                </c:pt>
                <c:pt idx="3">
                  <c:v>事业性等其他收入</c:v>
                </c:pt>
              </c:strCache>
            </c:strRef>
          </c:cat>
          <c:val>
            <c:numRef>
              <c:f>Sheet1!$B$2:$B$5</c:f>
              <c:numCache>
                <c:formatCode>General</c:formatCode>
                <c:ptCount val="4"/>
                <c:pt idx="0">
                  <c:v>1528.71</c:v>
                </c:pt>
                <c:pt idx="1">
                  <c:v>0</c:v>
                </c:pt>
                <c:pt idx="2">
                  <c:v>0</c:v>
                </c:pt>
                <c:pt idx="3">
                  <c:v>0</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2019年支出</c:v>
                </c:pt>
              </c:strCache>
            </c:strRef>
          </c:tx>
          <c:explosion val="0"/>
          <c:dPt>
            <c:idx val="0"/>
            <c:bubble3D val="0"/>
          </c:dPt>
          <c:dPt>
            <c:idx val="1"/>
            <c:bubble3D val="0"/>
          </c:dPt>
          <c:dPt>
            <c:idx val="2"/>
            <c:bubble3D val="0"/>
          </c:dPt>
          <c:dPt>
            <c:idx val="3"/>
            <c:bubble3D val="0"/>
          </c:dPt>
          <c:dLbls>
            <c:delete val="1"/>
          </c:dLbls>
          <c:cat>
            <c:strRef>
              <c:f>Sheet1!$A$2:$A$5</c:f>
              <c:strCache>
                <c:ptCount val="3"/>
                <c:pt idx="0">
                  <c:v>基本支出</c:v>
                </c:pt>
                <c:pt idx="1">
                  <c:v>项目支出</c:v>
                </c:pt>
                <c:pt idx="2">
                  <c:v>上缴上级等其他支出</c:v>
                </c:pt>
              </c:strCache>
            </c:strRef>
          </c:cat>
          <c:val>
            <c:numRef>
              <c:f>Sheet1!$B$2:$B$5</c:f>
              <c:numCache>
                <c:formatCode>General</c:formatCode>
                <c:ptCount val="4"/>
                <c:pt idx="0">
                  <c:v>1204.75</c:v>
                </c:pt>
                <c:pt idx="1">
                  <c:v>234.77</c:v>
                </c:pt>
                <c:pt idx="2">
                  <c:v>0</c:v>
                </c:pt>
              </c:numCache>
            </c:numRef>
          </c:val>
        </c:ser>
        <c:dLbls>
          <c:showLegendKey val="0"/>
          <c:showVal val="0"/>
          <c:showCatName val="0"/>
          <c:showSerName val="0"/>
          <c:showPercent val="0"/>
          <c:showBubbleSize val="0"/>
          <c:showLeaderLines val="1"/>
        </c:dLbls>
        <c:firstSliceAng val="15"/>
      </c:pieChart>
      <c:spPr>
        <a:noFill/>
        <a:ln>
          <a:noFill/>
        </a:ln>
        <a:effectLst/>
      </c:spPr>
    </c:plotArea>
    <c:legend>
      <c:legendPos val="r"/>
      <c:legendEntry>
        <c:idx val="3"/>
        <c:delete val="1"/>
      </c:legendEntry>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财政拨款收入</c:v>
                </c:pt>
              </c:strCache>
            </c:strRef>
          </c:tx>
          <c:invertIfNegative val="0"/>
          <c:dLbls>
            <c:delete val="1"/>
          </c:dLbls>
          <c:cat>
            <c:strRef>
              <c:f>Sheet1!$A$2:$A$5</c:f>
              <c:strCache>
                <c:ptCount val="2"/>
                <c:pt idx="0">
                  <c:v>2018年</c:v>
                </c:pt>
                <c:pt idx="1">
                  <c:v>2019年</c:v>
                </c:pt>
              </c:strCache>
            </c:strRef>
          </c:cat>
          <c:val>
            <c:numRef>
              <c:f>Sheet1!$B$2:$B$5</c:f>
              <c:numCache>
                <c:formatCode>General</c:formatCode>
                <c:ptCount val="4"/>
                <c:pt idx="0">
                  <c:v>739.62</c:v>
                </c:pt>
                <c:pt idx="1">
                  <c:v>1439.52</c:v>
                </c:pt>
              </c:numCache>
            </c:numRef>
          </c:val>
        </c:ser>
        <c:ser>
          <c:idx val="1"/>
          <c:order val="1"/>
          <c:tx>
            <c:strRef>
              <c:f>Sheet1!$C$1</c:f>
              <c:strCache>
                <c:ptCount val="1"/>
                <c:pt idx="0">
                  <c:v>财政拨款支出</c:v>
                </c:pt>
              </c:strCache>
            </c:strRef>
          </c:tx>
          <c:invertIfNegative val="0"/>
          <c:dLbls>
            <c:delete val="1"/>
          </c:dLbls>
          <c:cat>
            <c:strRef>
              <c:f>Sheet1!$A$2:$A$5</c:f>
              <c:strCache>
                <c:ptCount val="2"/>
                <c:pt idx="0">
                  <c:v>2018年</c:v>
                </c:pt>
                <c:pt idx="1">
                  <c:v>2019年</c:v>
                </c:pt>
              </c:strCache>
            </c:strRef>
          </c:cat>
          <c:val>
            <c:numRef>
              <c:f>Sheet1!$C$2:$C$5</c:f>
              <c:numCache>
                <c:formatCode>General</c:formatCode>
                <c:ptCount val="4"/>
                <c:pt idx="0">
                  <c:v>739.62</c:v>
                </c:pt>
                <c:pt idx="1">
                  <c:v>1439.52</c:v>
                </c:pt>
              </c:numCache>
            </c:numRef>
          </c:val>
        </c:ser>
        <c:ser>
          <c:idx val="2"/>
          <c:order val="2"/>
          <c:tx>
            <c:strRef>
              <c:f>Sheet1!$D$1</c:f>
              <c:strCache>
                <c:ptCount val="1"/>
                <c:pt idx="0">
                  <c:v>列1</c:v>
                </c:pt>
              </c:strCache>
            </c:strRef>
          </c:tx>
          <c:invertIfNegative val="0"/>
          <c:dLbls>
            <c:delete val="1"/>
          </c:dLbls>
          <c:cat>
            <c:strRef>
              <c:f>Sheet1!$A$2:$A$5</c:f>
              <c:strCache>
                <c:ptCount val="2"/>
                <c:pt idx="0">
                  <c:v>2018年</c:v>
                </c:pt>
                <c:pt idx="1">
                  <c:v>2019年</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93774208"/>
        <c:axId val="93775744"/>
      </c:barChart>
      <c:catAx>
        <c:axId val="93774208"/>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3775744"/>
        <c:crosses val="autoZero"/>
        <c:auto val="1"/>
        <c:lblAlgn val="ctr"/>
        <c:lblOffset val="100"/>
        <c:noMultiLvlLbl val="0"/>
      </c:catAx>
      <c:valAx>
        <c:axId val="9377574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3774208"/>
        <c:crosses val="autoZero"/>
        <c:crossBetween val="between"/>
      </c:valAx>
    </c:plotArea>
    <c:legend>
      <c:legendPos val="r"/>
      <c:legendEntry>
        <c:idx val="2"/>
        <c:delete val="1"/>
      </c:legendEntry>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一般公共预算财政拨款收入</c:v>
                </c:pt>
              </c:strCache>
            </c:strRef>
          </c:tx>
          <c:invertIfNegative val="0"/>
          <c:dLbls>
            <c:delete val="1"/>
          </c:dLbls>
          <c:cat>
            <c:strRef>
              <c:f>Sheet1!$A$2:$A$5</c:f>
              <c:strCache>
                <c:ptCount val="2"/>
                <c:pt idx="0">
                  <c:v>2018年</c:v>
                </c:pt>
                <c:pt idx="1">
                  <c:v>2019年</c:v>
                </c:pt>
              </c:strCache>
            </c:strRef>
          </c:cat>
          <c:val>
            <c:numRef>
              <c:f>Sheet1!$B$2:$B$5</c:f>
              <c:numCache>
                <c:formatCode>General</c:formatCode>
                <c:ptCount val="4"/>
                <c:pt idx="0">
                  <c:v>739.62</c:v>
                </c:pt>
                <c:pt idx="1">
                  <c:v>1439.52</c:v>
                </c:pt>
              </c:numCache>
            </c:numRef>
          </c:val>
        </c:ser>
        <c:ser>
          <c:idx val="1"/>
          <c:order val="1"/>
          <c:tx>
            <c:strRef>
              <c:f>Sheet1!$C$1</c:f>
              <c:strCache>
                <c:ptCount val="1"/>
                <c:pt idx="0">
                  <c:v>一般公共预算财政拨款支出</c:v>
                </c:pt>
              </c:strCache>
            </c:strRef>
          </c:tx>
          <c:invertIfNegative val="0"/>
          <c:dLbls>
            <c:delete val="1"/>
          </c:dLbls>
          <c:cat>
            <c:strRef>
              <c:f>Sheet1!$A$2:$A$5</c:f>
              <c:strCache>
                <c:ptCount val="2"/>
                <c:pt idx="0">
                  <c:v>2018年</c:v>
                </c:pt>
                <c:pt idx="1">
                  <c:v>2019年</c:v>
                </c:pt>
              </c:strCache>
            </c:strRef>
          </c:cat>
          <c:val>
            <c:numRef>
              <c:f>Sheet1!$C$2:$C$5</c:f>
              <c:numCache>
                <c:formatCode>General</c:formatCode>
                <c:ptCount val="4"/>
                <c:pt idx="0">
                  <c:v>739.62</c:v>
                </c:pt>
                <c:pt idx="1">
                  <c:v>1439.52</c:v>
                </c:pt>
              </c:numCache>
            </c:numRef>
          </c:val>
        </c:ser>
        <c:ser>
          <c:idx val="2"/>
          <c:order val="2"/>
          <c:tx>
            <c:strRef>
              <c:f>Sheet1!$D$1</c:f>
              <c:strCache>
                <c:ptCount val="1"/>
                <c:pt idx="0">
                  <c:v>列1</c:v>
                </c:pt>
              </c:strCache>
            </c:strRef>
          </c:tx>
          <c:invertIfNegative val="0"/>
          <c:dLbls>
            <c:delete val="1"/>
          </c:dLbls>
          <c:cat>
            <c:strRef>
              <c:f>Sheet1!$A$2:$A$5</c:f>
              <c:strCache>
                <c:ptCount val="2"/>
                <c:pt idx="0">
                  <c:v>2018年</c:v>
                </c:pt>
                <c:pt idx="1">
                  <c:v>2019年</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93822336"/>
        <c:axId val="93828224"/>
      </c:barChart>
      <c:catAx>
        <c:axId val="93822336"/>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3828224"/>
        <c:crosses val="autoZero"/>
        <c:auto val="1"/>
        <c:lblAlgn val="ctr"/>
        <c:lblOffset val="100"/>
        <c:noMultiLvlLbl val="0"/>
      </c:catAx>
      <c:valAx>
        <c:axId val="9382822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3822336"/>
        <c:crosses val="autoZero"/>
        <c:crossBetween val="between"/>
      </c:valAx>
    </c:plotArea>
    <c:legend>
      <c:legendPos val="r"/>
      <c:legendEntry>
        <c:idx val="2"/>
        <c:delete val="1"/>
      </c:legendEntry>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c:v>
                </c:pt>
              </c:strCache>
            </c:strRef>
          </c:tx>
          <c:explosion val="0"/>
          <c:dPt>
            <c:idx val="0"/>
            <c:bubble3D val="0"/>
          </c:dPt>
          <c:dPt>
            <c:idx val="1"/>
            <c:bubble3D val="0"/>
          </c:dPt>
          <c:dPt>
            <c:idx val="2"/>
            <c:bubble3D val="0"/>
          </c:dPt>
          <c:dPt>
            <c:idx val="3"/>
            <c:bubble3D val="0"/>
          </c:dPt>
          <c:dLbls>
            <c:delete val="1"/>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1183.01</c:v>
                </c:pt>
                <c:pt idx="1">
                  <c:v>118.54</c:v>
                </c:pt>
                <c:pt idx="2">
                  <c:v>56.48</c:v>
                </c:pt>
                <c:pt idx="3">
                  <c:v>81.49</c:v>
                </c:pt>
              </c:numCache>
            </c:numRef>
          </c:val>
        </c:ser>
        <c:dLbls>
          <c:showLegendKey val="0"/>
          <c:showVal val="0"/>
          <c:showCatName val="0"/>
          <c:showSerName val="0"/>
          <c:showPercent val="0"/>
          <c:showBubbleSize val="0"/>
          <c:showLeaderLines val="1"/>
        </c:dLbls>
        <c:firstSliceAng val="15"/>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2019年"三公"经费支出情况</c:v>
                </c:pt>
              </c:strCache>
            </c:strRef>
          </c:tx>
          <c:explosion val="0"/>
          <c:dPt>
            <c:idx val="0"/>
            <c:bubble3D val="0"/>
          </c:dPt>
          <c:dPt>
            <c:idx val="1"/>
            <c:bubble3D val="0"/>
          </c:dPt>
          <c:dPt>
            <c:idx val="2"/>
            <c:bubble3D val="0"/>
          </c:dPt>
          <c:dPt>
            <c:idx val="3"/>
            <c:bubble3D val="0"/>
          </c:dPt>
          <c:dLbls>
            <c:delete val="1"/>
          </c:dLbls>
          <c:cat>
            <c:strRef>
              <c:f>Sheet1!$A$2:$A$5</c:f>
              <c:strCache>
                <c:ptCount val="3"/>
                <c:pt idx="0">
                  <c:v>因公出国(境)费</c:v>
                </c:pt>
                <c:pt idx="1">
                  <c:v>公务用车运行维护费</c:v>
                </c:pt>
                <c:pt idx="2">
                  <c:v>公务接待费</c:v>
                </c:pt>
              </c:strCache>
            </c:strRef>
          </c:cat>
          <c:val>
            <c:numRef>
              <c:f>Sheet1!$B$2:$B$5</c:f>
              <c:numCache>
                <c:formatCode>General</c:formatCode>
                <c:ptCount val="4"/>
                <c:pt idx="0">
                  <c:v>0</c:v>
                </c:pt>
                <c:pt idx="1">
                  <c:v>25.16</c:v>
                </c:pt>
                <c:pt idx="2">
                  <c:v>2.57</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25</Pages>
  <Words>9118</Words>
  <Characters>1757</Characters>
  <Lines>14</Lines>
  <Paragraphs>21</Paragraphs>
  <TotalTime>16</TotalTime>
  <ScaleCrop>false</ScaleCrop>
  <LinksUpToDate>false</LinksUpToDate>
  <CharactersWithSpaces>10854</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2020-09-22T18:20:00Z</dcterms:created>
  <dc:creator>曹颖</dc:creator>
  <cp:lastModifiedBy>user</cp:lastModifiedBy>
  <cp:lastPrinted>2020-09-23T01:22:00Z</cp:lastPrinted>
  <dcterms:modified xsi:type="dcterms:W3CDTF">2023-07-13T19:00:19Z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7D56A0F241430989B9CFAF648BB18D2E</vt:lpwstr>
  </property>
</Properties>
</file>