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597"/>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纪委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both"/>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jc w:val="both"/>
        <w:rPr>
          <w:rFonts w:ascii="黑体" w:hAnsi="黑体" w:eastAsia="黑体"/>
          <w:color w:val="000000"/>
          <w:sz w:val="48"/>
          <w:szCs w:val="48"/>
        </w:rPr>
      </w:pPr>
      <w:r>
        <w:rPr>
          <w:rFonts w:hint="eastAsia" w:ascii="宋体" w:hAnsi="宋体" w:cs="仿宋_GB2312"/>
          <w:sz w:val="32"/>
          <w:szCs w:val="32"/>
        </w:rPr>
        <w:t>部门主要负责人审签情况：</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8"/>
          <w:szCs w:val="28"/>
        </w:rPr>
      </w:pPr>
      <w:r>
        <w:rPr>
          <w:rFonts w:hint="eastAsia" w:hAnsiTheme="minorHAnsi"/>
          <w:b w:val="0"/>
          <w:bCs w:val="0"/>
          <w:sz w:val="28"/>
          <w:szCs w:val="28"/>
        </w:rPr>
        <w:t>公开时间：2021年</w:t>
      </w:r>
      <w:r>
        <w:rPr>
          <w:rFonts w:hint="eastAsia" w:hAnsiTheme="minorHAnsi"/>
          <w:b w:val="0"/>
          <w:bCs w:val="0"/>
          <w:sz w:val="28"/>
          <w:szCs w:val="28"/>
          <w:lang w:val="en-US" w:eastAsia="zh-CN"/>
        </w:rPr>
        <w:t>9</w:t>
      </w:r>
      <w:r>
        <w:rPr>
          <w:rFonts w:hint="eastAsia" w:hAnsiTheme="minorHAnsi"/>
          <w:b w:val="0"/>
          <w:bCs w:val="0"/>
          <w:sz w:val="28"/>
          <w:szCs w:val="28"/>
        </w:rPr>
        <w:t xml:space="preserve"> 月</w:t>
      </w:r>
      <w:r>
        <w:rPr>
          <w:rFonts w:hint="eastAsia" w:hAnsiTheme="minorHAnsi"/>
          <w:b w:val="0"/>
          <w:bCs w:val="0"/>
          <w:sz w:val="28"/>
          <w:szCs w:val="28"/>
          <w:lang w:val="en-US" w:eastAsia="zh-CN"/>
        </w:rPr>
        <w:t>27</w:t>
      </w:r>
      <w:r>
        <w:rPr>
          <w:rFonts w:hint="eastAsia" w:hAnsiTheme="minorHAnsi"/>
          <w:b w:val="0"/>
          <w:bCs w:val="0"/>
          <w:sz w:val="28"/>
          <w:szCs w:val="28"/>
        </w:rPr>
        <w:t xml:space="preserve"> 日</w:t>
      </w:r>
    </w:p>
    <w:p>
      <w:pPr>
        <w:pStyle w:val="13"/>
        <w:tabs>
          <w:tab w:val="right" w:leader="dot" w:pos="8296"/>
        </w:tabs>
        <w:rPr>
          <w:rFonts w:hint="eastAsia" w:ascii="仿宋" w:hAnsi="仿宋" w:eastAsia="仿宋"/>
          <w:b w:val="0"/>
          <w:bCs w:val="0"/>
          <w:caps w:val="0"/>
          <w:smallCaps/>
          <w:sz w:val="28"/>
          <w:szCs w:val="28"/>
          <w:lang w:eastAsia="zh-CN"/>
        </w:rPr>
      </w:pPr>
      <w:r>
        <w:rPr>
          <w:rFonts w:ascii="仿宋" w:hAnsi="仿宋" w:eastAsia="仿宋"/>
          <w:b w:val="0"/>
          <w:bCs w:val="0"/>
          <w:caps w:val="0"/>
          <w:smallCaps/>
          <w:sz w:val="28"/>
          <w:szCs w:val="28"/>
        </w:rPr>
        <w:fldChar w:fldCharType="begin"/>
      </w:r>
      <w:r>
        <w:rPr>
          <w:rFonts w:ascii="仿宋" w:hAnsi="仿宋" w:eastAsia="仿宋"/>
          <w:b w:val="0"/>
          <w:bCs w:val="0"/>
          <w:caps w:val="0"/>
          <w:smallCaps/>
          <w:sz w:val="28"/>
          <w:szCs w:val="28"/>
        </w:rPr>
        <w:instrText xml:space="preserve"> TOC \o \u </w:instrText>
      </w:r>
      <w:r>
        <w:rPr>
          <w:rFonts w:ascii="仿宋" w:hAnsi="仿宋" w:eastAsia="仿宋"/>
          <w:b w:val="0"/>
          <w:bCs w:val="0"/>
          <w:caps w:val="0"/>
          <w:smallCaps/>
          <w:sz w:val="28"/>
          <w:szCs w:val="28"/>
        </w:rPr>
        <w:fldChar w:fldCharType="separate"/>
      </w:r>
      <w:r>
        <w:rPr>
          <w:rFonts w:ascii="仿宋" w:hAnsi="仿宋" w:eastAsia="仿宋"/>
          <w:b w:val="0"/>
          <w:bCs w:val="0"/>
          <w:caps w:val="0"/>
          <w:smallCaps/>
          <w:sz w:val="28"/>
          <w:szCs w:val="28"/>
        </w:rPr>
        <w:t>第一部分 部门概况</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5</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5</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（一）主要职能。</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5</w:t>
      </w:r>
    </w:p>
    <w:p>
      <w:pPr>
        <w:pStyle w:val="8"/>
        <w:tabs>
          <w:tab w:val="right" w:leader="dot" w:pos="8296"/>
        </w:tabs>
        <w:rPr>
          <w:rFonts w:hint="eastAsia" w:ascii="仿宋" w:hAnsi="仿宋" w:eastAsia="仿宋"/>
          <w:i w:val="0"/>
          <w:iCs w:val="0"/>
          <w:smallCaps/>
          <w:sz w:val="28"/>
          <w:szCs w:val="28"/>
          <w:lang w:eastAsia="zh-CN"/>
        </w:rPr>
      </w:pPr>
      <w:r>
        <w:rPr>
          <w:rFonts w:ascii="仿宋" w:hAnsi="仿宋" w:eastAsia="仿宋"/>
          <w:i w:val="0"/>
          <w:iCs w:val="0"/>
          <w:smallCaps/>
          <w:sz w:val="28"/>
          <w:szCs w:val="28"/>
        </w:rPr>
        <w:t>（二）2020年重点工作完成情况。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7</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8</w:t>
      </w:r>
    </w:p>
    <w:p>
      <w:pPr>
        <w:pStyle w:val="13"/>
        <w:tabs>
          <w:tab w:val="right" w:leader="dot" w:pos="8296"/>
        </w:tabs>
        <w:rPr>
          <w:rFonts w:hint="eastAsia" w:ascii="仿宋" w:hAnsi="仿宋" w:eastAsia="仿宋"/>
          <w:b w:val="0"/>
          <w:bCs w:val="0"/>
          <w:caps w:val="0"/>
          <w:smallCaps/>
          <w:sz w:val="28"/>
          <w:szCs w:val="28"/>
          <w:lang w:eastAsia="zh-CN"/>
        </w:rPr>
      </w:pPr>
      <w:r>
        <w:rPr>
          <w:rFonts w:ascii="仿宋" w:hAnsi="仿宋" w:eastAsia="仿宋"/>
          <w:b w:val="0"/>
          <w:bCs w:val="0"/>
          <w:caps w:val="0"/>
          <w:smallCaps/>
          <w:sz w:val="28"/>
          <w:szCs w:val="28"/>
        </w:rPr>
        <w:t>第二部分 2020年度部门决算情况说明</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9</w:t>
      </w:r>
    </w:p>
    <w:p>
      <w:pPr>
        <w:pStyle w:val="17"/>
        <w:tabs>
          <w:tab w:val="left" w:pos="840"/>
          <w:tab w:val="right" w:leader="dot" w:pos="8296"/>
        </w:tabs>
        <w:rPr>
          <w:rFonts w:hint="eastAsia" w:ascii="仿宋" w:hAnsi="仿宋" w:eastAsia="仿宋"/>
          <w:sz w:val="28"/>
          <w:szCs w:val="28"/>
          <w:lang w:val="en-US" w:eastAsia="zh-CN"/>
        </w:rPr>
      </w:pPr>
      <w:r>
        <w:rPr>
          <w:rFonts w:ascii="仿宋" w:hAnsi="仿宋" w:eastAsia="仿宋"/>
          <w:sz w:val="28"/>
          <w:szCs w:val="28"/>
        </w:rPr>
        <w:t>一、</w:t>
      </w:r>
      <w:r>
        <w:rPr>
          <w:rFonts w:ascii="仿宋" w:hAnsi="仿宋" w:eastAsia="仿宋"/>
          <w:sz w:val="28"/>
          <w:szCs w:val="28"/>
        </w:rPr>
        <w:tab/>
      </w:r>
      <w:r>
        <w:rPr>
          <w:rFonts w:ascii="仿宋" w:hAnsi="仿宋" w:eastAsia="仿宋"/>
          <w:sz w:val="28"/>
          <w:szCs w:val="28"/>
        </w:rPr>
        <w:t>收入支出决算总体情况说明</w:t>
      </w:r>
      <w:r>
        <w:rPr>
          <w:rFonts w:ascii="仿宋" w:hAnsi="仿宋" w:eastAsia="仿宋"/>
          <w:sz w:val="28"/>
          <w:szCs w:val="28"/>
        </w:rPr>
        <w:tab/>
      </w:r>
      <w:r>
        <w:rPr>
          <w:rFonts w:hint="eastAsia" w:ascii="仿宋" w:hAnsi="仿宋" w:eastAsia="仿宋"/>
          <w:sz w:val="28"/>
          <w:szCs w:val="28"/>
          <w:lang w:val="en-US" w:eastAsia="zh-CN"/>
        </w:rPr>
        <w:t>9</w:t>
      </w:r>
    </w:p>
    <w:p>
      <w:pPr>
        <w:pStyle w:val="17"/>
        <w:tabs>
          <w:tab w:val="left" w:pos="840"/>
          <w:tab w:val="right" w:leader="dot" w:pos="8296"/>
        </w:tabs>
        <w:rPr>
          <w:rFonts w:hint="eastAsia" w:ascii="仿宋" w:hAnsi="仿宋" w:eastAsia="仿宋"/>
          <w:sz w:val="28"/>
          <w:szCs w:val="28"/>
          <w:lang w:eastAsia="zh-CN"/>
        </w:rPr>
      </w:pPr>
      <w:r>
        <w:rPr>
          <w:rFonts w:ascii="仿宋" w:hAnsi="仿宋" w:eastAsia="仿宋"/>
          <w:sz w:val="28"/>
          <w:szCs w:val="28"/>
        </w:rPr>
        <w:t>二、</w:t>
      </w:r>
      <w:r>
        <w:rPr>
          <w:rFonts w:ascii="仿宋" w:hAnsi="仿宋" w:eastAsia="仿宋"/>
          <w:sz w:val="28"/>
          <w:szCs w:val="28"/>
        </w:rPr>
        <w:tab/>
      </w:r>
      <w:r>
        <w:rPr>
          <w:rFonts w:ascii="仿宋" w:hAnsi="仿宋" w:eastAsia="仿宋"/>
          <w:sz w:val="28"/>
          <w:szCs w:val="28"/>
        </w:rPr>
        <w:t>收入决算情况说明</w:t>
      </w:r>
      <w:r>
        <w:rPr>
          <w:rFonts w:ascii="仿宋" w:hAnsi="仿宋" w:eastAsia="仿宋"/>
          <w:sz w:val="28"/>
          <w:szCs w:val="28"/>
        </w:rPr>
        <w:tab/>
      </w:r>
      <w:r>
        <w:rPr>
          <w:rFonts w:hint="eastAsia" w:ascii="仿宋" w:hAnsi="仿宋" w:eastAsia="仿宋"/>
          <w:sz w:val="28"/>
          <w:szCs w:val="28"/>
          <w:lang w:val="en-US" w:eastAsia="zh-CN"/>
        </w:rPr>
        <w:t>9</w:t>
      </w:r>
    </w:p>
    <w:p>
      <w:pPr>
        <w:pStyle w:val="17"/>
        <w:tabs>
          <w:tab w:val="left" w:pos="840"/>
          <w:tab w:val="right" w:leader="dot" w:pos="8296"/>
        </w:tabs>
        <w:rPr>
          <w:rFonts w:hint="default" w:ascii="仿宋" w:hAnsi="仿宋" w:eastAsia="仿宋"/>
          <w:sz w:val="28"/>
          <w:szCs w:val="28"/>
          <w:lang w:val="en-US" w:eastAsia="zh-CN"/>
        </w:rPr>
      </w:pPr>
      <w:r>
        <w:rPr>
          <w:rFonts w:ascii="仿宋" w:hAnsi="仿宋" w:eastAsia="仿宋"/>
          <w:sz w:val="28"/>
          <w:szCs w:val="28"/>
        </w:rPr>
        <w:t>三、</w:t>
      </w:r>
      <w:r>
        <w:rPr>
          <w:rFonts w:ascii="仿宋" w:hAnsi="仿宋" w:eastAsia="仿宋"/>
          <w:sz w:val="28"/>
          <w:szCs w:val="28"/>
        </w:rPr>
        <w:tab/>
      </w:r>
      <w:r>
        <w:rPr>
          <w:rFonts w:ascii="仿宋" w:hAnsi="仿宋" w:eastAsia="仿宋"/>
          <w:sz w:val="28"/>
          <w:szCs w:val="28"/>
        </w:rPr>
        <w:t>支出决算情况说明</w:t>
      </w:r>
      <w:r>
        <w:rPr>
          <w:rFonts w:ascii="仿宋" w:hAnsi="仿宋" w:eastAsia="仿宋"/>
          <w:sz w:val="28"/>
          <w:szCs w:val="28"/>
        </w:rPr>
        <w:tab/>
      </w:r>
      <w:r>
        <w:rPr>
          <w:rFonts w:hint="eastAsia" w:ascii="仿宋" w:hAnsi="仿宋" w:eastAsia="仿宋"/>
          <w:sz w:val="28"/>
          <w:szCs w:val="28"/>
          <w:lang w:val="en-US" w:eastAsia="zh-CN"/>
        </w:rPr>
        <w:t>10</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四、财政拨款收入支出决算总体情况说明</w:t>
      </w:r>
      <w:r>
        <w:rPr>
          <w:rFonts w:ascii="仿宋" w:hAnsi="仿宋" w:eastAsia="仿宋"/>
          <w:sz w:val="28"/>
          <w:szCs w:val="28"/>
        </w:rPr>
        <w:tab/>
      </w:r>
      <w:r>
        <w:rPr>
          <w:rFonts w:hint="eastAsia" w:ascii="仿宋" w:hAnsi="仿宋" w:eastAsia="仿宋"/>
          <w:sz w:val="28"/>
          <w:szCs w:val="28"/>
          <w:lang w:val="en-US" w:eastAsia="zh-CN"/>
        </w:rPr>
        <w:t>10</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五、一般公共预算财政拨款支出决算情况说明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（一）一般公共预算财政拨款支出决算总体情况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（二）一般公共预算财政拨款支出决算结构情况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11</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（三）一般公共预算财政拨款支出决算具体情况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13</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六、一般公共预算财政拨款基本支出决算情况说明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14</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七、“三公”经费财政拨款支出决算情况说明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14</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（一）“三公”经费财政拨款支出决算总体情况说明</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14</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（二）“三公”经费财政拨款支出决算具体情况说明</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15</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八、政府性基金预算支出决算情况说明</w:t>
      </w:r>
      <w:r>
        <w:rPr>
          <w:rFonts w:ascii="仿宋" w:hAnsi="仿宋" w:eastAsia="仿宋"/>
          <w:sz w:val="28"/>
          <w:szCs w:val="28"/>
        </w:rPr>
        <w:tab/>
      </w:r>
      <w:r>
        <w:rPr>
          <w:rFonts w:hint="eastAsia" w:ascii="仿宋" w:hAnsi="仿宋" w:eastAsia="仿宋"/>
          <w:sz w:val="28"/>
          <w:szCs w:val="28"/>
          <w:lang w:val="en-US" w:eastAsia="zh-CN"/>
        </w:rPr>
        <w:t>16</w:t>
      </w:r>
    </w:p>
    <w:p>
      <w:pPr>
        <w:pStyle w:val="17"/>
        <w:tabs>
          <w:tab w:val="right" w:leader="dot" w:pos="8296"/>
        </w:tabs>
        <w:rPr>
          <w:rFonts w:hint="eastAsia" w:ascii="仿宋" w:hAnsi="仿宋" w:eastAsia="仿宋"/>
          <w:sz w:val="28"/>
          <w:szCs w:val="28"/>
          <w:lang w:val="en-US" w:eastAsia="zh-CN"/>
        </w:rPr>
      </w:pPr>
      <w:r>
        <w:rPr>
          <w:rFonts w:ascii="仿宋" w:hAnsi="仿宋" w:eastAsia="仿宋"/>
          <w:sz w:val="28"/>
          <w:szCs w:val="28"/>
        </w:rPr>
        <w:t>九、 国有资本经营预算支出决算情况说明</w:t>
      </w:r>
      <w:r>
        <w:rPr>
          <w:rFonts w:ascii="仿宋" w:hAnsi="仿宋" w:eastAsia="仿宋"/>
          <w:sz w:val="28"/>
          <w:szCs w:val="28"/>
        </w:rPr>
        <w:tab/>
      </w:r>
      <w:r>
        <w:rPr>
          <w:rFonts w:hint="eastAsia" w:ascii="仿宋" w:hAnsi="仿宋" w:eastAsia="仿宋"/>
          <w:sz w:val="28"/>
          <w:szCs w:val="28"/>
          <w:lang w:val="en-US" w:eastAsia="zh-CN"/>
        </w:rPr>
        <w:t>16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十、其他重要事项的情况说明</w:t>
      </w:r>
      <w:r>
        <w:rPr>
          <w:rFonts w:ascii="仿宋" w:hAnsi="仿宋" w:eastAsia="仿宋"/>
          <w:sz w:val="28"/>
          <w:szCs w:val="28"/>
        </w:rPr>
        <w:tab/>
      </w:r>
      <w:r>
        <w:rPr>
          <w:rFonts w:hint="eastAsia" w:ascii="仿宋" w:hAnsi="仿宋" w:eastAsia="仿宋"/>
          <w:sz w:val="28"/>
          <w:szCs w:val="28"/>
          <w:lang w:val="en-US" w:eastAsia="zh-CN"/>
        </w:rPr>
        <w:t>16</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（一）机关运行经费支出情况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16</w:t>
      </w:r>
    </w:p>
    <w:p>
      <w:pPr>
        <w:pStyle w:val="8"/>
        <w:tabs>
          <w:tab w:val="right" w:leader="dot" w:pos="8296"/>
        </w:tabs>
        <w:rPr>
          <w:rFonts w:hint="eastAsia" w:ascii="仿宋" w:hAnsi="仿宋" w:eastAsia="仿宋"/>
          <w:i w:val="0"/>
          <w:iCs w:val="0"/>
          <w:smallCaps/>
          <w:sz w:val="28"/>
          <w:szCs w:val="28"/>
          <w:lang w:val="en-US" w:eastAsia="zh-CN"/>
        </w:rPr>
      </w:pPr>
      <w:r>
        <w:rPr>
          <w:rFonts w:ascii="仿宋" w:hAnsi="仿宋" w:eastAsia="仿宋"/>
          <w:i w:val="0"/>
          <w:iCs w:val="0"/>
          <w:smallCaps/>
          <w:sz w:val="28"/>
          <w:szCs w:val="28"/>
        </w:rPr>
        <w:t>（二）政府采购支出情况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16</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（三）国有资产占有使用情况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17</w:t>
      </w:r>
    </w:p>
    <w:p>
      <w:pPr>
        <w:pStyle w:val="8"/>
        <w:tabs>
          <w:tab w:val="right" w:leader="dot" w:pos="8296"/>
        </w:tabs>
        <w:rPr>
          <w:rFonts w:hint="default" w:ascii="仿宋" w:hAnsi="仿宋" w:eastAsia="仿宋"/>
          <w:i w:val="0"/>
          <w:iCs w:val="0"/>
          <w:smallCaps/>
          <w:sz w:val="28"/>
          <w:szCs w:val="28"/>
          <w:lang w:val="en-US" w:eastAsia="zh-CN"/>
        </w:rPr>
      </w:pPr>
      <w:r>
        <w:rPr>
          <w:rFonts w:ascii="仿宋" w:hAnsi="仿宋" w:eastAsia="仿宋"/>
          <w:i w:val="0"/>
          <w:iCs w:val="0"/>
          <w:smallCaps/>
          <w:sz w:val="28"/>
          <w:szCs w:val="28"/>
        </w:rPr>
        <w:t>（四）预算绩效管理情况。</w:t>
      </w:r>
      <w:r>
        <w:rPr>
          <w:rFonts w:ascii="仿宋" w:hAnsi="仿宋" w:eastAsia="仿宋"/>
          <w:i w:val="0"/>
          <w:iCs w:val="0"/>
          <w:smallCaps/>
          <w:sz w:val="28"/>
          <w:szCs w:val="28"/>
        </w:rPr>
        <w:tab/>
      </w:r>
      <w:r>
        <w:rPr>
          <w:rFonts w:hint="eastAsia" w:ascii="仿宋" w:hAnsi="仿宋" w:eastAsia="仿宋"/>
          <w:i w:val="0"/>
          <w:iCs w:val="0"/>
          <w:smallCaps/>
          <w:sz w:val="28"/>
          <w:szCs w:val="28"/>
          <w:lang w:val="en-US" w:eastAsia="zh-CN"/>
        </w:rPr>
        <w:t>17</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第三部分 名词解释</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22</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第四部分 附件</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25</w:t>
      </w:r>
    </w:p>
    <w:p>
      <w:pPr>
        <w:pStyle w:val="13"/>
        <w:tabs>
          <w:tab w:val="right" w:leader="dot" w:pos="8296"/>
        </w:tabs>
        <w:rPr>
          <w:rFonts w:hint="eastAsia"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附件1</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25</w:t>
      </w:r>
    </w:p>
    <w:p>
      <w:pPr>
        <w:pStyle w:val="13"/>
        <w:tabs>
          <w:tab w:val="right" w:leader="dot" w:pos="8296"/>
        </w:tabs>
        <w:rPr>
          <w:rFonts w:hint="default" w:ascii="仿宋" w:hAnsi="仿宋" w:eastAsia="仿宋"/>
          <w:b w:val="0"/>
          <w:bCs w:val="0"/>
          <w:caps w:val="0"/>
          <w:smallCaps/>
          <w:sz w:val="28"/>
          <w:szCs w:val="28"/>
          <w:lang w:val="en-US" w:eastAsia="zh-CN"/>
        </w:rPr>
      </w:pPr>
      <w:r>
        <w:rPr>
          <w:rFonts w:hint="eastAsia" w:ascii="仿宋" w:hAnsi="仿宋" w:eastAsia="仿宋"/>
          <w:b w:val="0"/>
          <w:bCs w:val="0"/>
          <w:caps w:val="0"/>
          <w:smallCaps/>
          <w:sz w:val="30"/>
          <w:szCs w:val="30"/>
        </w:rPr>
        <w:t>茂县</w:t>
      </w:r>
      <w:r>
        <w:rPr>
          <w:rFonts w:ascii="仿宋" w:hAnsi="仿宋" w:eastAsia="仿宋"/>
          <w:b w:val="0"/>
          <w:bCs w:val="0"/>
          <w:caps w:val="0"/>
          <w:smallCaps/>
          <w:sz w:val="30"/>
          <w:szCs w:val="30"/>
        </w:rPr>
        <w:t>纪委2020年部门整体支出绩效评价报告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25</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附件2</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29</w:t>
      </w:r>
    </w:p>
    <w:p>
      <w:pPr>
        <w:pStyle w:val="13"/>
        <w:tabs>
          <w:tab w:val="right" w:leader="dot" w:pos="8296"/>
        </w:tabs>
        <w:rPr>
          <w:rFonts w:hint="default" w:ascii="仿宋" w:hAnsi="仿宋" w:eastAsia="仿宋"/>
          <w:b w:val="0"/>
          <w:bCs w:val="0"/>
          <w:caps w:val="0"/>
          <w:smallCaps/>
          <w:sz w:val="30"/>
          <w:szCs w:val="30"/>
          <w:lang w:val="en-US" w:eastAsia="zh-CN"/>
        </w:rPr>
      </w:pPr>
      <w:r>
        <w:rPr>
          <w:rFonts w:hint="eastAsia" w:ascii="仿宋" w:hAnsi="仿宋" w:eastAsia="仿宋"/>
          <w:b w:val="0"/>
          <w:bCs w:val="0"/>
          <w:caps w:val="0"/>
          <w:smallCaps/>
          <w:sz w:val="30"/>
          <w:szCs w:val="30"/>
        </w:rPr>
        <w:t>州纪委</w:t>
      </w:r>
      <w:r>
        <w:rPr>
          <w:rFonts w:ascii="仿宋" w:hAnsi="仿宋" w:eastAsia="仿宋"/>
          <w:b w:val="0"/>
          <w:bCs w:val="0"/>
          <w:caps w:val="0"/>
          <w:smallCaps/>
          <w:sz w:val="30"/>
          <w:szCs w:val="30"/>
        </w:rPr>
        <w:t>在茂县留置点</w:t>
      </w:r>
      <w:r>
        <w:rPr>
          <w:rFonts w:hint="eastAsia" w:ascii="仿宋" w:hAnsi="仿宋" w:eastAsia="仿宋"/>
          <w:b w:val="0"/>
          <w:bCs w:val="0"/>
          <w:caps w:val="0"/>
          <w:smallCaps/>
          <w:sz w:val="30"/>
          <w:szCs w:val="30"/>
        </w:rPr>
        <w:t>、</w:t>
      </w:r>
      <w:r>
        <w:rPr>
          <w:rFonts w:ascii="仿宋" w:hAnsi="仿宋" w:eastAsia="仿宋"/>
          <w:b w:val="0"/>
          <w:bCs w:val="0"/>
          <w:caps w:val="0"/>
          <w:smallCaps/>
          <w:sz w:val="30"/>
          <w:szCs w:val="30"/>
        </w:rPr>
        <w:t>谈话点钢架棚建设项目2020年绩效评价报告</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29</w:t>
      </w:r>
    </w:p>
    <w:p>
      <w:pPr>
        <w:pStyle w:val="13"/>
        <w:tabs>
          <w:tab w:val="right" w:leader="dot" w:pos="8296"/>
        </w:tabs>
        <w:rPr>
          <w:rFonts w:hint="default" w:ascii="仿宋" w:hAnsi="仿宋" w:eastAsia="仿宋"/>
          <w:b w:val="0"/>
          <w:bCs w:val="0"/>
          <w:caps w:val="0"/>
          <w:smallCaps/>
          <w:sz w:val="30"/>
          <w:szCs w:val="30"/>
          <w:lang w:val="en-US" w:eastAsia="zh-CN"/>
        </w:rPr>
      </w:pPr>
      <w:r>
        <w:rPr>
          <w:rFonts w:ascii="仿宋" w:hAnsi="仿宋" w:eastAsia="仿宋"/>
          <w:b w:val="0"/>
          <w:bCs w:val="0"/>
          <w:caps w:val="0"/>
          <w:smallCaps/>
          <w:sz w:val="30"/>
          <w:szCs w:val="30"/>
        </w:rPr>
        <w:t>附件</w:t>
      </w:r>
      <w:r>
        <w:rPr>
          <w:rFonts w:hint="eastAsia" w:ascii="仿宋" w:hAnsi="仿宋" w:eastAsia="仿宋"/>
          <w:b w:val="0"/>
          <w:bCs w:val="0"/>
          <w:caps w:val="0"/>
          <w:smallCaps/>
          <w:sz w:val="30"/>
          <w:szCs w:val="30"/>
        </w:rPr>
        <w:t>3</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3"/>
        <w:tabs>
          <w:tab w:val="right" w:leader="dot" w:pos="8296"/>
        </w:tabs>
        <w:rPr>
          <w:rFonts w:hint="default" w:eastAsia="仿宋"/>
          <w:lang w:val="en-US" w:eastAsia="zh-CN"/>
        </w:rPr>
      </w:pPr>
      <w:r>
        <w:rPr>
          <w:rFonts w:hint="eastAsia" w:ascii="仿宋" w:hAnsi="仿宋" w:eastAsia="仿宋"/>
          <w:b w:val="0"/>
          <w:bCs w:val="0"/>
          <w:caps w:val="0"/>
          <w:smallCaps/>
          <w:sz w:val="30"/>
          <w:szCs w:val="30"/>
        </w:rPr>
        <w:t>廉政档案管理系统</w:t>
      </w:r>
      <w:r>
        <w:rPr>
          <w:rFonts w:ascii="仿宋" w:hAnsi="仿宋" w:eastAsia="仿宋"/>
          <w:b w:val="0"/>
          <w:bCs w:val="0"/>
          <w:caps w:val="0"/>
          <w:smallCaps/>
          <w:sz w:val="30"/>
          <w:szCs w:val="30"/>
        </w:rPr>
        <w:tab/>
      </w:r>
      <w:r>
        <w:rPr>
          <w:rFonts w:hint="eastAsia" w:ascii="仿宋" w:hAnsi="仿宋" w:eastAsia="仿宋"/>
          <w:b w:val="0"/>
          <w:bCs w:val="0"/>
          <w:caps w:val="0"/>
          <w:smallCaps/>
          <w:sz w:val="30"/>
          <w:szCs w:val="30"/>
          <w:lang w:val="en-US" w:eastAsia="zh-CN"/>
        </w:rPr>
        <w:t>32</w:t>
      </w:r>
    </w:p>
    <w:p>
      <w:pPr>
        <w:pStyle w:val="13"/>
        <w:tabs>
          <w:tab w:val="right" w:leader="dot" w:pos="8296"/>
        </w:tabs>
        <w:rPr>
          <w:rFonts w:hint="default" w:ascii="仿宋" w:hAnsi="仿宋" w:eastAsia="仿宋"/>
          <w:b w:val="0"/>
          <w:bCs w:val="0"/>
          <w:caps w:val="0"/>
          <w:smallCaps/>
          <w:sz w:val="28"/>
          <w:szCs w:val="28"/>
          <w:lang w:val="en-US" w:eastAsia="zh-CN"/>
        </w:rPr>
      </w:pPr>
      <w:r>
        <w:rPr>
          <w:rFonts w:ascii="仿宋" w:hAnsi="仿宋" w:eastAsia="仿宋"/>
          <w:b w:val="0"/>
          <w:bCs w:val="0"/>
          <w:caps w:val="0"/>
          <w:smallCaps/>
          <w:sz w:val="28"/>
          <w:szCs w:val="28"/>
        </w:rPr>
        <w:t>第五部分 附表</w:t>
      </w:r>
      <w:r>
        <w:rPr>
          <w:rFonts w:ascii="仿宋" w:hAnsi="仿宋" w:eastAsia="仿宋"/>
          <w:b w:val="0"/>
          <w:bCs w:val="0"/>
          <w:caps w:val="0"/>
          <w:smallCaps/>
          <w:sz w:val="28"/>
          <w:szCs w:val="28"/>
        </w:rPr>
        <w:tab/>
      </w:r>
      <w:r>
        <w:rPr>
          <w:rFonts w:hint="eastAsia" w:ascii="仿宋" w:hAnsi="仿宋" w:eastAsia="仿宋"/>
          <w:b w:val="0"/>
          <w:bCs w:val="0"/>
          <w:caps w:val="0"/>
          <w:smallCaps/>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一、收入支出决算总表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二、收入决算表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三、支出决算表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四、财政拨款收入支出决算总表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五、财政拨款支出决算明细表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六、一般公共预算财政拨款支出决算表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七、一般公共预算财政拨款支出决算明细表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八、一般公共预算财政拨款基本支出决算表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九、一般公共预算财政拨款项目支出决算表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十一、政府性基金预算财政拨款收入支出决算表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十二、政府性基金预算财政拨款“三公”经费支出决算表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十三、国有资本经营预算财政拨款支出决算表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pStyle w:val="17"/>
        <w:tabs>
          <w:tab w:val="right" w:leader="dot" w:pos="8296"/>
        </w:tabs>
        <w:rPr>
          <w:rFonts w:hint="default" w:ascii="仿宋" w:hAnsi="仿宋" w:eastAsia="仿宋"/>
          <w:sz w:val="28"/>
          <w:szCs w:val="28"/>
          <w:lang w:val="en-US" w:eastAsia="zh-CN"/>
        </w:rPr>
      </w:pPr>
      <w:r>
        <w:rPr>
          <w:rFonts w:ascii="仿宋" w:hAnsi="仿宋" w:eastAsia="仿宋"/>
          <w:sz w:val="28"/>
          <w:szCs w:val="28"/>
        </w:rPr>
        <w:t>十四、国有资本经营预算财政拨款支出决算表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rPr>
          <w:sz w:val="28"/>
          <w:szCs w:val="28"/>
        </w:rPr>
      </w:pPr>
      <w:r>
        <w:rPr>
          <w:rFonts w:ascii="仿宋" w:hAnsi="仿宋" w:eastAsia="仿宋"/>
          <w:smallCaps/>
          <w:sz w:val="28"/>
          <w:szCs w:val="28"/>
        </w:rPr>
        <w:fldChar w:fldCharType="end"/>
      </w:r>
    </w:p>
    <w:p>
      <w:pPr>
        <w:pStyle w:val="2"/>
        <w:jc w:val="center"/>
        <w:rPr>
          <w:rFonts w:hint="eastAsia" w:ascii="黑体" w:hAnsi="黑体" w:eastAsia="黑体"/>
          <w:b w:val="0"/>
        </w:rPr>
      </w:pPr>
      <w:bookmarkStart w:id="12" w:name="_Toc15377196"/>
      <w:bookmarkStart w:id="13" w:name="_Toc15396599"/>
      <w:bookmarkStart w:id="14" w:name="_Toc79163601"/>
      <w:bookmarkStart w:id="15" w:name="_Toc79163851"/>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both"/>
        <w:rPr>
          <w:rFonts w:hint="eastAsia" w:ascii="黑体" w:hAnsi="黑体" w:eastAsia="黑体"/>
          <w:b w:val="0"/>
        </w:rPr>
      </w:pPr>
    </w:p>
    <w:p>
      <w:pPr>
        <w:pStyle w:val="2"/>
        <w:jc w:val="both"/>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b w:val="0"/>
        </w:rPr>
      </w:pP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Style w:val="23"/>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79163852"/>
      <w:bookmarkStart w:id="17" w:name="_Toc79163602"/>
      <w:bookmarkStart w:id="18" w:name="_Toc15396600"/>
      <w:bookmarkStart w:id="19" w:name="_Toc15377197"/>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3.负责全县监察工作。贯彻落实党中央、省委、州委、县委关于监察工作的决定，维护宪法法律，依法对县委管理的行使公权力的公职人员进行监察，调查职务违法和职务犯罪，开展康政建设和反腐败工作。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康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800" w:firstLineChars="250"/>
        <w:rPr>
          <w:rFonts w:ascii="仿宋" w:hAnsi="仿宋" w:eastAsia="仿宋"/>
          <w:sz w:val="32"/>
          <w:szCs w:val="32"/>
        </w:rPr>
      </w:pPr>
      <w:r>
        <w:rPr>
          <w:rFonts w:hint="eastAsia" w:ascii="仿宋" w:hAnsi="仿宋" w:eastAsia="仿宋"/>
          <w:bCs/>
          <w:color w:val="000000"/>
          <w:sz w:val="32"/>
          <w:szCs w:val="32"/>
        </w:rPr>
        <w:t>9.完成县委和州纪委监委交办的其他任务。</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15377199"/>
      <w:bookmarkStart w:id="26" w:name="_Toc79163854"/>
      <w:bookmarkStart w:id="27" w:name="_Toc7916360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spacing w:line="576" w:lineRule="exact"/>
        <w:ind w:firstLine="640" w:firstLineChars="200"/>
        <w:rPr>
          <w:rFonts w:ascii="仿宋" w:hAnsi="仿宋" w:eastAsia="仿宋"/>
          <w:bCs/>
          <w:color w:val="000000"/>
          <w:kern w:val="0"/>
          <w:sz w:val="32"/>
          <w:szCs w:val="32"/>
        </w:rPr>
      </w:pPr>
      <w:r>
        <w:rPr>
          <w:rFonts w:hint="eastAsia" w:ascii="仿宋" w:hAnsi="仿宋" w:eastAsia="仿宋"/>
          <w:bCs/>
          <w:color w:val="000000"/>
          <w:kern w:val="0"/>
          <w:sz w:val="32"/>
          <w:szCs w:val="32"/>
          <w:lang w:val="en-US" w:eastAsia="zh-CN"/>
        </w:rPr>
        <w:t>1.</w:t>
      </w:r>
      <w:r>
        <w:rPr>
          <w:rFonts w:hint="eastAsia" w:ascii="仿宋" w:hAnsi="仿宋" w:eastAsia="仿宋"/>
          <w:bCs/>
          <w:color w:val="000000"/>
          <w:kern w:val="0"/>
          <w:sz w:val="32"/>
          <w:szCs w:val="32"/>
        </w:rPr>
        <w:t>节假日专项检查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在节前及时开展提醒、警示，在节后开展相关规定执行情况的监督检查，确保不出现重要时间节点“四风”问题反弹回潮。监督检查中要求：班子成员压实主体责任和“一岗双责”，至上而下贯彻执行好中央八项规定精神、省委省政府十项规定精神和州委州政府八条意见；结合党史学习教育通过观看警示教育片、通报“四风”典型案例、发送廉政短信、专题会议等形式加强宣传和警示教育，释放廉洁过节信号；严禁违规发放津补贴、公款吃喝、违规接受宴请、违规收送礼品礼金等节假日期间易发多发“四风”突出问题；进一步强调工作纪律，严格履行干部职工请销假制度，落实好节假日值班值守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“三察三治”监督工作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察部署落实、治政令梗阻方面。能够及时传达上级领导重要讲话精神，落实好上级重要决策部署。存在学习制度不完善、不深入，学习贯彻会议、文件精神时未紧密结合单位工作实际作相应安排；三务公开不及时不到位。二是察项目推进、治职责缺位方面。各单位均能按照项目建设基本程序推进项目建设。三是察为民服务、治初心迷失方面。各单位干部职工能够及时开展“两联一进”工作。</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3.</w:t>
      </w:r>
      <w:r>
        <w:rPr>
          <w:rFonts w:hint="eastAsia" w:ascii="仿宋" w:hAnsi="仿宋" w:eastAsia="仿宋" w:cs="仿宋_GB2312"/>
          <w:sz w:val="32"/>
          <w:szCs w:val="32"/>
        </w:rPr>
        <w:t>森林草原防灭火工作专项检查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按照工作要求，我组每月按照中央、省、州县对森林草原防灭火工作重要批示精神和工作安排的贯彻落实情况进行了专项督查，对值班值守人员在岗、物资储备和扑火队伍管理等情况开展全覆盖督查。</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4.</w:t>
      </w:r>
      <w:r>
        <w:rPr>
          <w:rFonts w:hint="eastAsia" w:ascii="仿宋" w:hAnsi="仿宋" w:eastAsia="仿宋" w:cs="仿宋_GB2312"/>
          <w:sz w:val="32"/>
          <w:szCs w:val="32"/>
        </w:rPr>
        <w:t>生态环境专项检查</w:t>
      </w:r>
    </w:p>
    <w:p>
      <w:pPr>
        <w:spacing w:line="576" w:lineRule="exact"/>
        <w:ind w:firstLine="640" w:firstLineChars="200"/>
        <w:rPr>
          <w:rFonts w:hint="eastAsia" w:ascii="仿宋" w:hAnsi="仿宋" w:eastAsia="仿宋"/>
          <w:bCs/>
          <w:color w:val="000000"/>
          <w:sz w:val="32"/>
          <w:szCs w:val="32"/>
        </w:rPr>
      </w:pPr>
      <w:r>
        <w:rPr>
          <w:rFonts w:hint="eastAsia" w:ascii="仿宋" w:hAnsi="仿宋" w:eastAsia="仿宋" w:cs="仿宋_GB2312"/>
          <w:sz w:val="32"/>
          <w:szCs w:val="32"/>
        </w:rPr>
        <w:t>按照工作要求，我组按照中央、省、州县对生态环境局工作重要批示精神和工作安排的贯彻落实情况进行了专项督查。</w:t>
      </w:r>
    </w:p>
    <w:p>
      <w:pPr>
        <w:pStyle w:val="3"/>
        <w:rPr>
          <w:rStyle w:val="24"/>
          <w:b w:val="0"/>
          <w:bCs w:val="0"/>
        </w:rPr>
      </w:pPr>
      <w:bookmarkStart w:id="28" w:name="_Toc79163605"/>
      <w:bookmarkStart w:id="29" w:name="_Toc15377200"/>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eastAsia="zh-CN"/>
        </w:rPr>
        <w:t>茂县纪委</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茂县纪委</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val="en-US" w:eastAsia="zh-CN"/>
        </w:rPr>
        <w:t>0个。</w:t>
      </w: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6"/>
        <w:adjustRightInd w:val="0"/>
        <w:snapToGrid w:val="0"/>
        <w:spacing w:before="93" w:line="600" w:lineRule="exact"/>
        <w:ind w:firstLine="672" w:firstLineChars="210"/>
        <w:rPr>
          <w:rFonts w:hint="eastAsia" w:ascii="仿宋" w:hAnsi="仿宋" w:eastAsia="仿宋"/>
          <w:color w:val="000000"/>
          <w:sz w:val="32"/>
          <w:szCs w:val="32"/>
          <w:lang w:val="en-US" w:eastAsia="zh-CN"/>
        </w:rPr>
      </w:pPr>
    </w:p>
    <w:p>
      <w:pPr>
        <w:pStyle w:val="2"/>
        <w:ind w:right="440"/>
        <w:jc w:val="right"/>
        <w:rPr>
          <w:rStyle w:val="23"/>
          <w:rFonts w:ascii="黑体" w:hAnsi="黑体" w:eastAsia="黑体"/>
          <w:b w:val="0"/>
          <w:bCs w:val="0"/>
        </w:rPr>
      </w:pPr>
      <w:bookmarkStart w:id="32" w:name="_Toc79163859"/>
      <w:bookmarkStart w:id="33" w:name="_Toc15377204"/>
      <w:bookmarkStart w:id="34" w:name="_Toc15396602"/>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15396603"/>
      <w:bookmarkStart w:id="37" w:name="_Toc15377205"/>
      <w:bookmarkStart w:id="38" w:name="_Toc79163860"/>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800" w:firstLineChars="25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1652.08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（包括年初和年末结转和结余）</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207.56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。主要变动原因是人员增加及日常工作量增加。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jc w:val="left"/>
        <w:textAlignment w:val="auto"/>
        <w:rPr>
          <w:rFonts w:ascii="仿宋_GB2312" w:eastAsia="仿宋_GB2312"/>
          <w:color w:val="000000"/>
          <w:sz w:val="32"/>
          <w:szCs w:val="32"/>
        </w:rPr>
      </w:pPr>
      <w:r>
        <w:rPr>
          <w:rFonts w:ascii="仿宋_GB2312" w:eastAsia="仿宋_GB2312"/>
          <w:color w:val="000000"/>
          <w:sz w:val="32"/>
          <w:szCs w:val="32"/>
        </w:rPr>
        <w:drawing>
          <wp:inline distT="0" distB="0" distL="0" distR="0">
            <wp:extent cx="4295775" cy="1276350"/>
            <wp:effectExtent l="4445" t="4445" r="508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4"/>
        <w:numPr>
          <w:ilvl w:val="0"/>
          <w:numId w:val="1"/>
        </w:numPr>
        <w:spacing w:line="600" w:lineRule="exact"/>
        <w:ind w:firstLineChars="0"/>
        <w:outlineLvl w:val="1"/>
        <w:rPr>
          <w:rStyle w:val="24"/>
          <w:rFonts w:ascii="黑体" w:hAnsi="黑体" w:eastAsia="黑体"/>
          <w:b w:val="0"/>
        </w:rPr>
      </w:pPr>
      <w:bookmarkStart w:id="40" w:name="_Toc79163611"/>
      <w:bookmarkStart w:id="41" w:name="_Toc15396604"/>
      <w:bookmarkStart w:id="42" w:name="_Toc79163861"/>
      <w:bookmarkStart w:id="43" w:name="_Toc15377206"/>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1570.67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1570.67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648075" cy="1590675"/>
            <wp:effectExtent l="5080" t="4445" r="444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15377207"/>
      <w:bookmarkStart w:id="46" w:name="_Toc15396605"/>
      <w:bookmarkStart w:id="47" w:name="_Toc7916386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color w:val="000000"/>
          <w:sz w:val="32"/>
          <w:szCs w:val="32"/>
          <w:shd w:val="pct10" w:color="auto" w:fill="FFFFFF"/>
        </w:rPr>
      </w:pPr>
      <w:r>
        <w:rPr>
          <w:rFonts w:ascii="仿宋" w:hAnsi="仿宋" w:eastAsia="仿宋"/>
          <w:color w:val="000000"/>
          <w:sz w:val="32"/>
          <w:szCs w:val="32"/>
        </w:rPr>
        <w:t>2020</w:t>
      </w:r>
      <w:r>
        <w:rPr>
          <w:rFonts w:hint="eastAsia" w:ascii="仿宋" w:hAnsi="仿宋" w:eastAsia="仿宋"/>
          <w:color w:val="000000"/>
          <w:sz w:val="32"/>
          <w:szCs w:val="32"/>
        </w:rPr>
        <w:t>年本年支出合计1647.08万元，其中：基本支出1327.1</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万元，占81</w:t>
      </w:r>
      <w:r>
        <w:rPr>
          <w:rFonts w:ascii="仿宋" w:hAnsi="仿宋" w:eastAsia="仿宋"/>
          <w:color w:val="000000"/>
          <w:sz w:val="32"/>
          <w:szCs w:val="32"/>
        </w:rPr>
        <w:t>%</w:t>
      </w:r>
      <w:r>
        <w:rPr>
          <w:rFonts w:hint="eastAsia" w:ascii="仿宋" w:hAnsi="仿宋" w:eastAsia="仿宋"/>
          <w:color w:val="000000"/>
          <w:sz w:val="32"/>
          <w:szCs w:val="32"/>
        </w:rPr>
        <w:t>；项目支出319.96万元，占19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248025" cy="1895475"/>
            <wp:effectExtent l="4445" t="4445" r="508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4"/>
          <w:rFonts w:ascii="黑体" w:hAnsi="黑体" w:eastAsia="黑体"/>
          <w:b w:val="0"/>
        </w:rPr>
      </w:pPr>
      <w:bookmarkStart w:id="48" w:name="_Toc15377208"/>
      <w:bookmarkStart w:id="49" w:name="_Toc79163863"/>
      <w:bookmarkStart w:id="50" w:name="_Toc15396606"/>
      <w:bookmarkStart w:id="51" w:name="_Toc7916361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800" w:firstLineChars="25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1652.08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207.56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。主要变动原因是人员增加及日常工作量增加。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1"/>
        <w:textAlignment w:val="auto"/>
        <w:rPr>
          <w:rFonts w:ascii="仿宋" w:hAnsi="仿宋" w:eastAsia="仿宋"/>
          <w:b/>
          <w:color w:val="00B050"/>
          <w:sz w:val="32"/>
          <w:szCs w:val="32"/>
        </w:rPr>
      </w:pPr>
      <w:r>
        <w:rPr>
          <w:rFonts w:ascii="仿宋" w:hAnsi="仿宋" w:eastAsia="仿宋"/>
          <w:b/>
          <w:color w:val="00B050"/>
          <w:sz w:val="32"/>
          <w:szCs w:val="32"/>
        </w:rPr>
        <w:drawing>
          <wp:inline distT="0" distB="0" distL="0" distR="0">
            <wp:extent cx="5274310" cy="1343025"/>
            <wp:effectExtent l="4445" t="4445" r="17145" b="508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4"/>
          <w:rFonts w:ascii="黑体" w:hAnsi="黑体" w:eastAsia="黑体"/>
          <w:b w:val="0"/>
        </w:rPr>
      </w:pPr>
      <w:bookmarkStart w:id="52" w:name="_Toc15377209"/>
      <w:bookmarkStart w:id="53" w:name="_Toc79163864"/>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年一般公共预算财政拨款支出1647.08万元，占本年支出合计的100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年相比，一般公共预算财政拨款增加207.56万元，增长14</w:t>
      </w:r>
      <w:r>
        <w:rPr>
          <w:rFonts w:ascii="仿宋" w:hAnsi="仿宋" w:eastAsia="仿宋"/>
          <w:color w:val="000000"/>
          <w:sz w:val="32"/>
          <w:szCs w:val="32"/>
        </w:rPr>
        <w:t>%</w:t>
      </w:r>
      <w:r>
        <w:rPr>
          <w:rFonts w:hint="eastAsia" w:ascii="仿宋" w:hAnsi="仿宋" w:eastAsia="仿宋"/>
          <w:color w:val="000000"/>
          <w:sz w:val="32"/>
          <w:szCs w:val="32"/>
        </w:rPr>
        <w:t>。主要变动原因是人员增加及工作量增加。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textAlignment w:val="auto"/>
        <w:rPr>
          <w:rFonts w:ascii="仿宋" w:hAnsi="仿宋" w:eastAsia="仿宋"/>
          <w:color w:val="000000"/>
          <w:sz w:val="32"/>
          <w:szCs w:val="32"/>
        </w:rPr>
      </w:pPr>
      <w:r>
        <w:rPr>
          <w:rFonts w:ascii="仿宋" w:hAnsi="仿宋" w:eastAsia="仿宋"/>
          <w:color w:val="000000"/>
          <w:sz w:val="32"/>
          <w:szCs w:val="32"/>
        </w:rPr>
        <w:drawing>
          <wp:inline distT="0" distB="0" distL="0" distR="0">
            <wp:extent cx="5274310" cy="1533525"/>
            <wp:effectExtent l="4445" t="4445" r="17145"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15377211"/>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1647.08</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pStyle w:val="38"/>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1.一般公共服务（类）纪检监察事务（款）行政运行(项)</w:t>
      </w:r>
      <w:r>
        <w:rPr>
          <w:rFonts w:ascii="仿宋" w:hAnsi="仿宋" w:eastAsia="仿宋"/>
          <w:color w:val="000000"/>
          <w:sz w:val="32"/>
          <w:szCs w:val="32"/>
        </w:rPr>
        <w:t>:</w:t>
      </w:r>
      <w:r>
        <w:rPr>
          <w:rFonts w:hint="eastAsia" w:ascii="仿宋" w:hAnsi="仿宋" w:eastAsia="仿宋"/>
          <w:color w:val="000000"/>
          <w:sz w:val="32"/>
          <w:szCs w:val="32"/>
        </w:rPr>
        <w:t>支出决算为955.63万元，占58.02%。</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2.一般公共服务（类）纪检监察事务（款）一般行政管理事务（项）：支出决算数为315.24万元，占19.14%。</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3.一般公共服务（类）纪检监察事务（款）事业运行（项）：支出决算数为73.89万元，占4.5%。</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 一般公共服务（类）纪检监察事务（款）其他纪检监察事务（项）：支出决算数为3.52万元，占0.21%。</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支出决算为86.74万元，占5.27%。</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（款）机关事业单位职业年金缴费支出(项): 支出决算为43.37万元，占2.63%。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（类）行政事业单位医疗（款）行政单位医疗(项): 支出决算为62.07万元，占3.8%。</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8.卫生健康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（类）行政事业单位医疗（款）事业单位医疗(项):支出决算为5.55万元，占0.3%。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9.住房保障支出（类）住房改革支出（款）住房公积金（项）：支出决算为98.85万元，占6%。</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10.住房保障支出（类）住房改革支出（款）购房补贴（项）：支出决算为</w:t>
      </w:r>
      <w:r>
        <w:rPr>
          <w:rFonts w:hint="eastAsia" w:ascii="仿宋" w:hAnsi="仿宋" w:eastAsia="仿宋"/>
          <w:color w:val="000000"/>
          <w:sz w:val="32"/>
          <w:szCs w:val="32"/>
          <w:lang w:val="en-US" w:eastAsia="zh-CN"/>
        </w:rPr>
        <w:t>1.02</w:t>
      </w:r>
      <w:r>
        <w:rPr>
          <w:rFonts w:hint="eastAsia" w:ascii="仿宋" w:hAnsi="仿宋" w:eastAsia="仿宋"/>
          <w:color w:val="000000"/>
          <w:sz w:val="32"/>
          <w:szCs w:val="32"/>
        </w:rPr>
        <w:t>万元，占0.06%。</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11.农林水（类）扶贫（款）其他扶贫（项）：支出决算为1.2万元，占0.07%。</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0" w:firstLineChars="200"/>
        <w:textAlignment w:val="auto"/>
        <w:rPr>
          <w:rFonts w:ascii="仿宋" w:hAnsi="仿宋" w:eastAsia="仿宋"/>
          <w:color w:val="000000"/>
          <w:sz w:val="32"/>
          <w:szCs w:val="32"/>
        </w:rPr>
      </w:pPr>
      <w:r>
        <w:rPr>
          <w:rFonts w:ascii="仿宋" w:hAnsi="仿宋" w:eastAsia="仿宋"/>
          <w:color w:val="000000"/>
          <w:sz w:val="32"/>
          <w:szCs w:val="32"/>
        </w:rPr>
        <w:drawing>
          <wp:inline distT="0" distB="0" distL="0" distR="0">
            <wp:extent cx="5274310" cy="2143125"/>
            <wp:effectExtent l="4445" t="4445" r="17145"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15377212"/>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color w:val="000000"/>
          <w:sz w:val="32"/>
          <w:szCs w:val="32"/>
        </w:rPr>
      </w:pPr>
      <w:bookmarkStart w:id="65" w:name="_Toc15377213"/>
      <w:bookmarkStart w:id="66" w:name="_Toc15378460"/>
      <w:bookmarkStart w:id="67" w:name="_Toc15377444"/>
      <w:r>
        <w:rPr>
          <w:rFonts w:ascii="仿宋" w:hAnsi="仿宋" w:eastAsia="仿宋"/>
          <w:color w:val="000000"/>
          <w:sz w:val="32"/>
          <w:szCs w:val="32"/>
        </w:rPr>
        <w:t>2020</w:t>
      </w:r>
      <w:r>
        <w:rPr>
          <w:rFonts w:hint="eastAsia" w:ascii="仿宋" w:hAnsi="仿宋" w:eastAsia="仿宋"/>
          <w:color w:val="000000"/>
          <w:sz w:val="32"/>
          <w:szCs w:val="32"/>
        </w:rPr>
        <w:t>年一般公共预算支出决算数为1647.08万元，完成预算99</w:t>
      </w:r>
      <w:r>
        <w:rPr>
          <w:rFonts w:ascii="仿宋" w:hAnsi="仿宋" w:eastAsia="仿宋"/>
          <w:color w:val="000000"/>
          <w:sz w:val="32"/>
          <w:szCs w:val="32"/>
        </w:rPr>
        <w:t>%</w:t>
      </w:r>
      <w:r>
        <w:rPr>
          <w:rFonts w:hint="eastAsia" w:ascii="仿宋" w:hAnsi="仿宋" w:eastAsia="仿宋"/>
          <w:color w:val="000000"/>
          <w:sz w:val="32"/>
          <w:szCs w:val="32"/>
        </w:rPr>
        <w:t>。其中：</w:t>
      </w:r>
      <w:bookmarkEnd w:id="65"/>
      <w:bookmarkEnd w:id="66"/>
      <w:bookmarkEnd w:id="67"/>
    </w:p>
    <w:p>
      <w:pPr>
        <w:pStyle w:val="38"/>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1.一般公共服务（类）纪检监察事务（款）行政运行(项)</w:t>
      </w:r>
      <w:r>
        <w:rPr>
          <w:rFonts w:ascii="仿宋" w:hAnsi="仿宋" w:eastAsia="仿宋"/>
          <w:color w:val="000000"/>
          <w:sz w:val="32"/>
          <w:szCs w:val="32"/>
        </w:rPr>
        <w:t>:</w:t>
      </w:r>
      <w:r>
        <w:rPr>
          <w:rFonts w:hint="eastAsia" w:ascii="仿宋" w:hAnsi="仿宋" w:eastAsia="仿宋"/>
          <w:color w:val="000000"/>
          <w:sz w:val="32"/>
          <w:szCs w:val="32"/>
        </w:rPr>
        <w:t>支出决算为955.63万元，完成预算100%。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2.一般公共服务（类）纪检监察事务（款）一般行政管理事务（项）：支出决算数为315.24万元，完成预算99%。因一笔转移支付资金5万元于2020年12月18日才到账，还未来得及支付，所以结转到2021年进行支付。</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3.一般公共服务（类）纪检监察事务（款）事业运行（项）：支出决算数为73.89万元，完成预算100%。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 一般公共服务（类）纪检监察事务（款）其他纪检监察事务（项）：支出决算数为3.52万元，完成预算100%%。</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支出决算为86.74万元，完成预算100%。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（款）机关事业单位职业年金缴费支出(项): 支出决算为43.37万元，完成预算100%。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（类）行政事业单位医疗（款）行政单位医疗(项): 支出决算为62.07万元，完成预算100%。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8.卫生健康</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（类）行政事业单位医疗（款）事业单位医疗(项):支出决算为5.55万元，完成预算100%。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9.住房保障支出（类）住房改革支出（款）住房公积金（项）：支出决算为98.85万元，完成预算100%。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10.住房保障支出（类）住房改革支出（款）购房补贴（项）：支出决算为1.02万元，完成预算100%。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11.农林水（类）扶贫（款）其他扶贫（项）：支出决算为1.2万元，完成预算100%。</w:t>
      </w:r>
    </w:p>
    <w:p>
      <w:pPr>
        <w:tabs>
          <w:tab w:val="right" w:pos="8306"/>
        </w:tabs>
        <w:spacing w:line="600" w:lineRule="exact"/>
        <w:ind w:firstLine="640"/>
        <w:outlineLvl w:val="1"/>
        <w:rPr>
          <w:rStyle w:val="24"/>
        </w:rPr>
      </w:pPr>
      <w:bookmarkStart w:id="68" w:name="_Toc15377214"/>
      <w:bookmarkStart w:id="69" w:name="_Toc79163868"/>
      <w:bookmarkStart w:id="70" w:name="_Toc1539660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年一般公共预算财政拨款基本支出1327.1</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人员经费1165.71万元，主要包括：基本工资、津贴补贴、奖金、绩效工资、生活补助、机关事业单位基本养老保险缴费、职业年金缴费、其他社会保障缴费、住房公积金。</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日常公用经费161.4</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万元，主要包括：办公费、邮电费、差旅费、维修（护）费、培训费、公务接待费、公务用车运行维护费。</w:t>
      </w:r>
    </w:p>
    <w:p>
      <w:pPr>
        <w:spacing w:line="600" w:lineRule="exact"/>
        <w:ind w:firstLine="640"/>
        <w:outlineLvl w:val="1"/>
        <w:rPr>
          <w:rStyle w:val="24"/>
          <w:rFonts w:ascii="黑体" w:hAnsi="黑体" w:eastAsia="黑体"/>
          <w:b w:val="0"/>
        </w:rPr>
      </w:pPr>
      <w:bookmarkStart w:id="72" w:name="_Toc15396609"/>
      <w:bookmarkStart w:id="73" w:name="_Toc15377215"/>
      <w:bookmarkStart w:id="74" w:name="_Toc79163869"/>
      <w:bookmarkStart w:id="75"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7916362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年“三公”经费财政拨款支出决算为24.77万元，完成预算100</w:t>
      </w:r>
      <w:r>
        <w:rPr>
          <w:rFonts w:ascii="仿宋" w:hAnsi="仿宋" w:eastAsia="仿宋"/>
          <w:color w:val="000000"/>
          <w:sz w:val="32"/>
          <w:szCs w:val="32"/>
        </w:rPr>
        <w:t>%</w:t>
      </w:r>
      <w:r>
        <w:rPr>
          <w:rFonts w:hint="eastAsia" w:ascii="仿宋" w:hAnsi="仿宋" w:eastAsia="仿宋"/>
          <w:color w:val="000000"/>
          <w:sz w:val="32"/>
          <w:szCs w:val="32"/>
        </w:rPr>
        <w:t>，与预算数持平的主要原因是控制使用。</w:t>
      </w:r>
    </w:p>
    <w:p>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年“三公”经费财政拨款支出决算中，因公出国（境）费支出决算0万元；公务用车购置及运行维护费支出决算24.07万元，占97</w:t>
      </w:r>
      <w:r>
        <w:rPr>
          <w:rFonts w:ascii="仿宋" w:hAnsi="仿宋" w:eastAsia="仿宋"/>
          <w:color w:val="000000"/>
          <w:sz w:val="32"/>
          <w:szCs w:val="32"/>
        </w:rPr>
        <w:t>%</w:t>
      </w:r>
      <w:r>
        <w:rPr>
          <w:rFonts w:hint="eastAsia" w:ascii="仿宋" w:hAnsi="仿宋" w:eastAsia="仿宋"/>
          <w:color w:val="000000"/>
          <w:sz w:val="32"/>
          <w:szCs w:val="32"/>
        </w:rPr>
        <w:t>；公务接待费支出决算0.7万元，占3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firstLine="641"/>
        <w:textAlignment w:val="auto"/>
        <w:rPr>
          <w:rFonts w:hint="eastAsia" w:ascii="仿宋" w:hAnsi="仿宋" w:eastAsia="仿宋"/>
          <w:color w:val="000000"/>
          <w:sz w:val="32"/>
          <w:szCs w:val="32"/>
        </w:rPr>
      </w:pPr>
      <w:r>
        <w:rPr>
          <w:rFonts w:ascii="仿宋" w:hAnsi="仿宋" w:eastAsia="仿宋"/>
          <w:color w:val="000000"/>
          <w:sz w:val="32"/>
          <w:szCs w:val="32"/>
        </w:rPr>
        <w:drawing>
          <wp:inline distT="0" distB="0" distL="0" distR="0">
            <wp:extent cx="5274310" cy="1600200"/>
            <wp:effectExtent l="19050" t="0" r="2159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Style w:val="21"/>
          <w:rFonts w:ascii="仿宋" w:hAnsi="仿宋" w:eastAsia="仿宋"/>
          <w:bCs/>
        </w:rPr>
      </w:pPr>
      <w:r>
        <w:rPr>
          <w:rFonts w:ascii="仿宋" w:hAnsi="仿宋" w:eastAsia="仿宋"/>
          <w:color w:val="000000"/>
          <w:sz w:val="32"/>
          <w:szCs w:val="32"/>
        </w:rPr>
        <w:t>1.</w:t>
      </w:r>
      <w:r>
        <w:rPr>
          <w:rFonts w:hint="eastAsia" w:ascii="仿宋" w:hAnsi="仿宋" w:eastAsia="仿宋"/>
          <w:color w:val="000000"/>
          <w:sz w:val="32"/>
          <w:szCs w:val="32"/>
        </w:rPr>
        <w:t>因公出国（境）经费支出0万元。全年安排因公出国（境）团组0次，出国（境）0人。因公出国（境）支出决算比</w:t>
      </w:r>
      <w:r>
        <w:rPr>
          <w:rFonts w:ascii="仿宋" w:hAnsi="仿宋" w:eastAsia="仿宋"/>
          <w:color w:val="000000"/>
          <w:sz w:val="32"/>
          <w:szCs w:val="32"/>
        </w:rPr>
        <w:t>201</w:t>
      </w:r>
      <w:r>
        <w:rPr>
          <w:rFonts w:hint="eastAsia" w:ascii="仿宋" w:hAnsi="仿宋" w:eastAsia="仿宋"/>
          <w:color w:val="000000"/>
          <w:sz w:val="32"/>
          <w:szCs w:val="32"/>
        </w:rPr>
        <w:t>9年持平。</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公务用车购置及运行维护费支出24.07万元,完成预算100%。公务用车购置及运行维护费支出决算比2019年减少1.09万元，下降4</w:t>
      </w:r>
      <w:r>
        <w:rPr>
          <w:rFonts w:ascii="仿宋" w:hAnsi="仿宋" w:eastAsia="仿宋"/>
          <w:color w:val="000000"/>
          <w:sz w:val="32"/>
          <w:szCs w:val="32"/>
        </w:rPr>
        <w:t>%</w:t>
      </w:r>
      <w:r>
        <w:rPr>
          <w:rFonts w:hint="eastAsia" w:ascii="仿宋" w:hAnsi="仿宋" w:eastAsia="仿宋"/>
          <w:color w:val="000000"/>
          <w:sz w:val="32"/>
          <w:szCs w:val="32"/>
        </w:rPr>
        <w:t>。主要原因是控制使用。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其中：公务用车购置支出0万元。全年按规定更新购置公务用车0辆，其中：轿车0辆、金额0万元，越野车0辆、金额0万元，载客汽车0辆、金额0万元。截至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月底，单位共有公务用车2辆，其中：轿车1辆、越野车1辆、载客汽车0辆。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公务用车运行维护费支出24.07万元。主要用于下乡检查工作、</w:t>
      </w:r>
      <w:r>
        <w:rPr>
          <w:rFonts w:ascii="仿宋" w:hAnsi="仿宋" w:eastAsia="仿宋"/>
          <w:color w:val="000000"/>
          <w:sz w:val="32"/>
          <w:szCs w:val="32"/>
        </w:rPr>
        <w:t>出差办案</w:t>
      </w:r>
      <w:r>
        <w:rPr>
          <w:rFonts w:hint="eastAsia" w:ascii="仿宋" w:hAnsi="仿宋" w:eastAsia="仿宋"/>
          <w:color w:val="000000"/>
          <w:sz w:val="32"/>
          <w:szCs w:val="32"/>
        </w:rPr>
        <w:t>等所需的公务用车燃料费、维修费、过路过桥费、保险费等支出。</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公务接待费支出0.7万元，完成预算100</w:t>
      </w:r>
      <w:r>
        <w:rPr>
          <w:rFonts w:ascii="仿宋" w:hAnsi="仿宋" w:eastAsia="仿宋"/>
          <w:color w:val="000000"/>
          <w:sz w:val="32"/>
          <w:szCs w:val="32"/>
        </w:rPr>
        <w:t>%</w:t>
      </w:r>
      <w:r>
        <w:rPr>
          <w:rFonts w:hint="eastAsia" w:ascii="仿宋" w:hAnsi="仿宋" w:eastAsia="仿宋"/>
          <w:color w:val="000000"/>
          <w:sz w:val="32"/>
          <w:szCs w:val="32"/>
        </w:rPr>
        <w:t>。公务接待费支出决算比</w:t>
      </w:r>
      <w:r>
        <w:rPr>
          <w:rFonts w:ascii="仿宋" w:hAnsi="仿宋" w:eastAsia="仿宋"/>
          <w:color w:val="000000"/>
          <w:sz w:val="32"/>
          <w:szCs w:val="32"/>
        </w:rPr>
        <w:t>2019</w:t>
      </w:r>
      <w:r>
        <w:rPr>
          <w:rFonts w:hint="eastAsia" w:ascii="仿宋" w:hAnsi="仿宋" w:eastAsia="仿宋"/>
          <w:color w:val="000000"/>
          <w:sz w:val="32"/>
          <w:szCs w:val="32"/>
        </w:rPr>
        <w:t>年减少1.87万元，下降73</w:t>
      </w:r>
      <w:r>
        <w:rPr>
          <w:rFonts w:ascii="仿宋" w:hAnsi="仿宋" w:eastAsia="仿宋"/>
          <w:color w:val="000000"/>
          <w:sz w:val="32"/>
          <w:szCs w:val="32"/>
        </w:rPr>
        <w:t>%</w:t>
      </w:r>
      <w:r>
        <w:rPr>
          <w:rFonts w:hint="eastAsia" w:ascii="仿宋" w:hAnsi="仿宋" w:eastAsia="仿宋"/>
          <w:color w:val="000000"/>
          <w:sz w:val="32"/>
          <w:szCs w:val="32"/>
        </w:rPr>
        <w:t>。主要原因是控制使用。其中：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0.7万元，主要用于执行公务、开展业务活动开支的交通费、住宿费、用餐费等。国内公务接待4批次，50人次（不包括陪同人员），共计支出0.7万元，具体内容包括：上级主管部门到我县开展工作支出0.7万元。</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外事接待支出0万元，外事接待0批次，0人，共计支出0万元。</w:t>
      </w:r>
    </w:p>
    <w:p>
      <w:pPr>
        <w:spacing w:line="600" w:lineRule="exact"/>
        <w:ind w:firstLine="640"/>
        <w:outlineLvl w:val="1"/>
        <w:rPr>
          <w:rStyle w:val="24"/>
          <w:rFonts w:ascii="黑体" w:hAnsi="黑体" w:eastAsia="黑体"/>
        </w:rPr>
      </w:pPr>
      <w:bookmarkStart w:id="82" w:name="_Toc15396610"/>
      <w:bookmarkStart w:id="83" w:name="_Toc79163872"/>
      <w:bookmarkStart w:id="84" w:name="_Toc15377218"/>
      <w:bookmarkStart w:id="85" w:name="_Toc7916362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6" w:name="_Toc15396611"/>
      <w:bookmarkStart w:id="87" w:name="_Toc79163873"/>
      <w:bookmarkStart w:id="88" w:name="_Toc79163623"/>
      <w:bookmarkStart w:id="89" w:name="_Toc15377219"/>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0" w:name="_Toc15377221"/>
      <w:bookmarkStart w:id="91" w:name="_Toc79163874"/>
      <w:bookmarkStart w:id="92" w:name="_Toc15396612"/>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0"/>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color w:val="000000"/>
          <w:sz w:val="32"/>
          <w:szCs w:val="32"/>
        </w:rPr>
        <w:t>（一）机关运行经费支出情况</w:t>
      </w:r>
      <w:bookmarkEnd w:id="94"/>
      <w:bookmarkEnd w:id="95"/>
      <w:bookmarkEnd w:id="96"/>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年，茂县</w:t>
      </w:r>
      <w:r>
        <w:rPr>
          <w:rFonts w:ascii="仿宋" w:hAnsi="仿宋" w:eastAsia="仿宋"/>
          <w:color w:val="000000"/>
          <w:sz w:val="32"/>
          <w:szCs w:val="32"/>
        </w:rPr>
        <w:t>纪委</w:t>
      </w:r>
      <w:r>
        <w:rPr>
          <w:rFonts w:hint="eastAsia" w:ascii="仿宋" w:hAnsi="仿宋" w:eastAsia="仿宋"/>
          <w:color w:val="000000"/>
          <w:sz w:val="32"/>
          <w:szCs w:val="32"/>
        </w:rPr>
        <w:t>机关运行经费支出153.35万元，比</w:t>
      </w:r>
      <w:r>
        <w:rPr>
          <w:rFonts w:ascii="仿宋" w:hAnsi="仿宋" w:eastAsia="仿宋"/>
          <w:color w:val="000000"/>
          <w:sz w:val="32"/>
          <w:szCs w:val="32"/>
        </w:rPr>
        <w:t>2019</w:t>
      </w:r>
      <w:r>
        <w:rPr>
          <w:rFonts w:hint="eastAsia" w:ascii="仿宋" w:hAnsi="仿宋" w:eastAsia="仿宋"/>
          <w:color w:val="000000"/>
          <w:sz w:val="32"/>
          <w:szCs w:val="32"/>
        </w:rPr>
        <w:t>年减少18.38万元，下降11</w:t>
      </w:r>
      <w:r>
        <w:rPr>
          <w:rFonts w:ascii="仿宋" w:hAnsi="仿宋" w:eastAsia="仿宋"/>
          <w:color w:val="000000"/>
          <w:sz w:val="32"/>
          <w:szCs w:val="32"/>
        </w:rPr>
        <w:t>%</w:t>
      </w:r>
      <w:r>
        <w:rPr>
          <w:rFonts w:hint="eastAsia" w:ascii="仿宋" w:hAnsi="仿宋" w:eastAsia="仿宋"/>
          <w:color w:val="000000"/>
          <w:sz w:val="32"/>
          <w:szCs w:val="32"/>
        </w:rPr>
        <w:t>，主要原因是控制使用。</w:t>
      </w:r>
    </w:p>
    <w:p>
      <w:pPr>
        <w:spacing w:line="600" w:lineRule="exact"/>
        <w:ind w:firstLine="640"/>
        <w:rPr>
          <w:rFonts w:ascii="仿宋" w:hAnsi="仿宋" w:eastAsia="仿宋"/>
          <w:color w:val="000000"/>
          <w:sz w:val="32"/>
          <w:szCs w:val="32"/>
        </w:rPr>
      </w:pPr>
      <w:bookmarkStart w:id="97" w:name="_Toc15377223"/>
      <w:bookmarkStart w:id="98" w:name="_Toc79163626"/>
      <w:bookmarkStart w:id="99" w:name="_Toc79163876"/>
      <w:r>
        <w:rPr>
          <w:rFonts w:hint="eastAsia" w:ascii="仿宋" w:hAnsi="仿宋" w:eastAsia="仿宋"/>
          <w:color w:val="000000"/>
          <w:sz w:val="32"/>
          <w:szCs w:val="32"/>
        </w:rPr>
        <w:t>（二）政府采购支出情况</w:t>
      </w:r>
      <w:bookmarkEnd w:id="97"/>
      <w:bookmarkEnd w:id="98"/>
      <w:bookmarkEnd w:id="99"/>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年，茂县</w:t>
      </w:r>
      <w:r>
        <w:rPr>
          <w:rFonts w:ascii="仿宋" w:hAnsi="仿宋" w:eastAsia="仿宋"/>
          <w:color w:val="000000"/>
          <w:sz w:val="32"/>
          <w:szCs w:val="32"/>
        </w:rPr>
        <w:t>纪委</w:t>
      </w:r>
      <w:r>
        <w:rPr>
          <w:rFonts w:hint="eastAsia" w:ascii="仿宋" w:hAnsi="仿宋" w:eastAsia="仿宋"/>
          <w:color w:val="000000"/>
          <w:sz w:val="32"/>
          <w:szCs w:val="32"/>
        </w:rPr>
        <w:t>政府采购支出总额38.42万元，其中：政府采购货物支出38.42万元、政府采购工程支出0万元、政府采购服务支出0万元。主要用于日常办公需要所进行的办公</w:t>
      </w:r>
      <w:r>
        <w:rPr>
          <w:rFonts w:ascii="仿宋" w:hAnsi="仿宋" w:eastAsia="仿宋"/>
          <w:color w:val="000000"/>
          <w:sz w:val="32"/>
          <w:szCs w:val="32"/>
        </w:rPr>
        <w:t>设备采购</w:t>
      </w:r>
      <w:r>
        <w:rPr>
          <w:rFonts w:hint="eastAsia" w:ascii="仿宋" w:hAnsi="仿宋" w:eastAsia="仿宋"/>
          <w:color w:val="000000"/>
          <w:sz w:val="32"/>
          <w:szCs w:val="32"/>
        </w:rPr>
        <w:t>。授予中小企业合同金额38.42万元，占政府采购支出总额的100</w:t>
      </w:r>
      <w:r>
        <w:rPr>
          <w:rFonts w:ascii="仿宋" w:hAnsi="仿宋" w:eastAsia="仿宋"/>
          <w:color w:val="000000"/>
          <w:sz w:val="32"/>
          <w:szCs w:val="32"/>
        </w:rPr>
        <w:t>%</w:t>
      </w:r>
      <w:r>
        <w:rPr>
          <w:rFonts w:hint="eastAsia" w:ascii="仿宋" w:hAnsi="仿宋" w:eastAsia="仿宋"/>
          <w:color w:val="000000"/>
          <w:sz w:val="32"/>
          <w:szCs w:val="32"/>
        </w:rPr>
        <w:t>，其中：授予小微企业合同金额38.42万元，占政府采购支出总额的100</w:t>
      </w:r>
      <w:r>
        <w:rPr>
          <w:rFonts w:ascii="仿宋" w:hAnsi="仿宋" w:eastAsia="仿宋"/>
          <w:color w:val="000000"/>
          <w:sz w:val="32"/>
          <w:szCs w:val="32"/>
        </w:rPr>
        <w:t>%</w:t>
      </w:r>
      <w:r>
        <w:rPr>
          <w:rFonts w:hint="eastAsia" w:ascii="仿宋_GB2312" w:eastAsia="仿宋_GB2312"/>
          <w:color w:val="000000"/>
          <w:sz w:val="32"/>
          <w:szCs w:val="32"/>
        </w:rPr>
        <w:t>。</w:t>
      </w:r>
    </w:p>
    <w:p>
      <w:pPr>
        <w:spacing w:line="600" w:lineRule="exact"/>
        <w:ind w:firstLine="640"/>
        <w:rPr>
          <w:rFonts w:ascii="仿宋" w:hAnsi="仿宋" w:eastAsia="仿宋"/>
          <w:color w:val="000000"/>
          <w:sz w:val="32"/>
          <w:szCs w:val="32"/>
        </w:rPr>
      </w:pPr>
      <w:bookmarkStart w:id="100" w:name="_Toc15377224"/>
      <w:bookmarkStart w:id="101" w:name="_Toc79163627"/>
      <w:bookmarkStart w:id="102" w:name="_Toc79163877"/>
      <w:r>
        <w:rPr>
          <w:rFonts w:hint="eastAsia" w:ascii="仿宋" w:hAnsi="仿宋" w:eastAsia="仿宋"/>
          <w:color w:val="000000"/>
          <w:sz w:val="32"/>
          <w:szCs w:val="32"/>
        </w:rPr>
        <w:t>（三）国有资产占有使用情况</w:t>
      </w:r>
      <w:bookmarkEnd w:id="100"/>
      <w:bookmarkEnd w:id="101"/>
      <w:bookmarkEnd w:id="102"/>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日，茂县</w:t>
      </w:r>
      <w:r>
        <w:rPr>
          <w:rFonts w:ascii="仿宋" w:hAnsi="仿宋" w:eastAsia="仿宋"/>
          <w:color w:val="000000"/>
          <w:sz w:val="32"/>
          <w:szCs w:val="32"/>
        </w:rPr>
        <w:t>纪委</w:t>
      </w:r>
      <w:r>
        <w:rPr>
          <w:rFonts w:hint="eastAsia" w:ascii="仿宋" w:hAnsi="仿宋" w:eastAsia="仿宋"/>
          <w:color w:val="000000"/>
          <w:sz w:val="32"/>
          <w:szCs w:val="32"/>
        </w:rPr>
        <w:t>共有车辆2辆，其中：主要领导干部用车0辆、机要通信用车0辆、应急保障用车0辆、其他用车2辆，其他用车主要是用于执法执勤。单价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bookmarkStart w:id="103" w:name="_Toc79163628"/>
      <w:bookmarkStart w:id="104" w:name="_Toc7916387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（四）预算绩效管理情况</w:t>
      </w:r>
      <w:bookmarkEnd w:id="103"/>
      <w:bookmarkEnd w:id="10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根据预算绩效管理要求，本部门在年初预算编制阶段，组织对州纪委在茂县留置点（谈话点）钢架棚建设、廉政档案管理系统开展了预算事前绩效评估，对2个项目编制了绩效目标，预算执行过程中，选取2个项目开展绩效监控，年终执行完毕后，对2个项目开展了绩效目标完成情况自评。</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2020</w:t>
      </w:r>
      <w:r>
        <w:rPr>
          <w:rFonts w:hint="eastAsia" w:ascii="仿宋" w:hAnsi="仿宋" w:eastAsia="仿宋"/>
          <w:color w:val="000000"/>
          <w:sz w:val="32"/>
          <w:szCs w:val="32"/>
        </w:rPr>
        <w:t>年部门整体支出开展绩效自评，从评价情况来看本单位对所有项目都进行严格管理，比如：严格按照政策进行采购、资产管理、内控制度管理、信息公开、绩效评价及依法接受财政监督情况等。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项目绩效目标完成情况</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本部门在</w:t>
      </w:r>
      <w:r>
        <w:rPr>
          <w:rFonts w:ascii="仿宋" w:hAnsi="仿宋" w:eastAsia="仿宋"/>
          <w:color w:val="000000"/>
          <w:sz w:val="32"/>
          <w:szCs w:val="32"/>
        </w:rPr>
        <w:t>2020</w:t>
      </w:r>
      <w:r>
        <w:rPr>
          <w:rFonts w:hint="eastAsia" w:ascii="仿宋" w:hAnsi="仿宋" w:eastAsia="仿宋"/>
          <w:color w:val="000000"/>
          <w:sz w:val="32"/>
          <w:szCs w:val="32"/>
        </w:rPr>
        <w:t>年度部门决算中反映“州纪委在茂县留置点（谈话点）钢架棚建设、廉政档案管理系统”2个项目绩效目标实际完成情况。</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）州纪委在茂县留置点（谈话点）钢架棚建设项目绩效目标完成情况综述。项目全年预算数46.42万元，执行数为46.42万元，完成预算的100</w:t>
      </w:r>
      <w:r>
        <w:rPr>
          <w:rFonts w:ascii="仿宋" w:hAnsi="仿宋" w:eastAsia="仿宋"/>
          <w:color w:val="000000"/>
          <w:sz w:val="32"/>
          <w:szCs w:val="32"/>
        </w:rPr>
        <w:t>%</w:t>
      </w:r>
      <w:r>
        <w:rPr>
          <w:rFonts w:hint="eastAsia" w:ascii="仿宋" w:hAnsi="仿宋" w:eastAsia="仿宋"/>
          <w:color w:val="000000"/>
          <w:sz w:val="32"/>
          <w:szCs w:val="32"/>
        </w:rPr>
        <w:t>。通过项目实施，保障了办案拥有一个安全场所，做到合法合规办案。</w:t>
      </w:r>
    </w:p>
    <w:p>
      <w:pPr>
        <w:spacing w:line="600" w:lineRule="exact"/>
        <w:ind w:firstLine="640"/>
        <w:rPr>
          <w:rFonts w:ascii="仿宋_GB2312" w:hAnsi="仿宋_GB2312" w:eastAsia="仿宋_GB2312" w:cs="仿宋_GB2312"/>
          <w:sz w:val="32"/>
          <w:szCs w:val="32"/>
        </w:rPr>
      </w:pPr>
      <w:r>
        <w:rPr>
          <w:rFonts w:hint="eastAsia" w:ascii="仿宋" w:hAnsi="仿宋" w:eastAsia="仿宋"/>
          <w:color w:val="000000"/>
          <w:sz w:val="32"/>
          <w:szCs w:val="32"/>
        </w:rPr>
        <w:t>（</w:t>
      </w:r>
      <w:r>
        <w:rPr>
          <w:rFonts w:ascii="仿宋" w:hAnsi="仿宋" w:eastAsia="仿宋"/>
          <w:color w:val="000000"/>
          <w:sz w:val="32"/>
          <w:szCs w:val="32"/>
        </w:rPr>
        <w:t>2</w:t>
      </w:r>
      <w:r>
        <w:rPr>
          <w:rFonts w:hint="eastAsia" w:ascii="仿宋" w:hAnsi="仿宋" w:eastAsia="仿宋"/>
          <w:color w:val="000000"/>
          <w:sz w:val="32"/>
          <w:szCs w:val="32"/>
        </w:rPr>
        <w:t>）廉政档案管理系统项目绩效目标完成情况综述。项目全年预算数6万元，执行数为6万元，完成预算的100</w:t>
      </w:r>
      <w:r>
        <w:rPr>
          <w:rFonts w:ascii="仿宋" w:hAnsi="仿宋" w:eastAsia="仿宋"/>
          <w:color w:val="000000"/>
          <w:sz w:val="32"/>
          <w:szCs w:val="32"/>
        </w:rPr>
        <w:t>%</w:t>
      </w:r>
      <w:r>
        <w:rPr>
          <w:rFonts w:hint="eastAsia" w:ascii="仿宋" w:hAnsi="仿宋" w:eastAsia="仿宋"/>
          <w:color w:val="000000"/>
          <w:sz w:val="32"/>
          <w:szCs w:val="32"/>
        </w:rPr>
        <w:t>。通过项目实施，保障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rPr>
              <w:t>州纪委在茂县留置点、谈话点钢架棚建设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w:t>
            </w:r>
            <w:r>
              <w:rPr>
                <w:rFonts w:ascii="宋体" w:cs="宋体"/>
                <w:color w:val="000000"/>
                <w:sz w:val="24"/>
              </w:rPr>
              <w:t>纪委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46.42万元</w:t>
            </w:r>
          </w:p>
        </w:tc>
      </w:tr>
      <w:tr>
        <w:tblPrEx>
          <w:tblCellMar>
            <w:top w:w="0" w:type="dxa"/>
            <w:left w:w="0" w:type="dxa"/>
            <w:bottom w:w="0" w:type="dxa"/>
            <w:right w:w="0" w:type="dxa"/>
          </w:tblCellMar>
        </w:tblPrEx>
        <w:trPr>
          <w:trHeight w:val="189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保障办案拥有一个安全场所，做到合法合规办案</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保障了办案拥有一个安全场所，做到合法合规办案</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rPr>
              <w:t>州纪委在茂县留置点、谈话点钢架棚建设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保障办案拥有一个安全场所，做到合法合规办案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保障办案拥有一个安全场所，做到合法合规办案</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rPr>
              <w:t>茂县留置点、谈话点钢架棚建设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rPr>
              <w:t>茂县留置点、谈话点钢架棚建设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bl>
    <w:p>
      <w:pPr>
        <w:spacing w:line="58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10221" w:type="dxa"/>
        <w:jc w:val="center"/>
        <w:tblLayout w:type="fixed"/>
        <w:tblCellMar>
          <w:top w:w="0" w:type="dxa"/>
          <w:left w:w="0" w:type="dxa"/>
          <w:bottom w:w="0" w:type="dxa"/>
          <w:right w:w="0" w:type="dxa"/>
        </w:tblCellMar>
      </w:tblPr>
      <w:tblGrid>
        <w:gridCol w:w="390"/>
        <w:gridCol w:w="1367"/>
        <w:gridCol w:w="1025"/>
        <w:gridCol w:w="2053"/>
        <w:gridCol w:w="2733"/>
        <w:gridCol w:w="2653"/>
      </w:tblGrid>
      <w:tr>
        <w:tblPrEx>
          <w:tblCellMar>
            <w:top w:w="0" w:type="dxa"/>
            <w:left w:w="0" w:type="dxa"/>
            <w:bottom w:w="0" w:type="dxa"/>
            <w:right w:w="0" w:type="dxa"/>
          </w:tblCellMar>
        </w:tblPrEx>
        <w:trPr>
          <w:trHeight w:val="1034" w:hRule="atLeast"/>
          <w:jc w:val="center"/>
        </w:trPr>
        <w:tc>
          <w:tcPr>
            <w:tcW w:w="10221"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廉政档案管理系统建设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4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w:t>
            </w:r>
            <w:r>
              <w:rPr>
                <w:rFonts w:ascii="宋体" w:cs="宋体"/>
                <w:color w:val="000000"/>
                <w:sz w:val="24"/>
              </w:rPr>
              <w:t>纪委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6万元</w:t>
            </w:r>
          </w:p>
        </w:tc>
      </w:tr>
      <w:tr>
        <w:tblPrEx>
          <w:tblCellMar>
            <w:top w:w="0" w:type="dxa"/>
            <w:left w:w="0" w:type="dxa"/>
            <w:bottom w:w="0" w:type="dxa"/>
            <w:right w:w="0" w:type="dxa"/>
          </w:tblCellMar>
        </w:tblPrEx>
        <w:trPr>
          <w:trHeight w:val="13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0万元</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0万元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53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lang w:val="zh-CN"/>
              </w:rPr>
              <w:t>完成廉政档案管理系统平台部署</w:t>
            </w:r>
          </w:p>
        </w:tc>
        <w:tc>
          <w:tcPr>
            <w:tcW w:w="53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blPrEx>
          <w:tblCellMar>
            <w:top w:w="0" w:type="dxa"/>
            <w:left w:w="0" w:type="dxa"/>
            <w:bottom w:w="0" w:type="dxa"/>
            <w:right w:w="0" w:type="dxa"/>
          </w:tblCellMar>
        </w:tblPrEx>
        <w:trPr>
          <w:trHeight w:val="627"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廉政档案管理系统建设</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lang w:val="zh-CN"/>
              </w:rPr>
              <w:t>完成廉政档案管理系统平台部署</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blPrEx>
          <w:tblCellMar>
            <w:top w:w="0" w:type="dxa"/>
            <w:left w:w="0" w:type="dxa"/>
            <w:bottom w:w="0" w:type="dxa"/>
            <w:right w:w="0" w:type="dxa"/>
          </w:tblCellMar>
        </w:tblPrEx>
        <w:trPr>
          <w:trHeight w:val="97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工作完成度</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cs="宋体"/>
                <w:color w:val="000000"/>
                <w:kern w:val="0"/>
                <w:sz w:val="24"/>
              </w:rPr>
              <w:t>廉政档案管理系统建设</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按期完成</w:t>
            </w:r>
            <w:r>
              <w:rPr>
                <w:rFonts w:hint="eastAsia" w:ascii="宋体" w:hAnsi="宋体" w:cs="宋体"/>
                <w:color w:val="000000"/>
                <w:kern w:val="0"/>
                <w:sz w:val="24"/>
              </w:rPr>
              <w:t>廉政档案管理系统建设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2020年度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7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&gt;95%</w:t>
            </w:r>
          </w:p>
        </w:tc>
      </w:tr>
    </w:tbl>
    <w:p>
      <w:pPr>
        <w:spacing w:line="580" w:lineRule="exact"/>
        <w:rPr>
          <w:rFonts w:ascii="仿宋_GB2312" w:hAnsi="仿宋_GB2312" w:eastAsia="仿宋_GB2312" w:cs="仿宋_GB2312"/>
          <w:sz w:val="32"/>
          <w:szCs w:val="32"/>
        </w:rPr>
      </w:pPr>
    </w:p>
    <w:p>
      <w:pPr>
        <w:spacing w:line="580" w:lineRule="exact"/>
        <w:ind w:left="63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部门绩效评价结果</w:t>
      </w:r>
    </w:p>
    <w:p>
      <w:pPr>
        <w:spacing w:line="5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本部门按要求对</w:t>
      </w:r>
      <w:r>
        <w:rPr>
          <w:rFonts w:ascii="仿宋" w:hAnsi="仿宋" w:eastAsia="仿宋"/>
          <w:color w:val="000000"/>
          <w:sz w:val="32"/>
          <w:szCs w:val="32"/>
        </w:rPr>
        <w:t>2020</w:t>
      </w:r>
      <w:r>
        <w:rPr>
          <w:rFonts w:hint="eastAsia" w:ascii="仿宋" w:hAnsi="仿宋" w:eastAsia="仿宋"/>
          <w:color w:val="000000"/>
          <w:sz w:val="32"/>
          <w:szCs w:val="32"/>
        </w:rPr>
        <w:t>年部门整体支出绩效评价情况开展自评，《茂县</w:t>
      </w:r>
      <w:r>
        <w:rPr>
          <w:rFonts w:ascii="仿宋" w:hAnsi="仿宋" w:eastAsia="仿宋"/>
          <w:color w:val="000000"/>
          <w:sz w:val="32"/>
          <w:szCs w:val="32"/>
        </w:rPr>
        <w:t>纪委</w:t>
      </w:r>
      <w:r>
        <w:rPr>
          <w:rFonts w:hint="eastAsia" w:ascii="仿宋" w:hAnsi="仿宋" w:eastAsia="仿宋"/>
          <w:color w:val="000000"/>
          <w:sz w:val="32"/>
          <w:szCs w:val="32"/>
        </w:rPr>
        <w:t>部门</w:t>
      </w:r>
      <w:r>
        <w:rPr>
          <w:rFonts w:ascii="仿宋" w:hAnsi="仿宋" w:eastAsia="仿宋"/>
          <w:color w:val="000000"/>
          <w:sz w:val="32"/>
          <w:szCs w:val="32"/>
        </w:rPr>
        <w:t>2020</w:t>
      </w:r>
      <w:r>
        <w:rPr>
          <w:rFonts w:hint="eastAsia" w:ascii="仿宋" w:hAnsi="仿宋" w:eastAsia="仿宋"/>
          <w:color w:val="000000"/>
          <w:sz w:val="32"/>
          <w:szCs w:val="32"/>
        </w:rPr>
        <w:t>年部门整体支出绩效评价报告》见附件（附件</w:t>
      </w:r>
      <w:r>
        <w:rPr>
          <w:rFonts w:ascii="仿宋" w:hAnsi="仿宋" w:eastAsia="仿宋"/>
          <w:color w:val="000000"/>
          <w:sz w:val="32"/>
          <w:szCs w:val="32"/>
        </w:rPr>
        <w:t>1</w:t>
      </w:r>
      <w:r>
        <w:rPr>
          <w:rFonts w:hint="eastAsia" w:ascii="仿宋" w:hAnsi="仿宋" w:eastAsia="仿宋"/>
          <w:color w:val="000000"/>
          <w:sz w:val="32"/>
          <w:szCs w:val="32"/>
        </w:rPr>
        <w:t>）。</w:t>
      </w:r>
    </w:p>
    <w:p>
      <w:pPr>
        <w:spacing w:line="580" w:lineRule="exact"/>
        <w:ind w:firstLine="640" w:firstLineChars="200"/>
        <w:rPr>
          <w:rFonts w:ascii="仿宋_GB2312" w:eastAsia="仿宋_GB2312"/>
          <w:b/>
          <w:color w:val="000000"/>
          <w:sz w:val="32"/>
          <w:szCs w:val="32"/>
        </w:rPr>
      </w:pPr>
      <w:r>
        <w:rPr>
          <w:rFonts w:hint="eastAsia" w:ascii="仿宋" w:hAnsi="仿宋" w:eastAsia="仿宋"/>
          <w:color w:val="000000"/>
          <w:sz w:val="32"/>
          <w:szCs w:val="32"/>
        </w:rPr>
        <w:t>本部门自行组织对茂县留置点（谈话点）钢架棚建设项目、廉政档案管理系统建设项目开展了绩效评价，《茂县留置点（谈话点）钢架棚建设项目</w:t>
      </w:r>
      <w:r>
        <w:rPr>
          <w:rFonts w:ascii="仿宋" w:hAnsi="仿宋" w:eastAsia="仿宋"/>
          <w:color w:val="000000"/>
          <w:sz w:val="32"/>
          <w:szCs w:val="32"/>
        </w:rPr>
        <w:t>2020</w:t>
      </w:r>
      <w:r>
        <w:rPr>
          <w:rFonts w:hint="eastAsia" w:ascii="仿宋" w:hAnsi="仿宋" w:eastAsia="仿宋"/>
          <w:color w:val="000000"/>
          <w:sz w:val="32"/>
          <w:szCs w:val="32"/>
        </w:rPr>
        <w:t>年绩效评价报告》见附件（附件</w:t>
      </w:r>
      <w:r>
        <w:rPr>
          <w:rFonts w:ascii="仿宋" w:hAnsi="仿宋" w:eastAsia="仿宋"/>
          <w:color w:val="000000"/>
          <w:sz w:val="32"/>
          <w:szCs w:val="32"/>
        </w:rPr>
        <w:t>2</w:t>
      </w:r>
      <w:r>
        <w:rPr>
          <w:rFonts w:hint="eastAsia" w:ascii="仿宋" w:hAnsi="仿宋" w:eastAsia="仿宋"/>
          <w:color w:val="000000"/>
          <w:sz w:val="32"/>
          <w:szCs w:val="32"/>
        </w:rPr>
        <w:t>）；《廉政档案管理系统建设项目</w:t>
      </w:r>
      <w:r>
        <w:rPr>
          <w:rFonts w:ascii="仿宋" w:hAnsi="仿宋" w:eastAsia="仿宋"/>
          <w:color w:val="000000"/>
          <w:sz w:val="32"/>
          <w:szCs w:val="32"/>
        </w:rPr>
        <w:t>2020</w:t>
      </w:r>
      <w:r>
        <w:rPr>
          <w:rFonts w:hint="eastAsia" w:ascii="仿宋" w:hAnsi="仿宋" w:eastAsia="仿宋"/>
          <w:color w:val="000000"/>
          <w:sz w:val="32"/>
          <w:szCs w:val="32"/>
        </w:rPr>
        <w:t>年绩效评价报告》见附件（附件3）。</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3"/>
          <w:rFonts w:ascii="黑体" w:hAnsi="黑体" w:eastAsia="黑体"/>
          <w:b w:val="0"/>
        </w:rPr>
      </w:pPr>
      <w:bookmarkStart w:id="105" w:name="_Toc79163629"/>
      <w:bookmarkStart w:id="106" w:name="_Toc15377225"/>
      <w:bookmarkStart w:id="107" w:name="_Toc79163879"/>
      <w:bookmarkStart w:id="108" w:name="_Toc15396613"/>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1.</w:t>
      </w:r>
      <w:r>
        <w:rPr>
          <w:rFonts w:hint="eastAsia" w:hAnsi="仿宋" w:cs="Times New Roman"/>
          <w:kern w:val="2"/>
          <w:sz w:val="32"/>
          <w:szCs w:val="32"/>
        </w:rPr>
        <w:t>财政拨款收入：指单位从同级财政部门取得的财政预算资金。</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2.</w:t>
      </w:r>
      <w:r>
        <w:rPr>
          <w:rFonts w:hint="eastAsia" w:hAnsi="仿宋" w:cs="Times New Roman"/>
          <w:kern w:val="2"/>
          <w:sz w:val="32"/>
          <w:szCs w:val="32"/>
        </w:rPr>
        <w:t>事业收入：指事业单位开展专业业务活动及辅助活动取得的收入。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3.</w:t>
      </w:r>
      <w:r>
        <w:rPr>
          <w:rFonts w:hint="eastAsia" w:hAnsi="仿宋" w:cs="Times New Roman"/>
          <w:kern w:val="2"/>
          <w:sz w:val="32"/>
          <w:szCs w:val="32"/>
        </w:rPr>
        <w:t>经营收入：指事业单位在专业业务活动及其辅助活动之外开展非独立核算经营活动取得的收入。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4.</w:t>
      </w:r>
      <w:r>
        <w:rPr>
          <w:rFonts w:hint="eastAsia" w:hAnsi="仿宋" w:cs="Times New Roman"/>
          <w:kern w:val="2"/>
          <w:sz w:val="32"/>
          <w:szCs w:val="32"/>
        </w:rPr>
        <w:t>其他收入：指单位取得的除上述收入以外的各项收入。</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5.</w:t>
      </w:r>
      <w:r>
        <w:rPr>
          <w:rFonts w:hint="eastAsia" w:hAnsi="仿宋" w:cs="Times New Roman"/>
          <w:kern w:val="2"/>
          <w:sz w:val="32"/>
          <w:szCs w:val="32"/>
        </w:rPr>
        <w:t>使用非财政拨款结余：指事业单位使用以前年度积累的非财政拨款结余弥补当年收支差额的金额。</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6.</w:t>
      </w:r>
      <w:r>
        <w:rPr>
          <w:rFonts w:hint="eastAsia" w:hAnsi="仿宋" w:cs="Times New Roman"/>
          <w:kern w:val="2"/>
          <w:sz w:val="32"/>
          <w:szCs w:val="32"/>
        </w:rPr>
        <w:t>年初结转和结余：指以前年度尚未完成、结转到本年按有关规定继续使用的资金。</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7.</w:t>
      </w:r>
      <w:r>
        <w:rPr>
          <w:rFonts w:hint="eastAsia" w:hAnsi="仿宋" w:cs="Times New Roman"/>
          <w:kern w:val="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hAnsi="仿宋" w:cs="Times New Roman"/>
          <w:kern w:val="2"/>
          <w:sz w:val="32"/>
          <w:szCs w:val="32"/>
        </w:rPr>
      </w:pPr>
      <w:r>
        <w:rPr>
          <w:rFonts w:hAnsi="仿宋" w:cs="Times New Roman"/>
          <w:kern w:val="2"/>
          <w:sz w:val="32"/>
          <w:szCs w:val="32"/>
        </w:rPr>
        <w:t>8</w:t>
      </w:r>
      <w:r>
        <w:rPr>
          <w:rFonts w:hint="eastAsia" w:hAnsi="仿宋" w:cs="Times New Roman"/>
          <w:kern w:val="2"/>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 xml:space="preserve"> 一般公共服务（类）纪检监察事务（款）行政运行（项）：指单位开展日常工作所需日常公用经费开支及单位职工的人员经费开支。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 xml:space="preserve"> 一般公共服务（类）纪检监察事务（款）一般行政管理事务（项）：指单位申请日常工作所需专项开支经费。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 xml:space="preserve"> 一般公共服务（类）纪检监察事务（款）事业运行（项）：指单位开展日常工作所需日常公用经费开支及单位职工的人员经费开支。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12. 一般公共服务（类）纪检监察事务（款）其他纪检监察事务支出（项）：指单位申请日常工作所需专项开支经费。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（款）机关事业单位基本养老保险缴费支出（项）：指给单位职工缴纳单位部分的养老保险。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w:t>
      </w:r>
      <w:r>
        <w:rPr>
          <w:rFonts w:hint="eastAsia" w:ascii="仿宋" w:hAnsi="仿宋" w:eastAsia="仿宋"/>
          <w:color w:val="000000"/>
          <w:sz w:val="32"/>
          <w:szCs w:val="32"/>
          <w:lang w:eastAsia="zh-CN"/>
        </w:rPr>
        <w:t>单位养老支出</w:t>
      </w:r>
      <w:r>
        <w:rPr>
          <w:rFonts w:hint="eastAsia" w:ascii="仿宋" w:hAnsi="仿宋" w:eastAsia="仿宋"/>
          <w:color w:val="000000"/>
          <w:sz w:val="32"/>
          <w:szCs w:val="32"/>
        </w:rPr>
        <w:t>（款）机关事业单位职业年金缴费支出（项）：指给单位职工缴纳单位部分职业年金。。</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5</w:t>
      </w:r>
      <w:r>
        <w:rPr>
          <w:rFonts w:ascii="仿宋" w:hAnsi="仿宋" w:eastAsia="仿宋"/>
          <w:color w:val="000000"/>
          <w:sz w:val="32"/>
          <w:szCs w:val="32"/>
        </w:rPr>
        <w:t>.</w:t>
      </w:r>
      <w:r>
        <w:rPr>
          <w:rFonts w:hint="eastAsia" w:ascii="仿宋" w:hAnsi="仿宋" w:eastAsia="仿宋"/>
          <w:color w:val="000000"/>
          <w:sz w:val="32"/>
          <w:szCs w:val="32"/>
        </w:rPr>
        <w:t>卫生健康支出（类）行政事业单位医疗（款）行政单位医疗（项）：指给单位职工缴纳单位部分的医疗保险。</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16.卫生健康支出（类）行政事业单位医疗（款）事业单位医疗（项）：指给单位事业人员缴纳单位部分的医疗保险。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(类)住房改革支出（款）住房公积金（项）：指给单位职工缴纳单位部分的住房公积金。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19</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33"/>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jc w:val="left"/>
        <w:rPr>
          <w:rStyle w:val="23"/>
          <w:rFonts w:ascii="仿宋_GB2312" w:hAnsi="Calibri" w:eastAsia="仿宋_GB2312" w:cs="仿宋"/>
          <w:b w:val="0"/>
          <w:bCs w:val="0"/>
          <w:kern w:val="0"/>
          <w:sz w:val="32"/>
          <w:szCs w:val="32"/>
        </w:rPr>
      </w:pPr>
      <w:r>
        <w:rPr>
          <w:rFonts w:hint="eastAsia" w:hAnsi="仿宋" w:cs="Times New Roman"/>
          <w:kern w:val="2"/>
          <w:sz w:val="32"/>
          <w:szCs w:val="32"/>
        </w:rPr>
        <w:t>21</w:t>
      </w:r>
      <w:r>
        <w:rPr>
          <w:rFonts w:hAnsi="仿宋" w:cs="Times New Roman"/>
          <w:kern w:val="2"/>
          <w:sz w:val="32"/>
          <w:szCs w:val="32"/>
        </w:rPr>
        <w:t>.</w:t>
      </w:r>
      <w:r>
        <w:rPr>
          <w:rFonts w:hint="eastAsia" w:hAnsi="仿宋" w:cs="Times New Roman"/>
          <w:kern w:val="2"/>
          <w:sz w:val="32"/>
          <w:szCs w:val="32"/>
        </w:rPr>
        <w:t>机关运</w:t>
      </w:r>
      <w:bookmarkStart w:id="161" w:name="_GoBack"/>
      <w:bookmarkEnd w:id="161"/>
      <w:r>
        <w:rPr>
          <w:rFonts w:hint="eastAsia" w:hAnsi="仿宋" w:cs="Times New Roman"/>
          <w:kern w:val="2"/>
          <w:sz w:val="32"/>
          <w:szCs w:val="32"/>
        </w:rPr>
        <w:t>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9" w:name="_Toc15377226"/>
      <w:r>
        <w:rPr>
          <w:rFonts w:ascii="宋体"/>
          <w:b/>
          <w:sz w:val="44"/>
          <w:szCs w:val="44"/>
        </w:rPr>
        <w:br w:type="page"/>
      </w:r>
      <w:bookmarkStart w:id="110" w:name="_Toc79163630"/>
      <w:bookmarkStart w:id="111" w:name="_Toc15396614"/>
      <w:bookmarkStart w:id="112" w:name="_Toc79163880"/>
      <w:r>
        <w:rPr>
          <w:rFonts w:hint="eastAsia" w:ascii="黑体" w:hAnsi="黑体" w:eastAsia="黑体"/>
          <w:sz w:val="44"/>
          <w:szCs w:val="44"/>
        </w:rPr>
        <w:t>第</w:t>
      </w:r>
      <w:r>
        <w:rPr>
          <w:rStyle w:val="23"/>
          <w:rFonts w:hint="eastAsia" w:ascii="黑体" w:hAnsi="黑体" w:eastAsia="黑体"/>
          <w:b w:val="0"/>
        </w:rPr>
        <w:t>四部分附件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2021年茂县纪委整体支出</w:t>
      </w: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绩效评价报告</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一、部门概况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（一）机构组成</w:t>
      </w:r>
    </w:p>
    <w:p>
      <w:pPr>
        <w:widowControl/>
        <w:spacing w:line="600" w:lineRule="exact"/>
        <w:ind w:left="210" w:leftChars="100" w:firstLine="640" w:firstLineChars="200"/>
        <w:jc w:val="left"/>
        <w:rPr>
          <w:rFonts w:ascii="仿宋" w:hAnsi="仿宋" w:eastAsia="仿宋"/>
          <w:color w:val="000000"/>
          <w:sz w:val="32"/>
          <w:szCs w:val="32"/>
        </w:rPr>
      </w:pPr>
      <w:r>
        <w:rPr>
          <w:rFonts w:hint="eastAsia" w:ascii="仿宋" w:hAnsi="仿宋" w:eastAsia="仿宋"/>
          <w:color w:val="000000"/>
          <w:sz w:val="32"/>
          <w:szCs w:val="32"/>
        </w:rPr>
        <w:t>本部门下属二级预算单位0个，其中内设机构为10室1委1中心。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（二）机构职能</w:t>
      </w:r>
    </w:p>
    <w:p>
      <w:pPr>
        <w:spacing w:line="520" w:lineRule="exact"/>
        <w:ind w:firstLine="576" w:firstLineChars="180"/>
        <w:rPr>
          <w:rFonts w:ascii="仿宋" w:hAnsi="仿宋" w:eastAsia="仿宋"/>
          <w:color w:val="000000"/>
          <w:sz w:val="32"/>
          <w:szCs w:val="32"/>
        </w:rPr>
      </w:pPr>
      <w:r>
        <w:rPr>
          <w:rFonts w:hint="eastAsia" w:ascii="仿宋" w:hAnsi="仿宋" w:eastAsia="仿宋"/>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6.会同有关部门做好行政监察工作的方针、政策和法律法规的宣传工作，教育国家机关工作人员遵纪守法、为政清廉。</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7.负责对党的纪检工作理论及有关问题进行调查研究，拟定党纪条规和政策规定，参与制定党内法规。</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8.调查研究县政府各部门和各乡镇人民政府制定有关政策、法规的情况，对违反国家法律、法规的条款，提出修改、补充的建议。</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10.完成县委、政府和州纪委监察委授权和交办的其他任务。</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（三）人员概况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总编制72名,其中:行政编制60名,参照公务员法管理的事业编制0名，行政工勤编制5名，事业编制7名，事业工勤编制0名。在职人员总数68名，其中：行政人员54名，参照公务员法管理的事业人员0名，行政工勤人员7名；事业人员7名，事业工勤人员0名。离休人员0人，退休人员7人；编外长期聘用人员0名。</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二、部门财政资金收支情况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（一）部门财政资金收入情况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2020年，部门财政拨款收入为1570.67万元。其中一般公共预算财政拨款为1570.67万元。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2021年1-6月，部门财政拨款收入为815.9万元。其中一般公共预算财政拨款为815.9万元。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（二）部门财政资金支出情况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2021年1-6月，部门财政拨款支出为819.17万元。其中一般公共预算财政拨款为819.17万元。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三、部门整体预算绩效管理情况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2020年部门财政拨款收入总额为1570.67万元。其中一般公共预算财政拨款为1570.67万元。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（二）结果应用情况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四、评价结论及建议</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第一，评价结论为良好；第二，存在问题，需进一步加强完善制度建设；第三，改进建议，不断总结经验，不断完善制度。</w:t>
      </w:r>
    </w:p>
    <w:p>
      <w:pPr>
        <w:widowControl/>
        <w:adjustRightInd w:val="0"/>
        <w:snapToGrid w:val="0"/>
        <w:spacing w:line="580" w:lineRule="exact"/>
        <w:contextualSpacing/>
        <w:jc w:val="left"/>
        <w:rPr>
          <w:rFonts w:ascii="仿宋" w:hAnsi="仿宋" w:eastAsia="仿宋"/>
          <w:color w:val="000000"/>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rPr>
      </w:pPr>
      <w:bookmarkStart w:id="115" w:name="_Toc79163633"/>
      <w:bookmarkStart w:id="116" w:name="_Toc79163883"/>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15"/>
      <w:bookmarkEnd w:id="116"/>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bookmarkStart w:id="117" w:name="_Toc79163635"/>
      <w:bookmarkStart w:id="118" w:name="_Toc15396618"/>
      <w:bookmarkStart w:id="119" w:name="_Toc79163885"/>
      <w:r>
        <w:rPr>
          <w:rFonts w:hint="eastAsia" w:ascii="方正小标宋简体" w:hAnsi="方正小标宋简体" w:eastAsia="方正小标宋简体" w:cs="方正小标宋简体"/>
          <w:color w:val="auto"/>
          <w:kern w:val="2"/>
          <w:sz w:val="40"/>
          <w:szCs w:val="40"/>
        </w:rPr>
        <w:t>茂县纪委</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关于项目支出绩效自评报告</w:t>
      </w:r>
    </w:p>
    <w:p>
      <w:pPr>
        <w:pStyle w:val="39"/>
        <w:spacing w:line="600" w:lineRule="exact"/>
        <w:ind w:firstLine="640"/>
        <w:jc w:val="center"/>
        <w:rPr>
          <w:rFonts w:ascii="宋体" w:hAnsi="宋体"/>
          <w:color w:val="auto"/>
          <w:kern w:val="2"/>
          <w:sz w:val="32"/>
          <w:szCs w:val="32"/>
        </w:rPr>
      </w:pPr>
      <w:r>
        <w:rPr>
          <w:rFonts w:hint="eastAsia" w:ascii="宋体" w:hAnsi="宋体"/>
          <w:color w:val="auto"/>
          <w:kern w:val="2"/>
          <w:sz w:val="32"/>
          <w:szCs w:val="32"/>
        </w:rPr>
        <w:t>（州纪委在茂县留置点、谈话点钢架棚建设项目）</w:t>
      </w:r>
    </w:p>
    <w:p>
      <w:pPr>
        <w:adjustRightInd w:val="0"/>
        <w:snapToGrid w:val="0"/>
        <w:spacing w:line="600" w:lineRule="exact"/>
        <w:ind w:firstLine="720"/>
        <w:rPr>
          <w:rFonts w:ascii="仿宋" w:hAnsi="仿宋" w:eastAsia="仿宋"/>
          <w:b/>
          <w:color w:val="000000"/>
          <w:sz w:val="32"/>
          <w:szCs w:val="32"/>
        </w:rPr>
      </w:pPr>
      <w:r>
        <w:rPr>
          <w:rFonts w:hint="eastAsia" w:ascii="仿宋" w:hAnsi="仿宋" w:eastAsia="仿宋"/>
          <w:b/>
          <w:color w:val="000000"/>
          <w:sz w:val="32"/>
          <w:szCs w:val="32"/>
        </w:rPr>
        <w:t>一、项目概况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（一）项目基本情况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1.中共茂县纪律检查委员会在该项目中是主管实施单位。</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2.项目名称：州纪委在茂县留置点、谈话点钢架棚建设项目，工程地点：茂县谈话点；我单位经过项目比选，按照茂财质金（2019）12093号文件，按项目进度进行资金管理支付。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（二）项目绩效目标</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1.项目主要内容：钢架棚屋面及防水工程。</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2.项目应实现的具体绩效目标是，完成留置谈话点的场所供应。</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3.通过分析评价申报内容与实际是相符的，申报目标是合理可行的。</w:t>
      </w:r>
    </w:p>
    <w:p>
      <w:pPr>
        <w:adjustRightInd w:val="0"/>
        <w:snapToGrid w:val="0"/>
        <w:spacing w:line="600" w:lineRule="exact"/>
        <w:ind w:firstLine="720"/>
        <w:rPr>
          <w:rFonts w:ascii="仿宋" w:hAnsi="仿宋" w:eastAsia="仿宋"/>
          <w:b/>
          <w:color w:val="000000"/>
          <w:sz w:val="32"/>
          <w:szCs w:val="32"/>
        </w:rPr>
      </w:pPr>
      <w:r>
        <w:rPr>
          <w:rFonts w:hint="eastAsia" w:ascii="仿宋" w:hAnsi="仿宋" w:eastAsia="仿宋"/>
          <w:b/>
          <w:color w:val="000000"/>
          <w:sz w:val="32"/>
          <w:szCs w:val="32"/>
        </w:rPr>
        <w:t>二、项目资金申报及使用情况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（一）项目资金申报及批复情况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该项目于2019年11月8日通过比选决定由四川升航建筑工程有限公司实施建设，资金于2020年1月7日由县财政局拨付到位54万元，项目合同总价款为46.42万元，按照项目实施进度支付款项，于2020年4月2日项目通过验收后支付35.52万元、2020年12月21日支付8.57万元，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（二）资金到位及使用情况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1．资金到位情况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资金于2020年1月7日由县财政局拨付到位54万元。项目资金及时到位，资金到位率100％。</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2．资金使用情况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州纪委在茂县留置点、谈话点钢架棚建设项目总价款6万元，已完工于2020年4月2日项目通过验收后支付35.52万元、2020年12月21日支付8.57万元，一年质保期后支付5%尾款。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（三）项目财务管理情况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三、项目实施及管理情况</w:t>
      </w:r>
    </w:p>
    <w:p>
      <w:pPr>
        <w:adjustRightInd w:val="0"/>
        <w:snapToGrid w:val="0"/>
        <w:spacing w:line="600" w:lineRule="exact"/>
        <w:ind w:firstLine="720"/>
        <w:rPr>
          <w:rFonts w:ascii="仿宋" w:hAnsi="仿宋" w:eastAsia="仿宋"/>
          <w:color w:val="000000"/>
          <w:sz w:val="32"/>
          <w:szCs w:val="32"/>
        </w:rPr>
      </w:pPr>
      <w:r>
        <w:rPr>
          <w:rFonts w:ascii="仿宋" w:hAnsi="仿宋" w:eastAsia="仿宋"/>
          <w:color w:val="000000"/>
          <w:sz w:val="32"/>
          <w:szCs w:val="32"/>
        </w:rPr>
        <w:t>一是</w:t>
      </w:r>
      <w:r>
        <w:rPr>
          <w:rFonts w:hint="eastAsia" w:ascii="仿宋" w:hAnsi="仿宋" w:eastAsia="仿宋"/>
          <w:color w:val="000000"/>
          <w:sz w:val="32"/>
          <w:szCs w:val="32"/>
        </w:rPr>
        <w:t>项目公开</w:t>
      </w:r>
      <w:r>
        <w:rPr>
          <w:rFonts w:ascii="仿宋" w:hAns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hint="eastAsia" w:ascii="仿宋" w:hAnsi="仿宋" w:eastAsia="仿宋"/>
          <w:color w:val="000000"/>
          <w:sz w:val="32"/>
          <w:szCs w:val="32"/>
        </w:rPr>
        <w:t>管</w:t>
      </w:r>
      <w:r>
        <w:rPr>
          <w:rFonts w:ascii="仿宋" w:hAnsi="仿宋" w:eastAsia="仿宋"/>
          <w:color w:val="000000"/>
          <w:sz w:val="32"/>
          <w:szCs w:val="32"/>
        </w:rPr>
        <w:t>制。主动向县财政申请资金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四、项目绩效情况</w:t>
      </w:r>
      <w:r>
        <w:rPr>
          <w:rFonts w:hint="eastAsia" w:ascii="仿宋" w:hAnsi="仿宋" w:eastAsia="仿宋"/>
          <w:b w:val="0"/>
          <w:bCs/>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（一）项目完成情况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完成了州纪委在茂县留置点、谈话点钢架棚建设。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（二）项目效益情况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为办案提供了安全场所，做到合法合规办案。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五、评价结论及建议</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w:t>
      </w:r>
      <w:r>
        <w:rPr>
          <w:rFonts w:hint="eastAsia" w:ascii="仿宋" w:hAnsi="仿宋" w:eastAsia="仿宋"/>
          <w:b/>
          <w:color w:val="000000"/>
          <w:sz w:val="32"/>
          <w:szCs w:val="32"/>
        </w:rPr>
        <w:t>。</w:t>
      </w:r>
      <w:r>
        <w:rPr>
          <w:rFonts w:hint="eastAsia" w:ascii="仿宋" w:hAnsi="仿宋" w:eastAsia="仿宋"/>
          <w:color w:val="000000"/>
          <w:sz w:val="32"/>
          <w:szCs w:val="32"/>
        </w:rPr>
        <w:t>落实分管领导和具体工作人员，主要领导亲自抓，分管领导具体抓，把任务、责任落实到人，强化目标责任制。</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2.加强项目宣传工作。充分调动群众参与项目建设积极性，把项目宣传贯彻项目实施始终。</w:t>
      </w:r>
      <w:r>
        <w:rPr>
          <w:rFonts w:hint="eastAsia" w:ascii="仿宋" w:hAnsi="仿宋" w:eastAsia="仿宋"/>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（二）相关建议</w:t>
      </w:r>
    </w:p>
    <w:p>
      <w:pPr>
        <w:adjustRightInd w:val="0"/>
        <w:snapToGrid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加强部门协调配合，从项目申报，项目设计及投资预算，项目监管，项目验收全过程加强同县级相关业务部门协调配合，确保项目质量及资金发挥最大效益。</w:t>
      </w:r>
    </w:p>
    <w:p>
      <w:pPr>
        <w:adjustRightInd w:val="0"/>
        <w:snapToGrid w:val="0"/>
        <w:spacing w:line="600" w:lineRule="exact"/>
        <w:ind w:firstLine="640" w:firstLineChars="200"/>
        <w:rPr>
          <w:rFonts w:ascii="仿宋" w:hAnsi="仿宋" w:eastAsia="仿宋"/>
          <w:color w:val="000000"/>
          <w:sz w:val="32"/>
          <w:szCs w:val="32"/>
        </w:rPr>
      </w:pPr>
    </w:p>
    <w:p>
      <w:pPr>
        <w:spacing w:line="600" w:lineRule="exact"/>
        <w:ind w:right="420" w:firstLine="4800" w:firstLineChars="1500"/>
        <w:outlineLvl w:val="0"/>
        <w:rPr>
          <w:rFonts w:ascii="仿宋" w:hAnsi="仿宋" w:eastAsia="仿宋"/>
          <w:color w:val="000000"/>
          <w:sz w:val="32"/>
          <w:szCs w:val="32"/>
        </w:rPr>
      </w:pPr>
      <w:r>
        <w:rPr>
          <w:rFonts w:hint="eastAsia" w:ascii="仿宋" w:hAnsi="仿宋" w:eastAsia="仿宋"/>
          <w:color w:val="000000"/>
          <w:sz w:val="32"/>
          <w:szCs w:val="32"/>
        </w:rPr>
        <w:t xml:space="preserve">                          </w:t>
      </w:r>
    </w:p>
    <w:p>
      <w:pPr>
        <w:pStyle w:val="39"/>
        <w:spacing w:line="600" w:lineRule="exact"/>
        <w:ind w:firstLine="883"/>
        <w:jc w:val="left"/>
        <w:rPr>
          <w:rFonts w:hint="eastAsia" w:ascii="方正小标宋简体" w:hAnsi="方正小标宋简体" w:eastAsia="方正小标宋简体" w:cs="方正小标宋简体"/>
          <w:color w:val="auto"/>
          <w:kern w:val="2"/>
          <w:sz w:val="40"/>
          <w:szCs w:val="40"/>
        </w:rPr>
      </w:pPr>
    </w:p>
    <w:p>
      <w:pPr>
        <w:pStyle w:val="39"/>
        <w:spacing w:line="600" w:lineRule="exact"/>
        <w:ind w:firstLine="883"/>
        <w:jc w:val="left"/>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附件3：</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茂县纪委</w:t>
      </w:r>
    </w:p>
    <w:p>
      <w:pPr>
        <w:pStyle w:val="39"/>
        <w:spacing w:line="600" w:lineRule="exact"/>
        <w:ind w:firstLine="883"/>
        <w:jc w:val="center"/>
        <w:rPr>
          <w:rFonts w:ascii="方正小标宋简体" w:hAnsi="方正小标宋简体" w:eastAsia="方正小标宋简体" w:cs="方正小标宋简体"/>
          <w:color w:val="auto"/>
          <w:kern w:val="2"/>
          <w:sz w:val="40"/>
          <w:szCs w:val="40"/>
        </w:rPr>
      </w:pPr>
      <w:r>
        <w:rPr>
          <w:rFonts w:hint="eastAsia" w:ascii="方正小标宋简体" w:hAnsi="方正小标宋简体" w:eastAsia="方正小标宋简体" w:cs="方正小标宋简体"/>
          <w:color w:val="auto"/>
          <w:kern w:val="2"/>
          <w:sz w:val="40"/>
          <w:szCs w:val="40"/>
        </w:rPr>
        <w:t>关于项目支出绩效自评报告</w:t>
      </w:r>
    </w:p>
    <w:p>
      <w:pPr>
        <w:pStyle w:val="39"/>
        <w:spacing w:line="600" w:lineRule="exact"/>
        <w:ind w:firstLine="640"/>
        <w:jc w:val="center"/>
        <w:rPr>
          <w:rFonts w:ascii="宋体" w:hAnsi="宋体"/>
          <w:color w:val="auto"/>
          <w:kern w:val="2"/>
          <w:sz w:val="32"/>
          <w:szCs w:val="32"/>
        </w:rPr>
      </w:pPr>
      <w:r>
        <w:rPr>
          <w:rFonts w:hint="eastAsia" w:ascii="宋体" w:hAnsi="宋体"/>
          <w:color w:val="auto"/>
          <w:kern w:val="2"/>
          <w:sz w:val="32"/>
          <w:szCs w:val="32"/>
        </w:rPr>
        <w:t>（廉政档案管理系统）</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一、项目概况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（一）项目基本情况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1.中共茂县纪律检查委员会在该项目中是主管实施单位。</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为全面贯彻中共中央、国务院《关于实行党风廉政建设责任制的规定》等工作要求，全面启动电子监察廉政管理系统建设工作，我单位经过项目比选，按照财返（2020）770号文件，按照项目进度进行资金管理支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（二）项目绩效目标</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1.项目主要内容：构建廉政档案管理系统平台，通过平台建设健全茂县领导干部廉洁自律监督管理机制；全面完整建档，通过线索处置、问责情况、统计分析等，实现对廉政档案管理的科学化、信息化、制度化和动态化管理；实现提升茂县廉政建设工作的针对性与时效性。</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2.项目应实现的具体绩效目标是，完成廉政档案管理系统平台部署。</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3.通过分析评价申报内容与实际是相符的，申报目标是合理可行的。</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二、项目资金申报及使用情况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（一）项目资金申报及批复情况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该项目于2019年12月6日通过比选决定由四川思多瑞科技有限公司实施建设，资金于2019年12月27日由县财政局拨付到位6万元，按照项目实施进度支付款项，于2020年2月19日，项目交付使用通过验收后支付95%款项，一年质保期后支付5%尾款。</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（二）资金到位及使用情况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1．资金到位情况</w:t>
      </w:r>
    </w:p>
    <w:p>
      <w:pPr>
        <w:pStyle w:val="16"/>
        <w:spacing w:line="560" w:lineRule="exact"/>
        <w:ind w:left="0" w:leftChars="0" w:firstLine="640" w:firstLineChars="200"/>
        <w:rPr>
          <w:rFonts w:ascii="仿宋" w:hAnsi="仿宋" w:eastAsia="仿宋"/>
          <w:color w:val="000000"/>
          <w:szCs w:val="32"/>
        </w:rPr>
      </w:pPr>
      <w:r>
        <w:rPr>
          <w:rFonts w:hint="eastAsia" w:ascii="仿宋" w:hAnsi="仿宋" w:eastAsia="仿宋"/>
          <w:color w:val="000000"/>
          <w:szCs w:val="32"/>
        </w:rPr>
        <w:t>2019年12月27日县</w:t>
      </w:r>
      <w:r>
        <w:rPr>
          <w:rFonts w:ascii="仿宋" w:hAnsi="仿宋" w:eastAsia="仿宋"/>
          <w:color w:val="000000"/>
          <w:szCs w:val="32"/>
        </w:rPr>
        <w:t>财政局</w:t>
      </w:r>
      <w:r>
        <w:rPr>
          <w:rFonts w:hint="eastAsia" w:ascii="仿宋" w:hAnsi="仿宋" w:eastAsia="仿宋"/>
          <w:color w:val="000000"/>
          <w:szCs w:val="32"/>
        </w:rPr>
        <w:t>拨付6万元。项目资金及时到位，资金到位率100％。</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2．资金使用情况</w:t>
      </w:r>
    </w:p>
    <w:p>
      <w:pPr>
        <w:pStyle w:val="39"/>
        <w:spacing w:line="560" w:lineRule="exact"/>
        <w:ind w:firstLine="640" w:firstLineChars="200"/>
        <w:rPr>
          <w:rFonts w:ascii="仿宋" w:hAnsi="仿宋" w:eastAsia="仿宋"/>
          <w:kern w:val="2"/>
          <w:sz w:val="32"/>
          <w:szCs w:val="32"/>
          <w:lang w:val="en-US"/>
        </w:rPr>
      </w:pPr>
      <w:r>
        <w:rPr>
          <w:rFonts w:hint="eastAsia" w:ascii="仿宋" w:hAnsi="仿宋" w:eastAsia="仿宋"/>
          <w:kern w:val="2"/>
          <w:sz w:val="32"/>
          <w:szCs w:val="32"/>
          <w:lang w:val="en-US"/>
        </w:rPr>
        <w:t>茂县廉政档案管理系统建设项目总价款6万元，已完工于2020年2月19日报95%的款项，结余5%质保金已退回财政，待2021年再申请拨付。</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（三）项目财务管理情况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三、项目实施及管理情况</w:t>
      </w:r>
    </w:p>
    <w:p>
      <w:pPr>
        <w:adjustRightInd w:val="0"/>
        <w:snapToGrid w:val="0"/>
        <w:spacing w:line="600" w:lineRule="exact"/>
        <w:ind w:firstLine="720"/>
        <w:rPr>
          <w:rFonts w:ascii="仿宋" w:hAnsi="仿宋" w:eastAsia="仿宋"/>
          <w:color w:val="000000"/>
          <w:sz w:val="32"/>
          <w:szCs w:val="32"/>
        </w:rPr>
      </w:pPr>
      <w:r>
        <w:rPr>
          <w:rFonts w:ascii="仿宋" w:hAnsi="仿宋" w:eastAsia="仿宋"/>
          <w:color w:val="000000"/>
          <w:sz w:val="32"/>
          <w:szCs w:val="32"/>
        </w:rPr>
        <w:t>一是</w:t>
      </w:r>
      <w:r>
        <w:rPr>
          <w:rFonts w:hint="eastAsia" w:ascii="仿宋" w:hAnsi="仿宋" w:eastAsia="仿宋"/>
          <w:color w:val="000000"/>
          <w:sz w:val="32"/>
          <w:szCs w:val="32"/>
        </w:rPr>
        <w:t>项目公开</w:t>
      </w:r>
      <w:r>
        <w:rPr>
          <w:rFonts w:ascii="仿宋" w:hAns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hint="eastAsia" w:ascii="仿宋" w:hAnsi="仿宋" w:eastAsia="仿宋"/>
          <w:color w:val="000000"/>
          <w:sz w:val="32"/>
          <w:szCs w:val="32"/>
        </w:rPr>
        <w:t>管</w:t>
      </w:r>
      <w:r>
        <w:rPr>
          <w:rFonts w:ascii="仿宋" w:hAnsi="仿宋" w:eastAsia="仿宋"/>
          <w:color w:val="000000"/>
          <w:sz w:val="32"/>
          <w:szCs w:val="32"/>
        </w:rPr>
        <w:t>制。主动向县财政申请资金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四、项目绩效情况</w:t>
      </w:r>
      <w:r>
        <w:rPr>
          <w:rFonts w:hint="eastAsia" w:ascii="仿宋" w:hAnsi="仿宋" w:eastAsia="仿宋"/>
          <w:b w:val="0"/>
          <w:bCs/>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（一）项目完成情况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完成了廉政档案管理系统平台部署。</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（二）项目效益情况</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利用《廉政档案管理系统》建立的各级干部廉政档案信息库可以实现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其廉政档案，执法监察，效能监察、行风评议、信访举报等多项内容可有效提高各级纪检监察机关的工作效率，降低了办公成本，提高了政府工作人员信息化应用水平，是各级纪检监察机关对领导干部实行有效监督管理的首选工具。</w:t>
      </w:r>
    </w:p>
    <w:p>
      <w:pPr>
        <w:adjustRightInd w:val="0"/>
        <w:snapToGrid w:val="0"/>
        <w:spacing w:line="600" w:lineRule="exact"/>
        <w:ind w:firstLine="720"/>
        <w:rPr>
          <w:rFonts w:ascii="仿宋" w:hAnsi="仿宋" w:eastAsia="仿宋"/>
          <w:b w:val="0"/>
          <w:bCs/>
          <w:color w:val="000000"/>
          <w:sz w:val="32"/>
          <w:szCs w:val="32"/>
        </w:rPr>
      </w:pPr>
      <w:r>
        <w:rPr>
          <w:rFonts w:hint="eastAsia" w:ascii="仿宋" w:hAnsi="仿宋" w:eastAsia="仿宋"/>
          <w:b w:val="0"/>
          <w:bCs/>
          <w:color w:val="000000"/>
          <w:sz w:val="32"/>
          <w:szCs w:val="32"/>
        </w:rPr>
        <w:t>五、评价结论及建议</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（一）评价结论</w:t>
      </w:r>
    </w:p>
    <w:p>
      <w:pPr>
        <w:adjustRightInd w:val="0"/>
        <w:snapToGrid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按照“总体规划、先易后难、试点先行、分步实施”的工作思路，紧密结合茂县实际情况，初步整合形成统一的大综合电子监察平台，前期通过试点逐步推进电子监察廉政管理系统；后期不断完善。</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（二）存在的问题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1.加强制度建设，明确工作责任。落实分管领导和具体工作人员，主要领导亲自抓，分管领导具体抓，把任务、责任落实到人，强化目标责任制。</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2.加强项目宣传工作。充分调动群众参与项目建设积极性，把项目宣传贯彻项目实施始终。</w:t>
      </w:r>
      <w:r>
        <w:rPr>
          <w:rFonts w:hint="eastAsia" w:ascii="仿宋" w:hAnsi="仿宋" w:eastAsia="仿宋"/>
          <w:color w:val="000000"/>
          <w:sz w:val="32"/>
          <w:szCs w:val="32"/>
        </w:rPr>
        <w:tab/>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olor w:val="000000"/>
          <w:sz w:val="32"/>
          <w:szCs w:val="32"/>
        </w:rPr>
        <w:t>（三）相关建议</w:t>
      </w:r>
    </w:p>
    <w:p>
      <w:pPr>
        <w:adjustRightInd w:val="0"/>
        <w:snapToGrid w:val="0"/>
        <w:spacing w:line="600" w:lineRule="exact"/>
        <w:ind w:firstLine="640" w:firstLineChars="200"/>
        <w:rPr>
          <w:rFonts w:ascii="仿宋_GB2312" w:hAnsi="宋体"/>
          <w:lang w:val="zh-CN"/>
        </w:rPr>
      </w:pPr>
      <w:r>
        <w:rPr>
          <w:rFonts w:hint="eastAsia" w:ascii="仿宋" w:hAnsi="仿宋" w:eastAsia="仿宋"/>
          <w:color w:val="000000"/>
          <w:sz w:val="32"/>
          <w:szCs w:val="32"/>
        </w:rPr>
        <w:t>加强部门协调配合，从项目申报，项目设计及投资预算，项目监管，项目验收全过程加强同县级相关业务部门协调配合，确保项目质量及资金发挥最大效益。</w:t>
      </w:r>
    </w:p>
    <w:p/>
    <w:p/>
    <w:p/>
    <w:p/>
    <w:p/>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五部分附表</w:t>
      </w:r>
      <w:bookmarkEnd w:id="109"/>
      <w:bookmarkEnd w:id="117"/>
      <w:bookmarkEnd w:id="118"/>
      <w:bookmarkEnd w:id="119"/>
    </w:p>
    <w:p>
      <w:pPr>
        <w:pStyle w:val="3"/>
        <w:rPr>
          <w:rFonts w:ascii="仿宋" w:hAnsi="仿宋" w:eastAsia="仿宋"/>
          <w:color w:val="000000"/>
        </w:rPr>
      </w:pPr>
      <w:bookmarkStart w:id="120" w:name="_Toc15396619"/>
      <w:bookmarkStart w:id="121" w:name="_Toc79163886"/>
      <w:bookmarkStart w:id="122" w:name="_Toc79163636"/>
      <w:r>
        <w:rPr>
          <w:rFonts w:hint="eastAsia" w:ascii="仿宋" w:hAnsi="仿宋" w:eastAsia="仿宋"/>
          <w:b w:val="0"/>
          <w:color w:val="000000"/>
        </w:rPr>
        <w:t>一、收</w:t>
      </w:r>
      <w:r>
        <w:rPr>
          <w:rStyle w:val="24"/>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79163887"/>
      <w:bookmarkStart w:id="124" w:name="_Toc15396620"/>
      <w:bookmarkStart w:id="125" w:name="_Toc79163637"/>
      <w:r>
        <w:rPr>
          <w:rFonts w:hint="eastAsia" w:ascii="仿宋" w:hAnsi="仿宋" w:eastAsia="仿宋"/>
          <w:b w:val="0"/>
          <w:color w:val="000000"/>
        </w:rPr>
        <w:t>二、收</w:t>
      </w:r>
      <w:r>
        <w:rPr>
          <w:rStyle w:val="24"/>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79163888"/>
      <w:bookmarkStart w:id="127" w:name="_Toc79163638"/>
      <w:bookmarkStart w:id="128"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79163639"/>
      <w:bookmarkStart w:id="130" w:name="_Toc15396622"/>
      <w:bookmarkStart w:id="131"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9"/>
      <w:bookmarkEnd w:id="130"/>
      <w:bookmarkEnd w:id="131"/>
    </w:p>
    <w:p>
      <w:pPr>
        <w:pStyle w:val="3"/>
        <w:rPr>
          <w:rStyle w:val="24"/>
          <w:rFonts w:ascii="仿宋" w:hAnsi="仿宋" w:eastAsia="仿宋"/>
          <w:b w:val="0"/>
          <w:bCs w:val="0"/>
        </w:rPr>
      </w:pPr>
      <w:bookmarkStart w:id="132" w:name="_Toc15396623"/>
      <w:bookmarkStart w:id="133" w:name="_Toc79163640"/>
      <w:bookmarkStart w:id="134"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891"/>
      <w:bookmarkStart w:id="137"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15396625"/>
      <w:bookmarkStart w:id="139" w:name="_Toc79163892"/>
      <w:bookmarkStart w:id="140"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79163893"/>
      <w:bookmarkStart w:id="142" w:name="_Toc79163643"/>
      <w:bookmarkStart w:id="143" w:name="_Toc15396626"/>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15396627"/>
      <w:bookmarkStart w:id="145" w:name="_Toc79163644"/>
      <w:bookmarkStart w:id="146"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15396628"/>
      <w:bookmarkStart w:id="148" w:name="_Toc79163895"/>
      <w:bookmarkStart w:id="149" w:name="_Toc7916364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79163646"/>
      <w:bookmarkStart w:id="151" w:name="_Toc79163896"/>
      <w:bookmarkStart w:id="152"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15396630"/>
      <w:bookmarkStart w:id="154" w:name="_Toc79163897"/>
      <w:bookmarkStart w:id="155"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3"/>
      <w:bookmarkEnd w:id="154"/>
      <w:bookmarkEnd w:id="155"/>
    </w:p>
    <w:p>
      <w:pPr>
        <w:pStyle w:val="3"/>
        <w:rPr>
          <w:rStyle w:val="24"/>
          <w:rFonts w:ascii="仿宋" w:hAnsi="仿宋" w:eastAsia="仿宋"/>
          <w:b w:val="0"/>
          <w:bCs w:val="0"/>
        </w:rPr>
      </w:pPr>
      <w:bookmarkStart w:id="156" w:name="_Toc15396631"/>
      <w:bookmarkStart w:id="157" w:name="_Toc79163898"/>
      <w:bookmarkStart w:id="158" w:name="_Toc7916364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6"/>
      <w:bookmarkEnd w:id="157"/>
      <w:bookmarkEnd w:id="158"/>
    </w:p>
    <w:p>
      <w:pPr>
        <w:pStyle w:val="3"/>
        <w:rPr>
          <w:rStyle w:val="24"/>
          <w:rFonts w:ascii="仿宋" w:hAnsi="仿宋" w:eastAsia="仿宋"/>
          <w:b w:val="0"/>
          <w:bCs w:val="0"/>
        </w:rPr>
      </w:pPr>
      <w:bookmarkStart w:id="159" w:name="_Toc79163899"/>
      <w:bookmarkStart w:id="160" w:name="_Toc79163649"/>
      <w:r>
        <w:rPr>
          <w:rStyle w:val="24"/>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ZTg3MTVjNGVhNGRjM2E0MmI5NTAyMjZiOTZiZW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D5C4B"/>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A2032A3"/>
    <w:rsid w:val="0E610354"/>
    <w:rsid w:val="10C055FF"/>
    <w:rsid w:val="118107EC"/>
    <w:rsid w:val="16BB723D"/>
    <w:rsid w:val="1D155CEE"/>
    <w:rsid w:val="240371BF"/>
    <w:rsid w:val="29FD04D3"/>
    <w:rsid w:val="2D4C49B4"/>
    <w:rsid w:val="2DE45872"/>
    <w:rsid w:val="2E7B083B"/>
    <w:rsid w:val="2FAA3CDA"/>
    <w:rsid w:val="2FCE7D56"/>
    <w:rsid w:val="319F7F4E"/>
    <w:rsid w:val="348A36B1"/>
    <w:rsid w:val="3AD67795"/>
    <w:rsid w:val="3F8D2187"/>
    <w:rsid w:val="41F85F99"/>
    <w:rsid w:val="4337072A"/>
    <w:rsid w:val="4B4671B2"/>
    <w:rsid w:val="4ECE2238"/>
    <w:rsid w:val="525C7787"/>
    <w:rsid w:val="52AE3A6B"/>
    <w:rsid w:val="57826288"/>
    <w:rsid w:val="63B52A52"/>
    <w:rsid w:val="6C4A05C8"/>
    <w:rsid w:val="72734D90"/>
    <w:rsid w:val="72744842"/>
    <w:rsid w:val="74502806"/>
    <w:rsid w:val="7B806764"/>
    <w:rsid w:val="7BE63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able of figures"/>
    <w:basedOn w:val="1"/>
    <w:next w:val="1"/>
    <w:qFormat/>
    <w:uiPriority w:val="0"/>
    <w:pPr>
      <w:ind w:left="200" w:leftChars="200" w:hanging="200" w:hangingChars="200"/>
    </w:pPr>
    <w:rPr>
      <w:rFonts w:eastAsia="仿宋_GB2312"/>
      <w:sz w:val="32"/>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8">
    <w:name w:val="List Paragraph"/>
    <w:basedOn w:val="1"/>
    <w:qFormat/>
    <w:uiPriority w:val="34"/>
    <w:pPr>
      <w:ind w:firstLine="420" w:firstLineChars="200"/>
    </w:pPr>
  </w:style>
  <w:style w:type="paragraph" w:customStyle="1" w:styleId="39">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4"/>
                <c:pt idx="0">
                  <c:v>收入</c:v>
                </c:pt>
                <c:pt idx="1">
                  <c:v>支出</c:v>
                </c:pt>
              </c:strCache>
            </c:strRef>
          </c:cat>
          <c:val>
            <c:numRef>
              <c:f>Sheet1!$B$2:$B$5</c:f>
              <c:numCache>
                <c:formatCode>General</c:formatCode>
                <c:ptCount val="4"/>
                <c:pt idx="0">
                  <c:v>1439.52</c:v>
                </c:pt>
                <c:pt idx="1">
                  <c:v>1439.52</c:v>
                </c:pt>
              </c:numCache>
            </c:numRef>
          </c:val>
        </c:ser>
        <c:ser>
          <c:idx val="1"/>
          <c:order val="1"/>
          <c:tx>
            <c:strRef>
              <c:f>Sheet1!$C$1</c:f>
              <c:strCache>
                <c:ptCount val="1"/>
                <c:pt idx="0">
                  <c:v>2020年</c:v>
                </c:pt>
              </c:strCache>
            </c:strRef>
          </c:tx>
          <c:invertIfNegative val="0"/>
          <c:dLbls>
            <c:delete val="1"/>
          </c:dLbls>
          <c:cat>
            <c:strRef>
              <c:f>Sheet1!$A$2:$A$5</c:f>
              <c:strCache>
                <c:ptCount val="4"/>
                <c:pt idx="0">
                  <c:v>收入</c:v>
                </c:pt>
                <c:pt idx="1">
                  <c:v>支出</c:v>
                </c:pt>
              </c:strCache>
            </c:strRef>
          </c:cat>
          <c:val>
            <c:numRef>
              <c:f>Sheet1!$C$2:$C$5</c:f>
              <c:numCache>
                <c:formatCode>General</c:formatCode>
                <c:ptCount val="4"/>
                <c:pt idx="0">
                  <c:v>1647.08</c:v>
                </c:pt>
                <c:pt idx="1">
                  <c:v>1647.08</c:v>
                </c:pt>
              </c:numCache>
            </c:numRef>
          </c:val>
        </c:ser>
        <c:ser>
          <c:idx val="2"/>
          <c:order val="2"/>
          <c:tx>
            <c:strRef>
              <c:f>Sheet1!$D$1</c:f>
              <c:strCache>
                <c:ptCount val="1"/>
                <c:pt idx="0">
                  <c:v>列1</c:v>
                </c:pt>
              </c:strCache>
            </c:strRef>
          </c:tx>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21700352"/>
        <c:axId val="121702272"/>
      </c:barChart>
      <c:catAx>
        <c:axId val="1217003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2272"/>
        <c:crosses val="autoZero"/>
        <c:auto val="1"/>
        <c:lblAlgn val="ctr"/>
        <c:lblOffset val="100"/>
        <c:noMultiLvlLbl val="0"/>
      </c:catAx>
      <c:valAx>
        <c:axId val="1217022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003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explosion val="0"/>
          <c:dPt>
            <c:idx val="0"/>
            <c:bubble3D val="0"/>
          </c:dPt>
          <c:dPt>
            <c:idx val="1"/>
            <c:bubble3D val="0"/>
          </c:dPt>
          <c:dPt>
            <c:idx val="2"/>
            <c:bubble3D val="0"/>
          </c:dPt>
          <c:dPt>
            <c:idx val="3"/>
            <c:bubble3D val="0"/>
          </c:dPt>
          <c:dPt>
            <c:idx val="4"/>
            <c:bubble3D val="0"/>
          </c:dPt>
          <c:dPt>
            <c:idx val="5"/>
            <c:bubble3D val="0"/>
          </c:dPt>
          <c:dLbls>
            <c:delete val="1"/>
          </c:dLbls>
          <c:cat>
            <c:strRef>
              <c:f>Sheet1!$A$2:$A$7</c:f>
              <c:strCache>
                <c:ptCount val="6"/>
                <c:pt idx="0">
                  <c:v>一般公共预算财政拨款收入</c:v>
                </c:pt>
                <c:pt idx="1">
                  <c:v>政府性基金预算财政拨款收入</c:v>
                </c:pt>
                <c:pt idx="2">
                  <c:v>上级补助收入</c:v>
                </c:pt>
                <c:pt idx="3">
                  <c:v>事业收入</c:v>
                </c:pt>
                <c:pt idx="4">
                  <c:v>经营收入</c:v>
                </c:pt>
                <c:pt idx="5">
                  <c:v>附属单位上缴收入</c:v>
                </c:pt>
              </c:strCache>
            </c:strRef>
          </c:cat>
          <c:val>
            <c:numRef>
              <c:f>Sheet1!$B$2:$B$7</c:f>
              <c:numCache>
                <c:formatCode>General</c:formatCode>
                <c:ptCount val="6"/>
                <c:pt idx="0">
                  <c:v>1570.67</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1327.11</c:v>
                </c:pt>
                <c:pt idx="1">
                  <c:v>319.96</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4"/>
                <c:pt idx="0">
                  <c:v>收入</c:v>
                </c:pt>
                <c:pt idx="1">
                  <c:v>支出</c:v>
                </c:pt>
              </c:strCache>
            </c:strRef>
          </c:cat>
          <c:val>
            <c:numRef>
              <c:f>Sheet1!$B$2:$B$5</c:f>
              <c:numCache>
                <c:formatCode>General</c:formatCode>
                <c:ptCount val="4"/>
                <c:pt idx="0">
                  <c:v>1439.52</c:v>
                </c:pt>
                <c:pt idx="1">
                  <c:v>1439.52</c:v>
                </c:pt>
              </c:numCache>
            </c:numRef>
          </c:val>
        </c:ser>
        <c:ser>
          <c:idx val="1"/>
          <c:order val="1"/>
          <c:tx>
            <c:strRef>
              <c:f>Sheet1!$C$1</c:f>
              <c:strCache>
                <c:ptCount val="1"/>
                <c:pt idx="0">
                  <c:v>2020年</c:v>
                </c:pt>
              </c:strCache>
            </c:strRef>
          </c:tx>
          <c:invertIfNegative val="0"/>
          <c:dLbls>
            <c:delete val="1"/>
          </c:dLbls>
          <c:cat>
            <c:strRef>
              <c:f>Sheet1!$A$2:$A$5</c:f>
              <c:strCache>
                <c:ptCount val="4"/>
                <c:pt idx="0">
                  <c:v>收入</c:v>
                </c:pt>
                <c:pt idx="1">
                  <c:v>支出</c:v>
                </c:pt>
              </c:strCache>
            </c:strRef>
          </c:cat>
          <c:val>
            <c:numRef>
              <c:f>Sheet1!$C$2:$C$5</c:f>
              <c:numCache>
                <c:formatCode>General</c:formatCode>
                <c:ptCount val="4"/>
                <c:pt idx="0">
                  <c:v>1647.08</c:v>
                </c:pt>
                <c:pt idx="1">
                  <c:v>1647.08</c:v>
                </c:pt>
              </c:numCache>
            </c:numRef>
          </c:val>
        </c:ser>
        <c:ser>
          <c:idx val="2"/>
          <c:order val="2"/>
          <c:tx>
            <c:strRef>
              <c:f>Sheet1!$D$1</c:f>
              <c:strCache>
                <c:ptCount val="1"/>
                <c:pt idx="0">
                  <c:v>列1</c:v>
                </c:pt>
              </c:strCache>
            </c:strRef>
          </c:tx>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68078080"/>
        <c:axId val="268137216"/>
      </c:barChart>
      <c:catAx>
        <c:axId val="26807808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137216"/>
        <c:crosses val="autoZero"/>
        <c:auto val="1"/>
        <c:lblAlgn val="ctr"/>
        <c:lblOffset val="100"/>
        <c:noMultiLvlLbl val="0"/>
      </c:catAx>
      <c:valAx>
        <c:axId val="2681372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07808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invertIfNegative val="0"/>
          <c:dLbls>
            <c:delete val="1"/>
          </c:dLbls>
          <c:cat>
            <c:strRef>
              <c:f>Sheet1!$A$2:$A$5</c:f>
              <c:strCache>
                <c:ptCount val="1"/>
                <c:pt idx="0">
                  <c:v>一般公共预算财政拨款支出</c:v>
                </c:pt>
              </c:strCache>
            </c:strRef>
          </c:cat>
          <c:val>
            <c:numRef>
              <c:f>Sheet1!$B$2:$B$5</c:f>
              <c:numCache>
                <c:formatCode>General</c:formatCode>
                <c:ptCount val="4"/>
                <c:pt idx="0">
                  <c:v>1439.52</c:v>
                </c:pt>
              </c:numCache>
            </c:numRef>
          </c:val>
        </c:ser>
        <c:ser>
          <c:idx val="1"/>
          <c:order val="1"/>
          <c:tx>
            <c:strRef>
              <c:f>Sheet1!$C$1</c:f>
              <c:strCache>
                <c:ptCount val="1"/>
                <c:pt idx="0">
                  <c:v>2020年</c:v>
                </c:pt>
              </c:strCache>
            </c:strRef>
          </c:tx>
          <c:invertIfNegative val="0"/>
          <c:dLbls>
            <c:delete val="1"/>
          </c:dLbls>
          <c:cat>
            <c:strRef>
              <c:f>Sheet1!$A$2:$A$5</c:f>
              <c:strCache>
                <c:ptCount val="1"/>
                <c:pt idx="0">
                  <c:v>一般公共预算财政拨款支出</c:v>
                </c:pt>
              </c:strCache>
            </c:strRef>
          </c:cat>
          <c:val>
            <c:numRef>
              <c:f>Sheet1!$C$2:$C$5</c:f>
              <c:numCache>
                <c:formatCode>General</c:formatCode>
                <c:ptCount val="4"/>
                <c:pt idx="0">
                  <c:v>1647.08</c:v>
                </c:pt>
              </c:numCache>
            </c:numRef>
          </c:val>
        </c:ser>
        <c:dLbls>
          <c:showLegendKey val="0"/>
          <c:showVal val="0"/>
          <c:showCatName val="0"/>
          <c:showSerName val="0"/>
          <c:showPercent val="0"/>
          <c:showBubbleSize val="0"/>
        </c:dLbls>
        <c:gapWidth val="150"/>
        <c:axId val="243239168"/>
        <c:axId val="243245056"/>
      </c:barChart>
      <c:catAx>
        <c:axId val="2432391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245056"/>
        <c:crosses val="autoZero"/>
        <c:auto val="1"/>
        <c:lblAlgn val="ctr"/>
        <c:lblOffset val="100"/>
        <c:noMultiLvlLbl val="0"/>
      </c:catAx>
      <c:valAx>
        <c:axId val="2432450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23916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一般公共服务</c:v>
                </c:pt>
                <c:pt idx="1">
                  <c:v>社会保障和就业支出</c:v>
                </c:pt>
                <c:pt idx="2">
                  <c:v>卫生健康支出</c:v>
                </c:pt>
                <c:pt idx="3">
                  <c:v>农林水支出</c:v>
                </c:pt>
                <c:pt idx="4">
                  <c:v>住房保障支出</c:v>
                </c:pt>
              </c:strCache>
            </c:strRef>
          </c:cat>
          <c:val>
            <c:numRef>
              <c:f>Sheet1!$B$2:$B$6</c:f>
              <c:numCache>
                <c:formatCode>General</c:formatCode>
                <c:ptCount val="5"/>
                <c:pt idx="0">
                  <c:v>1348.28</c:v>
                </c:pt>
                <c:pt idx="1">
                  <c:v>130.11</c:v>
                </c:pt>
                <c:pt idx="2">
                  <c:v>67.62</c:v>
                </c:pt>
                <c:pt idx="3">
                  <c:v>1.2</c:v>
                </c:pt>
                <c:pt idx="4">
                  <c:v>99.87</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explosion val="0"/>
          <c:dPt>
            <c:idx val="0"/>
            <c:bubble3D val="0"/>
          </c:dPt>
          <c:dPt>
            <c:idx val="1"/>
            <c:bubble3D val="0"/>
          </c:dPt>
          <c:dPt>
            <c:idx val="2"/>
            <c:bubble3D val="0"/>
          </c:dPt>
          <c:dPt>
            <c:idx val="3"/>
            <c:bubble3D val="0"/>
          </c:dPt>
          <c:dLbls>
            <c:delete val="1"/>
          </c:dLbls>
          <c:cat>
            <c:strRef>
              <c:f>Sheet1!$A$2:$A$5</c:f>
              <c:strCache>
                <c:ptCount val="3"/>
                <c:pt idx="0">
                  <c:v>因公出国（境）</c:v>
                </c:pt>
                <c:pt idx="1">
                  <c:v>公务用车运行维护费</c:v>
                </c:pt>
                <c:pt idx="2">
                  <c:v>公务接待费</c:v>
                </c:pt>
              </c:strCache>
            </c:strRef>
          </c:cat>
          <c:val>
            <c:numRef>
              <c:f>Sheet1!$B$2:$B$5</c:f>
              <c:numCache>
                <c:formatCode>General</c:formatCode>
                <c:ptCount val="4"/>
                <c:pt idx="0">
                  <c:v>0</c:v>
                </c:pt>
                <c:pt idx="1">
                  <c:v>24.07</c:v>
                </c:pt>
                <c:pt idx="2">
                  <c:v>0.700000000000002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12731</Words>
  <Characters>13638</Characters>
  <Lines>74</Lines>
  <Paragraphs>21</Paragraphs>
  <TotalTime>19</TotalTime>
  <ScaleCrop>false</ScaleCrop>
  <LinksUpToDate>false</LinksUpToDate>
  <CharactersWithSpaces>13740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windows</cp:lastModifiedBy>
  <cp:lastPrinted>2022-06-30T09:21:00Z</cp:lastPrinted>
  <dcterms:modified xsi:type="dcterms:W3CDTF">2022-07-01T01:13:47Z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1A102ECE46D5410AB4487989BEBA3FF6</vt:lpwstr>
  </property>
</Properties>
</file>