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28789"/>
      <w:bookmarkStart w:id="2" w:name="_Toc16752"/>
      <w:bookmarkStart w:id="3" w:name="_Toc15377193"/>
      <w:bookmarkStart w:id="4" w:name="_Toc16507"/>
      <w:bookmarkStart w:id="5" w:name="_Toc23865"/>
      <w:bookmarkStart w:id="6" w:name="_Toc15377425"/>
      <w:bookmarkStart w:id="7" w:name="_Toc10581"/>
      <w:bookmarkStart w:id="8" w:name="_Toc15396597"/>
      <w:bookmarkStart w:id="9" w:name="_Toc3171"/>
      <w:bookmarkStart w:id="10" w:name="_Toc26167"/>
      <w:bookmarkStart w:id="11" w:name="_Toc24940"/>
      <w:bookmarkStart w:id="12" w:name="_Toc15843"/>
      <w:bookmarkStart w:id="13" w:name="_Toc15378441"/>
      <w:bookmarkStart w:id="14" w:name="_Toc15396475"/>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bookmarkEnd w:id="8"/>
      <w:bookmarkEnd w:id="9"/>
      <w:bookmarkEnd w:id="10"/>
      <w:bookmarkEnd w:id="11"/>
      <w:bookmarkEnd w:id="12"/>
      <w:bookmarkEnd w:id="13"/>
      <w:bookmarkEnd w:id="14"/>
    </w:p>
    <w:p>
      <w:pPr>
        <w:adjustRightInd w:val="0"/>
        <w:snapToGrid w:val="0"/>
        <w:spacing w:line="360" w:lineRule="auto"/>
        <w:jc w:val="center"/>
        <w:outlineLvl w:val="0"/>
        <w:rPr>
          <w:rFonts w:ascii="方正小标宋简体" w:hAnsi="宋体" w:eastAsia="方正小标宋简体"/>
          <w:color w:val="000000"/>
          <w:sz w:val="72"/>
          <w:szCs w:val="72"/>
        </w:rPr>
      </w:pPr>
      <w:bookmarkStart w:id="15" w:name="_Toc15396598"/>
      <w:bookmarkStart w:id="16" w:name="_Toc15396476"/>
      <w:bookmarkStart w:id="17" w:name="_Toc14431"/>
      <w:bookmarkStart w:id="18" w:name="_Toc15377426"/>
      <w:bookmarkStart w:id="19" w:name="_Toc28856"/>
      <w:bookmarkStart w:id="20" w:name="_Toc15566"/>
      <w:bookmarkStart w:id="21" w:name="_Toc25896"/>
      <w:bookmarkStart w:id="22" w:name="_Toc11306"/>
      <w:bookmarkStart w:id="23" w:name="_Toc14813"/>
      <w:bookmarkStart w:id="24" w:name="_Toc13808"/>
      <w:bookmarkStart w:id="25" w:name="_Toc8202"/>
      <w:bookmarkStart w:id="26" w:name="_Toc13618"/>
      <w:bookmarkStart w:id="27" w:name="_Toc15377194"/>
      <w:bookmarkStart w:id="28" w:name="_Toc15378442"/>
      <w:r>
        <w:rPr>
          <w:rFonts w:hint="eastAsia" w:ascii="方正小标宋简体" w:hAnsi="宋体" w:eastAsia="方正小标宋简体"/>
          <w:color w:val="000000"/>
          <w:sz w:val="72"/>
          <w:szCs w:val="72"/>
        </w:rPr>
        <w:t>四川省阿坝州</w:t>
      </w:r>
      <w:bookmarkEnd w:id="0"/>
      <w:bookmarkStart w:id="29" w:name="_Toc15306268"/>
      <w:r>
        <w:rPr>
          <w:rFonts w:hint="eastAsia" w:ascii="方正小标宋简体" w:hAnsi="宋体" w:eastAsia="方正小标宋简体"/>
          <w:color w:val="000000"/>
          <w:sz w:val="72"/>
          <w:szCs w:val="72"/>
        </w:rPr>
        <w:t>茂县委员会组织部部门决算</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stheme="minorBidi"/>
          <w:sz w:val="28"/>
          <w:szCs w:val="28"/>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hint="eastAsia" w:ascii="方正小标宋简体" w:hAnsi="方正小标宋简体" w:eastAsia="方正小标宋简体" w:cs="方正小标宋简体"/>
          <w:color w:val="000000"/>
          <w:sz w:val="44"/>
          <w:szCs w:val="44"/>
        </w:rPr>
      </w:pPr>
      <w:r>
        <w:rPr>
          <w:rFonts w:ascii="方正小标宋简体" w:hAnsi="宋体" w:eastAsia="方正小标宋简体"/>
          <w:sz w:val="36"/>
          <w:szCs w:val="36"/>
        </w:rPr>
        <w:br w:type="page"/>
      </w:r>
      <w:r>
        <w:rPr>
          <w:rFonts w:hint="eastAsia" w:ascii="方正小标宋简体" w:hAnsi="方正小标宋简体" w:eastAsia="方正小标宋简体" w:cs="方正小标宋简体"/>
          <w:color w:val="000000"/>
          <w:sz w:val="44"/>
          <w:szCs w:val="44"/>
        </w:rPr>
        <w:t>目录</w:t>
      </w:r>
    </w:p>
    <w:p>
      <w:pPr>
        <w:pStyle w:val="12"/>
        <w:spacing w:before="120" w:after="120"/>
        <w:ind w:firstLine="3000" w:firstLineChars="150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 xml:space="preserve">公开时间：2021年 </w:t>
      </w:r>
      <w:r>
        <w:rPr>
          <w:rFonts w:hint="eastAsia" w:ascii="仿宋" w:hAnsi="仿宋" w:eastAsia="仿宋" w:cs="Times New Roman"/>
          <w:b w:val="0"/>
          <w:bCs w:val="0"/>
          <w:caps w:val="0"/>
          <w:smallCaps/>
          <w:sz w:val="20"/>
          <w:szCs w:val="20"/>
          <w:lang w:val="en-US" w:eastAsia="zh-CN"/>
        </w:rPr>
        <w:t>9</w:t>
      </w:r>
      <w:r>
        <w:rPr>
          <w:rFonts w:hint="eastAsia" w:ascii="仿宋" w:hAnsi="仿宋" w:eastAsia="仿宋" w:cs="Times New Roman"/>
          <w:b w:val="0"/>
          <w:bCs w:val="0"/>
          <w:caps w:val="0"/>
          <w:smallCaps/>
          <w:sz w:val="20"/>
          <w:szCs w:val="20"/>
        </w:rPr>
        <w:t xml:space="preserve">月 </w:t>
      </w:r>
      <w:r>
        <w:rPr>
          <w:rFonts w:hint="eastAsia" w:cs="Times New Roman"/>
          <w:b w:val="0"/>
          <w:bCs w:val="0"/>
          <w:caps w:val="0"/>
          <w:smallCaps/>
          <w:sz w:val="20"/>
          <w:szCs w:val="20"/>
          <w:lang w:val="en-US" w:eastAsia="zh-CN"/>
        </w:rPr>
        <w:t>24</w:t>
      </w:r>
      <w:r>
        <w:rPr>
          <w:rFonts w:hint="eastAsia" w:ascii="仿宋" w:hAnsi="仿宋" w:eastAsia="仿宋" w:cs="Times New Roman"/>
          <w:b w:val="0"/>
          <w:bCs w:val="0"/>
          <w:caps w:val="0"/>
          <w:smallCaps/>
          <w:sz w:val="20"/>
          <w:szCs w:val="20"/>
        </w:rPr>
        <w:t>日</w:t>
      </w:r>
      <w:r>
        <w:rPr>
          <w:rFonts w:hint="eastAsia" w:ascii="仿宋" w:hAnsi="仿宋" w:eastAsia="仿宋" w:cs="Times New Roman"/>
          <w:b w:val="0"/>
          <w:bCs w:val="0"/>
          <w:caps w:val="0"/>
          <w:smallCaps/>
          <w:sz w:val="20"/>
          <w:szCs w:val="20"/>
          <w:lang w:val="en-US" w:eastAsia="zh-CN"/>
        </w:rPr>
        <w:fldChar w:fldCharType="begin"/>
      </w:r>
      <w:r>
        <w:rPr>
          <w:rFonts w:hint="eastAsia" w:ascii="仿宋" w:hAnsi="仿宋" w:eastAsia="仿宋" w:cs="Times New Roman"/>
          <w:b w:val="0"/>
          <w:bCs w:val="0"/>
          <w:caps w:val="0"/>
          <w:smallCaps/>
          <w:sz w:val="20"/>
          <w:szCs w:val="20"/>
          <w:lang w:val="en-US" w:eastAsia="zh-CN"/>
        </w:rPr>
        <w:instrText xml:space="preserve"> TOC \o \u </w:instrText>
      </w:r>
      <w:r>
        <w:rPr>
          <w:rFonts w:hint="eastAsia" w:ascii="仿宋" w:hAnsi="仿宋" w:eastAsia="仿宋" w:cs="Times New Roman"/>
          <w:b w:val="0"/>
          <w:bCs w:val="0"/>
          <w:caps w:val="0"/>
          <w:smallCaps/>
          <w:sz w:val="20"/>
          <w:szCs w:val="20"/>
          <w:lang w:val="en-US" w:eastAsia="zh-CN"/>
        </w:rPr>
        <w:fldChar w:fldCharType="separate"/>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第一部分 部门概况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6</w:t>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一、基本职能及主要工作</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_Toc19186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5</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lang w:val="en-US" w:eastAsia="zh-CN"/>
        </w:rPr>
        <w:t>（一）主要职能</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_Toc6758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5</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lang w:val="en-US" w:eastAsia="zh-CN"/>
        </w:rPr>
        <w:t>（二）2020年重点工作完成情况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_Toc4502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7</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二、 机构设置</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_Toc22479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10</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第二部分 20</w:t>
      </w:r>
      <w:r>
        <w:rPr>
          <w:rFonts w:hint="eastAsia" w:ascii="仿宋" w:hAnsi="仿宋" w:eastAsia="仿宋" w:cs="Times New Roman"/>
          <w:b w:val="0"/>
          <w:bCs w:val="0"/>
          <w:caps w:val="0"/>
          <w:smallCaps/>
          <w:sz w:val="20"/>
          <w:szCs w:val="20"/>
          <w:lang w:val="en-US" w:eastAsia="zh-CN"/>
        </w:rPr>
        <w:t>20</w:t>
      </w:r>
      <w:r>
        <w:rPr>
          <w:rFonts w:hint="eastAsia" w:ascii="仿宋" w:hAnsi="仿宋" w:eastAsia="仿宋" w:cs="Times New Roman"/>
          <w:b w:val="0"/>
          <w:bCs w:val="0"/>
          <w:caps w:val="0"/>
          <w:smallCaps/>
          <w:sz w:val="20"/>
          <w:szCs w:val="20"/>
        </w:rPr>
        <w:t>年度部门决算情况说明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_Toc11380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11</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default" w:ascii="仿宋" w:hAnsi="仿宋" w:eastAsia="仿宋" w:cs="Times New Roman"/>
          <w:b w:val="0"/>
          <w:bCs w:val="0"/>
          <w:caps w:val="0"/>
          <w:smallCaps/>
          <w:sz w:val="20"/>
          <w:szCs w:val="20"/>
        </w:rPr>
        <w:t xml:space="preserve">一、 </w:t>
      </w:r>
      <w:r>
        <w:rPr>
          <w:rFonts w:hint="eastAsia" w:ascii="仿宋" w:hAnsi="仿宋" w:eastAsia="仿宋" w:cs="Times New Roman"/>
          <w:b w:val="0"/>
          <w:bCs w:val="0"/>
          <w:caps w:val="0"/>
          <w:smallCaps/>
          <w:sz w:val="20"/>
          <w:szCs w:val="20"/>
        </w:rPr>
        <w:t>收入支出决算总体情况说明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_Toc30855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11</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default" w:ascii="仿宋" w:hAnsi="仿宋" w:eastAsia="仿宋" w:cs="Times New Roman"/>
          <w:b w:val="0"/>
          <w:bCs w:val="0"/>
          <w:caps w:val="0"/>
          <w:smallCaps/>
          <w:sz w:val="20"/>
          <w:szCs w:val="20"/>
        </w:rPr>
        <w:t xml:space="preserve">二、 </w:t>
      </w:r>
      <w:r>
        <w:rPr>
          <w:rFonts w:hint="eastAsia" w:ascii="仿宋" w:hAnsi="仿宋" w:eastAsia="仿宋" w:cs="Times New Roman"/>
          <w:b w:val="0"/>
          <w:bCs w:val="0"/>
          <w:caps w:val="0"/>
          <w:smallCaps/>
          <w:sz w:val="20"/>
          <w:szCs w:val="20"/>
        </w:rPr>
        <w:t>收入决算情况说明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_Toc13944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11</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default" w:ascii="仿宋" w:hAnsi="仿宋" w:eastAsia="仿宋" w:cs="Times New Roman"/>
          <w:b w:val="0"/>
          <w:bCs w:val="0"/>
          <w:caps w:val="0"/>
          <w:smallCaps/>
          <w:sz w:val="20"/>
          <w:szCs w:val="20"/>
        </w:rPr>
        <w:t xml:space="preserve">三、 </w:t>
      </w:r>
      <w:r>
        <w:rPr>
          <w:rFonts w:hint="eastAsia" w:ascii="仿宋" w:hAnsi="仿宋" w:eastAsia="仿宋" w:cs="Times New Roman"/>
          <w:b w:val="0"/>
          <w:bCs w:val="0"/>
          <w:caps w:val="0"/>
          <w:smallCaps/>
          <w:sz w:val="20"/>
          <w:szCs w:val="20"/>
        </w:rPr>
        <w:t>支出决算情况说明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_Toc28419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12</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四、财政拨款收入支出决算总体情况说明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_Toc26179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13</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五、一般公共预算财政拨款支出决算情况说明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_Toc20761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13</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（一）一般公共预算财政拨款支出决算总体情况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_Toc32124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13</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（二）一般公共预算财政拨款支出决算结构情况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_Toc26986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14</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（三）一般公共预算财政拨款支出决算具体情况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_Toc10187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15</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六、一般公共预算财政拨款基本支出决算情况说明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_Toc296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16</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七、“三公”经费财政拨款支出决算情况说明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_Toc11283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16</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（一）“三公”经费财政拨款支出决算总体情况说明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_Toc32011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16</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（二）“三公”经费财政拨款支出决算具体情况说明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_Toc15270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16</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八、政府性基金预算支出决算情况说明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_Toc14142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18</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九、 国有资本经营预算支出决算情况说明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_Toc31340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18</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十、 其他重要事项的情况说明</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_Toc14965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18</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（一）机关运行经费支出情况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_Toc6990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18</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（二）政府采购支出情况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_Toc7381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18</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（三）国有资产占有使用情况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_Toc22334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19</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rPr>
      </w:pPr>
      <w:r>
        <w:rPr>
          <w:rFonts w:hint="eastAsia" w:ascii="仿宋" w:hAnsi="仿宋" w:eastAsia="仿宋" w:cs="Times New Roman"/>
          <w:b w:val="0"/>
          <w:bCs w:val="0"/>
          <w:caps w:val="0"/>
          <w:smallCaps/>
          <w:sz w:val="20"/>
          <w:szCs w:val="20"/>
        </w:rPr>
        <w:t>（四）预算绩效管理情况</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rPr>
        <w:fldChar w:fldCharType="begin"/>
      </w:r>
      <w:r>
        <w:rPr>
          <w:rFonts w:hint="eastAsia" w:ascii="仿宋" w:hAnsi="仿宋" w:eastAsia="仿宋" w:cs="Times New Roman"/>
          <w:b w:val="0"/>
          <w:bCs w:val="0"/>
          <w:caps w:val="0"/>
          <w:smallCaps/>
          <w:sz w:val="20"/>
          <w:szCs w:val="20"/>
        </w:rPr>
        <w:instrText xml:space="preserve"> PAGEREF _Toc10619 </w:instrText>
      </w:r>
      <w:r>
        <w:rPr>
          <w:rFonts w:hint="eastAsia" w:ascii="仿宋" w:hAnsi="仿宋" w:eastAsia="仿宋" w:cs="Times New Roman"/>
          <w:b w:val="0"/>
          <w:bCs w:val="0"/>
          <w:caps w:val="0"/>
          <w:smallCaps/>
          <w:sz w:val="20"/>
          <w:szCs w:val="20"/>
        </w:rPr>
        <w:fldChar w:fldCharType="separate"/>
      </w:r>
      <w:r>
        <w:rPr>
          <w:rFonts w:hint="eastAsia" w:ascii="仿宋" w:hAnsi="仿宋" w:eastAsia="仿宋" w:cs="Times New Roman"/>
          <w:b w:val="0"/>
          <w:bCs w:val="0"/>
          <w:caps w:val="0"/>
          <w:smallCaps/>
          <w:sz w:val="20"/>
          <w:szCs w:val="20"/>
        </w:rPr>
        <w:t>19</w:t>
      </w:r>
      <w:r>
        <w:rPr>
          <w:rFonts w:hint="eastAsia" w:ascii="仿宋" w:hAnsi="仿宋" w:eastAsia="仿宋" w:cs="Times New Roman"/>
          <w:b w:val="0"/>
          <w:bCs w:val="0"/>
          <w:caps w:val="0"/>
          <w:smallCaps/>
          <w:sz w:val="20"/>
          <w:szCs w:val="20"/>
        </w:rPr>
        <w:fldChar w:fldCharType="end"/>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lang w:val="en-US" w:eastAsia="zh-CN"/>
        </w:rPr>
        <w:t>第三部分 名词解释</w:t>
      </w:r>
      <w:r>
        <w:rPr>
          <w:rFonts w:hint="eastAsia" w:ascii="仿宋" w:hAnsi="仿宋" w:eastAsia="仿宋" w:cs="Times New Roman"/>
          <w:b w:val="0"/>
          <w:bCs w:val="0"/>
          <w:caps w:val="0"/>
          <w:smallCaps/>
          <w:sz w:val="20"/>
          <w:szCs w:val="20"/>
          <w:lang w:val="en-US" w:eastAsia="zh-CN"/>
        </w:rPr>
        <w:tab/>
      </w:r>
      <w:r>
        <w:rPr>
          <w:rFonts w:hint="eastAsia" w:ascii="仿宋" w:hAnsi="仿宋" w:eastAsia="仿宋" w:cs="Times New Roman"/>
          <w:b w:val="0"/>
          <w:bCs w:val="0"/>
          <w:caps w:val="0"/>
          <w:smallCaps/>
          <w:sz w:val="20"/>
          <w:szCs w:val="20"/>
          <w:lang w:val="en-US" w:eastAsia="zh-CN"/>
        </w:rPr>
        <w:fldChar w:fldCharType="begin"/>
      </w:r>
      <w:r>
        <w:rPr>
          <w:rFonts w:hint="eastAsia" w:ascii="仿宋" w:hAnsi="仿宋" w:eastAsia="仿宋" w:cs="Times New Roman"/>
          <w:b w:val="0"/>
          <w:bCs w:val="0"/>
          <w:caps w:val="0"/>
          <w:smallCaps/>
          <w:sz w:val="20"/>
          <w:szCs w:val="20"/>
          <w:lang w:val="en-US" w:eastAsia="zh-CN"/>
        </w:rPr>
        <w:instrText xml:space="preserve"> PAGEREF _Toc13063 </w:instrText>
      </w:r>
      <w:r>
        <w:rPr>
          <w:rFonts w:hint="eastAsia" w:ascii="仿宋" w:hAnsi="仿宋" w:eastAsia="仿宋" w:cs="Times New Roman"/>
          <w:b w:val="0"/>
          <w:bCs w:val="0"/>
          <w:caps w:val="0"/>
          <w:smallCaps/>
          <w:sz w:val="20"/>
          <w:szCs w:val="20"/>
          <w:lang w:val="en-US" w:eastAsia="zh-CN"/>
        </w:rPr>
        <w:fldChar w:fldCharType="separate"/>
      </w:r>
      <w:r>
        <w:rPr>
          <w:rFonts w:hint="eastAsia" w:ascii="仿宋" w:hAnsi="仿宋" w:eastAsia="仿宋" w:cs="Times New Roman"/>
          <w:b w:val="0"/>
          <w:bCs w:val="0"/>
          <w:caps w:val="0"/>
          <w:smallCaps/>
          <w:sz w:val="20"/>
          <w:szCs w:val="20"/>
          <w:lang w:val="en-US" w:eastAsia="zh-CN"/>
        </w:rPr>
        <w:t>28</w:t>
      </w:r>
      <w:r>
        <w:rPr>
          <w:rFonts w:hint="eastAsia" w:ascii="仿宋" w:hAnsi="仿宋" w:eastAsia="仿宋" w:cs="Times New Roman"/>
          <w:b w:val="0"/>
          <w:bCs w:val="0"/>
          <w:caps w:val="0"/>
          <w:smallCaps/>
          <w:sz w:val="20"/>
          <w:szCs w:val="20"/>
          <w:lang w:val="en-US" w:eastAsia="zh-CN"/>
        </w:rPr>
        <w:fldChar w:fldCharType="end"/>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lang w:val="en-US" w:eastAsia="zh-CN"/>
        </w:rPr>
        <w:t>第四部分 附件</w:t>
      </w:r>
      <w:r>
        <w:rPr>
          <w:rFonts w:hint="eastAsia" w:ascii="仿宋" w:hAnsi="仿宋" w:eastAsia="仿宋" w:cs="Times New Roman"/>
          <w:b w:val="0"/>
          <w:bCs w:val="0"/>
          <w:caps w:val="0"/>
          <w:smallCaps/>
          <w:sz w:val="20"/>
          <w:szCs w:val="20"/>
          <w:lang w:val="en-US" w:eastAsia="zh-CN"/>
        </w:rPr>
        <w:tab/>
      </w:r>
      <w:r>
        <w:rPr>
          <w:rFonts w:hint="eastAsia" w:ascii="仿宋" w:hAnsi="仿宋" w:eastAsia="仿宋" w:cs="Times New Roman"/>
          <w:b w:val="0"/>
          <w:bCs w:val="0"/>
          <w:caps w:val="0"/>
          <w:smallCaps/>
          <w:sz w:val="20"/>
          <w:szCs w:val="20"/>
          <w:lang w:val="en-US" w:eastAsia="zh-CN"/>
        </w:rPr>
        <w:t xml:space="preserve">36     </w:t>
      </w:r>
    </w:p>
    <w:p>
      <w:pPr>
        <w:pStyle w:val="12"/>
        <w:spacing w:before="120" w:after="120"/>
        <w:jc w:val="left"/>
        <w:rPr>
          <w:rFonts w:hint="default"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lang w:val="en-US" w:eastAsia="zh-CN"/>
        </w:rPr>
        <w:t>组织部2020年部门整体支出绩效评价报告</w:t>
      </w:r>
      <w:r>
        <w:rPr>
          <w:rFonts w:hint="eastAsia" w:ascii="仿宋" w:hAnsi="仿宋" w:eastAsia="仿宋" w:cs="Times New Roman"/>
          <w:b w:val="0"/>
          <w:bCs w:val="0"/>
          <w:caps w:val="0"/>
          <w:smallCaps/>
          <w:sz w:val="20"/>
          <w:szCs w:val="20"/>
          <w:lang w:val="en-US" w:eastAsia="zh-CN"/>
        </w:rPr>
        <w:tab/>
      </w:r>
      <w:r>
        <w:rPr>
          <w:rFonts w:hint="eastAsia" w:ascii="仿宋" w:hAnsi="仿宋" w:eastAsia="仿宋" w:cs="Times New Roman"/>
          <w:b w:val="0"/>
          <w:bCs w:val="0"/>
          <w:caps w:val="0"/>
          <w:smallCaps/>
          <w:sz w:val="20"/>
          <w:szCs w:val="20"/>
          <w:lang w:val="en-US" w:eastAsia="zh-CN"/>
        </w:rPr>
        <w:t>37</w:t>
      </w:r>
    </w:p>
    <w:p>
      <w:pPr>
        <w:pStyle w:val="12"/>
        <w:spacing w:before="120" w:after="120"/>
        <w:jc w:val="left"/>
        <w:rPr>
          <w:rFonts w:hint="default"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lang w:val="en-US" w:eastAsia="zh-CN"/>
        </w:rPr>
        <w:t>东西部扶贫协作和省内对口支援茂县党政教育培训项目2020年绩效评价报告</w:t>
      </w:r>
      <w:r>
        <w:rPr>
          <w:rFonts w:hint="eastAsia" w:ascii="仿宋" w:hAnsi="仿宋" w:eastAsia="仿宋" w:cs="Times New Roman"/>
          <w:b w:val="0"/>
          <w:bCs w:val="0"/>
          <w:caps w:val="0"/>
          <w:smallCaps/>
          <w:sz w:val="20"/>
          <w:szCs w:val="20"/>
          <w:lang w:val="en-US" w:eastAsia="zh-CN"/>
        </w:rPr>
        <w:tab/>
      </w:r>
      <w:r>
        <w:rPr>
          <w:rFonts w:hint="eastAsia" w:cs="Times New Roman"/>
          <w:b w:val="0"/>
          <w:bCs w:val="0"/>
          <w:caps w:val="0"/>
          <w:smallCaps/>
          <w:sz w:val="20"/>
          <w:szCs w:val="20"/>
          <w:lang w:val="en-US" w:eastAsia="zh-CN"/>
        </w:rPr>
        <w:t>38</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lang w:val="en-US" w:eastAsia="zh-CN"/>
        </w:rPr>
        <w:t>东西部扶贫协作和省内对口支援茂县党员干部教育培训项目2020年绩效评价报告</w:t>
      </w:r>
      <w:r>
        <w:rPr>
          <w:rFonts w:hint="eastAsia" w:ascii="仿宋" w:hAnsi="仿宋" w:eastAsia="仿宋" w:cs="Times New Roman"/>
          <w:b w:val="0"/>
          <w:bCs w:val="0"/>
          <w:caps w:val="0"/>
          <w:smallCaps/>
          <w:sz w:val="20"/>
          <w:szCs w:val="20"/>
          <w:lang w:val="en-US" w:eastAsia="zh-CN"/>
        </w:rPr>
        <w:tab/>
      </w:r>
      <w:r>
        <w:rPr>
          <w:rFonts w:hint="eastAsia" w:ascii="仿宋" w:hAnsi="仿宋" w:eastAsia="仿宋" w:cs="Times New Roman"/>
          <w:b w:val="0"/>
          <w:bCs w:val="0"/>
          <w:caps w:val="0"/>
          <w:smallCaps/>
          <w:sz w:val="20"/>
          <w:szCs w:val="20"/>
          <w:lang w:val="en-US" w:eastAsia="zh-CN"/>
        </w:rPr>
        <w:fldChar w:fldCharType="begin"/>
      </w:r>
      <w:r>
        <w:rPr>
          <w:rFonts w:hint="eastAsia" w:ascii="仿宋" w:hAnsi="仿宋" w:eastAsia="仿宋" w:cs="Times New Roman"/>
          <w:b w:val="0"/>
          <w:bCs w:val="0"/>
          <w:caps w:val="0"/>
          <w:smallCaps/>
          <w:sz w:val="20"/>
          <w:szCs w:val="20"/>
          <w:lang w:val="en-US" w:eastAsia="zh-CN"/>
        </w:rPr>
        <w:instrText xml:space="preserve"> PAGEREF _Toc79163884 \h </w:instrText>
      </w:r>
      <w:r>
        <w:rPr>
          <w:rFonts w:hint="eastAsia" w:ascii="仿宋" w:hAnsi="仿宋" w:eastAsia="仿宋" w:cs="Times New Roman"/>
          <w:b w:val="0"/>
          <w:bCs w:val="0"/>
          <w:caps w:val="0"/>
          <w:smallCaps/>
          <w:sz w:val="20"/>
          <w:szCs w:val="20"/>
          <w:lang w:val="en-US" w:eastAsia="zh-CN"/>
        </w:rPr>
        <w:fldChar w:fldCharType="separate"/>
      </w:r>
      <w:r>
        <w:rPr>
          <w:rFonts w:hint="eastAsia" w:ascii="仿宋" w:hAnsi="仿宋" w:eastAsia="仿宋" w:cs="Times New Roman"/>
          <w:b w:val="0"/>
          <w:bCs w:val="0"/>
          <w:caps w:val="0"/>
          <w:smallCaps/>
          <w:sz w:val="20"/>
          <w:szCs w:val="20"/>
          <w:lang w:val="en-US" w:eastAsia="zh-CN"/>
        </w:rPr>
        <w:t>36</w:t>
      </w:r>
      <w:r>
        <w:rPr>
          <w:rFonts w:hint="eastAsia" w:ascii="仿宋" w:hAnsi="仿宋" w:eastAsia="仿宋" w:cs="Times New Roman"/>
          <w:b w:val="0"/>
          <w:bCs w:val="0"/>
          <w:caps w:val="0"/>
          <w:smallCaps/>
          <w:sz w:val="20"/>
          <w:szCs w:val="20"/>
          <w:lang w:val="en-US" w:eastAsia="zh-CN"/>
        </w:rPr>
        <w:fldChar w:fldCharType="end"/>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lang w:val="en-US" w:eastAsia="zh-CN"/>
        </w:rPr>
        <w:t>第五部分 附表</w:t>
      </w:r>
      <w:r>
        <w:rPr>
          <w:rFonts w:hint="eastAsia" w:ascii="仿宋" w:hAnsi="仿宋" w:eastAsia="仿宋" w:cs="Times New Roman"/>
          <w:b w:val="0"/>
          <w:bCs w:val="0"/>
          <w:caps w:val="0"/>
          <w:smallCaps/>
          <w:sz w:val="20"/>
          <w:szCs w:val="20"/>
          <w:lang w:val="en-US" w:eastAsia="zh-CN"/>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一、收入支出决算总表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二、收入决算表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三、支出决算表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四、财政拨款收入支出决算总表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五、财政拨款支出决算明细表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六、一般公共预算财政拨款支出决算表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七、一般公共预算财政拨款支出决算明细表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八、一般公共预算财政拨款基本支出决算表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九、一般公共预算财政拨款项目支出决算表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十、一般公共预算财政拨款“三公”经费支出决算表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十一、政府性基金预算财政拨款收入支出决算表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十二、政府性基金预算财政拨款“三公”经费支出决算表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十三、国有资本经营预算财政拨款支出决算表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default" w:ascii="仿宋" w:hAnsi="仿宋" w:eastAsia="仿宋" w:cs="Times New Roman"/>
          <w:b w:val="0"/>
          <w:bCs w:val="0"/>
          <w:caps w:val="0"/>
          <w:smallCaps/>
          <w:sz w:val="20"/>
          <w:szCs w:val="20"/>
          <w:lang w:val="en-US" w:eastAsia="zh-CN"/>
        </w:rPr>
      </w:pPr>
      <w:r>
        <w:rPr>
          <w:rFonts w:hint="eastAsia" w:ascii="仿宋" w:hAnsi="仿宋" w:eastAsia="仿宋" w:cs="Times New Roman"/>
          <w:b w:val="0"/>
          <w:bCs w:val="0"/>
          <w:caps w:val="0"/>
          <w:smallCaps/>
          <w:sz w:val="20"/>
          <w:szCs w:val="20"/>
        </w:rPr>
        <w:t>十四、国有资本经营预算财政拨款支出决算表</w:t>
      </w:r>
      <w:r>
        <w:rPr>
          <w:rFonts w:hint="eastAsia" w:ascii="仿宋" w:hAnsi="仿宋" w:eastAsia="仿宋" w:cs="Times New Roman"/>
          <w:b w:val="0"/>
          <w:bCs w:val="0"/>
          <w:caps w:val="0"/>
          <w:smallCaps/>
          <w:sz w:val="20"/>
          <w:szCs w:val="20"/>
        </w:rPr>
        <w:tab/>
      </w:r>
      <w:r>
        <w:rPr>
          <w:rFonts w:hint="eastAsia" w:ascii="仿宋" w:hAnsi="仿宋" w:eastAsia="仿宋" w:cs="Times New Roman"/>
          <w:b w:val="0"/>
          <w:bCs w:val="0"/>
          <w:caps w:val="0"/>
          <w:smallCaps/>
          <w:sz w:val="20"/>
          <w:szCs w:val="20"/>
          <w:lang w:val="en-US" w:eastAsia="zh-CN"/>
        </w:rPr>
        <w:t>41</w:t>
      </w:r>
    </w:p>
    <w:p>
      <w:pPr>
        <w:pStyle w:val="12"/>
        <w:spacing w:before="120" w:after="120"/>
        <w:jc w:val="left"/>
        <w:rPr>
          <w:rFonts w:hint="eastAsia" w:ascii="仿宋" w:hAnsi="仿宋" w:eastAsia="仿宋" w:cs="Times New Roman"/>
          <w:b w:val="0"/>
          <w:bCs w:val="0"/>
          <w:caps w:val="0"/>
          <w:smallCaps/>
          <w:sz w:val="20"/>
          <w:szCs w:val="20"/>
        </w:rPr>
      </w:pPr>
    </w:p>
    <w:p>
      <w:pPr>
        <w:pStyle w:val="12"/>
        <w:spacing w:before="120" w:after="120"/>
        <w:jc w:val="left"/>
        <w:rPr>
          <w:rFonts w:ascii="仿宋" w:hAnsi="仿宋" w:eastAsia="仿宋" w:cs="Times New Roman"/>
          <w:kern w:val="2"/>
          <w:szCs w:val="24"/>
          <w:lang w:val="en-US" w:eastAsia="zh-CN" w:bidi="ar-SA"/>
        </w:rPr>
      </w:pPr>
      <w:r>
        <w:rPr>
          <w:rFonts w:hint="eastAsia" w:ascii="仿宋" w:hAnsi="仿宋" w:eastAsia="仿宋" w:cs="Times New Roman"/>
          <w:b w:val="0"/>
          <w:bCs w:val="0"/>
          <w:caps w:val="0"/>
          <w:smallCaps/>
          <w:sz w:val="20"/>
          <w:szCs w:val="20"/>
          <w:lang w:val="en-US" w:eastAsia="zh-CN"/>
        </w:rPr>
        <w:fldChar w:fldCharType="end"/>
      </w:r>
    </w:p>
    <w:p>
      <w:pPr>
        <w:spacing w:before="0" w:beforeLines="0" w:after="0" w:afterLines="0" w:line="240" w:lineRule="auto"/>
        <w:ind w:left="0" w:leftChars="0" w:right="0" w:rightChars="0" w:firstLine="0" w:firstLineChars="0"/>
        <w:jc w:val="both"/>
      </w:pPr>
      <w:bookmarkStart w:id="30" w:name="_Toc8821"/>
      <w:bookmarkStart w:id="31" w:name="_Toc8484"/>
    </w:p>
    <w:p>
      <w:pPr>
        <w:pStyle w:val="4"/>
        <w:jc w:val="both"/>
        <w:rPr>
          <w:rFonts w:hint="eastAsia" w:ascii="黑体" w:hAnsi="黑体" w:eastAsia="黑体"/>
          <w:b w:val="0"/>
        </w:rPr>
      </w:pPr>
    </w:p>
    <w:p>
      <w:pPr>
        <w:rPr>
          <w:rFonts w:hint="eastAsia" w:ascii="黑体" w:hAnsi="黑体" w:eastAsia="黑体"/>
          <w:b w:val="0"/>
        </w:rPr>
      </w:pPr>
    </w:p>
    <w:p>
      <w:pPr>
        <w:pStyle w:val="2"/>
        <w:rPr>
          <w:rFonts w:hint="eastAsia"/>
        </w:rPr>
      </w:pPr>
    </w:p>
    <w:p>
      <w:pPr>
        <w:pStyle w:val="4"/>
        <w:jc w:val="center"/>
        <w:rPr>
          <w:rFonts w:ascii="黑体" w:eastAsia="黑体"/>
          <w:color w:val="000000"/>
          <w:sz w:val="32"/>
          <w:szCs w:val="32"/>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30"/>
      <w:bookmarkEnd w:id="31"/>
    </w:p>
    <w:p>
      <w:pPr>
        <w:pStyle w:val="5"/>
        <w:rPr>
          <w:rStyle w:val="28"/>
          <w:rFonts w:ascii="仿宋" w:hAnsi="仿宋" w:eastAsia="仿宋"/>
          <w:b w:val="0"/>
          <w:bCs w:val="0"/>
        </w:rPr>
      </w:pPr>
      <w:bookmarkStart w:id="32" w:name="_Toc8718"/>
      <w:bookmarkStart w:id="33" w:name="_Toc15377197"/>
      <w:bookmarkStart w:id="34" w:name="_Toc15396600"/>
      <w:bookmarkStart w:id="35" w:name="_Toc26383"/>
      <w:bookmarkStart w:id="36" w:name="_Toc19186"/>
      <w:bookmarkStart w:id="37" w:name="_Toc4805"/>
      <w:bookmarkStart w:id="38" w:name="_Toc25244"/>
      <w:bookmarkStart w:id="39" w:name="_Toc10864"/>
      <w:bookmarkStart w:id="40" w:name="_Toc29813"/>
      <w:bookmarkStart w:id="41" w:name="_Toc19925"/>
      <w:bookmarkStart w:id="42" w:name="_Toc20828"/>
      <w:r>
        <w:rPr>
          <w:rFonts w:hint="eastAsia" w:ascii="黑体" w:hAnsi="黑体" w:eastAsia="黑体"/>
          <w:b w:val="0"/>
          <w:color w:val="000000"/>
        </w:rPr>
        <w:t>一、基</w:t>
      </w:r>
      <w:r>
        <w:rPr>
          <w:rStyle w:val="28"/>
          <w:rFonts w:hint="eastAsia" w:ascii="黑体" w:hAnsi="黑体" w:eastAsia="黑体"/>
          <w:b w:val="0"/>
          <w:bCs w:val="0"/>
        </w:rPr>
        <w:t>本职能及主要工作</w:t>
      </w:r>
      <w:bookmarkEnd w:id="32"/>
      <w:bookmarkEnd w:id="33"/>
      <w:bookmarkEnd w:id="34"/>
      <w:bookmarkEnd w:id="35"/>
      <w:bookmarkEnd w:id="36"/>
      <w:bookmarkEnd w:id="37"/>
      <w:bookmarkEnd w:id="38"/>
      <w:bookmarkEnd w:id="39"/>
      <w:bookmarkEnd w:id="40"/>
      <w:bookmarkEnd w:id="41"/>
      <w:bookmarkEnd w:id="42"/>
    </w:p>
    <w:p>
      <w:pPr>
        <w:pStyle w:val="7"/>
        <w:adjustRightInd w:val="0"/>
        <w:snapToGrid w:val="0"/>
        <w:spacing w:before="93" w:line="600" w:lineRule="exact"/>
        <w:ind w:firstLine="675" w:firstLineChars="210"/>
        <w:outlineLvl w:val="2"/>
        <w:rPr>
          <w:rFonts w:hint="eastAsia" w:ascii="楷体_GB2312" w:hAnsi="楷体_GB2312" w:eastAsia="楷体_GB2312" w:cs="楷体_GB2312"/>
          <w:b/>
          <w:color w:val="000000"/>
          <w:kern w:val="2"/>
          <w:sz w:val="32"/>
          <w:szCs w:val="32"/>
          <w:lang w:val="en-US" w:eastAsia="zh-CN" w:bidi="ar-SA"/>
        </w:rPr>
      </w:pPr>
      <w:bookmarkStart w:id="43" w:name="_Toc15378445"/>
      <w:bookmarkStart w:id="44" w:name="_Toc15377198"/>
      <w:bookmarkStart w:id="45" w:name="_Toc25738"/>
      <w:bookmarkStart w:id="46" w:name="_Toc6758"/>
      <w:bookmarkStart w:id="47" w:name="_Toc22610"/>
      <w:bookmarkStart w:id="48" w:name="_Toc2127"/>
      <w:bookmarkStart w:id="49" w:name="_Toc1990"/>
      <w:bookmarkStart w:id="50" w:name="_Toc13286"/>
      <w:bookmarkStart w:id="51" w:name="_Toc17965"/>
      <w:bookmarkStart w:id="52" w:name="_Toc12021"/>
      <w:r>
        <w:rPr>
          <w:rFonts w:hint="eastAsia" w:ascii="楷体_GB2312" w:hAnsi="楷体_GB2312" w:eastAsia="楷体_GB2312" w:cs="楷体_GB2312"/>
          <w:b/>
          <w:color w:val="000000"/>
          <w:kern w:val="2"/>
          <w:sz w:val="32"/>
          <w:szCs w:val="32"/>
          <w:lang w:val="en-US" w:eastAsia="zh-CN" w:bidi="ar-SA"/>
        </w:rPr>
        <w:t>（一）主要职能</w:t>
      </w:r>
      <w:bookmarkEnd w:id="43"/>
      <w:bookmarkEnd w:id="44"/>
      <w:bookmarkEnd w:id="45"/>
      <w:bookmarkEnd w:id="46"/>
      <w:bookmarkEnd w:id="47"/>
      <w:bookmarkEnd w:id="48"/>
      <w:bookmarkEnd w:id="49"/>
      <w:bookmarkEnd w:id="50"/>
      <w:bookmarkEnd w:id="51"/>
      <w:bookmarkEnd w:id="52"/>
      <w:bookmarkStart w:id="53" w:name="_Toc15378446"/>
      <w:bookmarkStart w:id="54" w:name="_Toc15377199"/>
    </w:p>
    <w:p>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1.研究、指导全县各级党组织特别是党的基层组织建设,协调、规划和指导党员教育工作，主管全县党员发展和管理,指导基层党组织的党员发展和管理。</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2.提出各片区工委、乡镇机关和县级机关各部门、副科级以上事业单位领导班子的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3.贯彻执行中央、省、州关于老干部工作的方针、政策和州、县有关规定,对全县老干部工作进行指导、协调、督促、调查研究，提出老干部工作的有关政策性意见上报县委、县政府决策,协调管理离休干部的有关工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4.协助做好离休干部和县级退休干部的安置管理、服务工作,组织以上退休干部丧事工作,了解、反映并协助处理老干部遗属的有关问题。</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5.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6.调查研究并积极推进干部人事制度改革,制定或参与制定组织、人事工作的重要政策及有关制度。</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7.主管干部教育工作。制定全县干部教育规划和有关政策规定;负责省、州和县委党校干部调训,组织对基层党务工作者进行培训。</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8.负责知识分子工作牵头抓总,调查了解知识分子工作情况,上报有关材料,检查贯彻执行知识分子政策情况,主管优秀科技工作者的选拔、管理工作。</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9.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pageBreakBefore w:val="0"/>
        <w:widowControl w:val="0"/>
        <w:kinsoku/>
        <w:wordWrap/>
        <w:overflowPunct/>
        <w:topLinePunct w:val="0"/>
        <w:autoSpaceDE/>
        <w:autoSpaceDN/>
        <w:bidi w:val="0"/>
        <w:adjustRightInd/>
        <w:snapToGrid/>
        <w:spacing w:line="576" w:lineRule="exact"/>
        <w:ind w:firstLine="640"/>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10.负责审批县直机关党总支部、支部的建立和支部委员会的组成,以及支部委员会的改选、增补。指导县直机关党组织抓好党员和干部的理论学习和党的路线、方针、政策以及科学文化业务知识的学习。</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 w:hAnsi="仿宋" w:eastAsia="仿宋"/>
          <w:bCs/>
          <w:color w:val="000000"/>
          <w:sz w:val="32"/>
          <w:szCs w:val="32"/>
        </w:rPr>
      </w:pPr>
      <w:r>
        <w:rPr>
          <w:rFonts w:hint="eastAsia" w:ascii="仿宋_GB2312" w:hAnsi="楷体_GB2312" w:eastAsia="仿宋_GB2312" w:cs="楷体_GB2312"/>
          <w:kern w:val="2"/>
          <w:sz w:val="32"/>
          <w:szCs w:val="32"/>
          <w:lang w:eastAsia="zh-CN" w:bidi="ar-SA"/>
        </w:rPr>
        <w:t>11.完成县委和上级组织部门交办的其他工作任务。</w:t>
      </w:r>
    </w:p>
    <w:p>
      <w:pPr>
        <w:pStyle w:val="7"/>
        <w:adjustRightInd w:val="0"/>
        <w:snapToGrid w:val="0"/>
        <w:spacing w:before="93" w:line="600" w:lineRule="exact"/>
        <w:ind w:firstLine="675" w:firstLineChars="210"/>
        <w:outlineLvl w:val="2"/>
        <w:rPr>
          <w:rFonts w:hint="eastAsia" w:ascii="楷体_GB2312" w:hAnsi="楷体_GB2312" w:eastAsia="楷体_GB2312" w:cs="楷体_GB2312"/>
          <w:b/>
          <w:color w:val="000000"/>
          <w:kern w:val="2"/>
          <w:sz w:val="32"/>
          <w:szCs w:val="32"/>
          <w:lang w:val="en-US" w:eastAsia="zh-CN" w:bidi="ar-SA"/>
        </w:rPr>
      </w:pPr>
      <w:bookmarkStart w:id="55" w:name="_Toc9656"/>
      <w:bookmarkStart w:id="56" w:name="_Toc22223"/>
      <w:bookmarkStart w:id="57" w:name="_Toc16383"/>
      <w:bookmarkStart w:id="58" w:name="_Toc14063"/>
      <w:bookmarkStart w:id="59" w:name="_Toc11289"/>
      <w:bookmarkStart w:id="60" w:name="_Toc4502"/>
      <w:bookmarkStart w:id="61" w:name="_Toc10247"/>
      <w:bookmarkStart w:id="62" w:name="_Toc5868"/>
      <w:r>
        <w:rPr>
          <w:rFonts w:hint="eastAsia" w:ascii="楷体_GB2312" w:hAnsi="楷体_GB2312" w:eastAsia="楷体_GB2312" w:cs="楷体_GB2312"/>
          <w:b/>
          <w:color w:val="000000"/>
          <w:kern w:val="2"/>
          <w:sz w:val="32"/>
          <w:szCs w:val="32"/>
          <w:lang w:val="en-US" w:eastAsia="zh-CN" w:bidi="ar-SA"/>
        </w:rPr>
        <w:t>（二）2020年重点工作完成情况</w:t>
      </w:r>
      <w:bookmarkEnd w:id="53"/>
      <w:bookmarkEnd w:id="54"/>
      <w:bookmarkEnd w:id="55"/>
      <w:bookmarkEnd w:id="56"/>
      <w:bookmarkEnd w:id="57"/>
      <w:bookmarkEnd w:id="58"/>
      <w:bookmarkEnd w:id="59"/>
      <w:bookmarkEnd w:id="60"/>
      <w:bookmarkEnd w:id="61"/>
      <w:bookmarkEnd w:id="62"/>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bookmarkStart w:id="63" w:name="_Toc15396601"/>
      <w:bookmarkStart w:id="64" w:name="_Toc15377200"/>
      <w:bookmarkStart w:id="65" w:name="_Toc16291"/>
      <w:r>
        <w:rPr>
          <w:rFonts w:hint="eastAsia" w:ascii="仿宋_GB2312" w:hAnsi="楷体_GB2312" w:eastAsia="仿宋_GB2312" w:cs="楷体_GB2312"/>
          <w:kern w:val="2"/>
          <w:sz w:val="32"/>
          <w:szCs w:val="32"/>
          <w:lang w:val="en-US" w:eastAsia="zh-CN" w:bidi="ar-SA"/>
        </w:rPr>
        <w:t>1.</w:t>
      </w:r>
      <w:r>
        <w:rPr>
          <w:rFonts w:hint="eastAsia" w:ascii="仿宋_GB2312" w:hAnsi="楷体_GB2312" w:eastAsia="仿宋_GB2312" w:cs="楷体_GB2312"/>
          <w:kern w:val="2"/>
          <w:sz w:val="32"/>
          <w:szCs w:val="32"/>
          <w:lang w:eastAsia="zh-CN" w:bidi="ar-SA"/>
        </w:rPr>
        <w:t>讲政治，打好疫情“阻击战”。坚持“一手抓疫情防控、一手抓复工复产”，切实发挥党组织战斗堡垒和党员干部先锋模范作用。将堡垒筑在防疫一线。发出党员干部“十带头”倡议，351个基层党组织、7400余名党员干部值守99个防疫卡点。从卫生、公安抽调123名党员干部，成立4个卡点临时党支部和1个救治点临时党支部，实现疫线堡垒全覆盖。</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2.</w:t>
      </w:r>
      <w:r>
        <w:rPr>
          <w:rFonts w:hint="eastAsia" w:ascii="仿宋_GB2312" w:hAnsi="楷体_GB2312" w:eastAsia="仿宋_GB2312" w:cs="楷体_GB2312"/>
          <w:kern w:val="2"/>
          <w:sz w:val="32"/>
          <w:szCs w:val="32"/>
          <w:lang w:eastAsia="zh-CN" w:bidi="ar-SA"/>
        </w:rPr>
        <w:t>察民情，打好防汛“主动战”。做到想在前，谋在前，干在前，及早部署，及早行动，坚持防汛救灾和灾后恢复重建“两手抓”“两不误”。超前预判，提前入位。进入汛期以来，全县84个机关党支部、11镇党委，提前谋划，党员干部及时推送雨情、道路情况和防汛应急自救知识等信息，强化宣传引导，提升群众防汛意识及能力。通过“微信互联+广播互通+锣鼓共鸣”等方式，有效开展防汛宣传1700余次，排查隐患点13处。建立“叠海羌山”党员志愿服务队122支，迅速整合3500余名“联户联情”干部、驻村帮扶党员干部，紧急转移群众1500余人。</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3.</w:t>
      </w:r>
      <w:r>
        <w:rPr>
          <w:rFonts w:hint="eastAsia" w:ascii="仿宋_GB2312" w:hAnsi="楷体_GB2312" w:eastAsia="仿宋_GB2312" w:cs="楷体_GB2312"/>
          <w:kern w:val="2"/>
          <w:sz w:val="32"/>
          <w:szCs w:val="32"/>
          <w:lang w:eastAsia="zh-CN" w:bidi="ar-SA"/>
        </w:rPr>
        <w:t>夯根基，打好堡垒“提质战”。从阵地提升、后进提质等着力，助力基层党建晋级增效、全面过硬。“示范带”引领筑基。持续推进“羌山党旗红”党建示范带建设，落实资金323万元，启动凤毛坪等6个村示范创建。打造提升活动阵地13处，落实资金49.5万元。紧盯项目进场，证件办理等程序。</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 xml:space="preserve"> 4.</w:t>
      </w:r>
      <w:r>
        <w:rPr>
          <w:rFonts w:hint="eastAsia" w:ascii="仿宋_GB2312" w:hAnsi="楷体_GB2312" w:eastAsia="仿宋_GB2312" w:cs="楷体_GB2312"/>
          <w:kern w:val="2"/>
          <w:sz w:val="32"/>
          <w:szCs w:val="32"/>
          <w:lang w:eastAsia="zh-CN" w:bidi="ar-SA"/>
        </w:rPr>
        <w:t>解民难，打好群众“攻心战”。以“两联一进”为重要抓手，将“三包三联”作为重要导向，不断提升群众获得感、支部凝聚力。包思想引导。3800余名联户干部深入一线讲民惠、宣精神、明法规，累计宣讲重大会议精神、法律法规11.2万余人次，引导群众树牢“三个离不开”思想、增进“五个认同”意识。包脱贫奔康。组织联户干部聚焦“两不愁三保障”查漏补缺，协同帮扶责任人全面排查整改脱贫帮扶工作突出问题，做好因疫、因灾、因病等致贫返贫农户“回头看”“回头帮”。提供服务累计954次，解决上学、医疗、就业、增收等实际问题353件。</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5.</w:t>
      </w:r>
      <w:r>
        <w:rPr>
          <w:rFonts w:hint="eastAsia" w:ascii="仿宋_GB2312" w:hAnsi="楷体_GB2312" w:eastAsia="仿宋_GB2312" w:cs="楷体_GB2312"/>
          <w:kern w:val="2"/>
          <w:sz w:val="32"/>
          <w:szCs w:val="32"/>
          <w:lang w:eastAsia="zh-CN" w:bidi="ar-SA"/>
        </w:rPr>
        <w:t>赋效能，打好改革“持久战”。筑基固本、五个聚焦，抓好两项改革“后半篇”文章，压紧压实工作责任，确保改革工作有目标、有方向。聚焦“战斗堡垒”强组织。经9部门联审后，我县顺利完成（临时）村“两委”和（临时）村务监督委员会485干部任命工作，并相继举办村党组织书记培训班、新任村“两委”干部培训班，助力新任干部尽快进入角色。</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6.</w:t>
      </w:r>
      <w:r>
        <w:rPr>
          <w:rFonts w:hint="eastAsia" w:ascii="仿宋_GB2312" w:hAnsi="楷体_GB2312" w:eastAsia="仿宋_GB2312" w:cs="楷体_GB2312"/>
          <w:kern w:val="2"/>
          <w:sz w:val="32"/>
          <w:szCs w:val="32"/>
          <w:lang w:eastAsia="zh-CN" w:bidi="ar-SA"/>
        </w:rPr>
        <w:t>强引领，打好脱贫“攻坚战”。从抓好帮扶力量管理、抓实贫困群众增收等方面入手，坚决打赢决战决胜脱贫攻坚战役。“四个一批”帮扶提质。通过队内优化、关爱调整、培训提能、提拔使用，将帮扶成效突出的1名驻村队员调至脱贫重点村，对5名家庭原因、身患疾病的进行调整，开展培训2期，进一步激发帮扶活力。</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7.</w:t>
      </w:r>
      <w:r>
        <w:rPr>
          <w:rFonts w:hint="eastAsia" w:ascii="仿宋_GB2312" w:hAnsi="楷体_GB2312" w:eastAsia="仿宋_GB2312" w:cs="楷体_GB2312"/>
          <w:kern w:val="2"/>
          <w:sz w:val="32"/>
          <w:szCs w:val="32"/>
          <w:lang w:eastAsia="zh-CN" w:bidi="ar-SA"/>
        </w:rPr>
        <w:t>聚难点，打好治理“开局战”。突出党建引领核心，从赋权增效、体系重构等入手，破解制约基层治理中的难点、堵点，确保了高位统筹、谋定而动。抓机构“聚力”。成立以县委书记为主任，42名县级部门负责人、镇党委书记为成员的基层治理委员会，整合编制资源，下设正科级基层治理中心，落实参公编制4个。抓改革“疏堵”。聚焦职能交叉等问题，推进市场监管综合执法、文化市场综合执法等6支执法队伍改革建设，完善生态环境保护治理、县域社会治理等5大体系，构建起职责明确、运转高效的治理格局。</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8.</w:t>
      </w:r>
      <w:r>
        <w:rPr>
          <w:rFonts w:hint="eastAsia" w:ascii="仿宋_GB2312" w:hAnsi="楷体_GB2312" w:eastAsia="仿宋_GB2312" w:cs="楷体_GB2312"/>
          <w:kern w:val="2"/>
          <w:sz w:val="32"/>
          <w:szCs w:val="32"/>
          <w:lang w:eastAsia="zh-CN" w:bidi="ar-SA"/>
        </w:rPr>
        <w:t>强支撑，打好人才“振兴战”。实施“千人培育”工程，突出精准施策、靶向聚焦，着力为乡村振兴和基层治理提供坚实的人才支撑。“前瞻化”遴选人才。制定《茂县项目化柔性引才管理办法》，以“123”英才培养为抓手，遴选储备354名本土人才，从对口帮扶单位引进141名医疗、旅游专技人才。</w:t>
      </w:r>
    </w:p>
    <w:p>
      <w:pPr>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val="en-US" w:eastAsia="zh-CN" w:bidi="ar-SA"/>
        </w:rPr>
        <w:t>9.</w:t>
      </w:r>
      <w:r>
        <w:rPr>
          <w:rFonts w:hint="eastAsia" w:ascii="仿宋_GB2312" w:hAnsi="楷体_GB2312" w:eastAsia="仿宋_GB2312" w:cs="楷体_GB2312"/>
          <w:kern w:val="2"/>
          <w:sz w:val="32"/>
          <w:szCs w:val="32"/>
          <w:lang w:eastAsia="zh-CN" w:bidi="ar-SA"/>
        </w:rPr>
        <w:t>强纪律，打好廉洁“防御战”。着力建设“讲政治、重公道、业务精、作风好”的模范组织部门和“政治上绝对可靠、对党绝对忠诚”的过硬组工队伍。率先垂范，切实加强政治理论学习。结合“不忘初心、牢记使命”主题教育，将每周星期五确定为组工学习日，采取领导讲学、集中研学、分享交流等方式组织学习党的基本路线、基本理论、基本方略和重要文件、讲话、会议精神，补精神之钙，添工作之力。狠抓落实，不断的提高社会满意度。依托“四列席”制度，每季度随机抽取包联干部列席组织部例会，对照季度“联户联情”清单，现场述职，查漏整改。同时，将党风廉政建设社会满意度评价纳入“联户联情”干部走访任务，进一步提升广大干部群众对党风廉政建设工作的知晓度和认可度，提高社会满意度。</w:t>
      </w:r>
    </w:p>
    <w:p>
      <w:pPr>
        <w:pStyle w:val="5"/>
        <w:numPr>
          <w:ilvl w:val="0"/>
          <w:numId w:val="1"/>
        </w:numPr>
        <w:rPr>
          <w:rStyle w:val="28"/>
          <w:rFonts w:hint="eastAsia" w:ascii="黑体" w:hAnsi="黑体" w:eastAsia="黑体"/>
          <w:b w:val="0"/>
          <w:bCs w:val="0"/>
        </w:rPr>
      </w:pPr>
      <w:bookmarkStart w:id="66" w:name="_Toc3485"/>
      <w:bookmarkStart w:id="67" w:name="_Toc4304"/>
      <w:bookmarkStart w:id="68" w:name="_Toc15307"/>
      <w:bookmarkStart w:id="69" w:name="_Toc4417"/>
      <w:bookmarkStart w:id="70" w:name="_Toc11553"/>
      <w:bookmarkStart w:id="71" w:name="_Toc12569"/>
      <w:bookmarkStart w:id="72" w:name="_Toc29287"/>
      <w:bookmarkStart w:id="73" w:name="_Toc22479"/>
      <w:r>
        <w:rPr>
          <w:rFonts w:hint="eastAsia" w:ascii="黑体" w:hAnsi="黑体" w:eastAsia="黑体"/>
          <w:b w:val="0"/>
          <w:color w:val="000000"/>
        </w:rPr>
        <w:t>机</w:t>
      </w:r>
      <w:r>
        <w:rPr>
          <w:rStyle w:val="28"/>
          <w:rFonts w:hint="eastAsia" w:ascii="黑体" w:hAnsi="黑体" w:eastAsia="黑体"/>
          <w:b w:val="0"/>
          <w:bCs w:val="0"/>
        </w:rPr>
        <w:t>构设置</w:t>
      </w:r>
      <w:bookmarkEnd w:id="63"/>
      <w:bookmarkEnd w:id="64"/>
      <w:bookmarkEnd w:id="65"/>
      <w:bookmarkEnd w:id="66"/>
      <w:bookmarkEnd w:id="67"/>
      <w:bookmarkEnd w:id="68"/>
      <w:bookmarkEnd w:id="69"/>
      <w:bookmarkEnd w:id="70"/>
      <w:bookmarkEnd w:id="71"/>
      <w:bookmarkEnd w:id="72"/>
      <w:bookmarkEnd w:id="73"/>
    </w:p>
    <w:p>
      <w:pPr>
        <w:pageBreakBefore w:val="0"/>
        <w:widowControl w:val="0"/>
        <w:kinsoku/>
        <w:wordWrap/>
        <w:overflowPunct/>
        <w:topLinePunct w:val="0"/>
        <w:autoSpaceDE/>
        <w:autoSpaceDN/>
        <w:bidi w:val="0"/>
        <w:adjustRightInd/>
        <w:snapToGrid/>
        <w:spacing w:line="576" w:lineRule="exact"/>
        <w:ind w:firstLine="640" w:firstLineChars="200"/>
        <w:textAlignment w:val="auto"/>
        <w:rPr>
          <w:highlight w:val="none"/>
        </w:rPr>
      </w:pPr>
      <w:r>
        <w:rPr>
          <w:rFonts w:hint="eastAsia" w:ascii="仿宋_GB2312" w:hAnsi="仿宋_GB2312" w:eastAsia="仿宋_GB2312" w:cs="仿宋_GB2312"/>
          <w:sz w:val="32"/>
          <w:szCs w:val="32"/>
          <w:highlight w:val="none"/>
          <w:lang w:eastAsia="zh-CN"/>
        </w:rPr>
        <w:t>中共茂县县委组织部</w:t>
      </w:r>
      <w:r>
        <w:rPr>
          <w:rFonts w:hint="eastAsia" w:ascii="仿宋_GB2312" w:hAnsi="仿宋_GB2312" w:eastAsia="仿宋_GB2312" w:cs="仿宋_GB2312"/>
          <w:sz w:val="32"/>
          <w:szCs w:val="32"/>
          <w:highlight w:val="none"/>
        </w:rPr>
        <w:t>下属二级单位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个，其中行政单位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个，参照公务员法管理的事业单位</w:t>
      </w:r>
      <w:r>
        <w:rPr>
          <w:rFonts w:hint="eastAsia" w:ascii="仿宋_GB2312" w:hAnsi="仿宋_GB2312" w:eastAsia="仿宋_GB2312" w:cs="仿宋_GB2312"/>
          <w:bCs/>
          <w:sz w:val="32"/>
          <w:szCs w:val="32"/>
          <w:highlight w:val="none"/>
          <w:lang w:val="en-US" w:eastAsia="zh-CN"/>
        </w:rPr>
        <w:t>0</w:t>
      </w:r>
      <w:r>
        <w:rPr>
          <w:rFonts w:hint="eastAsia" w:ascii="仿宋_GB2312" w:hAnsi="仿宋_GB2312" w:eastAsia="仿宋_GB2312" w:cs="仿宋_GB2312"/>
          <w:sz w:val="32"/>
          <w:szCs w:val="32"/>
          <w:highlight w:val="none"/>
        </w:rPr>
        <w:t>个，其他事业单位</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个。</w:t>
      </w:r>
    </w:p>
    <w:p>
      <w:pPr>
        <w:pStyle w:val="4"/>
        <w:ind w:right="440"/>
        <w:jc w:val="right"/>
        <w:outlineLvl w:val="9"/>
        <w:rPr>
          <w:rFonts w:hint="eastAsia" w:ascii="黑体" w:hAnsi="黑体" w:eastAsia="黑体"/>
          <w:b w:val="0"/>
          <w:color w:val="000000"/>
        </w:rPr>
      </w:pPr>
      <w:bookmarkStart w:id="74" w:name="_Toc15396602"/>
      <w:bookmarkStart w:id="75" w:name="_Toc15377204"/>
    </w:p>
    <w:p>
      <w:pPr>
        <w:rPr>
          <w:rFonts w:hint="eastAsia" w:ascii="黑体" w:hAnsi="黑体" w:eastAsia="黑体"/>
          <w:b w:val="0"/>
          <w:color w:val="000000"/>
        </w:rPr>
      </w:pPr>
    </w:p>
    <w:p>
      <w:pPr>
        <w:pStyle w:val="4"/>
        <w:ind w:right="440"/>
        <w:jc w:val="both"/>
        <w:outlineLvl w:val="9"/>
        <w:rPr>
          <w:rFonts w:hint="eastAsia" w:ascii="黑体" w:hAnsi="黑体" w:eastAsia="黑体"/>
          <w:b w:val="0"/>
          <w:color w:val="000000"/>
        </w:rPr>
      </w:pPr>
      <w:bookmarkStart w:id="76" w:name="_Toc13143"/>
      <w:bookmarkStart w:id="77" w:name="_Toc16623"/>
      <w:bookmarkStart w:id="78" w:name="_Toc22360"/>
      <w:bookmarkStart w:id="79" w:name="_Toc13736"/>
      <w:bookmarkStart w:id="80" w:name="_Toc20474"/>
      <w:bookmarkStart w:id="81" w:name="_Toc31368"/>
      <w:bookmarkStart w:id="82" w:name="_Toc22028"/>
      <w:bookmarkStart w:id="83" w:name="_Toc11380"/>
    </w:p>
    <w:p>
      <w:pPr>
        <w:pStyle w:val="4"/>
        <w:ind w:right="440" w:firstLine="440" w:firstLineChars="100"/>
        <w:jc w:val="both"/>
        <w:outlineLvl w:val="9"/>
        <w:rPr>
          <w:rFonts w:hint="eastAsia" w:ascii="黑体" w:hAnsi="黑体" w:eastAsia="黑体"/>
          <w:b w:val="0"/>
          <w:color w:val="000000"/>
        </w:rPr>
      </w:pPr>
    </w:p>
    <w:p>
      <w:pPr>
        <w:pStyle w:val="4"/>
        <w:ind w:right="440"/>
        <w:jc w:val="both"/>
        <w:outlineLvl w:val="9"/>
        <w:rPr>
          <w:rFonts w:hint="eastAsia" w:ascii="黑体" w:hAnsi="黑体" w:eastAsia="黑体"/>
          <w:b w:val="0"/>
          <w:color w:val="000000"/>
        </w:rPr>
      </w:pPr>
    </w:p>
    <w:p>
      <w:pPr>
        <w:rPr>
          <w:rFonts w:hint="eastAsia"/>
        </w:rPr>
      </w:pPr>
    </w:p>
    <w:p>
      <w:pPr>
        <w:pStyle w:val="4"/>
        <w:ind w:right="440"/>
        <w:jc w:val="both"/>
        <w:rPr>
          <w:rStyle w:val="27"/>
          <w:rFonts w:ascii="黑体" w:hAnsi="黑体" w:eastAsia="黑体"/>
          <w:b w:val="0"/>
          <w:bCs w:val="0"/>
        </w:rPr>
      </w:pPr>
      <w:bookmarkStart w:id="84" w:name="_Toc13424"/>
      <w:r>
        <w:rPr>
          <w:rFonts w:hint="eastAsia" w:ascii="黑体" w:hAnsi="黑体" w:eastAsia="黑体"/>
          <w:b w:val="0"/>
          <w:color w:val="000000"/>
        </w:rPr>
        <w:t>第二部分</w:t>
      </w:r>
      <w:r>
        <w:rPr>
          <w:rFonts w:hint="eastAsia" w:ascii="黑体" w:hAnsi="黑体" w:eastAsia="黑体"/>
          <w:color w:val="000000"/>
        </w:rPr>
        <w:t xml:space="preserve"> </w:t>
      </w:r>
      <w:r>
        <w:rPr>
          <w:rStyle w:val="27"/>
          <w:rFonts w:hint="eastAsia" w:ascii="黑体" w:hAnsi="黑体" w:eastAsia="黑体"/>
          <w:b w:val="0"/>
          <w:bCs w:val="0"/>
        </w:rPr>
        <w:t>20</w:t>
      </w:r>
      <w:r>
        <w:rPr>
          <w:rStyle w:val="27"/>
          <w:rFonts w:hint="eastAsia" w:ascii="黑体" w:hAnsi="黑体" w:eastAsia="黑体"/>
          <w:b w:val="0"/>
          <w:bCs w:val="0"/>
          <w:lang w:val="en-US" w:eastAsia="zh-CN"/>
        </w:rPr>
        <w:t>20</w:t>
      </w:r>
      <w:r>
        <w:rPr>
          <w:rStyle w:val="27"/>
          <w:rFonts w:hint="eastAsia" w:ascii="黑体" w:hAnsi="黑体" w:eastAsia="黑体"/>
          <w:b w:val="0"/>
          <w:bCs w:val="0"/>
        </w:rPr>
        <w:t>年度部门决算情况说明</w:t>
      </w:r>
      <w:bookmarkEnd w:id="74"/>
      <w:bookmarkEnd w:id="75"/>
      <w:bookmarkEnd w:id="76"/>
      <w:bookmarkEnd w:id="77"/>
      <w:bookmarkEnd w:id="78"/>
      <w:bookmarkEnd w:id="79"/>
      <w:bookmarkEnd w:id="80"/>
      <w:bookmarkEnd w:id="81"/>
      <w:bookmarkEnd w:id="82"/>
      <w:bookmarkEnd w:id="83"/>
      <w:bookmarkEnd w:id="84"/>
    </w:p>
    <w:p/>
    <w:p>
      <w:pPr>
        <w:pStyle w:val="26"/>
        <w:numPr>
          <w:ilvl w:val="0"/>
          <w:numId w:val="2"/>
        </w:numPr>
        <w:spacing w:line="600" w:lineRule="exact"/>
        <w:ind w:firstLineChars="0"/>
        <w:outlineLvl w:val="1"/>
        <w:rPr>
          <w:rStyle w:val="28"/>
          <w:rFonts w:ascii="黑体" w:hAnsi="黑体" w:eastAsia="黑体"/>
          <w:b w:val="0"/>
        </w:rPr>
      </w:pPr>
      <w:bookmarkStart w:id="85" w:name="_Toc7733"/>
      <w:bookmarkStart w:id="86" w:name="_Toc25012"/>
      <w:bookmarkStart w:id="87" w:name="_Toc18654"/>
      <w:bookmarkStart w:id="88" w:name="_Toc15396603"/>
      <w:bookmarkStart w:id="89" w:name="_Toc15377205"/>
      <w:bookmarkStart w:id="90" w:name="_Toc253"/>
      <w:bookmarkStart w:id="91" w:name="_Toc30855"/>
      <w:bookmarkStart w:id="92" w:name="_Toc231"/>
      <w:bookmarkStart w:id="93" w:name="_Toc9504"/>
      <w:bookmarkStart w:id="94" w:name="_Toc22075"/>
      <w:bookmarkStart w:id="95" w:name="_Toc18412"/>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85"/>
      <w:bookmarkEnd w:id="86"/>
      <w:bookmarkEnd w:id="87"/>
      <w:bookmarkEnd w:id="88"/>
      <w:bookmarkEnd w:id="89"/>
      <w:bookmarkEnd w:id="90"/>
      <w:bookmarkEnd w:id="91"/>
      <w:bookmarkEnd w:id="92"/>
      <w:bookmarkEnd w:id="93"/>
      <w:bookmarkEnd w:id="94"/>
      <w:bookmarkEnd w:id="9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年度收、支总计</w:t>
      </w:r>
      <w:r>
        <w:rPr>
          <w:rFonts w:hint="eastAsia" w:ascii="仿宋_GB2312" w:hAnsi="仿宋_GB2312" w:eastAsia="仿宋_GB2312" w:cs="仿宋_GB2312"/>
          <w:sz w:val="32"/>
          <w:szCs w:val="32"/>
          <w:highlight w:val="none"/>
          <w:lang w:val="en-US" w:eastAsia="zh-CN"/>
        </w:rPr>
        <w:t>1382.99</w:t>
      </w:r>
      <w:r>
        <w:rPr>
          <w:rFonts w:hint="eastAsia" w:ascii="仿宋_GB2312" w:hAnsi="仿宋_GB2312" w:eastAsia="仿宋_GB2312" w:cs="仿宋_GB2312"/>
          <w:sz w:val="32"/>
          <w:szCs w:val="32"/>
          <w:highlight w:val="none"/>
        </w:rPr>
        <w:t>万元。与201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年相比，收、支总计各增加</w:t>
      </w:r>
      <w:r>
        <w:rPr>
          <w:rFonts w:hint="eastAsia" w:ascii="仿宋_GB2312" w:hAnsi="仿宋_GB2312" w:eastAsia="仿宋_GB2312" w:cs="仿宋_GB2312"/>
          <w:sz w:val="32"/>
          <w:szCs w:val="32"/>
          <w:highlight w:val="none"/>
          <w:lang w:val="en-US" w:eastAsia="zh-CN"/>
        </w:rPr>
        <w:t>22.84</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1.67</w:t>
      </w:r>
      <w:r>
        <w:rPr>
          <w:rFonts w:hint="eastAsia" w:ascii="仿宋_GB2312" w:hAnsi="仿宋_GB2312" w:eastAsia="仿宋_GB2312" w:cs="仿宋_GB2312"/>
          <w:sz w:val="32"/>
          <w:szCs w:val="32"/>
          <w:highlight w:val="none"/>
        </w:rPr>
        <w:t>%。主要变动原因</w:t>
      </w:r>
      <w:r>
        <w:rPr>
          <w:rFonts w:hint="eastAsia" w:ascii="仿宋_GB2312" w:hAnsi="仿宋_GB2312" w:eastAsia="仿宋_GB2312" w:cs="仿宋_GB2312"/>
          <w:sz w:val="32"/>
          <w:szCs w:val="32"/>
          <w:highlight w:val="none"/>
          <w:lang w:eastAsia="zh-CN"/>
        </w:rPr>
        <w:t>一是由于新增人员；二是由于</w:t>
      </w:r>
      <w:r>
        <w:rPr>
          <w:rFonts w:hint="eastAsia" w:ascii="仿宋_GB2312" w:hAnsi="仿宋_GB2312" w:eastAsia="仿宋_GB2312" w:cs="仿宋_GB2312"/>
          <w:sz w:val="32"/>
          <w:szCs w:val="32"/>
          <w:highlight w:val="none"/>
        </w:rPr>
        <w:t>上级专项拨款资金及项目资金增加</w:t>
      </w:r>
      <w:r>
        <w:rPr>
          <w:rFonts w:hint="eastAsia" w:ascii="仿宋_GB2312" w:hAnsi="仿宋_GB2312" w:eastAsia="仿宋_GB2312" w:cs="仿宋_GB2312"/>
          <w:sz w:val="32"/>
          <w:szCs w:val="32"/>
          <w:highlight w:val="none"/>
          <w:lang w:eastAsia="zh-CN"/>
        </w:rPr>
        <w:t>。</w:t>
      </w:r>
    </w:p>
    <w:p>
      <w:pPr>
        <w:pageBreakBefore w:val="0"/>
        <w:kinsoku/>
        <w:wordWrap/>
        <w:overflowPunct/>
        <w:topLinePunct w:val="0"/>
        <w:bidi w:val="0"/>
        <w:ind w:firstLine="420" w:firstLineChars="200"/>
        <w:rPr>
          <w:rFonts w:hint="eastAsia" w:ascii="仿宋_GB2312" w:hAnsi="仿宋_GB2312" w:eastAsia="仿宋_GB2312" w:cs="仿宋_GB2312"/>
          <w:sz w:val="32"/>
          <w:szCs w:val="32"/>
        </w:rPr>
      </w:pPr>
      <w:r>
        <w:drawing>
          <wp:inline distT="0" distB="0" distL="114300" distR="114300">
            <wp:extent cx="4572000" cy="2743200"/>
            <wp:effectExtent l="4445" t="4445" r="14605" b="14605"/>
            <wp:docPr id="9"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rPr>
          <w:rFonts w:hint="eastAsia" w:ascii="仿宋_GB2312" w:hAnsi="仿宋_GB2312" w:eastAsia="仿宋_GB2312" w:cs="仿宋_GB2312"/>
          <w:sz w:val="32"/>
          <w:szCs w:val="32"/>
        </w:rPr>
      </w:pPr>
    </w:p>
    <w:p>
      <w:pPr>
        <w:spacing w:line="600" w:lineRule="exact"/>
        <w:ind w:firstLine="960" w:firstLineChars="300"/>
        <w:rPr>
          <w:rFonts w:ascii="仿宋_GB2312" w:eastAsia="仿宋_GB2312"/>
          <w:color w:val="000000"/>
          <w:sz w:val="32"/>
          <w:szCs w:val="32"/>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pStyle w:val="26"/>
        <w:numPr>
          <w:ilvl w:val="0"/>
          <w:numId w:val="2"/>
        </w:numPr>
        <w:spacing w:line="600" w:lineRule="exact"/>
        <w:ind w:firstLineChars="0"/>
        <w:outlineLvl w:val="1"/>
        <w:rPr>
          <w:rStyle w:val="28"/>
          <w:rFonts w:ascii="黑体" w:hAnsi="黑体" w:eastAsia="黑体"/>
          <w:b w:val="0"/>
        </w:rPr>
      </w:pPr>
      <w:bookmarkStart w:id="96" w:name="_Toc14854"/>
      <w:bookmarkStart w:id="97" w:name="_Toc12854"/>
      <w:bookmarkStart w:id="98" w:name="_Toc28904"/>
      <w:bookmarkStart w:id="99" w:name="_Toc17514"/>
      <w:bookmarkStart w:id="100" w:name="_Toc13944"/>
      <w:bookmarkStart w:id="101" w:name="_Toc20833"/>
      <w:bookmarkStart w:id="102" w:name="_Toc15377206"/>
      <w:bookmarkStart w:id="103" w:name="_Toc7090"/>
      <w:bookmarkStart w:id="104" w:name="_Toc22231"/>
      <w:bookmarkStart w:id="105" w:name="_Toc10546"/>
      <w:bookmarkStart w:id="106"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96"/>
      <w:bookmarkEnd w:id="97"/>
      <w:bookmarkEnd w:id="98"/>
      <w:bookmarkEnd w:id="99"/>
      <w:bookmarkEnd w:id="100"/>
      <w:bookmarkEnd w:id="101"/>
      <w:bookmarkEnd w:id="102"/>
      <w:bookmarkEnd w:id="103"/>
      <w:bookmarkEnd w:id="104"/>
      <w:bookmarkEnd w:id="105"/>
      <w:bookmarkEnd w:id="10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bookmarkStart w:id="107" w:name="_Toc24335"/>
      <w:bookmarkStart w:id="108" w:name="_Toc20318"/>
      <w:bookmarkStart w:id="109" w:name="_Toc28817"/>
      <w:bookmarkStart w:id="110" w:name="_Toc31739"/>
      <w:bookmarkStart w:id="111" w:name="_Toc21915"/>
      <w:bookmarkStart w:id="112" w:name="_Toc18003"/>
      <w:bookmarkStart w:id="113" w:name="_Toc4385"/>
      <w:bookmarkStart w:id="114" w:name="_Toc19603"/>
      <w:bookmarkStart w:id="115" w:name="_Toc24012"/>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年本年收入合计</w:t>
      </w:r>
      <w:r>
        <w:rPr>
          <w:rFonts w:hint="eastAsia" w:ascii="仿宋_GB2312" w:hAnsi="仿宋_GB2312" w:eastAsia="仿宋_GB2312" w:cs="仿宋_GB2312"/>
          <w:sz w:val="32"/>
          <w:szCs w:val="32"/>
          <w:highlight w:val="none"/>
          <w:lang w:val="en-US" w:eastAsia="zh-CN"/>
        </w:rPr>
        <w:t>1218.85</w:t>
      </w:r>
      <w:r>
        <w:rPr>
          <w:rFonts w:hint="eastAsia" w:ascii="仿宋_GB2312" w:hAnsi="仿宋_GB2312" w:eastAsia="仿宋_GB2312" w:cs="仿宋_GB2312"/>
          <w:sz w:val="32"/>
          <w:szCs w:val="32"/>
          <w:highlight w:val="none"/>
        </w:rPr>
        <w:t>万元，其中：一般公共预算财政拨款收入</w:t>
      </w:r>
      <w:r>
        <w:rPr>
          <w:rFonts w:hint="eastAsia" w:ascii="仿宋_GB2312" w:hAnsi="仿宋_GB2312" w:eastAsia="仿宋_GB2312" w:cs="仿宋_GB2312"/>
          <w:sz w:val="32"/>
          <w:szCs w:val="32"/>
          <w:highlight w:val="none"/>
          <w:lang w:val="en-US" w:eastAsia="zh-CN"/>
        </w:rPr>
        <w:t>1218.85</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%；政府性基金预算财政拨款收入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万元；上级补助收入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万元；事业收入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万元；经营收入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万元；附属单位上缴收入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万元；其他收入</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bookmarkEnd w:id="107"/>
      <w:bookmarkEnd w:id="108"/>
      <w:bookmarkEnd w:id="109"/>
      <w:bookmarkEnd w:id="110"/>
      <w:bookmarkEnd w:id="111"/>
      <w:bookmarkEnd w:id="112"/>
      <w:bookmarkEnd w:id="113"/>
      <w:bookmarkEnd w:id="114"/>
      <w:bookmarkEnd w:id="115"/>
    </w:p>
    <w:p>
      <w:pPr>
        <w:spacing w:line="600" w:lineRule="exact"/>
        <w:ind w:firstLine="420" w:firstLineChars="200"/>
        <w:outlineLvl w:val="9"/>
      </w:pPr>
      <w:r>
        <w:drawing>
          <wp:anchor distT="0" distB="0" distL="114300" distR="114300" simplePos="0" relativeHeight="251665408" behindDoc="0" locked="0" layoutInCell="1" allowOverlap="1">
            <wp:simplePos x="0" y="0"/>
            <wp:positionH relativeFrom="column">
              <wp:posOffset>257175</wp:posOffset>
            </wp:positionH>
            <wp:positionV relativeFrom="paragraph">
              <wp:posOffset>9525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ind w:firstLine="420" w:firstLineChars="200"/>
        <w:outlineLvl w:val="9"/>
      </w:pPr>
    </w:p>
    <w:p>
      <w:pPr>
        <w:spacing w:line="600" w:lineRule="exact"/>
        <w:outlineLvl w:val="9"/>
        <w:rPr>
          <w:rFonts w:ascii="仿宋" w:hAnsi="仿宋" w:eastAsia="仿宋"/>
          <w:color w:val="000000"/>
          <w:sz w:val="32"/>
          <w:szCs w:val="32"/>
        </w:rPr>
      </w:pPr>
    </w:p>
    <w:p>
      <w:pPr>
        <w:spacing w:line="600" w:lineRule="exact"/>
        <w:ind w:firstLine="1600" w:firstLineChars="500"/>
        <w:jc w:val="both"/>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w:t>
      </w:r>
    </w:p>
    <w:p>
      <w:pPr>
        <w:pStyle w:val="26"/>
        <w:numPr>
          <w:ilvl w:val="0"/>
          <w:numId w:val="2"/>
        </w:numPr>
        <w:spacing w:line="600" w:lineRule="exact"/>
        <w:ind w:firstLineChars="0"/>
        <w:outlineLvl w:val="1"/>
        <w:rPr>
          <w:rStyle w:val="28"/>
          <w:rFonts w:ascii="黑体" w:hAnsi="黑体" w:eastAsia="黑体"/>
          <w:b w:val="0"/>
        </w:rPr>
      </w:pPr>
      <w:bookmarkStart w:id="116" w:name="_Toc17453"/>
      <w:bookmarkStart w:id="117" w:name="_Toc11723"/>
      <w:bookmarkStart w:id="118" w:name="_Toc30359"/>
      <w:bookmarkStart w:id="119" w:name="_Toc14942"/>
      <w:bookmarkStart w:id="120" w:name="_Toc28419"/>
      <w:bookmarkStart w:id="121" w:name="_Toc12495"/>
      <w:bookmarkStart w:id="122" w:name="_Toc15377207"/>
      <w:bookmarkStart w:id="123" w:name="_Toc29682"/>
      <w:bookmarkStart w:id="124" w:name="_Toc15396605"/>
      <w:bookmarkStart w:id="125" w:name="_Toc26725"/>
      <w:bookmarkStart w:id="126" w:name="_Toc31464"/>
      <w:r>
        <w:rPr>
          <w:rFonts w:hint="eastAsia" w:ascii="黑体" w:hAnsi="黑体" w:eastAsia="黑体"/>
          <w:color w:val="000000"/>
          <w:sz w:val="32"/>
          <w:szCs w:val="32"/>
        </w:rPr>
        <w:t>支</w:t>
      </w:r>
      <w:r>
        <w:rPr>
          <w:rStyle w:val="28"/>
          <w:rFonts w:hint="eastAsia" w:ascii="黑体" w:hAnsi="黑体" w:eastAsia="黑体"/>
          <w:b w:val="0"/>
        </w:rPr>
        <w:t>出决算情况说明</w:t>
      </w:r>
      <w:bookmarkEnd w:id="116"/>
      <w:bookmarkEnd w:id="117"/>
      <w:bookmarkEnd w:id="118"/>
      <w:bookmarkEnd w:id="119"/>
      <w:bookmarkEnd w:id="120"/>
      <w:bookmarkEnd w:id="121"/>
      <w:bookmarkEnd w:id="122"/>
      <w:bookmarkEnd w:id="123"/>
      <w:bookmarkEnd w:id="124"/>
      <w:bookmarkEnd w:id="125"/>
      <w:bookmarkEnd w:id="12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bookmarkStart w:id="127" w:name="_Toc18987"/>
      <w:bookmarkStart w:id="128" w:name="_Toc16081"/>
      <w:bookmarkStart w:id="129" w:name="_Toc6940"/>
      <w:bookmarkStart w:id="130" w:name="_Toc14680"/>
      <w:bookmarkStart w:id="131" w:name="_Toc26740"/>
      <w:bookmarkStart w:id="132" w:name="_Toc18798"/>
      <w:bookmarkStart w:id="133" w:name="_Toc31044"/>
      <w:bookmarkStart w:id="134" w:name="_Toc22032"/>
      <w:bookmarkStart w:id="135" w:name="_Toc13506"/>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年本年支出合计</w:t>
      </w:r>
      <w:r>
        <w:rPr>
          <w:rFonts w:hint="eastAsia" w:ascii="仿宋_GB2312" w:hAnsi="仿宋_GB2312" w:eastAsia="仿宋_GB2312" w:cs="仿宋_GB2312"/>
          <w:sz w:val="32"/>
          <w:szCs w:val="32"/>
          <w:highlight w:val="none"/>
          <w:lang w:val="en-US" w:eastAsia="zh-CN"/>
        </w:rPr>
        <w:t>1382.73</w:t>
      </w:r>
      <w:r>
        <w:rPr>
          <w:rFonts w:hint="eastAsia" w:ascii="仿宋_GB2312" w:hAnsi="仿宋_GB2312" w:eastAsia="仿宋_GB2312" w:cs="仿宋_GB2312"/>
          <w:sz w:val="32"/>
          <w:szCs w:val="32"/>
          <w:highlight w:val="none"/>
        </w:rPr>
        <w:t>万元，其中：基本支出</w:t>
      </w:r>
      <w:r>
        <w:rPr>
          <w:rFonts w:hint="eastAsia" w:ascii="仿宋_GB2312" w:hAnsi="仿宋_GB2312" w:eastAsia="仿宋_GB2312" w:cs="仿宋_GB2312"/>
          <w:sz w:val="32"/>
          <w:szCs w:val="32"/>
          <w:highlight w:val="none"/>
          <w:lang w:val="en-US" w:eastAsia="zh-CN"/>
        </w:rPr>
        <w:t>691.26</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49.99</w:t>
      </w:r>
      <w:r>
        <w:rPr>
          <w:rFonts w:hint="eastAsia" w:ascii="仿宋_GB2312" w:hAnsi="仿宋_GB2312" w:eastAsia="仿宋_GB2312" w:cs="仿宋_GB2312"/>
          <w:sz w:val="32"/>
          <w:szCs w:val="32"/>
          <w:highlight w:val="none"/>
        </w:rPr>
        <w:t>%；项目支出</w:t>
      </w:r>
      <w:r>
        <w:rPr>
          <w:rFonts w:hint="eastAsia" w:ascii="仿宋_GB2312" w:hAnsi="仿宋_GB2312" w:eastAsia="仿宋_GB2312" w:cs="仿宋_GB2312"/>
          <w:sz w:val="32"/>
          <w:szCs w:val="32"/>
          <w:highlight w:val="none"/>
          <w:lang w:val="en-US" w:eastAsia="zh-CN"/>
        </w:rPr>
        <w:t>691.47</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50.01</w:t>
      </w:r>
      <w:r>
        <w:rPr>
          <w:rFonts w:hint="eastAsia" w:ascii="仿宋_GB2312" w:hAnsi="仿宋_GB2312" w:eastAsia="仿宋_GB2312" w:cs="仿宋_GB2312"/>
          <w:sz w:val="32"/>
          <w:szCs w:val="32"/>
          <w:highlight w:val="none"/>
        </w:rPr>
        <w:t>%；上缴上级支出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万元；经营支出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万元；对附属单位补助支出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bookmarkEnd w:id="127"/>
      <w:bookmarkEnd w:id="128"/>
      <w:bookmarkEnd w:id="129"/>
      <w:bookmarkEnd w:id="130"/>
      <w:bookmarkEnd w:id="131"/>
      <w:bookmarkEnd w:id="132"/>
      <w:bookmarkEnd w:id="133"/>
      <w:bookmarkEnd w:id="134"/>
      <w:bookmarkEnd w:id="135"/>
    </w:p>
    <w:p>
      <w:pPr>
        <w:spacing w:line="600" w:lineRule="exact"/>
        <w:ind w:firstLine="420" w:firstLineChars="200"/>
        <w:outlineLvl w:val="9"/>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66432" behindDoc="0" locked="0" layoutInCell="1" allowOverlap="1">
            <wp:simplePos x="0" y="0"/>
            <wp:positionH relativeFrom="column">
              <wp:posOffset>85725</wp:posOffset>
            </wp:positionH>
            <wp:positionV relativeFrom="paragraph">
              <wp:posOffset>257175</wp:posOffset>
            </wp:positionV>
            <wp:extent cx="4572000" cy="2743200"/>
            <wp:effectExtent l="4445" t="4445" r="1460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1600" w:firstLineChars="500"/>
        <w:rPr>
          <w:rFonts w:hint="eastAsia" w:ascii="黑体" w:hAnsi="黑体" w:eastAsia="黑体"/>
          <w:color w:val="000000"/>
          <w:sz w:val="32"/>
          <w:szCs w:val="32"/>
        </w:rPr>
      </w:pPr>
      <w:r>
        <w:rPr>
          <w:rFonts w:hint="eastAsia" w:ascii="仿宋" w:hAnsi="仿宋" w:eastAsia="仿宋"/>
          <w:color w:val="000000" w:themeColor="text1"/>
          <w:sz w:val="32"/>
          <w:szCs w:val="32"/>
          <w14:textFill>
            <w14:solidFill>
              <w14:schemeClr w14:val="tx1"/>
            </w14:solidFill>
          </w14:textFill>
        </w:rPr>
        <w:t>（图3：支出决算结构图）</w:t>
      </w:r>
      <w:bookmarkStart w:id="136" w:name="_Toc15396606"/>
      <w:bookmarkStart w:id="137" w:name="_Toc15377208"/>
    </w:p>
    <w:p>
      <w:pPr>
        <w:spacing w:line="600" w:lineRule="exact"/>
        <w:ind w:firstLine="640" w:firstLineChars="200"/>
        <w:outlineLvl w:val="1"/>
        <w:rPr>
          <w:rStyle w:val="28"/>
          <w:rFonts w:ascii="黑体" w:hAnsi="黑体" w:eastAsia="黑体"/>
          <w:b w:val="0"/>
        </w:rPr>
      </w:pPr>
      <w:bookmarkStart w:id="138" w:name="_Toc19366"/>
      <w:bookmarkStart w:id="139" w:name="_Toc27431"/>
      <w:bookmarkStart w:id="140" w:name="_Toc7045"/>
      <w:bookmarkStart w:id="141" w:name="_Toc5924"/>
      <w:bookmarkStart w:id="142" w:name="_Toc16567"/>
      <w:bookmarkStart w:id="143" w:name="_Toc4740"/>
      <w:bookmarkStart w:id="144" w:name="_Toc28928"/>
      <w:bookmarkStart w:id="145" w:name="_Toc26179"/>
      <w:bookmarkStart w:id="146" w:name="_Toc1897"/>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136"/>
      <w:bookmarkEnd w:id="137"/>
      <w:bookmarkEnd w:id="138"/>
      <w:bookmarkEnd w:id="139"/>
      <w:bookmarkEnd w:id="140"/>
      <w:bookmarkEnd w:id="141"/>
      <w:bookmarkEnd w:id="142"/>
      <w:bookmarkEnd w:id="143"/>
      <w:bookmarkEnd w:id="144"/>
      <w:bookmarkEnd w:id="145"/>
      <w:bookmarkEnd w:id="14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年财政拨款收、支总计</w:t>
      </w:r>
      <w:r>
        <w:rPr>
          <w:rFonts w:hint="eastAsia" w:ascii="仿宋_GB2312" w:hAnsi="仿宋_GB2312" w:eastAsia="仿宋_GB2312" w:cs="仿宋_GB2312"/>
          <w:sz w:val="32"/>
          <w:szCs w:val="32"/>
          <w:highlight w:val="none"/>
          <w:lang w:val="en-US" w:eastAsia="zh-CN"/>
        </w:rPr>
        <w:t>1382.99</w:t>
      </w:r>
      <w:r>
        <w:rPr>
          <w:rFonts w:hint="eastAsia" w:ascii="仿宋_GB2312" w:hAnsi="仿宋_GB2312" w:eastAsia="仿宋_GB2312" w:cs="仿宋_GB2312"/>
          <w:sz w:val="32"/>
          <w:szCs w:val="32"/>
          <w:highlight w:val="none"/>
        </w:rPr>
        <w:t>万元。与201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年相比，财政拨款收、支总计各增</w:t>
      </w:r>
      <w:r>
        <w:rPr>
          <w:rFonts w:hint="eastAsia" w:ascii="仿宋_GB2312" w:hAnsi="仿宋_GB2312" w:eastAsia="仿宋_GB2312" w:cs="仿宋_GB2312"/>
          <w:sz w:val="32"/>
          <w:szCs w:val="32"/>
          <w:highlight w:val="none"/>
          <w:lang w:eastAsia="zh-CN"/>
        </w:rPr>
        <w:t>加</w:t>
      </w:r>
      <w:r>
        <w:rPr>
          <w:rFonts w:hint="eastAsia" w:ascii="仿宋_GB2312" w:hAnsi="仿宋_GB2312" w:eastAsia="仿宋_GB2312" w:cs="仿宋_GB2312"/>
          <w:sz w:val="32"/>
          <w:szCs w:val="32"/>
          <w:highlight w:val="none"/>
          <w:lang w:val="en-US" w:eastAsia="zh-CN"/>
        </w:rPr>
        <w:t>22.84</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1.67</w:t>
      </w:r>
      <w:r>
        <w:rPr>
          <w:rFonts w:hint="eastAsia" w:ascii="仿宋_GB2312" w:hAnsi="仿宋_GB2312" w:eastAsia="仿宋_GB2312" w:cs="仿宋_GB2312"/>
          <w:sz w:val="32"/>
          <w:szCs w:val="32"/>
          <w:highlight w:val="none"/>
        </w:rPr>
        <w:t>%。主要变动原因</w:t>
      </w:r>
      <w:r>
        <w:rPr>
          <w:rFonts w:hint="eastAsia" w:ascii="仿宋_GB2312" w:hAnsi="仿宋_GB2312" w:eastAsia="仿宋_GB2312" w:cs="仿宋_GB2312"/>
          <w:sz w:val="32"/>
          <w:szCs w:val="32"/>
          <w:highlight w:val="none"/>
          <w:lang w:eastAsia="zh-CN"/>
        </w:rPr>
        <w:t>一是由于新增人员；二是由于</w:t>
      </w:r>
      <w:r>
        <w:rPr>
          <w:rFonts w:hint="eastAsia" w:ascii="仿宋_GB2312" w:hAnsi="仿宋_GB2312" w:eastAsia="仿宋_GB2312" w:cs="仿宋_GB2312"/>
          <w:sz w:val="32"/>
          <w:szCs w:val="32"/>
          <w:highlight w:val="none"/>
        </w:rPr>
        <w:t>上级专项拨款资金及项目资金增加</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spacing w:line="576" w:lineRule="exact"/>
        <w:ind w:firstLine="420" w:firstLineChars="200"/>
        <w:textAlignment w:val="auto"/>
        <w:rPr>
          <w:rFonts w:hint="eastAsia" w:ascii="仿宋" w:hAnsi="仿宋" w:eastAsia="仿宋"/>
          <w:color w:val="000000"/>
          <w:sz w:val="32"/>
          <w:szCs w:val="32"/>
          <w:lang w:eastAsia="zh-CN"/>
        </w:rPr>
      </w:pPr>
      <w:r>
        <w:drawing>
          <wp:anchor distT="0" distB="0" distL="114300" distR="114300" simplePos="0" relativeHeight="251667456" behindDoc="0" locked="0" layoutInCell="1" allowOverlap="1">
            <wp:simplePos x="0" y="0"/>
            <wp:positionH relativeFrom="column">
              <wp:posOffset>390525</wp:posOffset>
            </wp:positionH>
            <wp:positionV relativeFrom="paragraph">
              <wp:posOffset>295275</wp:posOffset>
            </wp:positionV>
            <wp:extent cx="4572000" cy="2743200"/>
            <wp:effectExtent l="4445" t="4445" r="14605" b="14605"/>
            <wp:wrapSquare wrapText="bothSides"/>
            <wp:docPr id="13"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keepNext w:val="0"/>
        <w:keepLines w:val="0"/>
        <w:pageBreakBefore w:val="0"/>
        <w:widowControl w:val="0"/>
        <w:kinsoku/>
        <w:wordWrap/>
        <w:overflowPunct/>
        <w:topLinePunct w:val="0"/>
        <w:autoSpaceDE/>
        <w:autoSpaceDN/>
        <w:bidi w:val="0"/>
        <w:spacing w:line="576" w:lineRule="exact"/>
        <w:textAlignment w:val="auto"/>
        <w:rPr>
          <w:rFonts w:hint="eastAsia" w:ascii="仿宋" w:hAnsi="仿宋" w:eastAsia="仿宋"/>
          <w:color w:val="000000"/>
          <w:sz w:val="32"/>
          <w:szCs w:val="32"/>
          <w:lang w:eastAsia="zh-CN"/>
        </w:rPr>
      </w:pP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lang w:eastAsia="zh-CN"/>
        </w:rPr>
      </w:pP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left="958" w:leftChars="304" w:hanging="320" w:hangingChars="100"/>
        <w:outlineLvl w:val="1"/>
        <w:rPr>
          <w:rFonts w:hint="eastAsia" w:ascii="仿宋" w:hAnsi="仿宋" w:eastAsia="仿宋"/>
          <w:color w:val="000000" w:themeColor="text1"/>
          <w:sz w:val="32"/>
          <w:szCs w:val="32"/>
          <w:lang w:eastAsia="zh-CN"/>
          <w14:textFill>
            <w14:solidFill>
              <w14:schemeClr w14:val="tx1"/>
            </w14:solidFill>
          </w14:textFill>
        </w:rPr>
      </w:pPr>
      <w:bookmarkStart w:id="147" w:name="_Toc678"/>
      <w:bookmarkStart w:id="148" w:name="_Toc26211"/>
      <w:bookmarkStart w:id="149" w:name="_Toc3696"/>
      <w:bookmarkStart w:id="150" w:name="_Toc28294"/>
      <w:bookmarkStart w:id="151" w:name="_Toc5779"/>
      <w:bookmarkStart w:id="152" w:name="_Toc24099"/>
      <w:bookmarkStart w:id="153" w:name="_Toc3248"/>
      <w:bookmarkStart w:id="154" w:name="_Toc8122"/>
      <w:bookmarkStart w:id="155" w:name="_Toc4527"/>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图4：财政拨款收、支决算总计变动情况</w:t>
      </w:r>
      <w:bookmarkEnd w:id="147"/>
      <w:bookmarkStart w:id="156" w:name="_Toc15377209"/>
      <w:bookmarkStart w:id="157" w:name="_Toc15396607"/>
      <w:r>
        <w:rPr>
          <w:rFonts w:hint="eastAsia" w:ascii="仿宋" w:hAnsi="仿宋" w:eastAsia="仿宋"/>
          <w:color w:val="000000" w:themeColor="text1"/>
          <w:sz w:val="32"/>
          <w:szCs w:val="32"/>
          <w:lang w:eastAsia="zh-CN"/>
          <w14:textFill>
            <w14:solidFill>
              <w14:schemeClr w14:val="tx1"/>
            </w14:solidFill>
          </w14:textFill>
        </w:rPr>
        <w:t>）</w:t>
      </w:r>
      <w:bookmarkEnd w:id="148"/>
      <w:bookmarkEnd w:id="149"/>
      <w:bookmarkEnd w:id="150"/>
      <w:bookmarkEnd w:id="151"/>
      <w:bookmarkEnd w:id="152"/>
      <w:bookmarkEnd w:id="153"/>
      <w:bookmarkEnd w:id="154"/>
      <w:bookmarkEnd w:id="155"/>
    </w:p>
    <w:p>
      <w:pPr>
        <w:spacing w:line="600" w:lineRule="exact"/>
        <w:ind w:firstLine="320" w:firstLineChars="100"/>
        <w:outlineLvl w:val="1"/>
        <w:rPr>
          <w:rStyle w:val="28"/>
          <w:rFonts w:ascii="黑体" w:hAnsi="黑体" w:eastAsia="黑体"/>
          <w:b w:val="0"/>
        </w:rPr>
      </w:pPr>
      <w:bookmarkStart w:id="158" w:name="_Toc3644"/>
      <w:bookmarkStart w:id="159" w:name="_Toc7576"/>
      <w:bookmarkStart w:id="160" w:name="_Toc20761"/>
      <w:bookmarkStart w:id="161" w:name="_Toc15607"/>
      <w:bookmarkStart w:id="162" w:name="_Toc3615"/>
      <w:bookmarkStart w:id="163" w:name="_Toc28164"/>
      <w:bookmarkStart w:id="164" w:name="_Toc27915"/>
      <w:bookmarkStart w:id="165" w:name="_Toc18290"/>
      <w:bookmarkStart w:id="166" w:name="_Toc2461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156"/>
      <w:bookmarkEnd w:id="157"/>
      <w:bookmarkEnd w:id="158"/>
      <w:bookmarkEnd w:id="159"/>
      <w:bookmarkEnd w:id="160"/>
      <w:bookmarkEnd w:id="161"/>
      <w:bookmarkEnd w:id="162"/>
      <w:bookmarkEnd w:id="163"/>
      <w:bookmarkEnd w:id="164"/>
      <w:bookmarkEnd w:id="165"/>
      <w:bookmarkEnd w:id="166"/>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rPr>
      </w:pPr>
      <w:bookmarkStart w:id="167" w:name="_Toc5120"/>
      <w:bookmarkStart w:id="168" w:name="_Toc15377210"/>
      <w:bookmarkStart w:id="169" w:name="_Toc9361"/>
      <w:bookmarkStart w:id="170" w:name="_Toc32124"/>
      <w:bookmarkStart w:id="171" w:name="_Toc20857"/>
      <w:bookmarkStart w:id="172" w:name="_Toc2866"/>
      <w:bookmarkStart w:id="173" w:name="_Toc3414"/>
      <w:bookmarkStart w:id="174" w:name="_Toc4950"/>
      <w:bookmarkStart w:id="175" w:name="_Toc22986"/>
      <w:r>
        <w:rPr>
          <w:rFonts w:hint="eastAsia" w:ascii="楷体_GB2312" w:hAnsi="楷体_GB2312" w:eastAsia="楷体_GB2312" w:cs="楷体_GB2312"/>
          <w:b/>
          <w:color w:val="000000"/>
          <w:sz w:val="32"/>
          <w:szCs w:val="32"/>
        </w:rPr>
        <w:t>（一）一般公共预算财政拨款支出决算总体情况</w:t>
      </w:r>
      <w:bookmarkEnd w:id="167"/>
      <w:bookmarkEnd w:id="168"/>
      <w:bookmarkEnd w:id="169"/>
      <w:bookmarkEnd w:id="170"/>
      <w:bookmarkEnd w:id="171"/>
      <w:bookmarkEnd w:id="172"/>
      <w:bookmarkEnd w:id="173"/>
      <w:bookmarkEnd w:id="174"/>
      <w:bookmarkEnd w:id="17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年一般公共预算财政拨款支出</w:t>
      </w:r>
      <w:r>
        <w:rPr>
          <w:rFonts w:hint="eastAsia" w:ascii="仿宋_GB2312" w:hAnsi="仿宋_GB2312" w:eastAsia="仿宋_GB2312" w:cs="仿宋_GB2312"/>
          <w:sz w:val="32"/>
          <w:szCs w:val="32"/>
          <w:highlight w:val="none"/>
          <w:lang w:val="en-US" w:eastAsia="zh-CN"/>
        </w:rPr>
        <w:t>1382.73</w:t>
      </w:r>
      <w:r>
        <w:rPr>
          <w:rFonts w:hint="eastAsia" w:ascii="仿宋_GB2312" w:hAnsi="仿宋_GB2312" w:eastAsia="仿宋_GB2312" w:cs="仿宋_GB2312"/>
          <w:sz w:val="32"/>
          <w:szCs w:val="32"/>
          <w:highlight w:val="none"/>
        </w:rPr>
        <w:t>万元，占本年支出合计的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%。与20</w:t>
      </w:r>
      <w:r>
        <w:rPr>
          <w:rFonts w:hint="eastAsia" w:ascii="仿宋_GB2312" w:hAnsi="仿宋_GB2312" w:eastAsia="仿宋_GB2312" w:cs="仿宋_GB2312"/>
          <w:sz w:val="32"/>
          <w:szCs w:val="32"/>
          <w:highlight w:val="none"/>
          <w:lang w:val="en-US" w:eastAsia="zh-CN"/>
        </w:rPr>
        <w:t>19</w:t>
      </w:r>
      <w:r>
        <w:rPr>
          <w:rFonts w:hint="eastAsia" w:ascii="仿宋_GB2312" w:hAnsi="仿宋_GB2312" w:eastAsia="仿宋_GB2312" w:cs="仿宋_GB2312"/>
          <w:sz w:val="32"/>
          <w:szCs w:val="32"/>
          <w:highlight w:val="none"/>
        </w:rPr>
        <w:t>年相比，一般公共预算财政拨款增加</w:t>
      </w:r>
      <w:r>
        <w:rPr>
          <w:rFonts w:hint="eastAsia" w:ascii="仿宋_GB2312" w:hAnsi="仿宋_GB2312" w:eastAsia="仿宋_GB2312" w:cs="仿宋_GB2312"/>
          <w:sz w:val="32"/>
          <w:szCs w:val="32"/>
          <w:highlight w:val="none"/>
          <w:lang w:val="en-US" w:eastAsia="zh-CN"/>
        </w:rPr>
        <w:t>297.20</w:t>
      </w:r>
      <w:r>
        <w:rPr>
          <w:rFonts w:hint="eastAsia" w:ascii="仿宋_GB2312" w:hAnsi="仿宋_GB2312" w:eastAsia="仿宋_GB2312" w:cs="仿宋_GB2312"/>
          <w:sz w:val="32"/>
          <w:szCs w:val="32"/>
          <w:highlight w:val="none"/>
        </w:rPr>
        <w:t>万元，增长</w:t>
      </w:r>
      <w:r>
        <w:rPr>
          <w:rFonts w:hint="eastAsia" w:ascii="仿宋_GB2312" w:hAnsi="仿宋_GB2312" w:eastAsia="仿宋_GB2312" w:cs="仿宋_GB2312"/>
          <w:sz w:val="32"/>
          <w:szCs w:val="32"/>
          <w:highlight w:val="none"/>
          <w:lang w:val="en-US" w:eastAsia="zh-CN"/>
        </w:rPr>
        <w:t>27.38</w:t>
      </w:r>
      <w:r>
        <w:rPr>
          <w:rFonts w:hint="eastAsia" w:ascii="仿宋_GB2312" w:hAnsi="仿宋_GB2312" w:eastAsia="仿宋_GB2312" w:cs="仿宋_GB2312"/>
          <w:sz w:val="32"/>
          <w:szCs w:val="32"/>
          <w:highlight w:val="none"/>
        </w:rPr>
        <w:t>%。主要变动原因</w:t>
      </w:r>
      <w:r>
        <w:rPr>
          <w:rFonts w:hint="eastAsia" w:ascii="仿宋_GB2312" w:hAnsi="仿宋_GB2312" w:eastAsia="仿宋_GB2312" w:cs="仿宋_GB2312"/>
          <w:sz w:val="32"/>
          <w:szCs w:val="32"/>
          <w:highlight w:val="none"/>
          <w:lang w:eastAsia="zh-CN"/>
        </w:rPr>
        <w:t>一是由于新增人员社保五险增加、工资变动增加；二是由于</w:t>
      </w:r>
      <w:r>
        <w:rPr>
          <w:rFonts w:hint="eastAsia" w:ascii="仿宋_GB2312" w:hAnsi="仿宋_GB2312" w:eastAsia="仿宋_GB2312" w:cs="仿宋_GB2312"/>
          <w:sz w:val="32"/>
          <w:szCs w:val="32"/>
          <w:highlight w:val="none"/>
        </w:rPr>
        <w:t>上级专项拨款资金及项目资金增加</w:t>
      </w:r>
      <w:r>
        <w:rPr>
          <w:rFonts w:hint="eastAsia" w:ascii="仿宋_GB2312" w:hAnsi="仿宋_GB2312" w:eastAsia="仿宋_GB2312" w:cs="仿宋_GB2312"/>
          <w:sz w:val="32"/>
          <w:szCs w:val="32"/>
          <w:highlight w:val="none"/>
          <w:lang w:eastAsia="zh-CN"/>
        </w:rPr>
        <w:t>。</w:t>
      </w:r>
    </w:p>
    <w:p>
      <w:pPr>
        <w:pStyle w:val="2"/>
        <w:rPr>
          <w:rFonts w:hint="eastAsia" w:ascii="仿宋" w:hAnsi="仿宋" w:eastAsia="仿宋"/>
          <w:color w:val="000000"/>
          <w:sz w:val="32"/>
          <w:szCs w:val="32"/>
          <w:highlight w:val="yellow"/>
          <w:lang w:eastAsia="zh-CN"/>
        </w:rPr>
      </w:pPr>
    </w:p>
    <w:p>
      <w:pPr>
        <w:pStyle w:val="2"/>
        <w:rPr>
          <w:rFonts w:hint="eastAsia" w:ascii="仿宋" w:hAnsi="仿宋" w:eastAsia="仿宋"/>
          <w:color w:val="000000"/>
          <w:sz w:val="32"/>
          <w:szCs w:val="32"/>
          <w:highlight w:val="yellow"/>
          <w:lang w:eastAsia="zh-CN"/>
        </w:rPr>
      </w:pPr>
    </w:p>
    <w:p>
      <w:pPr>
        <w:pStyle w:val="2"/>
        <w:rPr>
          <w:rFonts w:hint="eastAsia" w:ascii="仿宋" w:hAnsi="仿宋" w:eastAsia="仿宋"/>
          <w:color w:val="000000"/>
          <w:sz w:val="32"/>
          <w:szCs w:val="32"/>
          <w:highlight w:val="yellow"/>
          <w:lang w:eastAsia="zh-CN"/>
        </w:rPr>
      </w:pPr>
      <w:r>
        <w:drawing>
          <wp:anchor distT="0" distB="0" distL="114300" distR="114300" simplePos="0" relativeHeight="251671552" behindDoc="0" locked="0" layoutInCell="1" allowOverlap="1">
            <wp:simplePos x="0" y="0"/>
            <wp:positionH relativeFrom="column">
              <wp:posOffset>371475</wp:posOffset>
            </wp:positionH>
            <wp:positionV relativeFrom="paragraph">
              <wp:posOffset>-14605</wp:posOffset>
            </wp:positionV>
            <wp:extent cx="4572000" cy="2743200"/>
            <wp:effectExtent l="4445" t="4445" r="14605" b="14605"/>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Pr>
        <w:pStyle w:val="2"/>
        <w:rPr>
          <w:rFonts w:hint="eastAsia"/>
        </w:rPr>
      </w:pPr>
    </w:p>
    <w:p>
      <w:pPr>
        <w:pStyle w:val="2"/>
        <w:rPr>
          <w:rFonts w:hint="eastAsia"/>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left="638" w:leftChars="304" w:firstLine="0" w:firstLineChars="0"/>
        <w:rPr>
          <w:rFonts w:hint="eastAsia" w:ascii="仿宋" w:hAnsi="仿宋" w:eastAsia="仿宋"/>
          <w:color w:val="000000" w:themeColor="text1"/>
          <w:sz w:val="32"/>
          <w:szCs w:val="32"/>
          <w14:textFill>
            <w14:solidFill>
              <w14:schemeClr w14:val="tx1"/>
            </w14:solidFill>
          </w14:textFill>
        </w:rPr>
      </w:pPr>
    </w:p>
    <w:p>
      <w:pPr>
        <w:spacing w:line="600" w:lineRule="exact"/>
        <w:ind w:left="638" w:leftChars="304" w:firstLine="0" w:firstLineChars="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rPr>
      </w:pPr>
      <w:bookmarkStart w:id="176" w:name="_Toc23667"/>
      <w:bookmarkStart w:id="177" w:name="_Toc12371"/>
      <w:bookmarkStart w:id="178" w:name="_Toc15377211"/>
      <w:bookmarkStart w:id="179" w:name="_Toc29131"/>
      <w:bookmarkStart w:id="180" w:name="_Toc26986"/>
      <w:bookmarkStart w:id="181" w:name="_Toc13028"/>
      <w:bookmarkStart w:id="182" w:name="_Toc25288"/>
      <w:bookmarkStart w:id="183" w:name="_Toc26160"/>
      <w:bookmarkStart w:id="184" w:name="_Toc24978"/>
      <w:r>
        <w:rPr>
          <w:rFonts w:hint="eastAsia" w:ascii="楷体_GB2312" w:hAnsi="楷体_GB2312" w:eastAsia="楷体_GB2312" w:cs="楷体_GB2312"/>
          <w:b/>
          <w:color w:val="000000"/>
          <w:sz w:val="32"/>
          <w:szCs w:val="32"/>
        </w:rPr>
        <w:t>（二）一般公共预算财政拨款支出决算结构情况</w:t>
      </w:r>
      <w:bookmarkEnd w:id="176"/>
      <w:bookmarkEnd w:id="177"/>
      <w:bookmarkEnd w:id="178"/>
      <w:bookmarkEnd w:id="179"/>
      <w:bookmarkEnd w:id="180"/>
      <w:bookmarkEnd w:id="181"/>
      <w:bookmarkEnd w:id="182"/>
      <w:bookmarkEnd w:id="183"/>
      <w:bookmarkEnd w:id="184"/>
    </w:p>
    <w:p>
      <w:pPr>
        <w:spacing w:line="600" w:lineRule="exact"/>
        <w:ind w:firstLine="640"/>
        <w:rPr>
          <w:rFonts w:hint="eastAsia" w:ascii="仿宋" w:hAnsi="仿宋" w:eastAsia="仿宋"/>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年一般公共预算财政拨款支出</w:t>
      </w:r>
      <w:r>
        <w:rPr>
          <w:rFonts w:hint="eastAsia" w:ascii="仿宋_GB2312" w:hAnsi="仿宋_GB2312" w:eastAsia="仿宋_GB2312" w:cs="仿宋_GB2312"/>
          <w:sz w:val="32"/>
          <w:szCs w:val="32"/>
          <w:highlight w:val="none"/>
          <w:lang w:val="en-US" w:eastAsia="zh-CN"/>
        </w:rPr>
        <w:t>1382.73</w:t>
      </w:r>
      <w:r>
        <w:rPr>
          <w:rFonts w:hint="eastAsia" w:ascii="仿宋_GB2312" w:hAnsi="仿宋_GB2312" w:eastAsia="仿宋_GB2312" w:cs="仿宋_GB2312"/>
          <w:sz w:val="32"/>
          <w:szCs w:val="32"/>
          <w:highlight w:val="none"/>
        </w:rPr>
        <w:t>万元，主</w:t>
      </w:r>
      <w:r>
        <w:rPr>
          <w:rFonts w:hint="eastAsia" w:ascii="仿宋" w:hAnsi="仿宋" w:eastAsia="仿宋"/>
          <w:color w:val="000000" w:themeColor="text1"/>
          <w:sz w:val="32"/>
          <w:szCs w:val="32"/>
          <w:highlight w:val="none"/>
          <w14:textFill>
            <w14:solidFill>
              <w14:schemeClr w14:val="tx1"/>
            </w14:solidFill>
          </w14:textFill>
        </w:rPr>
        <w:t>要</w:t>
      </w:r>
      <w:r>
        <w:rPr>
          <w:rFonts w:hint="eastAsia" w:ascii="仿宋_GB2312" w:hAnsi="仿宋_GB2312" w:eastAsia="仿宋_GB2312" w:cs="仿宋_GB2312"/>
          <w:sz w:val="32"/>
          <w:szCs w:val="32"/>
          <w:highlight w:val="none"/>
        </w:rPr>
        <w:t>用于以下方面:</w:t>
      </w:r>
      <w:r>
        <w:rPr>
          <w:rFonts w:hint="eastAsia" w:ascii="仿宋" w:hAnsi="仿宋" w:eastAsia="仿宋"/>
          <w:b/>
          <w:color w:val="000000" w:themeColor="text1"/>
          <w:sz w:val="32"/>
          <w:szCs w:val="32"/>
          <w:highlight w:val="none"/>
          <w14:textFill>
            <w14:solidFill>
              <w14:schemeClr w14:val="tx1"/>
            </w14:solidFill>
          </w14:textFill>
        </w:rPr>
        <w:t>一般公共服务（类）</w:t>
      </w:r>
      <w:r>
        <w:rPr>
          <w:rFonts w:hint="eastAsia" w:ascii="仿宋_GB2312" w:hAnsi="仿宋_GB2312" w:eastAsia="仿宋_GB2312" w:cs="仿宋_GB2312"/>
          <w:sz w:val="32"/>
          <w:szCs w:val="32"/>
          <w:highlight w:val="none"/>
        </w:rPr>
        <w:t>支出</w:t>
      </w:r>
      <w:r>
        <w:rPr>
          <w:rFonts w:hint="eastAsia" w:ascii="仿宋_GB2312" w:hAnsi="仿宋_GB2312" w:eastAsia="仿宋_GB2312" w:cs="仿宋_GB2312"/>
          <w:sz w:val="32"/>
          <w:szCs w:val="32"/>
          <w:highlight w:val="none"/>
          <w:lang w:val="en-US" w:eastAsia="zh-CN"/>
        </w:rPr>
        <w:t>860.9</w:t>
      </w:r>
      <w:r>
        <w:rPr>
          <w:rFonts w:hint="eastAsia" w:ascii="仿宋_GB2312" w:hAnsi="仿宋_GB2312" w:eastAsia="仿宋_GB2312" w:cs="仿宋_GB2312"/>
          <w:sz w:val="32"/>
          <w:szCs w:val="32"/>
          <w:highlight w:val="none"/>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62.26</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eastAsia="zh-CN"/>
          <w14:textFill>
            <w14:solidFill>
              <w14:schemeClr w14:val="tx1"/>
            </w14:solidFill>
          </w14:textFill>
        </w:rPr>
        <w:t>其他</w:t>
      </w:r>
      <w:r>
        <w:rPr>
          <w:rFonts w:hint="eastAsia" w:ascii="仿宋" w:hAnsi="仿宋" w:eastAsia="仿宋"/>
          <w:b/>
          <w:color w:val="000000" w:themeColor="text1"/>
          <w:sz w:val="32"/>
          <w:szCs w:val="32"/>
          <w:highlight w:val="none"/>
          <w14:textFill>
            <w14:solidFill>
              <w14:schemeClr w14:val="tx1"/>
            </w14:solidFill>
          </w14:textFill>
        </w:rPr>
        <w:t>（类）支出</w:t>
      </w:r>
      <w:r>
        <w:rPr>
          <w:rFonts w:hint="eastAsia" w:ascii="仿宋_GB2312" w:hAnsi="仿宋_GB2312" w:eastAsia="仿宋_GB2312" w:cs="仿宋_GB2312"/>
          <w:sz w:val="32"/>
          <w:szCs w:val="32"/>
          <w:highlight w:val="none"/>
          <w:lang w:val="en-US" w:eastAsia="zh-CN"/>
        </w:rPr>
        <w:t>34.88</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2.52</w:t>
      </w:r>
      <w:r>
        <w:rPr>
          <w:rFonts w:hint="eastAsia" w:ascii="仿宋_GB2312" w:hAnsi="仿宋_GB2312" w:eastAsia="仿宋_GB2312" w:cs="仿宋_GB2312"/>
          <w:sz w:val="32"/>
          <w:szCs w:val="32"/>
          <w:highlight w:val="none"/>
        </w:rPr>
        <w:t>%；</w:t>
      </w:r>
      <w:r>
        <w:rPr>
          <w:rFonts w:hint="eastAsia" w:ascii="仿宋" w:hAnsi="仿宋" w:eastAsia="仿宋"/>
          <w:b/>
          <w:color w:val="000000" w:themeColor="text1"/>
          <w:sz w:val="32"/>
          <w:szCs w:val="32"/>
          <w:highlight w:val="none"/>
          <w14:textFill>
            <w14:solidFill>
              <w14:schemeClr w14:val="tx1"/>
            </w14:solidFill>
          </w14:textFill>
        </w:rPr>
        <w:t>社会保障和就业（类）</w:t>
      </w:r>
      <w:r>
        <w:rPr>
          <w:rFonts w:hint="eastAsia" w:ascii="仿宋" w:hAnsi="仿宋" w:eastAsia="仿宋"/>
          <w:b/>
          <w:color w:val="000000" w:themeColor="text1"/>
          <w:sz w:val="32"/>
          <w:szCs w:val="32"/>
          <w:highlight w:val="none"/>
          <w:lang w:eastAsia="zh-CN"/>
          <w14:textFill>
            <w14:solidFill>
              <w14:schemeClr w14:val="tx1"/>
            </w14:solidFill>
          </w14:textFill>
        </w:rPr>
        <w:t>支出</w:t>
      </w:r>
      <w:r>
        <w:rPr>
          <w:rFonts w:hint="eastAsia" w:ascii="仿宋" w:hAnsi="仿宋" w:eastAsia="仿宋"/>
          <w:color w:val="000000" w:themeColor="text1"/>
          <w:sz w:val="32"/>
          <w:szCs w:val="32"/>
          <w:highlight w:val="none"/>
          <w14:textFill>
            <w14:solidFill>
              <w14:schemeClr w14:val="tx1"/>
            </w14:solidFill>
          </w14:textFill>
        </w:rPr>
        <w:t>支出</w:t>
      </w:r>
      <w:r>
        <w:rPr>
          <w:rFonts w:hint="eastAsia" w:ascii="仿宋_GB2312" w:hAnsi="仿宋_GB2312" w:eastAsia="仿宋_GB2312" w:cs="仿宋_GB2312"/>
          <w:sz w:val="32"/>
          <w:szCs w:val="32"/>
          <w:highlight w:val="none"/>
          <w:lang w:val="en-US" w:eastAsia="zh-CN"/>
        </w:rPr>
        <w:t>61.12</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4.42</w:t>
      </w:r>
      <w:r>
        <w:rPr>
          <w:rFonts w:hint="eastAsia" w:ascii="仿宋_GB2312" w:hAnsi="仿宋_GB2312" w:eastAsia="仿宋_GB2312" w:cs="仿宋_GB2312"/>
          <w:sz w:val="32"/>
          <w:szCs w:val="32"/>
          <w:highlight w:val="none"/>
        </w:rPr>
        <w:t>%；</w:t>
      </w:r>
      <w:r>
        <w:rPr>
          <w:rFonts w:hint="eastAsia" w:ascii="仿宋" w:hAnsi="仿宋" w:eastAsia="仿宋"/>
          <w:b/>
          <w:bCs/>
          <w:color w:val="000000" w:themeColor="text1"/>
          <w:sz w:val="32"/>
          <w:szCs w:val="32"/>
          <w:highlight w:val="none"/>
          <w14:textFill>
            <w14:solidFill>
              <w14:schemeClr w14:val="tx1"/>
            </w14:solidFill>
          </w14:textFill>
        </w:rPr>
        <w:t>卫生健康</w:t>
      </w:r>
      <w:r>
        <w:rPr>
          <w:rFonts w:hint="eastAsia" w:ascii="仿宋" w:hAnsi="仿宋" w:eastAsia="仿宋"/>
          <w:b/>
          <w:bCs/>
          <w:color w:val="000000" w:themeColor="text1"/>
          <w:sz w:val="32"/>
          <w:szCs w:val="32"/>
          <w:highlight w:val="none"/>
          <w:lang w:eastAsia="zh-CN"/>
          <w14:textFill>
            <w14:solidFill>
              <w14:schemeClr w14:val="tx1"/>
            </w14:solidFill>
          </w14:textFill>
        </w:rPr>
        <w:t>（类）</w:t>
      </w:r>
      <w:r>
        <w:rPr>
          <w:rFonts w:hint="eastAsia" w:ascii="仿宋" w:hAnsi="仿宋" w:eastAsia="仿宋"/>
          <w:b/>
          <w:bCs/>
          <w:color w:val="000000" w:themeColor="text1"/>
          <w:sz w:val="32"/>
          <w:szCs w:val="32"/>
          <w:highlight w:val="none"/>
          <w14:textFill>
            <w14:solidFill>
              <w14:schemeClr w14:val="tx1"/>
            </w14:solidFill>
          </w14:textFill>
        </w:rPr>
        <w:t>支出</w:t>
      </w:r>
      <w:r>
        <w:rPr>
          <w:rFonts w:hint="eastAsia" w:ascii="仿宋_GB2312" w:hAnsi="仿宋_GB2312" w:eastAsia="仿宋_GB2312" w:cs="仿宋_GB2312"/>
          <w:sz w:val="32"/>
          <w:szCs w:val="32"/>
          <w:highlight w:val="none"/>
          <w:lang w:val="en-US" w:eastAsia="zh-CN"/>
        </w:rPr>
        <w:t>31.44</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2.28</w:t>
      </w:r>
      <w:r>
        <w:rPr>
          <w:rFonts w:hint="eastAsia" w:ascii="仿宋_GB2312" w:hAnsi="仿宋_GB2312" w:eastAsia="仿宋_GB2312" w:cs="仿宋_GB2312"/>
          <w:sz w:val="32"/>
          <w:szCs w:val="32"/>
          <w:highlight w:val="none"/>
        </w:rPr>
        <w:t>%；</w:t>
      </w:r>
      <w:r>
        <w:rPr>
          <w:rFonts w:hint="eastAsia" w:ascii="仿宋" w:hAnsi="仿宋" w:eastAsia="仿宋"/>
          <w:b/>
          <w:bCs/>
          <w:color w:val="000000" w:themeColor="text1"/>
          <w:sz w:val="32"/>
          <w:szCs w:val="32"/>
          <w:highlight w:val="none"/>
          <w14:textFill>
            <w14:solidFill>
              <w14:schemeClr w14:val="tx1"/>
            </w14:solidFill>
          </w14:textFill>
        </w:rPr>
        <w:t>住房保障</w:t>
      </w:r>
      <w:r>
        <w:rPr>
          <w:rFonts w:hint="eastAsia" w:ascii="仿宋" w:hAnsi="仿宋" w:eastAsia="仿宋"/>
          <w:b/>
          <w:bCs/>
          <w:color w:val="000000" w:themeColor="text1"/>
          <w:sz w:val="32"/>
          <w:szCs w:val="32"/>
          <w:highlight w:val="none"/>
          <w:lang w:eastAsia="zh-CN"/>
          <w14:textFill>
            <w14:solidFill>
              <w14:schemeClr w14:val="tx1"/>
            </w14:solidFill>
          </w14:textFill>
        </w:rPr>
        <w:t>（类）</w:t>
      </w:r>
      <w:r>
        <w:rPr>
          <w:rFonts w:hint="eastAsia" w:ascii="仿宋" w:hAnsi="仿宋" w:eastAsia="仿宋"/>
          <w:b/>
          <w:bCs/>
          <w:color w:val="000000" w:themeColor="text1"/>
          <w:sz w:val="32"/>
          <w:szCs w:val="32"/>
          <w:highlight w:val="none"/>
          <w14:textFill>
            <w14:solidFill>
              <w14:schemeClr w14:val="tx1"/>
            </w14:solidFill>
          </w14:textFill>
        </w:rPr>
        <w:t>支出</w:t>
      </w:r>
      <w:r>
        <w:rPr>
          <w:rFonts w:hint="eastAsia" w:ascii="仿宋_GB2312" w:hAnsi="仿宋_GB2312" w:eastAsia="仿宋_GB2312" w:cs="仿宋_GB2312"/>
          <w:sz w:val="32"/>
          <w:szCs w:val="32"/>
          <w:highlight w:val="none"/>
          <w:lang w:val="en-US" w:eastAsia="zh-CN"/>
        </w:rPr>
        <w:t>44.01</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3.18</w:t>
      </w:r>
      <w:r>
        <w:rPr>
          <w:rFonts w:hint="eastAsia" w:ascii="仿宋_GB2312" w:hAnsi="仿宋_GB2312" w:eastAsia="仿宋_GB2312" w:cs="仿宋_GB2312"/>
          <w:sz w:val="32"/>
          <w:szCs w:val="32"/>
          <w:highlight w:val="none"/>
        </w:rPr>
        <w:t>%；</w:t>
      </w:r>
      <w:r>
        <w:rPr>
          <w:rFonts w:hint="eastAsia" w:ascii="仿宋" w:hAnsi="仿宋" w:eastAsia="仿宋"/>
          <w:b/>
          <w:bCs/>
          <w:color w:val="000000" w:themeColor="text1"/>
          <w:sz w:val="32"/>
          <w:szCs w:val="32"/>
          <w:highlight w:val="none"/>
          <w:lang w:eastAsia="zh-CN"/>
          <w14:textFill>
            <w14:solidFill>
              <w14:schemeClr w14:val="tx1"/>
            </w14:solidFill>
          </w14:textFill>
        </w:rPr>
        <w:t>农林水（类）支出</w:t>
      </w:r>
      <w:r>
        <w:rPr>
          <w:rFonts w:hint="eastAsia" w:ascii="仿宋_GB2312" w:hAnsi="仿宋_GB2312" w:eastAsia="仿宋_GB2312" w:cs="仿宋_GB2312"/>
          <w:sz w:val="32"/>
          <w:szCs w:val="32"/>
          <w:highlight w:val="none"/>
          <w:lang w:val="en-US" w:eastAsia="zh-CN"/>
        </w:rPr>
        <w:t>350.38万元</w:t>
      </w:r>
      <w:r>
        <w:rPr>
          <w:rFonts w:hint="eastAsia" w:ascii="仿宋_GB2312" w:hAnsi="仿宋_GB2312" w:eastAsia="仿宋_GB2312" w:cs="仿宋_GB2312"/>
          <w:sz w:val="32"/>
          <w:szCs w:val="32"/>
          <w:highlight w:val="none"/>
        </w:rPr>
        <w:t>元，占</w:t>
      </w:r>
      <w:r>
        <w:rPr>
          <w:rFonts w:hint="eastAsia" w:ascii="仿宋_GB2312" w:hAnsi="仿宋_GB2312" w:eastAsia="仿宋_GB2312" w:cs="仿宋_GB2312"/>
          <w:sz w:val="32"/>
          <w:szCs w:val="32"/>
          <w:highlight w:val="none"/>
          <w:lang w:val="en-US" w:eastAsia="zh-CN"/>
        </w:rPr>
        <w:t>25.34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pPr>
        <w:spacing w:line="600" w:lineRule="exact"/>
        <w:ind w:firstLine="640"/>
        <w:rPr>
          <w:rFonts w:ascii="仿宋" w:hAnsi="仿宋" w:eastAsia="仿宋"/>
          <w:color w:val="000000" w:themeColor="text1"/>
          <w:sz w:val="32"/>
          <w:szCs w:val="32"/>
          <w:highlight w:val="none"/>
          <w14:textFill>
            <w14:solidFill>
              <w14:schemeClr w14:val="tx1"/>
            </w14:solidFill>
          </w14:textFill>
        </w:rPr>
      </w:pPr>
      <w:r>
        <w:drawing>
          <wp:anchor distT="0" distB="0" distL="114300" distR="114300" simplePos="0" relativeHeight="251669504" behindDoc="0" locked="0" layoutInCell="1" allowOverlap="1">
            <wp:simplePos x="0" y="0"/>
            <wp:positionH relativeFrom="column">
              <wp:posOffset>619125</wp:posOffset>
            </wp:positionH>
            <wp:positionV relativeFrom="paragraph">
              <wp:posOffset>209550</wp:posOffset>
            </wp:positionV>
            <wp:extent cx="4572000" cy="2743200"/>
            <wp:effectExtent l="4445" t="4445" r="14605" b="1460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 w:hAnsi="仿宋" w:eastAsia="仿宋"/>
          <w:color w:val="000000" w:themeColor="text1"/>
          <w:sz w:val="32"/>
          <w:szCs w:val="32"/>
          <w14:textFill>
            <w14:solidFill>
              <w14:schemeClr w14:val="tx1"/>
            </w14:solidFill>
          </w14:textFill>
        </w:rPr>
      </w:pPr>
    </w:p>
    <w:p>
      <w:pPr>
        <w:pStyle w:val="2"/>
        <w:ind w:left="0" w:leftChars="0" w:firstLine="0" w:firstLineChars="0"/>
        <w:rPr>
          <w:rFonts w:ascii="仿宋" w:hAnsi="仿宋" w:eastAsia="仿宋"/>
          <w:color w:val="000000" w:themeColor="text1"/>
          <w:sz w:val="32"/>
          <w:szCs w:val="32"/>
          <w14:textFill>
            <w14:solidFill>
              <w14:schemeClr w14:val="tx1"/>
            </w14:solidFill>
          </w14:textFill>
        </w:rPr>
      </w:pPr>
    </w:p>
    <w:p>
      <w:pPr>
        <w:pStyle w:val="2"/>
        <w:rPr>
          <w:rFonts w:ascii="仿宋" w:hAnsi="仿宋" w:eastAsia="仿宋"/>
          <w:color w:val="000000" w:themeColor="text1"/>
          <w:sz w:val="32"/>
          <w:szCs w:val="32"/>
          <w14:textFill>
            <w14:solidFill>
              <w14:schemeClr w14:val="tx1"/>
            </w14:solidFill>
          </w14:textFill>
        </w:rPr>
      </w:pPr>
    </w:p>
    <w:p>
      <w:pPr>
        <w:tabs>
          <w:tab w:val="left" w:pos="1941"/>
        </w:tabs>
        <w:bidi w:val="0"/>
        <w:jc w:val="left"/>
        <w:rPr>
          <w:rFonts w:ascii="Times New Roman" w:hAnsi="Times New Roman" w:eastAsia="宋体" w:cs="Times New Roman"/>
          <w:kern w:val="2"/>
          <w:sz w:val="21"/>
          <w:szCs w:val="24"/>
          <w:lang w:val="en-US" w:eastAsia="zh-CN" w:bidi="ar-SA"/>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960" w:firstLineChars="3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185" w:name="_Toc15377212"/>
      <w:bookmarkStart w:id="186" w:name="_Toc11769"/>
      <w:bookmarkStart w:id="187" w:name="_Toc3104"/>
      <w:bookmarkStart w:id="188" w:name="_Toc27616"/>
      <w:bookmarkStart w:id="189" w:name="_Toc10187"/>
      <w:bookmarkStart w:id="190" w:name="_Toc16841"/>
      <w:bookmarkStart w:id="191" w:name="_Toc5760"/>
      <w:bookmarkStart w:id="192" w:name="_Toc25816"/>
      <w:bookmarkStart w:id="193" w:name="_Toc13010"/>
      <w:r>
        <w:rPr>
          <w:rFonts w:hint="eastAsia" w:ascii="楷体_GB2312" w:hAnsi="楷体_GB2312" w:eastAsia="楷体_GB2312" w:cs="楷体_GB2312"/>
          <w:b/>
          <w:color w:val="000000"/>
          <w:sz w:val="32"/>
          <w:szCs w:val="32"/>
          <w:highlight w:val="none"/>
        </w:rPr>
        <w:t>（三）一般公共预算财政拨款支出决算具体情况</w:t>
      </w:r>
      <w:bookmarkEnd w:id="185"/>
      <w:bookmarkEnd w:id="186"/>
      <w:bookmarkEnd w:id="187"/>
      <w:bookmarkEnd w:id="188"/>
      <w:bookmarkEnd w:id="189"/>
      <w:bookmarkEnd w:id="190"/>
      <w:bookmarkEnd w:id="191"/>
      <w:bookmarkEnd w:id="192"/>
      <w:bookmarkEnd w:id="193"/>
    </w:p>
    <w:p>
      <w:pPr>
        <w:spacing w:line="600" w:lineRule="exact"/>
        <w:ind w:firstLine="643" w:firstLineChars="200"/>
        <w:outlineLvl w:val="2"/>
        <w:rPr>
          <w:rFonts w:ascii="仿宋" w:hAnsi="仿宋" w:eastAsia="仿宋"/>
          <w:color w:val="FF0000"/>
          <w:sz w:val="32"/>
          <w:szCs w:val="32"/>
          <w:highlight w:val="none"/>
        </w:rPr>
      </w:pPr>
      <w:bookmarkStart w:id="194" w:name="_Toc15378460"/>
      <w:bookmarkStart w:id="195" w:name="_Toc15377444"/>
      <w:bookmarkStart w:id="196" w:name="_Toc15377213"/>
      <w:bookmarkStart w:id="197" w:name="_Toc32711"/>
      <w:bookmarkStart w:id="198" w:name="_Toc9684"/>
      <w:bookmarkStart w:id="199" w:name="_Toc26119"/>
      <w:bookmarkStart w:id="200" w:name="_Toc15594"/>
      <w:bookmarkStart w:id="201" w:name="_Toc18948"/>
      <w:bookmarkStart w:id="202" w:name="_Toc29726"/>
      <w:bookmarkStart w:id="203" w:name="_Toc8766"/>
      <w:bookmarkStart w:id="204" w:name="_Toc26655"/>
      <w:r>
        <w:rPr>
          <w:rFonts w:hint="eastAsia" w:ascii="仿宋" w:hAnsi="仿宋" w:eastAsia="仿宋"/>
          <w:b/>
          <w:color w:val="000000" w:themeColor="text1"/>
          <w:sz w:val="32"/>
          <w:szCs w:val="32"/>
          <w:highlight w:val="none"/>
          <w14:textFill>
            <w14:solidFill>
              <w14:schemeClr w14:val="tx1"/>
            </w14:solidFill>
          </w14:textFill>
        </w:rPr>
        <w:t>20</w:t>
      </w:r>
      <w:r>
        <w:rPr>
          <w:rFonts w:hint="eastAsia" w:ascii="仿宋" w:hAnsi="仿宋" w:eastAsia="仿宋"/>
          <w:b/>
          <w:color w:val="000000" w:themeColor="text1"/>
          <w:sz w:val="32"/>
          <w:szCs w:val="32"/>
          <w:highlight w:val="none"/>
          <w:lang w:val="en-US" w:eastAsia="zh-CN"/>
          <w14:textFill>
            <w14:solidFill>
              <w14:schemeClr w14:val="tx1"/>
            </w14:solidFill>
          </w14:textFill>
        </w:rPr>
        <w:t>20</w:t>
      </w:r>
      <w:r>
        <w:rPr>
          <w:rFonts w:hint="eastAsia" w:ascii="仿宋" w:hAnsi="仿宋" w:eastAsia="仿宋"/>
          <w:b/>
          <w:color w:val="000000" w:themeColor="text1"/>
          <w:sz w:val="32"/>
          <w:szCs w:val="32"/>
          <w:highlight w:val="none"/>
          <w14:textFill>
            <w14:solidFill>
              <w14:schemeClr w14:val="tx1"/>
            </w14:solidFill>
          </w14:textFill>
        </w:rPr>
        <w:t>年</w:t>
      </w:r>
      <w:r>
        <w:rPr>
          <w:rFonts w:hint="eastAsia" w:ascii="仿宋" w:hAnsi="仿宋" w:eastAsia="仿宋"/>
          <w:b/>
          <w:color w:val="000000" w:themeColor="text1"/>
          <w:sz w:val="32"/>
          <w:szCs w:val="32"/>
          <w:highlight w:val="none"/>
          <w:lang w:eastAsia="zh-CN"/>
          <w14:textFill>
            <w14:solidFill>
              <w14:schemeClr w14:val="tx1"/>
            </w14:solidFill>
          </w14:textFill>
        </w:rPr>
        <w:t>一</w:t>
      </w:r>
      <w:r>
        <w:rPr>
          <w:rFonts w:hint="eastAsia" w:ascii="仿宋" w:hAnsi="仿宋" w:eastAsia="仿宋"/>
          <w:b/>
          <w:color w:val="000000" w:themeColor="text1"/>
          <w:sz w:val="32"/>
          <w:szCs w:val="32"/>
          <w:highlight w:val="none"/>
          <w14:textFill>
            <w14:solidFill>
              <w14:schemeClr w14:val="tx1"/>
            </w14:solidFill>
          </w14:textFill>
        </w:rPr>
        <w:t>般公共预算支出决算数为</w:t>
      </w:r>
      <w:r>
        <w:rPr>
          <w:rFonts w:hint="eastAsia" w:ascii="仿宋" w:hAnsi="仿宋" w:eastAsia="仿宋"/>
          <w:b/>
          <w:color w:val="000000" w:themeColor="text1"/>
          <w:sz w:val="32"/>
          <w:szCs w:val="32"/>
          <w:highlight w:val="none"/>
          <w:lang w:val="en-US" w:eastAsia="zh-CN"/>
          <w14:textFill>
            <w14:solidFill>
              <w14:schemeClr w14:val="tx1"/>
            </w14:solidFill>
          </w14:textFill>
        </w:rPr>
        <w:t>1382.73万元</w:t>
      </w:r>
      <w:r>
        <w:rPr>
          <w:rFonts w:hint="eastAsia" w:ascii="仿宋" w:hAnsi="仿宋" w:eastAsia="仿宋"/>
          <w:color w:val="000000" w:themeColor="text1"/>
          <w:sz w:val="32"/>
          <w:szCs w:val="32"/>
          <w:highlight w:val="none"/>
          <w14:textFill>
            <w14:solidFill>
              <w14:schemeClr w14:val="tx1"/>
            </w14:solidFill>
          </w14:textFill>
        </w:rPr>
        <w:t>，</w:t>
      </w:r>
      <w:r>
        <w:rPr>
          <w:rStyle w:val="17"/>
          <w:rFonts w:hint="eastAsia" w:ascii="仿宋" w:hAnsi="仿宋" w:eastAsia="仿宋"/>
          <w:bCs/>
          <w:color w:val="000000" w:themeColor="text1"/>
          <w:sz w:val="32"/>
          <w:szCs w:val="32"/>
          <w:highlight w:val="none"/>
          <w14:textFill>
            <w14:solidFill>
              <w14:schemeClr w14:val="tx1"/>
            </w14:solidFill>
          </w14:textFill>
        </w:rPr>
        <w:t>完成</w:t>
      </w:r>
      <w:r>
        <w:rPr>
          <w:rStyle w:val="17"/>
          <w:rFonts w:hint="eastAsia" w:ascii="仿宋" w:hAnsi="仿宋" w:eastAsia="仿宋"/>
          <w:bCs/>
          <w:color w:val="000000"/>
          <w:sz w:val="32"/>
          <w:szCs w:val="32"/>
          <w:highlight w:val="none"/>
        </w:rPr>
        <w:t>预算</w:t>
      </w:r>
      <w:r>
        <w:rPr>
          <w:rStyle w:val="17"/>
          <w:rFonts w:hint="eastAsia" w:ascii="仿宋" w:hAnsi="仿宋" w:eastAsia="仿宋"/>
          <w:bCs/>
          <w:color w:val="000000"/>
          <w:sz w:val="32"/>
          <w:szCs w:val="32"/>
          <w:highlight w:val="none"/>
          <w:lang w:val="en-US" w:eastAsia="zh-CN"/>
        </w:rPr>
        <w:t>100</w:t>
      </w:r>
      <w:r>
        <w:rPr>
          <w:rStyle w:val="17"/>
          <w:rFonts w:ascii="仿宋" w:hAnsi="仿宋" w:eastAsia="仿宋"/>
          <w:bCs/>
          <w:color w:val="000000"/>
          <w:sz w:val="32"/>
          <w:szCs w:val="32"/>
          <w:highlight w:val="none"/>
        </w:rPr>
        <w:t>%</w:t>
      </w:r>
      <w:r>
        <w:rPr>
          <w:rStyle w:val="17"/>
          <w:rFonts w:hint="eastAsia" w:ascii="仿宋" w:hAnsi="仿宋" w:eastAsia="仿宋"/>
          <w:bCs/>
          <w:color w:val="000000"/>
          <w:sz w:val="32"/>
          <w:szCs w:val="32"/>
          <w:highlight w:val="none"/>
        </w:rPr>
        <w:t>。其中：</w:t>
      </w:r>
      <w:bookmarkEnd w:id="194"/>
      <w:bookmarkEnd w:id="195"/>
      <w:bookmarkEnd w:id="196"/>
      <w:bookmarkEnd w:id="197"/>
      <w:bookmarkEnd w:id="198"/>
      <w:bookmarkEnd w:id="199"/>
      <w:bookmarkEnd w:id="200"/>
      <w:bookmarkEnd w:id="201"/>
      <w:bookmarkEnd w:id="202"/>
      <w:bookmarkEnd w:id="203"/>
      <w:bookmarkEnd w:id="204"/>
    </w:p>
    <w:p>
      <w:pPr>
        <w:numPr>
          <w:ilvl w:val="0"/>
          <w:numId w:val="0"/>
        </w:numPr>
        <w:spacing w:line="600" w:lineRule="exact"/>
        <w:ind w:firstLine="643" w:firstLineChars="200"/>
        <w:rPr>
          <w:rStyle w:val="17"/>
          <w:rFonts w:hint="eastAsia" w:ascii="仿宋" w:hAnsi="仿宋" w:eastAsia="仿宋"/>
          <w:b w:val="0"/>
          <w:bCs/>
          <w:color w:val="000000"/>
          <w:sz w:val="32"/>
          <w:szCs w:val="32"/>
          <w:highlight w:val="none"/>
          <w:lang w:val="en-US" w:eastAsia="zh-CN"/>
        </w:rPr>
      </w:pPr>
      <w:r>
        <w:rPr>
          <w:rStyle w:val="17"/>
          <w:rFonts w:hint="eastAsia" w:ascii="仿宋" w:hAnsi="仿宋" w:eastAsia="仿宋"/>
          <w:bCs/>
          <w:color w:val="000000"/>
          <w:sz w:val="32"/>
          <w:szCs w:val="32"/>
          <w:highlight w:val="none"/>
          <w:lang w:val="en-US" w:eastAsia="zh-CN"/>
        </w:rPr>
        <w:t>1.</w:t>
      </w:r>
      <w:r>
        <w:rPr>
          <w:rStyle w:val="17"/>
          <w:rFonts w:hint="eastAsia" w:ascii="仿宋" w:hAnsi="仿宋" w:eastAsia="仿宋"/>
          <w:bCs/>
          <w:color w:val="000000"/>
          <w:sz w:val="32"/>
          <w:szCs w:val="32"/>
          <w:highlight w:val="none"/>
        </w:rPr>
        <w:t>一般公共服务</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组织事务</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行政运行</w:t>
      </w:r>
      <w:r>
        <w:rPr>
          <w:rStyle w:val="17"/>
          <w:rFonts w:hint="eastAsia" w:ascii="仿宋" w:hAnsi="仿宋" w:eastAsia="仿宋"/>
          <w:bCs/>
          <w:color w:val="000000"/>
          <w:sz w:val="32"/>
          <w:szCs w:val="32"/>
          <w:highlight w:val="none"/>
        </w:rPr>
        <w:t>（项）</w:t>
      </w:r>
      <w:r>
        <w:rPr>
          <w:rStyle w:val="17"/>
          <w:rFonts w:ascii="仿宋" w:hAnsi="仿宋" w:eastAsia="仿宋"/>
          <w:bCs/>
          <w:color w:val="000000"/>
          <w:sz w:val="32"/>
          <w:szCs w:val="32"/>
          <w:highlight w:val="none"/>
        </w:rPr>
        <w:t>:</w:t>
      </w:r>
      <w:r>
        <w:rPr>
          <w:rStyle w:val="17"/>
          <w:rFonts w:ascii="仿宋" w:hAnsi="仿宋" w:eastAsia="仿宋"/>
          <w:b w:val="0"/>
          <w:bCs/>
          <w:color w:val="000000"/>
          <w:sz w:val="32"/>
          <w:szCs w:val="32"/>
          <w:highlight w:val="none"/>
        </w:rPr>
        <w:t xml:space="preserve"> </w:t>
      </w:r>
      <w:r>
        <w:rPr>
          <w:rFonts w:hint="eastAsia" w:ascii="仿宋_GB2312" w:hAnsi="仿宋_GB2312" w:eastAsia="仿宋_GB2312" w:cs="仿宋_GB2312"/>
          <w:sz w:val="32"/>
          <w:szCs w:val="32"/>
          <w:highlight w:val="none"/>
        </w:rPr>
        <w:t>支出决算</w:t>
      </w:r>
      <w:r>
        <w:rPr>
          <w:rFonts w:hint="eastAsia" w:ascii="仿宋_GB2312" w:hAnsi="仿宋_GB2312" w:eastAsia="仿宋_GB2312" w:cs="仿宋_GB2312"/>
          <w:sz w:val="32"/>
          <w:szCs w:val="32"/>
          <w:highlight w:val="none"/>
          <w:lang w:val="en-US" w:eastAsia="zh-CN"/>
        </w:rPr>
        <w:t>521.47</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pPr>
        <w:numPr>
          <w:ilvl w:val="0"/>
          <w:numId w:val="0"/>
        </w:numPr>
        <w:spacing w:line="600" w:lineRule="exact"/>
        <w:ind w:firstLine="643" w:firstLineChars="200"/>
        <w:rPr>
          <w:rStyle w:val="17"/>
          <w:rFonts w:hint="eastAsia" w:ascii="仿宋" w:hAnsi="仿宋" w:eastAsia="仿宋"/>
          <w:b w:val="0"/>
          <w:bCs/>
          <w:color w:val="000000"/>
          <w:sz w:val="32"/>
          <w:szCs w:val="32"/>
          <w:highlight w:val="none"/>
          <w:lang w:val="en-US" w:eastAsia="zh-CN"/>
        </w:rPr>
      </w:pPr>
      <w:r>
        <w:rPr>
          <w:rStyle w:val="17"/>
          <w:rFonts w:hint="eastAsia" w:ascii="仿宋" w:hAnsi="仿宋" w:eastAsia="仿宋"/>
          <w:bCs/>
          <w:color w:val="000000"/>
          <w:sz w:val="32"/>
          <w:szCs w:val="32"/>
          <w:highlight w:val="none"/>
          <w:lang w:val="en-US" w:eastAsia="zh-CN"/>
        </w:rPr>
        <w:t>2.</w:t>
      </w:r>
      <w:r>
        <w:rPr>
          <w:rStyle w:val="17"/>
          <w:rFonts w:hint="eastAsia" w:ascii="仿宋" w:hAnsi="仿宋" w:eastAsia="仿宋"/>
          <w:bCs/>
          <w:color w:val="000000"/>
          <w:sz w:val="32"/>
          <w:szCs w:val="32"/>
          <w:highlight w:val="none"/>
        </w:rPr>
        <w:t>一般公共服务</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组织事务</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事业运行</w:t>
      </w:r>
      <w:r>
        <w:rPr>
          <w:rStyle w:val="17"/>
          <w:rFonts w:hint="eastAsia" w:ascii="仿宋" w:hAnsi="仿宋" w:eastAsia="仿宋"/>
          <w:bCs/>
          <w:color w:val="000000"/>
          <w:sz w:val="32"/>
          <w:szCs w:val="32"/>
          <w:highlight w:val="none"/>
        </w:rPr>
        <w:t>（项）</w:t>
      </w:r>
      <w:r>
        <w:rPr>
          <w:rStyle w:val="17"/>
          <w:rFonts w:hint="eastAsia" w:ascii="仿宋_GB2312" w:hAnsi="仿宋_GB2312" w:eastAsia="仿宋_GB2312" w:cs="仿宋_GB2312"/>
          <w:b/>
          <w:bCs/>
          <w:color w:val="000000"/>
          <w:sz w:val="32"/>
          <w:szCs w:val="32"/>
          <w:highlight w:val="none"/>
        </w:rPr>
        <w:t xml:space="preserve">: </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33.70</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576" w:lineRule="exact"/>
        <w:ind w:firstLine="643" w:firstLineChars="200"/>
        <w:textAlignment w:val="auto"/>
        <w:rPr>
          <w:rStyle w:val="17"/>
          <w:rFonts w:hint="eastAsia" w:ascii="仿宋_GB2312" w:hAnsi="仿宋_GB2312" w:eastAsia="仿宋_GB2312" w:cs="仿宋_GB2312"/>
          <w:b w:val="0"/>
          <w:bCs w:val="0"/>
          <w:color w:val="000000"/>
          <w:sz w:val="32"/>
          <w:szCs w:val="32"/>
          <w:highlight w:val="none"/>
          <w:lang w:eastAsia="zh-CN"/>
        </w:rPr>
      </w:pPr>
      <w:r>
        <w:rPr>
          <w:rStyle w:val="17"/>
          <w:rFonts w:hint="eastAsia" w:ascii="仿宋" w:hAnsi="仿宋" w:eastAsia="仿宋"/>
          <w:bCs/>
          <w:color w:val="000000"/>
          <w:sz w:val="32"/>
          <w:szCs w:val="32"/>
          <w:highlight w:val="none"/>
          <w:lang w:val="en-US" w:eastAsia="zh-CN"/>
        </w:rPr>
        <w:t>3.</w:t>
      </w:r>
      <w:r>
        <w:rPr>
          <w:rStyle w:val="17"/>
          <w:rFonts w:hint="eastAsia" w:ascii="仿宋" w:hAnsi="仿宋" w:eastAsia="仿宋"/>
          <w:bCs/>
          <w:color w:val="000000"/>
          <w:sz w:val="32"/>
          <w:szCs w:val="32"/>
          <w:highlight w:val="none"/>
        </w:rPr>
        <w:t>一般公共服务</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组织事务</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其他组织事</w:t>
      </w:r>
      <w:r>
        <w:rPr>
          <w:rStyle w:val="17"/>
          <w:rFonts w:hint="eastAsia" w:ascii="仿宋_GB2312" w:hAnsi="仿宋_GB2312" w:eastAsia="仿宋_GB2312" w:cs="仿宋_GB2312"/>
          <w:b/>
          <w:bCs/>
          <w:color w:val="000000"/>
          <w:sz w:val="32"/>
          <w:szCs w:val="32"/>
          <w:highlight w:val="none"/>
          <w:lang w:eastAsia="zh-CN"/>
        </w:rPr>
        <w:t>务支出</w:t>
      </w:r>
      <w:r>
        <w:rPr>
          <w:rStyle w:val="17"/>
          <w:rFonts w:hint="eastAsia" w:ascii="仿宋_GB2312" w:hAnsi="仿宋_GB2312" w:eastAsia="仿宋_GB2312" w:cs="仿宋_GB2312"/>
          <w:b/>
          <w:bCs/>
          <w:color w:val="000000"/>
          <w:sz w:val="32"/>
          <w:szCs w:val="32"/>
          <w:highlight w:val="none"/>
        </w:rPr>
        <w:t xml:space="preserve">（项）: </w:t>
      </w:r>
      <w:r>
        <w:rPr>
          <w:rFonts w:hint="eastAsia" w:ascii="仿宋_GB2312" w:hAnsi="仿宋_GB2312" w:eastAsia="仿宋_GB2312" w:cs="仿宋_GB2312"/>
          <w:sz w:val="32"/>
          <w:szCs w:val="32"/>
          <w:highlight w:val="none"/>
        </w:rPr>
        <w:t>支出决算</w:t>
      </w:r>
      <w:r>
        <w:rPr>
          <w:rFonts w:hint="eastAsia"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highlight w:val="none"/>
          <w:lang w:val="en-US" w:eastAsia="zh-CN"/>
        </w:rPr>
        <w:t>305.73</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Style w:val="17"/>
          <w:rFonts w:hint="eastAsia" w:ascii="仿宋" w:hAnsi="仿宋" w:eastAsia="仿宋"/>
          <w:bCs/>
          <w:color w:val="000000"/>
          <w:sz w:val="32"/>
          <w:szCs w:val="32"/>
          <w:highlight w:val="none"/>
          <w:lang w:val="en-US" w:eastAsia="zh-CN"/>
        </w:rPr>
        <w:t>4</w:t>
      </w:r>
      <w:r>
        <w:rPr>
          <w:rStyle w:val="17"/>
          <w:rFonts w:hint="eastAsia" w:ascii="仿宋" w:hAnsi="仿宋" w:eastAsia="仿宋"/>
          <w:bCs/>
          <w:color w:val="000000"/>
          <w:sz w:val="32"/>
          <w:szCs w:val="32"/>
          <w:highlight w:val="none"/>
        </w:rPr>
        <w:t>.社会保障和就业</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行政事业单位离退休</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机关事业单位基本养老保险缴费支出</w:t>
      </w:r>
      <w:r>
        <w:rPr>
          <w:rStyle w:val="17"/>
          <w:rFonts w:hint="eastAsia" w:ascii="仿宋" w:hAnsi="仿宋" w:eastAsia="仿宋"/>
          <w:bCs/>
          <w:color w:val="000000"/>
          <w:sz w:val="32"/>
          <w:szCs w:val="32"/>
          <w:highlight w:val="none"/>
        </w:rPr>
        <w:t>（项）</w:t>
      </w:r>
      <w:r>
        <w:rPr>
          <w:rStyle w:val="17"/>
          <w:rFonts w:hint="eastAsia" w:ascii="仿宋_GB2312" w:hAnsi="仿宋_GB2312" w:eastAsia="仿宋_GB2312" w:cs="仿宋_GB2312"/>
          <w:bCs/>
          <w:color w:val="000000"/>
          <w:sz w:val="32"/>
          <w:szCs w:val="32"/>
          <w:highlight w:val="none"/>
        </w:rPr>
        <w:t>:</w:t>
      </w:r>
      <w:r>
        <w:rPr>
          <w:rStyle w:val="17"/>
          <w:rFonts w:hint="eastAsia" w:ascii="仿宋_GB2312" w:hAnsi="仿宋_GB2312" w:eastAsia="仿宋_GB2312" w:cs="仿宋_GB2312"/>
          <w:b w:val="0"/>
          <w:bCs/>
          <w:color w:val="000000"/>
          <w:sz w:val="32"/>
          <w:szCs w:val="32"/>
          <w:highlight w:val="none"/>
        </w:rPr>
        <w:t xml:space="preserve"> </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40.50</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lang w:val="en-US" w:eastAsia="zh-CN"/>
        </w:rPr>
      </w:pPr>
      <w:r>
        <w:rPr>
          <w:rStyle w:val="17"/>
          <w:rFonts w:hint="eastAsia" w:ascii="仿宋" w:hAnsi="仿宋" w:eastAsia="仿宋"/>
          <w:bCs/>
          <w:color w:val="000000"/>
          <w:sz w:val="32"/>
          <w:szCs w:val="32"/>
          <w:highlight w:val="none"/>
          <w:lang w:val="en-US" w:eastAsia="zh-CN"/>
        </w:rPr>
        <w:t>5</w:t>
      </w:r>
      <w:r>
        <w:rPr>
          <w:rStyle w:val="17"/>
          <w:rFonts w:hint="eastAsia" w:ascii="仿宋" w:hAnsi="仿宋" w:eastAsia="仿宋"/>
          <w:bCs/>
          <w:color w:val="000000"/>
          <w:sz w:val="32"/>
          <w:szCs w:val="32"/>
          <w:highlight w:val="none"/>
        </w:rPr>
        <w:t>.社会保障和就业</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行政事业单位离退休</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机关事业单位职业年金缴费支出</w:t>
      </w:r>
      <w:r>
        <w:rPr>
          <w:rStyle w:val="17"/>
          <w:rFonts w:hint="eastAsia" w:ascii="仿宋" w:hAnsi="仿宋" w:eastAsia="仿宋"/>
          <w:bCs/>
          <w:color w:val="000000"/>
          <w:sz w:val="32"/>
          <w:szCs w:val="32"/>
          <w:highlight w:val="none"/>
        </w:rPr>
        <w:t>（项）:</w:t>
      </w:r>
      <w:r>
        <w:rPr>
          <w:rStyle w:val="17"/>
          <w:rFonts w:hint="eastAsia" w:ascii="仿宋_GB2312" w:hAnsi="仿宋_GB2312" w:eastAsia="仿宋_GB2312" w:cs="仿宋_GB2312"/>
          <w:b w:val="0"/>
          <w:bCs/>
          <w:color w:val="000000"/>
          <w:sz w:val="32"/>
          <w:szCs w:val="32"/>
          <w:highlight w:val="none"/>
        </w:rPr>
        <w:t xml:space="preserve"> </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20.14</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Style w:val="17"/>
          <w:rFonts w:hint="eastAsia" w:ascii="仿宋" w:hAnsi="仿宋" w:eastAsia="仿宋"/>
          <w:bCs/>
          <w:color w:val="000000"/>
          <w:sz w:val="32"/>
          <w:szCs w:val="32"/>
          <w:highlight w:val="none"/>
          <w:lang w:val="en-US" w:eastAsia="zh-CN"/>
        </w:rPr>
        <w:t>6</w:t>
      </w:r>
      <w:r>
        <w:rPr>
          <w:rStyle w:val="17"/>
          <w:rFonts w:hint="eastAsia" w:ascii="仿宋" w:hAnsi="仿宋" w:eastAsia="仿宋"/>
          <w:bCs/>
          <w:color w:val="000000"/>
          <w:sz w:val="32"/>
          <w:szCs w:val="32"/>
          <w:highlight w:val="none"/>
        </w:rPr>
        <w:t>.医疗卫生与计划生育</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行政事业单位医疗</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行政单位医疗</w:t>
      </w:r>
      <w:r>
        <w:rPr>
          <w:rStyle w:val="17"/>
          <w:rFonts w:hint="eastAsia" w:ascii="仿宋" w:hAnsi="仿宋" w:eastAsia="仿宋"/>
          <w:bCs/>
          <w:color w:val="000000"/>
          <w:sz w:val="32"/>
          <w:szCs w:val="32"/>
          <w:highlight w:val="none"/>
        </w:rPr>
        <w:t>（项）:</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28.89</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Style w:val="17"/>
          <w:rFonts w:hint="eastAsia" w:ascii="仿宋" w:hAnsi="仿宋" w:eastAsia="仿宋"/>
          <w:bCs/>
          <w:color w:val="000000"/>
          <w:sz w:val="32"/>
          <w:szCs w:val="32"/>
          <w:highlight w:val="none"/>
          <w:lang w:val="en-US" w:eastAsia="zh-CN"/>
        </w:rPr>
        <w:t>7.</w:t>
      </w:r>
      <w:r>
        <w:rPr>
          <w:rStyle w:val="17"/>
          <w:rFonts w:hint="eastAsia" w:ascii="仿宋" w:hAnsi="仿宋" w:eastAsia="仿宋"/>
          <w:bCs/>
          <w:color w:val="000000"/>
          <w:sz w:val="32"/>
          <w:szCs w:val="32"/>
          <w:highlight w:val="none"/>
        </w:rPr>
        <w:t>医疗卫生与计划生育</w:t>
      </w:r>
      <w:r>
        <w:rPr>
          <w:rStyle w:val="17"/>
          <w:rFonts w:hint="eastAsia" w:ascii="仿宋" w:hAnsi="仿宋" w:eastAsia="仿宋"/>
          <w:bCs/>
          <w:color w:val="000000"/>
          <w:sz w:val="32"/>
          <w:szCs w:val="32"/>
          <w:highlight w:val="none"/>
          <w:lang w:eastAsia="zh-CN"/>
        </w:rPr>
        <w:t>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行政事业单位医疗</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事业单位医疗</w:t>
      </w:r>
      <w:r>
        <w:rPr>
          <w:rStyle w:val="17"/>
          <w:rFonts w:hint="eastAsia" w:ascii="仿宋" w:hAnsi="仿宋" w:eastAsia="仿宋"/>
          <w:bCs/>
          <w:color w:val="000000"/>
          <w:sz w:val="32"/>
          <w:szCs w:val="32"/>
          <w:highlight w:val="none"/>
        </w:rPr>
        <w:t>（项）:</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2.55</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Style w:val="17"/>
          <w:rFonts w:hint="eastAsia" w:ascii="仿宋" w:hAnsi="仿宋" w:eastAsia="仿宋"/>
          <w:bCs/>
          <w:color w:val="000000"/>
          <w:sz w:val="32"/>
          <w:szCs w:val="32"/>
          <w:highlight w:val="none"/>
          <w:lang w:val="en-US" w:eastAsia="zh-CN"/>
        </w:rPr>
        <w:t>8</w:t>
      </w:r>
      <w:r>
        <w:rPr>
          <w:rStyle w:val="17"/>
          <w:rFonts w:hint="eastAsia" w:ascii="仿宋" w:hAnsi="仿宋" w:eastAsia="仿宋"/>
          <w:bCs/>
          <w:color w:val="000000"/>
          <w:sz w:val="32"/>
          <w:szCs w:val="32"/>
          <w:highlight w:val="none"/>
        </w:rPr>
        <w:t>.</w:t>
      </w:r>
      <w:r>
        <w:rPr>
          <w:rStyle w:val="17"/>
          <w:rFonts w:hint="eastAsia" w:ascii="仿宋" w:hAnsi="仿宋" w:eastAsia="仿宋"/>
          <w:bCs/>
          <w:color w:val="000000"/>
          <w:sz w:val="32"/>
          <w:szCs w:val="32"/>
          <w:highlight w:val="none"/>
          <w:lang w:eastAsia="zh-CN"/>
        </w:rPr>
        <w:t>住房保障支出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住房改革支出</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住房公积金</w:t>
      </w:r>
      <w:r>
        <w:rPr>
          <w:rStyle w:val="17"/>
          <w:rFonts w:hint="eastAsia" w:ascii="仿宋" w:hAnsi="仿宋" w:eastAsia="仿宋"/>
          <w:bCs/>
          <w:color w:val="000000"/>
          <w:sz w:val="32"/>
          <w:szCs w:val="32"/>
          <w:highlight w:val="none"/>
        </w:rPr>
        <w:t>（项）:</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44.01</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highlight w:val="none"/>
        </w:rPr>
      </w:pPr>
      <w:r>
        <w:rPr>
          <w:rStyle w:val="17"/>
          <w:rFonts w:hint="eastAsia" w:ascii="仿宋" w:hAnsi="仿宋" w:eastAsia="仿宋"/>
          <w:bCs/>
          <w:color w:val="000000"/>
          <w:sz w:val="32"/>
          <w:szCs w:val="32"/>
          <w:highlight w:val="none"/>
          <w:lang w:val="en-US" w:eastAsia="zh-CN"/>
        </w:rPr>
        <w:t>9</w:t>
      </w:r>
      <w:r>
        <w:rPr>
          <w:rStyle w:val="17"/>
          <w:rFonts w:hint="eastAsia" w:ascii="仿宋" w:hAnsi="仿宋" w:eastAsia="仿宋"/>
          <w:bCs/>
          <w:color w:val="000000"/>
          <w:sz w:val="32"/>
          <w:szCs w:val="32"/>
          <w:highlight w:val="none"/>
        </w:rPr>
        <w:t>.</w:t>
      </w:r>
      <w:r>
        <w:rPr>
          <w:rStyle w:val="17"/>
          <w:rFonts w:hint="eastAsia" w:ascii="仿宋" w:hAnsi="仿宋" w:eastAsia="仿宋"/>
          <w:bCs/>
          <w:color w:val="000000"/>
          <w:sz w:val="32"/>
          <w:szCs w:val="32"/>
          <w:highlight w:val="none"/>
          <w:lang w:eastAsia="zh-CN"/>
        </w:rPr>
        <w:t>农林水支出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扶贫</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其他扶贫支出</w:t>
      </w:r>
      <w:r>
        <w:rPr>
          <w:rStyle w:val="17"/>
          <w:rFonts w:hint="eastAsia" w:ascii="仿宋" w:hAnsi="仿宋" w:eastAsia="仿宋"/>
          <w:bCs/>
          <w:color w:val="000000"/>
          <w:sz w:val="32"/>
          <w:szCs w:val="32"/>
          <w:highlight w:val="none"/>
        </w:rPr>
        <w:t>（项）:</w:t>
      </w:r>
      <w:r>
        <w:rPr>
          <w:rFonts w:hint="eastAsia" w:ascii="仿宋_GB2312" w:hAnsi="仿宋_GB2312" w:eastAsia="仿宋_GB2312" w:cs="仿宋_GB2312"/>
          <w:sz w:val="32"/>
          <w:szCs w:val="32"/>
          <w:highlight w:val="none"/>
        </w:rPr>
        <w:t>支出决算为</w:t>
      </w:r>
      <w:r>
        <w:rPr>
          <w:rFonts w:hint="eastAsia" w:ascii="仿宋_GB2312" w:hAnsi="仿宋_GB2312" w:eastAsia="仿宋_GB2312" w:cs="仿宋_GB2312"/>
          <w:sz w:val="32"/>
          <w:szCs w:val="32"/>
          <w:highlight w:val="none"/>
          <w:lang w:val="en-US" w:eastAsia="zh-CN"/>
        </w:rPr>
        <w:t>350.38</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w:t>
      </w:r>
    </w:p>
    <w:p>
      <w:pPr>
        <w:spacing w:line="600" w:lineRule="exact"/>
        <w:ind w:firstLine="643" w:firstLineChars="200"/>
        <w:rPr>
          <w:rFonts w:hint="eastAsia" w:ascii="仿宋_GB2312" w:hAnsi="仿宋_GB2312" w:eastAsia="仿宋_GB2312" w:cs="仿宋_GB2312"/>
          <w:sz w:val="32"/>
          <w:szCs w:val="32"/>
          <w:highlight w:val="none"/>
          <w:lang w:val="en-US" w:eastAsia="zh-CN"/>
        </w:rPr>
      </w:pPr>
      <w:r>
        <w:rPr>
          <w:rStyle w:val="17"/>
          <w:rFonts w:hint="eastAsia" w:ascii="仿宋" w:hAnsi="仿宋" w:eastAsia="仿宋"/>
          <w:bCs/>
          <w:color w:val="000000"/>
          <w:sz w:val="32"/>
          <w:szCs w:val="32"/>
          <w:highlight w:val="none"/>
          <w:lang w:val="en-US" w:eastAsia="zh-CN"/>
        </w:rPr>
        <w:t xml:space="preserve">10. </w:t>
      </w:r>
      <w:r>
        <w:rPr>
          <w:rStyle w:val="17"/>
          <w:rFonts w:hint="eastAsia" w:ascii="仿宋" w:hAnsi="仿宋" w:eastAsia="仿宋"/>
          <w:bCs/>
          <w:color w:val="000000"/>
          <w:sz w:val="32"/>
          <w:szCs w:val="32"/>
          <w:highlight w:val="none"/>
          <w:lang w:eastAsia="zh-CN"/>
        </w:rPr>
        <w:t>其他支出</w:t>
      </w:r>
      <w:r>
        <w:rPr>
          <w:rStyle w:val="17"/>
          <w:rFonts w:hint="eastAsia" w:ascii="仿宋" w:hAnsi="仿宋" w:eastAsia="仿宋"/>
          <w:bCs/>
          <w:color w:val="000000"/>
          <w:sz w:val="32"/>
          <w:szCs w:val="32"/>
          <w:highlight w:val="none"/>
        </w:rPr>
        <w:t>（类）</w:t>
      </w:r>
      <w:r>
        <w:rPr>
          <w:rStyle w:val="17"/>
          <w:rFonts w:hint="eastAsia" w:ascii="仿宋" w:hAnsi="仿宋" w:eastAsia="仿宋"/>
          <w:bCs/>
          <w:color w:val="000000"/>
          <w:sz w:val="32"/>
          <w:szCs w:val="32"/>
          <w:highlight w:val="none"/>
          <w:lang w:eastAsia="zh-CN"/>
        </w:rPr>
        <w:t>其他支出</w:t>
      </w:r>
      <w:r>
        <w:rPr>
          <w:rStyle w:val="17"/>
          <w:rFonts w:hint="eastAsia" w:ascii="仿宋" w:hAnsi="仿宋" w:eastAsia="仿宋"/>
          <w:bCs/>
          <w:color w:val="000000"/>
          <w:sz w:val="32"/>
          <w:szCs w:val="32"/>
          <w:highlight w:val="none"/>
        </w:rPr>
        <w:t>（款）</w:t>
      </w:r>
      <w:r>
        <w:rPr>
          <w:rStyle w:val="17"/>
          <w:rFonts w:hint="eastAsia" w:ascii="仿宋" w:hAnsi="仿宋" w:eastAsia="仿宋"/>
          <w:bCs/>
          <w:color w:val="000000"/>
          <w:sz w:val="32"/>
          <w:szCs w:val="32"/>
          <w:highlight w:val="none"/>
          <w:lang w:eastAsia="zh-CN"/>
        </w:rPr>
        <w:t>其他支出</w:t>
      </w:r>
      <w:r>
        <w:rPr>
          <w:rStyle w:val="17"/>
          <w:rFonts w:hint="eastAsia" w:ascii="仿宋" w:hAnsi="仿宋" w:eastAsia="仿宋"/>
          <w:bCs/>
          <w:color w:val="000000"/>
          <w:sz w:val="32"/>
          <w:szCs w:val="32"/>
          <w:highlight w:val="none"/>
        </w:rPr>
        <w:t>（项）</w:t>
      </w:r>
      <w:r>
        <w:rPr>
          <w:rStyle w:val="17"/>
          <w:rFonts w:ascii="仿宋" w:hAnsi="仿宋" w:eastAsia="仿宋"/>
          <w:bCs/>
          <w:color w:val="000000"/>
          <w:sz w:val="32"/>
          <w:szCs w:val="32"/>
          <w:highlight w:val="none"/>
        </w:rPr>
        <w:t xml:space="preserve">: </w:t>
      </w:r>
      <w:r>
        <w:rPr>
          <w:rFonts w:hint="eastAsia" w:ascii="仿宋_GB2312" w:hAnsi="仿宋_GB2312" w:eastAsia="仿宋_GB2312" w:cs="仿宋_GB2312"/>
          <w:sz w:val="32"/>
          <w:szCs w:val="32"/>
          <w:highlight w:val="none"/>
          <w:lang w:val="en-US" w:eastAsia="zh-CN"/>
        </w:rPr>
        <w:t>支出决算为34.88万元，完成预算100%。</w:t>
      </w:r>
    </w:p>
    <w:p>
      <w:pPr>
        <w:spacing w:line="600" w:lineRule="exact"/>
        <w:ind w:firstLine="643" w:firstLineChars="200"/>
        <w:rPr>
          <w:rFonts w:hint="eastAsia" w:ascii="仿宋_GB2312" w:hAnsi="仿宋_GB2312" w:eastAsia="仿宋_GB2312" w:cs="仿宋_GB2312"/>
          <w:sz w:val="32"/>
          <w:szCs w:val="32"/>
          <w:highlight w:val="none"/>
        </w:rPr>
      </w:pPr>
      <w:r>
        <w:rPr>
          <w:rStyle w:val="17"/>
          <w:rFonts w:hint="eastAsia" w:ascii="仿宋" w:hAnsi="仿宋" w:eastAsia="仿宋" w:cs="Times New Roman"/>
          <w:bCs/>
          <w:color w:val="000000"/>
          <w:kern w:val="2"/>
          <w:sz w:val="32"/>
          <w:szCs w:val="32"/>
          <w:highlight w:val="none"/>
          <w:lang w:val="en-US" w:eastAsia="zh-CN" w:bidi="ar-SA"/>
        </w:rPr>
        <w:t>11.退役军人管理事务支出（类）拥军优属（款）拥军优属支出（项）：</w:t>
      </w:r>
      <w:r>
        <w:rPr>
          <w:rFonts w:hint="eastAsia" w:ascii="仿宋_GB2312" w:hAnsi="仿宋_GB2312" w:eastAsia="仿宋_GB2312" w:cs="仿宋_GB2312"/>
          <w:sz w:val="32"/>
          <w:szCs w:val="32"/>
          <w:highlight w:val="none"/>
          <w:lang w:val="en-US" w:eastAsia="zh-CN"/>
        </w:rPr>
        <w:t>支出决算为0.48万元，完成预算100%。</w:t>
      </w:r>
    </w:p>
    <w:p>
      <w:pPr>
        <w:tabs>
          <w:tab w:val="right" w:pos="8306"/>
        </w:tabs>
        <w:spacing w:line="600" w:lineRule="exact"/>
        <w:ind w:firstLine="640"/>
        <w:outlineLvl w:val="1"/>
        <w:rPr>
          <w:rStyle w:val="28"/>
          <w:highlight w:val="none"/>
        </w:rPr>
      </w:pPr>
      <w:bookmarkStart w:id="205" w:name="_Toc10938"/>
      <w:bookmarkStart w:id="206" w:name="_Toc15396608"/>
      <w:bookmarkStart w:id="207" w:name="_Toc15377214"/>
      <w:bookmarkStart w:id="208" w:name="_Toc1869"/>
      <w:bookmarkStart w:id="209" w:name="_Toc296"/>
      <w:bookmarkStart w:id="210" w:name="_Toc4747"/>
      <w:bookmarkStart w:id="211" w:name="_Toc26313"/>
      <w:bookmarkStart w:id="212" w:name="_Toc32172"/>
      <w:bookmarkStart w:id="213" w:name="_Toc28047"/>
      <w:bookmarkStart w:id="214" w:name="_Toc3901"/>
      <w:bookmarkStart w:id="215" w:name="_Toc2122"/>
      <w:r>
        <w:rPr>
          <w:rFonts w:hint="eastAsia" w:ascii="黑体" w:eastAsia="黑体"/>
          <w:color w:val="000000"/>
          <w:sz w:val="32"/>
          <w:szCs w:val="32"/>
          <w:highlight w:val="none"/>
        </w:rPr>
        <w:t>六</w:t>
      </w:r>
      <w:r>
        <w:rPr>
          <w:rFonts w:hint="eastAsia" w:ascii="黑体" w:eastAsia="黑体"/>
          <w:b/>
          <w:color w:val="000000"/>
          <w:sz w:val="32"/>
          <w:szCs w:val="32"/>
          <w:highlight w:val="none"/>
        </w:rPr>
        <w:t>、</w:t>
      </w:r>
      <w:r>
        <w:rPr>
          <w:rFonts w:hint="eastAsia" w:ascii="黑体" w:hAnsi="黑体" w:eastAsia="黑体"/>
          <w:b/>
          <w:color w:val="000000"/>
          <w:sz w:val="32"/>
          <w:szCs w:val="32"/>
          <w:highlight w:val="none"/>
        </w:rPr>
        <w:t>一</w:t>
      </w:r>
      <w:r>
        <w:rPr>
          <w:rStyle w:val="28"/>
          <w:rFonts w:hint="eastAsia" w:ascii="黑体" w:hAnsi="黑体" w:eastAsia="黑体"/>
          <w:b w:val="0"/>
          <w:highlight w:val="none"/>
        </w:rPr>
        <w:t>般公共预算财政拨款基本支出决算情况说明</w:t>
      </w:r>
      <w:bookmarkEnd w:id="205"/>
      <w:bookmarkEnd w:id="206"/>
      <w:bookmarkEnd w:id="207"/>
      <w:bookmarkEnd w:id="208"/>
      <w:bookmarkEnd w:id="209"/>
      <w:bookmarkEnd w:id="210"/>
      <w:bookmarkEnd w:id="211"/>
      <w:bookmarkEnd w:id="212"/>
      <w:bookmarkEnd w:id="213"/>
      <w:bookmarkEnd w:id="214"/>
      <w:bookmarkEnd w:id="215"/>
      <w:r>
        <w:rPr>
          <w:rStyle w:val="28"/>
          <w:rFonts w:ascii="黑体" w:hAnsi="黑体" w:eastAsia="黑体"/>
          <w:b w:val="0"/>
          <w:highlight w:val="none"/>
        </w:rPr>
        <w:tab/>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年一般公共预算财政拨款基本支出</w:t>
      </w:r>
      <w:r>
        <w:rPr>
          <w:rFonts w:hint="eastAsia" w:ascii="仿宋_GB2312" w:hAnsi="仿宋_GB2312" w:eastAsia="仿宋_GB2312" w:cs="仿宋_GB2312"/>
          <w:sz w:val="32"/>
          <w:szCs w:val="32"/>
          <w:highlight w:val="none"/>
          <w:lang w:val="en-US" w:eastAsia="zh-CN"/>
        </w:rPr>
        <w:t>691.26</w:t>
      </w:r>
      <w:r>
        <w:rPr>
          <w:rFonts w:hint="eastAsia" w:ascii="仿宋_GB2312" w:hAnsi="仿宋_GB2312" w:eastAsia="仿宋_GB2312" w:cs="仿宋_GB2312"/>
          <w:sz w:val="32"/>
          <w:szCs w:val="32"/>
          <w:highlight w:val="none"/>
        </w:rPr>
        <w:t>万元，其中：</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人员经费</w:t>
      </w:r>
      <w:r>
        <w:rPr>
          <w:rFonts w:hint="eastAsia" w:ascii="仿宋_GB2312" w:hAnsi="仿宋_GB2312" w:eastAsia="仿宋_GB2312" w:cs="仿宋_GB2312"/>
          <w:sz w:val="32"/>
          <w:szCs w:val="32"/>
          <w:highlight w:val="none"/>
          <w:lang w:val="en-US" w:eastAsia="zh-CN"/>
        </w:rPr>
        <w:t>556.64</w:t>
      </w:r>
      <w:r>
        <w:rPr>
          <w:rFonts w:hint="eastAsia" w:ascii="仿宋_GB2312" w:hAnsi="仿宋_GB2312" w:eastAsia="仿宋_GB2312" w:cs="仿宋_GB2312"/>
          <w:sz w:val="32"/>
          <w:szCs w:val="32"/>
          <w:highlight w:val="none"/>
        </w:rPr>
        <w:t>万元，主要包括：主要包括：基本工资、津贴补贴、奖金、机关事业单位基本养老保险缴费、职业年金缴费、</w:t>
      </w:r>
      <w:r>
        <w:rPr>
          <w:rFonts w:hint="eastAsia" w:ascii="仿宋_GB2312" w:hAnsi="仿宋_GB2312" w:eastAsia="仿宋_GB2312" w:cs="仿宋_GB2312"/>
          <w:sz w:val="32"/>
          <w:szCs w:val="32"/>
          <w:highlight w:val="none"/>
          <w:lang w:eastAsia="zh-CN"/>
        </w:rPr>
        <w:t>职工基本医疗保险缴费、</w:t>
      </w:r>
      <w:r>
        <w:rPr>
          <w:rFonts w:hint="eastAsia" w:ascii="仿宋_GB2312" w:hAnsi="仿宋_GB2312" w:eastAsia="仿宋_GB2312" w:cs="仿宋_GB2312"/>
          <w:sz w:val="32"/>
          <w:szCs w:val="32"/>
          <w:highlight w:val="none"/>
        </w:rPr>
        <w:t>其他社会保障缴费、生活补助、医疗费、住房公积金、其他对个人和家庭的补助支出等。</w:t>
      </w:r>
      <w:r>
        <w:rPr>
          <w:rFonts w:hint="eastAsia" w:ascii="仿宋_GB2312" w:hAnsi="仿宋_GB2312" w:eastAsia="仿宋_GB2312" w:cs="仿宋_GB2312"/>
          <w:sz w:val="32"/>
          <w:szCs w:val="32"/>
          <w:highlight w:val="none"/>
        </w:rPr>
        <w:br w:type="textWrapping"/>
      </w:r>
      <w:r>
        <w:rPr>
          <w:rFonts w:hint="eastAsia" w:ascii="仿宋" w:hAnsi="仿宋" w:eastAsia="仿宋"/>
          <w:color w:val="000000"/>
          <w:sz w:val="32"/>
          <w:szCs w:val="32"/>
          <w:highlight w:val="none"/>
        </w:rPr>
        <w:t>　　</w:t>
      </w:r>
      <w:r>
        <w:rPr>
          <w:rFonts w:hint="eastAsia" w:ascii="仿宋_GB2312" w:hAnsi="仿宋_GB2312" w:eastAsia="仿宋_GB2312" w:cs="仿宋_GB2312"/>
          <w:sz w:val="32"/>
          <w:szCs w:val="32"/>
          <w:highlight w:val="none"/>
        </w:rPr>
        <w:t>日常公用经费</w:t>
      </w:r>
      <w:r>
        <w:rPr>
          <w:rFonts w:hint="eastAsia" w:ascii="仿宋_GB2312" w:hAnsi="仿宋_GB2312" w:eastAsia="仿宋_GB2312" w:cs="仿宋_GB2312"/>
          <w:sz w:val="32"/>
          <w:szCs w:val="32"/>
          <w:highlight w:val="none"/>
          <w:lang w:val="en-US" w:eastAsia="zh-CN"/>
        </w:rPr>
        <w:t>134.62</w:t>
      </w:r>
      <w:r>
        <w:rPr>
          <w:rFonts w:hint="eastAsia" w:ascii="仿宋_GB2312" w:hAnsi="仿宋_GB2312" w:eastAsia="仿宋_GB2312" w:cs="仿宋_GB2312"/>
          <w:sz w:val="32"/>
          <w:szCs w:val="32"/>
          <w:highlight w:val="none"/>
        </w:rPr>
        <w:t>万元，主要包括：办公费、邮电费、差旅费、培训费、公务接待费、公务用车运行维护费等。</w:t>
      </w:r>
    </w:p>
    <w:p>
      <w:pPr>
        <w:spacing w:line="600" w:lineRule="exact"/>
        <w:ind w:firstLine="640"/>
        <w:outlineLvl w:val="1"/>
        <w:rPr>
          <w:rStyle w:val="28"/>
          <w:rFonts w:ascii="黑体" w:hAnsi="黑体" w:eastAsia="黑体"/>
          <w:b w:val="0"/>
          <w:highlight w:val="none"/>
        </w:rPr>
      </w:pPr>
      <w:bookmarkStart w:id="216" w:name="_Toc15396609"/>
      <w:bookmarkStart w:id="217" w:name="_Toc24051"/>
      <w:bookmarkStart w:id="218" w:name="_Toc15377215"/>
      <w:bookmarkStart w:id="219" w:name="_Toc2551"/>
      <w:bookmarkStart w:id="220" w:name="_Toc11283"/>
      <w:bookmarkStart w:id="221" w:name="_Toc23844"/>
      <w:bookmarkStart w:id="222" w:name="_Toc11354"/>
      <w:bookmarkStart w:id="223" w:name="_Toc25962"/>
      <w:bookmarkStart w:id="224" w:name="_Toc29645"/>
      <w:bookmarkStart w:id="225" w:name="_Toc7649"/>
      <w:bookmarkStart w:id="226" w:name="_Toc17482"/>
      <w:r>
        <w:rPr>
          <w:rFonts w:hint="eastAsia" w:ascii="黑体" w:eastAsia="黑体"/>
          <w:color w:val="000000"/>
          <w:sz w:val="32"/>
          <w:szCs w:val="32"/>
          <w:highlight w:val="none"/>
        </w:rPr>
        <w:t>七、</w:t>
      </w:r>
      <w:r>
        <w:rPr>
          <w:rStyle w:val="28"/>
          <w:rFonts w:hint="eastAsia" w:ascii="黑体" w:hAnsi="黑体" w:eastAsia="黑体"/>
          <w:highlight w:val="none"/>
        </w:rPr>
        <w:t>“</w:t>
      </w:r>
      <w:r>
        <w:rPr>
          <w:rStyle w:val="28"/>
          <w:rFonts w:hint="eastAsia" w:ascii="黑体" w:hAnsi="黑体" w:eastAsia="黑体"/>
          <w:b w:val="0"/>
          <w:highlight w:val="none"/>
        </w:rPr>
        <w:t>三公”经费财政拨款支出决算情况说明</w:t>
      </w:r>
      <w:bookmarkEnd w:id="216"/>
      <w:bookmarkEnd w:id="217"/>
      <w:bookmarkEnd w:id="218"/>
      <w:bookmarkEnd w:id="219"/>
      <w:bookmarkEnd w:id="220"/>
      <w:bookmarkEnd w:id="221"/>
      <w:bookmarkEnd w:id="222"/>
      <w:bookmarkEnd w:id="223"/>
      <w:bookmarkEnd w:id="224"/>
      <w:bookmarkEnd w:id="225"/>
      <w:bookmarkEnd w:id="226"/>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227" w:name="_Toc15377216"/>
      <w:bookmarkStart w:id="228" w:name="_Toc19830"/>
      <w:bookmarkStart w:id="229" w:name="_Toc32011"/>
      <w:bookmarkStart w:id="230" w:name="_Toc26784"/>
      <w:bookmarkStart w:id="231" w:name="_Toc4938"/>
      <w:bookmarkStart w:id="232" w:name="_Toc1531"/>
      <w:bookmarkStart w:id="233" w:name="_Toc18129"/>
      <w:bookmarkStart w:id="234" w:name="_Toc24959"/>
      <w:bookmarkStart w:id="235" w:name="_Toc25781"/>
      <w:r>
        <w:rPr>
          <w:rFonts w:hint="eastAsia" w:ascii="楷体_GB2312" w:hAnsi="楷体_GB2312" w:eastAsia="楷体_GB2312" w:cs="楷体_GB2312"/>
          <w:b/>
          <w:color w:val="000000"/>
          <w:sz w:val="32"/>
          <w:szCs w:val="32"/>
          <w:highlight w:val="none"/>
        </w:rPr>
        <w:t>（一）“三公”经费财政拨款支出决算总体情况说明</w:t>
      </w:r>
      <w:bookmarkEnd w:id="227"/>
      <w:bookmarkEnd w:id="228"/>
      <w:bookmarkEnd w:id="229"/>
      <w:bookmarkEnd w:id="230"/>
      <w:bookmarkEnd w:id="231"/>
      <w:bookmarkEnd w:id="232"/>
      <w:bookmarkEnd w:id="233"/>
      <w:bookmarkEnd w:id="234"/>
      <w:bookmarkEnd w:id="23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年“三公”经费财政拨款支出决算为</w:t>
      </w:r>
      <w:r>
        <w:rPr>
          <w:rFonts w:hint="eastAsia" w:ascii="仿宋_GB2312" w:hAnsi="仿宋_GB2312" w:eastAsia="仿宋_GB2312" w:cs="仿宋_GB2312"/>
          <w:sz w:val="32"/>
          <w:szCs w:val="32"/>
          <w:highlight w:val="none"/>
          <w:lang w:val="en-US" w:eastAsia="zh-CN"/>
        </w:rPr>
        <w:t>90.98</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%，决算数与预算数持平</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236" w:name="_Toc15377217"/>
      <w:bookmarkStart w:id="237" w:name="_Toc6901"/>
      <w:bookmarkStart w:id="238" w:name="_Toc15270"/>
      <w:bookmarkStart w:id="239" w:name="_Toc12616"/>
      <w:bookmarkStart w:id="240" w:name="_Toc29694"/>
      <w:bookmarkStart w:id="241" w:name="_Toc15643"/>
      <w:bookmarkStart w:id="242" w:name="_Toc9275"/>
      <w:bookmarkStart w:id="243" w:name="_Toc14002"/>
      <w:bookmarkStart w:id="244" w:name="_Toc18529"/>
      <w:r>
        <w:rPr>
          <w:rFonts w:hint="eastAsia" w:ascii="楷体_GB2312" w:hAnsi="楷体_GB2312" w:eastAsia="楷体_GB2312" w:cs="楷体_GB2312"/>
          <w:b/>
          <w:color w:val="000000"/>
          <w:sz w:val="32"/>
          <w:szCs w:val="32"/>
          <w:highlight w:val="none"/>
        </w:rPr>
        <w:t>（二）“三公”经费财政拨款支出决算具体情况说明</w:t>
      </w:r>
      <w:bookmarkEnd w:id="236"/>
      <w:bookmarkEnd w:id="237"/>
      <w:bookmarkEnd w:id="238"/>
      <w:bookmarkEnd w:id="239"/>
      <w:bookmarkEnd w:id="240"/>
      <w:bookmarkEnd w:id="241"/>
      <w:bookmarkEnd w:id="242"/>
      <w:bookmarkEnd w:id="243"/>
      <w:bookmarkEnd w:id="244"/>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年“三公”经费财政拨款支出决算中，因公出国（境）费支出决算</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万元；公务用车购置及运行维护费支出决算</w:t>
      </w:r>
      <w:r>
        <w:rPr>
          <w:rFonts w:hint="eastAsia" w:ascii="仿宋_GB2312" w:hAnsi="仿宋_GB2312" w:eastAsia="仿宋_GB2312" w:cs="仿宋_GB2312"/>
          <w:sz w:val="32"/>
          <w:szCs w:val="32"/>
          <w:highlight w:val="none"/>
          <w:lang w:val="en-US" w:eastAsia="zh-CN"/>
        </w:rPr>
        <w:t>87.89</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96.60</w:t>
      </w:r>
      <w:r>
        <w:rPr>
          <w:rFonts w:hint="eastAsia" w:ascii="仿宋_GB2312" w:hAnsi="仿宋_GB2312" w:eastAsia="仿宋_GB2312" w:cs="仿宋_GB2312"/>
          <w:sz w:val="32"/>
          <w:szCs w:val="32"/>
          <w:highlight w:val="none"/>
        </w:rPr>
        <w:t>%；公务接待费支出决算</w:t>
      </w:r>
      <w:r>
        <w:rPr>
          <w:rFonts w:hint="eastAsia" w:ascii="仿宋_GB2312" w:hAnsi="仿宋_GB2312" w:eastAsia="仿宋_GB2312" w:cs="仿宋_GB2312"/>
          <w:sz w:val="32"/>
          <w:szCs w:val="32"/>
          <w:highlight w:val="none"/>
          <w:lang w:val="en-US" w:eastAsia="zh-CN"/>
        </w:rPr>
        <w:t>3.09</w:t>
      </w:r>
      <w:r>
        <w:rPr>
          <w:rFonts w:hint="eastAsia" w:ascii="仿宋_GB2312" w:hAnsi="仿宋_GB2312" w:eastAsia="仿宋_GB2312" w:cs="仿宋_GB2312"/>
          <w:sz w:val="32"/>
          <w:szCs w:val="32"/>
          <w:highlight w:val="none"/>
        </w:rPr>
        <w:t>万元，占</w:t>
      </w:r>
      <w:r>
        <w:rPr>
          <w:rFonts w:hint="eastAsia" w:ascii="仿宋_GB2312" w:hAnsi="仿宋_GB2312" w:eastAsia="仿宋_GB2312" w:cs="仿宋_GB2312"/>
          <w:sz w:val="32"/>
          <w:szCs w:val="32"/>
          <w:highlight w:val="none"/>
          <w:lang w:val="en-US" w:eastAsia="zh-CN"/>
        </w:rPr>
        <w:t>3.40</w:t>
      </w:r>
      <w:r>
        <w:rPr>
          <w:rFonts w:hint="eastAsia" w:ascii="仿宋_GB2312" w:hAnsi="仿宋_GB2312" w:eastAsia="仿宋_GB2312" w:cs="仿宋_GB2312"/>
          <w:sz w:val="32"/>
          <w:szCs w:val="32"/>
          <w:highlight w:val="none"/>
        </w:rPr>
        <w:t>%。具体情况如下：</w:t>
      </w:r>
    </w:p>
    <w:p>
      <w:pPr>
        <w:spacing w:line="600" w:lineRule="exact"/>
        <w:ind w:firstLine="640"/>
        <w:rPr>
          <w:rFonts w:hint="eastAsia" w:ascii="仿宋" w:hAnsi="仿宋" w:eastAsia="仿宋"/>
          <w:color w:val="000000"/>
          <w:sz w:val="32"/>
          <w:szCs w:val="32"/>
          <w:highlight w:val="none"/>
        </w:rPr>
      </w:pPr>
      <w:r>
        <w:drawing>
          <wp:anchor distT="0" distB="0" distL="114300" distR="114300" simplePos="0" relativeHeight="251670528" behindDoc="0" locked="0" layoutInCell="1" allowOverlap="1">
            <wp:simplePos x="0" y="0"/>
            <wp:positionH relativeFrom="column">
              <wp:posOffset>104775</wp:posOffset>
            </wp:positionH>
            <wp:positionV relativeFrom="paragraph">
              <wp:posOffset>342900</wp:posOffset>
            </wp:positionV>
            <wp:extent cx="4572000" cy="2743200"/>
            <wp:effectExtent l="4445" t="4445" r="14605" b="14605"/>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hAnsi="仿宋" w:eastAsia="仿宋"/>
          <w:color w:val="000000"/>
          <w:sz w:val="32"/>
          <w:szCs w:val="32"/>
          <w:highlight w:val="none"/>
        </w:rPr>
      </w:pPr>
    </w:p>
    <w:p>
      <w:pPr>
        <w:spacing w:line="600" w:lineRule="exact"/>
        <w:ind w:firstLine="640"/>
        <w:rPr>
          <w:rFonts w:hint="eastAsia" w:ascii="仿宋" w:hAnsi="仿宋" w:eastAsia="仿宋"/>
          <w:color w:val="000000"/>
          <w:sz w:val="32"/>
          <w:szCs w:val="32"/>
          <w:highlight w:val="none"/>
        </w:rPr>
      </w:pPr>
    </w:p>
    <w:p>
      <w:pPr>
        <w:spacing w:line="600" w:lineRule="exact"/>
        <w:ind w:firstLine="640"/>
        <w:rPr>
          <w:rFonts w:hint="eastAsia" w:ascii="仿宋" w:hAnsi="仿宋" w:eastAsia="仿宋"/>
          <w:color w:val="000000"/>
          <w:sz w:val="32"/>
          <w:szCs w:val="32"/>
          <w:highlight w:val="none"/>
        </w:rPr>
      </w:pPr>
    </w:p>
    <w:p>
      <w:pPr>
        <w:spacing w:line="600" w:lineRule="exact"/>
        <w:ind w:firstLine="640"/>
        <w:rPr>
          <w:rFonts w:hint="eastAsia" w:ascii="仿宋" w:hAnsi="仿宋" w:eastAsia="仿宋"/>
          <w:color w:val="000000"/>
          <w:sz w:val="32"/>
          <w:szCs w:val="32"/>
          <w:highlight w:val="none"/>
        </w:rPr>
      </w:pPr>
    </w:p>
    <w:p>
      <w:pPr>
        <w:spacing w:line="600" w:lineRule="exact"/>
        <w:ind w:firstLine="640"/>
        <w:rPr>
          <w:rFonts w:hint="eastAsia" w:ascii="仿宋" w:hAnsi="仿宋" w:eastAsia="仿宋"/>
          <w:color w:val="000000"/>
          <w:sz w:val="32"/>
          <w:szCs w:val="32"/>
          <w:highlight w:val="none"/>
        </w:rPr>
      </w:pPr>
    </w:p>
    <w:p>
      <w:pPr>
        <w:spacing w:line="600" w:lineRule="exact"/>
        <w:ind w:firstLine="640"/>
        <w:rPr>
          <w:rFonts w:hint="eastAsia" w:ascii="仿宋" w:hAnsi="仿宋" w:eastAsia="仿宋"/>
          <w:color w:val="000000"/>
          <w:sz w:val="32"/>
          <w:szCs w:val="32"/>
          <w:highlight w:val="none"/>
        </w:rPr>
      </w:pPr>
    </w:p>
    <w:p>
      <w:pPr>
        <w:spacing w:line="600" w:lineRule="exact"/>
        <w:ind w:firstLine="640"/>
        <w:rPr>
          <w:rFonts w:hint="eastAsia" w:ascii="仿宋" w:hAnsi="仿宋" w:eastAsia="仿宋"/>
          <w:color w:val="000000"/>
          <w:sz w:val="32"/>
          <w:szCs w:val="32"/>
          <w:highlight w:val="none"/>
        </w:rPr>
      </w:pPr>
    </w:p>
    <w:p>
      <w:pPr>
        <w:spacing w:line="600" w:lineRule="exact"/>
        <w:ind w:left="958" w:leftChars="456" w:firstLine="6" w:firstLineChars="2"/>
        <w:rPr>
          <w:rFonts w:hint="eastAsia" w:ascii="仿宋" w:hAnsi="仿宋" w:eastAsia="仿宋"/>
          <w:color w:val="000000"/>
          <w:sz w:val="32"/>
          <w:szCs w:val="32"/>
          <w:highlight w:val="none"/>
        </w:rPr>
      </w:pPr>
    </w:p>
    <w:p>
      <w:pPr>
        <w:spacing w:line="600" w:lineRule="exact"/>
        <w:ind w:left="958" w:leftChars="456" w:firstLine="323" w:firstLineChars="101"/>
        <w:rPr>
          <w:rFonts w:hint="eastAsia" w:ascii="仿宋" w:hAnsi="仿宋" w:eastAsia="仿宋"/>
          <w:color w:val="000000"/>
          <w:sz w:val="32"/>
          <w:szCs w:val="32"/>
          <w:highlight w:val="none"/>
        </w:rPr>
      </w:pPr>
      <w:r>
        <w:rPr>
          <w:rFonts w:hint="eastAsia" w:ascii="仿宋" w:hAnsi="仿宋" w:eastAsia="仿宋"/>
          <w:color w:val="000000"/>
          <w:sz w:val="32"/>
          <w:szCs w:val="32"/>
          <w:highlight w:val="none"/>
        </w:rPr>
        <w:t>（图7：“三公”经费财政拨款支出结构）</w:t>
      </w:r>
    </w:p>
    <w:p>
      <w:pPr>
        <w:spacing w:line="600" w:lineRule="exact"/>
        <w:ind w:firstLine="640"/>
        <w:rPr>
          <w:rFonts w:hint="eastAsia" w:ascii="仿宋_GB2312" w:eastAsia="仿宋_GB2312"/>
          <w:color w:val="000000"/>
          <w:sz w:val="32"/>
          <w:szCs w:val="32"/>
          <w:highlight w:val="none"/>
        </w:rPr>
      </w:pPr>
      <w:r>
        <w:rPr>
          <w:rFonts w:ascii="仿宋_GB2312" w:eastAsia="仿宋_GB2312"/>
          <w:b/>
          <w:color w:val="000000"/>
          <w:sz w:val="32"/>
          <w:szCs w:val="32"/>
          <w:highlight w:val="none"/>
        </w:rPr>
        <w:t>1.</w:t>
      </w:r>
      <w:r>
        <w:rPr>
          <w:rFonts w:hint="eastAsia" w:ascii="仿宋_GB2312" w:eastAsia="仿宋_GB2312"/>
          <w:b/>
          <w:color w:val="000000"/>
          <w:sz w:val="32"/>
          <w:szCs w:val="32"/>
          <w:highlight w:val="none"/>
        </w:rPr>
        <w:t>因公出国（境）经费支出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全年安排因公出国（境）团组</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次，出国（境）</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w:t>
      </w:r>
    </w:p>
    <w:p>
      <w:pPr>
        <w:ind w:firstLine="643" w:firstLineChars="200"/>
        <w:rPr>
          <w:rFonts w:hint="default" w:ascii="仿宋_GB2312" w:hAnsi="仿宋_GB2312" w:eastAsia="仿宋_GB2312" w:cs="仿宋_GB2312"/>
          <w:sz w:val="32"/>
          <w:szCs w:val="32"/>
          <w:highlight w:val="none"/>
          <w:lang w:val="en-US" w:eastAsia="zh-CN"/>
        </w:rPr>
      </w:pPr>
      <w:r>
        <w:rPr>
          <w:rFonts w:ascii="仿宋_GB2312" w:eastAsia="仿宋_GB2312"/>
          <w:b/>
          <w:color w:val="000000"/>
          <w:sz w:val="32"/>
          <w:szCs w:val="32"/>
          <w:highlight w:val="none"/>
        </w:rPr>
        <w:t>2.</w:t>
      </w:r>
      <w:r>
        <w:rPr>
          <w:rFonts w:hint="eastAsia" w:ascii="仿宋_GB2312" w:eastAsia="仿宋_GB2312"/>
          <w:b/>
          <w:color w:val="000000"/>
          <w:sz w:val="32"/>
          <w:szCs w:val="32"/>
          <w:highlight w:val="none"/>
        </w:rPr>
        <w:t>公务用车购置及运行维护费支出</w:t>
      </w:r>
      <w:r>
        <w:rPr>
          <w:rFonts w:hint="eastAsia" w:ascii="仿宋_GB2312" w:hAnsi="仿宋_GB2312" w:eastAsia="仿宋_GB2312" w:cs="仿宋_GB2312"/>
          <w:sz w:val="32"/>
          <w:szCs w:val="32"/>
          <w:highlight w:val="none"/>
          <w:lang w:val="en-US" w:eastAsia="zh-CN"/>
        </w:rPr>
        <w:t>87.89</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%。公务用车购置及运行维护费支出决算比201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增加</w:t>
      </w:r>
      <w:r>
        <w:rPr>
          <w:rFonts w:hint="eastAsia" w:ascii="仿宋_GB2312" w:hAnsi="仿宋_GB2312" w:eastAsia="仿宋_GB2312" w:cs="仿宋_GB2312"/>
          <w:sz w:val="32"/>
          <w:szCs w:val="32"/>
          <w:highlight w:val="none"/>
          <w:lang w:val="en-US" w:eastAsia="zh-CN"/>
        </w:rPr>
        <w:t>72.03</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，增长</w:t>
      </w:r>
      <w:r>
        <w:rPr>
          <w:rFonts w:hint="eastAsia" w:ascii="仿宋_GB2312" w:hAnsi="仿宋_GB2312" w:eastAsia="仿宋_GB2312" w:cs="仿宋_GB2312"/>
          <w:sz w:val="32"/>
          <w:szCs w:val="32"/>
          <w:highlight w:val="none"/>
          <w:lang w:val="en-US" w:eastAsia="zh-CN"/>
        </w:rPr>
        <w:t>4.5倍</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主要原因</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本年度新购入一辆公务用车</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因机构改革，茂县旅游执法局</w:t>
      </w:r>
      <w:r>
        <w:rPr>
          <w:rFonts w:hint="eastAsia" w:ascii="仿宋_GB2312" w:hAnsi="仿宋_GB2312" w:eastAsia="仿宋_GB2312" w:cs="仿宋_GB2312"/>
          <w:sz w:val="32"/>
          <w:szCs w:val="32"/>
          <w:highlight w:val="none"/>
          <w:lang w:eastAsia="zh-CN"/>
        </w:rPr>
        <w:t>合并至本单位，同时该单位的</w:t>
      </w:r>
      <w:r>
        <w:rPr>
          <w:rFonts w:hint="eastAsia" w:ascii="仿宋_GB2312" w:hAnsi="仿宋_GB2312" w:eastAsia="仿宋_GB2312" w:cs="仿宋_GB2312"/>
          <w:sz w:val="32"/>
          <w:szCs w:val="32"/>
          <w:highlight w:val="none"/>
        </w:rPr>
        <w:t>一辆公务用车</w:t>
      </w:r>
      <w:r>
        <w:rPr>
          <w:rFonts w:hint="eastAsia" w:ascii="仿宋_GB2312" w:hAnsi="仿宋_GB2312" w:eastAsia="仿宋_GB2312" w:cs="仿宋_GB2312"/>
          <w:sz w:val="32"/>
          <w:szCs w:val="32"/>
          <w:highlight w:val="none"/>
          <w:lang w:eastAsia="zh-CN"/>
        </w:rPr>
        <w:t>一并划入我单位，</w:t>
      </w:r>
      <w:r>
        <w:rPr>
          <w:rFonts w:hint="eastAsia" w:ascii="仿宋_GB2312" w:hAnsi="仿宋_GB2312" w:eastAsia="仿宋_GB2312" w:cs="仿宋_GB2312"/>
          <w:sz w:val="32"/>
          <w:szCs w:val="32"/>
          <w:highlight w:val="none"/>
        </w:rPr>
        <w:t>致本年度公务用车运行维护费增加。</w:t>
      </w:r>
    </w:p>
    <w:p>
      <w:pPr>
        <w:spacing w:line="600" w:lineRule="exact"/>
        <w:ind w:firstLine="640" w:firstLineChars="200"/>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其中</w:t>
      </w:r>
      <w:r>
        <w:rPr>
          <w:rFonts w:hint="eastAsia" w:ascii="仿宋_GB2312" w:eastAsia="仿宋_GB2312"/>
          <w:color w:val="000000"/>
          <w:sz w:val="32"/>
          <w:szCs w:val="32"/>
          <w:highlight w:val="none"/>
        </w:rPr>
        <w:t>：</w:t>
      </w:r>
      <w:r>
        <w:rPr>
          <w:rFonts w:hint="eastAsia" w:ascii="仿宋_GB2312" w:eastAsia="仿宋_GB2312"/>
          <w:b/>
          <w:color w:val="000000"/>
          <w:sz w:val="32"/>
          <w:szCs w:val="32"/>
          <w:highlight w:val="none"/>
        </w:rPr>
        <w:t>公务用车购置支出</w:t>
      </w:r>
      <w:r>
        <w:rPr>
          <w:rFonts w:hint="eastAsia" w:ascii="仿宋_GB2312" w:hAnsi="仿宋_GB2312" w:eastAsia="仿宋_GB2312" w:cs="仿宋_GB2312"/>
          <w:sz w:val="32"/>
          <w:szCs w:val="32"/>
          <w:highlight w:val="none"/>
          <w:lang w:val="en-US" w:eastAsia="zh-CN"/>
        </w:rPr>
        <w:t>65.18</w:t>
      </w:r>
      <w:r>
        <w:rPr>
          <w:rFonts w:hint="eastAsia" w:ascii="仿宋_GB2312" w:hAnsi="仿宋_GB2312" w:eastAsia="仿宋_GB2312" w:cs="仿宋_GB2312"/>
          <w:sz w:val="32"/>
          <w:szCs w:val="32"/>
          <w:highlight w:val="none"/>
        </w:rPr>
        <w:t>万元。全年按规定更新购置公务用车</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辆，金额</w:t>
      </w:r>
      <w:r>
        <w:rPr>
          <w:rFonts w:hint="eastAsia" w:ascii="仿宋_GB2312" w:hAnsi="仿宋_GB2312" w:eastAsia="仿宋_GB2312" w:cs="仿宋_GB2312"/>
          <w:sz w:val="32"/>
          <w:szCs w:val="32"/>
          <w:highlight w:val="none"/>
          <w:lang w:val="en-US" w:eastAsia="zh-CN"/>
        </w:rPr>
        <w:t>65.18</w:t>
      </w:r>
      <w:r>
        <w:rPr>
          <w:rFonts w:hint="eastAsia" w:ascii="仿宋_GB2312" w:hAnsi="仿宋_GB2312" w:eastAsia="仿宋_GB2312" w:cs="仿宋_GB2312"/>
          <w:sz w:val="32"/>
          <w:szCs w:val="32"/>
          <w:highlight w:val="none"/>
        </w:rPr>
        <w:t>元。截至20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年12月底，单位共有公务用车</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辆，其中：主要领导干部用车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lang w:eastAsia="zh-CN"/>
        </w:rPr>
        <w:t>。</w:t>
      </w:r>
    </w:p>
    <w:p>
      <w:pPr>
        <w:spacing w:line="600" w:lineRule="exact"/>
        <w:ind w:firstLine="640"/>
        <w:rPr>
          <w:rFonts w:hint="eastAsia" w:ascii="仿宋_GB2312" w:hAnsi="仿宋_GB2312" w:eastAsia="仿宋_GB2312" w:cs="仿宋_GB2312"/>
          <w:sz w:val="32"/>
          <w:szCs w:val="32"/>
          <w:highlight w:val="none"/>
        </w:rPr>
      </w:pPr>
      <w:r>
        <w:rPr>
          <w:rFonts w:hint="eastAsia" w:ascii="仿宋_GB2312" w:eastAsia="仿宋_GB2312"/>
          <w:b/>
          <w:color w:val="000000"/>
          <w:sz w:val="32"/>
          <w:szCs w:val="32"/>
          <w:highlight w:val="none"/>
        </w:rPr>
        <w:t>公务用车运行维护费支出</w:t>
      </w:r>
      <w:r>
        <w:rPr>
          <w:rFonts w:hint="eastAsia" w:ascii="仿宋_GB2312" w:hAnsi="仿宋_GB2312" w:eastAsia="仿宋_GB2312" w:cs="仿宋_GB2312"/>
          <w:sz w:val="32"/>
          <w:szCs w:val="32"/>
          <w:highlight w:val="none"/>
          <w:lang w:val="en-US" w:eastAsia="zh-CN"/>
        </w:rPr>
        <w:t>22.71</w:t>
      </w:r>
      <w:r>
        <w:rPr>
          <w:rFonts w:hint="eastAsia" w:ascii="仿宋_GB2312" w:hAnsi="仿宋_GB2312" w:eastAsia="仿宋_GB2312" w:cs="仿宋_GB2312"/>
          <w:sz w:val="32"/>
          <w:szCs w:val="32"/>
          <w:highlight w:val="none"/>
        </w:rPr>
        <w:t>万元。主要用于</w:t>
      </w:r>
      <w:r>
        <w:rPr>
          <w:rFonts w:hint="eastAsia" w:ascii="仿宋_GB2312" w:hAnsi="仿宋_GB2312" w:eastAsia="仿宋_GB2312" w:cs="仿宋_GB2312"/>
          <w:sz w:val="32"/>
          <w:szCs w:val="32"/>
          <w:highlight w:val="none"/>
          <w:lang w:eastAsia="zh-CN"/>
        </w:rPr>
        <w:t>基层党建工作、干部教育工作、干部考察工作、人才培养工作</w:t>
      </w:r>
      <w:r>
        <w:rPr>
          <w:rFonts w:hint="eastAsia" w:ascii="仿宋_GB2312" w:hAnsi="仿宋_GB2312" w:eastAsia="仿宋_GB2312" w:cs="仿宋_GB2312"/>
          <w:sz w:val="32"/>
          <w:szCs w:val="32"/>
          <w:highlight w:val="none"/>
        </w:rPr>
        <w:t>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_GB2312" w:eastAsia="仿宋_GB2312"/>
          <w:color w:val="000000"/>
          <w:sz w:val="32"/>
          <w:szCs w:val="32"/>
          <w:highlight w:val="none"/>
        </w:rPr>
      </w:pPr>
      <w:r>
        <w:rPr>
          <w:rFonts w:ascii="仿宋_GB2312" w:eastAsia="仿宋_GB2312"/>
          <w:b/>
          <w:color w:val="000000"/>
          <w:sz w:val="32"/>
          <w:szCs w:val="32"/>
          <w:highlight w:val="none"/>
        </w:rPr>
        <w:t>3.</w:t>
      </w:r>
      <w:r>
        <w:rPr>
          <w:rFonts w:hint="eastAsia" w:ascii="仿宋_GB2312" w:eastAsia="仿宋_GB2312"/>
          <w:b/>
          <w:color w:val="000000"/>
          <w:sz w:val="32"/>
          <w:szCs w:val="32"/>
          <w:highlight w:val="none"/>
        </w:rPr>
        <w:t>公务接待费支出</w:t>
      </w:r>
      <w:r>
        <w:rPr>
          <w:rFonts w:hint="eastAsia" w:ascii="仿宋_GB2312" w:hAnsi="仿宋_GB2312" w:eastAsia="仿宋_GB2312" w:cs="仿宋_GB2312"/>
          <w:sz w:val="32"/>
          <w:szCs w:val="32"/>
          <w:highlight w:val="none"/>
          <w:lang w:val="en-US" w:eastAsia="zh-CN"/>
        </w:rPr>
        <w:t>3.09</w:t>
      </w:r>
      <w:r>
        <w:rPr>
          <w:rFonts w:hint="eastAsia" w:ascii="仿宋_GB2312" w:hAnsi="仿宋_GB2312" w:eastAsia="仿宋_GB2312" w:cs="仿宋_GB2312"/>
          <w:sz w:val="32"/>
          <w:szCs w:val="32"/>
          <w:highlight w:val="none"/>
        </w:rPr>
        <w:t>万元，完成预算</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。公务接待费支出决算比201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年减少</w:t>
      </w:r>
      <w:r>
        <w:rPr>
          <w:rFonts w:hint="eastAsia" w:ascii="仿宋_GB2312" w:hAnsi="仿宋_GB2312" w:eastAsia="仿宋_GB2312" w:cs="仿宋_GB2312"/>
          <w:sz w:val="32"/>
          <w:szCs w:val="32"/>
          <w:highlight w:val="none"/>
          <w:lang w:val="en-US" w:eastAsia="zh-CN"/>
        </w:rPr>
        <w:t>0.07</w:t>
      </w:r>
      <w:r>
        <w:rPr>
          <w:rFonts w:hint="eastAsia" w:ascii="仿宋_GB2312" w:hAnsi="仿宋_GB2312" w:eastAsia="仿宋_GB2312" w:cs="仿宋_GB2312"/>
          <w:sz w:val="32"/>
          <w:szCs w:val="32"/>
          <w:highlight w:val="none"/>
        </w:rPr>
        <w:t>元，下降</w:t>
      </w:r>
      <w:r>
        <w:rPr>
          <w:rFonts w:hint="eastAsia" w:ascii="仿宋_GB2312" w:hAnsi="仿宋_GB2312" w:eastAsia="仿宋_GB2312" w:cs="仿宋_GB2312"/>
          <w:sz w:val="32"/>
          <w:szCs w:val="32"/>
          <w:highlight w:val="none"/>
          <w:lang w:val="en-US" w:eastAsia="zh-CN"/>
        </w:rPr>
        <w:t>2.22</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本年度实际接待次数及费用减少</w:t>
      </w:r>
      <w:r>
        <w:rPr>
          <w:rFonts w:hint="eastAsia" w:ascii="仿宋_GB2312" w:hAnsi="仿宋_GB2312" w:eastAsia="仿宋_GB2312" w:cs="仿宋_GB2312"/>
          <w:sz w:val="32"/>
          <w:szCs w:val="32"/>
          <w:highlight w:val="none"/>
        </w:rPr>
        <w:t>。</w:t>
      </w:r>
    </w:p>
    <w:p>
      <w:pPr>
        <w:spacing w:line="600" w:lineRule="exact"/>
        <w:ind w:firstLine="640"/>
        <w:rPr>
          <w:rFonts w:hint="eastAsia" w:ascii="仿宋_GB2312" w:eastAsia="仿宋_GB2312"/>
          <w:color w:val="000000"/>
          <w:sz w:val="32"/>
          <w:szCs w:val="32"/>
          <w:highlight w:val="none"/>
        </w:rPr>
      </w:pPr>
      <w:r>
        <w:rPr>
          <w:rFonts w:hint="eastAsia" w:ascii="仿宋" w:hAnsi="仿宋" w:eastAsia="仿宋"/>
          <w:b/>
          <w:color w:val="000000"/>
          <w:sz w:val="32"/>
          <w:szCs w:val="32"/>
          <w:highlight w:val="none"/>
        </w:rPr>
        <w:t>国内公务接待支出</w:t>
      </w:r>
      <w:r>
        <w:rPr>
          <w:rFonts w:hint="eastAsia" w:ascii="仿宋_GB2312" w:hAnsi="仿宋_GB2312" w:eastAsia="仿宋_GB2312" w:cs="仿宋_GB2312"/>
          <w:sz w:val="32"/>
          <w:szCs w:val="32"/>
          <w:highlight w:val="none"/>
          <w:lang w:val="en-US" w:eastAsia="zh-CN"/>
        </w:rPr>
        <w:t>3.09</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主要用于执行公务、开展业务活动开支的住宿费、用餐费等。国内公务接待</w:t>
      </w:r>
      <w:r>
        <w:rPr>
          <w:rFonts w:hint="eastAsia" w:ascii="仿宋_GB2312" w:hAnsi="仿宋_GB2312" w:eastAsia="仿宋_GB2312" w:cs="仿宋_GB2312"/>
          <w:sz w:val="32"/>
          <w:szCs w:val="32"/>
          <w:highlight w:val="none"/>
          <w:lang w:val="en-US" w:eastAsia="zh-CN"/>
        </w:rPr>
        <w:t>50</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310</w:t>
      </w:r>
      <w:r>
        <w:rPr>
          <w:rFonts w:hint="eastAsia" w:ascii="仿宋_GB2312" w:hAnsi="仿宋_GB2312" w:eastAsia="仿宋_GB2312" w:cs="仿宋_GB2312"/>
          <w:sz w:val="32"/>
          <w:szCs w:val="32"/>
          <w:highlight w:val="none"/>
        </w:rPr>
        <w:t>人次（不包括陪同人员），共计支出</w:t>
      </w:r>
      <w:r>
        <w:rPr>
          <w:rFonts w:hint="eastAsia" w:ascii="仿宋_GB2312" w:hAnsi="仿宋_GB2312" w:eastAsia="仿宋_GB2312" w:cs="仿宋_GB2312"/>
          <w:sz w:val="32"/>
          <w:szCs w:val="32"/>
          <w:highlight w:val="none"/>
          <w:lang w:val="en-US" w:eastAsia="zh-CN"/>
        </w:rPr>
        <w:t>3.09</w:t>
      </w:r>
      <w:r>
        <w:rPr>
          <w:rFonts w:hint="eastAsia" w:ascii="仿宋_GB2312" w:hAnsi="仿宋_GB2312" w:eastAsia="仿宋_GB2312" w:cs="仿宋_GB2312"/>
          <w:sz w:val="32"/>
          <w:szCs w:val="32"/>
          <w:highlight w:val="none"/>
        </w:rPr>
        <w:t>万元，具体内容包括：</w:t>
      </w:r>
      <w:r>
        <w:rPr>
          <w:rFonts w:hint="eastAsia" w:ascii="仿宋_GB2312" w:hAnsi="仿宋_GB2312" w:eastAsia="仿宋_GB2312" w:cs="仿宋_GB2312"/>
          <w:sz w:val="32"/>
          <w:szCs w:val="32"/>
          <w:highlight w:val="none"/>
          <w:lang w:eastAsia="zh-CN"/>
        </w:rPr>
        <w:t>县级领导班子结构运行情况调研、党建工作调</w:t>
      </w:r>
      <w:r>
        <w:rPr>
          <w:rFonts w:hint="eastAsia" w:ascii="仿宋_GB2312" w:eastAsia="仿宋_GB2312"/>
          <w:color w:val="000000"/>
          <w:sz w:val="32"/>
          <w:szCs w:val="32"/>
          <w:highlight w:val="none"/>
          <w:lang w:eastAsia="zh-CN"/>
        </w:rPr>
        <w:t>研、挂职干部期满考核、上级有关部门调研视察工作等。</w:t>
      </w:r>
    </w:p>
    <w:p>
      <w:pPr>
        <w:spacing w:line="600" w:lineRule="exact"/>
        <w:ind w:firstLine="643" w:firstLineChars="200"/>
        <w:rPr>
          <w:rFonts w:hint="eastAsia" w:ascii="仿宋_GB2312" w:hAnsi="仿宋_GB2312" w:eastAsia="仿宋_GB2312" w:cs="仿宋_GB2312"/>
          <w:sz w:val="32"/>
          <w:szCs w:val="32"/>
          <w:highlight w:val="none"/>
        </w:rPr>
      </w:pPr>
      <w:r>
        <w:rPr>
          <w:rFonts w:hint="eastAsia" w:ascii="仿宋" w:hAnsi="仿宋" w:eastAsia="仿宋"/>
          <w:b/>
          <w:color w:val="000000"/>
          <w:sz w:val="32"/>
          <w:szCs w:val="32"/>
          <w:highlight w:val="none"/>
        </w:rPr>
        <w:t>外事接待支出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万元，外事接待</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批次，</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人，共计支出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bookmarkStart w:id="245" w:name="_Toc15396610"/>
      <w:bookmarkStart w:id="246" w:name="_Toc15377218"/>
    </w:p>
    <w:p>
      <w:pPr>
        <w:spacing w:line="600" w:lineRule="exact"/>
        <w:ind w:firstLine="640"/>
        <w:outlineLvl w:val="1"/>
        <w:rPr>
          <w:rStyle w:val="28"/>
          <w:rFonts w:ascii="黑体" w:hAnsi="黑体" w:eastAsia="黑体"/>
          <w:highlight w:val="none"/>
        </w:rPr>
      </w:pPr>
      <w:bookmarkStart w:id="247" w:name="_Toc5852"/>
      <w:bookmarkStart w:id="248" w:name="_Toc15155"/>
      <w:bookmarkStart w:id="249" w:name="_Toc14142"/>
      <w:bookmarkStart w:id="250" w:name="_Toc20266"/>
      <w:bookmarkStart w:id="251" w:name="_Toc7178"/>
      <w:bookmarkStart w:id="252" w:name="_Toc11448"/>
      <w:bookmarkStart w:id="253" w:name="_Toc12684"/>
      <w:bookmarkStart w:id="254" w:name="_Toc19172"/>
      <w:bookmarkStart w:id="255" w:name="_Toc18431"/>
      <w:r>
        <w:rPr>
          <w:rFonts w:hint="eastAsia" w:ascii="黑体" w:eastAsia="黑体"/>
          <w:color w:val="000000"/>
          <w:sz w:val="32"/>
          <w:szCs w:val="32"/>
          <w:highlight w:val="none"/>
        </w:rPr>
        <w:t>八、</w:t>
      </w:r>
      <w:r>
        <w:rPr>
          <w:rStyle w:val="28"/>
          <w:rFonts w:hint="eastAsia" w:ascii="黑体" w:hAnsi="黑体" w:eastAsia="黑体"/>
          <w:b w:val="0"/>
          <w:highlight w:val="none"/>
        </w:rPr>
        <w:t>政府性基金预算支出决算情况说明</w:t>
      </w:r>
      <w:bookmarkEnd w:id="245"/>
      <w:bookmarkEnd w:id="246"/>
      <w:bookmarkEnd w:id="247"/>
      <w:bookmarkEnd w:id="248"/>
      <w:bookmarkEnd w:id="249"/>
      <w:bookmarkEnd w:id="250"/>
      <w:bookmarkEnd w:id="251"/>
      <w:bookmarkEnd w:id="252"/>
      <w:bookmarkEnd w:id="253"/>
      <w:bookmarkEnd w:id="254"/>
      <w:bookmarkEnd w:id="25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年政府性基金预算拨款支出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pPr>
        <w:numPr>
          <w:ilvl w:val="0"/>
          <w:numId w:val="3"/>
        </w:numPr>
        <w:spacing w:line="600" w:lineRule="exact"/>
        <w:ind w:firstLine="640"/>
        <w:outlineLvl w:val="1"/>
        <w:rPr>
          <w:rStyle w:val="28"/>
          <w:rFonts w:ascii="黑体" w:hAnsi="黑体" w:eastAsia="黑体"/>
          <w:b w:val="0"/>
          <w:highlight w:val="none"/>
        </w:rPr>
      </w:pPr>
      <w:bookmarkStart w:id="256" w:name="_Toc15396611"/>
      <w:bookmarkStart w:id="257" w:name="_Toc28242"/>
      <w:bookmarkStart w:id="258" w:name="_Toc3642"/>
      <w:bookmarkStart w:id="259" w:name="_Toc14108"/>
      <w:bookmarkStart w:id="260" w:name="_Toc7411"/>
      <w:bookmarkStart w:id="261" w:name="_Toc31340"/>
      <w:bookmarkStart w:id="262" w:name="_Toc8805"/>
      <w:bookmarkStart w:id="263" w:name="_Toc25951"/>
      <w:bookmarkStart w:id="264" w:name="_Toc16538"/>
      <w:bookmarkStart w:id="265" w:name="_Toc24090"/>
      <w:bookmarkStart w:id="266" w:name="_Toc15377219"/>
      <w:r>
        <w:rPr>
          <w:rStyle w:val="28"/>
          <w:rFonts w:hint="eastAsia" w:ascii="黑体" w:hAnsi="黑体" w:eastAsia="黑体"/>
          <w:b w:val="0"/>
          <w:highlight w:val="none"/>
        </w:rPr>
        <w:t>国有资本经营预算支出决算情况说明</w:t>
      </w:r>
      <w:bookmarkEnd w:id="256"/>
      <w:bookmarkEnd w:id="257"/>
      <w:bookmarkEnd w:id="258"/>
      <w:bookmarkEnd w:id="259"/>
      <w:bookmarkEnd w:id="260"/>
      <w:bookmarkEnd w:id="261"/>
      <w:bookmarkEnd w:id="262"/>
      <w:bookmarkEnd w:id="263"/>
      <w:bookmarkEnd w:id="264"/>
      <w:bookmarkEnd w:id="265"/>
      <w:bookmarkEnd w:id="26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年国有资本经营预算拨款支出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p>
    <w:p>
      <w:pPr>
        <w:numPr>
          <w:ilvl w:val="0"/>
          <w:numId w:val="3"/>
        </w:numPr>
        <w:spacing w:line="600" w:lineRule="exact"/>
        <w:ind w:left="0" w:leftChars="0" w:firstLine="640" w:firstLineChars="0"/>
        <w:outlineLvl w:val="1"/>
        <w:rPr>
          <w:rStyle w:val="28"/>
          <w:rFonts w:hint="eastAsia" w:ascii="黑体" w:hAnsi="黑体" w:eastAsia="黑体"/>
          <w:b w:val="0"/>
          <w:highlight w:val="none"/>
        </w:rPr>
      </w:pPr>
      <w:bookmarkStart w:id="267" w:name="_Toc13203"/>
      <w:bookmarkStart w:id="268" w:name="_Toc15377221"/>
      <w:bookmarkStart w:id="269" w:name="_Toc15396612"/>
      <w:bookmarkStart w:id="270" w:name="_Toc20500"/>
      <w:bookmarkStart w:id="271" w:name="_Toc14965"/>
      <w:bookmarkStart w:id="272" w:name="_Toc9410"/>
      <w:bookmarkStart w:id="273" w:name="_Toc9507"/>
      <w:bookmarkStart w:id="274" w:name="_Toc14260"/>
      <w:bookmarkStart w:id="275" w:name="_Toc19292"/>
      <w:bookmarkStart w:id="276" w:name="_Toc2939"/>
      <w:bookmarkStart w:id="277" w:name="_Toc26527"/>
      <w:r>
        <w:rPr>
          <w:rStyle w:val="28"/>
          <w:rFonts w:hint="eastAsia" w:ascii="黑体" w:hAnsi="黑体" w:eastAsia="黑体"/>
          <w:b w:val="0"/>
          <w:highlight w:val="none"/>
        </w:rPr>
        <w:t>其他重要事项的情况说明</w:t>
      </w:r>
      <w:bookmarkEnd w:id="267"/>
      <w:bookmarkEnd w:id="268"/>
      <w:bookmarkEnd w:id="269"/>
      <w:bookmarkEnd w:id="270"/>
      <w:bookmarkEnd w:id="271"/>
      <w:bookmarkEnd w:id="272"/>
      <w:bookmarkEnd w:id="273"/>
      <w:bookmarkEnd w:id="274"/>
      <w:bookmarkEnd w:id="275"/>
      <w:bookmarkEnd w:id="276"/>
      <w:bookmarkEnd w:id="277"/>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278" w:name="_Toc15377222"/>
      <w:bookmarkStart w:id="279" w:name="_Toc5923"/>
      <w:bookmarkStart w:id="280" w:name="_Toc6990"/>
      <w:bookmarkStart w:id="281" w:name="_Toc24947"/>
      <w:bookmarkStart w:id="282" w:name="_Toc12804"/>
      <w:bookmarkStart w:id="283" w:name="_Toc26961"/>
      <w:bookmarkStart w:id="284" w:name="_Toc6531"/>
      <w:bookmarkStart w:id="285" w:name="_Toc18683"/>
      <w:bookmarkStart w:id="286" w:name="_Toc7212"/>
      <w:r>
        <w:rPr>
          <w:rFonts w:hint="eastAsia" w:ascii="楷体_GB2312" w:hAnsi="楷体_GB2312" w:eastAsia="楷体_GB2312" w:cs="楷体_GB2312"/>
          <w:b/>
          <w:color w:val="000000"/>
          <w:sz w:val="32"/>
          <w:szCs w:val="32"/>
          <w:highlight w:val="none"/>
        </w:rPr>
        <w:t>（一）机关运行经费支出情况</w:t>
      </w:r>
      <w:bookmarkEnd w:id="278"/>
      <w:bookmarkEnd w:id="279"/>
      <w:bookmarkEnd w:id="280"/>
      <w:bookmarkEnd w:id="281"/>
      <w:bookmarkEnd w:id="282"/>
      <w:bookmarkEnd w:id="283"/>
      <w:bookmarkEnd w:id="284"/>
      <w:bookmarkEnd w:id="285"/>
      <w:bookmarkEnd w:id="28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行政单位</w:t>
      </w:r>
      <w:r>
        <w:rPr>
          <w:rFonts w:hint="eastAsia" w:ascii="仿宋_GB2312" w:hAnsi="仿宋_GB2312" w:eastAsia="仿宋_GB2312" w:cs="仿宋_GB2312"/>
          <w:sz w:val="32"/>
          <w:szCs w:val="32"/>
          <w:highlight w:val="none"/>
        </w:rPr>
        <w:t>机关运行经费支出</w:t>
      </w:r>
      <w:r>
        <w:rPr>
          <w:rFonts w:hint="eastAsia" w:ascii="仿宋_GB2312" w:hAnsi="仿宋_GB2312" w:eastAsia="仿宋_GB2312" w:cs="仿宋_GB2312"/>
          <w:sz w:val="32"/>
          <w:szCs w:val="32"/>
          <w:highlight w:val="none"/>
          <w:lang w:val="en-US" w:eastAsia="zh-CN"/>
        </w:rPr>
        <w:t>134.62</w:t>
      </w:r>
      <w:r>
        <w:rPr>
          <w:rFonts w:hint="eastAsia" w:ascii="仿宋_GB2312" w:hAnsi="仿宋_GB2312" w:eastAsia="仿宋_GB2312" w:cs="仿宋_GB2312"/>
          <w:sz w:val="32"/>
          <w:szCs w:val="32"/>
          <w:highlight w:val="none"/>
        </w:rPr>
        <w:t>万元，比201</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38.94</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下降</w:t>
      </w:r>
      <w:r>
        <w:rPr>
          <w:rFonts w:hint="eastAsia" w:ascii="仿宋_GB2312" w:hAnsi="仿宋_GB2312" w:eastAsia="仿宋_GB2312" w:cs="仿宋_GB2312"/>
          <w:sz w:val="32"/>
          <w:szCs w:val="32"/>
          <w:highlight w:val="none"/>
          <w:lang w:val="en-US" w:eastAsia="zh-CN"/>
        </w:rPr>
        <w:t>22.44%，</w:t>
      </w:r>
      <w:r>
        <w:rPr>
          <w:rFonts w:hint="eastAsia" w:ascii="仿宋_GB2312" w:hAnsi="仿宋_GB2312" w:eastAsia="仿宋_GB2312" w:cs="仿宋_GB2312"/>
          <w:sz w:val="32"/>
          <w:szCs w:val="32"/>
          <w:highlight w:val="none"/>
        </w:rPr>
        <w:t>主要原因是</w:t>
      </w:r>
      <w:r>
        <w:rPr>
          <w:rFonts w:hint="eastAsia" w:ascii="仿宋_GB2312" w:hAnsi="仿宋_GB2312" w:eastAsia="仿宋_GB2312" w:cs="仿宋_GB2312"/>
          <w:sz w:val="32"/>
          <w:szCs w:val="32"/>
          <w:highlight w:val="none"/>
          <w:lang w:eastAsia="zh-CN"/>
        </w:rPr>
        <w:t>我单位</w:t>
      </w:r>
      <w:r>
        <w:rPr>
          <w:rFonts w:hint="eastAsia" w:ascii="仿宋_GB2312" w:hAnsi="仿宋_GB2312" w:eastAsia="仿宋_GB2312" w:cs="仿宋_GB2312"/>
          <w:sz w:val="32"/>
          <w:szCs w:val="32"/>
          <w:highlight w:val="none"/>
          <w:lang w:val="en-US" w:eastAsia="zh-CN"/>
        </w:rPr>
        <w:t>2020年纳入预算的</w:t>
      </w:r>
      <w:r>
        <w:rPr>
          <w:rFonts w:hint="eastAsia" w:ascii="仿宋_GB2312" w:hAnsi="仿宋_GB2312" w:eastAsia="仿宋_GB2312" w:cs="仿宋_GB2312"/>
          <w:sz w:val="32"/>
          <w:szCs w:val="32"/>
          <w:highlight w:val="none"/>
          <w:lang w:eastAsia="zh-CN"/>
        </w:rPr>
        <w:t>日常组织经费减少。</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287" w:name="_Toc15377223"/>
      <w:bookmarkStart w:id="288" w:name="_Toc9164"/>
      <w:bookmarkStart w:id="289" w:name="_Toc7381"/>
      <w:bookmarkStart w:id="290" w:name="_Toc30773"/>
      <w:bookmarkStart w:id="291" w:name="_Toc2187"/>
      <w:bookmarkStart w:id="292" w:name="_Toc16940"/>
      <w:bookmarkStart w:id="293" w:name="_Toc24889"/>
      <w:bookmarkStart w:id="294" w:name="_Toc3983"/>
      <w:bookmarkStart w:id="295" w:name="_Toc11588"/>
      <w:r>
        <w:rPr>
          <w:rFonts w:hint="eastAsia" w:ascii="楷体_GB2312" w:hAnsi="楷体_GB2312" w:eastAsia="楷体_GB2312" w:cs="楷体_GB2312"/>
          <w:b/>
          <w:color w:val="000000"/>
          <w:sz w:val="32"/>
          <w:szCs w:val="32"/>
          <w:highlight w:val="none"/>
        </w:rPr>
        <w:t>（二）政府采购支出情况</w:t>
      </w:r>
      <w:bookmarkEnd w:id="287"/>
      <w:bookmarkEnd w:id="288"/>
      <w:bookmarkEnd w:id="289"/>
      <w:bookmarkEnd w:id="290"/>
      <w:bookmarkEnd w:id="291"/>
      <w:bookmarkEnd w:id="292"/>
      <w:bookmarkEnd w:id="293"/>
      <w:bookmarkEnd w:id="294"/>
      <w:bookmarkEnd w:id="29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我单位</w:t>
      </w:r>
      <w:r>
        <w:rPr>
          <w:rFonts w:hint="eastAsia" w:ascii="仿宋_GB2312" w:hAnsi="仿宋_GB2312" w:eastAsia="仿宋_GB2312" w:cs="仿宋_GB2312"/>
          <w:sz w:val="32"/>
          <w:szCs w:val="32"/>
          <w:highlight w:val="none"/>
        </w:rPr>
        <w:t>政府采购支出总额</w:t>
      </w:r>
      <w:r>
        <w:rPr>
          <w:rFonts w:hint="eastAsia" w:ascii="仿宋_GB2312" w:hAnsi="仿宋_GB2312" w:eastAsia="仿宋_GB2312" w:cs="仿宋_GB2312"/>
          <w:sz w:val="32"/>
          <w:szCs w:val="32"/>
          <w:highlight w:val="none"/>
          <w:lang w:val="en-US" w:eastAsia="zh-CN"/>
        </w:rPr>
        <w:t>59.88</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59.88</w:t>
      </w:r>
      <w:r>
        <w:rPr>
          <w:rFonts w:hint="eastAsia" w:ascii="仿宋_GB2312" w:hAnsi="仿宋_GB2312" w:eastAsia="仿宋_GB2312" w:cs="仿宋_GB2312"/>
          <w:sz w:val="32"/>
          <w:szCs w:val="32"/>
          <w:highlight w:val="none"/>
        </w:rPr>
        <w:t>万元、政府采购工程支出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296" w:name="_Toc15377224"/>
      <w:bookmarkStart w:id="297" w:name="_Toc323"/>
      <w:bookmarkStart w:id="298" w:name="_Toc22334"/>
      <w:bookmarkStart w:id="299" w:name="_Toc17626"/>
      <w:bookmarkStart w:id="300" w:name="_Toc10343"/>
      <w:bookmarkStart w:id="301" w:name="_Toc5939"/>
      <w:bookmarkStart w:id="302" w:name="_Toc22469"/>
      <w:bookmarkStart w:id="303" w:name="_Toc29130"/>
      <w:bookmarkStart w:id="304" w:name="_Toc26735"/>
      <w:r>
        <w:rPr>
          <w:rFonts w:hint="eastAsia" w:ascii="楷体_GB2312" w:hAnsi="楷体_GB2312" w:eastAsia="楷体_GB2312" w:cs="楷体_GB2312"/>
          <w:b/>
          <w:color w:val="000000"/>
          <w:sz w:val="32"/>
          <w:szCs w:val="32"/>
          <w:highlight w:val="none"/>
        </w:rPr>
        <w:t>（三）国有资产占有使用情况</w:t>
      </w:r>
      <w:bookmarkEnd w:id="296"/>
      <w:bookmarkEnd w:id="297"/>
      <w:bookmarkEnd w:id="298"/>
      <w:bookmarkEnd w:id="299"/>
      <w:bookmarkEnd w:id="300"/>
      <w:bookmarkEnd w:id="301"/>
      <w:bookmarkEnd w:id="302"/>
      <w:bookmarkEnd w:id="303"/>
      <w:bookmarkEnd w:id="304"/>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截至20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年12月31日，</w:t>
      </w:r>
      <w:r>
        <w:rPr>
          <w:rFonts w:hint="eastAsia" w:ascii="仿宋_GB2312" w:hAnsi="仿宋_GB2312" w:eastAsia="仿宋_GB2312" w:cs="仿宋_GB2312"/>
          <w:sz w:val="32"/>
          <w:szCs w:val="32"/>
          <w:highlight w:val="none"/>
          <w:lang w:eastAsia="zh-CN"/>
        </w:rPr>
        <w:t>我单位</w:t>
      </w:r>
      <w:r>
        <w:rPr>
          <w:rFonts w:hint="eastAsia" w:ascii="仿宋_GB2312" w:hAnsi="仿宋_GB2312" w:eastAsia="仿宋_GB2312" w:cs="仿宋_GB2312"/>
          <w:sz w:val="32"/>
          <w:szCs w:val="32"/>
          <w:highlight w:val="none"/>
        </w:rPr>
        <w:t>共有车辆</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辆，其中：主要领导干部用车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辆、机要通信用车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辆、应急保障用车</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辆、其他用车</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辆</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其他用车主要是用于</w:t>
      </w:r>
      <w:r>
        <w:rPr>
          <w:rFonts w:hint="eastAsia" w:ascii="仿宋_GB2312" w:hAnsi="仿宋_GB2312" w:eastAsia="仿宋_GB2312" w:cs="仿宋_GB2312"/>
          <w:sz w:val="32"/>
          <w:szCs w:val="32"/>
          <w:highlight w:val="none"/>
          <w:lang w:eastAsia="zh-CN"/>
        </w:rPr>
        <w:t>开展基层党建工作、干部教育工作、干部考察工作、人才培养工作</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单价50万元以上通用设备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台（套），单价100万元以上专用设备</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台（套）。</w:t>
      </w:r>
    </w:p>
    <w:p>
      <w:pPr>
        <w:keepNext w:val="0"/>
        <w:keepLines w:val="0"/>
        <w:pageBreakBefore w:val="0"/>
        <w:widowControl w:val="0"/>
        <w:kinsoku/>
        <w:wordWrap/>
        <w:overflowPunct/>
        <w:topLinePunct w:val="0"/>
        <w:bidi w:val="0"/>
        <w:snapToGrid/>
        <w:spacing w:line="576" w:lineRule="exact"/>
        <w:ind w:firstLine="643" w:firstLineChars="200"/>
        <w:textAlignment w:val="auto"/>
        <w:outlineLvl w:val="2"/>
        <w:rPr>
          <w:rFonts w:hint="eastAsia" w:ascii="楷体_GB2312" w:hAnsi="楷体_GB2312" w:eastAsia="楷体_GB2312" w:cs="楷体_GB2312"/>
          <w:b/>
          <w:color w:val="000000"/>
          <w:sz w:val="32"/>
          <w:szCs w:val="32"/>
          <w:highlight w:val="none"/>
        </w:rPr>
      </w:pPr>
      <w:bookmarkStart w:id="305" w:name="_Toc9151"/>
      <w:bookmarkStart w:id="306" w:name="_Toc10619"/>
      <w:bookmarkStart w:id="307" w:name="_Toc1500"/>
      <w:bookmarkStart w:id="308" w:name="_Toc19884"/>
      <w:bookmarkStart w:id="309" w:name="_Toc16196"/>
      <w:bookmarkStart w:id="310" w:name="_Toc7814"/>
      <w:bookmarkStart w:id="311" w:name="_Toc20389"/>
      <w:bookmarkStart w:id="312" w:name="_Toc15237"/>
      <w:r>
        <w:rPr>
          <w:rFonts w:hint="eastAsia" w:ascii="楷体_GB2312" w:hAnsi="楷体_GB2312" w:eastAsia="楷体_GB2312" w:cs="楷体_GB2312"/>
          <w:b/>
          <w:color w:val="000000"/>
          <w:sz w:val="32"/>
          <w:szCs w:val="32"/>
          <w:highlight w:val="none"/>
        </w:rPr>
        <w:t>（四）预算绩效管理情况</w:t>
      </w:r>
      <w:bookmarkEnd w:id="305"/>
      <w:bookmarkEnd w:id="306"/>
      <w:bookmarkEnd w:id="307"/>
      <w:bookmarkEnd w:id="308"/>
      <w:bookmarkEnd w:id="309"/>
      <w:bookmarkEnd w:id="310"/>
      <w:bookmarkEnd w:id="311"/>
      <w:bookmarkEnd w:id="31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根据预算绩效管理要求，本单位在预算编制阶段，组织对</w:t>
      </w:r>
      <w:r>
        <w:rPr>
          <w:rFonts w:hint="eastAsia" w:ascii="仿宋_GB2312" w:hAnsi="仿宋_GB2312" w:eastAsia="仿宋_GB2312" w:cs="仿宋_GB2312"/>
          <w:sz w:val="32"/>
          <w:szCs w:val="32"/>
          <w:highlight w:val="none"/>
          <w:lang w:val="en-US" w:eastAsia="zh-CN"/>
        </w:rPr>
        <w:t>“新春走访慰问骨干人才及援藏干部人才经费”、</w:t>
      </w:r>
      <w:r>
        <w:rPr>
          <w:rFonts w:hint="eastAsia" w:ascii="仿宋_GB2312" w:hAnsi="仿宋_GB2312" w:eastAsia="仿宋_GB2312" w:cs="仿宋_GB2312"/>
          <w:sz w:val="32"/>
          <w:szCs w:val="32"/>
          <w:highlight w:val="none"/>
          <w:lang w:eastAsia="zh-CN"/>
        </w:rPr>
        <w:t>“东西部扶贫协作和对口支援第一批项目资金（茂县党政干部)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东西部扶贫协作和对口支援第二批项目资金（茂县党员干部培训）</w:t>
      </w:r>
      <w:r>
        <w:rPr>
          <w:rFonts w:hint="eastAsia" w:ascii="仿宋_GB2312" w:hAnsi="仿宋_GB2312" w:eastAsia="仿宋_GB2312" w:cs="仿宋_GB2312"/>
          <w:sz w:val="32"/>
          <w:szCs w:val="32"/>
          <w:highlight w:val="none"/>
          <w:lang w:eastAsia="zh-CN"/>
        </w:rPr>
        <w:t>”、“全县三老干部生活补助”、“春节慰问离退休干部职工经费”</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个项目开展了预算事前绩效评估，</w:t>
      </w:r>
      <w:r>
        <w:rPr>
          <w:rFonts w:hint="eastAsia" w:ascii="仿宋_GB2312" w:hAnsi="仿宋_GB2312" w:eastAsia="仿宋_GB2312" w:cs="仿宋_GB2312"/>
          <w:sz w:val="32"/>
          <w:szCs w:val="32"/>
          <w:highlight w:val="none"/>
          <w:lang w:eastAsia="zh-CN"/>
        </w:rPr>
        <w:t>对</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个项目开展绩效监控，年终执行完毕后，对</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个项目开展了绩效目标完成情况自评。</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本部门按要求对</w:t>
      </w:r>
      <w:r>
        <w:rPr>
          <w:rFonts w:hint="eastAsia" w:ascii="仿宋_GB2312" w:hAnsi="仿宋_GB2312" w:eastAsia="仿宋_GB2312" w:cs="仿宋_GB2312"/>
          <w:sz w:val="32"/>
          <w:szCs w:val="32"/>
          <w:highlight w:val="none"/>
          <w:lang w:val="en-US" w:eastAsia="zh-CN"/>
        </w:rPr>
        <w:t>2020</w:t>
      </w:r>
      <w:r>
        <w:rPr>
          <w:rFonts w:hint="eastAsia" w:ascii="仿宋_GB2312" w:hAnsi="仿宋_GB2312" w:eastAsia="仿宋_GB2312" w:cs="仿宋_GB2312"/>
          <w:sz w:val="32"/>
          <w:szCs w:val="32"/>
          <w:highlight w:val="none"/>
        </w:rPr>
        <w:t>年部门整体支出开展绩效自评，从评价情况来看</w:t>
      </w:r>
      <w:r>
        <w:rPr>
          <w:rFonts w:hint="eastAsia" w:ascii="仿宋_GB2312" w:hAnsi="仿宋_GB2312" w:eastAsia="仿宋_GB2312" w:cs="仿宋_GB2312"/>
          <w:sz w:val="32"/>
          <w:szCs w:val="32"/>
          <w:highlight w:val="none"/>
          <w:lang w:eastAsia="zh-CN"/>
        </w:rPr>
        <w:t>我单位整体支出绩效评价自查自评结果良好，全年基本支出保障了部门的支出运行和日常工作的正常开展，项目支出保障了重点工作的开展，绩效目标得到较好实现，绩效管理水平不断提高，绩效指标体系逐渐丰富和完善</w:t>
      </w:r>
      <w:r>
        <w:rPr>
          <w:rFonts w:hint="eastAsia" w:ascii="仿宋_GB2312" w:hAnsi="仿宋_GB2312" w:eastAsia="仿宋_GB2312" w:cs="仿宋_GB2312"/>
          <w:sz w:val="32"/>
          <w:szCs w:val="32"/>
          <w:highlight w:val="none"/>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本部门</w:t>
      </w:r>
      <w:r>
        <w:rPr>
          <w:rFonts w:hint="eastAsia" w:ascii="仿宋_GB2312" w:hAnsi="仿宋_GB2312" w:eastAsia="仿宋_GB2312" w:cs="仿宋_GB2312"/>
          <w:sz w:val="32"/>
          <w:szCs w:val="32"/>
          <w:highlight w:val="none"/>
          <w:lang w:eastAsia="zh-CN"/>
        </w:rPr>
        <w:t>还</w:t>
      </w:r>
      <w:r>
        <w:rPr>
          <w:rFonts w:hint="eastAsia" w:ascii="仿宋_GB2312" w:hAnsi="仿宋_GB2312" w:eastAsia="仿宋_GB2312" w:cs="仿宋_GB2312"/>
          <w:sz w:val="32"/>
          <w:szCs w:val="32"/>
          <w:highlight w:val="none"/>
        </w:rPr>
        <w:t>组织了</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个项目支出绩效评价，从评价情况来看</w:t>
      </w:r>
      <w:r>
        <w:rPr>
          <w:rFonts w:hint="eastAsia" w:ascii="仿宋_GB2312" w:hAnsi="仿宋_GB2312" w:eastAsia="仿宋_GB2312" w:cs="仿宋_GB2312"/>
          <w:sz w:val="32"/>
          <w:szCs w:val="32"/>
          <w:highlight w:val="none"/>
          <w:lang w:eastAsia="zh-CN"/>
        </w:rPr>
        <w:t>项目支出保障了重点工作的顺利开展，绩效目标得到较好实现，绩效管理水平不断提高。</w:t>
      </w:r>
    </w:p>
    <w:p>
      <w:pPr>
        <w:numPr>
          <w:ilvl w:val="0"/>
          <w:numId w:val="4"/>
        </w:numPr>
        <w:spacing w:line="580" w:lineRule="exact"/>
        <w:ind w:firstLine="640" w:firstLineChars="200"/>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项目绩效目标完成情况</w:t>
      </w:r>
      <w:r>
        <w:rPr>
          <w:rFonts w:hint="eastAsia" w:ascii="楷体_GB2312" w:hAnsi="楷体_GB2312" w:eastAsia="楷体_GB2312" w:cs="楷体_GB2312"/>
          <w:sz w:val="32"/>
          <w:szCs w:val="32"/>
          <w:highlight w:val="none"/>
        </w:rPr>
        <w:br w:type="textWrapping"/>
      </w:r>
      <w:r>
        <w:rPr>
          <w:rFonts w:hint="eastAsia" w:ascii="仿宋_GB2312" w:hAnsi="仿宋_GB2312" w:eastAsia="仿宋_GB2312" w:cs="仿宋_GB2312"/>
          <w:sz w:val="32"/>
          <w:szCs w:val="32"/>
          <w:highlight w:val="none"/>
        </w:rPr>
        <w:t xml:space="preserve">    本部门在20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年度部门决算中反映</w:t>
      </w:r>
      <w:r>
        <w:rPr>
          <w:rFonts w:hint="eastAsia" w:ascii="仿宋_GB2312" w:hAnsi="仿宋_GB2312" w:eastAsia="仿宋_GB2312" w:cs="仿宋_GB2312"/>
          <w:sz w:val="32"/>
          <w:szCs w:val="32"/>
          <w:highlight w:val="none"/>
          <w:lang w:val="en-US" w:eastAsia="zh-CN"/>
        </w:rPr>
        <w:t>“新春走访慰问骨干人才及援藏干部人才经费”、</w:t>
      </w:r>
      <w:r>
        <w:rPr>
          <w:rFonts w:hint="eastAsia" w:ascii="仿宋_GB2312" w:hAnsi="仿宋_GB2312" w:eastAsia="仿宋_GB2312" w:cs="仿宋_GB2312"/>
          <w:sz w:val="32"/>
          <w:szCs w:val="32"/>
          <w:highlight w:val="none"/>
          <w:lang w:eastAsia="zh-CN"/>
        </w:rPr>
        <w:t>“东西部扶贫协作和对口支援第一批项目资金（茂县党政干部)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东西部扶贫协作和对口支援第二批项目资金（茂县党员干部培训）</w:t>
      </w:r>
      <w:r>
        <w:rPr>
          <w:rFonts w:hint="eastAsia" w:ascii="仿宋_GB2312" w:hAnsi="仿宋_GB2312" w:eastAsia="仿宋_GB2312" w:cs="仿宋_GB2312"/>
          <w:sz w:val="32"/>
          <w:szCs w:val="32"/>
          <w:highlight w:val="none"/>
          <w:lang w:eastAsia="zh-CN"/>
        </w:rPr>
        <w:t>”、“全县三老干部生活补助”、“春节慰问离退休干部职工经费”</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个项目绩效目标实际完成情况。</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（1）“新春走访慰问骨干人才及援藏干部人才经费”</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7.5万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7.5万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加强了对骨干人才及援藏干部的关心慰问，为茂县“五地一中心”建设提高了人才支撑和智力支持；为茂县专业技术骨干人才获得先进地区学习经验搭建了平台，茂县未来的发展做出贡献。</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“东西部扶贫协作和对口支援第一批项目资金（茂县党政干部)”</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100万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99.53万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99.53</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增加了茂县党政干部赴沿海发达地区学习交流的机会，提高了茂县党政干部执政能力水平，增强了党政干部人才的业务能力，为更好的服务于茂县奠定了基础。</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东西部扶贫协作和对口支援第二批项目资金（茂县党员干部培训</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项目</w:t>
      </w:r>
      <w:r>
        <w:rPr>
          <w:rFonts w:hint="eastAsia" w:ascii="仿宋_GB2312" w:hAnsi="仿宋_GB2312" w:eastAsia="仿宋_GB2312" w:cs="仿宋_GB2312"/>
          <w:sz w:val="32"/>
          <w:szCs w:val="32"/>
          <w:highlight w:val="none"/>
        </w:rPr>
        <w:t>绩效目标完成情况综述。项目全年预算数</w:t>
      </w:r>
      <w:r>
        <w:rPr>
          <w:rFonts w:hint="eastAsia" w:ascii="仿宋_GB2312" w:hAnsi="仿宋_GB2312" w:eastAsia="仿宋_GB2312" w:cs="仿宋_GB2312"/>
          <w:sz w:val="32"/>
          <w:szCs w:val="32"/>
          <w:highlight w:val="none"/>
          <w:lang w:val="en-US" w:eastAsia="zh-CN"/>
        </w:rPr>
        <w:t>142万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130.80万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92.11</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增加了茂县党员干部赴州外发达地区学习交流的机会，通过多种形式的学习交流，提高了党员干部的理论水平，理论联系实际，学用结合，知行统一，不断提高党员干部实践能力和创新能力，为茂县“五地一中心”建设做出贡献。</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全县三老干部生活补助</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34.88万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34.88万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100</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保障了全县三老干部生活待遇，提高了三老干部的满意度和幸福度。</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5)“春节慰问离退休干部职工经费”</w:t>
      </w:r>
      <w:r>
        <w:rPr>
          <w:rFonts w:hint="eastAsia" w:ascii="仿宋_GB2312" w:hAnsi="仿宋_GB2312" w:eastAsia="仿宋_GB2312" w:cs="仿宋_GB2312"/>
          <w:sz w:val="32"/>
          <w:szCs w:val="32"/>
          <w:highlight w:val="none"/>
        </w:rPr>
        <w:t>项目绩效目标完成情况综述。项目全年预算数</w:t>
      </w:r>
      <w:r>
        <w:rPr>
          <w:rFonts w:hint="eastAsia" w:ascii="仿宋_GB2312" w:hAnsi="仿宋_GB2312" w:eastAsia="仿宋_GB2312" w:cs="仿宋_GB2312"/>
          <w:sz w:val="32"/>
          <w:szCs w:val="32"/>
          <w:highlight w:val="none"/>
          <w:lang w:val="en-US" w:eastAsia="zh-CN"/>
        </w:rPr>
        <w:t>150.60万</w:t>
      </w:r>
      <w:r>
        <w:rPr>
          <w:rFonts w:hint="eastAsia" w:ascii="仿宋_GB2312" w:hAnsi="仿宋_GB2312" w:eastAsia="仿宋_GB2312" w:cs="仿宋_GB2312"/>
          <w:sz w:val="32"/>
          <w:szCs w:val="32"/>
          <w:highlight w:val="none"/>
        </w:rPr>
        <w:t>元，执行数为</w:t>
      </w:r>
      <w:r>
        <w:rPr>
          <w:rFonts w:hint="eastAsia" w:ascii="仿宋_GB2312" w:hAnsi="仿宋_GB2312" w:eastAsia="仿宋_GB2312" w:cs="仿宋_GB2312"/>
          <w:sz w:val="32"/>
          <w:szCs w:val="32"/>
          <w:highlight w:val="none"/>
          <w:lang w:val="en-US" w:eastAsia="zh-CN"/>
        </w:rPr>
        <w:t>132.69万</w:t>
      </w:r>
      <w:r>
        <w:rPr>
          <w:rFonts w:hint="eastAsia" w:ascii="仿宋_GB2312" w:hAnsi="仿宋_GB2312" w:eastAsia="仿宋_GB2312" w:cs="仿宋_GB2312"/>
          <w:sz w:val="32"/>
          <w:szCs w:val="32"/>
          <w:highlight w:val="none"/>
        </w:rPr>
        <w:t>元，完成预算的</w:t>
      </w:r>
      <w:r>
        <w:rPr>
          <w:rFonts w:hint="eastAsia" w:ascii="仿宋_GB2312" w:hAnsi="仿宋_GB2312" w:eastAsia="仿宋_GB2312" w:cs="仿宋_GB2312"/>
          <w:sz w:val="32"/>
          <w:szCs w:val="32"/>
          <w:highlight w:val="none"/>
          <w:lang w:val="en-US" w:eastAsia="zh-CN"/>
        </w:rPr>
        <w:t>88.11</w:t>
      </w:r>
      <w:r>
        <w:rPr>
          <w:rFonts w:hint="eastAsia" w:ascii="仿宋_GB2312" w:hAnsi="仿宋_GB2312" w:eastAsia="仿宋_GB2312" w:cs="仿宋_GB2312"/>
          <w:sz w:val="32"/>
          <w:szCs w:val="32"/>
          <w:highlight w:val="none"/>
        </w:rPr>
        <w:t>%。通过项目实施，</w:t>
      </w:r>
      <w:r>
        <w:rPr>
          <w:rFonts w:hint="eastAsia" w:ascii="仿宋_GB2312" w:hAnsi="仿宋_GB2312" w:eastAsia="仿宋_GB2312" w:cs="仿宋_GB2312"/>
          <w:sz w:val="32"/>
          <w:szCs w:val="32"/>
          <w:highlight w:val="none"/>
          <w:lang w:eastAsia="zh-CN"/>
        </w:rPr>
        <w:t>保障了离退休干部的政治和生活待遇，提高了离退休干部的满意度和幸福度。</w:t>
      </w: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000000"/>
                <w:kern w:val="0"/>
                <w:sz w:val="36"/>
                <w:szCs w:val="36"/>
              </w:rPr>
            </w:pPr>
          </w:p>
          <w:p>
            <w:pPr>
              <w:widowControl/>
              <w:jc w:val="center"/>
              <w:textAlignment w:val="center"/>
              <w:rPr>
                <w:rFonts w:hint="eastAsia"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新春走访慰问骨干人才及援藏干部人才经费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87"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7.5万元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7.5万元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通过</w:t>
            </w:r>
            <w:r>
              <w:rPr>
                <w:rFonts w:hint="eastAsia" w:ascii="宋体" w:hAnsi="宋体" w:cs="宋体"/>
                <w:color w:val="000000"/>
                <w:kern w:val="0"/>
                <w:sz w:val="24"/>
                <w:lang w:eastAsia="zh-CN"/>
              </w:rPr>
              <w:t>该项目开展为骨干人才及援藏干部给予关心慰问，为茂县“五地一中心”建设提高人才支撑和智力支持；为茂县专业技术骨干人才获得先进地区学习经验搭建平台。</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eastAsia="zh-CN"/>
              </w:rPr>
              <w:t>通过项目实施，加强了对骨干人才及援藏干部的关心慰问，为茂县“五地一中心”建设提高了人才支撑和智力支持；为茂县专业技术骨干人才获得先进地区学习经验搭建了平台，为茂县未来的发展做出贡献。</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骨干人才及援藏干部人才</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数余名骨干人才及援藏干部人才到我县援助挂职</w:t>
            </w:r>
            <w:r>
              <w:rPr>
                <w:rFonts w:hint="eastAsia" w:ascii="宋体" w:hAns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数余名骨干人才及援藏干部人才到我县援助挂职，</w:t>
            </w:r>
            <w:r>
              <w:rPr>
                <w:rFonts w:hint="eastAsia" w:ascii="宋体" w:hAnsi="宋体" w:cs="宋体"/>
                <w:color w:val="000000"/>
                <w:kern w:val="0"/>
                <w:sz w:val="24"/>
                <w:lang w:eastAsia="zh-CN"/>
              </w:rPr>
              <w:t>为茂县未来的发展做出贡献。</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2020年2月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2020年2月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加强了对骨干人才及援藏干部的关心慰问，为茂县“五地一中心”建设提高了人才支撑和智力支持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eastAsia="zh-CN"/>
              </w:rPr>
              <w:t>通过项目实施，加强了对骨干人才及援藏干部的关心慰问，为茂县“五地一中心”建设提高了人才支撑和智力支持；为茂县未来的发展做出贡献。</w:t>
            </w:r>
          </w:p>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r>
    </w:tbl>
    <w:p>
      <w:pPr>
        <w:pStyle w:val="2"/>
        <w:ind w:left="0" w:leftChars="0" w:firstLine="0" w:firstLineChars="0"/>
        <w:rPr>
          <w:lang w:val="en-US" w:eastAsia="zh-CN"/>
        </w:rPr>
      </w:pP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589"/>
        <w:gridCol w:w="2197"/>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lang w:eastAsia="zh-CN"/>
              </w:rPr>
              <w:t>东西部扶贫协作和对口支援第一批项目资金（茂县党政干部)</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100万元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99.53万元</w:t>
            </w:r>
          </w:p>
        </w:tc>
      </w:tr>
      <w:tr>
        <w:tblPrEx>
          <w:tblCellMar>
            <w:top w:w="0" w:type="dxa"/>
            <w:left w:w="0" w:type="dxa"/>
            <w:bottom w:w="0" w:type="dxa"/>
            <w:right w:w="0" w:type="dxa"/>
          </w:tblCellMar>
        </w:tblPrEx>
        <w:trPr>
          <w:trHeight w:val="302"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100万元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99.53万元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为茂县党政干部提供赴沿海发达地区学习交流的机会，提高了茂县党政干部执政能力水平。</w:t>
            </w:r>
          </w:p>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通过项目实施，增加了茂县党政干部赴沿海发达地区学习交流的机会，提高了茂县党政干部执政能力水平，增强了党政干部人才的业务能力和水平，为更好的服务于茂县奠定了基础。</w:t>
            </w:r>
          </w:p>
          <w:p>
            <w:pPr>
              <w:pageBreakBefore w:val="0"/>
              <w:widowControl/>
              <w:kinsoku/>
              <w:wordWrap/>
              <w:overflowPunct/>
              <w:topLinePunct w:val="0"/>
              <w:bidi w:val="0"/>
              <w:jc w:val="center"/>
              <w:textAlignment w:val="center"/>
              <w:rPr>
                <w:rFonts w:hint="eastAsia" w:ascii="宋体" w:hAnsi="宋体" w:cs="宋体"/>
                <w:color w:val="000000"/>
                <w:sz w:val="24"/>
                <w:lang w:eastAsia="zh-CN"/>
              </w:rPr>
            </w:pP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227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ind w:firstLine="720" w:firstLineChars="300"/>
              <w:jc w:val="both"/>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培训数量</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w:t>
            </w:r>
            <w:r>
              <w:rPr>
                <w:rFonts w:hint="eastAsia" w:ascii="宋体" w:hAnsi="宋体" w:cs="宋体"/>
                <w:color w:val="000000"/>
                <w:sz w:val="24"/>
                <w:lang w:val="en-US" w:eastAsia="zh-CN"/>
              </w:rPr>
              <w:t>全县数百名党政干部</w:t>
            </w:r>
            <w:r>
              <w:rPr>
                <w:rFonts w:hint="eastAsia" w:ascii="宋体" w:hAnsi="宋体" w:cs="宋体"/>
                <w:color w:val="000000"/>
                <w:sz w:val="24"/>
                <w:lang w:eastAsia="zh-CN"/>
              </w:rPr>
              <w:t>提供培训资金保障。</w:t>
            </w:r>
          </w:p>
          <w:p>
            <w:pPr>
              <w:pageBreakBefore w:val="0"/>
              <w:widowControl/>
              <w:kinsoku/>
              <w:wordWrap/>
              <w:overflowPunct/>
              <w:topLinePunct w:val="0"/>
              <w:bidi w:val="0"/>
              <w:jc w:val="center"/>
              <w:textAlignment w:val="center"/>
              <w:rPr>
                <w:rFonts w:hint="eastAsia" w:ascii="宋体" w:hAnsi="宋体" w:cs="宋体"/>
                <w:color w:val="000000"/>
                <w:sz w:val="24"/>
                <w:lang w:eastAsia="zh-CN"/>
              </w:rPr>
            </w:pP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sz w:val="24"/>
                <w:lang w:eastAsia="zh-CN"/>
              </w:rPr>
              <w:t>增加了茂县党政干部赴沿海发达地区学习交流的机会，提高了茂县党政干部执政能力水平，增强了党政干部人才的业务能力和水平，为更好的服务于茂县奠定了基础。</w:t>
            </w:r>
          </w:p>
        </w:tc>
      </w:tr>
      <w:tr>
        <w:tblPrEx>
          <w:tblCellMar>
            <w:top w:w="0" w:type="dxa"/>
            <w:left w:w="0" w:type="dxa"/>
            <w:bottom w:w="0" w:type="dxa"/>
            <w:right w:w="0" w:type="dxa"/>
          </w:tblCellMar>
        </w:tblPrEx>
        <w:trPr>
          <w:trHeight w:val="731"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2020年11月</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2020年11月</w:t>
            </w:r>
          </w:p>
        </w:tc>
      </w:tr>
      <w:tr>
        <w:tblPrEx>
          <w:tblCellMar>
            <w:top w:w="0" w:type="dxa"/>
            <w:left w:w="0" w:type="dxa"/>
            <w:bottom w:w="0" w:type="dxa"/>
            <w:right w:w="0" w:type="dxa"/>
          </w:tblCellMar>
        </w:tblPrEx>
        <w:trPr>
          <w:trHeight w:val="1896"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w:t>
            </w:r>
            <w:r>
              <w:rPr>
                <w:rFonts w:hint="eastAsia" w:ascii="宋体" w:hAnsi="宋体" w:cs="宋体"/>
                <w:color w:val="000000"/>
                <w:sz w:val="24"/>
                <w:lang w:val="en-US" w:eastAsia="zh-CN"/>
              </w:rPr>
              <w:t>全县数百名党政干部</w:t>
            </w:r>
            <w:r>
              <w:rPr>
                <w:rFonts w:hint="eastAsia" w:ascii="宋体" w:hAnsi="宋体" w:cs="宋体"/>
                <w:color w:val="000000"/>
                <w:sz w:val="24"/>
                <w:lang w:eastAsia="zh-CN"/>
              </w:rPr>
              <w:t>提供了培训资金保障。</w:t>
            </w:r>
          </w:p>
          <w:p>
            <w:pPr>
              <w:pageBreakBefore w:val="0"/>
              <w:widowControl/>
              <w:kinsoku/>
              <w:wordWrap/>
              <w:overflowPunct/>
              <w:topLinePunct w:val="0"/>
              <w:bidi w:val="0"/>
              <w:jc w:val="center"/>
              <w:textAlignment w:val="center"/>
              <w:rPr>
                <w:rFonts w:hint="eastAsia" w:ascii="宋体" w:hAnsi="宋体" w:cs="宋体"/>
                <w:color w:val="000000"/>
                <w:sz w:val="24"/>
                <w:lang w:eastAsia="zh-CN"/>
              </w:rPr>
            </w:pPr>
          </w:p>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sz w:val="24"/>
                <w:lang w:eastAsia="zh-CN"/>
              </w:rPr>
              <w:t>提高了茂县党政干部执政能力水平，增强了党政干部人才的业务能力和水平，完成了预算的</w:t>
            </w:r>
            <w:r>
              <w:rPr>
                <w:rFonts w:hint="eastAsia" w:ascii="宋体" w:hAnsi="宋体" w:cs="宋体"/>
                <w:color w:val="000000"/>
                <w:sz w:val="24"/>
                <w:lang w:val="en-US" w:eastAsia="zh-CN"/>
              </w:rPr>
              <w:t>99.53%。</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99%</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rPr>
              <w:t>东西部扶贫协作和对口支援第二批项目资金（茂县党员干部培训</w:t>
            </w:r>
            <w:r>
              <w:rPr>
                <w:rFonts w:hint="eastAsia" w:ascii="宋体" w:hAnsi="宋体" w:cs="宋体"/>
                <w:color w:val="000000"/>
                <w:kern w:val="0"/>
                <w:sz w:val="24"/>
                <w:lang w:eastAsia="zh-CN"/>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142万元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130.80万元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142万元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130.80万元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eastAsia="zh-CN"/>
              </w:rPr>
              <w:t>通过项目实施，增加茂县党员干部赴州外发达地区学习交流的机会，通过多种形式的学习交流，提高了党员干部的理论水平，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通过项目实施增加了茂县党员干部赴州外发达地区学习交流的机会，通过多种形式的学习交流，提高了党员干部的理论水平，理论联系实际，学用结合，知行统一，不断提高党员干部实践能力和创新能力，为茂县“五地一中心”建设做出贡献。</w:t>
            </w:r>
          </w:p>
          <w:p>
            <w:pPr>
              <w:widowControl/>
              <w:jc w:val="both"/>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外派培训人数</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选派</w:t>
            </w:r>
            <w:r>
              <w:rPr>
                <w:rFonts w:hint="eastAsia" w:ascii="宋体" w:hAnsi="宋体" w:cs="宋体"/>
                <w:color w:val="000000"/>
                <w:sz w:val="24"/>
                <w:lang w:val="en-US" w:eastAsia="zh-CN"/>
              </w:rPr>
              <w:t>百余名党员干部培训学习</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通过项目实施增加了茂县党员干部赴州外发达地区学习交流的机会，不断提高党员干部实践能力和创新能力，为茂县“五地一中心”建设做出贡献。</w:t>
            </w:r>
            <w:r>
              <w:rPr>
                <w:rFonts w:hint="eastAsia" w:ascii="宋体" w:hAnsi="宋体" w:cs="宋体"/>
                <w:color w:val="000000"/>
                <w:sz w:val="24"/>
                <w:lang w:eastAsia="zh-CN"/>
              </w:rPr>
              <w:t>完成了预算的</w:t>
            </w:r>
            <w:r>
              <w:rPr>
                <w:rFonts w:hint="eastAsia" w:ascii="宋体" w:hAnsi="宋体" w:cs="宋体"/>
                <w:color w:val="000000"/>
                <w:sz w:val="24"/>
                <w:lang w:val="en-US" w:eastAsia="zh-CN"/>
              </w:rPr>
              <w:t>92.11%</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2020年12月</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2020年12月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取得成效</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通过多种形式的学习交流，提高了党员干部的理论水平，理论联系实际，学用结合。</w:t>
            </w:r>
          </w:p>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sz w:val="24"/>
                <w:lang w:val="en-US" w:eastAsia="zh-CN"/>
              </w:rPr>
            </w:pPr>
            <w:r>
              <w:rPr>
                <w:rFonts w:hint="eastAsia" w:ascii="宋体" w:hAnsi="宋体" w:cs="宋体"/>
                <w:color w:val="000000"/>
                <w:sz w:val="24"/>
                <w:lang w:val="en-US" w:eastAsia="zh-CN"/>
              </w:rPr>
              <w:t>通过多种形式的学习交流，学用结合，知行统一，不断提高党员干部实践能力和创新能力，为茂县“五地一中心”建设做出贡献。</w:t>
            </w:r>
          </w:p>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全县三老干部生活补助</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34.88万元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34.88万元</w:t>
            </w:r>
          </w:p>
        </w:tc>
      </w:tr>
      <w:tr>
        <w:tblPrEx>
          <w:tblCellMar>
            <w:top w:w="0" w:type="dxa"/>
            <w:left w:w="0" w:type="dxa"/>
            <w:bottom w:w="0" w:type="dxa"/>
            <w:right w:w="0" w:type="dxa"/>
          </w:tblCellMar>
        </w:tblPrEx>
        <w:trPr>
          <w:trHeight w:val="267"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34.88万元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34.88万元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Chars="0"/>
              <w:jc w:val="both"/>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通过项目实施，保障了全县三老干部生活待遇，提高了三老干部的满意度和幸福度。</w:t>
            </w:r>
          </w:p>
          <w:p>
            <w:pPr>
              <w:widowControl/>
              <w:numPr>
                <w:ilvl w:val="0"/>
                <w:numId w:val="0"/>
              </w:numPr>
              <w:ind w:leftChars="0"/>
              <w:jc w:val="both"/>
              <w:textAlignment w:val="center"/>
              <w:rPr>
                <w:rFonts w:hint="eastAsia" w:ascii="宋体" w:hAnsi="宋体" w:cs="宋体"/>
                <w:color w:val="000000"/>
                <w:kern w:val="0"/>
                <w:sz w:val="24"/>
                <w:lang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cs="宋体"/>
                <w:color w:val="000000"/>
                <w:kern w:val="0"/>
                <w:sz w:val="24"/>
                <w:lang w:eastAsia="zh-CN"/>
              </w:rPr>
            </w:pPr>
            <w:r>
              <w:rPr>
                <w:rFonts w:hint="eastAsia" w:ascii="宋体" w:hAnsi="宋体" w:cs="宋体"/>
                <w:color w:val="000000"/>
                <w:kern w:val="0"/>
                <w:sz w:val="24"/>
                <w:lang w:eastAsia="zh-CN"/>
              </w:rPr>
              <w:t>完成预算的</w:t>
            </w:r>
            <w:r>
              <w:rPr>
                <w:rFonts w:hint="eastAsia" w:ascii="宋体" w:hAnsi="宋体" w:cs="宋体"/>
                <w:color w:val="000000"/>
                <w:kern w:val="0"/>
                <w:sz w:val="24"/>
                <w:lang w:val="en-US" w:eastAsia="zh-CN"/>
              </w:rPr>
              <w:t>100</w:t>
            </w:r>
            <w:r>
              <w:rPr>
                <w:rFonts w:hint="eastAsia" w:ascii="宋体" w:hAnsi="宋体" w:cs="宋体"/>
                <w:color w:val="000000"/>
                <w:kern w:val="0"/>
                <w:sz w:val="24"/>
                <w:lang w:eastAsia="zh-CN"/>
              </w:rPr>
              <w:t>%。通过项目实施，保障了全县三老干部生活待遇，提高了三老干部的满意度和幸福感。</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慰问人数</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预期慰问人数为全县三老干部，为了</w:t>
            </w:r>
            <w:r>
              <w:rPr>
                <w:rFonts w:hint="eastAsia" w:ascii="宋体" w:hAnsi="宋体" w:cs="宋体"/>
                <w:color w:val="000000"/>
                <w:kern w:val="0"/>
                <w:sz w:val="24"/>
                <w:lang w:eastAsia="zh-CN"/>
              </w:rPr>
              <w:t>保障退休干部的政治和生活待遇。</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慰问全县三老干部，</w:t>
            </w:r>
            <w:r>
              <w:rPr>
                <w:rFonts w:hint="eastAsia" w:ascii="宋体" w:hAnsi="宋体" w:cs="宋体"/>
                <w:color w:val="000000"/>
                <w:kern w:val="0"/>
                <w:sz w:val="24"/>
                <w:lang w:eastAsia="zh-CN"/>
              </w:rPr>
              <w:t>保障了退休干部的政治和生活待遇。</w:t>
            </w:r>
          </w:p>
        </w:tc>
      </w:tr>
      <w:tr>
        <w:tblPrEx>
          <w:tblCellMar>
            <w:top w:w="0" w:type="dxa"/>
            <w:left w:w="0" w:type="dxa"/>
            <w:bottom w:w="0" w:type="dxa"/>
            <w:right w:w="0" w:type="dxa"/>
          </w:tblCellMar>
        </w:tblPrEx>
        <w:trPr>
          <w:trHeight w:val="1238"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2021年2月</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2021年2月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项目全年预算数</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项目全年预算数</w:t>
            </w:r>
            <w:r>
              <w:rPr>
                <w:rFonts w:hint="eastAsia" w:ascii="宋体" w:hAnsi="宋体" w:cs="宋体"/>
                <w:color w:val="000000"/>
                <w:kern w:val="0"/>
                <w:sz w:val="24"/>
                <w:lang w:val="en-US" w:eastAsia="zh-CN"/>
              </w:rPr>
              <w:t>348800元，</w:t>
            </w:r>
            <w:r>
              <w:rPr>
                <w:rFonts w:hint="eastAsia" w:ascii="宋体" w:hAnsi="宋体" w:cs="宋体"/>
                <w:color w:val="000000"/>
                <w:kern w:val="0"/>
                <w:sz w:val="24"/>
                <w:lang w:eastAsia="zh-CN"/>
              </w:rPr>
              <w:t>通过项目实施，保障了离退休干部的政治和生活待遇，提高三老干部的满意度和幸福度。</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执行数为</w:t>
            </w:r>
            <w:r>
              <w:rPr>
                <w:rFonts w:hint="eastAsia" w:ascii="宋体" w:hAnsi="宋体" w:cs="宋体"/>
                <w:color w:val="000000"/>
                <w:kern w:val="0"/>
                <w:sz w:val="24"/>
                <w:lang w:val="en-US" w:eastAsia="zh-CN"/>
              </w:rPr>
              <w:t>348800</w:t>
            </w:r>
            <w:r>
              <w:rPr>
                <w:rFonts w:hint="eastAsia" w:ascii="宋体" w:hAnsi="宋体" w:cs="宋体"/>
                <w:color w:val="000000"/>
                <w:kern w:val="0"/>
                <w:sz w:val="24"/>
                <w:lang w:eastAsia="zh-CN"/>
              </w:rPr>
              <w:t>元，完成预算的</w:t>
            </w:r>
            <w:r>
              <w:rPr>
                <w:rFonts w:hint="eastAsia" w:ascii="宋体" w:hAnsi="宋体" w:cs="宋体"/>
                <w:color w:val="000000"/>
                <w:kern w:val="0"/>
                <w:sz w:val="24"/>
                <w:lang w:val="en-US" w:eastAsia="zh-CN"/>
              </w:rPr>
              <w:t>100</w:t>
            </w:r>
            <w:r>
              <w:rPr>
                <w:rFonts w:hint="eastAsia" w:ascii="宋体" w:hAnsi="宋体" w:cs="宋体"/>
                <w:color w:val="000000"/>
                <w:kern w:val="0"/>
                <w:sz w:val="24"/>
                <w:lang w:eastAsia="zh-CN"/>
              </w:rPr>
              <w:t>%。通过项目实施，保障了三老干部的政治和生活待遇，提高了三老干部的满意度和幸福度。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春节慰问离退休干部职工经费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中共茂县县委组织部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150.60万元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132.69万元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150.60万元</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132.69万元</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0" w:firstLineChars="0"/>
              <w:jc w:val="both"/>
              <w:textAlignment w:val="center"/>
              <w:rPr>
                <w:rFonts w:ascii="宋体" w:hAnsi="宋体" w:cs="宋体"/>
                <w:color w:val="000000"/>
                <w:sz w:val="24"/>
              </w:rPr>
            </w:pPr>
            <w:r>
              <w:rPr>
                <w:rFonts w:hint="eastAsia" w:ascii="宋体" w:hAnsi="宋体" w:cs="宋体"/>
                <w:color w:val="000000"/>
                <w:kern w:val="0"/>
                <w:sz w:val="24"/>
                <w:lang w:eastAsia="zh-CN"/>
              </w:rPr>
              <w:t>项目全年预算</w:t>
            </w:r>
            <w:r>
              <w:rPr>
                <w:rFonts w:hint="eastAsia" w:ascii="宋体" w:hAnsi="宋体" w:cs="宋体"/>
                <w:color w:val="000000"/>
                <w:kern w:val="0"/>
                <w:sz w:val="24"/>
                <w:lang w:val="en-US" w:eastAsia="zh-CN"/>
              </w:rPr>
              <w:t>150.60万</w:t>
            </w:r>
            <w:r>
              <w:rPr>
                <w:rFonts w:hint="eastAsia" w:ascii="宋体" w:hAnsi="宋体" w:cs="宋体"/>
                <w:color w:val="000000"/>
                <w:kern w:val="0"/>
                <w:sz w:val="24"/>
                <w:lang w:eastAsia="zh-CN"/>
              </w:rPr>
              <w:t>元，通过项目实施，保障退休干部的政治和生活待遇，提高离退休干部的满意度和幸福度。</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eastAsia="zh-CN"/>
              </w:rPr>
              <w:t>执行数为</w:t>
            </w:r>
            <w:r>
              <w:rPr>
                <w:rFonts w:hint="eastAsia" w:ascii="宋体" w:hAnsi="宋体" w:cs="宋体"/>
                <w:color w:val="000000"/>
                <w:kern w:val="0"/>
                <w:sz w:val="24"/>
                <w:lang w:val="en-US" w:eastAsia="zh-CN"/>
              </w:rPr>
              <w:t>132.69万</w:t>
            </w:r>
            <w:r>
              <w:rPr>
                <w:rFonts w:hint="eastAsia" w:ascii="宋体" w:hAnsi="宋体" w:cs="宋体"/>
                <w:color w:val="000000"/>
                <w:kern w:val="0"/>
                <w:sz w:val="24"/>
                <w:lang w:eastAsia="zh-CN"/>
              </w:rPr>
              <w:t>元，完成预算的</w:t>
            </w:r>
            <w:r>
              <w:rPr>
                <w:rFonts w:hint="eastAsia" w:ascii="宋体" w:hAnsi="宋体" w:cs="宋体"/>
                <w:color w:val="000000"/>
                <w:kern w:val="0"/>
                <w:sz w:val="24"/>
                <w:lang w:val="en-US" w:eastAsia="zh-CN"/>
              </w:rPr>
              <w:t>88.11</w:t>
            </w:r>
            <w:r>
              <w:rPr>
                <w:rFonts w:hint="eastAsia" w:ascii="宋体" w:hAnsi="宋体" w:cs="宋体"/>
                <w:color w:val="000000"/>
                <w:kern w:val="0"/>
                <w:sz w:val="24"/>
                <w:lang w:eastAsia="zh-CN"/>
              </w:rPr>
              <w:t>%。通过项目实施，保障了退休干部的政治和生活待遇，提高了离退休干部的满意度和幸福度。</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慰问人数</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预期慰问全县离退休干部职工，</w:t>
            </w:r>
            <w:r>
              <w:rPr>
                <w:rFonts w:hint="eastAsia" w:ascii="宋体" w:hAnsi="宋体" w:cs="宋体"/>
                <w:color w:val="000000"/>
                <w:kern w:val="0"/>
                <w:sz w:val="24"/>
                <w:lang w:eastAsia="zh-CN"/>
              </w:rPr>
              <w:t>保障退休干部的政治和生活待遇。</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2"/>
                <w:sz w:val="24"/>
                <w:szCs w:val="24"/>
                <w:lang w:val="en-US" w:eastAsia="zh-CN" w:bidi="ar-SA"/>
              </w:rPr>
              <w:t>慰问人数几百余人，</w:t>
            </w:r>
            <w:r>
              <w:rPr>
                <w:rFonts w:hint="eastAsia" w:ascii="宋体" w:hAnsi="宋体" w:cs="宋体"/>
                <w:color w:val="000000"/>
                <w:kern w:val="0"/>
                <w:sz w:val="24"/>
                <w:lang w:eastAsia="zh-CN"/>
              </w:rPr>
              <w:t>保障了退休干部的政治和生活待遇。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完成时间</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2021年2月</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2021年2月</w:t>
            </w:r>
          </w:p>
        </w:tc>
      </w:tr>
      <w:tr>
        <w:tblPrEx>
          <w:tblCellMar>
            <w:top w:w="0" w:type="dxa"/>
            <w:left w:w="0" w:type="dxa"/>
            <w:bottom w:w="0" w:type="dxa"/>
            <w:right w:w="0" w:type="dxa"/>
          </w:tblCellMar>
        </w:tblPrEx>
        <w:trPr>
          <w:trHeight w:val="2249"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sz w:val="24"/>
              </w:rPr>
            </w:pPr>
            <w:r>
              <w:rPr>
                <w:rFonts w:hint="eastAsia" w:ascii="宋体" w:hAnsi="宋体" w:cs="宋体"/>
                <w:color w:val="000000"/>
                <w:kern w:val="0"/>
                <w:sz w:val="24"/>
                <w:lang w:eastAsia="zh-CN"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项目全年预算数</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项目全年预算</w:t>
            </w:r>
            <w:r>
              <w:rPr>
                <w:rFonts w:hint="eastAsia" w:ascii="宋体" w:hAnsi="宋体" w:cs="宋体"/>
                <w:color w:val="000000"/>
                <w:kern w:val="0"/>
                <w:sz w:val="24"/>
                <w:lang w:val="en-US" w:eastAsia="zh-CN"/>
              </w:rPr>
              <w:t>150.6万元，</w:t>
            </w:r>
            <w:r>
              <w:rPr>
                <w:rFonts w:hint="eastAsia" w:ascii="宋体" w:hAnsi="宋体" w:cs="宋体"/>
                <w:color w:val="000000"/>
                <w:kern w:val="0"/>
                <w:sz w:val="24"/>
                <w:lang w:eastAsia="zh-CN"/>
              </w:rPr>
              <w:t>通过项目实施，保障退休干部的政治和生活待遇，提高离退休干部的满意度和幸福度。</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left"/>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rPr>
              <w:t>完成预算的</w:t>
            </w:r>
            <w:r>
              <w:rPr>
                <w:rFonts w:hint="eastAsia" w:ascii="宋体" w:hAnsi="宋体" w:cs="宋体"/>
                <w:color w:val="000000"/>
                <w:kern w:val="0"/>
                <w:sz w:val="24"/>
                <w:lang w:val="en-US" w:eastAsia="zh-CN"/>
              </w:rPr>
              <w:t>88.11</w:t>
            </w:r>
            <w:r>
              <w:rPr>
                <w:rFonts w:hint="eastAsia" w:ascii="宋体" w:hAnsi="宋体" w:cs="宋体"/>
                <w:color w:val="000000"/>
                <w:kern w:val="0"/>
                <w:sz w:val="24"/>
                <w:lang w:eastAsia="zh-CN"/>
              </w:rPr>
              <w:t>%。通过项目实施，保障了退休干部的政治和生活待遇，提高了离退休干部的满意度和幸福度。</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cs="宋体"/>
                <w:color w:val="000000"/>
                <w:kern w:val="0"/>
                <w:sz w:val="24"/>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eastAsia" w:ascii="宋体" w:hAnsi="宋体" w:cs="宋体"/>
                <w:color w:val="000000"/>
                <w:kern w:val="0"/>
                <w:sz w:val="24"/>
                <w:lang w:eastAsia="zh-CN" w:bidi="ar"/>
              </w:rPr>
              <w:t>满意度</w:t>
            </w:r>
            <w:r>
              <w:rPr>
                <w:rFonts w:hint="eastAsia" w:ascii="宋体" w:hAnsi="宋体" w:cs="宋体"/>
                <w:color w:val="000000"/>
                <w:kern w:val="0"/>
                <w:sz w:val="24"/>
                <w:lang w:bidi="ar"/>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eastAsia="zh-CN"/>
              </w:rPr>
              <w:t>工作满意度</w:t>
            </w:r>
          </w:p>
        </w:tc>
        <w:tc>
          <w:tcPr>
            <w:tcW w:w="258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hint="default"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c>
          <w:tcPr>
            <w:tcW w:w="21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jc w:val="center"/>
              <w:textAlignment w:val="center"/>
              <w:rPr>
                <w:rFonts w:ascii="宋体" w:hAnsi="宋体" w:eastAsia="宋体" w:cs="宋体"/>
                <w:color w:val="000000"/>
                <w:kern w:val="2"/>
                <w:sz w:val="24"/>
                <w:szCs w:val="24"/>
                <w:lang w:val="en-US" w:eastAsia="zh-CN" w:bidi="ar-SA"/>
              </w:rPr>
            </w:pPr>
            <w:r>
              <w:rPr>
                <w:rFonts w:hint="default" w:ascii="Arial" w:hAnsi="Arial" w:cs="Arial"/>
                <w:color w:val="000000"/>
                <w:sz w:val="24"/>
                <w:lang w:val="en-US" w:eastAsia="zh-CN"/>
              </w:rPr>
              <w:t>≥</w:t>
            </w:r>
            <w:r>
              <w:rPr>
                <w:rFonts w:hint="eastAsia" w:ascii="宋体" w:hAnsi="宋体" w:cs="宋体"/>
                <w:color w:val="000000"/>
                <w:sz w:val="24"/>
                <w:lang w:val="en-US" w:eastAsia="zh-CN"/>
              </w:rPr>
              <w:t>100%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本部门按要求对20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年部门整体支出绩效评价情况开展自评，《中共茂县县委组织部20</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年部门整体支出绩效评价报告》见附件</w:t>
      </w:r>
      <w:r>
        <w:rPr>
          <w:rFonts w:hint="eastAsia" w:ascii="仿宋_GB2312" w:hAnsi="仿宋_GB2312" w:eastAsia="仿宋_GB2312" w:cs="仿宋_GB2312"/>
          <w:sz w:val="32"/>
          <w:szCs w:val="32"/>
          <w:highlight w:val="none"/>
          <w:lang w:eastAsia="zh-CN"/>
        </w:rPr>
        <w:t>。</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pPr>
        <w:numPr>
          <w:ilvl w:val="0"/>
          <w:numId w:val="5"/>
        </w:numPr>
        <w:spacing w:line="600" w:lineRule="exact"/>
        <w:ind w:firstLine="660" w:firstLineChars="150"/>
        <w:jc w:val="center"/>
        <w:outlineLvl w:val="0"/>
        <w:rPr>
          <w:rStyle w:val="27"/>
          <w:rFonts w:ascii="黑体" w:hAnsi="黑体" w:eastAsia="黑体"/>
          <w:b w:val="0"/>
        </w:rPr>
      </w:pPr>
      <w:bookmarkStart w:id="313" w:name="_Toc1200"/>
      <w:bookmarkStart w:id="314" w:name="_Toc29987"/>
      <w:bookmarkStart w:id="315" w:name="_Toc246"/>
      <w:bookmarkStart w:id="316" w:name="_Toc20674"/>
      <w:bookmarkStart w:id="317" w:name="_Toc16337"/>
      <w:bookmarkStart w:id="318" w:name="_Toc13063"/>
      <w:bookmarkStart w:id="319" w:name="_Toc19028"/>
      <w:bookmarkStart w:id="320" w:name="_Toc15396613"/>
      <w:bookmarkStart w:id="321" w:name="_Toc16832"/>
      <w:bookmarkStart w:id="322" w:name="_Toc31767"/>
      <w:bookmarkStart w:id="323"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313"/>
      <w:bookmarkEnd w:id="314"/>
      <w:bookmarkEnd w:id="315"/>
      <w:bookmarkEnd w:id="316"/>
      <w:bookmarkEnd w:id="317"/>
      <w:bookmarkEnd w:id="318"/>
      <w:bookmarkEnd w:id="319"/>
      <w:bookmarkEnd w:id="320"/>
      <w:bookmarkEnd w:id="321"/>
      <w:bookmarkEnd w:id="322"/>
      <w:bookmarkEnd w:id="323"/>
    </w:p>
    <w:p>
      <w:pPr>
        <w:spacing w:line="600" w:lineRule="exact"/>
        <w:jc w:val="left"/>
        <w:rPr>
          <w:rFonts w:ascii="宋体"/>
          <w:b/>
          <w:color w:val="000000"/>
          <w:sz w:val="44"/>
          <w:szCs w:val="44"/>
        </w:rPr>
      </w:pPr>
    </w:p>
    <w:p>
      <w:pPr>
        <w:pStyle w:val="25"/>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组织事务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用于保障机构正常运行、开展日常工作的基本支出。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组织事务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其他组织事务支出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部门用于开展干部人才培训、挂职等工作的支出</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highlight w:val="none"/>
        </w:rPr>
      </w:pPr>
      <w:r>
        <w:rPr>
          <w:rFonts w:hint="eastAsia" w:ascii="仿宋_GB2312" w:eastAsia="仿宋_GB2312"/>
          <w:color w:val="000000"/>
          <w:sz w:val="32"/>
          <w:szCs w:val="32"/>
          <w:highlight w:val="none"/>
          <w:lang w:val="en-US" w:eastAsia="zh-CN"/>
        </w:rPr>
        <w:t>6.</w:t>
      </w:r>
      <w:r>
        <w:rPr>
          <w:rFonts w:hint="eastAsia" w:ascii="仿宋_GB2312" w:eastAsia="仿宋_GB2312"/>
          <w:color w:val="000000"/>
          <w:sz w:val="32"/>
          <w:szCs w:val="32"/>
          <w:highlight w:val="none"/>
          <w:lang w:eastAsia="zh-CN"/>
        </w:rPr>
        <w:t>其他支出</w:t>
      </w:r>
      <w:r>
        <w:rPr>
          <w:rFonts w:hint="eastAsia" w:ascii="仿宋_GB2312" w:eastAsia="仿宋_GB2312"/>
          <w:color w:val="000000"/>
          <w:sz w:val="32"/>
          <w:szCs w:val="32"/>
          <w:highlight w:val="none"/>
        </w:rPr>
        <w:t>（类）</w:t>
      </w:r>
      <w:r>
        <w:rPr>
          <w:rFonts w:hint="eastAsia" w:ascii="仿宋_GB2312" w:eastAsia="仿宋_GB2312"/>
          <w:color w:val="000000"/>
          <w:sz w:val="32"/>
          <w:szCs w:val="32"/>
          <w:highlight w:val="none"/>
          <w:lang w:eastAsia="zh-CN"/>
        </w:rPr>
        <w:t>其他支出</w:t>
      </w:r>
      <w:r>
        <w:rPr>
          <w:rFonts w:hint="eastAsia" w:ascii="仿宋_GB2312" w:eastAsia="仿宋_GB2312"/>
          <w:color w:val="000000"/>
          <w:sz w:val="32"/>
          <w:szCs w:val="32"/>
          <w:highlight w:val="none"/>
        </w:rPr>
        <w:t>（款）</w:t>
      </w:r>
      <w:r>
        <w:rPr>
          <w:rFonts w:hint="eastAsia" w:ascii="仿宋_GB2312" w:eastAsia="仿宋_GB2312"/>
          <w:color w:val="000000"/>
          <w:sz w:val="32"/>
          <w:szCs w:val="32"/>
          <w:highlight w:val="none"/>
          <w:lang w:eastAsia="zh-CN"/>
        </w:rPr>
        <w:t>其他支出</w:t>
      </w:r>
      <w:r>
        <w:rPr>
          <w:rFonts w:hint="eastAsia" w:ascii="仿宋_GB2312" w:eastAsia="仿宋_GB2312"/>
          <w:color w:val="000000"/>
          <w:sz w:val="32"/>
          <w:szCs w:val="32"/>
          <w:highlight w:val="none"/>
        </w:rPr>
        <w:t>（项）：指</w:t>
      </w:r>
      <w:r>
        <w:rPr>
          <w:rFonts w:hint="eastAsia" w:ascii="仿宋_GB2312" w:eastAsia="仿宋_GB2312"/>
          <w:color w:val="000000"/>
          <w:sz w:val="32"/>
          <w:szCs w:val="32"/>
          <w:highlight w:val="none"/>
          <w:lang w:eastAsia="zh-CN"/>
        </w:rPr>
        <w:t>针对全县三老干部生活补助经费</w:t>
      </w:r>
      <w:r>
        <w:rPr>
          <w:rFonts w:hint="eastAsia" w:ascii="仿宋_GB2312" w:eastAsia="仿宋_GB2312"/>
          <w:color w:val="000000"/>
          <w:sz w:val="32"/>
          <w:szCs w:val="32"/>
          <w:highlight w:val="none"/>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部门实施养 老保险制度由单位缴纳的养老保险费的支出</w:t>
      </w:r>
      <w:r>
        <w:rPr>
          <w:rFonts w:hint="eastAsia" w:ascii="仿宋_GB2312" w:eastAsia="仿宋_GB2312"/>
          <w:color w:val="000000"/>
          <w:sz w:val="32"/>
          <w:szCs w:val="32"/>
        </w:rPr>
        <w:t>。</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rPr>
        <w:t>（项）：指部门实施养老保险制度由单位缴纳的职业年金的支出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部门</w:t>
      </w:r>
      <w:r>
        <w:rPr>
          <w:rFonts w:hint="eastAsia" w:ascii="仿宋_GB2312" w:eastAsia="仿宋_GB2312"/>
          <w:color w:val="000000"/>
          <w:sz w:val="32"/>
          <w:szCs w:val="32"/>
        </w:rPr>
        <w:t>用于缴 纳单位基本医疗保险支出。</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（项）：指行政事业单位按规定为职工缴纳的住房公积金。</w:t>
      </w:r>
    </w:p>
    <w:p>
      <w:pPr>
        <w:keepNext w:val="0"/>
        <w:keepLines w:val="0"/>
        <w:pageBreakBefore w:val="0"/>
        <w:widowControl w:val="0"/>
        <w:kinsoku/>
        <w:wordWrap/>
        <w:overflowPunct/>
        <w:topLinePunct w:val="0"/>
        <w:bidi w:val="0"/>
        <w:snapToGrid/>
        <w:spacing w:line="576" w:lineRule="exact"/>
        <w:ind w:firstLine="640" w:firstLineChars="200"/>
        <w:textAlignment w:val="auto"/>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购房补贴</w:t>
      </w:r>
      <w:r>
        <w:rPr>
          <w:rFonts w:hint="eastAsia" w:ascii="仿宋_GB2312" w:eastAsia="仿宋_GB2312"/>
          <w:color w:val="000000"/>
          <w:sz w:val="32"/>
          <w:szCs w:val="32"/>
        </w:rPr>
        <w:t>（项）：指根据</w:t>
      </w:r>
      <w:r>
        <w:rPr>
          <w:rFonts w:hint="eastAsia" w:ascii="仿宋_GB2312" w:eastAsia="仿宋_GB2312"/>
          <w:color w:val="000000"/>
          <w:sz w:val="32"/>
          <w:szCs w:val="32"/>
          <w:lang w:eastAsia="zh-CN"/>
        </w:rPr>
        <w:t>退休</w:t>
      </w:r>
      <w:r>
        <w:rPr>
          <w:rFonts w:hint="eastAsia" w:ascii="仿宋_GB2312" w:eastAsia="仿宋_GB2312"/>
          <w:color w:val="000000"/>
          <w:sz w:val="32"/>
          <w:szCs w:val="32"/>
        </w:rPr>
        <w:t>政策规定的标准，向符合条件</w:t>
      </w:r>
      <w:r>
        <w:rPr>
          <w:rFonts w:hint="eastAsia" w:ascii="仿宋_GB2312" w:eastAsia="仿宋_GB2312"/>
          <w:color w:val="000000"/>
          <w:sz w:val="32"/>
          <w:szCs w:val="32"/>
          <w:lang w:eastAsia="zh-CN"/>
        </w:rPr>
        <w:t>的退休</w:t>
      </w:r>
      <w:r>
        <w:rPr>
          <w:rFonts w:hint="eastAsia" w:ascii="仿宋_GB2312" w:eastAsia="仿宋_GB2312"/>
          <w:color w:val="000000"/>
          <w:sz w:val="32"/>
          <w:szCs w:val="32"/>
        </w:rPr>
        <w:t>职工发放的用于购买住房的补贴。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_GB2312"/>
          <w:b/>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主要是</w:t>
      </w:r>
      <w:r>
        <w:rPr>
          <w:rFonts w:hint="eastAsia" w:ascii="仿宋_GB2312" w:eastAsia="仿宋_GB2312"/>
          <w:color w:val="000000"/>
          <w:sz w:val="32"/>
          <w:szCs w:val="32"/>
        </w:rPr>
        <w:t>东西部扶贫协作和对口支援</w:t>
      </w:r>
      <w:r>
        <w:rPr>
          <w:rFonts w:hint="eastAsia" w:ascii="仿宋_GB2312" w:eastAsia="仿宋_GB2312"/>
          <w:color w:val="000000"/>
          <w:sz w:val="32"/>
          <w:szCs w:val="32"/>
          <w:lang w:eastAsia="zh-CN"/>
        </w:rPr>
        <w:t>资金用于干部人才建设、羌山党旗红示范带建设等。</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w:t>
      </w:r>
      <w:r>
        <w:rPr>
          <w:rFonts w:hint="eastAsia" w:ascii="仿宋_GB2312" w:hAnsi="仿宋_GB2312" w:eastAsia="仿宋_GB2312" w:cs="仿宋_GB2312"/>
          <w:sz w:val="32"/>
          <w:szCs w:val="32"/>
          <w:highlight w:val="none"/>
        </w:rPr>
        <w:t>障机构正常运转、完成日常工作任务而发生的人员支出和公用支</w:t>
      </w:r>
      <w:r>
        <w:rPr>
          <w:rFonts w:hint="eastAsia" w:ascii="仿宋_GB2312" w:eastAsia="仿宋_GB2312"/>
          <w:color w:val="000000"/>
          <w:sz w:val="32"/>
          <w:szCs w:val="32"/>
        </w:rPr>
        <w:t>出。</w:t>
      </w:r>
    </w:p>
    <w:p>
      <w:pPr>
        <w:pageBreakBefore w:val="0"/>
        <w:kinsoku/>
        <w:wordWrap/>
        <w:overflowPunct/>
        <w:topLinePunct w:val="0"/>
        <w:bidi w:val="0"/>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7"/>
          <w:rFonts w:ascii="黑体" w:hAnsi="黑体" w:eastAsia="黑体"/>
          <w:b w:val="0"/>
        </w:rPr>
      </w:pPr>
      <w:bookmarkStart w:id="324" w:name="_Toc15377226"/>
      <w:r>
        <w:rPr>
          <w:rFonts w:ascii="宋体"/>
          <w:b/>
          <w:color w:val="000000"/>
          <w:sz w:val="44"/>
          <w:szCs w:val="44"/>
        </w:rPr>
        <w:br w:type="page"/>
      </w:r>
      <w:bookmarkStart w:id="325" w:name="_Toc8845"/>
      <w:bookmarkStart w:id="326" w:name="_Toc31864"/>
      <w:bookmarkStart w:id="327" w:name="_Toc13875"/>
      <w:bookmarkStart w:id="328" w:name="_Toc15396614"/>
      <w:bookmarkStart w:id="329" w:name="_Toc8794"/>
      <w:bookmarkStart w:id="330" w:name="_Toc18313"/>
      <w:bookmarkStart w:id="331" w:name="_Toc12632"/>
      <w:bookmarkStart w:id="332" w:name="_Toc18782"/>
      <w:bookmarkStart w:id="333" w:name="_Toc8559"/>
      <w:bookmarkStart w:id="334" w:name="_Toc21891"/>
      <w:r>
        <w:rPr>
          <w:rFonts w:hint="eastAsia" w:ascii="黑体" w:hAnsi="黑体" w:eastAsia="黑体"/>
          <w:color w:val="000000"/>
          <w:sz w:val="44"/>
          <w:szCs w:val="44"/>
        </w:rPr>
        <w:t>第</w:t>
      </w:r>
      <w:r>
        <w:rPr>
          <w:rStyle w:val="27"/>
          <w:rFonts w:hint="eastAsia" w:ascii="黑体" w:hAnsi="黑体" w:eastAsia="黑体"/>
          <w:b w:val="0"/>
        </w:rPr>
        <w:t xml:space="preserve">四部分 </w:t>
      </w:r>
      <w:bookmarkEnd w:id="325"/>
      <w:bookmarkEnd w:id="326"/>
      <w:bookmarkEnd w:id="327"/>
      <w:bookmarkEnd w:id="328"/>
      <w:bookmarkEnd w:id="329"/>
      <w:bookmarkEnd w:id="330"/>
      <w:r>
        <w:rPr>
          <w:rStyle w:val="27"/>
          <w:rFonts w:hint="eastAsia" w:ascii="黑体" w:hAnsi="黑体" w:eastAsia="黑体"/>
          <w:b w:val="0"/>
          <w:lang w:val="en-US" w:eastAsia="zh-CN"/>
        </w:rPr>
        <w:t xml:space="preserve"> </w:t>
      </w:r>
      <w:r>
        <w:rPr>
          <w:rStyle w:val="37"/>
          <w:rFonts w:hint="eastAsia" w:ascii="黑体" w:hAnsi="黑体" w:eastAsia="黑体"/>
          <w:b w:val="0"/>
        </w:rPr>
        <w:t>附件</w:t>
      </w:r>
      <w:bookmarkEnd w:id="331"/>
      <w:bookmarkEnd w:id="332"/>
      <w:bookmarkEnd w:id="333"/>
      <w:bookmarkEnd w:id="334"/>
    </w:p>
    <w:p>
      <w:pPr>
        <w:spacing w:line="580" w:lineRule="exact"/>
        <w:jc w:val="both"/>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hint="eastAsia" w:ascii="方正小标宋简体" w:hAnsi="方正小标宋简体" w:eastAsia="方正小标宋简体" w:cs="方正小标宋简体"/>
          <w:sz w:val="44"/>
          <w:szCs w:val="44"/>
          <w:lang w:eastAsia="zh-CN"/>
        </w:rPr>
      </w:pPr>
      <w:bookmarkStart w:id="335" w:name="_Toc27963"/>
      <w:bookmarkStart w:id="336" w:name="_Toc20219"/>
      <w:bookmarkStart w:id="337" w:name="_Toc5533"/>
      <w:bookmarkStart w:id="338" w:name="_Toc25749"/>
      <w:bookmarkStart w:id="339" w:name="_Toc3570"/>
      <w:bookmarkStart w:id="340" w:name="_Toc30821"/>
      <w:bookmarkStart w:id="341" w:name="_Toc30498"/>
      <w:bookmarkStart w:id="342" w:name="_Toc8388"/>
      <w:bookmarkStart w:id="343" w:name="_Toc13384"/>
      <w:r>
        <w:rPr>
          <w:rFonts w:hint="eastAsia" w:ascii="方正小标宋简体" w:hAnsi="方正小标宋简体" w:eastAsia="方正小标宋简体" w:cs="方正小标宋简体"/>
          <w:sz w:val="44"/>
          <w:szCs w:val="44"/>
          <w:lang w:eastAsia="zh-CN"/>
        </w:rPr>
        <w:t>中共茂县县委组织部</w:t>
      </w:r>
      <w:bookmarkEnd w:id="335"/>
      <w:bookmarkEnd w:id="336"/>
      <w:bookmarkEnd w:id="337"/>
      <w:bookmarkEnd w:id="338"/>
      <w:bookmarkEnd w:id="339"/>
      <w:bookmarkEnd w:id="340"/>
      <w:bookmarkEnd w:id="341"/>
      <w:bookmarkEnd w:id="342"/>
      <w:bookmarkEnd w:id="343"/>
    </w:p>
    <w:p>
      <w:pPr>
        <w:keepNext w:val="0"/>
        <w:keepLines w:val="0"/>
        <w:pageBreakBefore w:val="0"/>
        <w:widowControl w:val="0"/>
        <w:kinsoku/>
        <w:wordWrap/>
        <w:overflowPunct/>
        <w:topLinePunct w:val="0"/>
        <w:autoSpaceDE/>
        <w:autoSpaceDN/>
        <w:bidi w:val="0"/>
        <w:adjustRightInd/>
        <w:snapToGrid/>
        <w:spacing w:line="576" w:lineRule="atLeast"/>
        <w:jc w:val="center"/>
        <w:textAlignment w:val="auto"/>
        <w:outlineLvl w:val="0"/>
        <w:rPr>
          <w:rFonts w:ascii="黑体" w:hAnsi="黑体" w:eastAsia="黑体" w:cs="黑体"/>
          <w:sz w:val="32"/>
          <w:szCs w:val="32"/>
        </w:rPr>
      </w:pPr>
      <w:bookmarkStart w:id="344" w:name="_Toc4670"/>
      <w:bookmarkStart w:id="345" w:name="_Toc28129"/>
      <w:bookmarkStart w:id="346" w:name="_Toc27181"/>
      <w:bookmarkStart w:id="347" w:name="_Toc11828"/>
      <w:bookmarkStart w:id="348" w:name="_Toc3832"/>
      <w:bookmarkStart w:id="349" w:name="_Toc2912"/>
      <w:bookmarkStart w:id="350" w:name="_Toc2401"/>
      <w:bookmarkStart w:id="351" w:name="_Toc20641"/>
      <w:bookmarkStart w:id="352" w:name="_Toc10202"/>
      <w:r>
        <w:rPr>
          <w:rFonts w:hint="eastAsia" w:ascii="方正小标宋简体" w:hAnsi="方正小标宋简体" w:eastAsia="方正小标宋简体" w:cs="方正小标宋简体"/>
          <w:sz w:val="44"/>
          <w:szCs w:val="44"/>
        </w:rPr>
        <w:t>部门20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344"/>
      <w:bookmarkEnd w:id="345"/>
      <w:bookmarkEnd w:id="346"/>
      <w:bookmarkEnd w:id="347"/>
      <w:bookmarkEnd w:id="348"/>
      <w:bookmarkEnd w:id="349"/>
      <w:bookmarkEnd w:id="350"/>
      <w:bookmarkEnd w:id="351"/>
      <w:bookmarkEnd w:id="352"/>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outlineLvl w:val="0"/>
        <w:rPr>
          <w:rFonts w:hint="eastAsia" w:ascii="黑体" w:hAnsi="宋体" w:eastAsia="黑体" w:cs="宋体"/>
          <w:color w:val="000000"/>
          <w:kern w:val="0"/>
          <w:sz w:val="32"/>
          <w:szCs w:val="32"/>
          <w:shd w:val="clear" w:color="auto" w:fill="FFFFFF"/>
          <w:lang w:val="zh-CN"/>
        </w:rPr>
      </w:pPr>
      <w:bookmarkStart w:id="353" w:name="_Toc30615"/>
      <w:bookmarkStart w:id="354" w:name="_Toc23210"/>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353"/>
      <w:bookmarkEnd w:id="354"/>
    </w:p>
    <w:p>
      <w:pPr>
        <w:numPr>
          <w:ilvl w:val="0"/>
          <w:numId w:val="0"/>
        </w:numPr>
        <w:spacing w:line="560" w:lineRule="exact"/>
        <w:ind w:firstLine="643" w:firstLineChars="200"/>
        <w:outlineLvl w:val="1"/>
        <w:rPr>
          <w:rFonts w:hint="eastAsia" w:ascii="楷体" w:hAnsi="楷体" w:eastAsia="楷体" w:cs="楷体"/>
          <w:b/>
          <w:bCs/>
          <w:color w:val="000000"/>
          <w:kern w:val="0"/>
          <w:sz w:val="32"/>
          <w:szCs w:val="32"/>
          <w:shd w:val="clear" w:color="auto" w:fill="FFFFFF"/>
          <w:lang w:val="zh-CN"/>
        </w:rPr>
      </w:pPr>
      <w:bookmarkStart w:id="355" w:name="_Toc10195"/>
      <w:r>
        <w:rPr>
          <w:rFonts w:hint="eastAsia" w:ascii="楷体" w:hAnsi="楷体" w:eastAsia="楷体" w:cs="楷体"/>
          <w:b/>
          <w:bCs/>
          <w:color w:val="000000"/>
          <w:kern w:val="0"/>
          <w:sz w:val="32"/>
          <w:szCs w:val="32"/>
          <w:shd w:val="clear" w:color="auto" w:fill="FFFFFF"/>
          <w:lang w:val="zh-CN"/>
        </w:rPr>
        <w:t>（一）机构组成</w:t>
      </w:r>
      <w:bookmarkEnd w:id="355"/>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en-US" w:eastAsia="zh-CN"/>
        </w:rPr>
      </w:pPr>
      <w:r>
        <w:rPr>
          <w:rFonts w:hint="eastAsia" w:ascii="仿宋_GB2312" w:hAnsi="仿宋_GB2312" w:eastAsia="仿宋_GB2312" w:cs="仿宋_GB2312"/>
          <w:sz w:val="32"/>
          <w:szCs w:val="32"/>
        </w:rPr>
        <w:t>中共茂县</w:t>
      </w:r>
      <w:r>
        <w:rPr>
          <w:rFonts w:hint="eastAsia" w:ascii="仿宋_GB2312" w:hAnsi="仿宋_GB2312" w:eastAsia="仿宋_GB2312" w:cs="仿宋_GB2312"/>
          <w:sz w:val="32"/>
          <w:szCs w:val="32"/>
          <w:lang w:eastAsia="zh-CN"/>
        </w:rPr>
        <w:t>县委</w:t>
      </w:r>
      <w:r>
        <w:rPr>
          <w:rFonts w:hint="eastAsia" w:ascii="仿宋_GB2312" w:hAnsi="仿宋_GB2312" w:eastAsia="仿宋_GB2312" w:cs="仿宋_GB2312"/>
          <w:sz w:val="32"/>
          <w:szCs w:val="32"/>
        </w:rPr>
        <w:t>组织部为行政单位</w:t>
      </w:r>
      <w:r>
        <w:rPr>
          <w:rFonts w:hint="eastAsia" w:ascii="仿宋_GB2312" w:hAnsi="仿宋_GB2312" w:eastAsia="仿宋_GB2312" w:cs="仿宋_GB2312"/>
          <w:sz w:val="32"/>
          <w:szCs w:val="32"/>
          <w:lang w:eastAsia="zh-CN"/>
        </w:rPr>
        <w:t>。</w:t>
      </w:r>
    </w:p>
    <w:p>
      <w:pPr>
        <w:widowControl/>
        <w:numPr>
          <w:ilvl w:val="0"/>
          <w:numId w:val="0"/>
        </w:numPr>
        <w:adjustRightInd w:val="0"/>
        <w:snapToGrid w:val="0"/>
        <w:spacing w:line="580" w:lineRule="exact"/>
        <w:ind w:firstLine="643" w:firstLineChars="200"/>
        <w:contextualSpacing/>
        <w:jc w:val="left"/>
        <w:outlineLvl w:val="1"/>
        <w:rPr>
          <w:rFonts w:hint="eastAsia" w:ascii="仿宋_GB2312" w:hAnsi="宋体" w:eastAsia="仿宋_GB2312" w:cs="宋体"/>
          <w:color w:val="000000"/>
          <w:kern w:val="0"/>
          <w:sz w:val="32"/>
          <w:szCs w:val="32"/>
          <w:shd w:val="clear" w:color="auto" w:fill="FFFFFF"/>
          <w:lang w:val="zh-CN"/>
        </w:rPr>
      </w:pPr>
      <w:bookmarkStart w:id="356" w:name="_Toc15660"/>
      <w:r>
        <w:rPr>
          <w:rFonts w:hint="eastAsia" w:ascii="楷体" w:hAnsi="楷体" w:eastAsia="楷体" w:cs="楷体"/>
          <w:b/>
          <w:bCs/>
          <w:color w:val="000000"/>
          <w:kern w:val="0"/>
          <w:sz w:val="32"/>
          <w:szCs w:val="32"/>
          <w:shd w:val="clear" w:color="auto" w:fill="FFFFFF"/>
          <w:lang w:val="zh-CN"/>
        </w:rPr>
        <w:t>（二）机构职能</w:t>
      </w:r>
      <w:bookmarkEnd w:id="35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研究、指导全县各级党组织特别是党的基层组织建设，协调</w:t>
      </w:r>
      <w:r>
        <w:rPr>
          <w:rFonts w:hint="eastAsia" w:ascii="仿宋_GB2312" w:hAnsi="仿宋_GB2312" w:eastAsia="仿宋_GB2312" w:cs="仿宋_GB2312"/>
          <w:sz w:val="32"/>
          <w:szCs w:val="32"/>
          <w:highlight w:val="none"/>
        </w:rPr>
        <w:t>、规划和指导党员教育工作，主管全县党员发展和管理，指导基层党组织的党员发展和管理。</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 w:eastAsia="仿宋_GB2312"/>
          <w:color w:val="000000"/>
          <w:sz w:val="32"/>
          <w:szCs w:val="32"/>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提出各片区工委、乡镇机关和县级机关各部门、副科级以上事业单位领导班子的</w:t>
      </w:r>
      <w:r>
        <w:rPr>
          <w:rFonts w:hint="eastAsia" w:ascii="仿宋_GB2312" w:hAnsi="仿宋" w:eastAsia="仿宋_GB2312"/>
          <w:color w:val="000000"/>
          <w:sz w:val="32"/>
          <w:szCs w:val="32"/>
        </w:rPr>
        <w:t>配备、调整和领导干部任免的意见和建议。负责州委管理干部职务任免、工资、待遇和离退休材料的上报及手续办理，负责有关上报州委组织部的备案材料；配合州级有关部门考核、考察州属在县单位的领导班子及领导干部，并对其领导班子及领导干部的调整、任免提出意见和建议。承办县委管理干部职务任免和离退休审批手续、审查工资待遇；承办县委管理干部和县级党群系统，人大、政协机关，法院、检察院，片区工委、乡镇党委、人大主席团、政府领导干部、群团部门干部的调配交流。负责县党代会、人代会、政协会议的有关组织工作。并指导各乡镇党代会、协助做好各乡镇人代会的有关工作。</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3.</w:t>
      </w:r>
      <w:r>
        <w:rPr>
          <w:rFonts w:hint="eastAsia" w:ascii="仿宋_GB2312" w:hAnsi="仿宋" w:eastAsia="仿宋_GB2312"/>
          <w:color w:val="000000"/>
          <w:sz w:val="32"/>
          <w:szCs w:val="32"/>
        </w:rPr>
        <w:t>贯彻执行中央、省、州关于老干部工作的方针、政策和州、县有关规定，对全县老干部工作进行指导、协调、督促、调查研究，提出老干部工作的有关政策性意见上报县委、县政府决策，协调管理离休干部的有关工作。</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协助做好离休干部和县级退休干部的安置管理、服务工作，组织以上退休干部丧事工作，了解、反映并协助处理老干部遗属的有关问题。</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负责县级机关有关干部的备案审查工作；综合协调、监督检查干部宏观管理工作，指导县级机关、片区工委、乡镇机关领导班子思想作风建设；根据中央、省、州关于干部队伍建设的方针、政策、措施，组织落实培训和选拔中、青年干部，加强后备干部队伍建设。</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调查研究并积极推进干部人事制度改革，制定或参与制定组织、人事工作的重要政策及有关制度。</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lang w:val="en-US" w:eastAsia="zh-CN"/>
        </w:rPr>
        <w:t>7.</w:t>
      </w:r>
      <w:r>
        <w:rPr>
          <w:rFonts w:hint="eastAsia" w:ascii="仿宋_GB2312" w:hAnsi="仿宋" w:eastAsia="仿宋_GB2312"/>
          <w:color w:val="000000"/>
          <w:sz w:val="32"/>
          <w:szCs w:val="32"/>
        </w:rPr>
        <w:t>主管干部教育工作。制定全县干部教育规划和有关政策规定；负责省、州和县委党校干部调训，组织对基层党务工作者进行培训。</w:t>
      </w:r>
    </w:p>
    <w:p>
      <w:pPr>
        <w:pageBreakBefore w:val="0"/>
        <w:widowControl w:val="0"/>
        <w:kinsoku/>
        <w:wordWrap/>
        <w:overflowPunct/>
        <w:topLinePunct w:val="0"/>
        <w:autoSpaceDE/>
        <w:autoSpaceDN/>
        <w:bidi w:val="0"/>
        <w:adjustRightInd/>
        <w:spacing w:line="576" w:lineRule="atLeas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负责知识分子工作牵头抓总，调查了解知识分子工作情况，上报有关材料，检查贯彻执行知识分子政策情况，主管优秀科技工作者的选拔、管理工作。</w:t>
      </w:r>
    </w:p>
    <w:p>
      <w:pPr>
        <w:pageBreakBefore w:val="0"/>
        <w:widowControl w:val="0"/>
        <w:kinsoku/>
        <w:wordWrap/>
        <w:overflowPunct/>
        <w:topLinePunct w:val="0"/>
        <w:autoSpaceDE/>
        <w:autoSpaceDN/>
        <w:bidi w:val="0"/>
        <w:adjustRightInd/>
        <w:spacing w:line="576" w:lineRule="atLeast"/>
        <w:ind w:firstLine="480" w:firstLineChars="15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r>
        <w:rPr>
          <w:rFonts w:hint="eastAsia" w:ascii="仿宋_GB2312" w:hAnsi="仿宋" w:eastAsia="仿宋_GB2312"/>
          <w:color w:val="000000"/>
          <w:sz w:val="32"/>
          <w:szCs w:val="32"/>
          <w:lang w:val="en-US" w:eastAsia="zh-CN"/>
        </w:rPr>
        <w:t>9.</w:t>
      </w:r>
      <w:r>
        <w:rPr>
          <w:rFonts w:hint="eastAsia" w:ascii="仿宋_GB2312" w:hAnsi="仿宋" w:eastAsia="仿宋_GB2312"/>
          <w:color w:val="000000"/>
          <w:sz w:val="32"/>
          <w:szCs w:val="32"/>
        </w:rPr>
        <w:t>负责制定中共茂县直属机关党的建设规划，分类指导县直机关及其直属企事业单位党的思想、组织、作风建设，负责县直机关党员教育管理工作的规划和实施；负责县直机关领导班子、领导干部的思想、作风建设。指导机关党组织加强党风廉政建设，实施对党员，特别是党员领导干部的监督；加强对机关领导班子和副科级以上领导干部民主生活会的管理，了解各部门党员群众对领导干部的意见，及时向县委汇报各部门领导班子、领导干部的情况和问题。</w:t>
      </w:r>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0.</w:t>
      </w:r>
      <w:r>
        <w:rPr>
          <w:rFonts w:hint="eastAsia" w:ascii="仿宋_GB2312" w:hAnsi="仿宋" w:eastAsia="仿宋_GB2312"/>
          <w:color w:val="000000"/>
          <w:sz w:val="32"/>
          <w:szCs w:val="32"/>
        </w:rPr>
        <w:t>负责审批县直机关党总支部、支部的建立和支部委员会的组成，以及支部委员会的改选、增补。指导县直机关党组织抓好党员和干部的理论学习和党的路线、方针、政策以及科学文化业务知识的学习。</w:t>
      </w:r>
    </w:p>
    <w:p>
      <w:pPr>
        <w:widowControl/>
        <w:numPr>
          <w:ilvl w:val="0"/>
          <w:numId w:val="0"/>
        </w:numPr>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1.</w:t>
      </w:r>
      <w:r>
        <w:rPr>
          <w:rFonts w:hint="eastAsia" w:ascii="仿宋_GB2312" w:hAnsi="仿宋" w:eastAsia="仿宋_GB2312"/>
          <w:color w:val="000000"/>
          <w:sz w:val="32"/>
          <w:szCs w:val="32"/>
        </w:rPr>
        <w:t>完成县委和上级组织部门交办的其他工作任务。</w:t>
      </w:r>
    </w:p>
    <w:p>
      <w:pPr>
        <w:widowControl/>
        <w:adjustRightInd w:val="0"/>
        <w:snapToGrid w:val="0"/>
        <w:spacing w:line="580" w:lineRule="exact"/>
        <w:ind w:firstLine="643" w:firstLineChars="200"/>
        <w:contextualSpacing/>
        <w:jc w:val="left"/>
        <w:outlineLvl w:val="1"/>
        <w:rPr>
          <w:rFonts w:hint="eastAsia" w:ascii="仿宋_GB2312" w:hAnsi="宋体" w:eastAsia="仿宋_GB2312" w:cs="宋体"/>
          <w:color w:val="000000"/>
          <w:kern w:val="0"/>
          <w:sz w:val="32"/>
          <w:szCs w:val="32"/>
          <w:shd w:val="clear" w:color="auto" w:fill="FFFFFF"/>
          <w:lang w:val="zh-CN"/>
        </w:rPr>
      </w:pPr>
      <w:bookmarkStart w:id="357" w:name="_Toc15508"/>
      <w:r>
        <w:rPr>
          <w:rFonts w:hint="eastAsia" w:ascii="楷体" w:hAnsi="楷体" w:eastAsia="楷体" w:cs="楷体"/>
          <w:b/>
          <w:bCs/>
          <w:color w:val="000000"/>
          <w:kern w:val="0"/>
          <w:sz w:val="32"/>
          <w:szCs w:val="32"/>
          <w:shd w:val="clear" w:color="auto" w:fill="FFFFFF"/>
          <w:lang w:val="zh-CN"/>
        </w:rPr>
        <w:t>（三）人员概况</w:t>
      </w:r>
      <w:bookmarkEnd w:id="357"/>
    </w:p>
    <w:p>
      <w:pPr>
        <w:pageBreakBefore w:val="0"/>
        <w:widowControl w:val="0"/>
        <w:kinsoku/>
        <w:wordWrap/>
        <w:overflowPunct/>
        <w:topLinePunct w:val="0"/>
        <w:autoSpaceDE/>
        <w:autoSpaceDN/>
        <w:bidi w:val="0"/>
        <w:adjustRightInd/>
        <w:spacing w:line="576" w:lineRule="atLeast"/>
        <w:ind w:firstLine="640" w:firstLineChars="200"/>
        <w:textAlignment w:val="auto"/>
        <w:rPr>
          <w:rFonts w:hint="eastAsia" w:ascii="仿宋_GB2312" w:hAnsi="宋体" w:eastAsia="仿宋_GB2312" w:cs="宋体"/>
          <w:color w:val="000000"/>
          <w:kern w:val="0"/>
          <w:sz w:val="32"/>
          <w:szCs w:val="32"/>
          <w:highlight w:val="none"/>
          <w:shd w:val="clear" w:color="auto" w:fill="FFFFFF"/>
          <w:lang w:val="zh-CN"/>
        </w:rPr>
      </w:pPr>
      <w:r>
        <w:rPr>
          <w:rFonts w:hint="eastAsia" w:ascii="仿宋_GB2312" w:hAnsi="仿宋" w:eastAsia="仿宋_GB2312"/>
          <w:color w:val="000000"/>
          <w:sz w:val="32"/>
          <w:szCs w:val="32"/>
          <w:highlight w:val="none"/>
        </w:rPr>
        <w:t>单</w:t>
      </w:r>
      <w:r>
        <w:rPr>
          <w:rFonts w:hint="eastAsia" w:ascii="仿宋_GB2312" w:hAnsi="仿宋_GB2312" w:eastAsia="仿宋_GB2312" w:cs="仿宋_GB2312"/>
          <w:sz w:val="32"/>
          <w:szCs w:val="32"/>
          <w:highlight w:val="none"/>
        </w:rPr>
        <w:t>位总编制数</w:t>
      </w:r>
      <w:r>
        <w:rPr>
          <w:rFonts w:hint="eastAsia" w:ascii="仿宋_GB2312" w:hAnsi="仿宋_GB2312" w:eastAsia="仿宋_GB2312" w:cs="仿宋_GB2312"/>
          <w:sz w:val="32"/>
          <w:szCs w:val="32"/>
          <w:highlight w:val="none"/>
          <w:lang w:val="en-US" w:eastAsia="zh-CN"/>
        </w:rPr>
        <w:t>39</w:t>
      </w:r>
      <w:r>
        <w:rPr>
          <w:rFonts w:hint="eastAsia" w:ascii="仿宋_GB2312" w:hAnsi="仿宋_GB2312" w:eastAsia="仿宋_GB2312" w:cs="仿宋_GB2312"/>
          <w:sz w:val="32"/>
          <w:szCs w:val="32"/>
          <w:highlight w:val="none"/>
        </w:rPr>
        <w:t>名，其中：行政编制</w:t>
      </w:r>
      <w:r>
        <w:rPr>
          <w:rFonts w:hint="eastAsia" w:ascii="仿宋_GB2312" w:hAnsi="仿宋_GB2312" w:eastAsia="仿宋_GB2312" w:cs="仿宋_GB2312"/>
          <w:sz w:val="32"/>
          <w:szCs w:val="32"/>
          <w:highlight w:val="none"/>
          <w:lang w:val="en-US" w:eastAsia="zh-CN"/>
        </w:rPr>
        <w:t>19</w:t>
      </w:r>
      <w:r>
        <w:rPr>
          <w:rFonts w:hint="eastAsia" w:ascii="仿宋_GB2312" w:hAnsi="仿宋_GB2312" w:eastAsia="仿宋_GB2312" w:cs="仿宋_GB2312"/>
          <w:sz w:val="32"/>
          <w:szCs w:val="32"/>
          <w:highlight w:val="none"/>
        </w:rPr>
        <w:t>名</w:t>
      </w:r>
      <w:r>
        <w:rPr>
          <w:rFonts w:hint="eastAsia" w:ascii="仿宋_GB2312" w:hAnsi="仿宋_GB2312" w:eastAsia="仿宋_GB2312" w:cs="仿宋_GB2312"/>
          <w:sz w:val="32"/>
          <w:szCs w:val="32"/>
          <w:highlight w:val="none"/>
          <w:lang w:val="en-US" w:eastAsia="zh-CN"/>
        </w:rPr>
        <w:t>(含工勤4名）</w:t>
      </w:r>
      <w:r>
        <w:rPr>
          <w:rFonts w:hint="eastAsia" w:ascii="仿宋_GB2312" w:hAnsi="仿宋_GB2312" w:eastAsia="仿宋_GB2312" w:cs="仿宋_GB2312"/>
          <w:sz w:val="32"/>
          <w:szCs w:val="32"/>
          <w:highlight w:val="none"/>
        </w:rPr>
        <w:t>，事业编制</w:t>
      </w:r>
      <w:r>
        <w:rPr>
          <w:rFonts w:hint="eastAsia" w:ascii="仿宋_GB2312" w:hAnsi="仿宋_GB2312" w:eastAsia="仿宋_GB2312" w:cs="仿宋_GB2312"/>
          <w:sz w:val="32"/>
          <w:szCs w:val="32"/>
          <w:highlight w:val="none"/>
          <w:lang w:val="en-US" w:eastAsia="zh-CN"/>
        </w:rPr>
        <w:t>20</w:t>
      </w:r>
      <w:r>
        <w:rPr>
          <w:rFonts w:hint="eastAsia" w:ascii="仿宋_GB2312" w:hAnsi="仿宋_GB2312" w:eastAsia="仿宋_GB2312" w:cs="仿宋_GB2312"/>
          <w:sz w:val="32"/>
          <w:szCs w:val="32"/>
          <w:highlight w:val="none"/>
        </w:rPr>
        <w:t>名</w:t>
      </w:r>
      <w:r>
        <w:rPr>
          <w:rFonts w:hint="eastAsia" w:ascii="仿宋_GB2312" w:hAnsi="仿宋_GB2312" w:eastAsia="仿宋_GB2312" w:cs="仿宋_GB2312"/>
          <w:sz w:val="32"/>
          <w:szCs w:val="32"/>
          <w:highlight w:val="none"/>
          <w:lang w:val="en-US" w:eastAsia="zh-CN"/>
        </w:rPr>
        <w:t>(含参</w:t>
      </w:r>
      <w:r>
        <w:rPr>
          <w:rFonts w:hint="eastAsia" w:ascii="仿宋_GB2312" w:hAnsi="仿宋" w:eastAsia="仿宋_GB2312"/>
          <w:color w:val="000000"/>
          <w:sz w:val="32"/>
          <w:szCs w:val="32"/>
          <w:highlight w:val="none"/>
          <w:lang w:val="en-US" w:eastAsia="zh-CN"/>
        </w:rPr>
        <w:t>公13名）</w:t>
      </w:r>
      <w:r>
        <w:rPr>
          <w:rFonts w:hint="eastAsia" w:ascii="仿宋_GB2312" w:hAnsi="仿宋" w:eastAsia="仿宋_GB2312"/>
          <w:color w:val="000000"/>
          <w:sz w:val="32"/>
          <w:szCs w:val="32"/>
          <w:highlight w:val="none"/>
        </w:rPr>
        <w:t>。财政供养人员</w:t>
      </w:r>
      <w:r>
        <w:rPr>
          <w:rFonts w:hint="eastAsia" w:ascii="仿宋_GB2312" w:hAnsi="仿宋" w:eastAsia="仿宋_GB2312"/>
          <w:color w:val="000000"/>
          <w:sz w:val="32"/>
          <w:szCs w:val="32"/>
          <w:highlight w:val="none"/>
          <w:lang w:val="en-US" w:eastAsia="zh-CN"/>
        </w:rPr>
        <w:t>32</w:t>
      </w:r>
      <w:r>
        <w:rPr>
          <w:rFonts w:hint="eastAsia" w:ascii="仿宋_GB2312" w:hAnsi="仿宋" w:eastAsia="仿宋_GB2312"/>
          <w:color w:val="000000"/>
          <w:sz w:val="32"/>
          <w:szCs w:val="32"/>
          <w:highlight w:val="none"/>
        </w:rPr>
        <w:t>人，在职</w:t>
      </w:r>
      <w:r>
        <w:rPr>
          <w:rFonts w:hint="eastAsia" w:ascii="仿宋_GB2312" w:hAnsi="仿宋" w:eastAsia="仿宋_GB2312"/>
          <w:color w:val="000000"/>
          <w:sz w:val="32"/>
          <w:szCs w:val="32"/>
          <w:highlight w:val="none"/>
          <w:lang w:val="en-US" w:eastAsia="zh-CN"/>
        </w:rPr>
        <w:t>32</w:t>
      </w:r>
      <w:r>
        <w:rPr>
          <w:rFonts w:hint="eastAsia" w:ascii="仿宋_GB2312" w:hAnsi="仿宋" w:eastAsia="仿宋_GB2312"/>
          <w:color w:val="000000"/>
          <w:sz w:val="32"/>
          <w:szCs w:val="32"/>
          <w:highlight w:val="none"/>
        </w:rPr>
        <w:t>人</w:t>
      </w:r>
      <w:r>
        <w:rPr>
          <w:rFonts w:hint="eastAsia" w:ascii="仿宋_GB2312" w:hAnsi="仿宋" w:eastAsia="仿宋_GB2312"/>
          <w:color w:val="000000"/>
          <w:sz w:val="32"/>
          <w:szCs w:val="32"/>
          <w:highlight w:val="none"/>
          <w:lang w:eastAsia="zh-CN"/>
        </w:rPr>
        <w:t>。</w:t>
      </w:r>
    </w:p>
    <w:p>
      <w:pPr>
        <w:widowControl/>
        <w:adjustRightInd w:val="0"/>
        <w:snapToGrid w:val="0"/>
        <w:spacing w:line="580" w:lineRule="exact"/>
        <w:ind w:firstLine="640" w:firstLineChars="200"/>
        <w:contextualSpacing/>
        <w:jc w:val="left"/>
        <w:outlineLvl w:val="0"/>
        <w:rPr>
          <w:rFonts w:hint="eastAsia" w:ascii="黑体" w:hAnsi="宋体" w:eastAsia="黑体" w:cs="宋体"/>
          <w:color w:val="000000"/>
          <w:kern w:val="0"/>
          <w:sz w:val="32"/>
          <w:szCs w:val="32"/>
          <w:shd w:val="clear" w:color="auto" w:fill="FFFFFF"/>
        </w:rPr>
      </w:pPr>
      <w:bookmarkStart w:id="358" w:name="_Toc7735"/>
      <w:bookmarkStart w:id="359" w:name="_Toc28008"/>
      <w:r>
        <w:rPr>
          <w:rFonts w:hint="eastAsia" w:ascii="黑体" w:hAnsi="宋体" w:eastAsia="黑体" w:cs="宋体"/>
          <w:color w:val="000000"/>
          <w:kern w:val="0"/>
          <w:sz w:val="32"/>
          <w:szCs w:val="32"/>
          <w:shd w:val="clear" w:color="auto" w:fill="FFFFFF"/>
        </w:rPr>
        <w:t>二、部门财政资金收支情况</w:t>
      </w:r>
      <w:bookmarkEnd w:id="358"/>
      <w:bookmarkEnd w:id="359"/>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60" w:name="_Toc16172"/>
      <w:r>
        <w:rPr>
          <w:rFonts w:hint="eastAsia" w:ascii="楷体" w:hAnsi="楷体" w:eastAsia="楷体" w:cs="楷体"/>
          <w:b/>
          <w:bCs/>
          <w:color w:val="000000"/>
          <w:kern w:val="0"/>
          <w:sz w:val="32"/>
          <w:szCs w:val="32"/>
          <w:shd w:val="clear" w:color="auto" w:fill="FFFFFF"/>
          <w:lang w:val="zh-CN"/>
        </w:rPr>
        <w:t>（一）部门财政资金收入情况</w:t>
      </w:r>
      <w:bookmarkEnd w:id="360"/>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highlight w:val="none"/>
          <w:shd w:val="clear" w:color="auto" w:fill="FFFFFF"/>
          <w:lang w:val="zh-CN"/>
        </w:rPr>
      </w:pPr>
      <w:r>
        <w:rPr>
          <w:rFonts w:hint="eastAsia" w:ascii="仿宋_GB2312" w:hAnsi="黑体" w:eastAsia="仿宋_GB2312"/>
          <w:color w:val="000000"/>
          <w:sz w:val="32"/>
          <w:szCs w:val="32"/>
          <w:highlight w:val="none"/>
        </w:rPr>
        <w:t>20</w:t>
      </w:r>
      <w:r>
        <w:rPr>
          <w:rFonts w:hint="eastAsia" w:ascii="仿宋_GB2312" w:hAnsi="黑体" w:eastAsia="仿宋_GB2312"/>
          <w:color w:val="000000"/>
          <w:sz w:val="32"/>
          <w:szCs w:val="32"/>
          <w:highlight w:val="none"/>
          <w:lang w:val="en-US" w:eastAsia="zh-CN"/>
        </w:rPr>
        <w:t>20</w:t>
      </w:r>
      <w:r>
        <w:rPr>
          <w:rFonts w:hint="eastAsia" w:ascii="仿宋_GB2312" w:hAnsi="黑体" w:eastAsia="仿宋_GB2312"/>
          <w:color w:val="000000"/>
          <w:sz w:val="32"/>
          <w:szCs w:val="32"/>
          <w:highlight w:val="none"/>
        </w:rPr>
        <w:t>年本部门财政拨款收入决算总额为</w:t>
      </w:r>
      <w:r>
        <w:rPr>
          <w:rFonts w:hint="eastAsia" w:ascii="仿宋_GB2312" w:hAnsi="黑体" w:eastAsia="仿宋_GB2312"/>
          <w:color w:val="000000"/>
          <w:sz w:val="32"/>
          <w:szCs w:val="32"/>
          <w:highlight w:val="none"/>
          <w:lang w:val="en-US" w:eastAsia="zh-CN"/>
        </w:rPr>
        <w:t>1218.85</w:t>
      </w:r>
      <w:r>
        <w:rPr>
          <w:rFonts w:hint="eastAsia" w:ascii="仿宋_GB2312" w:hAnsi="黑体" w:eastAsia="仿宋_GB2312"/>
          <w:color w:val="000000"/>
          <w:sz w:val="32"/>
          <w:szCs w:val="32"/>
          <w:highlight w:val="none"/>
        </w:rPr>
        <w:t>万元， 其中：当年财政拨款收入</w:t>
      </w:r>
      <w:r>
        <w:rPr>
          <w:rFonts w:hint="eastAsia" w:ascii="仿宋_GB2312" w:hAnsi="黑体" w:eastAsia="仿宋_GB2312"/>
          <w:color w:val="000000"/>
          <w:sz w:val="32"/>
          <w:szCs w:val="32"/>
          <w:highlight w:val="none"/>
          <w:lang w:val="en-US" w:eastAsia="zh-CN"/>
        </w:rPr>
        <w:t>1218.85</w:t>
      </w:r>
      <w:r>
        <w:rPr>
          <w:rFonts w:hint="eastAsia" w:ascii="仿宋_GB2312" w:hAnsi="黑体" w:eastAsia="仿宋_GB2312"/>
          <w:color w:val="000000"/>
          <w:sz w:val="32"/>
          <w:szCs w:val="32"/>
          <w:highlight w:val="none"/>
        </w:rPr>
        <w:t>万元,均为一般公共预算财政拨款。</w:t>
      </w:r>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61" w:name="_Toc6749"/>
      <w:r>
        <w:rPr>
          <w:rFonts w:hint="eastAsia" w:ascii="楷体" w:hAnsi="楷体" w:eastAsia="楷体" w:cs="楷体"/>
          <w:b/>
          <w:bCs/>
          <w:color w:val="000000"/>
          <w:kern w:val="0"/>
          <w:sz w:val="32"/>
          <w:szCs w:val="32"/>
          <w:shd w:val="clear" w:color="auto" w:fill="FFFFFF"/>
          <w:lang w:val="zh-CN"/>
        </w:rPr>
        <w:t>（二）部门财政资金支出情况</w:t>
      </w:r>
      <w:bookmarkEnd w:id="361"/>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highlight w:val="none"/>
          <w:lang w:eastAsia="zh-CN"/>
        </w:rPr>
      </w:pPr>
      <w:r>
        <w:rPr>
          <w:rFonts w:hint="eastAsia" w:ascii="仿宋_GB2312" w:hAnsi="黑体" w:eastAsia="仿宋_GB2312"/>
          <w:color w:val="000000"/>
          <w:sz w:val="32"/>
          <w:szCs w:val="32"/>
          <w:highlight w:val="none"/>
        </w:rPr>
        <w:t>20</w:t>
      </w:r>
      <w:r>
        <w:rPr>
          <w:rFonts w:hint="eastAsia" w:ascii="仿宋_GB2312" w:hAnsi="黑体" w:eastAsia="仿宋_GB2312"/>
          <w:color w:val="000000"/>
          <w:sz w:val="32"/>
          <w:szCs w:val="32"/>
          <w:highlight w:val="none"/>
          <w:lang w:val="en-US" w:eastAsia="zh-CN"/>
        </w:rPr>
        <w:t>20</w:t>
      </w:r>
      <w:r>
        <w:rPr>
          <w:rFonts w:hint="eastAsia" w:ascii="仿宋_GB2312" w:hAnsi="黑体" w:eastAsia="仿宋_GB2312"/>
          <w:color w:val="000000"/>
          <w:sz w:val="32"/>
          <w:szCs w:val="32"/>
          <w:highlight w:val="none"/>
        </w:rPr>
        <w:t>年一般公共预算财政拨款支出</w:t>
      </w:r>
      <w:r>
        <w:rPr>
          <w:rFonts w:hint="eastAsia" w:ascii="仿宋_GB2312" w:hAnsi="黑体" w:eastAsia="仿宋_GB2312"/>
          <w:color w:val="000000"/>
          <w:sz w:val="32"/>
          <w:szCs w:val="32"/>
          <w:highlight w:val="none"/>
          <w:lang w:val="en-US" w:eastAsia="zh-CN"/>
        </w:rPr>
        <w:t>1382.73</w:t>
      </w:r>
      <w:r>
        <w:rPr>
          <w:rFonts w:hint="eastAsia" w:ascii="仿宋_GB2312" w:hAnsi="黑体" w:eastAsia="仿宋_GB2312"/>
          <w:color w:val="000000"/>
          <w:sz w:val="32"/>
          <w:szCs w:val="32"/>
          <w:highlight w:val="none"/>
        </w:rPr>
        <w:t>万元，主要用于以下方面:一般公共服务（类）支出</w:t>
      </w:r>
      <w:r>
        <w:rPr>
          <w:rFonts w:hint="eastAsia" w:ascii="仿宋_GB2312" w:hAnsi="黑体" w:eastAsia="仿宋_GB2312"/>
          <w:color w:val="000000"/>
          <w:sz w:val="32"/>
          <w:szCs w:val="32"/>
          <w:highlight w:val="none"/>
          <w:lang w:val="en-US" w:eastAsia="zh-CN"/>
        </w:rPr>
        <w:t>860.9</w:t>
      </w:r>
      <w:r>
        <w:rPr>
          <w:rFonts w:hint="eastAsia" w:ascii="仿宋_GB2312" w:hAnsi="黑体" w:eastAsia="仿宋_GB2312"/>
          <w:color w:val="000000"/>
          <w:sz w:val="32"/>
          <w:szCs w:val="32"/>
          <w:highlight w:val="none"/>
        </w:rPr>
        <w:t>万元，</w:t>
      </w:r>
      <w:r>
        <w:rPr>
          <w:rFonts w:hint="eastAsia" w:ascii="仿宋_GB2312" w:hAnsi="黑体" w:eastAsia="仿宋_GB2312"/>
          <w:color w:val="000000"/>
          <w:sz w:val="32"/>
          <w:szCs w:val="32"/>
          <w:highlight w:val="none"/>
          <w:lang w:eastAsia="zh-CN"/>
        </w:rPr>
        <w:t>占</w:t>
      </w:r>
      <w:r>
        <w:rPr>
          <w:rFonts w:hint="eastAsia" w:ascii="仿宋_GB2312" w:hAnsi="黑体" w:eastAsia="仿宋_GB2312"/>
          <w:color w:val="000000"/>
          <w:sz w:val="32"/>
          <w:szCs w:val="32"/>
          <w:highlight w:val="none"/>
          <w:lang w:val="en-US" w:eastAsia="zh-CN"/>
        </w:rPr>
        <w:t>62.26</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其他</w:t>
      </w:r>
      <w:r>
        <w:rPr>
          <w:rFonts w:hint="eastAsia" w:ascii="仿宋_GB2312" w:hAnsi="黑体" w:eastAsia="仿宋_GB2312"/>
          <w:color w:val="000000"/>
          <w:sz w:val="32"/>
          <w:szCs w:val="32"/>
          <w:highlight w:val="none"/>
        </w:rPr>
        <w:t>（类）支出</w:t>
      </w:r>
      <w:r>
        <w:rPr>
          <w:rFonts w:hint="eastAsia" w:ascii="仿宋_GB2312" w:hAnsi="黑体" w:eastAsia="仿宋_GB2312"/>
          <w:color w:val="000000"/>
          <w:sz w:val="32"/>
          <w:szCs w:val="32"/>
          <w:highlight w:val="none"/>
          <w:lang w:val="en-US" w:eastAsia="zh-CN"/>
        </w:rPr>
        <w:t>34.88</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2.52</w:t>
      </w:r>
      <w:r>
        <w:rPr>
          <w:rFonts w:hint="eastAsia" w:ascii="仿宋_GB2312" w:hAnsi="黑体" w:eastAsia="仿宋_GB2312"/>
          <w:color w:val="000000"/>
          <w:sz w:val="32"/>
          <w:szCs w:val="32"/>
          <w:highlight w:val="none"/>
        </w:rPr>
        <w:t>%；社会保障和就业（类）</w:t>
      </w:r>
      <w:r>
        <w:rPr>
          <w:rFonts w:hint="eastAsia" w:ascii="仿宋_GB2312" w:hAnsi="黑体" w:eastAsia="仿宋_GB2312"/>
          <w:color w:val="000000"/>
          <w:sz w:val="32"/>
          <w:szCs w:val="32"/>
          <w:highlight w:val="none"/>
          <w:lang w:eastAsia="zh-CN"/>
        </w:rPr>
        <w:t>支出</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61.12</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4.42</w:t>
      </w:r>
      <w:r>
        <w:rPr>
          <w:rFonts w:hint="eastAsia" w:ascii="仿宋_GB2312" w:hAnsi="黑体" w:eastAsia="仿宋_GB2312"/>
          <w:color w:val="000000"/>
          <w:sz w:val="32"/>
          <w:szCs w:val="32"/>
          <w:highlight w:val="none"/>
        </w:rPr>
        <w:t>%；卫生健康</w:t>
      </w:r>
      <w:r>
        <w:rPr>
          <w:rFonts w:hint="eastAsia" w:ascii="仿宋_GB2312" w:hAnsi="黑体" w:eastAsia="仿宋_GB2312"/>
          <w:color w:val="000000"/>
          <w:sz w:val="32"/>
          <w:szCs w:val="32"/>
          <w:highlight w:val="none"/>
          <w:lang w:eastAsia="zh-CN"/>
        </w:rPr>
        <w:t>（类）</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31.44</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2.28</w:t>
      </w:r>
      <w:r>
        <w:rPr>
          <w:rFonts w:hint="eastAsia" w:ascii="仿宋_GB2312" w:hAnsi="黑体" w:eastAsia="仿宋_GB2312"/>
          <w:color w:val="000000"/>
          <w:sz w:val="32"/>
          <w:szCs w:val="32"/>
          <w:highlight w:val="none"/>
        </w:rPr>
        <w:t>%；住房保障</w:t>
      </w:r>
      <w:r>
        <w:rPr>
          <w:rFonts w:hint="eastAsia" w:ascii="仿宋_GB2312" w:hAnsi="黑体" w:eastAsia="仿宋_GB2312"/>
          <w:color w:val="000000"/>
          <w:sz w:val="32"/>
          <w:szCs w:val="32"/>
          <w:highlight w:val="none"/>
          <w:lang w:eastAsia="zh-CN"/>
        </w:rPr>
        <w:t>（类）</w:t>
      </w:r>
      <w:r>
        <w:rPr>
          <w:rFonts w:hint="eastAsia" w:ascii="仿宋_GB2312" w:hAnsi="黑体" w:eastAsia="仿宋_GB2312"/>
          <w:color w:val="000000"/>
          <w:sz w:val="32"/>
          <w:szCs w:val="32"/>
          <w:highlight w:val="none"/>
        </w:rPr>
        <w:t>支出</w:t>
      </w:r>
      <w:r>
        <w:rPr>
          <w:rFonts w:hint="eastAsia" w:ascii="仿宋_GB2312" w:hAnsi="黑体" w:eastAsia="仿宋_GB2312"/>
          <w:color w:val="000000"/>
          <w:sz w:val="32"/>
          <w:szCs w:val="32"/>
          <w:highlight w:val="none"/>
          <w:lang w:val="en-US" w:eastAsia="zh-CN"/>
        </w:rPr>
        <w:t>44.01</w:t>
      </w:r>
      <w:r>
        <w:rPr>
          <w:rFonts w:hint="eastAsia" w:ascii="仿宋_GB2312" w:hAnsi="黑体" w:eastAsia="仿宋_GB2312"/>
          <w:color w:val="000000"/>
          <w:sz w:val="32"/>
          <w:szCs w:val="32"/>
          <w:highlight w:val="none"/>
        </w:rPr>
        <w:t>万元，占</w:t>
      </w:r>
      <w:r>
        <w:rPr>
          <w:rFonts w:hint="eastAsia" w:ascii="仿宋_GB2312" w:hAnsi="黑体" w:eastAsia="仿宋_GB2312"/>
          <w:color w:val="000000"/>
          <w:sz w:val="32"/>
          <w:szCs w:val="32"/>
          <w:highlight w:val="none"/>
          <w:lang w:val="en-US" w:eastAsia="zh-CN"/>
        </w:rPr>
        <w:t>3.18</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农林水（类）支出</w:t>
      </w:r>
      <w:r>
        <w:rPr>
          <w:rFonts w:hint="eastAsia" w:ascii="仿宋_GB2312" w:hAnsi="黑体" w:eastAsia="仿宋_GB2312"/>
          <w:color w:val="000000"/>
          <w:sz w:val="32"/>
          <w:szCs w:val="32"/>
          <w:highlight w:val="none"/>
          <w:lang w:val="en-US" w:eastAsia="zh-CN"/>
        </w:rPr>
        <w:t>350.38万元</w:t>
      </w:r>
      <w:r>
        <w:rPr>
          <w:rFonts w:hint="eastAsia" w:ascii="仿宋_GB2312" w:hAnsi="黑体" w:eastAsia="仿宋_GB2312"/>
          <w:color w:val="000000"/>
          <w:sz w:val="32"/>
          <w:szCs w:val="32"/>
          <w:highlight w:val="none"/>
        </w:rPr>
        <w:t>元，占</w:t>
      </w:r>
      <w:r>
        <w:rPr>
          <w:rFonts w:hint="eastAsia" w:ascii="仿宋_GB2312" w:hAnsi="黑体" w:eastAsia="仿宋_GB2312"/>
          <w:color w:val="000000"/>
          <w:sz w:val="32"/>
          <w:szCs w:val="32"/>
          <w:highlight w:val="none"/>
          <w:lang w:val="en-US" w:eastAsia="zh-CN"/>
        </w:rPr>
        <w:t>25.34</w:t>
      </w:r>
      <w:r>
        <w:rPr>
          <w:rFonts w:hint="eastAsia" w:ascii="仿宋_GB2312" w:hAnsi="黑体" w:eastAsia="仿宋_GB2312"/>
          <w:color w:val="000000"/>
          <w:sz w:val="32"/>
          <w:szCs w:val="32"/>
          <w:highlight w:val="none"/>
        </w:rPr>
        <w:t>%</w:t>
      </w:r>
      <w:r>
        <w:rPr>
          <w:rFonts w:hint="eastAsia" w:ascii="仿宋_GB2312" w:hAnsi="黑体" w:eastAsia="仿宋_GB2312"/>
          <w:color w:val="000000"/>
          <w:sz w:val="32"/>
          <w:szCs w:val="32"/>
          <w:highlight w:val="none"/>
          <w:lang w:eastAsia="zh-CN"/>
        </w:rPr>
        <w:t>。</w:t>
      </w:r>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62" w:name="_Toc24460"/>
      <w:r>
        <w:rPr>
          <w:rFonts w:hint="eastAsia" w:ascii="楷体" w:hAnsi="楷体" w:eastAsia="楷体" w:cs="楷体"/>
          <w:b/>
          <w:bCs/>
          <w:color w:val="000000"/>
          <w:kern w:val="0"/>
          <w:sz w:val="32"/>
          <w:szCs w:val="32"/>
          <w:shd w:val="clear" w:color="auto" w:fill="FFFFFF"/>
          <w:lang w:val="zh-CN" w:eastAsia="zh-CN"/>
        </w:rPr>
        <w:t>（三）</w:t>
      </w:r>
      <w:r>
        <w:rPr>
          <w:rFonts w:hint="eastAsia" w:ascii="楷体" w:hAnsi="楷体" w:eastAsia="楷体" w:cs="楷体"/>
          <w:b/>
          <w:bCs/>
          <w:color w:val="000000"/>
          <w:kern w:val="0"/>
          <w:sz w:val="32"/>
          <w:szCs w:val="32"/>
          <w:shd w:val="clear" w:color="auto" w:fill="FFFFFF"/>
          <w:lang w:val="zh-CN"/>
        </w:rPr>
        <w:t>部门财政资金收支结转情况</w:t>
      </w:r>
      <w:bookmarkEnd w:id="362"/>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lang w:val="zh-CN" w:eastAsia="zh-CN"/>
        </w:rPr>
      </w:pPr>
      <w:r>
        <w:rPr>
          <w:rFonts w:hint="eastAsia" w:ascii="仿宋_GB2312" w:hAnsi="黑体" w:eastAsia="仿宋_GB2312"/>
          <w:color w:val="000000"/>
          <w:sz w:val="32"/>
          <w:szCs w:val="32"/>
          <w:lang w:val="en-US" w:eastAsia="zh-CN"/>
        </w:rPr>
        <w:t>2020年</w:t>
      </w:r>
      <w:r>
        <w:rPr>
          <w:rFonts w:hint="eastAsia" w:ascii="仿宋_GB2312" w:hAnsi="黑体" w:eastAsia="仿宋_GB2312"/>
          <w:color w:val="000000"/>
          <w:sz w:val="32"/>
          <w:szCs w:val="32"/>
        </w:rPr>
        <w:t>年末结转结余</w:t>
      </w:r>
      <w:r>
        <w:rPr>
          <w:rFonts w:hint="eastAsia" w:ascii="仿宋_GB2312" w:hAnsi="黑体" w:eastAsia="仿宋_GB2312"/>
          <w:color w:val="000000"/>
          <w:sz w:val="32"/>
          <w:szCs w:val="32"/>
          <w:lang w:val="en-US" w:eastAsia="zh-CN"/>
        </w:rPr>
        <w:t>0.26万元。</w:t>
      </w:r>
    </w:p>
    <w:p>
      <w:pPr>
        <w:widowControl/>
        <w:adjustRightInd w:val="0"/>
        <w:snapToGrid w:val="0"/>
        <w:spacing w:line="580" w:lineRule="exact"/>
        <w:ind w:firstLine="320" w:firstLineChars="100"/>
        <w:contextualSpacing/>
        <w:jc w:val="left"/>
        <w:outlineLvl w:val="0"/>
        <w:rPr>
          <w:rFonts w:hint="eastAsia" w:ascii="黑体" w:hAnsi="宋体" w:eastAsia="黑体" w:cs="宋体"/>
          <w:color w:val="000000"/>
          <w:kern w:val="0"/>
          <w:sz w:val="32"/>
          <w:szCs w:val="32"/>
          <w:shd w:val="clear" w:color="auto" w:fill="FFFFFF"/>
        </w:rPr>
      </w:pPr>
      <w:bookmarkStart w:id="363" w:name="_Toc31951"/>
      <w:bookmarkStart w:id="364" w:name="_Toc6378"/>
      <w:r>
        <w:rPr>
          <w:rFonts w:hint="eastAsia" w:ascii="黑体" w:hAnsi="宋体" w:eastAsia="黑体" w:cs="宋体"/>
          <w:color w:val="000000"/>
          <w:kern w:val="0"/>
          <w:sz w:val="32"/>
          <w:szCs w:val="32"/>
          <w:shd w:val="clear" w:color="auto" w:fill="FFFFFF"/>
        </w:rPr>
        <w:t>三、部门整体预算绩效管理情况</w:t>
      </w:r>
      <w:bookmarkEnd w:id="363"/>
      <w:bookmarkEnd w:id="364"/>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65" w:name="_Toc27262"/>
      <w:r>
        <w:rPr>
          <w:rFonts w:hint="eastAsia" w:ascii="楷体" w:hAnsi="楷体" w:eastAsia="楷体" w:cs="楷体"/>
          <w:b/>
          <w:bCs/>
          <w:color w:val="000000"/>
          <w:kern w:val="0"/>
          <w:sz w:val="32"/>
          <w:szCs w:val="32"/>
          <w:shd w:val="clear" w:color="auto" w:fill="FFFFFF"/>
          <w:lang w:val="zh-CN"/>
        </w:rPr>
        <w:t>（一）部门预算管理</w:t>
      </w:r>
      <w:bookmarkEnd w:id="36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黑体" w:eastAsia="仿宋_GB2312"/>
          <w:color w:val="000000"/>
          <w:sz w:val="32"/>
          <w:szCs w:val="32"/>
        </w:rPr>
      </w:pP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9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widowControl/>
        <w:adjustRightInd w:val="0"/>
        <w:snapToGrid w:val="0"/>
        <w:spacing w:line="580" w:lineRule="exact"/>
        <w:ind w:firstLine="643" w:firstLineChars="200"/>
        <w:contextualSpacing/>
        <w:jc w:val="left"/>
        <w:outlineLvl w:val="1"/>
        <w:rPr>
          <w:rFonts w:ascii="仿宋_GB2312" w:hAnsi="宋体" w:eastAsia="仿宋_GB2312" w:cs="宋体"/>
          <w:color w:val="000000"/>
          <w:kern w:val="0"/>
          <w:sz w:val="32"/>
          <w:szCs w:val="32"/>
          <w:shd w:val="clear" w:color="auto" w:fill="FFFFFF"/>
          <w:lang w:val="zh-CN"/>
        </w:rPr>
      </w:pPr>
      <w:bookmarkStart w:id="366" w:name="_Toc29543"/>
      <w:r>
        <w:rPr>
          <w:rFonts w:hint="eastAsia" w:ascii="楷体" w:hAnsi="楷体" w:eastAsia="楷体" w:cs="楷体"/>
          <w:b/>
          <w:bCs/>
          <w:color w:val="000000"/>
          <w:kern w:val="0"/>
          <w:sz w:val="32"/>
          <w:szCs w:val="32"/>
          <w:shd w:val="clear" w:color="auto" w:fill="FFFFFF"/>
          <w:lang w:val="zh-CN"/>
        </w:rPr>
        <w:t>（二）结果应用情况</w:t>
      </w:r>
      <w:bookmarkEnd w:id="366"/>
    </w:p>
    <w:p>
      <w:pPr>
        <w:widowControl/>
        <w:adjustRightInd w:val="0"/>
        <w:snapToGrid w:val="0"/>
        <w:spacing w:line="580" w:lineRule="exact"/>
        <w:ind w:firstLine="640" w:firstLineChars="200"/>
        <w:contextualSpacing/>
        <w:jc w:val="left"/>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lang w:eastAsia="zh-CN"/>
        </w:rPr>
        <w:t>单位能</w:t>
      </w:r>
      <w:r>
        <w:rPr>
          <w:rFonts w:hint="eastAsia" w:ascii="仿宋_GB2312" w:hAnsi="黑体" w:eastAsia="仿宋_GB2312"/>
          <w:color w:val="000000"/>
          <w:sz w:val="32"/>
          <w:szCs w:val="32"/>
        </w:rPr>
        <w:t>有效履行部门职责、满意度高</w:t>
      </w:r>
      <w:r>
        <w:rPr>
          <w:rFonts w:hint="eastAsia" w:ascii="仿宋_GB2312" w:hAnsi="黑体" w:eastAsia="仿宋_GB2312"/>
          <w:color w:val="000000"/>
          <w:sz w:val="32"/>
          <w:szCs w:val="32"/>
          <w:lang w:eastAsia="zh-CN"/>
        </w:rPr>
        <w:t>。</w:t>
      </w:r>
    </w:p>
    <w:p>
      <w:pPr>
        <w:widowControl/>
        <w:adjustRightInd w:val="0"/>
        <w:snapToGrid w:val="0"/>
        <w:spacing w:line="580" w:lineRule="exact"/>
        <w:ind w:firstLine="640" w:firstLineChars="200"/>
        <w:contextualSpacing/>
        <w:jc w:val="left"/>
        <w:outlineLvl w:val="0"/>
        <w:rPr>
          <w:rFonts w:hint="eastAsia" w:ascii="黑体" w:hAnsi="宋体" w:eastAsia="黑体" w:cs="宋体"/>
          <w:color w:val="000000"/>
          <w:kern w:val="0"/>
          <w:sz w:val="32"/>
          <w:szCs w:val="32"/>
          <w:shd w:val="clear" w:color="auto" w:fill="FFFFFF"/>
        </w:rPr>
      </w:pPr>
      <w:bookmarkStart w:id="367" w:name="_Toc23610"/>
      <w:bookmarkStart w:id="368" w:name="_Toc15273"/>
      <w:r>
        <w:rPr>
          <w:rFonts w:hint="eastAsia" w:ascii="黑体" w:hAnsi="宋体" w:eastAsia="黑体" w:cs="宋体"/>
          <w:color w:val="000000"/>
          <w:kern w:val="0"/>
          <w:sz w:val="32"/>
          <w:szCs w:val="32"/>
          <w:shd w:val="clear" w:color="auto" w:fill="FFFFFF"/>
        </w:rPr>
        <w:t>四、评价结论及建议</w:t>
      </w:r>
      <w:bookmarkEnd w:id="367"/>
      <w:bookmarkEnd w:id="368"/>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69" w:name="_Toc26140"/>
      <w:r>
        <w:rPr>
          <w:rFonts w:hint="eastAsia" w:ascii="楷体" w:hAnsi="楷体" w:eastAsia="楷体" w:cs="楷体"/>
          <w:b/>
          <w:bCs/>
          <w:color w:val="000000"/>
          <w:kern w:val="0"/>
          <w:sz w:val="32"/>
          <w:szCs w:val="32"/>
          <w:shd w:val="clear" w:color="auto" w:fill="FFFFFF"/>
          <w:lang w:val="zh-CN"/>
        </w:rPr>
        <w:t>（一）评价结论</w:t>
      </w:r>
      <w:bookmarkEnd w:id="369"/>
    </w:p>
    <w:p>
      <w:pPr>
        <w:pStyle w:val="5"/>
        <w:keepNext/>
        <w:keepLines/>
        <w:pageBreakBefore w:val="0"/>
        <w:widowControl w:val="0"/>
        <w:numPr>
          <w:ilvl w:val="0"/>
          <w:numId w:val="0"/>
        </w:numPr>
        <w:kinsoku/>
        <w:wordWrap/>
        <w:overflowPunct/>
        <w:topLinePunct w:val="0"/>
        <w:autoSpaceDE/>
        <w:autoSpaceDN/>
        <w:bidi w:val="0"/>
        <w:adjustRightInd/>
        <w:snapToGrid/>
        <w:spacing w:before="0" w:after="0" w:line="576" w:lineRule="exact"/>
        <w:ind w:firstLine="640" w:firstLineChars="200"/>
        <w:textAlignment w:val="auto"/>
        <w:rPr>
          <w:rFonts w:hint="eastAsia" w:ascii="仿宋_GB2312" w:hAnsi="黑体" w:eastAsia="仿宋_GB2312" w:cs="Times New Roman"/>
          <w:b w:val="0"/>
          <w:bCs w:val="0"/>
          <w:color w:val="000000"/>
          <w:kern w:val="2"/>
          <w:sz w:val="32"/>
          <w:szCs w:val="32"/>
          <w:lang w:val="zh-CN" w:eastAsia="zh-CN" w:bidi="ar-SA"/>
        </w:rPr>
      </w:pPr>
      <w:bookmarkStart w:id="370" w:name="_Toc18070"/>
      <w:bookmarkStart w:id="371" w:name="_Toc22276"/>
      <w:bookmarkStart w:id="372" w:name="_Toc4796"/>
      <w:bookmarkStart w:id="373" w:name="_Toc22661"/>
      <w:bookmarkStart w:id="374" w:name="_Toc6284"/>
      <w:bookmarkStart w:id="375" w:name="_Toc13446"/>
      <w:bookmarkStart w:id="376" w:name="_Toc25180"/>
      <w:bookmarkStart w:id="377" w:name="_Toc16895"/>
      <w:bookmarkStart w:id="378" w:name="_Toc27985"/>
      <w:r>
        <w:rPr>
          <w:rFonts w:hint="eastAsia" w:ascii="仿宋_GB2312" w:hAnsi="黑体" w:eastAsia="仿宋_GB2312" w:cs="Times New Roman"/>
          <w:b w:val="0"/>
          <w:bCs w:val="0"/>
          <w:color w:val="000000"/>
          <w:kern w:val="2"/>
          <w:sz w:val="32"/>
          <w:szCs w:val="32"/>
          <w:lang w:val="en-US" w:eastAsia="zh-CN" w:bidi="ar-SA"/>
        </w:rPr>
        <w:t>单位对照《县级部门整体支出绩效评价指标体系表》中各项具体指标</w:t>
      </w:r>
      <w:r>
        <w:rPr>
          <w:rFonts w:hint="eastAsia" w:ascii="仿宋_GB2312" w:hAnsi="仿宋_GB2312" w:eastAsia="仿宋_GB2312" w:cs="仿宋_GB2312"/>
          <w:b w:val="0"/>
          <w:bCs w:val="0"/>
          <w:kern w:val="2"/>
          <w:sz w:val="32"/>
          <w:szCs w:val="32"/>
          <w:highlight w:val="none"/>
          <w:lang w:val="en-US" w:eastAsia="zh-CN" w:bidi="ar-SA"/>
        </w:rPr>
        <w:t>认真开展自评工作，经自评，单位部门整体支出均按照相应的规章制度和要求执行</w:t>
      </w:r>
      <w:r>
        <w:rPr>
          <w:rFonts w:hint="eastAsia" w:ascii="仿宋_GB2312" w:hAnsi="黑体" w:eastAsia="仿宋_GB2312" w:cs="Times New Roman"/>
          <w:b w:val="0"/>
          <w:bCs w:val="0"/>
          <w:color w:val="000000"/>
          <w:kern w:val="2"/>
          <w:sz w:val="32"/>
          <w:szCs w:val="32"/>
          <w:lang w:val="en-US" w:eastAsia="zh-CN" w:bidi="ar-SA"/>
        </w:rPr>
        <w:t>办理，部门整体支出绩效评价得89分。</w:t>
      </w:r>
      <w:bookmarkEnd w:id="370"/>
      <w:bookmarkEnd w:id="371"/>
      <w:bookmarkEnd w:id="372"/>
      <w:bookmarkEnd w:id="373"/>
      <w:bookmarkEnd w:id="374"/>
      <w:bookmarkEnd w:id="375"/>
      <w:bookmarkEnd w:id="376"/>
      <w:bookmarkEnd w:id="377"/>
      <w:bookmarkEnd w:id="378"/>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79" w:name="_Toc31125"/>
      <w:r>
        <w:rPr>
          <w:rFonts w:hint="eastAsia" w:ascii="楷体" w:hAnsi="楷体" w:eastAsia="楷体" w:cs="楷体"/>
          <w:b/>
          <w:bCs/>
          <w:color w:val="000000"/>
          <w:kern w:val="0"/>
          <w:sz w:val="32"/>
          <w:szCs w:val="32"/>
          <w:shd w:val="clear" w:color="auto" w:fill="FFFFFF"/>
          <w:lang w:val="zh-CN"/>
        </w:rPr>
        <w:t>（二）存在问题</w:t>
      </w:r>
      <w:bookmarkEnd w:id="379"/>
    </w:p>
    <w:p>
      <w:pPr>
        <w:pStyle w:val="33"/>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olor w:val="000000"/>
          <w:sz w:val="32"/>
          <w:szCs w:val="32"/>
          <w:shd w:val="clear" w:color="auto" w:fill="FFFFFF"/>
        </w:rPr>
        <w:t>单位对部门支出相关规章制度落实力度不够，执行能力不强，在票据报销规范性方面的管理及账务处理上不够规范细致。</w:t>
      </w:r>
    </w:p>
    <w:p>
      <w:pPr>
        <w:widowControl/>
        <w:numPr>
          <w:ilvl w:val="0"/>
          <w:numId w:val="0"/>
        </w:numPr>
        <w:adjustRightInd w:val="0"/>
        <w:snapToGrid w:val="0"/>
        <w:spacing w:line="580" w:lineRule="exact"/>
        <w:ind w:firstLine="643" w:firstLineChars="200"/>
        <w:contextualSpacing/>
        <w:jc w:val="left"/>
        <w:outlineLvl w:val="1"/>
        <w:rPr>
          <w:rFonts w:hint="eastAsia" w:ascii="楷体" w:hAnsi="楷体" w:eastAsia="楷体" w:cs="楷体"/>
          <w:b/>
          <w:bCs/>
          <w:color w:val="000000"/>
          <w:kern w:val="0"/>
          <w:sz w:val="32"/>
          <w:szCs w:val="32"/>
          <w:shd w:val="clear" w:color="auto" w:fill="FFFFFF"/>
          <w:lang w:val="zh-CN"/>
        </w:rPr>
      </w:pPr>
      <w:bookmarkStart w:id="380" w:name="_Toc1118"/>
      <w:r>
        <w:rPr>
          <w:rFonts w:hint="eastAsia" w:ascii="楷体" w:hAnsi="楷体" w:eastAsia="楷体" w:cs="楷体"/>
          <w:b/>
          <w:bCs/>
          <w:color w:val="000000"/>
          <w:kern w:val="0"/>
          <w:sz w:val="32"/>
          <w:szCs w:val="32"/>
          <w:shd w:val="clear" w:color="auto" w:fill="FFFFFF"/>
          <w:lang w:val="zh-CN"/>
        </w:rPr>
        <w:t>（三）改进建议</w:t>
      </w:r>
      <w:bookmarkEnd w:id="38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spacing w:line="580" w:lineRule="exact"/>
        <w:rPr>
          <w:rFonts w:ascii="仿宋_GB2312" w:hAnsi="仿宋_GB2312" w:eastAsia="仿宋_GB2312" w:cs="仿宋_GB2312"/>
          <w:sz w:val="32"/>
          <w:szCs w:val="32"/>
        </w:rPr>
      </w:pPr>
    </w:p>
    <w:p>
      <w:pPr>
        <w:pStyle w:val="4"/>
        <w:outlineLvl w:val="9"/>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4"/>
        <w:outlineLvl w:val="9"/>
        <w:rPr>
          <w:rFonts w:ascii="仿宋_GB2312" w:hAnsi="仿宋_GB2312" w:eastAsia="仿宋_GB2312" w:cs="仿宋_GB2312"/>
          <w:sz w:val="32"/>
          <w:szCs w:val="32"/>
        </w:rPr>
      </w:pPr>
    </w:p>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ascii="方正小标宋简体" w:hAnsi="黑体" w:eastAsia="方正小标宋简体" w:cs="黑体"/>
          <w:sz w:val="44"/>
          <w:szCs w:val="44"/>
          <w:highlight w:val="none"/>
        </w:rPr>
      </w:pPr>
      <w:bookmarkStart w:id="381" w:name="_Toc1751"/>
      <w:bookmarkStart w:id="382" w:name="_Toc30653"/>
      <w:bookmarkStart w:id="383" w:name="_Toc21722"/>
      <w:bookmarkStart w:id="384" w:name="_Toc571"/>
      <w:bookmarkStart w:id="385" w:name="_Toc14504"/>
      <w:bookmarkStart w:id="386" w:name="_Toc10535"/>
      <w:bookmarkStart w:id="387" w:name="_Toc23554"/>
      <w:bookmarkStart w:id="388" w:name="_Toc79163634"/>
      <w:bookmarkStart w:id="389" w:name="_Toc79163884"/>
      <w:r>
        <w:rPr>
          <w:rFonts w:hint="eastAsia" w:ascii="方正小标宋简体" w:eastAsia="方正小标宋简体"/>
          <w:w w:val="93"/>
          <w:sz w:val="44"/>
          <w:szCs w:val="44"/>
          <w:lang w:val="en-US" w:eastAsia="zh-CN"/>
        </w:rPr>
        <w:t>东西部扶贫协作和省内对口支援第一批茂县</w:t>
      </w:r>
      <w:r>
        <w:rPr>
          <w:rFonts w:hint="eastAsia" w:ascii="方正小标宋简体" w:eastAsia="方正小标宋简体"/>
          <w:w w:val="93"/>
          <w:sz w:val="44"/>
          <w:szCs w:val="44"/>
          <w:lang w:eastAsia="zh-CN"/>
        </w:rPr>
        <w:t>党政干部</w:t>
      </w:r>
      <w:r>
        <w:rPr>
          <w:rFonts w:hint="eastAsia" w:ascii="方正小标宋简体" w:eastAsia="方正小标宋简体"/>
          <w:w w:val="93"/>
          <w:sz w:val="44"/>
          <w:szCs w:val="44"/>
          <w:highlight w:val="none"/>
          <w:lang w:eastAsia="zh-CN"/>
        </w:rPr>
        <w:t>培训项目</w:t>
      </w:r>
      <w:r>
        <w:rPr>
          <w:rFonts w:hint="eastAsia" w:ascii="方正小标宋简体" w:hAnsi="黑体" w:eastAsia="方正小标宋简体" w:cs="黑体"/>
          <w:sz w:val="44"/>
          <w:szCs w:val="44"/>
          <w:highlight w:val="none"/>
        </w:rPr>
        <w:t>2020年绩效评价报告</w:t>
      </w:r>
      <w:bookmarkEnd w:id="381"/>
      <w:bookmarkEnd w:id="382"/>
      <w:bookmarkEnd w:id="383"/>
      <w:bookmarkEnd w:id="384"/>
      <w:bookmarkEnd w:id="385"/>
      <w:bookmarkEnd w:id="386"/>
      <w:bookmarkEnd w:id="387"/>
      <w:bookmarkEnd w:id="388"/>
      <w:bookmarkEnd w:id="389"/>
    </w:p>
    <w:p>
      <w:pPr>
        <w:spacing w:line="600" w:lineRule="exact"/>
        <w:rPr>
          <w:rFonts w:ascii="宋体"/>
          <w:sz w:val="32"/>
          <w:szCs w:val="32"/>
          <w:lang w:val="zh-CN"/>
        </w:rPr>
      </w:pP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lang w:val="zh-CN"/>
        </w:rPr>
      </w:pPr>
      <w:bookmarkStart w:id="390" w:name="_Toc12142"/>
      <w:r>
        <w:rPr>
          <w:rFonts w:hint="eastAsia" w:ascii="黑体" w:hAnsi="宋体" w:eastAsia="黑体" w:cs="宋体"/>
          <w:color w:val="000000"/>
          <w:kern w:val="0"/>
          <w:sz w:val="32"/>
          <w:szCs w:val="32"/>
          <w:shd w:val="clear" w:color="auto" w:fill="FFFFFF"/>
          <w:lang w:val="zh-CN"/>
        </w:rPr>
        <w:t>一、项目概况</w:t>
      </w:r>
      <w:bookmarkEnd w:id="39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根据东西部扶贫协作工作安排</w:t>
      </w:r>
      <w:r>
        <w:rPr>
          <w:rFonts w:hint="eastAsia" w:ascii="仿宋_GB2312" w:hAnsi="宋体" w:eastAsia="仿宋_GB2312"/>
          <w:color w:val="000000"/>
          <w:sz w:val="32"/>
          <w:szCs w:val="32"/>
          <w:shd w:val="clear" w:color="auto" w:fill="FFFFFF"/>
          <w:lang w:eastAsia="zh-CN"/>
        </w:rPr>
        <w:t>，</w:t>
      </w:r>
      <w:r>
        <w:rPr>
          <w:rFonts w:hint="eastAsia" w:ascii="仿宋_GB2312" w:hAnsi="宋体" w:eastAsia="仿宋_GB2312"/>
          <w:color w:val="000000"/>
          <w:sz w:val="32"/>
          <w:szCs w:val="32"/>
          <w:shd w:val="clear" w:color="auto" w:fill="FFFFFF"/>
        </w:rPr>
        <w:t>2020年实施</w:t>
      </w:r>
      <w:r>
        <w:rPr>
          <w:rFonts w:hint="eastAsia" w:ascii="仿宋_GB2312" w:hAnsi="宋体" w:eastAsia="仿宋_GB2312"/>
          <w:color w:val="000000"/>
          <w:sz w:val="32"/>
          <w:szCs w:val="32"/>
          <w:shd w:val="clear" w:color="auto" w:fill="FFFFFF"/>
          <w:lang w:eastAsia="zh-CN"/>
        </w:rPr>
        <w:t>东西部扶贫协作和省内对口支援茂县党政干部教育培训项目资金（第一批）</w:t>
      </w:r>
      <w:r>
        <w:rPr>
          <w:rFonts w:hint="eastAsia" w:ascii="仿宋_GB2312" w:hAnsi="宋体" w:eastAsia="仿宋_GB2312"/>
          <w:color w:val="000000"/>
          <w:sz w:val="32"/>
          <w:szCs w:val="32"/>
          <w:shd w:val="clear" w:color="auto" w:fill="FFFFFF"/>
          <w:lang w:val="en-US" w:eastAsia="zh-CN"/>
        </w:rPr>
        <w:t>100万元，培训使用资金99.53万元。培训党政干部人才430人，</w:t>
      </w:r>
      <w:r>
        <w:rPr>
          <w:rFonts w:hint="eastAsia" w:ascii="仿宋_GB2312" w:hAnsi="宋体" w:eastAsia="仿宋_GB2312"/>
          <w:color w:val="000000"/>
          <w:sz w:val="32"/>
          <w:szCs w:val="32"/>
          <w:shd w:val="clear" w:color="auto" w:fill="FFFFFF"/>
          <w:lang w:val="zh-CN" w:eastAsia="zh-CN"/>
        </w:rPr>
        <w:t>举办</w:t>
      </w:r>
      <w:r>
        <w:rPr>
          <w:rFonts w:hint="eastAsia" w:ascii="仿宋_GB2312" w:hAnsi="宋体" w:eastAsia="仿宋_GB2312"/>
          <w:color w:val="000000"/>
          <w:sz w:val="32"/>
          <w:szCs w:val="32"/>
          <w:shd w:val="clear" w:color="auto" w:fill="FFFFFF"/>
          <w:lang w:val="en-US" w:eastAsia="zh-CN"/>
        </w:rPr>
        <w:t>培训班7期（其中</w:t>
      </w:r>
      <w:r>
        <w:rPr>
          <w:rFonts w:hint="eastAsia" w:ascii="仿宋_GB2312" w:hAnsi="宋体" w:eastAsia="仿宋_GB2312"/>
          <w:color w:val="000000"/>
          <w:sz w:val="32"/>
          <w:szCs w:val="32"/>
          <w:shd w:val="clear" w:color="auto" w:fill="FFFFFF"/>
          <w:lang w:val="zh-CN" w:eastAsia="zh-CN"/>
        </w:rPr>
        <w:t>：举办贫困村第一书记暨驻村工作队队长培训班</w:t>
      </w:r>
      <w:r>
        <w:rPr>
          <w:rFonts w:hint="eastAsia" w:ascii="仿宋_GB2312" w:hAnsi="宋体" w:eastAsia="仿宋_GB2312"/>
          <w:color w:val="000000"/>
          <w:sz w:val="32"/>
          <w:szCs w:val="32"/>
          <w:shd w:val="clear" w:color="auto" w:fill="FFFFFF"/>
          <w:lang w:val="en-US" w:eastAsia="zh-CN"/>
        </w:rPr>
        <w:t>1期，经费5.55万元；年轻干部铸魂工程暨优秀青年干部提能培训班1期，经费12.91万元；全县五星党员培训班1期，经费13.49万元；纪检监察干部综合业务培训班1期，经费13.65万元；网络意识形态培训班1期，经费5.81万元；基层治理能手暨乡村振兴培训班2期，经费11.78万元；选派29名党政干部人才挂职跟岗学习，经费36.35万元。</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bCs/>
          <w:color w:val="000000"/>
          <w:kern w:val="0"/>
          <w:sz w:val="32"/>
          <w:szCs w:val="32"/>
          <w:shd w:val="clear" w:color="auto" w:fill="FFFFFF"/>
          <w:lang w:val="zh-CN"/>
        </w:rPr>
      </w:pPr>
      <w:bookmarkStart w:id="391" w:name="_Toc16996"/>
      <w:r>
        <w:rPr>
          <w:rFonts w:hint="eastAsia" w:ascii="楷体" w:hAnsi="楷体" w:eastAsia="楷体" w:cs="楷体"/>
          <w:b/>
          <w:bCs/>
          <w:color w:val="000000"/>
          <w:kern w:val="0"/>
          <w:sz w:val="32"/>
          <w:szCs w:val="32"/>
          <w:shd w:val="clear" w:color="auto" w:fill="FFFFFF"/>
          <w:lang w:val="zh-CN"/>
        </w:rPr>
        <w:t>（一）项目资金申报及批复情况</w:t>
      </w:r>
      <w:bookmarkEnd w:id="391"/>
    </w:p>
    <w:p>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eastAsia="zh-CN"/>
        </w:rPr>
      </w:pPr>
      <w:r>
        <w:rPr>
          <w:rFonts w:hint="eastAsia" w:ascii="仿宋_GB2312" w:hAnsi="宋体" w:eastAsia="仿宋_GB2312"/>
          <w:color w:val="000000"/>
          <w:sz w:val="32"/>
          <w:szCs w:val="32"/>
          <w:shd w:val="clear" w:color="auto" w:fill="FFFFFF"/>
          <w:lang w:val="zh-CN" w:eastAsia="zh-CN"/>
        </w:rPr>
        <w:t>经</w:t>
      </w:r>
      <w:r>
        <w:rPr>
          <w:rFonts w:hint="eastAsia" w:ascii="仿宋_GB2312" w:hAnsi="宋体" w:eastAsia="仿宋_GB2312"/>
          <w:color w:val="000000"/>
          <w:sz w:val="32"/>
          <w:szCs w:val="32"/>
          <w:shd w:val="clear" w:color="auto" w:fill="FFFFFF"/>
          <w:lang w:val="en-US" w:eastAsia="zh-CN"/>
        </w:rPr>
        <w:t>县东西部扶贫协作和对口支援工作领导小组会通过了</w:t>
      </w:r>
      <w:r>
        <w:rPr>
          <w:rFonts w:hint="eastAsia" w:ascii="仿宋_GB2312" w:hAnsi="宋体" w:eastAsia="仿宋_GB2312"/>
          <w:color w:val="000000"/>
          <w:sz w:val="32"/>
          <w:szCs w:val="32"/>
          <w:shd w:val="clear" w:color="auto" w:fill="FFFFFF"/>
          <w:lang w:val="zh-CN" w:eastAsia="zh-CN"/>
        </w:rPr>
        <w:t>县委组织部《关于2020年东西部扶贫协作和对口支援党政干部培训项目实施方案的请示》（</w:t>
      </w:r>
      <w:r>
        <w:rPr>
          <w:rFonts w:hint="eastAsia" w:ascii="仿宋_GB2312" w:hAnsi="宋体" w:eastAsia="仿宋_GB2312"/>
          <w:color w:val="000000"/>
          <w:sz w:val="32"/>
          <w:szCs w:val="32"/>
          <w:shd w:val="clear" w:color="auto" w:fill="FFFFFF"/>
          <w:lang w:val="en-US" w:eastAsia="zh-CN"/>
        </w:rPr>
        <w:t>茂委组报〔2020〕29号</w:t>
      </w:r>
      <w:r>
        <w:rPr>
          <w:rFonts w:hint="eastAsia" w:ascii="仿宋_GB2312" w:hAnsi="宋体" w:eastAsia="仿宋_GB2312"/>
          <w:color w:val="000000"/>
          <w:sz w:val="32"/>
          <w:szCs w:val="32"/>
          <w:shd w:val="clear" w:color="auto" w:fill="FFFFFF"/>
          <w:lang w:val="zh-CN" w:eastAsia="zh-CN"/>
        </w:rPr>
        <w:t>），</w:t>
      </w:r>
      <w:r>
        <w:rPr>
          <w:rFonts w:hint="eastAsia" w:ascii="仿宋_GB2312" w:hAnsi="宋体" w:eastAsia="仿宋_GB2312"/>
          <w:color w:val="000000"/>
          <w:sz w:val="32"/>
          <w:szCs w:val="32"/>
          <w:shd w:val="clear" w:color="auto" w:fill="FFFFFF"/>
          <w:lang w:val="en-US" w:eastAsia="zh-CN"/>
        </w:rPr>
        <w:t>2020年3月9日，县</w:t>
      </w:r>
      <w:r>
        <w:rPr>
          <w:rFonts w:hint="eastAsia" w:ascii="仿宋_GB2312" w:hAnsi="宋体" w:eastAsia="仿宋_GB2312"/>
          <w:color w:val="000000"/>
          <w:sz w:val="32"/>
          <w:szCs w:val="32"/>
          <w:shd w:val="clear" w:color="auto" w:fill="FFFFFF"/>
          <w:lang w:val="zh-CN" w:eastAsia="zh-CN"/>
        </w:rPr>
        <w:t>财政局划拨资金</w:t>
      </w:r>
      <w:r>
        <w:rPr>
          <w:rFonts w:hint="eastAsia" w:ascii="仿宋_GB2312" w:hAnsi="宋体" w:eastAsia="仿宋_GB2312"/>
          <w:color w:val="000000"/>
          <w:sz w:val="32"/>
          <w:szCs w:val="32"/>
          <w:shd w:val="clear" w:color="auto" w:fill="FFFFFF"/>
          <w:lang w:val="en-US" w:eastAsia="zh-CN"/>
        </w:rPr>
        <w:t>100万元</w:t>
      </w:r>
      <w:r>
        <w:rPr>
          <w:rFonts w:hint="eastAsia" w:ascii="仿宋_GB2312" w:hAnsi="宋体" w:eastAsia="仿宋_GB2312"/>
          <w:color w:val="000000"/>
          <w:sz w:val="32"/>
          <w:szCs w:val="32"/>
          <w:shd w:val="clear" w:color="auto" w:fill="FFFFFF"/>
          <w:lang w:val="zh-CN" w:eastAsia="zh-CN"/>
        </w:rPr>
        <w:t>。</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bCs/>
          <w:color w:val="000000"/>
          <w:kern w:val="0"/>
          <w:sz w:val="32"/>
          <w:szCs w:val="32"/>
          <w:shd w:val="clear" w:color="auto" w:fill="FFFFFF"/>
          <w:lang w:val="zh-CN"/>
        </w:rPr>
      </w:pPr>
      <w:bookmarkStart w:id="392" w:name="_Toc23559"/>
      <w:r>
        <w:rPr>
          <w:rFonts w:hint="eastAsia" w:ascii="楷体" w:hAnsi="楷体" w:eastAsia="楷体" w:cs="楷体"/>
          <w:b/>
          <w:bCs/>
          <w:color w:val="000000"/>
          <w:kern w:val="0"/>
          <w:sz w:val="32"/>
          <w:szCs w:val="32"/>
          <w:shd w:val="clear" w:color="auto" w:fill="FFFFFF"/>
          <w:lang w:val="zh-CN"/>
        </w:rPr>
        <w:t>（二）项目绩效目标</w:t>
      </w:r>
      <w:bookmarkEnd w:id="39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rPr>
        <w:t>为</w:t>
      </w:r>
      <w:r>
        <w:rPr>
          <w:rFonts w:hint="eastAsia" w:ascii="仿宋_GB2312" w:hAnsi="宋体" w:eastAsia="仿宋_GB2312"/>
          <w:color w:val="000000"/>
          <w:sz w:val="32"/>
          <w:szCs w:val="32"/>
          <w:shd w:val="clear" w:color="auto" w:fill="FFFFFF"/>
        </w:rPr>
        <w:t>进一步加强干部队伍专业化建设，根据中央、省、州关于干部教育培训相关要求，立足茂县县情，</w:t>
      </w:r>
      <w:r>
        <w:rPr>
          <w:rFonts w:hint="eastAsia" w:ascii="仿宋_GB2312" w:hAnsi="宋体" w:eastAsia="仿宋_GB2312"/>
          <w:color w:val="000000"/>
          <w:sz w:val="32"/>
          <w:szCs w:val="32"/>
          <w:shd w:val="clear" w:color="auto" w:fill="FFFFFF"/>
          <w:lang w:eastAsia="zh-CN"/>
        </w:rPr>
        <w:t>结合</w:t>
      </w:r>
      <w:r>
        <w:rPr>
          <w:rFonts w:hint="eastAsia" w:ascii="仿宋_GB2312" w:hAnsi="宋体" w:eastAsia="仿宋_GB2312"/>
          <w:color w:val="000000"/>
          <w:sz w:val="32"/>
          <w:szCs w:val="32"/>
          <w:shd w:val="clear" w:color="auto" w:fill="FFFFFF"/>
        </w:rPr>
        <w:t>中心工作，围绕重点内容，扎实开展干部教育培训</w:t>
      </w:r>
      <w:r>
        <w:rPr>
          <w:rFonts w:hint="eastAsia" w:ascii="仿宋_GB2312" w:hAnsi="宋体" w:eastAsia="仿宋_GB2312"/>
          <w:color w:val="000000"/>
          <w:sz w:val="32"/>
          <w:szCs w:val="32"/>
          <w:shd w:val="clear" w:color="auto" w:fill="FFFFFF"/>
          <w:lang w:eastAsia="zh-CN"/>
        </w:rPr>
        <w:t>，</w:t>
      </w:r>
      <w:r>
        <w:rPr>
          <w:rFonts w:hint="eastAsia" w:ascii="仿宋_GB2312" w:hAnsi="宋体" w:eastAsia="仿宋_GB2312"/>
          <w:color w:val="000000"/>
          <w:sz w:val="32"/>
          <w:szCs w:val="32"/>
          <w:shd w:val="clear" w:color="auto" w:fill="FFFFFF"/>
        </w:rPr>
        <w:t>举办</w:t>
      </w:r>
      <w:r>
        <w:rPr>
          <w:rFonts w:hint="eastAsia" w:ascii="仿宋_GB2312" w:hAnsi="宋体" w:eastAsia="仿宋_GB2312"/>
          <w:color w:val="000000"/>
          <w:sz w:val="32"/>
          <w:szCs w:val="32"/>
          <w:shd w:val="clear" w:color="auto" w:fill="FFFFFF"/>
          <w:lang w:val="en-US" w:eastAsia="zh-CN"/>
        </w:rPr>
        <w:t>7</w:t>
      </w:r>
      <w:r>
        <w:rPr>
          <w:rFonts w:hint="eastAsia" w:ascii="仿宋_GB2312" w:hAnsi="宋体" w:eastAsia="仿宋_GB2312"/>
          <w:color w:val="000000"/>
          <w:sz w:val="32"/>
          <w:szCs w:val="32"/>
          <w:shd w:val="clear" w:color="auto" w:fill="FFFFFF"/>
        </w:rPr>
        <w:t>期培训班，培训</w:t>
      </w:r>
      <w:r>
        <w:rPr>
          <w:rFonts w:hint="eastAsia" w:ascii="仿宋_GB2312" w:hAnsi="宋体" w:eastAsia="仿宋_GB2312"/>
          <w:color w:val="000000"/>
          <w:sz w:val="32"/>
          <w:szCs w:val="32"/>
          <w:shd w:val="clear" w:color="auto" w:fill="FFFFFF"/>
          <w:lang w:eastAsia="zh-CN"/>
        </w:rPr>
        <w:t>党政</w:t>
      </w:r>
      <w:r>
        <w:rPr>
          <w:rFonts w:hint="eastAsia" w:ascii="仿宋_GB2312" w:hAnsi="宋体" w:eastAsia="仿宋_GB2312"/>
          <w:color w:val="000000"/>
          <w:sz w:val="32"/>
          <w:szCs w:val="32"/>
          <w:shd w:val="clear" w:color="auto" w:fill="FFFFFF"/>
        </w:rPr>
        <w:t>干部人才</w:t>
      </w:r>
      <w:r>
        <w:rPr>
          <w:rFonts w:hint="eastAsia" w:ascii="仿宋_GB2312" w:hAnsi="宋体" w:eastAsia="仿宋_GB2312"/>
          <w:color w:val="000000"/>
          <w:sz w:val="32"/>
          <w:szCs w:val="32"/>
          <w:shd w:val="clear" w:color="auto" w:fill="FFFFFF"/>
          <w:lang w:val="en-US" w:eastAsia="zh-CN"/>
        </w:rPr>
        <w:t>430</w:t>
      </w:r>
      <w:r>
        <w:rPr>
          <w:rFonts w:hint="eastAsia" w:ascii="仿宋_GB2312" w:hAnsi="宋体" w:eastAsia="仿宋_GB2312"/>
          <w:color w:val="000000"/>
          <w:sz w:val="32"/>
          <w:szCs w:val="32"/>
          <w:shd w:val="clear" w:color="auto" w:fill="FFFFFF"/>
        </w:rPr>
        <w:t>人。</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bCs/>
          <w:color w:val="000000"/>
          <w:kern w:val="0"/>
          <w:sz w:val="32"/>
          <w:szCs w:val="32"/>
          <w:shd w:val="clear" w:color="auto" w:fill="FFFFFF"/>
          <w:lang w:val="zh-CN"/>
        </w:rPr>
      </w:pPr>
      <w:bookmarkStart w:id="393" w:name="_Toc26878"/>
      <w:r>
        <w:rPr>
          <w:rFonts w:hint="eastAsia" w:ascii="楷体" w:hAnsi="楷体" w:eastAsia="楷体" w:cs="楷体"/>
          <w:b/>
          <w:bCs/>
          <w:color w:val="000000"/>
          <w:kern w:val="0"/>
          <w:sz w:val="32"/>
          <w:szCs w:val="32"/>
          <w:shd w:val="clear" w:color="auto" w:fill="FFFFFF"/>
          <w:lang w:val="zh-CN"/>
        </w:rPr>
        <w:t>（三）项目资金申报相符性</w:t>
      </w:r>
      <w:bookmarkEnd w:id="39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项目申报内容与具体实施内容相符、申报目标合理。</w:t>
      </w: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rPr>
      </w:pPr>
      <w:bookmarkStart w:id="394" w:name="_Toc43"/>
      <w:r>
        <w:rPr>
          <w:rFonts w:hint="eastAsia" w:ascii="黑体" w:hAnsi="宋体" w:eastAsia="黑体" w:cs="宋体"/>
          <w:color w:val="000000"/>
          <w:kern w:val="0"/>
          <w:sz w:val="32"/>
          <w:szCs w:val="32"/>
          <w:shd w:val="clear" w:color="auto" w:fill="FFFFFF"/>
        </w:rPr>
        <w:t>二、项目实施及管理情况</w:t>
      </w:r>
      <w:bookmarkEnd w:id="394"/>
    </w:p>
    <w:p>
      <w:pPr>
        <w:widowControl/>
        <w:numPr>
          <w:ilvl w:val="0"/>
          <w:numId w:val="0"/>
        </w:numPr>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ab/>
      </w:r>
      <w:bookmarkStart w:id="395" w:name="_Toc23899"/>
      <w:r>
        <w:rPr>
          <w:rFonts w:hint="eastAsia" w:ascii="楷体" w:hAnsi="楷体" w:eastAsia="楷体" w:cs="楷体"/>
          <w:b/>
          <w:bCs/>
          <w:color w:val="000000"/>
          <w:kern w:val="0"/>
          <w:sz w:val="32"/>
          <w:szCs w:val="32"/>
          <w:shd w:val="clear" w:color="auto" w:fill="FFFFFF"/>
          <w:lang w:val="zh-CN"/>
        </w:rPr>
        <w:t>（一）资金计划、到位及使用情况</w:t>
      </w:r>
      <w:bookmarkEnd w:id="39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zh-CN" w:eastAsia="zh-CN"/>
        </w:rPr>
        <w:t>资金计划及到位。</w:t>
      </w:r>
      <w:r>
        <w:rPr>
          <w:rFonts w:hint="eastAsia" w:ascii="仿宋_GB2312" w:hAnsi="宋体" w:eastAsia="仿宋_GB2312"/>
          <w:color w:val="000000"/>
          <w:sz w:val="32"/>
          <w:szCs w:val="32"/>
          <w:shd w:val="clear" w:color="auto" w:fill="FFFFFF"/>
          <w:lang w:val="en-US" w:eastAsia="zh-CN"/>
        </w:rPr>
        <w:t>2020年3月9日，县财政局划拨县委组织部东西部扶贫协作和省内对口支援茂县党政干部教育培训项目资金（第一批）</w:t>
      </w:r>
      <w:r>
        <w:rPr>
          <w:rFonts w:hint="eastAsia" w:ascii="仿宋_GB2312" w:hAnsi="宋体" w:eastAsia="仿宋_GB2312"/>
          <w:color w:val="000000"/>
          <w:sz w:val="32"/>
          <w:szCs w:val="32"/>
          <w:shd w:val="clear" w:color="auto" w:fill="FFFFFF"/>
          <w:lang w:val="zh-CN" w:eastAsia="zh-CN"/>
        </w:rPr>
        <w:t>100万</w:t>
      </w:r>
      <w:r>
        <w:rPr>
          <w:rFonts w:hint="eastAsia" w:ascii="仿宋_GB2312" w:hAnsi="宋体" w:eastAsia="仿宋_GB2312"/>
          <w:color w:val="000000"/>
          <w:sz w:val="32"/>
          <w:szCs w:val="32"/>
          <w:shd w:val="clear" w:color="auto" w:fill="FFFFFF"/>
          <w:lang w:val="zh-CN"/>
        </w:rPr>
        <w:t>元</w:t>
      </w:r>
      <w:r>
        <w:rPr>
          <w:rFonts w:hint="eastAsia" w:ascii="仿宋_GB2312" w:hAnsi="宋体" w:eastAsia="仿宋_GB2312"/>
          <w:color w:val="000000"/>
          <w:sz w:val="32"/>
          <w:szCs w:val="32"/>
          <w:shd w:val="clear" w:color="auto" w:fill="FFFFFF"/>
          <w:lang w:val="en-US" w:eastAsia="zh-CN"/>
        </w:rPr>
        <w:t xml:space="preserve">。   </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lang w:val="zh-CN"/>
        </w:rPr>
        <w:t>资金使用。</w:t>
      </w:r>
      <w:r>
        <w:rPr>
          <w:rFonts w:hint="eastAsia" w:ascii="仿宋_GB2312" w:hAnsi="宋体" w:eastAsia="仿宋_GB2312"/>
          <w:color w:val="000000"/>
          <w:sz w:val="32"/>
          <w:szCs w:val="32"/>
          <w:shd w:val="clear" w:color="auto" w:fill="FFFFFF"/>
          <w:lang w:val="zh-CN" w:eastAsia="zh-CN"/>
        </w:rPr>
        <w:t>举办</w:t>
      </w:r>
      <w:r>
        <w:rPr>
          <w:rFonts w:hint="eastAsia" w:ascii="仿宋_GB2312" w:hAnsi="宋体" w:eastAsia="仿宋_GB2312"/>
          <w:color w:val="000000"/>
          <w:sz w:val="32"/>
          <w:szCs w:val="32"/>
          <w:shd w:val="clear" w:color="auto" w:fill="FFFFFF"/>
          <w:lang w:val="en-US" w:eastAsia="zh-CN"/>
        </w:rPr>
        <w:t>7期培训班、选派29名党政干部人才挂职跟岗学习，培训干部人才430人，</w:t>
      </w:r>
      <w:r>
        <w:rPr>
          <w:rFonts w:hint="eastAsia" w:ascii="仿宋_GB2312" w:hAnsi="宋体" w:eastAsia="仿宋_GB2312"/>
          <w:color w:val="000000"/>
          <w:sz w:val="32"/>
          <w:szCs w:val="32"/>
          <w:shd w:val="clear" w:color="auto" w:fill="FFFFFF"/>
          <w:lang w:val="zh-CN"/>
        </w:rPr>
        <w:t>项目使用</w:t>
      </w:r>
      <w:r>
        <w:rPr>
          <w:rFonts w:hint="eastAsia" w:ascii="仿宋_GB2312" w:hAnsi="宋体" w:eastAsia="仿宋_GB2312"/>
          <w:color w:val="000000"/>
          <w:sz w:val="32"/>
          <w:szCs w:val="32"/>
          <w:shd w:val="clear" w:color="auto" w:fill="FFFFFF"/>
          <w:lang w:val="en-US" w:eastAsia="zh-CN"/>
        </w:rPr>
        <w:t>资金99.53万元。</w:t>
      </w:r>
    </w:p>
    <w:p>
      <w:pPr>
        <w:widowControl/>
        <w:numPr>
          <w:ilvl w:val="0"/>
          <w:numId w:val="0"/>
        </w:numPr>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bookmarkStart w:id="396" w:name="_Toc1744"/>
      <w:r>
        <w:rPr>
          <w:rFonts w:hint="eastAsia" w:ascii="楷体" w:hAnsi="楷体" w:eastAsia="楷体" w:cs="楷体"/>
          <w:b/>
          <w:bCs/>
          <w:color w:val="000000"/>
          <w:kern w:val="0"/>
          <w:sz w:val="32"/>
          <w:szCs w:val="32"/>
          <w:shd w:val="clear" w:color="auto" w:fill="FFFFFF"/>
          <w:lang w:val="zh-CN"/>
        </w:rPr>
        <w:t>（二）项目财务管理情况</w:t>
      </w:r>
      <w:bookmarkEnd w:id="39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widowControl/>
        <w:numPr>
          <w:ilvl w:val="0"/>
          <w:numId w:val="0"/>
        </w:numPr>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bookmarkStart w:id="397" w:name="_Toc3022"/>
      <w:r>
        <w:rPr>
          <w:rFonts w:hint="eastAsia" w:ascii="楷体" w:hAnsi="楷体" w:eastAsia="楷体" w:cs="楷体"/>
          <w:b/>
          <w:bCs/>
          <w:color w:val="000000"/>
          <w:kern w:val="0"/>
          <w:sz w:val="32"/>
          <w:szCs w:val="32"/>
          <w:shd w:val="clear" w:color="auto" w:fill="FFFFFF"/>
          <w:lang w:val="zh-CN"/>
        </w:rPr>
        <w:t>（三）项目组织实施情况</w:t>
      </w:r>
      <w:bookmarkEnd w:id="397"/>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培训党员干部人才430人，</w:t>
      </w:r>
      <w:r>
        <w:rPr>
          <w:rFonts w:hint="eastAsia" w:ascii="仿宋_GB2312" w:hAnsi="宋体" w:eastAsia="仿宋_GB2312"/>
          <w:color w:val="000000"/>
          <w:sz w:val="32"/>
          <w:szCs w:val="32"/>
          <w:shd w:val="clear" w:color="auto" w:fill="FFFFFF"/>
          <w:lang w:val="zh-CN" w:eastAsia="zh-CN"/>
        </w:rPr>
        <w:t>举办</w:t>
      </w:r>
      <w:r>
        <w:rPr>
          <w:rFonts w:hint="eastAsia" w:ascii="仿宋_GB2312" w:hAnsi="宋体" w:eastAsia="仿宋_GB2312"/>
          <w:color w:val="000000"/>
          <w:sz w:val="32"/>
          <w:szCs w:val="32"/>
          <w:shd w:val="clear" w:color="auto" w:fill="FFFFFF"/>
          <w:lang w:val="en-US" w:eastAsia="zh-CN"/>
        </w:rPr>
        <w:t>培训班7期（其中</w:t>
      </w:r>
      <w:r>
        <w:rPr>
          <w:rFonts w:hint="eastAsia" w:ascii="仿宋_GB2312" w:hAnsi="宋体" w:eastAsia="仿宋_GB2312"/>
          <w:color w:val="000000"/>
          <w:sz w:val="32"/>
          <w:szCs w:val="32"/>
          <w:shd w:val="clear" w:color="auto" w:fill="FFFFFF"/>
          <w:lang w:val="zh-CN" w:eastAsia="zh-CN"/>
        </w:rPr>
        <w:t>：举办贫困村第一书记暨驻村工作队队长培训班</w:t>
      </w:r>
      <w:r>
        <w:rPr>
          <w:rFonts w:hint="eastAsia" w:ascii="仿宋_GB2312" w:hAnsi="宋体" w:eastAsia="仿宋_GB2312"/>
          <w:color w:val="000000"/>
          <w:sz w:val="32"/>
          <w:szCs w:val="32"/>
          <w:shd w:val="clear" w:color="auto" w:fill="FFFFFF"/>
          <w:lang w:val="en-US" w:eastAsia="zh-CN"/>
        </w:rPr>
        <w:t>1期，年轻干部铸魂工程暨优秀青年干部提能培训班1期，全县五星党员培训班1期，纪检监察干部综合业务培训班1期，网络意识形态培训班1期，基层治理能手暨乡村振兴培训班2期），选派29名干部人才挂职跟岗学习。</w:t>
      </w: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lang w:val="zh-CN"/>
        </w:rPr>
      </w:pPr>
      <w:bookmarkStart w:id="398" w:name="_Toc27502"/>
      <w:r>
        <w:rPr>
          <w:rFonts w:hint="eastAsia" w:ascii="黑体" w:hAnsi="宋体" w:eastAsia="黑体" w:cs="宋体"/>
          <w:color w:val="000000"/>
          <w:kern w:val="0"/>
          <w:sz w:val="32"/>
          <w:szCs w:val="32"/>
          <w:shd w:val="clear" w:color="auto" w:fill="FFFFFF"/>
        </w:rPr>
        <w:t>三、项目绩效情况</w:t>
      </w:r>
      <w:bookmarkEnd w:id="398"/>
      <w:r>
        <w:rPr>
          <w:rFonts w:hint="eastAsia" w:ascii="黑体" w:hAnsi="宋体" w:eastAsia="黑体" w:cs="宋体"/>
          <w:color w:val="000000"/>
          <w:kern w:val="0"/>
          <w:sz w:val="32"/>
          <w:szCs w:val="32"/>
          <w:shd w:val="clear" w:color="auto" w:fill="FFFFFF"/>
          <w:lang w:val="zh-CN"/>
        </w:rPr>
        <w:tab/>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rPr>
        <w:t>项目完成情况。</w:t>
      </w:r>
      <w:r>
        <w:rPr>
          <w:rFonts w:hint="eastAsia" w:ascii="仿宋_GB2312" w:hAnsi="宋体" w:eastAsia="仿宋_GB2312"/>
          <w:color w:val="000000"/>
          <w:sz w:val="32"/>
          <w:szCs w:val="32"/>
          <w:shd w:val="clear" w:color="auto" w:fill="FFFFFF"/>
          <w:lang w:val="zh-CN" w:eastAsia="zh-CN"/>
        </w:rPr>
        <w:t>共举办“贫困村第一书记暨驻村工作队队长、基层治理能手暨乡村振兴、年轻干部铸魂工程暨优秀青年干部提能”等</w:t>
      </w:r>
      <w:r>
        <w:rPr>
          <w:rFonts w:hint="eastAsia" w:ascii="仿宋_GB2312" w:hAnsi="宋体" w:eastAsia="仿宋_GB2312"/>
          <w:color w:val="000000"/>
          <w:sz w:val="32"/>
          <w:szCs w:val="32"/>
          <w:shd w:val="clear" w:color="auto" w:fill="FFFFFF"/>
          <w:lang w:val="en-US" w:eastAsia="zh-CN"/>
        </w:rPr>
        <w:t>7期培训班，选派29名干部人赴浙江挂职跟岗学习，共使用资金99.53万元，退回资金0.47万元</w:t>
      </w:r>
      <w:r>
        <w:rPr>
          <w:rFonts w:hint="eastAsia" w:ascii="仿宋_GB2312" w:hAnsi="宋体" w:eastAsia="仿宋_GB2312"/>
          <w:color w:val="000000"/>
          <w:sz w:val="32"/>
          <w:szCs w:val="32"/>
          <w:shd w:val="clear" w:color="auto" w:fill="FFFFFF"/>
          <w:lang w:val="zh-CN" w:eastAsia="zh-CN"/>
        </w:rPr>
        <w:t>，</w:t>
      </w:r>
      <w:r>
        <w:rPr>
          <w:rFonts w:hint="eastAsia" w:ascii="仿宋_GB2312" w:hAnsi="宋体" w:eastAsia="仿宋_GB2312"/>
          <w:color w:val="000000"/>
          <w:sz w:val="32"/>
          <w:szCs w:val="32"/>
          <w:shd w:val="clear" w:color="auto" w:fill="FFFFFF"/>
          <w:lang w:val="en-US" w:eastAsia="zh-CN"/>
        </w:rPr>
        <w:t>有力提升全县优秀年轻干部理论素养及群众工作能力。</w:t>
      </w: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rPr>
      </w:pPr>
      <w:bookmarkStart w:id="399" w:name="_Toc26804"/>
      <w:r>
        <w:rPr>
          <w:rFonts w:hint="eastAsia" w:ascii="黑体" w:hAnsi="宋体" w:eastAsia="黑体" w:cs="宋体"/>
          <w:color w:val="000000"/>
          <w:kern w:val="0"/>
          <w:sz w:val="32"/>
          <w:szCs w:val="32"/>
          <w:shd w:val="clear" w:color="auto" w:fill="FFFFFF"/>
        </w:rPr>
        <w:t>四、问题及建议</w:t>
      </w:r>
      <w:bookmarkEnd w:id="39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eastAsia="zh-CN"/>
        </w:rPr>
      </w:pPr>
      <w:r>
        <w:rPr>
          <w:rFonts w:hint="eastAsia" w:ascii="仿宋_GB2312" w:hAnsi="宋体" w:eastAsia="仿宋_GB2312"/>
          <w:color w:val="000000"/>
          <w:sz w:val="32"/>
          <w:szCs w:val="32"/>
          <w:shd w:val="clear" w:color="auto" w:fill="FFFFFF"/>
          <w:lang w:val="zh-CN" w:eastAsia="zh-CN"/>
        </w:rPr>
        <w:t>教学成果转化不够，通过教育培训实现了知识的灌输，但教学实践不多，部分学员深入思考不够。下一步将采取课堂集中学和跟岗实践历练相结合的方式，持续促进干部提能提质。</w:t>
      </w:r>
    </w:p>
    <w:p>
      <w:pPr>
        <w:pStyle w:val="2"/>
        <w:rPr>
          <w:rFonts w:hint="eastAsia" w:ascii="仿宋_GB2312" w:hAnsi="宋体" w:eastAsia="仿宋_GB2312"/>
          <w:color w:val="000000"/>
          <w:sz w:val="32"/>
          <w:szCs w:val="32"/>
          <w:shd w:val="clear" w:color="auto" w:fill="FFFFFF"/>
          <w:lang w:val="zh-CN"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bookmarkStart w:id="400" w:name="_Toc9380"/>
      <w:bookmarkStart w:id="401" w:name="_Toc10669"/>
      <w:bookmarkStart w:id="402" w:name="_Toc15396618"/>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eastAsia="方正小标宋简体"/>
          <w:w w:val="93"/>
          <w:sz w:val="44"/>
          <w:szCs w:val="44"/>
          <w:lang w:val="en-US" w:eastAsia="zh-CN"/>
        </w:rPr>
      </w:pPr>
    </w:p>
    <w:p>
      <w:pPr>
        <w:pStyle w:val="39"/>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宋体" w:eastAsia="方正小标宋简体"/>
          <w:w w:val="93"/>
          <w:sz w:val="44"/>
          <w:szCs w:val="44"/>
        </w:rPr>
      </w:pPr>
      <w:r>
        <w:rPr>
          <w:rFonts w:hint="eastAsia" w:ascii="方正小标宋简体" w:eastAsia="方正小标宋简体"/>
          <w:w w:val="93"/>
          <w:sz w:val="44"/>
          <w:szCs w:val="44"/>
          <w:lang w:val="en-US" w:eastAsia="zh-CN"/>
        </w:rPr>
        <w:t>东西部扶贫协作和省内对口支援第二批茂县</w:t>
      </w:r>
      <w:r>
        <w:rPr>
          <w:rFonts w:hint="eastAsia" w:ascii="方正小标宋简体" w:eastAsia="方正小标宋简体"/>
          <w:w w:val="93"/>
          <w:sz w:val="44"/>
          <w:szCs w:val="44"/>
          <w:lang w:eastAsia="zh-CN"/>
        </w:rPr>
        <w:t>党员干部培训项目</w:t>
      </w:r>
      <w:r>
        <w:rPr>
          <w:rFonts w:hint="eastAsia" w:ascii="方正小标宋简体" w:eastAsia="方正小标宋简体"/>
          <w:w w:val="93"/>
          <w:sz w:val="44"/>
          <w:szCs w:val="44"/>
          <w:lang w:val="en-US" w:eastAsia="zh-CN"/>
        </w:rPr>
        <w:t>2020年</w:t>
      </w:r>
      <w:r>
        <w:rPr>
          <w:rFonts w:hint="eastAsia" w:ascii="方正小标宋简体" w:hAnsi="宋体" w:eastAsia="方正小标宋简体"/>
          <w:w w:val="93"/>
          <w:sz w:val="44"/>
          <w:szCs w:val="44"/>
        </w:rPr>
        <w:t>绩效</w:t>
      </w:r>
      <w:r>
        <w:rPr>
          <w:rFonts w:hint="eastAsia" w:ascii="方正小标宋简体" w:hAnsi="宋体" w:eastAsia="方正小标宋简体"/>
          <w:w w:val="93"/>
          <w:sz w:val="44"/>
          <w:szCs w:val="44"/>
          <w:lang w:eastAsia="zh-CN"/>
        </w:rPr>
        <w:t>评价</w:t>
      </w:r>
      <w:r>
        <w:rPr>
          <w:rFonts w:hint="eastAsia" w:ascii="方正小标宋简体" w:hAnsi="宋体" w:eastAsia="方正小标宋简体"/>
          <w:w w:val="93"/>
          <w:sz w:val="44"/>
          <w:szCs w:val="44"/>
        </w:rPr>
        <w:t>报告</w:t>
      </w:r>
      <w:bookmarkEnd w:id="400"/>
    </w:p>
    <w:p>
      <w:pPr>
        <w:pStyle w:val="39"/>
        <w:keepNext w:val="0"/>
        <w:keepLines w:val="0"/>
        <w:pageBreakBefore w:val="0"/>
        <w:widowControl w:val="0"/>
        <w:kinsoku/>
        <w:wordWrap/>
        <w:overflowPunct/>
        <w:topLinePunct w:val="0"/>
        <w:autoSpaceDE/>
        <w:autoSpaceDN/>
        <w:bidi w:val="0"/>
        <w:adjustRightInd/>
        <w:snapToGrid/>
        <w:spacing w:line="560" w:lineRule="exact"/>
        <w:ind w:firstLine="640"/>
        <w:jc w:val="center"/>
        <w:textAlignment w:val="auto"/>
        <w:rPr>
          <w:rFonts w:ascii="宋体" w:hAnsi="宋体"/>
          <w:color w:val="auto"/>
          <w:kern w:val="2"/>
          <w:sz w:val="32"/>
          <w:szCs w:val="32"/>
        </w:rPr>
      </w:pP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lang w:val="zh-CN"/>
        </w:rPr>
      </w:pPr>
      <w:bookmarkStart w:id="403" w:name="_Toc31996"/>
      <w:r>
        <w:rPr>
          <w:rFonts w:hint="eastAsia" w:ascii="黑体" w:hAnsi="宋体" w:eastAsia="黑体" w:cs="宋体"/>
          <w:color w:val="000000"/>
          <w:kern w:val="0"/>
          <w:sz w:val="32"/>
          <w:szCs w:val="32"/>
          <w:shd w:val="clear" w:color="auto" w:fill="FFFFFF"/>
          <w:lang w:val="zh-CN"/>
        </w:rPr>
        <w:t>一、项目概况</w:t>
      </w:r>
      <w:bookmarkEnd w:id="403"/>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根据东西部扶贫协作工作安排，2020年实施东西部扶贫协作和对口支援党员干部教育培训项目资金（第二批）142万元，培训使用资金130.80万元。</w:t>
      </w:r>
      <w:r>
        <w:rPr>
          <w:rFonts w:hint="eastAsia" w:ascii="仿宋_GB2312" w:hAnsi="宋体" w:eastAsia="仿宋_GB2312"/>
          <w:color w:val="000000"/>
          <w:sz w:val="32"/>
          <w:szCs w:val="32"/>
          <w:shd w:val="clear" w:color="auto" w:fill="FFFFFF"/>
          <w:lang w:val="zh-CN" w:eastAsia="zh-CN"/>
        </w:rPr>
        <w:t>培训党员干部人才</w:t>
      </w:r>
      <w:r>
        <w:rPr>
          <w:rFonts w:hint="eastAsia" w:ascii="仿宋_GB2312" w:hAnsi="宋体" w:eastAsia="仿宋_GB2312"/>
          <w:color w:val="000000"/>
          <w:sz w:val="32"/>
          <w:szCs w:val="32"/>
          <w:shd w:val="clear" w:color="auto" w:fill="FFFFFF"/>
          <w:lang w:val="en-US" w:eastAsia="zh-CN"/>
        </w:rPr>
        <w:t>615人，举办10期培训班（</w:t>
      </w:r>
      <w:r>
        <w:rPr>
          <w:rFonts w:hint="eastAsia" w:ascii="仿宋_GB2312" w:hAnsi="宋体" w:eastAsia="仿宋_GB2312"/>
          <w:color w:val="000000"/>
          <w:sz w:val="32"/>
          <w:szCs w:val="32"/>
          <w:shd w:val="clear" w:color="auto" w:fill="FFFFFF"/>
          <w:lang w:val="zh-CN" w:eastAsia="zh-CN"/>
        </w:rPr>
        <w:t>其中：举办治蜀兴川专业化领导干部培训班</w:t>
      </w:r>
      <w:r>
        <w:rPr>
          <w:rFonts w:hint="eastAsia" w:ascii="仿宋_GB2312" w:hAnsi="宋体" w:eastAsia="仿宋_GB2312"/>
          <w:color w:val="000000"/>
          <w:sz w:val="32"/>
          <w:szCs w:val="32"/>
          <w:shd w:val="clear" w:color="auto" w:fill="FFFFFF"/>
          <w:lang w:val="en-US" w:eastAsia="zh-CN"/>
        </w:rPr>
        <w:t>2期，经费23.68万元；“两新”党组织书记及党建工作指导员培训班1期，经费10.68万元；贫困村集体经济发展培训班1期，经费12.72万元；公务员素质能力提升培训班1期，经费12.26万元；基层治理能手暨支部书记培训班2期，经费20.40万元；驻村工作队培训班1期，经费24.60万元；政协委员履职能力提升培训班1期，经费12.48万元；镇人大代表履职能力提升培训班1期，经费13.98万元。</w:t>
      </w:r>
    </w:p>
    <w:p>
      <w:pPr>
        <w:pageBreakBefore w:val="0"/>
        <w:widowControl w:val="0"/>
        <w:numPr>
          <w:ilvl w:val="0"/>
          <w:numId w:val="6"/>
        </w:numPr>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bCs/>
          <w:color w:val="000000"/>
          <w:kern w:val="0"/>
          <w:sz w:val="32"/>
          <w:szCs w:val="32"/>
          <w:shd w:val="clear" w:color="auto" w:fill="FFFFFF"/>
          <w:lang w:val="zh-CN"/>
        </w:rPr>
      </w:pPr>
      <w:bookmarkStart w:id="404" w:name="_Toc6448"/>
      <w:r>
        <w:rPr>
          <w:rFonts w:hint="eastAsia" w:ascii="楷体" w:hAnsi="楷体" w:eastAsia="楷体" w:cs="楷体"/>
          <w:b/>
          <w:bCs/>
          <w:color w:val="000000"/>
          <w:kern w:val="0"/>
          <w:sz w:val="32"/>
          <w:szCs w:val="32"/>
          <w:shd w:val="clear" w:color="auto" w:fill="FFFFFF"/>
          <w:lang w:val="zh-CN"/>
        </w:rPr>
        <w:t>项目资金申报及批复情况</w:t>
      </w:r>
      <w:bookmarkEnd w:id="404"/>
    </w:p>
    <w:p>
      <w:pPr>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eastAsia="zh-CN"/>
        </w:rPr>
      </w:pPr>
      <w:r>
        <w:rPr>
          <w:rFonts w:hint="eastAsia" w:ascii="仿宋_GB2312" w:hAnsi="宋体" w:eastAsia="仿宋_GB2312"/>
          <w:color w:val="000000"/>
          <w:sz w:val="32"/>
          <w:szCs w:val="32"/>
          <w:shd w:val="clear" w:color="auto" w:fill="FFFFFF"/>
          <w:lang w:val="zh-CN" w:eastAsia="zh-CN"/>
        </w:rPr>
        <w:t>经</w:t>
      </w:r>
      <w:r>
        <w:rPr>
          <w:rFonts w:hint="eastAsia" w:ascii="仿宋_GB2312" w:hAnsi="宋体" w:eastAsia="仿宋_GB2312"/>
          <w:color w:val="000000"/>
          <w:sz w:val="32"/>
          <w:szCs w:val="32"/>
          <w:shd w:val="clear" w:color="auto" w:fill="FFFFFF"/>
          <w:lang w:val="en-US" w:eastAsia="zh-CN"/>
        </w:rPr>
        <w:t>县东西部扶贫协作和对口支援工作领导小组会通过了</w:t>
      </w:r>
      <w:r>
        <w:rPr>
          <w:rFonts w:hint="eastAsia" w:ascii="仿宋_GB2312" w:hAnsi="宋体" w:eastAsia="仿宋_GB2312"/>
          <w:color w:val="000000"/>
          <w:sz w:val="32"/>
          <w:szCs w:val="32"/>
          <w:shd w:val="clear" w:color="auto" w:fill="FFFFFF"/>
          <w:lang w:val="zh-CN" w:eastAsia="zh-CN"/>
        </w:rPr>
        <w:t>县委组织部《关于2020年东西部扶贫协作和对口支援党员干部培训项目实施方案的请示》（</w:t>
      </w:r>
      <w:r>
        <w:rPr>
          <w:rFonts w:hint="eastAsia" w:ascii="仿宋_GB2312" w:hAnsi="宋体" w:eastAsia="仿宋_GB2312"/>
          <w:color w:val="000000"/>
          <w:sz w:val="32"/>
          <w:szCs w:val="32"/>
          <w:shd w:val="clear" w:color="auto" w:fill="FFFFFF"/>
          <w:lang w:val="en-US" w:eastAsia="zh-CN"/>
        </w:rPr>
        <w:t>茂委组报〔2020〕29号</w:t>
      </w:r>
      <w:r>
        <w:rPr>
          <w:rFonts w:hint="eastAsia" w:ascii="仿宋_GB2312" w:hAnsi="宋体" w:eastAsia="仿宋_GB2312"/>
          <w:color w:val="000000"/>
          <w:sz w:val="32"/>
          <w:szCs w:val="32"/>
          <w:shd w:val="clear" w:color="auto" w:fill="FFFFFF"/>
          <w:lang w:val="zh-CN" w:eastAsia="zh-CN"/>
        </w:rPr>
        <w:t>），</w:t>
      </w:r>
      <w:r>
        <w:rPr>
          <w:rFonts w:hint="eastAsia" w:ascii="仿宋_GB2312" w:hAnsi="宋体" w:eastAsia="仿宋_GB2312"/>
          <w:color w:val="000000"/>
          <w:sz w:val="32"/>
          <w:szCs w:val="32"/>
          <w:shd w:val="clear" w:color="auto" w:fill="FFFFFF"/>
          <w:lang w:val="en-US" w:eastAsia="zh-CN"/>
        </w:rPr>
        <w:t>2020年5月29日，县</w:t>
      </w:r>
      <w:r>
        <w:rPr>
          <w:rFonts w:hint="eastAsia" w:ascii="仿宋_GB2312" w:hAnsi="宋体" w:eastAsia="仿宋_GB2312"/>
          <w:color w:val="000000"/>
          <w:sz w:val="32"/>
          <w:szCs w:val="32"/>
          <w:shd w:val="clear" w:color="auto" w:fill="FFFFFF"/>
          <w:lang w:val="zh-CN" w:eastAsia="zh-CN"/>
        </w:rPr>
        <w:t>财政局划拨资金</w:t>
      </w:r>
      <w:r>
        <w:rPr>
          <w:rFonts w:hint="eastAsia" w:ascii="仿宋_GB2312" w:hAnsi="宋体" w:eastAsia="仿宋_GB2312"/>
          <w:color w:val="000000"/>
          <w:sz w:val="32"/>
          <w:szCs w:val="32"/>
          <w:shd w:val="clear" w:color="auto" w:fill="FFFFFF"/>
          <w:lang w:val="en-US" w:eastAsia="zh-CN"/>
        </w:rPr>
        <w:t>142万元</w:t>
      </w:r>
      <w:r>
        <w:rPr>
          <w:rFonts w:hint="eastAsia" w:ascii="仿宋_GB2312" w:hAnsi="宋体" w:eastAsia="仿宋_GB2312"/>
          <w:color w:val="000000"/>
          <w:sz w:val="32"/>
          <w:szCs w:val="32"/>
          <w:shd w:val="clear" w:color="auto" w:fill="FFFFFF"/>
          <w:lang w:val="zh-CN" w:eastAsia="zh-CN"/>
        </w:rPr>
        <w:t>。</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bCs/>
          <w:color w:val="000000"/>
          <w:kern w:val="0"/>
          <w:sz w:val="32"/>
          <w:szCs w:val="32"/>
          <w:shd w:val="clear" w:color="auto" w:fill="FFFFFF"/>
          <w:lang w:val="zh-CN"/>
        </w:rPr>
      </w:pPr>
      <w:bookmarkStart w:id="405" w:name="_Toc14286"/>
      <w:r>
        <w:rPr>
          <w:rFonts w:hint="eastAsia" w:ascii="楷体" w:hAnsi="楷体" w:eastAsia="楷体" w:cs="楷体"/>
          <w:b/>
          <w:bCs/>
          <w:color w:val="000000"/>
          <w:kern w:val="0"/>
          <w:sz w:val="32"/>
          <w:szCs w:val="32"/>
          <w:shd w:val="clear" w:color="auto" w:fill="FFFFFF"/>
          <w:lang w:val="zh-CN"/>
        </w:rPr>
        <w:t>（二）项目绩效目标</w:t>
      </w:r>
      <w:bookmarkEnd w:id="405"/>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eastAsia="zh-CN"/>
        </w:rPr>
        <w:t>为</w:t>
      </w:r>
      <w:r>
        <w:rPr>
          <w:rFonts w:hint="eastAsia" w:ascii="仿宋_GB2312" w:hAnsi="宋体" w:eastAsia="仿宋_GB2312"/>
          <w:color w:val="000000"/>
          <w:sz w:val="32"/>
          <w:szCs w:val="32"/>
          <w:shd w:val="clear" w:color="auto" w:fill="FFFFFF"/>
          <w:lang w:val="zh-CN"/>
        </w:rPr>
        <w:t>进一步加强</w:t>
      </w:r>
      <w:r>
        <w:rPr>
          <w:rFonts w:hint="eastAsia" w:ascii="仿宋_GB2312" w:hAnsi="宋体" w:eastAsia="仿宋_GB2312"/>
          <w:color w:val="000000"/>
          <w:sz w:val="32"/>
          <w:szCs w:val="32"/>
          <w:shd w:val="clear" w:color="auto" w:fill="FFFFFF"/>
          <w:lang w:val="zh-CN" w:eastAsia="zh-CN"/>
        </w:rPr>
        <w:t>茂县</w:t>
      </w:r>
      <w:r>
        <w:rPr>
          <w:rFonts w:hint="eastAsia" w:ascii="仿宋_GB2312" w:hAnsi="宋体" w:eastAsia="仿宋_GB2312"/>
          <w:color w:val="000000"/>
          <w:sz w:val="32"/>
          <w:szCs w:val="32"/>
          <w:shd w:val="clear" w:color="auto" w:fill="FFFFFF"/>
          <w:lang w:val="zh-CN"/>
        </w:rPr>
        <w:t>干部队伍专业化建设</w:t>
      </w:r>
      <w:r>
        <w:rPr>
          <w:rFonts w:hint="eastAsia" w:ascii="仿宋_GB2312" w:hAnsi="宋体" w:eastAsia="仿宋_GB2312"/>
          <w:color w:val="000000"/>
          <w:sz w:val="32"/>
          <w:szCs w:val="32"/>
          <w:shd w:val="clear" w:color="auto" w:fill="FFFFFF"/>
          <w:lang w:val="zh-CN" w:eastAsia="zh-CN"/>
        </w:rPr>
        <w:t>，按照</w:t>
      </w:r>
      <w:r>
        <w:rPr>
          <w:rFonts w:hint="eastAsia" w:ascii="仿宋_GB2312" w:hAnsi="宋体" w:eastAsia="仿宋_GB2312"/>
          <w:color w:val="000000"/>
          <w:sz w:val="32"/>
          <w:szCs w:val="32"/>
          <w:shd w:val="clear" w:color="auto" w:fill="FFFFFF"/>
          <w:lang w:val="zh-CN"/>
        </w:rPr>
        <w:t>中央、省、州关于干部教育培训相关要求，立足茂县基本县情，紧密中心工作，围绕重点内容，扎实开展干部教育培训</w:t>
      </w:r>
      <w:r>
        <w:rPr>
          <w:rFonts w:hint="eastAsia" w:ascii="仿宋_GB2312" w:hAnsi="宋体" w:eastAsia="仿宋_GB2312"/>
          <w:color w:val="000000"/>
          <w:sz w:val="32"/>
          <w:szCs w:val="32"/>
          <w:shd w:val="clear" w:color="auto" w:fill="FFFFFF"/>
          <w:lang w:val="zh-CN" w:eastAsia="zh-CN"/>
        </w:rPr>
        <w:t>，</w:t>
      </w:r>
      <w:r>
        <w:rPr>
          <w:rFonts w:hint="eastAsia" w:ascii="仿宋_GB2312" w:hAnsi="宋体" w:eastAsia="仿宋_GB2312"/>
          <w:color w:val="000000"/>
          <w:sz w:val="32"/>
          <w:szCs w:val="32"/>
          <w:shd w:val="clear" w:color="auto" w:fill="FFFFFF"/>
          <w:lang w:val="en-US" w:eastAsia="zh-CN"/>
        </w:rPr>
        <w:t>2020年</w:t>
      </w:r>
      <w:r>
        <w:rPr>
          <w:rFonts w:hint="eastAsia" w:ascii="仿宋_GB2312" w:hAnsi="宋体" w:eastAsia="仿宋_GB2312"/>
          <w:color w:val="000000"/>
          <w:sz w:val="32"/>
          <w:szCs w:val="32"/>
          <w:shd w:val="clear" w:color="auto" w:fill="FFFFFF"/>
          <w:lang w:val="zh-CN"/>
        </w:rPr>
        <w:t>，举办</w:t>
      </w:r>
      <w:r>
        <w:rPr>
          <w:rFonts w:hint="eastAsia" w:ascii="仿宋_GB2312" w:hAnsi="宋体" w:eastAsia="仿宋_GB2312"/>
          <w:color w:val="000000"/>
          <w:sz w:val="32"/>
          <w:szCs w:val="32"/>
          <w:shd w:val="clear" w:color="auto" w:fill="FFFFFF"/>
          <w:lang w:val="en-US" w:eastAsia="zh-CN"/>
        </w:rPr>
        <w:t>10</w:t>
      </w:r>
      <w:r>
        <w:rPr>
          <w:rFonts w:hint="eastAsia" w:ascii="仿宋_GB2312" w:hAnsi="宋体" w:eastAsia="仿宋_GB2312"/>
          <w:color w:val="000000"/>
          <w:sz w:val="32"/>
          <w:szCs w:val="32"/>
          <w:shd w:val="clear" w:color="auto" w:fill="FFFFFF"/>
          <w:lang w:val="zh-CN"/>
        </w:rPr>
        <w:t>期培训班，培训党员干部人才</w:t>
      </w:r>
      <w:r>
        <w:rPr>
          <w:rFonts w:hint="eastAsia" w:ascii="仿宋_GB2312" w:hAnsi="宋体" w:eastAsia="仿宋_GB2312"/>
          <w:color w:val="000000"/>
          <w:sz w:val="32"/>
          <w:szCs w:val="32"/>
          <w:shd w:val="clear" w:color="auto" w:fill="FFFFFF"/>
          <w:lang w:val="en-US" w:eastAsia="zh-CN"/>
        </w:rPr>
        <w:t>615</w:t>
      </w:r>
      <w:r>
        <w:rPr>
          <w:rFonts w:hint="eastAsia" w:ascii="仿宋_GB2312" w:hAnsi="宋体" w:eastAsia="仿宋_GB2312"/>
          <w:color w:val="000000"/>
          <w:sz w:val="32"/>
          <w:szCs w:val="32"/>
          <w:shd w:val="clear" w:color="auto" w:fill="FFFFFF"/>
          <w:lang w:val="zh-CN"/>
        </w:rPr>
        <w:t>人</w:t>
      </w:r>
      <w:r>
        <w:rPr>
          <w:rFonts w:hint="eastAsia" w:ascii="仿宋_GB2312" w:hAnsi="宋体" w:eastAsia="仿宋_GB2312"/>
          <w:color w:val="000000"/>
          <w:sz w:val="32"/>
          <w:szCs w:val="32"/>
          <w:shd w:val="clear" w:color="auto" w:fill="FFFFFF"/>
          <w:lang w:val="zh-CN" w:eastAsia="zh-CN"/>
        </w:rPr>
        <w:t>。</w:t>
      </w:r>
    </w:p>
    <w:p>
      <w:pPr>
        <w:pageBreakBefore w:val="0"/>
        <w:widowControl w:val="0"/>
        <w:kinsoku/>
        <w:wordWrap/>
        <w:overflowPunct/>
        <w:topLinePunct w:val="0"/>
        <w:autoSpaceDE/>
        <w:autoSpaceDN/>
        <w:bidi w:val="0"/>
        <w:adjustRightInd/>
        <w:snapToGrid/>
        <w:spacing w:line="576" w:lineRule="exact"/>
        <w:ind w:firstLine="643" w:firstLineChars="200"/>
        <w:textAlignment w:val="auto"/>
        <w:outlineLvl w:val="2"/>
        <w:rPr>
          <w:rFonts w:hint="eastAsia" w:ascii="楷体" w:hAnsi="楷体" w:eastAsia="楷体" w:cs="楷体"/>
          <w:b/>
          <w:bCs/>
          <w:color w:val="000000"/>
          <w:kern w:val="0"/>
          <w:sz w:val="32"/>
          <w:szCs w:val="32"/>
          <w:shd w:val="clear" w:color="auto" w:fill="FFFFFF"/>
          <w:lang w:val="zh-CN"/>
        </w:rPr>
      </w:pPr>
      <w:bookmarkStart w:id="406" w:name="_Toc6512"/>
      <w:r>
        <w:rPr>
          <w:rFonts w:hint="eastAsia" w:ascii="楷体" w:hAnsi="楷体" w:eastAsia="楷体" w:cs="楷体"/>
          <w:b/>
          <w:bCs/>
          <w:color w:val="000000"/>
          <w:kern w:val="0"/>
          <w:sz w:val="32"/>
          <w:szCs w:val="32"/>
          <w:shd w:val="clear" w:color="auto" w:fill="FFFFFF"/>
          <w:lang w:val="zh-CN"/>
        </w:rPr>
        <w:t>（三）项目资金申报相符性</w:t>
      </w:r>
      <w:bookmarkEnd w:id="406"/>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项目申报内容与具体实施内容相符、申报目标合理。</w:t>
      </w: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lang w:val="zh-CN"/>
        </w:rPr>
      </w:pPr>
      <w:bookmarkStart w:id="407" w:name="_Toc13959"/>
      <w:r>
        <w:rPr>
          <w:rFonts w:hint="eastAsia" w:ascii="黑体" w:hAnsi="宋体" w:eastAsia="黑体" w:cs="宋体"/>
          <w:color w:val="000000"/>
          <w:kern w:val="0"/>
          <w:sz w:val="32"/>
          <w:szCs w:val="32"/>
          <w:shd w:val="clear" w:color="auto" w:fill="FFFFFF"/>
          <w:lang w:val="zh-CN"/>
        </w:rPr>
        <w:t>二、项目实施及管理情况</w:t>
      </w:r>
      <w:bookmarkEnd w:id="407"/>
    </w:p>
    <w:p>
      <w:pPr>
        <w:widowControl/>
        <w:numPr>
          <w:ilvl w:val="0"/>
          <w:numId w:val="0"/>
        </w:numPr>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ab/>
      </w:r>
      <w:bookmarkStart w:id="408" w:name="_Toc27131"/>
      <w:r>
        <w:rPr>
          <w:rFonts w:hint="eastAsia" w:ascii="楷体" w:hAnsi="楷体" w:eastAsia="楷体" w:cs="楷体"/>
          <w:b/>
          <w:bCs/>
          <w:color w:val="000000"/>
          <w:kern w:val="0"/>
          <w:sz w:val="32"/>
          <w:szCs w:val="32"/>
          <w:shd w:val="clear" w:color="auto" w:fill="FFFFFF"/>
          <w:lang w:val="zh-CN"/>
        </w:rPr>
        <w:t>（一）资金计划、到位及使用情况</w:t>
      </w:r>
      <w:bookmarkEnd w:id="408"/>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1.</w:t>
      </w:r>
      <w:r>
        <w:rPr>
          <w:rFonts w:hint="eastAsia" w:ascii="仿宋_GB2312" w:hAnsi="宋体" w:eastAsia="仿宋_GB2312"/>
          <w:color w:val="000000"/>
          <w:sz w:val="32"/>
          <w:szCs w:val="32"/>
          <w:shd w:val="clear" w:color="auto" w:fill="FFFFFF"/>
          <w:lang w:val="zh-CN" w:eastAsia="zh-CN"/>
        </w:rPr>
        <w:t>资金计划及到位。</w:t>
      </w:r>
      <w:r>
        <w:rPr>
          <w:rFonts w:hint="eastAsia" w:ascii="仿宋_GB2312" w:hAnsi="宋体" w:eastAsia="仿宋_GB2312"/>
          <w:color w:val="000000"/>
          <w:sz w:val="32"/>
          <w:szCs w:val="32"/>
          <w:shd w:val="clear" w:color="auto" w:fill="FFFFFF"/>
          <w:lang w:val="en-US" w:eastAsia="zh-CN"/>
        </w:rPr>
        <w:t>2020年5月29日，县财政划拨县委组织部东西部扶贫协作和对口支援党员干部培训项目资金(第二批）142万元。</w:t>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2.</w:t>
      </w:r>
      <w:r>
        <w:rPr>
          <w:rFonts w:hint="eastAsia" w:ascii="仿宋_GB2312" w:hAnsi="宋体" w:eastAsia="仿宋_GB2312"/>
          <w:color w:val="000000"/>
          <w:sz w:val="32"/>
          <w:szCs w:val="32"/>
          <w:shd w:val="clear" w:color="auto" w:fill="FFFFFF"/>
          <w:lang w:val="zh-CN"/>
        </w:rPr>
        <w:t>资金使用。举办</w:t>
      </w:r>
      <w:r>
        <w:rPr>
          <w:rFonts w:hint="eastAsia" w:ascii="仿宋_GB2312" w:hAnsi="宋体" w:eastAsia="仿宋_GB2312"/>
          <w:color w:val="000000"/>
          <w:sz w:val="32"/>
          <w:szCs w:val="32"/>
          <w:shd w:val="clear" w:color="auto" w:fill="FFFFFF"/>
          <w:lang w:val="en-US" w:eastAsia="zh-CN"/>
        </w:rPr>
        <w:t>10期培训班</w:t>
      </w:r>
      <w:r>
        <w:rPr>
          <w:rFonts w:hint="eastAsia" w:ascii="仿宋_GB2312" w:hAnsi="宋体" w:eastAsia="仿宋_GB2312"/>
          <w:color w:val="000000"/>
          <w:sz w:val="32"/>
          <w:szCs w:val="32"/>
          <w:shd w:val="clear" w:color="auto" w:fill="FFFFFF"/>
          <w:lang w:val="zh-CN"/>
        </w:rPr>
        <w:t>，培训党员干部人才</w:t>
      </w:r>
      <w:r>
        <w:rPr>
          <w:rFonts w:hint="eastAsia" w:ascii="仿宋_GB2312" w:hAnsi="宋体" w:eastAsia="仿宋_GB2312"/>
          <w:color w:val="000000"/>
          <w:sz w:val="32"/>
          <w:szCs w:val="32"/>
          <w:shd w:val="clear" w:color="auto" w:fill="FFFFFF"/>
          <w:lang w:val="en-US" w:eastAsia="zh-CN"/>
        </w:rPr>
        <w:t>615</w:t>
      </w:r>
      <w:r>
        <w:rPr>
          <w:rFonts w:hint="eastAsia" w:ascii="仿宋_GB2312" w:hAnsi="宋体" w:eastAsia="仿宋_GB2312"/>
          <w:color w:val="000000"/>
          <w:sz w:val="32"/>
          <w:szCs w:val="32"/>
          <w:shd w:val="clear" w:color="auto" w:fill="FFFFFF"/>
          <w:lang w:val="zh-CN"/>
        </w:rPr>
        <w:t>人</w:t>
      </w:r>
      <w:r>
        <w:rPr>
          <w:rFonts w:hint="eastAsia" w:ascii="仿宋_GB2312" w:hAnsi="宋体" w:eastAsia="仿宋_GB2312"/>
          <w:color w:val="000000"/>
          <w:sz w:val="32"/>
          <w:szCs w:val="32"/>
          <w:shd w:val="clear" w:color="auto" w:fill="FFFFFF"/>
          <w:lang w:val="zh-CN" w:eastAsia="zh-CN"/>
        </w:rPr>
        <w:t>，</w:t>
      </w:r>
      <w:r>
        <w:rPr>
          <w:rFonts w:hint="eastAsia" w:ascii="仿宋_GB2312" w:hAnsi="宋体" w:eastAsia="仿宋_GB2312"/>
          <w:color w:val="000000"/>
          <w:sz w:val="32"/>
          <w:szCs w:val="32"/>
          <w:shd w:val="clear" w:color="auto" w:fill="FFFFFF"/>
          <w:lang w:val="zh-CN"/>
        </w:rPr>
        <w:t>项目</w:t>
      </w:r>
      <w:r>
        <w:rPr>
          <w:rFonts w:hint="eastAsia" w:ascii="仿宋_GB2312" w:hAnsi="宋体" w:eastAsia="仿宋_GB2312"/>
          <w:color w:val="000000"/>
          <w:sz w:val="32"/>
          <w:szCs w:val="32"/>
          <w:shd w:val="clear" w:color="auto" w:fill="FFFFFF"/>
          <w:lang w:val="en-US" w:eastAsia="zh-CN"/>
        </w:rPr>
        <w:t>使用资金130.80万元，退回资金11.20万元。</w:t>
      </w:r>
    </w:p>
    <w:p>
      <w:pPr>
        <w:widowControl/>
        <w:numPr>
          <w:ilvl w:val="0"/>
          <w:numId w:val="0"/>
        </w:numPr>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bookmarkStart w:id="409" w:name="_Toc32095"/>
      <w:r>
        <w:rPr>
          <w:rFonts w:hint="eastAsia" w:ascii="楷体" w:hAnsi="楷体" w:eastAsia="楷体" w:cs="楷体"/>
          <w:b/>
          <w:bCs/>
          <w:color w:val="000000"/>
          <w:kern w:val="0"/>
          <w:sz w:val="32"/>
          <w:szCs w:val="32"/>
          <w:shd w:val="clear" w:color="auto" w:fill="FFFFFF"/>
          <w:lang w:val="zh-CN"/>
        </w:rPr>
        <w:t>（二）项目财务管理情况</w:t>
      </w:r>
      <w:bookmarkEnd w:id="40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zh-CN"/>
        </w:rPr>
      </w:pPr>
      <w:r>
        <w:rPr>
          <w:rFonts w:hint="eastAsia" w:ascii="仿宋_GB2312" w:hAnsi="宋体" w:eastAsia="仿宋_GB2312"/>
          <w:color w:val="000000"/>
          <w:sz w:val="32"/>
          <w:szCs w:val="32"/>
          <w:shd w:val="clear" w:color="auto" w:fill="FFFFFF"/>
          <w:lang w:val="zh-CN"/>
        </w:rPr>
        <w:t>对照项目资金管理办法，严格执行财务管理制度，财务处理及时、会计核算规范。</w:t>
      </w:r>
    </w:p>
    <w:p>
      <w:pPr>
        <w:widowControl/>
        <w:numPr>
          <w:ilvl w:val="0"/>
          <w:numId w:val="0"/>
        </w:numPr>
        <w:adjustRightInd w:val="0"/>
        <w:snapToGrid w:val="0"/>
        <w:spacing w:line="580" w:lineRule="exact"/>
        <w:ind w:firstLine="643" w:firstLineChars="200"/>
        <w:contextualSpacing/>
        <w:jc w:val="left"/>
        <w:outlineLvl w:val="2"/>
        <w:rPr>
          <w:rFonts w:hint="eastAsia" w:ascii="楷体" w:hAnsi="楷体" w:eastAsia="楷体" w:cs="楷体"/>
          <w:b/>
          <w:bCs/>
          <w:color w:val="000000"/>
          <w:kern w:val="0"/>
          <w:sz w:val="32"/>
          <w:szCs w:val="32"/>
          <w:shd w:val="clear" w:color="auto" w:fill="FFFFFF"/>
          <w:lang w:val="zh-CN"/>
        </w:rPr>
      </w:pPr>
      <w:bookmarkStart w:id="410" w:name="_Toc4132"/>
      <w:r>
        <w:rPr>
          <w:rFonts w:hint="eastAsia" w:ascii="楷体" w:hAnsi="楷体" w:eastAsia="楷体" w:cs="楷体"/>
          <w:b/>
          <w:bCs/>
          <w:color w:val="000000"/>
          <w:kern w:val="0"/>
          <w:sz w:val="32"/>
          <w:szCs w:val="32"/>
          <w:shd w:val="clear" w:color="auto" w:fill="FFFFFF"/>
          <w:lang w:val="zh-CN"/>
        </w:rPr>
        <w:t>（三）项目组织实施情况</w:t>
      </w:r>
      <w:bookmarkEnd w:id="410"/>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en-US" w:eastAsia="zh-CN"/>
        </w:rPr>
        <w:t>举办10期培训班，</w:t>
      </w:r>
      <w:r>
        <w:rPr>
          <w:rFonts w:hint="eastAsia" w:ascii="仿宋_GB2312" w:hAnsi="宋体" w:eastAsia="仿宋_GB2312"/>
          <w:color w:val="000000"/>
          <w:sz w:val="32"/>
          <w:szCs w:val="32"/>
          <w:shd w:val="clear" w:color="auto" w:fill="FFFFFF"/>
          <w:lang w:val="zh-CN"/>
        </w:rPr>
        <w:t>培训党员干部人才</w:t>
      </w:r>
      <w:r>
        <w:rPr>
          <w:rFonts w:hint="eastAsia" w:ascii="仿宋_GB2312" w:hAnsi="宋体" w:eastAsia="仿宋_GB2312"/>
          <w:color w:val="000000"/>
          <w:sz w:val="32"/>
          <w:szCs w:val="32"/>
          <w:shd w:val="clear" w:color="auto" w:fill="FFFFFF"/>
          <w:lang w:val="en-US" w:eastAsia="zh-CN"/>
        </w:rPr>
        <w:t>615</w:t>
      </w:r>
      <w:r>
        <w:rPr>
          <w:rFonts w:hint="eastAsia" w:ascii="仿宋_GB2312" w:hAnsi="宋体" w:eastAsia="仿宋_GB2312"/>
          <w:color w:val="000000"/>
          <w:sz w:val="32"/>
          <w:szCs w:val="32"/>
          <w:shd w:val="clear" w:color="auto" w:fill="FFFFFF"/>
          <w:lang w:val="zh-CN"/>
        </w:rPr>
        <w:t>人</w:t>
      </w:r>
      <w:r>
        <w:rPr>
          <w:rFonts w:hint="eastAsia" w:ascii="仿宋_GB2312" w:hAnsi="宋体" w:eastAsia="仿宋_GB2312"/>
          <w:color w:val="000000"/>
          <w:sz w:val="32"/>
          <w:szCs w:val="32"/>
          <w:shd w:val="clear" w:color="auto" w:fill="FFFFFF"/>
          <w:lang w:val="zh-CN" w:eastAsia="zh-CN"/>
        </w:rPr>
        <w:t>。</w:t>
      </w: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lang w:val="zh-CN"/>
        </w:rPr>
      </w:pPr>
      <w:bookmarkStart w:id="411" w:name="_Toc11892"/>
      <w:r>
        <w:rPr>
          <w:rFonts w:hint="eastAsia" w:ascii="黑体" w:hAnsi="宋体" w:eastAsia="黑体" w:cs="宋体"/>
          <w:color w:val="000000"/>
          <w:kern w:val="0"/>
          <w:sz w:val="32"/>
          <w:szCs w:val="32"/>
          <w:shd w:val="clear" w:color="auto" w:fill="FFFFFF"/>
          <w:lang w:val="zh-CN"/>
        </w:rPr>
        <w:t>三、项目绩效情况</w:t>
      </w:r>
      <w:bookmarkEnd w:id="411"/>
      <w:r>
        <w:rPr>
          <w:rFonts w:hint="eastAsia" w:ascii="黑体" w:hAnsi="宋体" w:eastAsia="黑体" w:cs="宋体"/>
          <w:color w:val="000000"/>
          <w:kern w:val="0"/>
          <w:sz w:val="32"/>
          <w:szCs w:val="32"/>
          <w:shd w:val="clear" w:color="auto" w:fill="FFFFFF"/>
          <w:lang w:val="zh-CN"/>
        </w:rPr>
        <w:tab/>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rPr>
        <w:t>项目完成情况。</w:t>
      </w:r>
      <w:r>
        <w:rPr>
          <w:rFonts w:hint="eastAsia" w:ascii="仿宋_GB2312" w:hAnsi="宋体" w:eastAsia="仿宋_GB2312"/>
          <w:color w:val="000000"/>
          <w:sz w:val="32"/>
          <w:szCs w:val="32"/>
          <w:shd w:val="clear" w:color="auto" w:fill="FFFFFF"/>
          <w:lang w:val="zh-CN" w:eastAsia="zh-CN"/>
        </w:rPr>
        <w:t>浙江援建党员干部培训项目，举办治蜀兴川专业化领导干部培训班</w:t>
      </w:r>
      <w:r>
        <w:rPr>
          <w:rFonts w:hint="eastAsia" w:ascii="仿宋_GB2312" w:hAnsi="宋体" w:eastAsia="仿宋_GB2312"/>
          <w:color w:val="000000"/>
          <w:sz w:val="32"/>
          <w:szCs w:val="32"/>
          <w:shd w:val="clear" w:color="auto" w:fill="FFFFFF"/>
          <w:lang w:val="en-US" w:eastAsia="zh-CN"/>
        </w:rPr>
        <w:t>2期，“两新”党组织书记及党建工作指导员培训班1期，贫困村集体经济发展培训班1期，公务员素质能力提升培训班1期，基层治理能手暨支部书记培训班2期，驻村工作队培训班1期，政协委员履职能力提升培训班1期，镇人大代表履职能力提升培训班1期</w:t>
      </w:r>
      <w:r>
        <w:rPr>
          <w:rFonts w:hint="eastAsia" w:ascii="仿宋_GB2312" w:hAnsi="宋体" w:eastAsia="仿宋_GB2312"/>
          <w:color w:val="000000"/>
          <w:sz w:val="32"/>
          <w:szCs w:val="32"/>
          <w:shd w:val="clear" w:color="auto" w:fill="FFFFFF"/>
          <w:lang w:val="zh-CN" w:eastAsia="zh-CN"/>
        </w:rPr>
        <w:t>，</w:t>
      </w:r>
      <w:r>
        <w:rPr>
          <w:rFonts w:hint="eastAsia" w:ascii="仿宋_GB2312" w:hAnsi="宋体" w:eastAsia="仿宋_GB2312"/>
          <w:color w:val="000000"/>
          <w:sz w:val="32"/>
          <w:szCs w:val="32"/>
          <w:shd w:val="clear" w:color="auto" w:fill="FFFFFF"/>
          <w:lang w:val="en-US" w:eastAsia="zh-CN"/>
        </w:rPr>
        <w:t>有力提升全县基层党员干部业务能力和理论修养。</w:t>
      </w:r>
    </w:p>
    <w:p>
      <w:pPr>
        <w:widowControl/>
        <w:adjustRightInd w:val="0"/>
        <w:snapToGrid w:val="0"/>
        <w:spacing w:line="580" w:lineRule="exact"/>
        <w:ind w:firstLine="320" w:firstLineChars="100"/>
        <w:contextualSpacing/>
        <w:jc w:val="left"/>
        <w:outlineLvl w:val="1"/>
        <w:rPr>
          <w:rFonts w:hint="eastAsia" w:ascii="黑体" w:hAnsi="宋体" w:eastAsia="黑体" w:cs="宋体"/>
          <w:color w:val="000000"/>
          <w:kern w:val="0"/>
          <w:sz w:val="32"/>
          <w:szCs w:val="32"/>
          <w:shd w:val="clear" w:color="auto" w:fill="FFFFFF"/>
          <w:lang w:val="zh-CN"/>
        </w:rPr>
      </w:pPr>
      <w:bookmarkStart w:id="412" w:name="_Toc22362"/>
      <w:r>
        <w:rPr>
          <w:rFonts w:hint="eastAsia" w:ascii="黑体" w:hAnsi="宋体" w:eastAsia="黑体" w:cs="宋体"/>
          <w:color w:val="000000"/>
          <w:kern w:val="0"/>
          <w:sz w:val="32"/>
          <w:szCs w:val="32"/>
          <w:shd w:val="clear" w:color="auto" w:fill="FFFFFF"/>
          <w:lang w:val="zh-CN"/>
        </w:rPr>
        <w:t>四、问题及建议</w:t>
      </w:r>
      <w:bookmarkEnd w:id="412"/>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宋体" w:eastAsia="仿宋_GB2312"/>
          <w:color w:val="000000"/>
          <w:sz w:val="32"/>
          <w:szCs w:val="32"/>
          <w:shd w:val="clear" w:color="auto" w:fill="FFFFFF"/>
          <w:lang w:val="en-US" w:eastAsia="zh-CN"/>
        </w:rPr>
      </w:pPr>
      <w:r>
        <w:rPr>
          <w:rFonts w:hint="eastAsia" w:ascii="仿宋_GB2312" w:hAnsi="宋体" w:eastAsia="仿宋_GB2312"/>
          <w:color w:val="000000"/>
          <w:sz w:val="32"/>
          <w:szCs w:val="32"/>
          <w:shd w:val="clear" w:color="auto" w:fill="FFFFFF"/>
          <w:lang w:val="zh-CN" w:eastAsia="zh-CN"/>
        </w:rPr>
        <w:t>教学成果转化不够，通过教育培训实现了知识的灌输，但教学实践不多，部分学员深入思考不够。下一步将采取课堂集中学和跟岗实践历练相结合的方式，持续促进干部提能提质。</w:t>
      </w:r>
    </w:p>
    <w:p>
      <w:pPr>
        <w:spacing w:line="600" w:lineRule="exact"/>
        <w:jc w:val="center"/>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center"/>
        <w:outlineLvl w:val="9"/>
        <w:rPr>
          <w:rFonts w:hint="eastAsia" w:ascii="黑体" w:hAnsi="黑体" w:eastAsia="黑体"/>
          <w:color w:val="000000"/>
          <w:sz w:val="44"/>
          <w:szCs w:val="44"/>
        </w:rPr>
      </w:pPr>
    </w:p>
    <w:bookmarkEnd w:id="324"/>
    <w:bookmarkEnd w:id="401"/>
    <w:bookmarkEnd w:id="402"/>
    <w:p>
      <w:pPr>
        <w:spacing w:line="600" w:lineRule="exact"/>
        <w:jc w:val="center"/>
        <w:outlineLvl w:val="9"/>
        <w:rPr>
          <w:rFonts w:hint="eastAsia" w:ascii="黑体" w:hAnsi="黑体" w:eastAsia="黑体"/>
          <w:color w:val="000000"/>
          <w:sz w:val="44"/>
          <w:szCs w:val="44"/>
        </w:rPr>
      </w:pPr>
      <w:bookmarkStart w:id="413" w:name="_Toc79163635"/>
      <w:bookmarkStart w:id="414" w:name="_Toc79163885"/>
    </w:p>
    <w:p>
      <w:pPr>
        <w:pStyle w:val="2"/>
        <w:rPr>
          <w:rFonts w:hint="eastAsia"/>
        </w:rPr>
      </w:pPr>
    </w:p>
    <w:p>
      <w:pPr>
        <w:spacing w:line="600" w:lineRule="exact"/>
        <w:jc w:val="center"/>
        <w:outlineLvl w:val="9"/>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p>
    <w:p>
      <w:pPr>
        <w:pStyle w:val="2"/>
        <w:rPr>
          <w:rFonts w:hint="eastAsia" w:ascii="黑体" w:hAnsi="黑体" w:eastAsia="黑体"/>
          <w:color w:val="000000"/>
          <w:sz w:val="44"/>
          <w:szCs w:val="44"/>
        </w:rPr>
      </w:pPr>
      <w:bookmarkStart w:id="431" w:name="_GoBack"/>
      <w:bookmarkEnd w:id="431"/>
    </w:p>
    <w:p>
      <w:pPr>
        <w:spacing w:line="600" w:lineRule="exact"/>
        <w:jc w:val="center"/>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numPr>
          <w:ilvl w:val="0"/>
          <w:numId w:val="5"/>
        </w:numPr>
        <w:spacing w:line="600" w:lineRule="exact"/>
        <w:ind w:left="0" w:leftChars="0" w:firstLine="660" w:firstLineChars="150"/>
        <w:jc w:val="center"/>
        <w:outlineLvl w:val="0"/>
        <w:rPr>
          <w:rStyle w:val="37"/>
          <w:rFonts w:hint="eastAsia" w:ascii="黑体" w:hAnsi="黑体" w:eastAsia="黑体"/>
          <w:b w:val="0"/>
        </w:rPr>
      </w:pPr>
      <w:bookmarkStart w:id="415" w:name="_Toc22977"/>
      <w:bookmarkStart w:id="416" w:name="_Toc31254"/>
      <w:r>
        <w:rPr>
          <w:rStyle w:val="37"/>
          <w:rFonts w:hint="eastAsia" w:ascii="黑体" w:hAnsi="黑体" w:eastAsia="黑体"/>
          <w:b w:val="0"/>
        </w:rPr>
        <w:t>附表</w:t>
      </w:r>
      <w:bookmarkEnd w:id="413"/>
      <w:bookmarkEnd w:id="414"/>
      <w:bookmarkEnd w:id="415"/>
      <w:bookmarkEnd w:id="416"/>
    </w:p>
    <w:p>
      <w:pPr>
        <w:pStyle w:val="5"/>
        <w:rPr>
          <w:rFonts w:ascii="仿宋" w:hAnsi="仿宋" w:eastAsia="仿宋"/>
          <w:color w:val="000000"/>
        </w:rPr>
      </w:pPr>
      <w:bookmarkStart w:id="417" w:name="_Toc32452"/>
      <w:r>
        <w:rPr>
          <w:rFonts w:hint="eastAsia" w:ascii="仿宋" w:hAnsi="仿宋" w:eastAsia="仿宋"/>
          <w:b w:val="0"/>
          <w:color w:val="000000"/>
        </w:rPr>
        <w:t>一、收</w:t>
      </w:r>
      <w:r>
        <w:rPr>
          <w:rStyle w:val="36"/>
          <w:rFonts w:hint="eastAsia" w:ascii="仿宋" w:hAnsi="仿宋" w:eastAsia="仿宋"/>
          <w:b w:val="0"/>
          <w:bCs w:val="0"/>
        </w:rPr>
        <w:t>入支出决算总表</w:t>
      </w:r>
      <w:bookmarkEnd w:id="417"/>
    </w:p>
    <w:p>
      <w:pPr>
        <w:pStyle w:val="5"/>
        <w:rPr>
          <w:rFonts w:ascii="仿宋" w:hAnsi="仿宋" w:eastAsia="仿宋"/>
          <w:color w:val="000000"/>
        </w:rPr>
      </w:pPr>
      <w:bookmarkStart w:id="418" w:name="_Toc6789"/>
      <w:r>
        <w:rPr>
          <w:rFonts w:hint="eastAsia" w:ascii="仿宋" w:hAnsi="仿宋" w:eastAsia="仿宋"/>
          <w:b w:val="0"/>
          <w:color w:val="000000"/>
        </w:rPr>
        <w:t>二、收</w:t>
      </w:r>
      <w:r>
        <w:rPr>
          <w:rStyle w:val="36"/>
          <w:rFonts w:hint="eastAsia" w:ascii="仿宋" w:hAnsi="仿宋" w:eastAsia="仿宋"/>
          <w:b w:val="0"/>
          <w:bCs w:val="0"/>
        </w:rPr>
        <w:t>入决算表</w:t>
      </w:r>
      <w:bookmarkEnd w:id="418"/>
    </w:p>
    <w:p>
      <w:pPr>
        <w:pStyle w:val="5"/>
        <w:rPr>
          <w:rFonts w:ascii="仿宋" w:hAnsi="仿宋" w:eastAsia="仿宋"/>
          <w:color w:val="000000"/>
        </w:rPr>
      </w:pPr>
      <w:bookmarkStart w:id="419" w:name="_Toc14479"/>
      <w:r>
        <w:rPr>
          <w:rStyle w:val="36"/>
          <w:rFonts w:hint="eastAsia" w:ascii="仿宋" w:hAnsi="仿宋" w:eastAsia="仿宋"/>
          <w:b w:val="0"/>
          <w:bCs w:val="0"/>
        </w:rPr>
        <w:t>三、</w:t>
      </w:r>
      <w:r>
        <w:rPr>
          <w:rFonts w:hint="eastAsia" w:ascii="仿宋" w:hAnsi="仿宋" w:eastAsia="仿宋"/>
          <w:b w:val="0"/>
          <w:color w:val="000000"/>
        </w:rPr>
        <w:t>支</w:t>
      </w:r>
      <w:r>
        <w:rPr>
          <w:rStyle w:val="36"/>
          <w:rFonts w:hint="eastAsia" w:ascii="仿宋" w:hAnsi="仿宋" w:eastAsia="仿宋"/>
          <w:b w:val="0"/>
          <w:bCs w:val="0"/>
        </w:rPr>
        <w:t>出决算表</w:t>
      </w:r>
      <w:bookmarkEnd w:id="419"/>
    </w:p>
    <w:p>
      <w:pPr>
        <w:pStyle w:val="5"/>
        <w:rPr>
          <w:rFonts w:ascii="仿宋" w:hAnsi="仿宋" w:eastAsia="仿宋"/>
          <w:b w:val="0"/>
          <w:color w:val="000000"/>
        </w:rPr>
      </w:pPr>
      <w:bookmarkStart w:id="420" w:name="_Toc32383"/>
      <w:r>
        <w:rPr>
          <w:rStyle w:val="36"/>
          <w:rFonts w:hint="eastAsia" w:ascii="仿宋" w:hAnsi="仿宋" w:eastAsia="仿宋"/>
          <w:b w:val="0"/>
          <w:bCs w:val="0"/>
        </w:rPr>
        <w:t>四、</w:t>
      </w:r>
      <w:r>
        <w:rPr>
          <w:rFonts w:hint="eastAsia" w:ascii="仿宋" w:hAnsi="仿宋" w:eastAsia="仿宋"/>
          <w:b w:val="0"/>
          <w:color w:val="000000"/>
        </w:rPr>
        <w:t>财</w:t>
      </w:r>
      <w:r>
        <w:rPr>
          <w:rStyle w:val="36"/>
          <w:rFonts w:hint="eastAsia" w:ascii="仿宋" w:hAnsi="仿宋" w:eastAsia="仿宋"/>
          <w:b w:val="0"/>
          <w:bCs w:val="0"/>
        </w:rPr>
        <w:t>政拨款收入支出决算总表</w:t>
      </w:r>
      <w:bookmarkEnd w:id="420"/>
    </w:p>
    <w:p>
      <w:pPr>
        <w:pStyle w:val="5"/>
        <w:rPr>
          <w:rStyle w:val="36"/>
          <w:rFonts w:ascii="仿宋" w:hAnsi="仿宋" w:eastAsia="仿宋"/>
          <w:b w:val="0"/>
          <w:bCs w:val="0"/>
        </w:rPr>
      </w:pPr>
      <w:bookmarkStart w:id="421" w:name="_Toc12476"/>
      <w:r>
        <w:rPr>
          <w:rStyle w:val="36"/>
          <w:rFonts w:hint="eastAsia" w:ascii="仿宋" w:hAnsi="仿宋" w:eastAsia="仿宋"/>
          <w:b w:val="0"/>
          <w:bCs w:val="0"/>
        </w:rPr>
        <w:t>五、</w:t>
      </w:r>
      <w:r>
        <w:rPr>
          <w:rFonts w:hint="eastAsia" w:ascii="仿宋" w:hAnsi="仿宋" w:eastAsia="仿宋"/>
          <w:b w:val="0"/>
          <w:color w:val="000000"/>
        </w:rPr>
        <w:t>财</w:t>
      </w:r>
      <w:r>
        <w:rPr>
          <w:rStyle w:val="36"/>
          <w:rFonts w:hint="eastAsia" w:ascii="仿宋" w:hAnsi="仿宋" w:eastAsia="仿宋"/>
          <w:b w:val="0"/>
          <w:bCs w:val="0"/>
        </w:rPr>
        <w:t>政拨款支出决算明细表</w:t>
      </w:r>
      <w:bookmarkEnd w:id="421"/>
    </w:p>
    <w:p>
      <w:pPr>
        <w:pStyle w:val="5"/>
        <w:rPr>
          <w:rFonts w:ascii="仿宋" w:hAnsi="仿宋" w:eastAsia="仿宋"/>
          <w:color w:val="000000"/>
        </w:rPr>
      </w:pPr>
      <w:bookmarkStart w:id="422" w:name="_Toc8521"/>
      <w:r>
        <w:rPr>
          <w:rStyle w:val="36"/>
          <w:rFonts w:hint="eastAsia" w:ascii="仿宋" w:hAnsi="仿宋" w:eastAsia="仿宋"/>
          <w:b w:val="0"/>
          <w:bCs w:val="0"/>
        </w:rPr>
        <w:t>六、</w:t>
      </w:r>
      <w:r>
        <w:rPr>
          <w:rFonts w:hint="eastAsia" w:ascii="仿宋" w:hAnsi="仿宋" w:eastAsia="仿宋"/>
          <w:b w:val="0"/>
          <w:color w:val="000000"/>
        </w:rPr>
        <w:t>一</w:t>
      </w:r>
      <w:r>
        <w:rPr>
          <w:rStyle w:val="36"/>
          <w:rFonts w:hint="eastAsia" w:ascii="仿宋" w:hAnsi="仿宋" w:eastAsia="仿宋"/>
          <w:b w:val="0"/>
          <w:bCs w:val="0"/>
        </w:rPr>
        <w:t>般公共预算财政拨款支出决算表</w:t>
      </w:r>
      <w:bookmarkEnd w:id="422"/>
    </w:p>
    <w:p>
      <w:pPr>
        <w:pStyle w:val="5"/>
        <w:rPr>
          <w:rFonts w:ascii="仿宋" w:hAnsi="仿宋" w:eastAsia="仿宋"/>
          <w:color w:val="000000"/>
        </w:rPr>
      </w:pPr>
      <w:bookmarkStart w:id="423" w:name="_Toc16259"/>
      <w:r>
        <w:rPr>
          <w:rStyle w:val="36"/>
          <w:rFonts w:hint="eastAsia" w:ascii="仿宋" w:hAnsi="仿宋" w:eastAsia="仿宋"/>
          <w:b w:val="0"/>
          <w:bCs w:val="0"/>
        </w:rPr>
        <w:t>七、</w:t>
      </w:r>
      <w:r>
        <w:rPr>
          <w:rFonts w:hint="eastAsia" w:ascii="仿宋" w:hAnsi="仿宋" w:eastAsia="仿宋"/>
          <w:b w:val="0"/>
          <w:color w:val="000000"/>
        </w:rPr>
        <w:t>一</w:t>
      </w:r>
      <w:r>
        <w:rPr>
          <w:rStyle w:val="36"/>
          <w:rFonts w:hint="eastAsia" w:ascii="仿宋" w:hAnsi="仿宋" w:eastAsia="仿宋"/>
          <w:b w:val="0"/>
          <w:bCs w:val="0"/>
        </w:rPr>
        <w:t>般公共预算财政拨款</w:t>
      </w:r>
      <w:r>
        <w:rPr>
          <w:rStyle w:val="36"/>
          <w:rFonts w:hint="eastAsia" w:ascii="仿宋" w:hAnsi="仿宋" w:eastAsia="仿宋"/>
          <w:b w:val="0"/>
          <w:bCs w:val="0"/>
          <w:lang w:val="en-US" w:eastAsia="zh-CN"/>
        </w:rPr>
        <w:t xml:space="preserve"> </w:t>
      </w:r>
      <w:r>
        <w:rPr>
          <w:rStyle w:val="36"/>
          <w:rFonts w:hint="eastAsia" w:ascii="仿宋" w:hAnsi="仿宋" w:eastAsia="仿宋"/>
          <w:b w:val="0"/>
          <w:bCs w:val="0"/>
        </w:rPr>
        <w:t>支出决算明细表</w:t>
      </w:r>
      <w:bookmarkEnd w:id="423"/>
    </w:p>
    <w:p>
      <w:pPr>
        <w:pStyle w:val="5"/>
        <w:rPr>
          <w:rFonts w:ascii="仿宋" w:hAnsi="仿宋" w:eastAsia="仿宋"/>
          <w:color w:val="000000"/>
        </w:rPr>
      </w:pPr>
      <w:bookmarkStart w:id="424" w:name="_Toc17446"/>
      <w:r>
        <w:rPr>
          <w:rStyle w:val="36"/>
          <w:rFonts w:hint="eastAsia" w:ascii="仿宋" w:hAnsi="仿宋" w:eastAsia="仿宋"/>
          <w:b w:val="0"/>
          <w:bCs w:val="0"/>
        </w:rPr>
        <w:t>八、</w:t>
      </w:r>
      <w:r>
        <w:rPr>
          <w:rFonts w:hint="eastAsia" w:ascii="仿宋" w:hAnsi="仿宋" w:eastAsia="仿宋"/>
          <w:b w:val="0"/>
          <w:color w:val="000000"/>
        </w:rPr>
        <w:t>一</w:t>
      </w:r>
      <w:r>
        <w:rPr>
          <w:rStyle w:val="36"/>
          <w:rFonts w:hint="eastAsia" w:ascii="仿宋" w:hAnsi="仿宋" w:eastAsia="仿宋"/>
          <w:b w:val="0"/>
          <w:bCs w:val="0"/>
        </w:rPr>
        <w:t>般公共预算财政拨款基本支出决算表</w:t>
      </w:r>
      <w:bookmarkEnd w:id="424"/>
    </w:p>
    <w:p>
      <w:pPr>
        <w:pStyle w:val="5"/>
        <w:rPr>
          <w:rFonts w:ascii="仿宋" w:hAnsi="仿宋" w:eastAsia="仿宋"/>
          <w:color w:val="000000"/>
        </w:rPr>
      </w:pPr>
      <w:bookmarkStart w:id="425" w:name="_Toc19317"/>
      <w:r>
        <w:rPr>
          <w:rStyle w:val="36"/>
          <w:rFonts w:hint="eastAsia" w:ascii="仿宋" w:hAnsi="仿宋" w:eastAsia="仿宋"/>
          <w:b w:val="0"/>
          <w:bCs w:val="0"/>
        </w:rPr>
        <w:t>九、</w:t>
      </w:r>
      <w:r>
        <w:rPr>
          <w:rFonts w:hint="eastAsia" w:ascii="仿宋" w:hAnsi="仿宋" w:eastAsia="仿宋"/>
          <w:b w:val="0"/>
          <w:color w:val="000000"/>
        </w:rPr>
        <w:t>一</w:t>
      </w:r>
      <w:r>
        <w:rPr>
          <w:rStyle w:val="36"/>
          <w:rFonts w:hint="eastAsia" w:ascii="仿宋" w:hAnsi="仿宋" w:eastAsia="仿宋"/>
          <w:b w:val="0"/>
          <w:bCs w:val="0"/>
        </w:rPr>
        <w:t>般公共预算财政拨款项目支出决算表</w:t>
      </w:r>
      <w:bookmarkEnd w:id="425"/>
    </w:p>
    <w:p>
      <w:pPr>
        <w:pStyle w:val="5"/>
        <w:rPr>
          <w:rFonts w:ascii="仿宋" w:hAnsi="仿宋" w:eastAsia="仿宋"/>
          <w:color w:val="000000"/>
        </w:rPr>
      </w:pPr>
      <w:bookmarkStart w:id="426" w:name="_Toc7253"/>
      <w:r>
        <w:rPr>
          <w:rStyle w:val="36"/>
          <w:rFonts w:hint="eastAsia" w:ascii="仿宋" w:hAnsi="仿宋" w:eastAsia="仿宋"/>
          <w:b w:val="0"/>
          <w:bCs w:val="0"/>
        </w:rPr>
        <w:t>十、</w:t>
      </w:r>
      <w:r>
        <w:rPr>
          <w:rFonts w:hint="eastAsia" w:ascii="仿宋" w:hAnsi="仿宋" w:eastAsia="仿宋"/>
          <w:b w:val="0"/>
          <w:color w:val="000000"/>
        </w:rPr>
        <w:t>一</w:t>
      </w:r>
      <w:r>
        <w:rPr>
          <w:rStyle w:val="36"/>
          <w:rFonts w:hint="eastAsia" w:ascii="仿宋" w:hAnsi="仿宋" w:eastAsia="仿宋"/>
          <w:b w:val="0"/>
          <w:bCs w:val="0"/>
        </w:rPr>
        <w:t>般公共预算财政拨款“三公”经费支出决算表</w:t>
      </w:r>
      <w:bookmarkEnd w:id="426"/>
    </w:p>
    <w:p>
      <w:pPr>
        <w:pStyle w:val="5"/>
        <w:rPr>
          <w:rFonts w:ascii="仿宋" w:hAnsi="仿宋" w:eastAsia="仿宋"/>
          <w:color w:val="000000"/>
        </w:rPr>
      </w:pPr>
      <w:bookmarkStart w:id="427" w:name="_Toc16899"/>
      <w:r>
        <w:rPr>
          <w:rStyle w:val="36"/>
          <w:rFonts w:hint="eastAsia" w:ascii="仿宋" w:hAnsi="仿宋" w:eastAsia="仿宋"/>
          <w:b w:val="0"/>
          <w:bCs w:val="0"/>
        </w:rPr>
        <w:t>十一、</w:t>
      </w:r>
      <w:r>
        <w:rPr>
          <w:rFonts w:hint="eastAsia" w:ascii="仿宋" w:hAnsi="仿宋" w:eastAsia="仿宋"/>
          <w:b w:val="0"/>
          <w:color w:val="000000"/>
        </w:rPr>
        <w:t>政</w:t>
      </w:r>
      <w:r>
        <w:rPr>
          <w:rStyle w:val="36"/>
          <w:rFonts w:hint="eastAsia" w:ascii="仿宋" w:hAnsi="仿宋" w:eastAsia="仿宋"/>
          <w:b w:val="0"/>
          <w:bCs w:val="0"/>
        </w:rPr>
        <w:t>府性基金预算财政拨款收入支出决算表</w:t>
      </w:r>
      <w:bookmarkEnd w:id="427"/>
    </w:p>
    <w:p>
      <w:pPr>
        <w:pStyle w:val="5"/>
        <w:rPr>
          <w:rFonts w:ascii="仿宋" w:hAnsi="仿宋" w:eastAsia="仿宋"/>
          <w:color w:val="000000"/>
        </w:rPr>
      </w:pPr>
      <w:bookmarkStart w:id="428" w:name="_Toc25087"/>
      <w:r>
        <w:rPr>
          <w:rStyle w:val="36"/>
          <w:rFonts w:hint="eastAsia" w:ascii="仿宋" w:hAnsi="仿宋" w:eastAsia="仿宋"/>
          <w:b w:val="0"/>
          <w:bCs w:val="0"/>
        </w:rPr>
        <w:t>十二、</w:t>
      </w:r>
      <w:r>
        <w:rPr>
          <w:rFonts w:hint="eastAsia" w:ascii="仿宋" w:hAnsi="仿宋" w:eastAsia="仿宋"/>
          <w:b w:val="0"/>
          <w:color w:val="000000"/>
        </w:rPr>
        <w:t>政</w:t>
      </w:r>
      <w:r>
        <w:rPr>
          <w:rStyle w:val="36"/>
          <w:rFonts w:hint="eastAsia" w:ascii="仿宋" w:hAnsi="仿宋" w:eastAsia="仿宋"/>
          <w:b w:val="0"/>
          <w:bCs w:val="0"/>
        </w:rPr>
        <w:t>府性基金预算财政拨款“三公”经费支出决算表</w:t>
      </w:r>
      <w:bookmarkEnd w:id="428"/>
    </w:p>
    <w:p>
      <w:pPr>
        <w:pStyle w:val="5"/>
        <w:rPr>
          <w:rStyle w:val="36"/>
          <w:rFonts w:ascii="仿宋" w:hAnsi="仿宋" w:eastAsia="仿宋"/>
          <w:b w:val="0"/>
          <w:bCs w:val="0"/>
        </w:rPr>
      </w:pPr>
      <w:bookmarkStart w:id="429" w:name="_Toc293"/>
      <w:r>
        <w:rPr>
          <w:rStyle w:val="36"/>
          <w:rFonts w:hint="eastAsia" w:ascii="仿宋" w:hAnsi="仿宋" w:eastAsia="仿宋"/>
          <w:b w:val="0"/>
          <w:bCs w:val="0"/>
        </w:rPr>
        <w:t>十三、</w:t>
      </w:r>
      <w:r>
        <w:rPr>
          <w:rFonts w:hint="eastAsia" w:ascii="仿宋" w:hAnsi="仿宋" w:eastAsia="仿宋"/>
          <w:b w:val="0"/>
          <w:color w:val="000000"/>
        </w:rPr>
        <w:t>国</w:t>
      </w:r>
      <w:r>
        <w:rPr>
          <w:rStyle w:val="36"/>
          <w:rFonts w:hint="eastAsia" w:ascii="仿宋" w:hAnsi="仿宋" w:eastAsia="仿宋"/>
          <w:b w:val="0"/>
          <w:bCs w:val="0"/>
        </w:rPr>
        <w:t>有资本经营预算财政拨款支出决算表</w:t>
      </w:r>
      <w:bookmarkEnd w:id="429"/>
    </w:p>
    <w:p>
      <w:pPr>
        <w:pStyle w:val="5"/>
        <w:rPr>
          <w:rFonts w:ascii="Times New Roman" w:hAnsi="Times New Roman" w:eastAsia="宋体" w:cs="Times New Roman"/>
          <w:kern w:val="2"/>
          <w:sz w:val="21"/>
          <w:szCs w:val="24"/>
          <w:lang w:val="en-US" w:eastAsia="zh-CN" w:bidi="ar-SA"/>
        </w:rPr>
      </w:pPr>
      <w:bookmarkStart w:id="430" w:name="_Toc20432"/>
      <w:r>
        <w:rPr>
          <w:rStyle w:val="36"/>
          <w:rFonts w:hint="eastAsia" w:ascii="仿宋" w:hAnsi="仿宋" w:eastAsia="仿宋"/>
          <w:b w:val="0"/>
          <w:bCs w:val="0"/>
        </w:rPr>
        <w:t>十四、国有资本经营预算财政拨款支出决算表</w:t>
      </w:r>
      <w:bookmarkEnd w:id="430"/>
    </w:p>
    <w:p>
      <w:pPr>
        <w:pStyle w:val="14"/>
        <w:jc w:val="both"/>
        <w:outlineLvl w:val="9"/>
        <w:rPr>
          <w:rFonts w:ascii="Times New Roman" w:hAnsi="Times New Roman" w:eastAsia="宋体" w:cs="Times New Roman"/>
          <w:kern w:val="2"/>
          <w:sz w:val="21"/>
          <w:szCs w:val="24"/>
          <w:lang w:val="en-US" w:eastAsia="zh-CN" w:bidi="ar-SA"/>
        </w:rPr>
      </w:pPr>
    </w:p>
    <w:p>
      <w:pPr>
        <w:tabs>
          <w:tab w:val="left" w:pos="2365"/>
        </w:tabs>
        <w:bidi w:val="0"/>
        <w:jc w:val="left"/>
        <w:rPr>
          <w:lang w:val="en-US" w:eastAsia="zh-CN"/>
        </w:rPr>
      </w:pPr>
    </w:p>
    <w:sectPr>
      <w:footerReference r:id="rId5" w:type="first"/>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86E5EEC"/>
    <w:multiLevelType w:val="singleLevel"/>
    <w:tmpl w:val="A86E5EEC"/>
    <w:lvl w:ilvl="0" w:tentative="0">
      <w:start w:val="1"/>
      <w:numFmt w:val="decimal"/>
      <w:lvlText w:val="%1."/>
      <w:lvlJc w:val="left"/>
      <w:pPr>
        <w:tabs>
          <w:tab w:val="left" w:pos="312"/>
        </w:tabs>
      </w:pPr>
    </w:lvl>
  </w:abstractNum>
  <w:abstractNum w:abstractNumId="1">
    <w:nsid w:val="C2FDDAF5"/>
    <w:multiLevelType w:val="singleLevel"/>
    <w:tmpl w:val="C2FDDAF5"/>
    <w:lvl w:ilvl="0" w:tentative="0">
      <w:start w:val="2"/>
      <w:numFmt w:val="chineseCounting"/>
      <w:suff w:val="nothing"/>
      <w:lvlText w:val="%1、"/>
      <w:lvlJc w:val="left"/>
      <w:rPr>
        <w:rFonts w:hint="eastAsia"/>
      </w:rPr>
    </w:lvl>
  </w:abstractNum>
  <w:abstractNum w:abstractNumId="2">
    <w:nsid w:val="C96C8637"/>
    <w:multiLevelType w:val="singleLevel"/>
    <w:tmpl w:val="C96C8637"/>
    <w:lvl w:ilvl="0" w:tentative="0">
      <w:start w:val="1"/>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3798C"/>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40273"/>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77E63"/>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1B22"/>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310D0F"/>
    <w:rsid w:val="01535CEC"/>
    <w:rsid w:val="018030BD"/>
    <w:rsid w:val="01B13945"/>
    <w:rsid w:val="01C44C11"/>
    <w:rsid w:val="01D61B21"/>
    <w:rsid w:val="01EA6F26"/>
    <w:rsid w:val="01F44E4E"/>
    <w:rsid w:val="02C52D5E"/>
    <w:rsid w:val="03381747"/>
    <w:rsid w:val="035A640D"/>
    <w:rsid w:val="039E40C2"/>
    <w:rsid w:val="03A140C9"/>
    <w:rsid w:val="03B82DA7"/>
    <w:rsid w:val="041E4475"/>
    <w:rsid w:val="04335962"/>
    <w:rsid w:val="04B91B9B"/>
    <w:rsid w:val="04BB7548"/>
    <w:rsid w:val="053B3905"/>
    <w:rsid w:val="05EE28B0"/>
    <w:rsid w:val="06122DA6"/>
    <w:rsid w:val="06AD05AF"/>
    <w:rsid w:val="06C053F0"/>
    <w:rsid w:val="06F24E8F"/>
    <w:rsid w:val="073237CD"/>
    <w:rsid w:val="074D024B"/>
    <w:rsid w:val="07643B8C"/>
    <w:rsid w:val="081358ED"/>
    <w:rsid w:val="08535CEC"/>
    <w:rsid w:val="086A262D"/>
    <w:rsid w:val="086B5417"/>
    <w:rsid w:val="08764741"/>
    <w:rsid w:val="08E84A7B"/>
    <w:rsid w:val="0901641B"/>
    <w:rsid w:val="092B2302"/>
    <w:rsid w:val="099D64B9"/>
    <w:rsid w:val="09B10CB1"/>
    <w:rsid w:val="09B11E20"/>
    <w:rsid w:val="09B1630C"/>
    <w:rsid w:val="09D233EA"/>
    <w:rsid w:val="09D4509C"/>
    <w:rsid w:val="09FA5220"/>
    <w:rsid w:val="0A5733CF"/>
    <w:rsid w:val="0A5C1A16"/>
    <w:rsid w:val="0AA52300"/>
    <w:rsid w:val="0B862986"/>
    <w:rsid w:val="0C572E2B"/>
    <w:rsid w:val="0C866C1B"/>
    <w:rsid w:val="0CC56112"/>
    <w:rsid w:val="0CEB6AB6"/>
    <w:rsid w:val="0D160D3D"/>
    <w:rsid w:val="0D243B52"/>
    <w:rsid w:val="0D5F4A24"/>
    <w:rsid w:val="0D7C1890"/>
    <w:rsid w:val="0DA270E4"/>
    <w:rsid w:val="0DBF506B"/>
    <w:rsid w:val="0FA824FE"/>
    <w:rsid w:val="0FD84C21"/>
    <w:rsid w:val="0FDF2907"/>
    <w:rsid w:val="0FF17C18"/>
    <w:rsid w:val="0FFF25B4"/>
    <w:rsid w:val="104C148E"/>
    <w:rsid w:val="106671C7"/>
    <w:rsid w:val="10830C84"/>
    <w:rsid w:val="109A1D9D"/>
    <w:rsid w:val="10B35587"/>
    <w:rsid w:val="10C055FF"/>
    <w:rsid w:val="110A2F44"/>
    <w:rsid w:val="111A4B5A"/>
    <w:rsid w:val="113B13EE"/>
    <w:rsid w:val="11755710"/>
    <w:rsid w:val="122312A3"/>
    <w:rsid w:val="12431596"/>
    <w:rsid w:val="12BE7EA6"/>
    <w:rsid w:val="12FF10C9"/>
    <w:rsid w:val="13421785"/>
    <w:rsid w:val="134B3DFF"/>
    <w:rsid w:val="134C3FE9"/>
    <w:rsid w:val="138E6266"/>
    <w:rsid w:val="14141B0B"/>
    <w:rsid w:val="142B750A"/>
    <w:rsid w:val="14AA3668"/>
    <w:rsid w:val="14C3759A"/>
    <w:rsid w:val="14DA144F"/>
    <w:rsid w:val="14F425C3"/>
    <w:rsid w:val="150446B4"/>
    <w:rsid w:val="15577AD2"/>
    <w:rsid w:val="15AE4684"/>
    <w:rsid w:val="15BA17E6"/>
    <w:rsid w:val="15E26DF8"/>
    <w:rsid w:val="15E43DE7"/>
    <w:rsid w:val="16BB723D"/>
    <w:rsid w:val="17704F16"/>
    <w:rsid w:val="182614CE"/>
    <w:rsid w:val="18AA0F92"/>
    <w:rsid w:val="18FA45D4"/>
    <w:rsid w:val="192549C5"/>
    <w:rsid w:val="197057A9"/>
    <w:rsid w:val="19B8497D"/>
    <w:rsid w:val="19D277DC"/>
    <w:rsid w:val="19D52DDC"/>
    <w:rsid w:val="19FE487C"/>
    <w:rsid w:val="1A1912CB"/>
    <w:rsid w:val="1A246576"/>
    <w:rsid w:val="1A27661C"/>
    <w:rsid w:val="1A2D3C82"/>
    <w:rsid w:val="1A4E485B"/>
    <w:rsid w:val="1AE92403"/>
    <w:rsid w:val="1B345B38"/>
    <w:rsid w:val="1B364199"/>
    <w:rsid w:val="1B5D4BCD"/>
    <w:rsid w:val="1B62241C"/>
    <w:rsid w:val="1BD36E7E"/>
    <w:rsid w:val="1C295465"/>
    <w:rsid w:val="1C3A16C2"/>
    <w:rsid w:val="1C6E62AD"/>
    <w:rsid w:val="1CD31014"/>
    <w:rsid w:val="1D0B79BC"/>
    <w:rsid w:val="1D5A13C8"/>
    <w:rsid w:val="1D6C0E39"/>
    <w:rsid w:val="1D7D7C38"/>
    <w:rsid w:val="1D8741B6"/>
    <w:rsid w:val="1E042A44"/>
    <w:rsid w:val="1E1E221B"/>
    <w:rsid w:val="1E4B2D50"/>
    <w:rsid w:val="1E4F1199"/>
    <w:rsid w:val="1E8C62F3"/>
    <w:rsid w:val="1F07058B"/>
    <w:rsid w:val="1F565423"/>
    <w:rsid w:val="1FFD7637"/>
    <w:rsid w:val="200A5B83"/>
    <w:rsid w:val="205D4C34"/>
    <w:rsid w:val="20664C61"/>
    <w:rsid w:val="206C66E2"/>
    <w:rsid w:val="209D3C06"/>
    <w:rsid w:val="20D15BEA"/>
    <w:rsid w:val="20E534EA"/>
    <w:rsid w:val="20FF4470"/>
    <w:rsid w:val="211E4748"/>
    <w:rsid w:val="2141479A"/>
    <w:rsid w:val="21565462"/>
    <w:rsid w:val="215747F7"/>
    <w:rsid w:val="21BB01AF"/>
    <w:rsid w:val="21BE7987"/>
    <w:rsid w:val="22597D44"/>
    <w:rsid w:val="225B2C0E"/>
    <w:rsid w:val="22A46216"/>
    <w:rsid w:val="230343E7"/>
    <w:rsid w:val="230F6403"/>
    <w:rsid w:val="240371BF"/>
    <w:rsid w:val="247F3835"/>
    <w:rsid w:val="24C924AB"/>
    <w:rsid w:val="25150927"/>
    <w:rsid w:val="257A4465"/>
    <w:rsid w:val="263C1F12"/>
    <w:rsid w:val="268B1A0B"/>
    <w:rsid w:val="268D0565"/>
    <w:rsid w:val="26C2523B"/>
    <w:rsid w:val="275E6BE6"/>
    <w:rsid w:val="27CF1CCE"/>
    <w:rsid w:val="27EA324E"/>
    <w:rsid w:val="27F561F0"/>
    <w:rsid w:val="280C7073"/>
    <w:rsid w:val="2831203B"/>
    <w:rsid w:val="28670E7D"/>
    <w:rsid w:val="28D14ED5"/>
    <w:rsid w:val="28E47352"/>
    <w:rsid w:val="29264189"/>
    <w:rsid w:val="29485556"/>
    <w:rsid w:val="295329A3"/>
    <w:rsid w:val="2999763E"/>
    <w:rsid w:val="299F035D"/>
    <w:rsid w:val="29BC6B1A"/>
    <w:rsid w:val="29DE6D8A"/>
    <w:rsid w:val="29FD04D3"/>
    <w:rsid w:val="2A312C2A"/>
    <w:rsid w:val="2A5600F4"/>
    <w:rsid w:val="2A564EAD"/>
    <w:rsid w:val="2A7E7DF1"/>
    <w:rsid w:val="2A985180"/>
    <w:rsid w:val="2AB94F6E"/>
    <w:rsid w:val="2B1C1C66"/>
    <w:rsid w:val="2BB37BE2"/>
    <w:rsid w:val="2C276029"/>
    <w:rsid w:val="2CC95E58"/>
    <w:rsid w:val="2CEA7994"/>
    <w:rsid w:val="2CEF3F31"/>
    <w:rsid w:val="2D0E3B2E"/>
    <w:rsid w:val="2D2C683B"/>
    <w:rsid w:val="2D8C7764"/>
    <w:rsid w:val="2DF0169B"/>
    <w:rsid w:val="2E051B5E"/>
    <w:rsid w:val="2E5D5D65"/>
    <w:rsid w:val="2E676B54"/>
    <w:rsid w:val="2ED1609E"/>
    <w:rsid w:val="2EEB5E7B"/>
    <w:rsid w:val="2F33725A"/>
    <w:rsid w:val="2FA42C61"/>
    <w:rsid w:val="2FA80DDF"/>
    <w:rsid w:val="2FB56768"/>
    <w:rsid w:val="2FF70BC9"/>
    <w:rsid w:val="2FFD4083"/>
    <w:rsid w:val="306C2510"/>
    <w:rsid w:val="30737307"/>
    <w:rsid w:val="307512F1"/>
    <w:rsid w:val="309C6E84"/>
    <w:rsid w:val="30D57E76"/>
    <w:rsid w:val="310A2CD0"/>
    <w:rsid w:val="315970AA"/>
    <w:rsid w:val="319F7F4E"/>
    <w:rsid w:val="31AD47DC"/>
    <w:rsid w:val="31CC6F37"/>
    <w:rsid w:val="32240908"/>
    <w:rsid w:val="32593492"/>
    <w:rsid w:val="327A7A08"/>
    <w:rsid w:val="32B27DC8"/>
    <w:rsid w:val="32E47BFC"/>
    <w:rsid w:val="32E8688C"/>
    <w:rsid w:val="3337373A"/>
    <w:rsid w:val="33793A6C"/>
    <w:rsid w:val="339D6301"/>
    <w:rsid w:val="33A74FCC"/>
    <w:rsid w:val="34253335"/>
    <w:rsid w:val="342A720F"/>
    <w:rsid w:val="34523A68"/>
    <w:rsid w:val="345B1543"/>
    <w:rsid w:val="349B6A05"/>
    <w:rsid w:val="34DF46BC"/>
    <w:rsid w:val="354F23F0"/>
    <w:rsid w:val="35724F1E"/>
    <w:rsid w:val="3596246E"/>
    <w:rsid w:val="35BA57D9"/>
    <w:rsid w:val="35EF224E"/>
    <w:rsid w:val="35F23F83"/>
    <w:rsid w:val="362074E5"/>
    <w:rsid w:val="371403E4"/>
    <w:rsid w:val="37314B19"/>
    <w:rsid w:val="37F044D7"/>
    <w:rsid w:val="37F37D7C"/>
    <w:rsid w:val="385E46BE"/>
    <w:rsid w:val="38936377"/>
    <w:rsid w:val="391D08D3"/>
    <w:rsid w:val="39523864"/>
    <w:rsid w:val="398A076E"/>
    <w:rsid w:val="399B3C1E"/>
    <w:rsid w:val="3A1A26E6"/>
    <w:rsid w:val="3A46018E"/>
    <w:rsid w:val="3ABB7FA7"/>
    <w:rsid w:val="3B1D3B05"/>
    <w:rsid w:val="3B2858DD"/>
    <w:rsid w:val="3B4B4A17"/>
    <w:rsid w:val="3B54716C"/>
    <w:rsid w:val="3B5F687D"/>
    <w:rsid w:val="3B9E753D"/>
    <w:rsid w:val="3BF2548E"/>
    <w:rsid w:val="3BFE1331"/>
    <w:rsid w:val="3C56762C"/>
    <w:rsid w:val="3C60705C"/>
    <w:rsid w:val="3C651865"/>
    <w:rsid w:val="3DD400B7"/>
    <w:rsid w:val="3E0044E2"/>
    <w:rsid w:val="3E8868D0"/>
    <w:rsid w:val="3EC65041"/>
    <w:rsid w:val="3EC94C41"/>
    <w:rsid w:val="3F244A7D"/>
    <w:rsid w:val="3F43680D"/>
    <w:rsid w:val="3F4E6A5C"/>
    <w:rsid w:val="3F6D269F"/>
    <w:rsid w:val="3F854CC6"/>
    <w:rsid w:val="3F86365C"/>
    <w:rsid w:val="3FDA4318"/>
    <w:rsid w:val="3FFA1B1E"/>
    <w:rsid w:val="403656D0"/>
    <w:rsid w:val="406B45C2"/>
    <w:rsid w:val="4078029E"/>
    <w:rsid w:val="40A253A5"/>
    <w:rsid w:val="4101144C"/>
    <w:rsid w:val="4104348E"/>
    <w:rsid w:val="4181025C"/>
    <w:rsid w:val="419B4F5C"/>
    <w:rsid w:val="42022225"/>
    <w:rsid w:val="42C81FD9"/>
    <w:rsid w:val="42DC53A7"/>
    <w:rsid w:val="42DC7F17"/>
    <w:rsid w:val="42E135EA"/>
    <w:rsid w:val="44137EA9"/>
    <w:rsid w:val="443371FF"/>
    <w:rsid w:val="44975EB0"/>
    <w:rsid w:val="44B4737E"/>
    <w:rsid w:val="44CD1394"/>
    <w:rsid w:val="44EE0819"/>
    <w:rsid w:val="44F720FF"/>
    <w:rsid w:val="450F0172"/>
    <w:rsid w:val="4552315A"/>
    <w:rsid w:val="456F5482"/>
    <w:rsid w:val="45775E20"/>
    <w:rsid w:val="458E1BBB"/>
    <w:rsid w:val="45CD23CD"/>
    <w:rsid w:val="45DF7178"/>
    <w:rsid w:val="463572EF"/>
    <w:rsid w:val="4677127E"/>
    <w:rsid w:val="468F773B"/>
    <w:rsid w:val="46DD111D"/>
    <w:rsid w:val="471963E3"/>
    <w:rsid w:val="47CC571A"/>
    <w:rsid w:val="47EE09CB"/>
    <w:rsid w:val="48060B85"/>
    <w:rsid w:val="48473B8F"/>
    <w:rsid w:val="485C6587"/>
    <w:rsid w:val="48856F10"/>
    <w:rsid w:val="48B4646F"/>
    <w:rsid w:val="48B57DF3"/>
    <w:rsid w:val="48C253F1"/>
    <w:rsid w:val="49203E37"/>
    <w:rsid w:val="497E28AA"/>
    <w:rsid w:val="49A24BB8"/>
    <w:rsid w:val="49A87213"/>
    <w:rsid w:val="49AB48EC"/>
    <w:rsid w:val="49EA5F42"/>
    <w:rsid w:val="4A0C2E6B"/>
    <w:rsid w:val="4A2D21BE"/>
    <w:rsid w:val="4AA9154F"/>
    <w:rsid w:val="4AC33F5F"/>
    <w:rsid w:val="4ADB374F"/>
    <w:rsid w:val="4AE7232F"/>
    <w:rsid w:val="4AED1D5F"/>
    <w:rsid w:val="4B937FF0"/>
    <w:rsid w:val="4BB3188F"/>
    <w:rsid w:val="4BCA01F6"/>
    <w:rsid w:val="4C3F321E"/>
    <w:rsid w:val="4C66083A"/>
    <w:rsid w:val="4CA87E37"/>
    <w:rsid w:val="4D17049F"/>
    <w:rsid w:val="4D2D50CC"/>
    <w:rsid w:val="4DEC5A5A"/>
    <w:rsid w:val="4E6B09E8"/>
    <w:rsid w:val="4E854FC0"/>
    <w:rsid w:val="4E8B6E47"/>
    <w:rsid w:val="4EA97A02"/>
    <w:rsid w:val="4ECE2238"/>
    <w:rsid w:val="4F1A642E"/>
    <w:rsid w:val="4F681207"/>
    <w:rsid w:val="503A03BF"/>
    <w:rsid w:val="503C46E0"/>
    <w:rsid w:val="504C5332"/>
    <w:rsid w:val="50661C20"/>
    <w:rsid w:val="506A22B9"/>
    <w:rsid w:val="509417A9"/>
    <w:rsid w:val="515A5C29"/>
    <w:rsid w:val="519D2D98"/>
    <w:rsid w:val="521240DF"/>
    <w:rsid w:val="521C4D97"/>
    <w:rsid w:val="52386E78"/>
    <w:rsid w:val="52D94A66"/>
    <w:rsid w:val="52D9520E"/>
    <w:rsid w:val="52F359A5"/>
    <w:rsid w:val="53194C79"/>
    <w:rsid w:val="53D04693"/>
    <w:rsid w:val="541D3FAE"/>
    <w:rsid w:val="54394B54"/>
    <w:rsid w:val="545A001D"/>
    <w:rsid w:val="546A1B75"/>
    <w:rsid w:val="54C25464"/>
    <w:rsid w:val="54FF77B4"/>
    <w:rsid w:val="5565395B"/>
    <w:rsid w:val="558C0987"/>
    <w:rsid w:val="55B63138"/>
    <w:rsid w:val="56761011"/>
    <w:rsid w:val="56982E5B"/>
    <w:rsid w:val="56BA1F32"/>
    <w:rsid w:val="56D4275A"/>
    <w:rsid w:val="56F629E8"/>
    <w:rsid w:val="571F6101"/>
    <w:rsid w:val="57581CBE"/>
    <w:rsid w:val="57F44C54"/>
    <w:rsid w:val="58842654"/>
    <w:rsid w:val="5888165B"/>
    <w:rsid w:val="58D50AF2"/>
    <w:rsid w:val="5A0E0049"/>
    <w:rsid w:val="5AD85058"/>
    <w:rsid w:val="5B764429"/>
    <w:rsid w:val="5B8A0B63"/>
    <w:rsid w:val="5B8E56F0"/>
    <w:rsid w:val="5BD73A3A"/>
    <w:rsid w:val="5C1F6623"/>
    <w:rsid w:val="5C80274F"/>
    <w:rsid w:val="5C8E5F38"/>
    <w:rsid w:val="5CBD58A0"/>
    <w:rsid w:val="5CE6543E"/>
    <w:rsid w:val="5CEE34AE"/>
    <w:rsid w:val="5D1901AF"/>
    <w:rsid w:val="5D29476A"/>
    <w:rsid w:val="5D6F354D"/>
    <w:rsid w:val="5D8A239E"/>
    <w:rsid w:val="5D95588B"/>
    <w:rsid w:val="5DCE59AD"/>
    <w:rsid w:val="5DE762B1"/>
    <w:rsid w:val="5E5424C6"/>
    <w:rsid w:val="5E9C21D6"/>
    <w:rsid w:val="5EAD3276"/>
    <w:rsid w:val="5EBF52BD"/>
    <w:rsid w:val="5F0A3620"/>
    <w:rsid w:val="5F457A33"/>
    <w:rsid w:val="5F4B572A"/>
    <w:rsid w:val="5FEC6E52"/>
    <w:rsid w:val="5FF203A8"/>
    <w:rsid w:val="60A71559"/>
    <w:rsid w:val="60C463FF"/>
    <w:rsid w:val="60C54204"/>
    <w:rsid w:val="60DF0068"/>
    <w:rsid w:val="60E07A47"/>
    <w:rsid w:val="61006F6F"/>
    <w:rsid w:val="61AB08CD"/>
    <w:rsid w:val="61BA5C9F"/>
    <w:rsid w:val="61F64AF8"/>
    <w:rsid w:val="62026BC1"/>
    <w:rsid w:val="62640376"/>
    <w:rsid w:val="62E55D87"/>
    <w:rsid w:val="6310389E"/>
    <w:rsid w:val="63322186"/>
    <w:rsid w:val="636D4B37"/>
    <w:rsid w:val="64233012"/>
    <w:rsid w:val="642C422F"/>
    <w:rsid w:val="645F2DE9"/>
    <w:rsid w:val="646C1CC9"/>
    <w:rsid w:val="64A00DE4"/>
    <w:rsid w:val="64D32ADA"/>
    <w:rsid w:val="64E34FC5"/>
    <w:rsid w:val="651B4D2D"/>
    <w:rsid w:val="65783EAD"/>
    <w:rsid w:val="661C5BD0"/>
    <w:rsid w:val="665A59EE"/>
    <w:rsid w:val="66DE265D"/>
    <w:rsid w:val="66F722C1"/>
    <w:rsid w:val="67274F2A"/>
    <w:rsid w:val="67701F35"/>
    <w:rsid w:val="6780733E"/>
    <w:rsid w:val="67B066B3"/>
    <w:rsid w:val="67EE6CD5"/>
    <w:rsid w:val="68367629"/>
    <w:rsid w:val="68430F51"/>
    <w:rsid w:val="68544787"/>
    <w:rsid w:val="6884631D"/>
    <w:rsid w:val="68A36DF2"/>
    <w:rsid w:val="68B228BE"/>
    <w:rsid w:val="692B0B94"/>
    <w:rsid w:val="69542844"/>
    <w:rsid w:val="6973144E"/>
    <w:rsid w:val="6990107D"/>
    <w:rsid w:val="699F50B5"/>
    <w:rsid w:val="69B5129D"/>
    <w:rsid w:val="69BC077A"/>
    <w:rsid w:val="69D35D35"/>
    <w:rsid w:val="6A393740"/>
    <w:rsid w:val="6A3A309A"/>
    <w:rsid w:val="6A3B429E"/>
    <w:rsid w:val="6AE47109"/>
    <w:rsid w:val="6B0974B7"/>
    <w:rsid w:val="6B2B5433"/>
    <w:rsid w:val="6B3B1B67"/>
    <w:rsid w:val="6B5A7587"/>
    <w:rsid w:val="6B990635"/>
    <w:rsid w:val="6BB7289A"/>
    <w:rsid w:val="6BC267F3"/>
    <w:rsid w:val="6C04591B"/>
    <w:rsid w:val="6C120DDB"/>
    <w:rsid w:val="6C583EA9"/>
    <w:rsid w:val="6C9C1898"/>
    <w:rsid w:val="6CB27D85"/>
    <w:rsid w:val="6CD7713F"/>
    <w:rsid w:val="6DAB1F6A"/>
    <w:rsid w:val="6DB039D6"/>
    <w:rsid w:val="6E055970"/>
    <w:rsid w:val="6E2C2D89"/>
    <w:rsid w:val="6E843AC0"/>
    <w:rsid w:val="6EB84ADF"/>
    <w:rsid w:val="6F371BF8"/>
    <w:rsid w:val="6F4F3193"/>
    <w:rsid w:val="6F601095"/>
    <w:rsid w:val="6F7A2BCC"/>
    <w:rsid w:val="6FD77C68"/>
    <w:rsid w:val="703833B5"/>
    <w:rsid w:val="70412106"/>
    <w:rsid w:val="70A02DF2"/>
    <w:rsid w:val="70C453F7"/>
    <w:rsid w:val="70C54740"/>
    <w:rsid w:val="71074DB7"/>
    <w:rsid w:val="712F77FC"/>
    <w:rsid w:val="716F5C8A"/>
    <w:rsid w:val="719C4074"/>
    <w:rsid w:val="71C45035"/>
    <w:rsid w:val="71C903CD"/>
    <w:rsid w:val="720D17B2"/>
    <w:rsid w:val="723E6E2B"/>
    <w:rsid w:val="726812F5"/>
    <w:rsid w:val="72734D90"/>
    <w:rsid w:val="72D50BBE"/>
    <w:rsid w:val="72ED6063"/>
    <w:rsid w:val="73274486"/>
    <w:rsid w:val="73453DDF"/>
    <w:rsid w:val="738E0AD5"/>
    <w:rsid w:val="73B01ADC"/>
    <w:rsid w:val="73E260F9"/>
    <w:rsid w:val="73EB39E8"/>
    <w:rsid w:val="73EC3BC4"/>
    <w:rsid w:val="74EC29B0"/>
    <w:rsid w:val="753E13D4"/>
    <w:rsid w:val="75486394"/>
    <w:rsid w:val="759C45C0"/>
    <w:rsid w:val="75A10AD5"/>
    <w:rsid w:val="76156D0D"/>
    <w:rsid w:val="767918CC"/>
    <w:rsid w:val="77904138"/>
    <w:rsid w:val="77B52742"/>
    <w:rsid w:val="77C114E4"/>
    <w:rsid w:val="78BE3EDB"/>
    <w:rsid w:val="78D351CE"/>
    <w:rsid w:val="79295F8E"/>
    <w:rsid w:val="797E6927"/>
    <w:rsid w:val="798B739D"/>
    <w:rsid w:val="79A8028C"/>
    <w:rsid w:val="79D351CC"/>
    <w:rsid w:val="7A0D5445"/>
    <w:rsid w:val="7A9A73C8"/>
    <w:rsid w:val="7AC52C15"/>
    <w:rsid w:val="7B4B5B8F"/>
    <w:rsid w:val="7BE573C8"/>
    <w:rsid w:val="7C171F62"/>
    <w:rsid w:val="7C2536B3"/>
    <w:rsid w:val="7C534B0C"/>
    <w:rsid w:val="7C963EA2"/>
    <w:rsid w:val="7CC25F03"/>
    <w:rsid w:val="7CF661DB"/>
    <w:rsid w:val="7D3C630C"/>
    <w:rsid w:val="7D3D1844"/>
    <w:rsid w:val="7D503B02"/>
    <w:rsid w:val="7D621635"/>
    <w:rsid w:val="7E1A1906"/>
    <w:rsid w:val="7E6461EE"/>
    <w:rsid w:val="7E7D11B3"/>
    <w:rsid w:val="7E901535"/>
    <w:rsid w:val="7F0F001A"/>
    <w:rsid w:val="7F1259F6"/>
    <w:rsid w:val="7F230439"/>
    <w:rsid w:val="7F375716"/>
    <w:rsid w:val="7F56761D"/>
    <w:rsid w:val="7F7F4059"/>
    <w:rsid w:val="7F826BBB"/>
    <w:rsid w:val="7F941F25"/>
    <w:rsid w:val="7FC030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ind w:firstLine="420" w:firstLineChars="200"/>
    </w:pPr>
  </w:style>
  <w:style w:type="paragraph" w:styleId="3">
    <w:name w:val="Body Text Indent"/>
    <w:basedOn w:val="1"/>
    <w:next w:val="2"/>
    <w:qFormat/>
    <w:uiPriority w:val="0"/>
    <w:pPr>
      <w:tabs>
        <w:tab w:val="left" w:pos="960"/>
      </w:tabs>
      <w:spacing w:line="540" w:lineRule="exact"/>
      <w:ind w:firstLine="5440" w:firstLineChars="1700"/>
    </w:pPr>
    <w:rPr>
      <w:sz w:val="32"/>
      <w:szCs w:val="32"/>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semiHidden/>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Title"/>
    <w:basedOn w:val="1"/>
    <w:qFormat/>
    <w:uiPriority w:val="0"/>
    <w:pPr>
      <w:spacing w:before="240" w:after="60"/>
      <w:jc w:val="center"/>
      <w:outlineLvl w:val="0"/>
    </w:pPr>
    <w:rPr>
      <w:rFonts w:ascii="Arial" w:hAnsi="Arial" w:cs="Arial"/>
      <w:b/>
      <w:bCs/>
      <w:sz w:val="32"/>
      <w:szCs w:val="32"/>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3">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 w:type="character" w:customStyle="1" w:styleId="36">
    <w:name w:val="标题 2 Char"/>
    <w:basedOn w:val="16"/>
    <w:link w:val="5"/>
    <w:qFormat/>
    <w:locked/>
    <w:uiPriority w:val="9"/>
    <w:rPr>
      <w:rFonts w:ascii="Cambria" w:hAnsi="Cambria" w:eastAsia="宋体" w:cs="Times New Roman"/>
      <w:b/>
      <w:bCs/>
      <w:kern w:val="2"/>
      <w:sz w:val="32"/>
      <w:szCs w:val="32"/>
    </w:rPr>
  </w:style>
  <w:style w:type="character" w:customStyle="1" w:styleId="37">
    <w:name w:val="标题 1 Char"/>
    <w:basedOn w:val="16"/>
    <w:link w:val="4"/>
    <w:qFormat/>
    <w:locked/>
    <w:uiPriority w:val="9"/>
    <w:rPr>
      <w:rFonts w:ascii="Times New Roman" w:hAnsi="Times New Roman" w:cs="Times New Roman"/>
      <w:b/>
      <w:bCs/>
      <w:kern w:val="44"/>
      <w:sz w:val="44"/>
      <w:szCs w:val="44"/>
    </w:rPr>
  </w:style>
  <w:style w:type="paragraph" w:customStyle="1" w:styleId="38">
    <w:name w:val="WPSOffice手动目录 3"/>
    <w:uiPriority w:val="0"/>
    <w:pPr>
      <w:ind w:leftChars="400"/>
    </w:pPr>
    <w:rPr>
      <w:rFonts w:ascii="Calibri" w:hAnsi="Calibri" w:eastAsia="宋体" w:cs="Times New Roman"/>
      <w:sz w:val="20"/>
      <w:szCs w:val="20"/>
    </w:rPr>
  </w:style>
  <w:style w:type="paragraph" w:customStyle="1" w:styleId="39">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1508;&#31867;&#25253;&#34920;\&#37096;&#38376;&#20915;&#31639;\2019&#24180;&#20915;&#31639;&#20844;&#24320;\&#21046;&#22270;&#25152;&#29992;.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1508;&#31867;&#25253;&#34920;\&#37096;&#38376;&#20915;&#31639;\2019&#24180;&#20915;&#31639;&#20844;&#24320;\&#21046;&#22270;&#25152;&#2999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1508;&#31867;&#25253;&#34920;\&#37096;&#38376;&#20915;&#31639;\2019&#24180;&#20915;&#31639;&#20844;&#24320;\&#21046;&#22270;&#25152;&#29992;.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1508;&#31867;&#25253;&#34920;\&#37096;&#38376;&#20915;&#31639;\2019&#24180;&#20915;&#31639;&#20844;&#24320;\&#21046;&#22270;&#25152;&#2999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1508;&#31867;&#25253;&#34920;\&#37096;&#38376;&#20915;&#31639;\2020&#24180;&#20915;&#31639;&#20844;&#24320;\&#21046;&#22270;&#25152;&#29992;.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1508;&#31867;&#25253;&#34920;\&#37096;&#38376;&#20915;&#31639;\2019&#24180;&#20915;&#31639;&#20844;&#24320;\&#21046;&#22270;&#25152;&#2999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1508;&#31867;&#25253;&#34920;\&#37096;&#38376;&#20915;&#31639;\2019&#24180;&#20915;&#31639;&#20844;&#24320;\&#21046;&#22270;&#25152;&#299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200">
                <a:latin typeface="黑体" panose="02010609060101010101" charset="-122"/>
                <a:ea typeface="黑体" panose="02010609060101010101" charset="-122"/>
                <a:cs typeface="黑体" panose="02010609060101010101" charset="-122"/>
              </a:rPr>
              <a:t>图1：收、支决算总计变动情况图（单位：万元）</a:t>
            </a:r>
            <a:endParaRPr sz="1200">
              <a:latin typeface="黑体" panose="02010609060101010101" charset="-122"/>
              <a:ea typeface="黑体" panose="02010609060101010101" charset="-122"/>
              <a:cs typeface="黑体" panose="02010609060101010101" charset="-122"/>
            </a:endParaRPr>
          </a:p>
        </c:rich>
      </c:tx>
      <c:layout>
        <c:manualLayout>
          <c:xMode val="edge"/>
          <c:yMode val="edge"/>
          <c:x val="0.127916666666666"/>
          <c:y val="0.0347222222222222"/>
        </c:manualLayout>
      </c:layout>
      <c:overlay val="0"/>
      <c:spPr>
        <a:noFill/>
        <a:ln>
          <a:noFill/>
        </a:ln>
        <a:effectLst/>
      </c:spPr>
    </c:title>
    <c:autoTitleDeleted val="0"/>
    <c:plotArea>
      <c:layout>
        <c:manualLayout>
          <c:layoutTarget val="inner"/>
          <c:xMode val="edge"/>
          <c:yMode val="edge"/>
          <c:x val="0.135916666666666"/>
          <c:y val="0.154861111111111"/>
          <c:w val="0.835611111111111"/>
          <c:h val="0.72324074074074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[制图所用.xlsx]Sheet1!$A$1:$B$1</c:f>
              <c:strCache>
                <c:ptCount val="2"/>
                <c:pt idx="0">
                  <c:v>2019年</c:v>
                </c:pt>
                <c:pt idx="1">
                  <c:v>2020年</c:v>
                </c:pt>
              </c:strCache>
            </c:strRef>
          </c:cat>
          <c:val>
            <c:numRef>
              <c:f>[制图所用.xlsx]Sheet1!$A$2:$B$2</c:f>
              <c:numCache>
                <c:formatCode>0.00_ </c:formatCode>
                <c:ptCount val="2"/>
                <c:pt idx="0">
                  <c:v>1360.15</c:v>
                </c:pt>
                <c:pt idx="1">
                  <c:v>1382.99</c:v>
                </c:pt>
              </c:numCache>
            </c:numRef>
          </c:val>
        </c:ser>
        <c:dLbls>
          <c:showLegendKey val="0"/>
          <c:showVal val="1"/>
          <c:showCatName val="0"/>
          <c:showSerName val="0"/>
          <c:showPercent val="0"/>
          <c:showBubbleSize val="0"/>
        </c:dLbls>
        <c:gapWidth val="219"/>
        <c:overlap val="-27"/>
        <c:axId val="429878168"/>
        <c:axId val="732085366"/>
      </c:barChart>
      <c:catAx>
        <c:axId val="42987816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2085366"/>
        <c:crosses val="autoZero"/>
        <c:auto val="1"/>
        <c:lblAlgn val="ctr"/>
        <c:lblOffset val="100"/>
        <c:noMultiLvlLbl val="0"/>
      </c:catAx>
      <c:valAx>
        <c:axId val="73208536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878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[制图所用.xlsx]Sheet1!$A$29:$A$35</c:f>
              <c:strCache>
                <c:ptCount val="7"/>
                <c:pt idx="0">
                  <c:v>一般公共预算财政拨款收入</c:v>
                </c:pt>
                <c:pt idx="1">
                  <c:v>政府性基金预算财政拨款收入</c:v>
                </c:pt>
                <c:pt idx="2">
                  <c:v>上级补助收入</c:v>
                </c:pt>
                <c:pt idx="3">
                  <c:v>事业收入</c:v>
                </c:pt>
                <c:pt idx="4">
                  <c:v>其他收入</c:v>
                </c:pt>
                <c:pt idx="5">
                  <c:v>经营收入</c:v>
                </c:pt>
                <c:pt idx="6">
                  <c:v>附属上级补助收入</c:v>
                </c:pt>
              </c:strCache>
            </c:strRef>
          </c:cat>
          <c:val>
            <c:numRef>
              <c:f>[制图所用.xlsx]Sheet1!$B$29:$B$35</c:f>
              <c:numCache>
                <c:formatCode>General</c:formatCode>
                <c:ptCount val="7"/>
                <c:pt idx="0">
                  <c:v>1218.85</c:v>
                </c:pt>
                <c:pt idx="1">
                  <c:v>0</c:v>
                </c:pt>
                <c:pt idx="2">
                  <c:v>0</c:v>
                </c:pt>
                <c:pt idx="3">
                  <c:v>0</c:v>
                </c:pt>
                <c:pt idx="4">
                  <c:v>0</c:v>
                </c:pt>
                <c:pt idx="5">
                  <c:v>0</c:v>
                </c:pt>
                <c:pt idx="6">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7916666666667"/>
          <c:y val="0.13738425925925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manualLayout>
          <c:xMode val="edge"/>
          <c:yMode val="edge"/>
          <c:x val="0.210277777777778"/>
          <c:y val="0.0208333333333333"/>
        </c:manualLayout>
      </c:layout>
      <c:overlay val="0"/>
      <c:spPr>
        <a:noFill/>
        <a:ln>
          <a:noFill/>
        </a:ln>
        <a:effectLst/>
      </c:spPr>
    </c:title>
    <c:autoTitleDeleted val="0"/>
    <c:plotArea>
      <c:layout>
        <c:manualLayout>
          <c:layoutTarget val="inner"/>
          <c:xMode val="edge"/>
          <c:yMode val="edge"/>
          <c:x val="0.122777777777778"/>
          <c:y val="0.176388888888889"/>
          <c:w val="0.463611111111111"/>
          <c:h val="0.772685185185185"/>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[制图所用.xlsx]Sheet1!$A$52:$A$56</c:f>
              <c:strCache>
                <c:ptCount val="5"/>
                <c:pt idx="0">
                  <c:v>基本支出</c:v>
                </c:pt>
                <c:pt idx="1">
                  <c:v>项目支出</c:v>
                </c:pt>
                <c:pt idx="2">
                  <c:v>经营支出</c:v>
                </c:pt>
                <c:pt idx="3">
                  <c:v>上缴上级支出</c:v>
                </c:pt>
                <c:pt idx="4">
                  <c:v>对附属单位补助支出</c:v>
                </c:pt>
              </c:strCache>
            </c:strRef>
          </c:cat>
          <c:val>
            <c:numRef>
              <c:f>[制图所用.xlsx]Sheet1!$B$52:$B$56</c:f>
              <c:numCache>
                <c:formatCode>General</c:formatCode>
                <c:ptCount val="5"/>
                <c:pt idx="0">
                  <c:v>691.26</c:v>
                </c:pt>
                <c:pt idx="1">
                  <c:v>691.47</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latin typeface="黑体" panose="02010609060101010101" charset="-122"/>
                <a:ea typeface="黑体" panose="02010609060101010101" charset="-122"/>
                <a:cs typeface="黑体" panose="02010609060101010101" charset="-122"/>
              </a:rPr>
              <a:t>图</a:t>
            </a:r>
            <a:r>
              <a:rPr lang="en-US" altLang="zh-CN" sz="1000">
                <a:latin typeface="黑体" panose="02010609060101010101" charset="-122"/>
                <a:ea typeface="黑体" panose="02010609060101010101" charset="-122"/>
                <a:cs typeface="黑体" panose="02010609060101010101" charset="-122"/>
              </a:rPr>
              <a:t>4</a:t>
            </a:r>
            <a:r>
              <a:rPr sz="1000">
                <a:latin typeface="黑体" panose="02010609060101010101" charset="-122"/>
                <a:ea typeface="黑体" panose="02010609060101010101" charset="-122"/>
                <a:cs typeface="黑体" panose="02010609060101010101" charset="-122"/>
              </a:rPr>
              <a:t>：财政拨款收、支决算总计变动情况图（单位：万元）</a:t>
            </a:r>
            <a:endParaRPr sz="1000">
              <a:latin typeface="黑体" panose="02010609060101010101" charset="-122"/>
              <a:ea typeface="黑体" panose="02010609060101010101" charset="-122"/>
              <a:cs typeface="黑体" panose="02010609060101010101" charset="-122"/>
            </a:endParaRPr>
          </a:p>
        </c:rich>
      </c:tx>
      <c:layout>
        <c:manualLayout>
          <c:xMode val="edge"/>
          <c:yMode val="edge"/>
          <c:x val="0.196666666666666"/>
          <c:y val="0.0486111111111111"/>
        </c:manualLayout>
      </c:layout>
      <c:overlay val="0"/>
      <c:spPr>
        <a:noFill/>
        <a:ln>
          <a:noFill/>
        </a:ln>
        <a:effectLst/>
      </c:spPr>
    </c:title>
    <c:autoTitleDeleted val="0"/>
    <c:plotArea>
      <c:layout>
        <c:manualLayout>
          <c:layoutTarget val="inner"/>
          <c:xMode val="edge"/>
          <c:yMode val="edge"/>
          <c:x val="0.133833333333333"/>
          <c:y val="0.158333333333333"/>
          <c:w val="0.835611111111111"/>
          <c:h val="0.72324074074074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[制图所用.xlsx]Sheet1!$A$1:$B$1</c:f>
              <c:strCache>
                <c:ptCount val="2"/>
                <c:pt idx="0">
                  <c:v>2019年</c:v>
                </c:pt>
                <c:pt idx="1">
                  <c:v>2020年</c:v>
                </c:pt>
              </c:strCache>
            </c:strRef>
          </c:cat>
          <c:val>
            <c:numRef>
              <c:f>[制图所用.xlsx]Sheet1!$A$2:$B$2</c:f>
              <c:numCache>
                <c:formatCode>0.00_ </c:formatCode>
                <c:ptCount val="2"/>
                <c:pt idx="0">
                  <c:v>1360.15</c:v>
                </c:pt>
                <c:pt idx="1">
                  <c:v>1382.99</c:v>
                </c:pt>
              </c:numCache>
            </c:numRef>
          </c:val>
        </c:ser>
        <c:dLbls>
          <c:showLegendKey val="0"/>
          <c:showVal val="1"/>
          <c:showCatName val="0"/>
          <c:showSerName val="0"/>
          <c:showPercent val="0"/>
          <c:showBubbleSize val="0"/>
        </c:dLbls>
        <c:gapWidth val="219"/>
        <c:overlap val="-27"/>
        <c:axId val="429878168"/>
        <c:axId val="732085366"/>
      </c:barChart>
      <c:catAx>
        <c:axId val="429878168"/>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2085366"/>
        <c:crosses val="autoZero"/>
        <c:auto val="1"/>
        <c:lblAlgn val="ctr"/>
        <c:lblOffset val="100"/>
        <c:noMultiLvlLbl val="0"/>
      </c:catAx>
      <c:valAx>
        <c:axId val="732085366"/>
        <c:scaling>
          <c:orientation val="minMax"/>
        </c:scaling>
        <c:delete val="0"/>
        <c:axPos val="l"/>
        <c:majorGridlines>
          <c:spPr>
            <a:ln w="9525" cap="flat" cmpd="sng" algn="ctr">
              <a:solidFill>
                <a:schemeClr val="tx1">
                  <a:lumMod val="15000"/>
                  <a:lumOff val="85000"/>
                </a:schemeClr>
              </a:solidFill>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9878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100"/>
              <a:t>一般公共预算财政拨款支出决算变动情况（单位：万元）</a:t>
            </a:r>
            <a:endParaRPr sz="1100"/>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[制图所用.xlsx]Sheet1!$A$78:$B$78</c:f>
              <c:strCache>
                <c:ptCount val="2"/>
                <c:pt idx="0">
                  <c:v>2019年</c:v>
                </c:pt>
                <c:pt idx="1">
                  <c:v>2020年</c:v>
                </c:pt>
              </c:strCache>
            </c:strRef>
          </c:cat>
          <c:val>
            <c:numRef>
              <c:f>[制图所用.xlsx]Sheet1!$A$79:$B$79</c:f>
              <c:numCache>
                <c:formatCode>General</c:formatCode>
                <c:ptCount val="2"/>
                <c:pt idx="0">
                  <c:v>1085.33</c:v>
                </c:pt>
                <c:pt idx="1">
                  <c:v>1382.73</c:v>
                </c:pt>
              </c:numCache>
            </c:numRef>
          </c:val>
        </c:ser>
        <c:dLbls>
          <c:showLegendKey val="0"/>
          <c:showVal val="1"/>
          <c:showCatName val="0"/>
          <c:showSerName val="0"/>
          <c:showPercent val="0"/>
          <c:showBubbleSize val="0"/>
        </c:dLbls>
        <c:gapWidth val="75"/>
        <c:overlap val="40"/>
        <c:axId val="961534088"/>
        <c:axId val="617790958"/>
      </c:barChart>
      <c:catAx>
        <c:axId val="9615340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7790958"/>
        <c:crosses val="autoZero"/>
        <c:auto val="1"/>
        <c:lblAlgn val="ctr"/>
        <c:lblOffset val="100"/>
        <c:noMultiLvlLbl val="0"/>
      </c:catAx>
      <c:valAx>
        <c:axId val="6177909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1534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spc="0" baseline="0">
                <a:solidFill>
                  <a:schemeClr val="tx1">
                    <a:lumMod val="65000"/>
                    <a:lumOff val="35000"/>
                  </a:schemeClr>
                </a:solidFill>
                <a:latin typeface="+mn-lt"/>
                <a:ea typeface="+mn-ea"/>
                <a:cs typeface="+mn-cs"/>
              </a:defRPr>
            </a:pPr>
            <a:r>
              <a:rPr sz="1000"/>
              <a:t>一般公共预算财政拨款支出决算结构图</a:t>
            </a:r>
            <a:endParaRPr sz="100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[制图所用.xlsx]Sheet1!$A$124:$A$129</c:f>
              <c:strCache>
                <c:ptCount val="6"/>
                <c:pt idx="0">
                  <c:v>一般公共服务支出</c:v>
                </c:pt>
                <c:pt idx="1">
                  <c:v>其他支出</c:v>
                </c:pt>
                <c:pt idx="2">
                  <c:v>社会保障和就业支出</c:v>
                </c:pt>
                <c:pt idx="3">
                  <c:v>卫生健康支出</c:v>
                </c:pt>
                <c:pt idx="4">
                  <c:v>农林水支出</c:v>
                </c:pt>
                <c:pt idx="5">
                  <c:v>住房保障支出</c:v>
                </c:pt>
              </c:strCache>
            </c:strRef>
          </c:cat>
          <c:val>
            <c:numRef>
              <c:f>[制图所用.xlsx]Sheet1!$B$124:$B$129</c:f>
              <c:numCache>
                <c:formatCode>General</c:formatCode>
                <c:ptCount val="6"/>
                <c:pt idx="0">
                  <c:v>860.9</c:v>
                </c:pt>
                <c:pt idx="1">
                  <c:v>34.88</c:v>
                </c:pt>
                <c:pt idx="2">
                  <c:v>61.12</c:v>
                </c:pt>
                <c:pt idx="3">
                  <c:v>31.44</c:v>
                </c:pt>
                <c:pt idx="4">
                  <c:v>350.38</c:v>
                </c:pt>
                <c:pt idx="5">
                  <c:v>44.01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[制图所用.xlsx]Sheet1!$A$145:$A$147</c:f>
              <c:strCache>
                <c:ptCount val="3"/>
                <c:pt idx="0">
                  <c:v>因公出国（境）费用</c:v>
                </c:pt>
                <c:pt idx="1">
                  <c:v>接待费</c:v>
                </c:pt>
                <c:pt idx="2">
                  <c:v>公务用车购置及运行费</c:v>
                </c:pt>
              </c:strCache>
            </c:strRef>
          </c:cat>
          <c:val>
            <c:numRef>
              <c:f>[制图所用.xlsx]Sheet1!$B$145:$B$147</c:f>
              <c:numCache>
                <c:formatCode>General</c:formatCode>
                <c:ptCount val="3"/>
                <c:pt idx="0">
                  <c:v>0</c:v>
                </c:pt>
                <c:pt idx="1">
                  <c:v>3.09</c:v>
                </c:pt>
                <c:pt idx="2">
                  <c:v>87.89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200</TotalTime>
  <ScaleCrop>false</ScaleCrop>
  <LinksUpToDate>false</LinksUpToDate>
  <CharactersWithSpaces>8587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wt</cp:lastModifiedBy>
  <cp:lastPrinted>2021-09-24T07:55:00Z</cp:lastPrinted>
  <dcterms:modified xsi:type="dcterms:W3CDTF">2021-09-24T08:28:29Z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