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8441"/>
      <w:bookmarkStart w:id="1" w:name="_Toc15377425"/>
      <w:bookmarkStart w:id="2" w:name="_Toc15396597"/>
      <w:bookmarkStart w:id="3" w:name="_Toc15377193"/>
      <w:bookmarkStart w:id="4" w:name="_Toc15396475"/>
      <w:bookmarkStart w:id="5" w:name="_Toc15306267"/>
    </w:p>
    <w:p>
      <w:pPr>
        <w:pStyle w:val="5"/>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hint="eastAsia" w:asciiTheme="minorEastAsia" w:hAnsiTheme="minorEastAsia" w:eastAsiaTheme="minorEastAsia"/>
          <w:b/>
          <w:sz w:val="72"/>
          <w:szCs w:val="72"/>
        </w:rPr>
      </w:pPr>
      <w:bookmarkStart w:id="6" w:name="_Toc15306268"/>
      <w:bookmarkStart w:id="7" w:name="_Toc15377194"/>
      <w:bookmarkStart w:id="8" w:name="_Toc15396476"/>
      <w:bookmarkStart w:id="9" w:name="_Toc15396598"/>
      <w:bookmarkStart w:id="10" w:name="_Toc15377426"/>
      <w:bookmarkStart w:id="11" w:name="_Toc15378442"/>
      <w:r>
        <w:rPr>
          <w:rFonts w:asciiTheme="minorEastAsia" w:hAnsiTheme="minorEastAsia" w:eastAsiaTheme="minorEastAsia"/>
          <w:b/>
          <w:sz w:val="72"/>
          <w:szCs w:val="72"/>
        </w:rPr>
        <w:t>中共阿坝州茂县委员会组织部（信息中心）</w:t>
      </w:r>
      <w:r>
        <w:rPr>
          <w:rFonts w:hint="eastAsia" w:asciiTheme="minorEastAsia" w:hAnsiTheme="minorEastAsia" w:eastAsiaTheme="minorEastAsia"/>
          <w:b/>
          <w:sz w:val="72"/>
          <w:szCs w:val="72"/>
        </w:rPr>
        <w:t>部门</w:t>
      </w: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tabs>
          <w:tab w:val="left" w:pos="3600"/>
        </w:tabs>
      </w:pPr>
      <w:r>
        <w:tab/>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7"/>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7"/>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7"/>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7"/>
          <w:rFonts w:hint="eastAsia" w:ascii="黑体" w:hAnsi="黑体" w:eastAsia="黑体" w:cs="黑体"/>
        </w:rPr>
        <w:t>第二部分</w:t>
      </w:r>
      <w:r>
        <w:rPr>
          <w:rStyle w:val="17"/>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7"/>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7"/>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7"/>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7"/>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7"/>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7"/>
          <w:rFonts w:ascii="黑体" w:eastAsia="黑体"/>
        </w:rPr>
        <w:t>六、一般公共预算财政拨款基本支出决算情况说明</w:t>
      </w:r>
      <w:r>
        <w:tab/>
      </w:r>
      <w:r>
        <w:fldChar w:fldCharType="begin"/>
      </w:r>
      <w:r>
        <w:instrText xml:space="preserve"> PAGEREF _Toc113981018 \h </w:instrText>
      </w:r>
      <w:r>
        <w:fldChar w:fldCharType="separate"/>
      </w:r>
      <w:r>
        <w:t>10</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7"/>
          <w:rFonts w:ascii="黑体" w:eastAsia="黑体"/>
        </w:rPr>
        <w:t>七、“三公”经费财政拨款支出决算情况说明</w:t>
      </w:r>
      <w:r>
        <w:tab/>
      </w:r>
      <w:r>
        <w:fldChar w:fldCharType="begin"/>
      </w:r>
      <w:r>
        <w:instrText xml:space="preserve"> PAGEREF _Toc113981019 \h </w:instrText>
      </w:r>
      <w:r>
        <w:fldChar w:fldCharType="separate"/>
      </w:r>
      <w:r>
        <w:t>10</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7"/>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7"/>
          <w:rFonts w:ascii="黑体" w:eastAsia="黑体"/>
        </w:rPr>
        <w:t>九、国有资本经营预算支出决算情况说明</w:t>
      </w:r>
      <w:r>
        <w:tab/>
      </w:r>
      <w:r>
        <w:fldChar w:fldCharType="begin"/>
      </w:r>
      <w:r>
        <w:instrText xml:space="preserve"> PAGEREF _Toc113981021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7"/>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7"/>
          <w:rFonts w:ascii="黑体" w:hAnsi="黑体" w:eastAsia="黑体" w:cs="黑体"/>
        </w:rPr>
        <w:t>第三部分 名词解释</w:t>
      </w:r>
      <w:r>
        <w:tab/>
      </w:r>
      <w:r>
        <w:fldChar w:fldCharType="begin"/>
      </w:r>
      <w:r>
        <w:instrText xml:space="preserve"> PAGEREF _Toc113981023 \h </w:instrText>
      </w:r>
      <w:r>
        <w:fldChar w:fldCharType="separate"/>
      </w:r>
      <w:r>
        <w:t>13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7"/>
          <w:rFonts w:ascii="黑体" w:hAnsi="黑体" w:eastAsia="黑体" w:cs="黑体"/>
        </w:rPr>
        <w:t>第</w:t>
      </w:r>
      <w:r>
        <w:rPr>
          <w:rStyle w:val="17"/>
          <w:rFonts w:hint="eastAsia" w:ascii="黑体" w:hAnsi="黑体" w:eastAsia="黑体" w:cs="黑体"/>
          <w:lang w:eastAsia="zh-CN"/>
        </w:rPr>
        <w:t>四</w:t>
      </w:r>
      <w:r>
        <w:rPr>
          <w:rStyle w:val="17"/>
          <w:rFonts w:ascii="黑体" w:hAnsi="黑体" w:eastAsia="黑体" w:cs="黑体"/>
        </w:rPr>
        <w:t>部分 附表</w:t>
      </w:r>
      <w:r>
        <w:tab/>
      </w:r>
      <w:r>
        <w:fldChar w:fldCharType="begin"/>
      </w:r>
      <w:r>
        <w:instrText xml:space="preserve"> PAGEREF _Toc113981025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7"/>
          <w:rFonts w:ascii="黑体" w:eastAsia="黑体"/>
        </w:rPr>
        <w:t>一、收入支出决算总表</w:t>
      </w:r>
      <w:r>
        <w:tab/>
      </w:r>
      <w:r>
        <w:fldChar w:fldCharType="begin"/>
      </w:r>
      <w:r>
        <w:instrText xml:space="preserve"> PAGEREF _Toc113981026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7"/>
          <w:rFonts w:ascii="黑体" w:eastAsia="黑体"/>
        </w:rPr>
        <w:t>二、收入决算表</w:t>
      </w:r>
      <w:r>
        <w:tab/>
      </w:r>
      <w:r>
        <w:fldChar w:fldCharType="begin"/>
      </w:r>
      <w:r>
        <w:instrText xml:space="preserve"> PAGEREF _Toc113981027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7"/>
          <w:rFonts w:ascii="黑体" w:eastAsia="黑体"/>
        </w:rPr>
        <w:t>三、支出决算表</w:t>
      </w:r>
      <w:r>
        <w:tab/>
      </w:r>
      <w:r>
        <w:fldChar w:fldCharType="begin"/>
      </w:r>
      <w:r>
        <w:instrText xml:space="preserve"> PAGEREF _Toc113981028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7"/>
          <w:rFonts w:ascii="黑体" w:eastAsia="黑体"/>
        </w:rPr>
        <w:t>四、财政拨款收入支出决算总表</w:t>
      </w:r>
      <w:r>
        <w:tab/>
      </w:r>
      <w:r>
        <w:fldChar w:fldCharType="begin"/>
      </w:r>
      <w:r>
        <w:instrText xml:space="preserve"> PAGEREF _Toc113981029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7"/>
          <w:rFonts w:ascii="黑体" w:eastAsia="黑体"/>
        </w:rPr>
        <w:t>五、财政拨款支出决算明细表</w:t>
      </w:r>
      <w:r>
        <w:tab/>
      </w:r>
      <w:r>
        <w:fldChar w:fldCharType="begin"/>
      </w:r>
      <w:r>
        <w:instrText xml:space="preserve"> PAGEREF _Toc113981030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7"/>
          <w:rFonts w:ascii="黑体" w:eastAsia="黑体"/>
        </w:rPr>
        <w:t>六、一般公共预算财政拨款支出决算表</w:t>
      </w:r>
      <w:r>
        <w:tab/>
      </w:r>
      <w:r>
        <w:fldChar w:fldCharType="begin"/>
      </w:r>
      <w:r>
        <w:instrText xml:space="preserve"> PAGEREF _Toc113981031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7"/>
          <w:rFonts w:ascii="黑体" w:eastAsia="黑体"/>
        </w:rPr>
        <w:t>七、一般公共预算财政拨款支出决算明细表</w:t>
      </w:r>
      <w:r>
        <w:tab/>
      </w:r>
      <w:r>
        <w:fldChar w:fldCharType="begin"/>
      </w:r>
      <w:r>
        <w:instrText xml:space="preserve"> PAGEREF _Toc113981032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7"/>
          <w:rFonts w:ascii="黑体" w:eastAsia="黑体"/>
        </w:rPr>
        <w:t>八、一般公共预算财政拨款基本支出决算表</w:t>
      </w:r>
      <w:r>
        <w:tab/>
      </w:r>
      <w:r>
        <w:fldChar w:fldCharType="begin"/>
      </w:r>
      <w:r>
        <w:instrText xml:space="preserve"> PAGEREF _Toc113981033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7"/>
          <w:rFonts w:ascii="黑体" w:eastAsia="黑体"/>
        </w:rPr>
        <w:t>九、一般公共预算财政拨款项目支出决算表</w:t>
      </w:r>
      <w:r>
        <w:tab/>
      </w:r>
      <w:r>
        <w:fldChar w:fldCharType="begin"/>
      </w:r>
      <w:r>
        <w:instrText xml:space="preserve"> PAGEREF _Toc113981034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7"/>
          <w:rFonts w:ascii="黑体" w:eastAsia="黑体"/>
        </w:rPr>
        <w:t>十、一般公共预算财政拨款“三公”经费支出决算表</w:t>
      </w:r>
      <w:r>
        <w:tab/>
      </w:r>
      <w:r>
        <w:fldChar w:fldCharType="begin"/>
      </w:r>
      <w:r>
        <w:instrText xml:space="preserve"> PAGEREF _Toc113981035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7"/>
          <w:rFonts w:ascii="黑体" w:eastAsia="黑体"/>
        </w:rPr>
        <w:t>十一、政府性基金预算财政拨款收入支出决算表</w:t>
      </w:r>
      <w:r>
        <w:tab/>
      </w:r>
      <w:r>
        <w:fldChar w:fldCharType="begin"/>
      </w:r>
      <w:r>
        <w:instrText xml:space="preserve"> PAGEREF _Toc113981036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7"/>
          <w:rFonts w:ascii="黑体" w:eastAsia="黑体"/>
        </w:rPr>
        <w:t>十二、政府性基金预算财政拨款“三公”经费支出决算表</w:t>
      </w:r>
      <w:r>
        <w:tab/>
      </w:r>
      <w:r>
        <w:fldChar w:fldCharType="begin"/>
      </w:r>
      <w:r>
        <w:instrText xml:space="preserve"> PAGEREF _Toc113981037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7"/>
          <w:rFonts w:ascii="黑体" w:eastAsia="黑体"/>
        </w:rPr>
        <w:t>十三、国有资本经营预算财政拨款收入支出决算表</w:t>
      </w:r>
      <w:r>
        <w:tab/>
      </w:r>
      <w:r>
        <w:fldChar w:fldCharType="begin"/>
      </w:r>
      <w:r>
        <w:instrText xml:space="preserve"> PAGEREF _Toc113981038 \h </w:instrText>
      </w:r>
      <w:r>
        <w:fldChar w:fldCharType="separate"/>
      </w:r>
      <w:r>
        <w:t>16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7"/>
          <w:rFonts w:ascii="黑体" w:eastAsia="黑体"/>
        </w:rPr>
        <w:t>十四、国有资本经营预算财政拨款支出决算表</w:t>
      </w:r>
      <w:r>
        <w:tab/>
      </w:r>
      <w:r>
        <w:fldChar w:fldCharType="begin"/>
      </w:r>
      <w:r>
        <w:instrText xml:space="preserve"> PAGEREF _Toc113981039 \h </w:instrText>
      </w:r>
      <w:r>
        <w:fldChar w:fldCharType="separate"/>
      </w:r>
      <w:r>
        <w:t>16</w:t>
      </w:r>
      <w:r>
        <w:fldChar w:fldCharType="end"/>
      </w:r>
      <w:r>
        <w:fldChar w:fldCharType="end"/>
      </w:r>
    </w:p>
    <w:p>
      <w:pPr>
        <w:pStyle w:val="5"/>
      </w:pPr>
      <w:r>
        <w:rPr>
          <w:smallCaps/>
          <w:szCs w:val="20"/>
        </w:rPr>
        <w:fldChar w:fldCharType="end"/>
      </w:r>
    </w:p>
    <w:p>
      <w:pPr>
        <w:pStyle w:val="2"/>
        <w:jc w:val="center"/>
        <w:rPr>
          <w:rFonts w:ascii="黑体" w:hAnsi="黑体" w:eastAsia="黑体" w:cs="黑体"/>
          <w:b w:val="0"/>
          <w:bCs w:val="0"/>
        </w:rPr>
      </w:pPr>
      <w:bookmarkStart w:id="13" w:name="_Toc113981009"/>
      <w:bookmarkStart w:id="14" w:name="_Toc111208495"/>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3"/>
        <w:ind w:firstLine="643" w:firstLineChars="200"/>
        <w:rPr>
          <w:rFonts w:ascii="黑体" w:eastAsia="黑体" w:cs="Times New Roman"/>
          <w:bCs w:val="0"/>
          <w:color w:val="000000"/>
        </w:rPr>
      </w:pPr>
      <w:bookmarkStart w:id="15" w:name="_Toc113981010"/>
      <w:bookmarkStart w:id="16" w:name="_Toc111208496"/>
      <w:bookmarkStart w:id="17" w:name="_Toc15377197"/>
      <w:r>
        <w:rPr>
          <w:rFonts w:hint="eastAsia" w:ascii="黑体" w:eastAsia="黑体" w:cs="Times New Roman"/>
          <w:bCs w:val="0"/>
          <w:color w:val="000000"/>
        </w:rPr>
        <w:t>一、基本职能及主要工作</w:t>
      </w:r>
      <w:bookmarkEnd w:id="15"/>
      <w:bookmarkEnd w:id="16"/>
      <w:bookmarkEnd w:id="17"/>
      <w:bookmarkStart w:id="18" w:name="_Toc15378445"/>
      <w:bookmarkStart w:id="19" w:name="_Toc15377198"/>
    </w:p>
    <w:p>
      <w:pPr>
        <w:spacing w:line="600" w:lineRule="exact"/>
        <w:ind w:firstLine="643" w:firstLineChars="200"/>
        <w:outlineLvl w:val="2"/>
      </w:pPr>
      <w:r>
        <w:rPr>
          <w:rFonts w:hint="eastAsia" w:ascii="仿宋" w:hAnsi="仿宋" w:eastAsia="仿宋"/>
          <w:b/>
          <w:color w:val="000000"/>
          <w:sz w:val="32"/>
          <w:szCs w:val="32"/>
        </w:rPr>
        <w:t>（一）主要职能</w:t>
      </w:r>
      <w:bookmarkEnd w:id="18"/>
      <w:bookmarkEnd w:id="19"/>
      <w:r>
        <w:rPr>
          <w:rFonts w:ascii="仿宋" w:hAnsi="仿宋" w:eastAsia="仿宋"/>
          <w:color w:val="000000"/>
          <w:sz w:val="32"/>
          <w:szCs w:val="32"/>
        </w:rPr>
        <w:br w:type="textWrapping"/>
      </w:r>
      <w:r>
        <w:rPr>
          <w:rFonts w:ascii="仿宋" w:hAnsi="仿宋" w:eastAsia="仿宋"/>
          <w:color w:val="000000"/>
          <w:sz w:val="32"/>
          <w:szCs w:val="32"/>
        </w:rPr>
        <w:tab/>
      </w:r>
      <w:r>
        <w:rPr>
          <w:rFonts w:ascii="仿宋" w:hAnsi="仿宋" w:eastAsia="仿宋"/>
          <w:color w:val="000000"/>
          <w:sz w:val="32"/>
          <w:szCs w:val="32"/>
        </w:rPr>
        <w:t>中共茂县县委组织部信息中心是中共茂县县委组织部下属财政全额拨款的事业单位。负责研究制定全县领导干部在线学习的年度计划并组织实施；负责网络学院的课程资源规划引进、课件制作等；组织指导各乡镇各单位开展在线学习工作等。</w:t>
      </w:r>
    </w:p>
    <w:p>
      <w:pPr>
        <w:spacing w:line="600" w:lineRule="exact"/>
        <w:ind w:firstLine="643" w:firstLineChars="200"/>
        <w:outlineLvl w:val="2"/>
        <w:rPr>
          <w:rFonts w:ascii="仿宋" w:hAnsi="仿宋" w:eastAsia="仿宋"/>
          <w:color w:val="000000"/>
          <w:sz w:val="32"/>
          <w:szCs w:val="32"/>
        </w:rPr>
      </w:pPr>
      <w:bookmarkStart w:id="20" w:name="_Toc15378446"/>
      <w:bookmarkStart w:id="21" w:name="_Toc15377199"/>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r>
        <w:rPr>
          <w:rFonts w:ascii="仿宋" w:hAnsi="仿宋" w:eastAsia="仿宋"/>
          <w:color w:val="000000"/>
          <w:sz w:val="32"/>
          <w:szCs w:val="32"/>
        </w:rPr>
        <w:br w:type="textWrapping"/>
      </w:r>
      <w:r>
        <w:rPr>
          <w:rFonts w:ascii="仿宋" w:hAnsi="仿宋" w:eastAsia="仿宋"/>
          <w:color w:val="000000"/>
          <w:sz w:val="32"/>
          <w:szCs w:val="32"/>
        </w:rPr>
        <w:tab/>
      </w:r>
      <w:r>
        <w:rPr>
          <w:rFonts w:ascii="仿宋" w:hAnsi="仿宋" w:eastAsia="仿宋"/>
          <w:color w:val="000000"/>
          <w:sz w:val="32"/>
          <w:szCs w:val="32"/>
        </w:rPr>
        <w:t>辅助组织部开展线上党史学习教育活动，开通了线上党史学习教育专栏，推送“回眸百年党史，砥砺奋进情怀”、“党史百年·天天读”等主题讯息110期，打造“组工夜课堂”“微党课”等学习课堂30余期，学史明理、学史增信、学史崇德、学史力行氛围浓厚。</w:t>
      </w:r>
    </w:p>
    <w:p>
      <w:pPr>
        <w:pStyle w:val="3"/>
        <w:numPr>
          <w:ilvl w:val="0"/>
          <w:numId w:val="1"/>
        </w:numPr>
        <w:ind w:firstLine="643" w:firstLineChars="200"/>
        <w:rPr>
          <w:rFonts w:ascii="仿宋" w:hAnsi="仿宋" w:eastAsia="仿宋" w:cs="Times New Roman"/>
          <w:b w:val="0"/>
          <w:bCs w:val="0"/>
          <w:color w:val="000000"/>
          <w:kern w:val="2"/>
          <w:sz w:val="32"/>
          <w:szCs w:val="32"/>
          <w:lang w:val="en-US" w:eastAsia="zh-CN" w:bidi="ar-SA"/>
        </w:rPr>
      </w:pPr>
      <w:bookmarkStart w:id="23" w:name="_Toc111208497"/>
      <w:bookmarkStart w:id="24" w:name="_Toc113981011"/>
      <w:r>
        <w:rPr>
          <w:rFonts w:hint="eastAsia" w:ascii="黑体" w:eastAsia="黑体" w:cs="Times New Roman"/>
          <w:bCs w:val="0"/>
          <w:color w:val="000000"/>
        </w:rPr>
        <w:t>机构设置</w:t>
      </w:r>
      <w:bookmarkEnd w:id="22"/>
      <w:bookmarkEnd w:id="23"/>
      <w:bookmarkEnd w:id="24"/>
      <w:r>
        <w:rPr>
          <w:rFonts w:ascii="仿宋" w:hAnsi="仿宋" w:eastAsia="仿宋"/>
          <w:color w:val="000000"/>
          <w:sz w:val="32"/>
          <w:szCs w:val="32"/>
        </w:rPr>
        <w:br w:type="textWrapping"/>
      </w:r>
      <w:r>
        <w:rPr>
          <w:rFonts w:ascii="仿宋" w:hAnsi="仿宋" w:eastAsia="仿宋"/>
          <w:color w:val="000000"/>
          <w:sz w:val="32"/>
          <w:szCs w:val="32"/>
        </w:rPr>
        <w:tab/>
      </w:r>
      <w:r>
        <w:rPr>
          <w:rFonts w:ascii="仿宋" w:hAnsi="仿宋" w:eastAsia="仿宋"/>
          <w:color w:val="000000"/>
          <w:sz w:val="32"/>
          <w:szCs w:val="32"/>
        </w:rPr>
        <w:tab/>
      </w:r>
      <w:r>
        <w:rPr>
          <w:rFonts w:ascii="仿宋" w:hAnsi="仿宋" w:eastAsia="仿宋" w:cs="Times New Roman"/>
          <w:b w:val="0"/>
          <w:bCs w:val="0"/>
          <w:color w:val="000000"/>
          <w:kern w:val="2"/>
          <w:sz w:val="32"/>
          <w:szCs w:val="32"/>
          <w:lang w:val="en-US" w:eastAsia="zh-CN" w:bidi="ar-SA"/>
        </w:rPr>
        <w:t>本部门属于组织部内设单位。单位总编制数3名，</w:t>
      </w:r>
      <w:r>
        <w:rPr>
          <w:rFonts w:hint="eastAsia" w:ascii="仿宋" w:hAnsi="仿宋" w:eastAsia="仿宋" w:cs="Times New Roman"/>
          <w:b w:val="0"/>
          <w:bCs w:val="0"/>
          <w:color w:val="000000"/>
          <w:kern w:val="2"/>
          <w:sz w:val="32"/>
          <w:szCs w:val="32"/>
          <w:lang w:val="en-US" w:eastAsia="zh-CN" w:bidi="ar-SA"/>
        </w:rPr>
        <w:t>其中</w:t>
      </w:r>
      <w:r>
        <w:rPr>
          <w:rFonts w:ascii="仿宋" w:hAnsi="仿宋" w:eastAsia="仿宋" w:cs="Times New Roman"/>
          <w:b w:val="0"/>
          <w:bCs w:val="0"/>
          <w:color w:val="000000"/>
          <w:kern w:val="2"/>
          <w:sz w:val="32"/>
          <w:szCs w:val="32"/>
          <w:lang w:val="en-US" w:eastAsia="zh-CN" w:bidi="ar-SA"/>
        </w:rPr>
        <w:t>事业编制3名。</w:t>
      </w:r>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2"/>
        <w:jc w:val="center"/>
        <w:rPr>
          <w:rFonts w:ascii="黑体" w:hAnsi="黑体" w:eastAsia="黑体" w:cs="黑体"/>
        </w:rPr>
      </w:pPr>
      <w:bookmarkStart w:id="26" w:name="_Toc113981012"/>
      <w:bookmarkStart w:id="27" w:name="_Toc11120849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3"/>
        <w:ind w:firstLine="643" w:firstLineChars="200"/>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hint="eastAsia" w:ascii="仿宋_GB2312" w:hAnsi="仿宋" w:eastAsia="仿宋"/>
          <w:color w:val="00B0F0"/>
          <w:sz w:val="32"/>
          <w:szCs w:val="32"/>
          <w:lang w:eastAsia="zh-CN"/>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80.02</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增加35.33</w:t>
      </w:r>
      <w:r>
        <w:rPr>
          <w:rFonts w:hint="eastAsia" w:ascii="仿宋" w:hAnsi="仿宋" w:eastAsia="仿宋"/>
          <w:color w:val="000000"/>
          <w:sz w:val="32"/>
          <w:szCs w:val="32"/>
        </w:rPr>
        <w:t>万元，</w:t>
      </w:r>
      <w:r>
        <w:rPr>
          <w:rFonts w:ascii="仿宋" w:hAnsi="仿宋" w:eastAsia="仿宋"/>
          <w:color w:val="000000"/>
          <w:sz w:val="32"/>
          <w:szCs w:val="32"/>
        </w:rPr>
        <w:t>增加79.07</w:t>
      </w:r>
      <w:r>
        <w:rPr>
          <w:rFonts w:hint="eastAsia" w:ascii="仿宋" w:hAnsi="仿宋" w:eastAsia="仿宋"/>
          <w:color w:val="000000"/>
          <w:sz w:val="32"/>
          <w:szCs w:val="32"/>
        </w:rPr>
        <w:t xml:space="preserve"> %。主要变动原因是新增2名人员</w:t>
      </w:r>
      <w:r>
        <w:rPr>
          <w:rFonts w:hint="eastAsia" w:ascii="仿宋" w:hAnsi="仿宋" w:eastAsia="仿宋"/>
          <w:color w:val="000000"/>
          <w:sz w:val="32"/>
          <w:szCs w:val="32"/>
          <w:lang w:eastAsia="zh-CN"/>
        </w:rPr>
        <w:t>。</w:t>
      </w:r>
    </w:p>
    <w:p>
      <w:pPr>
        <w:spacing w:line="600" w:lineRule="exact"/>
        <w:ind w:firstLine="640" w:firstLineChars="200"/>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5"/>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
        <w:ind w:firstLine="643" w:firstLineChars="200"/>
        <w:rPr>
          <w:rFonts w:ascii="黑体" w:eastAsia="黑体" w:cs="Times New Roman"/>
          <w:bCs w:val="0"/>
          <w:color w:val="000000"/>
        </w:rPr>
      </w:pPr>
      <w:bookmarkStart w:id="31" w:name="_Toc111208500"/>
      <w:bookmarkStart w:id="32" w:name="_Toc15377206"/>
      <w:bookmarkStart w:id="33" w:name="_Toc113981014"/>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2021年本年收入合计80.02万元，其中：一般公共预算财政拨款收入80.02万元，占100.00%；政府性基金预算财政拨款收入0.00万元，占0.00%；国有资本经营预算财政拨款收入0.00万元；上级补助收入0.00万元；事业收入0.0</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万元；经营收入0.00万元；附属单位上缴收入0.00万元；其他收入0.00万元。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
        <w:ind w:firstLine="643" w:firstLineChars="200"/>
        <w:rPr>
          <w:rFonts w:ascii="黑体" w:eastAsia="黑体" w:cs="Times New Roman"/>
          <w:bCs w:val="0"/>
          <w:color w:val="000000"/>
        </w:rPr>
      </w:pPr>
      <w:bookmarkStart w:id="34" w:name="_Toc113981015"/>
      <w:bookmarkStart w:id="35" w:name="_Toc15377207"/>
      <w:bookmarkStart w:id="36" w:name="_Toc111208501"/>
      <w:r>
        <w:rPr>
          <w:rFonts w:hint="eastAsia" w:ascii="黑体" w:eastAsia="黑体" w:cs="Times New Roman"/>
          <w:bCs w:val="0"/>
          <w:color w:val="000000"/>
        </w:rPr>
        <w:t>三、支出决算情况说明</w:t>
      </w:r>
      <w:bookmarkEnd w:id="34"/>
      <w:bookmarkEnd w:id="35"/>
      <w:bookmarkEnd w:id="36"/>
    </w:p>
    <w:p>
      <w:pPr>
        <w:pStyle w:val="5"/>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80.02</w:t>
      </w:r>
      <w:r>
        <w:rPr>
          <w:rFonts w:ascii="仿宋" w:hAnsi="仿宋" w:eastAsia="仿宋"/>
          <w:color w:val="000000"/>
          <w:sz w:val="32"/>
          <w:szCs w:val="32"/>
        </w:rPr>
        <w:t>万元，其中：基本支出</w:t>
      </w:r>
      <w:r>
        <w:rPr>
          <w:rFonts w:hint="eastAsia" w:ascii="仿宋" w:hAnsi="仿宋" w:eastAsia="仿宋"/>
          <w:color w:val="000000"/>
          <w:sz w:val="32"/>
          <w:szCs w:val="32"/>
        </w:rPr>
        <w:t>80.02</w:t>
      </w:r>
      <w:r>
        <w:rPr>
          <w:rFonts w:ascii="仿宋" w:hAnsi="仿宋" w:eastAsia="仿宋"/>
          <w:color w:val="000000"/>
          <w:sz w:val="32"/>
          <w:szCs w:val="32"/>
        </w:rPr>
        <w:t>万元，占</w:t>
      </w:r>
      <w:r>
        <w:rPr>
          <w:rFonts w:hint="eastAsia" w:ascii="仿宋" w:hAnsi="仿宋" w:eastAsia="仿宋"/>
          <w:color w:val="000000"/>
          <w:sz w:val="32"/>
          <w:szCs w:val="32"/>
        </w:rPr>
        <w:t>100.00</w:t>
      </w:r>
      <w:r>
        <w:rPr>
          <w:rFonts w:ascii="仿宋" w:hAnsi="仿宋" w:eastAsia="仿宋"/>
          <w:color w:val="000000"/>
          <w:sz w:val="32"/>
          <w:szCs w:val="32"/>
        </w:rPr>
        <w:t>%；项目支出</w:t>
      </w:r>
      <w:r>
        <w:rPr>
          <w:rFonts w:hint="eastAsia" w:ascii="仿宋" w:hAnsi="仿宋" w:eastAsia="仿宋"/>
          <w:color w:val="000000"/>
          <w:sz w:val="32"/>
          <w:szCs w:val="32"/>
        </w:rPr>
        <w:t>0.00</w:t>
      </w:r>
      <w:r>
        <w:rPr>
          <w:rFonts w:ascii="仿宋" w:hAnsi="仿宋" w:eastAsia="仿宋"/>
          <w:color w:val="000000"/>
          <w:sz w:val="32"/>
          <w:szCs w:val="32"/>
        </w:rPr>
        <w:t>万元；上缴上级支出</w:t>
      </w:r>
      <w:r>
        <w:rPr>
          <w:rFonts w:hint="eastAsia" w:ascii="仿宋" w:hAnsi="仿宋" w:eastAsia="仿宋"/>
          <w:color w:val="000000"/>
          <w:sz w:val="32"/>
          <w:szCs w:val="32"/>
        </w:rPr>
        <w:t>0.00</w:t>
      </w:r>
      <w:r>
        <w:rPr>
          <w:rFonts w:ascii="仿宋" w:hAnsi="仿宋" w:eastAsia="仿宋"/>
          <w:color w:val="000000"/>
          <w:sz w:val="32"/>
          <w:szCs w:val="32"/>
        </w:rPr>
        <w:t>万元；经营支出</w:t>
      </w:r>
      <w:r>
        <w:rPr>
          <w:rFonts w:hint="eastAsia" w:ascii="仿宋" w:hAnsi="仿宋" w:eastAsia="仿宋"/>
          <w:color w:val="000000"/>
          <w:sz w:val="32"/>
          <w:szCs w:val="32"/>
        </w:rPr>
        <w:t>0.00</w:t>
      </w:r>
      <w:r>
        <w:rPr>
          <w:rFonts w:ascii="仿宋" w:hAnsi="仿宋" w:eastAsia="仿宋"/>
          <w:color w:val="000000"/>
          <w:sz w:val="32"/>
          <w:szCs w:val="32"/>
        </w:rPr>
        <w:t>万元；对附属单位补助支出</w:t>
      </w:r>
      <w:r>
        <w:rPr>
          <w:rFonts w:hint="eastAsia" w:ascii="仿宋" w:hAnsi="仿宋" w:eastAsia="仿宋"/>
          <w:color w:val="000000"/>
          <w:sz w:val="32"/>
          <w:szCs w:val="32"/>
        </w:rPr>
        <w:t>0.00</w:t>
      </w:r>
      <w:r>
        <w:rPr>
          <w:rFonts w:ascii="仿宋" w:hAnsi="仿宋" w:eastAsia="仿宋"/>
          <w:color w:val="000000"/>
          <w:sz w:val="32"/>
          <w:szCs w:val="32"/>
        </w:rPr>
        <w:t>万元。</w:t>
      </w:r>
    </w:p>
    <w:p>
      <w:pPr>
        <w:spacing w:line="600" w:lineRule="exact"/>
        <w:ind w:firstLine="640" w:firstLineChars="200"/>
      </w:pPr>
      <w:r>
        <w:rPr>
          <w:rFonts w:hint="eastAsia" w:ascii="仿宋_GB2312" w:eastAsia="仿宋_GB2312"/>
          <w:color w:val="FF0000"/>
          <w:sz w:val="32"/>
          <w:szCs w:val="32"/>
        </w:rPr>
        <w:drawing>
          <wp:anchor distT="0" distB="0" distL="114300" distR="114300" simplePos="0" relativeHeight="251658240" behindDoc="0" locked="0" layoutInCell="1" allowOverlap="1">
            <wp:simplePos x="0" y="0"/>
            <wp:positionH relativeFrom="column">
              <wp:posOffset>4445</wp:posOffset>
            </wp:positionH>
            <wp:positionV relativeFrom="paragraph">
              <wp:posOffset>451485</wp:posOffset>
            </wp:positionV>
            <wp:extent cx="5304155" cy="3429000"/>
            <wp:effectExtent l="4445" t="4445" r="6350"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（图3：支出决算结构图）</w:t>
      </w:r>
    </w:p>
    <w:p>
      <w:pPr>
        <w:pStyle w:val="5"/>
      </w:pPr>
    </w:p>
    <w:p>
      <w:pPr>
        <w:pStyle w:val="3"/>
        <w:ind w:firstLine="643" w:firstLineChars="200"/>
        <w:rPr>
          <w:rFonts w:ascii="黑体" w:eastAsia="黑体" w:cs="Times New Roman"/>
          <w:bCs w:val="0"/>
          <w:color w:val="000000"/>
        </w:rPr>
      </w:pPr>
      <w:bookmarkStart w:id="37" w:name="_Toc113981016"/>
      <w:bookmarkStart w:id="38" w:name="_Toc15377208"/>
      <w:bookmarkStart w:id="39" w:name="_Toc111208502"/>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2021年财政拨款收、支总计80.02万元。与2020年相比，财政拨款收、支总计各增加35.33万元，增加79.07 %。主要变动原因是新增2名人员</w:t>
      </w:r>
      <w:r>
        <w:rPr>
          <w:rFonts w:hint="eastAsia" w:ascii="仿宋" w:hAnsi="仿宋" w:eastAsia="仿宋"/>
          <w:color w:val="000000"/>
          <w:sz w:val="32"/>
          <w:szCs w:val="32"/>
          <w:lang w:eastAsia="zh-CN"/>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5"/>
        <w:ind w:firstLine="0"/>
      </w:pPr>
    </w:p>
    <w:p>
      <w:pPr>
        <w:pStyle w:val="5"/>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5"/>
        <w:jc w:val="center"/>
      </w:pPr>
    </w:p>
    <w:p>
      <w:pPr>
        <w:pStyle w:val="3"/>
        <w:ind w:firstLine="643" w:firstLineChars="200"/>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3"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hint="eastAsia" w:ascii="仿宋_GB2312" w:hAnsi="仿宋" w:eastAsia="仿宋"/>
          <w:color w:val="000000"/>
          <w:sz w:val="32"/>
          <w:szCs w:val="32"/>
          <w:lang w:eastAsia="zh-CN"/>
        </w:rPr>
      </w:pPr>
      <w:bookmarkStart w:id="44" w:name="_Toc15377211"/>
      <w:r>
        <w:rPr>
          <w:rFonts w:hint="eastAsia" w:ascii="仿宋" w:hAnsi="仿宋" w:eastAsia="仿宋"/>
          <w:color w:val="000000"/>
          <w:sz w:val="32"/>
          <w:szCs w:val="32"/>
        </w:rPr>
        <w:t>2021年一般公共预算财政拨款支出80.02万元，占本年支出合计的100.00%。与2020相比，一般公共预算财政拨款增加35.33万元，增加79.07 %。主要变动原因是新增2名人员</w:t>
      </w:r>
      <w:r>
        <w:rPr>
          <w:rFonts w:hint="eastAsia" w:ascii="仿宋" w:hAnsi="仿宋" w:eastAsia="仿宋"/>
          <w:color w:val="000000"/>
          <w:sz w:val="32"/>
          <w:szCs w:val="32"/>
          <w:lang w:eastAsia="zh-CN"/>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5"/>
        <w:ind w:firstLine="0"/>
        <w:rPr>
          <w:rFonts w:ascii="仿宋_GB2312" w:hAnsi="仿宋" w:eastAsia="仿宋_GB2312"/>
          <w:b/>
          <w:color w:val="000000"/>
          <w:sz w:val="32"/>
          <w:szCs w:val="32"/>
        </w:rPr>
      </w:pPr>
    </w:p>
    <w:p>
      <w:pPr>
        <w:pStyle w:val="5"/>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5"/>
        <w:ind w:firstLine="0"/>
        <w:rPr>
          <w:rFonts w:ascii="仿宋_GB2312" w:hAnsi="仿宋" w:eastAsia="仿宋_GB2312"/>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2021年一般公共预算财政拨款支出80.02万元，主要用于以下方面:一般公共服务支出62.73万元，占78.39%；社会保障和就业支出8.00万元，占10.00%；卫生健康支出3.72万元，占4.65%；住房保障支出5.56万元，占6.96%。</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5"/>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7444"/>
      <w:bookmarkStart w:id="47" w:name="_Toc15378460"/>
      <w:bookmarkStart w:id="48" w:name="_Toc15377213"/>
      <w:r>
        <w:rPr>
          <w:rFonts w:hint="eastAsia" w:ascii="仿宋" w:hAnsi="仿宋" w:eastAsia="仿宋"/>
          <w:color w:val="000000"/>
          <w:sz w:val="32"/>
          <w:szCs w:val="32"/>
        </w:rPr>
        <w:t>2021年一般公共预算支出决算数为80.02万</w:t>
      </w:r>
      <w:r>
        <w:rPr>
          <w:rFonts w:hint="eastAsia" w:ascii="仿宋" w:hAnsi="仿宋" w:eastAsia="仿宋"/>
          <w:color w:val="000000"/>
          <w:sz w:val="32"/>
          <w:szCs w:val="32"/>
          <w:lang w:eastAsia="zh-CN"/>
        </w:rPr>
        <w:t>元</w:t>
      </w:r>
      <w:r>
        <w:rPr>
          <w:rFonts w:hint="eastAsia" w:ascii="仿宋" w:hAnsi="仿宋" w:eastAsia="仿宋"/>
          <w:color w:val="000000"/>
          <w:sz w:val="32"/>
          <w:szCs w:val="32"/>
        </w:rPr>
        <w:t>，完成预算100%。其中：</w:t>
      </w:r>
      <w:bookmarkEnd w:id="46"/>
      <w:bookmarkEnd w:id="47"/>
      <w:bookmarkEnd w:id="4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1.一般公共服务支出（201）组织事务（20132）事业运行（2013250）支出决算62.73万元，完成预算100%。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2.社会保障和就业支出（208）行政事业单位养老支出（20805）机关事业单位基本养老保险缴费支出（2080505）支出决算5.34万元，完成预算100%。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3.社会保障和就业支出（208）行政事业单位养老支出（20805）机关事业单位职业年金缴费支出（2080506）支出决算2.67万元，完成预算100%。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4.卫生健康支出（210）行政事业单位医疗（21011）事业单位医疗（2101102）支出决算3.72万元，完成预算100%。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5.住房保障支出（221）住房改革支出（22102）住房公积金（2210201）支出决算5.56万元，完成预算100%。</w:t>
      </w:r>
    </w:p>
    <w:p>
      <w:pPr>
        <w:pStyle w:val="3"/>
        <w:ind w:firstLine="643" w:firstLineChars="200"/>
        <w:rPr>
          <w:rFonts w:ascii="黑体" w:eastAsia="黑体" w:cs="Times New Roman"/>
          <w:b w:val="0"/>
          <w:color w:val="000000"/>
        </w:rPr>
      </w:pPr>
      <w:bookmarkStart w:id="49" w:name="_Toc15377214"/>
      <w:bookmarkStart w:id="50" w:name="_Toc111208504"/>
      <w:bookmarkStart w:id="51" w:name="_Toc113981018"/>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2021年一般公共预算财政拨款基本支出80.02万元，其中：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77.25万元，主要包括：基本工资15.21万元、津贴补贴2.61万元、绩效工资41.46万元、机关事业单位基本养老保险缴费5.34万元、职业年金缴费2.67万元、职工基本医疗保险缴费3.72万元、其他社会保障缴费0.33万元、住房公积金5.56万元、医疗费0.34万元、奖励金0.01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公用经费2.76万元，主要包括：办公费2.31万元、邮电费0.10万元、差旅费0.25万元、培训费0.10万元。</w:t>
      </w:r>
    </w:p>
    <w:p>
      <w:pPr>
        <w:pStyle w:val="3"/>
        <w:ind w:firstLine="643" w:firstLineChars="200"/>
        <w:rPr>
          <w:rFonts w:ascii="黑体" w:eastAsia="黑体" w:cs="Times New Roman"/>
          <w:bCs w:val="0"/>
          <w:color w:val="000000"/>
        </w:rPr>
      </w:pPr>
      <w:bookmarkStart w:id="52" w:name="_Toc111208505"/>
      <w:bookmarkStart w:id="53" w:name="_Toc15377215"/>
      <w:bookmarkStart w:id="54" w:name="_Toc113981019"/>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3"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pPr>
      <w:r>
        <w:rPr>
          <w:rFonts w:hint="eastAsia" w:ascii="仿宋" w:hAnsi="仿宋" w:eastAsia="仿宋"/>
          <w:color w:val="000000"/>
          <w:sz w:val="32"/>
          <w:szCs w:val="32"/>
        </w:rPr>
        <w:t>2021年“三公”经费财政拨款支出决算为0.00万元。</w:t>
      </w:r>
      <w:bookmarkStart w:id="56"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_GB2312" w:hAnsi="仿宋" w:eastAsia="仿宋_GB2312"/>
          <w:color w:val="000000"/>
          <w:sz w:val="32"/>
          <w:szCs w:val="32"/>
        </w:rPr>
      </w:pPr>
      <w:r>
        <w:rPr>
          <w:rFonts w:hint="eastAsia" w:ascii="仿宋" w:hAnsi="仿宋" w:eastAsia="仿宋"/>
          <w:color w:val="000000"/>
          <w:sz w:val="32"/>
          <w:szCs w:val="32"/>
        </w:rPr>
        <w:t>2021年“三公”经费财政拨款支出0.00万，因公出国（境）费支出决算0.00万元；公务用车购置及运行维护费支出决算0.00万元；公务接待费支出决算0.00万元。具体情况如下：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1.因公出国（境）经费支出0.00万元。全年安排因公出国（境）团组0次，出国（境）0人。因公出国（境）支出决算比2020年增加0.00万元。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2.公务用车购置及运行维护费支出0.00万元,完成预算0.00%。公务用车购置及运行维护费支出决算比2020年增加0.00万元。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公务用车运行维护费支出0.00万元。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3.公务接待费支出0.00万元。公务接待费支出决算比2020年增加0.00万。</w:t>
      </w:r>
      <w:bookmarkStart w:id="57"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国内公务接待支出0.00万元。国内公务接待0批次，0人次（不包括陪同人员），共计支出0.00万元。</w:t>
      </w:r>
    </w:p>
    <w:p>
      <w:pPr>
        <w:pStyle w:val="5"/>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3"/>
        <w:ind w:firstLine="643" w:firstLineChars="200"/>
        <w:rPr>
          <w:rFonts w:ascii="黑体" w:eastAsia="黑体" w:cs="Times New Roman"/>
          <w:bCs w:val="0"/>
          <w:color w:val="000000"/>
        </w:rPr>
      </w:pPr>
      <w:bookmarkStart w:id="58" w:name="_Toc111208506"/>
      <w:bookmarkStart w:id="59" w:name="_Toc113981020"/>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3"/>
        <w:ind w:firstLine="643"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2021年国有资本经营预算拨款支出0.00万元。</w:t>
      </w:r>
    </w:p>
    <w:p>
      <w:pPr>
        <w:pStyle w:val="3"/>
        <w:ind w:firstLine="643" w:firstLineChars="200"/>
        <w:rPr>
          <w:rFonts w:ascii="黑体" w:eastAsia="黑体" w:cs="Times New Roman"/>
          <w:bCs w:val="0"/>
          <w:color w:val="000000"/>
        </w:rPr>
      </w:pPr>
      <w:bookmarkStart w:id="63" w:name="_Toc113981022"/>
      <w:bookmarkStart w:id="64" w:name="_Toc111208508"/>
      <w:bookmarkStart w:id="65" w:name="_Toc15377221"/>
      <w:r>
        <w:rPr>
          <w:rFonts w:hint="eastAsia" w:ascii="黑体" w:eastAsia="黑体" w:cs="Times New Roman"/>
          <w:bCs w:val="0"/>
          <w:color w:val="000000"/>
        </w:rPr>
        <w:t>十、其他重要事项的情况说明</w:t>
      </w:r>
      <w:bookmarkEnd w:id="63"/>
      <w:bookmarkEnd w:id="64"/>
      <w:bookmarkEnd w:id="65"/>
    </w:p>
    <w:p>
      <w:pPr>
        <w:spacing w:line="600" w:lineRule="exact"/>
        <w:ind w:firstLine="643"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2021年，机关运行经费支出0.00万元，比2020年增加0.00万元。 </w:t>
      </w:r>
    </w:p>
    <w:p>
      <w:pPr>
        <w:spacing w:line="600" w:lineRule="exact"/>
        <w:ind w:firstLine="643"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w:t>
      </w:r>
    </w:p>
    <w:p>
      <w:pPr>
        <w:spacing w:line="600" w:lineRule="exact"/>
        <w:ind w:firstLine="643"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5"/>
        <w:rPr>
          <w:rFonts w:ascii="仿宋_GB2312" w:eastAsia="仿宋_GB2312" w:cs="仿宋_GB2312"/>
          <w:sz w:val="32"/>
          <w:szCs w:val="32"/>
        </w:rPr>
      </w:pPr>
      <w:r>
        <w:rPr>
          <w:rFonts w:hint="eastAsia"/>
        </w:rPr>
        <w:t xml:space="preserve"> </w:t>
      </w:r>
      <w:r>
        <w:rPr>
          <w:rFonts w:hint="eastAsia" w:ascii="仿宋_GB2312" w:eastAsia="仿宋_GB2312" w:cs="仿宋_GB2312"/>
          <w:sz w:val="32"/>
          <w:szCs w:val="32"/>
        </w:rPr>
        <w:t>本部门无专项预算项目，因此未组织开展项目支出绩效评价。</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bookmarkStart w:id="130" w:name="_GoBack"/>
      <w:bookmarkEnd w:id="130"/>
    </w:p>
    <w:p>
      <w:pPr>
        <w:pStyle w:val="2"/>
        <w:jc w:val="center"/>
        <w:rPr>
          <w:rFonts w:ascii="黑体" w:hAnsi="黑体" w:eastAsia="黑体" w:cs="黑体"/>
        </w:rPr>
      </w:pPr>
      <w:bookmarkStart w:id="69" w:name="_Toc111208509"/>
      <w:bookmarkStart w:id="70" w:name="_Toc113981023"/>
      <w:bookmarkStart w:id="71" w:name="_Toc15377225"/>
      <w:r>
        <w:rPr>
          <w:rFonts w:hint="eastAsia" w:ascii="黑体" w:hAnsi="黑体" w:eastAsia="黑体" w:cs="黑体"/>
        </w:rPr>
        <w:t>第三部分 名词解释</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9.一般公共服务支出（201）组织事务（20132）事业运行（2013250）：反映事业单位的基本支出，不包括行政单位（包括实行公务员管理的事业单位）后勤服务中心、医务室等附属事业单位。</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12.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13.住房保障支出（221）住房改革支出（22102）住房公积金（2210201）：反映行政事业单位按人力资源和社会保障部、财政部规定的基本工资和津贴补贴以及规定比例为职工缴纳的住房公积金。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14.基本支出：指为保障机构正常运转、完成日常工作任务而发生的人员支出和公用支出。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15.经营支出：指事业单位在专业业务活动及其辅助活动之外开展非独立核算经营活动发生的支出。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18.财政应返还额度：为行政事业单位会计核算科目，用于核算实行国库集中支付的行政事业单位应收财政返还的资金额度。</w:t>
      </w:r>
    </w:p>
    <w:p>
      <w:pPr>
        <w:widowControl/>
        <w:jc w:val="left"/>
      </w:pPr>
      <w:r>
        <w:rPr>
          <w:rStyle w:val="28"/>
          <w:rFonts w:ascii="黑体" w:hAnsi="黑体" w:eastAsia="黑体"/>
        </w:rPr>
        <w:br w:type="page"/>
      </w:r>
    </w:p>
    <w:p>
      <w:pPr>
        <w:pStyle w:val="2"/>
        <w:jc w:val="center"/>
        <w:rPr>
          <w:rFonts w:ascii="黑体" w:hAnsi="黑体" w:eastAsia="黑体" w:cs="黑体"/>
        </w:rPr>
      </w:pPr>
      <w:bookmarkStart w:id="72" w:name="_Toc113981025"/>
      <w:bookmarkStart w:id="73" w:name="_Toc79163635"/>
      <w:bookmarkStart w:id="74" w:name="_Toc79163885"/>
      <w:bookmarkStart w:id="75" w:name="_Toc111208512"/>
      <w:r>
        <w:rPr>
          <w:rFonts w:hint="eastAsia" w:ascii="黑体" w:hAnsi="黑体" w:eastAsia="黑体" w:cs="黑体"/>
        </w:rPr>
        <w:t>第</w:t>
      </w:r>
      <w:r>
        <w:rPr>
          <w:rFonts w:hint="eastAsia" w:ascii="黑体" w:hAnsi="黑体" w:eastAsia="黑体" w:cs="黑体"/>
          <w:lang w:eastAsia="zh-CN"/>
        </w:rPr>
        <w:t>四</w:t>
      </w:r>
      <w:r>
        <w:rPr>
          <w:rFonts w:hint="eastAsia" w:ascii="黑体" w:hAnsi="黑体" w:eastAsia="黑体" w:cs="黑体"/>
        </w:rPr>
        <w:t>部分 附表</w:t>
      </w:r>
      <w:bookmarkEnd w:id="72"/>
      <w:bookmarkEnd w:id="73"/>
      <w:bookmarkEnd w:id="74"/>
      <w:bookmarkEnd w:id="75"/>
    </w:p>
    <w:p>
      <w:pPr>
        <w:pStyle w:val="3"/>
        <w:ind w:firstLine="643" w:firstLineChars="200"/>
        <w:rPr>
          <w:rFonts w:ascii="黑体" w:eastAsia="黑体" w:cs="Times New Roman"/>
          <w:bCs w:val="0"/>
          <w:color w:val="000000"/>
        </w:rPr>
      </w:pPr>
      <w:bookmarkStart w:id="76" w:name="_Toc79163636"/>
      <w:bookmarkStart w:id="77" w:name="_Toc79163886"/>
      <w:bookmarkStart w:id="78" w:name="_Toc111208513"/>
      <w:bookmarkStart w:id="79" w:name="_Toc113981026"/>
      <w:r>
        <w:rPr>
          <w:rFonts w:hint="eastAsia" w:ascii="黑体" w:eastAsia="黑体" w:cs="Times New Roman"/>
          <w:bCs w:val="0"/>
          <w:color w:val="000000"/>
        </w:rPr>
        <w:t>一、收入支出决算总表</w:t>
      </w:r>
      <w:bookmarkEnd w:id="76"/>
      <w:bookmarkEnd w:id="77"/>
      <w:bookmarkEnd w:id="78"/>
      <w:bookmarkEnd w:id="79"/>
    </w:p>
    <w:p>
      <w:pPr>
        <w:pStyle w:val="3"/>
        <w:ind w:firstLine="643" w:firstLineChars="200"/>
        <w:rPr>
          <w:rFonts w:ascii="黑体" w:eastAsia="黑体" w:cs="Times New Roman"/>
          <w:bCs w:val="0"/>
          <w:color w:val="000000"/>
        </w:rPr>
      </w:pPr>
      <w:bookmarkStart w:id="80" w:name="_Toc79163887"/>
      <w:bookmarkStart w:id="81" w:name="_Toc79163637"/>
      <w:bookmarkStart w:id="82" w:name="_Toc111208514"/>
      <w:bookmarkStart w:id="83" w:name="_Toc113981027"/>
      <w:r>
        <w:rPr>
          <w:rFonts w:hint="eastAsia" w:ascii="黑体" w:eastAsia="黑体" w:cs="Times New Roman"/>
          <w:bCs w:val="0"/>
          <w:color w:val="000000"/>
        </w:rPr>
        <w:t>二、收入决算表</w:t>
      </w:r>
      <w:bookmarkEnd w:id="80"/>
      <w:bookmarkEnd w:id="81"/>
      <w:bookmarkEnd w:id="82"/>
      <w:bookmarkEnd w:id="83"/>
    </w:p>
    <w:p>
      <w:pPr>
        <w:pStyle w:val="3"/>
        <w:ind w:firstLine="643" w:firstLineChars="200"/>
        <w:rPr>
          <w:rFonts w:ascii="黑体" w:eastAsia="黑体" w:cs="Times New Roman"/>
          <w:b w:val="0"/>
          <w:color w:val="000000"/>
        </w:rPr>
      </w:pPr>
      <w:bookmarkStart w:id="84" w:name="_Toc79163638"/>
      <w:bookmarkStart w:id="85" w:name="_Toc79163888"/>
      <w:bookmarkStart w:id="86" w:name="_Toc111208515"/>
      <w:bookmarkStart w:id="87" w:name="_Toc113981028"/>
      <w:r>
        <w:rPr>
          <w:rFonts w:hint="eastAsia" w:ascii="黑体" w:eastAsia="黑体" w:cs="Times New Roman"/>
          <w:bCs w:val="0"/>
          <w:color w:val="000000"/>
        </w:rPr>
        <w:t>三、支出决算表</w:t>
      </w:r>
      <w:bookmarkEnd w:id="84"/>
      <w:bookmarkEnd w:id="85"/>
      <w:bookmarkEnd w:id="86"/>
      <w:bookmarkEnd w:id="87"/>
    </w:p>
    <w:p>
      <w:pPr>
        <w:pStyle w:val="3"/>
        <w:ind w:firstLine="643" w:firstLineChars="200"/>
        <w:rPr>
          <w:rFonts w:ascii="黑体" w:eastAsia="黑体" w:cs="Times New Roman"/>
          <w:bCs w:val="0"/>
          <w:color w:val="000000"/>
        </w:rPr>
      </w:pPr>
      <w:bookmarkStart w:id="88" w:name="_Toc79163889"/>
      <w:bookmarkStart w:id="89" w:name="_Toc79163639"/>
      <w:bookmarkStart w:id="90" w:name="_Toc111208516"/>
      <w:bookmarkStart w:id="91" w:name="_Toc113981029"/>
      <w:r>
        <w:rPr>
          <w:rFonts w:hint="eastAsia" w:ascii="黑体" w:eastAsia="黑体" w:cs="Times New Roman"/>
          <w:bCs w:val="0"/>
          <w:color w:val="000000"/>
        </w:rPr>
        <w:t>四、财政拨款收入支出决算总表</w:t>
      </w:r>
      <w:bookmarkEnd w:id="88"/>
      <w:bookmarkEnd w:id="89"/>
      <w:bookmarkEnd w:id="90"/>
      <w:bookmarkEnd w:id="91"/>
    </w:p>
    <w:p>
      <w:pPr>
        <w:pStyle w:val="3"/>
        <w:ind w:firstLine="643" w:firstLineChars="200"/>
        <w:rPr>
          <w:rFonts w:ascii="黑体" w:eastAsia="黑体" w:cs="Times New Roman"/>
          <w:bCs w:val="0"/>
          <w:color w:val="000000"/>
        </w:rPr>
      </w:pPr>
      <w:bookmarkStart w:id="92" w:name="_Toc79163890"/>
      <w:bookmarkStart w:id="93" w:name="_Toc79163640"/>
      <w:bookmarkStart w:id="94" w:name="_Toc111208517"/>
      <w:bookmarkStart w:id="95" w:name="_Toc113981030"/>
      <w:r>
        <w:rPr>
          <w:rFonts w:hint="eastAsia" w:ascii="黑体" w:eastAsia="黑体" w:cs="Times New Roman"/>
          <w:bCs w:val="0"/>
          <w:color w:val="000000"/>
        </w:rPr>
        <w:t>五、财政拨款支出决算明细表</w:t>
      </w:r>
      <w:bookmarkEnd w:id="92"/>
      <w:bookmarkEnd w:id="93"/>
      <w:bookmarkEnd w:id="94"/>
      <w:bookmarkEnd w:id="95"/>
    </w:p>
    <w:p>
      <w:pPr>
        <w:pStyle w:val="3"/>
        <w:ind w:firstLine="643" w:firstLineChars="200"/>
        <w:rPr>
          <w:rFonts w:ascii="黑体" w:eastAsia="黑体" w:cs="Times New Roman"/>
          <w:bCs w:val="0"/>
          <w:color w:val="000000"/>
        </w:rPr>
      </w:pPr>
      <w:bookmarkStart w:id="96" w:name="_Toc79163891"/>
      <w:bookmarkStart w:id="97" w:name="_Toc79163641"/>
      <w:bookmarkStart w:id="98" w:name="_Toc111208518"/>
      <w:bookmarkStart w:id="99" w:name="_Toc113981031"/>
      <w:r>
        <w:rPr>
          <w:rFonts w:hint="eastAsia" w:ascii="黑体" w:eastAsia="黑体" w:cs="Times New Roman"/>
          <w:bCs w:val="0"/>
          <w:color w:val="000000"/>
        </w:rPr>
        <w:t>六、一般公共预算财政拨款支出决算表</w:t>
      </w:r>
      <w:bookmarkEnd w:id="96"/>
      <w:bookmarkEnd w:id="97"/>
      <w:bookmarkEnd w:id="98"/>
      <w:bookmarkEnd w:id="99"/>
    </w:p>
    <w:p>
      <w:pPr>
        <w:pStyle w:val="3"/>
        <w:ind w:firstLine="643" w:firstLineChars="200"/>
        <w:rPr>
          <w:rFonts w:ascii="黑体" w:eastAsia="黑体" w:cs="Times New Roman"/>
          <w:bCs w:val="0"/>
          <w:color w:val="000000"/>
        </w:rPr>
      </w:pPr>
      <w:bookmarkStart w:id="100" w:name="_Toc79163892"/>
      <w:bookmarkStart w:id="101" w:name="_Toc79163642"/>
      <w:bookmarkStart w:id="102" w:name="_Toc111208519"/>
      <w:bookmarkStart w:id="103" w:name="_Toc113981032"/>
      <w:r>
        <w:rPr>
          <w:rFonts w:hint="eastAsia" w:ascii="黑体" w:eastAsia="黑体" w:cs="Times New Roman"/>
          <w:bCs w:val="0"/>
          <w:color w:val="000000"/>
        </w:rPr>
        <w:t>七、一般公共预算财政拨款支出决算明细表</w:t>
      </w:r>
      <w:bookmarkEnd w:id="100"/>
      <w:bookmarkEnd w:id="101"/>
      <w:bookmarkEnd w:id="102"/>
      <w:bookmarkEnd w:id="103"/>
    </w:p>
    <w:p>
      <w:pPr>
        <w:pStyle w:val="3"/>
        <w:ind w:firstLine="643" w:firstLineChars="200"/>
        <w:rPr>
          <w:rFonts w:ascii="黑体" w:eastAsia="黑体" w:cs="Times New Roman"/>
          <w:bCs w:val="0"/>
          <w:color w:val="000000"/>
        </w:rPr>
      </w:pPr>
      <w:bookmarkStart w:id="104" w:name="_Toc79163893"/>
      <w:bookmarkStart w:id="105" w:name="_Toc79163643"/>
      <w:bookmarkStart w:id="106" w:name="_Toc111208520"/>
      <w:bookmarkStart w:id="107" w:name="_Toc113981033"/>
      <w:r>
        <w:rPr>
          <w:rFonts w:hint="eastAsia" w:ascii="黑体" w:eastAsia="黑体" w:cs="Times New Roman"/>
          <w:bCs w:val="0"/>
          <w:color w:val="000000"/>
        </w:rPr>
        <w:t>八、一般公共预算财政拨款基本支出决算表</w:t>
      </w:r>
      <w:bookmarkEnd w:id="104"/>
      <w:bookmarkEnd w:id="105"/>
      <w:bookmarkEnd w:id="106"/>
      <w:bookmarkEnd w:id="107"/>
    </w:p>
    <w:p>
      <w:pPr>
        <w:pStyle w:val="3"/>
        <w:ind w:firstLine="643" w:firstLineChars="200"/>
        <w:rPr>
          <w:rFonts w:ascii="黑体" w:eastAsia="黑体" w:cs="Times New Roman"/>
          <w:bCs w:val="0"/>
          <w:color w:val="000000"/>
        </w:rPr>
      </w:pPr>
      <w:bookmarkStart w:id="108" w:name="_Toc79163644"/>
      <w:bookmarkStart w:id="109" w:name="_Toc79163894"/>
      <w:bookmarkStart w:id="110" w:name="_Toc111208521"/>
      <w:bookmarkStart w:id="111" w:name="_Toc113981034"/>
      <w:r>
        <w:rPr>
          <w:rFonts w:hint="eastAsia" w:ascii="黑体" w:eastAsia="黑体" w:cs="Times New Roman"/>
          <w:bCs w:val="0"/>
          <w:color w:val="000000"/>
        </w:rPr>
        <w:t>九、一般公共预算财政拨款项目支出决算表</w:t>
      </w:r>
      <w:bookmarkEnd w:id="108"/>
      <w:bookmarkEnd w:id="109"/>
      <w:bookmarkEnd w:id="110"/>
      <w:bookmarkEnd w:id="111"/>
    </w:p>
    <w:p>
      <w:pPr>
        <w:pStyle w:val="3"/>
        <w:ind w:firstLine="643" w:firstLineChars="200"/>
        <w:rPr>
          <w:rFonts w:ascii="黑体" w:eastAsia="黑体" w:cs="Times New Roman"/>
          <w:bCs w:val="0"/>
          <w:color w:val="000000"/>
        </w:rPr>
      </w:pPr>
      <w:bookmarkStart w:id="112" w:name="_Toc79163645"/>
      <w:bookmarkStart w:id="113" w:name="_Toc79163895"/>
      <w:bookmarkStart w:id="114" w:name="_Toc111208522"/>
      <w:bookmarkStart w:id="115" w:name="_Toc113981035"/>
      <w:r>
        <w:rPr>
          <w:rFonts w:hint="eastAsia" w:ascii="黑体" w:eastAsia="黑体" w:cs="Times New Roman"/>
          <w:bCs w:val="0"/>
          <w:color w:val="000000"/>
        </w:rPr>
        <w:t>十、一般公共预算财政拨款“三公”经费支出决算表</w:t>
      </w:r>
      <w:bookmarkEnd w:id="112"/>
      <w:bookmarkEnd w:id="113"/>
      <w:bookmarkEnd w:id="114"/>
      <w:bookmarkEnd w:id="115"/>
    </w:p>
    <w:p>
      <w:pPr>
        <w:pStyle w:val="3"/>
        <w:ind w:firstLine="643" w:firstLineChars="200"/>
        <w:rPr>
          <w:rFonts w:ascii="黑体" w:eastAsia="黑体" w:cs="Times New Roman"/>
          <w:bCs w:val="0"/>
          <w:color w:val="000000"/>
        </w:rPr>
      </w:pPr>
      <w:bookmarkStart w:id="116" w:name="_Toc79163646"/>
      <w:bookmarkStart w:id="117" w:name="_Toc79163896"/>
      <w:bookmarkStart w:id="118" w:name="_Toc111208523"/>
      <w:bookmarkStart w:id="119" w:name="_Toc113981036"/>
      <w:r>
        <w:rPr>
          <w:rFonts w:hint="eastAsia" w:ascii="黑体" w:eastAsia="黑体" w:cs="Times New Roman"/>
          <w:bCs w:val="0"/>
          <w:color w:val="000000"/>
        </w:rPr>
        <w:t>十一、政府性基金预算财政拨款收入支出决算表</w:t>
      </w:r>
      <w:bookmarkEnd w:id="116"/>
      <w:bookmarkEnd w:id="117"/>
      <w:bookmarkEnd w:id="118"/>
      <w:bookmarkEnd w:id="119"/>
    </w:p>
    <w:p>
      <w:pPr>
        <w:pStyle w:val="3"/>
        <w:ind w:firstLine="643" w:firstLineChars="200"/>
        <w:rPr>
          <w:rFonts w:ascii="黑体" w:eastAsia="黑体" w:cs="Times New Roman"/>
          <w:bCs w:val="0"/>
          <w:color w:val="000000"/>
        </w:rPr>
      </w:pPr>
      <w:bookmarkStart w:id="120" w:name="_Toc79163897"/>
      <w:bookmarkStart w:id="121" w:name="_Toc79163647"/>
      <w:bookmarkStart w:id="122" w:name="_Toc111208524"/>
      <w:bookmarkStart w:id="123" w:name="_Toc113981037"/>
      <w:r>
        <w:rPr>
          <w:rFonts w:hint="eastAsia" w:ascii="黑体" w:eastAsia="黑体" w:cs="Times New Roman"/>
          <w:bCs w:val="0"/>
          <w:color w:val="000000"/>
        </w:rPr>
        <w:t>十二、政府性基金预算财政拨款“三公”经费支出决算表</w:t>
      </w:r>
      <w:bookmarkEnd w:id="120"/>
      <w:bookmarkEnd w:id="121"/>
      <w:bookmarkEnd w:id="122"/>
      <w:bookmarkEnd w:id="123"/>
    </w:p>
    <w:p>
      <w:pPr>
        <w:pStyle w:val="3"/>
        <w:ind w:firstLine="643" w:firstLineChars="200"/>
        <w:rPr>
          <w:rFonts w:ascii="黑体" w:eastAsia="黑体" w:cs="Times New Roman"/>
          <w:bCs w:val="0"/>
          <w:color w:val="000000"/>
        </w:rPr>
      </w:pPr>
      <w:bookmarkStart w:id="124" w:name="_Toc79163898"/>
      <w:bookmarkStart w:id="125" w:name="_Toc79163648"/>
      <w:bookmarkStart w:id="126" w:name="_Toc111208525"/>
      <w:bookmarkStart w:id="127" w:name="_Toc113981038"/>
      <w:r>
        <w:rPr>
          <w:rFonts w:hint="eastAsia" w:ascii="黑体" w:eastAsia="黑体" w:cs="Times New Roman"/>
          <w:bCs w:val="0"/>
          <w:color w:val="000000"/>
        </w:rPr>
        <w:t>十三、</w:t>
      </w:r>
      <w:bookmarkEnd w:id="124"/>
      <w:bookmarkEnd w:id="125"/>
      <w:r>
        <w:rPr>
          <w:rFonts w:hint="eastAsia" w:ascii="黑体" w:eastAsia="黑体" w:cs="Times New Roman"/>
          <w:bCs w:val="0"/>
          <w:color w:val="000000"/>
        </w:rPr>
        <w:t>国有资本经营预算财政拨款收入支出决算表</w:t>
      </w:r>
      <w:bookmarkEnd w:id="126"/>
      <w:bookmarkEnd w:id="127"/>
    </w:p>
    <w:p>
      <w:pPr>
        <w:pStyle w:val="3"/>
        <w:ind w:firstLine="643" w:firstLineChars="200"/>
        <w:rPr>
          <w:rFonts w:ascii="黑体" w:eastAsia="黑体" w:cs="Times New Roman"/>
          <w:b w:val="0"/>
          <w:color w:val="000000"/>
        </w:rPr>
      </w:pPr>
      <w:bookmarkStart w:id="128" w:name="_Toc111208526"/>
      <w:bookmarkStart w:id="129" w:name="_Toc113981039"/>
      <w:r>
        <w:rPr>
          <w:rFonts w:hint="eastAsia" w:ascii="黑体" w:eastAsia="黑体" w:cs="Times New Roman"/>
          <w:bCs w:val="0"/>
          <w:color w:val="000000"/>
        </w:rPr>
        <w:t>十四、国有资本经营预算财政拨款支出决算表</w:t>
      </w:r>
      <w:bookmarkEnd w:id="128"/>
      <w:bookmarkEnd w:id="12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14E0E3"/>
    <w:multiLevelType w:val="singleLevel"/>
    <w:tmpl w:val="B214E0E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E5N2FkMzhiMjUyZjMzYTU1ZTRmN2M5ODIyNTI5NmQ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B7218AA"/>
    <w:rsid w:val="0B99373B"/>
    <w:rsid w:val="0BA37CB5"/>
    <w:rsid w:val="0D0429D6"/>
    <w:rsid w:val="0D093B48"/>
    <w:rsid w:val="0D322E51"/>
    <w:rsid w:val="0D6C338E"/>
    <w:rsid w:val="0DB37F58"/>
    <w:rsid w:val="0F5E6610"/>
    <w:rsid w:val="10C055FF"/>
    <w:rsid w:val="11D56DF6"/>
    <w:rsid w:val="11ED6591"/>
    <w:rsid w:val="13367661"/>
    <w:rsid w:val="14957357"/>
    <w:rsid w:val="16BB723D"/>
    <w:rsid w:val="17BC7656"/>
    <w:rsid w:val="17EA348C"/>
    <w:rsid w:val="1840212F"/>
    <w:rsid w:val="19943114"/>
    <w:rsid w:val="1AB026BC"/>
    <w:rsid w:val="1ABB32B6"/>
    <w:rsid w:val="1BF70747"/>
    <w:rsid w:val="1C06153F"/>
    <w:rsid w:val="1C986C96"/>
    <w:rsid w:val="1D7371C3"/>
    <w:rsid w:val="1DDC2BB3"/>
    <w:rsid w:val="1E34479D"/>
    <w:rsid w:val="1EF81F78"/>
    <w:rsid w:val="1F620905"/>
    <w:rsid w:val="201A6AB0"/>
    <w:rsid w:val="203B66A0"/>
    <w:rsid w:val="211A679A"/>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AE1BBE"/>
    <w:rsid w:val="2CCF04B2"/>
    <w:rsid w:val="2E4C04E0"/>
    <w:rsid w:val="2F803D16"/>
    <w:rsid w:val="31810DA9"/>
    <w:rsid w:val="31903F88"/>
    <w:rsid w:val="319F7F4E"/>
    <w:rsid w:val="31BF216F"/>
    <w:rsid w:val="329448A6"/>
    <w:rsid w:val="32F45598"/>
    <w:rsid w:val="35244754"/>
    <w:rsid w:val="364D41F6"/>
    <w:rsid w:val="36FD0156"/>
    <w:rsid w:val="38F8371D"/>
    <w:rsid w:val="39226F5F"/>
    <w:rsid w:val="39902098"/>
    <w:rsid w:val="3A3A0F35"/>
    <w:rsid w:val="3A4E1148"/>
    <w:rsid w:val="3A936590"/>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A745623"/>
    <w:rsid w:val="4D135D42"/>
    <w:rsid w:val="4D846266"/>
    <w:rsid w:val="4D8D78A2"/>
    <w:rsid w:val="4DF123A8"/>
    <w:rsid w:val="4E7464A6"/>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3D51B4"/>
    <w:rsid w:val="59E11CD3"/>
    <w:rsid w:val="5BE202EA"/>
    <w:rsid w:val="5CFA7F1D"/>
    <w:rsid w:val="5E2506F8"/>
    <w:rsid w:val="5EA316D6"/>
    <w:rsid w:val="5F3A07D2"/>
    <w:rsid w:val="5F593A88"/>
    <w:rsid w:val="60651EAC"/>
    <w:rsid w:val="60BB3927"/>
    <w:rsid w:val="61F96E06"/>
    <w:rsid w:val="62A42EE2"/>
    <w:rsid w:val="630D013F"/>
    <w:rsid w:val="63347FC4"/>
    <w:rsid w:val="63604CB9"/>
    <w:rsid w:val="64A36D0B"/>
    <w:rsid w:val="64C656C1"/>
    <w:rsid w:val="65DF63C9"/>
    <w:rsid w:val="662A7F2C"/>
    <w:rsid w:val="67CB5F65"/>
    <w:rsid w:val="68DA2DB6"/>
    <w:rsid w:val="69725134"/>
    <w:rsid w:val="6B4666B6"/>
    <w:rsid w:val="6CC85DA9"/>
    <w:rsid w:val="6D7C002A"/>
    <w:rsid w:val="6D8F2D6B"/>
    <w:rsid w:val="6DC31436"/>
    <w:rsid w:val="6ECB49CF"/>
    <w:rsid w:val="6ECB5A2B"/>
    <w:rsid w:val="70202A42"/>
    <w:rsid w:val="71977026"/>
    <w:rsid w:val="72227D09"/>
    <w:rsid w:val="72E476B5"/>
    <w:rsid w:val="73BE3A62"/>
    <w:rsid w:val="746C7E4B"/>
    <w:rsid w:val="748935D9"/>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styleId="18">
    <w:name w:val="annotation reference"/>
    <w:basedOn w:val="15"/>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5"/>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5"/>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5"/>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5"/>
    <w:link w:val="2"/>
    <w:qFormat/>
    <w:uiPriority w:val="9"/>
    <w:rPr>
      <w:rFonts w:ascii="Times New Roman" w:hAnsi="Times New Roman"/>
      <w:b/>
      <w:bCs/>
      <w:kern w:val="44"/>
      <w:sz w:val="44"/>
      <w:szCs w:val="44"/>
    </w:rPr>
  </w:style>
  <w:style w:type="character" w:customStyle="1" w:styleId="29">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5"/>
    <w:link w:val="9"/>
    <w:semiHidden/>
    <w:qFormat/>
    <w:uiPriority w:val="99"/>
    <w:rPr>
      <w:rFonts w:ascii="Times New Roman" w:hAnsi="Times New Roman"/>
      <w:kern w:val="2"/>
      <w:sz w:val="18"/>
      <w:szCs w:val="18"/>
    </w:rPr>
  </w:style>
  <w:style w:type="character" w:customStyle="1" w:styleId="32">
    <w:name w:val="标题 3 字符"/>
    <w:basedOn w:val="15"/>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{44.68,80.02}</c:f>
              <c:numCache>
                <c:formatCode>General</c:formatCode>
                <c:ptCount val="2"/>
                <c:pt idx="0">
                  <c:v>44.68</c:v>
                </c:pt>
                <c:pt idx="1">
                  <c:v>80.02</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{44.68,80.02}</c:f>
              <c:numCache>
                <c:formatCode>General</c:formatCode>
                <c:ptCount val="2"/>
                <c:pt idx="0">
                  <c:v>44.68</c:v>
                </c:pt>
                <c:pt idx="1">
                  <c:v>80.02</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{800168.23,0,0,0,0,0,0,0}</c:f>
              <c:numCache>
                <c:formatCode>General</c:formatCode>
                <c:ptCount val="8"/>
                <c:pt idx="0">
                  <c:v>800168.23</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{800168.23,0,0,0,0}</c:f>
              <c:numCache>
                <c:formatCode>General</c:formatCode>
                <c:ptCount val="5"/>
                <c:pt idx="0">
                  <c:v>800168.23</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67269244582785"/>
          <c:y val="0.568055555555556"/>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{44.68,80.02}</c:f>
              <c:numCache>
                <c:formatCode>General</c:formatCode>
                <c:ptCount val="2"/>
                <c:pt idx="0">
                  <c:v>44.68</c:v>
                </c:pt>
                <c:pt idx="1">
                  <c:v>80.02</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{44.68,80.02}</c:f>
              <c:numCache>
                <c:formatCode>General</c:formatCode>
                <c:ptCount val="2"/>
                <c:pt idx="0">
                  <c:v>44.68</c:v>
                </c:pt>
                <c:pt idx="1">
                  <c:v>80.02</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{44.68}</c:f>
              <c:numCache>
                <c:formatCode>General</c:formatCode>
                <c:ptCount val="1"/>
                <c:pt idx="0">
                  <c:v>44.68</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{80.02}</c:f>
              <c:numCache>
                <c:formatCode>General</c:formatCode>
                <c:ptCount val="1"/>
                <c:pt idx="0">
                  <c:v>80.02</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{62.73,8,3.72,5.56}</c:f>
              <c:numCache>
                <c:formatCode>General</c:formatCode>
                <c:ptCount val="4"/>
                <c:pt idx="0">
                  <c:v>62.73</c:v>
                </c:pt>
                <c:pt idx="1">
                  <c:v>8</c:v>
                </c:pt>
                <c:pt idx="2">
                  <c:v>3.72</c:v>
                </c:pt>
                <c:pt idx="3">
                  <c:v>5.56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1075</Words>
  <Characters>6131</Characters>
  <Lines>51</Lines>
  <Paragraphs>14</Paragraphs>
  <TotalTime>9</TotalTime>
  <ScaleCrop>false</ScaleCrop>
  <LinksUpToDate>false</LinksUpToDate>
  <CharactersWithSpaces>7192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Administrator</cp:lastModifiedBy>
  <cp:lastPrinted>2022-09-30T02:03:54Z</cp:lastPrinted>
  <dcterms:modified xsi:type="dcterms:W3CDTF">2022-09-30T02:06:50Z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B93CA6F4BEAD4F359769D1203595D585</vt:lpwstr>
  </property>
</Properties>
</file>