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b/>
          <w:sz w:val="72"/>
          <w:szCs w:val="72"/>
          <w:lang w:val="en-US" w:eastAsia="zh-CN"/>
        </w:rPr>
      </w:pPr>
      <w:bookmarkStart w:id="0" w:name="_Toc15377193"/>
      <w:bookmarkStart w:id="1" w:name="_Toc15378441"/>
      <w:bookmarkStart w:id="2" w:name="_Toc15377425"/>
      <w:bookmarkStart w:id="3" w:name="_Toc15396597"/>
      <w:bookmarkStart w:id="4" w:name="_Toc15396475"/>
      <w:bookmarkStart w:id="5" w:name="_Toc15306267"/>
      <w:r>
        <w:rPr>
          <w:rFonts w:hint="eastAsia" w:asciiTheme="minorEastAsia" w:hAnsiTheme="minorEastAsia" w:eastAsiaTheme="minorEastAsia"/>
          <w:b/>
          <w:sz w:val="72"/>
          <w:szCs w:val="72"/>
          <w:lang w:val="en-US" w:eastAsia="zh-CN"/>
        </w:rPr>
        <w:t xml:space="preserve"> </w:t>
      </w:r>
    </w:p>
    <w:p>
      <w:pPr>
        <w:pStyle w:val="7"/>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77426"/>
      <w:bookmarkStart w:id="7" w:name="_Toc15378442"/>
      <w:bookmarkStart w:id="8" w:name="_Toc15396598"/>
      <w:bookmarkStart w:id="9" w:name="_Toc15306268"/>
      <w:bookmarkStart w:id="10" w:name="_Toc15396476"/>
      <w:bookmarkStart w:id="11" w:name="_Toc15377194"/>
      <w:r>
        <w:rPr>
          <w:rFonts w:asciiTheme="minorEastAsia" w:hAnsiTheme="minorEastAsia" w:eastAsiaTheme="minorEastAsia"/>
          <w:b/>
          <w:sz w:val="72"/>
          <w:szCs w:val="72"/>
        </w:rPr>
        <w:t>阿坝州茂县委员会政法委员会（本级）</w:t>
      </w:r>
      <w:r>
        <w:rPr>
          <w:rFonts w:hint="eastAsia" w:asciiTheme="minorEastAsia" w:hAnsiTheme="minorEastAsia" w:eastAsiaTheme="minorEastAsia"/>
          <w:b/>
          <w:sz w:val="72"/>
          <w:szCs w:val="72"/>
        </w:rPr>
        <w:t>部门决算</w:t>
      </w:r>
      <w:bookmarkEnd w:id="6"/>
      <w:bookmarkEnd w:id="7"/>
      <w:bookmarkEnd w:id="8"/>
      <w:bookmarkEnd w:id="9"/>
      <w:bookmarkEnd w:id="10"/>
      <w:bookmarkEnd w:id="11"/>
      <w:r>
        <w:rPr>
          <w:rFonts w:hint="eastAsia" w:asciiTheme="minorEastAsia" w:hAnsiTheme="minorEastAsia" w:eastAsiaTheme="minorEastAsia"/>
          <w:b/>
          <w:sz w:val="72"/>
          <w:szCs w:val="72"/>
        </w:rPr>
        <w:t>编制说明</w:t>
      </w:r>
    </w:p>
    <w:p>
      <w:pPr>
        <w:pStyle w:val="7"/>
      </w:pPr>
    </w:p>
    <w:p>
      <w:pPr>
        <w:pStyle w:val="7"/>
      </w:pPr>
    </w:p>
    <w:p>
      <w:pPr>
        <w:pStyle w:val="7"/>
      </w:pPr>
    </w:p>
    <w:p>
      <w:pPr>
        <w:pStyle w:val="7"/>
      </w:pPr>
    </w:p>
    <w:p>
      <w:pPr>
        <w:pStyle w:val="7"/>
      </w:pPr>
    </w:p>
    <w:p>
      <w:pPr>
        <w:pStyle w:val="7"/>
      </w:pPr>
    </w:p>
    <w:p>
      <w:pPr>
        <w:pStyle w:val="7"/>
      </w:pPr>
    </w:p>
    <w:p>
      <w:pPr>
        <w:pStyle w:val="7"/>
      </w:pPr>
    </w:p>
    <w:p>
      <w:pPr>
        <w:pStyle w:val="7"/>
      </w:pPr>
    </w:p>
    <w:p>
      <w:pPr>
        <w:pStyle w:val="7"/>
        <w:tabs>
          <w:tab w:val="left" w:pos="3600"/>
        </w:tabs>
      </w:pPr>
      <w:r>
        <w:tab/>
      </w:r>
    </w:p>
    <w:p>
      <w:pPr>
        <w:pStyle w:val="7"/>
      </w:pPr>
    </w:p>
    <w:p>
      <w:pPr>
        <w:pStyle w:val="7"/>
      </w:pPr>
    </w:p>
    <w:p>
      <w:pPr>
        <w:pStyle w:val="7"/>
      </w:pPr>
    </w:p>
    <w:p>
      <w:pPr>
        <w:pStyle w:val="7"/>
      </w:pPr>
    </w:p>
    <w:p>
      <w:pPr>
        <w:pStyle w:val="7"/>
      </w:pPr>
    </w:p>
    <w:p>
      <w:pPr>
        <w:pStyle w:val="7"/>
      </w:pPr>
    </w:p>
    <w:p>
      <w:pPr>
        <w:pStyle w:val="7"/>
      </w:pPr>
    </w:p>
    <w:p>
      <w:pPr>
        <w:pStyle w:val="7"/>
      </w:pPr>
    </w:p>
    <w:p>
      <w:pPr>
        <w:pStyle w:val="7"/>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4"/>
        <w:tabs>
          <w:tab w:val="right" w:leader="dot" w:pos="8306"/>
          <w:tab w:val="clear" w:pos="8296"/>
        </w:tabs>
      </w:pPr>
      <w:r>
        <w:rPr>
          <w:smallCaps/>
          <w:sz w:val="20"/>
          <w:szCs w:val="20"/>
        </w:rPr>
        <w:fldChar w:fldCharType="begin"/>
      </w:r>
      <w:r>
        <w:rPr>
          <w:smallCaps/>
          <w:sz w:val="20"/>
          <w:szCs w:val="20"/>
        </w:rPr>
        <w:instrText xml:space="preserve"> TOC \o "1-2" \h \z \u </w:instrText>
      </w:r>
      <w:r>
        <w:rPr>
          <w:smallCaps/>
          <w:sz w:val="20"/>
          <w:szCs w:val="20"/>
        </w:rPr>
        <w:fldChar w:fldCharType="separate"/>
      </w:r>
      <w:r>
        <w:rPr>
          <w:smallCaps/>
          <w:szCs w:val="20"/>
        </w:rPr>
        <w:fldChar w:fldCharType="begin"/>
      </w:r>
      <w:r>
        <w:rPr>
          <w:smallCaps/>
          <w:szCs w:val="20"/>
        </w:rPr>
        <w:instrText xml:space="preserve"> HYPERLINK \l _Toc16556 </w:instrText>
      </w:r>
      <w:r>
        <w:rPr>
          <w:smallCaps/>
          <w:szCs w:val="20"/>
        </w:rPr>
        <w:fldChar w:fldCharType="separate"/>
      </w:r>
      <w:r>
        <w:rPr>
          <w:rFonts w:hint="eastAsia" w:ascii="黑体" w:hAnsi="黑体" w:eastAsia="黑体" w:cs="黑体"/>
        </w:rPr>
        <w:t xml:space="preserve">第一部分 </w:t>
      </w:r>
      <w:r>
        <w:rPr>
          <w:rFonts w:hint="eastAsia" w:ascii="黑体" w:hAnsi="黑体" w:eastAsia="黑体" w:cs="黑体"/>
          <w:bCs w:val="0"/>
        </w:rPr>
        <w:t>部门概况</w:t>
      </w:r>
      <w:r>
        <w:tab/>
      </w:r>
      <w:r>
        <w:fldChar w:fldCharType="begin"/>
      </w:r>
      <w:r>
        <w:instrText xml:space="preserve"> PAGEREF _Toc16556 \h </w:instrText>
      </w:r>
      <w:r>
        <w:fldChar w:fldCharType="separate"/>
      </w:r>
      <w:r>
        <w:t>3</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_Toc1324 </w:instrText>
      </w:r>
      <w:r>
        <w:rPr>
          <w:smallCaps/>
          <w:szCs w:val="20"/>
        </w:rPr>
        <w:fldChar w:fldCharType="separate"/>
      </w:r>
      <w:r>
        <w:rPr>
          <w:rFonts w:hint="eastAsia" w:ascii="黑体" w:eastAsia="黑体" w:cs="Times New Roman"/>
          <w:bCs w:val="0"/>
        </w:rPr>
        <w:t>一、基本职能及主要工作</w:t>
      </w:r>
      <w:r>
        <w:tab/>
      </w:r>
      <w:r>
        <w:fldChar w:fldCharType="begin"/>
      </w:r>
      <w:r>
        <w:instrText xml:space="preserve"> PAGEREF _Toc1324 \h </w:instrText>
      </w:r>
      <w:r>
        <w:fldChar w:fldCharType="separate"/>
      </w:r>
      <w:r>
        <w:t>3</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_Toc3726 </w:instrText>
      </w:r>
      <w:r>
        <w:rPr>
          <w:smallCaps/>
          <w:szCs w:val="20"/>
        </w:rPr>
        <w:fldChar w:fldCharType="separate"/>
      </w:r>
      <w:r>
        <w:rPr>
          <w:rFonts w:hint="eastAsia" w:ascii="黑体" w:eastAsia="黑体" w:cs="Times New Roman"/>
          <w:bCs w:val="0"/>
        </w:rPr>
        <w:t>二、机构设置</w:t>
      </w:r>
      <w:r>
        <w:tab/>
      </w:r>
      <w:r>
        <w:fldChar w:fldCharType="begin"/>
      </w:r>
      <w:r>
        <w:instrText xml:space="preserve"> PAGEREF _Toc3726 \h </w:instrText>
      </w:r>
      <w:r>
        <w:fldChar w:fldCharType="separate"/>
      </w:r>
      <w:r>
        <w:t>4</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_Toc1394 </w:instrText>
      </w:r>
      <w:r>
        <w:rPr>
          <w:smallCaps/>
          <w:szCs w:val="20"/>
        </w:rPr>
        <w:fldChar w:fldCharType="separate"/>
      </w:r>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r>
        <w:tab/>
      </w:r>
      <w:r>
        <w:fldChar w:fldCharType="begin"/>
      </w:r>
      <w:r>
        <w:instrText xml:space="preserve"> PAGEREF _Toc1394 \h </w:instrText>
      </w:r>
      <w:r>
        <w:fldChar w:fldCharType="separate"/>
      </w:r>
      <w:r>
        <w:t>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_Toc24730 </w:instrText>
      </w:r>
      <w:r>
        <w:rPr>
          <w:smallCaps/>
          <w:szCs w:val="20"/>
        </w:rPr>
        <w:fldChar w:fldCharType="separate"/>
      </w:r>
      <w:r>
        <w:rPr>
          <w:rFonts w:hint="eastAsia" w:ascii="黑体" w:eastAsia="黑体" w:cs="Times New Roman"/>
          <w:bCs w:val="0"/>
        </w:rPr>
        <w:t>一、收入支出决算总体情况说明</w:t>
      </w:r>
      <w:r>
        <w:tab/>
      </w:r>
      <w:r>
        <w:fldChar w:fldCharType="begin"/>
      </w:r>
      <w:r>
        <w:instrText xml:space="preserve"> PAGEREF _Toc24730 \h </w:instrText>
      </w:r>
      <w:r>
        <w:fldChar w:fldCharType="separate"/>
      </w:r>
      <w:r>
        <w:t>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_Toc25816 </w:instrText>
      </w:r>
      <w:r>
        <w:rPr>
          <w:smallCaps/>
          <w:szCs w:val="20"/>
        </w:rPr>
        <w:fldChar w:fldCharType="separate"/>
      </w:r>
      <w:r>
        <w:rPr>
          <w:rFonts w:hint="eastAsia" w:ascii="黑体" w:eastAsia="黑体" w:cs="Times New Roman"/>
          <w:bCs w:val="0"/>
        </w:rPr>
        <w:t>二、收入决算情况说明</w:t>
      </w:r>
      <w:r>
        <w:tab/>
      </w:r>
      <w:r>
        <w:fldChar w:fldCharType="begin"/>
      </w:r>
      <w:r>
        <w:instrText xml:space="preserve"> PAGEREF _Toc25816 \h </w:instrText>
      </w:r>
      <w:r>
        <w:fldChar w:fldCharType="separate"/>
      </w:r>
      <w:r>
        <w:t>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_Toc22382 </w:instrText>
      </w:r>
      <w:r>
        <w:rPr>
          <w:smallCaps/>
          <w:szCs w:val="20"/>
        </w:rPr>
        <w:fldChar w:fldCharType="separate"/>
      </w:r>
      <w:r>
        <w:rPr>
          <w:rFonts w:hint="eastAsia" w:ascii="黑体" w:eastAsia="黑体" w:cs="Times New Roman"/>
          <w:bCs w:val="0"/>
        </w:rPr>
        <w:t>三、支出决算情况说明</w:t>
      </w:r>
      <w:r>
        <w:tab/>
      </w:r>
      <w:r>
        <w:fldChar w:fldCharType="begin"/>
      </w:r>
      <w:r>
        <w:instrText xml:space="preserve"> PAGEREF _Toc22382 \h </w:instrText>
      </w:r>
      <w:r>
        <w:fldChar w:fldCharType="separate"/>
      </w:r>
      <w:r>
        <w:t>6</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_Toc107 </w:instrText>
      </w:r>
      <w:r>
        <w:rPr>
          <w:smallCaps/>
          <w:szCs w:val="20"/>
        </w:rPr>
        <w:fldChar w:fldCharType="separate"/>
      </w:r>
      <w:r>
        <w:rPr>
          <w:rFonts w:hint="eastAsia" w:ascii="黑体" w:eastAsia="黑体" w:cs="Times New Roman"/>
          <w:bCs w:val="0"/>
        </w:rPr>
        <w:t>四、财政拨款收入支出决算总体情况说明</w:t>
      </w:r>
      <w:r>
        <w:tab/>
      </w:r>
      <w:r>
        <w:fldChar w:fldCharType="begin"/>
      </w:r>
      <w:r>
        <w:instrText xml:space="preserve"> PAGEREF _Toc107 \h </w:instrText>
      </w:r>
      <w:r>
        <w:fldChar w:fldCharType="separate"/>
      </w:r>
      <w:r>
        <w:t>7</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_Toc18211 </w:instrText>
      </w:r>
      <w:r>
        <w:rPr>
          <w:smallCaps/>
          <w:szCs w:val="20"/>
        </w:rPr>
        <w:fldChar w:fldCharType="separate"/>
      </w:r>
      <w:r>
        <w:rPr>
          <w:rFonts w:hint="eastAsia" w:ascii="黑体" w:eastAsia="黑体" w:cs="Times New Roman"/>
          <w:bCs w:val="0"/>
        </w:rPr>
        <w:t>五、一般公共预算财政拨款支出决算情况说明</w:t>
      </w:r>
      <w:r>
        <w:tab/>
      </w:r>
      <w:r>
        <w:fldChar w:fldCharType="begin"/>
      </w:r>
      <w:r>
        <w:instrText xml:space="preserve"> PAGEREF _Toc18211 \h </w:instrText>
      </w:r>
      <w:r>
        <w:fldChar w:fldCharType="separate"/>
      </w:r>
      <w:r>
        <w:t>7</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_Toc8734 </w:instrText>
      </w:r>
      <w:r>
        <w:rPr>
          <w:smallCaps/>
          <w:szCs w:val="20"/>
        </w:rPr>
        <w:fldChar w:fldCharType="separate"/>
      </w:r>
      <w:r>
        <w:rPr>
          <w:rFonts w:hint="eastAsia" w:ascii="黑体" w:eastAsia="黑体" w:cs="Times New Roman"/>
          <w:bCs w:val="0"/>
        </w:rPr>
        <w:t>六、一般公共预算财政拨款基本支出决算情况说明</w:t>
      </w:r>
      <w:r>
        <w:tab/>
      </w:r>
      <w:r>
        <w:fldChar w:fldCharType="begin"/>
      </w:r>
      <w:r>
        <w:instrText xml:space="preserve"> PAGEREF _Toc8734 \h </w:instrText>
      </w:r>
      <w:r>
        <w:fldChar w:fldCharType="separate"/>
      </w:r>
      <w:r>
        <w:t>10</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_Toc26423 </w:instrText>
      </w:r>
      <w:r>
        <w:rPr>
          <w:smallCaps/>
          <w:szCs w:val="20"/>
        </w:rPr>
        <w:fldChar w:fldCharType="separate"/>
      </w:r>
      <w:r>
        <w:rPr>
          <w:rFonts w:hint="eastAsia" w:ascii="黑体" w:eastAsia="黑体" w:cs="Times New Roman"/>
          <w:bCs w:val="0"/>
        </w:rPr>
        <w:t>七、“三公”经费财政拨款支出决算情况说明</w:t>
      </w:r>
      <w:r>
        <w:tab/>
      </w:r>
      <w:r>
        <w:fldChar w:fldCharType="begin"/>
      </w:r>
      <w:r>
        <w:instrText xml:space="preserve"> PAGEREF _Toc26423 \h </w:instrText>
      </w:r>
      <w:r>
        <w:fldChar w:fldCharType="separate"/>
      </w:r>
      <w:r>
        <w:t>10</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_Toc11134 </w:instrText>
      </w:r>
      <w:r>
        <w:rPr>
          <w:smallCaps/>
          <w:szCs w:val="20"/>
        </w:rPr>
        <w:fldChar w:fldCharType="separate"/>
      </w:r>
      <w:r>
        <w:rPr>
          <w:rFonts w:hint="eastAsia" w:ascii="黑体" w:eastAsia="黑体" w:cs="Times New Roman"/>
          <w:bCs w:val="0"/>
        </w:rPr>
        <w:t>八、政府性基金预算支出决算情况说明</w:t>
      </w:r>
      <w:r>
        <w:tab/>
      </w:r>
      <w:r>
        <w:fldChar w:fldCharType="begin"/>
      </w:r>
      <w:r>
        <w:instrText xml:space="preserve"> PAGEREF _Toc11134 \h </w:instrText>
      </w:r>
      <w:r>
        <w:fldChar w:fldCharType="separate"/>
      </w:r>
      <w:r>
        <w:t>12</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_Toc8929 </w:instrText>
      </w:r>
      <w:r>
        <w:rPr>
          <w:smallCaps/>
          <w:szCs w:val="20"/>
        </w:rPr>
        <w:fldChar w:fldCharType="separate"/>
      </w:r>
      <w:r>
        <w:rPr>
          <w:rFonts w:hint="eastAsia" w:ascii="黑体" w:eastAsia="黑体" w:cs="Times New Roman"/>
          <w:bCs w:val="0"/>
        </w:rPr>
        <w:t>九、国有资本经营预算支出决算情况说明</w:t>
      </w:r>
      <w:r>
        <w:tab/>
      </w:r>
      <w:r>
        <w:fldChar w:fldCharType="begin"/>
      </w:r>
      <w:r>
        <w:instrText xml:space="preserve"> PAGEREF _Toc8929 \h </w:instrText>
      </w:r>
      <w:r>
        <w:fldChar w:fldCharType="separate"/>
      </w:r>
      <w:r>
        <w:t>12</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_Toc13123 </w:instrText>
      </w:r>
      <w:r>
        <w:rPr>
          <w:smallCaps/>
          <w:szCs w:val="20"/>
        </w:rPr>
        <w:fldChar w:fldCharType="separate"/>
      </w:r>
      <w:r>
        <w:rPr>
          <w:rFonts w:hint="eastAsia" w:ascii="黑体" w:eastAsia="黑体" w:cs="Times New Roman"/>
          <w:bCs w:val="0"/>
        </w:rPr>
        <w:t>十、其他重要事项的情况说明</w:t>
      </w:r>
      <w:r>
        <w:tab/>
      </w:r>
      <w:r>
        <w:fldChar w:fldCharType="begin"/>
      </w:r>
      <w:r>
        <w:instrText xml:space="preserve"> PAGEREF _Toc13123 \h </w:instrText>
      </w:r>
      <w:r>
        <w:fldChar w:fldCharType="separate"/>
      </w:r>
      <w:r>
        <w:t>12</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_Toc5357 </w:instrText>
      </w:r>
      <w:r>
        <w:rPr>
          <w:smallCaps/>
          <w:szCs w:val="20"/>
        </w:rPr>
        <w:fldChar w:fldCharType="separate"/>
      </w:r>
      <w:r>
        <w:rPr>
          <w:rFonts w:hint="eastAsia" w:ascii="黑体" w:hAnsi="黑体" w:eastAsia="黑体" w:cs="黑体"/>
        </w:rPr>
        <w:t>第三部分 名词解释</w:t>
      </w:r>
      <w:r>
        <w:tab/>
      </w:r>
      <w:r>
        <w:fldChar w:fldCharType="begin"/>
      </w:r>
      <w:r>
        <w:instrText xml:space="preserve"> PAGEREF _Toc5357 \h </w:instrText>
      </w:r>
      <w:r>
        <w:fldChar w:fldCharType="separate"/>
      </w:r>
      <w:r>
        <w:t>17</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_Toc5168 </w:instrText>
      </w:r>
      <w:r>
        <w:rPr>
          <w:smallCaps/>
          <w:szCs w:val="20"/>
        </w:rPr>
        <w:fldChar w:fldCharType="separate"/>
      </w:r>
      <w:r>
        <w:rPr>
          <w:rFonts w:hint="eastAsia" w:ascii="黑体" w:hAnsi="黑体" w:eastAsia="黑体" w:cs="黑体"/>
        </w:rPr>
        <w:t>第四部分 附件</w:t>
      </w:r>
      <w:r>
        <w:tab/>
      </w:r>
      <w:r>
        <w:fldChar w:fldCharType="begin"/>
      </w:r>
      <w:r>
        <w:instrText xml:space="preserve"> PAGEREF _Toc5168 \h </w:instrText>
      </w:r>
      <w:r>
        <w:fldChar w:fldCharType="separate"/>
      </w:r>
      <w:r>
        <w:t>20</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_Toc21394 </w:instrText>
      </w:r>
      <w:r>
        <w:rPr>
          <w:smallCaps/>
          <w:szCs w:val="20"/>
        </w:rPr>
        <w:fldChar w:fldCharType="separate"/>
      </w:r>
      <w:r>
        <w:rPr>
          <w:rFonts w:hint="eastAsia" w:eastAsia="仿宋_GB2312"/>
          <w:bCs/>
          <w:szCs w:val="32"/>
        </w:rPr>
        <w:t>中共茂县县委领导政法工作的职能部门，为正科级，列县委工作机关序列。县矛盾纠纷多元化解工作领导小组办公室设在县委政法委。</w:t>
      </w:r>
      <w:r>
        <w:tab/>
      </w:r>
      <w:r>
        <w:fldChar w:fldCharType="begin"/>
      </w:r>
      <w:r>
        <w:instrText xml:space="preserve"> PAGEREF _Toc21394 \h </w:instrText>
      </w:r>
      <w:r>
        <w:fldChar w:fldCharType="separate"/>
      </w:r>
      <w:r>
        <w:t>20</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_Toc8219 </w:instrText>
      </w:r>
      <w:r>
        <w:rPr>
          <w:smallCaps/>
          <w:szCs w:val="20"/>
        </w:rPr>
        <w:fldChar w:fldCharType="separate"/>
      </w:r>
      <w:r>
        <w:rPr>
          <w:rFonts w:hint="eastAsia" w:ascii="黑体" w:eastAsia="黑体"/>
          <w:szCs w:val="44"/>
        </w:rPr>
        <w:t>第</w:t>
      </w:r>
      <w:r>
        <w:rPr>
          <w:rFonts w:hint="eastAsia" w:ascii="黑体" w:eastAsia="黑体"/>
        </w:rPr>
        <w:t>五部分</w:t>
      </w:r>
      <w:r>
        <w:rPr>
          <w:rFonts w:ascii="黑体" w:eastAsia="黑体"/>
        </w:rPr>
        <w:t xml:space="preserve"> </w:t>
      </w:r>
      <w:r>
        <w:rPr>
          <w:rFonts w:hint="eastAsia" w:ascii="黑体" w:eastAsia="黑体"/>
        </w:rPr>
        <w:t>附表</w:t>
      </w:r>
      <w:r>
        <w:tab/>
      </w:r>
      <w:r>
        <w:fldChar w:fldCharType="begin"/>
      </w:r>
      <w:r>
        <w:instrText xml:space="preserve"> PAGEREF _Toc8219 \h </w:instrText>
      </w:r>
      <w:r>
        <w:fldChar w:fldCharType="separate"/>
      </w:r>
      <w:r>
        <w:t>25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_Toc5090 </w:instrText>
      </w:r>
      <w:r>
        <w:rPr>
          <w:smallCaps/>
          <w:szCs w:val="20"/>
        </w:rPr>
        <w:fldChar w:fldCharType="separate"/>
      </w:r>
      <w:r>
        <w:rPr>
          <w:rFonts w:hint="eastAsia" w:ascii="仿宋" w:eastAsia="仿宋"/>
        </w:rPr>
        <w:t>一、收</w:t>
      </w:r>
      <w:r>
        <w:rPr>
          <w:rFonts w:hint="eastAsia" w:ascii="仿宋" w:eastAsia="仿宋"/>
          <w:bCs w:val="0"/>
        </w:rPr>
        <w:t>入支出决算总表</w:t>
      </w:r>
      <w:r>
        <w:tab/>
      </w:r>
      <w:r>
        <w:fldChar w:fldCharType="begin"/>
      </w:r>
      <w:r>
        <w:instrText xml:space="preserve"> PAGEREF _Toc5090 \h </w:instrText>
      </w:r>
      <w:r>
        <w:fldChar w:fldCharType="separate"/>
      </w:r>
      <w:r>
        <w:t>25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_Toc25 </w:instrText>
      </w:r>
      <w:r>
        <w:rPr>
          <w:smallCaps/>
          <w:szCs w:val="20"/>
        </w:rPr>
        <w:fldChar w:fldCharType="separate"/>
      </w:r>
      <w:r>
        <w:rPr>
          <w:rFonts w:hint="eastAsia" w:ascii="仿宋" w:eastAsia="仿宋"/>
        </w:rPr>
        <w:t>二、收</w:t>
      </w:r>
      <w:r>
        <w:rPr>
          <w:rFonts w:hint="eastAsia" w:ascii="仿宋" w:eastAsia="仿宋"/>
          <w:bCs w:val="0"/>
        </w:rPr>
        <w:t>入决算表</w:t>
      </w:r>
      <w:r>
        <w:tab/>
      </w:r>
      <w:r>
        <w:fldChar w:fldCharType="begin"/>
      </w:r>
      <w:r>
        <w:instrText xml:space="preserve"> PAGEREF _Toc25 \h </w:instrText>
      </w:r>
      <w:r>
        <w:fldChar w:fldCharType="separate"/>
      </w:r>
      <w:r>
        <w:t>25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_Toc10686 </w:instrText>
      </w:r>
      <w:r>
        <w:rPr>
          <w:smallCaps/>
          <w:szCs w:val="20"/>
        </w:rPr>
        <w:fldChar w:fldCharType="separate"/>
      </w:r>
      <w:r>
        <w:rPr>
          <w:rFonts w:hint="eastAsia" w:ascii="仿宋" w:eastAsia="仿宋"/>
          <w:bCs w:val="0"/>
        </w:rPr>
        <w:t>三、</w:t>
      </w:r>
      <w:r>
        <w:rPr>
          <w:rFonts w:hint="eastAsia" w:ascii="仿宋" w:eastAsia="仿宋"/>
        </w:rPr>
        <w:t>支</w:t>
      </w:r>
      <w:r>
        <w:rPr>
          <w:rFonts w:hint="eastAsia" w:ascii="仿宋" w:eastAsia="仿宋"/>
          <w:bCs w:val="0"/>
        </w:rPr>
        <w:t>出决算表</w:t>
      </w:r>
      <w:r>
        <w:tab/>
      </w:r>
      <w:r>
        <w:fldChar w:fldCharType="begin"/>
      </w:r>
      <w:r>
        <w:instrText xml:space="preserve"> PAGEREF _Toc10686 \h </w:instrText>
      </w:r>
      <w:r>
        <w:fldChar w:fldCharType="separate"/>
      </w:r>
      <w:r>
        <w:t>25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_Toc21279 </w:instrText>
      </w:r>
      <w:r>
        <w:rPr>
          <w:smallCaps/>
          <w:szCs w:val="20"/>
        </w:rPr>
        <w:fldChar w:fldCharType="separate"/>
      </w:r>
      <w:r>
        <w:rPr>
          <w:rFonts w:hint="eastAsia" w:ascii="仿宋" w:eastAsia="仿宋"/>
          <w:bCs w:val="0"/>
        </w:rPr>
        <w:t>四、</w:t>
      </w:r>
      <w:r>
        <w:rPr>
          <w:rFonts w:hint="eastAsia" w:ascii="仿宋" w:eastAsia="仿宋"/>
        </w:rPr>
        <w:t>财</w:t>
      </w:r>
      <w:r>
        <w:rPr>
          <w:rFonts w:hint="eastAsia" w:ascii="仿宋" w:eastAsia="仿宋"/>
          <w:bCs w:val="0"/>
        </w:rPr>
        <w:t>政拨款收入支出决算总表</w:t>
      </w:r>
      <w:r>
        <w:tab/>
      </w:r>
      <w:r>
        <w:fldChar w:fldCharType="begin"/>
      </w:r>
      <w:r>
        <w:instrText xml:space="preserve"> PAGEREF _Toc21279 \h </w:instrText>
      </w:r>
      <w:r>
        <w:fldChar w:fldCharType="separate"/>
      </w:r>
      <w:r>
        <w:t>25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_Toc20604 </w:instrText>
      </w:r>
      <w:r>
        <w:rPr>
          <w:smallCaps/>
          <w:szCs w:val="20"/>
        </w:rPr>
        <w:fldChar w:fldCharType="separate"/>
      </w:r>
      <w:r>
        <w:rPr>
          <w:rFonts w:hint="eastAsia" w:ascii="仿宋" w:eastAsia="仿宋"/>
          <w:bCs w:val="0"/>
        </w:rPr>
        <w:t>五、</w:t>
      </w:r>
      <w:r>
        <w:rPr>
          <w:rFonts w:hint="eastAsia" w:ascii="仿宋" w:eastAsia="仿宋"/>
        </w:rPr>
        <w:t>财</w:t>
      </w:r>
      <w:r>
        <w:rPr>
          <w:rFonts w:hint="eastAsia" w:ascii="仿宋" w:eastAsia="仿宋"/>
          <w:bCs w:val="0"/>
        </w:rPr>
        <w:t>政拨款支出决算明细表</w:t>
      </w:r>
      <w:r>
        <w:tab/>
      </w:r>
      <w:r>
        <w:fldChar w:fldCharType="begin"/>
      </w:r>
      <w:r>
        <w:instrText xml:space="preserve"> PAGEREF _Toc20604 \h </w:instrText>
      </w:r>
      <w:r>
        <w:fldChar w:fldCharType="separate"/>
      </w:r>
      <w:r>
        <w:t>25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_Toc26264 </w:instrText>
      </w:r>
      <w:r>
        <w:rPr>
          <w:smallCaps/>
          <w:szCs w:val="20"/>
        </w:rPr>
        <w:fldChar w:fldCharType="separate"/>
      </w:r>
      <w:r>
        <w:rPr>
          <w:rFonts w:hint="eastAsia" w:ascii="仿宋" w:eastAsia="仿宋"/>
          <w:bCs w:val="0"/>
        </w:rPr>
        <w:t>六、</w:t>
      </w:r>
      <w:r>
        <w:rPr>
          <w:rFonts w:hint="eastAsia" w:ascii="仿宋" w:eastAsia="仿宋"/>
        </w:rPr>
        <w:t>一</w:t>
      </w:r>
      <w:r>
        <w:rPr>
          <w:rFonts w:hint="eastAsia" w:ascii="仿宋" w:eastAsia="仿宋"/>
          <w:bCs w:val="0"/>
        </w:rPr>
        <w:t>般公共预算财政拨款支出决算表</w:t>
      </w:r>
      <w:r>
        <w:tab/>
      </w:r>
      <w:r>
        <w:fldChar w:fldCharType="begin"/>
      </w:r>
      <w:r>
        <w:instrText xml:space="preserve"> PAGEREF _Toc26264 \h </w:instrText>
      </w:r>
      <w:r>
        <w:fldChar w:fldCharType="separate"/>
      </w:r>
      <w:r>
        <w:t>25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_Toc18843 </w:instrText>
      </w:r>
      <w:r>
        <w:rPr>
          <w:smallCaps/>
          <w:szCs w:val="20"/>
        </w:rPr>
        <w:fldChar w:fldCharType="separate"/>
      </w:r>
      <w:r>
        <w:rPr>
          <w:rFonts w:hint="eastAsia" w:ascii="仿宋" w:eastAsia="仿宋"/>
          <w:bCs w:val="0"/>
        </w:rPr>
        <w:t>七、</w:t>
      </w:r>
      <w:r>
        <w:rPr>
          <w:rFonts w:hint="eastAsia" w:ascii="仿宋" w:eastAsia="仿宋"/>
        </w:rPr>
        <w:t>一</w:t>
      </w:r>
      <w:r>
        <w:rPr>
          <w:rFonts w:hint="eastAsia" w:ascii="仿宋" w:eastAsia="仿宋"/>
          <w:bCs w:val="0"/>
        </w:rPr>
        <w:t>般公共预算财政拨款支出决算明细表</w:t>
      </w:r>
      <w:r>
        <w:tab/>
      </w:r>
      <w:r>
        <w:fldChar w:fldCharType="begin"/>
      </w:r>
      <w:r>
        <w:instrText xml:space="preserve"> PAGEREF _Toc18843 \h </w:instrText>
      </w:r>
      <w:r>
        <w:fldChar w:fldCharType="separate"/>
      </w:r>
      <w:r>
        <w:t>25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_Toc192 </w:instrText>
      </w:r>
      <w:r>
        <w:rPr>
          <w:smallCaps/>
          <w:szCs w:val="20"/>
        </w:rPr>
        <w:fldChar w:fldCharType="separate"/>
      </w:r>
      <w:r>
        <w:rPr>
          <w:rFonts w:hint="eastAsia" w:ascii="仿宋" w:eastAsia="仿宋"/>
          <w:bCs w:val="0"/>
        </w:rPr>
        <w:t>八、</w:t>
      </w:r>
      <w:r>
        <w:rPr>
          <w:rFonts w:hint="eastAsia" w:ascii="仿宋" w:eastAsia="仿宋"/>
        </w:rPr>
        <w:t>一</w:t>
      </w:r>
      <w:r>
        <w:rPr>
          <w:rFonts w:hint="eastAsia" w:ascii="仿宋" w:eastAsia="仿宋"/>
          <w:bCs w:val="0"/>
        </w:rPr>
        <w:t>般公共预算财政拨款基本支出决算表</w:t>
      </w:r>
      <w:r>
        <w:tab/>
      </w:r>
      <w:r>
        <w:fldChar w:fldCharType="begin"/>
      </w:r>
      <w:r>
        <w:instrText xml:space="preserve"> PAGEREF _Toc192 \h </w:instrText>
      </w:r>
      <w:r>
        <w:fldChar w:fldCharType="separate"/>
      </w:r>
      <w:r>
        <w:t>25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_Toc2616 </w:instrText>
      </w:r>
      <w:r>
        <w:rPr>
          <w:smallCaps/>
          <w:szCs w:val="20"/>
        </w:rPr>
        <w:fldChar w:fldCharType="separate"/>
      </w:r>
      <w:r>
        <w:rPr>
          <w:rFonts w:hint="eastAsia" w:ascii="仿宋" w:eastAsia="仿宋"/>
          <w:bCs w:val="0"/>
        </w:rPr>
        <w:t>九、</w:t>
      </w:r>
      <w:r>
        <w:rPr>
          <w:rFonts w:hint="eastAsia" w:ascii="仿宋" w:eastAsia="仿宋"/>
        </w:rPr>
        <w:t>一</w:t>
      </w:r>
      <w:r>
        <w:rPr>
          <w:rFonts w:hint="eastAsia" w:ascii="仿宋" w:eastAsia="仿宋"/>
          <w:bCs w:val="0"/>
        </w:rPr>
        <w:t>般公共预算财政拨款项目支出决算表</w:t>
      </w:r>
      <w:r>
        <w:tab/>
      </w:r>
      <w:r>
        <w:fldChar w:fldCharType="begin"/>
      </w:r>
      <w:r>
        <w:instrText xml:space="preserve"> PAGEREF _Toc2616 \h </w:instrText>
      </w:r>
      <w:r>
        <w:fldChar w:fldCharType="separate"/>
      </w:r>
      <w:r>
        <w:t>25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_Toc12997 </w:instrText>
      </w:r>
      <w:r>
        <w:rPr>
          <w:smallCaps/>
          <w:szCs w:val="20"/>
        </w:rPr>
        <w:fldChar w:fldCharType="separate"/>
      </w:r>
      <w:r>
        <w:rPr>
          <w:rFonts w:hint="eastAsia" w:ascii="仿宋" w:eastAsia="仿宋"/>
          <w:bCs w:val="0"/>
        </w:rPr>
        <w:t>十、</w:t>
      </w:r>
      <w:r>
        <w:rPr>
          <w:rFonts w:hint="eastAsia" w:ascii="仿宋" w:eastAsia="仿宋"/>
        </w:rPr>
        <w:t>一</w:t>
      </w:r>
      <w:r>
        <w:rPr>
          <w:rFonts w:hint="eastAsia" w:ascii="仿宋" w:eastAsia="仿宋"/>
          <w:bCs w:val="0"/>
        </w:rPr>
        <w:t>般公共预算财政拨款“三公”经费支出决算表</w:t>
      </w:r>
      <w:r>
        <w:tab/>
      </w:r>
      <w:r>
        <w:fldChar w:fldCharType="begin"/>
      </w:r>
      <w:r>
        <w:instrText xml:space="preserve"> PAGEREF _Toc12997 \h </w:instrText>
      </w:r>
      <w:r>
        <w:fldChar w:fldCharType="separate"/>
      </w:r>
      <w:r>
        <w:t>25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_Toc13613 </w:instrText>
      </w:r>
      <w:r>
        <w:rPr>
          <w:smallCaps/>
          <w:szCs w:val="20"/>
        </w:rPr>
        <w:fldChar w:fldCharType="separate"/>
      </w:r>
      <w:r>
        <w:rPr>
          <w:rFonts w:hint="eastAsia" w:ascii="仿宋" w:eastAsia="仿宋"/>
          <w:bCs w:val="0"/>
        </w:rPr>
        <w:t>十一、</w:t>
      </w:r>
      <w:r>
        <w:rPr>
          <w:rFonts w:hint="eastAsia" w:ascii="仿宋" w:eastAsia="仿宋"/>
        </w:rPr>
        <w:t>政</w:t>
      </w:r>
      <w:r>
        <w:rPr>
          <w:rFonts w:hint="eastAsia" w:ascii="仿宋" w:eastAsia="仿宋"/>
          <w:bCs w:val="0"/>
        </w:rPr>
        <w:t>府性基金预算财政拨款收入支出决算表</w:t>
      </w:r>
      <w:r>
        <w:tab/>
      </w:r>
      <w:r>
        <w:fldChar w:fldCharType="begin"/>
      </w:r>
      <w:r>
        <w:instrText xml:space="preserve"> PAGEREF _Toc13613 \h </w:instrText>
      </w:r>
      <w:r>
        <w:fldChar w:fldCharType="separate"/>
      </w:r>
      <w:r>
        <w:t>25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_Toc6395 </w:instrText>
      </w:r>
      <w:r>
        <w:rPr>
          <w:smallCaps/>
          <w:szCs w:val="20"/>
        </w:rPr>
        <w:fldChar w:fldCharType="separate"/>
      </w:r>
      <w:r>
        <w:rPr>
          <w:rFonts w:hint="eastAsia" w:ascii="仿宋" w:eastAsia="仿宋"/>
          <w:bCs w:val="0"/>
        </w:rPr>
        <w:t>十二、</w:t>
      </w:r>
      <w:r>
        <w:rPr>
          <w:rFonts w:hint="eastAsia" w:ascii="仿宋" w:eastAsia="仿宋"/>
        </w:rPr>
        <w:t>政</w:t>
      </w:r>
      <w:r>
        <w:rPr>
          <w:rFonts w:hint="eastAsia" w:ascii="仿宋" w:eastAsia="仿宋"/>
          <w:bCs w:val="0"/>
        </w:rPr>
        <w:t>府性基金预算财政拨款“三公”经费支出决算表</w:t>
      </w:r>
      <w:r>
        <w:tab/>
      </w:r>
      <w:r>
        <w:fldChar w:fldCharType="begin"/>
      </w:r>
      <w:r>
        <w:instrText xml:space="preserve"> PAGEREF _Toc6395 \h </w:instrText>
      </w:r>
      <w:r>
        <w:fldChar w:fldCharType="separate"/>
      </w:r>
      <w:r>
        <w:t>25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_Toc20207 </w:instrText>
      </w:r>
      <w:r>
        <w:rPr>
          <w:smallCaps/>
          <w:szCs w:val="20"/>
        </w:rPr>
        <w:fldChar w:fldCharType="separate"/>
      </w:r>
      <w:r>
        <w:rPr>
          <w:rFonts w:hint="eastAsia" w:ascii="仿宋" w:eastAsia="仿宋"/>
          <w:bCs w:val="0"/>
        </w:rPr>
        <w:t>十三、</w:t>
      </w:r>
      <w:r>
        <w:rPr>
          <w:rFonts w:hint="eastAsia" w:ascii="仿宋" w:eastAsia="仿宋"/>
        </w:rPr>
        <w:t>国</w:t>
      </w:r>
      <w:r>
        <w:rPr>
          <w:rFonts w:hint="eastAsia" w:ascii="仿宋" w:eastAsia="仿宋"/>
          <w:bCs w:val="0"/>
        </w:rPr>
        <w:t>有资本经营预算财政拨款支出决算表</w:t>
      </w:r>
      <w:r>
        <w:tab/>
      </w:r>
      <w:r>
        <w:fldChar w:fldCharType="begin"/>
      </w:r>
      <w:r>
        <w:instrText xml:space="preserve"> PAGEREF _Toc20207 \h </w:instrText>
      </w:r>
      <w:r>
        <w:fldChar w:fldCharType="separate"/>
      </w:r>
      <w:r>
        <w:t>25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_Toc24999 </w:instrText>
      </w:r>
      <w:r>
        <w:rPr>
          <w:smallCaps/>
          <w:szCs w:val="20"/>
        </w:rPr>
        <w:fldChar w:fldCharType="separate"/>
      </w:r>
      <w:r>
        <w:rPr>
          <w:rFonts w:hint="eastAsia" w:ascii="仿宋" w:eastAsia="仿宋"/>
          <w:bCs w:val="0"/>
        </w:rPr>
        <w:t>十四、国有资本经营预算财政拨款支出决算表</w:t>
      </w:r>
      <w:r>
        <w:tab/>
      </w:r>
      <w:r>
        <w:fldChar w:fldCharType="begin"/>
      </w:r>
      <w:r>
        <w:instrText xml:space="preserve"> PAGEREF _Toc24999 \h </w:instrText>
      </w:r>
      <w:r>
        <w:fldChar w:fldCharType="separate"/>
      </w:r>
      <w:r>
        <w:t>25</w:t>
      </w:r>
      <w:r>
        <w:fldChar w:fldCharType="end"/>
      </w:r>
      <w:r>
        <w:rPr>
          <w:smallCaps/>
          <w:szCs w:val="20"/>
        </w:rPr>
        <w:fldChar w:fldCharType="end"/>
      </w:r>
    </w:p>
    <w:p>
      <w:pPr>
        <w:pStyle w:val="7"/>
      </w:pPr>
      <w:r>
        <w:rPr>
          <w:smallCaps/>
          <w:szCs w:val="20"/>
        </w:rPr>
        <w:fldChar w:fldCharType="end"/>
      </w:r>
    </w:p>
    <w:p>
      <w:pPr>
        <w:pStyle w:val="4"/>
        <w:pageBreakBefore w:val="0"/>
        <w:kinsoku/>
        <w:wordWrap/>
        <w:overflowPunct/>
        <w:topLinePunct w:val="0"/>
        <w:autoSpaceDE/>
        <w:autoSpaceDN/>
        <w:bidi w:val="0"/>
        <w:adjustRightInd/>
        <w:snapToGrid/>
        <w:spacing w:before="0" w:after="0" w:line="576" w:lineRule="exact"/>
        <w:jc w:val="center"/>
        <w:textAlignment w:val="auto"/>
        <w:rPr>
          <w:rFonts w:ascii="黑体" w:hAnsi="黑体" w:eastAsia="黑体" w:cs="黑体"/>
          <w:b w:val="0"/>
          <w:bCs w:val="0"/>
        </w:rPr>
      </w:pPr>
      <w:bookmarkStart w:id="13" w:name="_Toc111208495"/>
      <w:bookmarkStart w:id="14" w:name="_Toc16556"/>
      <w:r>
        <w:rPr>
          <w:rFonts w:hint="eastAsia" w:ascii="黑体" w:hAnsi="黑体" w:eastAsia="黑体" w:cs="黑体"/>
        </w:rPr>
        <w:t xml:space="preserve">第一部分 </w:t>
      </w:r>
      <w:r>
        <w:rPr>
          <w:rStyle w:val="30"/>
          <w:rFonts w:hint="eastAsia" w:ascii="黑体" w:hAnsi="黑体" w:eastAsia="黑体" w:cs="黑体"/>
          <w:b/>
          <w:bCs w:val="0"/>
        </w:rPr>
        <w:t>部门概况</w:t>
      </w:r>
      <w:bookmarkEnd w:id="12"/>
      <w:bookmarkEnd w:id="13"/>
      <w:bookmarkEnd w:id="14"/>
    </w:p>
    <w:p>
      <w:pPr>
        <w:pStyle w:val="5"/>
        <w:pageBreakBefore w:val="0"/>
        <w:kinsoku/>
        <w:wordWrap/>
        <w:overflowPunct/>
        <w:topLinePunct w:val="0"/>
        <w:autoSpaceDE/>
        <w:autoSpaceDN/>
        <w:bidi w:val="0"/>
        <w:adjustRightInd/>
        <w:snapToGrid/>
        <w:spacing w:before="0" w:after="0" w:line="576" w:lineRule="exact"/>
        <w:ind w:firstLine="643" w:firstLineChars="200"/>
        <w:textAlignment w:val="auto"/>
        <w:rPr>
          <w:rFonts w:hint="eastAsia" w:ascii="黑体" w:eastAsia="黑体" w:cs="Times New Roman"/>
          <w:bCs w:val="0"/>
          <w:color w:val="000000"/>
        </w:rPr>
      </w:pPr>
      <w:bookmarkStart w:id="15" w:name="_Toc15377197"/>
      <w:bookmarkStart w:id="16" w:name="_Toc111208496"/>
    </w:p>
    <w:p>
      <w:pPr>
        <w:pStyle w:val="5"/>
        <w:pageBreakBefore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17" w:name="_Toc1324"/>
      <w:r>
        <w:rPr>
          <w:rFonts w:hint="eastAsia" w:ascii="黑体" w:eastAsia="黑体" w:cs="Times New Roman"/>
          <w:bCs w:val="0"/>
          <w:color w:val="000000"/>
        </w:rPr>
        <w:t>一、基本职能及主要工作</w:t>
      </w:r>
      <w:bookmarkEnd w:id="15"/>
      <w:bookmarkEnd w:id="16"/>
      <w:bookmarkEnd w:id="17"/>
      <w:bookmarkStart w:id="18" w:name="_Toc15377198"/>
      <w:bookmarkStart w:id="19" w:name="_Toc15378445"/>
    </w:p>
    <w:p>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olor w:val="000000"/>
          <w:sz w:val="32"/>
          <w:szCs w:val="32"/>
          <w:lang w:eastAsia="zh-CN"/>
        </w:rPr>
      </w:pPr>
      <w:r>
        <w:rPr>
          <w:rFonts w:hint="eastAsia" w:ascii="仿宋" w:hAnsi="仿宋" w:eastAsia="仿宋"/>
          <w:b/>
          <w:color w:val="000000"/>
          <w:sz w:val="32"/>
          <w:szCs w:val="32"/>
        </w:rPr>
        <w:t>（一）主要职能</w:t>
      </w:r>
      <w:bookmarkEnd w:id="18"/>
      <w:bookmarkEnd w:id="19"/>
    </w:p>
    <w:p>
      <w:pPr>
        <w:pageBreakBefore w:val="0"/>
        <w:kinsoku/>
        <w:wordWrap/>
        <w:overflowPunct/>
        <w:topLinePunct w:val="0"/>
        <w:autoSpaceDE/>
        <w:autoSpaceDN/>
        <w:bidi w:val="0"/>
        <w:adjustRightInd/>
        <w:snapToGrid/>
        <w:spacing w:line="576" w:lineRule="exact"/>
        <w:textAlignment w:val="auto"/>
      </w:pPr>
      <w:r>
        <w:rPr>
          <w:rFonts w:ascii="仿宋" w:hAnsi="仿宋" w:eastAsia="仿宋"/>
          <w:color w:val="000000"/>
          <w:sz w:val="32"/>
          <w:szCs w:val="32"/>
        </w:rPr>
        <w:tab/>
      </w:r>
      <w:r>
        <w:rPr>
          <w:rFonts w:hint="eastAsia" w:ascii="仿宋" w:hAnsi="仿宋" w:eastAsia="仿宋"/>
          <w:color w:val="000000"/>
          <w:sz w:val="32"/>
          <w:szCs w:val="32"/>
          <w:lang w:val="en-US" w:eastAsia="zh-CN"/>
        </w:rPr>
        <w:t xml:space="preserve">  </w:t>
      </w:r>
      <w:r>
        <w:rPr>
          <w:rFonts w:ascii="仿宋" w:hAnsi="仿宋" w:eastAsia="仿宋"/>
          <w:color w:val="000000"/>
          <w:sz w:val="32"/>
          <w:szCs w:val="32"/>
        </w:rPr>
        <w:t>1.深入贯彻党的路线方针政策和决策部署，统一政法各部门思想和行动，坚持党对政法工作的绝对领导，坚决维护党中央权威和集中统一领导。2.深入贯彻党中央决定和省委、州委、县委决策，对政法工作研究提出全局性部署，推进平安茂县、法治茂县建设，加强过硬队伍建设，深化智能化建设，坚决维护国家政治安全、确保社会大局稳定、促进社会公平正义、保障人民安居乐业。3.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4.加强对政法工作的督查，统筹协调维护政治安全、社会治安综合治理、维护社会稳定、反邪教有关法律法规政策的实施工作。指导全县政法系统网络安全和智能化建设工作。5.组织开展政法领域的调查研究，研究拟订全县政法工作的政策措施，及时向县委提出建议。6.掌握分析政法舆情动态，指导协调政法部门媒体网络宣传工作，指导政法部门做好涉及政法工作的重大宣传和舆论引导工作。7.监督和支持政法各部门依法行使职权，指导和协调政法各部门密切配合，研究和协调重大疑难案件，推进严格执法、公正司法。8.组织研究政法改革中带有方向性、倾向性和普遍性的重大问题，深化政法改革。9.指导推动政法系统党的建设和政法队伍建设，协同县级有关职能部门管理监督政法领导干部。10.完成县委交办的其他任务。</w:t>
      </w:r>
    </w:p>
    <w:p>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olor w:val="000000"/>
          <w:sz w:val="32"/>
          <w:szCs w:val="32"/>
          <w:lang w:eastAsia="zh-CN"/>
        </w:rPr>
      </w:pPr>
      <w:bookmarkStart w:id="20" w:name="_Toc15378446"/>
      <w:bookmarkStart w:id="21" w:name="_Toc15377199"/>
      <w:r>
        <w:rPr>
          <w:rFonts w:hint="eastAsia" w:ascii="仿宋" w:hAnsi="仿宋" w:eastAsia="仿宋"/>
          <w:b/>
          <w:color w:val="000000"/>
          <w:sz w:val="32"/>
          <w:szCs w:val="32"/>
        </w:rPr>
        <w:t>（二）</w:t>
      </w:r>
      <w:r>
        <w:rPr>
          <w:rFonts w:ascii="仿宋" w:hAnsi="仿宋" w:eastAsia="仿宋"/>
          <w:b/>
          <w:color w:val="000000"/>
          <w:sz w:val="32"/>
          <w:szCs w:val="32"/>
        </w:rPr>
        <w:t>2021</w:t>
      </w:r>
      <w:r>
        <w:rPr>
          <w:rFonts w:hint="eastAsia" w:ascii="仿宋" w:hAnsi="仿宋" w:eastAsia="仿宋"/>
          <w:b/>
          <w:color w:val="000000"/>
          <w:sz w:val="32"/>
          <w:szCs w:val="32"/>
        </w:rPr>
        <w:t>重点工作完成情况</w:t>
      </w:r>
      <w:bookmarkEnd w:id="20"/>
      <w:bookmarkEnd w:id="21"/>
      <w:bookmarkStart w:id="22" w:name="_Toc15377200"/>
    </w:p>
    <w:p>
      <w:pPr>
        <w:pageBreakBefore w:val="0"/>
        <w:kinsoku/>
        <w:wordWrap/>
        <w:overflowPunct/>
        <w:topLinePunct w:val="0"/>
        <w:autoSpaceDE/>
        <w:autoSpaceDN/>
        <w:bidi w:val="0"/>
        <w:adjustRightInd/>
        <w:snapToGrid/>
        <w:spacing w:line="576" w:lineRule="exact"/>
        <w:textAlignment w:val="auto"/>
        <w:rPr>
          <w:rFonts w:ascii="仿宋" w:hAnsi="仿宋" w:eastAsia="仿宋"/>
          <w:color w:val="000000"/>
          <w:sz w:val="32"/>
          <w:szCs w:val="32"/>
        </w:rPr>
      </w:pPr>
      <w:r>
        <w:rPr>
          <w:rFonts w:ascii="仿宋" w:hAnsi="仿宋" w:eastAsia="仿宋"/>
          <w:color w:val="000000"/>
          <w:sz w:val="32"/>
          <w:szCs w:val="32"/>
        </w:rPr>
        <w:tab/>
      </w:r>
      <w:r>
        <w:rPr>
          <w:rFonts w:hint="eastAsia" w:ascii="仿宋" w:hAnsi="仿宋" w:eastAsia="仿宋"/>
          <w:color w:val="000000"/>
          <w:sz w:val="32"/>
          <w:szCs w:val="32"/>
          <w:lang w:val="en-US" w:eastAsia="zh-CN"/>
        </w:rPr>
        <w:t xml:space="preserve">  </w:t>
      </w:r>
      <w:r>
        <w:rPr>
          <w:rFonts w:ascii="仿宋" w:hAnsi="仿宋" w:eastAsia="仿宋"/>
          <w:color w:val="000000"/>
          <w:sz w:val="32"/>
          <w:szCs w:val="32"/>
        </w:rPr>
        <w:t>一是以政法队伍教育整顿为契机，不断提升政法队伍建设效能。二是以扫黑除恶常态推进为契机，不断增强维护社会稳定能力。三是以完善农村司法体制为契机，不断提高基层社会治理水平。</w:t>
      </w:r>
    </w:p>
    <w:p>
      <w:pPr>
        <w:pStyle w:val="5"/>
        <w:pageBreakBefore w:val="0"/>
        <w:kinsoku/>
        <w:wordWrap/>
        <w:overflowPunct/>
        <w:topLinePunct w:val="0"/>
        <w:autoSpaceDE/>
        <w:autoSpaceDN/>
        <w:bidi w:val="0"/>
        <w:adjustRightInd/>
        <w:snapToGrid/>
        <w:spacing w:before="0" w:after="0" w:line="576" w:lineRule="exact"/>
        <w:ind w:firstLine="643" w:firstLineChars="200"/>
        <w:textAlignment w:val="auto"/>
        <w:rPr>
          <w:rFonts w:hint="eastAsia" w:ascii="仿宋" w:hAnsi="仿宋" w:eastAsia="仿宋"/>
          <w:color w:val="000000"/>
          <w:sz w:val="32"/>
          <w:szCs w:val="32"/>
          <w:lang w:eastAsia="zh-CN"/>
        </w:rPr>
      </w:pPr>
      <w:bookmarkStart w:id="23" w:name="_Toc111208497"/>
      <w:bookmarkStart w:id="24" w:name="_Toc3726"/>
      <w:r>
        <w:rPr>
          <w:rFonts w:hint="eastAsia" w:ascii="黑体" w:eastAsia="黑体" w:cs="Times New Roman"/>
          <w:bCs w:val="0"/>
          <w:color w:val="000000"/>
        </w:rPr>
        <w:t>二、机构设置</w:t>
      </w:r>
      <w:bookmarkEnd w:id="22"/>
      <w:bookmarkEnd w:id="23"/>
      <w:bookmarkEnd w:id="24"/>
    </w:p>
    <w:p>
      <w:pPr>
        <w:pageBreakBefore w:val="0"/>
        <w:kinsoku/>
        <w:wordWrap/>
        <w:overflowPunct/>
        <w:topLinePunct w:val="0"/>
        <w:autoSpaceDE/>
        <w:autoSpaceDN/>
        <w:bidi w:val="0"/>
        <w:adjustRightInd/>
        <w:snapToGrid/>
        <w:spacing w:line="576" w:lineRule="exact"/>
        <w:textAlignment w:val="auto"/>
        <w:rPr>
          <w:rFonts w:ascii="仿宋" w:hAnsi="仿宋" w:eastAsia="仿宋"/>
          <w:color w:val="000000"/>
          <w:sz w:val="32"/>
          <w:szCs w:val="32"/>
        </w:rPr>
      </w:pPr>
      <w:r>
        <w:rPr>
          <w:rFonts w:ascii="仿宋" w:hAnsi="仿宋" w:eastAsia="仿宋"/>
          <w:color w:val="000000"/>
          <w:sz w:val="32"/>
          <w:szCs w:val="32"/>
        </w:rPr>
        <w:tab/>
      </w:r>
      <w:r>
        <w:rPr>
          <w:rFonts w:ascii="仿宋" w:hAnsi="仿宋" w:eastAsia="仿宋"/>
          <w:color w:val="000000"/>
          <w:sz w:val="32"/>
          <w:szCs w:val="32"/>
        </w:rPr>
        <w:t>茂县县委政法委员会属一级预算单位，下属二级预算单位0个，其中：参照公务员法管理的事业单位0个，其他事业单位0个。</w:t>
      </w:r>
    </w:p>
    <w:p>
      <w:pPr>
        <w:pageBreakBefore w:val="0"/>
        <w:widowControl/>
        <w:kinsoku/>
        <w:wordWrap/>
        <w:overflowPunct/>
        <w:topLinePunct w:val="0"/>
        <w:autoSpaceDE/>
        <w:autoSpaceDN/>
        <w:bidi w:val="0"/>
        <w:adjustRightInd/>
        <w:snapToGrid/>
        <w:spacing w:line="576" w:lineRule="exact"/>
        <w:jc w:val="left"/>
        <w:textAlignment w:val="auto"/>
        <w:rPr>
          <w:rFonts w:ascii="仿宋_GB2312" w:hAnsi="黑体" w:eastAsia="仿宋_GB2312"/>
          <w:b/>
          <w:bCs/>
          <w:color w:val="000000"/>
          <w:kern w:val="44"/>
          <w:sz w:val="44"/>
          <w:szCs w:val="44"/>
        </w:rPr>
      </w:pPr>
      <w:bookmarkStart w:id="25" w:name="_Toc15377204"/>
      <w:r>
        <w:rPr>
          <w:rFonts w:ascii="仿宋_GB2312" w:hAnsi="黑体" w:eastAsia="仿宋_GB2312"/>
          <w:color w:val="000000"/>
        </w:rPr>
        <w:br w:type="page"/>
      </w:r>
    </w:p>
    <w:p>
      <w:pPr>
        <w:pStyle w:val="4"/>
        <w:pageBreakBefore w:val="0"/>
        <w:kinsoku/>
        <w:wordWrap/>
        <w:overflowPunct/>
        <w:topLinePunct w:val="0"/>
        <w:autoSpaceDE/>
        <w:autoSpaceDN/>
        <w:bidi w:val="0"/>
        <w:adjustRightInd/>
        <w:snapToGrid/>
        <w:spacing w:before="0" w:after="0" w:line="576" w:lineRule="exact"/>
        <w:jc w:val="center"/>
        <w:textAlignment w:val="auto"/>
        <w:rPr>
          <w:rFonts w:ascii="黑体" w:hAnsi="黑体" w:eastAsia="黑体" w:cs="黑体"/>
        </w:rPr>
      </w:pPr>
      <w:bookmarkStart w:id="26" w:name="_Toc111208498"/>
      <w:bookmarkStart w:id="27" w:name="_Toc1394"/>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25"/>
      <w:bookmarkEnd w:id="26"/>
      <w:bookmarkEnd w:id="27"/>
    </w:p>
    <w:p>
      <w:pPr>
        <w:pStyle w:val="5"/>
        <w:pageBreakBefore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28" w:name="_Toc15377205"/>
      <w:bookmarkStart w:id="29" w:name="_Toc111208499"/>
      <w:bookmarkStart w:id="30" w:name="_Toc24730"/>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B0F0"/>
          <w:sz w:val="32"/>
          <w:szCs w:val="32"/>
        </w:rPr>
      </w:pPr>
      <w:r>
        <w:rPr>
          <w:rFonts w:ascii="仿宋" w:hAnsi="仿宋" w:eastAsia="仿宋"/>
          <w:color w:val="000000"/>
          <w:sz w:val="32"/>
          <w:szCs w:val="32"/>
        </w:rPr>
        <w:t>2021</w:t>
      </w:r>
      <w:r>
        <w:rPr>
          <w:rFonts w:hint="eastAsia" w:ascii="仿宋" w:hAnsi="仿宋" w:eastAsia="仿宋"/>
          <w:color w:val="000000"/>
          <w:sz w:val="32"/>
          <w:szCs w:val="32"/>
        </w:rPr>
        <w:t>年度收、支总计</w:t>
      </w:r>
      <w:r>
        <w:rPr>
          <w:rFonts w:ascii="仿宋" w:hAnsi="仿宋" w:eastAsia="仿宋"/>
          <w:color w:val="000000"/>
          <w:sz w:val="32"/>
          <w:szCs w:val="32"/>
        </w:rPr>
        <w:t>365.86</w:t>
      </w:r>
      <w:r>
        <w:rPr>
          <w:rFonts w:hint="eastAsia" w:ascii="仿宋" w:hAnsi="仿宋" w:eastAsia="仿宋"/>
          <w:color w:val="000000"/>
          <w:sz w:val="32"/>
          <w:szCs w:val="32"/>
        </w:rPr>
        <w:t>万元。与</w:t>
      </w:r>
      <w:r>
        <w:rPr>
          <w:rFonts w:ascii="仿宋" w:hAnsi="仿宋" w:eastAsia="仿宋"/>
          <w:color w:val="000000"/>
          <w:sz w:val="32"/>
          <w:szCs w:val="32"/>
        </w:rPr>
        <w:t>2020</w:t>
      </w:r>
      <w:r>
        <w:rPr>
          <w:rFonts w:hint="eastAsia" w:ascii="仿宋" w:hAnsi="仿宋" w:eastAsia="仿宋"/>
          <w:color w:val="000000"/>
          <w:sz w:val="32"/>
          <w:szCs w:val="32"/>
        </w:rPr>
        <w:t>年相比，收、支总计各</w:t>
      </w:r>
      <w:r>
        <w:rPr>
          <w:rFonts w:ascii="仿宋" w:hAnsi="仿宋" w:eastAsia="仿宋"/>
          <w:color w:val="000000"/>
          <w:sz w:val="32"/>
          <w:szCs w:val="32"/>
        </w:rPr>
        <w:t>增加9.71</w:t>
      </w:r>
      <w:r>
        <w:rPr>
          <w:rFonts w:hint="eastAsia" w:ascii="仿宋" w:hAnsi="仿宋" w:eastAsia="仿宋"/>
          <w:color w:val="000000"/>
          <w:sz w:val="32"/>
          <w:szCs w:val="32"/>
        </w:rPr>
        <w:t>万元，</w:t>
      </w:r>
      <w:r>
        <w:rPr>
          <w:rFonts w:ascii="仿宋" w:hAnsi="仿宋" w:eastAsia="仿宋"/>
          <w:color w:val="000000"/>
          <w:sz w:val="32"/>
          <w:szCs w:val="32"/>
        </w:rPr>
        <w:t>增加2.73</w:t>
      </w:r>
      <w:r>
        <w:rPr>
          <w:rFonts w:hint="eastAsia" w:ascii="仿宋" w:hAnsi="仿宋" w:eastAsia="仿宋"/>
          <w:color w:val="000000"/>
          <w:sz w:val="32"/>
          <w:szCs w:val="32"/>
        </w:rPr>
        <w:t xml:space="preserve"> %。主要变动原因是人员变动、公用经费变动等</w:t>
      </w:r>
    </w:p>
    <w:p>
      <w:pPr>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themeColor="text1"/>
          <w:sz w:val="28"/>
          <w:szCs w:val="28"/>
        </w:rPr>
      </w:pPr>
      <w:r>
        <w:rPr>
          <w:rFonts w:hint="eastAsia" w:ascii="仿宋" w:hAnsi="仿宋" w:eastAsia="仿宋"/>
          <w:color w:val="000000"/>
          <w:sz w:val="32"/>
          <w:szCs w:val="32"/>
        </w:rPr>
        <w:t>（图1：收、支决算总计变动情况图）</w:t>
      </w:r>
    </w:p>
    <w:p>
      <w:pPr>
        <w:pageBreakBefore w:val="0"/>
        <w:kinsoku/>
        <w:wordWrap/>
        <w:overflowPunct/>
        <w:topLinePunct w:val="0"/>
        <w:autoSpaceDE/>
        <w:autoSpaceDN/>
        <w:bidi w:val="0"/>
        <w:adjustRightInd/>
        <w:snapToGrid/>
        <w:spacing w:line="576" w:lineRule="exact"/>
        <w:ind w:firstLine="560" w:firstLineChars="200"/>
        <w:jc w:val="center"/>
        <w:textAlignment w:val="auto"/>
        <w:rPr>
          <w:rFonts w:ascii="仿宋_GB2312" w:eastAsia="仿宋_GB2312"/>
          <w:color w:val="000000"/>
          <w:sz w:val="28"/>
          <w:szCs w:val="28"/>
        </w:rPr>
      </w:pPr>
    </w:p>
    <w:p>
      <w:pPr>
        <w:pStyle w:val="7"/>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31" w:name="_Toc15377206"/>
      <w:bookmarkStart w:id="32" w:name="_Toc111208500"/>
      <w:bookmarkStart w:id="33" w:name="_Toc25816"/>
      <w:r>
        <w:rPr>
          <w:rFonts w:hint="eastAsia" w:ascii="黑体" w:eastAsia="黑体" w:cs="Times New Roman"/>
          <w:bCs w:val="0"/>
          <w:color w:val="000000"/>
        </w:rPr>
        <w:t>二、收入决算情况说明</w:t>
      </w:r>
      <w:bookmarkEnd w:id="31"/>
      <w:bookmarkEnd w:id="32"/>
      <w:bookmarkEnd w:id="33"/>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2021年本年收入合计330.88万元，其中：一般公共预算财政拨款收入330.88万元，占100.00%；政府性基金预算财政拨款收入0.00万元，占0.00%；国有资本经营预算财政拨款收入0.00万元，占0.00%；上级补助收入0.00万元，占0.00%；事业收入0.00</w:t>
      </w:r>
      <w:bookmarkStart w:id="135" w:name="_GoBack"/>
      <w:bookmarkEnd w:id="135"/>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%；经营收入0.00万元，占0.00%；附属单位上缴收入0.00万元，占0.00%；其他收入0.00万元，占0.00%。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5"/>
        <w:ind w:left="0" w:leftChars="0" w:firstLine="0" w:firstLineChars="0"/>
        <w:jc w:val="both"/>
      </w:pPr>
      <w:r>
        <w:rPr>
          <w:rFonts w:hint="eastAsia" w:ascii="仿宋_GB2312" w:eastAsia="仿宋_GB2312"/>
          <w:color w:val="FF0000"/>
          <w:sz w:val="32"/>
          <w:szCs w:val="32"/>
        </w:rPr>
        <w:drawing>
          <wp:inline distT="0" distB="0" distL="114300" distR="114300">
            <wp:extent cx="4847590" cy="3209925"/>
            <wp:effectExtent l="4445" t="5080" r="5715" b="44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34" w:name="_Toc111208501"/>
      <w:bookmarkStart w:id="35" w:name="_Toc15377207"/>
      <w:bookmarkStart w:id="36" w:name="_Toc22382"/>
      <w:r>
        <w:rPr>
          <w:rFonts w:hint="eastAsia" w:ascii="黑体" w:eastAsia="黑体" w:cs="Times New Roman"/>
          <w:bCs w:val="0"/>
          <w:color w:val="000000"/>
        </w:rPr>
        <w:t>三、支出决算情况说明</w:t>
      </w:r>
      <w:bookmarkEnd w:id="34"/>
      <w:bookmarkEnd w:id="35"/>
      <w:bookmarkEnd w:id="36"/>
    </w:p>
    <w:p>
      <w:pPr>
        <w:pStyle w:val="7"/>
        <w:pageBreakBefore w:val="0"/>
        <w:widowControl w:val="0"/>
        <w:kinsoku/>
        <w:wordWrap/>
        <w:overflowPunct/>
        <w:topLinePunct w:val="0"/>
        <w:autoSpaceDE/>
        <w:autoSpaceDN/>
        <w:bidi w:val="0"/>
        <w:adjustRightInd/>
        <w:snapToGrid/>
        <w:spacing w:line="576" w:lineRule="exact"/>
        <w:textAlignment w:val="auto"/>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365.86</w:t>
      </w:r>
      <w:r>
        <w:rPr>
          <w:rFonts w:ascii="仿宋" w:hAnsi="仿宋" w:eastAsia="仿宋"/>
          <w:color w:val="000000"/>
          <w:sz w:val="32"/>
          <w:szCs w:val="32"/>
        </w:rPr>
        <w:t>万元，其中：基本支出</w:t>
      </w:r>
      <w:r>
        <w:rPr>
          <w:rFonts w:hint="eastAsia" w:ascii="仿宋" w:hAnsi="仿宋" w:eastAsia="仿宋"/>
          <w:color w:val="000000"/>
          <w:sz w:val="32"/>
          <w:szCs w:val="32"/>
        </w:rPr>
        <w:t>302.13</w:t>
      </w:r>
      <w:r>
        <w:rPr>
          <w:rFonts w:ascii="仿宋" w:hAnsi="仿宋" w:eastAsia="仿宋"/>
          <w:color w:val="000000"/>
          <w:sz w:val="32"/>
          <w:szCs w:val="32"/>
        </w:rPr>
        <w:t>万元，占</w:t>
      </w:r>
      <w:r>
        <w:rPr>
          <w:rFonts w:hint="eastAsia" w:ascii="仿宋" w:hAnsi="仿宋" w:eastAsia="仿宋"/>
          <w:color w:val="000000"/>
          <w:sz w:val="32"/>
          <w:szCs w:val="32"/>
        </w:rPr>
        <w:t>82.58</w:t>
      </w:r>
      <w:r>
        <w:rPr>
          <w:rFonts w:ascii="仿宋" w:hAnsi="仿宋" w:eastAsia="仿宋"/>
          <w:color w:val="000000"/>
          <w:sz w:val="32"/>
          <w:szCs w:val="32"/>
        </w:rPr>
        <w:t>%；项目支出</w:t>
      </w:r>
      <w:r>
        <w:rPr>
          <w:rFonts w:hint="eastAsia" w:ascii="仿宋" w:hAnsi="仿宋" w:eastAsia="仿宋"/>
          <w:color w:val="000000"/>
          <w:sz w:val="32"/>
          <w:szCs w:val="32"/>
        </w:rPr>
        <w:t>63.73</w:t>
      </w:r>
      <w:r>
        <w:rPr>
          <w:rFonts w:ascii="仿宋" w:hAnsi="仿宋" w:eastAsia="仿宋"/>
          <w:color w:val="000000"/>
          <w:sz w:val="32"/>
          <w:szCs w:val="32"/>
        </w:rPr>
        <w:t>万元，占</w:t>
      </w:r>
      <w:r>
        <w:rPr>
          <w:rFonts w:hint="eastAsia" w:ascii="仿宋" w:hAnsi="仿宋" w:eastAsia="仿宋"/>
          <w:color w:val="000000"/>
          <w:sz w:val="32"/>
          <w:szCs w:val="32"/>
        </w:rPr>
        <w:t>17.42</w:t>
      </w:r>
      <w:r>
        <w:rPr>
          <w:rFonts w:ascii="仿宋" w:hAnsi="仿宋" w:eastAsia="仿宋"/>
          <w:color w:val="000000"/>
          <w:sz w:val="32"/>
          <w:szCs w:val="32"/>
        </w:rPr>
        <w:t>%；上缴上级支出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%；经营支出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%；对附属单位补助支出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t>（图3：支出决算结构图）</w:t>
      </w:r>
    </w:p>
    <w:p>
      <w:pPr>
        <w:pStyle w:val="7"/>
        <w:ind w:left="0" w:leftChars="0" w:firstLine="0" w:firstLineChars="0"/>
      </w:pPr>
      <w:r>
        <w:rPr>
          <w:rFonts w:hint="eastAsia" w:ascii="仿宋_GB2312" w:eastAsia="仿宋_GB2312"/>
          <w:color w:val="FF0000"/>
          <w:sz w:val="32"/>
          <w:szCs w:val="32"/>
        </w:rPr>
        <w:drawing>
          <wp:inline distT="0" distB="0" distL="114300" distR="114300">
            <wp:extent cx="5095875" cy="3001010"/>
            <wp:effectExtent l="4445" t="4445" r="5080" b="234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37" w:name="_Toc111208502"/>
      <w:bookmarkStart w:id="38" w:name="_Toc15377208"/>
      <w:bookmarkStart w:id="39" w:name="_Toc107"/>
      <w:r>
        <w:rPr>
          <w:rFonts w:hint="eastAsia" w:ascii="黑体" w:eastAsia="黑体" w:cs="Times New Roman"/>
          <w:bCs w:val="0"/>
          <w:color w:val="000000"/>
        </w:rPr>
        <w:t>四、财政拨款收入支出决算总体情况说明</w:t>
      </w:r>
      <w:bookmarkEnd w:id="37"/>
      <w:bookmarkEnd w:id="38"/>
      <w:bookmarkEnd w:id="39"/>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2021年财政拨款收、支总计365.86万元。与2020年相比，财政拨款收、支总计各增加9.71万元，增加2.73 %。主要变动原因是人员变动、公用经费变动等</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（图4：财政拨款收、支决算总计变动情况）</w:t>
      </w:r>
    </w:p>
    <w:p>
      <w:pPr>
        <w:pStyle w:val="7"/>
        <w:ind w:firstLine="0"/>
      </w:pPr>
    </w:p>
    <w:p>
      <w:pPr>
        <w:pStyle w:val="7"/>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40" w:name="_Toc15377209"/>
      <w:bookmarkStart w:id="41" w:name="_Toc111208503"/>
      <w:bookmarkStart w:id="42" w:name="_Toc18211"/>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sz w:val="32"/>
          <w:szCs w:val="32"/>
        </w:rPr>
      </w:pPr>
      <w:bookmarkStart w:id="44" w:name="_Toc15377211"/>
      <w:r>
        <w:rPr>
          <w:rFonts w:hint="eastAsia" w:ascii="仿宋" w:hAnsi="仿宋" w:eastAsia="仿宋"/>
          <w:color w:val="000000"/>
          <w:sz w:val="32"/>
          <w:szCs w:val="32"/>
        </w:rPr>
        <w:t>2021年一般公共预算财政拨款支出365.86万元，占本年支出合计的100.00%。与2020相比，一般公共预算财政拨款增加44.71万元，增加13.92 %。主要变动原因是人员变动、公用经费变动等</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w:t>
      </w:r>
    </w:p>
    <w:p>
      <w:pPr>
        <w:pStyle w:val="7"/>
        <w:ind w:firstLine="0"/>
        <w:rPr>
          <w:rFonts w:ascii="仿宋_GB2312" w:hAnsi="仿宋" w:eastAsia="仿宋_GB2312"/>
          <w:b/>
          <w:color w:val="000000"/>
          <w:sz w:val="32"/>
          <w:szCs w:val="32"/>
        </w:rPr>
      </w:pPr>
    </w:p>
    <w:p>
      <w:pPr>
        <w:pStyle w:val="7"/>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4"/>
      <w:r>
        <w:rPr>
          <w:rFonts w:hint="eastAsia" w:ascii="仿宋" w:hAnsi="仿宋" w:eastAsia="仿宋"/>
          <w:b/>
          <w:color w:val="000000"/>
          <w:sz w:val="32"/>
          <w:szCs w:val="32"/>
        </w:rPr>
        <w:t>（一般公共预算收支表）</w:t>
      </w:r>
    </w:p>
    <w:p>
      <w:pPr>
        <w:spacing w:line="600" w:lineRule="exact"/>
        <w:ind w:firstLine="640" w:firstLineChars="200"/>
        <w:rPr>
          <w:rFonts w:ascii="仿宋_GB2312" w:hAnsi="仿宋" w:eastAsia="仿宋_GB2312"/>
          <w:color w:val="000000" w:themeColor="text1"/>
          <w:sz w:val="32"/>
          <w:szCs w:val="32"/>
        </w:rPr>
      </w:pPr>
      <w:r>
        <w:rPr>
          <w:rFonts w:hint="eastAsia" w:ascii="仿宋" w:hAnsi="仿宋" w:eastAsia="仿宋"/>
          <w:color w:val="000000"/>
          <w:sz w:val="32"/>
          <w:szCs w:val="32"/>
        </w:rPr>
        <w:t>2021年一般公共预算财政拨款支出365.86万元，主要用于以下方面:公共安全支出303.93万元，占83.07%；社会保障和就业支出27.03万元，占7.39%；卫生健康支出13.81万元，占3.77%；农林水支出0.33万元，占0.09%；住房保障支出20.75万元，占5.68%。</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bookmarkStart w:id="45" w:name="_Toc15377212"/>
    </w:p>
    <w:p>
      <w:pPr>
        <w:pStyle w:val="7"/>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5"/>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bookmarkStart w:id="46" w:name="_Toc15377444"/>
      <w:bookmarkStart w:id="47" w:name="_Toc15377213"/>
      <w:bookmarkStart w:id="48" w:name="_Toc15378460"/>
      <w:r>
        <w:rPr>
          <w:rFonts w:hint="eastAsia" w:ascii="仿宋" w:hAnsi="仿宋" w:eastAsia="仿宋"/>
          <w:color w:val="000000"/>
          <w:sz w:val="32"/>
          <w:szCs w:val="32"/>
        </w:rPr>
        <w:t>2021年一般公共预算支出决算数为365.86万</w:t>
      </w:r>
      <w:r>
        <w:rPr>
          <w:rFonts w:hint="eastAsia" w:ascii="仿宋" w:hAnsi="仿宋" w:eastAsia="仿宋"/>
          <w:color w:val="000000"/>
          <w:sz w:val="32"/>
          <w:szCs w:val="32"/>
          <w:lang w:eastAsia="zh-CN"/>
        </w:rPr>
        <w:t>元</w:t>
      </w:r>
      <w:r>
        <w:rPr>
          <w:rFonts w:hint="eastAsia" w:ascii="仿宋" w:hAnsi="仿宋" w:eastAsia="仿宋"/>
          <w:color w:val="000000"/>
          <w:sz w:val="32"/>
          <w:szCs w:val="32"/>
        </w:rPr>
        <w:t>，完成预算100%。其中：</w:t>
      </w:r>
      <w:bookmarkEnd w:id="46"/>
      <w:bookmarkEnd w:id="47"/>
      <w:bookmarkEnd w:id="48"/>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1.公共安全支出（204）公安（20402）行政运行（2040201）支出决算240.53万元，完成预算100%。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2.公共安全支出（204）公安（20402）一般行政管理事务（2040202）支出决算54.98万元，完成预算100%。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3.公共安全支出（204）公安（20402）其他公安支出（2040299）支出决算8.42万元，完成预算100%。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4.社会保障和就业支出（208）行政事业单位养老支出（20805）机关事业单位基本养老保险缴费支出（2080505）支出决算18.02万元，完成预算100%。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5.社会保障和就业支出（208）行政事业单位养老支出（20805）机关事业单位职业年金缴费支出（2080506）支出决算9.01万元，完成预算100%。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6.卫生健康支出（210）行政事业单位医疗（21011）行政单位医疗（2101101）支出决算13.81万元，完成预算100%。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7.农林水支出（213）扶贫（21305）其他扶贫支出（2130599）支出决算0.33万元，完成预算100%。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8.住房保障支出（221）住房改革支出（22102）住房公积金（2210201）支出决算20.75万元，完成预算100%。</w:t>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 w:val="0"/>
          <w:color w:val="000000"/>
        </w:rPr>
      </w:pPr>
      <w:bookmarkStart w:id="49" w:name="_Toc15377214"/>
      <w:bookmarkStart w:id="50" w:name="_Toc111208504"/>
      <w:bookmarkStart w:id="51" w:name="_Toc8734"/>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2021年一般公共预算财政拨款基本支出302.13万元，其中：</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人员经费271.73万元，主要包括：基本工资57.67万元、津贴补贴67.94万元、奖金74.28万元、机关事业单位基本养老保险缴费18.02万元、职业年金缴费9.01万元、职工基本医疗保险缴费13.81万元、其他社会保障缴费0.43万元、住房公积金20.75万元、医疗费1.68万元、生活补助8.06万元、医疗费补助0.06万元。</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公用经费30.40万元，主要包括：办公费8.84万元、邮电费2.81万元、差旅费4.26万元、培训费1.00万元、公务接待费0.75万元、其他交通费用12.74万元。</w:t>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52" w:name="_Toc15377215"/>
      <w:bookmarkStart w:id="53" w:name="_Toc111208505"/>
      <w:bookmarkStart w:id="54" w:name="_Toc26423"/>
      <w:r>
        <w:rPr>
          <w:rFonts w:hint="eastAsia" w:ascii="黑体" w:eastAsia="黑体" w:cs="Times New Roman"/>
          <w:bCs w:val="0"/>
          <w:color w:val="000000"/>
        </w:rPr>
        <w:t>七、“三公”经费财政拨款支出决算情况说明</w:t>
      </w:r>
      <w:bookmarkEnd w:id="52"/>
      <w:bookmarkEnd w:id="53"/>
      <w:bookmarkEnd w:id="54"/>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55" w:name="_Toc15377216"/>
      <w:r>
        <w:rPr>
          <w:rFonts w:hint="eastAsia" w:ascii="仿宋" w:hAnsi="仿宋" w:eastAsia="仿宋"/>
          <w:b/>
          <w:color w:val="000000"/>
          <w:sz w:val="32"/>
          <w:szCs w:val="32"/>
        </w:rPr>
        <w:t>（一）“三公”经费财政拨款支出决算总体情况说明</w:t>
      </w:r>
      <w:bookmarkEnd w:id="55"/>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2021年“三公”经费财政拨款支出决算为0.75万元，完成预算100.00%。</w:t>
      </w:r>
      <w:bookmarkStart w:id="56" w:name="_Toc15377217"/>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6"/>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2021年“三公”经费财政拨款支出0.75万，因公出国（境）费支出决算0.00万元，占0.00%；公务用车购置及运行维护费支出决算0.00万元，占0.00%；公务接待费支出决算0.75万元，占100.00%。具体情况如下：</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pStyle w:val="7"/>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 xml:space="preserve">1.因公出国（境）经费支出0.00万元,完成预算100%。全年安排因公出国（境）团组0次，出国（境）0人。因公出国（境）支出决算比2020年增加0.00万元。 </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 xml:space="preserve">2.公务用车购置及运行维护费支出0.00万元,完成预算0.00%。公务用车购置及运行维护费支出决算比2020年增加0.00万元。 </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其中：公务用车购置支出0.00万元。全年按规定更新购置公务用车0辆，其中：轿车0辆、金额0.00万元，越野车0辆、金额0.00万元，载客汽车0辆、金额0.00万元。截至</w:t>
      </w:r>
      <w:r>
        <w:rPr>
          <w:rFonts w:ascii="仿宋" w:hAnsi="仿宋" w:eastAsia="仿宋"/>
          <w:color w:val="000000"/>
          <w:sz w:val="32"/>
          <w:szCs w:val="32"/>
        </w:rPr>
        <w:t>20</w:t>
      </w:r>
      <w:r>
        <w:rPr>
          <w:rFonts w:hint="eastAsia" w:ascii="仿宋" w:hAnsi="仿宋" w:eastAsia="仿宋"/>
          <w:color w:val="000000"/>
          <w:sz w:val="32"/>
          <w:szCs w:val="32"/>
        </w:rPr>
        <w:t>21年</w:t>
      </w:r>
      <w:r>
        <w:rPr>
          <w:rFonts w:ascii="仿宋" w:hAnsi="仿宋" w:eastAsia="仿宋"/>
          <w:color w:val="000000"/>
          <w:sz w:val="32"/>
          <w:szCs w:val="32"/>
        </w:rPr>
        <w:t>12</w:t>
      </w:r>
      <w:r>
        <w:rPr>
          <w:rFonts w:hint="eastAsia" w:ascii="仿宋" w:hAnsi="仿宋" w:eastAsia="仿宋"/>
          <w:color w:val="000000"/>
          <w:sz w:val="32"/>
          <w:szCs w:val="32"/>
        </w:rPr>
        <w:t>月底，单位共有公务用车0辆，其中：轿车0辆、越野车0辆、载客汽车0辆。</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 xml:space="preserve">公务用车运行维护费支出0.00万元。 </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3.公务接待费支出0.75万元，完成预算100.00%。公务接待费支出决算比2020年增加0.73万元，增加96.75</w:t>
      </w:r>
      <w:r>
        <w:rPr>
          <w:rFonts w:ascii="仿宋" w:hAnsi="仿宋" w:eastAsia="仿宋"/>
          <w:color w:val="000000"/>
          <w:sz w:val="32"/>
          <w:szCs w:val="32"/>
        </w:rPr>
        <w:t>%</w:t>
      </w:r>
      <w:r>
        <w:rPr>
          <w:rFonts w:hint="eastAsia" w:ascii="仿宋" w:hAnsi="仿宋" w:eastAsia="仿宋"/>
          <w:color w:val="000000"/>
          <w:sz w:val="32"/>
          <w:szCs w:val="32"/>
        </w:rPr>
        <w:t>。</w:t>
      </w:r>
      <w:bookmarkStart w:id="57" w:name="_Toc15377218"/>
      <w:r>
        <w:rPr>
          <w:rFonts w:hint="eastAsia" w:ascii="仿宋" w:hAnsi="仿宋" w:eastAsia="仿宋"/>
          <w:color w:val="000000"/>
          <w:sz w:val="32"/>
          <w:szCs w:val="32"/>
        </w:rPr>
        <w:t xml:space="preserve">主要原因是接待批次、人数增加。 </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国内公务接待支出0.75万元。国内公务接待4批次，62人次（不包括陪同人员），共计支出0.75万元。</w:t>
      </w:r>
    </w:p>
    <w:p>
      <w:pPr>
        <w:pStyle w:val="7"/>
        <w:pageBreakBefore w:val="0"/>
        <w:widowControl w:val="0"/>
        <w:kinsoku/>
        <w:wordWrap/>
        <w:overflowPunct/>
        <w:topLinePunct w:val="0"/>
        <w:autoSpaceDE/>
        <w:autoSpaceDN/>
        <w:bidi w:val="0"/>
        <w:adjustRightInd/>
        <w:snapToGrid/>
        <w:spacing w:line="576" w:lineRule="exact"/>
        <w:textAlignment w:val="auto"/>
        <w:rPr>
          <w:rFonts w:ascii="仿宋" w:hAnsi="仿宋" w:eastAsia="仿宋"/>
          <w:color w:val="000000"/>
          <w:sz w:val="32"/>
          <w:szCs w:val="32"/>
        </w:rPr>
      </w:pPr>
      <w:r>
        <w:rPr>
          <w:rFonts w:hint="eastAsia" w:ascii="仿宋" w:hAnsi="仿宋" w:eastAsia="仿宋"/>
          <w:color w:val="000000"/>
          <w:sz w:val="32"/>
          <w:szCs w:val="32"/>
        </w:rPr>
        <w:t>外事接待支出0.00万元，外事接待0批次，0人，共计支出0.00万元。</w:t>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58" w:name="_Toc111208506"/>
      <w:bookmarkStart w:id="59" w:name="_Toc11134"/>
      <w:r>
        <w:rPr>
          <w:rFonts w:hint="eastAsia" w:ascii="黑体" w:eastAsia="黑体" w:cs="Times New Roman"/>
          <w:bCs w:val="0"/>
          <w:color w:val="000000"/>
        </w:rPr>
        <w:t>八、政府性基金预算支出决算情况说明</w:t>
      </w:r>
      <w:bookmarkEnd w:id="57"/>
      <w:bookmarkEnd w:id="58"/>
      <w:bookmarkEnd w:id="59"/>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rPr>
      </w:pPr>
      <w:r>
        <w:rPr>
          <w:rFonts w:hint="eastAsia" w:ascii="仿宋" w:hAnsi="仿宋" w:eastAsia="仿宋"/>
          <w:color w:val="000000"/>
          <w:sz w:val="32"/>
          <w:szCs w:val="32"/>
        </w:rPr>
        <w:t>2021年政府性基金预算拨款支出0.00万元。</w:t>
      </w:r>
      <w:bookmarkStart w:id="60" w:name="_Toc15377219"/>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61" w:name="_Toc111208507"/>
      <w:bookmarkStart w:id="62" w:name="_Toc8929"/>
      <w:r>
        <w:rPr>
          <w:rFonts w:hint="eastAsia" w:ascii="黑体" w:eastAsia="黑体" w:cs="Times New Roman"/>
          <w:bCs w:val="0"/>
          <w:color w:val="000000"/>
        </w:rPr>
        <w:t>九、国有资本经营预算支出决算情况说明</w:t>
      </w:r>
      <w:bookmarkEnd w:id="60"/>
      <w:bookmarkEnd w:id="61"/>
      <w:bookmarkEnd w:id="62"/>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rPr>
      </w:pPr>
      <w:r>
        <w:rPr>
          <w:rFonts w:hint="eastAsia" w:ascii="仿宋" w:hAnsi="仿宋" w:eastAsia="仿宋"/>
          <w:color w:val="000000"/>
          <w:sz w:val="32"/>
          <w:szCs w:val="32"/>
        </w:rPr>
        <w:t>2021年国有资本经营预算拨款支出0.00万元。</w:t>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63" w:name="_Toc15377221"/>
      <w:bookmarkStart w:id="64" w:name="_Toc111208508"/>
      <w:bookmarkStart w:id="65" w:name="_Toc13123"/>
      <w:r>
        <w:rPr>
          <w:rFonts w:hint="eastAsia" w:ascii="黑体" w:eastAsia="黑体" w:cs="Times New Roman"/>
          <w:bCs w:val="0"/>
          <w:color w:val="000000"/>
        </w:rPr>
        <w:t>十、其他重要事项的情况说明</w:t>
      </w:r>
      <w:bookmarkEnd w:id="63"/>
      <w:bookmarkEnd w:id="64"/>
      <w:bookmarkEnd w:id="65"/>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66" w:name="_Toc15377222"/>
      <w:r>
        <w:rPr>
          <w:rFonts w:hint="eastAsia" w:ascii="仿宋" w:hAnsi="仿宋" w:eastAsia="仿宋"/>
          <w:b/>
          <w:color w:val="000000"/>
          <w:sz w:val="32"/>
          <w:szCs w:val="32"/>
        </w:rPr>
        <w:t>（一）机关运行经费支出情况</w:t>
      </w:r>
      <w:bookmarkEnd w:id="66"/>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 xml:space="preserve">2021年，机关运行经费支出30.40万元，比2020年减少14.30万元，减少32.0 %。主要原因是人员变动、公用经费变动等。 </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67" w:name="_Toc15377223"/>
      <w:r>
        <w:rPr>
          <w:rFonts w:hint="eastAsia" w:ascii="仿宋" w:hAnsi="仿宋" w:eastAsia="仿宋"/>
          <w:b/>
          <w:color w:val="000000"/>
          <w:sz w:val="32"/>
          <w:szCs w:val="32"/>
        </w:rPr>
        <w:t>（二）政府采购支出情况</w:t>
      </w:r>
      <w:bookmarkEnd w:id="67"/>
      <w:r>
        <w:rPr>
          <w:rFonts w:hint="eastAsia" w:ascii="仿宋" w:hAnsi="仿宋" w:eastAsia="仿宋"/>
          <w:b/>
          <w:color w:val="000000"/>
          <w:sz w:val="32"/>
          <w:szCs w:val="32"/>
        </w:rPr>
        <w:t>(机构运行信息表)</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eastAsia="仿宋_GB2312"/>
          <w:color w:val="000000"/>
          <w:sz w:val="32"/>
          <w:szCs w:val="32"/>
        </w:rPr>
      </w:pPr>
      <w:r>
        <w:rPr>
          <w:rFonts w:hint="eastAsia" w:ascii="仿宋" w:hAnsi="仿宋" w:eastAsia="仿宋"/>
          <w:color w:val="000000"/>
          <w:sz w:val="32"/>
          <w:szCs w:val="32"/>
        </w:rPr>
        <w:t>2021年，政府采购支出总额0.00万元，其中：政府采购货物支出0.00万元、政府采购工程支出0.00万元、政府采购服务支出0.00万元。授予中小企业合同金额0.00万元，其中：授予小微企业合同金额0.00万元，占总合同的0.00%。</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68" w:name="_Toc15377224"/>
      <w:r>
        <w:rPr>
          <w:rFonts w:hint="eastAsia" w:ascii="仿宋" w:hAnsi="仿宋" w:eastAsia="仿宋"/>
          <w:b/>
          <w:color w:val="000000"/>
          <w:sz w:val="32"/>
          <w:szCs w:val="32"/>
        </w:rPr>
        <w:t>（三）国有资产占有使用情况</w:t>
      </w:r>
      <w:bookmarkEnd w:id="68"/>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截至2021年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日，共有车辆0辆，其中：主要领导干部用车0辆、机要通信用车0辆、应急保障用车0辆、其他用车0辆。单价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p>
    <w:p>
      <w:pPr>
        <w:pageBreakBefore w:val="0"/>
        <w:widowControl w:val="0"/>
        <w:numPr>
          <w:ilvl w:val="0"/>
          <w:numId w:val="1"/>
        </w:numPr>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b/>
          <w:color w:val="000000"/>
          <w:sz w:val="32"/>
          <w:szCs w:val="32"/>
        </w:rPr>
      </w:pPr>
      <w:r>
        <w:rPr>
          <w:rFonts w:hint="eastAsia" w:ascii="仿宋" w:hAnsi="仿宋" w:eastAsia="仿宋"/>
          <w:b/>
          <w:color w:val="000000"/>
          <w:sz w:val="32"/>
          <w:szCs w:val="32"/>
        </w:rPr>
        <w:t>预算绩效管理情况</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我委无专项预算项目，因此未组织开展项目支出绩效评价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本部门未组织开展项目支出绩效评价。</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我委按要求对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年部门整体支出绩效评价情况开展自评，中共茂县县委政法委员会</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Style w:val="7"/>
        <w:rPr>
          <w:rFonts w:hint="eastAsia"/>
        </w:rPr>
      </w:pPr>
    </w:p>
    <w:p>
      <w:pPr>
        <w:pageBreakBefore w:val="0"/>
        <w:widowControl w:val="0"/>
        <w:numPr>
          <w:ilvl w:val="0"/>
          <w:numId w:val="0"/>
        </w:numPr>
        <w:kinsoku/>
        <w:wordWrap/>
        <w:overflowPunct/>
        <w:topLinePunct w:val="0"/>
        <w:autoSpaceDE/>
        <w:autoSpaceDN/>
        <w:bidi w:val="0"/>
        <w:adjustRightInd/>
        <w:snapToGrid/>
        <w:spacing w:line="576" w:lineRule="exact"/>
        <w:jc w:val="center"/>
        <w:textAlignment w:val="auto"/>
        <w:outlineLvl w:val="2"/>
        <w:rPr>
          <w:rFonts w:hint="eastAsia" w:ascii="方正小标宋简体" w:hAnsi="方正小标宋简体" w:eastAsia="方正小标宋简体" w:cs="方正小标宋简体"/>
          <w:color w:val="auto"/>
          <w:kern w:val="2"/>
          <w:sz w:val="40"/>
          <w:szCs w:val="40"/>
          <w:lang w:eastAsia="zh-CN"/>
        </w:rPr>
      </w:pPr>
      <w:r>
        <w:rPr>
          <w:rFonts w:hint="eastAsia" w:ascii="方正小标宋简体" w:hAnsi="方正小标宋简体" w:eastAsia="方正小标宋简体" w:cs="方正小标宋简体"/>
          <w:color w:val="auto"/>
          <w:kern w:val="2"/>
          <w:sz w:val="40"/>
          <w:szCs w:val="40"/>
          <w:lang w:eastAsia="zh-CN"/>
        </w:rPr>
        <w:t>中共茂县县委政法委员会</w:t>
      </w:r>
    </w:p>
    <w:p>
      <w:pPr>
        <w:pStyle w:val="51"/>
        <w:keepNext w:val="0"/>
        <w:keepLines w:val="0"/>
        <w:pageBreakBefore w:val="0"/>
        <w:widowControl w:val="0"/>
        <w:kinsoku/>
        <w:wordWrap/>
        <w:overflowPunct/>
        <w:topLinePunct w:val="0"/>
        <w:autoSpaceDE/>
        <w:autoSpaceDN/>
        <w:bidi w:val="0"/>
        <w:spacing w:line="568" w:lineRule="exact"/>
        <w:jc w:val="center"/>
        <w:textAlignment w:val="auto"/>
        <w:rPr>
          <w:rFonts w:hint="default" w:ascii="方正小标宋简体" w:hAnsi="方正小标宋简体" w:eastAsia="方正小标宋简体" w:cs="方正小标宋简体"/>
          <w:color w:val="auto"/>
          <w:kern w:val="2"/>
          <w:sz w:val="40"/>
          <w:szCs w:val="40"/>
          <w:lang w:val="en-US" w:eastAsia="zh-CN"/>
        </w:rPr>
      </w:pPr>
      <w:r>
        <w:rPr>
          <w:rFonts w:hint="eastAsia" w:ascii="方正小标宋简体" w:hAnsi="方正小标宋简体" w:eastAsia="方正小标宋简体" w:cs="方正小标宋简体"/>
          <w:color w:val="auto"/>
          <w:kern w:val="2"/>
          <w:sz w:val="40"/>
          <w:szCs w:val="40"/>
          <w:lang w:val="en-US" w:eastAsia="zh-CN"/>
        </w:rPr>
        <w:t>2021年绩效运行自行监控报告</w:t>
      </w:r>
    </w:p>
    <w:p>
      <w:pPr>
        <w:pStyle w:val="37"/>
        <w:keepNext w:val="0"/>
        <w:keepLines w:val="0"/>
        <w:pageBreakBefore w:val="0"/>
        <w:widowControl w:val="0"/>
        <w:kinsoku/>
        <w:wordWrap/>
        <w:overflowPunct/>
        <w:topLinePunct w:val="0"/>
        <w:autoSpaceDE/>
        <w:autoSpaceDN/>
        <w:bidi w:val="0"/>
        <w:adjustRightInd w:val="0"/>
        <w:snapToGrid w:val="0"/>
        <w:spacing w:line="568" w:lineRule="exact"/>
        <w:ind w:firstLine="720"/>
        <w:jc w:val="center"/>
        <w:textAlignment w:val="auto"/>
        <w:rPr>
          <w:rFonts w:hint="eastAsia" w:ascii="黑体" w:hAnsi="宋体" w:eastAsia="黑体"/>
        </w:rPr>
      </w:pPr>
    </w:p>
    <w:p>
      <w:pPr>
        <w:pStyle w:val="37"/>
        <w:keepNext w:val="0"/>
        <w:keepLines w:val="0"/>
        <w:pageBreakBefore w:val="0"/>
        <w:widowControl w:val="0"/>
        <w:kinsoku/>
        <w:wordWrap/>
        <w:overflowPunct/>
        <w:topLinePunct w:val="0"/>
        <w:autoSpaceDE/>
        <w:autoSpaceDN/>
        <w:bidi w:val="0"/>
        <w:adjustRightInd w:val="0"/>
        <w:snapToGrid w:val="0"/>
        <w:spacing w:line="568" w:lineRule="exact"/>
        <w:ind w:firstLine="720"/>
        <w:textAlignment w:val="auto"/>
        <w:rPr>
          <w:rFonts w:hint="default" w:ascii="黑体" w:hAnsi="宋体" w:eastAsia="黑体"/>
          <w:lang w:val="en-US" w:eastAsia="zh-CN"/>
        </w:rPr>
      </w:pPr>
      <w:r>
        <w:rPr>
          <w:rFonts w:hint="eastAsia" w:ascii="黑体" w:hAnsi="宋体" w:eastAsia="黑体"/>
        </w:rPr>
        <w:t>一、</w:t>
      </w:r>
      <w:r>
        <w:rPr>
          <w:rFonts w:hint="eastAsia" w:ascii="黑体" w:hAnsi="宋体" w:eastAsia="黑体"/>
          <w:lang w:val="en-US" w:eastAsia="zh-CN"/>
        </w:rPr>
        <w:t>部门整体概况</w:t>
      </w:r>
    </w:p>
    <w:p>
      <w:pPr>
        <w:pStyle w:val="37"/>
        <w:keepNext w:val="0"/>
        <w:keepLines w:val="0"/>
        <w:pageBreakBefore w:val="0"/>
        <w:widowControl w:val="0"/>
        <w:kinsoku/>
        <w:wordWrap/>
        <w:overflowPunct/>
        <w:topLinePunct w:val="0"/>
        <w:autoSpaceDE/>
        <w:autoSpaceDN/>
        <w:bidi w:val="0"/>
        <w:adjustRightInd w:val="0"/>
        <w:snapToGrid w:val="0"/>
        <w:spacing w:line="568" w:lineRule="exact"/>
        <w:ind w:firstLine="720"/>
        <w:textAlignment w:val="auto"/>
        <w:rPr>
          <w:rFonts w:hint="eastAsia" w:ascii="楷体_GB2312" w:hAnsi="宋体" w:eastAsia="楷体_GB2312"/>
          <w:b/>
          <w:lang w:val="zh-CN" w:eastAsia="zh-CN"/>
        </w:rPr>
      </w:pPr>
      <w:r>
        <w:rPr>
          <w:rFonts w:hint="eastAsia" w:ascii="楷体_GB2312" w:hAnsi="宋体" w:eastAsia="楷体_GB2312"/>
          <w:b/>
          <w:lang w:val="zh-CN"/>
        </w:rPr>
        <w:t>（一）</w:t>
      </w:r>
      <w:r>
        <w:rPr>
          <w:rFonts w:hint="eastAsia" w:ascii="楷体_GB2312" w:hAnsi="宋体" w:eastAsia="楷体_GB2312"/>
          <w:b/>
          <w:color w:val="auto"/>
          <w:highlight w:val="none"/>
          <w:lang w:val="en-US" w:eastAsia="zh-CN"/>
        </w:rPr>
        <w:t>部门职能职责</w:t>
      </w:r>
    </w:p>
    <w:p>
      <w:pPr>
        <w:pStyle w:val="37"/>
        <w:keepNext w:val="0"/>
        <w:keepLines w:val="0"/>
        <w:pageBreakBefore w:val="0"/>
        <w:widowControl w:val="0"/>
        <w:numPr>
          <w:ilvl w:val="0"/>
          <w:numId w:val="0"/>
        </w:numPr>
        <w:kinsoku/>
        <w:wordWrap/>
        <w:overflowPunct/>
        <w:topLinePunct w:val="0"/>
        <w:autoSpaceDE/>
        <w:autoSpaceDN/>
        <w:bidi w:val="0"/>
        <w:spacing w:line="568" w:lineRule="exact"/>
        <w:ind w:firstLine="640" w:firstLineChars="200"/>
        <w:textAlignment w:val="auto"/>
        <w:rPr>
          <w:rFonts w:hint="eastAsia" w:eastAsia="仿宋_GB2312"/>
          <w:bCs/>
          <w:sz w:val="32"/>
          <w:szCs w:val="32"/>
        </w:rPr>
      </w:pPr>
      <w:r>
        <w:rPr>
          <w:rFonts w:hint="eastAsia" w:eastAsia="仿宋_GB2312"/>
          <w:bCs/>
          <w:sz w:val="32"/>
          <w:szCs w:val="32"/>
          <w:lang w:val="en-US" w:eastAsia="zh-CN"/>
        </w:rPr>
        <w:t>1.</w:t>
      </w:r>
      <w:r>
        <w:rPr>
          <w:rFonts w:hint="eastAsia" w:eastAsia="仿宋_GB2312"/>
          <w:bCs/>
          <w:sz w:val="32"/>
          <w:szCs w:val="32"/>
        </w:rPr>
        <w:t>深入贯彻党的路线方针政策和决策部署，统一政法各部门思想和行动，坚持党对政法工作的绝对领导，坚决维护党中央权威和集中统一领导。</w:t>
      </w:r>
    </w:p>
    <w:p>
      <w:pPr>
        <w:pStyle w:val="37"/>
        <w:keepNext w:val="0"/>
        <w:keepLines w:val="0"/>
        <w:pageBreakBefore w:val="0"/>
        <w:widowControl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2.</w:t>
      </w:r>
      <w:r>
        <w:rPr>
          <w:rFonts w:hint="eastAsia" w:eastAsia="仿宋_GB2312"/>
          <w:bCs/>
          <w:sz w:val="32"/>
          <w:szCs w:val="32"/>
        </w:rPr>
        <w:t>深入贯彻党中央决定和省委、州委、县委决策，对政法工作研究提出全局性部署，推进平安茂县、法治茂县建设，加强过硬队伍建设，深化智能化建设，坚决维护国家政治安全、确保社会大局稳定、促进社会公平正义、保障人民安居乐业。</w:t>
      </w:r>
    </w:p>
    <w:p>
      <w:pPr>
        <w:pStyle w:val="37"/>
        <w:keepNext w:val="0"/>
        <w:keepLines w:val="0"/>
        <w:pageBreakBefore w:val="0"/>
        <w:widowControl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3.</w:t>
      </w:r>
      <w:r>
        <w:rPr>
          <w:rFonts w:hint="eastAsia" w:eastAsia="仿宋_GB2312"/>
          <w:bCs/>
          <w:sz w:val="32"/>
          <w:szCs w:val="32"/>
        </w:rPr>
        <w:t>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p>
    <w:p>
      <w:pPr>
        <w:pStyle w:val="37"/>
        <w:keepNext w:val="0"/>
        <w:keepLines w:val="0"/>
        <w:pageBreakBefore w:val="0"/>
        <w:widowControl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4.</w:t>
      </w:r>
      <w:r>
        <w:rPr>
          <w:rFonts w:hint="eastAsia" w:eastAsia="仿宋_GB2312"/>
          <w:bCs/>
          <w:sz w:val="32"/>
          <w:szCs w:val="32"/>
        </w:rPr>
        <w:t>加强对政法工作的督查，统筹协调维护政治安全、社会治安综合治理、维护社会稳定、反邪教有关法律法规政策的实施工作。指导全县政法系统网络安全和智能化建设工作。</w:t>
      </w:r>
    </w:p>
    <w:p>
      <w:pPr>
        <w:pStyle w:val="37"/>
        <w:keepNext w:val="0"/>
        <w:keepLines w:val="0"/>
        <w:pageBreakBefore w:val="0"/>
        <w:widowControl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5.</w:t>
      </w:r>
      <w:r>
        <w:rPr>
          <w:rFonts w:hint="eastAsia" w:eastAsia="仿宋_GB2312"/>
          <w:bCs/>
          <w:sz w:val="32"/>
          <w:szCs w:val="32"/>
        </w:rPr>
        <w:t>组织开展政法领域的调查研究，研究拟订全县政法工作的政策措施，及时向县委提出建议。</w:t>
      </w:r>
    </w:p>
    <w:p>
      <w:pPr>
        <w:pStyle w:val="37"/>
        <w:keepNext w:val="0"/>
        <w:keepLines w:val="0"/>
        <w:pageBreakBefore w:val="0"/>
        <w:widowControl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6.</w:t>
      </w:r>
      <w:r>
        <w:rPr>
          <w:rFonts w:hint="eastAsia" w:eastAsia="仿宋_GB2312"/>
          <w:bCs/>
          <w:sz w:val="32"/>
          <w:szCs w:val="32"/>
        </w:rPr>
        <w:t>掌握分析政法舆情动态，指导协调政法部门媒体网络宣传工作，指导政法部门做好涉及政法工作的重大宣传和舆论引导工作。</w:t>
      </w:r>
    </w:p>
    <w:p>
      <w:pPr>
        <w:pStyle w:val="37"/>
        <w:keepNext w:val="0"/>
        <w:keepLines w:val="0"/>
        <w:pageBreakBefore w:val="0"/>
        <w:widowControl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7.</w:t>
      </w:r>
      <w:r>
        <w:rPr>
          <w:rFonts w:hint="eastAsia" w:eastAsia="仿宋_GB2312"/>
          <w:bCs/>
          <w:sz w:val="32"/>
          <w:szCs w:val="32"/>
        </w:rPr>
        <w:t>监督和支持政法各部门依法行使职权，指导和协调政法各部门密切配合，研究和协调重大疑难案件，推进严格执法、公正司法。</w:t>
      </w:r>
    </w:p>
    <w:p>
      <w:pPr>
        <w:pStyle w:val="37"/>
        <w:keepNext w:val="0"/>
        <w:keepLines w:val="0"/>
        <w:pageBreakBefore w:val="0"/>
        <w:widowControl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8.</w:t>
      </w:r>
      <w:r>
        <w:rPr>
          <w:rFonts w:hint="eastAsia" w:eastAsia="仿宋_GB2312"/>
          <w:bCs/>
          <w:sz w:val="32"/>
          <w:szCs w:val="32"/>
        </w:rPr>
        <w:t>组织研究政法改革中带有方向性、倾向性和普遍性的重大问题，深化政法改革。</w:t>
      </w:r>
    </w:p>
    <w:p>
      <w:pPr>
        <w:pStyle w:val="37"/>
        <w:keepNext w:val="0"/>
        <w:keepLines w:val="0"/>
        <w:pageBreakBefore w:val="0"/>
        <w:widowControl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9.</w:t>
      </w:r>
      <w:r>
        <w:rPr>
          <w:rFonts w:hint="eastAsia" w:eastAsia="仿宋_GB2312"/>
          <w:bCs/>
          <w:sz w:val="32"/>
          <w:szCs w:val="32"/>
        </w:rPr>
        <w:t>指导推动政法系统党的建设和政法队伍建设，协同县级有关职能部门管理监督政法领导干部。</w:t>
      </w:r>
    </w:p>
    <w:p>
      <w:pPr>
        <w:pStyle w:val="37"/>
        <w:keepNext w:val="0"/>
        <w:keepLines w:val="0"/>
        <w:pageBreakBefore w:val="0"/>
        <w:widowControl w:val="0"/>
        <w:kinsoku/>
        <w:wordWrap/>
        <w:overflowPunct/>
        <w:topLinePunct w:val="0"/>
        <w:autoSpaceDE/>
        <w:autoSpaceDN/>
        <w:bidi w:val="0"/>
        <w:spacing w:line="568" w:lineRule="exact"/>
        <w:ind w:firstLine="643" w:firstLineChars="200"/>
        <w:textAlignment w:val="auto"/>
        <w:rPr>
          <w:rFonts w:ascii="仿宋_GB2312" w:hAnsi="楷体_GB2312" w:eastAsia="仿宋_GB2312" w:cs="楷体_GB2312"/>
          <w:kern w:val="2"/>
          <w:sz w:val="32"/>
          <w:szCs w:val="32"/>
          <w:lang w:eastAsia="zh-CN" w:bidi="ar-SA"/>
        </w:rPr>
      </w:pPr>
      <w:r>
        <w:rPr>
          <w:rFonts w:hint="eastAsia" w:eastAsia="仿宋_GB2312"/>
          <w:b/>
          <w:sz w:val="32"/>
          <w:szCs w:val="32"/>
          <w:lang w:val="en-US" w:eastAsia="zh-CN"/>
        </w:rPr>
        <w:t>10.</w:t>
      </w:r>
      <w:r>
        <w:rPr>
          <w:rFonts w:hint="eastAsia" w:eastAsia="仿宋_GB2312"/>
          <w:bCs/>
          <w:sz w:val="32"/>
          <w:szCs w:val="32"/>
        </w:rPr>
        <w:t>完成县委交办的其他任务。</w:t>
      </w:r>
    </w:p>
    <w:p>
      <w:pPr>
        <w:pStyle w:val="37"/>
        <w:keepNext w:val="0"/>
        <w:keepLines w:val="0"/>
        <w:pageBreakBefore w:val="0"/>
        <w:widowControl w:val="0"/>
        <w:kinsoku/>
        <w:wordWrap/>
        <w:overflowPunct/>
        <w:topLinePunct w:val="0"/>
        <w:autoSpaceDE/>
        <w:autoSpaceDN/>
        <w:bidi w:val="0"/>
        <w:adjustRightInd w:val="0"/>
        <w:snapToGrid w:val="0"/>
        <w:spacing w:line="568" w:lineRule="exact"/>
        <w:ind w:firstLine="720"/>
        <w:textAlignment w:val="auto"/>
        <w:rPr>
          <w:rFonts w:hint="eastAsia" w:ascii="楷体_GB2312" w:hAnsi="宋体" w:eastAsia="楷体_GB2312"/>
          <w:b/>
          <w:lang w:val="en-US" w:eastAsia="zh-CN"/>
        </w:rPr>
      </w:pPr>
      <w:r>
        <w:rPr>
          <w:rFonts w:hint="eastAsia" w:ascii="楷体_GB2312" w:hAnsi="宋体" w:eastAsia="楷体_GB2312"/>
          <w:b/>
          <w:lang w:val="en-US" w:eastAsia="zh-CN"/>
        </w:rPr>
        <w:t>（二）目标任务</w:t>
      </w:r>
    </w:p>
    <w:p>
      <w:pPr>
        <w:pStyle w:val="37"/>
        <w:keepNext w:val="0"/>
        <w:keepLines w:val="0"/>
        <w:pageBreakBefore w:val="0"/>
        <w:widowControl w:val="0"/>
        <w:kinsoku/>
        <w:wordWrap/>
        <w:overflowPunct/>
        <w:topLinePunct w:val="0"/>
        <w:autoSpaceDE/>
        <w:autoSpaceDN/>
        <w:bidi w:val="0"/>
        <w:adjustRightInd/>
        <w:snapToGrid/>
        <w:spacing w:line="568" w:lineRule="exact"/>
        <w:ind w:firstLine="640"/>
        <w:textAlignment w:val="auto"/>
        <w:rPr>
          <w:rFonts w:hint="eastAsia" w:eastAsia="仿宋_GB2312"/>
          <w:bCs/>
          <w:sz w:val="32"/>
          <w:szCs w:val="32"/>
        </w:rPr>
      </w:pPr>
      <w:r>
        <w:rPr>
          <w:rFonts w:hint="eastAsia" w:ascii="仿宋_GB2312" w:hAnsi="楷体_GB2312" w:eastAsia="仿宋_GB2312" w:cs="楷体_GB2312"/>
          <w:kern w:val="2"/>
          <w:sz w:val="32"/>
          <w:szCs w:val="32"/>
          <w:lang w:val="en-US" w:eastAsia="zh-CN" w:bidi="ar-SA"/>
        </w:rPr>
        <w:t>1.</w:t>
      </w:r>
      <w:r>
        <w:rPr>
          <w:rFonts w:hint="eastAsia" w:eastAsia="仿宋_GB2312"/>
          <w:bCs/>
          <w:sz w:val="32"/>
          <w:szCs w:val="32"/>
        </w:rPr>
        <w:t>指导全县政法系统加强国家政治安全战略研究，分析研判政治安全形势，提出工作建议和意见。</w:t>
      </w:r>
    </w:p>
    <w:p>
      <w:pPr>
        <w:pStyle w:val="37"/>
        <w:keepNext w:val="0"/>
        <w:keepLines w:val="0"/>
        <w:pageBreakBefore w:val="0"/>
        <w:widowControl w:val="0"/>
        <w:kinsoku/>
        <w:wordWrap/>
        <w:overflowPunct/>
        <w:topLinePunct w:val="0"/>
        <w:autoSpaceDE/>
        <w:autoSpaceDN/>
        <w:bidi w:val="0"/>
        <w:adjustRightInd/>
        <w:snapToGrid/>
        <w:spacing w:line="568" w:lineRule="exact"/>
        <w:ind w:firstLine="640"/>
        <w:textAlignment w:val="auto"/>
        <w:rPr>
          <w:rFonts w:hint="eastAsia"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val="en-US" w:eastAsia="zh-CN" w:bidi="ar-SA"/>
        </w:rPr>
        <w:t>2.</w:t>
      </w:r>
      <w:r>
        <w:rPr>
          <w:rFonts w:hint="eastAsia" w:eastAsia="仿宋_GB2312"/>
          <w:bCs/>
          <w:sz w:val="32"/>
          <w:szCs w:val="32"/>
        </w:rPr>
        <w:t>指导协调各乡镇、各部门推进扫黑除恶、社会治安重点地区和突出治安问题排查整治、社会治安防控体系建设。协调推动重点领域、行业、物品安全管理</w:t>
      </w:r>
      <w:r>
        <w:rPr>
          <w:rFonts w:hint="eastAsia" w:ascii="仿宋_GB2312" w:hAnsi="楷体_GB2312" w:eastAsia="仿宋_GB2312" w:cs="楷体_GB2312"/>
          <w:kern w:val="2"/>
          <w:sz w:val="32"/>
          <w:szCs w:val="32"/>
          <w:lang w:eastAsia="zh-CN" w:bidi="ar-SA"/>
        </w:rPr>
        <w:t>。</w:t>
      </w:r>
    </w:p>
    <w:p>
      <w:pPr>
        <w:pStyle w:val="37"/>
        <w:keepNext w:val="0"/>
        <w:keepLines w:val="0"/>
        <w:pageBreakBefore w:val="0"/>
        <w:widowControl w:val="0"/>
        <w:kinsoku/>
        <w:wordWrap/>
        <w:overflowPunct/>
        <w:topLinePunct w:val="0"/>
        <w:autoSpaceDE/>
        <w:autoSpaceDN/>
        <w:bidi w:val="0"/>
        <w:adjustRightInd/>
        <w:snapToGrid/>
        <w:spacing w:line="568" w:lineRule="exact"/>
        <w:ind w:firstLine="640"/>
        <w:textAlignment w:val="auto"/>
        <w:rPr>
          <w:rFonts w:hint="eastAsia"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val="en-US" w:eastAsia="zh-CN" w:bidi="ar-SA"/>
        </w:rPr>
        <w:t>3.</w:t>
      </w:r>
      <w:r>
        <w:rPr>
          <w:rFonts w:hint="eastAsia" w:eastAsia="仿宋_GB2312"/>
          <w:bCs/>
          <w:sz w:val="32"/>
          <w:szCs w:val="32"/>
        </w:rPr>
        <w:t>指导推动全县政法系统党的建设和政法队伍建设，推动政法队伍纪律作风建设和廉政建设，负责组织开展机关和所属单位及政法队伍教育培训工作。指导政法系统人才队伍建设</w:t>
      </w:r>
      <w:r>
        <w:rPr>
          <w:rFonts w:hint="eastAsia" w:ascii="仿宋_GB2312" w:hAnsi="楷体_GB2312" w:eastAsia="仿宋_GB2312" w:cs="楷体_GB2312"/>
          <w:kern w:val="2"/>
          <w:sz w:val="32"/>
          <w:szCs w:val="32"/>
          <w:lang w:eastAsia="zh-CN" w:bidi="ar-SA"/>
        </w:rPr>
        <w:t>。</w:t>
      </w:r>
    </w:p>
    <w:p>
      <w:pPr>
        <w:pStyle w:val="37"/>
        <w:keepNext w:val="0"/>
        <w:keepLines w:val="0"/>
        <w:pageBreakBefore w:val="0"/>
        <w:widowControl w:val="0"/>
        <w:kinsoku/>
        <w:wordWrap/>
        <w:overflowPunct/>
        <w:topLinePunct w:val="0"/>
        <w:autoSpaceDE/>
        <w:autoSpaceDN/>
        <w:bidi w:val="0"/>
        <w:adjustRightInd/>
        <w:snapToGrid/>
        <w:spacing w:line="568" w:lineRule="exact"/>
        <w:ind w:firstLine="640"/>
        <w:textAlignment w:val="auto"/>
        <w:rPr>
          <w:rFonts w:hint="eastAsia" w:ascii="仿宋_GB2312" w:hAnsi="楷体_GB2312" w:eastAsia="仿宋_GB2312" w:cs="楷体_GB2312"/>
          <w:kern w:val="2"/>
          <w:sz w:val="32"/>
          <w:szCs w:val="32"/>
          <w:lang w:val="en-US" w:eastAsia="zh-CN" w:bidi="ar-SA"/>
        </w:rPr>
      </w:pPr>
      <w:r>
        <w:rPr>
          <w:rFonts w:hint="eastAsia" w:ascii="仿宋_GB2312" w:hAnsi="楷体_GB2312" w:eastAsia="仿宋_GB2312" w:cs="楷体_GB2312"/>
          <w:kern w:val="2"/>
          <w:sz w:val="32"/>
          <w:szCs w:val="32"/>
          <w:lang w:val="en-US" w:eastAsia="zh-CN" w:bidi="ar-SA"/>
        </w:rPr>
        <w:t>4.继续做好县委县政府交办的各项工作。</w:t>
      </w:r>
    </w:p>
    <w:p>
      <w:pPr>
        <w:pStyle w:val="37"/>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textAlignment w:val="auto"/>
        <w:rPr>
          <w:rFonts w:hint="eastAsia" w:ascii="黑体" w:hAnsi="宋体" w:eastAsia="黑体"/>
          <w:color w:val="auto"/>
          <w:highlight w:val="none"/>
          <w:lang w:val="en-US" w:eastAsia="zh-CN"/>
        </w:rPr>
      </w:pPr>
      <w:r>
        <w:rPr>
          <w:rFonts w:hint="eastAsia" w:ascii="黑体" w:hAnsi="宋体" w:eastAsia="黑体"/>
          <w:color w:val="auto"/>
          <w:highlight w:val="none"/>
        </w:rPr>
        <w:t>二、</w:t>
      </w:r>
      <w:r>
        <w:rPr>
          <w:rFonts w:hint="eastAsia" w:ascii="黑体" w:hAnsi="宋体" w:eastAsia="黑体"/>
          <w:color w:val="auto"/>
          <w:highlight w:val="none"/>
          <w:lang w:val="en-US" w:eastAsia="zh-CN"/>
        </w:rPr>
        <w:t>预算执行情况</w:t>
      </w:r>
    </w:p>
    <w:p>
      <w:pPr>
        <w:spacing w:line="600" w:lineRule="exact"/>
        <w:ind w:firstLine="640" w:firstLineChars="200"/>
        <w:rPr>
          <w:rFonts w:ascii="仿宋_GB2312" w:hAnsi="仿宋" w:eastAsia="仿宋_GB2312"/>
          <w:color w:val="000000" w:themeColor="text1"/>
          <w:sz w:val="32"/>
          <w:szCs w:val="32"/>
        </w:rPr>
      </w:pPr>
      <w:r>
        <w:rPr>
          <w:rFonts w:hint="eastAsia" w:ascii="仿宋" w:hAnsi="仿宋" w:eastAsia="仿宋"/>
          <w:color w:val="000000"/>
          <w:sz w:val="32"/>
          <w:szCs w:val="32"/>
        </w:rPr>
        <w:t>2021年一般公共预算财政拨款支出365.86万元，主要用于以下方面:公共安全支出303.93万元，占83.07%；社会保障和就业支出27.03万元，占7.39%；卫生健康支出13.81万元，占3.77%；农林水支出0.33万元，占0.09%；住房保障支出20.75万元，占5.68%。</w:t>
      </w:r>
    </w:p>
    <w:p>
      <w:pPr>
        <w:pStyle w:val="37"/>
        <w:keepNext w:val="0"/>
        <w:keepLines w:val="0"/>
        <w:pageBreakBefore w:val="0"/>
        <w:widowControl w:val="0"/>
        <w:kinsoku/>
        <w:wordWrap/>
        <w:overflowPunct/>
        <w:topLinePunct w:val="0"/>
        <w:autoSpaceDE/>
        <w:autoSpaceDN/>
        <w:bidi w:val="0"/>
        <w:adjustRightInd w:val="0"/>
        <w:snapToGrid w:val="0"/>
        <w:spacing w:line="568"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三、目标实现情况</w:t>
      </w:r>
    </w:p>
    <w:p>
      <w:pPr>
        <w:pStyle w:val="7"/>
        <w:pageBreakBefore w:val="0"/>
        <w:widowControl w:val="0"/>
        <w:kinsoku/>
        <w:wordWrap/>
        <w:overflowPunct/>
        <w:topLinePunct w:val="0"/>
        <w:autoSpaceDE/>
        <w:autoSpaceDN/>
        <w:bidi w:val="0"/>
        <w:adjustRightInd/>
        <w:snapToGrid/>
        <w:spacing w:line="576" w:lineRule="exact"/>
        <w:textAlignment w:val="auto"/>
        <w:rPr>
          <w:rFonts w:ascii="仿宋_GB2312" w:eastAsia="仿宋_GB2312"/>
          <w:sz w:val="32"/>
          <w:szCs w:val="32"/>
          <w:lang w:eastAsia="zh-CN"/>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365.86</w:t>
      </w:r>
      <w:r>
        <w:rPr>
          <w:rFonts w:ascii="仿宋" w:hAnsi="仿宋" w:eastAsia="仿宋"/>
          <w:color w:val="000000"/>
          <w:sz w:val="32"/>
          <w:szCs w:val="32"/>
        </w:rPr>
        <w:t>万元，其中：基本支出</w:t>
      </w:r>
      <w:r>
        <w:rPr>
          <w:rFonts w:hint="eastAsia" w:ascii="仿宋" w:hAnsi="仿宋" w:eastAsia="仿宋"/>
          <w:color w:val="000000"/>
          <w:sz w:val="32"/>
          <w:szCs w:val="32"/>
        </w:rPr>
        <w:t>302.13</w:t>
      </w:r>
      <w:r>
        <w:rPr>
          <w:rFonts w:ascii="仿宋" w:hAnsi="仿宋" w:eastAsia="仿宋"/>
          <w:color w:val="000000"/>
          <w:sz w:val="32"/>
          <w:szCs w:val="32"/>
        </w:rPr>
        <w:t>万元，占</w:t>
      </w:r>
      <w:r>
        <w:rPr>
          <w:rFonts w:hint="eastAsia" w:ascii="仿宋" w:hAnsi="仿宋" w:eastAsia="仿宋"/>
          <w:color w:val="000000"/>
          <w:sz w:val="32"/>
          <w:szCs w:val="32"/>
        </w:rPr>
        <w:t>82.58</w:t>
      </w:r>
      <w:r>
        <w:rPr>
          <w:rFonts w:ascii="仿宋" w:hAnsi="仿宋" w:eastAsia="仿宋"/>
          <w:color w:val="000000"/>
          <w:sz w:val="32"/>
          <w:szCs w:val="32"/>
        </w:rPr>
        <w:t>%；项目支出</w:t>
      </w:r>
      <w:r>
        <w:rPr>
          <w:rFonts w:hint="eastAsia" w:ascii="仿宋" w:hAnsi="仿宋" w:eastAsia="仿宋"/>
          <w:color w:val="000000"/>
          <w:sz w:val="32"/>
          <w:szCs w:val="32"/>
        </w:rPr>
        <w:t>63.73</w:t>
      </w:r>
      <w:r>
        <w:rPr>
          <w:rFonts w:ascii="仿宋" w:hAnsi="仿宋" w:eastAsia="仿宋"/>
          <w:color w:val="000000"/>
          <w:sz w:val="32"/>
          <w:szCs w:val="32"/>
        </w:rPr>
        <w:t>万元，占</w:t>
      </w:r>
      <w:r>
        <w:rPr>
          <w:rFonts w:hint="eastAsia" w:ascii="仿宋" w:hAnsi="仿宋" w:eastAsia="仿宋"/>
          <w:color w:val="000000"/>
          <w:sz w:val="32"/>
          <w:szCs w:val="32"/>
        </w:rPr>
        <w:t>17.42</w:t>
      </w:r>
      <w:r>
        <w:rPr>
          <w:rFonts w:ascii="仿宋" w:hAnsi="仿宋" w:eastAsia="仿宋"/>
          <w:color w:val="000000"/>
          <w:sz w:val="32"/>
          <w:szCs w:val="32"/>
        </w:rPr>
        <w:t>%；上缴上级支出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%；经营支出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%；对附属单位补助支出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w:t>
      </w:r>
    </w:p>
    <w:p>
      <w:pPr>
        <w:pStyle w:val="37"/>
        <w:keepNext w:val="0"/>
        <w:keepLines w:val="0"/>
        <w:pageBreakBefore w:val="0"/>
        <w:widowControl w:val="0"/>
        <w:numPr>
          <w:ilvl w:val="0"/>
          <w:numId w:val="0"/>
        </w:numPr>
        <w:kinsoku/>
        <w:wordWrap/>
        <w:overflowPunct/>
        <w:topLinePunct w:val="0"/>
        <w:autoSpaceDE/>
        <w:autoSpaceDN/>
        <w:bidi w:val="0"/>
        <w:spacing w:line="568" w:lineRule="exact"/>
        <w:ind w:firstLine="640" w:firstLineChars="200"/>
        <w:textAlignment w:val="auto"/>
        <w:rPr>
          <w:rFonts w:hint="eastAsia" w:ascii="黑体" w:hAnsi="宋体" w:eastAsia="黑体" w:cs="Times New Roman"/>
          <w:lang w:val="en-US" w:eastAsia="zh-CN"/>
        </w:rPr>
      </w:pPr>
      <w:r>
        <w:rPr>
          <w:rFonts w:hint="eastAsia" w:ascii="黑体" w:hAnsi="宋体" w:eastAsia="黑体" w:cs="Times New Roman"/>
          <w:lang w:val="en-US" w:eastAsia="zh-CN"/>
        </w:rPr>
        <w:t>四、存在的主要问题</w:t>
      </w:r>
    </w:p>
    <w:p>
      <w:pPr>
        <w:pStyle w:val="37"/>
        <w:keepNext w:val="0"/>
        <w:keepLines w:val="0"/>
        <w:pageBreakBefore w:val="0"/>
        <w:widowControl w:val="0"/>
        <w:kinsoku/>
        <w:wordWrap/>
        <w:overflowPunct/>
        <w:topLinePunct w:val="0"/>
        <w:autoSpaceDE/>
        <w:autoSpaceDN/>
        <w:bidi w:val="0"/>
        <w:adjustRightInd/>
        <w:snapToGrid w:val="0"/>
        <w:spacing w:line="568" w:lineRule="exact"/>
        <w:ind w:firstLine="640" w:firstLineChars="200"/>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部门支出预算和绩效评价工作还存在一些具体问题，一是单位对部门支出绩效评价工作的认识理解不够，年初预设的绩效指标不合适、指标较粗；二是公共管理无法用量化指标来进行考评；三是单位在预算编制时经济科目使用不当，造成预算执行时存在跨科目执行的情况。</w:t>
      </w:r>
    </w:p>
    <w:p>
      <w:pPr>
        <w:pStyle w:val="37"/>
        <w:keepNext w:val="0"/>
        <w:keepLines w:val="0"/>
        <w:pageBreakBefore w:val="0"/>
        <w:widowControl w:val="0"/>
        <w:kinsoku/>
        <w:wordWrap/>
        <w:overflowPunct/>
        <w:topLinePunct w:val="0"/>
        <w:autoSpaceDE/>
        <w:autoSpaceDN/>
        <w:bidi w:val="0"/>
        <w:adjustRightInd/>
        <w:snapToGrid w:val="0"/>
        <w:spacing w:line="568" w:lineRule="exact"/>
        <w:ind w:firstLine="640" w:firstLineChars="200"/>
        <w:textAlignment w:val="auto"/>
        <w:outlineLvl w:val="9"/>
        <w:rPr>
          <w:rFonts w:hint="eastAsia" w:ascii="黑体" w:hAnsi="宋体" w:eastAsia="黑体"/>
          <w:color w:val="auto"/>
          <w:szCs w:val="21"/>
          <w:highlight w:val="none"/>
          <w:lang w:eastAsia="zh-CN"/>
        </w:rPr>
      </w:pPr>
      <w:r>
        <w:rPr>
          <w:rFonts w:hint="eastAsia" w:ascii="仿宋_GB2312" w:hAnsi="仿宋_GB2312"/>
          <w:kern w:val="0"/>
          <w:sz w:val="32"/>
          <w:szCs w:val="32"/>
          <w:lang w:val="en-US" w:eastAsia="zh-CN"/>
        </w:rPr>
        <w:t xml:space="preserve">    </w:t>
      </w:r>
      <w:r>
        <w:rPr>
          <w:rFonts w:hint="eastAsia" w:ascii="黑体" w:hAnsi="宋体" w:eastAsia="黑体"/>
          <w:color w:val="auto"/>
          <w:szCs w:val="21"/>
          <w:highlight w:val="none"/>
          <w:lang w:val="en-US" w:eastAsia="zh-CN"/>
        </w:rPr>
        <w:t>五</w:t>
      </w:r>
      <w:r>
        <w:rPr>
          <w:rFonts w:hint="eastAsia" w:ascii="黑体" w:hAnsi="宋体" w:eastAsia="黑体"/>
          <w:color w:val="auto"/>
          <w:szCs w:val="21"/>
          <w:highlight w:val="none"/>
        </w:rPr>
        <w:t>、</w:t>
      </w:r>
      <w:r>
        <w:rPr>
          <w:rFonts w:hint="eastAsia" w:ascii="黑体" w:hAnsi="宋体" w:eastAsia="黑体"/>
          <w:color w:val="auto"/>
          <w:szCs w:val="21"/>
          <w:highlight w:val="none"/>
          <w:lang w:val="en-US" w:eastAsia="zh-CN"/>
        </w:rPr>
        <w:t>整改措施及建议</w:t>
      </w:r>
    </w:p>
    <w:p>
      <w:pPr>
        <w:pStyle w:val="37"/>
        <w:keepNext w:val="0"/>
        <w:keepLines w:val="0"/>
        <w:pageBreakBefore w:val="0"/>
        <w:widowControl w:val="0"/>
        <w:kinsoku/>
        <w:wordWrap/>
        <w:overflowPunct/>
        <w:topLinePunct w:val="0"/>
        <w:autoSpaceDE/>
        <w:autoSpaceDN/>
        <w:bidi w:val="0"/>
        <w:spacing w:line="568" w:lineRule="exact"/>
        <w:ind w:firstLine="640" w:firstLineChars="200"/>
        <w:textAlignment w:val="auto"/>
        <w:rPr>
          <w:rFonts w:ascii="黑体" w:hAnsi="黑体" w:eastAsia="黑体"/>
          <w:sz w:val="30"/>
          <w:szCs w:val="30"/>
        </w:rPr>
      </w:pPr>
      <w:r>
        <w:rPr>
          <w:rFonts w:hint="eastAsia" w:ascii="仿宋_GB2312" w:hAnsi="仿宋_GB2312" w:eastAsia="仿宋_GB2312" w:cs="仿宋_GB2312"/>
          <w:kern w:val="0"/>
          <w:sz w:val="32"/>
          <w:szCs w:val="32"/>
        </w:rPr>
        <w:t>绩效评价是深入贯彻落实新《预算法》要求的各项重要内容，建议财政加强对绩效评价工作的培训和指导，进一步优化绩效考核指标体系，做到合理性与可操作性的有机统一。</w:t>
      </w:r>
    </w:p>
    <w:p>
      <w:pPr>
        <w:pStyle w:val="52"/>
        <w:keepNext w:val="0"/>
        <w:keepLines w:val="0"/>
        <w:pageBreakBefore w:val="0"/>
        <w:widowControl w:val="0"/>
        <w:kinsoku/>
        <w:wordWrap/>
        <w:overflowPunct/>
        <w:topLinePunct w:val="0"/>
        <w:autoSpaceDE/>
        <w:autoSpaceDN/>
        <w:bidi w:val="0"/>
        <w:adjustRightInd/>
        <w:snapToGrid/>
        <w:spacing w:line="568" w:lineRule="exact"/>
        <w:textAlignment w:val="auto"/>
        <w:rPr>
          <w:rFonts w:hint="eastAsia" w:ascii="仿宋_GB2312" w:hAnsi="宋体" w:eastAsia="仿宋_GB2312"/>
          <w:color w:val="000000"/>
          <w:sz w:val="32"/>
          <w:szCs w:val="32"/>
          <w:shd w:val="clear" w:color="auto" w:fill="FFFFFF"/>
        </w:rPr>
      </w:pPr>
    </w:p>
    <w:p>
      <w:pPr>
        <w:pStyle w:val="37"/>
        <w:keepNext w:val="0"/>
        <w:keepLines w:val="0"/>
        <w:pageBreakBefore w:val="0"/>
        <w:widowControl w:val="0"/>
        <w:kinsoku/>
        <w:wordWrap/>
        <w:overflowPunct/>
        <w:topLinePunct w:val="0"/>
        <w:autoSpaceDE/>
        <w:autoSpaceDN/>
        <w:bidi w:val="0"/>
        <w:spacing w:line="568" w:lineRule="exact"/>
        <w:ind w:right="480"/>
        <w:jc w:val="center"/>
        <w:textAlignment w:val="auto"/>
        <w:rPr>
          <w:rFonts w:hint="eastAsia"/>
          <w:lang w:val="en-US" w:eastAsia="zh-CN"/>
        </w:rPr>
      </w:pPr>
      <w:r>
        <w:rPr>
          <w:rFonts w:hint="eastAsia"/>
          <w:lang w:val="en-US" w:eastAsia="zh-CN"/>
        </w:rPr>
        <w:t xml:space="preserve">                          中共茂县县委政法委员会</w:t>
      </w:r>
    </w:p>
    <w:p>
      <w:pPr>
        <w:pStyle w:val="37"/>
        <w:keepNext w:val="0"/>
        <w:keepLines w:val="0"/>
        <w:pageBreakBefore w:val="0"/>
        <w:widowControl w:val="0"/>
        <w:kinsoku/>
        <w:wordWrap/>
        <w:overflowPunct/>
        <w:topLinePunct w:val="0"/>
        <w:autoSpaceDE/>
        <w:autoSpaceDN/>
        <w:bidi w:val="0"/>
        <w:spacing w:line="568" w:lineRule="exact"/>
        <w:ind w:right="480"/>
        <w:jc w:val="right"/>
        <w:textAlignment w:val="auto"/>
      </w:pPr>
      <w:r>
        <w:rPr>
          <w:rFonts w:hint="eastAsia"/>
        </w:rPr>
        <w:t>2021年</w:t>
      </w:r>
      <w:r>
        <w:rPr>
          <w:rFonts w:hint="eastAsia"/>
          <w:lang w:val="en-US" w:eastAsia="zh-CN"/>
        </w:rPr>
        <w:t>10</w:t>
      </w:r>
      <w:r>
        <w:rPr>
          <w:rFonts w:hint="eastAsia"/>
        </w:rPr>
        <w:t>月</w:t>
      </w:r>
      <w:r>
        <w:rPr>
          <w:rFonts w:hint="eastAsia"/>
          <w:lang w:val="en-US" w:eastAsia="zh-CN"/>
        </w:rPr>
        <w:t>15</w:t>
      </w:r>
      <w:r>
        <w:rPr>
          <w:rFonts w:hint="eastAsia"/>
        </w:rPr>
        <w:t>日</w:t>
      </w:r>
    </w:p>
    <w:p>
      <w:pPr>
        <w:pageBreakBefore w:val="0"/>
        <w:widowControl/>
        <w:kinsoku/>
        <w:wordWrap/>
        <w:overflowPunct/>
        <w:topLinePunct w:val="0"/>
        <w:autoSpaceDE/>
        <w:autoSpaceDN/>
        <w:bidi w:val="0"/>
        <w:spacing w:line="568" w:lineRule="exact"/>
        <w:jc w:val="left"/>
        <w:textAlignment w:val="auto"/>
        <w:rPr>
          <w:rFonts w:ascii="仿宋_GB2312" w:eastAsia="仿宋_GB2312"/>
          <w:b/>
          <w:color w:val="000000"/>
          <w:sz w:val="32"/>
          <w:szCs w:val="32"/>
        </w:rPr>
      </w:pPr>
      <w:r>
        <w:rPr>
          <w:rFonts w:ascii="仿宋_GB2312" w:eastAsia="仿宋_GB2312"/>
          <w:b/>
          <w:color w:val="000000"/>
          <w:sz w:val="32"/>
          <w:szCs w:val="32"/>
        </w:rPr>
        <w:br w:type="page"/>
      </w:r>
    </w:p>
    <w:p>
      <w:pPr>
        <w:pStyle w:val="4"/>
        <w:pageBreakBefore w:val="0"/>
        <w:kinsoku/>
        <w:wordWrap/>
        <w:overflowPunct/>
        <w:topLinePunct w:val="0"/>
        <w:autoSpaceDE/>
        <w:autoSpaceDN/>
        <w:bidi w:val="0"/>
        <w:spacing w:before="0" w:after="0" w:line="568" w:lineRule="exact"/>
        <w:jc w:val="center"/>
        <w:textAlignment w:val="auto"/>
        <w:rPr>
          <w:rFonts w:ascii="黑体" w:hAnsi="黑体" w:eastAsia="黑体" w:cs="黑体"/>
        </w:rPr>
      </w:pPr>
      <w:bookmarkStart w:id="69" w:name="_Toc111208509"/>
      <w:bookmarkStart w:id="70" w:name="_Toc15377225"/>
      <w:bookmarkStart w:id="71" w:name="_Toc5357"/>
      <w:r>
        <w:rPr>
          <w:rFonts w:hint="eastAsia" w:ascii="黑体" w:hAnsi="黑体" w:eastAsia="黑体" w:cs="黑体"/>
        </w:rPr>
        <w:t>第三部分 名词解释</w:t>
      </w:r>
      <w:bookmarkEnd w:id="69"/>
      <w:bookmarkEnd w:id="70"/>
      <w:bookmarkEnd w:id="71"/>
    </w:p>
    <w:p>
      <w:pPr>
        <w:pageBreakBefore w:val="0"/>
        <w:kinsoku/>
        <w:wordWrap/>
        <w:overflowPunct/>
        <w:topLinePunct w:val="0"/>
        <w:autoSpaceDE/>
        <w:autoSpaceDN/>
        <w:bidi w:val="0"/>
        <w:spacing w:line="568" w:lineRule="exact"/>
        <w:ind w:firstLine="640"/>
        <w:textAlignment w:val="auto"/>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pageBreakBefore w:val="0"/>
        <w:kinsoku/>
        <w:wordWrap/>
        <w:overflowPunct/>
        <w:topLinePunct w:val="0"/>
        <w:autoSpaceDE/>
        <w:autoSpaceDN/>
        <w:bidi w:val="0"/>
        <w:spacing w:line="568" w:lineRule="exact"/>
        <w:ind w:firstLine="640"/>
        <w:textAlignment w:val="auto"/>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pageBreakBefore w:val="0"/>
        <w:kinsoku/>
        <w:wordWrap/>
        <w:overflowPunct/>
        <w:topLinePunct w:val="0"/>
        <w:autoSpaceDE/>
        <w:autoSpaceDN/>
        <w:bidi w:val="0"/>
        <w:spacing w:line="568" w:lineRule="exact"/>
        <w:ind w:firstLine="640"/>
        <w:textAlignment w:val="auto"/>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pageBreakBefore w:val="0"/>
        <w:kinsoku/>
        <w:wordWrap/>
        <w:overflowPunct/>
        <w:topLinePunct w:val="0"/>
        <w:autoSpaceDE/>
        <w:autoSpaceDN/>
        <w:bidi w:val="0"/>
        <w:spacing w:line="568" w:lineRule="exact"/>
        <w:ind w:firstLine="640"/>
        <w:textAlignment w:val="auto"/>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pageBreakBefore w:val="0"/>
        <w:kinsoku/>
        <w:wordWrap/>
        <w:overflowPunct/>
        <w:topLinePunct w:val="0"/>
        <w:autoSpaceDE/>
        <w:autoSpaceDN/>
        <w:bidi w:val="0"/>
        <w:spacing w:line="568" w:lineRule="exact"/>
        <w:ind w:firstLine="640"/>
        <w:textAlignment w:val="auto"/>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pageBreakBefore w:val="0"/>
        <w:kinsoku/>
        <w:wordWrap/>
        <w:overflowPunct/>
        <w:topLinePunct w:val="0"/>
        <w:autoSpaceDE/>
        <w:autoSpaceDN/>
        <w:bidi w:val="0"/>
        <w:spacing w:line="568" w:lineRule="exact"/>
        <w:ind w:firstLine="640"/>
        <w:textAlignment w:val="auto"/>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pageBreakBefore w:val="0"/>
        <w:kinsoku/>
        <w:wordWrap/>
        <w:overflowPunct/>
        <w:topLinePunct w:val="0"/>
        <w:autoSpaceDE/>
        <w:autoSpaceDN/>
        <w:bidi w:val="0"/>
        <w:spacing w:line="568" w:lineRule="exact"/>
        <w:ind w:firstLine="640"/>
        <w:textAlignment w:val="auto"/>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pageBreakBefore w:val="0"/>
        <w:kinsoku/>
        <w:wordWrap/>
        <w:overflowPunct/>
        <w:topLinePunct w:val="0"/>
        <w:autoSpaceDE/>
        <w:autoSpaceDN/>
        <w:bidi w:val="0"/>
        <w:spacing w:line="568" w:lineRule="exact"/>
        <w:ind w:firstLine="640"/>
        <w:textAlignment w:val="auto"/>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pageBreakBefore w:val="0"/>
        <w:kinsoku/>
        <w:wordWrap/>
        <w:overflowPunct/>
        <w:topLinePunct w:val="0"/>
        <w:autoSpaceDE/>
        <w:autoSpaceDN/>
        <w:bidi w:val="0"/>
        <w:spacing w:line="568"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9.公共安全支出（204）公安（20402）行政运行（2040201）：反映行政单位（包括实行公务员管理的事业单位）的基本支出。</w:t>
      </w:r>
    </w:p>
    <w:p>
      <w:pPr>
        <w:pageBreakBefore w:val="0"/>
        <w:kinsoku/>
        <w:wordWrap/>
        <w:overflowPunct/>
        <w:topLinePunct w:val="0"/>
        <w:autoSpaceDE/>
        <w:autoSpaceDN/>
        <w:bidi w:val="0"/>
        <w:spacing w:line="568"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10.公共安全支出（204）公安（20402）一般行政管理事务（2040202）：反映行政单位（包括实行公务员管理的事业单位）未单独设置项级科目的其他项目支出。</w:t>
      </w:r>
    </w:p>
    <w:p>
      <w:pPr>
        <w:pageBreakBefore w:val="0"/>
        <w:kinsoku/>
        <w:wordWrap/>
        <w:overflowPunct/>
        <w:topLinePunct w:val="0"/>
        <w:autoSpaceDE/>
        <w:autoSpaceDN/>
        <w:bidi w:val="0"/>
        <w:spacing w:line="568"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11.公共安全支出（204）公安（20402）其他公安支出（2040299）：反映除上述项目以外其他用于公安方面的支出。</w:t>
      </w:r>
    </w:p>
    <w:p>
      <w:pPr>
        <w:pageBreakBefore w:val="0"/>
        <w:kinsoku/>
        <w:wordWrap/>
        <w:overflowPunct/>
        <w:topLinePunct w:val="0"/>
        <w:autoSpaceDE/>
        <w:autoSpaceDN/>
        <w:bidi w:val="0"/>
        <w:spacing w:line="568"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12.社会保障和就业支出（208）行政事业单位养老支出（20805）机关事业单位基本养老保险缴费支出（2080505）：反映机关事业单位实施养老保险制度由单位缴纳的基本养老保险费支出。</w:t>
      </w:r>
    </w:p>
    <w:p>
      <w:pPr>
        <w:pageBreakBefore w:val="0"/>
        <w:kinsoku/>
        <w:wordWrap/>
        <w:overflowPunct/>
        <w:topLinePunct w:val="0"/>
        <w:autoSpaceDE/>
        <w:autoSpaceDN/>
        <w:bidi w:val="0"/>
        <w:spacing w:line="568"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13.社会保障和就业支出（208）行政事业单位养老支出（20805）机关事业单位职业年金缴费支出（2080506）：反映机关事业单位实施养老保险制度由单位实际缴纳的职业年金支出。</w:t>
      </w:r>
    </w:p>
    <w:p>
      <w:pPr>
        <w:pageBreakBefore w:val="0"/>
        <w:kinsoku/>
        <w:wordWrap/>
        <w:overflowPunct/>
        <w:topLinePunct w:val="0"/>
        <w:autoSpaceDE/>
        <w:autoSpaceDN/>
        <w:bidi w:val="0"/>
        <w:spacing w:line="568"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14.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pageBreakBefore w:val="0"/>
        <w:kinsoku/>
        <w:wordWrap/>
        <w:overflowPunct/>
        <w:topLinePunct w:val="0"/>
        <w:autoSpaceDE/>
        <w:autoSpaceDN/>
        <w:bidi w:val="0"/>
        <w:spacing w:line="568"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15.农林水支出（213）扶贫（21305）其他扶贫支出（2130599）：反映除上述项目以外其他用于扶贫方面的支出。</w:t>
      </w:r>
    </w:p>
    <w:p>
      <w:pPr>
        <w:pageBreakBefore w:val="0"/>
        <w:kinsoku/>
        <w:wordWrap/>
        <w:overflowPunct/>
        <w:topLinePunct w:val="0"/>
        <w:autoSpaceDE/>
        <w:autoSpaceDN/>
        <w:bidi w:val="0"/>
        <w:spacing w:line="568"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16.住房保障支出（221）住房改革支出（22102）住房公积金（2210201）：反映行政事业单位按人力资源和社会保障部、财政部规定的基本工资和津贴补贴以及规定比例为职工缴纳的住房公积金。</w:t>
      </w:r>
    </w:p>
    <w:p>
      <w:pPr>
        <w:pageBreakBefore w:val="0"/>
        <w:kinsoku/>
        <w:wordWrap/>
        <w:overflowPunct/>
        <w:topLinePunct w:val="0"/>
        <w:autoSpaceDE/>
        <w:autoSpaceDN/>
        <w:bidi w:val="0"/>
        <w:spacing w:line="568"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17.基本支出：指为保障机构正常运转、完成日常工作任务而发生的人员支出和公用支出。</w:t>
      </w:r>
    </w:p>
    <w:p>
      <w:pPr>
        <w:pageBreakBefore w:val="0"/>
        <w:kinsoku/>
        <w:wordWrap/>
        <w:overflowPunct/>
        <w:topLinePunct w:val="0"/>
        <w:autoSpaceDE/>
        <w:autoSpaceDN/>
        <w:bidi w:val="0"/>
        <w:spacing w:line="568"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 xml:space="preserve">25.项目支出：指在基本支出之外为完成特定行政任务和事业发展目标所发生的支出。 </w:t>
      </w:r>
    </w:p>
    <w:p>
      <w:pPr>
        <w:pageBreakBefore w:val="0"/>
        <w:kinsoku/>
        <w:wordWrap/>
        <w:overflowPunct/>
        <w:topLinePunct w:val="0"/>
        <w:autoSpaceDE/>
        <w:autoSpaceDN/>
        <w:bidi w:val="0"/>
        <w:spacing w:line="568"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18.经营支出：指事业单位在专业业务活动及其辅助活动之外开展非独立核算经营活动发生的支出。</w:t>
      </w:r>
    </w:p>
    <w:p>
      <w:pPr>
        <w:pageBreakBefore w:val="0"/>
        <w:kinsoku/>
        <w:wordWrap/>
        <w:overflowPunct/>
        <w:topLinePunct w:val="0"/>
        <w:autoSpaceDE/>
        <w:autoSpaceDN/>
        <w:bidi w:val="0"/>
        <w:spacing w:line="568"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wordWrap/>
        <w:overflowPunct/>
        <w:topLinePunct w:val="0"/>
        <w:autoSpaceDE/>
        <w:autoSpaceDN/>
        <w:bidi w:val="0"/>
        <w:spacing w:line="568"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autoSpaceDE/>
        <w:autoSpaceDN/>
        <w:bidi w:val="0"/>
        <w:spacing w:line="568" w:lineRule="exact"/>
        <w:ind w:firstLine="640"/>
        <w:textAlignment w:val="auto"/>
        <w:rPr>
          <w:rFonts w:ascii="仿宋_GB2312" w:eastAsia="仿宋_GB2312" w:cs="黑体"/>
          <w:sz w:val="32"/>
          <w:szCs w:val="32"/>
        </w:rPr>
      </w:pPr>
      <w:r>
        <w:rPr>
          <w:rFonts w:hint="eastAsia" w:ascii="仿宋" w:hAnsi="仿宋" w:eastAsia="仿宋"/>
          <w:color w:val="000000"/>
          <w:sz w:val="32"/>
          <w:szCs w:val="32"/>
        </w:rPr>
        <w:t>21.财政应返还额度：为行政事业单位会计核算科目，用于核算实行国库集中支付的行政事业单位应收财政返还的资金额度。</w:t>
      </w:r>
    </w:p>
    <w:p>
      <w:pPr>
        <w:pageBreakBefore w:val="0"/>
        <w:widowControl/>
        <w:kinsoku/>
        <w:wordWrap/>
        <w:overflowPunct/>
        <w:topLinePunct w:val="0"/>
        <w:autoSpaceDE/>
        <w:autoSpaceDN/>
        <w:bidi w:val="0"/>
        <w:spacing w:line="568" w:lineRule="exact"/>
        <w:jc w:val="left"/>
        <w:textAlignment w:val="auto"/>
        <w:rPr>
          <w:rStyle w:val="30"/>
          <w:rFonts w:ascii="黑体" w:hAnsi="黑体" w:eastAsia="黑体"/>
        </w:rPr>
      </w:pPr>
      <w:r>
        <w:rPr>
          <w:rStyle w:val="30"/>
          <w:rFonts w:ascii="黑体" w:hAnsi="黑体" w:eastAsia="黑体"/>
        </w:rPr>
        <w:br w:type="page"/>
      </w:r>
    </w:p>
    <w:p>
      <w:pPr>
        <w:pStyle w:val="4"/>
        <w:pageBreakBefore w:val="0"/>
        <w:kinsoku/>
        <w:wordWrap/>
        <w:overflowPunct/>
        <w:topLinePunct w:val="0"/>
        <w:autoSpaceDE/>
        <w:autoSpaceDN/>
        <w:bidi w:val="0"/>
        <w:spacing w:before="0" w:after="0" w:line="568" w:lineRule="exact"/>
        <w:jc w:val="center"/>
        <w:textAlignment w:val="auto"/>
        <w:rPr>
          <w:rFonts w:ascii="黑体" w:hAnsi="黑体" w:eastAsia="黑体" w:cs="黑体"/>
        </w:rPr>
      </w:pPr>
      <w:bookmarkStart w:id="72" w:name="_Toc111208510"/>
      <w:bookmarkStart w:id="73" w:name="_Toc5168"/>
      <w:r>
        <w:rPr>
          <w:rFonts w:hint="eastAsia" w:ascii="黑体" w:hAnsi="黑体" w:eastAsia="黑体" w:cs="黑体"/>
        </w:rPr>
        <w:t>第四部分 附件</w:t>
      </w:r>
      <w:bookmarkEnd w:id="72"/>
      <w:bookmarkEnd w:id="73"/>
    </w:p>
    <w:p>
      <w:pPr>
        <w:pStyle w:val="32"/>
        <w:keepNext w:val="0"/>
        <w:keepLines w:val="0"/>
        <w:pageBreakBefore w:val="0"/>
        <w:widowControl/>
        <w:kinsoku/>
        <w:wordWrap/>
        <w:overflowPunct/>
        <w:topLinePunct w:val="0"/>
        <w:autoSpaceDE/>
        <w:autoSpaceDN/>
        <w:bidi w:val="0"/>
        <w:spacing w:line="568" w:lineRule="exact"/>
        <w:jc w:val="center"/>
        <w:textAlignment w:val="auto"/>
        <w:rPr>
          <w:rFonts w:hint="eastAsia" w:ascii="方正小标宋简体" w:hAnsi="宋体" w:eastAsia="方正小标宋简体"/>
          <w:sz w:val="44"/>
          <w:szCs w:val="44"/>
          <w:lang w:eastAsia="zh-CN"/>
        </w:rPr>
      </w:pPr>
      <w:r>
        <w:rPr>
          <w:rFonts w:ascii="方正小标宋简体" w:hAnsi="宋体" w:eastAsia="方正小标宋简体"/>
          <w:sz w:val="44"/>
          <w:szCs w:val="44"/>
        </w:rPr>
        <w:t>20</w:t>
      </w:r>
      <w:r>
        <w:rPr>
          <w:rFonts w:hint="eastAsia" w:ascii="方正小标宋简体" w:hAnsi="宋体" w:eastAsia="方正小标宋简体"/>
          <w:sz w:val="44"/>
          <w:szCs w:val="44"/>
          <w:lang w:val="en-US" w:eastAsia="zh-CN"/>
        </w:rPr>
        <w:t>21</w:t>
      </w:r>
      <w:r>
        <w:rPr>
          <w:rFonts w:hint="eastAsia" w:ascii="方正小标宋简体" w:hAnsi="宋体" w:eastAsia="方正小标宋简体"/>
          <w:sz w:val="44"/>
          <w:szCs w:val="44"/>
        </w:rPr>
        <w:t>年</w:t>
      </w:r>
      <w:r>
        <w:rPr>
          <w:rFonts w:hint="eastAsia" w:ascii="方正小标宋简体" w:hAnsi="宋体" w:eastAsia="方正小标宋简体"/>
          <w:sz w:val="44"/>
          <w:szCs w:val="44"/>
          <w:lang w:eastAsia="zh-CN"/>
        </w:rPr>
        <w:t>中共茂县县委政法委员会</w:t>
      </w:r>
    </w:p>
    <w:p>
      <w:pPr>
        <w:pStyle w:val="32"/>
        <w:keepNext w:val="0"/>
        <w:keepLines w:val="0"/>
        <w:pageBreakBefore w:val="0"/>
        <w:widowControl/>
        <w:kinsoku/>
        <w:wordWrap/>
        <w:overflowPunct/>
        <w:topLinePunct w:val="0"/>
        <w:autoSpaceDE/>
        <w:autoSpaceDN/>
        <w:bidi w:val="0"/>
        <w:spacing w:line="568" w:lineRule="exact"/>
        <w:jc w:val="center"/>
        <w:textAlignment w:val="auto"/>
        <w:rPr>
          <w:rFonts w:ascii="方正小标宋简体" w:hAnsi="宋体" w:eastAsia="方正小标宋简体"/>
          <w:sz w:val="44"/>
          <w:szCs w:val="44"/>
        </w:rPr>
      </w:pPr>
      <w:r>
        <w:rPr>
          <w:rFonts w:hint="eastAsia" w:ascii="方正小标宋简体" w:hAnsi="宋体" w:eastAsia="方正小标宋简体"/>
          <w:sz w:val="44"/>
          <w:szCs w:val="44"/>
        </w:rPr>
        <w:t>整体支出绩效报告</w:t>
      </w:r>
    </w:p>
    <w:p>
      <w:pPr>
        <w:pStyle w:val="32"/>
        <w:keepNext w:val="0"/>
        <w:keepLines w:val="0"/>
        <w:pageBreakBefore w:val="0"/>
        <w:widowControl/>
        <w:kinsoku/>
        <w:wordWrap/>
        <w:overflowPunct/>
        <w:topLinePunct w:val="0"/>
        <w:autoSpaceDE/>
        <w:autoSpaceDN/>
        <w:bidi w:val="0"/>
        <w:adjustRightInd w:val="0"/>
        <w:snapToGrid w:val="0"/>
        <w:spacing w:line="568" w:lineRule="exact"/>
        <w:ind w:firstLine="720"/>
        <w:jc w:val="left"/>
        <w:textAlignment w:val="auto"/>
        <w:rPr>
          <w:rFonts w:hint="eastAsia" w:ascii="仿宋_GB2312" w:hAnsi="宋体" w:eastAsia="黑体"/>
          <w:lang w:val="en-US" w:eastAsia="zh-CN"/>
        </w:rPr>
      </w:pPr>
      <w:r>
        <w:rPr>
          <w:rFonts w:hint="eastAsia" w:ascii="仿宋_GB2312" w:hAnsi="宋体" w:eastAsia="黑体"/>
          <w:lang w:val="en-US" w:eastAsia="zh-CN"/>
        </w:rPr>
        <w:t xml:space="preserve"> </w:t>
      </w:r>
    </w:p>
    <w:p>
      <w:pPr>
        <w:pStyle w:val="32"/>
        <w:keepNext w:val="0"/>
        <w:keepLines w:val="0"/>
        <w:pageBreakBefore w:val="0"/>
        <w:widowControl/>
        <w:kinsoku/>
        <w:wordWrap/>
        <w:overflowPunct/>
        <w:topLinePunct w:val="0"/>
        <w:autoSpaceDE/>
        <w:autoSpaceDN/>
        <w:bidi w:val="0"/>
        <w:adjustRightInd w:val="0"/>
        <w:snapToGrid w:val="0"/>
        <w:spacing w:line="568" w:lineRule="exact"/>
        <w:ind w:firstLine="720"/>
        <w:jc w:val="left"/>
        <w:textAlignment w:val="auto"/>
        <w:rPr>
          <w:rFonts w:ascii="黑体" w:hAnsi="宋体" w:eastAsia="黑体" w:cs="宋体"/>
          <w:color w:val="000000"/>
          <w:kern w:val="0"/>
          <w:lang w:val="zh-CN"/>
        </w:rPr>
      </w:pPr>
      <w:r>
        <w:rPr>
          <w:rFonts w:hint="eastAsia" w:ascii="黑体" w:hAnsi="宋体" w:eastAsia="黑体" w:cs="宋体"/>
          <w:color w:val="000000"/>
          <w:kern w:val="0"/>
        </w:rPr>
        <w:t>一、</w:t>
      </w:r>
      <w:r>
        <w:rPr>
          <w:rFonts w:hint="eastAsia" w:ascii="黑体" w:hAnsi="宋体" w:eastAsia="黑体" w:cs="宋体"/>
          <w:color w:val="000000"/>
          <w:kern w:val="0"/>
          <w:lang w:val="zh-CN"/>
        </w:rPr>
        <w:t>单位概况</w:t>
      </w:r>
    </w:p>
    <w:p>
      <w:pPr>
        <w:pStyle w:val="32"/>
        <w:keepNext w:val="0"/>
        <w:keepLines w:val="0"/>
        <w:pageBreakBefore w:val="0"/>
        <w:numPr>
          <w:ilvl w:val="0"/>
          <w:numId w:val="0"/>
        </w:numPr>
        <w:kinsoku/>
        <w:wordWrap/>
        <w:overflowPunct/>
        <w:topLinePunct w:val="0"/>
        <w:autoSpaceDE/>
        <w:autoSpaceDN/>
        <w:bidi w:val="0"/>
        <w:spacing w:line="568" w:lineRule="exact"/>
        <w:ind w:firstLine="643" w:firstLineChars="200"/>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pStyle w:val="32"/>
        <w:keepNext w:val="0"/>
        <w:keepLines w:val="0"/>
        <w:pageBreakBefore w:val="0"/>
        <w:kinsoku/>
        <w:wordWrap/>
        <w:overflowPunct/>
        <w:topLinePunct w:val="0"/>
        <w:autoSpaceDE/>
        <w:autoSpaceDN/>
        <w:bidi w:val="0"/>
        <w:spacing w:line="568" w:lineRule="exact"/>
        <w:ind w:firstLine="640" w:firstLineChars="200"/>
        <w:textAlignment w:val="auto"/>
        <w:outlineLvl w:val="1"/>
        <w:rPr>
          <w:rFonts w:ascii="仿宋_GB2312" w:hAnsi="宋体" w:eastAsia="仿宋_GB2312" w:cs="宋体"/>
          <w:color w:val="000000"/>
          <w:kern w:val="0"/>
          <w:sz w:val="32"/>
          <w:szCs w:val="32"/>
          <w:shd w:val="clear" w:color="auto" w:fill="FFFFFF"/>
          <w:lang w:val="zh-CN"/>
        </w:rPr>
      </w:pPr>
      <w:bookmarkStart w:id="74" w:name="_Toc29824"/>
      <w:bookmarkStart w:id="75" w:name="_Toc21394"/>
      <w:r>
        <w:rPr>
          <w:rFonts w:hint="eastAsia" w:eastAsia="仿宋_GB2312"/>
          <w:bCs/>
          <w:sz w:val="32"/>
          <w:szCs w:val="32"/>
        </w:rPr>
        <w:t>中共茂县县委领导政法工作的职能部门，为正科级，列县委工作机关序列。县矛盾纠纷多元化解工作领导小组办公室设在县委政法委。</w:t>
      </w:r>
      <w:bookmarkEnd w:id="74"/>
      <w:bookmarkEnd w:id="75"/>
    </w:p>
    <w:p>
      <w:pPr>
        <w:pStyle w:val="32"/>
        <w:keepNext w:val="0"/>
        <w:keepLines w:val="0"/>
        <w:pageBreakBefore w:val="0"/>
        <w:numPr>
          <w:ilvl w:val="0"/>
          <w:numId w:val="2"/>
        </w:numPr>
        <w:kinsoku/>
        <w:wordWrap/>
        <w:overflowPunct/>
        <w:topLinePunct w:val="0"/>
        <w:autoSpaceDE/>
        <w:autoSpaceDN/>
        <w:bidi w:val="0"/>
        <w:spacing w:line="568" w:lineRule="exact"/>
        <w:ind w:firstLine="643" w:firstLineChars="200"/>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机构职能</w:t>
      </w:r>
    </w:p>
    <w:p>
      <w:pPr>
        <w:pStyle w:val="32"/>
        <w:keepNext w:val="0"/>
        <w:keepLines w:val="0"/>
        <w:pageBreakBefore w:val="0"/>
        <w:numPr>
          <w:ilvl w:val="0"/>
          <w:numId w:val="0"/>
        </w:numPr>
        <w:kinsoku/>
        <w:wordWrap/>
        <w:overflowPunct/>
        <w:topLinePunct w:val="0"/>
        <w:autoSpaceDE/>
        <w:autoSpaceDN/>
        <w:bidi w:val="0"/>
        <w:spacing w:line="568" w:lineRule="exact"/>
        <w:ind w:firstLine="640" w:firstLineChars="200"/>
        <w:textAlignment w:val="auto"/>
        <w:rPr>
          <w:rFonts w:hint="eastAsia" w:eastAsia="仿宋_GB2312"/>
          <w:bCs/>
          <w:sz w:val="32"/>
          <w:szCs w:val="32"/>
        </w:rPr>
      </w:pPr>
      <w:r>
        <w:rPr>
          <w:rFonts w:hint="eastAsia" w:eastAsia="仿宋_GB2312"/>
          <w:bCs/>
          <w:sz w:val="32"/>
          <w:szCs w:val="32"/>
          <w:lang w:val="en-US" w:eastAsia="zh-CN"/>
        </w:rPr>
        <w:t>1.</w:t>
      </w:r>
      <w:r>
        <w:rPr>
          <w:rFonts w:hint="eastAsia" w:eastAsia="仿宋_GB2312"/>
          <w:bCs/>
          <w:sz w:val="32"/>
          <w:szCs w:val="32"/>
        </w:rPr>
        <w:t>深入贯彻党的路线方针政策和决策部署，统一政法各部门思想和行动，坚持党对政法工作的绝对领导，坚决维护党中央权威和集中统一领导。</w:t>
      </w:r>
    </w:p>
    <w:p>
      <w:pPr>
        <w:pStyle w:val="32"/>
        <w:keepNext w:val="0"/>
        <w:keepLines w:val="0"/>
        <w:pageBreakBefore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2.</w:t>
      </w:r>
      <w:r>
        <w:rPr>
          <w:rFonts w:hint="eastAsia" w:eastAsia="仿宋_GB2312"/>
          <w:bCs/>
          <w:sz w:val="32"/>
          <w:szCs w:val="32"/>
        </w:rPr>
        <w:t>深入贯彻党中央决定和省委、州委、县委决策，对政法工作研究提出全局性部署，推进平安茂县、法治茂县建设，加强过硬队伍建设，深化智能化建设，坚决维护国家政治安全、确保社会大局稳定、促进社会公平正义、保障人民安居乐业。</w:t>
      </w:r>
    </w:p>
    <w:p>
      <w:pPr>
        <w:pStyle w:val="32"/>
        <w:keepNext w:val="0"/>
        <w:keepLines w:val="0"/>
        <w:pageBreakBefore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3.</w:t>
      </w:r>
      <w:r>
        <w:rPr>
          <w:rFonts w:hint="eastAsia" w:eastAsia="仿宋_GB2312"/>
          <w:bCs/>
          <w:sz w:val="32"/>
          <w:szCs w:val="32"/>
        </w:rPr>
        <w:t>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p>
    <w:p>
      <w:pPr>
        <w:pStyle w:val="32"/>
        <w:keepNext w:val="0"/>
        <w:keepLines w:val="0"/>
        <w:pageBreakBefore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4.</w:t>
      </w:r>
      <w:r>
        <w:rPr>
          <w:rFonts w:hint="eastAsia" w:eastAsia="仿宋_GB2312"/>
          <w:bCs/>
          <w:sz w:val="32"/>
          <w:szCs w:val="32"/>
        </w:rPr>
        <w:t>加强对政法工作的督查，统筹协调维护政治安全、社会治安综合治理、维护社会稳定、反邪教有关法律法规政策的实施工作。指导全县政法系统网络安全和智能化建设工作。</w:t>
      </w:r>
    </w:p>
    <w:p>
      <w:pPr>
        <w:pStyle w:val="32"/>
        <w:keepNext w:val="0"/>
        <w:keepLines w:val="0"/>
        <w:pageBreakBefore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5.</w:t>
      </w:r>
      <w:r>
        <w:rPr>
          <w:rFonts w:hint="eastAsia" w:eastAsia="仿宋_GB2312"/>
          <w:bCs/>
          <w:sz w:val="32"/>
          <w:szCs w:val="32"/>
        </w:rPr>
        <w:t>组织开展政法领域的调查研究，研究拟订全县政法工作的政策措施，及时向县委提出建议。</w:t>
      </w:r>
    </w:p>
    <w:p>
      <w:pPr>
        <w:pStyle w:val="32"/>
        <w:keepNext w:val="0"/>
        <w:keepLines w:val="0"/>
        <w:pageBreakBefore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6.</w:t>
      </w:r>
      <w:r>
        <w:rPr>
          <w:rFonts w:hint="eastAsia" w:eastAsia="仿宋_GB2312"/>
          <w:bCs/>
          <w:sz w:val="32"/>
          <w:szCs w:val="32"/>
        </w:rPr>
        <w:t>掌握分析政法舆情动态，指导协调政法部门媒体网络宣传工作，指导政法部门做好涉及政法工作的重大宣传和舆论引导工作。</w:t>
      </w:r>
    </w:p>
    <w:p>
      <w:pPr>
        <w:pStyle w:val="32"/>
        <w:keepNext w:val="0"/>
        <w:keepLines w:val="0"/>
        <w:pageBreakBefore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7.</w:t>
      </w:r>
      <w:r>
        <w:rPr>
          <w:rFonts w:hint="eastAsia" w:eastAsia="仿宋_GB2312"/>
          <w:bCs/>
          <w:sz w:val="32"/>
          <w:szCs w:val="32"/>
        </w:rPr>
        <w:t>监督和支持政法各部门依法行使职权，指导和协调政法各部门密切配合，研究和协调重大疑难案件，推进严格执法、公正司法。</w:t>
      </w:r>
    </w:p>
    <w:p>
      <w:pPr>
        <w:pStyle w:val="32"/>
        <w:keepNext w:val="0"/>
        <w:keepLines w:val="0"/>
        <w:pageBreakBefore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8.</w:t>
      </w:r>
      <w:r>
        <w:rPr>
          <w:rFonts w:hint="eastAsia" w:eastAsia="仿宋_GB2312"/>
          <w:bCs/>
          <w:sz w:val="32"/>
          <w:szCs w:val="32"/>
        </w:rPr>
        <w:t>组织研究政法改革中带有方向性、倾向性和普遍性的重大问题，深化政法改革。</w:t>
      </w:r>
    </w:p>
    <w:p>
      <w:pPr>
        <w:pStyle w:val="32"/>
        <w:keepNext w:val="0"/>
        <w:keepLines w:val="0"/>
        <w:pageBreakBefore w:val="0"/>
        <w:kinsoku/>
        <w:wordWrap/>
        <w:overflowPunct/>
        <w:topLinePunct w:val="0"/>
        <w:autoSpaceDE/>
        <w:autoSpaceDN/>
        <w:bidi w:val="0"/>
        <w:spacing w:line="568"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9.</w:t>
      </w:r>
      <w:r>
        <w:rPr>
          <w:rFonts w:hint="eastAsia" w:eastAsia="仿宋_GB2312"/>
          <w:bCs/>
          <w:sz w:val="32"/>
          <w:szCs w:val="32"/>
        </w:rPr>
        <w:t>指导推动政法系统党的建设和政法队伍建设，协同县级有关职能部门管理监督政法领导干部。</w:t>
      </w:r>
    </w:p>
    <w:p>
      <w:pPr>
        <w:pStyle w:val="32"/>
        <w:keepNext w:val="0"/>
        <w:keepLines w:val="0"/>
        <w:pageBreakBefore w:val="0"/>
        <w:kinsoku/>
        <w:wordWrap/>
        <w:overflowPunct/>
        <w:topLinePunct w:val="0"/>
        <w:autoSpaceDE/>
        <w:autoSpaceDN/>
        <w:bidi w:val="0"/>
        <w:spacing w:line="568" w:lineRule="exact"/>
        <w:ind w:firstLine="643" w:firstLineChars="200"/>
        <w:textAlignment w:val="auto"/>
        <w:rPr>
          <w:rFonts w:ascii="仿宋_GB2312" w:hAnsi="宋体" w:eastAsia="仿宋_GB2312" w:cs="宋体"/>
          <w:color w:val="000000"/>
          <w:kern w:val="0"/>
          <w:sz w:val="32"/>
          <w:szCs w:val="32"/>
          <w:shd w:val="clear" w:color="auto" w:fill="FFFFFF"/>
          <w:lang w:val="zh-CN"/>
        </w:rPr>
      </w:pPr>
      <w:r>
        <w:rPr>
          <w:rFonts w:hint="eastAsia" w:eastAsia="仿宋_GB2312"/>
          <w:b/>
          <w:sz w:val="32"/>
          <w:szCs w:val="32"/>
          <w:lang w:val="en-US" w:eastAsia="zh-CN"/>
        </w:rPr>
        <w:t>10.</w:t>
      </w:r>
      <w:r>
        <w:rPr>
          <w:rFonts w:hint="eastAsia" w:eastAsia="仿宋_GB2312"/>
          <w:bCs/>
          <w:sz w:val="32"/>
          <w:szCs w:val="32"/>
        </w:rPr>
        <w:t>完成县委交办的其他任务。</w:t>
      </w:r>
    </w:p>
    <w:p>
      <w:pPr>
        <w:pStyle w:val="32"/>
        <w:keepNext w:val="0"/>
        <w:keepLines w:val="0"/>
        <w:pageBreakBefore w:val="0"/>
        <w:widowControl/>
        <w:kinsoku/>
        <w:wordWrap/>
        <w:overflowPunct/>
        <w:topLinePunct w:val="0"/>
        <w:autoSpaceDE/>
        <w:autoSpaceDN/>
        <w:bidi w:val="0"/>
        <w:adjustRightInd w:val="0"/>
        <w:snapToGrid w:val="0"/>
        <w:spacing w:line="568"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（三）人员概况</w:t>
      </w:r>
    </w:p>
    <w:p>
      <w:pPr>
        <w:pStyle w:val="57"/>
        <w:keepNext w:val="0"/>
        <w:keepLines w:val="0"/>
        <w:pageBreakBefore w:val="0"/>
        <w:kinsoku/>
        <w:wordWrap/>
        <w:overflowPunct/>
        <w:topLinePunct w:val="0"/>
        <w:autoSpaceDE/>
        <w:autoSpaceDN/>
        <w:bidi w:val="0"/>
        <w:adjustRightInd w:val="0"/>
        <w:snapToGrid w:val="0"/>
        <w:spacing w:beforeLines="0" w:line="568" w:lineRule="exact"/>
        <w:ind w:firstLine="672" w:firstLineChars="210"/>
        <w:textAlignment w:val="auto"/>
        <w:rPr>
          <w:lang w:val="zh-CN"/>
        </w:rPr>
      </w:pPr>
      <w:r>
        <w:rPr>
          <w:rFonts w:hint="eastAsia"/>
          <w:color w:val="000000"/>
          <w:sz w:val="32"/>
          <w:szCs w:val="32"/>
        </w:rPr>
        <w:t>政法委下属二级单位</w:t>
      </w:r>
      <w:r>
        <w:rPr>
          <w:color w:val="000000"/>
          <w:sz w:val="32"/>
          <w:szCs w:val="32"/>
        </w:rPr>
        <w:t>0</w:t>
      </w:r>
      <w:r>
        <w:rPr>
          <w:rFonts w:hint="eastAsia"/>
          <w:color w:val="000000"/>
          <w:sz w:val="32"/>
          <w:szCs w:val="32"/>
        </w:rPr>
        <w:t>个，其中行政单位</w:t>
      </w:r>
      <w:r>
        <w:rPr>
          <w:color w:val="000000"/>
          <w:sz w:val="32"/>
          <w:szCs w:val="32"/>
        </w:rPr>
        <w:t>0</w:t>
      </w:r>
      <w:r>
        <w:rPr>
          <w:rFonts w:hint="eastAsia"/>
          <w:color w:val="000000"/>
          <w:sz w:val="32"/>
          <w:szCs w:val="32"/>
        </w:rPr>
        <w:t>个，参照公务员法管理的事业单位</w:t>
      </w:r>
      <w:r>
        <w:rPr>
          <w:color w:val="000000"/>
          <w:sz w:val="32"/>
          <w:szCs w:val="32"/>
        </w:rPr>
        <w:t>0</w:t>
      </w:r>
      <w:r>
        <w:rPr>
          <w:rFonts w:hint="eastAsia"/>
          <w:color w:val="000000"/>
          <w:sz w:val="32"/>
          <w:szCs w:val="32"/>
        </w:rPr>
        <w:t>个，其他事业单位</w:t>
      </w:r>
      <w:r>
        <w:rPr>
          <w:color w:val="000000"/>
          <w:sz w:val="32"/>
          <w:szCs w:val="32"/>
        </w:rPr>
        <w:t>0</w:t>
      </w:r>
      <w:r>
        <w:rPr>
          <w:rFonts w:hint="eastAsia"/>
          <w:color w:val="000000"/>
          <w:sz w:val="32"/>
          <w:szCs w:val="32"/>
        </w:rPr>
        <w:t>个。县委政法委总编制</w:t>
      </w:r>
      <w:r>
        <w:rPr>
          <w:rFonts w:hint="eastAsia"/>
          <w:color w:val="000000"/>
          <w:sz w:val="32"/>
          <w:szCs w:val="32"/>
          <w:lang w:val="en-US" w:eastAsia="zh-CN"/>
        </w:rPr>
        <w:t>15</w:t>
      </w:r>
      <w:r>
        <w:rPr>
          <w:rFonts w:hint="eastAsia"/>
          <w:color w:val="000000"/>
          <w:sz w:val="32"/>
          <w:szCs w:val="32"/>
        </w:rPr>
        <w:t>名，其中：行政人员</w:t>
      </w:r>
      <w:r>
        <w:rPr>
          <w:color w:val="000000"/>
          <w:sz w:val="32"/>
          <w:szCs w:val="32"/>
        </w:rPr>
        <w:t>1</w:t>
      </w:r>
      <w:r>
        <w:rPr>
          <w:rFonts w:hint="eastAsia"/>
          <w:color w:val="000000"/>
          <w:sz w:val="32"/>
          <w:szCs w:val="32"/>
          <w:lang w:val="en-US" w:eastAsia="zh-CN"/>
        </w:rPr>
        <w:t>1</w:t>
      </w:r>
      <w:r>
        <w:rPr>
          <w:rFonts w:hint="eastAsia"/>
          <w:color w:val="000000"/>
          <w:sz w:val="32"/>
          <w:szCs w:val="32"/>
        </w:rPr>
        <w:t>人，</w:t>
      </w:r>
      <w:r>
        <w:rPr>
          <w:rFonts w:hint="eastAsia"/>
          <w:color w:val="000000"/>
          <w:sz w:val="32"/>
          <w:szCs w:val="32"/>
          <w:lang w:eastAsia="zh-CN"/>
        </w:rPr>
        <w:t>机关行政工勤</w:t>
      </w:r>
      <w:r>
        <w:rPr>
          <w:rFonts w:hint="eastAsia"/>
          <w:color w:val="000000"/>
          <w:sz w:val="32"/>
          <w:szCs w:val="32"/>
          <w:lang w:val="en-US" w:eastAsia="zh-CN"/>
        </w:rPr>
        <w:t>2人</w:t>
      </w:r>
      <w:r>
        <w:rPr>
          <w:rFonts w:hint="eastAsia"/>
          <w:color w:val="000000"/>
          <w:sz w:val="32"/>
          <w:szCs w:val="32"/>
        </w:rPr>
        <w:t>。</w:t>
      </w:r>
    </w:p>
    <w:p>
      <w:pPr>
        <w:pStyle w:val="32"/>
        <w:keepNext w:val="0"/>
        <w:keepLines w:val="0"/>
        <w:pageBreakBefore w:val="0"/>
        <w:widowControl/>
        <w:kinsoku/>
        <w:wordWrap/>
        <w:overflowPunct/>
        <w:topLinePunct w:val="0"/>
        <w:autoSpaceDE/>
        <w:autoSpaceDN/>
        <w:bidi w:val="0"/>
        <w:adjustRightInd w:val="0"/>
        <w:snapToGrid w:val="0"/>
        <w:spacing w:line="568" w:lineRule="exact"/>
        <w:ind w:firstLine="720"/>
        <w:jc w:val="left"/>
        <w:textAlignment w:val="auto"/>
        <w:rPr>
          <w:rFonts w:ascii="黑体" w:hAnsi="宋体" w:eastAsia="黑体" w:cs="宋体"/>
          <w:color w:val="000000"/>
          <w:kern w:val="0"/>
        </w:rPr>
      </w:pPr>
      <w:r>
        <w:rPr>
          <w:rFonts w:hint="eastAsia" w:ascii="黑体" w:hAnsi="宋体" w:eastAsia="黑体" w:cs="宋体"/>
          <w:color w:val="000000"/>
          <w:kern w:val="0"/>
        </w:rPr>
        <w:t>二、部门财政资金收支情况</w:t>
      </w:r>
    </w:p>
    <w:p>
      <w:pPr>
        <w:pStyle w:val="32"/>
        <w:keepNext w:val="0"/>
        <w:keepLines w:val="0"/>
        <w:pageBreakBefore w:val="0"/>
        <w:widowControl/>
        <w:kinsoku/>
        <w:wordWrap/>
        <w:overflowPunct/>
        <w:topLinePunct w:val="0"/>
        <w:autoSpaceDE/>
        <w:autoSpaceDN/>
        <w:bidi w:val="0"/>
        <w:adjustRightInd w:val="0"/>
        <w:snapToGrid w:val="0"/>
        <w:spacing w:line="568"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pStyle w:val="32"/>
        <w:keepNext w:val="0"/>
        <w:keepLines w:val="0"/>
        <w:pageBreakBefore w:val="0"/>
        <w:widowControl/>
        <w:kinsoku/>
        <w:wordWrap/>
        <w:overflowPunct/>
        <w:topLinePunct w:val="0"/>
        <w:autoSpaceDE/>
        <w:autoSpaceDN/>
        <w:bidi w:val="0"/>
        <w:adjustRightInd w:val="0"/>
        <w:snapToGrid w:val="0"/>
        <w:spacing w:line="568" w:lineRule="exact"/>
        <w:ind w:firstLine="640" w:firstLineChars="200"/>
        <w:contextualSpacing/>
        <w:jc w:val="left"/>
        <w:textAlignment w:val="auto"/>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365.86</w:t>
      </w:r>
      <w:r>
        <w:rPr>
          <w:rFonts w:ascii="仿宋" w:hAnsi="仿宋" w:eastAsia="仿宋"/>
          <w:color w:val="000000"/>
          <w:sz w:val="32"/>
          <w:szCs w:val="32"/>
        </w:rPr>
        <w:t>万元，其中：基本支出</w:t>
      </w:r>
      <w:r>
        <w:rPr>
          <w:rFonts w:hint="eastAsia" w:ascii="仿宋" w:hAnsi="仿宋" w:eastAsia="仿宋"/>
          <w:color w:val="000000"/>
          <w:sz w:val="32"/>
          <w:szCs w:val="32"/>
        </w:rPr>
        <w:t>302.13</w:t>
      </w:r>
      <w:r>
        <w:rPr>
          <w:rFonts w:ascii="仿宋" w:hAnsi="仿宋" w:eastAsia="仿宋"/>
          <w:color w:val="000000"/>
          <w:sz w:val="32"/>
          <w:szCs w:val="32"/>
        </w:rPr>
        <w:t>万元，占</w:t>
      </w:r>
      <w:r>
        <w:rPr>
          <w:rFonts w:hint="eastAsia" w:ascii="仿宋" w:hAnsi="仿宋" w:eastAsia="仿宋"/>
          <w:color w:val="000000"/>
          <w:sz w:val="32"/>
          <w:szCs w:val="32"/>
        </w:rPr>
        <w:t>82.58</w:t>
      </w:r>
      <w:r>
        <w:rPr>
          <w:rFonts w:ascii="仿宋" w:hAnsi="仿宋" w:eastAsia="仿宋"/>
          <w:color w:val="000000"/>
          <w:sz w:val="32"/>
          <w:szCs w:val="32"/>
        </w:rPr>
        <w:t>%；项目支出</w:t>
      </w:r>
      <w:r>
        <w:rPr>
          <w:rFonts w:hint="eastAsia" w:ascii="仿宋" w:hAnsi="仿宋" w:eastAsia="仿宋"/>
          <w:color w:val="000000"/>
          <w:sz w:val="32"/>
          <w:szCs w:val="32"/>
        </w:rPr>
        <w:t>63.73</w:t>
      </w:r>
      <w:r>
        <w:rPr>
          <w:rFonts w:ascii="仿宋" w:hAnsi="仿宋" w:eastAsia="仿宋"/>
          <w:color w:val="000000"/>
          <w:sz w:val="32"/>
          <w:szCs w:val="32"/>
        </w:rPr>
        <w:t>万元，占</w:t>
      </w:r>
      <w:r>
        <w:rPr>
          <w:rFonts w:hint="eastAsia" w:ascii="仿宋" w:hAnsi="仿宋" w:eastAsia="仿宋"/>
          <w:color w:val="000000"/>
          <w:sz w:val="32"/>
          <w:szCs w:val="32"/>
        </w:rPr>
        <w:t>17.42</w:t>
      </w:r>
      <w:r>
        <w:rPr>
          <w:rFonts w:ascii="仿宋" w:hAnsi="仿宋" w:eastAsia="仿宋"/>
          <w:color w:val="000000"/>
          <w:sz w:val="32"/>
          <w:szCs w:val="32"/>
        </w:rPr>
        <w:t>%；上缴上级支出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%；经营支出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%；对附属单位补助支出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w:t>
      </w:r>
    </w:p>
    <w:p>
      <w:pPr>
        <w:pStyle w:val="32"/>
        <w:keepNext w:val="0"/>
        <w:keepLines w:val="0"/>
        <w:pageBreakBefore w:val="0"/>
        <w:widowControl/>
        <w:kinsoku/>
        <w:wordWrap/>
        <w:overflowPunct/>
        <w:topLinePunct w:val="0"/>
        <w:autoSpaceDE/>
        <w:autoSpaceDN/>
        <w:bidi w:val="0"/>
        <w:adjustRightInd w:val="0"/>
        <w:snapToGrid w:val="0"/>
        <w:spacing w:line="568"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（二）部门财政资金支出情况</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2021年一般公共预算财政拨款基本支出302.13万元，其中：</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人员经费271.73万元，主要包括：基本工资57.67万元、津贴补贴67.94万元、奖金74.28万元、机关事业单位基本养老保险缴费18.02万元、职业年金缴费9.01万元、职工基本医疗保险缴费13.81万元、其他社会保障缴费0.43万元、住房公积金20.75万元、医疗费1.68万元、生活补助8.06万元、医疗费补助0.06万元。</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宋体" w:cs="宋体"/>
          <w:color w:val="000000"/>
          <w:kern w:val="0"/>
          <w:lang w:val="zh-CN"/>
        </w:rPr>
      </w:pPr>
      <w:r>
        <w:rPr>
          <w:rFonts w:hint="eastAsia" w:ascii="仿宋" w:hAnsi="仿宋" w:eastAsia="仿宋"/>
          <w:color w:val="000000"/>
          <w:sz w:val="32"/>
          <w:szCs w:val="32"/>
        </w:rPr>
        <w:t>公用经费30.40万元，主要包括：办公费8.84万元、邮电费2.81万元、差旅费4.26万元、培训费1.00万元、公务接待费0.75万元、其他交通费用12.74万元。</w:t>
      </w:r>
    </w:p>
    <w:p>
      <w:pPr>
        <w:pStyle w:val="32"/>
        <w:keepNext w:val="0"/>
        <w:keepLines w:val="0"/>
        <w:pageBreakBefore w:val="0"/>
        <w:widowControl/>
        <w:numPr>
          <w:ilvl w:val="0"/>
          <w:numId w:val="3"/>
        </w:numPr>
        <w:kinsoku/>
        <w:wordWrap/>
        <w:overflowPunct/>
        <w:topLinePunct w:val="0"/>
        <w:autoSpaceDE/>
        <w:autoSpaceDN/>
        <w:bidi w:val="0"/>
        <w:adjustRightInd w:val="0"/>
        <w:snapToGrid w:val="0"/>
        <w:spacing w:line="568" w:lineRule="exact"/>
        <w:ind w:firstLine="720"/>
        <w:jc w:val="left"/>
        <w:textAlignment w:val="auto"/>
        <w:rPr>
          <w:rFonts w:hint="eastAsia" w:ascii="黑体" w:hAnsi="宋体" w:eastAsia="黑体" w:cs="宋体"/>
          <w:color w:val="000000"/>
          <w:kern w:val="0"/>
        </w:rPr>
      </w:pPr>
      <w:r>
        <w:rPr>
          <w:rFonts w:hint="eastAsia" w:ascii="黑体" w:hAnsi="宋体" w:eastAsia="黑体" w:cs="宋体"/>
          <w:color w:val="000000"/>
          <w:kern w:val="0"/>
        </w:rPr>
        <w:t>部门财政支出管理情况</w:t>
      </w:r>
    </w:p>
    <w:p>
      <w:pPr>
        <w:pStyle w:val="32"/>
        <w:keepNext w:val="0"/>
        <w:keepLines w:val="0"/>
        <w:pageBreakBefore w:val="0"/>
        <w:widowControl/>
        <w:numPr>
          <w:ilvl w:val="0"/>
          <w:numId w:val="0"/>
        </w:numPr>
        <w:kinsoku/>
        <w:wordWrap/>
        <w:overflowPunct/>
        <w:topLinePunct w:val="0"/>
        <w:autoSpaceDE/>
        <w:autoSpaceDN/>
        <w:bidi w:val="0"/>
        <w:adjustRightInd w:val="0"/>
        <w:snapToGrid w:val="0"/>
        <w:spacing w:line="568" w:lineRule="exact"/>
        <w:ind w:firstLine="643" w:firstLineChars="200"/>
        <w:jc w:val="left"/>
        <w:textAlignment w:val="auto"/>
        <w:rPr>
          <w:rFonts w:hint="eastAsia" w:ascii="楷体" w:hAnsi="楷体" w:eastAsia="楷体" w:cs="宋体"/>
          <w:b/>
          <w:kern w:val="0"/>
          <w:sz w:val="32"/>
          <w:szCs w:val="32"/>
          <w:lang w:eastAsia="zh-CN"/>
        </w:rPr>
      </w:pPr>
      <w:r>
        <w:rPr>
          <w:rFonts w:hint="eastAsia" w:ascii="楷体" w:hAnsi="楷体" w:eastAsia="楷体" w:cs="宋体"/>
          <w:b/>
          <w:kern w:val="0"/>
          <w:sz w:val="32"/>
          <w:szCs w:val="32"/>
        </w:rPr>
        <w:t>（一）预决算编制情况</w:t>
      </w:r>
    </w:p>
    <w:p>
      <w:pPr>
        <w:pStyle w:val="32"/>
        <w:keepNext w:val="0"/>
        <w:keepLines w:val="0"/>
        <w:pageBreakBefore w:val="0"/>
        <w:widowControl/>
        <w:numPr>
          <w:ilvl w:val="0"/>
          <w:numId w:val="0"/>
        </w:numPr>
        <w:kinsoku/>
        <w:wordWrap/>
        <w:overflowPunct/>
        <w:topLinePunct w:val="0"/>
        <w:autoSpaceDE/>
        <w:autoSpaceDN/>
        <w:bidi w:val="0"/>
        <w:adjustRightInd w:val="0"/>
        <w:snapToGrid w:val="0"/>
        <w:spacing w:line="568"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根据茂县财政局《关于开展的通知》文件精神，政法委严格按照预算编制的基本要求和时间节点认真编制</w:t>
      </w:r>
      <w:r>
        <w:rPr>
          <w:rFonts w:hint="eastAsia" w:ascii="仿宋_GB2312" w:hAnsi="仿宋_GB2312" w:cs="仿宋_GB2312"/>
          <w:kern w:val="0"/>
          <w:sz w:val="32"/>
          <w:szCs w:val="32"/>
          <w:lang w:val="en-US" w:eastAsia="zh-CN"/>
        </w:rPr>
        <w:t>2021</w:t>
      </w:r>
      <w:r>
        <w:rPr>
          <w:rFonts w:hint="eastAsia" w:ascii="仿宋_GB2312" w:hAnsi="仿宋_GB2312" w:eastAsia="仿宋_GB2312" w:cs="仿宋_GB2312"/>
          <w:kern w:val="0"/>
          <w:sz w:val="32"/>
          <w:szCs w:val="32"/>
        </w:rPr>
        <w:t>年部门预算。在预算编制中进一步夯实预算编制基础，及时更新相关基础数据，强化非税收入管理和政府采购预算编制工作，严格控制“三公”经费、会议费和培训费预算，预算编制做到了及时、完整、准确、合理、高效。</w:t>
      </w:r>
    </w:p>
    <w:p>
      <w:pPr>
        <w:pStyle w:val="32"/>
        <w:keepNext w:val="0"/>
        <w:keepLines w:val="0"/>
        <w:pageBreakBefore w:val="0"/>
        <w:widowControl/>
        <w:numPr>
          <w:ilvl w:val="0"/>
          <w:numId w:val="0"/>
        </w:numPr>
        <w:kinsoku/>
        <w:wordWrap/>
        <w:overflowPunct/>
        <w:topLinePunct w:val="0"/>
        <w:autoSpaceDE/>
        <w:autoSpaceDN/>
        <w:bidi w:val="0"/>
        <w:adjustRightInd w:val="0"/>
        <w:snapToGrid w:val="0"/>
        <w:spacing w:line="568" w:lineRule="exact"/>
        <w:ind w:firstLine="643" w:firstLineChars="200"/>
        <w:jc w:val="left"/>
        <w:textAlignment w:val="auto"/>
        <w:rPr>
          <w:rFonts w:hint="eastAsia" w:ascii="楷体" w:hAnsi="楷体" w:eastAsia="楷体" w:cs="宋体"/>
          <w:b/>
          <w:kern w:val="0"/>
          <w:sz w:val="32"/>
          <w:szCs w:val="32"/>
          <w:lang w:eastAsia="zh-CN"/>
        </w:rPr>
      </w:pPr>
      <w:r>
        <w:rPr>
          <w:rFonts w:hint="eastAsia" w:ascii="楷体" w:hAnsi="楷体" w:eastAsia="楷体" w:cs="宋体"/>
          <w:b/>
          <w:kern w:val="0"/>
          <w:sz w:val="32"/>
          <w:szCs w:val="32"/>
        </w:rPr>
        <w:t>（二）执行管理情况</w:t>
      </w:r>
    </w:p>
    <w:p>
      <w:pPr>
        <w:pStyle w:val="32"/>
        <w:keepNext w:val="0"/>
        <w:keepLines w:val="0"/>
        <w:pageBreakBefore w:val="0"/>
        <w:widowControl/>
        <w:numPr>
          <w:ilvl w:val="0"/>
          <w:numId w:val="0"/>
        </w:numPr>
        <w:kinsoku/>
        <w:wordWrap/>
        <w:overflowPunct/>
        <w:topLinePunct w:val="0"/>
        <w:autoSpaceDE/>
        <w:autoSpaceDN/>
        <w:bidi w:val="0"/>
        <w:adjustRightInd w:val="0"/>
        <w:snapToGrid w:val="0"/>
        <w:spacing w:line="568" w:lineRule="exact"/>
        <w:ind w:firstLine="640" w:firstLineChars="200"/>
        <w:jc w:val="left"/>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我委十分重视预算执行管理工作，加强省级财政支出预算执行管理，努力提高财政资金使用绩效。</w:t>
      </w:r>
      <w:r>
        <w:rPr>
          <w:rFonts w:hint="eastAsia" w:ascii="仿宋_GB2312" w:hAnsi="仿宋_GB2312" w:eastAsia="仿宋_GB2312" w:cs="仿宋_GB2312"/>
          <w:b/>
          <w:kern w:val="0"/>
          <w:sz w:val="32"/>
          <w:szCs w:val="32"/>
        </w:rPr>
        <w:t>一是</w:t>
      </w:r>
      <w:r>
        <w:rPr>
          <w:rFonts w:hint="eastAsia" w:ascii="仿宋_GB2312" w:hAnsi="仿宋_GB2312" w:eastAsia="仿宋_GB2312" w:cs="仿宋_GB2312"/>
          <w:kern w:val="0"/>
          <w:sz w:val="32"/>
          <w:szCs w:val="32"/>
        </w:rPr>
        <w:t>强化预算刚性约束，严格按照批复的部门支出预算执行，没有随意改变专项资金规定用途和自行扩大支出范围和提高支出标准的行为。严格预算调整程序，所属单位确因特殊原因需要调整预算的，严格按照调整事项所涉及的管理权限履行相关报批和备案手续。</w:t>
      </w:r>
      <w:r>
        <w:rPr>
          <w:rFonts w:hint="eastAsia" w:ascii="仿宋_GB2312" w:hAnsi="仿宋_GB2312" w:eastAsia="仿宋_GB2312" w:cs="仿宋_GB2312"/>
          <w:b/>
          <w:kern w:val="0"/>
          <w:sz w:val="32"/>
          <w:szCs w:val="32"/>
        </w:rPr>
        <w:t>二是</w:t>
      </w:r>
      <w:r>
        <w:rPr>
          <w:rFonts w:hint="eastAsia" w:ascii="仿宋_GB2312" w:hAnsi="仿宋_GB2312" w:eastAsia="仿宋_GB2312" w:cs="仿宋_GB2312"/>
          <w:kern w:val="0"/>
          <w:sz w:val="32"/>
          <w:szCs w:val="32"/>
        </w:rPr>
        <w:t>狠抓预算执行进度管理，在6月、9月、11月之前提前统计分析各单位预算执行进度情况，并召开专题会议会商各单位预算执行中存在的困难和问题，确保预算执行达到相关进度要求。</w:t>
      </w:r>
      <w:r>
        <w:rPr>
          <w:rFonts w:hint="eastAsia" w:ascii="仿宋_GB2312" w:hAnsi="仿宋_GB2312" w:eastAsia="仿宋_GB2312" w:cs="仿宋_GB2312"/>
          <w:b/>
          <w:kern w:val="0"/>
          <w:sz w:val="32"/>
          <w:szCs w:val="32"/>
        </w:rPr>
        <w:t>三是</w:t>
      </w:r>
      <w:r>
        <w:rPr>
          <w:rFonts w:hint="eastAsia" w:ascii="仿宋_GB2312" w:hAnsi="仿宋_GB2312" w:eastAsia="仿宋_GB2312" w:cs="仿宋_GB2312"/>
          <w:kern w:val="0"/>
          <w:sz w:val="32"/>
          <w:szCs w:val="32"/>
        </w:rPr>
        <w:t>严格控制“三公”经费、会议费和培训费支出，认真落实厉行节约相关规定。</w:t>
      </w:r>
    </w:p>
    <w:p>
      <w:pPr>
        <w:pStyle w:val="32"/>
        <w:keepNext w:val="0"/>
        <w:keepLines w:val="0"/>
        <w:pageBreakBefore w:val="0"/>
        <w:widowControl/>
        <w:numPr>
          <w:ilvl w:val="0"/>
          <w:numId w:val="0"/>
        </w:numPr>
        <w:kinsoku/>
        <w:wordWrap/>
        <w:overflowPunct/>
        <w:topLinePunct w:val="0"/>
        <w:autoSpaceDE/>
        <w:autoSpaceDN/>
        <w:bidi w:val="0"/>
        <w:adjustRightInd w:val="0"/>
        <w:snapToGrid w:val="0"/>
        <w:spacing w:line="568" w:lineRule="exact"/>
        <w:ind w:firstLine="643" w:firstLineChars="200"/>
        <w:jc w:val="left"/>
        <w:textAlignment w:val="auto"/>
        <w:rPr>
          <w:rFonts w:hint="eastAsia" w:ascii="楷体" w:hAnsi="楷体" w:eastAsia="楷体" w:cs="宋体"/>
          <w:b/>
          <w:kern w:val="0"/>
          <w:sz w:val="32"/>
          <w:szCs w:val="32"/>
          <w:lang w:eastAsia="zh-CN"/>
        </w:rPr>
      </w:pPr>
      <w:r>
        <w:rPr>
          <w:rFonts w:hint="eastAsia" w:ascii="楷体" w:hAnsi="楷体" w:eastAsia="楷体" w:cs="宋体"/>
          <w:b/>
          <w:kern w:val="0"/>
          <w:sz w:val="32"/>
          <w:szCs w:val="32"/>
        </w:rPr>
        <w:t>（三）综合管理情况</w:t>
      </w:r>
    </w:p>
    <w:p>
      <w:pPr>
        <w:pStyle w:val="32"/>
        <w:keepNext w:val="0"/>
        <w:keepLines w:val="0"/>
        <w:pageBreakBefore w:val="0"/>
        <w:widowControl/>
        <w:numPr>
          <w:ilvl w:val="0"/>
          <w:numId w:val="0"/>
        </w:numPr>
        <w:kinsoku/>
        <w:wordWrap/>
        <w:overflowPunct/>
        <w:topLinePunct w:val="0"/>
        <w:autoSpaceDE/>
        <w:autoSpaceDN/>
        <w:bidi w:val="0"/>
        <w:adjustRightInd w:val="0"/>
        <w:snapToGrid w:val="0"/>
        <w:spacing w:line="568" w:lineRule="exact"/>
        <w:ind w:firstLine="640" w:firstLineChars="200"/>
        <w:jc w:val="left"/>
        <w:textAlignment w:val="auto"/>
        <w:rPr>
          <w:rFonts w:hint="eastAsia" w:ascii="仿宋_GB2312" w:hAnsi="仿宋" w:eastAsia="仿宋_GB2312"/>
          <w:sz w:val="32"/>
          <w:szCs w:val="32"/>
          <w:lang w:eastAsia="zh-CN"/>
        </w:rPr>
      </w:pPr>
      <w:r>
        <w:rPr>
          <w:rFonts w:hint="eastAsia" w:ascii="仿宋_GB2312" w:hAnsi="仿宋_GB2312" w:eastAsia="仿宋_GB2312" w:cs="仿宋_GB2312"/>
          <w:kern w:val="0"/>
          <w:sz w:val="32"/>
          <w:szCs w:val="32"/>
        </w:rPr>
        <w:t>总体来看，基本支出和运转类专项保障了机关正常运转，确保了政法委履行职能职责。政法委机关认真执行厉行节约相关规章制度，严格控制和压缩“三公经费”和会议费支出。</w:t>
      </w:r>
      <w:r>
        <w:rPr>
          <w:rFonts w:hint="eastAsia" w:ascii="仿宋_GB2312" w:hAnsi="仿宋_GB2312" w:eastAsia="仿宋_GB2312" w:cs="仿宋_GB2312"/>
          <w:sz w:val="32"/>
          <w:szCs w:val="32"/>
        </w:rPr>
        <w:t>我委认真按照中央“八项规定和六项禁令</w:t>
      </w:r>
      <w:r>
        <w:rPr>
          <w:rFonts w:hint="eastAsia" w:ascii="仿宋_GB2312" w:hAnsi="仿宋" w:eastAsia="仿宋_GB2312"/>
          <w:sz w:val="32"/>
          <w:szCs w:val="32"/>
        </w:rPr>
        <w:t>”、省委省政府“十项规定”和州委州政府“八条意见”及县委有关规定开展工作，改进工作作风，严肃财经纪律，维护了财经秩序。</w:t>
      </w:r>
    </w:p>
    <w:p>
      <w:pPr>
        <w:pStyle w:val="32"/>
        <w:keepNext w:val="0"/>
        <w:keepLines w:val="0"/>
        <w:pageBreakBefore w:val="0"/>
        <w:widowControl/>
        <w:numPr>
          <w:ilvl w:val="0"/>
          <w:numId w:val="0"/>
        </w:numPr>
        <w:kinsoku/>
        <w:wordWrap/>
        <w:overflowPunct/>
        <w:topLinePunct w:val="0"/>
        <w:autoSpaceDE/>
        <w:autoSpaceDN/>
        <w:bidi w:val="0"/>
        <w:adjustRightInd w:val="0"/>
        <w:snapToGrid w:val="0"/>
        <w:spacing w:line="568" w:lineRule="exact"/>
        <w:ind w:firstLine="640" w:firstLineChars="200"/>
        <w:jc w:val="left"/>
        <w:textAlignment w:val="auto"/>
        <w:rPr>
          <w:rFonts w:hint="eastAsia" w:ascii="楷体" w:hAnsi="楷体" w:eastAsia="楷体" w:cs="楷体"/>
          <w:b/>
          <w:bCs/>
          <w:sz w:val="32"/>
          <w:szCs w:val="32"/>
          <w:lang w:val="zh-CN"/>
        </w:rPr>
      </w:pPr>
      <w:r>
        <w:rPr>
          <w:rFonts w:hint="eastAsia" w:ascii="仿宋_GB2312" w:hAnsi="仿宋_GB2312" w:cs="仿宋_GB2312"/>
          <w:kern w:val="0"/>
          <w:sz w:val="32"/>
          <w:szCs w:val="32"/>
          <w:lang w:val="en-US" w:eastAsia="zh-CN"/>
        </w:rPr>
        <w:t xml:space="preserve">   </w:t>
      </w:r>
      <w:r>
        <w:rPr>
          <w:rFonts w:hint="eastAsia" w:ascii="楷体" w:hAnsi="楷体" w:eastAsia="楷体" w:cs="楷体"/>
          <w:b/>
          <w:bCs/>
          <w:sz w:val="32"/>
          <w:szCs w:val="32"/>
          <w:lang w:val="zh-CN"/>
        </w:rPr>
        <w:t>（四）整体绩效</w:t>
      </w:r>
    </w:p>
    <w:p>
      <w:pPr>
        <w:pStyle w:val="32"/>
        <w:keepNext w:val="0"/>
        <w:keepLines w:val="0"/>
        <w:pageBreakBefore w:val="0"/>
        <w:widowControl/>
        <w:kinsoku/>
        <w:wordWrap/>
        <w:overflowPunct/>
        <w:topLinePunct w:val="0"/>
        <w:autoSpaceDE/>
        <w:autoSpaceDN/>
        <w:bidi w:val="0"/>
        <w:adjustRightInd w:val="0"/>
        <w:snapToGrid w:val="0"/>
        <w:spacing w:line="568" w:lineRule="exact"/>
        <w:ind w:firstLine="72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根据文件精神，我委及时将此项工作进行部署和安排，按照</w:t>
      </w:r>
      <w:r>
        <w:rPr>
          <w:rFonts w:hint="eastAsia" w:ascii="仿宋_GB2312" w:hAnsi="仿宋_GB2312" w:cs="仿宋_GB2312"/>
          <w:kern w:val="0"/>
          <w:sz w:val="32"/>
          <w:szCs w:val="32"/>
          <w:lang w:val="en-US" w:eastAsia="zh-CN"/>
        </w:rPr>
        <w:t>2021年</w:t>
      </w:r>
      <w:r>
        <w:rPr>
          <w:rFonts w:hint="eastAsia" w:ascii="仿宋_GB2312" w:hAnsi="仿宋_GB2312" w:eastAsia="仿宋_GB2312" w:cs="仿宋_GB2312"/>
          <w:kern w:val="0"/>
          <w:sz w:val="32"/>
          <w:szCs w:val="32"/>
        </w:rPr>
        <w:t>部门整体支出绩效评价指标体系结合年初预算设定的绩效目标完成情况进行自评打分，自评情况和年初绩效目标完成情况进行了汇总，最后我委自评得分</w:t>
      </w:r>
      <w:r>
        <w:rPr>
          <w:rFonts w:hint="eastAsia" w:ascii="仿宋_GB2312" w:hAnsi="仿宋_GB2312" w:cs="仿宋_GB2312"/>
          <w:kern w:val="0"/>
          <w:sz w:val="32"/>
          <w:szCs w:val="32"/>
          <w:lang w:val="en-US" w:eastAsia="zh-CN"/>
        </w:rPr>
        <w:t>89</w:t>
      </w:r>
      <w:r>
        <w:rPr>
          <w:rFonts w:hint="eastAsia" w:ascii="仿宋_GB2312" w:hAnsi="仿宋_GB2312" w:eastAsia="仿宋_GB2312" w:cs="仿宋_GB2312"/>
          <w:kern w:val="0"/>
          <w:sz w:val="32"/>
          <w:szCs w:val="32"/>
        </w:rPr>
        <w:t>分。</w:t>
      </w:r>
    </w:p>
    <w:p>
      <w:pPr>
        <w:pStyle w:val="32"/>
        <w:keepNext w:val="0"/>
        <w:keepLines w:val="0"/>
        <w:pageBreakBefore w:val="0"/>
        <w:widowControl/>
        <w:kinsoku/>
        <w:wordWrap/>
        <w:overflowPunct/>
        <w:topLinePunct w:val="0"/>
        <w:autoSpaceDE/>
        <w:autoSpaceDN/>
        <w:bidi w:val="0"/>
        <w:adjustRightInd w:val="0"/>
        <w:snapToGrid w:val="0"/>
        <w:spacing w:line="568" w:lineRule="exact"/>
        <w:ind w:firstLine="720"/>
        <w:jc w:val="left"/>
        <w:textAlignment w:val="auto"/>
        <w:rPr>
          <w:rFonts w:ascii="黑体" w:hAnsi="宋体" w:eastAsia="黑体" w:cs="宋体"/>
          <w:color w:val="000000"/>
          <w:kern w:val="0"/>
        </w:rPr>
      </w:pPr>
      <w:r>
        <w:rPr>
          <w:rFonts w:hint="eastAsia" w:ascii="黑体" w:hAnsi="宋体" w:eastAsia="黑体" w:cs="宋体"/>
          <w:color w:val="000000"/>
          <w:kern w:val="0"/>
        </w:rPr>
        <w:t>四、评价结论及建议</w:t>
      </w:r>
    </w:p>
    <w:p>
      <w:pPr>
        <w:pStyle w:val="32"/>
        <w:keepNext w:val="0"/>
        <w:keepLines w:val="0"/>
        <w:pageBreakBefore w:val="0"/>
        <w:kinsoku/>
        <w:wordWrap/>
        <w:overflowPunct/>
        <w:topLinePunct w:val="0"/>
        <w:autoSpaceDE/>
        <w:autoSpaceDN/>
        <w:bidi w:val="0"/>
        <w:spacing w:line="568"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（一）评价结论</w:t>
      </w:r>
    </w:p>
    <w:p>
      <w:pPr>
        <w:pStyle w:val="32"/>
        <w:keepNext w:val="0"/>
        <w:keepLines w:val="0"/>
        <w:pageBreakBefore w:val="0"/>
        <w:kinsoku/>
        <w:wordWrap/>
        <w:overflowPunct/>
        <w:topLinePunct w:val="0"/>
        <w:autoSpaceDE/>
        <w:autoSpaceDN/>
        <w:bidi w:val="0"/>
        <w:spacing w:line="568"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从自评情况来看，政法委机关支出绩效水平较高，整体上完成了年初设定的绩效目标，保障了单位的正常运转，降低了行政运行成本，促进了社会和谐稳定，充分发挥了财政资金的经济效益、社会效益。</w:t>
      </w:r>
    </w:p>
    <w:p>
      <w:pPr>
        <w:pStyle w:val="32"/>
        <w:keepNext w:val="0"/>
        <w:keepLines w:val="0"/>
        <w:pageBreakBefore w:val="0"/>
        <w:kinsoku/>
        <w:wordWrap/>
        <w:overflowPunct/>
        <w:topLinePunct w:val="0"/>
        <w:autoSpaceDE/>
        <w:autoSpaceDN/>
        <w:bidi w:val="0"/>
        <w:spacing w:line="568"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（二）存在问题</w:t>
      </w:r>
    </w:p>
    <w:p>
      <w:pPr>
        <w:pStyle w:val="32"/>
        <w:keepNext w:val="0"/>
        <w:keepLines w:val="0"/>
        <w:pageBreakBefore w:val="0"/>
        <w:kinsoku/>
        <w:wordWrap/>
        <w:overflowPunct/>
        <w:topLinePunct w:val="0"/>
        <w:autoSpaceDE/>
        <w:autoSpaceDN/>
        <w:bidi w:val="0"/>
        <w:spacing w:line="568"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从绩效评价看，部门支出预算和绩效评价工作还存在一些具体问题，一是水电节约不好落实的问题，综合大楼单位多，各单位办公场所交叉，水电节约的问题难以落到实处。二是单位对部门支出绩效评价工作的认识理解不够，年初预设的绩效指标不合适、指标较粗；二是公共管理无法用量化指标来进行考评；三是单位在预算编制时经济科目使用不当，造成预算执行时存在跨科目执行的情况。</w:t>
      </w:r>
    </w:p>
    <w:p>
      <w:pPr>
        <w:pStyle w:val="32"/>
        <w:keepNext w:val="0"/>
        <w:keepLines w:val="0"/>
        <w:pageBreakBefore w:val="0"/>
        <w:kinsoku/>
        <w:wordWrap/>
        <w:overflowPunct/>
        <w:topLinePunct w:val="0"/>
        <w:autoSpaceDE/>
        <w:autoSpaceDN/>
        <w:bidi w:val="0"/>
        <w:spacing w:line="568"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（三）改进建议</w:t>
      </w:r>
    </w:p>
    <w:p>
      <w:pPr>
        <w:pStyle w:val="32"/>
        <w:keepNext w:val="0"/>
        <w:keepLines w:val="0"/>
        <w:pageBreakBefore w:val="0"/>
        <w:kinsoku/>
        <w:wordWrap/>
        <w:overflowPunct/>
        <w:topLinePunct w:val="0"/>
        <w:autoSpaceDE/>
        <w:autoSpaceDN/>
        <w:bidi w:val="0"/>
        <w:spacing w:line="568" w:lineRule="exact"/>
        <w:ind w:firstLine="640" w:firstLineChars="200"/>
        <w:textAlignment w:val="auto"/>
        <w:rPr>
          <w:rFonts w:ascii="黑体" w:hAnsi="黑体" w:eastAsia="黑体"/>
          <w:sz w:val="30"/>
          <w:szCs w:val="30"/>
        </w:rPr>
      </w:pPr>
      <w:r>
        <w:rPr>
          <w:rFonts w:hint="eastAsia" w:ascii="仿宋_GB2312" w:hAnsi="仿宋_GB2312" w:eastAsia="仿宋_GB2312" w:cs="仿宋_GB2312"/>
          <w:kern w:val="0"/>
          <w:sz w:val="32"/>
          <w:szCs w:val="32"/>
        </w:rPr>
        <w:t>绩效评价是深入贯彻落实新《预算法》要求的各项重要内容，建议财政加强对绩效评价工作的培训和指导，进一步优化绩效考核指标体系，做到合理性与可操作性的有机统一。</w:t>
      </w:r>
    </w:p>
    <w:p>
      <w:pPr>
        <w:pStyle w:val="32"/>
        <w:keepNext w:val="0"/>
        <w:keepLines w:val="0"/>
        <w:pageBreakBefore w:val="0"/>
        <w:kinsoku/>
        <w:wordWrap/>
        <w:overflowPunct/>
        <w:topLinePunct w:val="0"/>
        <w:autoSpaceDE/>
        <w:autoSpaceDN/>
        <w:bidi w:val="0"/>
        <w:spacing w:line="568" w:lineRule="exact"/>
        <w:textAlignment w:val="auto"/>
        <w:rPr>
          <w:rFonts w:ascii="黑体" w:hAnsi="黑体" w:eastAsia="黑体"/>
          <w:sz w:val="30"/>
          <w:szCs w:val="30"/>
        </w:rPr>
      </w:pPr>
    </w:p>
    <w:p>
      <w:pPr>
        <w:pStyle w:val="32"/>
        <w:keepNext w:val="0"/>
        <w:keepLines w:val="0"/>
        <w:pageBreakBefore w:val="0"/>
        <w:kinsoku/>
        <w:wordWrap/>
        <w:overflowPunct/>
        <w:topLinePunct w:val="0"/>
        <w:autoSpaceDE/>
        <w:autoSpaceDN/>
        <w:bidi w:val="0"/>
        <w:spacing w:line="568" w:lineRule="exact"/>
        <w:textAlignment w:val="auto"/>
        <w:rPr>
          <w:rFonts w:ascii="黑体" w:hAnsi="黑体" w:eastAsia="黑体"/>
          <w:sz w:val="30"/>
          <w:szCs w:val="30"/>
        </w:rPr>
      </w:pPr>
    </w:p>
    <w:p>
      <w:pPr>
        <w:spacing w:line="600" w:lineRule="exact"/>
        <w:jc w:val="center"/>
        <w:outlineLvl w:val="0"/>
        <w:rPr>
          <w:rFonts w:hint="eastAsia" w:ascii="黑体" w:eastAsia="黑体"/>
          <w:color w:val="000000"/>
          <w:sz w:val="44"/>
          <w:szCs w:val="44"/>
        </w:rPr>
      </w:pPr>
      <w:bookmarkStart w:id="76" w:name="_Toc79163885"/>
      <w:bookmarkStart w:id="77" w:name="_Toc15396618"/>
      <w:bookmarkStart w:id="78" w:name="_Toc79163635"/>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61"/>
          <w:rFonts w:ascii="黑体" w:eastAsia="黑体"/>
          <w:b w:val="0"/>
        </w:rPr>
      </w:pPr>
      <w:bookmarkStart w:id="79" w:name="_Toc8219"/>
      <w:r>
        <w:rPr>
          <w:rFonts w:hint="eastAsia" w:ascii="黑体" w:eastAsia="黑体"/>
          <w:color w:val="000000"/>
          <w:sz w:val="44"/>
          <w:szCs w:val="44"/>
        </w:rPr>
        <w:t>第</w:t>
      </w:r>
      <w:r>
        <w:rPr>
          <w:rStyle w:val="61"/>
          <w:rFonts w:hint="eastAsia" w:ascii="黑体" w:eastAsia="黑体"/>
          <w:b w:val="0"/>
        </w:rPr>
        <w:t>五部分</w:t>
      </w:r>
      <w:r>
        <w:rPr>
          <w:rStyle w:val="61"/>
          <w:rFonts w:ascii="黑体" w:eastAsia="黑体"/>
          <w:b w:val="0"/>
        </w:rPr>
        <w:t xml:space="preserve"> </w:t>
      </w:r>
      <w:r>
        <w:rPr>
          <w:rStyle w:val="61"/>
          <w:rFonts w:hint="eastAsia" w:ascii="黑体" w:eastAsia="黑体"/>
          <w:b w:val="0"/>
        </w:rPr>
        <w:t>附表</w:t>
      </w:r>
      <w:bookmarkEnd w:id="76"/>
      <w:bookmarkEnd w:id="77"/>
      <w:bookmarkEnd w:id="78"/>
      <w:bookmarkEnd w:id="79"/>
    </w:p>
    <w:p>
      <w:pPr>
        <w:pStyle w:val="5"/>
        <w:rPr>
          <w:rFonts w:ascii="仿宋" w:eastAsia="仿宋"/>
          <w:color w:val="000000"/>
        </w:rPr>
      </w:pPr>
      <w:bookmarkStart w:id="80" w:name="_Toc79163636"/>
      <w:bookmarkStart w:id="81" w:name="_Toc79163886"/>
      <w:bookmarkStart w:id="82" w:name="_Toc15396619"/>
      <w:bookmarkStart w:id="83" w:name="_Toc5090"/>
      <w:r>
        <w:rPr>
          <w:rFonts w:hint="eastAsia" w:ascii="仿宋" w:eastAsia="仿宋"/>
          <w:b w:val="0"/>
          <w:color w:val="000000"/>
        </w:rPr>
        <w:t>一、收</w:t>
      </w:r>
      <w:r>
        <w:rPr>
          <w:rStyle w:val="62"/>
          <w:rFonts w:hint="eastAsia" w:ascii="仿宋" w:eastAsia="仿宋"/>
          <w:b w:val="0"/>
          <w:bCs w:val="0"/>
        </w:rPr>
        <w:t>入支出决算总表</w:t>
      </w:r>
      <w:bookmarkEnd w:id="80"/>
      <w:bookmarkEnd w:id="81"/>
      <w:bookmarkEnd w:id="82"/>
      <w:bookmarkEnd w:id="83"/>
    </w:p>
    <w:p>
      <w:pPr>
        <w:pStyle w:val="5"/>
        <w:rPr>
          <w:rFonts w:ascii="仿宋" w:eastAsia="仿宋"/>
          <w:color w:val="000000"/>
        </w:rPr>
      </w:pPr>
      <w:bookmarkStart w:id="84" w:name="_Toc79163637"/>
      <w:bookmarkStart w:id="85" w:name="_Toc15396620"/>
      <w:bookmarkStart w:id="86" w:name="_Toc79163887"/>
      <w:bookmarkStart w:id="87" w:name="_Toc25"/>
      <w:r>
        <w:rPr>
          <w:rFonts w:hint="eastAsia" w:ascii="仿宋" w:eastAsia="仿宋"/>
          <w:b w:val="0"/>
          <w:color w:val="000000"/>
        </w:rPr>
        <w:t>二、收</w:t>
      </w:r>
      <w:r>
        <w:rPr>
          <w:rStyle w:val="62"/>
          <w:rFonts w:hint="eastAsia" w:ascii="仿宋" w:eastAsia="仿宋"/>
          <w:b w:val="0"/>
          <w:bCs w:val="0"/>
        </w:rPr>
        <w:t>入决算表</w:t>
      </w:r>
      <w:bookmarkEnd w:id="84"/>
      <w:bookmarkEnd w:id="85"/>
      <w:bookmarkEnd w:id="86"/>
      <w:bookmarkEnd w:id="87"/>
    </w:p>
    <w:p>
      <w:pPr>
        <w:pStyle w:val="5"/>
        <w:rPr>
          <w:rFonts w:ascii="仿宋" w:eastAsia="仿宋"/>
          <w:color w:val="000000"/>
        </w:rPr>
      </w:pPr>
      <w:bookmarkStart w:id="88" w:name="_Toc79163888"/>
      <w:bookmarkStart w:id="89" w:name="_Toc15396621"/>
      <w:bookmarkStart w:id="90" w:name="_Toc79163638"/>
      <w:bookmarkStart w:id="91" w:name="_Toc10686"/>
      <w:r>
        <w:rPr>
          <w:rStyle w:val="62"/>
          <w:rFonts w:hint="eastAsia" w:ascii="仿宋" w:eastAsia="仿宋"/>
          <w:b w:val="0"/>
          <w:bCs w:val="0"/>
        </w:rPr>
        <w:t>三、</w:t>
      </w:r>
      <w:r>
        <w:rPr>
          <w:rFonts w:hint="eastAsia" w:ascii="仿宋" w:eastAsia="仿宋"/>
          <w:b w:val="0"/>
          <w:color w:val="000000"/>
        </w:rPr>
        <w:t>支</w:t>
      </w:r>
      <w:r>
        <w:rPr>
          <w:rStyle w:val="62"/>
          <w:rFonts w:hint="eastAsia" w:ascii="仿宋" w:eastAsia="仿宋"/>
          <w:b w:val="0"/>
          <w:bCs w:val="0"/>
        </w:rPr>
        <w:t>出决算表</w:t>
      </w:r>
      <w:bookmarkEnd w:id="88"/>
      <w:bookmarkEnd w:id="89"/>
      <w:bookmarkEnd w:id="90"/>
      <w:bookmarkEnd w:id="91"/>
    </w:p>
    <w:p>
      <w:pPr>
        <w:pStyle w:val="5"/>
        <w:rPr>
          <w:rFonts w:ascii="仿宋" w:eastAsia="仿宋"/>
          <w:b w:val="0"/>
          <w:color w:val="000000"/>
        </w:rPr>
      </w:pPr>
      <w:bookmarkStart w:id="92" w:name="_Toc79163639"/>
      <w:bookmarkStart w:id="93" w:name="_Toc79163889"/>
      <w:bookmarkStart w:id="94" w:name="_Toc15396622"/>
      <w:bookmarkStart w:id="95" w:name="_Toc21279"/>
      <w:r>
        <w:rPr>
          <w:rStyle w:val="62"/>
          <w:rFonts w:hint="eastAsia" w:ascii="仿宋" w:eastAsia="仿宋"/>
          <w:b w:val="0"/>
          <w:bCs w:val="0"/>
        </w:rPr>
        <w:t>四、</w:t>
      </w:r>
      <w:r>
        <w:rPr>
          <w:rFonts w:hint="eastAsia" w:ascii="仿宋" w:eastAsia="仿宋"/>
          <w:b w:val="0"/>
          <w:color w:val="000000"/>
        </w:rPr>
        <w:t>财</w:t>
      </w:r>
      <w:r>
        <w:rPr>
          <w:rStyle w:val="62"/>
          <w:rFonts w:hint="eastAsia" w:ascii="仿宋" w:eastAsia="仿宋"/>
          <w:b w:val="0"/>
          <w:bCs w:val="0"/>
        </w:rPr>
        <w:t>政拨款收入支出决算总表</w:t>
      </w:r>
      <w:bookmarkEnd w:id="92"/>
      <w:bookmarkEnd w:id="93"/>
      <w:bookmarkEnd w:id="94"/>
      <w:bookmarkEnd w:id="95"/>
    </w:p>
    <w:p>
      <w:pPr>
        <w:pStyle w:val="5"/>
        <w:rPr>
          <w:rStyle w:val="62"/>
          <w:rFonts w:ascii="仿宋" w:eastAsia="仿宋"/>
          <w:b w:val="0"/>
          <w:bCs w:val="0"/>
        </w:rPr>
      </w:pPr>
      <w:bookmarkStart w:id="96" w:name="_Toc15396623"/>
      <w:bookmarkStart w:id="97" w:name="_Toc79163640"/>
      <w:bookmarkStart w:id="98" w:name="_Toc79163890"/>
      <w:bookmarkStart w:id="99" w:name="_Toc20604"/>
      <w:r>
        <w:rPr>
          <w:rStyle w:val="62"/>
          <w:rFonts w:hint="eastAsia" w:ascii="仿宋" w:eastAsia="仿宋"/>
          <w:b w:val="0"/>
          <w:bCs w:val="0"/>
        </w:rPr>
        <w:t>五、</w:t>
      </w:r>
      <w:r>
        <w:rPr>
          <w:rFonts w:hint="eastAsia" w:ascii="仿宋" w:eastAsia="仿宋"/>
          <w:b w:val="0"/>
          <w:color w:val="000000"/>
        </w:rPr>
        <w:t>财</w:t>
      </w:r>
      <w:r>
        <w:rPr>
          <w:rStyle w:val="62"/>
          <w:rFonts w:hint="eastAsia" w:ascii="仿宋" w:eastAsia="仿宋"/>
          <w:b w:val="0"/>
          <w:bCs w:val="0"/>
        </w:rPr>
        <w:t>政拨款支出决算明细表</w:t>
      </w:r>
      <w:bookmarkEnd w:id="96"/>
      <w:bookmarkEnd w:id="97"/>
      <w:bookmarkEnd w:id="98"/>
      <w:bookmarkEnd w:id="99"/>
      <w:bookmarkStart w:id="100" w:name="_Toc15396624"/>
    </w:p>
    <w:p>
      <w:pPr>
        <w:pStyle w:val="5"/>
        <w:rPr>
          <w:rFonts w:ascii="仿宋" w:eastAsia="仿宋"/>
          <w:color w:val="000000"/>
        </w:rPr>
      </w:pPr>
      <w:bookmarkStart w:id="101" w:name="_Toc79163641"/>
      <w:bookmarkStart w:id="102" w:name="_Toc79163891"/>
      <w:bookmarkStart w:id="103" w:name="_Toc26264"/>
      <w:r>
        <w:rPr>
          <w:rStyle w:val="62"/>
          <w:rFonts w:hint="eastAsia" w:ascii="仿宋" w:eastAsia="仿宋"/>
          <w:b w:val="0"/>
          <w:bCs w:val="0"/>
        </w:rPr>
        <w:t>六、</w:t>
      </w:r>
      <w:r>
        <w:rPr>
          <w:rFonts w:hint="eastAsia" w:ascii="仿宋" w:eastAsia="仿宋"/>
          <w:b w:val="0"/>
          <w:color w:val="000000"/>
        </w:rPr>
        <w:t>一</w:t>
      </w:r>
      <w:r>
        <w:rPr>
          <w:rStyle w:val="62"/>
          <w:rFonts w:hint="eastAsia" w:ascii="仿宋" w:eastAsia="仿宋"/>
          <w:b w:val="0"/>
          <w:bCs w:val="0"/>
        </w:rPr>
        <w:t>般公共预算财政拨款支出决算表</w:t>
      </w:r>
      <w:bookmarkEnd w:id="100"/>
      <w:bookmarkEnd w:id="101"/>
      <w:bookmarkEnd w:id="102"/>
      <w:bookmarkEnd w:id="103"/>
    </w:p>
    <w:p>
      <w:pPr>
        <w:pStyle w:val="5"/>
        <w:rPr>
          <w:rFonts w:ascii="仿宋" w:eastAsia="仿宋"/>
          <w:color w:val="000000"/>
        </w:rPr>
      </w:pPr>
      <w:bookmarkStart w:id="104" w:name="_Toc79163642"/>
      <w:bookmarkStart w:id="105" w:name="_Toc15396625"/>
      <w:bookmarkStart w:id="106" w:name="_Toc79163892"/>
      <w:bookmarkStart w:id="107" w:name="_Toc18843"/>
      <w:r>
        <w:rPr>
          <w:rStyle w:val="62"/>
          <w:rFonts w:hint="eastAsia" w:ascii="仿宋" w:eastAsia="仿宋"/>
          <w:b w:val="0"/>
          <w:bCs w:val="0"/>
        </w:rPr>
        <w:t>七、</w:t>
      </w:r>
      <w:r>
        <w:rPr>
          <w:rFonts w:hint="eastAsia" w:ascii="仿宋" w:eastAsia="仿宋"/>
          <w:b w:val="0"/>
          <w:color w:val="000000"/>
        </w:rPr>
        <w:t>一</w:t>
      </w:r>
      <w:r>
        <w:rPr>
          <w:rStyle w:val="62"/>
          <w:rFonts w:hint="eastAsia" w:ascii="仿宋" w:eastAsia="仿宋"/>
          <w:b w:val="0"/>
          <w:bCs w:val="0"/>
        </w:rPr>
        <w:t>般公共预算财政拨款支出决算明细表</w:t>
      </w:r>
      <w:bookmarkEnd w:id="104"/>
      <w:bookmarkEnd w:id="105"/>
      <w:bookmarkEnd w:id="106"/>
      <w:bookmarkEnd w:id="107"/>
    </w:p>
    <w:p>
      <w:pPr>
        <w:pStyle w:val="5"/>
        <w:rPr>
          <w:rFonts w:ascii="仿宋" w:eastAsia="仿宋"/>
          <w:color w:val="000000"/>
        </w:rPr>
      </w:pPr>
      <w:bookmarkStart w:id="108" w:name="_Toc79163643"/>
      <w:bookmarkStart w:id="109" w:name="_Toc15396626"/>
      <w:bookmarkStart w:id="110" w:name="_Toc79163893"/>
      <w:bookmarkStart w:id="111" w:name="_Toc192"/>
      <w:r>
        <w:rPr>
          <w:rStyle w:val="62"/>
          <w:rFonts w:hint="eastAsia" w:ascii="仿宋" w:eastAsia="仿宋"/>
          <w:b w:val="0"/>
          <w:bCs w:val="0"/>
        </w:rPr>
        <w:t>八、</w:t>
      </w:r>
      <w:r>
        <w:rPr>
          <w:rFonts w:hint="eastAsia" w:ascii="仿宋" w:eastAsia="仿宋"/>
          <w:b w:val="0"/>
          <w:color w:val="000000"/>
        </w:rPr>
        <w:t>一</w:t>
      </w:r>
      <w:r>
        <w:rPr>
          <w:rStyle w:val="62"/>
          <w:rFonts w:hint="eastAsia" w:ascii="仿宋" w:eastAsia="仿宋"/>
          <w:b w:val="0"/>
          <w:bCs w:val="0"/>
        </w:rPr>
        <w:t>般公共预算财政拨款基本支出决算表</w:t>
      </w:r>
      <w:bookmarkEnd w:id="108"/>
      <w:bookmarkEnd w:id="109"/>
      <w:bookmarkEnd w:id="110"/>
      <w:bookmarkEnd w:id="111"/>
    </w:p>
    <w:p>
      <w:pPr>
        <w:pStyle w:val="5"/>
        <w:rPr>
          <w:rFonts w:ascii="仿宋" w:eastAsia="仿宋"/>
          <w:color w:val="000000"/>
        </w:rPr>
      </w:pPr>
      <w:bookmarkStart w:id="112" w:name="_Toc79163644"/>
      <w:bookmarkStart w:id="113" w:name="_Toc15396627"/>
      <w:bookmarkStart w:id="114" w:name="_Toc79163894"/>
      <w:bookmarkStart w:id="115" w:name="_Toc2616"/>
      <w:r>
        <w:rPr>
          <w:rStyle w:val="62"/>
          <w:rFonts w:hint="eastAsia" w:ascii="仿宋" w:eastAsia="仿宋"/>
          <w:b w:val="0"/>
          <w:bCs w:val="0"/>
        </w:rPr>
        <w:t>九、</w:t>
      </w:r>
      <w:r>
        <w:rPr>
          <w:rFonts w:hint="eastAsia" w:ascii="仿宋" w:eastAsia="仿宋"/>
          <w:b w:val="0"/>
          <w:color w:val="000000"/>
        </w:rPr>
        <w:t>一</w:t>
      </w:r>
      <w:r>
        <w:rPr>
          <w:rStyle w:val="62"/>
          <w:rFonts w:hint="eastAsia" w:ascii="仿宋" w:eastAsia="仿宋"/>
          <w:b w:val="0"/>
          <w:bCs w:val="0"/>
        </w:rPr>
        <w:t>般公共预算财政拨款项目支出决算表</w:t>
      </w:r>
      <w:bookmarkEnd w:id="112"/>
      <w:bookmarkEnd w:id="113"/>
      <w:bookmarkEnd w:id="114"/>
      <w:bookmarkEnd w:id="115"/>
    </w:p>
    <w:p>
      <w:pPr>
        <w:pStyle w:val="5"/>
        <w:rPr>
          <w:rFonts w:ascii="仿宋" w:eastAsia="仿宋"/>
          <w:color w:val="000000"/>
        </w:rPr>
      </w:pPr>
      <w:bookmarkStart w:id="116" w:name="_Toc15396628"/>
      <w:bookmarkStart w:id="117" w:name="_Toc79163895"/>
      <w:bookmarkStart w:id="118" w:name="_Toc79163645"/>
      <w:bookmarkStart w:id="119" w:name="_Toc12997"/>
      <w:r>
        <w:rPr>
          <w:rStyle w:val="62"/>
          <w:rFonts w:hint="eastAsia" w:ascii="仿宋" w:eastAsia="仿宋"/>
          <w:b w:val="0"/>
          <w:bCs w:val="0"/>
        </w:rPr>
        <w:t>十、</w:t>
      </w:r>
      <w:r>
        <w:rPr>
          <w:rFonts w:hint="eastAsia" w:ascii="仿宋" w:eastAsia="仿宋"/>
          <w:b w:val="0"/>
          <w:color w:val="000000"/>
        </w:rPr>
        <w:t>一</w:t>
      </w:r>
      <w:r>
        <w:rPr>
          <w:rStyle w:val="62"/>
          <w:rFonts w:hint="eastAsia" w:ascii="仿宋" w:eastAsia="仿宋"/>
          <w:b w:val="0"/>
          <w:bCs w:val="0"/>
        </w:rPr>
        <w:t>般公共预算财政拨款“三公”经费支出决算表</w:t>
      </w:r>
      <w:bookmarkEnd w:id="116"/>
      <w:bookmarkEnd w:id="117"/>
      <w:bookmarkEnd w:id="118"/>
      <w:bookmarkEnd w:id="119"/>
    </w:p>
    <w:p>
      <w:pPr>
        <w:pStyle w:val="5"/>
        <w:rPr>
          <w:rFonts w:ascii="仿宋" w:eastAsia="仿宋"/>
          <w:color w:val="000000"/>
        </w:rPr>
      </w:pPr>
      <w:bookmarkStart w:id="120" w:name="_Toc15396629"/>
      <w:bookmarkStart w:id="121" w:name="_Toc79163896"/>
      <w:bookmarkStart w:id="122" w:name="_Toc79163646"/>
      <w:bookmarkStart w:id="123" w:name="_Toc13613"/>
      <w:r>
        <w:rPr>
          <w:rStyle w:val="62"/>
          <w:rFonts w:hint="eastAsia" w:ascii="仿宋" w:eastAsia="仿宋"/>
          <w:b w:val="0"/>
          <w:bCs w:val="0"/>
        </w:rPr>
        <w:t>十一、</w:t>
      </w:r>
      <w:r>
        <w:rPr>
          <w:rFonts w:hint="eastAsia" w:ascii="仿宋" w:eastAsia="仿宋"/>
          <w:b w:val="0"/>
          <w:color w:val="000000"/>
        </w:rPr>
        <w:t>政</w:t>
      </w:r>
      <w:r>
        <w:rPr>
          <w:rStyle w:val="62"/>
          <w:rFonts w:hint="eastAsia" w:ascii="仿宋" w:eastAsia="仿宋"/>
          <w:b w:val="0"/>
          <w:bCs w:val="0"/>
        </w:rPr>
        <w:t>府性基金预算财政拨款收入支出决算表</w:t>
      </w:r>
      <w:bookmarkEnd w:id="120"/>
      <w:bookmarkEnd w:id="121"/>
      <w:bookmarkEnd w:id="122"/>
      <w:bookmarkEnd w:id="123"/>
    </w:p>
    <w:p>
      <w:pPr>
        <w:pStyle w:val="5"/>
        <w:rPr>
          <w:rFonts w:ascii="仿宋" w:eastAsia="仿宋"/>
          <w:color w:val="000000"/>
        </w:rPr>
      </w:pPr>
      <w:bookmarkStart w:id="124" w:name="_Toc79163647"/>
      <w:bookmarkStart w:id="125" w:name="_Toc79163897"/>
      <w:bookmarkStart w:id="126" w:name="_Toc15396630"/>
      <w:bookmarkStart w:id="127" w:name="_Toc6395"/>
      <w:r>
        <w:rPr>
          <w:rStyle w:val="62"/>
          <w:rFonts w:hint="eastAsia" w:ascii="仿宋" w:eastAsia="仿宋"/>
          <w:b w:val="0"/>
          <w:bCs w:val="0"/>
        </w:rPr>
        <w:t>十二、</w:t>
      </w:r>
      <w:r>
        <w:rPr>
          <w:rFonts w:hint="eastAsia" w:ascii="仿宋" w:eastAsia="仿宋"/>
          <w:b w:val="0"/>
          <w:color w:val="000000"/>
        </w:rPr>
        <w:t>政</w:t>
      </w:r>
      <w:r>
        <w:rPr>
          <w:rStyle w:val="62"/>
          <w:rFonts w:hint="eastAsia" w:ascii="仿宋" w:eastAsia="仿宋"/>
          <w:b w:val="0"/>
          <w:bCs w:val="0"/>
        </w:rPr>
        <w:t>府性基金预算财政拨款“三公”经费支出决算表</w:t>
      </w:r>
      <w:bookmarkEnd w:id="124"/>
      <w:bookmarkEnd w:id="125"/>
      <w:bookmarkEnd w:id="126"/>
      <w:bookmarkEnd w:id="127"/>
    </w:p>
    <w:p>
      <w:pPr>
        <w:pStyle w:val="5"/>
        <w:rPr>
          <w:rStyle w:val="62"/>
          <w:rFonts w:ascii="仿宋" w:eastAsia="仿宋"/>
          <w:b w:val="0"/>
          <w:bCs w:val="0"/>
        </w:rPr>
      </w:pPr>
      <w:bookmarkStart w:id="128" w:name="_Toc15396631"/>
      <w:bookmarkStart w:id="129" w:name="_Toc79163898"/>
      <w:bookmarkStart w:id="130" w:name="_Toc79163648"/>
      <w:bookmarkStart w:id="131" w:name="_Toc20207"/>
      <w:r>
        <w:rPr>
          <w:rStyle w:val="62"/>
          <w:rFonts w:hint="eastAsia" w:ascii="仿宋" w:eastAsia="仿宋"/>
          <w:b w:val="0"/>
          <w:bCs w:val="0"/>
        </w:rPr>
        <w:t>十三、</w:t>
      </w:r>
      <w:r>
        <w:rPr>
          <w:rFonts w:hint="eastAsia" w:ascii="仿宋" w:eastAsia="仿宋"/>
          <w:b w:val="0"/>
          <w:color w:val="000000"/>
        </w:rPr>
        <w:t>国</w:t>
      </w:r>
      <w:r>
        <w:rPr>
          <w:rStyle w:val="62"/>
          <w:rFonts w:hint="eastAsia" w:ascii="仿宋" w:eastAsia="仿宋"/>
          <w:b w:val="0"/>
          <w:bCs w:val="0"/>
        </w:rPr>
        <w:t>有资本经营预算财政拨款支出决算表</w:t>
      </w:r>
      <w:bookmarkEnd w:id="128"/>
      <w:bookmarkEnd w:id="129"/>
      <w:bookmarkEnd w:id="130"/>
      <w:bookmarkEnd w:id="131"/>
    </w:p>
    <w:p>
      <w:pPr>
        <w:pStyle w:val="5"/>
        <w:rPr>
          <w:rStyle w:val="62"/>
          <w:rFonts w:ascii="仿宋" w:eastAsia="仿宋"/>
          <w:b w:val="0"/>
          <w:bCs w:val="0"/>
        </w:rPr>
      </w:pPr>
      <w:bookmarkStart w:id="132" w:name="_Toc79163899"/>
      <w:bookmarkStart w:id="133" w:name="_Toc79163649"/>
      <w:bookmarkStart w:id="134" w:name="_Toc24999"/>
      <w:r>
        <w:rPr>
          <w:rStyle w:val="62"/>
          <w:rFonts w:hint="eastAsia" w:ascii="仿宋" w:eastAsia="仿宋"/>
          <w:b w:val="0"/>
          <w:bCs w:val="0"/>
        </w:rPr>
        <w:t>十四、国有资本经营预算财政拨款支出决算表</w:t>
      </w:r>
      <w:bookmarkEnd w:id="132"/>
      <w:bookmarkEnd w:id="133"/>
      <w:bookmarkEnd w:id="134"/>
    </w:p>
    <w:p>
      <w:pPr>
        <w:pStyle w:val="5"/>
        <w:pageBreakBefore w:val="0"/>
        <w:kinsoku/>
        <w:wordWrap/>
        <w:overflowPunct/>
        <w:topLinePunct w:val="0"/>
        <w:autoSpaceDE/>
        <w:autoSpaceDN/>
        <w:bidi w:val="0"/>
        <w:spacing w:before="0" w:after="0" w:line="568" w:lineRule="exact"/>
        <w:ind w:firstLine="640" w:firstLineChars="200"/>
        <w:textAlignment w:val="auto"/>
        <w:rPr>
          <w:rFonts w:ascii="黑体" w:eastAsia="黑体" w:cs="Times New Roman"/>
          <w:b w:val="0"/>
          <w:color w:val="00000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0000000000000000000"/>
    <w:charset w:val="86"/>
    <w:family w:val="script"/>
    <w:pitch w:val="default"/>
    <w:sig w:usb0="00000000" w:usb1="00000000" w:usb2="0000001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3"/>
      <w:numFmt w:val="chineseCounting"/>
      <w:suff w:val="nothing"/>
      <w:lvlText w:val="%1、"/>
      <w:lvlJc w:val="left"/>
      <w:rPr>
        <w:rFonts w:hint="eastAsia"/>
      </w:rPr>
    </w:lvl>
  </w:abstractNum>
  <w:abstractNum w:abstractNumId="1">
    <w:nsid w:val="0053208E"/>
    <w:multiLevelType w:val="singleLevel"/>
    <w:tmpl w:val="0053208E"/>
    <w:lvl w:ilvl="0" w:tentative="0">
      <w:start w:val="2"/>
      <w:numFmt w:val="chineseCounting"/>
      <w:suff w:val="nothing"/>
      <w:lvlText w:val="（%1）"/>
      <w:lvlJc w:val="left"/>
      <w:rPr>
        <w:rFonts w:hint="eastAsia"/>
      </w:rPr>
    </w:lvl>
  </w:abstractNum>
  <w:abstractNum w:abstractNumId="2">
    <w:nsid w:val="64C363FF"/>
    <w:multiLevelType w:val="singleLevel"/>
    <w:tmpl w:val="64C363FF"/>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VjNTFhNjZhYzViNzIyMmI2MTkwNTYxZGJjNjI4ZTg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7A0E8D"/>
    <w:rsid w:val="03F359AA"/>
    <w:rsid w:val="0463543B"/>
    <w:rsid w:val="04A56E6E"/>
    <w:rsid w:val="051A6F96"/>
    <w:rsid w:val="06951176"/>
    <w:rsid w:val="07001BE1"/>
    <w:rsid w:val="07267DE7"/>
    <w:rsid w:val="089C4B49"/>
    <w:rsid w:val="09081517"/>
    <w:rsid w:val="091B747D"/>
    <w:rsid w:val="0A19737C"/>
    <w:rsid w:val="0B7218AA"/>
    <w:rsid w:val="0B99373B"/>
    <w:rsid w:val="0BA37CB5"/>
    <w:rsid w:val="0D0429D6"/>
    <w:rsid w:val="0D093B48"/>
    <w:rsid w:val="0D322E51"/>
    <w:rsid w:val="0D6C338E"/>
    <w:rsid w:val="0DB37F58"/>
    <w:rsid w:val="0F5E6610"/>
    <w:rsid w:val="10C055FF"/>
    <w:rsid w:val="11D56DF6"/>
    <w:rsid w:val="11ED6591"/>
    <w:rsid w:val="13367661"/>
    <w:rsid w:val="158112EE"/>
    <w:rsid w:val="16BB723D"/>
    <w:rsid w:val="17BC7656"/>
    <w:rsid w:val="17EA348C"/>
    <w:rsid w:val="1840212F"/>
    <w:rsid w:val="19943114"/>
    <w:rsid w:val="1AB026BC"/>
    <w:rsid w:val="1ABB32B6"/>
    <w:rsid w:val="1BF70747"/>
    <w:rsid w:val="1C06153F"/>
    <w:rsid w:val="1C986C96"/>
    <w:rsid w:val="1D7371C3"/>
    <w:rsid w:val="1DDC2BB3"/>
    <w:rsid w:val="1E34479D"/>
    <w:rsid w:val="1EF81F78"/>
    <w:rsid w:val="1F620905"/>
    <w:rsid w:val="201A6AB0"/>
    <w:rsid w:val="203B66A0"/>
    <w:rsid w:val="211A679A"/>
    <w:rsid w:val="23902475"/>
    <w:rsid w:val="240371BF"/>
    <w:rsid w:val="2435534E"/>
    <w:rsid w:val="24534F10"/>
    <w:rsid w:val="24DF6C66"/>
    <w:rsid w:val="253D03DB"/>
    <w:rsid w:val="25A20B86"/>
    <w:rsid w:val="25B1070F"/>
    <w:rsid w:val="25DD571A"/>
    <w:rsid w:val="265C1D1F"/>
    <w:rsid w:val="26BB36DB"/>
    <w:rsid w:val="271C5A93"/>
    <w:rsid w:val="276F1834"/>
    <w:rsid w:val="27B459F9"/>
    <w:rsid w:val="27C51E91"/>
    <w:rsid w:val="28513369"/>
    <w:rsid w:val="28BF6D42"/>
    <w:rsid w:val="29FD04D3"/>
    <w:rsid w:val="2CAE1BBE"/>
    <w:rsid w:val="2CCF04B2"/>
    <w:rsid w:val="2E4C04E0"/>
    <w:rsid w:val="2F803D16"/>
    <w:rsid w:val="31810DA9"/>
    <w:rsid w:val="31903F88"/>
    <w:rsid w:val="319F7F4E"/>
    <w:rsid w:val="329448A6"/>
    <w:rsid w:val="32F45598"/>
    <w:rsid w:val="35244754"/>
    <w:rsid w:val="364D41F6"/>
    <w:rsid w:val="36FD0156"/>
    <w:rsid w:val="38F8371D"/>
    <w:rsid w:val="39226F5F"/>
    <w:rsid w:val="39902098"/>
    <w:rsid w:val="3A3A0F35"/>
    <w:rsid w:val="3A4E1148"/>
    <w:rsid w:val="3C8D2F9D"/>
    <w:rsid w:val="3CE0510E"/>
    <w:rsid w:val="3D1E4B3E"/>
    <w:rsid w:val="3E03620E"/>
    <w:rsid w:val="3E343C22"/>
    <w:rsid w:val="3F512FA9"/>
    <w:rsid w:val="3FAC4683"/>
    <w:rsid w:val="3FEA5DFB"/>
    <w:rsid w:val="401C35B7"/>
    <w:rsid w:val="4119235A"/>
    <w:rsid w:val="41677310"/>
    <w:rsid w:val="422C2C46"/>
    <w:rsid w:val="4251506E"/>
    <w:rsid w:val="43684120"/>
    <w:rsid w:val="444F07DA"/>
    <w:rsid w:val="44601E28"/>
    <w:rsid w:val="475E72DC"/>
    <w:rsid w:val="47F514AF"/>
    <w:rsid w:val="4839282C"/>
    <w:rsid w:val="48FD75BD"/>
    <w:rsid w:val="4A745623"/>
    <w:rsid w:val="4D135D42"/>
    <w:rsid w:val="4D846266"/>
    <w:rsid w:val="4D8D78A2"/>
    <w:rsid w:val="4DF123A8"/>
    <w:rsid w:val="4E832A53"/>
    <w:rsid w:val="4F6F7A34"/>
    <w:rsid w:val="4FD74194"/>
    <w:rsid w:val="4FDA49F5"/>
    <w:rsid w:val="50AE413E"/>
    <w:rsid w:val="51E1640E"/>
    <w:rsid w:val="51EE42CA"/>
    <w:rsid w:val="52302EF2"/>
    <w:rsid w:val="52ED6284"/>
    <w:rsid w:val="5322283B"/>
    <w:rsid w:val="532B0C13"/>
    <w:rsid w:val="53BE2B80"/>
    <w:rsid w:val="541505F1"/>
    <w:rsid w:val="54992FD0"/>
    <w:rsid w:val="55872E29"/>
    <w:rsid w:val="56D0674C"/>
    <w:rsid w:val="58BA52C3"/>
    <w:rsid w:val="59E11CD3"/>
    <w:rsid w:val="5BE202EA"/>
    <w:rsid w:val="5CFA7F1D"/>
    <w:rsid w:val="5E2506F8"/>
    <w:rsid w:val="5EA316D6"/>
    <w:rsid w:val="5F3A07D2"/>
    <w:rsid w:val="5F593A88"/>
    <w:rsid w:val="60651EAC"/>
    <w:rsid w:val="60BB3927"/>
    <w:rsid w:val="62A42EE2"/>
    <w:rsid w:val="630D013F"/>
    <w:rsid w:val="63347FC4"/>
    <w:rsid w:val="63604CB9"/>
    <w:rsid w:val="64A36D0B"/>
    <w:rsid w:val="64C656C1"/>
    <w:rsid w:val="65DF63C9"/>
    <w:rsid w:val="662A7F2C"/>
    <w:rsid w:val="68DA2DB6"/>
    <w:rsid w:val="69725134"/>
    <w:rsid w:val="6B4666B6"/>
    <w:rsid w:val="6CC85DA9"/>
    <w:rsid w:val="6D8F2D6B"/>
    <w:rsid w:val="6DC31436"/>
    <w:rsid w:val="6E3644D7"/>
    <w:rsid w:val="6ECB49CF"/>
    <w:rsid w:val="6ECB5A2B"/>
    <w:rsid w:val="70202A42"/>
    <w:rsid w:val="703B0532"/>
    <w:rsid w:val="72227D09"/>
    <w:rsid w:val="72E476B5"/>
    <w:rsid w:val="73BE3A62"/>
    <w:rsid w:val="746C7E4B"/>
    <w:rsid w:val="750E6C6B"/>
    <w:rsid w:val="755E374E"/>
    <w:rsid w:val="76377F56"/>
    <w:rsid w:val="764B35A7"/>
    <w:rsid w:val="78A4106B"/>
    <w:rsid w:val="79975481"/>
    <w:rsid w:val="7A1B4027"/>
    <w:rsid w:val="7A965738"/>
    <w:rsid w:val="7ABC1C9C"/>
    <w:rsid w:val="7B022DCE"/>
    <w:rsid w:val="7B272834"/>
    <w:rsid w:val="7B8F71DF"/>
    <w:rsid w:val="7CB2612E"/>
    <w:rsid w:val="7CC25607"/>
    <w:rsid w:val="7DE859ED"/>
    <w:rsid w:val="7E4C61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6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99"/>
    <w:pPr>
      <w:tabs>
        <w:tab w:val="left" w:pos="960"/>
      </w:tabs>
      <w:ind w:firstLine="420" w:firstLineChars="200"/>
    </w:pPr>
  </w:style>
  <w:style w:type="paragraph" w:styleId="3">
    <w:name w:val="Body Text Indent"/>
    <w:basedOn w:val="1"/>
    <w:next w:val="2"/>
    <w:qFormat/>
    <w:uiPriority w:val="99"/>
    <w:pPr>
      <w:tabs>
        <w:tab w:val="left" w:pos="960"/>
      </w:tabs>
      <w:spacing w:line="540" w:lineRule="exact"/>
      <w:ind w:firstLine="5440" w:firstLineChars="1700"/>
    </w:pPr>
    <w:rPr>
      <w:sz w:val="32"/>
      <w:szCs w:val="32"/>
    </w:rPr>
  </w:style>
  <w:style w:type="paragraph" w:styleId="7">
    <w:name w:val="Normal Indent"/>
    <w:basedOn w:val="1"/>
    <w:unhideWhenUsed/>
    <w:qFormat/>
    <w:uiPriority w:val="99"/>
    <w:pPr>
      <w:ind w:firstLine="680"/>
    </w:pPr>
  </w:style>
  <w:style w:type="paragraph" w:styleId="8">
    <w:name w:val="annotation text"/>
    <w:basedOn w:val="1"/>
    <w:semiHidden/>
    <w:unhideWhenUsed/>
    <w:qFormat/>
    <w:uiPriority w:val="99"/>
    <w:pPr>
      <w:jc w:val="left"/>
    </w:pPr>
  </w:style>
  <w:style w:type="paragraph" w:styleId="9">
    <w:name w:val="Body Text"/>
    <w:basedOn w:val="1"/>
    <w:link w:val="28"/>
    <w:qFormat/>
    <w:uiPriority w:val="99"/>
    <w:pPr>
      <w:spacing w:beforeLines="30"/>
    </w:pPr>
    <w:rPr>
      <w:rFonts w:ascii="仿宋_GB2312" w:eastAsia="仿宋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5"/>
    <w:semiHidden/>
    <w:unhideWhenUsed/>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able of figures"/>
    <w:basedOn w:val="1"/>
    <w:next w:val="1"/>
    <w:qFormat/>
    <w:uiPriority w:val="0"/>
    <w:pPr>
      <w:ind w:left="200" w:leftChars="200" w:hanging="200" w:hangingChars="200"/>
    </w:p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rPr>
  </w:style>
  <w:style w:type="character" w:styleId="21">
    <w:name w:val="annotation reference"/>
    <w:basedOn w:val="18"/>
    <w:semiHidden/>
    <w:unhideWhenUsed/>
    <w:qFormat/>
    <w:uiPriority w:val="99"/>
    <w:rPr>
      <w:sz w:val="21"/>
      <w:szCs w:val="21"/>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3">
    <w:name w:val="Header Char"/>
    <w:basedOn w:val="18"/>
    <w:semiHidden/>
    <w:qFormat/>
    <w:uiPriority w:val="99"/>
    <w:rPr>
      <w:rFonts w:ascii="Times New Roman" w:hAnsi="Times New Roman"/>
      <w:sz w:val="18"/>
      <w:szCs w:val="18"/>
    </w:rPr>
  </w:style>
  <w:style w:type="character" w:customStyle="1" w:styleId="24">
    <w:name w:val="页眉 字符"/>
    <w:link w:val="13"/>
    <w:semiHidden/>
    <w:qFormat/>
    <w:locked/>
    <w:uiPriority w:val="99"/>
    <w:rPr>
      <w:sz w:val="18"/>
    </w:rPr>
  </w:style>
  <w:style w:type="character" w:customStyle="1" w:styleId="25">
    <w:name w:val="Footer Char"/>
    <w:basedOn w:val="18"/>
    <w:semiHidden/>
    <w:qFormat/>
    <w:uiPriority w:val="99"/>
    <w:rPr>
      <w:rFonts w:ascii="Times New Roman" w:hAnsi="Times New Roman"/>
      <w:sz w:val="18"/>
      <w:szCs w:val="18"/>
    </w:rPr>
  </w:style>
  <w:style w:type="character" w:customStyle="1" w:styleId="26">
    <w:name w:val="页脚 字符"/>
    <w:link w:val="12"/>
    <w:qFormat/>
    <w:locked/>
    <w:uiPriority w:val="99"/>
    <w:rPr>
      <w:sz w:val="18"/>
    </w:rPr>
  </w:style>
  <w:style w:type="character" w:customStyle="1" w:styleId="27">
    <w:name w:val="Body Text Char"/>
    <w:basedOn w:val="18"/>
    <w:semiHidden/>
    <w:qFormat/>
    <w:uiPriority w:val="99"/>
    <w:rPr>
      <w:rFonts w:ascii="Times New Roman" w:hAnsi="Times New Roman"/>
      <w:szCs w:val="24"/>
    </w:rPr>
  </w:style>
  <w:style w:type="character" w:customStyle="1" w:styleId="28">
    <w:name w:val="正文文本 字符"/>
    <w:link w:val="9"/>
    <w:qFormat/>
    <w:locked/>
    <w:uiPriority w:val="99"/>
    <w:rPr>
      <w:rFonts w:ascii="仿宋_GB2312" w:hAnsi="Times New Roman" w:eastAsia="仿宋_GB2312"/>
      <w:sz w:val="24"/>
    </w:rPr>
  </w:style>
  <w:style w:type="paragraph" w:styleId="29">
    <w:name w:val="List Paragraph"/>
    <w:basedOn w:val="1"/>
    <w:qFormat/>
    <w:uiPriority w:val="34"/>
    <w:pPr>
      <w:ind w:firstLine="420" w:firstLineChars="200"/>
    </w:pPr>
  </w:style>
  <w:style w:type="character" w:customStyle="1" w:styleId="30">
    <w:name w:val="标题 1 字符"/>
    <w:basedOn w:val="18"/>
    <w:link w:val="31"/>
    <w:qFormat/>
    <w:uiPriority w:val="9"/>
    <w:rPr>
      <w:rFonts w:ascii="Times New Roman" w:hAnsi="Times New Roman"/>
      <w:b/>
      <w:bCs/>
      <w:kern w:val="44"/>
      <w:sz w:val="44"/>
      <w:szCs w:val="44"/>
    </w:rPr>
  </w:style>
  <w:style w:type="paragraph" w:customStyle="1" w:styleId="31">
    <w:name w:val="footerf3c0958c"/>
    <w:basedOn w:val="32"/>
    <w:link w:val="3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customStyle="1" w:styleId="32">
    <w:name w:val="Normald03487e2"/>
    <w:next w:val="5"/>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customStyle="1" w:styleId="33">
    <w:name w:val="标题 2 字符"/>
    <w:basedOn w:val="18"/>
    <w:link w:val="5"/>
    <w:qFormat/>
    <w:uiPriority w:val="9"/>
    <w:rPr>
      <w:rFonts w:asciiTheme="majorHAnsi" w:hAnsiTheme="majorHAnsi" w:eastAsiaTheme="majorEastAsia" w:cstheme="majorBidi"/>
      <w:b/>
      <w:bCs/>
      <w:kern w:val="2"/>
      <w:sz w:val="32"/>
      <w:szCs w:val="32"/>
    </w:rPr>
  </w:style>
  <w:style w:type="paragraph" w:customStyle="1" w:styleId="34">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5">
    <w:name w:val="批注框文本 字符"/>
    <w:basedOn w:val="18"/>
    <w:link w:val="11"/>
    <w:semiHidden/>
    <w:qFormat/>
    <w:uiPriority w:val="99"/>
    <w:rPr>
      <w:rFonts w:ascii="Times New Roman" w:hAnsi="Times New Roman"/>
      <w:kern w:val="2"/>
      <w:sz w:val="18"/>
      <w:szCs w:val="18"/>
    </w:rPr>
  </w:style>
  <w:style w:type="character" w:customStyle="1" w:styleId="36">
    <w:name w:val="标题 3 字符"/>
    <w:basedOn w:val="18"/>
    <w:link w:val="6"/>
    <w:qFormat/>
    <w:uiPriority w:val="9"/>
    <w:rPr>
      <w:rFonts w:ascii="Times New Roman" w:hAnsi="Times New Roman"/>
      <w:b/>
      <w:bCs/>
      <w:kern w:val="2"/>
      <w:sz w:val="32"/>
      <w:szCs w:val="32"/>
    </w:rPr>
  </w:style>
  <w:style w:type="paragraph" w:customStyle="1" w:styleId="37">
    <w:name w:val="Normal5696564a"/>
    <w:next w:val="5"/>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customStyle="1" w:styleId="38">
    <w:name w:val="heading 15"/>
    <w:basedOn w:val="37"/>
    <w:next w:val="4"/>
    <w:link w:val="60"/>
    <w:qFormat/>
    <w:uiPriority w:val="0"/>
    <w:pPr>
      <w:keepNext/>
      <w:keepLines/>
      <w:spacing w:before="340" w:after="330" w:line="578" w:lineRule="auto"/>
      <w:outlineLvl w:val="0"/>
    </w:pPr>
    <w:rPr>
      <w:b/>
      <w:bCs/>
      <w:kern w:val="44"/>
      <w:sz w:val="44"/>
      <w:szCs w:val="44"/>
    </w:rPr>
  </w:style>
  <w:style w:type="character" w:customStyle="1" w:styleId="39">
    <w:name w:val="Default Paragraph Font13"/>
    <w:semiHidden/>
    <w:unhideWhenUsed/>
    <w:qFormat/>
    <w:uiPriority w:val="1"/>
  </w:style>
  <w:style w:type="table" w:customStyle="1" w:styleId="40">
    <w:name w:val="Normal Table12"/>
    <w:semiHidden/>
    <w:unhideWhenUsed/>
    <w:qFormat/>
    <w:uiPriority w:val="99"/>
    <w:tblPr>
      <w:tblCellMar>
        <w:top w:w="0" w:type="dxa"/>
        <w:left w:w="108" w:type="dxa"/>
        <w:bottom w:w="0" w:type="dxa"/>
        <w:right w:w="108" w:type="dxa"/>
      </w:tblCellMar>
    </w:tblPr>
  </w:style>
  <w:style w:type="paragraph" w:customStyle="1" w:styleId="41">
    <w:name w:val="Body Text First Indent 2b65d487b"/>
    <w:basedOn w:val="6"/>
    <w:next w:val="42"/>
    <w:unhideWhenUsed/>
    <w:qFormat/>
    <w:uiPriority w:val="99"/>
    <w:pPr>
      <w:keepNext w:val="0"/>
      <w:keepLines w:val="0"/>
      <w:widowControl w:val="0"/>
      <w:suppressLineNumbers w:val="0"/>
      <w:spacing w:before="0" w:beforeAutospacing="0" w:after="120" w:afterAutospacing="0"/>
      <w:ind w:left="420" w:leftChars="200" w:right="0" w:firstLine="420" w:firstLineChars="200"/>
      <w:jc w:val="both"/>
    </w:pPr>
    <w:rPr>
      <w:rFonts w:hint="eastAsia" w:ascii="Times New Roman" w:hAnsi="Times New Roman" w:eastAsia="宋体" w:cs="Times New Roman"/>
      <w:kern w:val="2"/>
      <w:sz w:val="21"/>
      <w:szCs w:val="24"/>
      <w:lang w:val="en-US" w:eastAsia="zh-CN" w:bidi="ar-SA"/>
    </w:rPr>
  </w:style>
  <w:style w:type="paragraph" w:customStyle="1" w:styleId="42">
    <w:name w:val="footer4"/>
    <w:basedOn w:val="37"/>
    <w:unhideWhenUsed/>
    <w:qFormat/>
    <w:uiPriority w:val="99"/>
    <w:pPr>
      <w:tabs>
        <w:tab w:val="center" w:pos="4153"/>
        <w:tab w:val="right" w:pos="8306"/>
      </w:tabs>
      <w:snapToGrid w:val="0"/>
      <w:jc w:val="left"/>
    </w:pPr>
    <w:rPr>
      <w:sz w:val="18"/>
      <w:szCs w:val="18"/>
      <w:lang w:val="zh-CN"/>
    </w:rPr>
  </w:style>
  <w:style w:type="paragraph" w:customStyle="1" w:styleId="43">
    <w:name w:val="Body Text Indente7138b1f"/>
    <w:basedOn w:val="37"/>
    <w:next w:val="5"/>
    <w:qFormat/>
    <w:uiPriority w:val="0"/>
    <w:pPr>
      <w:spacing w:line="500" w:lineRule="exact"/>
      <w:ind w:firstLine="720" w:firstLineChars="240"/>
    </w:pPr>
    <w:rPr>
      <w:rFonts w:ascii="仿宋_GB2312"/>
      <w:b/>
      <w:sz w:val="30"/>
      <w:szCs w:val="24"/>
    </w:rPr>
  </w:style>
  <w:style w:type="paragraph" w:customStyle="1" w:styleId="44">
    <w:name w:val="Body Text6"/>
    <w:basedOn w:val="37"/>
    <w:link w:val="59"/>
    <w:qFormat/>
    <w:uiPriority w:val="0"/>
    <w:rPr>
      <w:rFonts w:ascii="宋体" w:hAnsi="宋体"/>
      <w:sz w:val="32"/>
    </w:rPr>
  </w:style>
  <w:style w:type="paragraph" w:customStyle="1" w:styleId="45">
    <w:name w:val="header7"/>
    <w:basedOn w:val="37"/>
    <w:unhideWhenUsed/>
    <w:qFormat/>
    <w:uiPriority w:val="99"/>
    <w:pPr>
      <w:pBdr>
        <w:bottom w:val="single" w:color="auto" w:sz="6" w:space="1"/>
      </w:pBdr>
      <w:tabs>
        <w:tab w:val="center" w:pos="4153"/>
        <w:tab w:val="right" w:pos="8306"/>
      </w:tabs>
      <w:snapToGrid w:val="0"/>
      <w:jc w:val="center"/>
    </w:pPr>
    <w:rPr>
      <w:sz w:val="18"/>
      <w:szCs w:val="18"/>
      <w:lang w:val="zh-CN"/>
    </w:rPr>
  </w:style>
  <w:style w:type="paragraph" w:customStyle="1" w:styleId="46">
    <w:name w:val="table of figures8"/>
    <w:basedOn w:val="37"/>
    <w:next w:val="4"/>
    <w:qFormat/>
    <w:uiPriority w:val="0"/>
    <w:pPr>
      <w:ind w:left="200" w:leftChars="200" w:hanging="200" w:hangingChars="200"/>
    </w:pPr>
    <w:rPr>
      <w:szCs w:val="24"/>
    </w:rPr>
  </w:style>
  <w:style w:type="paragraph" w:customStyle="1" w:styleId="47">
    <w:name w:val="Body Text 29"/>
    <w:basedOn w:val="37"/>
    <w:qFormat/>
    <w:uiPriority w:val="0"/>
    <w:pPr>
      <w:spacing w:after="120" w:afterLines="0" w:line="480" w:lineRule="auto"/>
    </w:pPr>
  </w:style>
  <w:style w:type="paragraph" w:customStyle="1" w:styleId="48">
    <w:name w:val="Normal (Web)9eee3680"/>
    <w:basedOn w:val="37"/>
    <w:next w:val="4"/>
    <w:qFormat/>
    <w:uiPriority w:val="0"/>
    <w:pPr>
      <w:widowControl w:val="0"/>
      <w:spacing w:before="100" w:beforeAutospacing="1" w:after="100" w:afterAutospacing="1"/>
    </w:pPr>
    <w:rPr>
      <w:rFonts w:ascii="Times New Roman" w:hAnsi="Times New Roman" w:eastAsia="宋体" w:cs="Times New Roman"/>
      <w:sz w:val="24"/>
      <w:szCs w:val="24"/>
      <w:lang w:val="en-US" w:eastAsia="zh-CN" w:bidi="ar-SA"/>
    </w:rPr>
  </w:style>
  <w:style w:type="paragraph" w:customStyle="1" w:styleId="49">
    <w:name w:val="Title11"/>
    <w:basedOn w:val="37"/>
    <w:qFormat/>
    <w:uiPriority w:val="0"/>
    <w:pPr>
      <w:spacing w:before="240" w:after="60"/>
      <w:jc w:val="center"/>
      <w:outlineLvl w:val="0"/>
    </w:pPr>
    <w:rPr>
      <w:rFonts w:ascii="Arial" w:hAnsi="Arial" w:cs="Arial"/>
      <w:b/>
      <w:bCs/>
      <w:sz w:val="32"/>
      <w:szCs w:val="32"/>
    </w:rPr>
  </w:style>
  <w:style w:type="character" w:customStyle="1" w:styleId="50">
    <w:name w:val="Strong14"/>
    <w:basedOn w:val="39"/>
    <w:qFormat/>
    <w:uiPriority w:val="99"/>
    <w:rPr>
      <w:rFonts w:cs="Times New Roman"/>
      <w:b/>
      <w:bCs/>
    </w:rPr>
  </w:style>
  <w:style w:type="paragraph" w:customStyle="1" w:styleId="51">
    <w:name w:val="四号正文15"/>
    <w:basedOn w:val="37"/>
    <w:qFormat/>
    <w:uiPriority w:val="0"/>
    <w:pPr>
      <w:spacing w:line="360" w:lineRule="auto"/>
    </w:pPr>
    <w:rPr>
      <w:rFonts w:ascii="??" w:hAnsi="??" w:eastAsia="宋体"/>
      <w:color w:val="000000"/>
      <w:kern w:val="0"/>
      <w:sz w:val="28"/>
      <w:szCs w:val="21"/>
      <w:lang w:val="zh-CN"/>
    </w:rPr>
  </w:style>
  <w:style w:type="paragraph" w:customStyle="1" w:styleId="52">
    <w:name w:val="No Spacing16"/>
    <w:qFormat/>
    <w:uiPriority w:val="1"/>
    <w:pPr>
      <w:widowControl w:val="0"/>
      <w:jc w:val="both"/>
    </w:pPr>
    <w:rPr>
      <w:rFonts w:ascii="Calibri" w:hAnsi="Calibri" w:eastAsia="宋体" w:cs="Times New Roman"/>
      <w:kern w:val="2"/>
      <w:sz w:val="21"/>
      <w:szCs w:val="22"/>
      <w:lang w:val="en-US" w:eastAsia="zh-CN" w:bidi="ar-SA"/>
    </w:rPr>
  </w:style>
  <w:style w:type="character" w:customStyle="1" w:styleId="53">
    <w:name w:val="Default Paragraph Font7237e9aa"/>
    <w:semiHidden/>
    <w:unhideWhenUsed/>
    <w:qFormat/>
    <w:uiPriority w:val="1"/>
  </w:style>
  <w:style w:type="table" w:customStyle="1" w:styleId="54">
    <w:name w:val="Normal Table92d3b637"/>
    <w:semiHidden/>
    <w:unhideWhenUsed/>
    <w:qFormat/>
    <w:uiPriority w:val="99"/>
    <w:tblPr>
      <w:tblCellMar>
        <w:top w:w="0" w:type="dxa"/>
        <w:left w:w="108" w:type="dxa"/>
        <w:bottom w:w="0" w:type="dxa"/>
        <w:right w:w="108" w:type="dxa"/>
      </w:tblCellMar>
    </w:tblPr>
  </w:style>
  <w:style w:type="paragraph" w:customStyle="1" w:styleId="55">
    <w:name w:val="Body Text First Indent 2e5465f2c"/>
    <w:basedOn w:val="6"/>
    <w:qFormat/>
    <w:uiPriority w:val="0"/>
    <w:pPr>
      <w:tabs>
        <w:tab w:val="left" w:pos="960"/>
      </w:tabs>
      <w:ind w:firstLine="420" w:firstLineChars="200"/>
    </w:pPr>
  </w:style>
  <w:style w:type="paragraph" w:customStyle="1" w:styleId="56">
    <w:name w:val="Body Text Indente966cec1"/>
    <w:basedOn w:val="32"/>
    <w:next w:val="5"/>
    <w:qFormat/>
    <w:uiPriority w:val="0"/>
    <w:pPr>
      <w:tabs>
        <w:tab w:val="left" w:pos="960"/>
      </w:tabs>
      <w:spacing w:line="540" w:lineRule="exact"/>
      <w:ind w:firstLine="5440" w:firstLineChars="1700"/>
    </w:pPr>
    <w:rPr>
      <w:sz w:val="32"/>
      <w:szCs w:val="32"/>
    </w:rPr>
  </w:style>
  <w:style w:type="paragraph" w:customStyle="1" w:styleId="57">
    <w:name w:val="Body Text21511c7c"/>
    <w:basedOn w:val="32"/>
    <w:qFormat/>
    <w:uiPriority w:val="99"/>
    <w:pPr>
      <w:spacing w:beforeLines="30"/>
    </w:pPr>
    <w:rPr>
      <w:rFonts w:ascii="仿宋_GB2312" w:eastAsia="仿宋_GB2312"/>
      <w:kern w:val="0"/>
      <w:sz w:val="30"/>
    </w:rPr>
  </w:style>
  <w:style w:type="paragraph" w:customStyle="1" w:styleId="58">
    <w:name w:val="header023862d6"/>
    <w:basedOn w:val="32"/>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59">
    <w:name w:val="页眉 Char8afa7e28"/>
    <w:basedOn w:val="53"/>
    <w:link w:val="44"/>
    <w:semiHidden/>
    <w:qFormat/>
    <w:uiPriority w:val="99"/>
    <w:rPr>
      <w:sz w:val="18"/>
      <w:szCs w:val="18"/>
    </w:rPr>
  </w:style>
  <w:style w:type="character" w:customStyle="1" w:styleId="60">
    <w:name w:val="页脚 Char19acf7f4"/>
    <w:basedOn w:val="53"/>
    <w:link w:val="38"/>
    <w:semiHidden/>
    <w:qFormat/>
    <w:uiPriority w:val="99"/>
    <w:rPr>
      <w:sz w:val="18"/>
      <w:szCs w:val="18"/>
    </w:rPr>
  </w:style>
  <w:style w:type="character" w:customStyle="1" w:styleId="61">
    <w:name w:val="heading 1 Char"/>
    <w:basedOn w:val="18"/>
    <w:link w:val="4"/>
    <w:qFormat/>
    <w:uiPriority w:val="0"/>
    <w:rPr>
      <w:rFonts w:ascii="Times New Roman" w:hAnsi="Times New Roman" w:eastAsia="宋体" w:cs="Times New Roman"/>
      <w:b/>
      <w:bCs/>
      <w:kern w:val="44"/>
      <w:sz w:val="44"/>
      <w:szCs w:val="44"/>
      <w:lang w:val="en-US" w:eastAsia="zh-CN" w:bidi="ar-SA"/>
    </w:rPr>
  </w:style>
  <w:style w:type="character" w:customStyle="1" w:styleId="62">
    <w:name w:val="heading 2 Char"/>
    <w:basedOn w:val="18"/>
    <w:link w:val="5"/>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{356.15,365.86}</c:f>
              <c:numCache>
                <c:formatCode>General</c:formatCode>
                <c:ptCount val="2"/>
                <c:pt idx="0">
                  <c:v>356.15</c:v>
                </c:pt>
                <c:pt idx="1">
                  <c:v>365.86</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{356.15,365.86}</c:f>
              <c:numCache>
                <c:formatCode>General</c:formatCode>
                <c:ptCount val="2"/>
                <c:pt idx="0">
                  <c:v>356.15</c:v>
                </c:pt>
                <c:pt idx="1">
                  <c:v>365.86</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{3308783.08,0,0,0,0,0,0,0}</c:f>
              <c:numCache>
                <c:formatCode>General</c:formatCode>
                <c:ptCount val="8"/>
                <c:pt idx="0">
                  <c:v>3308783.08</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{3021283.08,637316.16,0,0,0}</c:f>
              <c:numCache>
                <c:formatCode>General</c:formatCode>
                <c:ptCount val="5"/>
                <c:pt idx="0">
                  <c:v>3021283.08</c:v>
                </c:pt>
                <c:pt idx="1">
                  <c:v>637316.16</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{356.15,365.86}</c:f>
              <c:numCache>
                <c:formatCode>General</c:formatCode>
                <c:ptCount val="2"/>
                <c:pt idx="0">
                  <c:v>356.15</c:v>
                </c:pt>
                <c:pt idx="1">
                  <c:v>365.86</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{356.15,365.86}</c:f>
              <c:numCache>
                <c:formatCode>General</c:formatCode>
                <c:ptCount val="2"/>
                <c:pt idx="0">
                  <c:v>356.15</c:v>
                </c:pt>
                <c:pt idx="1">
                  <c:v>365.86</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2020</c:f>
              <c:strCache>
                <c:ptCount val="1"/>
                <c:pt idx="0">
                  <c:v>2020</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{321.15}</c:f>
              <c:numCache>
                <c:formatCode>General</c:formatCode>
                <c:ptCount val="1"/>
                <c:pt idx="0">
                  <c:v>321.15</c:v>
                </c:pt>
              </c:numCache>
            </c:numRef>
          </c:val>
        </c:ser>
        <c:ser>
          <c:idx val="2"/>
          <c:order val="1"/>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{365.86}</c:f>
              <c:numCache>
                <c:formatCode>General</c:formatCode>
                <c:ptCount val="1"/>
                <c:pt idx="0">
                  <c:v>365.86</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{"公共安全支出","社会保障和就业支出","卫生健康支出","农林水支出","住房保障支出"}</c:f>
              <c:strCache>
                <c:ptCount val="5"/>
                <c:pt idx="0">
                  <c:v>公共安全支出</c:v>
                </c:pt>
                <c:pt idx="1">
                  <c:v>社会保障和就业支出</c:v>
                </c:pt>
                <c:pt idx="2">
                  <c:v>卫生健康支出</c:v>
                </c:pt>
                <c:pt idx="3">
                  <c:v>农林水支出</c:v>
                </c:pt>
                <c:pt idx="4">
                  <c:v>住房保障支出</c:v>
                </c:pt>
              </c:strCache>
            </c:strRef>
          </c:cat>
          <c:val>
            <c:numRef>
              <c:f>{303.93,27.03,13.81,0.33,20.75}</c:f>
              <c:numCache>
                <c:formatCode>General</c:formatCode>
                <c:ptCount val="5"/>
                <c:pt idx="0">
                  <c:v>303.93</c:v>
                </c:pt>
                <c:pt idx="1">
                  <c:v>27.03</c:v>
                </c:pt>
                <c:pt idx="2">
                  <c:v>13.81</c:v>
                </c:pt>
                <c:pt idx="3">
                  <c:v>0.33</c:v>
                </c:pt>
                <c:pt idx="4">
                  <c:v>20.75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{0,0,0.75}</c:f>
              <c:numCache>
                <c:formatCode>General</c:formatCode>
                <c:ptCount val="3"/>
                <c:pt idx="0">
                  <c:v>0</c:v>
                </c:pt>
                <c:pt idx="1">
                  <c:v>0</c:v>
                </c:pt>
                <c:pt idx="2">
                  <c:v>0.75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8975</Words>
  <Characters>10075</Characters>
  <Lines>51</Lines>
  <Paragraphs>14</Paragraphs>
  <TotalTime>1</TotalTime>
  <ScaleCrop>false</ScaleCrop>
  <LinksUpToDate>false</LinksUpToDate>
  <CharactersWithSpaces>10186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2022-08-17T01:31:00Z</dcterms:created>
  <dc:creator>lgk</dc:creator>
  <cp:lastModifiedBy>王琴</cp:lastModifiedBy>
  <cp:lastPrinted>2022-09-26T03:42:58Z</cp:lastPrinted>
  <dcterms:modified xsi:type="dcterms:W3CDTF">2022-09-26T03:42:59Z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B93CA6F4BEAD4F359769D1203595D585</vt:lpwstr>
  </property>
</Properties>
</file>