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96475"/>
      <w:bookmarkStart w:id="1" w:name="_Toc15396597"/>
      <w:bookmarkStart w:id="2" w:name="_Toc15377425"/>
      <w:bookmarkStart w:id="3" w:name="_Toc15378441"/>
      <w:bookmarkStart w:id="4" w:name="_Toc15377193"/>
      <w:bookmarkStart w:id="5" w:name="_Toc15306267"/>
    </w:p>
    <w:p>
      <w:pPr>
        <w:pStyle w:val="7"/>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06268"/>
      <w:bookmarkStart w:id="7" w:name="_Toc15377426"/>
      <w:bookmarkStart w:id="8" w:name="_Toc15396476"/>
      <w:bookmarkStart w:id="9" w:name="_Toc15396598"/>
      <w:bookmarkStart w:id="10" w:name="_Toc15378442"/>
      <w:bookmarkStart w:id="11" w:name="_Toc15377194"/>
      <w:r>
        <w:rPr>
          <w:rFonts w:asciiTheme="minorEastAsia" w:hAnsiTheme="minorEastAsia" w:eastAsiaTheme="minorEastAsia"/>
          <w:b/>
          <w:sz w:val="72"/>
          <w:szCs w:val="72"/>
        </w:rPr>
        <w:t>阿坝州茂县委员会政法委委员会</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7"/>
      </w:pPr>
    </w:p>
    <w:p>
      <w:pPr>
        <w:pStyle w:val="7"/>
      </w:pPr>
    </w:p>
    <w:p>
      <w:pPr>
        <w:pStyle w:val="7"/>
      </w:pPr>
    </w:p>
    <w:p>
      <w:pPr>
        <w:pStyle w:val="7"/>
      </w:pPr>
    </w:p>
    <w:p>
      <w:pPr>
        <w:pStyle w:val="7"/>
      </w:pPr>
    </w:p>
    <w:p>
      <w:pPr>
        <w:pStyle w:val="7"/>
      </w:pPr>
    </w:p>
    <w:p>
      <w:pPr>
        <w:pStyle w:val="7"/>
      </w:pPr>
    </w:p>
    <w:p>
      <w:pPr>
        <w:pStyle w:val="7"/>
      </w:pPr>
    </w:p>
    <w:p>
      <w:pPr>
        <w:pStyle w:val="7"/>
      </w:pPr>
    </w:p>
    <w:p>
      <w:pPr>
        <w:pStyle w:val="7"/>
        <w:tabs>
          <w:tab w:val="left" w:pos="3600"/>
        </w:tabs>
      </w:pPr>
      <w:r>
        <w:tab/>
      </w:r>
    </w:p>
    <w:p>
      <w:pPr>
        <w:pStyle w:val="7"/>
      </w:pPr>
    </w:p>
    <w:p>
      <w:pPr>
        <w:pStyle w:val="7"/>
      </w:pPr>
    </w:p>
    <w:p>
      <w:pPr>
        <w:pStyle w:val="7"/>
      </w:pPr>
    </w:p>
    <w:p>
      <w:pPr>
        <w:pStyle w:val="7"/>
      </w:pPr>
    </w:p>
    <w:p>
      <w:pPr>
        <w:pStyle w:val="7"/>
      </w:pPr>
    </w:p>
    <w:p>
      <w:pPr>
        <w:pStyle w:val="7"/>
      </w:pPr>
    </w:p>
    <w:p>
      <w:pPr>
        <w:pStyle w:val="7"/>
      </w:pPr>
    </w:p>
    <w:p>
      <w:pPr>
        <w:pStyle w:val="7"/>
      </w:pPr>
    </w:p>
    <w:p>
      <w:pPr>
        <w:pStyle w:val="7"/>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w:t>
      </w:r>
      <w:bookmarkStart w:id="134" w:name="_GoBack"/>
      <w:bookmarkEnd w:id="134"/>
      <w:r>
        <w:rPr>
          <w:rFonts w:hint="eastAsia" w:ascii="宋体" w:hAnsi="宋体" w:cs="仿宋_GB2312"/>
          <w:sz w:val="32"/>
          <w:szCs w:val="32"/>
        </w:rPr>
        <w:t>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4"/>
        <w:tabs>
          <w:tab w:val="right" w:leader="dot" w:pos="8306"/>
          <w:tab w:val="clear" w:pos="8296"/>
        </w:tabs>
      </w:pPr>
      <w:r>
        <w:rPr>
          <w:smallCaps/>
          <w:sz w:val="20"/>
          <w:szCs w:val="20"/>
        </w:rPr>
        <w:fldChar w:fldCharType="begin"/>
      </w:r>
      <w:r>
        <w:rPr>
          <w:smallCaps/>
          <w:sz w:val="20"/>
          <w:szCs w:val="20"/>
        </w:rPr>
        <w:instrText xml:space="preserve"> TOC \o "1-2" \h \z \u </w:instrText>
      </w:r>
      <w:r>
        <w:rPr>
          <w:smallCaps/>
          <w:sz w:val="20"/>
          <w:szCs w:val="20"/>
        </w:rPr>
        <w:fldChar w:fldCharType="separate"/>
      </w:r>
      <w:r>
        <w:rPr>
          <w:smallCaps/>
          <w:szCs w:val="20"/>
        </w:rPr>
        <w:fldChar w:fldCharType="begin"/>
      </w:r>
      <w:r>
        <w:rPr>
          <w:smallCaps/>
          <w:szCs w:val="20"/>
        </w:rPr>
        <w:instrText xml:space="preserve"> HYPERLINK \l _Toc3982 </w:instrText>
      </w:r>
      <w:r>
        <w:rPr>
          <w:smallCaps/>
          <w:szCs w:val="20"/>
        </w:rPr>
        <w:fldChar w:fldCharType="separate"/>
      </w:r>
      <w:r>
        <w:rPr>
          <w:rFonts w:hint="eastAsia" w:ascii="黑体" w:hAnsi="黑体" w:eastAsia="黑体" w:cs="黑体"/>
        </w:rPr>
        <w:t xml:space="preserve">第一部分 </w:t>
      </w:r>
      <w:r>
        <w:rPr>
          <w:rFonts w:hint="eastAsia" w:ascii="黑体" w:hAnsi="黑体" w:eastAsia="黑体" w:cs="黑体"/>
          <w:bCs w:val="0"/>
        </w:rPr>
        <w:t>部门概况</w:t>
      </w:r>
      <w:r>
        <w:tab/>
      </w:r>
      <w:r>
        <w:fldChar w:fldCharType="begin"/>
      </w:r>
      <w:r>
        <w:instrText xml:space="preserve"> PAGEREF _Toc3982 \h </w:instrText>
      </w:r>
      <w:r>
        <w:fldChar w:fldCharType="separate"/>
      </w:r>
      <w:r>
        <w:t>3</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_Toc16118 </w:instrText>
      </w:r>
      <w:r>
        <w:rPr>
          <w:smallCaps/>
          <w:szCs w:val="20"/>
        </w:rPr>
        <w:fldChar w:fldCharType="separate"/>
      </w:r>
      <w:r>
        <w:rPr>
          <w:rFonts w:hint="eastAsia" w:ascii="黑体" w:eastAsia="黑体" w:cs="Times New Roman"/>
          <w:bCs w:val="0"/>
        </w:rPr>
        <w:t>一、基本职能及主要工作</w:t>
      </w:r>
      <w:r>
        <w:tab/>
      </w:r>
      <w:r>
        <w:fldChar w:fldCharType="begin"/>
      </w:r>
      <w:r>
        <w:instrText xml:space="preserve"> PAGEREF _Toc16118 \h </w:instrText>
      </w:r>
      <w:r>
        <w:fldChar w:fldCharType="separate"/>
      </w:r>
      <w:r>
        <w:t>3</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_Toc22420 </w:instrText>
      </w:r>
      <w:r>
        <w:rPr>
          <w:smallCaps/>
          <w:szCs w:val="20"/>
        </w:rPr>
        <w:fldChar w:fldCharType="separate"/>
      </w:r>
      <w:r>
        <w:rPr>
          <w:rFonts w:hint="eastAsia" w:ascii="黑体" w:eastAsia="黑体" w:cs="Times New Roman"/>
          <w:bCs w:val="0"/>
        </w:rPr>
        <w:t>二、机构设置</w:t>
      </w:r>
      <w:r>
        <w:tab/>
      </w:r>
      <w:r>
        <w:fldChar w:fldCharType="begin"/>
      </w:r>
      <w:r>
        <w:instrText xml:space="preserve"> PAGEREF _Toc22420 \h </w:instrText>
      </w:r>
      <w:r>
        <w:fldChar w:fldCharType="separate"/>
      </w:r>
      <w:r>
        <w:t>4</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_Toc18980 </w:instrText>
      </w:r>
      <w:r>
        <w:rPr>
          <w:smallCaps/>
          <w:szCs w:val="20"/>
        </w:rPr>
        <w:fldChar w:fldCharType="separate"/>
      </w:r>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r>
        <w:tab/>
      </w:r>
      <w:r>
        <w:fldChar w:fldCharType="begin"/>
      </w:r>
      <w:r>
        <w:instrText xml:space="preserve"> PAGEREF _Toc18980 \h </w:instrText>
      </w:r>
      <w:r>
        <w:fldChar w:fldCharType="separate"/>
      </w:r>
      <w:r>
        <w:t>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_Toc27241 </w:instrText>
      </w:r>
      <w:r>
        <w:rPr>
          <w:smallCaps/>
          <w:szCs w:val="20"/>
        </w:rPr>
        <w:fldChar w:fldCharType="separate"/>
      </w:r>
      <w:r>
        <w:rPr>
          <w:rFonts w:hint="eastAsia" w:ascii="黑体" w:eastAsia="黑体" w:cs="Times New Roman"/>
          <w:bCs w:val="0"/>
        </w:rPr>
        <w:t>一、收入支出决算总体情况说明</w:t>
      </w:r>
      <w:r>
        <w:tab/>
      </w:r>
      <w:r>
        <w:fldChar w:fldCharType="begin"/>
      </w:r>
      <w:r>
        <w:instrText xml:space="preserve"> PAGEREF _Toc27241 \h </w:instrText>
      </w:r>
      <w:r>
        <w:fldChar w:fldCharType="separate"/>
      </w:r>
      <w:r>
        <w:t>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_Toc23087 </w:instrText>
      </w:r>
      <w:r>
        <w:rPr>
          <w:smallCaps/>
          <w:szCs w:val="20"/>
        </w:rPr>
        <w:fldChar w:fldCharType="separate"/>
      </w:r>
      <w:r>
        <w:rPr>
          <w:rFonts w:hint="eastAsia" w:ascii="黑体" w:eastAsia="黑体" w:cs="Times New Roman"/>
          <w:bCs w:val="0"/>
        </w:rPr>
        <w:t>二、收入决算情况说明</w:t>
      </w:r>
      <w:r>
        <w:tab/>
      </w:r>
      <w:r>
        <w:fldChar w:fldCharType="begin"/>
      </w:r>
      <w:r>
        <w:instrText xml:space="preserve"> PAGEREF _Toc23087 \h </w:instrText>
      </w:r>
      <w:r>
        <w:fldChar w:fldCharType="separate"/>
      </w:r>
      <w:r>
        <w:t>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_Toc12236 </w:instrText>
      </w:r>
      <w:r>
        <w:rPr>
          <w:smallCaps/>
          <w:szCs w:val="20"/>
        </w:rPr>
        <w:fldChar w:fldCharType="separate"/>
      </w:r>
      <w:r>
        <w:rPr>
          <w:rFonts w:hint="eastAsia" w:ascii="黑体" w:eastAsia="黑体" w:cs="Times New Roman"/>
          <w:bCs w:val="0"/>
        </w:rPr>
        <w:t>三、支出决算情况说明</w:t>
      </w:r>
      <w:r>
        <w:tab/>
      </w:r>
      <w:r>
        <w:fldChar w:fldCharType="begin"/>
      </w:r>
      <w:r>
        <w:instrText xml:space="preserve"> PAGEREF _Toc12236 \h </w:instrText>
      </w:r>
      <w:r>
        <w:fldChar w:fldCharType="separate"/>
      </w:r>
      <w:r>
        <w:t>6</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_Toc15385 </w:instrText>
      </w:r>
      <w:r>
        <w:rPr>
          <w:smallCaps/>
          <w:szCs w:val="20"/>
        </w:rPr>
        <w:fldChar w:fldCharType="separate"/>
      </w:r>
      <w:r>
        <w:rPr>
          <w:rFonts w:hint="eastAsia" w:ascii="黑体" w:eastAsia="黑体" w:cs="Times New Roman"/>
          <w:bCs w:val="0"/>
        </w:rPr>
        <w:t>四、财政拨款收入支出决算总体情况说明</w:t>
      </w:r>
      <w:r>
        <w:tab/>
      </w:r>
      <w:r>
        <w:fldChar w:fldCharType="begin"/>
      </w:r>
      <w:r>
        <w:instrText xml:space="preserve"> PAGEREF _Toc15385 \h </w:instrText>
      </w:r>
      <w:r>
        <w:fldChar w:fldCharType="separate"/>
      </w:r>
      <w:r>
        <w:t>7</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_Toc15347 </w:instrText>
      </w:r>
      <w:r>
        <w:rPr>
          <w:smallCaps/>
          <w:szCs w:val="20"/>
        </w:rPr>
        <w:fldChar w:fldCharType="separate"/>
      </w:r>
      <w:r>
        <w:rPr>
          <w:rFonts w:hint="eastAsia" w:ascii="黑体" w:eastAsia="黑体" w:cs="Times New Roman"/>
          <w:bCs w:val="0"/>
        </w:rPr>
        <w:t>五、一般公共预算财政拨款支出决算情况说明</w:t>
      </w:r>
      <w:r>
        <w:tab/>
      </w:r>
      <w:r>
        <w:fldChar w:fldCharType="begin"/>
      </w:r>
      <w:r>
        <w:instrText xml:space="preserve"> PAGEREF _Toc15347 \h </w:instrText>
      </w:r>
      <w:r>
        <w:fldChar w:fldCharType="separate"/>
      </w:r>
      <w:r>
        <w:t>7</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_Toc10644 </w:instrText>
      </w:r>
      <w:r>
        <w:rPr>
          <w:smallCaps/>
          <w:szCs w:val="20"/>
        </w:rPr>
        <w:fldChar w:fldCharType="separate"/>
      </w:r>
      <w:r>
        <w:rPr>
          <w:rFonts w:hint="eastAsia" w:ascii="黑体" w:eastAsia="黑体" w:cs="Times New Roman"/>
          <w:bCs w:val="0"/>
        </w:rPr>
        <w:t>六、一般公共预算财政拨款基本支出决算情况说明</w:t>
      </w:r>
      <w:r>
        <w:tab/>
      </w:r>
      <w:r>
        <w:fldChar w:fldCharType="begin"/>
      </w:r>
      <w:r>
        <w:instrText xml:space="preserve"> PAGEREF _Toc10644 \h </w:instrText>
      </w:r>
      <w:r>
        <w:fldChar w:fldCharType="separate"/>
      </w:r>
      <w:r>
        <w:t>10</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_Toc18131 </w:instrText>
      </w:r>
      <w:r>
        <w:rPr>
          <w:smallCaps/>
          <w:szCs w:val="20"/>
        </w:rPr>
        <w:fldChar w:fldCharType="separate"/>
      </w:r>
      <w:r>
        <w:rPr>
          <w:rFonts w:hint="eastAsia" w:ascii="黑体" w:eastAsia="黑体" w:cs="Times New Roman"/>
          <w:bCs w:val="0"/>
        </w:rPr>
        <w:t>七、“三公”经费财政拨款支出决算情况说明</w:t>
      </w:r>
      <w:r>
        <w:tab/>
      </w:r>
      <w:r>
        <w:fldChar w:fldCharType="begin"/>
      </w:r>
      <w:r>
        <w:instrText xml:space="preserve"> PAGEREF _Toc18131 \h </w:instrText>
      </w:r>
      <w:r>
        <w:fldChar w:fldCharType="separate"/>
      </w:r>
      <w:r>
        <w:t>10</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_Toc29603 </w:instrText>
      </w:r>
      <w:r>
        <w:rPr>
          <w:smallCaps/>
          <w:szCs w:val="20"/>
        </w:rPr>
        <w:fldChar w:fldCharType="separate"/>
      </w:r>
      <w:r>
        <w:rPr>
          <w:rFonts w:hint="eastAsia" w:ascii="黑体" w:eastAsia="黑体" w:cs="Times New Roman"/>
          <w:bCs w:val="0"/>
        </w:rPr>
        <w:t>八、政府性基金预算支出决算情况说明</w:t>
      </w:r>
      <w:r>
        <w:tab/>
      </w:r>
      <w:r>
        <w:fldChar w:fldCharType="begin"/>
      </w:r>
      <w:r>
        <w:instrText xml:space="preserve"> PAGEREF _Toc29603 \h </w:instrText>
      </w:r>
      <w:r>
        <w:fldChar w:fldCharType="separate"/>
      </w:r>
      <w:r>
        <w:t>12</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_Toc31418 </w:instrText>
      </w:r>
      <w:r>
        <w:rPr>
          <w:smallCaps/>
          <w:szCs w:val="20"/>
        </w:rPr>
        <w:fldChar w:fldCharType="separate"/>
      </w:r>
      <w:r>
        <w:rPr>
          <w:rFonts w:hint="eastAsia" w:ascii="黑体" w:eastAsia="黑体" w:cs="Times New Roman"/>
          <w:bCs w:val="0"/>
        </w:rPr>
        <w:t>九、国有资本经营预算支出决算情况说明</w:t>
      </w:r>
      <w:r>
        <w:tab/>
      </w:r>
      <w:r>
        <w:fldChar w:fldCharType="begin"/>
      </w:r>
      <w:r>
        <w:instrText xml:space="preserve"> PAGEREF _Toc31418 \h </w:instrText>
      </w:r>
      <w:r>
        <w:fldChar w:fldCharType="separate"/>
      </w:r>
      <w:r>
        <w:t>12</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_Toc11083 </w:instrText>
      </w:r>
      <w:r>
        <w:rPr>
          <w:smallCaps/>
          <w:szCs w:val="20"/>
        </w:rPr>
        <w:fldChar w:fldCharType="separate"/>
      </w:r>
      <w:r>
        <w:rPr>
          <w:rFonts w:hint="eastAsia" w:ascii="黑体" w:eastAsia="黑体" w:cs="Times New Roman"/>
          <w:bCs w:val="0"/>
        </w:rPr>
        <w:t>十、其他重要事项的情况说明</w:t>
      </w:r>
      <w:r>
        <w:tab/>
      </w:r>
      <w:r>
        <w:fldChar w:fldCharType="begin"/>
      </w:r>
      <w:r>
        <w:instrText xml:space="preserve"> PAGEREF _Toc11083 \h </w:instrText>
      </w:r>
      <w:r>
        <w:fldChar w:fldCharType="separate"/>
      </w:r>
      <w:r>
        <w:t>12</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_Toc15560 </w:instrText>
      </w:r>
      <w:r>
        <w:rPr>
          <w:smallCaps/>
          <w:szCs w:val="20"/>
        </w:rPr>
        <w:fldChar w:fldCharType="separate"/>
      </w:r>
      <w:r>
        <w:rPr>
          <w:rFonts w:hint="eastAsia" w:ascii="黑体" w:hAnsi="黑体" w:eastAsia="黑体" w:cs="黑体"/>
        </w:rPr>
        <w:t>第三部分 名词解释</w:t>
      </w:r>
      <w:r>
        <w:tab/>
      </w:r>
      <w:r>
        <w:fldChar w:fldCharType="begin"/>
      </w:r>
      <w:r>
        <w:instrText xml:space="preserve"> PAGEREF _Toc15560 \h </w:instrText>
      </w:r>
      <w:r>
        <w:fldChar w:fldCharType="separate"/>
      </w:r>
      <w:r>
        <w:t>21</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_Toc180 </w:instrText>
      </w:r>
      <w:r>
        <w:rPr>
          <w:smallCaps/>
          <w:szCs w:val="20"/>
        </w:rPr>
        <w:fldChar w:fldCharType="separate"/>
      </w:r>
      <w:r>
        <w:rPr>
          <w:rFonts w:hint="eastAsia" w:ascii="黑体" w:hAnsi="黑体" w:eastAsia="黑体" w:cs="黑体"/>
        </w:rPr>
        <w:t>第四部分 附件</w:t>
      </w:r>
      <w:r>
        <w:tab/>
      </w:r>
      <w:r>
        <w:fldChar w:fldCharType="begin"/>
      </w:r>
      <w:r>
        <w:instrText xml:space="preserve"> PAGEREF _Toc180 \h </w:instrText>
      </w:r>
      <w:r>
        <w:fldChar w:fldCharType="separate"/>
      </w:r>
      <w:r>
        <w:t>25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_Toc26109 </w:instrText>
      </w:r>
      <w:r>
        <w:rPr>
          <w:smallCaps/>
          <w:szCs w:val="20"/>
        </w:rPr>
        <w:fldChar w:fldCharType="separate"/>
      </w:r>
      <w:r>
        <w:rPr>
          <w:rFonts w:hint="eastAsia" w:ascii="黑体" w:eastAsia="黑体"/>
          <w:szCs w:val="44"/>
        </w:rPr>
        <w:t>第</w:t>
      </w:r>
      <w:r>
        <w:rPr>
          <w:rFonts w:hint="eastAsia" w:ascii="黑体" w:eastAsia="黑体"/>
        </w:rPr>
        <w:t>五部分</w:t>
      </w:r>
      <w:r>
        <w:rPr>
          <w:rFonts w:ascii="黑体" w:eastAsia="黑体"/>
        </w:rPr>
        <w:t xml:space="preserve"> </w:t>
      </w:r>
      <w:r>
        <w:rPr>
          <w:rFonts w:hint="eastAsia" w:ascii="黑体" w:eastAsia="黑体"/>
        </w:rPr>
        <w:t>附表</w:t>
      </w:r>
      <w:r>
        <w:tab/>
      </w:r>
      <w:r>
        <w:fldChar w:fldCharType="begin"/>
      </w:r>
      <w:r>
        <w:instrText xml:space="preserve"> PAGEREF _Toc26109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_Toc5226 </w:instrText>
      </w:r>
      <w:r>
        <w:rPr>
          <w:smallCaps/>
          <w:szCs w:val="20"/>
        </w:rPr>
        <w:fldChar w:fldCharType="separate"/>
      </w:r>
      <w:r>
        <w:rPr>
          <w:rFonts w:hint="eastAsia" w:ascii="仿宋" w:eastAsia="仿宋"/>
        </w:rPr>
        <w:t>一、收</w:t>
      </w:r>
      <w:r>
        <w:rPr>
          <w:rFonts w:hint="eastAsia" w:ascii="仿宋" w:eastAsia="仿宋"/>
          <w:bCs w:val="0"/>
        </w:rPr>
        <w:t>入支出决算总表</w:t>
      </w:r>
      <w:r>
        <w:tab/>
      </w:r>
      <w:r>
        <w:fldChar w:fldCharType="begin"/>
      </w:r>
      <w:r>
        <w:instrText xml:space="preserve"> PAGEREF _Toc5226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_Toc23037 </w:instrText>
      </w:r>
      <w:r>
        <w:rPr>
          <w:smallCaps/>
          <w:szCs w:val="20"/>
        </w:rPr>
        <w:fldChar w:fldCharType="separate"/>
      </w:r>
      <w:r>
        <w:rPr>
          <w:rFonts w:hint="eastAsia" w:ascii="仿宋" w:eastAsia="仿宋"/>
        </w:rPr>
        <w:t>二、收</w:t>
      </w:r>
      <w:r>
        <w:rPr>
          <w:rFonts w:hint="eastAsia" w:ascii="仿宋" w:eastAsia="仿宋"/>
          <w:bCs w:val="0"/>
        </w:rPr>
        <w:t>入决算表</w:t>
      </w:r>
      <w:r>
        <w:tab/>
      </w:r>
      <w:r>
        <w:fldChar w:fldCharType="begin"/>
      </w:r>
      <w:r>
        <w:instrText xml:space="preserve"> PAGEREF _Toc23037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_Toc5028 </w:instrText>
      </w:r>
      <w:r>
        <w:rPr>
          <w:smallCaps/>
          <w:szCs w:val="20"/>
        </w:rPr>
        <w:fldChar w:fldCharType="separate"/>
      </w:r>
      <w:r>
        <w:rPr>
          <w:rFonts w:hint="eastAsia" w:ascii="仿宋" w:eastAsia="仿宋"/>
          <w:bCs w:val="0"/>
        </w:rPr>
        <w:t>三、</w:t>
      </w:r>
      <w:r>
        <w:rPr>
          <w:rFonts w:hint="eastAsia" w:ascii="仿宋" w:eastAsia="仿宋"/>
        </w:rPr>
        <w:t>支</w:t>
      </w:r>
      <w:r>
        <w:rPr>
          <w:rFonts w:hint="eastAsia" w:ascii="仿宋" w:eastAsia="仿宋"/>
          <w:bCs w:val="0"/>
        </w:rPr>
        <w:t>出决算表</w:t>
      </w:r>
      <w:r>
        <w:tab/>
      </w:r>
      <w:r>
        <w:fldChar w:fldCharType="begin"/>
      </w:r>
      <w:r>
        <w:instrText xml:space="preserve"> PAGEREF _Toc5028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_Toc4285 </w:instrText>
      </w:r>
      <w:r>
        <w:rPr>
          <w:smallCaps/>
          <w:szCs w:val="20"/>
        </w:rPr>
        <w:fldChar w:fldCharType="separate"/>
      </w:r>
      <w:r>
        <w:rPr>
          <w:rFonts w:hint="eastAsia" w:ascii="仿宋" w:eastAsia="仿宋"/>
          <w:bCs w:val="0"/>
        </w:rPr>
        <w:t>四、</w:t>
      </w:r>
      <w:r>
        <w:rPr>
          <w:rFonts w:hint="eastAsia" w:ascii="仿宋" w:eastAsia="仿宋"/>
        </w:rPr>
        <w:t>财</w:t>
      </w:r>
      <w:r>
        <w:rPr>
          <w:rFonts w:hint="eastAsia" w:ascii="仿宋" w:eastAsia="仿宋"/>
          <w:bCs w:val="0"/>
        </w:rPr>
        <w:t>政拨款收入支出决算总表</w:t>
      </w:r>
      <w:r>
        <w:tab/>
      </w:r>
      <w:r>
        <w:fldChar w:fldCharType="begin"/>
      </w:r>
      <w:r>
        <w:instrText xml:space="preserve"> PAGEREF _Toc4285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_Toc32695 </w:instrText>
      </w:r>
      <w:r>
        <w:rPr>
          <w:smallCaps/>
          <w:szCs w:val="20"/>
        </w:rPr>
        <w:fldChar w:fldCharType="separate"/>
      </w:r>
      <w:r>
        <w:rPr>
          <w:rFonts w:hint="eastAsia" w:ascii="仿宋" w:eastAsia="仿宋"/>
          <w:bCs w:val="0"/>
        </w:rPr>
        <w:t>五、</w:t>
      </w:r>
      <w:r>
        <w:rPr>
          <w:rFonts w:hint="eastAsia" w:ascii="仿宋" w:eastAsia="仿宋"/>
        </w:rPr>
        <w:t>财</w:t>
      </w:r>
      <w:r>
        <w:rPr>
          <w:rFonts w:hint="eastAsia" w:ascii="仿宋" w:eastAsia="仿宋"/>
          <w:bCs w:val="0"/>
        </w:rPr>
        <w:t>政拨款支出决算明细表</w:t>
      </w:r>
      <w:r>
        <w:tab/>
      </w:r>
      <w:r>
        <w:fldChar w:fldCharType="begin"/>
      </w:r>
      <w:r>
        <w:instrText xml:space="preserve"> PAGEREF _Toc32695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_Toc4779 </w:instrText>
      </w:r>
      <w:r>
        <w:rPr>
          <w:smallCaps/>
          <w:szCs w:val="20"/>
        </w:rPr>
        <w:fldChar w:fldCharType="separate"/>
      </w:r>
      <w:r>
        <w:rPr>
          <w:rFonts w:hint="eastAsia" w:ascii="仿宋" w:eastAsia="仿宋"/>
          <w:bCs w:val="0"/>
        </w:rPr>
        <w:t>六、</w:t>
      </w:r>
      <w:r>
        <w:rPr>
          <w:rFonts w:hint="eastAsia" w:ascii="仿宋" w:eastAsia="仿宋"/>
        </w:rPr>
        <w:t>一</w:t>
      </w:r>
      <w:r>
        <w:rPr>
          <w:rFonts w:hint="eastAsia" w:ascii="仿宋" w:eastAsia="仿宋"/>
          <w:bCs w:val="0"/>
        </w:rPr>
        <w:t>般公共预算财政拨款支出决算表</w:t>
      </w:r>
      <w:r>
        <w:tab/>
      </w:r>
      <w:r>
        <w:fldChar w:fldCharType="begin"/>
      </w:r>
      <w:r>
        <w:instrText xml:space="preserve"> PAGEREF _Toc4779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_Toc16923 </w:instrText>
      </w:r>
      <w:r>
        <w:rPr>
          <w:smallCaps/>
          <w:szCs w:val="20"/>
        </w:rPr>
        <w:fldChar w:fldCharType="separate"/>
      </w:r>
      <w:r>
        <w:rPr>
          <w:rFonts w:hint="eastAsia" w:ascii="仿宋" w:eastAsia="仿宋"/>
          <w:bCs w:val="0"/>
        </w:rPr>
        <w:t>七、</w:t>
      </w:r>
      <w:r>
        <w:rPr>
          <w:rFonts w:hint="eastAsia" w:ascii="仿宋" w:eastAsia="仿宋"/>
        </w:rPr>
        <w:t>一</w:t>
      </w:r>
      <w:r>
        <w:rPr>
          <w:rFonts w:hint="eastAsia" w:ascii="仿宋" w:eastAsia="仿宋"/>
          <w:bCs w:val="0"/>
        </w:rPr>
        <w:t>般公共预算财政拨款支出决算明细表</w:t>
      </w:r>
      <w:r>
        <w:tab/>
      </w:r>
      <w:r>
        <w:fldChar w:fldCharType="begin"/>
      </w:r>
      <w:r>
        <w:instrText xml:space="preserve"> PAGEREF _Toc16923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_Toc8982 </w:instrText>
      </w:r>
      <w:r>
        <w:rPr>
          <w:smallCaps/>
          <w:szCs w:val="20"/>
        </w:rPr>
        <w:fldChar w:fldCharType="separate"/>
      </w:r>
      <w:r>
        <w:rPr>
          <w:rFonts w:hint="eastAsia" w:ascii="仿宋" w:eastAsia="仿宋"/>
          <w:bCs w:val="0"/>
        </w:rPr>
        <w:t>八、</w:t>
      </w:r>
      <w:r>
        <w:rPr>
          <w:rFonts w:hint="eastAsia" w:ascii="仿宋" w:eastAsia="仿宋"/>
        </w:rPr>
        <w:t>一</w:t>
      </w:r>
      <w:r>
        <w:rPr>
          <w:rFonts w:hint="eastAsia" w:ascii="仿宋" w:eastAsia="仿宋"/>
          <w:bCs w:val="0"/>
        </w:rPr>
        <w:t>般公共预算财政拨款基本支出决算表</w:t>
      </w:r>
      <w:r>
        <w:tab/>
      </w:r>
      <w:r>
        <w:fldChar w:fldCharType="begin"/>
      </w:r>
      <w:r>
        <w:instrText xml:space="preserve"> PAGEREF _Toc8982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_Toc31154 </w:instrText>
      </w:r>
      <w:r>
        <w:rPr>
          <w:smallCaps/>
          <w:szCs w:val="20"/>
        </w:rPr>
        <w:fldChar w:fldCharType="separate"/>
      </w:r>
      <w:r>
        <w:rPr>
          <w:rFonts w:hint="eastAsia" w:ascii="仿宋" w:eastAsia="仿宋"/>
          <w:bCs w:val="0"/>
        </w:rPr>
        <w:t>九、</w:t>
      </w:r>
      <w:r>
        <w:rPr>
          <w:rFonts w:hint="eastAsia" w:ascii="仿宋" w:eastAsia="仿宋"/>
        </w:rPr>
        <w:t>一</w:t>
      </w:r>
      <w:r>
        <w:rPr>
          <w:rFonts w:hint="eastAsia" w:ascii="仿宋" w:eastAsia="仿宋"/>
          <w:bCs w:val="0"/>
        </w:rPr>
        <w:t>般公共预算财政拨款项目支出决算表</w:t>
      </w:r>
      <w:r>
        <w:tab/>
      </w:r>
      <w:r>
        <w:fldChar w:fldCharType="begin"/>
      </w:r>
      <w:r>
        <w:instrText xml:space="preserve"> PAGEREF _Toc31154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_Toc29412 </w:instrText>
      </w:r>
      <w:r>
        <w:rPr>
          <w:smallCaps/>
          <w:szCs w:val="20"/>
        </w:rPr>
        <w:fldChar w:fldCharType="separate"/>
      </w:r>
      <w:r>
        <w:rPr>
          <w:rFonts w:hint="eastAsia" w:ascii="仿宋" w:eastAsia="仿宋"/>
          <w:bCs w:val="0"/>
        </w:rPr>
        <w:t>十、</w:t>
      </w:r>
      <w:r>
        <w:rPr>
          <w:rFonts w:hint="eastAsia" w:ascii="仿宋" w:eastAsia="仿宋"/>
        </w:rPr>
        <w:t>一</w:t>
      </w:r>
      <w:r>
        <w:rPr>
          <w:rFonts w:hint="eastAsia" w:ascii="仿宋" w:eastAsia="仿宋"/>
          <w:bCs w:val="0"/>
        </w:rPr>
        <w:t>般公共预算财政拨款“三公”经费支出决算表</w:t>
      </w:r>
      <w:r>
        <w:tab/>
      </w:r>
      <w:r>
        <w:fldChar w:fldCharType="begin"/>
      </w:r>
      <w:r>
        <w:instrText xml:space="preserve"> PAGEREF _Toc29412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_Toc4912 </w:instrText>
      </w:r>
      <w:r>
        <w:rPr>
          <w:smallCaps/>
          <w:szCs w:val="20"/>
        </w:rPr>
        <w:fldChar w:fldCharType="separate"/>
      </w:r>
      <w:r>
        <w:rPr>
          <w:rFonts w:hint="eastAsia" w:ascii="仿宋" w:eastAsia="仿宋"/>
          <w:bCs w:val="0"/>
        </w:rPr>
        <w:t>十一、</w:t>
      </w:r>
      <w:r>
        <w:rPr>
          <w:rFonts w:hint="eastAsia" w:ascii="仿宋" w:eastAsia="仿宋"/>
        </w:rPr>
        <w:t>政</w:t>
      </w:r>
      <w:r>
        <w:rPr>
          <w:rFonts w:hint="eastAsia" w:ascii="仿宋" w:eastAsia="仿宋"/>
          <w:bCs w:val="0"/>
        </w:rPr>
        <w:t>府性基金预算财政拨款收入支出决算表</w:t>
      </w:r>
      <w:r>
        <w:tab/>
      </w:r>
      <w:r>
        <w:fldChar w:fldCharType="begin"/>
      </w:r>
      <w:r>
        <w:instrText xml:space="preserve"> PAGEREF _Toc4912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_Toc17872 </w:instrText>
      </w:r>
      <w:r>
        <w:rPr>
          <w:smallCaps/>
          <w:szCs w:val="20"/>
        </w:rPr>
        <w:fldChar w:fldCharType="separate"/>
      </w:r>
      <w:r>
        <w:rPr>
          <w:rFonts w:hint="eastAsia" w:ascii="仿宋" w:eastAsia="仿宋"/>
          <w:bCs w:val="0"/>
        </w:rPr>
        <w:t>十二、</w:t>
      </w:r>
      <w:r>
        <w:rPr>
          <w:rFonts w:hint="eastAsia" w:ascii="仿宋" w:eastAsia="仿宋"/>
        </w:rPr>
        <w:t>政</w:t>
      </w:r>
      <w:r>
        <w:rPr>
          <w:rFonts w:hint="eastAsia" w:ascii="仿宋" w:eastAsia="仿宋"/>
          <w:bCs w:val="0"/>
        </w:rPr>
        <w:t>府性基金预算财政拨款“三公”经费支出决算表</w:t>
      </w:r>
      <w:r>
        <w:tab/>
      </w:r>
      <w:r>
        <w:fldChar w:fldCharType="begin"/>
      </w:r>
      <w:r>
        <w:instrText xml:space="preserve"> PAGEREF _Toc17872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_Toc3541 </w:instrText>
      </w:r>
      <w:r>
        <w:rPr>
          <w:smallCaps/>
          <w:szCs w:val="20"/>
        </w:rPr>
        <w:fldChar w:fldCharType="separate"/>
      </w:r>
      <w:r>
        <w:rPr>
          <w:rFonts w:hint="eastAsia" w:ascii="仿宋" w:eastAsia="仿宋"/>
          <w:bCs w:val="0"/>
        </w:rPr>
        <w:t>十三、</w:t>
      </w:r>
      <w:r>
        <w:rPr>
          <w:rFonts w:hint="eastAsia" w:ascii="仿宋" w:eastAsia="仿宋"/>
        </w:rPr>
        <w:t>国</w:t>
      </w:r>
      <w:r>
        <w:rPr>
          <w:rFonts w:hint="eastAsia" w:ascii="仿宋" w:eastAsia="仿宋"/>
          <w:bCs w:val="0"/>
        </w:rPr>
        <w:t>有资本经营预算财政拨款支出决算表</w:t>
      </w:r>
      <w:r>
        <w:tab/>
      </w:r>
      <w:r>
        <w:fldChar w:fldCharType="begin"/>
      </w:r>
      <w:r>
        <w:instrText xml:space="preserve"> PAGEREF _Toc3541 \h </w:instrText>
      </w:r>
      <w:r>
        <w:fldChar w:fldCharType="separate"/>
      </w:r>
      <w:r>
        <w:t>28</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_Toc1738 </w:instrText>
      </w:r>
      <w:r>
        <w:rPr>
          <w:smallCaps/>
          <w:szCs w:val="20"/>
        </w:rPr>
        <w:fldChar w:fldCharType="separate"/>
      </w:r>
      <w:r>
        <w:rPr>
          <w:rFonts w:hint="eastAsia" w:ascii="仿宋" w:eastAsia="仿宋"/>
          <w:bCs w:val="0"/>
        </w:rPr>
        <w:t>十四、国有资本经营预算财政拨款支出决算表</w:t>
      </w:r>
      <w:r>
        <w:tab/>
      </w:r>
      <w:r>
        <w:fldChar w:fldCharType="begin"/>
      </w:r>
      <w:r>
        <w:instrText xml:space="preserve"> PAGEREF _Toc1738 \h </w:instrText>
      </w:r>
      <w:r>
        <w:fldChar w:fldCharType="separate"/>
      </w:r>
      <w:r>
        <w:t>28</w:t>
      </w:r>
      <w:r>
        <w:fldChar w:fldCharType="end"/>
      </w:r>
      <w:r>
        <w:rPr>
          <w:smallCaps/>
          <w:szCs w:val="20"/>
        </w:rPr>
        <w:fldChar w:fldCharType="end"/>
      </w:r>
    </w:p>
    <w:p>
      <w:pPr>
        <w:pStyle w:val="7"/>
      </w:pPr>
      <w:r>
        <w:rPr>
          <w:smallCaps/>
          <w:szCs w:val="20"/>
        </w:rPr>
        <w:fldChar w:fldCharType="end"/>
      </w:r>
    </w:p>
    <w:p>
      <w:pPr>
        <w:pStyle w:val="4"/>
        <w:pageBreakBefore w:val="0"/>
        <w:kinsoku/>
        <w:wordWrap/>
        <w:overflowPunct/>
        <w:topLinePunct w:val="0"/>
        <w:autoSpaceDE/>
        <w:autoSpaceDN/>
        <w:bidi w:val="0"/>
        <w:adjustRightInd/>
        <w:snapToGrid/>
        <w:spacing w:before="0" w:after="0" w:line="576" w:lineRule="exact"/>
        <w:jc w:val="center"/>
        <w:textAlignment w:val="auto"/>
        <w:rPr>
          <w:rFonts w:ascii="黑体" w:hAnsi="黑体" w:eastAsia="黑体" w:cs="黑体"/>
          <w:b w:val="0"/>
          <w:bCs w:val="0"/>
        </w:rPr>
      </w:pPr>
      <w:bookmarkStart w:id="13" w:name="_Toc111208495"/>
      <w:bookmarkStart w:id="14" w:name="_Toc3982"/>
      <w:r>
        <w:rPr>
          <w:rFonts w:hint="eastAsia" w:ascii="黑体" w:hAnsi="黑体" w:eastAsia="黑体" w:cs="黑体"/>
        </w:rPr>
        <w:t xml:space="preserve">第一部分 </w:t>
      </w:r>
      <w:r>
        <w:rPr>
          <w:rStyle w:val="30"/>
          <w:rFonts w:hint="eastAsia" w:ascii="黑体" w:hAnsi="黑体" w:eastAsia="黑体" w:cs="黑体"/>
          <w:b/>
          <w:bCs w:val="0"/>
        </w:rPr>
        <w:t>部门概况</w:t>
      </w:r>
      <w:bookmarkEnd w:id="12"/>
      <w:bookmarkEnd w:id="13"/>
      <w:bookmarkEnd w:id="14"/>
    </w:p>
    <w:p>
      <w:pPr>
        <w:pStyle w:val="5"/>
        <w:pageBreakBefore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15" w:name="_Toc15377197"/>
      <w:bookmarkStart w:id="16" w:name="_Toc111208496"/>
      <w:bookmarkStart w:id="17" w:name="_Toc16118"/>
      <w:r>
        <w:rPr>
          <w:rFonts w:hint="eastAsia" w:ascii="黑体" w:eastAsia="黑体" w:cs="Times New Roman"/>
          <w:bCs w:val="0"/>
          <w:color w:val="000000"/>
        </w:rPr>
        <w:t>一、基本职能及主要工作</w:t>
      </w:r>
      <w:bookmarkEnd w:id="15"/>
      <w:bookmarkEnd w:id="16"/>
      <w:bookmarkEnd w:id="17"/>
      <w:bookmarkStart w:id="18" w:name="_Toc15378445"/>
      <w:bookmarkStart w:id="19" w:name="_Toc15377198"/>
    </w:p>
    <w:p>
      <w:pPr>
        <w:pageBreakBefore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r>
        <w:rPr>
          <w:rFonts w:hint="eastAsia" w:ascii="仿宋" w:hAnsi="仿宋" w:eastAsia="仿宋"/>
          <w:b/>
          <w:color w:val="000000"/>
          <w:sz w:val="32"/>
          <w:szCs w:val="32"/>
        </w:rPr>
        <w:t>（一）主要职能</w:t>
      </w:r>
      <w:bookmarkEnd w:id="18"/>
      <w:bookmarkEnd w:id="19"/>
    </w:p>
    <w:p>
      <w:pPr>
        <w:pageBreakBefore w:val="0"/>
        <w:kinsoku/>
        <w:wordWrap/>
        <w:overflowPunct/>
        <w:topLinePunct w:val="0"/>
        <w:autoSpaceDE/>
        <w:autoSpaceDN/>
        <w:bidi w:val="0"/>
        <w:adjustRightInd/>
        <w:snapToGrid/>
        <w:spacing w:line="576" w:lineRule="exact"/>
        <w:ind w:firstLine="640" w:firstLineChars="200"/>
        <w:textAlignment w:val="auto"/>
      </w:pPr>
      <w:r>
        <w:rPr>
          <w:rFonts w:ascii="仿宋" w:hAnsi="仿宋" w:eastAsia="仿宋"/>
          <w:color w:val="000000"/>
          <w:sz w:val="32"/>
          <w:szCs w:val="32"/>
        </w:rPr>
        <w:t>1.深入贯彻党的路线方针政策和决策部署，统一政法各部门思想和行动，坚持党对政法工作的绝对领导，坚决维护党中央权威和集中统一领导。2.深入贯彻党中央决定和省委、州委、县委决策，对政法工作研究提出全局性部署，推进平安茂县、法治茂县建设，加强过硬队伍建设，深化智能化建设，坚决维护国家政治安全、确保社会大局稳定、促进社会公平正义、保障人民安居乐业。3.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4.加强对政法工作的督查，统筹协调维护政治安全、社会治安综合治理、维护社会稳定、反邪教有关法律法规政策的实施工作。指导全县政法系统网络安全和智能化建设工作。5.组织开展政法领域的调查研究，研究拟订全县政法工作的政策措施，及时向县委提出建议。6.掌握分析政法舆情动态，指导协调政法部门媒体网络宣传工作，指导政法部门做好涉及政法工作的重大宣传和舆论引导工作。7.监督和支持政法各部门依法行使职权，指导和协调政法各部门密切配合，研究和协调重大疑难案件，推进严格执法、公正司法。8.组织研究政法改革中带有方向性、倾向性和普遍性的重大问题，深化政法改革。9.指导推动政法系统党的建设和政法队伍建设，协同县级有关职能部门管理监督政法领导干部。10.完成县委交办的其他任务。</w:t>
      </w:r>
    </w:p>
    <w:p>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olor w:val="000000"/>
          <w:sz w:val="32"/>
          <w:szCs w:val="32"/>
          <w:lang w:eastAsia="zh-CN"/>
        </w:rPr>
      </w:pPr>
      <w:bookmarkStart w:id="20" w:name="_Toc15378446"/>
      <w:bookmarkStart w:id="21" w:name="_Toc15377199"/>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重点工作完成情况</w:t>
      </w:r>
      <w:bookmarkEnd w:id="20"/>
      <w:bookmarkEnd w:id="21"/>
      <w:bookmarkStart w:id="22" w:name="_Toc15377200"/>
    </w:p>
    <w:p>
      <w:pPr>
        <w:pageBreakBefore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ascii="仿宋" w:hAnsi="仿宋" w:eastAsia="仿宋"/>
          <w:color w:val="000000"/>
          <w:sz w:val="32"/>
          <w:szCs w:val="32"/>
        </w:rPr>
        <w:tab/>
      </w:r>
      <w:r>
        <w:rPr>
          <w:rFonts w:hint="eastAsia" w:ascii="仿宋" w:hAnsi="仿宋" w:eastAsia="仿宋"/>
          <w:color w:val="000000"/>
          <w:sz w:val="32"/>
          <w:szCs w:val="32"/>
          <w:lang w:val="en-US" w:eastAsia="zh-CN"/>
        </w:rPr>
        <w:t xml:space="preserve">  </w:t>
      </w:r>
      <w:r>
        <w:rPr>
          <w:rFonts w:ascii="仿宋" w:hAnsi="仿宋" w:eastAsia="仿宋"/>
          <w:color w:val="000000"/>
          <w:sz w:val="32"/>
          <w:szCs w:val="32"/>
        </w:rPr>
        <w:t>一是以政法队伍教育整顿为契机，不断提升政法队伍建设效能。二是以扫黑除恶常态推进为契机，不断增强维护社会稳定能力。三是以完善农村司法体制为契机，不断提高基层社会治理水平。</w:t>
      </w:r>
    </w:p>
    <w:p>
      <w:pPr>
        <w:pStyle w:val="5"/>
        <w:pageBreakBefore w:val="0"/>
        <w:kinsoku/>
        <w:wordWrap/>
        <w:overflowPunct/>
        <w:topLinePunct w:val="0"/>
        <w:autoSpaceDE/>
        <w:autoSpaceDN/>
        <w:bidi w:val="0"/>
        <w:adjustRightInd/>
        <w:snapToGrid/>
        <w:spacing w:before="0" w:after="0" w:line="576" w:lineRule="exact"/>
        <w:ind w:firstLine="643" w:firstLineChars="200"/>
        <w:textAlignment w:val="auto"/>
        <w:rPr>
          <w:rFonts w:hint="eastAsia" w:ascii="仿宋" w:hAnsi="仿宋" w:eastAsia="仿宋"/>
          <w:color w:val="000000"/>
          <w:sz w:val="32"/>
          <w:szCs w:val="32"/>
          <w:lang w:eastAsia="zh-CN"/>
        </w:rPr>
      </w:pPr>
      <w:bookmarkStart w:id="23" w:name="_Toc111208497"/>
      <w:bookmarkStart w:id="24" w:name="_Toc22420"/>
      <w:r>
        <w:rPr>
          <w:rFonts w:hint="eastAsia" w:ascii="黑体" w:eastAsia="黑体" w:cs="Times New Roman"/>
          <w:bCs w:val="0"/>
          <w:color w:val="000000"/>
        </w:rPr>
        <w:t>二、机构设置</w:t>
      </w:r>
      <w:bookmarkEnd w:id="22"/>
      <w:bookmarkEnd w:id="23"/>
      <w:bookmarkEnd w:id="24"/>
    </w:p>
    <w:p>
      <w:pPr>
        <w:pageBreakBefore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ascii="仿宋" w:hAnsi="仿宋" w:eastAsia="仿宋"/>
          <w:color w:val="000000"/>
          <w:sz w:val="32"/>
          <w:szCs w:val="32"/>
        </w:rPr>
        <w:tab/>
      </w:r>
      <w:r>
        <w:rPr>
          <w:rFonts w:ascii="仿宋" w:hAnsi="仿宋" w:eastAsia="仿宋"/>
          <w:color w:val="000000"/>
          <w:sz w:val="32"/>
          <w:szCs w:val="32"/>
        </w:rPr>
        <w:t>茂县县委政法委员会属一级预算单位，下属二级预算单位0个，其中：参照公务员法管理的事业单位0个，其他事业单位0个。</w:t>
      </w:r>
    </w:p>
    <w:p>
      <w:pPr>
        <w:pageBreakBefore w:val="0"/>
        <w:widowControl/>
        <w:kinsoku/>
        <w:wordWrap/>
        <w:overflowPunct/>
        <w:topLinePunct w:val="0"/>
        <w:autoSpaceDE/>
        <w:autoSpaceDN/>
        <w:bidi w:val="0"/>
        <w:adjustRightInd/>
        <w:snapToGrid/>
        <w:spacing w:line="576" w:lineRule="exact"/>
        <w:jc w:val="left"/>
        <w:textAlignment w:val="auto"/>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4"/>
        <w:pageBreakBefore w:val="0"/>
        <w:kinsoku/>
        <w:wordWrap/>
        <w:overflowPunct/>
        <w:topLinePunct w:val="0"/>
        <w:autoSpaceDE/>
        <w:autoSpaceDN/>
        <w:bidi w:val="0"/>
        <w:adjustRightInd/>
        <w:snapToGrid/>
        <w:spacing w:before="0" w:after="0" w:line="576" w:lineRule="exact"/>
        <w:jc w:val="center"/>
        <w:textAlignment w:val="auto"/>
        <w:rPr>
          <w:rFonts w:ascii="黑体" w:hAnsi="黑体" w:eastAsia="黑体" w:cs="黑体"/>
        </w:rPr>
      </w:pPr>
      <w:bookmarkStart w:id="26" w:name="_Toc111208498"/>
      <w:bookmarkStart w:id="27" w:name="_Toc18980"/>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5"/>
        <w:pageBreakBefore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28" w:name="_Toc15377205"/>
      <w:bookmarkStart w:id="29" w:name="_Toc111208499"/>
      <w:bookmarkStart w:id="30" w:name="_Toc27241"/>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B0F0"/>
          <w:sz w:val="32"/>
          <w:szCs w:val="32"/>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393.32</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年相比，收、支总计各</w:t>
      </w:r>
      <w:r>
        <w:rPr>
          <w:rFonts w:ascii="仿宋" w:hAnsi="仿宋" w:eastAsia="仿宋"/>
          <w:color w:val="000000"/>
          <w:sz w:val="32"/>
          <w:szCs w:val="32"/>
        </w:rPr>
        <w:t>增加4.65</w:t>
      </w:r>
      <w:r>
        <w:rPr>
          <w:rFonts w:hint="eastAsia" w:ascii="仿宋" w:hAnsi="仿宋" w:eastAsia="仿宋"/>
          <w:color w:val="000000"/>
          <w:sz w:val="32"/>
          <w:szCs w:val="32"/>
        </w:rPr>
        <w:t>万元，</w:t>
      </w:r>
      <w:r>
        <w:rPr>
          <w:rFonts w:ascii="仿宋" w:hAnsi="仿宋" w:eastAsia="仿宋"/>
          <w:color w:val="000000"/>
          <w:sz w:val="32"/>
          <w:szCs w:val="32"/>
        </w:rPr>
        <w:t>增加1.20</w:t>
      </w:r>
      <w:r>
        <w:rPr>
          <w:rFonts w:hint="eastAsia" w:ascii="仿宋" w:hAnsi="仿宋" w:eastAsia="仿宋"/>
          <w:color w:val="000000"/>
          <w:sz w:val="32"/>
          <w:szCs w:val="32"/>
        </w:rPr>
        <w:t xml:space="preserve"> %。 </w:t>
      </w:r>
    </w:p>
    <w:p>
      <w:pPr>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sz w:val="28"/>
          <w:szCs w:val="28"/>
        </w:rPr>
      </w:pPr>
      <w:r>
        <w:rPr>
          <w:rFonts w:hint="eastAsia" w:ascii="仿宋" w:hAnsi="仿宋" w:eastAsia="仿宋"/>
          <w:color w:val="000000"/>
          <w:sz w:val="32"/>
          <w:szCs w:val="32"/>
        </w:rPr>
        <w:t>（图1：收、支决算总计变动情况图）</w:t>
      </w:r>
    </w:p>
    <w:p>
      <w:pPr>
        <w:pStyle w:val="7"/>
        <w:ind w:left="0" w:leftChars="0" w:firstLine="0" w:firstLineChars="0"/>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31" w:name="_Toc111208500"/>
      <w:bookmarkStart w:id="32" w:name="_Toc15377206"/>
      <w:bookmarkStart w:id="33" w:name="_Toc23087"/>
      <w:r>
        <w:rPr>
          <w:rFonts w:hint="eastAsia" w:ascii="黑体" w:eastAsia="黑体" w:cs="Times New Roman"/>
          <w:bCs w:val="0"/>
          <w:color w:val="000000"/>
        </w:rPr>
        <w:t>二、收入决算情况说明</w:t>
      </w:r>
      <w:bookmarkEnd w:id="31"/>
      <w:bookmarkEnd w:id="32"/>
      <w:bookmarkEnd w:id="33"/>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2021年本年收入合计358.34万元，其中：一般公共预算财政拨款收入358.34万元，占100.00%；政府性基金预算财政拨款收入0.00万元，占0.00%；国有资本经营预算财政拨款收入0.00万元，占0.00%；上级补助收入0.00万元，占0.00%；事业收入0.00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%；经营收入0.00万元，占0.00%；附属单位上缴收入0.00万元，占0.00%；其他收入0.00万元，占0.00%。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5"/>
        <w:jc w:val="both"/>
      </w:pPr>
      <w:r>
        <w:rPr>
          <w:rFonts w:hint="eastAsia" w:ascii="仿宋_GB2312" w:eastAsia="仿宋_GB2312"/>
          <w:color w:val="FF0000"/>
          <w:sz w:val="32"/>
          <w:szCs w:val="32"/>
        </w:rPr>
        <w:drawing>
          <wp:inline distT="0" distB="0" distL="114300" distR="114300">
            <wp:extent cx="4837430" cy="3181350"/>
            <wp:effectExtent l="5080" t="4445" r="15240"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34" w:name="_Toc111208501"/>
      <w:bookmarkStart w:id="35" w:name="_Toc15377207"/>
      <w:bookmarkStart w:id="36" w:name="_Toc12236"/>
      <w:r>
        <w:rPr>
          <w:rFonts w:hint="eastAsia" w:ascii="黑体" w:eastAsia="黑体" w:cs="Times New Roman"/>
          <w:bCs w:val="0"/>
          <w:color w:val="000000"/>
        </w:rPr>
        <w:t>三、支出决算情况说明</w:t>
      </w:r>
      <w:bookmarkEnd w:id="34"/>
      <w:bookmarkEnd w:id="35"/>
      <w:bookmarkEnd w:id="36"/>
    </w:p>
    <w:p>
      <w:pPr>
        <w:pStyle w:val="7"/>
        <w:pageBreakBefore w:val="0"/>
        <w:widowControl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393.32</w:t>
      </w:r>
      <w:r>
        <w:rPr>
          <w:rFonts w:ascii="仿宋" w:hAnsi="仿宋" w:eastAsia="仿宋"/>
          <w:color w:val="000000"/>
          <w:sz w:val="32"/>
          <w:szCs w:val="32"/>
        </w:rPr>
        <w:t>万元，其中：基本支出</w:t>
      </w:r>
      <w:r>
        <w:rPr>
          <w:rFonts w:hint="eastAsia" w:ascii="仿宋" w:hAnsi="仿宋" w:eastAsia="仿宋"/>
          <w:color w:val="000000"/>
          <w:sz w:val="32"/>
          <w:szCs w:val="32"/>
        </w:rPr>
        <w:t>329.59</w:t>
      </w:r>
      <w:r>
        <w:rPr>
          <w:rFonts w:ascii="仿宋" w:hAnsi="仿宋" w:eastAsia="仿宋"/>
          <w:color w:val="000000"/>
          <w:sz w:val="32"/>
          <w:szCs w:val="32"/>
        </w:rPr>
        <w:t>万元，占</w:t>
      </w:r>
      <w:r>
        <w:rPr>
          <w:rFonts w:hint="eastAsia" w:ascii="仿宋" w:hAnsi="仿宋" w:eastAsia="仿宋"/>
          <w:color w:val="000000"/>
          <w:sz w:val="32"/>
          <w:szCs w:val="32"/>
        </w:rPr>
        <w:t>83.80</w:t>
      </w:r>
      <w:r>
        <w:rPr>
          <w:rFonts w:ascii="仿宋" w:hAnsi="仿宋" w:eastAsia="仿宋"/>
          <w:color w:val="000000"/>
          <w:sz w:val="32"/>
          <w:szCs w:val="32"/>
        </w:rPr>
        <w:t>%；项目支出</w:t>
      </w:r>
      <w:r>
        <w:rPr>
          <w:rFonts w:hint="eastAsia" w:ascii="仿宋" w:hAnsi="仿宋" w:eastAsia="仿宋"/>
          <w:color w:val="000000"/>
          <w:sz w:val="32"/>
          <w:szCs w:val="32"/>
        </w:rPr>
        <w:t>63.73</w:t>
      </w:r>
      <w:r>
        <w:rPr>
          <w:rFonts w:ascii="仿宋" w:hAnsi="仿宋" w:eastAsia="仿宋"/>
          <w:color w:val="000000"/>
          <w:sz w:val="32"/>
          <w:szCs w:val="32"/>
        </w:rPr>
        <w:t>万元，占</w:t>
      </w:r>
      <w:r>
        <w:rPr>
          <w:rFonts w:hint="eastAsia" w:ascii="仿宋" w:hAnsi="仿宋" w:eastAsia="仿宋"/>
          <w:color w:val="000000"/>
          <w:sz w:val="32"/>
          <w:szCs w:val="32"/>
        </w:rPr>
        <w:t>16.20</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%；经营支出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%；对附属单位补助支出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（图3：支出决算结构图）</w:t>
      </w:r>
    </w:p>
    <w:p>
      <w:pPr>
        <w:jc w:val="center"/>
      </w:pPr>
      <w:r>
        <w:rPr>
          <w:rFonts w:hint="eastAsia" w:ascii="仿宋_GB2312" w:eastAsia="仿宋_GB2312"/>
          <w:color w:val="FF0000"/>
          <w:sz w:val="32"/>
          <w:szCs w:val="32"/>
        </w:rPr>
        <w:drawing>
          <wp:inline distT="0" distB="0" distL="114300" distR="114300">
            <wp:extent cx="4542155" cy="2990850"/>
            <wp:effectExtent l="4445" t="5080" r="6350"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37" w:name="_Toc15377208"/>
      <w:bookmarkStart w:id="38" w:name="_Toc111208502"/>
      <w:bookmarkStart w:id="39" w:name="_Toc15385"/>
      <w:r>
        <w:rPr>
          <w:rFonts w:hint="eastAsia" w:ascii="黑体" w:eastAsia="黑体" w:cs="Times New Roman"/>
          <w:bCs w:val="0"/>
          <w:color w:val="000000"/>
        </w:rPr>
        <w:t>四、财政拨款收入支出决算总体情况说明</w:t>
      </w:r>
      <w:bookmarkEnd w:id="37"/>
      <w:bookmarkEnd w:id="38"/>
      <w:bookmarkEnd w:id="39"/>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 xml:space="preserve">2021年财政拨款收、支总计393.32万元。与2020年相比，财政拨款收、支总计各增加4.65万元，增加1.20 %。 </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7"/>
        <w:ind w:firstLine="0"/>
      </w:pPr>
    </w:p>
    <w:p>
      <w:pPr>
        <w:pStyle w:val="7"/>
        <w:jc w:val="left"/>
      </w:pPr>
      <w:r>
        <w:rPr>
          <w:rFonts w:hint="eastAsia" w:ascii="仿宋_GB2312" w:hAnsi="仿宋" w:eastAsia="仿宋_GB2312"/>
          <w:color w:val="000000"/>
          <w:sz w:val="32"/>
          <w:szCs w:val="32"/>
        </w:rPr>
        <w:drawing>
          <wp:inline distT="0" distB="0" distL="0" distR="0">
            <wp:extent cx="4563110" cy="2915285"/>
            <wp:effectExtent l="4445" t="4445" r="23495" b="1397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7"/>
        <w:jc w:val="center"/>
      </w:pP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40" w:name="_Toc15377209"/>
      <w:bookmarkStart w:id="41" w:name="_Toc111208503"/>
      <w:bookmarkStart w:id="42" w:name="_Toc15347"/>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bookmarkStart w:id="44" w:name="_Toc15377211"/>
      <w:r>
        <w:rPr>
          <w:rFonts w:hint="eastAsia" w:ascii="仿宋" w:hAnsi="仿宋" w:eastAsia="仿宋"/>
          <w:color w:val="000000"/>
          <w:sz w:val="32"/>
          <w:szCs w:val="32"/>
        </w:rPr>
        <w:t xml:space="preserve">2021年一般公共预算财政拨款支出393.32万元，占本年支出合计的100.00%。与2020相比，一般公共预算财政拨款增加39.65万元，增加11.21 %。 </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b/>
          <w:color w:val="000000"/>
          <w:sz w:val="32"/>
          <w:szCs w:val="32"/>
        </w:rPr>
      </w:pPr>
      <w:r>
        <w:rPr>
          <w:rFonts w:hint="eastAsia" w:ascii="仿宋" w:hAnsi="仿宋" w:eastAsia="仿宋"/>
          <w:color w:val="000000"/>
          <w:sz w:val="32"/>
          <w:szCs w:val="32"/>
        </w:rPr>
        <w:t>（图5：一般公共预算财政拨款支出决算变动情况）</w:t>
      </w:r>
    </w:p>
    <w:p>
      <w:pPr>
        <w:pStyle w:val="7"/>
        <w:ind w:firstLine="0"/>
        <w:rPr>
          <w:rFonts w:ascii="仿宋_GB2312" w:hAnsi="仿宋" w:eastAsia="仿宋_GB2312"/>
          <w:b/>
          <w:color w:val="000000"/>
          <w:sz w:val="32"/>
          <w:szCs w:val="32"/>
        </w:rPr>
      </w:pPr>
      <w:r>
        <w:rPr>
          <w:rFonts w:hint="eastAsia" w:ascii="仿宋_GB2312" w:hAnsi="仿宋" w:eastAsia="仿宋_GB2312"/>
          <w:b/>
          <w:color w:val="000000"/>
          <w:sz w:val="32"/>
          <w:szCs w:val="32"/>
          <w:lang w:val="en-US" w:eastAsia="zh-CN"/>
        </w:rPr>
        <w:t xml:space="preserve">  </w:t>
      </w:r>
      <w:r>
        <w:rPr>
          <w:rFonts w:hint="eastAsia" w:ascii="仿宋_GB2312" w:hAnsi="仿宋" w:eastAsia="仿宋_GB2312"/>
          <w:b/>
          <w:color w:val="000000"/>
          <w:sz w:val="32"/>
          <w:szCs w:val="32"/>
        </w:rPr>
        <w:drawing>
          <wp:inline distT="0" distB="0" distL="0" distR="0">
            <wp:extent cx="4905375" cy="3569970"/>
            <wp:effectExtent l="4445" t="4445" r="5080" b="698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4"/>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393.32万元，主要用于以下方面:公共安全支出325.18万元，占82.68%；社会保障和就业支出29.96万元，占7.62%；卫生健康支出15.20万元，占3.86%；农林水支出0.33万元，占0.08%；住房保障支出22.64万元，占5.76%。</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5" w:name="_Toc15377212"/>
    </w:p>
    <w:p>
      <w:pPr>
        <w:pStyle w:val="7"/>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5"/>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bookmarkStart w:id="46" w:name="_Toc15378460"/>
      <w:bookmarkStart w:id="47" w:name="_Toc15377444"/>
      <w:bookmarkStart w:id="48" w:name="_Toc15377213"/>
      <w:r>
        <w:rPr>
          <w:rFonts w:hint="eastAsia" w:ascii="仿宋" w:hAnsi="仿宋" w:eastAsia="仿宋"/>
          <w:color w:val="000000"/>
          <w:sz w:val="32"/>
          <w:szCs w:val="32"/>
        </w:rPr>
        <w:t>2021年一般公共预算支出决算数为393.32万元，完成预算100%。其中：</w:t>
      </w:r>
      <w:bookmarkEnd w:id="46"/>
      <w:bookmarkEnd w:id="47"/>
      <w:bookmarkEnd w:id="48"/>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1.公共安全支出（204）公安（20402）行政运行（2040201）支出决算240.53万元，完成预算100%。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2.公共安全支出（204）公安（20402）一般行政管理事务（2040202）支出决算54.98万元，完成预算100%。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3.公共安全支出（204）公安（20402）事业运行（2040250）支出决算21.25万元，完成预算100%。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4.公共安全支出（204）公安（20402）其他公安支出（2040299）支出决算8.42万元，完成预算100%。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5.社会保障和就业支出（208）行政事业单位养老支出（20805）机关事业单位基本养老保险缴费支出（2080505）支出决算19.98万元，完成预算100%。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6.社会保障和就业支出（208）行政事业单位养老支出（20805）机关事业单位职业年金缴费支出（2080506）支出决算9.99万元，完成预算100%。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7.卫生健康支出（210）行政事业单位医疗（21011）行政单位医疗（2101101）支出决算13.81万元，完成预算100%。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8.卫生健康支出（210）行政事业单位医疗（21011）事业单位医疗（2101102）支出决算1.39万元，完成预算100%。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9.农林水支出（213）扶贫（21305）其他扶贫支出（2130599）支出决算0.33万元，完成预算100%。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10.住房保障支出（221）住房改革支出（22102）住房公积金（2210201）支出决算22.64万元，完成预算100%。</w:t>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 w:val="0"/>
          <w:color w:val="000000"/>
        </w:rPr>
      </w:pPr>
      <w:bookmarkStart w:id="49" w:name="_Toc15377214"/>
      <w:bookmarkStart w:id="50" w:name="_Toc111208504"/>
      <w:bookmarkStart w:id="51" w:name="_Toc10644"/>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2021年一般公共预算财政拨款基本支出329.59万元，其中：</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人员经费294.44万元，主要包括：基本工资63.60万元、津贴补贴68.85万元、奖金74.28万元、绩效工资9.37万元、机关事业单位基本养老保险缴费19.98万元、职业年金缴费9.99万元、职工基本医疗保险缴费15.20万元、其他社会保障缴费0.56万元、住房公积金22.64万元、医疗费1.85万元、生活补助8.06万元、医疗费补助0.06万元。</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公用经费35.15万元，主要包括：办公费10.84万元、邮电费2.81万元、差旅费5.26万元、培训费1.00万元、公务接待费0.75万元、其他交通费用14.49万元。</w:t>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52" w:name="_Toc111208505"/>
      <w:bookmarkStart w:id="53" w:name="_Toc15377215"/>
      <w:bookmarkStart w:id="54" w:name="_Toc18131"/>
      <w:r>
        <w:rPr>
          <w:rFonts w:hint="eastAsia" w:ascii="黑体" w:eastAsia="黑体" w:cs="Times New Roman"/>
          <w:bCs w:val="0"/>
          <w:color w:val="000000"/>
        </w:rPr>
        <w:t>七、“三公”经费财政拨款支出决算情况说明</w:t>
      </w:r>
      <w:bookmarkEnd w:id="52"/>
      <w:bookmarkEnd w:id="53"/>
      <w:bookmarkEnd w:id="54"/>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2021年“三公”经费财政拨款支出决算为0.75万元，完成预算100.00%。</w:t>
      </w:r>
      <w:bookmarkStart w:id="56" w:name="_Toc15377217"/>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6"/>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2021年“三公”经费财政拨款支出0.75万元，因公出国（境）费支出决算0.00万元，占0.00%；公务用车购置及运行维护费支出决算0.00万元，占0.00%；公务接待费支出决算0.75万元，占100.00%。具体情况如下：</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7"/>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1.因公出国（境）经费支出0.00万元,完成预算100%。全年安排因公出国（境）团组0次，出国（境）0人。因公出国（境）支出决算比2020年增加0.00万元，增加100.00 %。 </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2.公务用车购置及运行维护费支出0.00万元,完成预算0.00%。公务用车购置及运行维护费支出决算比2020年增加0.00万元，增加0%。 </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其中：公务用车购置支出0.00万元。全年按规定更新购置公务用车0辆，其中：轿车0辆、金额0.00万元，越野车0辆、金额0.00万元，载客汽车0辆、金额0.00万元。截至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月底，单位共有公务用车0辆，其中：轿车0辆、越野车0辆、载客汽车0辆。</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公务用车运行维护费支出0.00万元。 </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3.公务接待费支出0.75万元，完成预算100.00%。公务接待费支出决算比2020年增加0.73万元，增加96.75</w:t>
      </w:r>
      <w:r>
        <w:rPr>
          <w:rFonts w:ascii="仿宋" w:hAnsi="仿宋" w:eastAsia="仿宋"/>
          <w:color w:val="000000"/>
          <w:sz w:val="32"/>
          <w:szCs w:val="32"/>
        </w:rPr>
        <w:t>%</w:t>
      </w:r>
      <w:r>
        <w:rPr>
          <w:rFonts w:hint="eastAsia" w:ascii="仿宋" w:hAnsi="仿宋" w:eastAsia="仿宋"/>
          <w:color w:val="000000"/>
          <w:sz w:val="32"/>
          <w:szCs w:val="32"/>
        </w:rPr>
        <w:t>。</w:t>
      </w:r>
      <w:bookmarkStart w:id="57" w:name="_Toc15377218"/>
      <w:r>
        <w:rPr>
          <w:rFonts w:hint="eastAsia" w:ascii="仿宋" w:hAnsi="仿宋" w:eastAsia="仿宋"/>
          <w:color w:val="000000"/>
          <w:sz w:val="32"/>
          <w:szCs w:val="32"/>
        </w:rPr>
        <w:t xml:space="preserve"> </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国内公务接待支出0.75万元。国内公务接待4批次，62人次（不包括陪同人员），共计支出0.75万元。</w:t>
      </w:r>
    </w:p>
    <w:p>
      <w:pPr>
        <w:pStyle w:val="7"/>
        <w:pageBreakBefore w:val="0"/>
        <w:widowControl w:val="0"/>
        <w:kinsoku/>
        <w:wordWrap/>
        <w:overflowPunct/>
        <w:topLinePunct w:val="0"/>
        <w:autoSpaceDE/>
        <w:autoSpaceDN/>
        <w:bidi w:val="0"/>
        <w:adjustRightInd/>
        <w:snapToGrid/>
        <w:spacing w:line="576" w:lineRule="exact"/>
        <w:jc w:val="both"/>
        <w:textAlignment w:val="auto"/>
        <w:rPr>
          <w:rFonts w:ascii="仿宋" w:hAnsi="仿宋" w:eastAsia="仿宋"/>
          <w:color w:val="000000"/>
          <w:sz w:val="32"/>
          <w:szCs w:val="32"/>
        </w:rPr>
      </w:pPr>
      <w:r>
        <w:rPr>
          <w:rFonts w:hint="eastAsia" w:ascii="仿宋" w:hAnsi="仿宋" w:eastAsia="仿宋"/>
          <w:color w:val="000000"/>
          <w:sz w:val="32"/>
          <w:szCs w:val="32"/>
        </w:rPr>
        <w:t>外事接待支出0.00万元，外事接待0批次，0人，共计支出0.00万元。</w:t>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jc w:val="both"/>
        <w:textAlignment w:val="auto"/>
        <w:rPr>
          <w:rFonts w:ascii="黑体" w:eastAsia="黑体" w:cs="Times New Roman"/>
          <w:bCs w:val="0"/>
          <w:color w:val="000000"/>
        </w:rPr>
      </w:pPr>
      <w:bookmarkStart w:id="58" w:name="_Toc111208506"/>
      <w:bookmarkStart w:id="59" w:name="_Toc29603"/>
      <w:r>
        <w:rPr>
          <w:rFonts w:hint="eastAsia" w:ascii="黑体" w:eastAsia="黑体" w:cs="Times New Roman"/>
          <w:bCs w:val="0"/>
          <w:color w:val="000000"/>
        </w:rPr>
        <w:t>八、政府性基金预算支出决算情况说明</w:t>
      </w:r>
      <w:bookmarkEnd w:id="57"/>
      <w:bookmarkEnd w:id="58"/>
      <w:bookmarkEnd w:id="59"/>
    </w:p>
    <w:p>
      <w:pPr>
        <w:pageBreakBefore w:val="0"/>
        <w:widowControl w:val="0"/>
        <w:kinsoku/>
        <w:wordWrap/>
        <w:overflowPunct/>
        <w:topLinePunct w:val="0"/>
        <w:autoSpaceDE/>
        <w:autoSpaceDN/>
        <w:bidi w:val="0"/>
        <w:adjustRightInd/>
        <w:snapToGrid/>
        <w:spacing w:line="576" w:lineRule="exact"/>
        <w:ind w:firstLine="640"/>
        <w:jc w:val="both"/>
        <w:textAlignment w:val="auto"/>
        <w:rPr>
          <w:rFonts w:ascii="仿宋" w:hAnsi="仿宋" w:eastAsia="仿宋"/>
        </w:rPr>
      </w:pPr>
      <w:r>
        <w:rPr>
          <w:rFonts w:hint="eastAsia" w:ascii="仿宋" w:hAnsi="仿宋" w:eastAsia="仿宋"/>
          <w:color w:val="000000"/>
          <w:sz w:val="32"/>
          <w:szCs w:val="32"/>
        </w:rPr>
        <w:t>2021年政府性基金预算拨款支出0.00万元。</w:t>
      </w:r>
      <w:bookmarkStart w:id="60" w:name="_Toc15377219"/>
    </w:p>
    <w:p>
      <w:pPr>
        <w:pStyle w:val="5"/>
        <w:pageBreakBefore w:val="0"/>
        <w:widowControl w:val="0"/>
        <w:kinsoku/>
        <w:wordWrap/>
        <w:overflowPunct/>
        <w:topLinePunct w:val="0"/>
        <w:autoSpaceDE/>
        <w:autoSpaceDN/>
        <w:bidi w:val="0"/>
        <w:adjustRightInd/>
        <w:snapToGrid/>
        <w:spacing w:before="0" w:after="0" w:line="576" w:lineRule="exact"/>
        <w:ind w:firstLine="643" w:firstLineChars="200"/>
        <w:jc w:val="both"/>
        <w:textAlignment w:val="auto"/>
        <w:rPr>
          <w:rFonts w:ascii="黑体" w:eastAsia="黑体" w:cs="Times New Roman"/>
          <w:bCs w:val="0"/>
          <w:color w:val="000000"/>
        </w:rPr>
      </w:pPr>
      <w:bookmarkStart w:id="61" w:name="_Toc111208507"/>
      <w:bookmarkStart w:id="62" w:name="_Toc31418"/>
      <w:r>
        <w:rPr>
          <w:rFonts w:hint="eastAsia" w:ascii="黑体" w:eastAsia="黑体" w:cs="Times New Roman"/>
          <w:bCs w:val="0"/>
          <w:color w:val="000000"/>
        </w:rPr>
        <w:t>九、国有资本经营预算支出决算情况说明</w:t>
      </w:r>
      <w:bookmarkEnd w:id="60"/>
      <w:bookmarkEnd w:id="61"/>
      <w:bookmarkEnd w:id="62"/>
    </w:p>
    <w:p>
      <w:pPr>
        <w:pageBreakBefore w:val="0"/>
        <w:widowControl w:val="0"/>
        <w:kinsoku/>
        <w:wordWrap/>
        <w:overflowPunct/>
        <w:topLinePunct w:val="0"/>
        <w:autoSpaceDE/>
        <w:autoSpaceDN/>
        <w:bidi w:val="0"/>
        <w:adjustRightInd/>
        <w:snapToGrid/>
        <w:spacing w:line="576" w:lineRule="exact"/>
        <w:ind w:firstLine="640"/>
        <w:jc w:val="both"/>
        <w:textAlignment w:val="auto"/>
        <w:rPr>
          <w:rFonts w:ascii="仿宋" w:hAnsi="仿宋" w:eastAsia="仿宋"/>
        </w:rPr>
      </w:pPr>
      <w:r>
        <w:rPr>
          <w:rFonts w:hint="eastAsia" w:ascii="仿宋" w:hAnsi="仿宋" w:eastAsia="仿宋"/>
          <w:color w:val="000000"/>
          <w:sz w:val="32"/>
          <w:szCs w:val="32"/>
        </w:rPr>
        <w:t>2021年国有资本经营预算拨款支出0.00万元。</w:t>
      </w:r>
    </w:p>
    <w:p>
      <w:pPr>
        <w:pStyle w:val="5"/>
        <w:pageBreakBefore w:val="0"/>
        <w:widowControl w:val="0"/>
        <w:tabs>
          <w:tab w:val="left" w:pos="381"/>
        </w:tabs>
        <w:kinsoku/>
        <w:wordWrap/>
        <w:overflowPunct/>
        <w:topLinePunct w:val="0"/>
        <w:autoSpaceDE/>
        <w:autoSpaceDN/>
        <w:bidi w:val="0"/>
        <w:adjustRightInd/>
        <w:snapToGrid/>
        <w:spacing w:before="0" w:after="0" w:line="576" w:lineRule="exact"/>
        <w:ind w:firstLine="643" w:firstLineChars="200"/>
        <w:jc w:val="both"/>
        <w:textAlignment w:val="auto"/>
        <w:rPr>
          <w:rFonts w:ascii="黑体" w:eastAsia="黑体" w:cs="Times New Roman"/>
          <w:bCs w:val="0"/>
          <w:color w:val="000000"/>
        </w:rPr>
      </w:pPr>
      <w:bookmarkStart w:id="63" w:name="_Toc111208508"/>
      <w:bookmarkStart w:id="64" w:name="_Toc15377221"/>
      <w:bookmarkStart w:id="65" w:name="_Toc11083"/>
      <w:r>
        <w:rPr>
          <w:rFonts w:hint="eastAsia" w:ascii="黑体" w:eastAsia="黑体" w:cs="Times New Roman"/>
          <w:bCs w:val="0"/>
          <w:color w:val="000000"/>
        </w:rPr>
        <w:t>十、其他重要事项的情况说明</w:t>
      </w:r>
      <w:bookmarkEnd w:id="63"/>
      <w:bookmarkEnd w:id="64"/>
      <w:bookmarkEnd w:id="65"/>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2"/>
        <w:rPr>
          <w:rFonts w:ascii="仿宋" w:hAnsi="仿宋" w:eastAsia="仿宋"/>
          <w:b/>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pageBreakBefore w:val="0"/>
        <w:widowControl w:val="0"/>
        <w:kinsoku/>
        <w:wordWrap/>
        <w:overflowPunct/>
        <w:topLinePunct w:val="0"/>
        <w:autoSpaceDE/>
        <w:autoSpaceDN/>
        <w:bidi w:val="0"/>
        <w:adjustRightInd/>
        <w:snapToGrid/>
        <w:spacing w:line="576" w:lineRule="exact"/>
        <w:ind w:firstLine="640"/>
        <w:jc w:val="both"/>
        <w:textAlignment w:val="auto"/>
        <w:rPr>
          <w:rFonts w:ascii="仿宋" w:hAnsi="仿宋" w:eastAsia="仿宋"/>
          <w:color w:val="000000"/>
          <w:sz w:val="32"/>
          <w:szCs w:val="32"/>
        </w:rPr>
      </w:pPr>
      <w:r>
        <w:rPr>
          <w:rFonts w:hint="eastAsia" w:ascii="仿宋" w:hAnsi="仿宋" w:eastAsia="仿宋"/>
          <w:color w:val="000000"/>
          <w:sz w:val="32"/>
          <w:szCs w:val="32"/>
        </w:rPr>
        <w:t xml:space="preserve">2021年，机关运行经费支出30.40万元，比2020年减少14.30万元，减少32.0 %。 </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r>
        <w:rPr>
          <w:rFonts w:hint="eastAsia" w:ascii="仿宋" w:hAnsi="仿宋" w:eastAsia="仿宋"/>
          <w:b/>
          <w:color w:val="000000"/>
          <w:sz w:val="32"/>
          <w:szCs w:val="32"/>
        </w:rPr>
        <w:t>(机构运行信息表)</w:t>
      </w:r>
    </w:p>
    <w:p>
      <w:pPr>
        <w:pageBreakBefore w:val="0"/>
        <w:widowControl w:val="0"/>
        <w:kinsoku/>
        <w:wordWrap/>
        <w:overflowPunct/>
        <w:topLinePunct w:val="0"/>
        <w:autoSpaceDE/>
        <w:autoSpaceDN/>
        <w:bidi w:val="0"/>
        <w:adjustRightInd/>
        <w:snapToGrid/>
        <w:spacing w:line="576" w:lineRule="exact"/>
        <w:ind w:firstLine="640"/>
        <w:jc w:val="both"/>
        <w:textAlignment w:val="auto"/>
        <w:rPr>
          <w:rFonts w:ascii="仿宋_GB2312" w:eastAsia="仿宋_GB2312"/>
          <w:color w:val="000000"/>
          <w:sz w:val="32"/>
          <w:szCs w:val="32"/>
        </w:rPr>
      </w:pPr>
      <w:r>
        <w:rPr>
          <w:rFonts w:hint="eastAsia" w:ascii="仿宋" w:hAnsi="仿宋" w:eastAsia="仿宋"/>
          <w:color w:val="000000"/>
          <w:sz w:val="32"/>
          <w:szCs w:val="32"/>
        </w:rPr>
        <w:t>2021年，政府采购支出总额0.00万元，其中：政府采购货物支出0.00万元、政府采购工程支出0.00万元、政府采购服务支出0.00万元。授予中小企业合同金额0.00万元，其中：授予小微企业合同金额0.00万元，占总合同的0.00%。</w:t>
      </w:r>
    </w:p>
    <w:p>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pageBreakBefore w:val="0"/>
        <w:widowControl w:val="0"/>
        <w:kinsoku/>
        <w:wordWrap/>
        <w:overflowPunct/>
        <w:topLinePunct w:val="0"/>
        <w:autoSpaceDE/>
        <w:autoSpaceDN/>
        <w:bidi w:val="0"/>
        <w:adjustRightInd/>
        <w:snapToGrid/>
        <w:spacing w:line="576" w:lineRule="exact"/>
        <w:ind w:firstLine="640"/>
        <w:jc w:val="both"/>
        <w:textAlignment w:val="auto"/>
        <w:rPr>
          <w:rFonts w:ascii="仿宋" w:hAnsi="仿宋" w:eastAsia="仿宋"/>
          <w:color w:val="000000"/>
          <w:sz w:val="32"/>
          <w:szCs w:val="32"/>
        </w:rPr>
      </w:pPr>
      <w:r>
        <w:rPr>
          <w:rFonts w:hint="eastAsia" w:ascii="仿宋" w:hAnsi="仿宋" w:eastAsia="仿宋"/>
          <w:color w:val="000000"/>
          <w:sz w:val="32"/>
          <w:szCs w:val="32"/>
        </w:rPr>
        <w:t>截至2021年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日，共有车辆0辆，其中：主要领导干部用车0辆、机要通信用车0辆、应急保障用车0辆、其他用车0辆。单价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pageBreakBefore w:val="0"/>
        <w:widowControl w:val="0"/>
        <w:numPr>
          <w:ilvl w:val="0"/>
          <w:numId w:val="1"/>
        </w:numPr>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b/>
          <w:color w:val="000000"/>
          <w:sz w:val="32"/>
          <w:szCs w:val="32"/>
        </w:rPr>
      </w:pPr>
      <w:r>
        <w:rPr>
          <w:rFonts w:hint="eastAsia" w:ascii="仿宋" w:hAnsi="仿宋" w:eastAsia="仿宋"/>
          <w:b/>
          <w:color w:val="000000"/>
          <w:sz w:val="32"/>
          <w:szCs w:val="32"/>
        </w:rPr>
        <w:t>预算绩效管理情况</w:t>
      </w:r>
    </w:p>
    <w:p>
      <w:pPr>
        <w:spacing w:line="576" w:lineRule="exact"/>
        <w:ind w:firstLine="640" w:firstLineChars="200"/>
        <w:rPr>
          <w:rFonts w:hint="eastAsia" w:ascii="仿宋_GB2312" w:hAnsi="仿宋_GB2312" w:eastAsia="仿宋_GB2312"/>
          <w:sz w:val="32"/>
          <w:szCs w:val="32"/>
          <w:lang w:val="en-US" w:eastAsia="zh-CN"/>
        </w:rPr>
      </w:pPr>
      <w:r>
        <w:rPr>
          <w:rFonts w:hint="eastAsia" w:ascii="仿宋_GB2312" w:hAnsi="仿宋_GB2312" w:eastAsia="仿宋_GB2312" w:cs="仿宋_GB2312"/>
          <w:sz w:val="32"/>
          <w:szCs w:val="32"/>
        </w:rPr>
        <w:t>我委无专项预算项目，因此未组织开展项目支出绩效评价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本部门未组织开展项目支出绩效评价。</w:t>
      </w:r>
      <w:r>
        <w:rPr>
          <w:rFonts w:hint="eastAsia" w:ascii="仿宋_GB2312" w:hAnsi="仿宋_GB2312" w:eastAsia="仿宋_GB2312" w:cs="仿宋_GB2312"/>
          <w:sz w:val="32"/>
          <w:szCs w:val="32"/>
          <w:lang w:val="en-US" w:eastAsia="zh-CN"/>
        </w:rPr>
        <w:t xml:space="preserve"> </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我委按要求对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年部门整体支出绩效评价情况开展自评，中共茂县县委政法委员会</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pStyle w:val="7"/>
        <w:numPr>
          <w:ilvl w:val="0"/>
          <w:numId w:val="0"/>
        </w:numPr>
      </w:pPr>
    </w:p>
    <w:p>
      <w:pPr>
        <w:pStyle w:val="35"/>
        <w:spacing w:line="580" w:lineRule="exact"/>
        <w:contextualSpacing/>
        <w:rPr>
          <w:rFonts w:hint="eastAsia" w:ascii="黑体" w:hAnsi="黑体" w:eastAsia="黑体" w:cs="黑体"/>
          <w:szCs w:val="32"/>
          <w:lang w:val="zh-CN"/>
        </w:rPr>
      </w:pPr>
    </w:p>
    <w:p>
      <w:pPr>
        <w:pStyle w:val="35"/>
        <w:spacing w:line="580" w:lineRule="exact"/>
        <w:contextualSpacing/>
        <w:rPr>
          <w:rFonts w:hint="eastAsia" w:ascii="黑体" w:hAnsi="黑体" w:eastAsia="黑体" w:cs="黑体"/>
          <w:szCs w:val="32"/>
          <w:lang w:val="zh-CN"/>
        </w:rPr>
      </w:pPr>
    </w:p>
    <w:p>
      <w:pPr>
        <w:pStyle w:val="35"/>
        <w:spacing w:line="580" w:lineRule="exact"/>
        <w:contextualSpacing/>
        <w:rPr>
          <w:rFonts w:hint="eastAsia" w:ascii="黑体" w:hAnsi="黑体" w:eastAsia="黑体" w:cs="黑体"/>
          <w:szCs w:val="32"/>
          <w:lang w:val="zh-CN"/>
        </w:rPr>
      </w:pPr>
    </w:p>
    <w:p>
      <w:pPr>
        <w:pStyle w:val="35"/>
        <w:spacing w:line="580" w:lineRule="exact"/>
        <w:contextualSpacing/>
        <w:rPr>
          <w:rFonts w:hint="eastAsia" w:ascii="黑体" w:hAnsi="黑体" w:eastAsia="黑体" w:cs="黑体"/>
          <w:szCs w:val="32"/>
          <w:lang w:val="zh-CN"/>
        </w:rPr>
      </w:pPr>
    </w:p>
    <w:p>
      <w:pPr>
        <w:pStyle w:val="35"/>
        <w:spacing w:line="580" w:lineRule="exact"/>
        <w:contextualSpacing/>
        <w:rPr>
          <w:rFonts w:hint="eastAsia" w:ascii="黑体" w:hAnsi="黑体" w:eastAsia="黑体" w:cs="黑体"/>
          <w:szCs w:val="32"/>
          <w:lang w:val="zh-CN"/>
        </w:rPr>
      </w:pPr>
    </w:p>
    <w:p>
      <w:pPr>
        <w:pStyle w:val="35"/>
        <w:spacing w:line="580" w:lineRule="exact"/>
        <w:contextualSpacing/>
        <w:rPr>
          <w:rFonts w:hint="eastAsia" w:ascii="黑体" w:hAnsi="黑体" w:eastAsia="黑体" w:cs="黑体"/>
          <w:szCs w:val="32"/>
          <w:lang w:val="zh-CN"/>
        </w:rPr>
      </w:pPr>
    </w:p>
    <w:p>
      <w:pPr>
        <w:pStyle w:val="35"/>
        <w:spacing w:line="580" w:lineRule="exact"/>
        <w:contextualSpacing/>
        <w:rPr>
          <w:rFonts w:hint="eastAsia" w:ascii="黑体" w:hAnsi="黑体" w:eastAsia="黑体" w:cs="黑体"/>
          <w:szCs w:val="32"/>
          <w:lang w:val="zh-CN"/>
        </w:rPr>
      </w:pPr>
    </w:p>
    <w:p>
      <w:pPr>
        <w:pStyle w:val="35"/>
        <w:spacing w:line="580" w:lineRule="exact"/>
        <w:contextualSpacing/>
        <w:rPr>
          <w:rFonts w:hint="eastAsia" w:ascii="黑体" w:hAnsi="黑体" w:eastAsia="黑体" w:cs="黑体"/>
          <w:szCs w:val="32"/>
          <w:lang w:val="zh-CN"/>
        </w:rPr>
      </w:pPr>
    </w:p>
    <w:p>
      <w:pPr>
        <w:pStyle w:val="35"/>
        <w:spacing w:line="580" w:lineRule="exact"/>
        <w:contextualSpacing/>
        <w:rPr>
          <w:rFonts w:hint="eastAsia" w:ascii="黑体" w:hAnsi="黑体" w:eastAsia="黑体" w:cs="黑体"/>
          <w:szCs w:val="32"/>
          <w:lang w:val="zh-CN"/>
        </w:rPr>
      </w:pPr>
    </w:p>
    <w:p>
      <w:pPr>
        <w:pStyle w:val="35"/>
        <w:spacing w:line="580" w:lineRule="exact"/>
        <w:contextualSpacing/>
        <w:rPr>
          <w:rFonts w:hint="eastAsia" w:ascii="黑体" w:hAnsi="黑体" w:eastAsia="黑体" w:cs="黑体"/>
          <w:szCs w:val="32"/>
          <w:lang w:val="zh-CN"/>
        </w:rPr>
      </w:pPr>
    </w:p>
    <w:p>
      <w:pPr>
        <w:pStyle w:val="35"/>
        <w:spacing w:line="580" w:lineRule="exact"/>
        <w:contextualSpacing/>
        <w:rPr>
          <w:rFonts w:hint="eastAsia" w:ascii="黑体" w:hAnsi="黑体" w:eastAsia="黑体" w:cs="黑体"/>
          <w:szCs w:val="32"/>
          <w:lang w:val="zh-CN"/>
        </w:rPr>
      </w:pPr>
    </w:p>
    <w:p>
      <w:pPr>
        <w:pStyle w:val="35"/>
        <w:spacing w:line="580" w:lineRule="exact"/>
        <w:contextualSpacing/>
        <w:rPr>
          <w:rFonts w:hint="eastAsia" w:ascii="黑体" w:hAnsi="黑体" w:eastAsia="黑体" w:cs="黑体"/>
          <w:szCs w:val="32"/>
          <w:lang w:val="zh-CN"/>
        </w:rPr>
      </w:pPr>
    </w:p>
    <w:p>
      <w:pPr>
        <w:pStyle w:val="35"/>
        <w:spacing w:line="580" w:lineRule="exact"/>
        <w:contextualSpacing/>
        <w:rPr>
          <w:rFonts w:hint="eastAsia" w:ascii="黑体" w:hAnsi="黑体" w:eastAsia="黑体" w:cs="黑体"/>
          <w:szCs w:val="32"/>
          <w:lang w:val="zh-CN"/>
        </w:rPr>
      </w:pPr>
    </w:p>
    <w:p>
      <w:pPr>
        <w:pStyle w:val="35"/>
        <w:pageBreakBefore w:val="0"/>
        <w:kinsoku/>
        <w:wordWrap/>
        <w:overflowPunct/>
        <w:topLinePunct w:val="0"/>
        <w:autoSpaceDE/>
        <w:autoSpaceDN/>
        <w:bidi w:val="0"/>
        <w:spacing w:line="576" w:lineRule="exact"/>
        <w:contextualSpacing/>
        <w:rPr>
          <w:rFonts w:ascii="黑体" w:hAnsi="黑体" w:eastAsia="黑体" w:cs="黑体"/>
          <w:szCs w:val="32"/>
          <w:lang w:val="zh-CN"/>
        </w:rPr>
      </w:pPr>
      <w:r>
        <w:rPr>
          <w:rFonts w:hint="eastAsia" w:ascii="黑体" w:hAnsi="黑体" w:eastAsia="黑体" w:cs="黑体"/>
          <w:szCs w:val="32"/>
          <w:lang w:val="zh-CN"/>
        </w:rPr>
        <w:t>附件</w:t>
      </w:r>
      <w:r>
        <w:rPr>
          <w:rFonts w:hint="eastAsia" w:ascii="黑体" w:hAnsi="黑体" w:eastAsia="黑体" w:cs="黑体"/>
          <w:szCs w:val="32"/>
        </w:rPr>
        <w:t>2</w:t>
      </w:r>
    </w:p>
    <w:p>
      <w:pPr>
        <w:pStyle w:val="35"/>
        <w:pageBreakBefore w:val="0"/>
        <w:widowControl/>
        <w:kinsoku/>
        <w:wordWrap/>
        <w:overflowPunct/>
        <w:topLinePunct w:val="0"/>
        <w:autoSpaceDE/>
        <w:autoSpaceDN/>
        <w:bidi w:val="0"/>
        <w:spacing w:line="576" w:lineRule="exact"/>
        <w:contextualSpacing/>
        <w:rPr>
          <w:rFonts w:ascii="宋体" w:hAnsi="宋体" w:eastAsia="宋体"/>
          <w:b/>
          <w:sz w:val="44"/>
          <w:szCs w:val="44"/>
          <w:shd w:val="clear" w:color="auto" w:fill="FFFFFF"/>
        </w:rPr>
      </w:pPr>
    </w:p>
    <w:p>
      <w:pPr>
        <w:pStyle w:val="35"/>
        <w:pageBreakBefore w:val="0"/>
        <w:widowControl/>
        <w:kinsoku/>
        <w:wordWrap/>
        <w:overflowPunct/>
        <w:topLinePunct w:val="0"/>
        <w:autoSpaceDE/>
        <w:autoSpaceDN/>
        <w:bidi w:val="0"/>
        <w:spacing w:line="576" w:lineRule="exact"/>
        <w:contextualSpacing/>
        <w:jc w:val="center"/>
        <w:rPr>
          <w:rFonts w:hint="eastAsia" w:ascii="宋体" w:hAnsi="宋体" w:eastAsia="宋体"/>
          <w:b/>
          <w:sz w:val="44"/>
          <w:szCs w:val="44"/>
          <w:shd w:val="clear" w:color="auto" w:fill="FFFFFF"/>
          <w:lang w:eastAsia="zh-CN"/>
        </w:rPr>
      </w:pPr>
      <w:r>
        <w:rPr>
          <w:rFonts w:hint="eastAsia" w:ascii="宋体" w:hAnsi="宋体" w:eastAsia="宋体"/>
          <w:b/>
          <w:sz w:val="44"/>
          <w:szCs w:val="44"/>
          <w:shd w:val="clear" w:color="auto" w:fill="FFFFFF"/>
          <w:lang w:eastAsia="zh-CN"/>
        </w:rPr>
        <w:t>中共茂县县委政法委员会</w:t>
      </w:r>
    </w:p>
    <w:p>
      <w:pPr>
        <w:pStyle w:val="35"/>
        <w:pageBreakBefore w:val="0"/>
        <w:widowControl/>
        <w:kinsoku/>
        <w:wordWrap/>
        <w:overflowPunct/>
        <w:topLinePunct w:val="0"/>
        <w:autoSpaceDE/>
        <w:autoSpaceDN/>
        <w:bidi w:val="0"/>
        <w:spacing w:line="576" w:lineRule="exact"/>
        <w:contextualSpacing/>
        <w:jc w:val="center"/>
        <w:rPr>
          <w:rFonts w:ascii="宋体" w:hAnsi="宋体" w:eastAsia="宋体"/>
          <w:b/>
          <w:sz w:val="44"/>
          <w:szCs w:val="44"/>
          <w:shd w:val="clear" w:color="auto" w:fill="FFFFFF"/>
        </w:rPr>
      </w:pPr>
      <w:r>
        <w:rPr>
          <w:rFonts w:hint="eastAsia" w:ascii="宋体" w:hAnsi="宋体" w:eastAsia="宋体"/>
          <w:b/>
          <w:sz w:val="44"/>
          <w:szCs w:val="44"/>
          <w:shd w:val="clear" w:color="auto" w:fill="FFFFFF"/>
        </w:rPr>
        <w:t>2022年整体支出绩效评价报告</w:t>
      </w: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黑体" w:hAnsi="宋体" w:eastAsia="黑体" w:cs="宋体"/>
          <w:color w:val="000000"/>
          <w:kern w:val="0"/>
          <w:sz w:val="24"/>
          <w:szCs w:val="32"/>
          <w:shd w:val="clear" w:color="auto" w:fill="FFFFFF"/>
          <w:lang w:eastAsia="zh-CN"/>
        </w:rPr>
      </w:pPr>
      <w:r>
        <w:rPr>
          <w:rFonts w:hint="eastAsia" w:ascii="仿宋_GB2312" w:hAnsi="宋体" w:eastAsia="黑体"/>
          <w:szCs w:val="32"/>
          <w:shd w:val="clear" w:color="auto" w:fill="FFFFFF"/>
          <w:lang w:val="en-US" w:eastAsia="zh-CN"/>
        </w:rPr>
        <w:t xml:space="preserve"> </w:t>
      </w: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ascii="黑体" w:hAnsi="宋体" w:eastAsia="黑体" w:cs="宋体"/>
          <w:color w:val="000000"/>
          <w:kern w:val="0"/>
          <w:szCs w:val="32"/>
          <w:shd w:val="clear" w:color="auto" w:fill="FFFFFF"/>
          <w:lang w:val="zh-CN"/>
        </w:rPr>
      </w:pPr>
      <w:r>
        <w:rPr>
          <w:rFonts w:hint="eastAsia" w:ascii="黑体" w:hAnsi="宋体" w:eastAsia="黑体" w:cs="宋体"/>
          <w:color w:val="000000"/>
          <w:kern w:val="0"/>
          <w:szCs w:val="32"/>
          <w:shd w:val="clear" w:color="auto" w:fill="FFFFFF"/>
        </w:rPr>
        <w:t>一、</w:t>
      </w:r>
      <w:r>
        <w:rPr>
          <w:rFonts w:hint="eastAsia" w:ascii="黑体" w:hAnsi="宋体" w:eastAsia="黑体" w:cs="宋体"/>
          <w:color w:val="000000"/>
          <w:kern w:val="0"/>
          <w:szCs w:val="32"/>
          <w:shd w:val="clear" w:color="auto" w:fill="FFFFFF"/>
          <w:lang w:val="zh-CN"/>
        </w:rPr>
        <w:t>部门概况</w:t>
      </w: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default" w:ascii="仿宋_GB2312" w:hAnsi="宋体" w:eastAsia="仿宋_GB2312" w:cs="宋体"/>
          <w:color w:val="000000"/>
          <w:kern w:val="0"/>
          <w:szCs w:val="32"/>
          <w:shd w:val="clear" w:color="auto" w:fill="FFFFFF"/>
          <w:lang w:val="en-US" w:eastAsia="zh-CN"/>
        </w:rPr>
      </w:pPr>
      <w:r>
        <w:rPr>
          <w:rFonts w:hint="eastAsia" w:ascii="仿宋_GB2312" w:hAnsi="宋体" w:cs="宋体"/>
          <w:color w:val="000000"/>
          <w:kern w:val="0"/>
          <w:szCs w:val="32"/>
          <w:shd w:val="clear" w:color="auto" w:fill="FFFFFF"/>
          <w:lang w:val="zh-CN"/>
        </w:rPr>
        <w:t>（一）机构组成。</w:t>
      </w:r>
      <w:r>
        <w:rPr>
          <w:rFonts w:hint="eastAsia" w:ascii="仿宋_GB2312" w:hAnsi="宋体" w:cs="宋体"/>
          <w:color w:val="000000"/>
          <w:kern w:val="0"/>
          <w:szCs w:val="32"/>
          <w:shd w:val="clear" w:color="auto" w:fill="FFFFFF"/>
          <w:lang w:val="en-US" w:eastAsia="zh-CN"/>
        </w:rPr>
        <w:t xml:space="preserve">     </w:t>
      </w: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ascii="仿宋_GB2312" w:hAnsi="宋体" w:cs="宋体"/>
          <w:color w:val="000000"/>
          <w:kern w:val="0"/>
          <w:szCs w:val="32"/>
          <w:shd w:val="clear" w:color="auto" w:fill="FFFFFF"/>
          <w:lang w:val="zh-CN"/>
        </w:rPr>
      </w:pPr>
      <w:r>
        <w:rPr>
          <w:rFonts w:hint="eastAsia" w:ascii="仿宋_GB2312" w:eastAsia="仿宋_GB2312"/>
          <w:sz w:val="32"/>
          <w:szCs w:val="32"/>
          <w:lang w:eastAsia="zh-CN"/>
        </w:rPr>
        <w:t>茂县县委政法委员会属一级预算单位，下属二级预算单位0个，其中：参照公务员法管理的事业单位0个，其他事业单位0个。</w:t>
      </w:r>
    </w:p>
    <w:p>
      <w:pPr>
        <w:pStyle w:val="35"/>
        <w:pageBreakBefore w:val="0"/>
        <w:widowControl/>
        <w:numPr>
          <w:ilvl w:val="0"/>
          <w:numId w:val="2"/>
        </w:numPr>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机构职能。</w:t>
      </w:r>
    </w:p>
    <w:p>
      <w:pPr>
        <w:pStyle w:val="35"/>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1.</w:t>
      </w:r>
      <w:r>
        <w:rPr>
          <w:rFonts w:hint="eastAsia" w:eastAsia="仿宋_GB2312"/>
          <w:bCs/>
          <w:sz w:val="32"/>
          <w:szCs w:val="32"/>
          <w:lang w:eastAsia="zh-CN"/>
        </w:rPr>
        <w:t>深入贯彻党的路线方针政策和决策部署，统一政法各部门思想和行动，坚持党对政法工作的绝对领导，坚决维护党中央权威和集中统一领导。</w:t>
      </w:r>
    </w:p>
    <w:p>
      <w:pPr>
        <w:pStyle w:val="35"/>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2.</w:t>
      </w:r>
      <w:r>
        <w:rPr>
          <w:rFonts w:hint="eastAsia" w:eastAsia="仿宋_GB2312"/>
          <w:bCs/>
          <w:sz w:val="32"/>
          <w:szCs w:val="32"/>
          <w:lang w:eastAsia="zh-CN"/>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pPr>
        <w:pStyle w:val="35"/>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3.</w:t>
      </w:r>
      <w:r>
        <w:rPr>
          <w:rFonts w:hint="eastAsia" w:eastAsia="仿宋_GB2312"/>
          <w:bCs/>
          <w:sz w:val="32"/>
          <w:szCs w:val="32"/>
          <w:lang w:eastAsia="zh-CN"/>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pPr>
        <w:pStyle w:val="35"/>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4.</w:t>
      </w:r>
      <w:r>
        <w:rPr>
          <w:rFonts w:hint="eastAsia" w:eastAsia="仿宋_GB2312"/>
          <w:bCs/>
          <w:sz w:val="32"/>
          <w:szCs w:val="32"/>
          <w:lang w:eastAsia="zh-CN"/>
        </w:rPr>
        <w:t>加强对政法工作的督查，统筹协调维护政治安全、社会治安综合治理、维护社会稳定、反邪教有关法律法规政策的实施工作。指导全县政法系统网络安全和智能化建设工作。</w:t>
      </w:r>
    </w:p>
    <w:p>
      <w:pPr>
        <w:pStyle w:val="35"/>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5.</w:t>
      </w:r>
      <w:r>
        <w:rPr>
          <w:rFonts w:hint="eastAsia" w:eastAsia="仿宋_GB2312"/>
          <w:bCs/>
          <w:sz w:val="32"/>
          <w:szCs w:val="32"/>
          <w:lang w:eastAsia="zh-CN"/>
        </w:rPr>
        <w:t>组织开展政法领域的调查研究，研究拟订全县政法工作的政策措施，及时向县委提出建议。</w:t>
      </w:r>
    </w:p>
    <w:p>
      <w:pPr>
        <w:pStyle w:val="35"/>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6.</w:t>
      </w:r>
      <w:r>
        <w:rPr>
          <w:rFonts w:hint="eastAsia" w:eastAsia="仿宋_GB2312"/>
          <w:bCs/>
          <w:sz w:val="32"/>
          <w:szCs w:val="32"/>
          <w:lang w:eastAsia="zh-CN"/>
        </w:rPr>
        <w:t>掌握分析政法舆情动态，指导协调政法部门媒体网络宣传工作，指导政法部门做好涉及政法工作的重大宣传和舆论引导工作。</w:t>
      </w:r>
    </w:p>
    <w:p>
      <w:pPr>
        <w:pStyle w:val="35"/>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7.</w:t>
      </w:r>
      <w:r>
        <w:rPr>
          <w:rFonts w:hint="eastAsia" w:eastAsia="仿宋_GB2312"/>
          <w:bCs/>
          <w:sz w:val="32"/>
          <w:szCs w:val="32"/>
          <w:lang w:eastAsia="zh-CN"/>
        </w:rPr>
        <w:t>监督和支持政法各部门依法行使职权，指导和协调政法各部门密切配合，研究和协调重大疑难案件，推进严格执法、公正司法。</w:t>
      </w:r>
    </w:p>
    <w:p>
      <w:pPr>
        <w:pStyle w:val="35"/>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8.</w:t>
      </w:r>
      <w:r>
        <w:rPr>
          <w:rFonts w:hint="eastAsia" w:eastAsia="仿宋_GB2312"/>
          <w:bCs/>
          <w:sz w:val="32"/>
          <w:szCs w:val="32"/>
          <w:lang w:eastAsia="zh-CN"/>
        </w:rPr>
        <w:t>组织研究政法改革中带有方向性、倾向性和普遍性的重大问题，深化政法改革。</w:t>
      </w:r>
    </w:p>
    <w:p>
      <w:pPr>
        <w:pStyle w:val="35"/>
        <w:pageBreakBefore w:val="0"/>
        <w:kinsoku/>
        <w:wordWrap/>
        <w:overflowPunct/>
        <w:topLinePunct w:val="0"/>
        <w:autoSpaceDE/>
        <w:autoSpaceDN/>
        <w:bidi w:val="0"/>
        <w:spacing w:line="576" w:lineRule="exact"/>
        <w:ind w:firstLine="640" w:firstLineChars="200"/>
        <w:rPr>
          <w:rFonts w:hint="eastAsia" w:ascii="仿宋_GB2312" w:hAnsi="宋体" w:cs="宋体"/>
          <w:color w:val="000000"/>
          <w:kern w:val="0"/>
          <w:szCs w:val="32"/>
          <w:shd w:val="clear" w:color="auto" w:fill="FFFFFF"/>
          <w:lang w:val="zh-CN"/>
        </w:rPr>
      </w:pPr>
      <w:r>
        <w:rPr>
          <w:rFonts w:hint="eastAsia" w:ascii="仿宋_GB2312" w:hAnsi="仿宋_GB2312" w:eastAsia="仿宋_GB2312" w:cs="仿宋_GB2312"/>
          <w:sz w:val="32"/>
          <w:szCs w:val="32"/>
          <w:lang w:eastAsia="zh-CN"/>
        </w:rPr>
        <w:t>9.</w:t>
      </w:r>
      <w:r>
        <w:rPr>
          <w:rFonts w:hint="eastAsia" w:eastAsia="仿宋_GB2312"/>
          <w:bCs/>
          <w:sz w:val="32"/>
          <w:szCs w:val="32"/>
          <w:lang w:eastAsia="zh-CN"/>
        </w:rPr>
        <w:t>指导推动政法系统党的建设和政法队伍建设，协同县级有关职能部门管理监督政法领导干部。</w:t>
      </w: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（三）人员概况。</w:t>
      </w:r>
    </w:p>
    <w:p>
      <w:pPr>
        <w:pStyle w:val="41"/>
        <w:keepNext w:val="0"/>
        <w:keepLines w:val="0"/>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eastAsia" w:eastAsia="仿宋_GB2312"/>
          <w:bCs/>
          <w:sz w:val="32"/>
          <w:szCs w:val="32"/>
          <w:lang w:val="zh-CN" w:eastAsia="zh-CN"/>
        </w:rPr>
      </w:pPr>
      <w:r>
        <w:rPr>
          <w:rFonts w:hint="eastAsia" w:ascii="仿宋_GB2312" w:eastAsia="仿宋_GB2312"/>
          <w:sz w:val="32"/>
          <w:szCs w:val="32"/>
        </w:rPr>
        <w:t xml:space="preserve"> </w:t>
      </w:r>
      <w:r>
        <w:rPr>
          <w:rFonts w:hint="eastAsia"/>
          <w:color w:val="000000"/>
          <w:sz w:val="32"/>
          <w:szCs w:val="32"/>
        </w:rPr>
        <w:t>政法委下属二级单位</w:t>
      </w:r>
      <w:r>
        <w:rPr>
          <w:color w:val="000000"/>
          <w:sz w:val="32"/>
          <w:szCs w:val="32"/>
        </w:rPr>
        <w:t>0</w:t>
      </w:r>
      <w:r>
        <w:rPr>
          <w:rFonts w:hint="eastAsia"/>
          <w:color w:val="000000"/>
          <w:sz w:val="32"/>
          <w:szCs w:val="32"/>
        </w:rPr>
        <w:t>个，其中行政单位</w:t>
      </w:r>
      <w:r>
        <w:rPr>
          <w:color w:val="000000"/>
          <w:sz w:val="32"/>
          <w:szCs w:val="32"/>
        </w:rPr>
        <w:t>0</w:t>
      </w:r>
      <w:r>
        <w:rPr>
          <w:rFonts w:hint="eastAsia"/>
          <w:color w:val="000000"/>
          <w:sz w:val="32"/>
          <w:szCs w:val="32"/>
        </w:rPr>
        <w:t>个，参照公务员法管理的事业单位</w:t>
      </w:r>
      <w:r>
        <w:rPr>
          <w:color w:val="000000"/>
          <w:sz w:val="32"/>
          <w:szCs w:val="32"/>
        </w:rPr>
        <w:t>0</w:t>
      </w:r>
      <w:r>
        <w:rPr>
          <w:rFonts w:hint="eastAsia"/>
          <w:color w:val="000000"/>
          <w:sz w:val="32"/>
          <w:szCs w:val="32"/>
        </w:rPr>
        <w:t>个，其他事业单位</w:t>
      </w:r>
      <w:r>
        <w:rPr>
          <w:color w:val="000000"/>
          <w:sz w:val="32"/>
          <w:szCs w:val="32"/>
        </w:rPr>
        <w:t>0</w:t>
      </w:r>
      <w:r>
        <w:rPr>
          <w:rFonts w:hint="eastAsia"/>
          <w:color w:val="000000"/>
          <w:sz w:val="32"/>
          <w:szCs w:val="32"/>
        </w:rPr>
        <w:t>个。县委政法委总编制</w:t>
      </w:r>
      <w:r>
        <w:rPr>
          <w:rFonts w:hint="eastAsia"/>
          <w:color w:val="000000"/>
          <w:sz w:val="32"/>
          <w:szCs w:val="32"/>
          <w:lang w:val="en-US" w:eastAsia="zh-CN"/>
        </w:rPr>
        <w:t>15</w:t>
      </w:r>
      <w:r>
        <w:rPr>
          <w:rFonts w:hint="eastAsia"/>
          <w:color w:val="000000"/>
          <w:sz w:val="32"/>
          <w:szCs w:val="32"/>
        </w:rPr>
        <w:t>名，其中：行政编制</w:t>
      </w:r>
      <w:r>
        <w:rPr>
          <w:color w:val="000000"/>
          <w:sz w:val="32"/>
          <w:szCs w:val="32"/>
        </w:rPr>
        <w:t>11</w:t>
      </w:r>
      <w:r>
        <w:rPr>
          <w:rFonts w:hint="eastAsia"/>
          <w:color w:val="000000"/>
          <w:sz w:val="32"/>
          <w:szCs w:val="32"/>
        </w:rPr>
        <w:t>名，其他事业编制</w:t>
      </w:r>
      <w:r>
        <w:rPr>
          <w:color w:val="000000"/>
          <w:sz w:val="32"/>
          <w:szCs w:val="32"/>
        </w:rPr>
        <w:t>4</w:t>
      </w:r>
      <w:r>
        <w:rPr>
          <w:rFonts w:hint="eastAsia"/>
          <w:color w:val="000000"/>
          <w:sz w:val="32"/>
          <w:szCs w:val="32"/>
        </w:rPr>
        <w:t>名。在职人员总数</w:t>
      </w:r>
      <w:r>
        <w:rPr>
          <w:rFonts w:hint="eastAsia"/>
          <w:color w:val="000000"/>
          <w:sz w:val="32"/>
          <w:szCs w:val="32"/>
          <w:lang w:val="en-US" w:eastAsia="zh-CN"/>
        </w:rPr>
        <w:t>15</w:t>
      </w:r>
      <w:r>
        <w:rPr>
          <w:rFonts w:hint="eastAsia"/>
          <w:color w:val="000000"/>
          <w:sz w:val="32"/>
          <w:szCs w:val="32"/>
        </w:rPr>
        <w:t>人，其中：行政人员</w:t>
      </w:r>
      <w:r>
        <w:rPr>
          <w:color w:val="000000"/>
          <w:sz w:val="32"/>
          <w:szCs w:val="32"/>
        </w:rPr>
        <w:t>1</w:t>
      </w:r>
      <w:r>
        <w:rPr>
          <w:rFonts w:hint="eastAsia"/>
          <w:color w:val="000000"/>
          <w:sz w:val="32"/>
          <w:szCs w:val="32"/>
          <w:lang w:val="en-US" w:eastAsia="zh-CN"/>
        </w:rPr>
        <w:t>1</w:t>
      </w:r>
      <w:r>
        <w:rPr>
          <w:rFonts w:hint="eastAsia"/>
          <w:color w:val="000000"/>
          <w:sz w:val="32"/>
          <w:szCs w:val="32"/>
        </w:rPr>
        <w:t>人，</w:t>
      </w:r>
      <w:r>
        <w:rPr>
          <w:rFonts w:hint="eastAsia"/>
          <w:color w:val="000000"/>
          <w:sz w:val="32"/>
          <w:szCs w:val="32"/>
          <w:lang w:eastAsia="zh-CN"/>
        </w:rPr>
        <w:t>机关行政工勤</w:t>
      </w:r>
      <w:r>
        <w:rPr>
          <w:rFonts w:hint="eastAsia"/>
          <w:color w:val="000000"/>
          <w:sz w:val="32"/>
          <w:szCs w:val="32"/>
          <w:lang w:val="en-US" w:eastAsia="zh-CN"/>
        </w:rPr>
        <w:t>2人，</w:t>
      </w:r>
      <w:r>
        <w:rPr>
          <w:rFonts w:hint="eastAsia"/>
          <w:color w:val="000000"/>
          <w:sz w:val="32"/>
          <w:szCs w:val="32"/>
        </w:rPr>
        <w:t>事业人员</w:t>
      </w:r>
      <w:r>
        <w:rPr>
          <w:rFonts w:hint="eastAsia"/>
          <w:color w:val="000000"/>
          <w:sz w:val="32"/>
          <w:szCs w:val="32"/>
          <w:lang w:val="en-US" w:eastAsia="zh-CN"/>
        </w:rPr>
        <w:t>2</w:t>
      </w:r>
      <w:r>
        <w:rPr>
          <w:rFonts w:hint="eastAsia"/>
          <w:color w:val="000000"/>
          <w:sz w:val="32"/>
          <w:szCs w:val="32"/>
        </w:rPr>
        <w:t>人</w:t>
      </w:r>
      <w:r>
        <w:rPr>
          <w:rFonts w:hint="eastAsia"/>
          <w:color w:val="000000"/>
          <w:sz w:val="32"/>
          <w:szCs w:val="32"/>
          <w:lang w:eastAsia="zh-CN"/>
        </w:rPr>
        <w:t>，</w:t>
      </w:r>
      <w:r>
        <w:rPr>
          <w:rFonts w:hint="eastAsia"/>
          <w:color w:val="000000"/>
          <w:sz w:val="32"/>
          <w:szCs w:val="32"/>
        </w:rPr>
        <w:t>退休人员</w:t>
      </w:r>
      <w:r>
        <w:rPr>
          <w:color w:val="000000"/>
          <w:sz w:val="32"/>
          <w:szCs w:val="32"/>
        </w:rPr>
        <w:t>6</w:t>
      </w:r>
      <w:r>
        <w:rPr>
          <w:rFonts w:hint="eastAsia"/>
          <w:color w:val="000000"/>
          <w:sz w:val="32"/>
          <w:szCs w:val="32"/>
        </w:rPr>
        <w:t>人。</w:t>
      </w: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二、部门财政资金收支情况</w:t>
      </w: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（一）部门财政资金收入情况。</w:t>
      </w:r>
    </w:p>
    <w:p>
      <w:pPr>
        <w:pStyle w:val="7"/>
        <w:pageBreakBefore w:val="0"/>
        <w:widowControl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393.32</w:t>
      </w:r>
      <w:r>
        <w:rPr>
          <w:rFonts w:ascii="仿宋" w:hAnsi="仿宋" w:eastAsia="仿宋"/>
          <w:color w:val="000000"/>
          <w:sz w:val="32"/>
          <w:szCs w:val="32"/>
        </w:rPr>
        <w:t>万元，其中：基本支出</w:t>
      </w:r>
      <w:r>
        <w:rPr>
          <w:rFonts w:hint="eastAsia" w:ascii="仿宋" w:hAnsi="仿宋" w:eastAsia="仿宋"/>
          <w:color w:val="000000"/>
          <w:sz w:val="32"/>
          <w:szCs w:val="32"/>
        </w:rPr>
        <w:t>329.59</w:t>
      </w:r>
      <w:r>
        <w:rPr>
          <w:rFonts w:ascii="仿宋" w:hAnsi="仿宋" w:eastAsia="仿宋"/>
          <w:color w:val="000000"/>
          <w:sz w:val="32"/>
          <w:szCs w:val="32"/>
        </w:rPr>
        <w:t>万元，占</w:t>
      </w:r>
      <w:r>
        <w:rPr>
          <w:rFonts w:hint="eastAsia" w:ascii="仿宋" w:hAnsi="仿宋" w:eastAsia="仿宋"/>
          <w:color w:val="000000"/>
          <w:sz w:val="32"/>
          <w:szCs w:val="32"/>
        </w:rPr>
        <w:t>83.80</w:t>
      </w:r>
      <w:r>
        <w:rPr>
          <w:rFonts w:ascii="仿宋" w:hAnsi="仿宋" w:eastAsia="仿宋"/>
          <w:color w:val="000000"/>
          <w:sz w:val="32"/>
          <w:szCs w:val="32"/>
        </w:rPr>
        <w:t>%；项目支出</w:t>
      </w:r>
      <w:r>
        <w:rPr>
          <w:rFonts w:hint="eastAsia" w:ascii="仿宋" w:hAnsi="仿宋" w:eastAsia="仿宋"/>
          <w:color w:val="000000"/>
          <w:sz w:val="32"/>
          <w:szCs w:val="32"/>
        </w:rPr>
        <w:t>63.73</w:t>
      </w:r>
      <w:r>
        <w:rPr>
          <w:rFonts w:ascii="仿宋" w:hAnsi="仿宋" w:eastAsia="仿宋"/>
          <w:color w:val="000000"/>
          <w:sz w:val="32"/>
          <w:szCs w:val="32"/>
        </w:rPr>
        <w:t>万元，占</w:t>
      </w:r>
      <w:r>
        <w:rPr>
          <w:rFonts w:hint="eastAsia" w:ascii="仿宋" w:hAnsi="仿宋" w:eastAsia="仿宋"/>
          <w:color w:val="000000"/>
          <w:sz w:val="32"/>
          <w:szCs w:val="32"/>
        </w:rPr>
        <w:t>16.20</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%；经营支出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%；对附属单位补助支出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w:t>
      </w:r>
    </w:p>
    <w:p>
      <w:pPr>
        <w:pStyle w:val="35"/>
        <w:pageBreakBefore w:val="0"/>
        <w:widowControl/>
        <w:numPr>
          <w:ilvl w:val="0"/>
          <w:numId w:val="2"/>
        </w:numPr>
        <w:kinsoku/>
        <w:wordWrap/>
        <w:overflowPunct/>
        <w:topLinePunct w:val="0"/>
        <w:autoSpaceDE/>
        <w:autoSpaceDN/>
        <w:bidi w:val="0"/>
        <w:adjustRightInd w:val="0"/>
        <w:snapToGrid w:val="0"/>
        <w:spacing w:line="576" w:lineRule="exact"/>
        <w:ind w:left="0" w:leftChars="0" w:firstLine="640" w:firstLineChars="200"/>
        <w:contextualSpacing/>
        <w:jc w:val="left"/>
        <w:rPr>
          <w:rFonts w:hint="eastAsia"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部门财政资金支出情况。</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2021年一般公共预算财政拨款基本支出329.59万元，其中：</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人员经费294.44万元，主要包括：基本工资63.60万元、津贴补贴68.85万元、奖金74.28万元、绩效工资9.37万元、机关事业单位基本养老保险缴费19.98万元、职业年金缴费9.99万元、职工基本医疗保险缴费15.20万元、其他社会保障缴费0.56万元、住房公积金22.64万元、医疗费1.85万元、生活补助8.06万元、医疗费补助0.06万元。</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公用经费35.15万元，主要包括：办公费10.84万元、邮电费2.81万元、差旅费5.26万元、培训费1.00万元、公务接待费0.75万元、其他交通费用14.49万元。</w:t>
      </w:r>
    </w:p>
    <w:p>
      <w:pPr>
        <w:pStyle w:val="35"/>
        <w:pageBreakBefore w:val="0"/>
        <w:widowControl/>
        <w:numPr>
          <w:ilvl w:val="0"/>
          <w:numId w:val="3"/>
        </w:numPr>
        <w:kinsoku/>
        <w:wordWrap/>
        <w:overflowPunct/>
        <w:topLinePunct w:val="0"/>
        <w:autoSpaceDE/>
        <w:autoSpaceDN/>
        <w:bidi w:val="0"/>
        <w:adjustRightInd w:val="0"/>
        <w:snapToGrid w:val="0"/>
        <w:spacing w:line="576" w:lineRule="exact"/>
        <w:ind w:firstLine="640" w:firstLineChars="200"/>
        <w:contextualSpacing/>
        <w:jc w:val="left"/>
        <w:rPr>
          <w:rFonts w:hint="eastAsia"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部门整体预算绩效管理情况</w:t>
      </w:r>
    </w:p>
    <w:p>
      <w:pPr>
        <w:pStyle w:val="35"/>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rPr>
          <w:rFonts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（一）部门预算项目绩效管理。</w:t>
      </w: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ascii="仿宋_GB2312" w:hAnsi="宋体" w:cs="宋体"/>
          <w:color w:val="000000"/>
          <w:kern w:val="0"/>
          <w:szCs w:val="32"/>
          <w:shd w:val="clear" w:color="auto" w:fill="FFFFFF"/>
          <w:lang w:val="zh-CN"/>
        </w:rPr>
      </w:pPr>
      <w:r>
        <w:rPr>
          <w:rFonts w:hint="eastAsia" w:ascii="仿宋_GB2312" w:hAnsi="仿宋_GB2312" w:eastAsia="仿宋_GB2312" w:cs="仿宋_GB2312"/>
          <w:kern w:val="0"/>
          <w:sz w:val="32"/>
          <w:szCs w:val="32"/>
        </w:rPr>
        <w:t>我委十分重视预算执行管理工作，严格按照《</w:t>
      </w:r>
      <w:r>
        <w:rPr>
          <w:rFonts w:hint="eastAsia" w:ascii="仿宋_GB2312" w:hAnsi="仿宋_GB2312" w:eastAsia="仿宋_GB2312" w:cs="仿宋_GB2312"/>
          <w:kern w:val="0"/>
          <w:sz w:val="32"/>
          <w:szCs w:val="32"/>
          <w:lang w:eastAsia="zh-CN"/>
        </w:rPr>
        <w:t>关于县级预算单位办理财政资金现金支出有关事项的通知</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茂财发</w:t>
      </w:r>
      <w:r>
        <w:rPr>
          <w:rFonts w:hint="eastAsia" w:ascii="仿宋_GB2312" w:hAnsi="仿宋_GB2312" w:eastAsia="仿宋_GB2312" w:cs="仿宋_GB2312"/>
          <w:kern w:val="0"/>
          <w:sz w:val="32"/>
          <w:szCs w:val="32"/>
          <w:lang w:val="en-US" w:eastAsia="zh-CN"/>
        </w:rPr>
        <w:t>[2015]24号</w:t>
      </w:r>
      <w:r>
        <w:rPr>
          <w:rFonts w:hint="eastAsia" w:ascii="仿宋_GB2312" w:hAnsi="仿宋_GB2312" w:eastAsia="仿宋_GB2312" w:cs="仿宋_GB2312"/>
          <w:kern w:val="0"/>
          <w:sz w:val="32"/>
          <w:szCs w:val="32"/>
        </w:rPr>
        <w:t>文件</w:t>
      </w:r>
      <w:r>
        <w:rPr>
          <w:rFonts w:hint="eastAsia" w:ascii="仿宋_GB2312" w:hAnsi="仿宋_GB2312" w:eastAsia="仿宋_GB2312" w:cs="仿宋_GB2312"/>
          <w:kern w:val="0"/>
          <w:sz w:val="32"/>
          <w:szCs w:val="32"/>
          <w:lang w:eastAsia="zh-CN"/>
        </w:rPr>
        <w:t>精神</w:t>
      </w:r>
      <w:r>
        <w:rPr>
          <w:rFonts w:hint="eastAsia" w:ascii="仿宋_GB2312" w:hAnsi="仿宋_GB2312" w:eastAsia="仿宋_GB2312" w:cs="仿宋_GB2312"/>
          <w:kern w:val="0"/>
          <w:sz w:val="32"/>
          <w:szCs w:val="32"/>
        </w:rPr>
        <w:t>，切实加强省级财政支出预算执行管理，努力提高财政资金使用绩效。</w:t>
      </w:r>
      <w:r>
        <w:rPr>
          <w:rFonts w:hint="eastAsia" w:ascii="仿宋_GB2312" w:hAnsi="仿宋_GB2312" w:eastAsia="仿宋_GB2312" w:cs="仿宋_GB2312"/>
          <w:b/>
          <w:kern w:val="0"/>
          <w:sz w:val="32"/>
          <w:szCs w:val="32"/>
        </w:rPr>
        <w:t>一是</w:t>
      </w:r>
      <w:r>
        <w:rPr>
          <w:rFonts w:hint="eastAsia" w:ascii="仿宋_GB2312" w:hAnsi="仿宋_GB2312" w:eastAsia="仿宋_GB2312" w:cs="仿宋_GB2312"/>
          <w:kern w:val="0"/>
          <w:sz w:val="32"/>
          <w:szCs w:val="32"/>
        </w:rPr>
        <w:t>强化预算刚性约束，严格按照批复的部门支出预算执行，没有随意改变专项资金规定用途和自行扩大支出范围和提高支出标准的行为。</w:t>
      </w:r>
      <w:r>
        <w:rPr>
          <w:rFonts w:hint="eastAsia" w:ascii="仿宋_GB2312" w:hAnsi="仿宋_GB2312" w:eastAsia="仿宋_GB2312" w:cs="仿宋_GB2312"/>
          <w:b/>
          <w:kern w:val="0"/>
          <w:sz w:val="32"/>
          <w:szCs w:val="32"/>
        </w:rPr>
        <w:t>二是</w:t>
      </w:r>
      <w:r>
        <w:rPr>
          <w:rFonts w:hint="eastAsia" w:ascii="仿宋_GB2312" w:hAnsi="仿宋_GB2312" w:eastAsia="仿宋_GB2312" w:cs="仿宋_GB2312"/>
          <w:kern w:val="0"/>
          <w:sz w:val="32"/>
          <w:szCs w:val="32"/>
        </w:rPr>
        <w:t>严格预算调整程序，所属单位确因特殊原因需要调整预算的，严格按照调整事项所涉及的管理权限履行相关报批和备案手续。</w:t>
      </w:r>
      <w:r>
        <w:rPr>
          <w:rFonts w:hint="eastAsia" w:ascii="仿宋_GB2312" w:hAnsi="仿宋_GB2312" w:eastAsia="仿宋_GB2312" w:cs="仿宋_GB2312"/>
          <w:b/>
          <w:kern w:val="0"/>
          <w:sz w:val="32"/>
          <w:szCs w:val="32"/>
        </w:rPr>
        <w:t>三是</w:t>
      </w:r>
      <w:r>
        <w:rPr>
          <w:rFonts w:hint="eastAsia" w:ascii="仿宋_GB2312" w:hAnsi="仿宋_GB2312" w:eastAsia="仿宋_GB2312" w:cs="仿宋_GB2312"/>
          <w:kern w:val="0"/>
          <w:sz w:val="32"/>
          <w:szCs w:val="32"/>
        </w:rPr>
        <w:t>狠抓预算执行进度管理，并召开专题会议会商各单位预算执行中存在的困难和问题，确保预算执行达到相关进度要求。</w:t>
      </w:r>
      <w:r>
        <w:rPr>
          <w:rFonts w:hint="eastAsia" w:ascii="仿宋_GB2312" w:hAnsi="仿宋_GB2312" w:eastAsia="仿宋_GB2312" w:cs="仿宋_GB2312"/>
          <w:b/>
          <w:bCs/>
          <w:kern w:val="0"/>
          <w:sz w:val="32"/>
          <w:szCs w:val="32"/>
        </w:rPr>
        <w:t>四是</w:t>
      </w:r>
      <w:r>
        <w:rPr>
          <w:rFonts w:hint="eastAsia" w:ascii="仿宋_GB2312" w:hAnsi="仿宋_GB2312" w:eastAsia="仿宋_GB2312" w:cs="仿宋_GB2312"/>
          <w:kern w:val="0"/>
          <w:sz w:val="32"/>
          <w:szCs w:val="32"/>
        </w:rPr>
        <w:t>严格控制“三公”经费、会议费和培训费支出，认真落实厉行节约相关规定</w:t>
      </w:r>
      <w:r>
        <w:rPr>
          <w:rFonts w:hint="eastAsia" w:ascii="仿宋_GB2312" w:hAnsi="宋体" w:cs="宋体"/>
          <w:color w:val="000000"/>
          <w:kern w:val="0"/>
          <w:szCs w:val="32"/>
          <w:shd w:val="clear" w:color="auto" w:fill="FFFFFF"/>
          <w:lang w:val="zh-CN"/>
        </w:rPr>
        <w:t>。</w:t>
      </w:r>
    </w:p>
    <w:p>
      <w:pPr>
        <w:pStyle w:val="35"/>
        <w:pageBreakBefore w:val="0"/>
        <w:widowControl/>
        <w:numPr>
          <w:ilvl w:val="0"/>
          <w:numId w:val="4"/>
        </w:numPr>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结果应用情况。</w:t>
      </w:r>
    </w:p>
    <w:p>
      <w:pPr>
        <w:pStyle w:val="38"/>
        <w:pageBreakBefore w:val="0"/>
        <w:numPr>
          <w:ilvl w:val="0"/>
          <w:numId w:val="0"/>
        </w:numPr>
        <w:kinsoku/>
        <w:wordWrap/>
        <w:overflowPunct/>
        <w:topLinePunct w:val="0"/>
        <w:autoSpaceDE/>
        <w:autoSpaceDN/>
        <w:bidi w:val="0"/>
        <w:spacing w:before="0" w:after="0" w:line="576" w:lineRule="exact"/>
        <w:rPr>
          <w:rFonts w:hint="default" w:eastAsia="仿宋_GB2312"/>
          <w:b w:val="0"/>
          <w:bCs w:val="0"/>
          <w:lang w:val="en-US" w:eastAsia="zh-CN"/>
        </w:rPr>
      </w:pPr>
      <w:r>
        <w:rPr>
          <w:rFonts w:hint="eastAsia"/>
          <w:lang w:val="en-US" w:eastAsia="zh-CN"/>
        </w:rPr>
        <w:t xml:space="preserve">  </w:t>
      </w:r>
      <w:r>
        <w:rPr>
          <w:rFonts w:hint="eastAsia"/>
          <w:b w:val="0"/>
          <w:bCs w:val="0"/>
          <w:lang w:val="en-US" w:eastAsia="zh-CN"/>
        </w:rPr>
        <w:t xml:space="preserve">  </w:t>
      </w:r>
      <w:r>
        <w:rPr>
          <w:rFonts w:hint="eastAsia" w:ascii="仿宋_GB2312" w:hAnsi="仿宋_GB2312" w:eastAsia="仿宋_GB2312" w:cs="仿宋_GB2312"/>
          <w:b w:val="0"/>
          <w:bCs w:val="0"/>
          <w:kern w:val="0"/>
          <w:sz w:val="32"/>
          <w:szCs w:val="32"/>
        </w:rPr>
        <w:t>总体来看，基本支出和运转类专项保障了机关正常运转，确保了政法委履行职能职责。政法委机关认真执行厉行节约相关规章制度，严格控制和压缩“三公经费”和会议费支出。</w:t>
      </w:r>
      <w:r>
        <w:rPr>
          <w:rFonts w:hint="eastAsia" w:ascii="仿宋_GB2312" w:hAnsi="仿宋_GB2312" w:eastAsia="仿宋_GB2312" w:cs="仿宋_GB2312"/>
          <w:b w:val="0"/>
          <w:bCs w:val="0"/>
          <w:sz w:val="32"/>
          <w:szCs w:val="32"/>
        </w:rPr>
        <w:t>我委认真按照中央“八项规定和六项禁令</w:t>
      </w:r>
      <w:r>
        <w:rPr>
          <w:rFonts w:hint="eastAsia" w:ascii="仿宋_GB2312" w:hAnsi="仿宋" w:eastAsia="仿宋_GB2312"/>
          <w:b w:val="0"/>
          <w:bCs w:val="0"/>
          <w:sz w:val="32"/>
          <w:szCs w:val="32"/>
        </w:rPr>
        <w:t>”、省委省政府“十项规定”和州委州政府“八条意见”及县委有关规定开展工作，改进工作作风，严肃财经纪律，维护了财经秩序。</w:t>
      </w:r>
    </w:p>
    <w:p>
      <w:pPr>
        <w:pStyle w:val="35"/>
        <w:pageBreakBefore w:val="0"/>
        <w:widowControl/>
        <w:numPr>
          <w:ilvl w:val="0"/>
          <w:numId w:val="5"/>
        </w:numPr>
        <w:kinsoku/>
        <w:wordWrap/>
        <w:overflowPunct/>
        <w:topLinePunct w:val="0"/>
        <w:autoSpaceDE/>
        <w:autoSpaceDN/>
        <w:bidi w:val="0"/>
        <w:adjustRightInd w:val="0"/>
        <w:snapToGrid w:val="0"/>
        <w:spacing w:line="576" w:lineRule="exact"/>
        <w:ind w:firstLine="640" w:firstLineChars="200"/>
        <w:contextualSpacing/>
        <w:jc w:val="left"/>
        <w:rPr>
          <w:rFonts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自评质量</w:t>
      </w:r>
    </w:p>
    <w:p>
      <w:pPr>
        <w:pStyle w:val="35"/>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宋体" w:eastAsia="仿宋_GB2312" w:cs="宋体"/>
          <w:color w:val="000000"/>
          <w:kern w:val="0"/>
          <w:szCs w:val="32"/>
          <w:shd w:val="clear" w:color="auto" w:fill="FFFFFF"/>
          <w:lang w:eastAsia="zh-CN"/>
        </w:rPr>
      </w:pPr>
      <w:r>
        <w:rPr>
          <w:rFonts w:hint="eastAsia" w:ascii="仿宋_GB2312" w:hAnsi="仿宋_GB2312" w:eastAsia="仿宋_GB2312" w:cs="仿宋_GB2312"/>
          <w:kern w:val="0"/>
          <w:sz w:val="32"/>
          <w:szCs w:val="32"/>
        </w:rPr>
        <w:t>根据文件精神，我委及时将此项工作进行部署和安排，按照</w:t>
      </w:r>
      <w:r>
        <w:rPr>
          <w:rFonts w:hint="eastAsia" w:ascii="仿宋_GB2312" w:hAnsi="仿宋_GB2312" w:cs="仿宋_GB2312"/>
          <w:kern w:val="0"/>
          <w:sz w:val="32"/>
          <w:szCs w:val="32"/>
          <w:lang w:val="en-US" w:eastAsia="zh-CN"/>
        </w:rPr>
        <w:t>2022年</w:t>
      </w:r>
      <w:r>
        <w:rPr>
          <w:rFonts w:hint="eastAsia" w:ascii="仿宋_GB2312" w:hAnsi="仿宋_GB2312" w:eastAsia="仿宋_GB2312" w:cs="仿宋_GB2312"/>
          <w:kern w:val="0"/>
          <w:sz w:val="32"/>
          <w:szCs w:val="32"/>
        </w:rPr>
        <w:t>部门整体支出绩效评价指标体系结合年初预算设定的绩效目标完成情况进行自评打分，自评情况和年初绩效目标完成情况进行了汇总，最后我委自评得分</w:t>
      </w:r>
      <w:r>
        <w:rPr>
          <w:rFonts w:hint="eastAsia" w:ascii="仿宋_GB2312" w:hAnsi="仿宋_GB2312" w:cs="仿宋_GB2312"/>
          <w:kern w:val="0"/>
          <w:sz w:val="32"/>
          <w:szCs w:val="32"/>
          <w:lang w:val="en-US" w:eastAsia="zh-CN"/>
        </w:rPr>
        <w:t>89</w:t>
      </w:r>
      <w:r>
        <w:rPr>
          <w:rFonts w:hint="eastAsia" w:ascii="仿宋_GB2312" w:hAnsi="仿宋_GB2312" w:eastAsia="仿宋_GB2312" w:cs="仿宋_GB2312"/>
          <w:kern w:val="0"/>
          <w:sz w:val="32"/>
          <w:szCs w:val="32"/>
        </w:rPr>
        <w:t>分。</w:t>
      </w: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四、评价结论及建议</w:t>
      </w:r>
    </w:p>
    <w:p>
      <w:pPr>
        <w:pStyle w:val="35"/>
        <w:keepNext w:val="0"/>
        <w:keepLines w:val="0"/>
        <w:pageBreakBefore w:val="0"/>
        <w:kinsoku/>
        <w:wordWrap/>
        <w:overflowPunct/>
        <w:topLinePunct w:val="0"/>
        <w:autoSpaceDE/>
        <w:autoSpaceDN/>
        <w:bidi w:val="0"/>
        <w:spacing w:line="576" w:lineRule="exact"/>
        <w:ind w:firstLine="640" w:firstLineChars="200"/>
        <w:textAlignment w:val="auto"/>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rPr>
        <w:t>（一）评价结论</w:t>
      </w:r>
    </w:p>
    <w:p>
      <w:pPr>
        <w:pStyle w:val="35"/>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从自评情况来看，政法委机关支出绩效水平较高，整体上完成了年初设定的绩效目标，保障了单位的正常运转，降低了行政运行成本，促进了社会和谐稳定，充分发挥了财政资金的经济效益、社会效益。</w:t>
      </w:r>
    </w:p>
    <w:p>
      <w:pPr>
        <w:pStyle w:val="35"/>
        <w:keepNext w:val="0"/>
        <w:keepLines w:val="0"/>
        <w:pageBreakBefore w:val="0"/>
        <w:kinsoku/>
        <w:wordWrap/>
        <w:overflowPunct/>
        <w:topLinePunct w:val="0"/>
        <w:autoSpaceDE/>
        <w:autoSpaceDN/>
        <w:bidi w:val="0"/>
        <w:spacing w:line="576" w:lineRule="exact"/>
        <w:ind w:firstLine="640" w:firstLineChars="200"/>
        <w:textAlignment w:val="auto"/>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rPr>
        <w:t>（二）存在问题</w:t>
      </w:r>
    </w:p>
    <w:p>
      <w:pPr>
        <w:pStyle w:val="35"/>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从绩效评价看，部门支出预算和绩效评价工作还存在一些具体问题，一是水电节约不好落实的问题，综合大楼单位多，各单位办公场所交叉，水电节约的问题难以落到实处。二是单位对部门支出绩效评价工作的认识理解不够，年初预设的绩效指标不合适、指标较粗；二是公共管理无法用量化指标来进行考评；三是单位在预算编制时经济科目使用不当，造成预算执行时存在跨科目执行的情况。</w:t>
      </w:r>
    </w:p>
    <w:p>
      <w:pPr>
        <w:pStyle w:val="35"/>
        <w:keepNext w:val="0"/>
        <w:keepLines w:val="0"/>
        <w:pageBreakBefore w:val="0"/>
        <w:kinsoku/>
        <w:wordWrap/>
        <w:overflowPunct/>
        <w:topLinePunct w:val="0"/>
        <w:autoSpaceDE/>
        <w:autoSpaceDN/>
        <w:bidi w:val="0"/>
        <w:spacing w:line="576" w:lineRule="exact"/>
        <w:ind w:firstLine="640" w:firstLineChars="200"/>
        <w:textAlignment w:val="auto"/>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rPr>
        <w:t>（三）改进建议</w:t>
      </w:r>
    </w:p>
    <w:p>
      <w:pPr>
        <w:pStyle w:val="35"/>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cs="仿宋_GB2312"/>
          <w:kern w:val="0"/>
          <w:sz w:val="32"/>
          <w:szCs w:val="32"/>
          <w:lang w:val="en-US" w:eastAsia="zh-CN"/>
        </w:rPr>
      </w:pPr>
      <w:r>
        <w:rPr>
          <w:rFonts w:hint="eastAsia" w:ascii="仿宋_GB2312" w:hAnsi="仿宋_GB2312" w:eastAsia="仿宋_GB2312" w:cs="仿宋_GB2312"/>
          <w:kern w:val="0"/>
          <w:sz w:val="32"/>
          <w:szCs w:val="32"/>
        </w:rPr>
        <w:t>绩效评价是深入贯彻落实新《预算法》要求的各项重要内容，建议财政加强对绩效评价工作的培训和指导，进一步优化绩效考核指标体系，做到合理性与可操作性的有机统一。</w:t>
      </w:r>
      <w:r>
        <w:rPr>
          <w:rFonts w:hint="eastAsia" w:ascii="仿宋_GB2312" w:hAnsi="仿宋_GB2312" w:cs="仿宋_GB2312"/>
          <w:kern w:val="0"/>
          <w:sz w:val="32"/>
          <w:szCs w:val="32"/>
          <w:lang w:val="en-US" w:eastAsia="zh-CN"/>
        </w:rPr>
        <w:t xml:space="preserve">   </w:t>
      </w:r>
    </w:p>
    <w:p>
      <w:pPr>
        <w:pStyle w:val="35"/>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cs="黑体"/>
          <w:lang w:val="zh-CN"/>
        </w:rPr>
      </w:pPr>
      <w:r>
        <w:rPr>
          <w:rFonts w:hint="eastAsia" w:ascii="黑体" w:hAnsi="黑体" w:eastAsia="黑体" w:cs="黑体"/>
          <w:lang w:val="zh-CN"/>
        </w:rPr>
        <w:t>五、资产管理情况</w:t>
      </w:r>
    </w:p>
    <w:p>
      <w:pPr>
        <w:pStyle w:val="35"/>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b w:val="0"/>
          <w:bCs w:val="0"/>
          <w:kern w:val="0"/>
          <w:sz w:val="32"/>
          <w:szCs w:val="32"/>
          <w:lang w:val="zh-CN" w:eastAsia="zh-CN" w:bidi="ar-SA"/>
        </w:rPr>
      </w:pPr>
      <w:r>
        <w:rPr>
          <w:rFonts w:hint="eastAsia" w:ascii="仿宋_GB2312" w:hAnsi="仿宋_GB2312" w:eastAsia="仿宋_GB2312" w:cs="仿宋_GB2312"/>
          <w:b w:val="0"/>
          <w:bCs w:val="0"/>
          <w:kern w:val="0"/>
          <w:sz w:val="32"/>
          <w:szCs w:val="32"/>
          <w:lang w:val="zh-CN" w:eastAsia="zh-CN" w:bidi="ar-SA"/>
        </w:rPr>
        <w:t>（一）建立了资产管理长效机制。增强财务管理人员责任意识，使财务管理责任和记账人员的责任落到实处。（二）运用信息技术软件进行资产管理。以资产软件系统作为工具，加强对资产的监控管理，把单位的资产管理与财务管理、资产的价值管理和实物管理结合起来，及时反映单位的资金动作、资产存量肯变量情况，实现管理静态向动态的转变。</w:t>
      </w: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hAnsi="宋体" w:cs="宋体"/>
          <w:color w:val="000000"/>
          <w:kern w:val="0"/>
          <w:szCs w:val="32"/>
          <w:shd w:val="clear" w:color="auto" w:fill="FFFFFF"/>
          <w:lang w:val="zh-CN"/>
        </w:rPr>
      </w:pP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hAnsi="宋体" w:cs="宋体"/>
          <w:color w:val="000000"/>
          <w:kern w:val="0"/>
          <w:szCs w:val="32"/>
          <w:shd w:val="clear" w:color="auto" w:fill="FFFFFF"/>
          <w:lang w:val="zh-CN"/>
        </w:rPr>
      </w:pP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hAnsi="宋体" w:cs="宋体"/>
          <w:color w:val="000000"/>
          <w:kern w:val="0"/>
          <w:szCs w:val="32"/>
          <w:shd w:val="clear" w:color="auto" w:fill="FFFFFF"/>
          <w:lang w:val="zh-CN"/>
        </w:rPr>
      </w:pP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hAnsi="宋体" w:cs="宋体"/>
          <w:color w:val="000000"/>
          <w:kern w:val="0"/>
          <w:szCs w:val="32"/>
          <w:shd w:val="clear" w:color="auto" w:fill="FFFFFF"/>
          <w:lang w:val="zh-CN"/>
        </w:rPr>
      </w:pP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hAnsi="宋体" w:cs="宋体"/>
          <w:color w:val="000000"/>
          <w:kern w:val="0"/>
          <w:szCs w:val="32"/>
          <w:shd w:val="clear" w:color="auto" w:fill="FFFFFF"/>
          <w:lang w:val="zh-CN"/>
        </w:rPr>
      </w:pPr>
    </w:p>
    <w:p>
      <w:pPr>
        <w:pStyle w:val="35"/>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lang w:val="zh-CN"/>
        </w:rPr>
        <w:t>附表：</w:t>
      </w:r>
    </w:p>
    <w:tbl>
      <w:tblPr>
        <w:tblStyle w:val="37"/>
        <w:tblpPr w:leftFromText="180" w:rightFromText="180" w:vertAnchor="text" w:horzAnchor="page" w:tblpX="1256" w:tblpY="221"/>
        <w:tblOverlap w:val="never"/>
        <w:tblW w:w="5173" w:type="pct"/>
        <w:tblInd w:w="0" w:type="dxa"/>
        <w:tblLayout w:type="autofit"/>
        <w:tblCellMar>
          <w:top w:w="0" w:type="dxa"/>
          <w:left w:w="108" w:type="dxa"/>
          <w:bottom w:w="0" w:type="dxa"/>
          <w:right w:w="108" w:type="dxa"/>
        </w:tblCellMar>
      </w:tblPr>
      <w:tblGrid>
        <w:gridCol w:w="1984"/>
        <w:gridCol w:w="1144"/>
        <w:gridCol w:w="1639"/>
        <w:gridCol w:w="1114"/>
        <w:gridCol w:w="1306"/>
        <w:gridCol w:w="1408"/>
        <w:gridCol w:w="222"/>
      </w:tblGrid>
      <w:tr>
        <w:tblPrEx>
          <w:tblCellMar>
            <w:top w:w="0" w:type="dxa"/>
            <w:left w:w="108" w:type="dxa"/>
            <w:bottom w:w="0" w:type="dxa"/>
            <w:right w:w="108" w:type="dxa"/>
          </w:tblCellMar>
        </w:tblPrEx>
        <w:trPr>
          <w:trHeight w:val="675" w:hRule="atLeast"/>
        </w:trPr>
        <w:tc>
          <w:tcPr>
            <w:tcW w:w="4877" w:type="pct"/>
            <w:gridSpan w:val="6"/>
            <w:tcBorders>
              <w:top w:val="nil"/>
              <w:left w:val="nil"/>
              <w:bottom w:val="nil"/>
              <w:right w:val="nil"/>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宋体" w:hAnsi="宋体" w:eastAsia="宋体" w:cs="宋体"/>
                <w:b/>
                <w:color w:val="000000"/>
                <w:szCs w:val="32"/>
              </w:rPr>
            </w:pPr>
            <w:r>
              <w:rPr>
                <w:rFonts w:hint="eastAsia" w:ascii="宋体" w:hAnsi="宋体" w:eastAsia="宋体" w:cs="宋体"/>
                <w:b/>
                <w:color w:val="000000"/>
                <w:szCs w:val="32"/>
              </w:rPr>
              <w:t>2021年50万元以上（含）特定目标类部门预算项目绩效目标自评</w:t>
            </w:r>
          </w:p>
        </w:tc>
        <w:tc>
          <w:tcPr>
            <w:tcW w:w="122" w:type="pct"/>
            <w:tcBorders>
              <w:top w:val="nil"/>
              <w:left w:val="nil"/>
              <w:bottom w:val="nil"/>
              <w:right w:val="nil"/>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宋体" w:hAnsi="宋体" w:eastAsia="宋体" w:cs="宋体"/>
                <w:b/>
                <w:color w:val="000000"/>
                <w:kern w:val="0"/>
                <w:szCs w:val="32"/>
                <w:lang w:bidi="ar"/>
              </w:rPr>
            </w:pPr>
          </w:p>
        </w:tc>
      </w:tr>
      <w:tr>
        <w:tblPrEx>
          <w:tblCellMar>
            <w:top w:w="0" w:type="dxa"/>
            <w:left w:w="108" w:type="dxa"/>
            <w:bottom w:w="0" w:type="dxa"/>
            <w:right w:w="108" w:type="dxa"/>
          </w:tblCellMar>
        </w:tblPrEx>
        <w:trPr>
          <w:gridAfter w:val="1"/>
          <w:wAfter w:w="122" w:type="pct"/>
          <w:trHeight w:val="254" w:hRule="atLeast"/>
        </w:trPr>
        <w:tc>
          <w:tcPr>
            <w:tcW w:w="17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主管部门及代码</w:t>
            </w:r>
          </w:p>
        </w:tc>
        <w:tc>
          <w:tcPr>
            <w:tcW w:w="15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无</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实施单位</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宋体" w:hAnsi="宋体" w:eastAsia="宋体" w:cs="宋体"/>
                <w:color w:val="000000"/>
                <w:sz w:val="24"/>
              </w:rPr>
            </w:pPr>
          </w:p>
        </w:tc>
      </w:tr>
      <w:tr>
        <w:tblPrEx>
          <w:tblCellMar>
            <w:top w:w="0" w:type="dxa"/>
            <w:left w:w="108" w:type="dxa"/>
            <w:bottom w:w="0" w:type="dxa"/>
            <w:right w:w="108" w:type="dxa"/>
          </w:tblCellMar>
        </w:tblPrEx>
        <w:trPr>
          <w:gridAfter w:val="1"/>
          <w:wAfter w:w="122" w:type="pct"/>
          <w:trHeight w:val="341" w:hRule="atLeast"/>
        </w:trPr>
        <w:tc>
          <w:tcPr>
            <w:tcW w:w="177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bidi="ar"/>
              </w:rPr>
              <w:t>项目预算</w:t>
            </w:r>
          </w:p>
          <w:p>
            <w:pPr>
              <w:pageBreakBefore w:val="0"/>
              <w:widowControl/>
              <w:kinsoku/>
              <w:wordWrap/>
              <w:overflowPunct/>
              <w:topLinePunct w:val="0"/>
              <w:autoSpaceDE/>
              <w:autoSpaceDN/>
              <w:bidi w:val="0"/>
              <w:spacing w:line="576" w:lineRule="exact"/>
              <w:jc w:val="center"/>
              <w:textAlignment w:val="center"/>
              <w:rPr>
                <w:rFonts w:hint="eastAsia" w:ascii="宋体" w:hAnsi="宋体" w:eastAsia="宋体" w:cs="宋体"/>
                <w:color w:val="000000"/>
                <w:kern w:val="0"/>
                <w:sz w:val="24"/>
                <w:lang w:eastAsia="zh-CN" w:bidi="ar"/>
              </w:rPr>
            </w:pPr>
            <w:r>
              <w:rPr>
                <w:rFonts w:hint="eastAsia" w:ascii="宋体" w:hAnsi="宋体" w:eastAsia="宋体" w:cs="宋体"/>
                <w:color w:val="000000"/>
                <w:kern w:val="0"/>
                <w:sz w:val="24"/>
                <w:lang w:bidi="ar"/>
              </w:rPr>
              <w:t>执行情况</w:t>
            </w:r>
          </w:p>
          <w:p>
            <w:pPr>
              <w:pageBreakBefore w:val="0"/>
              <w:widowControl/>
              <w:kinsoku/>
              <w:wordWrap/>
              <w:overflowPunct/>
              <w:topLinePunct w:val="0"/>
              <w:autoSpaceDE/>
              <w:autoSpaceDN/>
              <w:bidi w:val="0"/>
              <w:spacing w:line="576"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（万元）</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 xml:space="preserve"> 预算数：</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left"/>
              <w:textAlignment w:val="center"/>
              <w:rPr>
                <w:rFonts w:ascii="宋体" w:hAnsi="宋体" w:eastAsia="宋体" w:cs="宋体"/>
                <w:color w:val="000000"/>
                <w:sz w:val="24"/>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 xml:space="preserve"> 执行数：</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right"/>
              <w:textAlignment w:val="center"/>
              <w:rPr>
                <w:rFonts w:ascii="宋体" w:hAnsi="宋体" w:eastAsia="宋体" w:cs="宋体"/>
                <w:color w:val="000000"/>
                <w:sz w:val="24"/>
              </w:rPr>
            </w:pPr>
          </w:p>
        </w:tc>
      </w:tr>
      <w:tr>
        <w:tblPrEx>
          <w:tblCellMar>
            <w:top w:w="0" w:type="dxa"/>
            <w:left w:w="108" w:type="dxa"/>
            <w:bottom w:w="0" w:type="dxa"/>
            <w:right w:w="108" w:type="dxa"/>
          </w:tblCellMar>
        </w:tblPrEx>
        <w:trPr>
          <w:gridAfter w:val="1"/>
          <w:wAfter w:w="122" w:type="pct"/>
          <w:trHeight w:val="577" w:hRule="atLeast"/>
        </w:trPr>
        <w:tc>
          <w:tcPr>
            <w:tcW w:w="17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spacing w:line="576" w:lineRule="exact"/>
              <w:jc w:val="center"/>
              <w:rPr>
                <w:rFonts w:ascii="宋体" w:hAnsi="宋体" w:eastAsia="宋体" w:cs="宋体"/>
                <w:color w:val="000000"/>
                <w:sz w:val="24"/>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其中：</w:t>
            </w:r>
          </w:p>
          <w:p>
            <w:pPr>
              <w:pageBreakBefore w:val="0"/>
              <w:widowControl/>
              <w:kinsoku/>
              <w:wordWrap/>
              <w:overflowPunct/>
              <w:topLinePunct w:val="0"/>
              <w:autoSpaceDE/>
              <w:autoSpaceDN/>
              <w:bidi w:val="0"/>
              <w:spacing w:line="576"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财政拨款</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left"/>
              <w:textAlignment w:val="center"/>
              <w:rPr>
                <w:rFonts w:ascii="宋体" w:hAnsi="宋体" w:eastAsia="宋体" w:cs="宋体"/>
                <w:color w:val="000000"/>
                <w:sz w:val="24"/>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其中：</w:t>
            </w:r>
          </w:p>
          <w:p>
            <w:pPr>
              <w:pageBreakBefore w:val="0"/>
              <w:widowControl/>
              <w:kinsoku/>
              <w:wordWrap/>
              <w:overflowPunct/>
              <w:topLinePunct w:val="0"/>
              <w:autoSpaceDE/>
              <w:autoSpaceDN/>
              <w:bidi w:val="0"/>
              <w:spacing w:line="576"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财政拨款</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textAlignment w:val="center"/>
              <w:rPr>
                <w:rFonts w:ascii="宋体" w:hAnsi="宋体" w:eastAsia="宋体" w:cs="宋体"/>
                <w:color w:val="000000"/>
                <w:sz w:val="24"/>
              </w:rPr>
            </w:pPr>
          </w:p>
        </w:tc>
      </w:tr>
      <w:tr>
        <w:tblPrEx>
          <w:tblCellMar>
            <w:top w:w="0" w:type="dxa"/>
            <w:left w:w="108" w:type="dxa"/>
            <w:bottom w:w="0" w:type="dxa"/>
            <w:right w:w="108" w:type="dxa"/>
          </w:tblCellMar>
        </w:tblPrEx>
        <w:trPr>
          <w:gridAfter w:val="1"/>
          <w:wAfter w:w="122" w:type="pct"/>
          <w:trHeight w:val="341" w:hRule="atLeast"/>
        </w:trPr>
        <w:tc>
          <w:tcPr>
            <w:tcW w:w="17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spacing w:line="576" w:lineRule="exact"/>
              <w:jc w:val="center"/>
              <w:rPr>
                <w:rFonts w:ascii="宋体" w:hAnsi="宋体" w:eastAsia="宋体" w:cs="宋体"/>
                <w:color w:val="000000"/>
                <w:sz w:val="24"/>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其他资金</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left"/>
              <w:textAlignment w:val="center"/>
              <w:rPr>
                <w:rFonts w:ascii="宋体" w:hAnsi="宋体" w:eastAsia="宋体" w:cs="宋体"/>
                <w:color w:val="000000"/>
                <w:sz w:val="24"/>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其他资金</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宋体" w:hAnsi="宋体" w:eastAsia="宋体" w:cs="宋体"/>
                <w:color w:val="000000"/>
                <w:sz w:val="24"/>
              </w:rPr>
            </w:pPr>
          </w:p>
        </w:tc>
      </w:tr>
      <w:tr>
        <w:tblPrEx>
          <w:tblCellMar>
            <w:top w:w="0" w:type="dxa"/>
            <w:left w:w="108" w:type="dxa"/>
            <w:bottom w:w="0" w:type="dxa"/>
            <w:right w:w="108" w:type="dxa"/>
          </w:tblCellMar>
        </w:tblPrEx>
        <w:trPr>
          <w:gridAfter w:val="1"/>
          <w:wAfter w:w="122" w:type="pct"/>
          <w:trHeight w:val="217" w:hRule="atLeast"/>
        </w:trPr>
        <w:tc>
          <w:tcPr>
            <w:tcW w:w="11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年度总体目标</w:t>
            </w:r>
          </w:p>
          <w:p>
            <w:pPr>
              <w:pageBreakBefore w:val="0"/>
              <w:widowControl/>
              <w:kinsoku/>
              <w:wordWrap/>
              <w:overflowPunct/>
              <w:topLinePunct w:val="0"/>
              <w:autoSpaceDE/>
              <w:autoSpaceDN/>
              <w:bidi w:val="0"/>
              <w:spacing w:line="576"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完成情况</w:t>
            </w:r>
          </w:p>
        </w:tc>
        <w:tc>
          <w:tcPr>
            <w:tcW w:w="2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预期目标</w:t>
            </w:r>
          </w:p>
        </w:tc>
        <w:tc>
          <w:tcPr>
            <w:tcW w:w="15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目标实际完成情况</w:t>
            </w:r>
          </w:p>
        </w:tc>
      </w:tr>
      <w:tr>
        <w:tblPrEx>
          <w:tblCellMar>
            <w:top w:w="0" w:type="dxa"/>
            <w:left w:w="108" w:type="dxa"/>
            <w:bottom w:w="0" w:type="dxa"/>
            <w:right w:w="108" w:type="dxa"/>
          </w:tblCellMar>
        </w:tblPrEx>
        <w:trPr>
          <w:gridAfter w:val="1"/>
          <w:wAfter w:w="122" w:type="pct"/>
          <w:trHeight w:val="1297" w:hRule="atLeast"/>
        </w:trPr>
        <w:tc>
          <w:tcPr>
            <w:tcW w:w="11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spacing w:line="576" w:lineRule="exact"/>
              <w:jc w:val="center"/>
              <w:rPr>
                <w:rFonts w:ascii="宋体" w:hAnsi="宋体" w:eastAsia="宋体" w:cs="宋体"/>
                <w:color w:val="000000"/>
                <w:sz w:val="24"/>
              </w:rPr>
            </w:pPr>
          </w:p>
        </w:tc>
        <w:tc>
          <w:tcPr>
            <w:tcW w:w="2211" w:type="pct"/>
            <w:gridSpan w:val="3"/>
            <w:tcBorders>
              <w:top w:val="single" w:color="000000" w:sz="4" w:space="0"/>
              <w:left w:val="single" w:color="000000" w:sz="4" w:space="0"/>
              <w:bottom w:val="single" w:color="000000" w:sz="4" w:space="0"/>
              <w:right w:val="single" w:color="000000" w:sz="4" w:space="0"/>
            </w:tcBorders>
            <w:shd w:val="clear" w:color="auto" w:fill="auto"/>
          </w:tcPr>
          <w:p>
            <w:pPr>
              <w:pageBreakBefore w:val="0"/>
              <w:widowControl/>
              <w:kinsoku/>
              <w:wordWrap/>
              <w:overflowPunct/>
              <w:topLinePunct w:val="0"/>
              <w:autoSpaceDE/>
              <w:autoSpaceDN/>
              <w:bidi w:val="0"/>
              <w:spacing w:line="576" w:lineRule="exact"/>
              <w:jc w:val="left"/>
              <w:textAlignment w:val="top"/>
              <w:rPr>
                <w:rFonts w:ascii="宋体" w:hAnsi="宋体" w:eastAsia="宋体" w:cs="宋体"/>
                <w:color w:val="000000"/>
                <w:sz w:val="24"/>
              </w:rPr>
            </w:pPr>
          </w:p>
        </w:tc>
        <w:tc>
          <w:tcPr>
            <w:tcW w:w="1538" w:type="pct"/>
            <w:gridSpan w:val="2"/>
            <w:tcBorders>
              <w:top w:val="single" w:color="000000" w:sz="4" w:space="0"/>
              <w:left w:val="single" w:color="000000" w:sz="4" w:space="0"/>
              <w:bottom w:val="single" w:color="000000" w:sz="4" w:space="0"/>
              <w:right w:val="single" w:color="000000" w:sz="4" w:space="0"/>
            </w:tcBorders>
            <w:shd w:val="clear" w:color="auto" w:fill="auto"/>
          </w:tcPr>
          <w:p>
            <w:pPr>
              <w:pageBreakBefore w:val="0"/>
              <w:widowControl/>
              <w:kinsoku/>
              <w:wordWrap/>
              <w:overflowPunct/>
              <w:topLinePunct w:val="0"/>
              <w:autoSpaceDE/>
              <w:autoSpaceDN/>
              <w:bidi w:val="0"/>
              <w:spacing w:line="576" w:lineRule="exact"/>
              <w:jc w:val="left"/>
              <w:textAlignment w:val="top"/>
              <w:rPr>
                <w:rFonts w:ascii="宋体" w:hAnsi="宋体" w:eastAsia="宋体" w:cs="宋体"/>
                <w:color w:val="000000"/>
                <w:sz w:val="24"/>
              </w:rPr>
            </w:pPr>
          </w:p>
        </w:tc>
      </w:tr>
      <w:tr>
        <w:tblPrEx>
          <w:tblCellMar>
            <w:top w:w="0" w:type="dxa"/>
            <w:left w:w="108" w:type="dxa"/>
            <w:bottom w:w="0" w:type="dxa"/>
            <w:right w:w="108" w:type="dxa"/>
          </w:tblCellMar>
        </w:tblPrEx>
        <w:trPr>
          <w:gridAfter w:val="1"/>
          <w:wAfter w:w="122" w:type="pct"/>
          <w:trHeight w:val="738" w:hRule="atLeast"/>
        </w:trPr>
        <w:tc>
          <w:tcPr>
            <w:tcW w:w="1126" w:type="pct"/>
            <w:vMerge w:val="restart"/>
            <w:tcBorders>
              <w:top w:val="single" w:color="000000" w:sz="4" w:space="0"/>
              <w:left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年度绩效指标完成情况</w:t>
            </w:r>
          </w:p>
        </w:tc>
        <w:tc>
          <w:tcPr>
            <w:tcW w:w="649" w:type="pct"/>
            <w:tcBorders>
              <w:top w:val="single" w:color="000000" w:sz="4" w:space="0"/>
              <w:left w:val="nil"/>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一级</w:t>
            </w:r>
          </w:p>
          <w:p>
            <w:pPr>
              <w:pageBreakBefore w:val="0"/>
              <w:widowControl/>
              <w:kinsoku/>
              <w:wordWrap/>
              <w:overflowPunct/>
              <w:topLinePunct w:val="0"/>
              <w:autoSpaceDE/>
              <w:autoSpaceDN/>
              <w:bidi w:val="0"/>
              <w:spacing w:line="576"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二级</w:t>
            </w:r>
          </w:p>
          <w:p>
            <w:pPr>
              <w:pageBreakBefore w:val="0"/>
              <w:widowControl/>
              <w:kinsoku/>
              <w:wordWrap/>
              <w:overflowPunct/>
              <w:topLinePunct w:val="0"/>
              <w:autoSpaceDE/>
              <w:autoSpaceDN/>
              <w:bidi w:val="0"/>
              <w:spacing w:line="576"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三级</w:t>
            </w:r>
          </w:p>
          <w:p>
            <w:pPr>
              <w:pageBreakBefore w:val="0"/>
              <w:widowControl/>
              <w:kinsoku/>
              <w:wordWrap/>
              <w:overflowPunct/>
              <w:topLinePunct w:val="0"/>
              <w:autoSpaceDE/>
              <w:autoSpaceDN/>
              <w:bidi w:val="0"/>
              <w:spacing w:line="576"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预期指标值</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实际完成指标值</w:t>
            </w:r>
          </w:p>
        </w:tc>
      </w:tr>
      <w:tr>
        <w:tblPrEx>
          <w:tblCellMar>
            <w:top w:w="0" w:type="dxa"/>
            <w:left w:w="108" w:type="dxa"/>
            <w:bottom w:w="0" w:type="dxa"/>
            <w:right w:w="108" w:type="dxa"/>
          </w:tblCellMar>
        </w:tblPrEx>
        <w:trPr>
          <w:gridAfter w:val="1"/>
          <w:wAfter w:w="122" w:type="pct"/>
          <w:trHeight w:val="480" w:hRule="atLeast"/>
        </w:trPr>
        <w:tc>
          <w:tcPr>
            <w:tcW w:w="1126" w:type="pct"/>
            <w:vMerge w:val="continue"/>
            <w:tcBorders>
              <w:left w:val="single" w:color="000000" w:sz="4" w:space="0"/>
              <w:right w:val="single" w:color="000000" w:sz="4" w:space="0"/>
            </w:tcBorders>
            <w:shd w:val="clear" w:color="auto" w:fill="auto"/>
            <w:vAlign w:val="center"/>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6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完成</w:t>
            </w:r>
          </w:p>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数量指标</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r>
      <w:tr>
        <w:tblPrEx>
          <w:tblCellMar>
            <w:top w:w="0" w:type="dxa"/>
            <w:left w:w="108" w:type="dxa"/>
            <w:bottom w:w="0" w:type="dxa"/>
            <w:right w:w="108" w:type="dxa"/>
          </w:tblCellMar>
        </w:tblPrEx>
        <w:trPr>
          <w:gridAfter w:val="1"/>
          <w:wAfter w:w="122" w:type="pct"/>
          <w:trHeight w:val="480" w:hRule="atLeast"/>
        </w:trPr>
        <w:tc>
          <w:tcPr>
            <w:tcW w:w="1126" w:type="pct"/>
            <w:vMerge w:val="continue"/>
            <w:tcBorders>
              <w:left w:val="single" w:color="000000" w:sz="4" w:space="0"/>
              <w:right w:val="single" w:color="000000" w:sz="4" w:space="0"/>
            </w:tcBorders>
            <w:shd w:val="clear" w:color="auto" w:fill="auto"/>
            <w:vAlign w:val="center"/>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质量指标</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r>
      <w:tr>
        <w:tblPrEx>
          <w:tblCellMar>
            <w:top w:w="0" w:type="dxa"/>
            <w:left w:w="108" w:type="dxa"/>
            <w:bottom w:w="0" w:type="dxa"/>
            <w:right w:w="108" w:type="dxa"/>
          </w:tblCellMar>
        </w:tblPrEx>
        <w:trPr>
          <w:gridAfter w:val="1"/>
          <w:wAfter w:w="122" w:type="pct"/>
          <w:trHeight w:val="480" w:hRule="atLeast"/>
        </w:trPr>
        <w:tc>
          <w:tcPr>
            <w:tcW w:w="1126" w:type="pct"/>
            <w:vMerge w:val="continue"/>
            <w:tcBorders>
              <w:left w:val="single" w:color="000000" w:sz="4" w:space="0"/>
              <w:right w:val="single" w:color="000000" w:sz="4" w:space="0"/>
            </w:tcBorders>
            <w:shd w:val="clear" w:color="auto" w:fill="auto"/>
            <w:vAlign w:val="center"/>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时效指标</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r>
      <w:tr>
        <w:tblPrEx>
          <w:tblCellMar>
            <w:top w:w="0" w:type="dxa"/>
            <w:left w:w="108" w:type="dxa"/>
            <w:bottom w:w="0" w:type="dxa"/>
            <w:right w:w="108" w:type="dxa"/>
          </w:tblCellMar>
        </w:tblPrEx>
        <w:trPr>
          <w:gridAfter w:val="1"/>
          <w:wAfter w:w="122" w:type="pct"/>
          <w:trHeight w:val="480" w:hRule="atLeast"/>
        </w:trPr>
        <w:tc>
          <w:tcPr>
            <w:tcW w:w="1126" w:type="pct"/>
            <w:vMerge w:val="continue"/>
            <w:tcBorders>
              <w:left w:val="single" w:color="000000" w:sz="4" w:space="0"/>
              <w:right w:val="single" w:color="000000" w:sz="4" w:space="0"/>
            </w:tcBorders>
            <w:shd w:val="clear" w:color="auto" w:fill="auto"/>
            <w:vAlign w:val="center"/>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成本指标</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r>
      <w:tr>
        <w:tblPrEx>
          <w:tblCellMar>
            <w:top w:w="0" w:type="dxa"/>
            <w:left w:w="108" w:type="dxa"/>
            <w:bottom w:w="0" w:type="dxa"/>
            <w:right w:w="108" w:type="dxa"/>
          </w:tblCellMar>
        </w:tblPrEx>
        <w:trPr>
          <w:gridAfter w:val="1"/>
          <w:wAfter w:w="122" w:type="pct"/>
          <w:trHeight w:val="480" w:hRule="atLeast"/>
        </w:trPr>
        <w:tc>
          <w:tcPr>
            <w:tcW w:w="1126" w:type="pct"/>
            <w:vMerge w:val="continue"/>
            <w:tcBorders>
              <w:left w:val="single" w:color="000000" w:sz="4" w:space="0"/>
              <w:right w:val="single" w:color="000000" w:sz="4" w:space="0"/>
            </w:tcBorders>
            <w:shd w:val="clear" w:color="auto" w:fill="auto"/>
            <w:vAlign w:val="center"/>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6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spacing w:line="576" w:lineRule="exact"/>
              <w:jc w:val="center"/>
              <w:textAlignment w:val="bottom"/>
              <w:rPr>
                <w:rFonts w:hint="eastAsia" w:ascii="仿宋_GB2312" w:hAnsi="仿宋_GB2312" w:eastAsia="宋体" w:cs="仿宋_GB2312"/>
                <w:color w:val="000000"/>
                <w:kern w:val="0"/>
                <w:sz w:val="28"/>
                <w:szCs w:val="28"/>
                <w:lang w:eastAsia="zh-CN" w:bidi="ar"/>
              </w:rPr>
            </w:pPr>
            <w:r>
              <w:rPr>
                <w:rFonts w:hint="eastAsia" w:ascii="仿宋_GB2312" w:hAnsi="仿宋_GB2312" w:cs="仿宋_GB2312"/>
                <w:color w:val="000000"/>
                <w:kern w:val="0"/>
                <w:sz w:val="28"/>
                <w:szCs w:val="28"/>
                <w:lang w:bidi="ar"/>
              </w:rPr>
              <w:t>效益</w:t>
            </w:r>
          </w:p>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经济效益  指标</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r>
      <w:tr>
        <w:tblPrEx>
          <w:tblCellMar>
            <w:top w:w="0" w:type="dxa"/>
            <w:left w:w="108" w:type="dxa"/>
            <w:bottom w:w="0" w:type="dxa"/>
            <w:right w:w="108" w:type="dxa"/>
          </w:tblCellMar>
        </w:tblPrEx>
        <w:trPr>
          <w:gridAfter w:val="1"/>
          <w:wAfter w:w="122" w:type="pct"/>
          <w:trHeight w:val="480" w:hRule="atLeast"/>
        </w:trPr>
        <w:tc>
          <w:tcPr>
            <w:tcW w:w="1126" w:type="pct"/>
            <w:vMerge w:val="continue"/>
            <w:tcBorders>
              <w:left w:val="single" w:color="000000" w:sz="4" w:space="0"/>
              <w:right w:val="single" w:color="000000" w:sz="4" w:space="0"/>
            </w:tcBorders>
            <w:shd w:val="clear" w:color="auto" w:fill="auto"/>
            <w:vAlign w:val="center"/>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社会效益  指标</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r>
      <w:tr>
        <w:tblPrEx>
          <w:tblCellMar>
            <w:top w:w="0" w:type="dxa"/>
            <w:left w:w="108" w:type="dxa"/>
            <w:bottom w:w="0" w:type="dxa"/>
            <w:right w:w="108" w:type="dxa"/>
          </w:tblCellMar>
        </w:tblPrEx>
        <w:trPr>
          <w:gridAfter w:val="1"/>
          <w:wAfter w:w="122" w:type="pct"/>
          <w:trHeight w:val="577" w:hRule="atLeast"/>
        </w:trPr>
        <w:tc>
          <w:tcPr>
            <w:tcW w:w="1126" w:type="pct"/>
            <w:vMerge w:val="continue"/>
            <w:tcBorders>
              <w:left w:val="single" w:color="000000" w:sz="4" w:space="0"/>
              <w:right w:val="single" w:color="000000" w:sz="4" w:space="0"/>
            </w:tcBorders>
            <w:shd w:val="clear" w:color="auto" w:fill="auto"/>
            <w:vAlign w:val="center"/>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ind w:left="463" w:leftChars="87" w:hanging="280" w:hangingChars="100"/>
              <w:jc w:val="left"/>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生态效益  指标</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r>
      <w:tr>
        <w:tblPrEx>
          <w:tblCellMar>
            <w:top w:w="0" w:type="dxa"/>
            <w:left w:w="108" w:type="dxa"/>
            <w:bottom w:w="0" w:type="dxa"/>
            <w:right w:w="108" w:type="dxa"/>
          </w:tblCellMar>
        </w:tblPrEx>
        <w:trPr>
          <w:gridAfter w:val="1"/>
          <w:wAfter w:w="122" w:type="pct"/>
          <w:trHeight w:val="480" w:hRule="atLeast"/>
        </w:trPr>
        <w:tc>
          <w:tcPr>
            <w:tcW w:w="1126" w:type="pct"/>
            <w:vMerge w:val="continue"/>
            <w:tcBorders>
              <w:left w:val="single" w:color="000000" w:sz="4" w:space="0"/>
              <w:right w:val="single" w:color="000000" w:sz="4" w:space="0"/>
            </w:tcBorders>
            <w:shd w:val="clear" w:color="auto" w:fill="auto"/>
            <w:vAlign w:val="center"/>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可持续影响 指标</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r>
      <w:tr>
        <w:tblPrEx>
          <w:tblCellMar>
            <w:top w:w="0" w:type="dxa"/>
            <w:left w:w="108" w:type="dxa"/>
            <w:bottom w:w="0" w:type="dxa"/>
            <w:right w:w="108" w:type="dxa"/>
          </w:tblCellMar>
        </w:tblPrEx>
        <w:trPr>
          <w:gridAfter w:val="1"/>
          <w:wAfter w:w="122" w:type="pct"/>
          <w:trHeight w:val="480" w:hRule="atLeast"/>
        </w:trPr>
        <w:tc>
          <w:tcPr>
            <w:tcW w:w="1126" w:type="pct"/>
            <w:vMerge w:val="continue"/>
            <w:tcBorders>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spacing w:line="576" w:lineRule="exact"/>
              <w:jc w:val="center"/>
              <w:rPr>
                <w:rFonts w:ascii="仿宋_GB2312" w:hAnsi="仿宋_GB2312" w:cs="仿宋_GB2312"/>
                <w:color w:val="000000"/>
                <w:sz w:val="28"/>
                <w:szCs w:val="28"/>
              </w:rPr>
            </w:pP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hint="eastAsia" w:ascii="仿宋_GB2312" w:hAnsi="仿宋_GB2312" w:eastAsia="宋体" w:cs="仿宋_GB2312"/>
                <w:color w:val="000000"/>
                <w:kern w:val="0"/>
                <w:sz w:val="28"/>
                <w:szCs w:val="28"/>
                <w:lang w:eastAsia="zh-CN" w:bidi="ar"/>
              </w:rPr>
            </w:pPr>
            <w:r>
              <w:rPr>
                <w:rFonts w:hint="eastAsia" w:ascii="仿宋_GB2312" w:hAnsi="仿宋_GB2312" w:cs="仿宋_GB2312"/>
                <w:color w:val="000000"/>
                <w:kern w:val="0"/>
                <w:sz w:val="28"/>
                <w:szCs w:val="28"/>
                <w:lang w:bidi="ar"/>
              </w:rPr>
              <w:t>满意</w:t>
            </w:r>
          </w:p>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度指标</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满意度</w:t>
            </w:r>
          </w:p>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lang w:bidi="ar"/>
              </w:rPr>
              <w:t>指标</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bottom"/>
          </w:tcPr>
          <w:p>
            <w:pPr>
              <w:pageBreakBefore w:val="0"/>
              <w:widowControl/>
              <w:kinsoku/>
              <w:wordWrap/>
              <w:overflowPunct/>
              <w:topLinePunct w:val="0"/>
              <w:autoSpaceDE/>
              <w:autoSpaceDN/>
              <w:bidi w:val="0"/>
              <w:spacing w:line="576" w:lineRule="exact"/>
              <w:jc w:val="center"/>
              <w:textAlignment w:val="bottom"/>
              <w:rPr>
                <w:rFonts w:ascii="仿宋_GB2312" w:hAnsi="仿宋_GB2312" w:cs="仿宋_GB2312"/>
                <w:color w:val="000000"/>
                <w:sz w:val="28"/>
                <w:szCs w:val="28"/>
              </w:rPr>
            </w:pPr>
          </w:p>
        </w:tc>
      </w:tr>
    </w:tbl>
    <w:p>
      <w:pPr>
        <w:pStyle w:val="35"/>
        <w:pageBreakBefore w:val="0"/>
        <w:widowControl/>
        <w:kinsoku/>
        <w:wordWrap/>
        <w:overflowPunct/>
        <w:topLinePunct w:val="0"/>
        <w:autoSpaceDE/>
        <w:autoSpaceDN/>
        <w:bidi w:val="0"/>
        <w:adjustRightInd w:val="0"/>
        <w:snapToGrid w:val="0"/>
        <w:spacing w:line="576" w:lineRule="exact"/>
        <w:contextualSpacing/>
        <w:jc w:val="left"/>
        <w:rPr>
          <w:rFonts w:ascii="仿宋_GB2312" w:hAnsi="宋体" w:cs="宋体"/>
          <w:color w:val="000000"/>
          <w:kern w:val="0"/>
          <w:szCs w:val="32"/>
          <w:shd w:val="clear" w:color="auto" w:fill="FFFFFF"/>
        </w:rPr>
      </w:pPr>
      <w:r>
        <w:rPr>
          <w:rFonts w:hint="eastAsia" w:ascii="仿宋_GB2312" w:hAnsi="宋体" w:cs="宋体"/>
          <w:color w:val="000000"/>
          <w:kern w:val="0"/>
          <w:szCs w:val="32"/>
          <w:shd w:val="clear" w:color="auto" w:fill="FFFFFF"/>
        </w:rPr>
        <w:t>（注：有两个及以上100万元以上（含）特定目标类部门预算项目的，需分别开展绩效目标自评并填写附表）</w:t>
      </w:r>
    </w:p>
    <w:p>
      <w:pPr>
        <w:pageBreakBefore w:val="0"/>
        <w:widowControl/>
        <w:kinsoku/>
        <w:wordWrap/>
        <w:overflowPunct/>
        <w:topLinePunct w:val="0"/>
        <w:autoSpaceDE/>
        <w:autoSpaceDN/>
        <w:bidi w:val="0"/>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pPr>
        <w:pStyle w:val="4"/>
        <w:pageBreakBefore w:val="0"/>
        <w:kinsoku/>
        <w:wordWrap/>
        <w:overflowPunct/>
        <w:topLinePunct w:val="0"/>
        <w:autoSpaceDE/>
        <w:autoSpaceDN/>
        <w:bidi w:val="0"/>
        <w:spacing w:before="0" w:after="0" w:line="576" w:lineRule="exact"/>
        <w:jc w:val="center"/>
        <w:rPr>
          <w:rFonts w:ascii="黑体" w:hAnsi="黑体" w:eastAsia="黑体" w:cs="黑体"/>
        </w:rPr>
      </w:pPr>
      <w:bookmarkStart w:id="69" w:name="_Toc15377225"/>
      <w:bookmarkStart w:id="70" w:name="_Toc111208509"/>
      <w:bookmarkStart w:id="71" w:name="_Toc15560"/>
      <w:r>
        <w:rPr>
          <w:rFonts w:hint="eastAsia" w:ascii="黑体" w:hAnsi="黑体" w:eastAsia="黑体" w:cs="黑体"/>
        </w:rPr>
        <w:t>第三部分 名词解释</w:t>
      </w:r>
      <w:bookmarkEnd w:id="69"/>
      <w:bookmarkEnd w:id="70"/>
      <w:bookmarkEnd w:id="71"/>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pageBreakBefore w:val="0"/>
        <w:kinsoku/>
        <w:wordWrap/>
        <w:overflowPunct/>
        <w:topLinePunct w:val="0"/>
        <w:autoSpaceDE/>
        <w:autoSpaceDN/>
        <w:bidi w:val="0"/>
        <w:spacing w:line="576"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9.公共安全支出（204）公安（20402）行政运行（2040201）：反映行政单位（包括实行公务员管理的事业单位）的基本支出。</w:t>
      </w:r>
    </w:p>
    <w:p>
      <w:pPr>
        <w:pageBreakBefore w:val="0"/>
        <w:kinsoku/>
        <w:wordWrap/>
        <w:overflowPunct/>
        <w:topLinePunct w:val="0"/>
        <w:autoSpaceDE/>
        <w:autoSpaceDN/>
        <w:bidi w:val="0"/>
        <w:spacing w:line="576"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10.公共安全支出（204）公安（20402）一般行政管理事务（2040202）：反映行政单位（包括实行公务员管理的事业单位）未单独设置项级科目的其他项目支出。</w:t>
      </w:r>
    </w:p>
    <w:p>
      <w:pPr>
        <w:pageBreakBefore w:val="0"/>
        <w:kinsoku/>
        <w:wordWrap/>
        <w:overflowPunct/>
        <w:topLinePunct w:val="0"/>
        <w:autoSpaceDE/>
        <w:autoSpaceDN/>
        <w:bidi w:val="0"/>
        <w:spacing w:line="576"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11.公共安全支出（204）公安（20402）事业运行（2040250）：反映事业单位的基本支岀，不包括行政单位（包括实行公务员管理的事业单位）后勤服务中心、医务室等附属事业单位。</w:t>
      </w:r>
    </w:p>
    <w:p>
      <w:pPr>
        <w:pageBreakBefore w:val="0"/>
        <w:kinsoku/>
        <w:wordWrap/>
        <w:overflowPunct/>
        <w:topLinePunct w:val="0"/>
        <w:autoSpaceDE/>
        <w:autoSpaceDN/>
        <w:bidi w:val="0"/>
        <w:spacing w:line="576"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12.公共安全支出（204）公安（20402）其他公安支出（2040299）：反映除上述项目以外其他用于公安方面的支出。</w:t>
      </w:r>
    </w:p>
    <w:p>
      <w:pPr>
        <w:pageBreakBefore w:val="0"/>
        <w:kinsoku/>
        <w:wordWrap/>
        <w:overflowPunct/>
        <w:topLinePunct w:val="0"/>
        <w:autoSpaceDE/>
        <w:autoSpaceDN/>
        <w:bidi w:val="0"/>
        <w:spacing w:line="576"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13.社会保障和就业支出（208）行政事业单位养老支出（20805）机关事业单位基本养老保险缴费支出（2080505）：反映机关事业单位实施养老保险制度由单位缴纳的基本养老保险费支出。</w:t>
      </w:r>
    </w:p>
    <w:p>
      <w:pPr>
        <w:pageBreakBefore w:val="0"/>
        <w:kinsoku/>
        <w:wordWrap/>
        <w:overflowPunct/>
        <w:topLinePunct w:val="0"/>
        <w:autoSpaceDE/>
        <w:autoSpaceDN/>
        <w:bidi w:val="0"/>
        <w:spacing w:line="576"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14.社会保障和就业支出（208）行政事业单位养老支出（20805）机关事业单位职业年金缴费支出（2080506）：反映机关事业单位实施养老保险制度由单位实际缴纳的职业年金支出。</w:t>
      </w:r>
    </w:p>
    <w:p>
      <w:pPr>
        <w:pageBreakBefore w:val="0"/>
        <w:kinsoku/>
        <w:wordWrap/>
        <w:overflowPunct/>
        <w:topLinePunct w:val="0"/>
        <w:autoSpaceDE/>
        <w:autoSpaceDN/>
        <w:bidi w:val="0"/>
        <w:spacing w:line="576"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15.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pageBreakBefore w:val="0"/>
        <w:kinsoku/>
        <w:wordWrap/>
        <w:overflowPunct/>
        <w:topLinePunct w:val="0"/>
        <w:autoSpaceDE/>
        <w:autoSpaceDN/>
        <w:bidi w:val="0"/>
        <w:spacing w:line="576"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16.卫生健康支出（210）行政事业单位医疗（21011）事业单位医疗（2101102）：反映财政部门安排的事业单位基本医疗保险缴费经费，未参加医疗保险的事业单位的公费医疗经费，按国家规定享受离休人员待遇的医疗经费。</w:t>
      </w:r>
    </w:p>
    <w:p>
      <w:pPr>
        <w:pageBreakBefore w:val="0"/>
        <w:kinsoku/>
        <w:wordWrap/>
        <w:overflowPunct/>
        <w:topLinePunct w:val="0"/>
        <w:autoSpaceDE/>
        <w:autoSpaceDN/>
        <w:bidi w:val="0"/>
        <w:spacing w:line="576"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17.农林水支出（213）扶贫（21305）其他扶贫支出（2130599）：反映除上述项目以外其他用于扶贫方面的支出。</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18.住房保障支出（221）住房改革支出（22102）住房公积金（2210201）：反映行政事业单位按人力资源和社会保障部、财政部规定的基本工资和津贴补贴以及规定比例为职工缴纳的住房公积金。</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rPr>
        <w:t>19.基本支出：指为保障机构正常运转、完成日常工作任务而发生的人员支出和公用支出。</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rPr>
        <w:t>20.经营支出：指事业单位在专业业务活动及其辅助活动之外开展非独立核算经营活动发生的支出。</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autoSpaceDE/>
        <w:autoSpaceDN/>
        <w:bidi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autoSpaceDE/>
        <w:autoSpaceDN/>
        <w:bidi w:val="0"/>
        <w:spacing w:line="576" w:lineRule="exact"/>
        <w:ind w:firstLine="640"/>
        <w:rPr>
          <w:rFonts w:ascii="仿宋_GB2312" w:eastAsia="仿宋_GB2312" w:cs="黑体"/>
          <w:sz w:val="32"/>
          <w:szCs w:val="32"/>
        </w:rPr>
      </w:pPr>
      <w:r>
        <w:rPr>
          <w:rFonts w:hint="eastAsia" w:ascii="仿宋" w:hAnsi="仿宋" w:eastAsia="仿宋"/>
          <w:color w:val="000000"/>
          <w:sz w:val="32"/>
          <w:szCs w:val="32"/>
        </w:rPr>
        <w:t>23.财政应返还额度：为行政事业单位会计核算科目，用于核算实行国库集中支付的行政事业单位应收财政返还的资金额度。</w:t>
      </w:r>
    </w:p>
    <w:p>
      <w:pPr>
        <w:pageBreakBefore w:val="0"/>
        <w:widowControl/>
        <w:kinsoku/>
        <w:wordWrap/>
        <w:overflowPunct/>
        <w:topLinePunct w:val="0"/>
        <w:autoSpaceDE/>
        <w:autoSpaceDN/>
        <w:bidi w:val="0"/>
        <w:spacing w:line="576" w:lineRule="exact"/>
        <w:jc w:val="left"/>
        <w:rPr>
          <w:rStyle w:val="30"/>
          <w:rFonts w:ascii="黑体" w:hAnsi="黑体" w:eastAsia="黑体"/>
        </w:rPr>
      </w:pPr>
      <w:r>
        <w:rPr>
          <w:rStyle w:val="30"/>
          <w:rFonts w:ascii="黑体" w:hAnsi="黑体" w:eastAsia="黑体"/>
        </w:rPr>
        <w:br w:type="page"/>
      </w:r>
    </w:p>
    <w:p>
      <w:pPr>
        <w:pStyle w:val="4"/>
        <w:pageBreakBefore w:val="0"/>
        <w:kinsoku/>
        <w:wordWrap/>
        <w:overflowPunct/>
        <w:topLinePunct w:val="0"/>
        <w:autoSpaceDE/>
        <w:autoSpaceDN/>
        <w:bidi w:val="0"/>
        <w:spacing w:before="0" w:after="0" w:line="576" w:lineRule="exact"/>
        <w:jc w:val="center"/>
        <w:rPr>
          <w:rFonts w:ascii="黑体" w:hAnsi="黑体" w:eastAsia="黑体" w:cs="黑体"/>
        </w:rPr>
      </w:pPr>
      <w:bookmarkStart w:id="72" w:name="_Toc111208510"/>
      <w:bookmarkStart w:id="73" w:name="_Toc180"/>
      <w:r>
        <w:rPr>
          <w:rFonts w:hint="eastAsia" w:ascii="黑体" w:hAnsi="黑体" w:eastAsia="黑体" w:cs="黑体"/>
        </w:rPr>
        <w:t>第四部分 附件</w:t>
      </w:r>
      <w:bookmarkEnd w:id="72"/>
      <w:bookmarkEnd w:id="73"/>
    </w:p>
    <w:p>
      <w:pPr>
        <w:pStyle w:val="68"/>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eastAsia="方正小标宋简体" w:cs="方正小标宋简体"/>
          <w:color w:val="auto"/>
          <w:kern w:val="2"/>
          <w:sz w:val="40"/>
          <w:szCs w:val="40"/>
          <w:lang w:eastAsia="zh-CN"/>
        </w:rPr>
      </w:pPr>
      <w:r>
        <w:rPr>
          <w:rFonts w:hint="eastAsia" w:ascii="方正小标宋简体" w:eastAsia="方正小标宋简体" w:cs="方正小标宋简体"/>
          <w:color w:val="auto"/>
          <w:kern w:val="2"/>
          <w:sz w:val="40"/>
          <w:szCs w:val="40"/>
          <w:lang w:eastAsia="zh-CN"/>
        </w:rPr>
        <w:t>中共茂县县委政法委员会</w:t>
      </w:r>
    </w:p>
    <w:p>
      <w:pPr>
        <w:pStyle w:val="68"/>
        <w:keepNext w:val="0"/>
        <w:keepLines w:val="0"/>
        <w:pageBreakBefore w:val="0"/>
        <w:widowControl w:val="0"/>
        <w:kinsoku/>
        <w:wordWrap/>
        <w:overflowPunct/>
        <w:topLinePunct w:val="0"/>
        <w:autoSpaceDE/>
        <w:autoSpaceDN/>
        <w:bidi w:val="0"/>
        <w:spacing w:line="576" w:lineRule="exact"/>
        <w:jc w:val="center"/>
        <w:textAlignment w:val="auto"/>
        <w:rPr>
          <w:rFonts w:ascii="方正小标宋简体" w:eastAsia="方正小标宋简体" w:cs="方正小标宋简体"/>
          <w:color w:val="auto"/>
          <w:kern w:val="2"/>
          <w:sz w:val="40"/>
          <w:szCs w:val="40"/>
          <w:lang w:val="en-US" w:eastAsia="zh-CN"/>
        </w:rPr>
      </w:pPr>
      <w:r>
        <w:rPr>
          <w:rFonts w:hint="eastAsia" w:ascii="方正小标宋简体" w:eastAsia="方正小标宋简体" w:cs="方正小标宋简体"/>
          <w:color w:val="auto"/>
          <w:kern w:val="2"/>
          <w:sz w:val="40"/>
          <w:szCs w:val="40"/>
          <w:lang w:val="en-US" w:eastAsia="zh-CN"/>
        </w:rPr>
        <w:t>202</w:t>
      </w:r>
      <w:r>
        <w:rPr>
          <w:rFonts w:ascii="方正小标宋简体" w:eastAsia="方正小标宋简体" w:cs="方正小标宋简体"/>
          <w:color w:val="auto"/>
          <w:kern w:val="2"/>
          <w:sz w:val="40"/>
          <w:szCs w:val="40"/>
          <w:lang w:val="en-US" w:eastAsia="zh-CN"/>
        </w:rPr>
        <w:t>2</w:t>
      </w:r>
      <w:r>
        <w:rPr>
          <w:rFonts w:hint="eastAsia" w:ascii="方正小标宋简体" w:eastAsia="方正小标宋简体" w:cs="方正小标宋简体"/>
          <w:color w:val="auto"/>
          <w:kern w:val="2"/>
          <w:sz w:val="40"/>
          <w:szCs w:val="40"/>
          <w:lang w:val="en-US" w:eastAsia="zh-CN"/>
        </w:rPr>
        <w:t>年绩效运行自行监控报告</w:t>
      </w:r>
    </w:p>
    <w:p>
      <w:pPr>
        <w:pStyle w:val="53"/>
        <w:keepNext w:val="0"/>
        <w:keepLines w:val="0"/>
        <w:pageBreakBefore w:val="0"/>
        <w:widowControl w:val="0"/>
        <w:kinsoku/>
        <w:wordWrap/>
        <w:overflowPunct/>
        <w:topLinePunct w:val="0"/>
        <w:autoSpaceDE/>
        <w:autoSpaceDN/>
        <w:bidi w:val="0"/>
        <w:adjustRightInd w:val="0"/>
        <w:snapToGrid w:val="0"/>
        <w:spacing w:line="576" w:lineRule="exact"/>
        <w:ind w:firstLine="720"/>
        <w:jc w:val="center"/>
        <w:textAlignment w:val="auto"/>
        <w:rPr>
          <w:rFonts w:hint="eastAsia" w:ascii="黑体" w:eastAsia="黑体"/>
        </w:rPr>
      </w:pPr>
    </w:p>
    <w:p>
      <w:pPr>
        <w:pStyle w:val="53"/>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黑体" w:eastAsia="黑体"/>
          <w:lang w:val="en-US" w:eastAsia="zh-CN"/>
        </w:rPr>
      </w:pPr>
      <w:r>
        <w:rPr>
          <w:rFonts w:hint="eastAsia" w:ascii="黑体" w:eastAsia="黑体"/>
        </w:rPr>
        <w:t>一、</w:t>
      </w:r>
      <w:r>
        <w:rPr>
          <w:rFonts w:hint="eastAsia" w:ascii="黑体" w:eastAsia="黑体"/>
          <w:lang w:val="en-US" w:eastAsia="zh-CN"/>
        </w:rPr>
        <w:t>部门整体概况</w:t>
      </w:r>
    </w:p>
    <w:p>
      <w:pPr>
        <w:pStyle w:val="53"/>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eastAsia="楷体_GB2312"/>
          <w:b/>
          <w:lang w:val="zh-CN" w:eastAsia="zh-CN"/>
        </w:rPr>
      </w:pPr>
      <w:r>
        <w:rPr>
          <w:rFonts w:hint="eastAsia" w:ascii="楷体_GB2312" w:eastAsia="楷体_GB2312"/>
          <w:b/>
          <w:lang w:val="zh-CN"/>
        </w:rPr>
        <w:t>（一）</w:t>
      </w:r>
      <w:r>
        <w:rPr>
          <w:rFonts w:hint="eastAsia" w:ascii="楷体_GB2312" w:eastAsia="楷体_GB2312"/>
          <w:b/>
          <w:color w:val="auto"/>
          <w:highlight w:val="none"/>
          <w:lang w:val="en-US" w:eastAsia="zh-CN"/>
        </w:rPr>
        <w:t>部门职能职责</w:t>
      </w:r>
    </w:p>
    <w:p>
      <w:pPr>
        <w:pStyle w:val="53"/>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eastAsia="仿宋_GB2312" w:cs="仿宋_GB2312"/>
          <w:sz w:val="32"/>
          <w:szCs w:val="32"/>
          <w:lang w:eastAsia="zh-CN"/>
        </w:rPr>
        <w:t>1.</w:t>
      </w:r>
      <w:r>
        <w:rPr>
          <w:rFonts w:hint="eastAsia" w:eastAsia="仿宋_GB2312"/>
          <w:bCs/>
          <w:sz w:val="32"/>
          <w:szCs w:val="32"/>
          <w:lang w:eastAsia="zh-CN"/>
        </w:rPr>
        <w:t>深入贯彻党的路线方针政策和决策部署，统一政法各部门思想和行动，坚持党对政法工作的绝对领导，坚决维护党中央权威和集中统一领导。</w:t>
      </w:r>
    </w:p>
    <w:p>
      <w:pPr>
        <w:pStyle w:val="53"/>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eastAsia="仿宋_GB2312" w:cs="仿宋_GB2312"/>
          <w:sz w:val="32"/>
          <w:szCs w:val="32"/>
          <w:lang w:eastAsia="zh-CN"/>
        </w:rPr>
        <w:t>2.</w:t>
      </w:r>
      <w:r>
        <w:rPr>
          <w:rFonts w:hint="eastAsia" w:eastAsia="仿宋_GB2312"/>
          <w:bCs/>
          <w:sz w:val="32"/>
          <w:szCs w:val="32"/>
          <w:lang w:eastAsia="zh-CN"/>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pPr>
        <w:pStyle w:val="53"/>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eastAsia="仿宋_GB2312" w:cs="仿宋_GB2312"/>
          <w:sz w:val="32"/>
          <w:szCs w:val="32"/>
          <w:lang w:eastAsia="zh-CN"/>
        </w:rPr>
        <w:t>3.</w:t>
      </w:r>
      <w:r>
        <w:rPr>
          <w:rFonts w:hint="eastAsia" w:eastAsia="仿宋_GB2312"/>
          <w:bCs/>
          <w:sz w:val="32"/>
          <w:szCs w:val="32"/>
          <w:lang w:eastAsia="zh-CN"/>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pPr>
        <w:pStyle w:val="53"/>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eastAsia="仿宋_GB2312" w:cs="仿宋_GB2312"/>
          <w:sz w:val="32"/>
          <w:szCs w:val="32"/>
          <w:lang w:eastAsia="zh-CN"/>
        </w:rPr>
        <w:t>4.</w:t>
      </w:r>
      <w:r>
        <w:rPr>
          <w:rFonts w:hint="eastAsia" w:eastAsia="仿宋_GB2312"/>
          <w:bCs/>
          <w:sz w:val="32"/>
          <w:szCs w:val="32"/>
          <w:lang w:eastAsia="zh-CN"/>
        </w:rPr>
        <w:t>加强对政法工作的督查，统筹协调维护政治安全、社会治安综合治理、维护社会稳定、反邪教有关法律法规政策的实施工作。指导全县政法系统网络安全和智能化建设工作。</w:t>
      </w:r>
    </w:p>
    <w:p>
      <w:pPr>
        <w:pStyle w:val="53"/>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eastAsia="仿宋_GB2312" w:cs="仿宋_GB2312"/>
          <w:sz w:val="32"/>
          <w:szCs w:val="32"/>
          <w:lang w:eastAsia="zh-CN"/>
        </w:rPr>
        <w:t>5.</w:t>
      </w:r>
      <w:r>
        <w:rPr>
          <w:rFonts w:hint="eastAsia" w:eastAsia="仿宋_GB2312"/>
          <w:bCs/>
          <w:sz w:val="32"/>
          <w:szCs w:val="32"/>
          <w:lang w:eastAsia="zh-CN"/>
        </w:rPr>
        <w:t>组织开展政法领域的调查研究，研究拟订全县政法工作的政策措施，及时向县委提出建议。</w:t>
      </w:r>
    </w:p>
    <w:p>
      <w:pPr>
        <w:pStyle w:val="53"/>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eastAsia="仿宋_GB2312" w:cs="仿宋_GB2312"/>
          <w:sz w:val="32"/>
          <w:szCs w:val="32"/>
          <w:lang w:eastAsia="zh-CN"/>
        </w:rPr>
        <w:t>6.</w:t>
      </w:r>
      <w:r>
        <w:rPr>
          <w:rFonts w:hint="eastAsia" w:eastAsia="仿宋_GB2312"/>
          <w:bCs/>
          <w:sz w:val="32"/>
          <w:szCs w:val="32"/>
          <w:lang w:eastAsia="zh-CN"/>
        </w:rPr>
        <w:t>掌握分析政法舆情动态，指导协调政法部门媒体网络宣传工作，指导政法部门做好涉及政法工作的重大宣传和舆论引导工作。</w:t>
      </w:r>
    </w:p>
    <w:p>
      <w:pPr>
        <w:pStyle w:val="53"/>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eastAsia="仿宋_GB2312" w:cs="仿宋_GB2312"/>
          <w:sz w:val="32"/>
          <w:szCs w:val="32"/>
          <w:lang w:eastAsia="zh-CN"/>
        </w:rPr>
        <w:t>7.</w:t>
      </w:r>
      <w:r>
        <w:rPr>
          <w:rFonts w:hint="eastAsia" w:eastAsia="仿宋_GB2312"/>
          <w:bCs/>
          <w:sz w:val="32"/>
          <w:szCs w:val="32"/>
          <w:lang w:eastAsia="zh-CN"/>
        </w:rPr>
        <w:t>监督和支持政法各部门依法行使职权，指导和协调政法各部门密切配合，研究和协调重大疑难案件，推进严格执法、公正司法。</w:t>
      </w:r>
    </w:p>
    <w:p>
      <w:pPr>
        <w:pStyle w:val="53"/>
        <w:pageBreakBefore w:val="0"/>
        <w:kinsoku/>
        <w:wordWrap/>
        <w:overflowPunct/>
        <w:topLinePunct w:val="0"/>
        <w:autoSpaceDE/>
        <w:autoSpaceDN/>
        <w:bidi w:val="0"/>
        <w:spacing w:line="576" w:lineRule="exact"/>
        <w:ind w:firstLine="640" w:firstLineChars="200"/>
        <w:rPr>
          <w:rFonts w:eastAsia="仿宋_GB2312"/>
          <w:bCs/>
          <w:sz w:val="32"/>
          <w:szCs w:val="32"/>
          <w:lang w:eastAsia="zh-CN"/>
        </w:rPr>
      </w:pPr>
      <w:r>
        <w:rPr>
          <w:rFonts w:hint="eastAsia" w:ascii="仿宋_GB2312" w:eastAsia="仿宋_GB2312" w:cs="仿宋_GB2312"/>
          <w:sz w:val="32"/>
          <w:szCs w:val="32"/>
          <w:lang w:eastAsia="zh-CN"/>
        </w:rPr>
        <w:t>8.</w:t>
      </w:r>
      <w:r>
        <w:rPr>
          <w:rFonts w:hint="eastAsia" w:eastAsia="仿宋_GB2312"/>
          <w:bCs/>
          <w:sz w:val="32"/>
          <w:szCs w:val="32"/>
          <w:lang w:eastAsia="zh-CN"/>
        </w:rPr>
        <w:t>组织研究政法改革中带有方向性、倾向性和普遍性的重大问题，深化政法改革。</w:t>
      </w:r>
    </w:p>
    <w:p>
      <w:pPr>
        <w:pStyle w:val="53"/>
        <w:pageBreakBefore w:val="0"/>
        <w:kinsoku/>
        <w:wordWrap/>
        <w:overflowPunct/>
        <w:topLinePunct w:val="0"/>
        <w:autoSpaceDE/>
        <w:autoSpaceDN/>
        <w:bidi w:val="0"/>
        <w:spacing w:line="576" w:lineRule="exact"/>
        <w:ind w:firstLine="640" w:firstLineChars="200"/>
        <w:rPr>
          <w:rFonts w:hint="eastAsia" w:ascii="仿宋_GB2312" w:cs="宋体"/>
          <w:color w:val="000000"/>
          <w:kern w:val="0"/>
          <w:szCs w:val="32"/>
          <w:shd w:val="clear" w:color="auto" w:fill="FFFFFF"/>
          <w:lang w:val="zh-CN"/>
        </w:rPr>
      </w:pPr>
      <w:r>
        <w:rPr>
          <w:rFonts w:hint="eastAsia" w:ascii="仿宋_GB2312" w:eastAsia="仿宋_GB2312" w:cs="仿宋_GB2312"/>
          <w:sz w:val="32"/>
          <w:szCs w:val="32"/>
          <w:lang w:eastAsia="zh-CN"/>
        </w:rPr>
        <w:t>9.</w:t>
      </w:r>
      <w:r>
        <w:rPr>
          <w:rFonts w:hint="eastAsia" w:eastAsia="仿宋_GB2312"/>
          <w:bCs/>
          <w:sz w:val="32"/>
          <w:szCs w:val="32"/>
          <w:lang w:eastAsia="zh-CN"/>
        </w:rPr>
        <w:t>指导推动政法系统党的建设和政法队伍建设，协同县级有关职能部门管理监督政法领导干部。</w:t>
      </w:r>
    </w:p>
    <w:p>
      <w:pPr>
        <w:pStyle w:val="53"/>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eastAsia="楷体_GB2312"/>
          <w:b/>
          <w:lang w:val="en-US" w:eastAsia="zh-CN"/>
        </w:rPr>
      </w:pPr>
      <w:r>
        <w:rPr>
          <w:rFonts w:hint="eastAsia" w:ascii="楷体_GB2312" w:eastAsia="楷体_GB2312"/>
          <w:b/>
          <w:lang w:val="en-US" w:eastAsia="zh-CN"/>
        </w:rPr>
        <w:t>（二）目标任务</w:t>
      </w:r>
    </w:p>
    <w:p>
      <w:pPr>
        <w:pStyle w:val="53"/>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eastAsia="仿宋_GB2312"/>
          <w:bCs/>
          <w:sz w:val="32"/>
          <w:szCs w:val="32"/>
        </w:rPr>
      </w:pPr>
      <w:r>
        <w:rPr>
          <w:rFonts w:hint="eastAsia" w:ascii="仿宋_GB2312" w:eastAsia="仿宋_GB2312" w:cs="楷体_GB2312"/>
          <w:kern w:val="2"/>
          <w:sz w:val="32"/>
          <w:szCs w:val="32"/>
          <w:lang w:val="en-US" w:eastAsia="zh-CN" w:bidi="ar-SA"/>
        </w:rPr>
        <w:t>1.</w:t>
      </w:r>
      <w:r>
        <w:rPr>
          <w:rFonts w:hint="eastAsia" w:eastAsia="仿宋_GB2312"/>
          <w:bCs/>
          <w:sz w:val="32"/>
          <w:szCs w:val="32"/>
        </w:rPr>
        <w:t>指导全县政法系统加强国家政治安全战略研究，分析研判政治安全形势，提出工作建议和意见。</w:t>
      </w:r>
    </w:p>
    <w:p>
      <w:pPr>
        <w:pStyle w:val="53"/>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eastAsia="仿宋_GB2312" w:cs="楷体_GB2312"/>
          <w:kern w:val="2"/>
          <w:sz w:val="32"/>
          <w:szCs w:val="32"/>
          <w:lang w:eastAsia="zh-CN" w:bidi="ar-SA"/>
        </w:rPr>
      </w:pPr>
      <w:r>
        <w:rPr>
          <w:rFonts w:hint="eastAsia" w:ascii="仿宋_GB2312" w:eastAsia="仿宋_GB2312" w:cs="楷体_GB2312"/>
          <w:kern w:val="2"/>
          <w:sz w:val="32"/>
          <w:szCs w:val="32"/>
          <w:lang w:val="en-US" w:eastAsia="zh-CN" w:bidi="ar-SA"/>
        </w:rPr>
        <w:t>2.</w:t>
      </w:r>
      <w:r>
        <w:rPr>
          <w:rFonts w:hint="eastAsia" w:eastAsia="仿宋_GB2312"/>
          <w:bCs/>
          <w:sz w:val="32"/>
          <w:szCs w:val="32"/>
        </w:rPr>
        <w:t>指导协调各乡镇、各部门推进扫黑除恶、社会治安重点地区和突出治安问题排查整治、社会治安防控体系建设。协调推动重点领域、行业、物品安全管理</w:t>
      </w:r>
      <w:r>
        <w:rPr>
          <w:rFonts w:hint="eastAsia" w:ascii="仿宋_GB2312" w:eastAsia="仿宋_GB2312" w:cs="楷体_GB2312"/>
          <w:kern w:val="2"/>
          <w:sz w:val="32"/>
          <w:szCs w:val="32"/>
          <w:lang w:eastAsia="zh-CN" w:bidi="ar-SA"/>
        </w:rPr>
        <w:t>。</w:t>
      </w:r>
    </w:p>
    <w:p>
      <w:pPr>
        <w:pStyle w:val="53"/>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eastAsia="仿宋_GB2312" w:cs="楷体_GB2312"/>
          <w:kern w:val="2"/>
          <w:sz w:val="32"/>
          <w:szCs w:val="32"/>
          <w:lang w:eastAsia="zh-CN" w:bidi="ar-SA"/>
        </w:rPr>
      </w:pPr>
      <w:r>
        <w:rPr>
          <w:rFonts w:hint="eastAsia" w:ascii="仿宋_GB2312" w:eastAsia="仿宋_GB2312" w:cs="楷体_GB2312"/>
          <w:kern w:val="2"/>
          <w:sz w:val="32"/>
          <w:szCs w:val="32"/>
          <w:lang w:val="en-US" w:eastAsia="zh-CN" w:bidi="ar-SA"/>
        </w:rPr>
        <w:t>3.</w:t>
      </w:r>
      <w:r>
        <w:rPr>
          <w:rFonts w:hint="eastAsia" w:eastAsia="仿宋_GB2312"/>
          <w:bCs/>
          <w:sz w:val="32"/>
          <w:szCs w:val="32"/>
        </w:rPr>
        <w:t>指导推动全县政法系统党的建设和政法队伍建设，推动政法队伍纪律作风建设和廉政建设，负责组织开展机关和所属单位及政法队伍教育培训工作。指导政法系统人才队伍建设</w:t>
      </w:r>
      <w:r>
        <w:rPr>
          <w:rFonts w:hint="eastAsia" w:ascii="仿宋_GB2312" w:eastAsia="仿宋_GB2312" w:cs="楷体_GB2312"/>
          <w:kern w:val="2"/>
          <w:sz w:val="32"/>
          <w:szCs w:val="32"/>
          <w:lang w:eastAsia="zh-CN" w:bidi="ar-SA"/>
        </w:rPr>
        <w:t>。</w:t>
      </w:r>
    </w:p>
    <w:p>
      <w:pPr>
        <w:pStyle w:val="53"/>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eastAsia="仿宋_GB2312" w:cs="楷体_GB2312"/>
          <w:kern w:val="2"/>
          <w:sz w:val="32"/>
          <w:szCs w:val="32"/>
          <w:lang w:val="en-US" w:eastAsia="zh-CN" w:bidi="ar-SA"/>
        </w:rPr>
      </w:pPr>
      <w:r>
        <w:rPr>
          <w:rFonts w:hint="eastAsia" w:ascii="仿宋_GB2312" w:eastAsia="仿宋_GB2312" w:cs="楷体_GB2312"/>
          <w:kern w:val="2"/>
          <w:sz w:val="32"/>
          <w:szCs w:val="32"/>
          <w:lang w:val="en-US" w:eastAsia="zh-CN" w:bidi="ar-SA"/>
        </w:rPr>
        <w:t>4.继续做好县委县政府交办的各项工作。</w:t>
      </w:r>
    </w:p>
    <w:p>
      <w:pPr>
        <w:pStyle w:val="53"/>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olor w:val="auto"/>
          <w:highlight w:val="none"/>
          <w:lang w:val="en-US" w:eastAsia="zh-CN"/>
        </w:rPr>
      </w:pPr>
      <w:r>
        <w:rPr>
          <w:rFonts w:hint="eastAsia" w:ascii="黑体" w:eastAsia="黑体"/>
          <w:color w:val="auto"/>
          <w:highlight w:val="none"/>
        </w:rPr>
        <w:t>二、</w:t>
      </w:r>
      <w:r>
        <w:rPr>
          <w:rFonts w:hint="eastAsia" w:ascii="黑体" w:eastAsia="黑体"/>
          <w:color w:val="auto"/>
          <w:highlight w:val="none"/>
          <w:lang w:val="en-US" w:eastAsia="zh-CN"/>
        </w:rPr>
        <w:t>预算执行情况</w:t>
      </w:r>
    </w:p>
    <w:p>
      <w:pPr>
        <w:pStyle w:val="7"/>
        <w:pageBreakBefore w:val="0"/>
        <w:widowControl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393.32</w:t>
      </w:r>
      <w:r>
        <w:rPr>
          <w:rFonts w:ascii="仿宋" w:hAnsi="仿宋" w:eastAsia="仿宋"/>
          <w:color w:val="000000"/>
          <w:sz w:val="32"/>
          <w:szCs w:val="32"/>
        </w:rPr>
        <w:t>万元，其中：基本支出</w:t>
      </w:r>
      <w:r>
        <w:rPr>
          <w:rFonts w:hint="eastAsia" w:ascii="仿宋" w:hAnsi="仿宋" w:eastAsia="仿宋"/>
          <w:color w:val="000000"/>
          <w:sz w:val="32"/>
          <w:szCs w:val="32"/>
        </w:rPr>
        <w:t>329.59</w:t>
      </w:r>
      <w:r>
        <w:rPr>
          <w:rFonts w:ascii="仿宋" w:hAnsi="仿宋" w:eastAsia="仿宋"/>
          <w:color w:val="000000"/>
          <w:sz w:val="32"/>
          <w:szCs w:val="32"/>
        </w:rPr>
        <w:t>万元，占</w:t>
      </w:r>
      <w:r>
        <w:rPr>
          <w:rFonts w:hint="eastAsia" w:ascii="仿宋" w:hAnsi="仿宋" w:eastAsia="仿宋"/>
          <w:color w:val="000000"/>
          <w:sz w:val="32"/>
          <w:szCs w:val="32"/>
        </w:rPr>
        <w:t>83.80</w:t>
      </w:r>
      <w:r>
        <w:rPr>
          <w:rFonts w:ascii="仿宋" w:hAnsi="仿宋" w:eastAsia="仿宋"/>
          <w:color w:val="000000"/>
          <w:sz w:val="32"/>
          <w:szCs w:val="32"/>
        </w:rPr>
        <w:t>%；项目支出</w:t>
      </w:r>
      <w:r>
        <w:rPr>
          <w:rFonts w:hint="eastAsia" w:ascii="仿宋" w:hAnsi="仿宋" w:eastAsia="仿宋"/>
          <w:color w:val="000000"/>
          <w:sz w:val="32"/>
          <w:szCs w:val="32"/>
        </w:rPr>
        <w:t>63.73</w:t>
      </w:r>
      <w:r>
        <w:rPr>
          <w:rFonts w:ascii="仿宋" w:hAnsi="仿宋" w:eastAsia="仿宋"/>
          <w:color w:val="000000"/>
          <w:sz w:val="32"/>
          <w:szCs w:val="32"/>
        </w:rPr>
        <w:t>万元，占</w:t>
      </w:r>
      <w:r>
        <w:rPr>
          <w:rFonts w:hint="eastAsia" w:ascii="仿宋" w:hAnsi="仿宋" w:eastAsia="仿宋"/>
          <w:color w:val="000000"/>
          <w:sz w:val="32"/>
          <w:szCs w:val="32"/>
        </w:rPr>
        <w:t>16.20</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%；经营支出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%；对附属单位补助支出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w:t>
      </w:r>
    </w:p>
    <w:p>
      <w:pPr>
        <w:pStyle w:val="53"/>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eastAsia="黑体" w:cs="黑体"/>
          <w:kern w:val="2"/>
          <w:sz w:val="32"/>
          <w:szCs w:val="32"/>
          <w:lang w:val="en-US" w:eastAsia="zh-CN" w:bidi="ar-SA"/>
        </w:rPr>
      </w:pPr>
      <w:r>
        <w:rPr>
          <w:rFonts w:hint="eastAsia" w:ascii="黑体" w:eastAsia="黑体" w:cs="黑体"/>
          <w:kern w:val="2"/>
          <w:sz w:val="32"/>
          <w:szCs w:val="32"/>
          <w:lang w:val="en-US" w:eastAsia="zh-CN" w:bidi="ar-SA"/>
        </w:rPr>
        <w:t>三、目标实现情况</w:t>
      </w:r>
    </w:p>
    <w:p>
      <w:pPr>
        <w:pStyle w:val="7"/>
        <w:pageBreakBefore w:val="0"/>
        <w:widowControl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393.32</w:t>
      </w:r>
      <w:r>
        <w:rPr>
          <w:rFonts w:ascii="仿宋" w:hAnsi="仿宋" w:eastAsia="仿宋"/>
          <w:color w:val="000000"/>
          <w:sz w:val="32"/>
          <w:szCs w:val="32"/>
        </w:rPr>
        <w:t>万元，其中：基本支出</w:t>
      </w:r>
      <w:r>
        <w:rPr>
          <w:rFonts w:hint="eastAsia" w:ascii="仿宋" w:hAnsi="仿宋" w:eastAsia="仿宋"/>
          <w:color w:val="000000"/>
          <w:sz w:val="32"/>
          <w:szCs w:val="32"/>
        </w:rPr>
        <w:t>329.59</w:t>
      </w:r>
      <w:r>
        <w:rPr>
          <w:rFonts w:ascii="仿宋" w:hAnsi="仿宋" w:eastAsia="仿宋"/>
          <w:color w:val="000000"/>
          <w:sz w:val="32"/>
          <w:szCs w:val="32"/>
        </w:rPr>
        <w:t>万元，占</w:t>
      </w:r>
      <w:r>
        <w:rPr>
          <w:rFonts w:hint="eastAsia" w:ascii="仿宋" w:hAnsi="仿宋" w:eastAsia="仿宋"/>
          <w:color w:val="000000"/>
          <w:sz w:val="32"/>
          <w:szCs w:val="32"/>
        </w:rPr>
        <w:t>83.80</w:t>
      </w:r>
      <w:r>
        <w:rPr>
          <w:rFonts w:ascii="仿宋" w:hAnsi="仿宋" w:eastAsia="仿宋"/>
          <w:color w:val="000000"/>
          <w:sz w:val="32"/>
          <w:szCs w:val="32"/>
        </w:rPr>
        <w:t>%；项目支出</w:t>
      </w:r>
      <w:r>
        <w:rPr>
          <w:rFonts w:hint="eastAsia" w:ascii="仿宋" w:hAnsi="仿宋" w:eastAsia="仿宋"/>
          <w:color w:val="000000"/>
          <w:sz w:val="32"/>
          <w:szCs w:val="32"/>
        </w:rPr>
        <w:t>63.73</w:t>
      </w:r>
      <w:r>
        <w:rPr>
          <w:rFonts w:ascii="仿宋" w:hAnsi="仿宋" w:eastAsia="仿宋"/>
          <w:color w:val="000000"/>
          <w:sz w:val="32"/>
          <w:szCs w:val="32"/>
        </w:rPr>
        <w:t>万元，占</w:t>
      </w:r>
      <w:r>
        <w:rPr>
          <w:rFonts w:hint="eastAsia" w:ascii="仿宋" w:hAnsi="仿宋" w:eastAsia="仿宋"/>
          <w:color w:val="000000"/>
          <w:sz w:val="32"/>
          <w:szCs w:val="32"/>
        </w:rPr>
        <w:t>16.20</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%；经营支出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%；对附属单位补助支出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w:t>
      </w:r>
    </w:p>
    <w:p>
      <w:pPr>
        <w:pStyle w:val="53"/>
        <w:keepNext w:val="0"/>
        <w:keepLines w:val="0"/>
        <w:pageBreakBefore w:val="0"/>
        <w:widowControl w:val="0"/>
        <w:kinsoku/>
        <w:wordWrap/>
        <w:overflowPunct/>
        <w:topLinePunct w:val="0"/>
        <w:autoSpaceDE/>
        <w:autoSpaceDN/>
        <w:bidi w:val="0"/>
        <w:spacing w:line="576" w:lineRule="exact"/>
        <w:ind w:firstLine="640" w:firstLineChars="200"/>
        <w:rPr>
          <w:rFonts w:hint="eastAsia" w:ascii="黑体" w:eastAsia="黑体" w:cs="Times New Roman"/>
          <w:lang w:val="en-US" w:eastAsia="zh-CN"/>
        </w:rPr>
      </w:pPr>
      <w:r>
        <w:rPr>
          <w:rFonts w:hint="eastAsia" w:ascii="黑体" w:eastAsia="黑体" w:cs="Times New Roman"/>
          <w:lang w:val="en-US" w:eastAsia="zh-CN"/>
        </w:rPr>
        <w:t>四、存在的主要问题</w:t>
      </w:r>
    </w:p>
    <w:p>
      <w:pPr>
        <w:pStyle w:val="53"/>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outlineLvl w:val="9"/>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部门支出预算和绩效评价工作还存在一些具体问题，一是单位对部门支出绩效评价工作的认识理解不够，年初预设的绩效指标不合适、指标较粗；二是公共管理无法用量化指标来进行考评；三是单位在预算编制时经济科目使用不当，造成预算执行时存在跨科目执行的情况。</w:t>
      </w:r>
    </w:p>
    <w:p>
      <w:pPr>
        <w:pStyle w:val="53"/>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outlineLvl w:val="9"/>
        <w:rPr>
          <w:rFonts w:hint="eastAsia" w:ascii="黑体" w:eastAsia="黑体"/>
          <w:color w:val="auto"/>
          <w:szCs w:val="21"/>
          <w:highlight w:val="none"/>
          <w:lang w:eastAsia="zh-CN"/>
        </w:rPr>
      </w:pPr>
      <w:r>
        <w:rPr>
          <w:rFonts w:hint="eastAsia" w:ascii="仿宋_GB2312"/>
          <w:kern w:val="0"/>
          <w:sz w:val="32"/>
          <w:szCs w:val="32"/>
          <w:lang w:val="en-US" w:eastAsia="zh-CN"/>
        </w:rPr>
        <w:t xml:space="preserve">    </w:t>
      </w:r>
      <w:r>
        <w:rPr>
          <w:rFonts w:hint="eastAsia" w:ascii="黑体" w:eastAsia="黑体"/>
          <w:color w:val="auto"/>
          <w:szCs w:val="21"/>
          <w:highlight w:val="none"/>
          <w:lang w:val="en-US" w:eastAsia="zh-CN"/>
        </w:rPr>
        <w:t>五</w:t>
      </w:r>
      <w:r>
        <w:rPr>
          <w:rFonts w:hint="eastAsia" w:ascii="黑体" w:eastAsia="黑体"/>
          <w:color w:val="auto"/>
          <w:szCs w:val="21"/>
          <w:highlight w:val="none"/>
        </w:rPr>
        <w:t>、</w:t>
      </w:r>
      <w:r>
        <w:rPr>
          <w:rFonts w:hint="eastAsia" w:ascii="黑体" w:eastAsia="黑体"/>
          <w:color w:val="auto"/>
          <w:szCs w:val="21"/>
          <w:highlight w:val="none"/>
          <w:lang w:val="en-US" w:eastAsia="zh-CN"/>
        </w:rPr>
        <w:t>整改措施及建议</w:t>
      </w:r>
    </w:p>
    <w:p>
      <w:pPr>
        <w:pStyle w:val="53"/>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黑体" w:eastAsia="黑体"/>
          <w:sz w:val="30"/>
          <w:szCs w:val="30"/>
        </w:rPr>
      </w:pPr>
      <w:r>
        <w:rPr>
          <w:rFonts w:hint="eastAsia" w:ascii="仿宋_GB2312" w:eastAsia="仿宋_GB2312" w:cs="仿宋_GB2312"/>
          <w:kern w:val="0"/>
          <w:sz w:val="32"/>
          <w:szCs w:val="32"/>
        </w:rPr>
        <w:t>绩效评价是深入贯彻落实新《预算法》要求的各项重要内容，建议财政加强对绩效评价工作的培训和指导，进一步优化绩效考核指标体系，做到合理性与可操作性的有机统一。</w:t>
      </w:r>
    </w:p>
    <w:p>
      <w:pPr>
        <w:pStyle w:val="69"/>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eastAsia="仿宋_GB2312"/>
          <w:color w:val="000000"/>
          <w:sz w:val="32"/>
          <w:szCs w:val="32"/>
          <w:shd w:val="clear" w:color="auto" w:fill="FFFFFF"/>
        </w:rPr>
      </w:pPr>
    </w:p>
    <w:p>
      <w:pPr>
        <w:pStyle w:val="69"/>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eastAsia="仿宋_GB2312"/>
          <w:color w:val="000000"/>
          <w:sz w:val="32"/>
          <w:szCs w:val="32"/>
          <w:shd w:val="clear" w:color="auto" w:fill="FFFFFF"/>
        </w:rPr>
      </w:pPr>
    </w:p>
    <w:p>
      <w:pPr>
        <w:pStyle w:val="69"/>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eastAsia="仿宋_GB2312"/>
          <w:color w:val="000000"/>
          <w:sz w:val="32"/>
          <w:szCs w:val="32"/>
          <w:shd w:val="clear" w:color="auto" w:fill="FFFFFF"/>
        </w:rPr>
      </w:pPr>
    </w:p>
    <w:p>
      <w:pPr>
        <w:pStyle w:val="69"/>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eastAsia="仿宋_GB2312"/>
          <w:color w:val="000000"/>
          <w:sz w:val="32"/>
          <w:szCs w:val="32"/>
          <w:shd w:val="clear" w:color="auto" w:fill="FFFFFF"/>
        </w:rPr>
      </w:pPr>
    </w:p>
    <w:p>
      <w:pPr>
        <w:pStyle w:val="69"/>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eastAsia="仿宋_GB2312"/>
          <w:color w:val="000000"/>
          <w:sz w:val="32"/>
          <w:szCs w:val="32"/>
          <w:shd w:val="clear" w:color="auto" w:fill="FFFFFF"/>
        </w:rPr>
      </w:pPr>
    </w:p>
    <w:p>
      <w:pPr>
        <w:pStyle w:val="69"/>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eastAsia="仿宋_GB2312"/>
          <w:color w:val="000000"/>
          <w:sz w:val="32"/>
          <w:szCs w:val="32"/>
          <w:shd w:val="clear" w:color="auto" w:fill="FFFFFF"/>
        </w:rPr>
      </w:pPr>
    </w:p>
    <w:p>
      <w:pPr>
        <w:spacing w:line="600" w:lineRule="exact"/>
        <w:jc w:val="center"/>
        <w:outlineLvl w:val="0"/>
        <w:rPr>
          <w:rStyle w:val="70"/>
          <w:rFonts w:ascii="黑体" w:eastAsia="黑体"/>
          <w:b w:val="0"/>
        </w:rPr>
      </w:pPr>
      <w:bookmarkStart w:id="74" w:name="_Toc79163885"/>
      <w:bookmarkStart w:id="75" w:name="_Toc79163635"/>
      <w:bookmarkStart w:id="76" w:name="_Toc111208512"/>
      <w:r>
        <w:rPr>
          <w:rFonts w:hint="eastAsia" w:ascii="仿宋_GB2312" w:eastAsia="仿宋_GB2312"/>
          <w:color w:val="000000"/>
          <w:sz w:val="32"/>
          <w:szCs w:val="32"/>
          <w:shd w:val="clear" w:color="auto" w:fill="FFFFFF"/>
          <w:lang w:val="en-US" w:eastAsia="zh-CN"/>
        </w:rPr>
        <w:t xml:space="preserve"> </w:t>
      </w:r>
      <w:bookmarkEnd w:id="74"/>
      <w:bookmarkEnd w:id="75"/>
      <w:bookmarkEnd w:id="76"/>
      <w:bookmarkStart w:id="77" w:name="_Toc15396618"/>
      <w:bookmarkStart w:id="78" w:name="_Toc26109"/>
      <w:r>
        <w:rPr>
          <w:rFonts w:hint="eastAsia" w:ascii="黑体" w:eastAsia="黑体"/>
          <w:color w:val="000000"/>
          <w:sz w:val="44"/>
          <w:szCs w:val="44"/>
        </w:rPr>
        <w:t>第</w:t>
      </w:r>
      <w:r>
        <w:rPr>
          <w:rStyle w:val="70"/>
          <w:rFonts w:hint="eastAsia" w:ascii="黑体" w:eastAsia="黑体"/>
          <w:b w:val="0"/>
        </w:rPr>
        <w:t>五部分</w:t>
      </w:r>
      <w:r>
        <w:rPr>
          <w:rStyle w:val="70"/>
          <w:rFonts w:ascii="黑体" w:eastAsia="黑体"/>
          <w:b w:val="0"/>
        </w:rPr>
        <w:t xml:space="preserve"> </w:t>
      </w:r>
      <w:r>
        <w:rPr>
          <w:rStyle w:val="70"/>
          <w:rFonts w:hint="eastAsia" w:ascii="黑体" w:eastAsia="黑体"/>
          <w:b w:val="0"/>
        </w:rPr>
        <w:t>附表</w:t>
      </w:r>
      <w:bookmarkEnd w:id="77"/>
      <w:bookmarkEnd w:id="78"/>
    </w:p>
    <w:p>
      <w:pPr>
        <w:pStyle w:val="5"/>
        <w:rPr>
          <w:rFonts w:ascii="仿宋" w:eastAsia="仿宋"/>
          <w:color w:val="000000"/>
        </w:rPr>
      </w:pPr>
      <w:bookmarkStart w:id="79" w:name="_Toc79163886"/>
      <w:bookmarkStart w:id="80" w:name="_Toc15396619"/>
      <w:bookmarkStart w:id="81" w:name="_Toc79163636"/>
      <w:bookmarkStart w:id="82" w:name="_Toc5226"/>
      <w:r>
        <w:rPr>
          <w:rFonts w:hint="eastAsia" w:ascii="仿宋" w:eastAsia="仿宋"/>
          <w:b w:val="0"/>
          <w:color w:val="000000"/>
        </w:rPr>
        <w:t>一、收</w:t>
      </w:r>
      <w:r>
        <w:rPr>
          <w:rStyle w:val="71"/>
          <w:rFonts w:hint="eastAsia" w:ascii="仿宋" w:eastAsia="仿宋"/>
          <w:b w:val="0"/>
          <w:bCs w:val="0"/>
        </w:rPr>
        <w:t>入支出决算总表</w:t>
      </w:r>
      <w:bookmarkEnd w:id="79"/>
      <w:bookmarkEnd w:id="80"/>
      <w:bookmarkEnd w:id="81"/>
      <w:bookmarkEnd w:id="82"/>
    </w:p>
    <w:p>
      <w:pPr>
        <w:pStyle w:val="5"/>
        <w:rPr>
          <w:rFonts w:ascii="仿宋" w:eastAsia="仿宋"/>
          <w:color w:val="000000"/>
        </w:rPr>
      </w:pPr>
      <w:bookmarkStart w:id="83" w:name="_Toc15396620"/>
      <w:bookmarkStart w:id="84" w:name="_Toc79163887"/>
      <w:bookmarkStart w:id="85" w:name="_Toc79163637"/>
      <w:bookmarkStart w:id="86" w:name="_Toc23037"/>
      <w:r>
        <w:rPr>
          <w:rFonts w:hint="eastAsia" w:ascii="仿宋" w:eastAsia="仿宋"/>
          <w:b w:val="0"/>
          <w:color w:val="000000"/>
        </w:rPr>
        <w:t>二、收</w:t>
      </w:r>
      <w:r>
        <w:rPr>
          <w:rStyle w:val="71"/>
          <w:rFonts w:hint="eastAsia" w:ascii="仿宋" w:eastAsia="仿宋"/>
          <w:b w:val="0"/>
          <w:bCs w:val="0"/>
        </w:rPr>
        <w:t>入决算表</w:t>
      </w:r>
      <w:bookmarkEnd w:id="83"/>
      <w:bookmarkEnd w:id="84"/>
      <w:bookmarkEnd w:id="85"/>
      <w:bookmarkEnd w:id="86"/>
    </w:p>
    <w:p>
      <w:pPr>
        <w:pStyle w:val="5"/>
        <w:rPr>
          <w:rFonts w:ascii="仿宋" w:eastAsia="仿宋"/>
          <w:color w:val="000000"/>
        </w:rPr>
      </w:pPr>
      <w:bookmarkStart w:id="87" w:name="_Toc79163888"/>
      <w:bookmarkStart w:id="88" w:name="_Toc15396621"/>
      <w:bookmarkStart w:id="89" w:name="_Toc79163638"/>
      <w:bookmarkStart w:id="90" w:name="_Toc5028"/>
      <w:r>
        <w:rPr>
          <w:rStyle w:val="71"/>
          <w:rFonts w:hint="eastAsia" w:ascii="仿宋" w:eastAsia="仿宋"/>
          <w:b w:val="0"/>
          <w:bCs w:val="0"/>
        </w:rPr>
        <w:t>三、</w:t>
      </w:r>
      <w:r>
        <w:rPr>
          <w:rFonts w:hint="eastAsia" w:ascii="仿宋" w:eastAsia="仿宋"/>
          <w:b w:val="0"/>
          <w:color w:val="000000"/>
        </w:rPr>
        <w:t>支</w:t>
      </w:r>
      <w:r>
        <w:rPr>
          <w:rStyle w:val="71"/>
          <w:rFonts w:hint="eastAsia" w:ascii="仿宋" w:eastAsia="仿宋"/>
          <w:b w:val="0"/>
          <w:bCs w:val="0"/>
        </w:rPr>
        <w:t>出决算表</w:t>
      </w:r>
      <w:bookmarkEnd w:id="87"/>
      <w:bookmarkEnd w:id="88"/>
      <w:bookmarkEnd w:id="89"/>
      <w:bookmarkEnd w:id="90"/>
    </w:p>
    <w:p>
      <w:pPr>
        <w:pStyle w:val="5"/>
        <w:rPr>
          <w:rFonts w:ascii="仿宋" w:eastAsia="仿宋"/>
          <w:b w:val="0"/>
          <w:color w:val="000000"/>
        </w:rPr>
      </w:pPr>
      <w:bookmarkStart w:id="91" w:name="_Toc15396622"/>
      <w:bookmarkStart w:id="92" w:name="_Toc79163639"/>
      <w:bookmarkStart w:id="93" w:name="_Toc79163889"/>
      <w:bookmarkStart w:id="94" w:name="_Toc4285"/>
      <w:r>
        <w:rPr>
          <w:rStyle w:val="71"/>
          <w:rFonts w:hint="eastAsia" w:ascii="仿宋" w:eastAsia="仿宋"/>
          <w:b w:val="0"/>
          <w:bCs w:val="0"/>
        </w:rPr>
        <w:t>四、</w:t>
      </w:r>
      <w:r>
        <w:rPr>
          <w:rFonts w:hint="eastAsia" w:ascii="仿宋" w:eastAsia="仿宋"/>
          <w:b w:val="0"/>
          <w:color w:val="000000"/>
        </w:rPr>
        <w:t>财</w:t>
      </w:r>
      <w:r>
        <w:rPr>
          <w:rStyle w:val="71"/>
          <w:rFonts w:hint="eastAsia" w:ascii="仿宋" w:eastAsia="仿宋"/>
          <w:b w:val="0"/>
          <w:bCs w:val="0"/>
        </w:rPr>
        <w:t>政拨款收入支出决算总表</w:t>
      </w:r>
      <w:bookmarkEnd w:id="91"/>
      <w:bookmarkEnd w:id="92"/>
      <w:bookmarkEnd w:id="93"/>
      <w:bookmarkEnd w:id="94"/>
    </w:p>
    <w:p>
      <w:pPr>
        <w:pStyle w:val="5"/>
        <w:rPr>
          <w:rStyle w:val="71"/>
          <w:rFonts w:ascii="仿宋" w:eastAsia="仿宋"/>
          <w:b w:val="0"/>
          <w:bCs w:val="0"/>
        </w:rPr>
      </w:pPr>
      <w:bookmarkStart w:id="95" w:name="_Toc79163890"/>
      <w:bookmarkStart w:id="96" w:name="_Toc79163640"/>
      <w:bookmarkStart w:id="97" w:name="_Toc15396623"/>
      <w:bookmarkStart w:id="98" w:name="_Toc32695"/>
      <w:r>
        <w:rPr>
          <w:rStyle w:val="71"/>
          <w:rFonts w:hint="eastAsia" w:ascii="仿宋" w:eastAsia="仿宋"/>
          <w:b w:val="0"/>
          <w:bCs w:val="0"/>
        </w:rPr>
        <w:t>五、</w:t>
      </w:r>
      <w:r>
        <w:rPr>
          <w:rFonts w:hint="eastAsia" w:ascii="仿宋" w:eastAsia="仿宋"/>
          <w:b w:val="0"/>
          <w:color w:val="000000"/>
        </w:rPr>
        <w:t>财</w:t>
      </w:r>
      <w:r>
        <w:rPr>
          <w:rStyle w:val="71"/>
          <w:rFonts w:hint="eastAsia" w:ascii="仿宋" w:eastAsia="仿宋"/>
          <w:b w:val="0"/>
          <w:bCs w:val="0"/>
        </w:rPr>
        <w:t>政拨款支出决算明细表</w:t>
      </w:r>
      <w:bookmarkEnd w:id="95"/>
      <w:bookmarkEnd w:id="96"/>
      <w:bookmarkEnd w:id="97"/>
      <w:bookmarkEnd w:id="98"/>
      <w:bookmarkStart w:id="99" w:name="_Toc15396624"/>
    </w:p>
    <w:p>
      <w:pPr>
        <w:pStyle w:val="5"/>
        <w:rPr>
          <w:rFonts w:ascii="仿宋" w:eastAsia="仿宋"/>
          <w:color w:val="000000"/>
        </w:rPr>
      </w:pPr>
      <w:bookmarkStart w:id="100" w:name="_Toc79163891"/>
      <w:bookmarkStart w:id="101" w:name="_Toc79163641"/>
      <w:bookmarkStart w:id="102" w:name="_Toc4779"/>
      <w:r>
        <w:rPr>
          <w:rStyle w:val="71"/>
          <w:rFonts w:hint="eastAsia" w:ascii="仿宋" w:eastAsia="仿宋"/>
          <w:b w:val="0"/>
          <w:bCs w:val="0"/>
        </w:rPr>
        <w:t>六、</w:t>
      </w:r>
      <w:r>
        <w:rPr>
          <w:rFonts w:hint="eastAsia" w:ascii="仿宋" w:eastAsia="仿宋"/>
          <w:b w:val="0"/>
          <w:color w:val="000000"/>
        </w:rPr>
        <w:t>一</w:t>
      </w:r>
      <w:r>
        <w:rPr>
          <w:rStyle w:val="71"/>
          <w:rFonts w:hint="eastAsia" w:ascii="仿宋" w:eastAsia="仿宋"/>
          <w:b w:val="0"/>
          <w:bCs w:val="0"/>
        </w:rPr>
        <w:t>般公共预算财政拨款支出决算表</w:t>
      </w:r>
      <w:bookmarkEnd w:id="99"/>
      <w:bookmarkEnd w:id="100"/>
      <w:bookmarkEnd w:id="101"/>
      <w:bookmarkEnd w:id="102"/>
    </w:p>
    <w:p>
      <w:pPr>
        <w:pStyle w:val="5"/>
        <w:rPr>
          <w:rFonts w:ascii="仿宋" w:eastAsia="仿宋"/>
          <w:color w:val="000000"/>
        </w:rPr>
      </w:pPr>
      <w:bookmarkStart w:id="103" w:name="_Toc79163892"/>
      <w:bookmarkStart w:id="104" w:name="_Toc15396625"/>
      <w:bookmarkStart w:id="105" w:name="_Toc79163642"/>
      <w:bookmarkStart w:id="106" w:name="_Toc16923"/>
      <w:r>
        <w:rPr>
          <w:rStyle w:val="71"/>
          <w:rFonts w:hint="eastAsia" w:ascii="仿宋" w:eastAsia="仿宋"/>
          <w:b w:val="0"/>
          <w:bCs w:val="0"/>
        </w:rPr>
        <w:t>七、</w:t>
      </w:r>
      <w:r>
        <w:rPr>
          <w:rFonts w:hint="eastAsia" w:ascii="仿宋" w:eastAsia="仿宋"/>
          <w:b w:val="0"/>
          <w:color w:val="000000"/>
        </w:rPr>
        <w:t>一</w:t>
      </w:r>
      <w:r>
        <w:rPr>
          <w:rStyle w:val="71"/>
          <w:rFonts w:hint="eastAsia" w:ascii="仿宋" w:eastAsia="仿宋"/>
          <w:b w:val="0"/>
          <w:bCs w:val="0"/>
        </w:rPr>
        <w:t>般公共预算财政拨款支出决算明细表</w:t>
      </w:r>
      <w:bookmarkEnd w:id="103"/>
      <w:bookmarkEnd w:id="104"/>
      <w:bookmarkEnd w:id="105"/>
      <w:bookmarkEnd w:id="106"/>
    </w:p>
    <w:p>
      <w:pPr>
        <w:pStyle w:val="5"/>
        <w:rPr>
          <w:rFonts w:ascii="仿宋" w:eastAsia="仿宋"/>
          <w:color w:val="000000"/>
        </w:rPr>
      </w:pPr>
      <w:bookmarkStart w:id="107" w:name="_Toc79163643"/>
      <w:bookmarkStart w:id="108" w:name="_Toc15396626"/>
      <w:bookmarkStart w:id="109" w:name="_Toc79163893"/>
      <w:bookmarkStart w:id="110" w:name="_Toc8982"/>
      <w:r>
        <w:rPr>
          <w:rStyle w:val="71"/>
          <w:rFonts w:hint="eastAsia" w:ascii="仿宋" w:eastAsia="仿宋"/>
          <w:b w:val="0"/>
          <w:bCs w:val="0"/>
        </w:rPr>
        <w:t>八、</w:t>
      </w:r>
      <w:r>
        <w:rPr>
          <w:rFonts w:hint="eastAsia" w:ascii="仿宋" w:eastAsia="仿宋"/>
          <w:b w:val="0"/>
          <w:color w:val="000000"/>
        </w:rPr>
        <w:t>一</w:t>
      </w:r>
      <w:r>
        <w:rPr>
          <w:rStyle w:val="71"/>
          <w:rFonts w:hint="eastAsia" w:ascii="仿宋" w:eastAsia="仿宋"/>
          <w:b w:val="0"/>
          <w:bCs w:val="0"/>
        </w:rPr>
        <w:t>般公共预算财政拨款基本支出决算表</w:t>
      </w:r>
      <w:bookmarkEnd w:id="107"/>
      <w:bookmarkEnd w:id="108"/>
      <w:bookmarkEnd w:id="109"/>
      <w:bookmarkEnd w:id="110"/>
    </w:p>
    <w:p>
      <w:pPr>
        <w:pStyle w:val="5"/>
        <w:rPr>
          <w:rFonts w:ascii="仿宋" w:eastAsia="仿宋"/>
          <w:color w:val="000000"/>
        </w:rPr>
      </w:pPr>
      <w:bookmarkStart w:id="111" w:name="_Toc79163644"/>
      <w:bookmarkStart w:id="112" w:name="_Toc15396627"/>
      <w:bookmarkStart w:id="113" w:name="_Toc79163894"/>
      <w:bookmarkStart w:id="114" w:name="_Toc31154"/>
      <w:r>
        <w:rPr>
          <w:rStyle w:val="71"/>
          <w:rFonts w:hint="eastAsia" w:ascii="仿宋" w:eastAsia="仿宋"/>
          <w:b w:val="0"/>
          <w:bCs w:val="0"/>
        </w:rPr>
        <w:t>九、</w:t>
      </w:r>
      <w:r>
        <w:rPr>
          <w:rFonts w:hint="eastAsia" w:ascii="仿宋" w:eastAsia="仿宋"/>
          <w:b w:val="0"/>
          <w:color w:val="000000"/>
        </w:rPr>
        <w:t>一</w:t>
      </w:r>
      <w:r>
        <w:rPr>
          <w:rStyle w:val="71"/>
          <w:rFonts w:hint="eastAsia" w:ascii="仿宋" w:eastAsia="仿宋"/>
          <w:b w:val="0"/>
          <w:bCs w:val="0"/>
        </w:rPr>
        <w:t>般公共预算财政拨款项目支出决算表</w:t>
      </w:r>
      <w:bookmarkEnd w:id="111"/>
      <w:bookmarkEnd w:id="112"/>
      <w:bookmarkEnd w:id="113"/>
      <w:bookmarkEnd w:id="114"/>
    </w:p>
    <w:p>
      <w:pPr>
        <w:pStyle w:val="5"/>
        <w:rPr>
          <w:rFonts w:ascii="仿宋" w:eastAsia="仿宋"/>
          <w:color w:val="000000"/>
        </w:rPr>
      </w:pPr>
      <w:bookmarkStart w:id="115" w:name="_Toc15396628"/>
      <w:bookmarkStart w:id="116" w:name="_Toc79163645"/>
      <w:bookmarkStart w:id="117" w:name="_Toc79163895"/>
      <w:bookmarkStart w:id="118" w:name="_Toc29412"/>
      <w:r>
        <w:rPr>
          <w:rStyle w:val="71"/>
          <w:rFonts w:hint="eastAsia" w:ascii="仿宋" w:eastAsia="仿宋"/>
          <w:b w:val="0"/>
          <w:bCs w:val="0"/>
        </w:rPr>
        <w:t>十、</w:t>
      </w:r>
      <w:r>
        <w:rPr>
          <w:rFonts w:hint="eastAsia" w:ascii="仿宋" w:eastAsia="仿宋"/>
          <w:b w:val="0"/>
          <w:color w:val="000000"/>
        </w:rPr>
        <w:t>一</w:t>
      </w:r>
      <w:r>
        <w:rPr>
          <w:rStyle w:val="71"/>
          <w:rFonts w:hint="eastAsia" w:ascii="仿宋" w:eastAsia="仿宋"/>
          <w:b w:val="0"/>
          <w:bCs w:val="0"/>
        </w:rPr>
        <w:t>般公共预算财政拨款“三公”经费支出决算表</w:t>
      </w:r>
      <w:bookmarkEnd w:id="115"/>
      <w:bookmarkEnd w:id="116"/>
      <w:bookmarkEnd w:id="117"/>
      <w:bookmarkEnd w:id="118"/>
    </w:p>
    <w:p>
      <w:pPr>
        <w:pStyle w:val="5"/>
        <w:rPr>
          <w:rFonts w:ascii="仿宋" w:eastAsia="仿宋"/>
          <w:color w:val="000000"/>
        </w:rPr>
      </w:pPr>
      <w:bookmarkStart w:id="119" w:name="_Toc15396629"/>
      <w:bookmarkStart w:id="120" w:name="_Toc79163896"/>
      <w:bookmarkStart w:id="121" w:name="_Toc79163646"/>
      <w:bookmarkStart w:id="122" w:name="_Toc4912"/>
      <w:r>
        <w:rPr>
          <w:rStyle w:val="71"/>
          <w:rFonts w:hint="eastAsia" w:ascii="仿宋" w:eastAsia="仿宋"/>
          <w:b w:val="0"/>
          <w:bCs w:val="0"/>
        </w:rPr>
        <w:t>十一、</w:t>
      </w:r>
      <w:r>
        <w:rPr>
          <w:rFonts w:hint="eastAsia" w:ascii="仿宋" w:eastAsia="仿宋"/>
          <w:b w:val="0"/>
          <w:color w:val="000000"/>
        </w:rPr>
        <w:t>政</w:t>
      </w:r>
      <w:r>
        <w:rPr>
          <w:rStyle w:val="71"/>
          <w:rFonts w:hint="eastAsia" w:ascii="仿宋" w:eastAsia="仿宋"/>
          <w:b w:val="0"/>
          <w:bCs w:val="0"/>
        </w:rPr>
        <w:t>府性基金预算财政拨款收入支出决算表</w:t>
      </w:r>
      <w:bookmarkEnd w:id="119"/>
      <w:bookmarkEnd w:id="120"/>
      <w:bookmarkEnd w:id="121"/>
      <w:bookmarkEnd w:id="122"/>
    </w:p>
    <w:p>
      <w:pPr>
        <w:pStyle w:val="5"/>
        <w:rPr>
          <w:rFonts w:ascii="仿宋" w:eastAsia="仿宋"/>
          <w:color w:val="000000"/>
        </w:rPr>
      </w:pPr>
      <w:bookmarkStart w:id="123" w:name="_Toc15396630"/>
      <w:bookmarkStart w:id="124" w:name="_Toc79163647"/>
      <w:bookmarkStart w:id="125" w:name="_Toc79163897"/>
      <w:bookmarkStart w:id="126" w:name="_Toc17872"/>
      <w:r>
        <w:rPr>
          <w:rStyle w:val="71"/>
          <w:rFonts w:hint="eastAsia" w:ascii="仿宋" w:eastAsia="仿宋"/>
          <w:b w:val="0"/>
          <w:bCs w:val="0"/>
        </w:rPr>
        <w:t>十二、</w:t>
      </w:r>
      <w:r>
        <w:rPr>
          <w:rFonts w:hint="eastAsia" w:ascii="仿宋" w:eastAsia="仿宋"/>
          <w:b w:val="0"/>
          <w:color w:val="000000"/>
        </w:rPr>
        <w:t>政</w:t>
      </w:r>
      <w:r>
        <w:rPr>
          <w:rStyle w:val="71"/>
          <w:rFonts w:hint="eastAsia" w:ascii="仿宋" w:eastAsia="仿宋"/>
          <w:b w:val="0"/>
          <w:bCs w:val="0"/>
        </w:rPr>
        <w:t>府性基金预算财政拨款“三公”经费支出决算表</w:t>
      </w:r>
      <w:bookmarkEnd w:id="123"/>
      <w:bookmarkEnd w:id="124"/>
      <w:bookmarkEnd w:id="125"/>
      <w:bookmarkEnd w:id="126"/>
    </w:p>
    <w:p>
      <w:pPr>
        <w:pStyle w:val="5"/>
        <w:rPr>
          <w:rStyle w:val="71"/>
          <w:rFonts w:ascii="仿宋" w:eastAsia="仿宋"/>
          <w:b w:val="0"/>
          <w:bCs w:val="0"/>
        </w:rPr>
      </w:pPr>
      <w:bookmarkStart w:id="127" w:name="_Toc79163898"/>
      <w:bookmarkStart w:id="128" w:name="_Toc79163648"/>
      <w:bookmarkStart w:id="129" w:name="_Toc15396631"/>
      <w:bookmarkStart w:id="130" w:name="_Toc3541"/>
      <w:r>
        <w:rPr>
          <w:rStyle w:val="71"/>
          <w:rFonts w:hint="eastAsia" w:ascii="仿宋" w:eastAsia="仿宋"/>
          <w:b w:val="0"/>
          <w:bCs w:val="0"/>
        </w:rPr>
        <w:t>十三、</w:t>
      </w:r>
      <w:r>
        <w:rPr>
          <w:rFonts w:hint="eastAsia" w:ascii="仿宋" w:eastAsia="仿宋"/>
          <w:b w:val="0"/>
          <w:color w:val="000000"/>
        </w:rPr>
        <w:t>国</w:t>
      </w:r>
      <w:r>
        <w:rPr>
          <w:rStyle w:val="71"/>
          <w:rFonts w:hint="eastAsia" w:ascii="仿宋" w:eastAsia="仿宋"/>
          <w:b w:val="0"/>
          <w:bCs w:val="0"/>
        </w:rPr>
        <w:t>有资本经营预算财政拨款支出决算表</w:t>
      </w:r>
      <w:bookmarkEnd w:id="127"/>
      <w:bookmarkEnd w:id="128"/>
      <w:bookmarkEnd w:id="129"/>
      <w:bookmarkEnd w:id="130"/>
    </w:p>
    <w:p>
      <w:pPr>
        <w:pStyle w:val="5"/>
        <w:rPr>
          <w:rStyle w:val="71"/>
          <w:rFonts w:ascii="仿宋" w:eastAsia="仿宋"/>
          <w:b w:val="0"/>
          <w:bCs w:val="0"/>
        </w:rPr>
      </w:pPr>
      <w:bookmarkStart w:id="131" w:name="_Toc79163649"/>
      <w:bookmarkStart w:id="132" w:name="_Toc79163899"/>
      <w:bookmarkStart w:id="133" w:name="_Toc1738"/>
      <w:r>
        <w:rPr>
          <w:rStyle w:val="71"/>
          <w:rFonts w:hint="eastAsia" w:ascii="仿宋" w:eastAsia="仿宋"/>
          <w:b w:val="0"/>
          <w:bCs w:val="0"/>
        </w:rPr>
        <w:t>十四、国有资本经营预算财政拨款支出决算表</w:t>
      </w:r>
      <w:bookmarkEnd w:id="131"/>
      <w:bookmarkEnd w:id="132"/>
      <w:bookmarkEnd w:id="133"/>
    </w:p>
    <w:p>
      <w:pPr>
        <w:pStyle w:val="5"/>
        <w:ind w:firstLine="640" w:firstLineChars="200"/>
        <w:rPr>
          <w:rFonts w:ascii="黑体" w:eastAsia="黑体" w:cs="Times New Roman"/>
          <w:b w:val="0"/>
          <w:color w:val="00000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0000000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E791EC"/>
    <w:multiLevelType w:val="singleLevel"/>
    <w:tmpl w:val="88E791EC"/>
    <w:lvl w:ilvl="0" w:tentative="0">
      <w:start w:val="2"/>
      <w:numFmt w:val="chineseCounting"/>
      <w:suff w:val="nothing"/>
      <w:lvlText w:val="（%1）"/>
      <w:lvlJc w:val="left"/>
      <w:rPr>
        <w:rFonts w:hint="eastAsia"/>
      </w:rPr>
    </w:lvl>
  </w:abstractNum>
  <w:abstractNum w:abstractNumId="1">
    <w:nsid w:val="A0DC1795"/>
    <w:multiLevelType w:val="singleLevel"/>
    <w:tmpl w:val="A0DC1795"/>
    <w:lvl w:ilvl="0" w:tentative="0">
      <w:start w:val="4"/>
      <w:numFmt w:val="chineseCounting"/>
      <w:suff w:val="nothing"/>
      <w:lvlText w:val="（%1）"/>
      <w:lvlJc w:val="left"/>
      <w:rPr>
        <w:rFonts w:hint="eastAsia"/>
      </w:rPr>
    </w:lvl>
  </w:abstractNum>
  <w:abstractNum w:abstractNumId="2">
    <w:nsid w:val="B4E3B0F2"/>
    <w:multiLevelType w:val="singleLevel"/>
    <w:tmpl w:val="B4E3B0F2"/>
    <w:lvl w:ilvl="0" w:tentative="0">
      <w:start w:val="3"/>
      <w:numFmt w:val="chineseCounting"/>
      <w:suff w:val="nothing"/>
      <w:lvlText w:val="（%1）"/>
      <w:lvlJc w:val="left"/>
      <w:rPr>
        <w:rFonts w:hint="eastAsia"/>
      </w:rPr>
    </w:lvl>
  </w:abstractNum>
  <w:abstractNum w:abstractNumId="3">
    <w:nsid w:val="DFCA1686"/>
    <w:multiLevelType w:val="singleLevel"/>
    <w:tmpl w:val="DFCA1686"/>
    <w:lvl w:ilvl="0" w:tentative="0">
      <w:start w:val="2"/>
      <w:numFmt w:val="chineseCounting"/>
      <w:suff w:val="nothing"/>
      <w:lvlText w:val="（%1）"/>
      <w:lvlJc w:val="left"/>
      <w:rPr>
        <w:rFonts w:hint="eastAsia"/>
      </w:rPr>
    </w:lvl>
  </w:abstractNum>
  <w:abstractNum w:abstractNumId="4">
    <w:nsid w:val="77839D28"/>
    <w:multiLevelType w:val="singleLevel"/>
    <w:tmpl w:val="77839D28"/>
    <w:lvl w:ilvl="0" w:tentative="0">
      <w:start w:val="3"/>
      <w:numFmt w:val="chineseCounting"/>
      <w:suff w:val="nothing"/>
      <w:lvlText w:val="%1、"/>
      <w:lvlJc w:val="left"/>
      <w:rPr>
        <w:rFonts w:hint="eastAsia"/>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VjNTFhNjZhYzViNzIyMmI2MTkwNTYxZGJjNjI4ZTg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951176"/>
    <w:rsid w:val="07001BE1"/>
    <w:rsid w:val="07267DE7"/>
    <w:rsid w:val="089C4B49"/>
    <w:rsid w:val="09081517"/>
    <w:rsid w:val="091B747D"/>
    <w:rsid w:val="0A19737C"/>
    <w:rsid w:val="0A560D27"/>
    <w:rsid w:val="0B7218AA"/>
    <w:rsid w:val="0B99373B"/>
    <w:rsid w:val="0BA37CB5"/>
    <w:rsid w:val="0D0429D6"/>
    <w:rsid w:val="0D093B48"/>
    <w:rsid w:val="0D322E51"/>
    <w:rsid w:val="0D6C338E"/>
    <w:rsid w:val="0DB37F58"/>
    <w:rsid w:val="0F5E6610"/>
    <w:rsid w:val="10C055FF"/>
    <w:rsid w:val="11D56DF6"/>
    <w:rsid w:val="11ED6591"/>
    <w:rsid w:val="13367661"/>
    <w:rsid w:val="16BB723D"/>
    <w:rsid w:val="17BC7656"/>
    <w:rsid w:val="17EA348C"/>
    <w:rsid w:val="1840212F"/>
    <w:rsid w:val="19943114"/>
    <w:rsid w:val="1AB026BC"/>
    <w:rsid w:val="1ABB32B6"/>
    <w:rsid w:val="1BF70747"/>
    <w:rsid w:val="1C06153F"/>
    <w:rsid w:val="1C8431EB"/>
    <w:rsid w:val="1C986C96"/>
    <w:rsid w:val="1D3369BF"/>
    <w:rsid w:val="1D7371C3"/>
    <w:rsid w:val="1DDC2BB3"/>
    <w:rsid w:val="1E34479D"/>
    <w:rsid w:val="1EA276DA"/>
    <w:rsid w:val="1EF81F78"/>
    <w:rsid w:val="1F620905"/>
    <w:rsid w:val="201A6AB0"/>
    <w:rsid w:val="203B66A0"/>
    <w:rsid w:val="211A679A"/>
    <w:rsid w:val="23902475"/>
    <w:rsid w:val="240371BF"/>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FD04D3"/>
    <w:rsid w:val="2CAE1BBE"/>
    <w:rsid w:val="2CCF04B2"/>
    <w:rsid w:val="2E4C04E0"/>
    <w:rsid w:val="2F803D16"/>
    <w:rsid w:val="31810DA9"/>
    <w:rsid w:val="31903F88"/>
    <w:rsid w:val="319F7F4E"/>
    <w:rsid w:val="329448A6"/>
    <w:rsid w:val="32F45598"/>
    <w:rsid w:val="35244754"/>
    <w:rsid w:val="364D41F6"/>
    <w:rsid w:val="36FD0156"/>
    <w:rsid w:val="38F8371D"/>
    <w:rsid w:val="39226F5F"/>
    <w:rsid w:val="39902098"/>
    <w:rsid w:val="3A3A0F35"/>
    <w:rsid w:val="3A4E1148"/>
    <w:rsid w:val="3C8D2F9D"/>
    <w:rsid w:val="3CE0510E"/>
    <w:rsid w:val="3D1E4B3E"/>
    <w:rsid w:val="3E03620E"/>
    <w:rsid w:val="3E343C22"/>
    <w:rsid w:val="3F512FA9"/>
    <w:rsid w:val="3FAC4683"/>
    <w:rsid w:val="3FEA5DFB"/>
    <w:rsid w:val="401C35B7"/>
    <w:rsid w:val="4119235A"/>
    <w:rsid w:val="41677310"/>
    <w:rsid w:val="422C2C46"/>
    <w:rsid w:val="4251506E"/>
    <w:rsid w:val="43684120"/>
    <w:rsid w:val="444F07DA"/>
    <w:rsid w:val="44601E28"/>
    <w:rsid w:val="475E72DC"/>
    <w:rsid w:val="47F514AF"/>
    <w:rsid w:val="482A1628"/>
    <w:rsid w:val="4839282C"/>
    <w:rsid w:val="48FD75BD"/>
    <w:rsid w:val="4A745623"/>
    <w:rsid w:val="4D135D42"/>
    <w:rsid w:val="4D846266"/>
    <w:rsid w:val="4D8D78A2"/>
    <w:rsid w:val="4DF123A8"/>
    <w:rsid w:val="4E832A53"/>
    <w:rsid w:val="4F6F7A34"/>
    <w:rsid w:val="4FD74194"/>
    <w:rsid w:val="4FDA49F5"/>
    <w:rsid w:val="50AE413E"/>
    <w:rsid w:val="51E1640E"/>
    <w:rsid w:val="51EE42CA"/>
    <w:rsid w:val="52302EF2"/>
    <w:rsid w:val="52ED6284"/>
    <w:rsid w:val="5322283B"/>
    <w:rsid w:val="532B0C13"/>
    <w:rsid w:val="53BE2B80"/>
    <w:rsid w:val="53F45486"/>
    <w:rsid w:val="541505F1"/>
    <w:rsid w:val="54992FD0"/>
    <w:rsid w:val="55872E29"/>
    <w:rsid w:val="56D0674C"/>
    <w:rsid w:val="58BA52C3"/>
    <w:rsid w:val="59E11CD3"/>
    <w:rsid w:val="5BE202EA"/>
    <w:rsid w:val="5CFA7F1D"/>
    <w:rsid w:val="5E2506F8"/>
    <w:rsid w:val="5EA316D6"/>
    <w:rsid w:val="5F3A07D2"/>
    <w:rsid w:val="5F593A88"/>
    <w:rsid w:val="60651EAC"/>
    <w:rsid w:val="60BB3927"/>
    <w:rsid w:val="62A42EE2"/>
    <w:rsid w:val="630D013F"/>
    <w:rsid w:val="63347FC4"/>
    <w:rsid w:val="63604CB9"/>
    <w:rsid w:val="64A36D0B"/>
    <w:rsid w:val="64C656C1"/>
    <w:rsid w:val="65DF63C9"/>
    <w:rsid w:val="662A7F2C"/>
    <w:rsid w:val="68DA2DB6"/>
    <w:rsid w:val="69725134"/>
    <w:rsid w:val="6B2334E9"/>
    <w:rsid w:val="6B4666B6"/>
    <w:rsid w:val="6CC85DA9"/>
    <w:rsid w:val="6D8F2D6B"/>
    <w:rsid w:val="6DC31436"/>
    <w:rsid w:val="6ECB49CF"/>
    <w:rsid w:val="6ECB5A2B"/>
    <w:rsid w:val="70202A42"/>
    <w:rsid w:val="72227D09"/>
    <w:rsid w:val="72E476B5"/>
    <w:rsid w:val="73BE3A62"/>
    <w:rsid w:val="746C7E4B"/>
    <w:rsid w:val="750E6C6B"/>
    <w:rsid w:val="755E374E"/>
    <w:rsid w:val="76377F56"/>
    <w:rsid w:val="764B35A7"/>
    <w:rsid w:val="7795727A"/>
    <w:rsid w:val="78A4106B"/>
    <w:rsid w:val="79975481"/>
    <w:rsid w:val="7A1B4027"/>
    <w:rsid w:val="7A965738"/>
    <w:rsid w:val="7ABC1C9C"/>
    <w:rsid w:val="7B022DCE"/>
    <w:rsid w:val="7B272834"/>
    <w:rsid w:val="7B8F71DF"/>
    <w:rsid w:val="7CB2612E"/>
    <w:rsid w:val="7CC25607"/>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7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tabs>
        <w:tab w:val="left" w:pos="960"/>
      </w:tabs>
      <w:ind w:firstLine="420" w:firstLineChars="200"/>
    </w:pPr>
  </w:style>
  <w:style w:type="paragraph" w:styleId="3">
    <w:name w:val="Body Text Indent"/>
    <w:basedOn w:val="1"/>
    <w:next w:val="2"/>
    <w:qFormat/>
    <w:uiPriority w:val="99"/>
    <w:pPr>
      <w:tabs>
        <w:tab w:val="left" w:pos="960"/>
      </w:tabs>
      <w:spacing w:line="540" w:lineRule="exact"/>
      <w:ind w:firstLine="5440" w:firstLineChars="1700"/>
    </w:pPr>
    <w:rPr>
      <w:sz w:val="32"/>
      <w:szCs w:val="32"/>
    </w:rPr>
  </w:style>
  <w:style w:type="paragraph" w:styleId="7">
    <w:name w:val="Normal Indent"/>
    <w:basedOn w:val="1"/>
    <w:unhideWhenUsed/>
    <w:qFormat/>
    <w:uiPriority w:val="99"/>
    <w:pPr>
      <w:ind w:firstLine="680"/>
    </w:pPr>
  </w:style>
  <w:style w:type="paragraph" w:styleId="8">
    <w:name w:val="annotation text"/>
    <w:basedOn w:val="1"/>
    <w:semiHidden/>
    <w:unhideWhenUsed/>
    <w:qFormat/>
    <w:uiPriority w:val="99"/>
    <w:pPr>
      <w:jc w:val="left"/>
    </w:pPr>
  </w:style>
  <w:style w:type="paragraph" w:styleId="9">
    <w:name w:val="Body Text"/>
    <w:basedOn w:val="1"/>
    <w:link w:val="28"/>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semiHidden/>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able of figures"/>
    <w:basedOn w:val="1"/>
    <w:next w:val="1"/>
    <w:qFormat/>
    <w:uiPriority w:val="0"/>
    <w:pPr>
      <w:ind w:left="200" w:leftChars="200" w:hanging="200" w:hangingChars="200"/>
    </w:p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rPr>
  </w:style>
  <w:style w:type="character" w:styleId="21">
    <w:name w:val="annotation reference"/>
    <w:basedOn w:val="18"/>
    <w:semiHidden/>
    <w:unhideWhenUsed/>
    <w:qFormat/>
    <w:uiPriority w:val="99"/>
    <w:rPr>
      <w:sz w:val="21"/>
      <w:szCs w:val="21"/>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3">
    <w:name w:val="Header Char"/>
    <w:basedOn w:val="18"/>
    <w:semiHidden/>
    <w:qFormat/>
    <w:uiPriority w:val="99"/>
    <w:rPr>
      <w:rFonts w:ascii="Times New Roman" w:hAnsi="Times New Roman"/>
      <w:sz w:val="18"/>
      <w:szCs w:val="18"/>
    </w:rPr>
  </w:style>
  <w:style w:type="character" w:customStyle="1" w:styleId="24">
    <w:name w:val="页眉 字符"/>
    <w:link w:val="13"/>
    <w:semiHidden/>
    <w:qFormat/>
    <w:locked/>
    <w:uiPriority w:val="99"/>
    <w:rPr>
      <w:sz w:val="18"/>
    </w:rPr>
  </w:style>
  <w:style w:type="character" w:customStyle="1" w:styleId="25">
    <w:name w:val="Footer Char"/>
    <w:basedOn w:val="18"/>
    <w:semiHidden/>
    <w:qFormat/>
    <w:uiPriority w:val="99"/>
    <w:rPr>
      <w:rFonts w:ascii="Times New Roman" w:hAnsi="Times New Roman"/>
      <w:sz w:val="18"/>
      <w:szCs w:val="18"/>
    </w:rPr>
  </w:style>
  <w:style w:type="character" w:customStyle="1" w:styleId="26">
    <w:name w:val="页脚 字符"/>
    <w:link w:val="12"/>
    <w:qFormat/>
    <w:locked/>
    <w:uiPriority w:val="99"/>
    <w:rPr>
      <w:sz w:val="18"/>
    </w:rPr>
  </w:style>
  <w:style w:type="character" w:customStyle="1" w:styleId="27">
    <w:name w:val="Body Text Char"/>
    <w:basedOn w:val="18"/>
    <w:semiHidden/>
    <w:qFormat/>
    <w:uiPriority w:val="99"/>
    <w:rPr>
      <w:rFonts w:ascii="Times New Roman" w:hAnsi="Times New Roman"/>
      <w:szCs w:val="24"/>
    </w:rPr>
  </w:style>
  <w:style w:type="character" w:customStyle="1" w:styleId="28">
    <w:name w:val="正文文本 字符"/>
    <w:link w:val="9"/>
    <w:qFormat/>
    <w:locked/>
    <w:uiPriority w:val="99"/>
    <w:rPr>
      <w:rFonts w:ascii="仿宋_GB2312" w:hAnsi="Times New Roman" w:eastAsia="仿宋_GB2312"/>
      <w:sz w:val="24"/>
    </w:rPr>
  </w:style>
  <w:style w:type="paragraph" w:styleId="29">
    <w:name w:val="List Paragraph"/>
    <w:basedOn w:val="1"/>
    <w:qFormat/>
    <w:uiPriority w:val="34"/>
    <w:pPr>
      <w:ind w:firstLine="420" w:firstLineChars="200"/>
    </w:pPr>
  </w:style>
  <w:style w:type="character" w:customStyle="1" w:styleId="30">
    <w:name w:val="标题 1 字符"/>
    <w:basedOn w:val="18"/>
    <w:link w:val="4"/>
    <w:qFormat/>
    <w:uiPriority w:val="9"/>
    <w:rPr>
      <w:rFonts w:ascii="Times New Roman" w:hAnsi="Times New Roman"/>
      <w:b/>
      <w:bCs/>
      <w:kern w:val="44"/>
      <w:sz w:val="44"/>
      <w:szCs w:val="44"/>
    </w:rPr>
  </w:style>
  <w:style w:type="character" w:customStyle="1" w:styleId="31">
    <w:name w:val="标题 2 字符"/>
    <w:basedOn w:val="18"/>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批注框文本 字符"/>
    <w:basedOn w:val="18"/>
    <w:link w:val="11"/>
    <w:semiHidden/>
    <w:qFormat/>
    <w:uiPriority w:val="99"/>
    <w:rPr>
      <w:rFonts w:ascii="Times New Roman" w:hAnsi="Times New Roman"/>
      <w:kern w:val="2"/>
      <w:sz w:val="18"/>
      <w:szCs w:val="18"/>
    </w:rPr>
  </w:style>
  <w:style w:type="character" w:customStyle="1" w:styleId="34">
    <w:name w:val="标题 3 字符"/>
    <w:basedOn w:val="18"/>
    <w:link w:val="6"/>
    <w:qFormat/>
    <w:uiPriority w:val="9"/>
    <w:rPr>
      <w:rFonts w:ascii="Times New Roman" w:hAnsi="Times New Roman"/>
      <w:b/>
      <w:bCs/>
      <w:kern w:val="2"/>
      <w:sz w:val="32"/>
      <w:szCs w:val="32"/>
    </w:rPr>
  </w:style>
  <w:style w:type="paragraph" w:customStyle="1" w:styleId="35">
    <w:name w:val="Normala7b42e4d"/>
    <w:next w:val="5"/>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36">
    <w:name w:val="Default Paragraph Font11"/>
    <w:semiHidden/>
    <w:unhideWhenUsed/>
    <w:qFormat/>
    <w:uiPriority w:val="1"/>
  </w:style>
  <w:style w:type="table" w:customStyle="1" w:styleId="37">
    <w:name w:val="Normal Table9"/>
    <w:semiHidden/>
    <w:unhideWhenUsed/>
    <w:qFormat/>
    <w:uiPriority w:val="99"/>
    <w:tblPr>
      <w:tblCellMar>
        <w:top w:w="0" w:type="dxa"/>
        <w:left w:w="108" w:type="dxa"/>
        <w:bottom w:w="0" w:type="dxa"/>
        <w:right w:w="108" w:type="dxa"/>
      </w:tblCellMar>
    </w:tblPr>
  </w:style>
  <w:style w:type="paragraph" w:customStyle="1" w:styleId="38">
    <w:name w:val="Body Text First Indent 208bb49a9"/>
    <w:basedOn w:val="6"/>
    <w:qFormat/>
    <w:uiPriority w:val="0"/>
    <w:pPr>
      <w:tabs>
        <w:tab w:val="left" w:pos="960"/>
      </w:tabs>
      <w:ind w:firstLine="420" w:firstLineChars="200"/>
    </w:pPr>
  </w:style>
  <w:style w:type="paragraph" w:customStyle="1" w:styleId="39">
    <w:name w:val="Body Text Indentf03aef22"/>
    <w:basedOn w:val="35"/>
    <w:next w:val="5"/>
    <w:qFormat/>
    <w:uiPriority w:val="0"/>
    <w:pPr>
      <w:tabs>
        <w:tab w:val="left" w:pos="960"/>
      </w:tabs>
      <w:spacing w:line="540" w:lineRule="exact"/>
      <w:ind w:firstLine="5440" w:firstLineChars="1700"/>
    </w:pPr>
    <w:rPr>
      <w:sz w:val="32"/>
      <w:szCs w:val="32"/>
    </w:rPr>
  </w:style>
  <w:style w:type="paragraph" w:customStyle="1" w:styleId="40">
    <w:name w:val="Document Map4"/>
    <w:basedOn w:val="35"/>
    <w:link w:val="49"/>
    <w:qFormat/>
    <w:uiPriority w:val="0"/>
    <w:rPr>
      <w:rFonts w:ascii="宋体" w:eastAsia="宋体"/>
      <w:sz w:val="18"/>
      <w:szCs w:val="18"/>
    </w:rPr>
  </w:style>
  <w:style w:type="paragraph" w:customStyle="1" w:styleId="41">
    <w:name w:val="Body Text5"/>
    <w:basedOn w:val="35"/>
    <w:qFormat/>
    <w:uiPriority w:val="99"/>
    <w:pPr>
      <w:spacing w:beforeLines="30"/>
    </w:pPr>
    <w:rPr>
      <w:rFonts w:ascii="仿宋_GB2312" w:eastAsia="仿宋_GB2312"/>
      <w:kern w:val="0"/>
      <w:sz w:val="30"/>
    </w:rPr>
  </w:style>
  <w:style w:type="paragraph" w:customStyle="1" w:styleId="42">
    <w:name w:val="Balloon Text6"/>
    <w:basedOn w:val="35"/>
    <w:semiHidden/>
    <w:qFormat/>
    <w:uiPriority w:val="0"/>
    <w:rPr>
      <w:sz w:val="18"/>
      <w:szCs w:val="18"/>
    </w:rPr>
  </w:style>
  <w:style w:type="paragraph" w:customStyle="1" w:styleId="43">
    <w:name w:val="footer7"/>
    <w:basedOn w:val="35"/>
    <w:link w:val="51"/>
    <w:qFormat/>
    <w:uiPriority w:val="99"/>
    <w:pPr>
      <w:tabs>
        <w:tab w:val="center" w:pos="4153"/>
        <w:tab w:val="right" w:pos="8306"/>
      </w:tabs>
      <w:snapToGrid w:val="0"/>
      <w:jc w:val="left"/>
    </w:pPr>
    <w:rPr>
      <w:rFonts w:eastAsia="宋体"/>
      <w:sz w:val="18"/>
      <w:szCs w:val="18"/>
    </w:rPr>
  </w:style>
  <w:style w:type="paragraph" w:customStyle="1" w:styleId="44">
    <w:name w:val="header8"/>
    <w:basedOn w:val="35"/>
    <w:qFormat/>
    <w:uiPriority w:val="0"/>
    <w:pPr>
      <w:pBdr>
        <w:bottom w:val="single" w:color="auto" w:sz="6" w:space="1"/>
      </w:pBdr>
      <w:tabs>
        <w:tab w:val="center" w:pos="4153"/>
        <w:tab w:val="right" w:pos="8306"/>
      </w:tabs>
      <w:snapToGrid w:val="0"/>
      <w:jc w:val="center"/>
    </w:pPr>
    <w:rPr>
      <w:rFonts w:eastAsia="宋体"/>
      <w:sz w:val="18"/>
      <w:szCs w:val="18"/>
    </w:rPr>
  </w:style>
  <w:style w:type="table" w:customStyle="1" w:styleId="45">
    <w:name w:val="Table Grid047ab65b"/>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6">
    <w:name w:val="page number12"/>
    <w:basedOn w:val="36"/>
    <w:qFormat/>
    <w:uiPriority w:val="0"/>
  </w:style>
  <w:style w:type="paragraph" w:customStyle="1" w:styleId="47">
    <w:name w:val="四号正文13"/>
    <w:basedOn w:val="35"/>
    <w:link w:val="48"/>
    <w:qFormat/>
    <w:uiPriority w:val="0"/>
    <w:pPr>
      <w:spacing w:line="360" w:lineRule="auto"/>
    </w:pPr>
    <w:rPr>
      <w:rFonts w:ascii="??" w:hAnsi="??" w:eastAsia="宋体" w:cs="宋体"/>
      <w:color w:val="000000"/>
      <w:kern w:val="0"/>
      <w:sz w:val="28"/>
      <w:szCs w:val="21"/>
    </w:rPr>
  </w:style>
  <w:style w:type="character" w:customStyle="1" w:styleId="48">
    <w:name w:val="四号正文 Char14"/>
    <w:basedOn w:val="36"/>
    <w:link w:val="47"/>
    <w:qFormat/>
    <w:uiPriority w:val="0"/>
    <w:rPr>
      <w:rFonts w:ascii="??" w:hAnsi="??" w:eastAsia="宋体" w:cs="宋体"/>
      <w:color w:val="000000"/>
      <w:sz w:val="28"/>
      <w:szCs w:val="21"/>
      <w:lang w:val="en-US" w:eastAsia="zh-CN" w:bidi="ar-SA"/>
    </w:rPr>
  </w:style>
  <w:style w:type="character" w:customStyle="1" w:styleId="49">
    <w:name w:val="文档结构图 Char15"/>
    <w:basedOn w:val="36"/>
    <w:link w:val="40"/>
    <w:qFormat/>
    <w:uiPriority w:val="0"/>
    <w:rPr>
      <w:rFonts w:ascii="宋体"/>
      <w:kern w:val="2"/>
      <w:sz w:val="18"/>
      <w:szCs w:val="18"/>
    </w:rPr>
  </w:style>
  <w:style w:type="paragraph" w:customStyle="1" w:styleId="50">
    <w:name w:val="a16"/>
    <w:basedOn w:val="35"/>
    <w:qFormat/>
    <w:uiPriority w:val="0"/>
    <w:pPr>
      <w:widowControl/>
      <w:spacing w:before="100" w:beforeAutospacing="1" w:after="100" w:afterAutospacing="1"/>
      <w:jc w:val="left"/>
    </w:pPr>
    <w:rPr>
      <w:rFonts w:ascii="宋体" w:hAnsi="宋体" w:eastAsia="宋体" w:cs="宋体"/>
      <w:kern w:val="0"/>
      <w:sz w:val="24"/>
    </w:rPr>
  </w:style>
  <w:style w:type="character" w:customStyle="1" w:styleId="51">
    <w:name w:val="页脚 Char17"/>
    <w:basedOn w:val="36"/>
    <w:link w:val="43"/>
    <w:qFormat/>
    <w:uiPriority w:val="99"/>
    <w:rPr>
      <w:kern w:val="2"/>
      <w:sz w:val="18"/>
      <w:szCs w:val="18"/>
    </w:rPr>
  </w:style>
  <w:style w:type="character" w:customStyle="1" w:styleId="52">
    <w:name w:val="font3118"/>
    <w:basedOn w:val="36"/>
    <w:qFormat/>
    <w:uiPriority w:val="0"/>
    <w:rPr>
      <w:rFonts w:hint="eastAsia" w:ascii="宋体" w:hAnsi="宋体" w:eastAsia="宋体" w:cs="宋体"/>
      <w:color w:val="000000"/>
      <w:sz w:val="24"/>
      <w:szCs w:val="24"/>
      <w:u w:val="none"/>
    </w:rPr>
  </w:style>
  <w:style w:type="paragraph" w:customStyle="1" w:styleId="53">
    <w:name w:val="Normal0"/>
    <w:next w:val="50"/>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customStyle="1" w:styleId="54">
    <w:name w:val="heading 1443d5228"/>
    <w:basedOn w:val="53"/>
    <w:next w:val="53"/>
    <w:qFormat/>
    <w:uiPriority w:val="0"/>
    <w:pPr>
      <w:keepNext/>
      <w:keepLines/>
      <w:widowControl w:val="0"/>
      <w:spacing w:before="340" w:after="330" w:line="578" w:lineRule="auto"/>
      <w:outlineLvl w:val="0"/>
    </w:pPr>
    <w:rPr>
      <w:b/>
      <w:bCs/>
      <w:kern w:val="44"/>
      <w:sz w:val="44"/>
      <w:szCs w:val="44"/>
    </w:rPr>
  </w:style>
  <w:style w:type="paragraph" w:customStyle="1" w:styleId="55">
    <w:name w:val="heading 2f0cb3346"/>
    <w:basedOn w:val="53"/>
    <w:next w:val="53"/>
    <w:qFormat/>
    <w:uiPriority w:val="0"/>
    <w:pPr>
      <w:keepNext/>
      <w:keepLines/>
      <w:widowControl w:val="0"/>
      <w:spacing w:before="260" w:after="260" w:line="415" w:lineRule="auto"/>
      <w:outlineLvl w:val="1"/>
    </w:pPr>
    <w:rPr>
      <w:rFonts w:ascii="Times New Roman" w:hAnsi="Times New Roman" w:eastAsia="黑体"/>
      <w:b/>
      <w:sz w:val="32"/>
    </w:rPr>
  </w:style>
  <w:style w:type="paragraph" w:customStyle="1" w:styleId="56">
    <w:name w:val="heading 35e346a4c"/>
    <w:basedOn w:val="53"/>
    <w:next w:val="53"/>
    <w:qFormat/>
    <w:uiPriority w:val="0"/>
    <w:pPr>
      <w:keepNext/>
      <w:keepLines/>
      <w:widowControl w:val="0"/>
      <w:spacing w:before="260" w:after="260" w:line="415" w:lineRule="auto"/>
      <w:outlineLvl w:val="2"/>
    </w:pPr>
    <w:rPr>
      <w:b/>
      <w:sz w:val="32"/>
    </w:rPr>
  </w:style>
  <w:style w:type="character" w:customStyle="1" w:styleId="57">
    <w:name w:val="Default Paragraph Font56be654e"/>
    <w:qFormat/>
    <w:uiPriority w:val="0"/>
  </w:style>
  <w:style w:type="paragraph" w:customStyle="1" w:styleId="58">
    <w:name w:val="Body Text Indentb69946f0"/>
    <w:basedOn w:val="53"/>
    <w:next w:val="50"/>
    <w:qFormat/>
    <w:uiPriority w:val="0"/>
    <w:pPr>
      <w:spacing w:line="500" w:lineRule="exact"/>
      <w:ind w:firstLine="240" w:firstLineChars="240"/>
    </w:pPr>
    <w:rPr>
      <w:rFonts w:ascii="仿宋_GB2312"/>
      <w:b/>
      <w:sz w:val="30"/>
      <w:szCs w:val="24"/>
    </w:rPr>
  </w:style>
  <w:style w:type="paragraph" w:customStyle="1" w:styleId="59">
    <w:name w:val="Body Text First Indent 2116dba02"/>
    <w:basedOn w:val="58"/>
    <w:qFormat/>
    <w:uiPriority w:val="0"/>
    <w:pPr>
      <w:keepNext w:val="0"/>
      <w:keepLines w:val="0"/>
      <w:widowControl w:val="0"/>
      <w:suppressLineNumbers w:val="0"/>
      <w:spacing w:before="0" w:beforeAutospacing="0" w:after="120" w:afterAutospacing="0"/>
      <w:ind w:left="200" w:leftChars="200" w:right="0" w:firstLine="200" w:firstLineChars="200"/>
      <w:jc w:val="both"/>
    </w:pPr>
    <w:rPr>
      <w:rFonts w:ascii="Times New Roman" w:hAnsi="Times New Roman" w:eastAsia="宋体" w:cs="Times New Roman"/>
      <w:kern w:val="2"/>
      <w:sz w:val="21"/>
      <w:szCs w:val="24"/>
      <w:lang w:val="en-US" w:eastAsia="zh-CN" w:bidi="ar-SA"/>
    </w:rPr>
  </w:style>
  <w:style w:type="paragraph" w:customStyle="1" w:styleId="60">
    <w:name w:val="footer104fde67"/>
    <w:basedOn w:val="53"/>
    <w:qFormat/>
    <w:uiPriority w:val="0"/>
    <w:pPr>
      <w:tabs>
        <w:tab w:val="center" w:pos="4153"/>
        <w:tab w:val="right" w:pos="8306"/>
      </w:tabs>
      <w:snapToGrid w:val="0"/>
      <w:jc w:val="left"/>
    </w:pPr>
    <w:rPr>
      <w:sz w:val="18"/>
      <w:szCs w:val="18"/>
      <w:lang w:val="zh-CN"/>
    </w:rPr>
  </w:style>
  <w:style w:type="paragraph" w:customStyle="1" w:styleId="61">
    <w:name w:val="Body Textaf9e2784"/>
    <w:basedOn w:val="53"/>
    <w:qFormat/>
    <w:uiPriority w:val="0"/>
    <w:rPr>
      <w:rFonts w:ascii="宋体" w:hAnsi="宋体"/>
      <w:sz w:val="32"/>
    </w:rPr>
  </w:style>
  <w:style w:type="paragraph" w:customStyle="1" w:styleId="62">
    <w:name w:val="header19"/>
    <w:basedOn w:val="53"/>
    <w:qFormat/>
    <w:uiPriority w:val="0"/>
    <w:pPr>
      <w:pBdr>
        <w:bottom w:val="single" w:color="auto" w:sz="6" w:space="1"/>
      </w:pBdr>
      <w:tabs>
        <w:tab w:val="center" w:pos="4153"/>
        <w:tab w:val="right" w:pos="8306"/>
      </w:tabs>
      <w:snapToGrid w:val="0"/>
      <w:jc w:val="center"/>
    </w:pPr>
    <w:rPr>
      <w:sz w:val="18"/>
      <w:szCs w:val="18"/>
      <w:lang w:val="zh-CN"/>
    </w:rPr>
  </w:style>
  <w:style w:type="paragraph" w:customStyle="1" w:styleId="63">
    <w:name w:val="table of figures22713680"/>
    <w:basedOn w:val="53"/>
    <w:next w:val="53"/>
    <w:qFormat/>
    <w:uiPriority w:val="0"/>
    <w:pPr>
      <w:ind w:left="400" w:leftChars="200" w:hanging="200" w:hangingChars="200"/>
    </w:pPr>
    <w:rPr>
      <w:szCs w:val="24"/>
    </w:rPr>
  </w:style>
  <w:style w:type="paragraph" w:customStyle="1" w:styleId="64">
    <w:name w:val="Body Text 221"/>
    <w:basedOn w:val="53"/>
    <w:qFormat/>
    <w:uiPriority w:val="0"/>
    <w:pPr>
      <w:spacing w:after="120" w:line="480" w:lineRule="auto"/>
    </w:pPr>
  </w:style>
  <w:style w:type="paragraph" w:customStyle="1" w:styleId="65">
    <w:name w:val="Normal (Web)22"/>
    <w:basedOn w:val="53"/>
    <w:next w:val="53"/>
    <w:qFormat/>
    <w:uiPriority w:val="0"/>
    <w:pPr>
      <w:widowControl w:val="0"/>
      <w:spacing w:before="100" w:beforeAutospacing="1" w:after="100" w:afterAutospacing="1"/>
    </w:pPr>
    <w:rPr>
      <w:rFonts w:ascii="Times New Roman" w:hAnsi="Times New Roman" w:eastAsia="宋体" w:cs="Times New Roman"/>
      <w:sz w:val="24"/>
      <w:szCs w:val="24"/>
      <w:lang w:val="en-US" w:eastAsia="zh-CN" w:bidi="ar-SA"/>
    </w:rPr>
  </w:style>
  <w:style w:type="paragraph" w:customStyle="1" w:styleId="66">
    <w:name w:val="Title23"/>
    <w:basedOn w:val="53"/>
    <w:qFormat/>
    <w:uiPriority w:val="0"/>
    <w:pPr>
      <w:spacing w:before="240" w:after="60"/>
      <w:jc w:val="center"/>
      <w:outlineLvl w:val="0"/>
    </w:pPr>
    <w:rPr>
      <w:rFonts w:ascii="Arial" w:hAnsi="Arial" w:cs="Arial"/>
      <w:b/>
      <w:bCs/>
      <w:sz w:val="32"/>
      <w:szCs w:val="32"/>
    </w:rPr>
  </w:style>
  <w:style w:type="character" w:customStyle="1" w:styleId="67">
    <w:name w:val="Strong24"/>
    <w:basedOn w:val="57"/>
    <w:qFormat/>
    <w:uiPriority w:val="0"/>
    <w:rPr>
      <w:rFonts w:cs="Times New Roman"/>
      <w:b/>
      <w:bCs/>
    </w:rPr>
  </w:style>
  <w:style w:type="paragraph" w:customStyle="1" w:styleId="68">
    <w:name w:val="四号正文25"/>
    <w:basedOn w:val="53"/>
    <w:qFormat/>
    <w:uiPriority w:val="0"/>
    <w:pPr>
      <w:spacing w:line="360" w:lineRule="auto"/>
    </w:pPr>
    <w:rPr>
      <w:rFonts w:ascii="??" w:hAnsi="??" w:eastAsia="宋体"/>
      <w:color w:val="000000"/>
      <w:kern w:val="0"/>
      <w:sz w:val="28"/>
      <w:szCs w:val="21"/>
      <w:lang w:val="zh-CN"/>
    </w:rPr>
  </w:style>
  <w:style w:type="paragraph" w:customStyle="1" w:styleId="69">
    <w:name w:val="No Spacing26"/>
    <w:qFormat/>
    <w:uiPriority w:val="0"/>
    <w:pPr>
      <w:widowControl w:val="0"/>
      <w:jc w:val="both"/>
    </w:pPr>
    <w:rPr>
      <w:rFonts w:ascii="Calibri" w:hAnsi="Calibri" w:eastAsia="宋体" w:cs="Times New Roman"/>
      <w:kern w:val="2"/>
      <w:sz w:val="21"/>
      <w:szCs w:val="22"/>
      <w:lang w:val="en-US" w:eastAsia="zh-CN" w:bidi="ar-SA"/>
    </w:rPr>
  </w:style>
  <w:style w:type="character" w:customStyle="1" w:styleId="70">
    <w:name w:val="heading 1 Char"/>
    <w:basedOn w:val="18"/>
    <w:link w:val="4"/>
    <w:qFormat/>
    <w:uiPriority w:val="0"/>
    <w:rPr>
      <w:rFonts w:ascii="Times New Roman" w:hAnsi="Times New Roman" w:eastAsia="宋体" w:cs="Times New Roman"/>
      <w:b/>
      <w:bCs/>
      <w:kern w:val="44"/>
      <w:sz w:val="44"/>
      <w:szCs w:val="44"/>
      <w:lang w:val="en-US" w:eastAsia="zh-CN" w:bidi="ar-SA"/>
    </w:rPr>
  </w:style>
  <w:style w:type="character" w:customStyle="1" w:styleId="71">
    <w:name w:val="heading 2 Char"/>
    <w:basedOn w:val="18"/>
    <w:link w:val="5"/>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{388.67,393.32}</c:f>
              <c:numCache>
                <c:formatCode>General</c:formatCode>
                <c:ptCount val="2"/>
                <c:pt idx="0">
                  <c:v>388.67</c:v>
                </c:pt>
                <c:pt idx="1">
                  <c:v>393.32</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{388.67,393.32}</c:f>
              <c:numCache>
                <c:formatCode>General</c:formatCode>
                <c:ptCount val="2"/>
                <c:pt idx="0">
                  <c:v>388.67</c:v>
                </c:pt>
                <c:pt idx="1">
                  <c:v>393.32</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{3583362.9,0,0,0,0,0,0,0}</c:f>
              <c:numCache>
                <c:formatCode>General</c:formatCode>
                <c:ptCount val="8"/>
                <c:pt idx="0">
                  <c:v>3583362.9</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{3295862.9,637316.16,0,0,0}</c:f>
              <c:numCache>
                <c:formatCode>General</c:formatCode>
                <c:ptCount val="5"/>
                <c:pt idx="0">
                  <c:v>3295862.9</c:v>
                </c:pt>
                <c:pt idx="1">
                  <c:v>637316.16</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{388.67,393.32}</c:f>
              <c:numCache>
                <c:formatCode>General</c:formatCode>
                <c:ptCount val="2"/>
                <c:pt idx="0">
                  <c:v>388.67</c:v>
                </c:pt>
                <c:pt idx="1">
                  <c:v>393.32</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{388.67,393.32}</c:f>
              <c:numCache>
                <c:formatCode>General</c:formatCode>
                <c:ptCount val="2"/>
                <c:pt idx="0">
                  <c:v>388.67</c:v>
                </c:pt>
                <c:pt idx="1">
                  <c:v>393.32</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{353.67}</c:f>
              <c:numCache>
                <c:formatCode>General</c:formatCode>
                <c:ptCount val="1"/>
                <c:pt idx="0">
                  <c:v>353.67</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{393.32}</c:f>
              <c:numCache>
                <c:formatCode>General</c:formatCode>
                <c:ptCount val="1"/>
                <c:pt idx="0">
                  <c:v>393.32</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{"公共安全支出","社会保障和就业支出","卫生健康支出","农林水支出","住房保障支出"}</c:f>
              <c:strCache>
                <c:ptCount val="5"/>
                <c:pt idx="0">
                  <c:v>公共安全支出</c:v>
                </c:pt>
                <c:pt idx="1">
                  <c:v>社会保障和就业支出</c:v>
                </c:pt>
                <c:pt idx="2">
                  <c:v>卫生健康支出</c:v>
                </c:pt>
                <c:pt idx="3">
                  <c:v>农林水支出</c:v>
                </c:pt>
                <c:pt idx="4">
                  <c:v>住房保障支出</c:v>
                </c:pt>
              </c:strCache>
            </c:strRef>
          </c:cat>
          <c:val>
            <c:numRef>
              <c:f>{325.18,29.96,15.2,0.33,22.64}</c:f>
              <c:numCache>
                <c:formatCode>General</c:formatCode>
                <c:ptCount val="5"/>
                <c:pt idx="0">
                  <c:v>325.18</c:v>
                </c:pt>
                <c:pt idx="1">
                  <c:v>29.96</c:v>
                </c:pt>
                <c:pt idx="2">
                  <c:v>15.2</c:v>
                </c:pt>
                <c:pt idx="3">
                  <c:v>0.33</c:v>
                </c:pt>
                <c:pt idx="4">
                  <c:v>22.64</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{0,0,0.75}</c:f>
              <c:numCache>
                <c:formatCode>General</c:formatCode>
                <c:ptCount val="3"/>
                <c:pt idx="0">
                  <c:v>0</c:v>
                </c:pt>
                <c:pt idx="1">
                  <c:v>0</c:v>
                </c:pt>
                <c:pt idx="2">
                  <c:v>0.75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9407</Words>
  <Characters>10584</Characters>
  <Lines>51</Lines>
  <Paragraphs>14</Paragraphs>
  <TotalTime>0</TotalTime>
  <ScaleCrop>false</ScaleCrop>
  <LinksUpToDate>false</LinksUpToDate>
  <CharactersWithSpaces>10698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2022-08-17T01:31:00Z</dcterms:created>
  <dc:creator>lgk</dc:creator>
  <cp:lastModifiedBy>王琴</cp:lastModifiedBy>
  <cp:lastPrinted>2022-09-26T03:50:45Z</cp:lastPrinted>
  <dcterms:modified xsi:type="dcterms:W3CDTF">2022-09-26T03:50:48Z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B93CA6F4BEAD4F359769D1203595D585</vt:lpwstr>
  </property>
</Properties>
</file>