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8441"/>
      <w:bookmarkStart w:id="1" w:name="_Toc15377425"/>
      <w:bookmarkStart w:id="2" w:name="_Toc15396597"/>
      <w:bookmarkStart w:id="3" w:name="_Toc15377193"/>
      <w:bookmarkStart w:id="4" w:name="_Toc15396475"/>
      <w:bookmarkStart w:id="5" w:name="_Toc15306267"/>
    </w:p>
    <w:p>
      <w:pPr>
        <w:pStyle w:val="7"/>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96598"/>
      <w:bookmarkStart w:id="7" w:name="_Toc15378442"/>
      <w:bookmarkStart w:id="8" w:name="_Toc15396476"/>
      <w:bookmarkStart w:id="9" w:name="_Toc15377194"/>
      <w:bookmarkStart w:id="10" w:name="_Toc15377426"/>
      <w:bookmarkStart w:id="11" w:name="_Toc15306268"/>
      <w:r>
        <w:rPr>
          <w:rFonts w:asciiTheme="minorEastAsia" w:hAnsiTheme="minorEastAsia" w:eastAsiaTheme="minorEastAsia"/>
          <w:b/>
          <w:sz w:val="72"/>
          <w:szCs w:val="72"/>
        </w:rPr>
        <w:t>阿坝州茂县委员会矛盾纠纷多元化解调解中心</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pStyle w:val="7"/>
        <w:tabs>
          <w:tab w:val="left" w:pos="3600"/>
        </w:tabs>
      </w:pPr>
      <w:r>
        <w:tab/>
      </w:r>
    </w:p>
    <w:p>
      <w:pPr>
        <w:pStyle w:val="7"/>
      </w:pPr>
    </w:p>
    <w:p>
      <w:pPr>
        <w:pStyle w:val="7"/>
      </w:pPr>
    </w:p>
    <w:p>
      <w:pPr>
        <w:pStyle w:val="7"/>
      </w:pPr>
    </w:p>
    <w:p>
      <w:pPr>
        <w:pStyle w:val="7"/>
      </w:pPr>
    </w:p>
    <w:p>
      <w:pPr>
        <w:pStyle w:val="7"/>
      </w:pPr>
    </w:p>
    <w:p>
      <w:pPr>
        <w:pStyle w:val="7"/>
      </w:pPr>
    </w:p>
    <w:p>
      <w:pPr>
        <w:pStyle w:val="7"/>
      </w:pPr>
    </w:p>
    <w:p>
      <w:pPr>
        <w:pStyle w:val="7"/>
      </w:pPr>
    </w:p>
    <w:p>
      <w:pPr>
        <w:pStyle w:val="7"/>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4"/>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_Toc11277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部门概况</w:t>
      </w:r>
      <w:r>
        <w:tab/>
      </w:r>
      <w:r>
        <w:fldChar w:fldCharType="begin"/>
      </w:r>
      <w:r>
        <w:instrText xml:space="preserve"> PAGEREF _Toc11277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_Toc7219 </w:instrText>
      </w:r>
      <w:r>
        <w:rPr>
          <w:smallCaps/>
          <w:szCs w:val="20"/>
        </w:rPr>
        <w:fldChar w:fldCharType="separate"/>
      </w:r>
      <w:r>
        <w:rPr>
          <w:rFonts w:hint="eastAsia" w:ascii="黑体" w:eastAsia="黑体" w:cs="Times New Roman"/>
          <w:bCs w:val="0"/>
        </w:rPr>
        <w:t>一、基本职能及主要工作</w:t>
      </w:r>
      <w:r>
        <w:tab/>
      </w:r>
      <w:r>
        <w:fldChar w:fldCharType="begin"/>
      </w:r>
      <w:r>
        <w:instrText xml:space="preserve"> PAGEREF _Toc7219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_Toc13376 </w:instrText>
      </w:r>
      <w:r>
        <w:rPr>
          <w:smallCaps/>
          <w:szCs w:val="20"/>
        </w:rPr>
        <w:fldChar w:fldCharType="separate"/>
      </w:r>
      <w:r>
        <w:rPr>
          <w:rFonts w:hint="eastAsia"/>
          <w:lang w:eastAsia="zh-CN"/>
        </w:rPr>
        <w:t xml:space="preserve">二、 </w:t>
      </w:r>
      <w:r>
        <w:rPr>
          <w:rFonts w:hint="eastAsia" w:ascii="黑体" w:eastAsia="黑体" w:cs="Times New Roman"/>
          <w:bCs w:val="0"/>
        </w:rPr>
        <w:t>机构设置</w:t>
      </w:r>
      <w:r>
        <w:tab/>
      </w:r>
      <w:r>
        <w:fldChar w:fldCharType="begin"/>
      </w:r>
      <w:r>
        <w:instrText xml:space="preserve"> PAGEREF _Toc13376 \h </w:instrText>
      </w:r>
      <w:r>
        <w:fldChar w:fldCharType="separate"/>
      </w:r>
      <w:r>
        <w:t>3</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_Toc29002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r>
        <w:tab/>
      </w:r>
      <w:r>
        <w:fldChar w:fldCharType="begin"/>
      </w:r>
      <w:r>
        <w:instrText xml:space="preserve"> PAGEREF _Toc29002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_Toc11915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_Toc11915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_Toc19930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_Toc19930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_Toc3623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_Toc3623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_Toc18500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_Toc18500 \h </w:instrText>
      </w:r>
      <w:r>
        <w:fldChar w:fldCharType="separate"/>
      </w:r>
      <w:r>
        <w:t>6</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_Toc26579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_Toc26579 \h </w:instrText>
      </w:r>
      <w:r>
        <w:fldChar w:fldCharType="separate"/>
      </w:r>
      <w:r>
        <w:t>6</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_Toc8865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_Toc8865 \h </w:instrText>
      </w:r>
      <w:r>
        <w:fldChar w:fldCharType="separate"/>
      </w:r>
      <w:r>
        <w:t>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_Toc23607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_Toc23607 \h </w:instrText>
      </w:r>
      <w:r>
        <w:fldChar w:fldCharType="separate"/>
      </w:r>
      <w:r>
        <w:t>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_Toc3622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_Toc3622 \h </w:instrText>
      </w:r>
      <w:r>
        <w:fldChar w:fldCharType="separate"/>
      </w:r>
      <w:r>
        <w:t>11</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_Toc17971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_Toc17971 \h </w:instrText>
      </w:r>
      <w:r>
        <w:fldChar w:fldCharType="separate"/>
      </w:r>
      <w:r>
        <w:t>11</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_Toc13996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_Toc13996 \h </w:instrText>
      </w:r>
      <w:r>
        <w:fldChar w:fldCharType="separate"/>
      </w:r>
      <w:r>
        <w:t>11</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_Toc21715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_Toc21715 \h </w:instrText>
      </w:r>
      <w:r>
        <w:fldChar w:fldCharType="separate"/>
      </w:r>
      <w:r>
        <w:t>12</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_Toc16217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_Toc16217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_Toc13763 </w:instrText>
      </w:r>
      <w:r>
        <w:rPr>
          <w:smallCaps/>
          <w:szCs w:val="20"/>
        </w:rPr>
        <w:fldChar w:fldCharType="separate"/>
      </w:r>
      <w:r>
        <w:rPr>
          <w:rFonts w:hint="eastAsia" w:eastAsia="仿宋_GB2312"/>
          <w:bCs/>
          <w:szCs w:val="32"/>
        </w:rPr>
        <w:t>中共茂县县委领导政法工作的职能部门，为正科级，列县委工作机关序列。县矛盾纠纷多元化解工作领导小组办公室设在县委政法委。</w:t>
      </w:r>
      <w:r>
        <w:tab/>
      </w:r>
      <w:r>
        <w:fldChar w:fldCharType="begin"/>
      </w:r>
      <w:r>
        <w:instrText xml:space="preserve"> PAGEREF _Toc13763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_Toc25028 </w:instrText>
      </w:r>
      <w:r>
        <w:rPr>
          <w:smallCaps/>
          <w:szCs w:val="20"/>
        </w:rPr>
        <w:fldChar w:fldCharType="separate"/>
      </w:r>
      <w:r>
        <w:rPr>
          <w:rFonts w:hint="eastAsia" w:ascii="黑体" w:eastAsia="黑体"/>
          <w:szCs w:val="44"/>
        </w:rPr>
        <w:t>第</w:t>
      </w:r>
      <w:r>
        <w:rPr>
          <w:rFonts w:hint="eastAsia" w:ascii="黑体" w:eastAsia="黑体"/>
        </w:rPr>
        <w:t>五部分</w:t>
      </w:r>
      <w:r>
        <w:rPr>
          <w:rFonts w:ascii="黑体" w:eastAsia="黑体"/>
        </w:rPr>
        <w:t xml:space="preserve"> </w:t>
      </w:r>
      <w:r>
        <w:rPr>
          <w:rFonts w:hint="eastAsia" w:ascii="黑体" w:eastAsia="黑体"/>
        </w:rPr>
        <w:t>附表</w:t>
      </w:r>
      <w:r>
        <w:tab/>
      </w:r>
      <w:r>
        <w:fldChar w:fldCharType="begin"/>
      </w:r>
      <w:r>
        <w:instrText xml:space="preserve"> PAGEREF _Toc25028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_Toc23666 </w:instrText>
      </w:r>
      <w:r>
        <w:rPr>
          <w:smallCaps/>
          <w:szCs w:val="20"/>
        </w:rP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_Toc23666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_Toc11018 </w:instrText>
      </w:r>
      <w:r>
        <w:rPr>
          <w:smallCaps/>
          <w:szCs w:val="20"/>
        </w:rP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_Toc11018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_Toc4937 </w:instrText>
      </w:r>
      <w:r>
        <w:rPr>
          <w:smallCaps/>
          <w:szCs w:val="20"/>
        </w:rP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_Toc4937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_Toc28329 </w:instrText>
      </w:r>
      <w:r>
        <w:rPr>
          <w:smallCaps/>
          <w:szCs w:val="20"/>
        </w:rP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_Toc28329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_Toc12192 </w:instrText>
      </w:r>
      <w:r>
        <w:rPr>
          <w:smallCaps/>
          <w:szCs w:val="20"/>
        </w:rP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_Toc12192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_Toc1314 </w:instrText>
      </w:r>
      <w:r>
        <w:rPr>
          <w:smallCaps/>
          <w:szCs w:val="20"/>
        </w:rP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_Toc1314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_Toc18009 </w:instrText>
      </w:r>
      <w:r>
        <w:rPr>
          <w:smallCaps/>
          <w:szCs w:val="20"/>
        </w:rP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_Toc18009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_Toc23722 </w:instrText>
      </w:r>
      <w:r>
        <w:rPr>
          <w:smallCaps/>
          <w:szCs w:val="20"/>
        </w:rP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_Toc23722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_Toc28230 </w:instrText>
      </w:r>
      <w:r>
        <w:rPr>
          <w:smallCaps/>
          <w:szCs w:val="20"/>
        </w:rP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_Toc28230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_Toc21625 </w:instrText>
      </w:r>
      <w:r>
        <w:rPr>
          <w:smallCaps/>
          <w:szCs w:val="20"/>
        </w:rPr>
        <w:fldChar w:fldCharType="separate"/>
      </w:r>
      <w:r>
        <w:rPr>
          <w:rFonts w:hint="eastAsia" w:ascii="仿宋" w:eastAsia="仿宋"/>
          <w:bCs w:val="0"/>
        </w:rPr>
        <w:t>十、</w:t>
      </w:r>
      <w:r>
        <w:rPr>
          <w:rFonts w:hint="eastAsia" w:ascii="仿宋" w:eastAsia="仿宋"/>
        </w:rPr>
        <w:t>一</w:t>
      </w:r>
      <w:r>
        <w:rPr>
          <w:rFonts w:hint="eastAsia" w:ascii="仿宋" w:eastAsia="仿宋"/>
          <w:bCs w:val="0"/>
        </w:rPr>
        <w:t>般公共预算财政拨款“三公”经费支出决算表</w:t>
      </w:r>
      <w:r>
        <w:tab/>
      </w:r>
      <w:r>
        <w:fldChar w:fldCharType="begin"/>
      </w:r>
      <w:r>
        <w:instrText xml:space="preserve"> PAGEREF _Toc21625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_Toc18113 </w:instrText>
      </w:r>
      <w:r>
        <w:rPr>
          <w:smallCaps/>
          <w:szCs w:val="20"/>
        </w:rPr>
        <w:fldChar w:fldCharType="separate"/>
      </w:r>
      <w:r>
        <w:rPr>
          <w:rFonts w:hint="eastAsia" w:ascii="仿宋" w:eastAsia="仿宋"/>
          <w:bCs w:val="0"/>
        </w:rPr>
        <w:t>十一、</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_Toc18113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_Toc24436 </w:instrText>
      </w:r>
      <w:r>
        <w:rPr>
          <w:smallCaps/>
          <w:szCs w:val="20"/>
        </w:rPr>
        <w:fldChar w:fldCharType="separate"/>
      </w:r>
      <w:r>
        <w:rPr>
          <w:rFonts w:hint="eastAsia" w:ascii="仿宋" w:eastAsia="仿宋"/>
          <w:bCs w:val="0"/>
        </w:rPr>
        <w:t>十二、</w:t>
      </w:r>
      <w:r>
        <w:rPr>
          <w:rFonts w:hint="eastAsia" w:ascii="仿宋" w:eastAsia="仿宋"/>
        </w:rPr>
        <w:t>政</w:t>
      </w:r>
      <w:r>
        <w:rPr>
          <w:rFonts w:hint="eastAsia" w:ascii="仿宋" w:eastAsia="仿宋"/>
          <w:bCs w:val="0"/>
        </w:rPr>
        <w:t>府性基金预算财政拨款“三公”经费支出决算表</w:t>
      </w:r>
      <w:r>
        <w:tab/>
      </w:r>
      <w:r>
        <w:fldChar w:fldCharType="begin"/>
      </w:r>
      <w:r>
        <w:instrText xml:space="preserve"> PAGEREF _Toc24436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_Toc27690 </w:instrText>
      </w:r>
      <w:r>
        <w:rPr>
          <w:smallCaps/>
          <w:szCs w:val="20"/>
        </w:rPr>
        <w:fldChar w:fldCharType="separate"/>
      </w:r>
      <w:r>
        <w:rPr>
          <w:rFonts w:hint="eastAsia" w:ascii="仿宋" w:eastAsia="仿宋"/>
          <w:bCs w:val="0"/>
        </w:rPr>
        <w:t>十三、</w:t>
      </w:r>
      <w:r>
        <w:rPr>
          <w:rFonts w:hint="eastAsia" w:ascii="仿宋" w:eastAsia="仿宋"/>
        </w:rPr>
        <w:t>国</w:t>
      </w:r>
      <w:r>
        <w:rPr>
          <w:rFonts w:hint="eastAsia" w:ascii="仿宋" w:eastAsia="仿宋"/>
          <w:bCs w:val="0"/>
        </w:rPr>
        <w:t>有资本经营预算财政拨款支出决算表</w:t>
      </w:r>
      <w:r>
        <w:tab/>
      </w:r>
      <w:r>
        <w:fldChar w:fldCharType="begin"/>
      </w:r>
      <w:r>
        <w:instrText xml:space="preserve"> PAGEREF _Toc27690 \h </w:instrText>
      </w:r>
      <w:r>
        <w:fldChar w:fldCharType="separate"/>
      </w:r>
      <w:r>
        <w:t>19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_Toc4422 </w:instrText>
      </w:r>
      <w:r>
        <w:rPr>
          <w:smallCaps/>
          <w:szCs w:val="20"/>
        </w:rPr>
        <w:fldChar w:fldCharType="separate"/>
      </w:r>
      <w:r>
        <w:rPr>
          <w:rFonts w:hint="eastAsia" w:ascii="仿宋" w:eastAsia="仿宋"/>
          <w:bCs w:val="0"/>
        </w:rPr>
        <w:t>十四、国有资本经营预算财政拨款支出决算表</w:t>
      </w:r>
      <w:r>
        <w:tab/>
      </w:r>
      <w:r>
        <w:fldChar w:fldCharType="begin"/>
      </w:r>
      <w:r>
        <w:instrText xml:space="preserve"> PAGEREF _Toc4422 \h </w:instrText>
      </w:r>
      <w:r>
        <w:fldChar w:fldCharType="separate"/>
      </w:r>
      <w:r>
        <w:t>19</w:t>
      </w:r>
      <w:r>
        <w:fldChar w:fldCharType="end"/>
      </w:r>
      <w:r>
        <w:rPr>
          <w:smallCaps/>
          <w:szCs w:val="20"/>
        </w:rPr>
        <w:fldChar w:fldCharType="end"/>
      </w:r>
    </w:p>
    <w:p>
      <w:pPr>
        <w:pStyle w:val="7"/>
      </w:pPr>
      <w:r>
        <w:rPr>
          <w:smallCaps/>
          <w:szCs w:val="20"/>
        </w:rPr>
        <w:fldChar w:fldCharType="end"/>
      </w:r>
    </w:p>
    <w:p>
      <w:pPr>
        <w:pStyle w:val="4"/>
        <w:pageBreakBefore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b w:val="0"/>
          <w:bCs w:val="0"/>
        </w:rPr>
      </w:pPr>
      <w:bookmarkStart w:id="13" w:name="_Toc111208495"/>
      <w:bookmarkStart w:id="14" w:name="_Toc11277"/>
      <w:r>
        <w:rPr>
          <w:rFonts w:hint="eastAsia" w:ascii="黑体" w:hAnsi="黑体" w:eastAsia="黑体" w:cs="黑体"/>
        </w:rPr>
        <w:t xml:space="preserve">第一部分 </w:t>
      </w:r>
      <w:r>
        <w:rPr>
          <w:rStyle w:val="30"/>
          <w:rFonts w:hint="eastAsia" w:ascii="黑体" w:hAnsi="黑体" w:eastAsia="黑体" w:cs="黑体"/>
          <w:b/>
          <w:bCs w:val="0"/>
        </w:rPr>
        <w:t>部门概况</w:t>
      </w:r>
      <w:bookmarkEnd w:id="12"/>
      <w:bookmarkEnd w:id="13"/>
      <w:bookmarkEnd w:id="14"/>
    </w:p>
    <w:p>
      <w:pPr>
        <w:pStyle w:val="5"/>
        <w:pageBreakBefore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15" w:name="_Toc111208496"/>
      <w:bookmarkStart w:id="16" w:name="_Toc15377197"/>
      <w:bookmarkStart w:id="17" w:name="_Toc7219"/>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olor w:val="000000"/>
          <w:sz w:val="32"/>
          <w:szCs w:val="32"/>
          <w:lang w:eastAsia="zh-CN"/>
        </w:rPr>
      </w:pPr>
      <w:r>
        <w:rPr>
          <w:rFonts w:hint="eastAsia" w:ascii="仿宋" w:hAnsi="仿宋" w:eastAsia="仿宋"/>
          <w:b/>
          <w:color w:val="000000"/>
          <w:sz w:val="32"/>
          <w:szCs w:val="32"/>
        </w:rPr>
        <w:t>（一）主要职能</w:t>
      </w:r>
      <w:bookmarkEnd w:id="18"/>
      <w:bookmarkEnd w:id="19"/>
    </w:p>
    <w:p>
      <w:pPr>
        <w:pageBreakBefore w:val="0"/>
        <w:kinsoku/>
        <w:wordWrap/>
        <w:overflowPunct/>
        <w:topLinePunct w:val="0"/>
        <w:autoSpaceDE/>
        <w:autoSpaceDN/>
        <w:bidi w:val="0"/>
        <w:adjustRightInd/>
        <w:snapToGrid/>
        <w:spacing w:line="576" w:lineRule="exact"/>
        <w:textAlignment w:val="auto"/>
      </w:pP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w:t>
      </w:r>
      <w:r>
        <w:rPr>
          <w:rFonts w:ascii="仿宋" w:hAnsi="仿宋" w:eastAsia="仿宋"/>
          <w:color w:val="000000"/>
          <w:sz w:val="32"/>
          <w:szCs w:val="32"/>
        </w:rPr>
        <w:t>1.深入贯彻党的路线方针政策和决策部署，统一政法各部门思想和行动，坚持党对政法工作的绝对领导，坚决维护党中央权威和集中统一领导。2.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r>
        <w:rPr>
          <w:rFonts w:hint="eastAsia" w:ascii="仿宋" w:hAnsi="仿宋" w:eastAsia="仿宋"/>
          <w:color w:val="000000"/>
          <w:sz w:val="32"/>
          <w:szCs w:val="32"/>
          <w:lang w:eastAsia="zh-CN"/>
        </w:rPr>
        <w:t>。</w:t>
      </w:r>
      <w:r>
        <w:rPr>
          <w:rFonts w:ascii="仿宋" w:hAnsi="仿宋" w:eastAsia="仿宋"/>
          <w:color w:val="000000"/>
          <w:sz w:val="32"/>
          <w:szCs w:val="32"/>
        </w:rPr>
        <w:t>3.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w:t>
      </w:r>
    </w:p>
    <w:p>
      <w:pPr>
        <w:pageBreakBefore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olor w:val="000000"/>
          <w:sz w:val="32"/>
          <w:szCs w:val="32"/>
          <w:lang w:eastAsia="zh-CN"/>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jc w:val="left"/>
        <w:textAlignment w:val="auto"/>
        <w:outlineLvl w:val="9"/>
        <w:rPr>
          <w:rFonts w:ascii="仿宋" w:hAnsi="仿宋" w:eastAsia="仿宋"/>
          <w:color w:val="000000"/>
          <w:sz w:val="32"/>
          <w:szCs w:val="32"/>
        </w:rPr>
      </w:pPr>
      <w:r>
        <w:rPr>
          <w:rFonts w:hint="eastAsia" w:ascii="仿宋_GB2312" w:hAnsi="仿宋_GB2312" w:eastAsia="仿宋_GB2312" w:cs="仿宋_GB2312"/>
          <w:sz w:val="32"/>
          <w:szCs w:val="32"/>
        </w:rPr>
        <w:t>扎实开展矛盾纠纷排查化解，不断扩宽第三方调解功能范围。坚持不懈地开展矛盾纠纷日常排查，重要节点前开展涉敏感节点、征地拆迁、成兰铁路、环境污染、疫情防控等专项排查。</w:t>
      </w:r>
    </w:p>
    <w:p>
      <w:pPr>
        <w:pStyle w:val="5"/>
        <w:pageBreakBefore w:val="0"/>
        <w:numPr>
          <w:ilvl w:val="0"/>
          <w:numId w:val="1"/>
        </w:numPr>
        <w:kinsoku/>
        <w:wordWrap/>
        <w:overflowPunct/>
        <w:topLinePunct w:val="0"/>
        <w:autoSpaceDE/>
        <w:autoSpaceDN/>
        <w:bidi w:val="0"/>
        <w:adjustRightInd/>
        <w:snapToGrid/>
        <w:spacing w:before="0" w:after="0" w:line="576" w:lineRule="exact"/>
        <w:ind w:firstLine="643" w:firstLineChars="200"/>
        <w:textAlignment w:val="auto"/>
        <w:rPr>
          <w:rFonts w:hint="eastAsia"/>
          <w:lang w:eastAsia="zh-CN"/>
        </w:rPr>
      </w:pPr>
      <w:bookmarkStart w:id="23" w:name="_Toc111208497"/>
      <w:bookmarkStart w:id="24" w:name="_Toc13376"/>
      <w:r>
        <w:rPr>
          <w:rFonts w:hint="eastAsia" w:ascii="黑体" w:eastAsia="黑体" w:cs="Times New Roman"/>
          <w:bCs w:val="0"/>
          <w:color w:val="000000"/>
        </w:rPr>
        <w:t>机构设置</w:t>
      </w:r>
      <w:bookmarkEnd w:id="22"/>
      <w:bookmarkEnd w:id="23"/>
      <w:bookmarkEnd w:id="24"/>
    </w:p>
    <w:p>
      <w:pPr>
        <w:pageBreakBefore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ascii="仿宋" w:hAnsi="仿宋" w:eastAsia="仿宋"/>
          <w:color w:val="000000"/>
          <w:sz w:val="32"/>
          <w:szCs w:val="32"/>
        </w:rPr>
        <w:tab/>
      </w:r>
      <w:r>
        <w:rPr>
          <w:rFonts w:ascii="仿宋" w:hAnsi="仿宋" w:eastAsia="仿宋"/>
          <w:color w:val="000000"/>
          <w:sz w:val="32"/>
          <w:szCs w:val="32"/>
        </w:rPr>
        <w:t>茂县县委政法委员会属一级预算单位，下属二级预算单位0个，其中：参照公务员法管理的事业单位0个，其他事业单位0个。</w:t>
      </w:r>
    </w:p>
    <w:p>
      <w:pPr>
        <w:pageBreakBefore w:val="0"/>
        <w:widowControl/>
        <w:kinsoku/>
        <w:wordWrap/>
        <w:overflowPunct/>
        <w:topLinePunct w:val="0"/>
        <w:autoSpaceDE/>
        <w:autoSpaceDN/>
        <w:bidi w:val="0"/>
        <w:adjustRightInd/>
        <w:snapToGrid/>
        <w:spacing w:line="576" w:lineRule="exact"/>
        <w:jc w:val="left"/>
        <w:textAlignment w:val="auto"/>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4"/>
        <w:pageBreakBefore w:val="0"/>
        <w:widowControl w:val="0"/>
        <w:kinsoku/>
        <w:wordWrap/>
        <w:overflowPunct/>
        <w:topLinePunct w:val="0"/>
        <w:autoSpaceDE/>
        <w:autoSpaceDN/>
        <w:bidi w:val="0"/>
        <w:adjustRightInd/>
        <w:snapToGrid/>
        <w:spacing w:before="0" w:after="0" w:line="576" w:lineRule="exact"/>
        <w:jc w:val="center"/>
        <w:textAlignment w:val="auto"/>
        <w:rPr>
          <w:rFonts w:ascii="黑体" w:hAnsi="黑体" w:eastAsia="黑体" w:cs="黑体"/>
        </w:rPr>
      </w:pPr>
      <w:bookmarkStart w:id="26" w:name="_Toc111208498"/>
      <w:bookmarkStart w:id="27" w:name="_Toc29002"/>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hint="eastAsia" w:ascii="黑体" w:eastAsia="黑体" w:cs="Times New Roman"/>
          <w:bCs w:val="0"/>
          <w:color w:val="000000"/>
        </w:rPr>
      </w:pPr>
      <w:bookmarkStart w:id="28" w:name="_Toc15377205"/>
      <w:bookmarkStart w:id="29" w:name="_Toc111208499"/>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0" w:name="_Toc11915"/>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27.46</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减少5.07</w:t>
      </w:r>
      <w:r>
        <w:rPr>
          <w:rFonts w:hint="eastAsia" w:ascii="仿宋" w:hAnsi="仿宋" w:eastAsia="仿宋"/>
          <w:color w:val="000000"/>
          <w:sz w:val="32"/>
          <w:szCs w:val="32"/>
        </w:rPr>
        <w:t>万元，</w:t>
      </w:r>
      <w:r>
        <w:rPr>
          <w:rFonts w:ascii="仿宋" w:hAnsi="仿宋" w:eastAsia="仿宋"/>
          <w:color w:val="000000"/>
          <w:sz w:val="32"/>
          <w:szCs w:val="32"/>
        </w:rPr>
        <w:t>减少15.58</w:t>
      </w:r>
      <w:r>
        <w:rPr>
          <w:rFonts w:hint="eastAsia" w:ascii="仿宋" w:hAnsi="仿宋" w:eastAsia="仿宋"/>
          <w:color w:val="000000"/>
          <w:sz w:val="32"/>
          <w:szCs w:val="32"/>
        </w:rPr>
        <w:t xml:space="preserve"> %。主要变动原因是人员、工作经费变动</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pageBreakBefore w:val="0"/>
        <w:widowControl w:val="0"/>
        <w:kinsoku/>
        <w:wordWrap/>
        <w:overflowPunct/>
        <w:topLinePunct w:val="0"/>
        <w:autoSpaceDE/>
        <w:autoSpaceDN/>
        <w:bidi w:val="0"/>
        <w:adjustRightInd/>
        <w:snapToGrid/>
        <w:spacing w:line="576" w:lineRule="exact"/>
        <w:ind w:firstLine="560" w:firstLineChars="200"/>
        <w:jc w:val="center"/>
        <w:textAlignment w:val="auto"/>
        <w:rPr>
          <w:rFonts w:ascii="仿宋_GB2312" w:eastAsia="仿宋_GB2312"/>
          <w:color w:val="000000"/>
          <w:sz w:val="28"/>
          <w:szCs w:val="28"/>
        </w:rPr>
      </w:pPr>
    </w:p>
    <w:p>
      <w:pPr>
        <w:pStyle w:val="7"/>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1" w:name="_Toc111208500"/>
      <w:bookmarkStart w:id="32" w:name="_Toc15377206"/>
      <w:bookmarkStart w:id="33" w:name="_Toc19930"/>
      <w:r>
        <w:rPr>
          <w:rFonts w:hint="eastAsia" w:ascii="黑体" w:eastAsia="黑体" w:cs="Times New Roman"/>
          <w:bCs w:val="0"/>
          <w:color w:val="000000"/>
        </w:rPr>
        <w:t>二、收入决算情况说明</w:t>
      </w:r>
      <w:bookmarkEnd w:id="31"/>
      <w:bookmarkEnd w:id="32"/>
      <w:bookmarkEnd w:id="3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本年收入合计27.46万元，其中：一般公共预算财政拨款收入27.46万元，占100.00%；政府性基金预算财政拨款收入0.00万元，占0.00%；国有资本经营预算财政拨款收入0.00万元，占0.00%；上级补助收入0.00万元，占0.00%；事业收入0.00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%；经营收入0.00万元，占0.00%；附属单位上缴收入0.00万元，占0.00%；其他收入0.00万元，占0.00%。</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5"/>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4" w:name="_Toc15377207"/>
      <w:bookmarkStart w:id="35" w:name="_Toc111208501"/>
      <w:bookmarkStart w:id="36" w:name="_Toc3623"/>
      <w:r>
        <w:rPr>
          <w:rFonts w:hint="eastAsia" w:ascii="黑体" w:eastAsia="黑体" w:cs="Times New Roman"/>
          <w:bCs w:val="0"/>
          <w:color w:val="000000"/>
        </w:rPr>
        <w:t>三、支出决算情况说明</w:t>
      </w:r>
      <w:bookmarkEnd w:id="34"/>
      <w:bookmarkEnd w:id="35"/>
      <w:bookmarkEnd w:id="36"/>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27.46</w:t>
      </w:r>
      <w:r>
        <w:rPr>
          <w:rFonts w:ascii="仿宋" w:hAnsi="仿宋" w:eastAsia="仿宋"/>
          <w:color w:val="000000"/>
          <w:sz w:val="32"/>
          <w:szCs w:val="32"/>
        </w:rPr>
        <w:t>万元，其中：基本支出</w:t>
      </w:r>
      <w:r>
        <w:rPr>
          <w:rFonts w:hint="eastAsia" w:ascii="仿宋" w:hAnsi="仿宋" w:eastAsia="仿宋"/>
          <w:color w:val="000000"/>
          <w:sz w:val="32"/>
          <w:szCs w:val="32"/>
        </w:rPr>
        <w:t>27.46</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4237990" cy="2630805"/>
            <wp:effectExtent l="4445" t="4445" r="5715" b="1270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7"/>
      </w:pP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37" w:name="_Toc111208502"/>
      <w:bookmarkStart w:id="38" w:name="_Toc15377208"/>
      <w:bookmarkStart w:id="39" w:name="_Toc18500"/>
      <w:r>
        <w:rPr>
          <w:rFonts w:hint="eastAsia" w:ascii="黑体" w:eastAsia="黑体" w:cs="Times New Roman"/>
          <w:bCs w:val="0"/>
          <w:color w:val="000000"/>
        </w:rPr>
        <w:t>四、财政拨款收入支出决算总体情况说明</w:t>
      </w:r>
      <w:bookmarkEnd w:id="37"/>
      <w:bookmarkEnd w:id="38"/>
      <w:bookmarkEnd w:id="3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2021年财政拨款收、支总计27.46万元。与2020年相比，财政拨款收、支总计各减少5.07万元，减少15.58 %。主要变动原因是人员、工作经费变动</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7"/>
        <w:ind w:firstLine="0"/>
      </w:pPr>
    </w:p>
    <w:p>
      <w:pPr>
        <w:pStyle w:val="7"/>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40" w:name="_Toc15377209"/>
      <w:bookmarkStart w:id="41" w:name="_Toc111208503"/>
      <w:bookmarkStart w:id="42" w:name="_Toc26579"/>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2021年一般公共预算财政拨款支出27.46万元，占本年支出合计的100.00%。与2020相比，一般公共预算财政拨款减少5.07万元，减少15.58 %。主要变动原因是人员、工作经费变动</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7"/>
        <w:ind w:firstLine="0"/>
        <w:rPr>
          <w:rFonts w:ascii="仿宋_GB2312" w:hAnsi="仿宋" w:eastAsia="仿宋_GB2312"/>
          <w:b/>
          <w:color w:val="000000"/>
          <w:sz w:val="32"/>
          <w:szCs w:val="32"/>
        </w:rPr>
      </w:pPr>
    </w:p>
    <w:p>
      <w:pPr>
        <w:pStyle w:val="7"/>
        <w:ind w:firstLine="0"/>
        <w:rPr>
          <w:rFonts w:ascii="仿宋_GB2312" w:hAnsi="仿宋" w:eastAsia="仿宋_GB2312"/>
          <w:b/>
          <w:color w:val="000000"/>
          <w:sz w:val="32"/>
          <w:szCs w:val="32"/>
        </w:rPr>
      </w:pPr>
      <w:r>
        <w:rPr>
          <w:rFonts w:hint="eastAsia" w:ascii="仿宋_GB2312" w:hAnsi="仿宋" w:eastAsia="仿宋_GB2312"/>
          <w:b/>
          <w:color w:val="000000"/>
          <w:sz w:val="32"/>
          <w:szCs w:val="32"/>
          <w:lang w:val="en-US" w:eastAsia="zh-CN"/>
        </w:rPr>
        <w:t xml:space="preserve">  </w:t>
      </w: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2021年一般公共预算财政拨款支出27.46万元，主要用于以下方面:公共安全支出21.25万元，占77.39%；社会保障和就业支出2.93万元，占10.67%；卫生健康支出1.39万元，占5.06%；住房保障支出1.89万元，占6.88%。</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7"/>
        <w:ind w:left="0" w:leftChars="0" w:firstLine="0" w:firstLineChars="0"/>
      </w:pPr>
      <w:r>
        <w:rPr>
          <w:rFonts w:hint="eastAsia"/>
          <w:lang w:val="en-US" w:eastAsia="zh-CN"/>
        </w:rPr>
        <w:t xml:space="preserve">   </w:t>
      </w:r>
      <w:r>
        <w:drawing>
          <wp:inline distT="0" distB="0" distL="0" distR="0">
            <wp:extent cx="4761230" cy="3257550"/>
            <wp:effectExtent l="4445" t="5080" r="15875" b="1397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bookmarkStart w:id="46" w:name="_Toc15377444"/>
      <w:bookmarkStart w:id="47" w:name="_Toc15377213"/>
      <w:bookmarkStart w:id="48" w:name="_Toc15378460"/>
      <w:r>
        <w:rPr>
          <w:rFonts w:hint="eastAsia" w:ascii="仿宋" w:hAnsi="仿宋" w:eastAsia="仿宋"/>
          <w:color w:val="000000"/>
          <w:sz w:val="32"/>
          <w:szCs w:val="32"/>
        </w:rPr>
        <w:t>2021年一般公共预算支出决算数为27.46万元，完成预算100%。其中：</w:t>
      </w:r>
      <w:bookmarkEnd w:id="46"/>
      <w:bookmarkEnd w:id="47"/>
      <w:bookmarkEnd w:id="48"/>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1.公共安全支出（204）公安（20402）事业运行（2040250）支出决算21.25万元，完成预算100%。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2.社会保障和就业支出（208）行政事业单位养老支出（20805）机关事业单位基本养老保险缴费支出（2080505）支出决算1.95万元，完成预算100%。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3.社会保障和就业支出（208）行政事业单位养老支出（20805）机关事业单位职业年金缴费支出（2080506）支出决算0.98万元，完成预算100%。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4.卫生健康支出（210）行政事业单位医疗（21011）事业单位医疗（2101102）支出决算1.39万元，完成预算100%。</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5.住房保障支出（221）住房改革支出（22102）住房公积金（2210201）支出决算1.89万元，完成预算100%。</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 w:val="0"/>
          <w:color w:val="000000"/>
        </w:rPr>
      </w:pPr>
      <w:bookmarkStart w:id="49" w:name="_Toc15377214"/>
      <w:bookmarkStart w:id="50" w:name="_Toc111208504"/>
      <w:bookmarkStart w:id="51" w:name="_Toc8865"/>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2021年一般公共预算财政拨款基本支出27.46万元，其中：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人员经费22.71万元，主要包括：基本工资5.93万元、津贴补贴0.91万元、绩效工资9.37万元、机关事业单位基本养老保险缴费1.95万元、职业年金缴费0.98万元、职工基本医疗保险缴费1.39万元、其他社会保障缴费0.13万元、住房公积金1.89万元、医疗费0.17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公用经费4.75万元，主要包括：办公费2.00万元、差旅费1.00万元、其他交通费用1.75万元。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52" w:name="_Toc15377215"/>
      <w:bookmarkStart w:id="53" w:name="_Toc111208505"/>
      <w:bookmarkStart w:id="54" w:name="_Toc23607"/>
      <w:r>
        <w:rPr>
          <w:rFonts w:hint="eastAsia" w:ascii="黑体" w:eastAsia="黑体" w:cs="Times New Roman"/>
          <w:bCs w:val="0"/>
          <w:color w:val="000000"/>
        </w:rPr>
        <w:t>七、“三公”经费财政拨款支出决算情况说明</w:t>
      </w:r>
      <w:bookmarkEnd w:id="52"/>
      <w:bookmarkEnd w:id="53"/>
      <w:bookmarkEnd w:id="54"/>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2021年“三公”经费财政拨款支出决算为0.00万元，完成预算0.00%。</w:t>
      </w:r>
      <w:bookmarkStart w:id="56" w:name="_Toc15377217"/>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2021年“三公”经费财政拨款支出0.00万，因公出国（境）费支出决算0.00万元，占0.00%；公务用车购置及运行维护费支出决算0.00万元，占0.00%；公务接待费支出决算0.00万元，占0.00%。具体情况如下：</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7"/>
        <w:rPr>
          <w:rFonts w:ascii="仿宋_GB2312" w:hAnsi="仿宋" w:eastAsia="仿宋_GB2312"/>
          <w:color w:val="000000"/>
          <w:sz w:val="32"/>
          <w:szCs w:val="32"/>
        </w:rPr>
      </w:pPr>
      <w:r>
        <w:drawing>
          <wp:inline distT="0" distB="0" distL="0" distR="0">
            <wp:extent cx="3848735" cy="1991360"/>
            <wp:effectExtent l="4445" t="4445" r="13970"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1.因公出国（境）经费支出0.00万元,完成预算100%。全年安排因公出国（境）团组0次，出国（境）0人。因公出国（境）支出决算比2020年增加0.00万元，增加100.00 %。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2.公务用车购置及运行维护费支出0.00万元,完成预算0.00%。公务用车购置及运行维护费支出决算比2020年增加0.00万元，增加0%。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公务用车运行维护费支出0.00万元。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3.公务接待费支出0.00万元，完成预算0.00%。公务接待费支出决算比2020年增加0.00万元，增加0.00</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 </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国内公务接待支出0.00万元。国内公务接待0批次，0人次（不包括陪同人员），共计支出0.00万元。</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58" w:name="_Toc111208506"/>
      <w:bookmarkStart w:id="59" w:name="_Toc3622"/>
      <w:r>
        <w:rPr>
          <w:rFonts w:hint="eastAsia" w:ascii="黑体" w:eastAsia="黑体" w:cs="Times New Roman"/>
          <w:bCs w:val="0"/>
          <w:color w:val="000000"/>
        </w:rPr>
        <w:t>八、政府性基金预算支出决算情况说明</w:t>
      </w:r>
      <w:bookmarkEnd w:id="57"/>
      <w:bookmarkEnd w:id="58"/>
      <w:bookmarkEnd w:id="59"/>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61" w:name="_Toc111208507"/>
      <w:bookmarkStart w:id="62" w:name="_Toc17971"/>
      <w:r>
        <w:rPr>
          <w:rFonts w:hint="eastAsia" w:ascii="黑体" w:eastAsia="黑体" w:cs="Times New Roman"/>
          <w:bCs w:val="0"/>
          <w:color w:val="000000"/>
        </w:rPr>
        <w:t>九、国有资本经营预算支出决算情况说明</w:t>
      </w:r>
      <w:bookmarkEnd w:id="60"/>
      <w:bookmarkEnd w:id="61"/>
      <w:bookmarkEnd w:id="62"/>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rPr>
      </w:pPr>
      <w:r>
        <w:rPr>
          <w:rFonts w:hint="eastAsia" w:ascii="仿宋" w:hAnsi="仿宋" w:eastAsia="仿宋"/>
          <w:color w:val="000000"/>
          <w:sz w:val="32"/>
          <w:szCs w:val="32"/>
        </w:rPr>
        <w:t>2021年国有资本经营预算拨款支出0.00万元。</w:t>
      </w:r>
    </w:p>
    <w:p>
      <w:pPr>
        <w:pStyle w:val="5"/>
        <w:pageBreakBefore w:val="0"/>
        <w:widowControl w:val="0"/>
        <w:kinsoku/>
        <w:wordWrap/>
        <w:overflowPunct/>
        <w:topLinePunct w:val="0"/>
        <w:autoSpaceDE/>
        <w:autoSpaceDN/>
        <w:bidi w:val="0"/>
        <w:adjustRightInd/>
        <w:snapToGrid/>
        <w:spacing w:before="0" w:after="0" w:line="576" w:lineRule="exact"/>
        <w:ind w:firstLine="643" w:firstLineChars="200"/>
        <w:textAlignment w:val="auto"/>
        <w:rPr>
          <w:rFonts w:ascii="黑体" w:eastAsia="黑体" w:cs="Times New Roman"/>
          <w:bCs w:val="0"/>
          <w:color w:val="000000"/>
        </w:rPr>
      </w:pPr>
      <w:bookmarkStart w:id="63" w:name="_Toc15377221"/>
      <w:bookmarkStart w:id="64" w:name="_Toc111208508"/>
      <w:bookmarkStart w:id="65" w:name="_Toc13996"/>
      <w:r>
        <w:rPr>
          <w:rFonts w:hint="eastAsia" w:ascii="黑体" w:eastAsia="黑体" w:cs="Times New Roman"/>
          <w:bCs w:val="0"/>
          <w:color w:val="000000"/>
        </w:rPr>
        <w:t>十、其他重要事项的情况说明</w:t>
      </w:r>
      <w:bookmarkEnd w:id="63"/>
      <w:bookmarkEnd w:id="64"/>
      <w:bookmarkEnd w:id="65"/>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2021年，机关运行经费支出0.00万元，比2020年增加0.00万元，增加0 %。 </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rPr>
      </w:pPr>
      <w:r>
        <w:rPr>
          <w:rFonts w:hint="eastAsia" w:ascii="仿宋" w:hAns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pageBreakBefore w:val="0"/>
        <w:widowControl w:val="0"/>
        <w:numPr>
          <w:ilvl w:val="0"/>
          <w:numId w:val="2"/>
        </w:numPr>
        <w:kinsoku/>
        <w:wordWrap/>
        <w:overflowPunct/>
        <w:topLinePunct w:val="0"/>
        <w:autoSpaceDE/>
        <w:autoSpaceDN/>
        <w:bidi w:val="0"/>
        <w:adjustRightInd/>
        <w:snapToGrid/>
        <w:spacing w:line="600" w:lineRule="exact"/>
        <w:ind w:firstLine="643" w:firstLineChars="200"/>
        <w:textAlignment w:val="auto"/>
        <w:outlineLvl w:val="2"/>
        <w:rPr>
          <w:rFonts w:hint="eastAsia" w:ascii="仿宋" w:hAnsi="仿宋" w:eastAsia="仿宋"/>
          <w:b/>
          <w:color w:val="000000"/>
          <w:sz w:val="32"/>
          <w:szCs w:val="32"/>
        </w:rPr>
      </w:pPr>
      <w:r>
        <w:rPr>
          <w:rFonts w:hint="eastAsia" w:ascii="仿宋" w:hAnsi="仿宋" w:eastAsia="仿宋"/>
          <w:b/>
          <w:color w:val="000000"/>
          <w:sz w:val="32"/>
          <w:szCs w:val="32"/>
        </w:rPr>
        <w:t>预算绩效管理情况</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我委无专项预算项目，因此未组织开展项目支出绩效评价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本部门未组织开展项目支出绩效评价。</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我委按要求对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年部门整体支出绩效评价情况开展自评，中共茂县县委政法委员会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pStyle w:val="7"/>
        <w:numPr>
          <w:ilvl w:val="0"/>
          <w:numId w:val="0"/>
        </w:numPr>
      </w:pPr>
    </w:p>
    <w:p>
      <w:pPr>
        <w:pStyle w:val="4"/>
        <w:pageBreakBefore w:val="0"/>
        <w:numPr>
          <w:ilvl w:val="0"/>
          <w:numId w:val="3"/>
        </w:numPr>
        <w:kinsoku/>
        <w:wordWrap/>
        <w:overflowPunct/>
        <w:topLinePunct w:val="0"/>
        <w:autoSpaceDE/>
        <w:autoSpaceDN/>
        <w:bidi w:val="0"/>
        <w:spacing w:before="0" w:after="0" w:line="576" w:lineRule="exact"/>
        <w:jc w:val="center"/>
        <w:textAlignment w:val="auto"/>
        <w:rPr>
          <w:rFonts w:hint="eastAsia" w:ascii="黑体" w:hAnsi="黑体" w:eastAsia="黑体" w:cs="黑体"/>
        </w:rPr>
      </w:pPr>
      <w:bookmarkStart w:id="69" w:name="_Toc15377225"/>
      <w:bookmarkStart w:id="70" w:name="_Toc111208509"/>
      <w:bookmarkStart w:id="71" w:name="_Toc21715"/>
      <w:r>
        <w:rPr>
          <w:rFonts w:hint="eastAsia" w:ascii="黑体" w:hAnsi="黑体" w:eastAsia="黑体" w:cs="黑体"/>
        </w:rPr>
        <w:t>名词解释</w:t>
      </w:r>
      <w:bookmarkEnd w:id="69"/>
      <w:bookmarkEnd w:id="70"/>
      <w:bookmarkEnd w:id="71"/>
    </w:p>
    <w:p>
      <w:pPr>
        <w:numPr>
          <w:ilvl w:val="0"/>
          <w:numId w:val="0"/>
        </w:numPr>
      </w:pP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pageBreakBefore w:val="0"/>
        <w:kinsoku/>
        <w:wordWrap/>
        <w:overflowPunct/>
        <w:topLinePunct w:val="0"/>
        <w:autoSpaceDE/>
        <w:autoSpaceDN/>
        <w:bidi w:val="0"/>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9.公共安全支出（204）公安（20402）事业运行（2040250）：反映事业单位的基本支岀，不包括行政单位（包括实行公务员管理的事业单位）后勤服务中心、医务室等附属事业单位。</w:t>
      </w:r>
    </w:p>
    <w:p>
      <w:pPr>
        <w:pageBreakBefore w:val="0"/>
        <w:kinsoku/>
        <w:wordWrap/>
        <w:overflowPunct/>
        <w:topLinePunct w:val="0"/>
        <w:autoSpaceDE/>
        <w:autoSpaceDN/>
        <w:bidi w:val="0"/>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10.社会保障和就业支出（208）行政事业单位养老支出（20805）机关事业单位基本养老保险缴费支出（2080505）：反映机关事业单位实施养老保险制度由单位缴纳的基本养老保险费支出。</w:t>
      </w:r>
    </w:p>
    <w:p>
      <w:pPr>
        <w:pageBreakBefore w:val="0"/>
        <w:kinsoku/>
        <w:wordWrap/>
        <w:overflowPunct/>
        <w:topLinePunct w:val="0"/>
        <w:autoSpaceDE/>
        <w:autoSpaceDN/>
        <w:bidi w:val="0"/>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11.社会保障和就业支出（208）行政事业单位养老支出（20805）机关事业单位职业年金缴费支出（2080506）：反映机关事业单位实施养老保险制度由单位实际缴纳的职业年金支出。</w:t>
      </w:r>
    </w:p>
    <w:p>
      <w:pPr>
        <w:pageBreakBefore w:val="0"/>
        <w:kinsoku/>
        <w:wordWrap/>
        <w:overflowPunct/>
        <w:topLinePunct w:val="0"/>
        <w:autoSpaceDE/>
        <w:autoSpaceDN/>
        <w:bidi w:val="0"/>
        <w:spacing w:line="576"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13.住房保障支出（221）住房改革支出（22102）住房公积金（2210201）：反映行政事业单位按人力资源和社会保障部、财政部规定的基本工资和津贴补贴以及规定比例为职工缴纳的住房公积金。</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14.基本支出：指为保障机构正常运转、完成日常工作任务而发生的人员支出和公用支出。</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15.经营支出：指事业单位在专业业务活动及其辅助活动之外开展非独立核算经营活动发生的支出。</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autoSpaceDE/>
        <w:autoSpaceDN/>
        <w:bidi w:val="0"/>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autoSpaceDE/>
        <w:autoSpaceDN/>
        <w:bidi w:val="0"/>
        <w:spacing w:line="576" w:lineRule="exact"/>
        <w:ind w:firstLine="640"/>
        <w:textAlignment w:val="auto"/>
        <w:rPr>
          <w:rFonts w:ascii="仿宋_GB2312" w:eastAsia="仿宋_GB2312" w:cs="黑体"/>
          <w:sz w:val="32"/>
          <w:szCs w:val="32"/>
        </w:rPr>
      </w:pPr>
      <w:r>
        <w:rPr>
          <w:rFonts w:hint="eastAsia" w:ascii="仿宋" w:hAnsi="仿宋" w:eastAsia="仿宋"/>
          <w:color w:val="000000"/>
          <w:sz w:val="32"/>
          <w:szCs w:val="32"/>
        </w:rPr>
        <w:t>18.财政应返还额度：为行政事业单位会计核算科目，用于核算实行国库集中支付的行政事业单位应收财政返还的资金额度。</w:t>
      </w:r>
    </w:p>
    <w:p>
      <w:pPr>
        <w:pageBreakBefore w:val="0"/>
        <w:widowControl/>
        <w:kinsoku/>
        <w:wordWrap/>
        <w:overflowPunct/>
        <w:topLinePunct w:val="0"/>
        <w:autoSpaceDE/>
        <w:autoSpaceDN/>
        <w:bidi w:val="0"/>
        <w:spacing w:line="576" w:lineRule="exact"/>
        <w:jc w:val="left"/>
        <w:textAlignment w:val="auto"/>
        <w:rPr>
          <w:rStyle w:val="30"/>
          <w:rFonts w:ascii="黑体" w:hAnsi="黑体" w:eastAsia="黑体"/>
        </w:rPr>
      </w:pPr>
      <w:r>
        <w:rPr>
          <w:rStyle w:val="30"/>
          <w:rFonts w:ascii="黑体" w:hAnsi="黑体" w:eastAsia="黑体"/>
        </w:rPr>
        <w:br w:type="page"/>
      </w:r>
    </w:p>
    <w:p>
      <w:pPr>
        <w:pStyle w:val="4"/>
        <w:pageBreakBefore w:val="0"/>
        <w:kinsoku/>
        <w:wordWrap/>
        <w:overflowPunct/>
        <w:topLinePunct w:val="0"/>
        <w:autoSpaceDE/>
        <w:autoSpaceDN/>
        <w:bidi w:val="0"/>
        <w:spacing w:before="0" w:after="0" w:line="576" w:lineRule="exact"/>
        <w:jc w:val="center"/>
        <w:textAlignment w:val="auto"/>
        <w:rPr>
          <w:rFonts w:ascii="黑体" w:hAnsi="黑体" w:eastAsia="黑体" w:cs="黑体"/>
        </w:rPr>
      </w:pPr>
      <w:bookmarkStart w:id="72" w:name="_Toc111208510"/>
      <w:bookmarkStart w:id="73" w:name="_Toc16217"/>
      <w:r>
        <w:rPr>
          <w:rFonts w:hint="eastAsia" w:ascii="黑体" w:hAnsi="黑体" w:eastAsia="黑体" w:cs="黑体"/>
        </w:rPr>
        <w:t>第四部分 附件</w:t>
      </w:r>
      <w:bookmarkEnd w:id="72"/>
      <w:bookmarkEnd w:id="73"/>
    </w:p>
    <w:p>
      <w:pPr>
        <w:pStyle w:val="32"/>
        <w:keepNext w:val="0"/>
        <w:keepLines w:val="0"/>
        <w:pageBreakBefore w:val="0"/>
        <w:widowControl/>
        <w:kinsoku/>
        <w:wordWrap/>
        <w:overflowPunct/>
        <w:topLinePunct w:val="0"/>
        <w:autoSpaceDE/>
        <w:autoSpaceDN/>
        <w:bidi w:val="0"/>
        <w:spacing w:line="576" w:lineRule="exact"/>
        <w:jc w:val="center"/>
        <w:textAlignment w:val="auto"/>
        <w:rPr>
          <w:rFonts w:hint="eastAsia" w:ascii="方正小标宋简体" w:hAnsi="宋体" w:eastAsia="方正小标宋简体"/>
          <w:sz w:val="44"/>
          <w:szCs w:val="44"/>
          <w:lang w:eastAsia="zh-CN"/>
        </w:rPr>
      </w:pPr>
      <w:r>
        <w:rPr>
          <w:rFonts w:ascii="方正小标宋简体" w:hAnsi="宋体" w:eastAsia="方正小标宋简体"/>
          <w:sz w:val="44"/>
          <w:szCs w:val="44"/>
        </w:rPr>
        <w:t>20</w:t>
      </w:r>
      <w:r>
        <w:rPr>
          <w:rFonts w:hint="eastAsia" w:ascii="方正小标宋简体" w:hAnsi="宋体" w:eastAsia="方正小标宋简体"/>
          <w:sz w:val="44"/>
          <w:szCs w:val="44"/>
          <w:lang w:val="en-US" w:eastAsia="zh-CN"/>
        </w:rPr>
        <w:t>21</w:t>
      </w:r>
      <w:r>
        <w:rPr>
          <w:rFonts w:hint="eastAsia" w:ascii="方正小标宋简体" w:hAnsi="宋体" w:eastAsia="方正小标宋简体"/>
          <w:sz w:val="44"/>
          <w:szCs w:val="44"/>
        </w:rPr>
        <w:t>年</w:t>
      </w:r>
      <w:r>
        <w:rPr>
          <w:rFonts w:hint="eastAsia" w:ascii="方正小标宋简体" w:hAnsi="宋体" w:eastAsia="方正小标宋简体"/>
          <w:sz w:val="44"/>
          <w:szCs w:val="44"/>
          <w:lang w:eastAsia="zh-CN"/>
        </w:rPr>
        <w:t>中共茂县县委政法委员会</w:t>
      </w:r>
    </w:p>
    <w:p>
      <w:pPr>
        <w:pStyle w:val="32"/>
        <w:keepNext w:val="0"/>
        <w:keepLines w:val="0"/>
        <w:pageBreakBefore w:val="0"/>
        <w:widowControl/>
        <w:kinsoku/>
        <w:wordWrap/>
        <w:overflowPunct/>
        <w:topLinePunct w:val="0"/>
        <w:autoSpaceDE/>
        <w:autoSpaceDN/>
        <w:bidi w:val="0"/>
        <w:spacing w:line="576"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整体支出绩效报告</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hint="eastAsia" w:ascii="仿宋_GB2312" w:hAnsi="宋体" w:eastAsia="黑体"/>
          <w:lang w:val="en-US" w:eastAsia="zh-CN"/>
        </w:rPr>
      </w:pPr>
      <w:r>
        <w:rPr>
          <w:rFonts w:hint="eastAsia" w:ascii="仿宋_GB2312" w:hAnsi="宋体" w:eastAsia="黑体"/>
          <w:lang w:val="en-US" w:eastAsia="zh-CN"/>
        </w:rPr>
        <w:t xml:space="preserve"> </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黑体" w:hAnsi="宋体" w:eastAsia="黑体" w:cs="宋体"/>
          <w:color w:val="000000"/>
          <w:kern w:val="0"/>
          <w:lang w:val="zh-CN"/>
        </w:rPr>
      </w:pPr>
      <w:r>
        <w:rPr>
          <w:rFonts w:hint="eastAsia" w:ascii="黑体" w:hAnsi="宋体" w:eastAsia="黑体" w:cs="宋体"/>
          <w:color w:val="000000"/>
          <w:kern w:val="0"/>
        </w:rPr>
        <w:t>一、</w:t>
      </w:r>
      <w:r>
        <w:rPr>
          <w:rFonts w:hint="eastAsia" w:ascii="黑体" w:hAnsi="宋体" w:eastAsia="黑体" w:cs="宋体"/>
          <w:color w:val="000000"/>
          <w:kern w:val="0"/>
          <w:lang w:val="zh-CN"/>
        </w:rPr>
        <w:t>单位概况</w:t>
      </w:r>
    </w:p>
    <w:p>
      <w:pPr>
        <w:pStyle w:val="32"/>
        <w:keepNext w:val="0"/>
        <w:keepLines w:val="0"/>
        <w:pageBreakBefore w:val="0"/>
        <w:numPr>
          <w:ilvl w:val="0"/>
          <w:numId w:val="0"/>
        </w:numPr>
        <w:kinsoku/>
        <w:wordWrap/>
        <w:overflowPunct/>
        <w:topLinePunct w:val="0"/>
        <w:autoSpaceDE/>
        <w:autoSpaceDN/>
        <w:bidi w:val="0"/>
        <w:spacing w:line="576" w:lineRule="exact"/>
        <w:ind w:firstLine="643" w:firstLineChars="200"/>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pStyle w:val="32"/>
        <w:keepNext w:val="0"/>
        <w:keepLines w:val="0"/>
        <w:pageBreakBefore w:val="0"/>
        <w:kinsoku/>
        <w:wordWrap/>
        <w:overflowPunct/>
        <w:topLinePunct w:val="0"/>
        <w:autoSpaceDE/>
        <w:autoSpaceDN/>
        <w:bidi w:val="0"/>
        <w:spacing w:line="576" w:lineRule="exact"/>
        <w:ind w:firstLine="640" w:firstLineChars="200"/>
        <w:textAlignment w:val="auto"/>
        <w:outlineLvl w:val="1"/>
        <w:rPr>
          <w:rFonts w:ascii="仿宋_GB2312" w:hAnsi="宋体" w:eastAsia="仿宋_GB2312" w:cs="宋体"/>
          <w:color w:val="000000"/>
          <w:kern w:val="0"/>
          <w:sz w:val="32"/>
          <w:szCs w:val="32"/>
          <w:shd w:val="clear" w:color="auto" w:fill="FFFFFF"/>
          <w:lang w:val="zh-CN"/>
        </w:rPr>
      </w:pPr>
      <w:bookmarkStart w:id="74" w:name="_Toc29824"/>
      <w:bookmarkStart w:id="75" w:name="_Toc13763"/>
      <w:r>
        <w:rPr>
          <w:rFonts w:hint="eastAsia" w:eastAsia="仿宋_GB2312"/>
          <w:bCs/>
          <w:sz w:val="32"/>
          <w:szCs w:val="32"/>
        </w:rPr>
        <w:t>中共茂县县委领导政法工作的职能部门，为正科级，列县委工作机关序列。县矛盾纠纷多元化解工作领导小组办公室设在县委政法委。</w:t>
      </w:r>
      <w:bookmarkEnd w:id="74"/>
      <w:bookmarkEnd w:id="75"/>
    </w:p>
    <w:p>
      <w:pPr>
        <w:pStyle w:val="32"/>
        <w:keepNext w:val="0"/>
        <w:keepLines w:val="0"/>
        <w:pageBreakBefore w:val="0"/>
        <w:numPr>
          <w:ilvl w:val="0"/>
          <w:numId w:val="4"/>
        </w:numPr>
        <w:kinsoku/>
        <w:wordWrap/>
        <w:overflowPunct/>
        <w:topLinePunct w:val="0"/>
        <w:autoSpaceDE/>
        <w:autoSpaceDN/>
        <w:bidi w:val="0"/>
        <w:spacing w:line="576" w:lineRule="exact"/>
        <w:ind w:firstLine="643" w:firstLineChars="200"/>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机构职能</w:t>
      </w:r>
    </w:p>
    <w:p>
      <w:pPr>
        <w:pStyle w:val="32"/>
        <w:keepNext w:val="0"/>
        <w:keepLines w:val="0"/>
        <w:pageBreakBefore w:val="0"/>
        <w:numPr>
          <w:ilvl w:val="0"/>
          <w:numId w:val="0"/>
        </w:numPr>
        <w:kinsoku/>
        <w:wordWrap/>
        <w:overflowPunct/>
        <w:topLinePunct w:val="0"/>
        <w:autoSpaceDE/>
        <w:autoSpaceDN/>
        <w:bidi w:val="0"/>
        <w:spacing w:line="576" w:lineRule="exact"/>
        <w:ind w:firstLine="640" w:firstLineChars="200"/>
        <w:textAlignment w:val="auto"/>
        <w:rPr>
          <w:rFonts w:hint="eastAsia" w:eastAsia="仿宋_GB2312"/>
          <w:bCs/>
          <w:sz w:val="32"/>
          <w:szCs w:val="32"/>
        </w:rPr>
      </w:pPr>
      <w:r>
        <w:rPr>
          <w:rFonts w:hint="eastAsia" w:eastAsia="仿宋_GB2312"/>
          <w:bCs/>
          <w:sz w:val="32"/>
          <w:szCs w:val="32"/>
          <w:lang w:val="en-US" w:eastAsia="zh-CN"/>
        </w:rPr>
        <w:t>1.</w:t>
      </w:r>
      <w:r>
        <w:rPr>
          <w:rFonts w:hint="eastAsia" w:eastAsia="仿宋_GB2312"/>
          <w:bCs/>
          <w:sz w:val="32"/>
          <w:szCs w:val="32"/>
        </w:rPr>
        <w:t>深入贯彻党的路线方针政策和决策部署，统一政法各部门思想和行动，坚持党对政法工作的绝对领导，坚决维护党中央权威和集中统一领导。</w:t>
      </w:r>
    </w:p>
    <w:p>
      <w:pPr>
        <w:pStyle w:val="32"/>
        <w:keepNext w:val="0"/>
        <w:keepLines w:val="0"/>
        <w:pageBreakBefore w:val="0"/>
        <w:kinsoku/>
        <w:wordWrap/>
        <w:overflowPunct/>
        <w:topLinePunct w:val="0"/>
        <w:autoSpaceDE/>
        <w:autoSpaceDN/>
        <w:bidi w:val="0"/>
        <w:spacing w:line="576"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2.</w:t>
      </w:r>
      <w:r>
        <w:rPr>
          <w:rFonts w:hint="eastAsia" w:eastAsia="仿宋_GB2312"/>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pPr>
        <w:pStyle w:val="32"/>
        <w:keepNext w:val="0"/>
        <w:keepLines w:val="0"/>
        <w:pageBreakBefore w:val="0"/>
        <w:kinsoku/>
        <w:wordWrap/>
        <w:overflowPunct/>
        <w:topLinePunct w:val="0"/>
        <w:autoSpaceDE/>
        <w:autoSpaceDN/>
        <w:bidi w:val="0"/>
        <w:spacing w:line="576" w:lineRule="exact"/>
        <w:ind w:firstLine="643" w:firstLineChars="200"/>
        <w:textAlignment w:val="auto"/>
        <w:rPr>
          <w:rFonts w:hint="eastAsia" w:eastAsia="仿宋_GB2312"/>
          <w:bCs/>
          <w:sz w:val="32"/>
          <w:szCs w:val="32"/>
        </w:rPr>
      </w:pPr>
      <w:r>
        <w:rPr>
          <w:rFonts w:hint="eastAsia" w:ascii="仿宋_GB2312" w:hAnsi="仿宋_GB2312" w:eastAsia="仿宋_GB2312" w:cs="仿宋_GB2312"/>
          <w:b/>
          <w:bCs/>
          <w:sz w:val="32"/>
          <w:szCs w:val="32"/>
          <w:lang w:val="en-US" w:eastAsia="zh-CN"/>
        </w:rPr>
        <w:t>3.</w:t>
      </w:r>
      <w:r>
        <w:rPr>
          <w:rFonts w:hint="eastAsia" w:eastAsia="仿宋_GB2312"/>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pStyle w:val="57"/>
        <w:keepNext w:val="0"/>
        <w:keepLines w:val="0"/>
        <w:pageBreakBefore w:val="0"/>
        <w:kinsoku/>
        <w:wordWrap/>
        <w:overflowPunct/>
        <w:topLinePunct w:val="0"/>
        <w:autoSpaceDE/>
        <w:autoSpaceDN/>
        <w:bidi w:val="0"/>
        <w:adjustRightInd w:val="0"/>
        <w:snapToGrid w:val="0"/>
        <w:spacing w:beforeLines="0" w:line="576" w:lineRule="exact"/>
        <w:ind w:firstLine="672" w:firstLineChars="210"/>
        <w:textAlignment w:val="auto"/>
        <w:rPr>
          <w:lang w:val="zh-CN"/>
        </w:rPr>
      </w:pPr>
      <w:r>
        <w:rPr>
          <w:rFonts w:hint="eastAsia"/>
          <w:color w:val="000000"/>
          <w:sz w:val="32"/>
          <w:szCs w:val="32"/>
        </w:rPr>
        <w:t>政法委下属二级单位</w:t>
      </w:r>
      <w:r>
        <w:rPr>
          <w:color w:val="000000"/>
          <w:sz w:val="32"/>
          <w:szCs w:val="32"/>
        </w:rPr>
        <w:t>0</w:t>
      </w:r>
      <w:r>
        <w:rPr>
          <w:rFonts w:hint="eastAsia"/>
          <w:color w:val="000000"/>
          <w:sz w:val="32"/>
          <w:szCs w:val="32"/>
        </w:rPr>
        <w:t>个，其中行政单位</w:t>
      </w:r>
      <w:r>
        <w:rPr>
          <w:color w:val="000000"/>
          <w:sz w:val="32"/>
          <w:szCs w:val="32"/>
        </w:rPr>
        <w:t>0</w:t>
      </w:r>
      <w:r>
        <w:rPr>
          <w:rFonts w:hint="eastAsia"/>
          <w:color w:val="000000"/>
          <w:sz w:val="32"/>
          <w:szCs w:val="32"/>
        </w:rPr>
        <w:t>个，参照公务员法管理的事业单位</w:t>
      </w:r>
      <w:r>
        <w:rPr>
          <w:color w:val="000000"/>
          <w:sz w:val="32"/>
          <w:szCs w:val="32"/>
        </w:rPr>
        <w:t>0</w:t>
      </w:r>
      <w:r>
        <w:rPr>
          <w:rFonts w:hint="eastAsia"/>
          <w:color w:val="000000"/>
          <w:sz w:val="32"/>
          <w:szCs w:val="32"/>
        </w:rPr>
        <w:t>个，其他事业单位</w:t>
      </w:r>
      <w:r>
        <w:rPr>
          <w:color w:val="000000"/>
          <w:sz w:val="32"/>
          <w:szCs w:val="32"/>
        </w:rPr>
        <w:t>0</w:t>
      </w:r>
      <w:r>
        <w:rPr>
          <w:rFonts w:hint="eastAsia"/>
          <w:color w:val="000000"/>
          <w:sz w:val="32"/>
          <w:szCs w:val="32"/>
        </w:rPr>
        <w:t>个。茂县委员会矛盾纠纷多元化解调解中心总编制</w:t>
      </w:r>
      <w:r>
        <w:rPr>
          <w:rFonts w:hint="eastAsia"/>
          <w:color w:val="000000"/>
          <w:sz w:val="32"/>
          <w:szCs w:val="32"/>
          <w:lang w:val="en-US" w:eastAsia="zh-CN"/>
        </w:rPr>
        <w:t>4</w:t>
      </w:r>
      <w:r>
        <w:rPr>
          <w:rFonts w:hint="eastAsia"/>
          <w:color w:val="000000"/>
          <w:sz w:val="32"/>
          <w:szCs w:val="32"/>
        </w:rPr>
        <w:t>名，</w:t>
      </w:r>
      <w:r>
        <w:rPr>
          <w:rFonts w:hint="eastAsia"/>
          <w:color w:val="000000"/>
          <w:sz w:val="32"/>
          <w:szCs w:val="32"/>
          <w:lang w:eastAsia="zh-CN"/>
        </w:rPr>
        <w:t>在职</w:t>
      </w:r>
      <w:r>
        <w:rPr>
          <w:rFonts w:hint="eastAsia"/>
          <w:color w:val="000000"/>
          <w:sz w:val="32"/>
          <w:szCs w:val="32"/>
        </w:rPr>
        <w:t>人员</w:t>
      </w:r>
      <w:r>
        <w:rPr>
          <w:rFonts w:hint="eastAsia"/>
          <w:color w:val="000000"/>
          <w:sz w:val="32"/>
          <w:szCs w:val="32"/>
          <w:lang w:val="en-US" w:eastAsia="zh-CN"/>
        </w:rPr>
        <w:t>3</w:t>
      </w:r>
      <w:r>
        <w:rPr>
          <w:rFonts w:hint="eastAsia"/>
          <w:color w:val="000000"/>
          <w:sz w:val="32"/>
          <w:szCs w:val="32"/>
        </w:rPr>
        <w:t>人。</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黑体" w:hAnsi="宋体" w:eastAsia="黑体" w:cs="宋体"/>
          <w:color w:val="000000"/>
          <w:kern w:val="0"/>
        </w:rPr>
      </w:pPr>
      <w:r>
        <w:rPr>
          <w:rFonts w:hint="eastAsia" w:ascii="黑体" w:hAnsi="宋体" w:eastAsia="黑体" w:cs="宋体"/>
          <w:color w:val="000000"/>
          <w:kern w:val="0"/>
        </w:rPr>
        <w:t>二、部门财政资金收支情况</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pStyle w:val="7"/>
        <w:pageBreakBefore w:val="0"/>
        <w:widowControl w:val="0"/>
        <w:kinsoku/>
        <w:wordWrap/>
        <w:overflowPunct/>
        <w:topLinePunct w:val="0"/>
        <w:autoSpaceDE/>
        <w:autoSpaceDN/>
        <w:bidi w:val="0"/>
        <w:adjustRightInd/>
        <w:snapToGrid/>
        <w:spacing w:line="576" w:lineRule="exact"/>
        <w:textAlignment w:val="auto"/>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27.46</w:t>
      </w:r>
      <w:r>
        <w:rPr>
          <w:rFonts w:ascii="仿宋" w:hAnsi="仿宋" w:eastAsia="仿宋"/>
          <w:color w:val="000000"/>
          <w:sz w:val="32"/>
          <w:szCs w:val="32"/>
        </w:rPr>
        <w:t>万元，其中：基本支出</w:t>
      </w:r>
      <w:r>
        <w:rPr>
          <w:rFonts w:hint="eastAsia" w:ascii="仿宋" w:hAnsi="仿宋" w:eastAsia="仿宋"/>
          <w:color w:val="000000"/>
          <w:sz w:val="32"/>
          <w:szCs w:val="32"/>
        </w:rPr>
        <w:t>27.46</w:t>
      </w:r>
      <w:r>
        <w:rPr>
          <w:rFonts w:ascii="仿宋" w:hAnsi="仿宋" w:eastAsia="仿宋"/>
          <w:color w:val="000000"/>
          <w:sz w:val="32"/>
          <w:szCs w:val="32"/>
        </w:rPr>
        <w:t>万元，占</w:t>
      </w:r>
      <w:r>
        <w:rPr>
          <w:rFonts w:hint="eastAsia" w:ascii="仿宋" w:hAnsi="仿宋" w:eastAsia="仿宋"/>
          <w:color w:val="000000"/>
          <w:sz w:val="32"/>
          <w:szCs w:val="32"/>
        </w:rPr>
        <w:t>100.00</w:t>
      </w:r>
      <w:r>
        <w:rPr>
          <w:rFonts w:ascii="仿宋" w:hAnsi="仿宋" w:eastAsia="仿宋"/>
          <w:color w:val="000000"/>
          <w:sz w:val="32"/>
          <w:szCs w:val="32"/>
        </w:rPr>
        <w:t>%；</w:t>
      </w:r>
      <w:bookmarkStart w:id="135" w:name="_GoBack"/>
      <w:bookmarkEnd w:id="135"/>
      <w:r>
        <w:rPr>
          <w:rFonts w:ascii="仿宋" w:hAnsi="仿宋" w:eastAsia="仿宋"/>
          <w:color w:val="000000"/>
          <w:sz w:val="32"/>
          <w:szCs w:val="32"/>
        </w:rPr>
        <w:t>项目支出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%；经营支出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%；对附属单位补助支出</w:t>
      </w:r>
      <w:r>
        <w:rPr>
          <w:rFonts w:hint="eastAsia" w:ascii="仿宋" w:hAnsi="仿宋" w:eastAsia="仿宋"/>
          <w:color w:val="000000"/>
          <w:sz w:val="32"/>
          <w:szCs w:val="32"/>
        </w:rPr>
        <w:t>0.00</w:t>
      </w:r>
      <w:r>
        <w:rPr>
          <w:rFonts w:ascii="仿宋" w:hAnsi="仿宋" w:eastAsia="仿宋"/>
          <w:color w:val="000000"/>
          <w:sz w:val="32"/>
          <w:szCs w:val="32"/>
        </w:rPr>
        <w:t>万元，占</w:t>
      </w:r>
      <w:r>
        <w:rPr>
          <w:rFonts w:hint="eastAsia" w:ascii="仿宋" w:hAnsi="仿宋" w:eastAsia="仿宋"/>
          <w:color w:val="000000"/>
          <w:sz w:val="32"/>
          <w:szCs w:val="32"/>
        </w:rPr>
        <w:t>0.00</w:t>
      </w:r>
      <w:r>
        <w:rPr>
          <w:rFonts w:ascii="仿宋" w:hAnsi="仿宋" w:eastAsia="仿宋"/>
          <w:color w:val="000000"/>
          <w:sz w:val="32"/>
          <w:szCs w:val="32"/>
        </w:rPr>
        <w:t>%。</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2021年一般公共预算财政拨款支出27.46万元，主要用于以下方面:公共安全支出21.25万元，占77.39%；社会保障和就业支出2.93万元，占10.67%；卫生健康支出1.39万元，占5.06%；住房保障支出1.89万元，占6.88%。</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其中：人员经费22.71万元，主要包括：基本工资5.93万元、津贴补贴0.91万元、绩效工资9.37万元、机关事业单位基本养老保险缴费1.95万元、职业年金缴费0.98万元、职工基本医疗保险缴费1.39万元、其他社会保障缴费0.13万元、住房公积金1.89万元、医疗费0.17万元。</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公用经费4.75万元，主要包括：办公费2.00万元、差旅费1.00万元、其他交通费用1.75万元。</w:t>
      </w:r>
    </w:p>
    <w:p>
      <w:pPr>
        <w:widowControl/>
        <w:adjustRightInd w:val="0"/>
        <w:snapToGrid w:val="0"/>
        <w:spacing w:line="580" w:lineRule="exact"/>
        <w:ind w:firstLine="640" w:firstLineChars="200"/>
        <w:contextualSpacing/>
        <w:jc w:val="left"/>
        <w:rPr>
          <w:rFonts w:hint="eastAsia" w:ascii="楷体" w:hAnsi="楷体" w:eastAsia="楷体" w:cs="宋体"/>
          <w:b/>
          <w:kern w:val="0"/>
          <w:sz w:val="32"/>
          <w:szCs w:val="32"/>
          <w:lang w:eastAsia="zh-CN"/>
        </w:rPr>
      </w:pPr>
      <w:r>
        <w:rPr>
          <w:rFonts w:hint="eastAsia" w:ascii="黑体" w:eastAsia="黑体" w:cs="宋体"/>
          <w:color w:val="000000"/>
          <w:kern w:val="0"/>
          <w:sz w:val="32"/>
          <w:szCs w:val="32"/>
          <w:shd w:val="clear" w:color="auto" w:fill="FFFFFF"/>
          <w:lang w:eastAsia="zh-CN"/>
        </w:rPr>
        <w:t>三、</w:t>
      </w:r>
      <w:r>
        <w:rPr>
          <w:rFonts w:hint="eastAsia" w:ascii="黑体" w:eastAsia="黑体" w:cs="宋体"/>
          <w:color w:val="000000"/>
          <w:kern w:val="0"/>
          <w:sz w:val="32"/>
          <w:szCs w:val="32"/>
          <w:shd w:val="clear" w:color="auto" w:fill="FFFFFF"/>
        </w:rPr>
        <w:t>部门整体预算绩效管理情况</w:t>
      </w:r>
    </w:p>
    <w:p>
      <w:pPr>
        <w:pStyle w:val="32"/>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left"/>
        <w:textAlignment w:val="auto"/>
        <w:rPr>
          <w:rFonts w:hint="eastAsia" w:ascii="楷体" w:hAnsi="楷体" w:eastAsia="楷体" w:cs="宋体"/>
          <w:b/>
          <w:kern w:val="0"/>
          <w:sz w:val="32"/>
          <w:szCs w:val="32"/>
          <w:lang w:eastAsia="zh-CN"/>
        </w:rPr>
      </w:pPr>
      <w:r>
        <w:rPr>
          <w:rFonts w:hint="eastAsia" w:ascii="楷体" w:hAnsi="楷体" w:eastAsia="楷体" w:cs="宋体"/>
          <w:b/>
          <w:kern w:val="0"/>
          <w:sz w:val="32"/>
          <w:szCs w:val="32"/>
        </w:rPr>
        <w:t>（一）</w:t>
      </w:r>
      <w:r>
        <w:rPr>
          <w:rFonts w:hint="eastAsia" w:ascii="仿宋_GB2312" w:eastAsia="仿宋_GB2312" w:cs="宋体"/>
          <w:color w:val="000000"/>
          <w:kern w:val="0"/>
          <w:sz w:val="32"/>
          <w:szCs w:val="32"/>
          <w:shd w:val="clear" w:color="auto" w:fill="FFFFFF"/>
          <w:lang w:val="zh-CN"/>
        </w:rPr>
        <w:t>部门预算管理。</w:t>
      </w:r>
    </w:p>
    <w:p>
      <w:pPr>
        <w:widowControl/>
        <w:adjustRightInd w:val="0"/>
        <w:snapToGrid w:val="0"/>
        <w:spacing w:line="576" w:lineRule="exact"/>
        <w:ind w:firstLine="640" w:firstLineChars="200"/>
        <w:jc w:val="left"/>
        <w:rPr>
          <w:rFonts w:ascii="仿宋_GB2312" w:hAnsi="宋体" w:eastAsia="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根据茂县财政局《关于开展的通知》文件精神，政法委严格按照预算编制的基本要求和时间节点认真编制</w:t>
      </w:r>
      <w:r>
        <w:rPr>
          <w:rFonts w:ascii="仿宋_GB2312" w:hAnsi="仿宋_GB2312" w:eastAsia="仿宋_GB2312" w:cs="仿宋_GB2312"/>
          <w:kern w:val="0"/>
          <w:sz w:val="32"/>
          <w:szCs w:val="32"/>
        </w:rPr>
        <w:t>2020</w:t>
      </w:r>
      <w:r>
        <w:rPr>
          <w:rFonts w:hint="eastAsia" w:ascii="仿宋_GB2312" w:hAnsi="仿宋_GB2312" w:eastAsia="仿宋_GB2312" w:cs="仿宋_GB2312"/>
          <w:kern w:val="0"/>
          <w:sz w:val="32"/>
          <w:szCs w:val="32"/>
        </w:rPr>
        <w:t>年部门预算。在预算编制中进一步夯实预算编制基础，及时更新相关基础数据，强化非税收入管理和政府采购预算编制工作，严格控制“三公”经费、会议费和培训费预算，预算编制做到了及时、完整、准确、合理、高效。</w:t>
      </w:r>
    </w:p>
    <w:p>
      <w:pPr>
        <w:widowControl/>
        <w:adjustRightInd w:val="0"/>
        <w:snapToGrid w:val="0"/>
        <w:spacing w:line="576" w:lineRule="exact"/>
        <w:ind w:firstLine="643" w:firstLineChars="200"/>
        <w:jc w:val="left"/>
        <w:rPr>
          <w:rFonts w:ascii="仿宋_GB2312" w:hAnsi="宋体" w:eastAsia="仿宋_GB2312"/>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spacing w:line="576"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总体来看，基本支出和运转类专项保障了机关正常运转，确保了政法委履行职能职责。从实际支出的决算数据看，政法委机关认真执行厉行节约相关规章制度，严格控制和压缩“三公经费”和会议费支出。</w:t>
      </w:r>
      <w:r>
        <w:rPr>
          <w:rFonts w:hint="eastAsia" w:ascii="仿宋_GB2312" w:hAnsi="仿宋_GB2312" w:eastAsia="仿宋_GB2312" w:cs="仿宋_GB2312"/>
          <w:sz w:val="32"/>
          <w:szCs w:val="32"/>
        </w:rPr>
        <w:t>我委认真按照中央“八项规定和六项禁令</w:t>
      </w:r>
      <w:r>
        <w:rPr>
          <w:rFonts w:hint="eastAsia" w:ascii="仿宋_GB2312" w:hAnsi="仿宋" w:eastAsia="仿宋_GB2312" w:cs="仿宋_GB2312"/>
          <w:sz w:val="32"/>
          <w:szCs w:val="32"/>
        </w:rPr>
        <w:t>”、省委省政府“十项规定”和州委州政府“八条意见”及县委有关规定开展工作，改进工作作风，严肃财经纪律，维护了财经秩序。</w:t>
      </w:r>
      <w:r>
        <w:rPr>
          <w:rFonts w:hint="eastAsia" w:ascii="仿宋_GB2312" w:hAnsi="仿宋_GB2312" w:eastAsia="仿宋_GB2312" w:cs="仿宋_GB2312"/>
          <w:kern w:val="0"/>
          <w:sz w:val="32"/>
          <w:szCs w:val="32"/>
        </w:rPr>
        <w:t>根据文件精神，我委及时将此项工作进行部署和安排，按照</w:t>
      </w:r>
      <w:r>
        <w:rPr>
          <w:rFonts w:hint="eastAsia" w:ascii="仿宋_GB2312" w:hAnsi="仿宋_GB2312" w:cs="仿宋_GB2312"/>
          <w:kern w:val="0"/>
          <w:sz w:val="32"/>
          <w:szCs w:val="32"/>
          <w:lang w:val="en-US" w:eastAsia="zh-CN"/>
        </w:rPr>
        <w:t>2021年</w:t>
      </w:r>
      <w:r>
        <w:rPr>
          <w:rFonts w:hint="eastAsia" w:ascii="仿宋_GB2312" w:hAnsi="仿宋_GB2312" w:eastAsia="仿宋_GB2312" w:cs="仿宋_GB2312"/>
          <w:kern w:val="0"/>
          <w:sz w:val="32"/>
          <w:szCs w:val="32"/>
        </w:rPr>
        <w:t>部门整体支出绩效评价指标体系结合年初预算设定的绩效目标完成情况进行自评打分，自评情况和年初绩效目标完成情况进行了汇总，最后我委自评得分</w:t>
      </w:r>
      <w:r>
        <w:rPr>
          <w:rFonts w:hint="eastAsia" w:ascii="仿宋_GB2312" w:hAnsi="仿宋_GB2312" w:cs="仿宋_GB2312"/>
          <w:kern w:val="0"/>
          <w:sz w:val="32"/>
          <w:szCs w:val="32"/>
          <w:lang w:val="en-US" w:eastAsia="zh-CN"/>
        </w:rPr>
        <w:t>89</w:t>
      </w:r>
      <w:r>
        <w:rPr>
          <w:rFonts w:hint="eastAsia" w:ascii="仿宋_GB2312" w:hAnsi="仿宋_GB2312" w:eastAsia="仿宋_GB2312" w:cs="仿宋_GB2312"/>
          <w:kern w:val="0"/>
          <w:sz w:val="32"/>
          <w:szCs w:val="32"/>
        </w:rPr>
        <w:t>分。</w:t>
      </w:r>
    </w:p>
    <w:p>
      <w:pPr>
        <w:pStyle w:val="32"/>
        <w:keepNext w:val="0"/>
        <w:keepLines w:val="0"/>
        <w:pageBreakBefore w:val="0"/>
        <w:widowControl/>
        <w:kinsoku/>
        <w:wordWrap/>
        <w:overflowPunct/>
        <w:topLinePunct w:val="0"/>
        <w:autoSpaceDE/>
        <w:autoSpaceDN/>
        <w:bidi w:val="0"/>
        <w:adjustRightInd w:val="0"/>
        <w:snapToGrid w:val="0"/>
        <w:spacing w:line="576" w:lineRule="exact"/>
        <w:ind w:firstLine="720"/>
        <w:jc w:val="left"/>
        <w:textAlignment w:val="auto"/>
        <w:rPr>
          <w:rFonts w:ascii="黑体" w:hAnsi="宋体" w:eastAsia="黑体" w:cs="宋体"/>
          <w:color w:val="000000"/>
          <w:kern w:val="0"/>
        </w:rPr>
      </w:pPr>
      <w:r>
        <w:rPr>
          <w:rFonts w:hint="eastAsia" w:ascii="黑体" w:hAnsi="宋体" w:eastAsia="黑体" w:cs="宋体"/>
          <w:color w:val="000000"/>
          <w:kern w:val="0"/>
        </w:rPr>
        <w:t>四、评价结论及建议</w:t>
      </w:r>
    </w:p>
    <w:p>
      <w:pPr>
        <w:pStyle w:val="32"/>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（一）评价结论</w:t>
      </w:r>
    </w:p>
    <w:p>
      <w:pPr>
        <w:pStyle w:val="32"/>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从自评情况来看，政法委机关支出绩效水平较高，整体上完成了年初设定的绩效目标，保障了单位的正常运转，降低了行政运行成本，促进了社会和谐稳定，充分发挥了财政资金的经济效益、社会效益。</w:t>
      </w:r>
    </w:p>
    <w:p>
      <w:pPr>
        <w:pStyle w:val="32"/>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（二）存在问题</w:t>
      </w:r>
    </w:p>
    <w:p>
      <w:pPr>
        <w:pStyle w:val="32"/>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从绩效评价看，部门支出预算和绩效评价工作还存在一些具体问题，一是单位对部门支出绩效评价工作的认识理解不够，年初预设的绩效指标不合适、指标较粗；二是公共管理无法用量化指标来进行考评</w:t>
      </w:r>
      <w:r>
        <w:rPr>
          <w:rFonts w:hint="eastAsia" w:ascii="仿宋_GB2312" w:hAnsi="仿宋_GB2312" w:cs="仿宋_GB2312"/>
          <w:kern w:val="0"/>
          <w:sz w:val="32"/>
          <w:szCs w:val="32"/>
          <w:lang w:eastAsia="zh-CN"/>
        </w:rPr>
        <w:t>。</w:t>
      </w:r>
    </w:p>
    <w:p>
      <w:pPr>
        <w:pStyle w:val="32"/>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（三）改进建议</w:t>
      </w:r>
    </w:p>
    <w:p>
      <w:pPr>
        <w:pStyle w:val="32"/>
        <w:keepNext w:val="0"/>
        <w:keepLines w:val="0"/>
        <w:pageBreakBefore w:val="0"/>
        <w:kinsoku/>
        <w:wordWrap/>
        <w:overflowPunct/>
        <w:topLinePunct w:val="0"/>
        <w:autoSpaceDE/>
        <w:autoSpaceDN/>
        <w:bidi w:val="0"/>
        <w:spacing w:line="576" w:lineRule="exact"/>
        <w:ind w:firstLine="640" w:firstLineChars="200"/>
        <w:textAlignment w:val="auto"/>
        <w:rPr>
          <w:rFonts w:ascii="黑体" w:hAnsi="黑体" w:eastAsia="黑体"/>
          <w:sz w:val="30"/>
          <w:szCs w:val="30"/>
        </w:rPr>
      </w:pPr>
      <w:r>
        <w:rPr>
          <w:rFonts w:hint="eastAsia" w:ascii="仿宋_GB2312" w:hAnsi="仿宋_GB2312" w:eastAsia="仿宋_GB2312" w:cs="仿宋_GB2312"/>
          <w:kern w:val="0"/>
          <w:sz w:val="32"/>
          <w:szCs w:val="32"/>
        </w:rPr>
        <w:t>绩效评价是深入贯彻落实新《预算法》要求的各项重要内容，建议财政加强对绩效评价工作的培训和指导，进一步优化绩效考核指标体系，做到合理性与可操作性的有机统一。</w:t>
      </w:r>
    </w:p>
    <w:p>
      <w:pPr>
        <w:pStyle w:val="32"/>
        <w:keepNext w:val="0"/>
        <w:keepLines w:val="0"/>
        <w:pageBreakBefore w:val="0"/>
        <w:kinsoku/>
        <w:wordWrap/>
        <w:overflowPunct/>
        <w:topLinePunct w:val="0"/>
        <w:autoSpaceDE/>
        <w:autoSpaceDN/>
        <w:bidi w:val="0"/>
        <w:spacing w:line="576" w:lineRule="exact"/>
        <w:textAlignment w:val="auto"/>
        <w:rPr>
          <w:rFonts w:ascii="黑体" w:hAnsi="黑体" w:eastAsia="黑体"/>
          <w:sz w:val="30"/>
          <w:szCs w:val="30"/>
        </w:rPr>
      </w:pPr>
    </w:p>
    <w:p>
      <w:pPr>
        <w:pStyle w:val="32"/>
        <w:keepNext w:val="0"/>
        <w:keepLines w:val="0"/>
        <w:pageBreakBefore w:val="0"/>
        <w:kinsoku/>
        <w:wordWrap/>
        <w:overflowPunct/>
        <w:topLinePunct w:val="0"/>
        <w:autoSpaceDE/>
        <w:autoSpaceDN/>
        <w:bidi w:val="0"/>
        <w:spacing w:line="576" w:lineRule="exact"/>
        <w:textAlignment w:val="auto"/>
        <w:rPr>
          <w:rFonts w:ascii="黑体" w:hAnsi="黑体" w:eastAsia="黑体"/>
          <w:sz w:val="30"/>
          <w:szCs w:val="30"/>
        </w:rPr>
      </w:pPr>
    </w:p>
    <w:p>
      <w:pPr>
        <w:spacing w:line="600" w:lineRule="exact"/>
        <w:jc w:val="center"/>
        <w:outlineLvl w:val="0"/>
        <w:rPr>
          <w:rFonts w:hint="eastAsia" w:ascii="黑体" w:eastAsia="黑体"/>
          <w:color w:val="000000"/>
          <w:sz w:val="44"/>
          <w:szCs w:val="44"/>
        </w:rPr>
      </w:pPr>
      <w:bookmarkStart w:id="76" w:name="_Toc79163885"/>
      <w:bookmarkStart w:id="77" w:name="_Toc79163635"/>
      <w:bookmarkStart w:id="78" w:name="_Toc15396618"/>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61"/>
          <w:rFonts w:ascii="黑体" w:eastAsia="黑体"/>
          <w:b w:val="0"/>
        </w:rPr>
      </w:pPr>
      <w:bookmarkStart w:id="79" w:name="_Toc25028"/>
      <w:r>
        <w:rPr>
          <w:rFonts w:hint="eastAsia" w:ascii="黑体" w:eastAsia="黑体"/>
          <w:color w:val="000000"/>
          <w:sz w:val="44"/>
          <w:szCs w:val="44"/>
        </w:rPr>
        <w:t>第</w:t>
      </w:r>
      <w:r>
        <w:rPr>
          <w:rStyle w:val="61"/>
          <w:rFonts w:hint="eastAsia" w:ascii="黑体" w:eastAsia="黑体"/>
          <w:b w:val="0"/>
        </w:rPr>
        <w:t>五部分</w:t>
      </w:r>
      <w:r>
        <w:rPr>
          <w:rStyle w:val="61"/>
          <w:rFonts w:ascii="黑体" w:eastAsia="黑体"/>
          <w:b w:val="0"/>
        </w:rPr>
        <w:t xml:space="preserve"> </w:t>
      </w:r>
      <w:r>
        <w:rPr>
          <w:rStyle w:val="61"/>
          <w:rFonts w:hint="eastAsia" w:ascii="黑体" w:eastAsia="黑体"/>
          <w:b w:val="0"/>
        </w:rPr>
        <w:t>附表</w:t>
      </w:r>
      <w:bookmarkEnd w:id="76"/>
      <w:bookmarkEnd w:id="77"/>
      <w:bookmarkEnd w:id="78"/>
      <w:bookmarkEnd w:id="79"/>
    </w:p>
    <w:p>
      <w:pPr>
        <w:pStyle w:val="5"/>
        <w:rPr>
          <w:rFonts w:ascii="仿宋" w:eastAsia="仿宋"/>
          <w:color w:val="000000"/>
        </w:rPr>
      </w:pPr>
      <w:bookmarkStart w:id="80" w:name="_Toc15396619"/>
      <w:bookmarkStart w:id="81" w:name="_Toc79163636"/>
      <w:bookmarkStart w:id="82" w:name="_Toc79163886"/>
      <w:bookmarkStart w:id="83" w:name="_Toc23666"/>
      <w:r>
        <w:rPr>
          <w:rFonts w:hint="eastAsia" w:ascii="仿宋" w:eastAsia="仿宋"/>
          <w:b w:val="0"/>
          <w:color w:val="000000"/>
        </w:rPr>
        <w:t>一、收</w:t>
      </w:r>
      <w:r>
        <w:rPr>
          <w:rStyle w:val="62"/>
          <w:rFonts w:hint="eastAsia" w:ascii="仿宋" w:eastAsia="仿宋"/>
          <w:b w:val="0"/>
          <w:bCs w:val="0"/>
        </w:rPr>
        <w:t>入支出决算总表</w:t>
      </w:r>
      <w:bookmarkEnd w:id="80"/>
      <w:bookmarkEnd w:id="81"/>
      <w:bookmarkEnd w:id="82"/>
      <w:bookmarkEnd w:id="83"/>
    </w:p>
    <w:p>
      <w:pPr>
        <w:pStyle w:val="5"/>
        <w:rPr>
          <w:rFonts w:ascii="仿宋" w:eastAsia="仿宋"/>
          <w:color w:val="000000"/>
        </w:rPr>
      </w:pPr>
      <w:bookmarkStart w:id="84" w:name="_Toc79163637"/>
      <w:bookmarkStart w:id="85" w:name="_Toc15396620"/>
      <w:bookmarkStart w:id="86" w:name="_Toc79163887"/>
      <w:bookmarkStart w:id="87" w:name="_Toc11018"/>
      <w:r>
        <w:rPr>
          <w:rFonts w:hint="eastAsia" w:ascii="仿宋" w:eastAsia="仿宋"/>
          <w:b w:val="0"/>
          <w:color w:val="000000"/>
        </w:rPr>
        <w:t>二、收</w:t>
      </w:r>
      <w:r>
        <w:rPr>
          <w:rStyle w:val="62"/>
          <w:rFonts w:hint="eastAsia" w:ascii="仿宋" w:eastAsia="仿宋"/>
          <w:b w:val="0"/>
          <w:bCs w:val="0"/>
        </w:rPr>
        <w:t>入决算表</w:t>
      </w:r>
      <w:bookmarkEnd w:id="84"/>
      <w:bookmarkEnd w:id="85"/>
      <w:bookmarkEnd w:id="86"/>
      <w:bookmarkEnd w:id="87"/>
    </w:p>
    <w:p>
      <w:pPr>
        <w:pStyle w:val="5"/>
        <w:rPr>
          <w:rFonts w:ascii="仿宋" w:eastAsia="仿宋"/>
          <w:color w:val="000000"/>
        </w:rPr>
      </w:pPr>
      <w:bookmarkStart w:id="88" w:name="_Toc15396621"/>
      <w:bookmarkStart w:id="89" w:name="_Toc79163638"/>
      <w:bookmarkStart w:id="90" w:name="_Toc79163888"/>
      <w:bookmarkStart w:id="91" w:name="_Toc4937"/>
      <w:r>
        <w:rPr>
          <w:rStyle w:val="62"/>
          <w:rFonts w:hint="eastAsia" w:ascii="仿宋" w:eastAsia="仿宋"/>
          <w:b w:val="0"/>
          <w:bCs w:val="0"/>
        </w:rPr>
        <w:t>三、</w:t>
      </w:r>
      <w:r>
        <w:rPr>
          <w:rFonts w:hint="eastAsia" w:ascii="仿宋" w:eastAsia="仿宋"/>
          <w:b w:val="0"/>
          <w:color w:val="000000"/>
        </w:rPr>
        <w:t>支</w:t>
      </w:r>
      <w:r>
        <w:rPr>
          <w:rStyle w:val="62"/>
          <w:rFonts w:hint="eastAsia" w:ascii="仿宋" w:eastAsia="仿宋"/>
          <w:b w:val="0"/>
          <w:bCs w:val="0"/>
        </w:rPr>
        <w:t>出决算表</w:t>
      </w:r>
      <w:bookmarkEnd w:id="88"/>
      <w:bookmarkEnd w:id="89"/>
      <w:bookmarkEnd w:id="90"/>
      <w:bookmarkEnd w:id="91"/>
    </w:p>
    <w:p>
      <w:pPr>
        <w:pStyle w:val="5"/>
        <w:rPr>
          <w:rFonts w:ascii="仿宋" w:eastAsia="仿宋"/>
          <w:b w:val="0"/>
          <w:color w:val="000000"/>
        </w:rPr>
      </w:pPr>
      <w:bookmarkStart w:id="92" w:name="_Toc15396622"/>
      <w:bookmarkStart w:id="93" w:name="_Toc79163639"/>
      <w:bookmarkStart w:id="94" w:name="_Toc79163889"/>
      <w:bookmarkStart w:id="95" w:name="_Toc28329"/>
      <w:r>
        <w:rPr>
          <w:rStyle w:val="62"/>
          <w:rFonts w:hint="eastAsia" w:ascii="仿宋" w:eastAsia="仿宋"/>
          <w:b w:val="0"/>
          <w:bCs w:val="0"/>
        </w:rPr>
        <w:t>四、</w:t>
      </w:r>
      <w:r>
        <w:rPr>
          <w:rFonts w:hint="eastAsia" w:ascii="仿宋" w:eastAsia="仿宋"/>
          <w:b w:val="0"/>
          <w:color w:val="000000"/>
        </w:rPr>
        <w:t>财</w:t>
      </w:r>
      <w:r>
        <w:rPr>
          <w:rStyle w:val="62"/>
          <w:rFonts w:hint="eastAsia" w:ascii="仿宋" w:eastAsia="仿宋"/>
          <w:b w:val="0"/>
          <w:bCs w:val="0"/>
        </w:rPr>
        <w:t>政拨款收入支出决算总表</w:t>
      </w:r>
      <w:bookmarkEnd w:id="92"/>
      <w:bookmarkEnd w:id="93"/>
      <w:bookmarkEnd w:id="94"/>
      <w:bookmarkEnd w:id="95"/>
    </w:p>
    <w:p>
      <w:pPr>
        <w:pStyle w:val="5"/>
        <w:rPr>
          <w:rStyle w:val="62"/>
          <w:rFonts w:ascii="仿宋" w:eastAsia="仿宋"/>
          <w:b w:val="0"/>
          <w:bCs w:val="0"/>
        </w:rPr>
      </w:pPr>
      <w:bookmarkStart w:id="96" w:name="_Toc15396623"/>
      <w:bookmarkStart w:id="97" w:name="_Toc79163640"/>
      <w:bookmarkStart w:id="98" w:name="_Toc79163890"/>
      <w:bookmarkStart w:id="99" w:name="_Toc12192"/>
      <w:r>
        <w:rPr>
          <w:rStyle w:val="62"/>
          <w:rFonts w:hint="eastAsia" w:ascii="仿宋" w:eastAsia="仿宋"/>
          <w:b w:val="0"/>
          <w:bCs w:val="0"/>
        </w:rPr>
        <w:t>五、</w:t>
      </w:r>
      <w:r>
        <w:rPr>
          <w:rFonts w:hint="eastAsia" w:ascii="仿宋" w:eastAsia="仿宋"/>
          <w:b w:val="0"/>
          <w:color w:val="000000"/>
        </w:rPr>
        <w:t>财</w:t>
      </w:r>
      <w:r>
        <w:rPr>
          <w:rStyle w:val="62"/>
          <w:rFonts w:hint="eastAsia" w:ascii="仿宋" w:eastAsia="仿宋"/>
          <w:b w:val="0"/>
          <w:bCs w:val="0"/>
        </w:rPr>
        <w:t>政拨款支出决算明细表</w:t>
      </w:r>
      <w:bookmarkEnd w:id="96"/>
      <w:bookmarkEnd w:id="97"/>
      <w:bookmarkEnd w:id="98"/>
      <w:bookmarkEnd w:id="99"/>
      <w:bookmarkStart w:id="100" w:name="_Toc15396624"/>
    </w:p>
    <w:p>
      <w:pPr>
        <w:pStyle w:val="5"/>
        <w:rPr>
          <w:rFonts w:ascii="仿宋" w:eastAsia="仿宋"/>
          <w:color w:val="000000"/>
        </w:rPr>
      </w:pPr>
      <w:bookmarkStart w:id="101" w:name="_Toc79163641"/>
      <w:bookmarkStart w:id="102" w:name="_Toc79163891"/>
      <w:bookmarkStart w:id="103" w:name="_Toc1314"/>
      <w:r>
        <w:rPr>
          <w:rStyle w:val="62"/>
          <w:rFonts w:hint="eastAsia" w:ascii="仿宋" w:eastAsia="仿宋"/>
          <w:b w:val="0"/>
          <w:bCs w:val="0"/>
        </w:rPr>
        <w:t>六、</w:t>
      </w:r>
      <w:r>
        <w:rPr>
          <w:rFonts w:hint="eastAsia" w:ascii="仿宋" w:eastAsia="仿宋"/>
          <w:b w:val="0"/>
          <w:color w:val="000000"/>
        </w:rPr>
        <w:t>一</w:t>
      </w:r>
      <w:r>
        <w:rPr>
          <w:rStyle w:val="62"/>
          <w:rFonts w:hint="eastAsia" w:ascii="仿宋" w:eastAsia="仿宋"/>
          <w:b w:val="0"/>
          <w:bCs w:val="0"/>
        </w:rPr>
        <w:t>般公共预算财政拨款支出决算表</w:t>
      </w:r>
      <w:bookmarkEnd w:id="100"/>
      <w:bookmarkEnd w:id="101"/>
      <w:bookmarkEnd w:id="102"/>
      <w:bookmarkEnd w:id="103"/>
    </w:p>
    <w:p>
      <w:pPr>
        <w:pStyle w:val="5"/>
        <w:rPr>
          <w:rFonts w:ascii="仿宋" w:eastAsia="仿宋"/>
          <w:color w:val="000000"/>
        </w:rPr>
      </w:pPr>
      <w:bookmarkStart w:id="104" w:name="_Toc15396625"/>
      <w:bookmarkStart w:id="105" w:name="_Toc79163642"/>
      <w:bookmarkStart w:id="106" w:name="_Toc79163892"/>
      <w:bookmarkStart w:id="107" w:name="_Toc18009"/>
      <w:r>
        <w:rPr>
          <w:rStyle w:val="62"/>
          <w:rFonts w:hint="eastAsia" w:ascii="仿宋" w:eastAsia="仿宋"/>
          <w:b w:val="0"/>
          <w:bCs w:val="0"/>
        </w:rPr>
        <w:t>七、</w:t>
      </w:r>
      <w:r>
        <w:rPr>
          <w:rFonts w:hint="eastAsia" w:ascii="仿宋" w:eastAsia="仿宋"/>
          <w:b w:val="0"/>
          <w:color w:val="000000"/>
        </w:rPr>
        <w:t>一</w:t>
      </w:r>
      <w:r>
        <w:rPr>
          <w:rStyle w:val="62"/>
          <w:rFonts w:hint="eastAsia" w:ascii="仿宋" w:eastAsia="仿宋"/>
          <w:b w:val="0"/>
          <w:bCs w:val="0"/>
        </w:rPr>
        <w:t>般公共预算财政拨款支出决算明细表</w:t>
      </w:r>
      <w:bookmarkEnd w:id="104"/>
      <w:bookmarkEnd w:id="105"/>
      <w:bookmarkEnd w:id="106"/>
      <w:bookmarkEnd w:id="107"/>
    </w:p>
    <w:p>
      <w:pPr>
        <w:pStyle w:val="5"/>
        <w:rPr>
          <w:rFonts w:ascii="仿宋" w:eastAsia="仿宋"/>
          <w:color w:val="000000"/>
        </w:rPr>
      </w:pPr>
      <w:bookmarkStart w:id="108" w:name="_Toc15396626"/>
      <w:bookmarkStart w:id="109" w:name="_Toc79163643"/>
      <w:bookmarkStart w:id="110" w:name="_Toc79163893"/>
      <w:bookmarkStart w:id="111" w:name="_Toc23722"/>
      <w:r>
        <w:rPr>
          <w:rStyle w:val="62"/>
          <w:rFonts w:hint="eastAsia" w:ascii="仿宋" w:eastAsia="仿宋"/>
          <w:b w:val="0"/>
          <w:bCs w:val="0"/>
        </w:rPr>
        <w:t>八、</w:t>
      </w:r>
      <w:r>
        <w:rPr>
          <w:rFonts w:hint="eastAsia" w:ascii="仿宋" w:eastAsia="仿宋"/>
          <w:b w:val="0"/>
          <w:color w:val="000000"/>
        </w:rPr>
        <w:t>一</w:t>
      </w:r>
      <w:r>
        <w:rPr>
          <w:rStyle w:val="62"/>
          <w:rFonts w:hint="eastAsia" w:ascii="仿宋" w:eastAsia="仿宋"/>
          <w:b w:val="0"/>
          <w:bCs w:val="0"/>
        </w:rPr>
        <w:t>般公共预算财政拨款基本支出决算表</w:t>
      </w:r>
      <w:bookmarkEnd w:id="108"/>
      <w:bookmarkEnd w:id="109"/>
      <w:bookmarkEnd w:id="110"/>
      <w:bookmarkEnd w:id="111"/>
    </w:p>
    <w:p>
      <w:pPr>
        <w:pStyle w:val="5"/>
        <w:rPr>
          <w:rFonts w:ascii="仿宋" w:eastAsia="仿宋"/>
          <w:color w:val="000000"/>
        </w:rPr>
      </w:pPr>
      <w:bookmarkStart w:id="112" w:name="_Toc15396627"/>
      <w:bookmarkStart w:id="113" w:name="_Toc79163644"/>
      <w:bookmarkStart w:id="114" w:name="_Toc79163894"/>
      <w:bookmarkStart w:id="115" w:name="_Toc28230"/>
      <w:r>
        <w:rPr>
          <w:rStyle w:val="62"/>
          <w:rFonts w:hint="eastAsia" w:ascii="仿宋" w:eastAsia="仿宋"/>
          <w:b w:val="0"/>
          <w:bCs w:val="0"/>
        </w:rPr>
        <w:t>九、</w:t>
      </w:r>
      <w:r>
        <w:rPr>
          <w:rFonts w:hint="eastAsia" w:ascii="仿宋" w:eastAsia="仿宋"/>
          <w:b w:val="0"/>
          <w:color w:val="000000"/>
        </w:rPr>
        <w:t>一</w:t>
      </w:r>
      <w:r>
        <w:rPr>
          <w:rStyle w:val="62"/>
          <w:rFonts w:hint="eastAsia" w:ascii="仿宋" w:eastAsia="仿宋"/>
          <w:b w:val="0"/>
          <w:bCs w:val="0"/>
        </w:rPr>
        <w:t>般公共预算财政拨款项目支出决算表</w:t>
      </w:r>
      <w:bookmarkEnd w:id="112"/>
      <w:bookmarkEnd w:id="113"/>
      <w:bookmarkEnd w:id="114"/>
      <w:bookmarkEnd w:id="115"/>
    </w:p>
    <w:p>
      <w:pPr>
        <w:pStyle w:val="5"/>
        <w:rPr>
          <w:rFonts w:ascii="仿宋" w:eastAsia="仿宋"/>
          <w:color w:val="000000"/>
        </w:rPr>
      </w:pPr>
      <w:bookmarkStart w:id="116" w:name="_Toc15396628"/>
      <w:bookmarkStart w:id="117" w:name="_Toc79163645"/>
      <w:bookmarkStart w:id="118" w:name="_Toc79163895"/>
      <w:bookmarkStart w:id="119" w:name="_Toc21625"/>
      <w:r>
        <w:rPr>
          <w:rStyle w:val="62"/>
          <w:rFonts w:hint="eastAsia" w:ascii="仿宋" w:eastAsia="仿宋"/>
          <w:b w:val="0"/>
          <w:bCs w:val="0"/>
        </w:rPr>
        <w:t>十、</w:t>
      </w:r>
      <w:r>
        <w:rPr>
          <w:rFonts w:hint="eastAsia" w:ascii="仿宋" w:eastAsia="仿宋"/>
          <w:b w:val="0"/>
          <w:color w:val="000000"/>
        </w:rPr>
        <w:t>一</w:t>
      </w:r>
      <w:r>
        <w:rPr>
          <w:rStyle w:val="62"/>
          <w:rFonts w:hint="eastAsia" w:ascii="仿宋" w:eastAsia="仿宋"/>
          <w:b w:val="0"/>
          <w:bCs w:val="0"/>
        </w:rPr>
        <w:t>般公共预算财政拨款“三公”经费支出决算表</w:t>
      </w:r>
      <w:bookmarkEnd w:id="116"/>
      <w:bookmarkEnd w:id="117"/>
      <w:bookmarkEnd w:id="118"/>
      <w:bookmarkEnd w:id="119"/>
    </w:p>
    <w:p>
      <w:pPr>
        <w:pStyle w:val="5"/>
        <w:rPr>
          <w:rFonts w:ascii="仿宋" w:eastAsia="仿宋"/>
          <w:color w:val="000000"/>
        </w:rPr>
      </w:pPr>
      <w:bookmarkStart w:id="120" w:name="_Toc15396629"/>
      <w:bookmarkStart w:id="121" w:name="_Toc79163646"/>
      <w:bookmarkStart w:id="122" w:name="_Toc79163896"/>
      <w:bookmarkStart w:id="123" w:name="_Toc18113"/>
      <w:r>
        <w:rPr>
          <w:rStyle w:val="62"/>
          <w:rFonts w:hint="eastAsia" w:ascii="仿宋" w:eastAsia="仿宋"/>
          <w:b w:val="0"/>
          <w:bCs w:val="0"/>
        </w:rPr>
        <w:t>十一、</w:t>
      </w:r>
      <w:r>
        <w:rPr>
          <w:rFonts w:hint="eastAsia" w:ascii="仿宋" w:eastAsia="仿宋"/>
          <w:b w:val="0"/>
          <w:color w:val="000000"/>
        </w:rPr>
        <w:t>政</w:t>
      </w:r>
      <w:r>
        <w:rPr>
          <w:rStyle w:val="62"/>
          <w:rFonts w:hint="eastAsia" w:ascii="仿宋" w:eastAsia="仿宋"/>
          <w:b w:val="0"/>
          <w:bCs w:val="0"/>
        </w:rPr>
        <w:t>府性基金预算财政拨款收入支出决算表</w:t>
      </w:r>
      <w:bookmarkEnd w:id="120"/>
      <w:bookmarkEnd w:id="121"/>
      <w:bookmarkEnd w:id="122"/>
      <w:bookmarkEnd w:id="123"/>
    </w:p>
    <w:p>
      <w:pPr>
        <w:pStyle w:val="5"/>
        <w:rPr>
          <w:rFonts w:ascii="仿宋" w:eastAsia="仿宋"/>
          <w:color w:val="000000"/>
        </w:rPr>
      </w:pPr>
      <w:bookmarkStart w:id="124" w:name="_Toc15396630"/>
      <w:bookmarkStart w:id="125" w:name="_Toc79163647"/>
      <w:bookmarkStart w:id="126" w:name="_Toc79163897"/>
      <w:bookmarkStart w:id="127" w:name="_Toc24436"/>
      <w:r>
        <w:rPr>
          <w:rStyle w:val="62"/>
          <w:rFonts w:hint="eastAsia" w:ascii="仿宋" w:eastAsia="仿宋"/>
          <w:b w:val="0"/>
          <w:bCs w:val="0"/>
        </w:rPr>
        <w:t>十二、</w:t>
      </w:r>
      <w:r>
        <w:rPr>
          <w:rFonts w:hint="eastAsia" w:ascii="仿宋" w:eastAsia="仿宋"/>
          <w:b w:val="0"/>
          <w:color w:val="000000"/>
        </w:rPr>
        <w:t>政</w:t>
      </w:r>
      <w:r>
        <w:rPr>
          <w:rStyle w:val="62"/>
          <w:rFonts w:hint="eastAsia" w:ascii="仿宋" w:eastAsia="仿宋"/>
          <w:b w:val="0"/>
          <w:bCs w:val="0"/>
        </w:rPr>
        <w:t>府性基金预算财政拨款“三公”经费支出决算表</w:t>
      </w:r>
      <w:bookmarkEnd w:id="124"/>
      <w:bookmarkEnd w:id="125"/>
      <w:bookmarkEnd w:id="126"/>
      <w:bookmarkEnd w:id="127"/>
    </w:p>
    <w:p>
      <w:pPr>
        <w:pStyle w:val="5"/>
        <w:rPr>
          <w:rStyle w:val="62"/>
          <w:rFonts w:ascii="仿宋" w:eastAsia="仿宋"/>
          <w:b w:val="0"/>
          <w:bCs w:val="0"/>
        </w:rPr>
      </w:pPr>
      <w:bookmarkStart w:id="128" w:name="_Toc15396631"/>
      <w:bookmarkStart w:id="129" w:name="_Toc79163648"/>
      <w:bookmarkStart w:id="130" w:name="_Toc79163898"/>
      <w:bookmarkStart w:id="131" w:name="_Toc27690"/>
      <w:r>
        <w:rPr>
          <w:rStyle w:val="62"/>
          <w:rFonts w:hint="eastAsia" w:ascii="仿宋" w:eastAsia="仿宋"/>
          <w:b w:val="0"/>
          <w:bCs w:val="0"/>
        </w:rPr>
        <w:t>十三、</w:t>
      </w:r>
      <w:r>
        <w:rPr>
          <w:rFonts w:hint="eastAsia" w:ascii="仿宋" w:eastAsia="仿宋"/>
          <w:b w:val="0"/>
          <w:color w:val="000000"/>
        </w:rPr>
        <w:t>国</w:t>
      </w:r>
      <w:r>
        <w:rPr>
          <w:rStyle w:val="62"/>
          <w:rFonts w:hint="eastAsia" w:ascii="仿宋" w:eastAsia="仿宋"/>
          <w:b w:val="0"/>
          <w:bCs w:val="0"/>
        </w:rPr>
        <w:t>有资本经营预算财政拨款支出决算表</w:t>
      </w:r>
      <w:bookmarkEnd w:id="128"/>
      <w:bookmarkEnd w:id="129"/>
      <w:bookmarkEnd w:id="130"/>
      <w:bookmarkEnd w:id="131"/>
    </w:p>
    <w:p>
      <w:pPr>
        <w:pStyle w:val="5"/>
        <w:rPr>
          <w:rStyle w:val="62"/>
          <w:rFonts w:ascii="仿宋" w:eastAsia="仿宋"/>
          <w:b w:val="0"/>
          <w:bCs w:val="0"/>
        </w:rPr>
      </w:pPr>
      <w:bookmarkStart w:id="132" w:name="_Toc79163649"/>
      <w:bookmarkStart w:id="133" w:name="_Toc79163899"/>
      <w:bookmarkStart w:id="134" w:name="_Toc4422"/>
      <w:r>
        <w:rPr>
          <w:rStyle w:val="62"/>
          <w:rFonts w:hint="eastAsia" w:ascii="仿宋" w:eastAsia="仿宋"/>
          <w:b w:val="0"/>
          <w:bCs w:val="0"/>
        </w:rPr>
        <w:t>十四、国有资本经营预算财政拨款支出决算表</w:t>
      </w:r>
      <w:bookmarkEnd w:id="132"/>
      <w:bookmarkEnd w:id="133"/>
      <w:bookmarkEnd w:id="134"/>
    </w:p>
    <w:p>
      <w:pPr>
        <w:pStyle w:val="5"/>
        <w:pageBreakBefore w:val="0"/>
        <w:kinsoku/>
        <w:wordWrap/>
        <w:overflowPunct/>
        <w:topLinePunct w:val="0"/>
        <w:autoSpaceDE/>
        <w:autoSpaceDN/>
        <w:bidi w:val="0"/>
        <w:spacing w:before="0" w:after="0" w:line="576" w:lineRule="exact"/>
        <w:ind w:firstLine="640" w:firstLineChars="200"/>
        <w:textAlignment w:val="auto"/>
        <w:rPr>
          <w:rFonts w:ascii="黑体" w:eastAsia="黑体" w:cs="Times New Roman"/>
          <w:b w:val="0"/>
          <w:color w:val="00000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4389C9"/>
    <w:multiLevelType w:val="singleLevel"/>
    <w:tmpl w:val="D34389C9"/>
    <w:lvl w:ilvl="0" w:tentative="0">
      <w:start w:val="2"/>
      <w:numFmt w:val="chineseCounting"/>
      <w:suff w:val="nothing"/>
      <w:lvlText w:val="%1、"/>
      <w:lvlJc w:val="left"/>
      <w:rPr>
        <w:rFonts w:hint="eastAsia"/>
      </w:rPr>
    </w:lvl>
  </w:abstractNum>
  <w:abstractNum w:abstractNumId="1">
    <w:nsid w:val="0053208E"/>
    <w:multiLevelType w:val="singleLevel"/>
    <w:tmpl w:val="0053208E"/>
    <w:lvl w:ilvl="0" w:tentative="0">
      <w:start w:val="2"/>
      <w:numFmt w:val="chineseCounting"/>
      <w:suff w:val="nothing"/>
      <w:lvlText w:val="（%1）"/>
      <w:lvlJc w:val="left"/>
      <w:rPr>
        <w:rFonts w:hint="eastAsia"/>
      </w:rPr>
    </w:lvl>
  </w:abstractNum>
  <w:abstractNum w:abstractNumId="2">
    <w:nsid w:val="5D39CA07"/>
    <w:multiLevelType w:val="singleLevel"/>
    <w:tmpl w:val="5D39CA07"/>
    <w:lvl w:ilvl="0" w:tentative="0">
      <w:start w:val="3"/>
      <w:numFmt w:val="chineseCounting"/>
      <w:suff w:val="space"/>
      <w:lvlText w:val="第%1部分"/>
      <w:lvlJc w:val="left"/>
      <w:rPr>
        <w:rFonts w:hint="eastAsia"/>
      </w:rPr>
    </w:lvl>
  </w:abstractNum>
  <w:abstractNum w:abstractNumId="3">
    <w:nsid w:val="65823198"/>
    <w:multiLevelType w:val="singleLevel"/>
    <w:tmpl w:val="65823198"/>
    <w:lvl w:ilvl="0" w:tentative="0">
      <w:start w:val="4"/>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VjNTFhNjZhYzViNzIyMmI2MTkwNTYxZGJjNjI4ZTg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4E36"/>
    <w:rsid w:val="11ED6591"/>
    <w:rsid w:val="13367661"/>
    <w:rsid w:val="16BB723D"/>
    <w:rsid w:val="17BC7656"/>
    <w:rsid w:val="17EA348C"/>
    <w:rsid w:val="1840212F"/>
    <w:rsid w:val="19943114"/>
    <w:rsid w:val="1AB026BC"/>
    <w:rsid w:val="1ABB32B6"/>
    <w:rsid w:val="1AE14A24"/>
    <w:rsid w:val="1B605D60"/>
    <w:rsid w:val="1BF70747"/>
    <w:rsid w:val="1C06153F"/>
    <w:rsid w:val="1C986C96"/>
    <w:rsid w:val="1D427C91"/>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411D69"/>
    <w:rsid w:val="4D846266"/>
    <w:rsid w:val="4D8D78A2"/>
    <w:rsid w:val="4DF123A8"/>
    <w:rsid w:val="4E832A53"/>
    <w:rsid w:val="4F15525C"/>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023E92"/>
    <w:rsid w:val="5BE202EA"/>
    <w:rsid w:val="5CFA7F1D"/>
    <w:rsid w:val="5E2506F8"/>
    <w:rsid w:val="5EA316D6"/>
    <w:rsid w:val="5F3A07D2"/>
    <w:rsid w:val="5F593A88"/>
    <w:rsid w:val="5F847B72"/>
    <w:rsid w:val="60651EAC"/>
    <w:rsid w:val="60BB3927"/>
    <w:rsid w:val="62A42EE2"/>
    <w:rsid w:val="630D013F"/>
    <w:rsid w:val="63347FC4"/>
    <w:rsid w:val="63604CB9"/>
    <w:rsid w:val="64A36D0B"/>
    <w:rsid w:val="64C656C1"/>
    <w:rsid w:val="65DF63C9"/>
    <w:rsid w:val="662A7F2C"/>
    <w:rsid w:val="68371843"/>
    <w:rsid w:val="688B0A2A"/>
    <w:rsid w:val="68DA2DB6"/>
    <w:rsid w:val="69725134"/>
    <w:rsid w:val="6A37756F"/>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BC86AA4"/>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6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tabs>
        <w:tab w:val="left" w:pos="960"/>
      </w:tabs>
      <w:ind w:firstLine="420" w:firstLineChars="200"/>
    </w:pPr>
  </w:style>
  <w:style w:type="paragraph" w:styleId="3">
    <w:name w:val="Body Text Indent"/>
    <w:basedOn w:val="1"/>
    <w:next w:val="2"/>
    <w:qFormat/>
    <w:uiPriority w:val="99"/>
    <w:pPr>
      <w:tabs>
        <w:tab w:val="left" w:pos="960"/>
      </w:tabs>
      <w:spacing w:line="540" w:lineRule="exact"/>
      <w:ind w:firstLine="5440" w:firstLineChars="1700"/>
    </w:pPr>
    <w:rPr>
      <w:sz w:val="32"/>
      <w:szCs w:val="32"/>
    </w:rPr>
  </w:style>
  <w:style w:type="paragraph" w:styleId="7">
    <w:name w:val="Normal Indent"/>
    <w:basedOn w:val="1"/>
    <w:unhideWhenUsed/>
    <w:qFormat/>
    <w:uiPriority w:val="99"/>
    <w:pPr>
      <w:ind w:firstLine="680"/>
    </w:pPr>
  </w:style>
  <w:style w:type="paragraph" w:styleId="8">
    <w:name w:val="annotation text"/>
    <w:basedOn w:val="1"/>
    <w:semiHidden/>
    <w:unhideWhenUsed/>
    <w:qFormat/>
    <w:uiPriority w:val="99"/>
    <w:pPr>
      <w:jc w:val="left"/>
    </w:pPr>
  </w:style>
  <w:style w:type="paragraph" w:styleId="9">
    <w:name w:val="Body Text"/>
    <w:basedOn w:val="1"/>
    <w:link w:val="28"/>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rPr>
  </w:style>
  <w:style w:type="character" w:styleId="21">
    <w:name w:val="annotation reference"/>
    <w:basedOn w:val="18"/>
    <w:semiHidden/>
    <w:unhideWhenUsed/>
    <w:qFormat/>
    <w:uiPriority w:val="99"/>
    <w:rPr>
      <w:sz w:val="21"/>
      <w:szCs w:val="21"/>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字符"/>
    <w:link w:val="13"/>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字符"/>
    <w:link w:val="12"/>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字符"/>
    <w:link w:val="9"/>
    <w:qFormat/>
    <w:locked/>
    <w:uiPriority w:val="99"/>
    <w:rPr>
      <w:rFonts w:ascii="仿宋_GB2312" w:hAnsi="Times New Roman" w:eastAsia="仿宋_GB2312"/>
      <w:sz w:val="24"/>
    </w:rPr>
  </w:style>
  <w:style w:type="paragraph" w:styleId="29">
    <w:name w:val="List Paragraph"/>
    <w:basedOn w:val="1"/>
    <w:qFormat/>
    <w:uiPriority w:val="34"/>
    <w:pPr>
      <w:ind w:firstLine="420" w:firstLineChars="200"/>
    </w:pPr>
  </w:style>
  <w:style w:type="character" w:customStyle="1" w:styleId="30">
    <w:name w:val="标题 1 字符"/>
    <w:basedOn w:val="18"/>
    <w:link w:val="31"/>
    <w:qFormat/>
    <w:uiPriority w:val="9"/>
    <w:rPr>
      <w:rFonts w:ascii="Times New Roman" w:hAnsi="Times New Roman"/>
      <w:b/>
      <w:bCs/>
      <w:kern w:val="44"/>
      <w:sz w:val="44"/>
      <w:szCs w:val="44"/>
    </w:rPr>
  </w:style>
  <w:style w:type="paragraph" w:customStyle="1" w:styleId="31">
    <w:name w:val="footer0f3f807c"/>
    <w:basedOn w:val="32"/>
    <w:link w:val="30"/>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customStyle="1" w:styleId="32">
    <w:name w:val="Normal23d8b273"/>
    <w:next w:val="5"/>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customStyle="1" w:styleId="33">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5">
    <w:name w:val="批注框文本 字符"/>
    <w:basedOn w:val="18"/>
    <w:link w:val="11"/>
    <w:semiHidden/>
    <w:qFormat/>
    <w:uiPriority w:val="99"/>
    <w:rPr>
      <w:rFonts w:ascii="Times New Roman" w:hAnsi="Times New Roman"/>
      <w:kern w:val="2"/>
      <w:sz w:val="18"/>
      <w:szCs w:val="18"/>
    </w:rPr>
  </w:style>
  <w:style w:type="character" w:customStyle="1" w:styleId="36">
    <w:name w:val="标题 3 字符"/>
    <w:basedOn w:val="18"/>
    <w:link w:val="6"/>
    <w:qFormat/>
    <w:uiPriority w:val="9"/>
    <w:rPr>
      <w:rFonts w:ascii="Times New Roman" w:hAnsi="Times New Roman"/>
      <w:b/>
      <w:bCs/>
      <w:kern w:val="2"/>
      <w:sz w:val="32"/>
      <w:szCs w:val="32"/>
    </w:rPr>
  </w:style>
  <w:style w:type="paragraph" w:customStyle="1" w:styleId="37">
    <w:name w:val="Normal7f5832df"/>
    <w:next w:val="5"/>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8">
    <w:name w:val="heading 15"/>
    <w:basedOn w:val="37"/>
    <w:next w:val="4"/>
    <w:link w:val="60"/>
    <w:qFormat/>
    <w:uiPriority w:val="0"/>
    <w:pPr>
      <w:keepNext/>
      <w:keepLines/>
      <w:spacing w:before="340" w:after="330" w:line="578" w:lineRule="auto"/>
      <w:outlineLvl w:val="0"/>
    </w:pPr>
    <w:rPr>
      <w:b/>
      <w:bCs/>
      <w:kern w:val="44"/>
      <w:sz w:val="44"/>
      <w:szCs w:val="44"/>
    </w:rPr>
  </w:style>
  <w:style w:type="character" w:customStyle="1" w:styleId="39">
    <w:name w:val="Default Paragraph Font13"/>
    <w:semiHidden/>
    <w:unhideWhenUsed/>
    <w:qFormat/>
    <w:uiPriority w:val="1"/>
  </w:style>
  <w:style w:type="table" w:customStyle="1" w:styleId="40">
    <w:name w:val="Normal Table12"/>
    <w:semiHidden/>
    <w:unhideWhenUsed/>
    <w:qFormat/>
    <w:uiPriority w:val="99"/>
    <w:tblPr>
      <w:tblCellMar>
        <w:top w:w="0" w:type="dxa"/>
        <w:left w:w="108" w:type="dxa"/>
        <w:bottom w:w="0" w:type="dxa"/>
        <w:right w:w="108" w:type="dxa"/>
      </w:tblCellMar>
    </w:tblPr>
  </w:style>
  <w:style w:type="paragraph" w:customStyle="1" w:styleId="41">
    <w:name w:val="Body Text First Indent 2ca8f6bb2"/>
    <w:basedOn w:val="6"/>
    <w:next w:val="42"/>
    <w:unhideWhenUsed/>
    <w:qFormat/>
    <w:uiPriority w:val="99"/>
    <w:pPr>
      <w:keepNext w:val="0"/>
      <w:keepLines w:val="0"/>
      <w:widowControl w:val="0"/>
      <w:suppressLineNumbers w:val="0"/>
      <w:spacing w:before="0" w:beforeAutospacing="0" w:after="120" w:afterAutospacing="0"/>
      <w:ind w:left="420" w:leftChars="200" w:right="0" w:firstLine="420" w:firstLineChars="200"/>
      <w:jc w:val="both"/>
    </w:pPr>
    <w:rPr>
      <w:rFonts w:hint="eastAsia" w:ascii="Times New Roman" w:hAnsi="Times New Roman" w:eastAsia="宋体" w:cs="Times New Roman"/>
      <w:kern w:val="2"/>
      <w:sz w:val="21"/>
      <w:szCs w:val="24"/>
      <w:lang w:val="en-US" w:eastAsia="zh-CN" w:bidi="ar-SA"/>
    </w:rPr>
  </w:style>
  <w:style w:type="paragraph" w:customStyle="1" w:styleId="42">
    <w:name w:val="footer4"/>
    <w:basedOn w:val="37"/>
    <w:unhideWhenUsed/>
    <w:qFormat/>
    <w:uiPriority w:val="99"/>
    <w:pPr>
      <w:tabs>
        <w:tab w:val="center" w:pos="4153"/>
        <w:tab w:val="right" w:pos="8306"/>
      </w:tabs>
      <w:snapToGrid w:val="0"/>
      <w:jc w:val="left"/>
    </w:pPr>
    <w:rPr>
      <w:sz w:val="18"/>
      <w:szCs w:val="18"/>
      <w:lang w:val="zh-CN"/>
    </w:rPr>
  </w:style>
  <w:style w:type="paragraph" w:customStyle="1" w:styleId="43">
    <w:name w:val="Body Text Indentd9d8cf36"/>
    <w:basedOn w:val="37"/>
    <w:next w:val="5"/>
    <w:qFormat/>
    <w:uiPriority w:val="0"/>
    <w:pPr>
      <w:spacing w:line="500" w:lineRule="exact"/>
      <w:ind w:firstLine="720" w:firstLineChars="240"/>
    </w:pPr>
    <w:rPr>
      <w:rFonts w:ascii="仿宋_GB2312"/>
      <w:b/>
      <w:sz w:val="30"/>
      <w:szCs w:val="24"/>
    </w:rPr>
  </w:style>
  <w:style w:type="paragraph" w:customStyle="1" w:styleId="44">
    <w:name w:val="Body Text6"/>
    <w:basedOn w:val="37"/>
    <w:link w:val="59"/>
    <w:qFormat/>
    <w:uiPriority w:val="0"/>
    <w:rPr>
      <w:rFonts w:ascii="宋体" w:hAnsi="宋体"/>
      <w:sz w:val="32"/>
    </w:rPr>
  </w:style>
  <w:style w:type="paragraph" w:customStyle="1" w:styleId="45">
    <w:name w:val="header7"/>
    <w:basedOn w:val="37"/>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customStyle="1" w:styleId="46">
    <w:name w:val="table of figures8"/>
    <w:basedOn w:val="37"/>
    <w:next w:val="4"/>
    <w:qFormat/>
    <w:uiPriority w:val="0"/>
    <w:pPr>
      <w:ind w:left="200" w:leftChars="200" w:hanging="200" w:hangingChars="200"/>
    </w:pPr>
    <w:rPr>
      <w:szCs w:val="24"/>
    </w:rPr>
  </w:style>
  <w:style w:type="paragraph" w:customStyle="1" w:styleId="47">
    <w:name w:val="Body Text 29"/>
    <w:basedOn w:val="37"/>
    <w:qFormat/>
    <w:uiPriority w:val="0"/>
    <w:pPr>
      <w:spacing w:after="120" w:afterLines="0" w:line="480" w:lineRule="auto"/>
    </w:pPr>
  </w:style>
  <w:style w:type="paragraph" w:customStyle="1" w:styleId="48">
    <w:name w:val="Normal (Web)4b75f808"/>
    <w:basedOn w:val="37"/>
    <w:next w:val="4"/>
    <w:qFormat/>
    <w:uiPriority w:val="0"/>
    <w:pPr>
      <w:widowControl w:val="0"/>
      <w:spacing w:before="100" w:beforeAutospacing="1" w:after="100" w:afterAutospacing="1"/>
    </w:pPr>
    <w:rPr>
      <w:rFonts w:ascii="Times New Roman" w:hAnsi="Times New Roman" w:eastAsia="宋体" w:cs="Times New Roman"/>
      <w:sz w:val="24"/>
      <w:szCs w:val="24"/>
      <w:lang w:val="en-US" w:eastAsia="zh-CN" w:bidi="ar-SA"/>
    </w:rPr>
  </w:style>
  <w:style w:type="paragraph" w:customStyle="1" w:styleId="49">
    <w:name w:val="Title11"/>
    <w:basedOn w:val="37"/>
    <w:qFormat/>
    <w:uiPriority w:val="0"/>
    <w:pPr>
      <w:spacing w:before="240" w:after="60"/>
      <w:jc w:val="center"/>
      <w:outlineLvl w:val="0"/>
    </w:pPr>
    <w:rPr>
      <w:rFonts w:ascii="Arial" w:hAnsi="Arial" w:cs="Arial"/>
      <w:b/>
      <w:bCs/>
      <w:sz w:val="32"/>
      <w:szCs w:val="32"/>
    </w:rPr>
  </w:style>
  <w:style w:type="character" w:customStyle="1" w:styleId="50">
    <w:name w:val="Strong14"/>
    <w:basedOn w:val="39"/>
    <w:qFormat/>
    <w:uiPriority w:val="99"/>
    <w:rPr>
      <w:rFonts w:cs="Times New Roman"/>
      <w:b/>
      <w:bCs/>
    </w:rPr>
  </w:style>
  <w:style w:type="paragraph" w:customStyle="1" w:styleId="51">
    <w:name w:val="四号正文15"/>
    <w:basedOn w:val="37"/>
    <w:qFormat/>
    <w:uiPriority w:val="0"/>
    <w:pPr>
      <w:spacing w:line="360" w:lineRule="auto"/>
    </w:pPr>
    <w:rPr>
      <w:rFonts w:ascii="??" w:hAnsi="??" w:eastAsia="宋体"/>
      <w:color w:val="000000"/>
      <w:kern w:val="0"/>
      <w:sz w:val="28"/>
      <w:szCs w:val="21"/>
      <w:lang w:val="zh-CN"/>
    </w:rPr>
  </w:style>
  <w:style w:type="paragraph" w:customStyle="1" w:styleId="52">
    <w:name w:val="No Spacing16"/>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Default Paragraph Font7dab26db"/>
    <w:semiHidden/>
    <w:unhideWhenUsed/>
    <w:qFormat/>
    <w:uiPriority w:val="1"/>
  </w:style>
  <w:style w:type="table" w:customStyle="1" w:styleId="54">
    <w:name w:val="Normal Tableed530038"/>
    <w:semiHidden/>
    <w:unhideWhenUsed/>
    <w:qFormat/>
    <w:uiPriority w:val="99"/>
    <w:tblPr>
      <w:tblCellMar>
        <w:top w:w="0" w:type="dxa"/>
        <w:left w:w="108" w:type="dxa"/>
        <w:bottom w:w="0" w:type="dxa"/>
        <w:right w:w="108" w:type="dxa"/>
      </w:tblCellMar>
    </w:tblPr>
  </w:style>
  <w:style w:type="paragraph" w:customStyle="1" w:styleId="55">
    <w:name w:val="Body Text First Indent 210790673"/>
    <w:basedOn w:val="6"/>
    <w:qFormat/>
    <w:uiPriority w:val="0"/>
    <w:pPr>
      <w:tabs>
        <w:tab w:val="left" w:pos="960"/>
      </w:tabs>
      <w:ind w:firstLine="420" w:firstLineChars="200"/>
    </w:pPr>
  </w:style>
  <w:style w:type="paragraph" w:customStyle="1" w:styleId="56">
    <w:name w:val="Body Text Indent6e6b4bca"/>
    <w:basedOn w:val="32"/>
    <w:next w:val="5"/>
    <w:qFormat/>
    <w:uiPriority w:val="0"/>
    <w:pPr>
      <w:tabs>
        <w:tab w:val="left" w:pos="960"/>
      </w:tabs>
      <w:spacing w:line="540" w:lineRule="exact"/>
      <w:ind w:firstLine="5440" w:firstLineChars="1700"/>
    </w:pPr>
    <w:rPr>
      <w:sz w:val="32"/>
      <w:szCs w:val="32"/>
    </w:rPr>
  </w:style>
  <w:style w:type="paragraph" w:customStyle="1" w:styleId="57">
    <w:name w:val="Body Text983ae3b2"/>
    <w:basedOn w:val="32"/>
    <w:qFormat/>
    <w:uiPriority w:val="99"/>
    <w:pPr>
      <w:spacing w:beforeLines="30"/>
    </w:pPr>
    <w:rPr>
      <w:rFonts w:ascii="仿宋_GB2312" w:eastAsia="仿宋_GB2312"/>
      <w:kern w:val="0"/>
      <w:sz w:val="30"/>
    </w:rPr>
  </w:style>
  <w:style w:type="paragraph" w:customStyle="1" w:styleId="58">
    <w:name w:val="headerfc401431"/>
    <w:basedOn w:val="3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59">
    <w:name w:val="页眉 Charca27df5c"/>
    <w:basedOn w:val="53"/>
    <w:link w:val="44"/>
    <w:semiHidden/>
    <w:qFormat/>
    <w:uiPriority w:val="99"/>
    <w:rPr>
      <w:sz w:val="18"/>
      <w:szCs w:val="18"/>
    </w:rPr>
  </w:style>
  <w:style w:type="character" w:customStyle="1" w:styleId="60">
    <w:name w:val="页脚 Char8fce8c43"/>
    <w:basedOn w:val="53"/>
    <w:link w:val="38"/>
    <w:semiHidden/>
    <w:qFormat/>
    <w:uiPriority w:val="99"/>
    <w:rPr>
      <w:sz w:val="18"/>
      <w:szCs w:val="18"/>
    </w:rPr>
  </w:style>
  <w:style w:type="character" w:customStyle="1" w:styleId="61">
    <w:name w:val="heading 1 Char"/>
    <w:basedOn w:val="18"/>
    <w:link w:val="4"/>
    <w:qFormat/>
    <w:uiPriority w:val="0"/>
    <w:rPr>
      <w:b/>
      <w:bCs/>
      <w:kern w:val="44"/>
      <w:sz w:val="44"/>
      <w:szCs w:val="44"/>
    </w:rPr>
  </w:style>
  <w:style w:type="character" w:customStyle="1" w:styleId="62">
    <w:name w:val="heading 2 Char"/>
    <w:basedOn w:val="18"/>
    <w:link w:val="5"/>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{32.52,27.46}</c:f>
              <c:numCache>
                <c:formatCode>General</c:formatCode>
                <c:ptCount val="2"/>
                <c:pt idx="0">
                  <c:v>32.52</c:v>
                </c:pt>
                <c:pt idx="1">
                  <c:v>27.46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{32.52,27.46}</c:f>
              <c:numCache>
                <c:formatCode>General</c:formatCode>
                <c:ptCount val="2"/>
                <c:pt idx="0">
                  <c:v>32.52</c:v>
                </c:pt>
                <c:pt idx="1">
                  <c:v>27.46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{274579.82,0,0,0,0,0,0,0}</c:f>
              <c:numCache>
                <c:formatCode>General</c:formatCode>
                <c:ptCount val="8"/>
                <c:pt idx="0">
                  <c:v>274579.82</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{274579.82,0,0,0,0}</c:f>
              <c:numCache>
                <c:formatCode>General</c:formatCode>
                <c:ptCount val="5"/>
                <c:pt idx="0">
                  <c:v>274579.82</c:v>
                </c:pt>
                <c:pt idx="1">
                  <c:v>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{32.52,27.46}</c:f>
              <c:numCache>
                <c:formatCode>General</c:formatCode>
                <c:ptCount val="2"/>
                <c:pt idx="0">
                  <c:v>32.52</c:v>
                </c:pt>
                <c:pt idx="1">
                  <c:v>27.46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{32.52,27.46}</c:f>
              <c:numCache>
                <c:formatCode>General</c:formatCode>
                <c:ptCount val="2"/>
                <c:pt idx="0">
                  <c:v>32.52</c:v>
                </c:pt>
                <c:pt idx="1">
                  <c:v>27.46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{32.52}</c:f>
              <c:numCache>
                <c:formatCode>General</c:formatCode>
                <c:ptCount val="1"/>
                <c:pt idx="0">
                  <c:v>32.52</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{27.46}</c:f>
              <c:numCache>
                <c:formatCode>General</c:formatCode>
                <c:ptCount val="1"/>
                <c:pt idx="0">
                  <c:v>27.46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{"公共安全支出","社会保障和就业支出","卫生健康支出","住房保障支出"}</c:f>
              <c:strCache>
                <c:ptCount val="4"/>
                <c:pt idx="0">
                  <c:v>公共安全支出</c:v>
                </c:pt>
                <c:pt idx="1">
                  <c:v>社会保障和就业支出</c:v>
                </c:pt>
                <c:pt idx="2">
                  <c:v>卫生健康支出</c:v>
                </c:pt>
                <c:pt idx="3">
                  <c:v>住房保障支出</c:v>
                </c:pt>
              </c:strCache>
            </c:strRef>
          </c:cat>
          <c:val>
            <c:numRef>
              <c:f>{21.25,2.93,1.39,1.89}</c:f>
              <c:numCache>
                <c:formatCode>General</c:formatCode>
                <c:ptCount val="4"/>
                <c:pt idx="0">
                  <c:v>21.25</c:v>
                </c:pt>
                <c:pt idx="1">
                  <c:v>2.93</c:v>
                </c:pt>
                <c:pt idx="2">
                  <c:v>1.39</c:v>
                </c:pt>
                <c:pt idx="3">
                  <c:v>1.89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6420</Words>
  <Characters>7209</Characters>
  <Lines>51</Lines>
  <Paragraphs>14</Paragraphs>
  <TotalTime>1</TotalTime>
  <ScaleCrop>false</ScaleCrop>
  <LinksUpToDate>false</LinksUpToDate>
  <CharactersWithSpaces>7281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王琴</cp:lastModifiedBy>
  <cp:lastPrinted>2022-09-26T03:54:03Z</cp:lastPrinted>
  <dcterms:modified xsi:type="dcterms:W3CDTF">2022-09-26T03:54:40Z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B93CA6F4BEAD4F359769D1203595D585</vt:lpwstr>
  </property>
</Properties>
</file>