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A1CC6">
      <w:pPr>
        <w:jc w:val="center"/>
        <w:rPr>
          <w:rFonts w:ascii="方正小标宋简体" w:eastAsia="方正小标宋简体"/>
          <w:sz w:val="72"/>
          <w:szCs w:val="72"/>
        </w:rPr>
      </w:pPr>
      <w:bookmarkStart w:id="0" w:name="_Toc15377425"/>
      <w:bookmarkStart w:id="1" w:name="_Toc15396597"/>
      <w:bookmarkStart w:id="2" w:name="_Toc15378441"/>
      <w:bookmarkStart w:id="3" w:name="_Toc15377193"/>
      <w:bookmarkStart w:id="4" w:name="_Toc15396475"/>
    </w:p>
    <w:bookmarkEnd w:id="0"/>
    <w:bookmarkEnd w:id="1"/>
    <w:bookmarkEnd w:id="2"/>
    <w:bookmarkEnd w:id="3"/>
    <w:bookmarkEnd w:id="4"/>
    <w:p w14:paraId="7B752DA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79163601"/>
      <w:bookmarkStart w:id="6" w:name="_Toc15396599"/>
      <w:bookmarkStart w:id="7" w:name="_Toc15377196"/>
      <w:bookmarkStart w:id="8" w:name="_Toc79163851"/>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4</w:t>
      </w:r>
      <w:r>
        <w:rPr>
          <w:rFonts w:hint="eastAsia" w:ascii="方正小标宋简体" w:hAnsi="方正小标宋简体" w:eastAsia="方正小标宋简体" w:cs="方正小标宋简体"/>
          <w:sz w:val="48"/>
          <w:szCs w:val="48"/>
        </w:rPr>
        <w:t>年度</w:t>
      </w:r>
    </w:p>
    <w:p w14:paraId="1273B2B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事业单位登记</w:t>
      </w:r>
      <w:r>
        <w:rPr>
          <w:rFonts w:hint="eastAsia" w:ascii="方正小标宋简体" w:hAnsi="方正小标宋简体" w:eastAsia="方正小标宋简体" w:cs="方正小标宋简体"/>
          <w:sz w:val="48"/>
          <w:szCs w:val="48"/>
          <w:lang w:val="en-US" w:eastAsia="zh-CN"/>
        </w:rPr>
        <w:t>管理</w:t>
      </w:r>
      <w:r>
        <w:rPr>
          <w:rFonts w:hint="eastAsia" w:ascii="方正小标宋简体" w:hAnsi="方正小标宋简体" w:eastAsia="方正小标宋简体" w:cs="方正小标宋简体"/>
          <w:sz w:val="48"/>
          <w:szCs w:val="48"/>
          <w:lang w:eastAsia="zh-CN"/>
        </w:rPr>
        <w:t>局</w:t>
      </w:r>
      <w:r>
        <w:rPr>
          <w:rFonts w:hint="eastAsia" w:ascii="方正小标宋简体" w:hAnsi="方正小标宋简体" w:eastAsia="方正小标宋简体" w:cs="方正小标宋简体"/>
          <w:sz w:val="48"/>
          <w:szCs w:val="48"/>
          <w:lang w:val="en-US" w:eastAsia="zh-CN"/>
        </w:rPr>
        <w:t xml:space="preserve"> </w:t>
      </w:r>
    </w:p>
    <w:p w14:paraId="4A00510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单位</w:t>
      </w:r>
      <w:r>
        <w:rPr>
          <w:rFonts w:hint="eastAsia" w:ascii="方正小标宋简体" w:hAnsi="方正小标宋简体" w:eastAsia="方正小标宋简体" w:cs="方正小标宋简体"/>
          <w:sz w:val="48"/>
          <w:szCs w:val="48"/>
        </w:rPr>
        <w:t>决算</w:t>
      </w:r>
    </w:p>
    <w:p w14:paraId="4D688325">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5FAE40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E52F227">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F83202A">
      <w:pPr>
        <w:pStyle w:val="22"/>
        <w:keepNext w:val="0"/>
        <w:keepLines w:val="0"/>
        <w:pageBreakBefore w:val="0"/>
        <w:widowControl/>
        <w:suppressLineNumbers w:val="0"/>
        <w:kinsoku/>
        <w:wordWrap/>
        <w:overflowPunct/>
        <w:topLinePunct w:val="0"/>
        <w:bidi w:val="0"/>
        <w:spacing w:line="576" w:lineRule="exact"/>
        <w:jc w:val="center"/>
        <w:textAlignment w:val="auto"/>
      </w:pPr>
    </w:p>
    <w:p w14:paraId="41DA5AF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045E9270">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230704BC">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2E4DDC9">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14:paraId="4E80689B">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60DCC9B3">
      <w:pPr>
        <w:pStyle w:val="22"/>
        <w:keepNext w:val="0"/>
        <w:keepLines w:val="0"/>
        <w:pageBreakBefore w:val="0"/>
        <w:widowControl/>
        <w:suppressLineNumbers w:val="0"/>
        <w:kinsoku/>
        <w:wordWrap/>
        <w:overflowPunct/>
        <w:topLinePunct w:val="0"/>
        <w:bidi w:val="0"/>
        <w:spacing w:line="576" w:lineRule="exact"/>
        <w:textAlignment w:val="auto"/>
      </w:pPr>
      <w:r>
        <w:t> </w:t>
      </w:r>
    </w:p>
    <w:p w14:paraId="71F24187">
      <w:pPr>
        <w:pStyle w:val="22"/>
        <w:keepNext w:val="0"/>
        <w:keepLines w:val="0"/>
        <w:pageBreakBefore w:val="0"/>
        <w:widowControl/>
        <w:suppressLineNumbers w:val="0"/>
        <w:kinsoku/>
        <w:wordWrap/>
        <w:overflowPunct/>
        <w:topLinePunct w:val="0"/>
        <w:bidi w:val="0"/>
        <w:spacing w:line="576" w:lineRule="exact"/>
        <w:textAlignment w:val="auto"/>
      </w:pPr>
      <w:r>
        <w:t> </w:t>
      </w:r>
    </w:p>
    <w:p w14:paraId="7D286758">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E92A24A">
      <w:pPr>
        <w:pStyle w:val="22"/>
        <w:keepNext w:val="0"/>
        <w:keepLines w:val="0"/>
        <w:pageBreakBefore w:val="0"/>
        <w:widowControl/>
        <w:suppressLineNumbers w:val="0"/>
        <w:kinsoku/>
        <w:wordWrap/>
        <w:overflowPunct/>
        <w:topLinePunct w:val="0"/>
        <w:bidi w:val="0"/>
        <w:spacing w:line="576" w:lineRule="exact"/>
        <w:textAlignment w:val="auto"/>
      </w:pPr>
      <w:r>
        <w:t>  </w:t>
      </w:r>
    </w:p>
    <w:p w14:paraId="1A70DAE1">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14:paraId="3E854B7F">
      <w:pPr>
        <w:pStyle w:val="16"/>
        <w:pageBreakBefore w:val="0"/>
        <w:kinsoku/>
        <w:wordWrap/>
        <w:overflowPunct/>
        <w:topLinePunct w:val="0"/>
        <w:bidi w:val="0"/>
        <w:spacing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5</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25</w:t>
      </w:r>
      <w:r>
        <w:rPr>
          <w:rFonts w:hint="eastAsia"/>
          <w:b w:val="0"/>
          <w:bCs w:val="0"/>
          <w:sz w:val="24"/>
          <w:szCs w:val="24"/>
        </w:rPr>
        <w:t>日</w:t>
      </w:r>
    </w:p>
    <w:p w14:paraId="11F5BA63">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 xml:space="preserve">第一部分 </w:t>
      </w:r>
      <w:r>
        <w:rPr>
          <w:rFonts w:hint="eastAsia" w:ascii="黑体" w:eastAsia="黑体" w:cs="Times New Roman"/>
          <w:szCs w:val="44"/>
          <w:lang w:val="en-US" w:eastAsia="zh-CN" w:bidi="ar-SA"/>
        </w:rPr>
        <w:t>部门</w:t>
      </w:r>
      <w:r>
        <w:rPr>
          <w:rFonts w:hint="eastAsia" w:ascii="黑体" w:hAnsi="Times New Roman" w:eastAsia="黑体" w:cs="Times New Roman"/>
          <w:szCs w:val="44"/>
          <w:lang w:bidi="ar-SA"/>
        </w:rPr>
        <w:t>概况</w:t>
      </w:r>
      <w:r>
        <w:tab/>
      </w:r>
      <w:r>
        <w:rPr>
          <w:rFonts w:hint="eastAsia"/>
          <w:lang w:val="en-US" w:eastAsia="zh-CN"/>
        </w:rPr>
        <w:t>4</w:t>
      </w:r>
      <w:r>
        <w:fldChar w:fldCharType="end"/>
      </w:r>
    </w:p>
    <w:p w14:paraId="1F215C4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部门</w:t>
      </w:r>
      <w:r>
        <w:rPr>
          <w:rFonts w:hint="eastAsia" w:ascii="黑体" w:hAnsi="Cambria" w:eastAsia="黑体" w:cs="Times New Roman"/>
          <w:kern w:val="2"/>
          <w:szCs w:val="32"/>
          <w:lang w:bidi="ar-SA"/>
        </w:rPr>
        <w:t>职责</w:t>
      </w:r>
      <w:r>
        <w:tab/>
      </w:r>
      <w:r>
        <w:rPr>
          <w:rFonts w:hint="eastAsia"/>
          <w:lang w:val="en-US" w:eastAsia="zh-CN"/>
        </w:rPr>
        <w:t>4</w:t>
      </w:r>
      <w:r>
        <w:fldChar w:fldCharType="end"/>
      </w:r>
    </w:p>
    <w:p w14:paraId="6E3688F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4</w:t>
      </w:r>
      <w:r>
        <w:fldChar w:fldCharType="end"/>
      </w:r>
    </w:p>
    <w:p w14:paraId="49D8579F">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w:t>
      </w:r>
      <w:r>
        <w:rPr>
          <w:rFonts w:hint="eastAsia" w:ascii="黑体" w:eastAsia="黑体" w:cs="Times New Roman"/>
          <w:szCs w:val="44"/>
          <w:lang w:val="en-US" w:eastAsia="zh-CN" w:bidi="ar-SA"/>
        </w:rPr>
        <w:t>4</w:t>
      </w:r>
      <w:r>
        <w:rPr>
          <w:rFonts w:hint="eastAsia" w:ascii="黑体" w:hAnsi="Times New Roman" w:eastAsia="黑体" w:cs="Times New Roman"/>
          <w:szCs w:val="44"/>
          <w:lang w:bidi="ar-SA"/>
        </w:rPr>
        <w:t>年度单位决算情况说明</w:t>
      </w:r>
      <w:r>
        <w:tab/>
      </w:r>
      <w:r>
        <w:rPr>
          <w:rFonts w:hint="eastAsia"/>
          <w:lang w:val="en-US" w:eastAsia="zh-CN"/>
        </w:rPr>
        <w:t>5</w:t>
      </w:r>
      <w:r>
        <w:fldChar w:fldCharType="end"/>
      </w:r>
    </w:p>
    <w:p w14:paraId="76A235C7">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5</w:t>
      </w:r>
      <w:r>
        <w:fldChar w:fldCharType="end"/>
      </w:r>
    </w:p>
    <w:p w14:paraId="47CE7C6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5</w:t>
      </w:r>
      <w:r>
        <w:fldChar w:fldCharType="end"/>
      </w:r>
    </w:p>
    <w:p w14:paraId="63E1D8C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6</w:t>
      </w:r>
      <w:r>
        <w:fldChar w:fldCharType="end"/>
      </w:r>
    </w:p>
    <w:p w14:paraId="6F0E445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6</w:t>
      </w:r>
    </w:p>
    <w:p w14:paraId="7048DE2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rPr>
          <w:rFonts w:hint="eastAsia"/>
          <w:lang w:val="en-US" w:eastAsia="zh-CN"/>
        </w:rPr>
        <w:t>6</w:t>
      </w:r>
      <w:r>
        <w:fldChar w:fldCharType="end"/>
      </w:r>
    </w:p>
    <w:p w14:paraId="650FADF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fldChar w:fldCharType="end"/>
      </w:r>
      <w:r>
        <w:rPr>
          <w:rFonts w:hint="eastAsia"/>
          <w:lang w:val="en-US" w:eastAsia="zh-CN"/>
        </w:rPr>
        <w:t>8</w:t>
      </w:r>
    </w:p>
    <w:p w14:paraId="485DC813">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9</w:t>
      </w:r>
      <w:r>
        <w:fldChar w:fldCharType="end"/>
      </w:r>
    </w:p>
    <w:p w14:paraId="194F7D9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0</w:t>
      </w:r>
    </w:p>
    <w:p w14:paraId="339D551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0</w:t>
      </w:r>
    </w:p>
    <w:p w14:paraId="1F1FE89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0</w:t>
      </w:r>
    </w:p>
    <w:p w14:paraId="66483AC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2</w:t>
      </w:r>
    </w:p>
    <w:p w14:paraId="4E0A90C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5</w:t>
      </w:r>
    </w:p>
    <w:p w14:paraId="14D61325">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rPr>
          <w:rFonts w:hint="eastAsia"/>
          <w:lang w:val="en-US" w:eastAsia="zh-CN"/>
        </w:rPr>
        <w:t>1</w:t>
      </w:r>
      <w:r>
        <w:fldChar w:fldCharType="end"/>
      </w:r>
      <w:r>
        <w:rPr>
          <w:rFonts w:hint="eastAsia"/>
          <w:lang w:val="en-US" w:eastAsia="zh-CN"/>
        </w:rPr>
        <w:t>6</w:t>
      </w:r>
    </w:p>
    <w:p w14:paraId="1B074206">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fldChar w:fldCharType="end"/>
      </w:r>
      <w:r>
        <w:rPr>
          <w:rFonts w:hint="eastAsia"/>
          <w:lang w:val="en-US" w:eastAsia="zh-CN"/>
        </w:rPr>
        <w:t>..................................................................................................................16</w:t>
      </w:r>
    </w:p>
    <w:p w14:paraId="51D3804B">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fldChar w:fldCharType="end"/>
      </w:r>
      <w:r>
        <w:rPr>
          <w:rFonts w:hint="eastAsia"/>
          <w:lang w:val="en-US" w:eastAsia="zh-CN"/>
        </w:rPr>
        <w:t>..............................................................................................................................16</w:t>
      </w:r>
    </w:p>
    <w:p w14:paraId="43D1BB86">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fldChar w:fldCharType="end"/>
      </w:r>
      <w:r>
        <w:rPr>
          <w:rFonts w:hint="eastAsia"/>
          <w:lang w:val="en-US" w:eastAsia="zh-CN"/>
        </w:rPr>
        <w:t>.............................................................................................................................16</w:t>
      </w:r>
    </w:p>
    <w:p w14:paraId="480F339B">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fldChar w:fldCharType="end"/>
      </w:r>
      <w:r>
        <w:rPr>
          <w:rFonts w:hint="eastAsia"/>
          <w:lang w:val="en-US" w:eastAsia="zh-CN"/>
        </w:rPr>
        <w:t>.................................................................................................16</w:t>
      </w:r>
    </w:p>
    <w:p w14:paraId="61C46182">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fldChar w:fldCharType="end"/>
      </w:r>
      <w:r>
        <w:rPr>
          <w:rFonts w:hint="eastAsia"/>
          <w:lang w:val="en-US" w:eastAsia="zh-CN"/>
        </w:rPr>
        <w:t>.....................................................................................................16</w:t>
      </w:r>
    </w:p>
    <w:p w14:paraId="1232F3D0">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fldChar w:fldCharType="end"/>
      </w:r>
      <w:r>
        <w:rPr>
          <w:rFonts w:hint="eastAsia"/>
          <w:lang w:val="en-US" w:eastAsia="zh-CN"/>
        </w:rPr>
        <w:t>.....................................................................................16</w:t>
      </w:r>
    </w:p>
    <w:p w14:paraId="5CF0B6B5">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r>
        <w:rPr>
          <w:rFonts w:hint="eastAsia"/>
          <w:lang w:val="en-US" w:eastAsia="zh-CN"/>
        </w:rPr>
        <w:t>.............................................................................16</w:t>
      </w:r>
    </w:p>
    <w:p w14:paraId="1242A03B">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r>
        <w:rPr>
          <w:rFonts w:hint="eastAsia"/>
          <w:lang w:val="en-US" w:eastAsia="zh-CN"/>
        </w:rPr>
        <w:t>.............................................................................16</w:t>
      </w:r>
    </w:p>
    <w:p w14:paraId="69D4E26A">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r>
        <w:rPr>
          <w:rFonts w:hint="eastAsia"/>
          <w:lang w:val="en-US" w:eastAsia="zh-CN"/>
        </w:rPr>
        <w:t>.............................................................................16</w:t>
      </w:r>
    </w:p>
    <w:p w14:paraId="49B650AB">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r>
        <w:rPr>
          <w:rFonts w:hint="eastAsia"/>
          <w:lang w:val="en-US" w:eastAsia="zh-CN"/>
        </w:rPr>
        <w:t>.........................................................................16</w:t>
      </w:r>
    </w:p>
    <w:p w14:paraId="17BAD226">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r>
        <w:rPr>
          <w:rFonts w:hint="eastAsia"/>
          <w:lang w:val="en-US" w:eastAsia="zh-CN"/>
        </w:rPr>
        <w:t>.................................................................16</w:t>
      </w:r>
    </w:p>
    <w:p w14:paraId="12A19E90">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r>
        <w:rPr>
          <w:rFonts w:hint="eastAsia"/>
          <w:lang w:val="en-US" w:eastAsia="zh-CN"/>
        </w:rPr>
        <w:t>.........................................................................16</w:t>
      </w:r>
    </w:p>
    <w:p w14:paraId="78DF88F0">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fldChar w:fldCharType="end"/>
      </w:r>
      <w:r>
        <w:rPr>
          <w:rFonts w:hint="eastAsia"/>
          <w:lang w:val="en-US" w:eastAsia="zh-CN"/>
        </w:rPr>
        <w:t>.................................................................................16</w:t>
      </w:r>
    </w:p>
    <w:p w14:paraId="43B87C40">
      <w:pPr>
        <w:pageBreakBefore w:val="0"/>
        <w:kinsoku/>
        <w:wordWrap/>
        <w:overflowPunct/>
        <w:topLinePunct w:val="0"/>
        <w:bidi w:val="0"/>
        <w:spacing w:line="576" w:lineRule="exact"/>
        <w:textAlignment w:val="auto"/>
      </w:pPr>
      <w:r>
        <w:fldChar w:fldCharType="end"/>
      </w:r>
    </w:p>
    <w:p w14:paraId="46685AC6">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14:paraId="6309B705">
      <w:pPr>
        <w:pStyle w:val="2"/>
      </w:pPr>
    </w:p>
    <w:p w14:paraId="72540ECF">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6377237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BA36513">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10F0E40">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33540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D78F1D">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43B7123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63E8F500">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116A53B">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4C28DAD1">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88B3479">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CA68E6E">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5554D82">
      <w:pPr>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Times New Roman" w:hAnsi="Times New Roman" w:eastAsia="方正小标宋简体" w:cs="方正小标宋简体"/>
          <w:b w:val="0"/>
          <w:color w:val="auto"/>
          <w:highlight w:val="none"/>
        </w:rPr>
        <w:t xml:space="preserve"> </w:t>
      </w:r>
      <w:r>
        <w:rPr>
          <w:rStyle w:val="37"/>
          <w:rFonts w:hint="eastAsia" w:ascii="Times New Roman" w:hAnsi="Times New Roman" w:eastAsia="方正小标宋简体" w:cs="方正小标宋简体"/>
          <w:b w:val="0"/>
          <w:bCs w:val="0"/>
          <w:color w:val="auto"/>
          <w:highlight w:val="none"/>
        </w:rPr>
        <w:t>部门</w:t>
      </w:r>
      <w:r>
        <w:rPr>
          <w:rFonts w:hint="eastAsia" w:ascii="方正小标宋简体" w:hAnsi="方正小标宋简体" w:eastAsia="方正小标宋简体" w:cs="方正小标宋简体"/>
          <w:sz w:val="44"/>
          <w:szCs w:val="44"/>
        </w:rPr>
        <w:t>概况</w:t>
      </w:r>
      <w:bookmarkEnd w:id="5"/>
      <w:bookmarkEnd w:id="6"/>
      <w:bookmarkEnd w:id="7"/>
      <w:bookmarkEnd w:id="8"/>
    </w:p>
    <w:p w14:paraId="0EAE5EC0">
      <w:pPr>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28637C5B">
      <w:pPr>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sz w:val="32"/>
          <w:szCs w:val="32"/>
          <w:lang w:eastAsia="zh-CN"/>
        </w:rPr>
      </w:pPr>
      <w:bookmarkStart w:id="9" w:name="_Toc15378445"/>
      <w:bookmarkStart w:id="10" w:name="_Toc15377198"/>
      <w:r>
        <w:rPr>
          <w:rFonts w:hint="eastAsia" w:ascii="黑体" w:hAnsi="黑体" w:eastAsia="黑体"/>
          <w:sz w:val="32"/>
          <w:szCs w:val="32"/>
        </w:rPr>
        <w:t>一、</w:t>
      </w:r>
      <w:r>
        <w:rPr>
          <w:rFonts w:hint="eastAsia" w:ascii="黑体" w:hAnsi="黑体" w:eastAsia="黑体"/>
          <w:sz w:val="32"/>
          <w:szCs w:val="32"/>
          <w:lang w:eastAsia="zh-CN"/>
        </w:rPr>
        <w:t>部门职责</w:t>
      </w:r>
    </w:p>
    <w:bookmarkEnd w:id="9"/>
    <w:bookmarkEnd w:id="10"/>
    <w:p w14:paraId="5340E6E3">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11" w:name="_Toc15378446"/>
      <w:bookmarkStart w:id="12" w:name="_Toc15377199"/>
      <w:r>
        <w:rPr>
          <w:rFonts w:hint="eastAsia" w:ascii="楷体_GB2312" w:hAnsi="楷体_GB2312" w:eastAsia="楷体_GB2312" w:cs="楷体_GB2312"/>
          <w:b/>
          <w:sz w:val="32"/>
          <w:szCs w:val="32"/>
        </w:rPr>
        <w:t>（一）主要职能</w:t>
      </w:r>
    </w:p>
    <w:bookmarkEnd w:id="11"/>
    <w:bookmarkEnd w:id="12"/>
    <w:p w14:paraId="4B97F56D">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13" w:name="_Toc15396601"/>
      <w:bookmarkStart w:id="14" w:name="_Toc15377200"/>
      <w:r>
        <w:rPr>
          <w:rFonts w:hint="eastAsia" w:ascii="仿宋_GB2312" w:hAnsi="仿宋_GB2312" w:eastAsia="仿宋_GB2312" w:cs="仿宋_GB2312"/>
          <w:sz w:val="32"/>
          <w:szCs w:val="32"/>
        </w:rPr>
        <w:t>负责全县事业单位登记</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工作，建立和实施事业单位登记管理制度；研究拟登记管理的政策、措施并组织实施；承担乡镇、县直事业单位的登记管理和年度检验</w:t>
      </w:r>
      <w:r>
        <w:rPr>
          <w:rFonts w:hint="eastAsia" w:ascii="仿宋_GB2312" w:hAnsi="仿宋_GB2312" w:eastAsia="仿宋_GB2312" w:cs="仿宋_GB2312"/>
          <w:sz w:val="32"/>
          <w:szCs w:val="32"/>
          <w:lang w:eastAsia="zh-CN"/>
        </w:rPr>
        <w:t>事务性</w:t>
      </w:r>
      <w:r>
        <w:rPr>
          <w:rFonts w:hint="eastAsia" w:ascii="仿宋_GB2312" w:hAnsi="仿宋_GB2312" w:eastAsia="仿宋_GB2312" w:cs="仿宋_GB2312"/>
          <w:sz w:val="32"/>
          <w:szCs w:val="32"/>
        </w:rPr>
        <w:t>工作；依法保护核准登记的事业单位有关登记事项的合法权益；监督检查事业单位执行《事业单位登记管理暂行条例》的情况，查处违规行为；负责全县事业单位登记管理信息统计。</w:t>
      </w:r>
    </w:p>
    <w:p w14:paraId="49CB7DCF">
      <w:pPr>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13"/>
      <w:bookmarkEnd w:id="14"/>
    </w:p>
    <w:p w14:paraId="355BF836">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eastAsia="仿宋_GB2312"/>
          <w:sz w:val="32"/>
          <w:szCs w:val="32"/>
          <w:lang w:eastAsia="zh-CN"/>
        </w:rPr>
        <w:t>茂县</w:t>
      </w:r>
      <w:r>
        <w:rPr>
          <w:rFonts w:hint="eastAsia" w:ascii="仿宋_GB2312" w:eastAsia="仿宋_GB2312"/>
          <w:sz w:val="32"/>
          <w:szCs w:val="32"/>
        </w:rPr>
        <w:t>事业</w:t>
      </w:r>
      <w:r>
        <w:rPr>
          <w:rFonts w:hint="eastAsia" w:ascii="仿宋_GB2312" w:eastAsia="仿宋_GB2312"/>
          <w:sz w:val="32"/>
          <w:szCs w:val="32"/>
          <w:lang w:eastAsia="zh-CN"/>
        </w:rPr>
        <w:t>单位</w:t>
      </w:r>
      <w:r>
        <w:rPr>
          <w:rFonts w:hint="eastAsia" w:ascii="仿宋_GB2312" w:eastAsia="仿宋_GB2312"/>
          <w:sz w:val="32"/>
          <w:szCs w:val="32"/>
        </w:rPr>
        <w:t>登记</w:t>
      </w:r>
      <w:r>
        <w:rPr>
          <w:rFonts w:hint="eastAsia" w:ascii="仿宋_GB2312" w:eastAsia="仿宋_GB2312"/>
          <w:sz w:val="32"/>
          <w:szCs w:val="32"/>
          <w:lang w:eastAsia="zh-CN"/>
        </w:rPr>
        <w:t>管理</w:t>
      </w:r>
      <w:r>
        <w:rPr>
          <w:rFonts w:hint="eastAsia" w:ascii="仿宋_GB2312" w:eastAsia="仿宋_GB2312"/>
          <w:sz w:val="32"/>
          <w:szCs w:val="32"/>
        </w:rPr>
        <w:t>局</w:t>
      </w:r>
      <w:r>
        <w:rPr>
          <w:rFonts w:hint="eastAsia" w:ascii="仿宋_GB2312" w:eastAsia="仿宋_GB2312"/>
          <w:sz w:val="32"/>
          <w:szCs w:val="32"/>
          <w:lang w:eastAsia="zh-CN"/>
        </w:rPr>
        <w:t>为县委</w:t>
      </w:r>
      <w:r>
        <w:rPr>
          <w:rFonts w:hint="eastAsia" w:ascii="仿宋_GB2312" w:hAnsi="仿宋_GB2312" w:eastAsia="仿宋_GB2312" w:cs="仿宋_GB2312"/>
          <w:sz w:val="32"/>
          <w:szCs w:val="32"/>
        </w:rPr>
        <w:t>编办</w:t>
      </w:r>
      <w:r>
        <w:rPr>
          <w:rFonts w:hint="eastAsia" w:ascii="仿宋_GB2312" w:hAnsi="仿宋_GB2312" w:eastAsia="仿宋_GB2312" w:cs="仿宋_GB2312"/>
          <w:sz w:val="32"/>
          <w:szCs w:val="32"/>
          <w:lang w:eastAsia="zh-CN"/>
        </w:rPr>
        <w:t>所</w:t>
      </w:r>
      <w:r>
        <w:rPr>
          <w:rFonts w:hint="eastAsia" w:ascii="仿宋_GB2312" w:hAnsi="仿宋_GB2312" w:eastAsia="仿宋_GB2312" w:cs="仿宋_GB2312"/>
          <w:sz w:val="32"/>
          <w:szCs w:val="32"/>
        </w:rPr>
        <w:t>属事业机构。</w:t>
      </w:r>
    </w:p>
    <w:p w14:paraId="00F1B1FC">
      <w:pPr>
        <w:pStyle w:val="23"/>
        <w:pageBreakBefore w:val="0"/>
        <w:kinsoku/>
        <w:wordWrap/>
        <w:overflowPunct/>
        <w:topLinePunct w:val="0"/>
        <w:autoSpaceDE/>
        <w:autoSpaceDN/>
        <w:bidi w:val="0"/>
        <w:spacing w:line="576" w:lineRule="exact"/>
        <w:jc w:val="both"/>
        <w:textAlignment w:val="auto"/>
      </w:pPr>
    </w:p>
    <w:p w14:paraId="270E7E01">
      <w:pPr>
        <w:pStyle w:val="23"/>
        <w:pageBreakBefore w:val="0"/>
        <w:kinsoku/>
        <w:wordWrap/>
        <w:overflowPunct/>
        <w:topLinePunct w:val="0"/>
        <w:autoSpaceDE/>
        <w:autoSpaceDN/>
        <w:bidi w:val="0"/>
        <w:spacing w:line="576" w:lineRule="exact"/>
        <w:jc w:val="both"/>
        <w:textAlignment w:val="auto"/>
      </w:pPr>
    </w:p>
    <w:p w14:paraId="0691ED61">
      <w:pPr>
        <w:pStyle w:val="23"/>
        <w:pageBreakBefore w:val="0"/>
        <w:kinsoku/>
        <w:wordWrap/>
        <w:overflowPunct/>
        <w:topLinePunct w:val="0"/>
        <w:autoSpaceDE/>
        <w:autoSpaceDN/>
        <w:bidi w:val="0"/>
        <w:spacing w:line="576" w:lineRule="exact"/>
        <w:jc w:val="both"/>
        <w:textAlignment w:val="auto"/>
      </w:pPr>
    </w:p>
    <w:p w14:paraId="79B0BC92">
      <w:pPr>
        <w:pStyle w:val="23"/>
        <w:pageBreakBefore w:val="0"/>
        <w:kinsoku/>
        <w:wordWrap/>
        <w:overflowPunct/>
        <w:topLinePunct w:val="0"/>
        <w:autoSpaceDE/>
        <w:autoSpaceDN/>
        <w:bidi w:val="0"/>
        <w:spacing w:line="576" w:lineRule="exact"/>
        <w:jc w:val="both"/>
        <w:textAlignment w:val="auto"/>
      </w:pPr>
    </w:p>
    <w:p w14:paraId="43C70625">
      <w:pPr>
        <w:pStyle w:val="23"/>
        <w:pageBreakBefore w:val="0"/>
        <w:kinsoku/>
        <w:wordWrap/>
        <w:overflowPunct/>
        <w:topLinePunct w:val="0"/>
        <w:autoSpaceDE/>
        <w:autoSpaceDN/>
        <w:bidi w:val="0"/>
        <w:spacing w:line="576" w:lineRule="exact"/>
        <w:jc w:val="both"/>
        <w:textAlignment w:val="auto"/>
      </w:pPr>
    </w:p>
    <w:p w14:paraId="531DEAB3">
      <w:pPr>
        <w:pStyle w:val="23"/>
        <w:pageBreakBefore w:val="0"/>
        <w:kinsoku/>
        <w:wordWrap/>
        <w:overflowPunct/>
        <w:topLinePunct w:val="0"/>
        <w:autoSpaceDE/>
        <w:autoSpaceDN/>
        <w:bidi w:val="0"/>
        <w:spacing w:line="576" w:lineRule="exact"/>
        <w:jc w:val="both"/>
        <w:textAlignment w:val="auto"/>
      </w:pPr>
    </w:p>
    <w:p w14:paraId="3F49E6C6">
      <w:pPr>
        <w:pStyle w:val="23"/>
        <w:pageBreakBefore w:val="0"/>
        <w:kinsoku/>
        <w:wordWrap/>
        <w:overflowPunct/>
        <w:topLinePunct w:val="0"/>
        <w:autoSpaceDE/>
        <w:autoSpaceDN/>
        <w:bidi w:val="0"/>
        <w:spacing w:line="576" w:lineRule="exact"/>
        <w:jc w:val="both"/>
        <w:textAlignment w:val="auto"/>
      </w:pPr>
    </w:p>
    <w:p w14:paraId="0E4D5CEC">
      <w:pPr>
        <w:pStyle w:val="23"/>
        <w:pageBreakBefore w:val="0"/>
        <w:kinsoku/>
        <w:wordWrap/>
        <w:overflowPunct/>
        <w:topLinePunct w:val="0"/>
        <w:autoSpaceDE/>
        <w:autoSpaceDN/>
        <w:bidi w:val="0"/>
        <w:spacing w:line="576" w:lineRule="exact"/>
        <w:jc w:val="both"/>
        <w:textAlignment w:val="auto"/>
      </w:pPr>
    </w:p>
    <w:p w14:paraId="17B5D48D">
      <w:pPr>
        <w:pStyle w:val="5"/>
        <w:pageBreakBefore w:val="0"/>
        <w:kinsoku/>
        <w:wordWrap/>
        <w:overflowPunct/>
        <w:topLinePunct w:val="0"/>
        <w:autoSpaceDE/>
        <w:autoSpaceDN/>
        <w:bidi w:val="0"/>
        <w:spacing w:line="576" w:lineRule="exact"/>
        <w:ind w:right="440"/>
        <w:jc w:val="right"/>
        <w:textAlignment w:val="auto"/>
      </w:pPr>
      <w:bookmarkStart w:id="15" w:name="_Toc15377204"/>
      <w:bookmarkStart w:id="16" w:name="_Toc79163859"/>
      <w:bookmarkStart w:id="17" w:name="_Toc15396602"/>
      <w:bookmarkStart w:id="18" w:name="_Toc79163609"/>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4</w:t>
      </w:r>
      <w:r>
        <w:rPr>
          <w:rStyle w:val="37"/>
          <w:rFonts w:hint="eastAsia" w:ascii="方正小标宋简体" w:hAnsi="方正小标宋简体" w:eastAsia="方正小标宋简体" w:cs="方正小标宋简体"/>
          <w:b w:val="0"/>
          <w:bCs w:val="0"/>
        </w:rPr>
        <w:t>年度</w:t>
      </w:r>
      <w:r>
        <w:rPr>
          <w:rStyle w:val="37"/>
          <w:rFonts w:hint="eastAsia" w:ascii="方正小标宋简体" w:hAnsi="方正小标宋简体" w:eastAsia="方正小标宋简体" w:cs="方正小标宋简体"/>
          <w:b w:val="0"/>
          <w:bCs w:val="0"/>
          <w:lang w:eastAsia="zh-CN"/>
        </w:rPr>
        <w:t>部门</w:t>
      </w:r>
      <w:r>
        <w:rPr>
          <w:rStyle w:val="37"/>
          <w:rFonts w:hint="eastAsia" w:ascii="方正小标宋简体" w:hAnsi="方正小标宋简体" w:eastAsia="方正小标宋简体" w:cs="方正小标宋简体"/>
          <w:b w:val="0"/>
          <w:bCs w:val="0"/>
        </w:rPr>
        <w:t>决算情况说明</w:t>
      </w:r>
      <w:bookmarkEnd w:id="15"/>
      <w:bookmarkEnd w:id="16"/>
      <w:bookmarkEnd w:id="17"/>
      <w:bookmarkEnd w:id="18"/>
    </w:p>
    <w:p w14:paraId="0FCC2F28">
      <w:pPr>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sz w:val="32"/>
          <w:szCs w:val="32"/>
        </w:rPr>
      </w:pPr>
      <w:bookmarkStart w:id="19" w:name="_Toc79163863"/>
      <w:bookmarkStart w:id="20" w:name="_Toc79163613"/>
      <w:bookmarkStart w:id="21" w:name="_Toc15377208"/>
      <w:bookmarkStart w:id="22" w:name="_Toc15396606"/>
    </w:p>
    <w:p w14:paraId="7F0E8379">
      <w:pPr>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rPr>
      </w:pPr>
      <w:r>
        <w:rPr>
          <w:rFonts w:hint="eastAsia" w:ascii="黑体" w:hAnsi="黑体" w:eastAsia="黑体"/>
          <w:sz w:val="32"/>
          <w:szCs w:val="32"/>
        </w:rPr>
        <w:t>一、收</w:t>
      </w:r>
      <w:r>
        <w:rPr>
          <w:rStyle w:val="41"/>
          <w:rFonts w:hint="eastAsia" w:ascii="黑体" w:hAnsi="黑体" w:eastAsia="黑体"/>
          <w:b w:val="0"/>
        </w:rPr>
        <w:t>入支出决算总体情况说明</w:t>
      </w:r>
    </w:p>
    <w:p w14:paraId="35387962">
      <w:pPr>
        <w:pageBreakBefore w:val="0"/>
        <w:widowControl w:val="0"/>
        <w:kinsoku/>
        <w:wordWrap/>
        <w:overflowPunct/>
        <w:topLinePunct w:val="0"/>
        <w:autoSpaceDE/>
        <w:autoSpaceDN/>
        <w:bidi w:val="0"/>
        <w:adjustRightInd/>
        <w:snapToGrid w:val="0"/>
        <w:spacing w:line="576" w:lineRule="exact"/>
        <w:ind w:firstLine="640" w:firstLineChars="200"/>
        <w:textAlignment w:val="auto"/>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w:t>
      </w:r>
      <w:r>
        <w:rPr>
          <w:rFonts w:hint="eastAsia" w:ascii="仿宋_GB2312" w:hAnsi="仿宋_GB2312" w:eastAsia="仿宋_GB2312" w:cs="仿宋_GB2312"/>
          <w:sz w:val="32"/>
          <w:szCs w:val="32"/>
          <w:lang w:val="en-US" w:eastAsia="zh-CN"/>
        </w:rPr>
        <w:t>入</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159.88万元。与202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年相比收</w:t>
      </w:r>
      <w:r>
        <w:rPr>
          <w:rFonts w:hint="eastAsia" w:ascii="仿宋_GB2312" w:hAnsi="仿宋_GB2312" w:eastAsia="仿宋_GB2312" w:cs="仿宋_GB2312"/>
          <w:sz w:val="32"/>
          <w:szCs w:val="32"/>
          <w:lang w:eastAsia="zh-CN"/>
        </w:rPr>
        <w:t>入</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总计各</w:t>
      </w:r>
      <w:r>
        <w:rPr>
          <w:rFonts w:hint="eastAsia" w:ascii="Times New Roman" w:hAnsi="Times New Roman" w:eastAsia="仿宋_GB2312" w:cs="仿宋_GB2312"/>
          <w:color w:val="auto"/>
          <w:sz w:val="32"/>
          <w:szCs w:val="32"/>
          <w:highlight w:val="none"/>
        </w:rPr>
        <w:t>增加</w:t>
      </w:r>
      <w:r>
        <w:rPr>
          <w:rFonts w:hint="eastAsia" w:ascii="仿宋_GB2312" w:hAnsi="仿宋_GB2312" w:eastAsia="仿宋_GB2312" w:cs="仿宋_GB2312"/>
          <w:sz w:val="32"/>
          <w:szCs w:val="32"/>
          <w:lang w:val="en-US" w:eastAsia="zh-CN"/>
        </w:rPr>
        <w:t>23.68</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ascii="仿宋_GB2312" w:hAnsi="仿宋_GB2312" w:eastAsia="仿宋_GB2312" w:cs="仿宋_GB2312"/>
          <w:sz w:val="32"/>
          <w:szCs w:val="32"/>
          <w:lang w:val="en-US" w:eastAsia="zh-CN"/>
        </w:rPr>
        <w:t>17.39</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w:t>
      </w:r>
      <w:r>
        <w:rPr>
          <w:rFonts w:hint="eastAsia" w:ascii="仿宋_GB2312" w:hAnsi="仿宋" w:eastAsia="仿宋_GB2312" w:cs="仿宋"/>
          <w:sz w:val="32"/>
          <w:szCs w:val="32"/>
          <w:lang w:val="en-US" w:eastAsia="zh-CN"/>
        </w:rPr>
        <w:t>人员工资、保险有所增加。</w:t>
      </w:r>
    </w:p>
    <w:p w14:paraId="59A14B0D">
      <w:pPr>
        <w:jc w:val="center"/>
        <w:rPr>
          <w:rFonts w:ascii="仿宋_GB2312" w:eastAsia="仿宋_GB2312"/>
          <w:sz w:val="32"/>
          <w:szCs w:val="32"/>
        </w:rPr>
      </w:pPr>
      <w:bookmarkStart w:id="23" w:name="_Toc15396604"/>
      <w:bookmarkStart w:id="24" w:name="_Toc15377206"/>
      <w:r>
        <w:rPr>
          <w:rFonts w:ascii="仿宋_GB2312" w:eastAsia="仿宋_GB2312"/>
          <w:sz w:val="32"/>
          <w:szCs w:val="32"/>
        </w:rPr>
        <w:drawing>
          <wp:inline distT="0" distB="0" distL="0" distR="0">
            <wp:extent cx="4336415" cy="2169795"/>
            <wp:effectExtent l="4445" t="4445" r="21590" b="1651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7EDCA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23"/>
      <w:bookmarkEnd w:id="24"/>
    </w:p>
    <w:p w14:paraId="3865F62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万元，占100%；政府性基金预算财政拨款收入0万元，占0%。</w:t>
      </w:r>
    </w:p>
    <w:p w14:paraId="1CE6A06D">
      <w:pPr>
        <w:pStyle w:val="2"/>
      </w:pPr>
    </w:p>
    <w:p w14:paraId="1FC5849D">
      <w:pPr>
        <w:jc w:val="center"/>
        <w:rPr>
          <w:rFonts w:ascii="仿宋_GB2312" w:eastAsia="仿宋_GB2312"/>
          <w:sz w:val="32"/>
          <w:szCs w:val="32"/>
        </w:rPr>
      </w:pPr>
      <w:bookmarkStart w:id="25" w:name="_Toc15377207"/>
      <w:bookmarkStart w:id="26" w:name="_Toc15396605"/>
      <w:r>
        <w:rPr>
          <w:rFonts w:ascii="仿宋_GB2312" w:eastAsia="仿宋_GB2312"/>
          <w:sz w:val="32"/>
          <w:szCs w:val="32"/>
        </w:rPr>
        <w:drawing>
          <wp:inline distT="0" distB="0" distL="0" distR="0">
            <wp:extent cx="3376930" cy="2027555"/>
            <wp:effectExtent l="19050" t="0" r="1344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bookmarkEnd w:id="19"/>
    <w:bookmarkEnd w:id="20"/>
    <w:bookmarkEnd w:id="21"/>
    <w:bookmarkEnd w:id="22"/>
    <w:bookmarkEnd w:id="25"/>
    <w:bookmarkEnd w:id="26"/>
    <w:p w14:paraId="231AB1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3E8FA94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万元，占100%；项目支出0万元，占0%。</w:t>
      </w:r>
    </w:p>
    <w:p w14:paraId="2DEF1872">
      <w:pPr>
        <w:ind w:firstLine="640" w:firstLineChars="200"/>
        <w:jc w:val="center"/>
      </w:pPr>
      <w:r>
        <w:rPr>
          <w:rFonts w:ascii="黑体" w:hAnsi="黑体" w:eastAsia="黑体"/>
          <w:bCs/>
          <w:sz w:val="32"/>
          <w:szCs w:val="32"/>
        </w:rPr>
        <w:drawing>
          <wp:inline distT="0" distB="0" distL="0" distR="0">
            <wp:extent cx="3900805" cy="2027555"/>
            <wp:effectExtent l="19050" t="0" r="23357"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76CDDD6">
      <w:pPr>
        <w:pStyle w:val="6"/>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61FD591D">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w:t>
      </w:r>
      <w:r>
        <w:rPr>
          <w:rFonts w:hint="eastAsia" w:ascii="Times New Roman" w:hAnsi="Times New Roman" w:eastAsia="仿宋_GB2312" w:cs="仿宋_GB2312"/>
          <w:color w:val="auto"/>
          <w:kern w:val="2"/>
          <w:sz w:val="32"/>
          <w:szCs w:val="32"/>
          <w:highlight w:val="none"/>
          <w:lang w:val="en-US" w:eastAsia="zh-CN" w:bidi="ar-SA"/>
        </w:rPr>
        <w:t>收入、支出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年相比，财政拨款</w:t>
      </w:r>
      <w:r>
        <w:rPr>
          <w:rFonts w:hint="eastAsia" w:ascii="Times New Roman" w:hAnsi="Times New Roman" w:eastAsia="仿宋_GB2312" w:cs="仿宋_GB2312"/>
          <w:color w:val="auto"/>
          <w:kern w:val="2"/>
          <w:sz w:val="32"/>
          <w:szCs w:val="32"/>
          <w:highlight w:val="none"/>
          <w:lang w:val="en-US" w:eastAsia="zh-CN" w:bidi="ar-SA"/>
        </w:rPr>
        <w:t>收入、支出总计各增加</w:t>
      </w:r>
      <w:r>
        <w:rPr>
          <w:rFonts w:hint="eastAsia" w:ascii="仿宋_GB2312" w:hAnsi="仿宋_GB2312" w:eastAsia="仿宋_GB2312" w:cs="仿宋_GB2312"/>
          <w:sz w:val="32"/>
          <w:szCs w:val="32"/>
          <w:lang w:val="en-US" w:eastAsia="zh-CN"/>
        </w:rPr>
        <w:t>23.68</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ascii="仿宋_GB2312" w:hAnsi="仿宋_GB2312" w:eastAsia="仿宋_GB2312" w:cs="仿宋_GB2312"/>
          <w:sz w:val="32"/>
          <w:szCs w:val="32"/>
          <w:lang w:val="en-US" w:eastAsia="zh-CN"/>
        </w:rPr>
        <w:t>17.39</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lang w:eastAsia="zh-CN"/>
        </w:rPr>
        <w:t>：</w:t>
      </w:r>
      <w:r>
        <w:rPr>
          <w:rFonts w:hint="eastAsia" w:ascii="仿宋_GB2312" w:hAnsi="仿宋_GB2312" w:eastAsia="仿宋_GB2312" w:cs="仿宋_GB2312"/>
          <w:sz w:val="32"/>
          <w:szCs w:val="32"/>
          <w:lang w:val="en-US" w:eastAsia="zh-CN"/>
        </w:rPr>
        <w:t>2024年</w:t>
      </w:r>
      <w:r>
        <w:rPr>
          <w:rFonts w:hint="eastAsia" w:ascii="仿宋_GB2312" w:hAnsi="仿宋" w:eastAsia="仿宋_GB2312" w:cs="仿宋"/>
          <w:sz w:val="32"/>
          <w:szCs w:val="32"/>
          <w:lang w:val="en-US" w:eastAsia="zh-CN"/>
        </w:rPr>
        <w:t>人员工资、保险有所增加。</w:t>
      </w:r>
    </w:p>
    <w:p w14:paraId="50AA2C79">
      <w:pPr>
        <w:jc w:val="center"/>
        <w:rPr>
          <w:rFonts w:ascii="仿宋_GB2312" w:eastAsia="仿宋_GB2312"/>
          <w:sz w:val="32"/>
          <w:szCs w:val="32"/>
        </w:rPr>
      </w:pPr>
      <w:bookmarkStart w:id="27" w:name="_Toc15396607"/>
      <w:bookmarkStart w:id="28" w:name="_Toc15377209"/>
      <w:r>
        <w:rPr>
          <w:rFonts w:ascii="仿宋_GB2312" w:eastAsia="仿宋_GB2312"/>
          <w:sz w:val="32"/>
          <w:szCs w:val="32"/>
        </w:rPr>
        <w:drawing>
          <wp:inline distT="0" distB="0" distL="0" distR="0">
            <wp:extent cx="4335145" cy="2234565"/>
            <wp:effectExtent l="4445" t="4445" r="22860" b="88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A302BD">
      <w:pPr>
        <w:pStyle w:val="2"/>
      </w:pPr>
    </w:p>
    <w:p w14:paraId="6B3BCC49">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7"/>
      <w:bookmarkEnd w:id="28"/>
      <w:bookmarkStart w:id="29" w:name="_Toc15377210"/>
    </w:p>
    <w:p w14:paraId="5F723326">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14:paraId="7CC2FF24">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年相比，一般公共预算财政拨款</w:t>
      </w:r>
      <w:r>
        <w:rPr>
          <w:rFonts w:hint="eastAsia" w:ascii="Times New Roman" w:hAnsi="Times New Roman" w:eastAsia="仿宋_GB2312" w:cs="仿宋_GB2312"/>
          <w:color w:val="auto"/>
          <w:kern w:val="2"/>
          <w:sz w:val="32"/>
          <w:szCs w:val="32"/>
          <w:highlight w:val="none"/>
          <w:lang w:val="en-US" w:eastAsia="zh-CN" w:bidi="ar-SA"/>
        </w:rPr>
        <w:t>增加</w:t>
      </w:r>
      <w:r>
        <w:rPr>
          <w:rFonts w:hint="eastAsia" w:ascii="仿宋_GB2312" w:hAnsi="仿宋_GB2312" w:eastAsia="仿宋_GB2312" w:cs="仿宋_GB2312"/>
          <w:sz w:val="32"/>
          <w:szCs w:val="32"/>
          <w:lang w:val="en-US" w:eastAsia="zh-CN"/>
        </w:rPr>
        <w:t>23.68</w:t>
      </w:r>
      <w:r>
        <w:rPr>
          <w:rFonts w:hint="eastAsia" w:ascii="仿宋_GB2312" w:hAnsi="仿宋" w:eastAsia="仿宋_GB2312" w:cs="仿宋"/>
          <w:sz w:val="32"/>
          <w:szCs w:val="32"/>
        </w:rPr>
        <w:t>万元，</w:t>
      </w:r>
      <w:r>
        <w:rPr>
          <w:rFonts w:hint="eastAsia" w:ascii="Times New Roman" w:hAnsi="Times New Roman" w:eastAsia="仿宋_GB2312" w:cs="仿宋_GB2312"/>
          <w:color w:val="auto"/>
          <w:sz w:val="32"/>
          <w:szCs w:val="32"/>
          <w:highlight w:val="none"/>
        </w:rPr>
        <w:t>增长</w:t>
      </w:r>
      <w:r>
        <w:rPr>
          <w:rFonts w:hint="eastAsia" w:ascii="仿宋_GB2312" w:hAnsi="仿宋_GB2312" w:eastAsia="仿宋_GB2312" w:cs="仿宋_GB2312"/>
          <w:sz w:val="32"/>
          <w:szCs w:val="32"/>
          <w:lang w:val="en-US" w:eastAsia="zh-CN"/>
        </w:rPr>
        <w:t>17.39</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预算时公用经费比</w:t>
      </w:r>
      <w:r>
        <w:rPr>
          <w:rFonts w:hint="eastAsia" w:ascii="仿宋_GB2312" w:hAnsi="仿宋_GB2312" w:eastAsia="仿宋_GB2312" w:cs="仿宋_GB2312"/>
          <w:sz w:val="32"/>
          <w:szCs w:val="32"/>
          <w:lang w:val="en-US" w:eastAsia="zh-CN"/>
        </w:rPr>
        <w:t>2023年有所增加</w:t>
      </w:r>
      <w:r>
        <w:rPr>
          <w:rFonts w:hint="eastAsia" w:ascii="仿宋_GB2312" w:hAnsi="仿宋_GB2312" w:eastAsia="仿宋_GB2312" w:cs="仿宋_GB2312"/>
          <w:sz w:val="32"/>
          <w:szCs w:val="32"/>
        </w:rPr>
        <w:t>。</w:t>
      </w:r>
    </w:p>
    <w:p w14:paraId="0D7CE87C">
      <w:pPr>
        <w:jc w:val="center"/>
        <w:rPr>
          <w:rFonts w:ascii="仿宋_GB2312" w:eastAsia="仿宋_GB2312"/>
          <w:sz w:val="32"/>
          <w:szCs w:val="32"/>
        </w:rPr>
      </w:pPr>
      <w:r>
        <w:rPr>
          <w:rFonts w:ascii="仿宋_GB2312" w:eastAsia="仿宋_GB2312"/>
          <w:sz w:val="32"/>
          <w:szCs w:val="32"/>
        </w:rPr>
        <w:drawing>
          <wp:inline distT="0" distB="0" distL="0" distR="0">
            <wp:extent cx="3726180" cy="2171065"/>
            <wp:effectExtent l="4445" t="4445" r="22225" b="1524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15F54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14:paraId="79626044">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 w:eastAsia="仿宋_GB2312"/>
          <w:sz w:val="32"/>
          <w:szCs w:val="32"/>
          <w:lang w:val="en-US" w:eastAsia="zh-CN"/>
        </w:rPr>
        <w:t>116.31</w:t>
      </w:r>
      <w:r>
        <w:rPr>
          <w:rFonts w:hint="eastAsia" w:ascii="仿宋_GB2312" w:hAnsi="仿宋_GB2312" w:eastAsia="仿宋_GB2312" w:cs="仿宋_GB2312"/>
          <w:bCs/>
          <w:sz w:val="32"/>
          <w:szCs w:val="32"/>
        </w:rPr>
        <w:t>万元，占</w:t>
      </w:r>
      <w:r>
        <w:rPr>
          <w:rFonts w:hint="eastAsia" w:ascii="仿宋_GB2312" w:hAnsi="仿宋" w:eastAsia="仿宋_GB2312"/>
          <w:sz w:val="32"/>
          <w:szCs w:val="32"/>
          <w:lang w:val="en-US" w:eastAsia="zh-CN"/>
        </w:rPr>
        <w:t>72.75</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 w:eastAsia="仿宋_GB2312"/>
          <w:sz w:val="32"/>
          <w:szCs w:val="32"/>
          <w:lang w:val="en-US" w:eastAsia="zh-CN"/>
        </w:rPr>
        <w:t>22.20</w:t>
      </w:r>
      <w:r>
        <w:rPr>
          <w:rFonts w:hint="eastAsia" w:ascii="仿宋_GB2312" w:hAnsi="仿宋_GB2312" w:eastAsia="仿宋_GB2312" w:cs="仿宋_GB2312"/>
          <w:sz w:val="32"/>
          <w:szCs w:val="32"/>
        </w:rPr>
        <w:t>万元，占</w:t>
      </w:r>
      <w:r>
        <w:rPr>
          <w:rFonts w:hint="eastAsia" w:ascii="仿宋_GB2312" w:hAnsi="仿宋" w:eastAsia="仿宋_GB2312"/>
          <w:sz w:val="32"/>
          <w:szCs w:val="32"/>
          <w:lang w:val="en-US" w:eastAsia="zh-CN"/>
        </w:rPr>
        <w:t>13.89</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 w:eastAsia="仿宋_GB2312"/>
          <w:sz w:val="32"/>
          <w:szCs w:val="32"/>
          <w:lang w:val="en-US" w:eastAsia="zh-CN"/>
        </w:rPr>
        <w:t>9.47</w:t>
      </w:r>
      <w:r>
        <w:rPr>
          <w:rFonts w:hint="eastAsia" w:ascii="仿宋_GB2312" w:hAnsi="仿宋_GB2312" w:eastAsia="仿宋_GB2312" w:cs="仿宋_GB2312"/>
          <w:sz w:val="32"/>
          <w:szCs w:val="32"/>
        </w:rPr>
        <w:t>万元，占5.</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%；住房保障( 221）支出</w:t>
      </w:r>
      <w:r>
        <w:rPr>
          <w:rFonts w:hint="eastAsia" w:ascii="仿宋_GB2312" w:hAnsi="仿宋" w:eastAsia="仿宋_GB2312"/>
          <w:sz w:val="32"/>
          <w:szCs w:val="32"/>
          <w:lang w:val="en-US" w:eastAsia="zh-CN"/>
        </w:rPr>
        <w:t>11.90</w:t>
      </w:r>
      <w:r>
        <w:rPr>
          <w:rFonts w:hint="eastAsia" w:ascii="仿宋_GB2312" w:hAnsi="仿宋_GB2312" w:eastAsia="仿宋_GB2312" w:cs="仿宋_GB2312"/>
          <w:sz w:val="32"/>
          <w:szCs w:val="32"/>
        </w:rPr>
        <w:t>万元，占</w:t>
      </w:r>
      <w:r>
        <w:rPr>
          <w:rFonts w:hint="eastAsia" w:ascii="仿宋_GB2312" w:hAnsi="仿宋" w:eastAsia="仿宋_GB2312"/>
          <w:sz w:val="32"/>
          <w:szCs w:val="32"/>
          <w:lang w:val="en-US" w:eastAsia="zh-CN"/>
        </w:rPr>
        <w:t>7.44</w:t>
      </w:r>
      <w:r>
        <w:rPr>
          <w:rFonts w:hint="eastAsia" w:ascii="仿宋_GB2312" w:hAnsi="仿宋" w:eastAsia="仿宋_GB2312"/>
          <w:sz w:val="32"/>
          <w:szCs w:val="32"/>
        </w:rPr>
        <w:t>%</w:t>
      </w:r>
      <w:r>
        <w:rPr>
          <w:rFonts w:hint="eastAsia" w:ascii="仿宋_GB2312" w:hAnsi="仿宋_GB2312" w:eastAsia="仿宋_GB2312" w:cs="仿宋_GB2312"/>
          <w:sz w:val="32"/>
          <w:szCs w:val="32"/>
        </w:rPr>
        <w:t>。</w:t>
      </w:r>
    </w:p>
    <w:p w14:paraId="22943424">
      <w:pPr>
        <w:pStyle w:val="2"/>
        <w:rPr>
          <w:rFonts w:hint="eastAsia"/>
        </w:rPr>
      </w:pPr>
    </w:p>
    <w:p w14:paraId="53CD27B9">
      <w:pPr>
        <w:pStyle w:val="2"/>
      </w:pPr>
    </w:p>
    <w:p w14:paraId="29FEBBE9">
      <w:pPr>
        <w:jc w:val="center"/>
        <w:rPr>
          <w:rFonts w:ascii="仿宋" w:hAnsi="仿宋" w:eastAsia="仿宋"/>
          <w:sz w:val="32"/>
          <w:szCs w:val="32"/>
        </w:rPr>
      </w:pPr>
      <w:r>
        <w:rPr>
          <w:rFonts w:ascii="仿宋" w:hAnsi="仿宋" w:eastAsia="仿宋"/>
          <w:sz w:val="32"/>
          <w:szCs w:val="32"/>
        </w:rPr>
        <w:drawing>
          <wp:inline distT="0" distB="0" distL="0" distR="0">
            <wp:extent cx="4142740" cy="2281555"/>
            <wp:effectExtent l="4445" t="4445" r="5715" b="1905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31" w:name="_Toc15377212"/>
    </w:p>
    <w:p w14:paraId="409DFB3F">
      <w:pPr>
        <w:pStyle w:val="2"/>
        <w:rPr>
          <w:rFonts w:hint="eastAsia"/>
        </w:rPr>
      </w:pPr>
    </w:p>
    <w:p w14:paraId="71B48065">
      <w:pPr>
        <w:pStyle w:val="3"/>
        <w:rPr>
          <w:rFonts w:hint="eastAsia"/>
        </w:rPr>
      </w:pPr>
    </w:p>
    <w:p w14:paraId="6C51711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31"/>
    </w:p>
    <w:p w14:paraId="0C00B663">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32" w:name="_Toc15377444"/>
      <w:bookmarkStart w:id="33" w:name="_Toc15378460"/>
      <w:bookmarkStart w:id="34" w:name="_Toc15377213"/>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bCs/>
          <w:sz w:val="32"/>
          <w:szCs w:val="32"/>
          <w:lang w:val="en-US" w:eastAsia="zh-CN"/>
        </w:rPr>
        <w:t>159.88</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32"/>
      <w:bookmarkEnd w:id="33"/>
      <w:bookmarkEnd w:id="34"/>
    </w:p>
    <w:p w14:paraId="49BD55B6">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一般公共服务（201）组织事务（32）事业运行（50）: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116.31</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0307D95A">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社会保障和就业（208）行政事业单位离退休（05）机关事业单位基本养老保险（05）：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14.80</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4D78BCFC">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社会保障和就业（208）行政事业单位离退休（05）机关事业单位职业年金（06）: 支出决算为</w:t>
      </w:r>
      <w:r>
        <w:rPr>
          <w:rStyle w:val="26"/>
          <w:rFonts w:hint="eastAsia" w:ascii="仿宋_GB2312" w:hAnsi="仿宋_GB2312" w:eastAsia="仿宋_GB2312" w:cs="仿宋_GB2312"/>
          <w:b w:val="0"/>
          <w:sz w:val="32"/>
          <w:szCs w:val="32"/>
          <w:lang w:val="en-US" w:eastAsia="zh-CN"/>
        </w:rPr>
        <w:t>7.40</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3DCAE80A">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卫生健康支出(210)行政事业单位医疗（11）事业单位医疗（02）: 支出决算为</w:t>
      </w:r>
      <w:r>
        <w:rPr>
          <w:rStyle w:val="26"/>
          <w:rFonts w:hint="eastAsia" w:ascii="仿宋_GB2312" w:hAnsi="仿宋_GB2312" w:eastAsia="仿宋_GB2312" w:cs="仿宋_GB2312"/>
          <w:b w:val="0"/>
          <w:sz w:val="32"/>
          <w:szCs w:val="32"/>
          <w:lang w:val="en-US" w:eastAsia="zh-CN"/>
        </w:rPr>
        <w:t>9.47</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69E43186">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11.90</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20839852">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5" w:name="_Toc15377214"/>
      <w:bookmarkStart w:id="36" w:name="_Toc15396608"/>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5"/>
      <w:bookmarkEnd w:id="36"/>
    </w:p>
    <w:p w14:paraId="04013933">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159.88</w:t>
      </w:r>
      <w:r>
        <w:rPr>
          <w:rFonts w:hint="eastAsia" w:ascii="仿宋_GB2312" w:hAnsi="仿宋_GB2312" w:eastAsia="仿宋_GB2312" w:cs="仿宋_GB2312"/>
          <w:sz w:val="32"/>
          <w:szCs w:val="32"/>
        </w:rPr>
        <w:t>万元，其中：</w:t>
      </w:r>
    </w:p>
    <w:p w14:paraId="45E9FD48">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154.21</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基本工资、津贴补贴、绩效工资、机关事业单位基本养老保险缴费、职业年金缴费、职工基本医疗保险缴费、其他社会保障缴费、住房公积金、医疗费、奖励金。</w:t>
      </w:r>
    </w:p>
    <w:p w14:paraId="2AAA5800">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5.67</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w:t>
      </w:r>
    </w:p>
    <w:p w14:paraId="5972223A">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1A1DCD2C">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17A51064">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0.07</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lang w:eastAsia="zh-CN"/>
        </w:rPr>
        <w:t>，</w:t>
      </w:r>
      <w:r>
        <w:rPr>
          <w:rFonts w:hint="eastAsia" w:ascii="仿宋" w:hAnsi="仿宋" w:eastAsia="仿宋"/>
          <w:color w:val="auto"/>
          <w:sz w:val="32"/>
          <w:szCs w:val="32"/>
          <w:highlight w:val="none"/>
          <w:lang w:eastAsia="zh-CN"/>
        </w:rPr>
        <w:t>与</w:t>
      </w:r>
      <w:r>
        <w:rPr>
          <w:rFonts w:hint="eastAsia" w:ascii="仿宋" w:hAnsi="仿宋" w:eastAsia="仿宋"/>
          <w:color w:val="auto"/>
          <w:sz w:val="32"/>
          <w:szCs w:val="32"/>
          <w:highlight w:val="none"/>
          <w:lang w:val="en-US" w:eastAsia="zh-CN"/>
        </w:rPr>
        <w:t>2023年相比</w:t>
      </w:r>
      <w:r>
        <w:rPr>
          <w:rFonts w:hint="eastAsia" w:ascii="仿宋" w:hAnsi="仿宋" w:eastAsia="仿宋"/>
          <w:color w:val="auto"/>
          <w:sz w:val="32"/>
          <w:szCs w:val="32"/>
          <w:highlight w:val="none"/>
          <w:lang w:eastAsia="zh-CN"/>
        </w:rPr>
        <w:t>减少</w:t>
      </w:r>
      <w:r>
        <w:rPr>
          <w:rFonts w:hint="eastAsia" w:ascii="仿宋" w:hAnsi="仿宋" w:eastAsia="仿宋"/>
          <w:color w:val="auto"/>
          <w:sz w:val="32"/>
          <w:szCs w:val="32"/>
          <w:highlight w:val="none"/>
          <w:lang w:val="en-US" w:eastAsia="zh-CN"/>
        </w:rPr>
        <w:t>0.01万元，下降12.5%。</w:t>
      </w:r>
      <w:r>
        <w:rPr>
          <w:rFonts w:hint="eastAsia" w:ascii="仿宋" w:hAnsi="仿宋" w:eastAsia="仿宋"/>
          <w:color w:val="auto"/>
          <w:sz w:val="32"/>
          <w:szCs w:val="32"/>
          <w:highlight w:val="none"/>
        </w:rPr>
        <w:t>主要原因是</w:t>
      </w:r>
      <w:r>
        <w:rPr>
          <w:rFonts w:hint="eastAsia" w:ascii="仿宋" w:hAnsi="仿宋" w:eastAsia="仿宋"/>
          <w:color w:val="auto"/>
          <w:sz w:val="32"/>
          <w:szCs w:val="32"/>
          <w:highlight w:val="none"/>
          <w:lang w:eastAsia="zh-CN"/>
        </w:rPr>
        <w:t>：公务出差减少</w:t>
      </w:r>
      <w:r>
        <w:rPr>
          <w:rFonts w:hint="eastAsia" w:ascii="仿宋" w:hAnsi="仿宋" w:eastAsia="仿宋"/>
          <w:color w:val="auto"/>
          <w:sz w:val="32"/>
          <w:szCs w:val="32"/>
          <w:highlight w:val="none"/>
        </w:rPr>
        <w:t>。</w:t>
      </w:r>
    </w:p>
    <w:p w14:paraId="4167FBDD">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14:paraId="594FC6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lang w:eastAsia="zh-CN"/>
        </w:rPr>
        <w:t>年“三公”经费财</w:t>
      </w:r>
      <w:r>
        <w:rPr>
          <w:rFonts w:hint="eastAsia" w:ascii="仿宋_GB2312" w:hAnsi="仿宋_GB2312" w:eastAsia="仿宋_GB2312" w:cs="仿宋_GB2312"/>
          <w:sz w:val="32"/>
          <w:szCs w:val="32"/>
        </w:rPr>
        <w:t>政拨款支出决算中，因公出国（境）费支出决算0万元</w:t>
      </w:r>
      <w:r>
        <w:rPr>
          <w:rFonts w:hint="eastAsia" w:ascii="仿宋_GB2312" w:hAnsi="仿宋_GB2312" w:eastAsia="仿宋_GB2312" w:cs="仿宋_GB2312"/>
          <w:sz w:val="32"/>
          <w:szCs w:val="32"/>
          <w:lang w:eastAsia="zh-CN"/>
        </w:rPr>
        <w:t>，</w:t>
      </w:r>
      <w:r>
        <w:rPr>
          <w:rFonts w:hint="eastAsia" w:ascii="仿宋" w:hAnsi="仿宋" w:eastAsia="仿宋"/>
          <w:color w:val="auto"/>
          <w:sz w:val="32"/>
          <w:szCs w:val="32"/>
          <w:highlight w:val="none"/>
        </w:rPr>
        <w:t>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_GB2312" w:hAnsi="仿宋_GB2312" w:eastAsia="仿宋_GB2312" w:cs="仿宋_GB2312"/>
          <w:sz w:val="32"/>
          <w:szCs w:val="32"/>
        </w:rPr>
        <w:t>；公务用车购置及运行维护费支出决算0万元，占0%；公务接待费支出决算</w:t>
      </w:r>
      <w:r>
        <w:rPr>
          <w:rFonts w:hint="eastAsia" w:ascii="仿宋_GB2312" w:hAnsi="仿宋_GB2312" w:eastAsia="仿宋_GB2312" w:cs="仿宋_GB2312"/>
          <w:sz w:val="32"/>
          <w:szCs w:val="32"/>
          <w:lang w:val="en-US" w:eastAsia="zh-CN"/>
        </w:rPr>
        <w:t>0.07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14:paraId="2D9521D8">
      <w:pPr>
        <w:pStyle w:val="19"/>
        <w:rPr>
          <w:rFonts w:hint="eastAsia"/>
        </w:rPr>
      </w:pPr>
    </w:p>
    <w:p w14:paraId="5009ACE7">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ascii="仿宋" w:hAnsi="仿宋" w:eastAsia="仿宋"/>
          <w:sz w:val="32"/>
          <w:szCs w:val="32"/>
        </w:rPr>
      </w:pPr>
      <w:r>
        <w:rPr>
          <w:rFonts w:ascii="仿宋" w:hAnsi="仿宋" w:eastAsia="仿宋"/>
          <w:sz w:val="32"/>
          <w:szCs w:val="32"/>
        </w:rPr>
        <w:drawing>
          <wp:inline distT="0" distB="0" distL="0" distR="0">
            <wp:extent cx="3798570" cy="2083435"/>
            <wp:effectExtent l="4445" t="4445" r="6985" b="762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6FA03B">
      <w:pPr>
        <w:pStyle w:val="2"/>
        <w:rPr>
          <w:rFonts w:hint="eastAsia"/>
          <w:lang w:eastAsia="zh-CN"/>
        </w:rPr>
      </w:pPr>
    </w:p>
    <w:p w14:paraId="70F8F3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w:t>
      </w:r>
      <w:r>
        <w:rPr>
          <w:rFonts w:hint="eastAsia" w:ascii="仿宋_GB2312" w:eastAsia="仿宋_GB2312"/>
          <w:color w:val="auto"/>
          <w:sz w:val="32"/>
          <w:szCs w:val="32"/>
          <w:highlight w:val="none"/>
          <w:lang w:val="en-US" w:eastAsia="zh-CN"/>
        </w:rPr>
        <w:t>0万元，</w:t>
      </w:r>
      <w:r>
        <w:rPr>
          <w:rFonts w:hint="eastAsia" w:ascii="仿宋_GB2312" w:hAnsi="仿宋_GB2312" w:eastAsia="仿宋_GB2312" w:cs="仿宋_GB2312"/>
          <w:sz w:val="32"/>
          <w:szCs w:val="32"/>
        </w:rPr>
        <w:t>全年安排因公出国（境）团组0次，出国（境）0人。</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度相比无变化</w:t>
      </w:r>
      <w:r>
        <w:rPr>
          <w:rFonts w:hint="eastAsia" w:ascii="仿宋_GB2312" w:eastAsia="仿宋_GB2312"/>
          <w:color w:val="auto"/>
          <w:sz w:val="32"/>
          <w:szCs w:val="32"/>
          <w:highlight w:val="none"/>
        </w:rPr>
        <w:t>。</w:t>
      </w:r>
    </w:p>
    <w:p w14:paraId="5D700CE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olor w:val="auto"/>
          <w:sz w:val="32"/>
          <w:szCs w:val="32"/>
          <w:highlight w:val="none"/>
        </w:rPr>
      </w:pPr>
      <w:r>
        <w:rPr>
          <w:rFonts w:hint="eastAsia" w:ascii="仿宋_GB2312" w:hAnsi="仿宋_GB2312" w:eastAsia="仿宋_GB2312" w:cs="仿宋_GB2312"/>
          <w:b/>
          <w:bCs/>
          <w:sz w:val="32"/>
          <w:szCs w:val="32"/>
        </w:rPr>
        <w:t>2.公务用车购置及运行维护费支出</w:t>
      </w:r>
      <w:r>
        <w:rPr>
          <w:rFonts w:hint="eastAsia" w:ascii="仿宋_GB2312" w:eastAsia="仿宋_GB2312"/>
          <w:color w:val="auto"/>
          <w:sz w:val="32"/>
          <w:szCs w:val="32"/>
          <w:highlight w:val="none"/>
          <w:lang w:val="en-US" w:eastAsia="zh-CN"/>
        </w:rPr>
        <w:t>0万元</w:t>
      </w:r>
      <w:r>
        <w:rPr>
          <w:rFonts w:hint="eastAsia" w:ascii="仿宋_GB2312" w:hAnsi="仿宋_GB2312" w:eastAsia="仿宋_GB2312" w:cs="仿宋_GB2312"/>
          <w:sz w:val="32"/>
          <w:szCs w:val="32"/>
        </w:rPr>
        <w:t>,</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度相比无</w:t>
      </w:r>
      <w:r>
        <w:rPr>
          <w:rFonts w:hint="eastAsia" w:ascii="仿宋_GB2312" w:eastAsia="仿宋_GB2312"/>
          <w:color w:val="auto"/>
          <w:sz w:val="32"/>
          <w:szCs w:val="32"/>
          <w:highlight w:val="none"/>
        </w:rPr>
        <w:t>增减。其中：</w:t>
      </w:r>
    </w:p>
    <w:p w14:paraId="70B28B5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eastAsia="仿宋_GB2312"/>
          <w:b/>
          <w:color w:val="auto"/>
          <w:sz w:val="32"/>
          <w:szCs w:val="32"/>
          <w:highlight w:val="none"/>
        </w:rPr>
        <w:t>公务用车购置支</w:t>
      </w:r>
      <w:r>
        <w:rPr>
          <w:rFonts w:hint="eastAsia" w:ascii="仿宋_GB2312" w:hAnsi="仿宋_GB2312" w:eastAsia="仿宋_GB2312" w:cs="仿宋_GB2312"/>
          <w:b/>
          <w:bCs/>
          <w:sz w:val="32"/>
          <w:szCs w:val="32"/>
        </w:rPr>
        <w:t>出</w:t>
      </w:r>
      <w:r>
        <w:rPr>
          <w:rFonts w:hint="eastAsia" w:ascii="仿宋_GB2312" w:eastAsia="仿宋_GB2312"/>
          <w:color w:val="auto"/>
          <w:sz w:val="32"/>
          <w:szCs w:val="32"/>
          <w:highlight w:val="none"/>
          <w:lang w:val="en-US" w:eastAsia="zh-CN"/>
        </w:rPr>
        <w:t>0万元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2D33813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0万元。</w:t>
      </w:r>
    </w:p>
    <w:p w14:paraId="3D727E4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auto"/>
          <w:sz w:val="32"/>
          <w:szCs w:val="32"/>
          <w:highlight w:val="none"/>
        </w:rPr>
      </w:pPr>
      <w:r>
        <w:rPr>
          <w:rFonts w:hint="eastAsia" w:ascii="仿宋_GB2312" w:hAnsi="仿宋_GB2312" w:eastAsia="仿宋_GB2312" w:cs="仿宋_GB2312"/>
          <w:b/>
          <w:bCs/>
          <w:sz w:val="32"/>
          <w:szCs w:val="32"/>
        </w:rPr>
        <w:t>3.公务接待费支出</w:t>
      </w:r>
      <w:r>
        <w:rPr>
          <w:rFonts w:hint="eastAsia" w:ascii="仿宋_GB2312" w:eastAsia="仿宋_GB2312"/>
          <w:color w:val="auto"/>
          <w:sz w:val="32"/>
          <w:szCs w:val="32"/>
          <w:highlight w:val="none"/>
          <w:lang w:val="en-US" w:eastAsia="zh-CN"/>
        </w:rPr>
        <w:t>0.07万元，</w:t>
      </w:r>
      <w:r>
        <w:rPr>
          <w:rFonts w:hint="eastAsia" w:ascii="仿宋_GB2312" w:eastAsia="仿宋_GB2312"/>
          <w:color w:val="auto"/>
          <w:sz w:val="32"/>
          <w:szCs w:val="32"/>
          <w:highlight w:val="none"/>
        </w:rPr>
        <w:t>公务接待费支出决算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度相比减少</w:t>
      </w:r>
      <w:r>
        <w:rPr>
          <w:rFonts w:hint="eastAsia" w:ascii="仿宋_GB2312" w:eastAsia="仿宋_GB2312"/>
          <w:color w:val="auto"/>
          <w:sz w:val="32"/>
          <w:szCs w:val="32"/>
          <w:highlight w:val="none"/>
          <w:lang w:val="en-US" w:eastAsia="zh-CN"/>
        </w:rPr>
        <w:t>0.01</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下降</w:t>
      </w:r>
      <w:r>
        <w:rPr>
          <w:rFonts w:hint="eastAsia" w:ascii="仿宋_GB2312" w:eastAsia="仿宋_GB2312"/>
          <w:color w:val="auto"/>
          <w:sz w:val="32"/>
          <w:szCs w:val="32"/>
          <w:highlight w:val="none"/>
          <w:lang w:val="en-US" w:eastAsia="zh-CN"/>
        </w:rPr>
        <w:t>12.5</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sz w:val="32"/>
          <w:szCs w:val="32"/>
        </w:rPr>
        <w:t>接受相关部门检查指导工作发生的接待支出</w:t>
      </w:r>
      <w:r>
        <w:rPr>
          <w:rFonts w:hint="eastAsia" w:ascii="仿宋_GB2312" w:hAnsi="仿宋_GB2312" w:eastAsia="仿宋_GB2312" w:cs="仿宋_GB2312"/>
          <w:sz w:val="32"/>
          <w:szCs w:val="32"/>
          <w:lang w:eastAsia="zh-CN"/>
        </w:rPr>
        <w:t>减少</w:t>
      </w:r>
      <w:r>
        <w:rPr>
          <w:rFonts w:hint="eastAsia" w:ascii="仿宋_GB2312" w:eastAsia="仿宋_GB2312"/>
          <w:color w:val="auto"/>
          <w:sz w:val="32"/>
          <w:szCs w:val="32"/>
          <w:highlight w:val="none"/>
        </w:rPr>
        <w:t>。其中：</w:t>
      </w:r>
    </w:p>
    <w:p w14:paraId="42E23B7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lang w:val="en-US" w:eastAsia="zh-CN"/>
        </w:rPr>
        <w:t>0.07</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人次（不包括陪同人员）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0.07</w:t>
      </w:r>
      <w:r>
        <w:rPr>
          <w:rFonts w:hint="eastAsia" w:ascii="仿宋_GB2312" w:eastAsia="仿宋_GB2312"/>
          <w:color w:val="auto"/>
          <w:sz w:val="32"/>
          <w:szCs w:val="32"/>
          <w:highlight w:val="none"/>
        </w:rPr>
        <w:t>万元。</w:t>
      </w:r>
    </w:p>
    <w:p w14:paraId="1289A99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p>
    <w:p w14:paraId="63658D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3A7601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茂县</w:t>
      </w:r>
      <w:r>
        <w:rPr>
          <w:rFonts w:hint="eastAsia" w:ascii="仿宋_GB2312" w:eastAsia="仿宋_GB2312"/>
          <w:sz w:val="32"/>
          <w:szCs w:val="32"/>
        </w:rPr>
        <w:t>事业</w:t>
      </w:r>
      <w:r>
        <w:rPr>
          <w:rFonts w:hint="eastAsia" w:ascii="仿宋_GB2312" w:eastAsia="仿宋_GB2312"/>
          <w:sz w:val="32"/>
          <w:szCs w:val="32"/>
          <w:lang w:eastAsia="zh-CN"/>
        </w:rPr>
        <w:t>单位</w:t>
      </w:r>
      <w:r>
        <w:rPr>
          <w:rFonts w:hint="eastAsia" w:ascii="仿宋_GB2312" w:eastAsia="仿宋_GB2312"/>
          <w:sz w:val="32"/>
          <w:szCs w:val="32"/>
        </w:rPr>
        <w:t>登记</w:t>
      </w:r>
      <w:r>
        <w:rPr>
          <w:rFonts w:hint="eastAsia" w:ascii="仿宋_GB2312" w:eastAsia="仿宋_GB2312"/>
          <w:sz w:val="32"/>
          <w:szCs w:val="32"/>
          <w:lang w:eastAsia="zh-CN"/>
        </w:rPr>
        <w:t>管理</w:t>
      </w:r>
      <w:r>
        <w:rPr>
          <w:rFonts w:hint="eastAsia" w:ascii="仿宋_GB2312" w:eastAsia="仿宋_GB2312"/>
          <w:sz w:val="32"/>
          <w:szCs w:val="32"/>
        </w:rPr>
        <w:t>局202</w:t>
      </w:r>
      <w:r>
        <w:rPr>
          <w:rFonts w:hint="eastAsia" w:ascii="仿宋_GB2312" w:eastAsia="仿宋_GB2312"/>
          <w:sz w:val="32"/>
          <w:szCs w:val="32"/>
          <w:lang w:val="en-US" w:eastAsia="zh-CN"/>
        </w:rPr>
        <w:t>4</w:t>
      </w:r>
      <w:r>
        <w:rPr>
          <w:rFonts w:hint="eastAsia" w:ascii="仿宋_GB2312" w:eastAsia="仿宋_GB2312"/>
          <w:sz w:val="32"/>
          <w:szCs w:val="32"/>
        </w:rPr>
        <w:t>年无政府性基金预算拨款支出。</w:t>
      </w:r>
    </w:p>
    <w:p w14:paraId="58FCB8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b w:val="0"/>
        </w:rPr>
      </w:pPr>
      <w:bookmarkStart w:id="38" w:name="_Toc15377219"/>
      <w:bookmarkStart w:id="39" w:name="_Toc15396611"/>
      <w:r>
        <w:rPr>
          <w:rStyle w:val="41"/>
          <w:rFonts w:hint="eastAsia" w:ascii="黑体" w:hAnsi="黑体" w:eastAsia="黑体"/>
          <w:b w:val="0"/>
        </w:rPr>
        <w:t>九、国有资本经营预算支出决算情况说明</w:t>
      </w:r>
      <w:bookmarkEnd w:id="38"/>
      <w:bookmarkEnd w:id="39"/>
    </w:p>
    <w:p w14:paraId="23ABDA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茂县</w:t>
      </w:r>
      <w:r>
        <w:rPr>
          <w:rFonts w:hint="eastAsia" w:ascii="仿宋_GB2312" w:eastAsia="仿宋_GB2312"/>
          <w:sz w:val="32"/>
          <w:szCs w:val="32"/>
        </w:rPr>
        <w:t>事业</w:t>
      </w:r>
      <w:r>
        <w:rPr>
          <w:rFonts w:hint="eastAsia" w:ascii="仿宋_GB2312" w:eastAsia="仿宋_GB2312"/>
          <w:sz w:val="32"/>
          <w:szCs w:val="32"/>
          <w:lang w:eastAsia="zh-CN"/>
        </w:rPr>
        <w:t>单位</w:t>
      </w:r>
      <w:r>
        <w:rPr>
          <w:rFonts w:hint="eastAsia" w:ascii="仿宋_GB2312" w:eastAsia="仿宋_GB2312"/>
          <w:sz w:val="32"/>
          <w:szCs w:val="32"/>
        </w:rPr>
        <w:t>登记</w:t>
      </w:r>
      <w:r>
        <w:rPr>
          <w:rFonts w:hint="eastAsia" w:ascii="仿宋_GB2312" w:eastAsia="仿宋_GB2312"/>
          <w:sz w:val="32"/>
          <w:szCs w:val="32"/>
          <w:lang w:eastAsia="zh-CN"/>
        </w:rPr>
        <w:t>管理</w:t>
      </w:r>
      <w:r>
        <w:rPr>
          <w:rFonts w:hint="eastAsia" w:ascii="仿宋_GB2312" w:eastAsia="仿宋_GB2312"/>
          <w:sz w:val="32"/>
          <w:szCs w:val="32"/>
        </w:rPr>
        <w:t>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年无国有资本经营预算拨款支出。</w:t>
      </w:r>
    </w:p>
    <w:p w14:paraId="36DD96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452193FD">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40" w:name="_Toc15377222"/>
      <w:r>
        <w:rPr>
          <w:rStyle w:val="41"/>
          <w:rFonts w:hint="eastAsia" w:ascii="楷体" w:hAnsi="楷体" w:eastAsia="楷体" w:cs="楷体"/>
        </w:rPr>
        <w:t>（一）机关运行经费支出情况</w:t>
      </w:r>
      <w:bookmarkEnd w:id="40"/>
    </w:p>
    <w:p w14:paraId="0850A73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茂县</w:t>
      </w:r>
      <w:r>
        <w:rPr>
          <w:rFonts w:hint="eastAsia" w:ascii="仿宋_GB2312" w:eastAsia="仿宋_GB2312"/>
          <w:sz w:val="32"/>
          <w:szCs w:val="32"/>
        </w:rPr>
        <w:t>事业</w:t>
      </w:r>
      <w:r>
        <w:rPr>
          <w:rFonts w:hint="eastAsia" w:ascii="仿宋_GB2312" w:eastAsia="仿宋_GB2312"/>
          <w:sz w:val="32"/>
          <w:szCs w:val="32"/>
          <w:lang w:eastAsia="zh-CN"/>
        </w:rPr>
        <w:t>单位</w:t>
      </w:r>
      <w:r>
        <w:rPr>
          <w:rFonts w:hint="eastAsia" w:ascii="仿宋_GB2312" w:eastAsia="仿宋_GB2312"/>
          <w:sz w:val="32"/>
          <w:szCs w:val="32"/>
        </w:rPr>
        <w:t>登记</w:t>
      </w:r>
      <w:r>
        <w:rPr>
          <w:rFonts w:hint="eastAsia" w:ascii="仿宋_GB2312" w:eastAsia="仿宋_GB2312"/>
          <w:sz w:val="32"/>
          <w:szCs w:val="32"/>
          <w:lang w:eastAsia="zh-CN"/>
        </w:rPr>
        <w:t>管理</w:t>
      </w:r>
      <w:r>
        <w:rPr>
          <w:rFonts w:hint="eastAsia" w:ascii="仿宋_GB2312" w:eastAsia="仿宋_GB2312"/>
          <w:sz w:val="32"/>
          <w:szCs w:val="32"/>
        </w:rPr>
        <w:t>局</w:t>
      </w:r>
      <w:r>
        <w:rPr>
          <w:rFonts w:hint="eastAsia" w:ascii="仿宋_GB2312" w:eastAsia="仿宋_GB2312"/>
          <w:sz w:val="32"/>
          <w:szCs w:val="32"/>
          <w:lang w:eastAsia="zh-CN"/>
        </w:rPr>
        <w:t>无</w:t>
      </w:r>
      <w:r>
        <w:rPr>
          <w:rFonts w:hint="eastAsia" w:ascii="仿宋_GB2312" w:eastAsia="仿宋_GB2312"/>
          <w:sz w:val="32"/>
          <w:szCs w:val="32"/>
        </w:rPr>
        <w:t>机关运行经费支出。</w:t>
      </w:r>
    </w:p>
    <w:p w14:paraId="69E96526">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7D5FFAB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茂县</w:t>
      </w:r>
      <w:r>
        <w:rPr>
          <w:rFonts w:hint="eastAsia" w:ascii="仿宋_GB2312" w:eastAsia="仿宋_GB2312"/>
          <w:sz w:val="32"/>
          <w:szCs w:val="32"/>
        </w:rPr>
        <w:t>事业</w:t>
      </w:r>
      <w:r>
        <w:rPr>
          <w:rFonts w:hint="eastAsia" w:ascii="仿宋_GB2312" w:eastAsia="仿宋_GB2312"/>
          <w:sz w:val="32"/>
          <w:szCs w:val="32"/>
          <w:lang w:eastAsia="zh-CN"/>
        </w:rPr>
        <w:t>单位</w:t>
      </w:r>
      <w:r>
        <w:rPr>
          <w:rFonts w:hint="eastAsia" w:ascii="仿宋_GB2312" w:eastAsia="仿宋_GB2312"/>
          <w:sz w:val="32"/>
          <w:szCs w:val="32"/>
        </w:rPr>
        <w:t>登记</w:t>
      </w:r>
      <w:r>
        <w:rPr>
          <w:rFonts w:hint="eastAsia" w:ascii="仿宋_GB2312" w:eastAsia="仿宋_GB2312"/>
          <w:sz w:val="32"/>
          <w:szCs w:val="32"/>
          <w:lang w:eastAsia="zh-CN"/>
        </w:rPr>
        <w:t>管理</w:t>
      </w:r>
      <w:r>
        <w:rPr>
          <w:rFonts w:hint="eastAsia" w:ascii="仿宋_GB2312" w:eastAsia="仿宋_GB2312"/>
          <w:sz w:val="32"/>
          <w:szCs w:val="32"/>
        </w:rPr>
        <w:t>局无政府采购支出。</w:t>
      </w:r>
    </w:p>
    <w:p w14:paraId="786C69A3">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2E1A608A">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茂县</w:t>
      </w:r>
      <w:r>
        <w:rPr>
          <w:rFonts w:hint="eastAsia" w:ascii="仿宋_GB2312" w:eastAsia="仿宋_GB2312"/>
          <w:sz w:val="32"/>
          <w:szCs w:val="32"/>
        </w:rPr>
        <w:t>事业</w:t>
      </w:r>
      <w:r>
        <w:rPr>
          <w:rFonts w:hint="eastAsia" w:ascii="仿宋_GB2312" w:eastAsia="仿宋_GB2312"/>
          <w:sz w:val="32"/>
          <w:szCs w:val="32"/>
          <w:lang w:eastAsia="zh-CN"/>
        </w:rPr>
        <w:t>单位</w:t>
      </w:r>
      <w:r>
        <w:rPr>
          <w:rFonts w:hint="eastAsia" w:ascii="仿宋_GB2312" w:eastAsia="仿宋_GB2312"/>
          <w:sz w:val="32"/>
          <w:szCs w:val="32"/>
        </w:rPr>
        <w:t>登记</w:t>
      </w:r>
      <w:r>
        <w:rPr>
          <w:rFonts w:hint="eastAsia" w:ascii="仿宋_GB2312" w:eastAsia="仿宋_GB2312"/>
          <w:sz w:val="32"/>
          <w:szCs w:val="32"/>
          <w:lang w:eastAsia="zh-CN"/>
        </w:rPr>
        <w:t>管理</w:t>
      </w:r>
      <w:r>
        <w:rPr>
          <w:rFonts w:hint="eastAsia" w:ascii="仿宋_GB2312" w:eastAsia="仿宋_GB2312"/>
          <w:sz w:val="32"/>
          <w:szCs w:val="32"/>
        </w:rPr>
        <w:t>局无车辆。</w:t>
      </w:r>
    </w:p>
    <w:p w14:paraId="69F061EC">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157CA440">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bookmarkStart w:id="41" w:name="_Toc15377221"/>
      <w:bookmarkStart w:id="42" w:name="_Toc15396612"/>
    </w:p>
    <w:p w14:paraId="5D012996">
      <w:pPr>
        <w:pStyle w:val="2"/>
        <w:rPr>
          <w:rFonts w:hint="eastAsia" w:ascii="仿宋_GB2312" w:hAnsi="仿宋_GB2312" w:eastAsia="仿宋_GB2312" w:cs="仿宋_GB2312"/>
          <w:sz w:val="32"/>
          <w:szCs w:val="32"/>
          <w:lang w:eastAsia="zh-CN"/>
        </w:rPr>
      </w:pPr>
    </w:p>
    <w:p w14:paraId="550C11A4">
      <w:pPr>
        <w:pStyle w:val="3"/>
        <w:rPr>
          <w:rFonts w:hint="eastAsia" w:ascii="仿宋_GB2312" w:hAnsi="仿宋_GB2312" w:eastAsia="仿宋_GB2312" w:cs="仿宋_GB2312"/>
          <w:sz w:val="32"/>
          <w:szCs w:val="32"/>
          <w:lang w:eastAsia="zh-CN"/>
        </w:rPr>
      </w:pPr>
    </w:p>
    <w:p w14:paraId="60562009">
      <w:pPr>
        <w:pStyle w:val="3"/>
        <w:rPr>
          <w:rFonts w:hint="eastAsia" w:ascii="仿宋_GB2312" w:hAnsi="仿宋_GB2312" w:eastAsia="仿宋_GB2312" w:cs="仿宋_GB2312"/>
          <w:sz w:val="32"/>
          <w:szCs w:val="32"/>
          <w:lang w:eastAsia="zh-CN"/>
        </w:rPr>
      </w:pPr>
    </w:p>
    <w:p w14:paraId="6A255C0C">
      <w:pPr>
        <w:pStyle w:val="3"/>
        <w:rPr>
          <w:rFonts w:hint="eastAsia" w:ascii="仿宋_GB2312" w:hAnsi="仿宋_GB2312" w:eastAsia="仿宋_GB2312" w:cs="仿宋_GB2312"/>
          <w:sz w:val="32"/>
          <w:szCs w:val="32"/>
          <w:lang w:eastAsia="zh-CN"/>
        </w:rPr>
      </w:pPr>
    </w:p>
    <w:p w14:paraId="25F8ED9C">
      <w:pPr>
        <w:pStyle w:val="3"/>
        <w:rPr>
          <w:rFonts w:hint="eastAsia" w:ascii="仿宋_GB2312" w:hAnsi="仿宋_GB2312" w:eastAsia="仿宋_GB2312" w:cs="仿宋_GB2312"/>
          <w:sz w:val="32"/>
          <w:szCs w:val="32"/>
          <w:lang w:eastAsia="zh-CN"/>
        </w:rPr>
      </w:pPr>
    </w:p>
    <w:p w14:paraId="4A689143">
      <w:pPr>
        <w:pStyle w:val="3"/>
        <w:rPr>
          <w:rFonts w:hint="eastAsia" w:ascii="仿宋_GB2312" w:hAnsi="仿宋_GB2312" w:eastAsia="仿宋_GB2312" w:cs="仿宋_GB2312"/>
          <w:sz w:val="32"/>
          <w:szCs w:val="32"/>
          <w:lang w:eastAsia="zh-CN"/>
        </w:rPr>
      </w:pPr>
    </w:p>
    <w:p w14:paraId="0AD43D64">
      <w:pPr>
        <w:pStyle w:val="3"/>
        <w:rPr>
          <w:rFonts w:hint="eastAsia" w:ascii="仿宋_GB2312" w:hAnsi="仿宋_GB2312" w:eastAsia="仿宋_GB2312" w:cs="仿宋_GB2312"/>
          <w:sz w:val="32"/>
          <w:szCs w:val="32"/>
          <w:lang w:eastAsia="zh-CN"/>
        </w:rPr>
      </w:pPr>
    </w:p>
    <w:p w14:paraId="2B57512E">
      <w:pPr>
        <w:pStyle w:val="3"/>
        <w:rPr>
          <w:rFonts w:hint="eastAsia" w:ascii="仿宋_GB2312" w:hAnsi="仿宋_GB2312" w:eastAsia="仿宋_GB2312" w:cs="仿宋_GB2312"/>
          <w:sz w:val="32"/>
          <w:szCs w:val="32"/>
          <w:lang w:eastAsia="zh-CN"/>
        </w:rPr>
      </w:pPr>
    </w:p>
    <w:p w14:paraId="04D6B134">
      <w:pPr>
        <w:pStyle w:val="3"/>
        <w:rPr>
          <w:rFonts w:hint="eastAsia" w:ascii="仿宋_GB2312" w:hAnsi="仿宋_GB2312" w:eastAsia="仿宋_GB2312" w:cs="仿宋_GB2312"/>
          <w:sz w:val="32"/>
          <w:szCs w:val="32"/>
          <w:lang w:eastAsia="zh-CN"/>
        </w:rPr>
      </w:pPr>
    </w:p>
    <w:p w14:paraId="20A6A443">
      <w:pPr>
        <w:pStyle w:val="3"/>
        <w:rPr>
          <w:rFonts w:hint="eastAsia" w:ascii="仿宋_GB2312" w:hAnsi="仿宋_GB2312" w:eastAsia="仿宋_GB2312" w:cs="仿宋_GB2312"/>
          <w:sz w:val="32"/>
          <w:szCs w:val="32"/>
          <w:lang w:eastAsia="zh-CN"/>
        </w:rPr>
      </w:pPr>
    </w:p>
    <w:p w14:paraId="0DFA31BF">
      <w:pPr>
        <w:pStyle w:val="3"/>
        <w:rPr>
          <w:rFonts w:hint="eastAsia" w:ascii="仿宋_GB2312" w:hAnsi="仿宋_GB2312" w:eastAsia="仿宋_GB2312" w:cs="仿宋_GB2312"/>
          <w:sz w:val="32"/>
          <w:szCs w:val="32"/>
          <w:lang w:eastAsia="zh-CN"/>
        </w:rPr>
      </w:pPr>
    </w:p>
    <w:p w14:paraId="34B3BEF7">
      <w:pPr>
        <w:pStyle w:val="3"/>
        <w:rPr>
          <w:rFonts w:hint="eastAsia" w:ascii="仿宋_GB2312" w:hAnsi="仿宋_GB2312" w:eastAsia="仿宋_GB2312" w:cs="仿宋_GB2312"/>
          <w:sz w:val="32"/>
          <w:szCs w:val="32"/>
          <w:lang w:eastAsia="zh-CN"/>
        </w:rPr>
      </w:pPr>
    </w:p>
    <w:p w14:paraId="6588CE71">
      <w:pPr>
        <w:pStyle w:val="3"/>
        <w:rPr>
          <w:rFonts w:hint="eastAsia" w:ascii="仿宋_GB2312" w:hAnsi="仿宋_GB2312" w:eastAsia="仿宋_GB2312" w:cs="仿宋_GB2312"/>
          <w:sz w:val="32"/>
          <w:szCs w:val="32"/>
          <w:lang w:eastAsia="zh-CN"/>
        </w:rPr>
      </w:pPr>
    </w:p>
    <w:p w14:paraId="547927A3">
      <w:pPr>
        <w:pStyle w:val="3"/>
        <w:rPr>
          <w:rFonts w:hint="eastAsia" w:ascii="仿宋_GB2312" w:hAnsi="仿宋_GB2312" w:eastAsia="仿宋_GB2312" w:cs="仿宋_GB2312"/>
          <w:sz w:val="32"/>
          <w:szCs w:val="32"/>
          <w:lang w:eastAsia="zh-CN"/>
        </w:rPr>
      </w:pPr>
    </w:p>
    <w:p w14:paraId="29AB09FE">
      <w:pPr>
        <w:pStyle w:val="3"/>
        <w:rPr>
          <w:rFonts w:hint="eastAsia" w:ascii="仿宋_GB2312" w:hAnsi="仿宋_GB2312" w:eastAsia="仿宋_GB2312" w:cs="仿宋_GB2312"/>
          <w:sz w:val="32"/>
          <w:szCs w:val="32"/>
          <w:lang w:eastAsia="zh-CN"/>
        </w:rPr>
      </w:pPr>
    </w:p>
    <w:p w14:paraId="071E0505">
      <w:pPr>
        <w:pStyle w:val="3"/>
        <w:rPr>
          <w:rFonts w:hint="eastAsia" w:ascii="仿宋_GB2312" w:hAnsi="仿宋_GB2312" w:eastAsia="仿宋_GB2312" w:cs="仿宋_GB2312"/>
          <w:sz w:val="32"/>
          <w:szCs w:val="32"/>
          <w:lang w:eastAsia="zh-CN"/>
        </w:rPr>
      </w:pPr>
    </w:p>
    <w:p w14:paraId="37963B22">
      <w:pPr>
        <w:pStyle w:val="3"/>
        <w:ind w:left="0" w:leftChars="0" w:firstLine="0" w:firstLineChars="0"/>
        <w:rPr>
          <w:rFonts w:hint="eastAsia" w:ascii="仿宋_GB2312" w:hAnsi="仿宋_GB2312" w:eastAsia="仿宋_GB2312" w:cs="仿宋_GB2312"/>
          <w:sz w:val="32"/>
          <w:szCs w:val="32"/>
          <w:lang w:eastAsia="zh-CN"/>
        </w:rPr>
      </w:pPr>
    </w:p>
    <w:p w14:paraId="4F471277">
      <w:pPr>
        <w:pStyle w:val="3"/>
        <w:ind w:left="0" w:leftChars="0" w:firstLine="0" w:firstLineChars="0"/>
        <w:rPr>
          <w:rFonts w:hint="eastAsia" w:ascii="仿宋_GB2312" w:hAnsi="仿宋_GB2312" w:eastAsia="仿宋_GB2312" w:cs="仿宋_GB2312"/>
          <w:sz w:val="32"/>
          <w:szCs w:val="32"/>
          <w:lang w:eastAsia="zh-CN"/>
        </w:rPr>
      </w:pPr>
      <w:bookmarkStart w:id="78" w:name="_GoBack"/>
      <w:bookmarkEnd w:id="78"/>
    </w:p>
    <w:bookmarkEnd w:id="41"/>
    <w:bookmarkEnd w:id="42"/>
    <w:p w14:paraId="74F2CDFE">
      <w:pPr>
        <w:keepNext w:val="0"/>
        <w:keepLines w:val="0"/>
        <w:pageBreakBefore w:val="0"/>
        <w:widowControl w:val="0"/>
        <w:numPr>
          <w:ilvl w:val="0"/>
          <w:numId w:val="1"/>
        </w:numPr>
        <w:kinsoku/>
        <w:wordWrap/>
        <w:overflowPunct/>
        <w:topLinePunct w:val="0"/>
        <w:bidi w:val="0"/>
        <w:snapToGrid/>
        <w:spacing w:line="576" w:lineRule="exact"/>
        <w:ind w:firstLine="880" w:firstLineChars="200"/>
        <w:jc w:val="center"/>
        <w:textAlignment w:val="auto"/>
        <w:outlineLvl w:val="0"/>
        <w:rPr>
          <w:rStyle w:val="37"/>
          <w:rFonts w:ascii="方正小标宋简体" w:hAnsi="方正小标宋简体" w:eastAsia="方正小标宋简体" w:cs="方正小标宋简体"/>
          <w:b w:val="0"/>
        </w:rPr>
      </w:pPr>
      <w:bookmarkStart w:id="43" w:name="_Toc79163879"/>
      <w:bookmarkStart w:id="44" w:name="_Toc15377225"/>
      <w:bookmarkStart w:id="45" w:name="_Toc15396613"/>
      <w:bookmarkStart w:id="46" w:name="_Toc79163629"/>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43"/>
      <w:bookmarkEnd w:id="44"/>
      <w:bookmarkEnd w:id="45"/>
      <w:bookmarkEnd w:id="46"/>
    </w:p>
    <w:p w14:paraId="1C99D3FE">
      <w:pPr>
        <w:keepNext w:val="0"/>
        <w:keepLines w:val="0"/>
        <w:pageBreakBefore w:val="0"/>
        <w:widowControl w:val="0"/>
        <w:kinsoku/>
        <w:wordWrap/>
        <w:overflowPunct/>
        <w:topLinePunct w:val="0"/>
        <w:bidi w:val="0"/>
        <w:snapToGrid/>
        <w:spacing w:line="576" w:lineRule="exact"/>
        <w:ind w:firstLine="883" w:firstLineChars="200"/>
        <w:jc w:val="left"/>
        <w:textAlignment w:val="auto"/>
        <w:rPr>
          <w:rFonts w:ascii="宋体"/>
          <w:b/>
          <w:color w:val="000000"/>
          <w:sz w:val="44"/>
          <w:szCs w:val="44"/>
        </w:rPr>
      </w:pPr>
    </w:p>
    <w:p w14:paraId="02B959F5">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1D926FBE">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12CB21CC">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39650A42">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8BD479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6CDD16A4">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7F571C4">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2717865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31D9900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23AFFCD3">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37B9CC4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7C09B18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12DF812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79E651F7">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7F743F7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5778E2F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3FC32A5D">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548CBBB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59B03BBD">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F3C186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6813A757">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F9F3A86">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25400D">
      <w:pPr>
        <w:pStyle w:val="32"/>
        <w:spacing w:line="560" w:lineRule="exact"/>
        <w:ind w:firstLine="640" w:firstLineChars="200"/>
        <w:rPr>
          <w:rFonts w:ascii="仿宋_GB2312" w:eastAsia="仿宋_GB2312" w:cs="黑体"/>
          <w:color w:val="auto"/>
          <w:sz w:val="32"/>
          <w:szCs w:val="32"/>
        </w:rPr>
      </w:pPr>
    </w:p>
    <w:p w14:paraId="733A42D4">
      <w:pPr>
        <w:pStyle w:val="22"/>
        <w:keepNext w:val="0"/>
        <w:keepLines w:val="0"/>
        <w:pageBreakBefore w:val="0"/>
        <w:widowControl/>
        <w:suppressLineNumbers w:val="0"/>
        <w:kinsoku/>
        <w:wordWrap/>
        <w:overflowPunct/>
        <w:topLinePunct w:val="0"/>
        <w:bidi w:val="0"/>
        <w:spacing w:line="576" w:lineRule="exact"/>
        <w:jc w:val="center"/>
        <w:textAlignment w:val="auto"/>
        <w:outlineLvl w:val="0"/>
      </w:pPr>
      <w:r>
        <w:rPr>
          <w:rFonts w:ascii="宋体"/>
          <w:b/>
          <w:color w:val="000000"/>
          <w:sz w:val="44"/>
          <w:szCs w:val="44"/>
        </w:rPr>
        <w:br w:type="page"/>
      </w:r>
      <w:bookmarkEnd w:id="47"/>
      <w:bookmarkStart w:id="48" w:name="_Toc7978"/>
      <w:bookmarkStart w:id="49" w:name="_Toc19088"/>
      <w:r>
        <w:rPr>
          <w:rStyle w:val="37"/>
          <w:rFonts w:hint="eastAsia" w:ascii="方正小标宋简体" w:hAnsi="方正小标宋简体" w:eastAsia="方正小标宋简体" w:cs="方正小标宋简体"/>
          <w:b w:val="0"/>
          <w:sz w:val="48"/>
          <w:szCs w:val="48"/>
          <w:lang w:val="en-US" w:eastAsia="zh-CN" w:bidi="ar"/>
        </w:rPr>
        <w:t>第四部分 附件</w:t>
      </w:r>
      <w:bookmarkEnd w:id="48"/>
      <w:bookmarkEnd w:id="49"/>
      <w:r>
        <w:t> </w:t>
      </w:r>
    </w:p>
    <w:tbl>
      <w:tblPr>
        <w:tblStyle w:val="24"/>
        <w:tblpPr w:leftFromText="180" w:rightFromText="180" w:vertAnchor="text" w:horzAnchor="page" w:tblpX="571" w:tblpY="1224"/>
        <w:tblOverlap w:val="never"/>
        <w:tblW w:w="108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809"/>
        <w:gridCol w:w="1197"/>
        <w:gridCol w:w="1227"/>
        <w:gridCol w:w="521"/>
        <w:gridCol w:w="623"/>
        <w:gridCol w:w="828"/>
        <w:gridCol w:w="1083"/>
        <w:gridCol w:w="510"/>
        <w:gridCol w:w="448"/>
        <w:gridCol w:w="1999"/>
      </w:tblGrid>
      <w:tr w14:paraId="219F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82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8F3AF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755D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470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4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8840BD">
            <w:pPr>
              <w:rPr>
                <w:rFonts w:hint="eastAsia" w:ascii="宋体" w:hAnsi="宋体" w:eastAsia="宋体" w:cs="宋体"/>
                <w:i w:val="0"/>
                <w:iCs w:val="0"/>
                <w:color w:val="000000"/>
                <w:sz w:val="18"/>
                <w:szCs w:val="18"/>
                <w:u w:val="none"/>
              </w:rPr>
            </w:pPr>
          </w:p>
        </w:tc>
      </w:tr>
      <w:tr w14:paraId="56BF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707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8E1F29">
            <w:pPr>
              <w:rPr>
                <w:rFonts w:hint="eastAsia" w:ascii="宋体" w:hAnsi="宋体" w:eastAsia="宋体" w:cs="宋体"/>
                <w:i w:val="0"/>
                <w:iCs w:val="0"/>
                <w:color w:val="000000"/>
                <w:sz w:val="18"/>
                <w:szCs w:val="18"/>
                <w:u w:val="none"/>
              </w:rPr>
            </w:pPr>
          </w:p>
        </w:tc>
        <w:tc>
          <w:tcPr>
            <w:tcW w:w="1088" w:type="dxa"/>
            <w:tcBorders>
              <w:top w:val="nil"/>
              <w:left w:val="nil"/>
              <w:bottom w:val="nil"/>
              <w:right w:val="nil"/>
            </w:tcBorders>
            <w:shd w:val="clear" w:color="auto" w:fill="auto"/>
            <w:vAlign w:val="center"/>
          </w:tcPr>
          <w:p w14:paraId="69AFF99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29BD">
            <w:pPr>
              <w:jc w:val="center"/>
              <w:rPr>
                <w:rFonts w:hint="eastAsia" w:ascii="宋体" w:hAnsi="宋体" w:eastAsia="宋体" w:cs="宋体"/>
                <w:i w:val="0"/>
                <w:iCs w:val="0"/>
                <w:color w:val="000000"/>
                <w:sz w:val="18"/>
                <w:szCs w:val="18"/>
                <w:u w:val="none"/>
              </w:rPr>
            </w:pPr>
          </w:p>
        </w:tc>
      </w:tr>
      <w:tr w14:paraId="2675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A44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967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B5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F4C39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BD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560E5">
            <w:pPr>
              <w:rPr>
                <w:rFonts w:hint="eastAsia" w:ascii="宋体" w:hAnsi="宋体" w:eastAsia="宋体" w:cs="宋体"/>
                <w:i w:val="0"/>
                <w:iCs w:val="0"/>
                <w:color w:val="000000"/>
                <w:sz w:val="18"/>
                <w:szCs w:val="18"/>
                <w:u w:val="none"/>
              </w:rPr>
            </w:pP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5058">
            <w:pPr>
              <w:rPr>
                <w:rFonts w:hint="eastAsia" w:ascii="宋体" w:hAnsi="宋体" w:eastAsia="宋体" w:cs="宋体"/>
                <w:i w:val="0"/>
                <w:iCs w:val="0"/>
                <w:color w:val="000000"/>
                <w:sz w:val="18"/>
                <w:szCs w:val="18"/>
                <w:u w:val="none"/>
              </w:rPr>
            </w:pP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454844">
            <w:pPr>
              <w:rPr>
                <w:rFonts w:hint="eastAsia" w:ascii="宋体" w:hAnsi="宋体" w:eastAsia="宋体" w:cs="宋体"/>
                <w:i w:val="0"/>
                <w:iCs w:val="0"/>
                <w:color w:val="000000"/>
                <w:sz w:val="18"/>
                <w:szCs w:val="18"/>
                <w:u w:val="none"/>
              </w:rPr>
            </w:pPr>
          </w:p>
        </w:tc>
        <w:tc>
          <w:tcPr>
            <w:tcW w:w="4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C7D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999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0C937">
            <w:pP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08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4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DA695B">
            <w:pPr>
              <w:rPr>
                <w:rFonts w:hint="eastAsia" w:ascii="宋体" w:hAnsi="宋体" w:eastAsia="宋体" w:cs="宋体"/>
                <w:i w:val="0"/>
                <w:iCs w:val="0"/>
                <w:color w:val="000000"/>
                <w:sz w:val="18"/>
                <w:szCs w:val="18"/>
                <w:u w:val="none"/>
              </w:rPr>
            </w:pPr>
          </w:p>
        </w:tc>
      </w:tr>
      <w:tr w14:paraId="6BD1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AE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3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0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C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28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C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3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D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9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AC4D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CCB42">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0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9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F8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4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F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94DF">
            <w:pPr>
              <w:jc w:val="center"/>
              <w:rPr>
                <w:rFonts w:hint="eastAsia" w:ascii="宋体" w:hAnsi="宋体" w:eastAsia="宋体" w:cs="宋体"/>
                <w:i w:val="0"/>
                <w:iCs w:val="0"/>
                <w:color w:val="000000"/>
                <w:sz w:val="18"/>
                <w:szCs w:val="18"/>
                <w:u w:val="none"/>
              </w:rPr>
            </w:pP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E339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3D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9D1C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3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88C3">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CFA6A">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9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A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D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1E22">
            <w:pPr>
              <w:rPr>
                <w:rFonts w:hint="eastAsia" w:ascii="黑体" w:hAnsi="黑体" w:eastAsia="黑体" w:cs="黑体"/>
                <w:i/>
                <w:iCs/>
                <w:color w:val="000000"/>
                <w:sz w:val="18"/>
                <w:szCs w:val="18"/>
                <w:u w:val="none"/>
              </w:rPr>
            </w:pPr>
          </w:p>
        </w:tc>
      </w:tr>
      <w:tr w14:paraId="6793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8BA6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9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8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EBD">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D06C4">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E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1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4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96E30">
            <w:pPr>
              <w:rPr>
                <w:rFonts w:hint="eastAsia" w:ascii="黑体" w:hAnsi="黑体" w:eastAsia="黑体" w:cs="黑体"/>
                <w:i/>
                <w:iCs/>
                <w:color w:val="000000"/>
                <w:sz w:val="18"/>
                <w:szCs w:val="18"/>
                <w:u w:val="none"/>
              </w:rPr>
            </w:pPr>
          </w:p>
        </w:tc>
      </w:tr>
      <w:tr w14:paraId="3443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D7E0">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0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A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0BE7">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6E31B">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5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8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B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9C2F7">
            <w:pPr>
              <w:rPr>
                <w:rFonts w:hint="eastAsia" w:ascii="黑体" w:hAnsi="黑体" w:eastAsia="黑体" w:cs="黑体"/>
                <w:i/>
                <w:iCs/>
                <w:color w:val="000000"/>
                <w:sz w:val="18"/>
                <w:szCs w:val="18"/>
                <w:u w:val="none"/>
              </w:rPr>
            </w:pPr>
          </w:p>
        </w:tc>
      </w:tr>
      <w:tr w14:paraId="369C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32FDB">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2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2E6A">
            <w:pPr>
              <w:jc w:val="center"/>
              <w:rPr>
                <w:rFonts w:hint="eastAsia" w:ascii="微软雅黑" w:hAnsi="微软雅黑" w:eastAsia="微软雅黑" w:cs="微软雅黑"/>
                <w:i/>
                <w:iCs/>
                <w:color w:val="000000"/>
                <w:sz w:val="16"/>
                <w:szCs w:val="16"/>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4F2E">
            <w:pPr>
              <w:jc w:val="center"/>
              <w:rPr>
                <w:rFonts w:hint="eastAsia" w:ascii="微软雅黑" w:hAnsi="微软雅黑" w:eastAsia="微软雅黑" w:cs="微软雅黑"/>
                <w:i/>
                <w:iCs/>
                <w:color w:val="000000"/>
                <w:sz w:val="16"/>
                <w:szCs w:val="16"/>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75F8E">
            <w:pPr>
              <w:jc w:val="center"/>
              <w:rPr>
                <w:rFonts w:hint="eastAsia" w:ascii="微软雅黑" w:hAnsi="微软雅黑" w:eastAsia="微软雅黑" w:cs="微软雅黑"/>
                <w:i/>
                <w:iCs/>
                <w:color w:val="000000"/>
                <w:sz w:val="16"/>
                <w:szCs w:val="16"/>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F7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5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3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28D35">
            <w:pPr>
              <w:rPr>
                <w:rFonts w:hint="eastAsia" w:ascii="黑体" w:hAnsi="黑体" w:eastAsia="黑体" w:cs="黑体"/>
                <w:i/>
                <w:iCs/>
                <w:color w:val="000000"/>
                <w:sz w:val="18"/>
                <w:szCs w:val="18"/>
                <w:u w:val="none"/>
              </w:rPr>
            </w:pPr>
          </w:p>
        </w:tc>
      </w:tr>
      <w:tr w14:paraId="49A5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8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9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4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F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6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E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E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F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8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8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9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B83C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FF4B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AD9B">
            <w:pPr>
              <w:jc w:val="center"/>
              <w:rPr>
                <w:rFonts w:hint="eastAsia" w:ascii="宋体" w:hAnsi="宋体" w:eastAsia="宋体" w:cs="宋体"/>
                <w:i w:val="0"/>
                <w:iCs w:val="0"/>
                <w:color w:val="000000"/>
                <w:sz w:val="18"/>
                <w:szCs w:val="18"/>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0E45">
            <w:pPr>
              <w:jc w:val="center"/>
              <w:rPr>
                <w:rFonts w:hint="eastAsia" w:ascii="宋体" w:hAnsi="宋体" w:eastAsia="宋体" w:cs="宋体"/>
                <w:i w:val="0"/>
                <w:iCs w:val="0"/>
                <w:color w:val="000000"/>
                <w:sz w:val="18"/>
                <w:szCs w:val="18"/>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1C8A">
            <w:pPr>
              <w:jc w:val="center"/>
              <w:rPr>
                <w:rFonts w:hint="eastAsia" w:ascii="宋体" w:hAnsi="宋体" w:eastAsia="宋体" w:cs="宋体"/>
                <w:i w:val="0"/>
                <w:iCs w:val="0"/>
                <w:color w:val="000000"/>
                <w:sz w:val="18"/>
                <w:szCs w:val="18"/>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246E">
            <w:pPr>
              <w:jc w:val="center"/>
              <w:rPr>
                <w:rFonts w:hint="eastAsia" w:ascii="宋体" w:hAnsi="宋体" w:eastAsia="宋体" w:cs="宋体"/>
                <w:i w:val="0"/>
                <w:iCs w:val="0"/>
                <w:color w:val="000000"/>
                <w:sz w:val="18"/>
                <w:szCs w:val="18"/>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7C71">
            <w:pPr>
              <w:jc w:val="center"/>
              <w:rPr>
                <w:rFonts w:hint="eastAsia" w:ascii="宋体" w:hAnsi="宋体" w:eastAsia="宋体" w:cs="宋体"/>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68D4">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30F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3201">
            <w:pPr>
              <w:jc w:val="center"/>
              <w:rPr>
                <w:rFonts w:hint="eastAsia" w:ascii="宋体" w:hAnsi="宋体" w:eastAsia="宋体" w:cs="宋体"/>
                <w:i w:val="0"/>
                <w:iCs w:val="0"/>
                <w:color w:val="000000"/>
                <w:sz w:val="18"/>
                <w:szCs w:val="18"/>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D676">
            <w:pPr>
              <w:jc w:val="center"/>
              <w:rPr>
                <w:rFonts w:hint="eastAsia" w:ascii="宋体" w:hAnsi="宋体" w:eastAsia="宋体" w:cs="宋体"/>
                <w:i w:val="0"/>
                <w:iCs w:val="0"/>
                <w:color w:val="000000"/>
                <w:sz w:val="18"/>
                <w:szCs w:val="18"/>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6986">
            <w:pPr>
              <w:jc w:val="center"/>
              <w:rPr>
                <w:rFonts w:hint="eastAsia" w:ascii="微软雅黑" w:hAnsi="微软雅黑" w:eastAsia="微软雅黑" w:cs="微软雅黑"/>
                <w:i/>
                <w:iCs/>
                <w:color w:val="000000"/>
                <w:sz w:val="16"/>
                <w:szCs w:val="16"/>
                <w:u w:val="none"/>
              </w:rPr>
            </w:pPr>
          </w:p>
        </w:tc>
      </w:tr>
      <w:tr w14:paraId="0B0B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5EC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8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3D4A">
            <w:pPr>
              <w:rPr>
                <w:rFonts w:hint="eastAsia" w:ascii="宋体" w:hAnsi="宋体" w:eastAsia="宋体" w:cs="宋体"/>
                <w:i w:val="0"/>
                <w:iCs w:val="0"/>
                <w:color w:val="000000"/>
                <w:sz w:val="18"/>
                <w:szCs w:val="18"/>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6DF0">
            <w:pPr>
              <w:rPr>
                <w:rFonts w:hint="eastAsia" w:ascii="宋体" w:hAnsi="宋体" w:eastAsia="宋体" w:cs="宋体"/>
                <w:i w:val="0"/>
                <w:iCs w:val="0"/>
                <w:color w:val="000000"/>
                <w:sz w:val="18"/>
                <w:szCs w:val="18"/>
                <w:u w:val="none"/>
              </w:rPr>
            </w:pPr>
          </w:p>
        </w:tc>
      </w:tr>
      <w:tr w14:paraId="1FC7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6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023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F1E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E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E22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F89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9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4C37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924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6683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7B03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80BE34F">
      <w:pPr>
        <w:spacing w:line="600" w:lineRule="exact"/>
        <w:jc w:val="center"/>
        <w:outlineLvl w:val="0"/>
      </w:pPr>
      <w:r>
        <w:rPr>
          <w:rFonts w:hint="eastAsia" w:hAnsi="Times New Roman" w:cs="Times New Roman"/>
          <w:sz w:val="32"/>
          <w:szCs w:val="32"/>
          <w:highlight w:val="none"/>
          <w:lang w:val="en-US" w:eastAsia="zh-CN"/>
        </w:rPr>
        <w:t>单位预算项目支出绩效自评表（202</w:t>
      </w:r>
      <w:r>
        <w:rPr>
          <w:rFonts w:hint="eastAsia" w:cs="Times New Roman"/>
          <w:sz w:val="32"/>
          <w:szCs w:val="32"/>
          <w:highlight w:val="none"/>
          <w:lang w:val="en-US" w:eastAsia="zh-CN"/>
        </w:rPr>
        <w:t>4</w:t>
      </w:r>
      <w:r>
        <w:rPr>
          <w:rFonts w:hint="eastAsia" w:hAnsi="Times New Roman" w:cs="Times New Roman"/>
          <w:sz w:val="32"/>
          <w:szCs w:val="32"/>
          <w:highlight w:val="none"/>
          <w:lang w:val="en-US" w:eastAsia="zh-CN"/>
        </w:rPr>
        <w:t>年度）</w:t>
      </w:r>
    </w:p>
    <w:p w14:paraId="307958D0">
      <w:pPr>
        <w:spacing w:line="600" w:lineRule="exact"/>
        <w:jc w:val="both"/>
        <w:outlineLvl w:val="0"/>
        <w:rPr>
          <w:rFonts w:hint="eastAsia" w:hAnsi="Times New Roman" w:cs="Times New Roman"/>
          <w:sz w:val="32"/>
          <w:szCs w:val="32"/>
          <w:highlight w:val="none"/>
          <w:lang w:val="en-US" w:eastAsia="zh-CN"/>
        </w:rPr>
      </w:pPr>
      <w:bookmarkStart w:id="50" w:name="_Toc9504"/>
      <w:bookmarkStart w:id="51" w:name="_Toc6196"/>
      <w:r>
        <w:rPr>
          <w:rFonts w:hint="eastAsia" w:hAnsi="Times New Roman" w:cs="Times New Roman"/>
          <w:sz w:val="32"/>
          <w:szCs w:val="32"/>
          <w:highlight w:val="none"/>
          <w:lang w:val="en-US" w:eastAsia="zh-CN"/>
        </w:rPr>
        <w:t>附表</w:t>
      </w:r>
    </w:p>
    <w:p w14:paraId="75BC4C44">
      <w:pPr>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50"/>
      <w:bookmarkEnd w:id="51"/>
    </w:p>
    <w:p w14:paraId="6C6B7284">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2986"/>
      <w:bookmarkStart w:id="53" w:name="_Toc26370"/>
      <w:r>
        <w:rPr>
          <w:rFonts w:hint="eastAsia" w:ascii="仿宋" w:hAnsi="Cambria" w:eastAsia="仿宋" w:cs="Times New Roman"/>
          <w:b w:val="0"/>
          <w:color w:val="000000"/>
          <w:kern w:val="2"/>
          <w:sz w:val="32"/>
          <w:szCs w:val="32"/>
          <w:lang w:bidi="ar-SA"/>
        </w:rPr>
        <w:t>一、收入支出决算总表</w:t>
      </w:r>
      <w:bookmarkEnd w:id="52"/>
      <w:bookmarkEnd w:id="53"/>
    </w:p>
    <w:p w14:paraId="24D06EAF">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13591"/>
      <w:bookmarkStart w:id="55" w:name="_Toc13062"/>
      <w:r>
        <w:rPr>
          <w:rFonts w:hint="eastAsia" w:ascii="仿宋" w:hAnsi="Cambria" w:eastAsia="仿宋" w:cs="Times New Roman"/>
          <w:b w:val="0"/>
          <w:color w:val="000000"/>
          <w:kern w:val="2"/>
          <w:sz w:val="32"/>
          <w:szCs w:val="32"/>
          <w:lang w:bidi="ar-SA"/>
        </w:rPr>
        <w:t>二、收入决算表</w:t>
      </w:r>
      <w:bookmarkEnd w:id="54"/>
      <w:bookmarkEnd w:id="55"/>
    </w:p>
    <w:p w14:paraId="74FF8D9E">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16600"/>
      <w:bookmarkStart w:id="57" w:name="_Toc29688"/>
      <w:r>
        <w:rPr>
          <w:rFonts w:hint="eastAsia" w:ascii="仿宋" w:hAnsi="Cambria" w:eastAsia="仿宋" w:cs="Times New Roman"/>
          <w:b w:val="0"/>
          <w:color w:val="000000"/>
          <w:kern w:val="2"/>
          <w:sz w:val="32"/>
          <w:szCs w:val="32"/>
          <w:lang w:bidi="ar-SA"/>
        </w:rPr>
        <w:t>三、支出决算表</w:t>
      </w:r>
      <w:bookmarkEnd w:id="56"/>
      <w:bookmarkEnd w:id="57"/>
    </w:p>
    <w:p w14:paraId="26A58729">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5964"/>
      <w:bookmarkStart w:id="59" w:name="_Toc26630"/>
      <w:r>
        <w:rPr>
          <w:rFonts w:hint="eastAsia" w:ascii="仿宋" w:hAnsi="Cambria" w:eastAsia="仿宋" w:cs="Times New Roman"/>
          <w:b w:val="0"/>
          <w:color w:val="000000"/>
          <w:kern w:val="2"/>
          <w:sz w:val="32"/>
          <w:szCs w:val="32"/>
          <w:lang w:bidi="ar-SA"/>
        </w:rPr>
        <w:t>四、财政拨款收入支出决算总表</w:t>
      </w:r>
      <w:bookmarkEnd w:id="58"/>
      <w:bookmarkEnd w:id="59"/>
    </w:p>
    <w:p w14:paraId="7DB3FD6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19934"/>
      <w:bookmarkStart w:id="61" w:name="_Toc14273"/>
      <w:r>
        <w:rPr>
          <w:rFonts w:hint="eastAsia" w:ascii="仿宋" w:hAnsi="Cambria" w:eastAsia="仿宋" w:cs="Times New Roman"/>
          <w:b w:val="0"/>
          <w:color w:val="000000"/>
          <w:kern w:val="2"/>
          <w:sz w:val="32"/>
          <w:szCs w:val="32"/>
          <w:lang w:bidi="ar-SA"/>
        </w:rPr>
        <w:t>五、财政拨款支出决算明细表</w:t>
      </w:r>
      <w:bookmarkEnd w:id="60"/>
      <w:bookmarkEnd w:id="61"/>
    </w:p>
    <w:p w14:paraId="4E7F6998">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2" w:name="_Toc6686"/>
      <w:bookmarkStart w:id="63" w:name="_Toc16449"/>
      <w:r>
        <w:rPr>
          <w:rFonts w:hint="eastAsia" w:ascii="仿宋" w:hAnsi="Cambria" w:eastAsia="仿宋" w:cs="Times New Roman"/>
          <w:b w:val="0"/>
          <w:color w:val="000000"/>
          <w:kern w:val="2"/>
          <w:sz w:val="32"/>
          <w:szCs w:val="32"/>
          <w:lang w:bidi="ar-SA"/>
        </w:rPr>
        <w:t>六、一般公共预算财政拨款支出决算表</w:t>
      </w:r>
      <w:bookmarkEnd w:id="62"/>
      <w:bookmarkEnd w:id="63"/>
    </w:p>
    <w:p w14:paraId="0B85686E">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4" w:name="_Toc3478"/>
      <w:bookmarkStart w:id="65" w:name="_Toc19514"/>
      <w:r>
        <w:rPr>
          <w:rFonts w:hint="eastAsia" w:ascii="仿宋" w:hAnsi="Cambria" w:eastAsia="仿宋" w:cs="Times New Roman"/>
          <w:b w:val="0"/>
          <w:color w:val="000000"/>
          <w:kern w:val="2"/>
          <w:sz w:val="32"/>
          <w:szCs w:val="32"/>
          <w:lang w:bidi="ar-SA"/>
        </w:rPr>
        <w:t>七、一般公共预算财政拨款支出决算明细表</w:t>
      </w:r>
      <w:bookmarkEnd w:id="64"/>
      <w:bookmarkEnd w:id="65"/>
    </w:p>
    <w:p w14:paraId="7FD457C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6" w:name="_Toc17352"/>
      <w:bookmarkStart w:id="67" w:name="_Toc191"/>
      <w:r>
        <w:rPr>
          <w:rFonts w:hint="eastAsia" w:ascii="仿宋" w:hAnsi="Cambria" w:eastAsia="仿宋" w:cs="Times New Roman"/>
          <w:b w:val="0"/>
          <w:color w:val="000000"/>
          <w:kern w:val="2"/>
          <w:sz w:val="32"/>
          <w:szCs w:val="32"/>
          <w:lang w:bidi="ar-SA"/>
        </w:rPr>
        <w:t>八、一般公共预算财政拨款基本支出决算表</w:t>
      </w:r>
      <w:bookmarkEnd w:id="66"/>
      <w:bookmarkEnd w:id="67"/>
    </w:p>
    <w:p w14:paraId="28A36D87">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8" w:name="_Toc3726"/>
      <w:bookmarkStart w:id="69" w:name="_Toc5204"/>
      <w:r>
        <w:rPr>
          <w:rFonts w:hint="eastAsia" w:ascii="仿宋" w:hAnsi="Cambria" w:eastAsia="仿宋" w:cs="Times New Roman"/>
          <w:b w:val="0"/>
          <w:color w:val="000000"/>
          <w:kern w:val="2"/>
          <w:sz w:val="32"/>
          <w:szCs w:val="32"/>
          <w:lang w:bidi="ar-SA"/>
        </w:rPr>
        <w:t>九、一般公共预算财政拨款项目支出决算表</w:t>
      </w:r>
      <w:bookmarkEnd w:id="68"/>
      <w:bookmarkEnd w:id="69"/>
    </w:p>
    <w:p w14:paraId="7BC96BD4">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0" w:name="_Toc20756"/>
      <w:bookmarkStart w:id="71" w:name="_Toc20056"/>
      <w:r>
        <w:rPr>
          <w:rFonts w:hint="eastAsia" w:ascii="仿宋" w:hAnsi="Cambria" w:eastAsia="仿宋" w:cs="Times New Roman"/>
          <w:b w:val="0"/>
          <w:color w:val="000000"/>
          <w:kern w:val="2"/>
          <w:sz w:val="32"/>
          <w:szCs w:val="32"/>
          <w:lang w:bidi="ar-SA"/>
        </w:rPr>
        <w:t>十、政府性基金预算财政拨款收入支出决算表</w:t>
      </w:r>
      <w:bookmarkEnd w:id="70"/>
      <w:bookmarkEnd w:id="71"/>
    </w:p>
    <w:p w14:paraId="6576A11D">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2" w:name="_Toc21387"/>
      <w:bookmarkStart w:id="73" w:name="_Toc13849"/>
      <w:r>
        <w:rPr>
          <w:rFonts w:hint="eastAsia" w:ascii="仿宋" w:hAnsi="Cambria" w:eastAsia="仿宋" w:cs="Times New Roman"/>
          <w:b w:val="0"/>
          <w:color w:val="000000"/>
          <w:kern w:val="2"/>
          <w:sz w:val="32"/>
          <w:szCs w:val="32"/>
          <w:lang w:bidi="ar-SA"/>
        </w:rPr>
        <w:t>十一、国有资本经营预算财政拨款收入支出决算表</w:t>
      </w:r>
      <w:bookmarkEnd w:id="72"/>
      <w:bookmarkEnd w:id="73"/>
    </w:p>
    <w:p w14:paraId="10CDA3A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4" w:name="_Toc1140"/>
      <w:bookmarkStart w:id="75" w:name="_Toc13099"/>
      <w:r>
        <w:rPr>
          <w:rFonts w:hint="eastAsia" w:ascii="仿宋" w:hAnsi="Cambria" w:eastAsia="仿宋" w:cs="Times New Roman"/>
          <w:b w:val="0"/>
          <w:color w:val="000000"/>
          <w:kern w:val="2"/>
          <w:sz w:val="32"/>
          <w:szCs w:val="32"/>
          <w:lang w:bidi="ar-SA"/>
        </w:rPr>
        <w:t>十二、国有资本经营预算财政拨款支出决算表</w:t>
      </w:r>
      <w:bookmarkEnd w:id="74"/>
      <w:bookmarkEnd w:id="75"/>
    </w:p>
    <w:p w14:paraId="6E7C5E03">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6" w:name="_Toc24957"/>
      <w:bookmarkStart w:id="77" w:name="_Toc25065"/>
      <w:r>
        <w:rPr>
          <w:rFonts w:hint="eastAsia" w:ascii="仿宋" w:hAnsi="Cambria" w:eastAsia="仿宋" w:cs="Times New Roman"/>
          <w:b w:val="0"/>
          <w:color w:val="000000"/>
          <w:kern w:val="2"/>
          <w:sz w:val="32"/>
          <w:szCs w:val="32"/>
          <w:lang w:bidi="ar-SA"/>
        </w:rPr>
        <w:t>十三、财政拨款“三公”经费支出决算表</w:t>
      </w:r>
      <w:bookmarkEnd w:id="76"/>
      <w:bookmarkEnd w:id="77"/>
    </w:p>
    <w:p w14:paraId="58B0F3B9">
      <w:pPr>
        <w:pageBreakBefore w:val="0"/>
        <w:widowControl w:val="0"/>
        <w:kinsoku/>
        <w:wordWrap/>
        <w:overflowPunct/>
        <w:topLinePunct w:val="0"/>
        <w:autoSpaceDE/>
        <w:autoSpaceDN/>
        <w:bidi w:val="0"/>
        <w:adjustRightInd/>
        <w:snapToGrid/>
        <w:spacing w:line="576" w:lineRule="exact"/>
        <w:textAlignment w:val="auto"/>
      </w:pPr>
    </w:p>
    <w:p w14:paraId="64A60F44">
      <w:pPr>
        <w:pageBreakBefore w:val="0"/>
        <w:widowControl w:val="0"/>
        <w:kinsoku/>
        <w:wordWrap/>
        <w:overflowPunct/>
        <w:topLinePunct w:val="0"/>
        <w:autoSpaceDE/>
        <w:autoSpaceDN/>
        <w:bidi w:val="0"/>
        <w:adjustRightInd/>
        <w:snapToGrid/>
        <w:spacing w:line="576" w:lineRule="exact"/>
        <w:textAlignment w:val="auto"/>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1B731">
    <w:pPr>
      <w:pStyle w:val="14"/>
      <w:jc w:val="center"/>
    </w:pPr>
    <w:r>
      <w:fldChar w:fldCharType="begin"/>
    </w:r>
    <w:r>
      <w:instrText xml:space="preserve">PAGE   \* MERGEFORMAT</w:instrText>
    </w:r>
    <w:r>
      <w:fldChar w:fldCharType="separate"/>
    </w:r>
    <w:r>
      <w:t>2</w:t>
    </w:r>
    <w:r>
      <w:fldChar w:fldCharType="end"/>
    </w:r>
  </w:p>
  <w:p w14:paraId="2C71977F">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3662">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19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7F31"/>
    <w:rsid w:val="00114E9B"/>
    <w:rsid w:val="00115301"/>
    <w:rsid w:val="001319E1"/>
    <w:rsid w:val="00142216"/>
    <w:rsid w:val="00144D6A"/>
    <w:rsid w:val="0014729F"/>
    <w:rsid w:val="00157BAB"/>
    <w:rsid w:val="001654D1"/>
    <w:rsid w:val="00174518"/>
    <w:rsid w:val="0018106D"/>
    <w:rsid w:val="001877A7"/>
    <w:rsid w:val="00191536"/>
    <w:rsid w:val="00196687"/>
    <w:rsid w:val="00196E63"/>
    <w:rsid w:val="001A7226"/>
    <w:rsid w:val="001A73F7"/>
    <w:rsid w:val="001C0962"/>
    <w:rsid w:val="001D7531"/>
    <w:rsid w:val="001E737D"/>
    <w:rsid w:val="001F0592"/>
    <w:rsid w:val="001F4E85"/>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76688"/>
    <w:rsid w:val="00280496"/>
    <w:rsid w:val="0028363B"/>
    <w:rsid w:val="00294DC9"/>
    <w:rsid w:val="00295495"/>
    <w:rsid w:val="002A31DE"/>
    <w:rsid w:val="002B2613"/>
    <w:rsid w:val="002D21B4"/>
    <w:rsid w:val="002D6D05"/>
    <w:rsid w:val="002F1818"/>
    <w:rsid w:val="002F567B"/>
    <w:rsid w:val="00305796"/>
    <w:rsid w:val="003216A9"/>
    <w:rsid w:val="00330421"/>
    <w:rsid w:val="00331E0C"/>
    <w:rsid w:val="00335A74"/>
    <w:rsid w:val="0036561B"/>
    <w:rsid w:val="0037013F"/>
    <w:rsid w:val="00380C92"/>
    <w:rsid w:val="00391FB4"/>
    <w:rsid w:val="003A484F"/>
    <w:rsid w:val="003A4883"/>
    <w:rsid w:val="003B0BE0"/>
    <w:rsid w:val="003B0C1B"/>
    <w:rsid w:val="003B39EA"/>
    <w:rsid w:val="003B688C"/>
    <w:rsid w:val="003C0291"/>
    <w:rsid w:val="003C39AE"/>
    <w:rsid w:val="003C5E26"/>
    <w:rsid w:val="003C7B60"/>
    <w:rsid w:val="003D0C0F"/>
    <w:rsid w:val="003D1FB2"/>
    <w:rsid w:val="003D66DA"/>
    <w:rsid w:val="003E1310"/>
    <w:rsid w:val="003E6F55"/>
    <w:rsid w:val="003E6FE4"/>
    <w:rsid w:val="003F08F7"/>
    <w:rsid w:val="00406254"/>
    <w:rsid w:val="004223DE"/>
    <w:rsid w:val="00423FD7"/>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0966"/>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5111"/>
    <w:rsid w:val="008673E8"/>
    <w:rsid w:val="00871F71"/>
    <w:rsid w:val="00872FD8"/>
    <w:rsid w:val="00885AF4"/>
    <w:rsid w:val="00892977"/>
    <w:rsid w:val="008939CD"/>
    <w:rsid w:val="008B768C"/>
    <w:rsid w:val="008C4DB1"/>
    <w:rsid w:val="008C4EAF"/>
    <w:rsid w:val="008C5176"/>
    <w:rsid w:val="008C7FD0"/>
    <w:rsid w:val="008E1DE7"/>
    <w:rsid w:val="008E31B4"/>
    <w:rsid w:val="008E68E9"/>
    <w:rsid w:val="008E707C"/>
    <w:rsid w:val="00900B08"/>
    <w:rsid w:val="00902155"/>
    <w:rsid w:val="00902FA3"/>
    <w:rsid w:val="00917D9D"/>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2AD9"/>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310B9"/>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7815"/>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A32"/>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038C"/>
    <w:rsid w:val="00E82267"/>
    <w:rsid w:val="00E825DB"/>
    <w:rsid w:val="00E853CE"/>
    <w:rsid w:val="00E8567B"/>
    <w:rsid w:val="00E863B7"/>
    <w:rsid w:val="00E867B6"/>
    <w:rsid w:val="00EA010F"/>
    <w:rsid w:val="00EA0891"/>
    <w:rsid w:val="00EA6816"/>
    <w:rsid w:val="00ED1B63"/>
    <w:rsid w:val="00ED2162"/>
    <w:rsid w:val="00ED3C1F"/>
    <w:rsid w:val="00ED4085"/>
    <w:rsid w:val="00ED420E"/>
    <w:rsid w:val="00ED6FBE"/>
    <w:rsid w:val="00EE2F57"/>
    <w:rsid w:val="00EF4C34"/>
    <w:rsid w:val="00EF60EF"/>
    <w:rsid w:val="00EF77C6"/>
    <w:rsid w:val="00F05438"/>
    <w:rsid w:val="00F1361C"/>
    <w:rsid w:val="00F156F0"/>
    <w:rsid w:val="00F160C7"/>
    <w:rsid w:val="00F1682A"/>
    <w:rsid w:val="00F2408F"/>
    <w:rsid w:val="00F240E9"/>
    <w:rsid w:val="00F33386"/>
    <w:rsid w:val="00F36D8F"/>
    <w:rsid w:val="00F417B1"/>
    <w:rsid w:val="00F45853"/>
    <w:rsid w:val="00F602DF"/>
    <w:rsid w:val="00F754A1"/>
    <w:rsid w:val="00F81FD9"/>
    <w:rsid w:val="00F841AA"/>
    <w:rsid w:val="00F84A94"/>
    <w:rsid w:val="00F87E96"/>
    <w:rsid w:val="00FA23E8"/>
    <w:rsid w:val="00FC1AD8"/>
    <w:rsid w:val="00FC2607"/>
    <w:rsid w:val="00FD3CC1"/>
    <w:rsid w:val="00FE553C"/>
    <w:rsid w:val="00FF1E02"/>
    <w:rsid w:val="00FF30B4"/>
    <w:rsid w:val="02A92B78"/>
    <w:rsid w:val="03E72B61"/>
    <w:rsid w:val="04971BA0"/>
    <w:rsid w:val="04B74C29"/>
    <w:rsid w:val="079B711B"/>
    <w:rsid w:val="07D27450"/>
    <w:rsid w:val="07EC4BEA"/>
    <w:rsid w:val="090E2EFD"/>
    <w:rsid w:val="094C7564"/>
    <w:rsid w:val="0969226A"/>
    <w:rsid w:val="0A2032A3"/>
    <w:rsid w:val="0AB202CC"/>
    <w:rsid w:val="0F9A13CF"/>
    <w:rsid w:val="1045133B"/>
    <w:rsid w:val="10C055FF"/>
    <w:rsid w:val="118107EC"/>
    <w:rsid w:val="11FC5F65"/>
    <w:rsid w:val="153C6A85"/>
    <w:rsid w:val="15841A39"/>
    <w:rsid w:val="159B682A"/>
    <w:rsid w:val="15FD6214"/>
    <w:rsid w:val="16BB723D"/>
    <w:rsid w:val="176C49AE"/>
    <w:rsid w:val="177C27F2"/>
    <w:rsid w:val="18A36ABF"/>
    <w:rsid w:val="1A2553E4"/>
    <w:rsid w:val="1ABF1101"/>
    <w:rsid w:val="1B144D1E"/>
    <w:rsid w:val="1BB370F8"/>
    <w:rsid w:val="1BEC6423"/>
    <w:rsid w:val="1BFB7BAC"/>
    <w:rsid w:val="1CC11852"/>
    <w:rsid w:val="1D155CEE"/>
    <w:rsid w:val="1E67783A"/>
    <w:rsid w:val="1E6E5F01"/>
    <w:rsid w:val="1F784B5D"/>
    <w:rsid w:val="1FC1646E"/>
    <w:rsid w:val="1FCC7674"/>
    <w:rsid w:val="1FE26589"/>
    <w:rsid w:val="209D487B"/>
    <w:rsid w:val="20E67A12"/>
    <w:rsid w:val="21FF71DF"/>
    <w:rsid w:val="222D1C2F"/>
    <w:rsid w:val="227839A9"/>
    <w:rsid w:val="23324604"/>
    <w:rsid w:val="23A2194B"/>
    <w:rsid w:val="23CF0C6C"/>
    <w:rsid w:val="240371BF"/>
    <w:rsid w:val="24945F95"/>
    <w:rsid w:val="25382DC5"/>
    <w:rsid w:val="264552AC"/>
    <w:rsid w:val="266A54DF"/>
    <w:rsid w:val="26D43CBB"/>
    <w:rsid w:val="272C4BAB"/>
    <w:rsid w:val="277C1233"/>
    <w:rsid w:val="27BF157B"/>
    <w:rsid w:val="28797341"/>
    <w:rsid w:val="29FD04D3"/>
    <w:rsid w:val="2A10729A"/>
    <w:rsid w:val="2AE45A08"/>
    <w:rsid w:val="2CEC4D8F"/>
    <w:rsid w:val="2D6261EF"/>
    <w:rsid w:val="2DC21DC5"/>
    <w:rsid w:val="2F234AE5"/>
    <w:rsid w:val="2F544C9F"/>
    <w:rsid w:val="2FA44EB5"/>
    <w:rsid w:val="2FE83639"/>
    <w:rsid w:val="30006BD5"/>
    <w:rsid w:val="319F7F4E"/>
    <w:rsid w:val="329D4BAF"/>
    <w:rsid w:val="337B013A"/>
    <w:rsid w:val="34202FEC"/>
    <w:rsid w:val="34AE30A3"/>
    <w:rsid w:val="350D451A"/>
    <w:rsid w:val="351A54EA"/>
    <w:rsid w:val="354258EB"/>
    <w:rsid w:val="37225683"/>
    <w:rsid w:val="39721065"/>
    <w:rsid w:val="3AD458E2"/>
    <w:rsid w:val="3AF115FB"/>
    <w:rsid w:val="3BAC7C11"/>
    <w:rsid w:val="3CFE679F"/>
    <w:rsid w:val="3E057A17"/>
    <w:rsid w:val="3E454BFA"/>
    <w:rsid w:val="3EA177D5"/>
    <w:rsid w:val="423946B7"/>
    <w:rsid w:val="42416A88"/>
    <w:rsid w:val="426A038A"/>
    <w:rsid w:val="463C05A2"/>
    <w:rsid w:val="4674127B"/>
    <w:rsid w:val="48652695"/>
    <w:rsid w:val="48A15CA6"/>
    <w:rsid w:val="496C43B8"/>
    <w:rsid w:val="4A525E27"/>
    <w:rsid w:val="4ABF102E"/>
    <w:rsid w:val="4B685902"/>
    <w:rsid w:val="4B71754C"/>
    <w:rsid w:val="4BB66C32"/>
    <w:rsid w:val="4BFA0524"/>
    <w:rsid w:val="4C7B3413"/>
    <w:rsid w:val="4ECE2238"/>
    <w:rsid w:val="50C106B1"/>
    <w:rsid w:val="52EA2E76"/>
    <w:rsid w:val="53B65679"/>
    <w:rsid w:val="53E755F7"/>
    <w:rsid w:val="54304728"/>
    <w:rsid w:val="544124BA"/>
    <w:rsid w:val="54A43723"/>
    <w:rsid w:val="54A47238"/>
    <w:rsid w:val="55102912"/>
    <w:rsid w:val="55E203F1"/>
    <w:rsid w:val="566A5E1C"/>
    <w:rsid w:val="56F74D33"/>
    <w:rsid w:val="57121136"/>
    <w:rsid w:val="5742647E"/>
    <w:rsid w:val="58382B00"/>
    <w:rsid w:val="59A0270B"/>
    <w:rsid w:val="5A307F33"/>
    <w:rsid w:val="5B092C41"/>
    <w:rsid w:val="5D086F45"/>
    <w:rsid w:val="5F096FA4"/>
    <w:rsid w:val="602776E2"/>
    <w:rsid w:val="61740ADC"/>
    <w:rsid w:val="639037F0"/>
    <w:rsid w:val="649E3CEB"/>
    <w:rsid w:val="64C24C4F"/>
    <w:rsid w:val="653559E5"/>
    <w:rsid w:val="65D5369F"/>
    <w:rsid w:val="670A38BA"/>
    <w:rsid w:val="6764746E"/>
    <w:rsid w:val="69050650"/>
    <w:rsid w:val="6C4A05C8"/>
    <w:rsid w:val="6CB860E5"/>
    <w:rsid w:val="6D4C5855"/>
    <w:rsid w:val="6EED41CD"/>
    <w:rsid w:val="6EED7D49"/>
    <w:rsid w:val="72734D90"/>
    <w:rsid w:val="732577E8"/>
    <w:rsid w:val="74053257"/>
    <w:rsid w:val="74D55507"/>
    <w:rsid w:val="75465218"/>
    <w:rsid w:val="76517E72"/>
    <w:rsid w:val="77C6037C"/>
    <w:rsid w:val="79E85243"/>
    <w:rsid w:val="7A9B61C0"/>
    <w:rsid w:val="7AE119CA"/>
    <w:rsid w:val="7BD06A28"/>
    <w:rsid w:val="7BD443D6"/>
    <w:rsid w:val="7D3F7B63"/>
    <w:rsid w:val="7D77070D"/>
    <w:rsid w:val="7DE4010B"/>
    <w:rsid w:val="7E665422"/>
    <w:rsid w:val="7E8D2F61"/>
    <w:rsid w:val="7F6009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tabs>
        <w:tab w:val="left" w:pos="960"/>
      </w:tabs>
      <w:ind w:firstLine="420" w:firstLineChars="200"/>
    </w:pPr>
  </w:style>
  <w:style w:type="paragraph" w:styleId="4">
    <w:name w:val="Body Text Indent"/>
    <w:basedOn w:val="1"/>
    <w:next w:val="3"/>
    <w:qFormat/>
    <w:uiPriority w:val="0"/>
    <w:pPr>
      <w:tabs>
        <w:tab w:val="left" w:pos="960"/>
      </w:tabs>
      <w:spacing w:line="540" w:lineRule="exact"/>
      <w:ind w:firstLine="5440" w:firstLineChars="1700"/>
    </w:pPr>
    <w:rPr>
      <w:sz w:val="32"/>
      <w:szCs w:val="32"/>
    </w:rPr>
  </w:style>
  <w:style w:type="paragraph" w:styleId="8">
    <w:name w:val="toc 7"/>
    <w:basedOn w:val="1"/>
    <w:next w:val="1"/>
    <w:unhideWhenUsed/>
    <w:qFormat/>
    <w:uiPriority w:val="39"/>
    <w:pPr>
      <w:ind w:left="1260"/>
      <w:jc w:val="left"/>
    </w:pPr>
    <w:rPr>
      <w:rFonts w:ascii="等线" w:eastAsia="等线"/>
      <w:sz w:val="18"/>
      <w:szCs w:val="18"/>
    </w:rPr>
  </w:style>
  <w:style w:type="paragraph" w:styleId="9">
    <w:name w:val="Body Text"/>
    <w:basedOn w:val="1"/>
    <w:link w:val="35"/>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等线" w:eastAsia="等线"/>
      <w:sz w:val="18"/>
      <w:szCs w:val="18"/>
    </w:rPr>
  </w:style>
  <w:style w:type="paragraph" w:styleId="11">
    <w:name w:val="toc 3"/>
    <w:basedOn w:val="1"/>
    <w:next w:val="1"/>
    <w:unhideWhenUsed/>
    <w:qFormat/>
    <w:uiPriority w:val="39"/>
    <w:pPr>
      <w:ind w:left="420"/>
      <w:jc w:val="left"/>
    </w:pPr>
    <w:rPr>
      <w:rFonts w:ascii="等线" w:eastAsia="等线"/>
      <w:i/>
      <w:iCs/>
      <w:sz w:val="20"/>
      <w:szCs w:val="20"/>
    </w:rPr>
  </w:style>
  <w:style w:type="paragraph" w:styleId="12">
    <w:name w:val="toc 8"/>
    <w:basedOn w:val="1"/>
    <w:next w:val="1"/>
    <w:unhideWhenUsed/>
    <w:qFormat/>
    <w:uiPriority w:val="39"/>
    <w:pPr>
      <w:ind w:left="1470"/>
      <w:jc w:val="left"/>
    </w:pPr>
    <w:rPr>
      <w:rFonts w:ascii="等线" w:eastAsia="等线"/>
      <w:sz w:val="18"/>
      <w:szCs w:val="18"/>
    </w:rPr>
  </w:style>
  <w:style w:type="paragraph" w:styleId="13">
    <w:name w:val="Balloon Text"/>
    <w:basedOn w:val="1"/>
    <w:link w:val="38"/>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等线" w:eastAsia="等线"/>
      <w:b/>
      <w:bCs/>
      <w:caps/>
      <w:sz w:val="20"/>
      <w:szCs w:val="20"/>
    </w:rPr>
  </w:style>
  <w:style w:type="paragraph" w:styleId="17">
    <w:name w:val="toc 4"/>
    <w:basedOn w:val="1"/>
    <w:next w:val="1"/>
    <w:unhideWhenUsed/>
    <w:qFormat/>
    <w:uiPriority w:val="39"/>
    <w:pPr>
      <w:ind w:left="630"/>
      <w:jc w:val="left"/>
    </w:pPr>
    <w:rPr>
      <w:rFonts w:ascii="等线" w:eastAsia="等线"/>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5"/>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7"/>
    <w:qFormat/>
    <w:locked/>
    <w:uiPriority w:val="9"/>
    <w:rPr>
      <w:rFonts w:ascii="Times New Roman" w:hAnsi="Times New Roman" w:cs="Times New Roman"/>
      <w:b/>
      <w:bCs/>
      <w:kern w:val="2"/>
      <w:sz w:val="32"/>
      <w:szCs w:val="32"/>
    </w:rPr>
  </w:style>
  <w:style w:type="character" w:customStyle="1" w:styleId="35">
    <w:name w:val="正文文本 Char"/>
    <w:link w:val="9"/>
    <w:qFormat/>
    <w:locked/>
    <w:uiPriority w:val="99"/>
    <w:rPr>
      <w:rFonts w:ascii="仿宋_GB2312" w:hAnsi="Times New Roman" w:eastAsia="仿宋_GB2312"/>
      <w:sz w:val="24"/>
    </w:rPr>
  </w:style>
  <w:style w:type="character" w:customStyle="1" w:styleId="36">
    <w:name w:val="页脚 Char"/>
    <w:link w:val="14"/>
    <w:qFormat/>
    <w:locked/>
    <w:uiPriority w:val="99"/>
    <w:rPr>
      <w:sz w:val="18"/>
    </w:rPr>
  </w:style>
  <w:style w:type="character" w:customStyle="1" w:styleId="37">
    <w:name w:val="标题 1 Char"/>
    <w:basedOn w:val="25"/>
    <w:link w:val="5"/>
    <w:qFormat/>
    <w:locked/>
    <w:uiPriority w:val="9"/>
    <w:rPr>
      <w:rFonts w:ascii="Times New Roman" w:hAnsi="Times New Roman" w:cs="Times New Roman"/>
      <w:b/>
      <w:bCs/>
      <w:kern w:val="44"/>
      <w:sz w:val="44"/>
      <w:szCs w:val="44"/>
    </w:rPr>
  </w:style>
  <w:style w:type="character" w:customStyle="1" w:styleId="38">
    <w:name w:val="批注框文本 Char"/>
    <w:basedOn w:val="25"/>
    <w:link w:val="13"/>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6"/>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5"/>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manualLayout>
          <c:xMode val="edge"/>
          <c:yMode val="edge"/>
          <c:x val="0.293820471518524"/>
          <c:y val="0.042434884401521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136.2</c:v>
                </c:pt>
                <c:pt idx="1">
                  <c:v>159.88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136.2</c:v>
                </c:pt>
                <c:pt idx="1">
                  <c:v>159.88</c:v>
                </c:pt>
              </c:numCache>
            </c:numRef>
          </c:val>
        </c:ser>
        <c:dLbls>
          <c:showLegendKey val="0"/>
          <c:showVal val="1"/>
          <c:showCatName val="0"/>
          <c:showSerName val="0"/>
          <c:showPercent val="0"/>
          <c:showBubbleSize val="0"/>
        </c:dLbls>
        <c:gapWidth val="260"/>
        <c:overlap val="-32"/>
        <c:axId val="119656832"/>
        <c:axId val="119658368"/>
      </c:barChart>
      <c:catAx>
        <c:axId val="1196568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9658368"/>
        <c:crosses val="autoZero"/>
        <c:auto val="1"/>
        <c:lblAlgn val="ctr"/>
        <c:lblOffset val="100"/>
        <c:noMultiLvlLbl val="0"/>
      </c:catAx>
      <c:valAx>
        <c:axId val="11965836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965683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9d7238e-b343-42ae-9920-6bce8f8faf9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159.88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e40dd876-9cef-47d8-9fe3-07169437e92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本年支出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159.88</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44d61984-9597-4a10-b8e7-b557c0b15d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136.2</c:v>
                </c:pt>
                <c:pt idx="1">
                  <c:v>159.88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136.2</c:v>
                </c:pt>
                <c:pt idx="1">
                  <c:v>159.88</c:v>
                </c:pt>
              </c:numCache>
            </c:numRef>
          </c:val>
        </c:ser>
        <c:dLbls>
          <c:showLegendKey val="0"/>
          <c:showVal val="1"/>
          <c:showCatName val="0"/>
          <c:showSerName val="0"/>
          <c:showPercent val="0"/>
          <c:showBubbleSize val="0"/>
        </c:dLbls>
        <c:gapWidth val="260"/>
        <c:overlap val="-32"/>
        <c:axId val="121793920"/>
        <c:axId val="121799808"/>
      </c:barChart>
      <c:catAx>
        <c:axId val="1217939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799808"/>
        <c:crosses val="autoZero"/>
        <c:auto val="1"/>
        <c:lblAlgn val="ctr"/>
        <c:lblOffset val="100"/>
        <c:noMultiLvlLbl val="0"/>
      </c:catAx>
      <c:valAx>
        <c:axId val="12179980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79392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fd9b430-df96-43be-a474-a1363e7c0b6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136.2</c:v>
                </c:pt>
                <c:pt idx="1">
                  <c:v>159.88</c:v>
                </c:pt>
              </c:numCache>
            </c:numRef>
          </c:val>
        </c:ser>
        <c:dLbls>
          <c:showLegendKey val="0"/>
          <c:showVal val="1"/>
          <c:showCatName val="0"/>
          <c:showSerName val="0"/>
          <c:showPercent val="0"/>
          <c:showBubbleSize val="0"/>
        </c:dLbls>
        <c:gapWidth val="260"/>
        <c:overlap val="-32"/>
        <c:axId val="68654208"/>
        <c:axId val="68655744"/>
      </c:barChart>
      <c:catAx>
        <c:axId val="686542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655744"/>
        <c:crosses val="autoZero"/>
        <c:auto val="1"/>
        <c:lblAlgn val="ctr"/>
        <c:lblOffset val="100"/>
        <c:noMultiLvlLbl val="0"/>
      </c:catAx>
      <c:valAx>
        <c:axId val="6865574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65420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10db28a-a3ea-4779-a340-6bdc082931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一般公共服务（201）支出</c:v>
                </c:pt>
                <c:pt idx="1">
                  <c:v>社会保障和就业支出</c:v>
                </c:pt>
                <c:pt idx="2">
                  <c:v>卫生健康支出</c:v>
                </c:pt>
                <c:pt idx="3">
                  <c:v>住房保障支出</c:v>
                </c:pt>
              </c:strCache>
            </c:strRef>
          </c:cat>
          <c:val>
            <c:numRef>
              <c:f>Sheet1!$B$2:$B$5</c:f>
              <c:numCache>
                <c:formatCode>General</c:formatCode>
                <c:ptCount val="4"/>
                <c:pt idx="0">
                  <c:v>116.31</c:v>
                </c:pt>
                <c:pt idx="1">
                  <c:v>22.2</c:v>
                </c:pt>
                <c:pt idx="2">
                  <c:v>9.47</c:v>
                </c:pt>
                <c:pt idx="3">
                  <c:v>11.9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07d4d0ea-83b1-4519-b33b-8cd7e32e369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2">
                  <c:v>0.07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e331ef17-7338-461f-8b42-a05f5c3602c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16</Pages>
  <Words>4547</Words>
  <Characters>6176</Characters>
  <Lines>11</Lines>
  <Paragraphs>17</Paragraphs>
  <TotalTime>4</TotalTime>
  <ScaleCrop>false</ScaleCrop>
  <LinksUpToDate>false</LinksUpToDate>
  <CharactersWithSpaces>6233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2022-09-20T02:52:00Z</dcterms:created>
  <dc:creator>曹颖</dc:creator>
  <cp:lastModifiedBy>Darling </cp:lastModifiedBy>
  <cp:lastPrinted>2025-09-23T01:07:00Z</cp:lastPrinted>
  <dcterms:modified xsi:type="dcterms:W3CDTF">2025-09-26T08:45:38Z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7F65BF8212F84B4894AFA0FAAC0F7F02_13</vt:lpwstr>
  </property>
  <property fmtid="{D5CDD505-2E9C-101B-9397-08002B2CF9AE}" pid="4" name="KSOTemplateDocerSaveRecord">
    <vt:lpwstr>eyJoZGlkIjoiNWIxYmQxODM3YzQzMzNjYmI0ODczNWI1Y2Q5NmJlYmQiLCJ1c2VySWQiOiIxMTUzNjY4NDE4In0=</vt:lpwstr>
  </property>
</Properties>
</file>