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813D1">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5659196C">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42E3BD80">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4</w:t>
      </w:r>
      <w:r>
        <w:rPr>
          <w:rFonts w:hint="eastAsia" w:ascii="方正小标宋简体" w:hAnsi="方正小标宋简体" w:eastAsia="方正小标宋简体" w:cs="方正小标宋简体"/>
          <w:sz w:val="48"/>
          <w:szCs w:val="48"/>
        </w:rPr>
        <w:t>年度</w:t>
      </w:r>
    </w:p>
    <w:p w14:paraId="76895D65">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p>
    <w:p w14:paraId="48734A92">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部门决算</w:t>
      </w:r>
    </w:p>
    <w:p w14:paraId="0DDADE7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4550B9E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374411D">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54E856A2">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762B61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23F1A28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38F278BF">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2B5C89E9">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C117D87">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25175C7">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5866C354">
      <w:pPr>
        <w:pStyle w:val="22"/>
        <w:keepNext w:val="0"/>
        <w:keepLines w:val="0"/>
        <w:pageBreakBefore w:val="0"/>
        <w:widowControl/>
        <w:suppressLineNumbers w:val="0"/>
        <w:kinsoku/>
        <w:wordWrap/>
        <w:overflowPunct/>
        <w:topLinePunct w:val="0"/>
        <w:bidi w:val="0"/>
        <w:spacing w:line="576" w:lineRule="exact"/>
        <w:textAlignment w:val="auto"/>
      </w:pPr>
      <w:r>
        <w:t> </w:t>
      </w:r>
    </w:p>
    <w:p w14:paraId="73B9D916">
      <w:pPr>
        <w:pStyle w:val="22"/>
        <w:keepNext w:val="0"/>
        <w:keepLines w:val="0"/>
        <w:pageBreakBefore w:val="0"/>
        <w:widowControl/>
        <w:suppressLineNumbers w:val="0"/>
        <w:kinsoku/>
        <w:wordWrap/>
        <w:overflowPunct/>
        <w:topLinePunct w:val="0"/>
        <w:bidi w:val="0"/>
        <w:spacing w:line="576" w:lineRule="exact"/>
        <w:textAlignment w:val="auto"/>
      </w:pPr>
      <w:r>
        <w:t> </w:t>
      </w:r>
    </w:p>
    <w:p w14:paraId="0511DE02">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4C83A63">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7235888F">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9CEFA1A">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4370F877">
      <w:pPr>
        <w:pStyle w:val="22"/>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ascii="方正小标宋简体" w:hAnsi="宋体" w:eastAsia="方正小标宋简体"/>
          <w:sz w:val="36"/>
          <w:szCs w:val="36"/>
        </w:rPr>
        <w:br w:type="page"/>
      </w:r>
      <w:bookmarkStart w:id="0" w:name="_Toc15396599"/>
      <w:bookmarkStart w:id="1" w:name="_Toc15377196"/>
      <w:r>
        <w:rPr>
          <w:rFonts w:hint="eastAsia" w:ascii="黑体" w:hAnsi="Times New Roman" w:eastAsia="黑体" w:cs="Times New Roman"/>
          <w:color w:val="000000"/>
          <w:sz w:val="48"/>
          <w:szCs w:val="48"/>
          <w:lang w:val="en-US" w:eastAsia="zh-CN"/>
        </w:rPr>
        <w:t>目录</w:t>
      </w:r>
    </w:p>
    <w:p w14:paraId="40D0C15C">
      <w:pPr>
        <w:pStyle w:val="15"/>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w:t>
      </w:r>
      <w:r>
        <w:rPr>
          <w:rFonts w:hint="eastAsia" w:cs="Times New Roman"/>
          <w:b w:val="0"/>
          <w:bCs w:val="0"/>
          <w:sz w:val="24"/>
          <w:szCs w:val="24"/>
          <w:lang w:val="en-US" w:eastAsia="zh-CN"/>
        </w:rPr>
        <w:t>5</w:t>
      </w:r>
      <w:r>
        <w:rPr>
          <w:rFonts w:hint="eastAsia" w:hAnsi="Times New Roman" w:cs="Times New Roman"/>
          <w:b w:val="0"/>
          <w:bCs w:val="0"/>
          <w:sz w:val="24"/>
          <w:szCs w:val="24"/>
        </w:rPr>
        <w:t>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cs="Times New Roman"/>
          <w:b w:val="0"/>
          <w:bCs w:val="0"/>
          <w:sz w:val="24"/>
          <w:szCs w:val="24"/>
          <w:lang w:val="en-US" w:eastAsia="zh-CN"/>
        </w:rPr>
        <w:t>25</w:t>
      </w:r>
      <w:r>
        <w:rPr>
          <w:rFonts w:hint="eastAsia" w:hAnsi="Times New Roman" w:cs="Times New Roman"/>
          <w:b w:val="0"/>
          <w:bCs w:val="0"/>
          <w:sz w:val="24"/>
          <w:szCs w:val="24"/>
        </w:rPr>
        <w:t>日</w:t>
      </w:r>
    </w:p>
    <w:p w14:paraId="090D871F">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_Toc18791 </w:instrText>
      </w:r>
      <w:r>
        <w:fldChar w:fldCharType="separate"/>
      </w:r>
      <w:r>
        <w:rPr>
          <w:rFonts w:hint="eastAsia" w:ascii="黑体" w:hAnsi="Times New Roman" w:eastAsia="黑体" w:cs="Times New Roman"/>
          <w:szCs w:val="44"/>
          <w:lang w:bidi="ar-SA"/>
        </w:rPr>
        <w:t>第一部分 部门概况</w:t>
      </w:r>
      <w:r>
        <w:tab/>
      </w:r>
      <w:r>
        <w:rPr>
          <w:rFonts w:hint="eastAsia"/>
          <w:lang w:val="en-US" w:eastAsia="zh-CN"/>
        </w:rPr>
        <w:t>4</w:t>
      </w:r>
      <w:r>
        <w:fldChar w:fldCharType="end"/>
      </w:r>
    </w:p>
    <w:p w14:paraId="0252F82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_Toc20800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部门职责</w:t>
      </w:r>
      <w:r>
        <w:tab/>
      </w:r>
      <w:r>
        <w:rPr>
          <w:rFonts w:hint="eastAsia"/>
          <w:lang w:val="en-US" w:eastAsia="zh-CN"/>
        </w:rPr>
        <w:t>4</w:t>
      </w:r>
      <w:r>
        <w:fldChar w:fldCharType="end"/>
      </w:r>
    </w:p>
    <w:p w14:paraId="5982D77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_Toc22021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5</w:t>
      </w:r>
      <w:r>
        <w:fldChar w:fldCharType="end"/>
      </w:r>
    </w:p>
    <w:p w14:paraId="5D689A52">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_Toc12955 </w:instrText>
      </w:r>
      <w:r>
        <w:fldChar w:fldCharType="separate"/>
      </w:r>
      <w:r>
        <w:rPr>
          <w:rFonts w:hint="eastAsia" w:ascii="黑体" w:hAnsi="黑体" w:eastAsia="黑体" w:cs="黑体"/>
        </w:rPr>
        <w:t>第二部分 202</w:t>
      </w:r>
      <w:r>
        <w:rPr>
          <w:rFonts w:hint="eastAsia" w:ascii="黑体" w:hAnsi="黑体" w:eastAsia="黑体" w:cs="黑体"/>
          <w:lang w:val="en-US" w:eastAsia="zh-CN"/>
        </w:rPr>
        <w:t>4</w:t>
      </w:r>
      <w:r>
        <w:rPr>
          <w:rFonts w:hint="eastAsia" w:ascii="黑体" w:hAnsi="黑体" w:eastAsia="黑体" w:cs="黑体"/>
        </w:rPr>
        <w:t>年度部门决算情况说明</w:t>
      </w:r>
      <w:r>
        <w:tab/>
      </w:r>
      <w:r>
        <w:rPr>
          <w:rFonts w:hint="eastAsia"/>
          <w:lang w:val="en-US" w:eastAsia="zh-CN"/>
        </w:rPr>
        <w:t>6</w:t>
      </w:r>
      <w:r>
        <w:fldChar w:fldCharType="end"/>
      </w:r>
    </w:p>
    <w:p w14:paraId="3E517459">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_Toc9684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6</w:t>
      </w:r>
      <w:r>
        <w:fldChar w:fldCharType="end"/>
      </w:r>
    </w:p>
    <w:p w14:paraId="76D5648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_Toc10475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6</w:t>
      </w:r>
      <w:r>
        <w:fldChar w:fldCharType="end"/>
      </w:r>
    </w:p>
    <w:p w14:paraId="41204457">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_Toc25170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7</w:t>
      </w:r>
      <w:r>
        <w:fldChar w:fldCharType="end"/>
      </w:r>
    </w:p>
    <w:p w14:paraId="17469D4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_Toc9033 </w:instrText>
      </w:r>
      <w:r>
        <w:fldChar w:fldCharType="separate"/>
      </w: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8</w:t>
      </w:r>
      <w:r>
        <w:fldChar w:fldCharType="end"/>
      </w:r>
    </w:p>
    <w:p w14:paraId="26B76439">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_Toc14667 </w:instrText>
      </w:r>
      <w:r>
        <w:fldChar w:fldCharType="separate"/>
      </w: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8</w:t>
      </w:r>
      <w:r>
        <w:fldChar w:fldCharType="end"/>
      </w:r>
    </w:p>
    <w:p w14:paraId="7FCD072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_Toc24946 </w:instrText>
      </w:r>
      <w:r>
        <w:fldChar w:fldCharType="separate"/>
      </w: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w:t>
      </w:r>
      <w:r>
        <w:fldChar w:fldCharType="end"/>
      </w:r>
      <w:r>
        <w:rPr>
          <w:rFonts w:hint="eastAsia"/>
          <w:lang w:val="en-US" w:eastAsia="zh-CN"/>
        </w:rPr>
        <w:t>0</w:t>
      </w:r>
    </w:p>
    <w:p w14:paraId="4B09AB8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_Toc28247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1</w:t>
      </w:r>
    </w:p>
    <w:p w14:paraId="268E197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_Toc19284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2</w:t>
      </w:r>
    </w:p>
    <w:p w14:paraId="0E97BF6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_Toc15780 </w:instrText>
      </w:r>
      <w:r>
        <w:fldChar w:fldCharType="separate"/>
      </w:r>
      <w:r>
        <w:rPr>
          <w:rFonts w:hint="eastAsia" w:ascii="黑体" w:hAnsi="Cambria" w:eastAsia="黑体" w:cs="Times New Roman"/>
          <w:kern w:val="2"/>
          <w:szCs w:val="32"/>
          <w:lang w:bidi="ar-SA"/>
        </w:rPr>
        <w:t>九</w:t>
      </w:r>
      <w:r>
        <w:rPr>
          <w:rFonts w:hint="eastAsia" w:ascii="黑体" w:hAnsi="Cambria" w:eastAsia="黑体" w:cs="Times New Roman"/>
          <w:kern w:val="2"/>
          <w:szCs w:val="32"/>
          <w:lang w:eastAsia="zh-CN" w:bidi="ar-SA"/>
        </w:rPr>
        <w:t>、</w:t>
      </w:r>
      <w:r>
        <w:rPr>
          <w:rFonts w:hint="eastAsia" w:ascii="黑体" w:hAnsi="Cambria" w:eastAsia="黑体" w:cs="Times New Roman"/>
          <w:kern w:val="2"/>
          <w:szCs w:val="32"/>
          <w:lang w:bidi="ar-SA"/>
        </w:rPr>
        <w:t xml:space="preserve"> 国有资本经营预算支出决算情况说明</w:t>
      </w:r>
      <w:r>
        <w:tab/>
      </w:r>
      <w:r>
        <w:rPr>
          <w:rFonts w:hint="eastAsia"/>
          <w:lang w:val="en-US" w:eastAsia="zh-CN"/>
        </w:rPr>
        <w:t>1</w:t>
      </w:r>
      <w:r>
        <w:fldChar w:fldCharType="end"/>
      </w:r>
      <w:r>
        <w:rPr>
          <w:rFonts w:hint="eastAsia"/>
          <w:lang w:val="en-US" w:eastAsia="zh-CN"/>
        </w:rPr>
        <w:t>2</w:t>
      </w:r>
    </w:p>
    <w:p w14:paraId="0CD816E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_Toc6454 </w:instrText>
      </w:r>
      <w:r>
        <w:fldChar w:fldCharType="separate"/>
      </w:r>
      <w:r>
        <w:rPr>
          <w:rFonts w:hint="eastAsia" w:ascii="黑体" w:hAnsi="Times New Roman" w:eastAsia="黑体" w:cs="Times New Roman"/>
          <w:szCs w:val="32"/>
        </w:rPr>
        <w:t>十、其他重要事项的情况说明</w:t>
      </w:r>
      <w:r>
        <w:tab/>
      </w:r>
      <w:r>
        <w:rPr>
          <w:rFonts w:hint="eastAsia"/>
          <w:lang w:val="en-US" w:eastAsia="zh-CN"/>
        </w:rPr>
        <w:t>1</w:t>
      </w:r>
      <w:r>
        <w:fldChar w:fldCharType="end"/>
      </w:r>
      <w:r>
        <w:rPr>
          <w:rFonts w:hint="eastAsia"/>
          <w:lang w:val="en-US" w:eastAsia="zh-CN"/>
        </w:rPr>
        <w:t>3</w:t>
      </w:r>
    </w:p>
    <w:p w14:paraId="1BE728AE">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_Toc26817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5</w:t>
      </w:r>
    </w:p>
    <w:p w14:paraId="6B52D6E3">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_Toc30535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8</w:t>
      </w:r>
    </w:p>
    <w:p w14:paraId="6A0C66C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_Toc7045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_Toc7045 \h </w:instrText>
      </w:r>
      <w:r>
        <w:fldChar w:fldCharType="separate"/>
      </w:r>
      <w:r>
        <w:t>24</w:t>
      </w:r>
      <w:r>
        <w:fldChar w:fldCharType="end"/>
      </w:r>
      <w:r>
        <w:fldChar w:fldCharType="end"/>
      </w:r>
    </w:p>
    <w:p w14:paraId="7657D5BD">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_Toc28912 </w:instrText>
      </w:r>
      <w:r>
        <w:fldChar w:fldCharType="separate"/>
      </w:r>
      <w:r>
        <w:rPr>
          <w:rFonts w:hint="eastAsia" w:ascii="仿宋" w:hAnsi="Cambria" w:eastAsia="仿宋" w:cs="Times New Roman"/>
          <w:kern w:val="2"/>
          <w:szCs w:val="32"/>
          <w:lang w:bidi="ar-SA"/>
        </w:rPr>
        <w:t>一、收入支出决算总表</w:t>
      </w:r>
      <w:r>
        <w:fldChar w:fldCharType="end"/>
      </w:r>
      <w:r>
        <w:rPr>
          <w:rFonts w:hint="eastAsia"/>
          <w:lang w:val="en-US" w:eastAsia="zh-CN"/>
        </w:rPr>
        <w:t>..................................................................................................................24</w:t>
      </w:r>
    </w:p>
    <w:p w14:paraId="0639EA1E">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_Toc15691 </w:instrText>
      </w:r>
      <w:r>
        <w:fldChar w:fldCharType="separate"/>
      </w:r>
      <w:r>
        <w:rPr>
          <w:rFonts w:hint="eastAsia" w:ascii="仿宋" w:hAnsi="Cambria" w:eastAsia="仿宋" w:cs="Times New Roman"/>
          <w:kern w:val="2"/>
          <w:szCs w:val="32"/>
          <w:lang w:bidi="ar-SA"/>
        </w:rPr>
        <w:t>二、收入决算表</w:t>
      </w:r>
      <w:r>
        <w:fldChar w:fldCharType="end"/>
      </w:r>
      <w:r>
        <w:rPr>
          <w:rFonts w:hint="eastAsia"/>
          <w:lang w:val="en-US" w:eastAsia="zh-CN"/>
        </w:rPr>
        <w:t>..............................................................................................................................24</w:t>
      </w:r>
    </w:p>
    <w:p w14:paraId="6D0DB351">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_Toc11856 </w:instrText>
      </w:r>
      <w:r>
        <w:fldChar w:fldCharType="separate"/>
      </w:r>
      <w:r>
        <w:rPr>
          <w:rFonts w:hint="eastAsia" w:ascii="仿宋" w:hAnsi="Cambria" w:eastAsia="仿宋" w:cs="Times New Roman"/>
          <w:kern w:val="2"/>
          <w:szCs w:val="32"/>
          <w:lang w:bidi="ar-SA"/>
        </w:rPr>
        <w:t>三、支出决算表</w:t>
      </w:r>
      <w:r>
        <w:fldChar w:fldCharType="end"/>
      </w:r>
      <w:r>
        <w:rPr>
          <w:rFonts w:hint="eastAsia"/>
          <w:lang w:val="en-US" w:eastAsia="zh-CN"/>
        </w:rPr>
        <w:t>..............................................................................................................................24</w:t>
      </w:r>
    </w:p>
    <w:p w14:paraId="350EC99A">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_Toc25907 </w:instrText>
      </w:r>
      <w:r>
        <w:fldChar w:fldCharType="separate"/>
      </w:r>
      <w:r>
        <w:rPr>
          <w:rFonts w:hint="eastAsia" w:ascii="仿宋" w:hAnsi="Cambria" w:eastAsia="仿宋" w:cs="Times New Roman"/>
          <w:kern w:val="2"/>
          <w:szCs w:val="32"/>
          <w:lang w:bidi="ar-SA"/>
        </w:rPr>
        <w:t>四、财政拨款收入支出决算总表</w:t>
      </w:r>
      <w:r>
        <w:fldChar w:fldCharType="end"/>
      </w:r>
      <w:r>
        <w:rPr>
          <w:rFonts w:hint="eastAsia"/>
          <w:lang w:val="en-US" w:eastAsia="zh-CN"/>
        </w:rPr>
        <w:t>..................................................................................................24</w:t>
      </w:r>
    </w:p>
    <w:p w14:paraId="3CF555A3">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_Toc15912 </w:instrText>
      </w:r>
      <w:r>
        <w:fldChar w:fldCharType="separate"/>
      </w:r>
      <w:r>
        <w:rPr>
          <w:rFonts w:hint="eastAsia" w:ascii="仿宋" w:hAnsi="Cambria" w:eastAsia="仿宋" w:cs="Times New Roman"/>
          <w:kern w:val="2"/>
          <w:szCs w:val="32"/>
          <w:lang w:bidi="ar-SA"/>
        </w:rPr>
        <w:t>五、财政拨款支出决算明细表</w:t>
      </w:r>
      <w:r>
        <w:fldChar w:fldCharType="end"/>
      </w:r>
      <w:r>
        <w:rPr>
          <w:rFonts w:hint="eastAsia"/>
          <w:lang w:val="en-US" w:eastAsia="zh-CN"/>
        </w:rPr>
        <w:t>......................................................................................................24</w:t>
      </w:r>
    </w:p>
    <w:p w14:paraId="74BBCC3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_Toc10267 </w:instrText>
      </w:r>
      <w:r>
        <w:fldChar w:fldCharType="separate"/>
      </w:r>
      <w:r>
        <w:rPr>
          <w:rFonts w:hint="eastAsia" w:ascii="仿宋" w:hAnsi="Cambria" w:eastAsia="仿宋" w:cs="Times New Roman"/>
          <w:kern w:val="2"/>
          <w:szCs w:val="32"/>
          <w:lang w:bidi="ar-SA"/>
        </w:rPr>
        <w:t>六、一般公共预算财政拨款支出决算表</w:t>
      </w:r>
      <w:r>
        <w:fldChar w:fldCharType="end"/>
      </w:r>
      <w:r>
        <w:rPr>
          <w:rFonts w:hint="eastAsia"/>
          <w:lang w:val="en-US" w:eastAsia="zh-CN"/>
        </w:rPr>
        <w:t>......................................................................................24</w:t>
      </w:r>
    </w:p>
    <w:p w14:paraId="090AE469">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_Toc703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r>
        <w:rPr>
          <w:rFonts w:hint="eastAsia"/>
          <w:lang w:val="en-US" w:eastAsia="zh-CN"/>
        </w:rPr>
        <w:t>..............................................................................24</w:t>
      </w:r>
    </w:p>
    <w:p w14:paraId="25867FDE">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_Toc1164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r>
        <w:rPr>
          <w:rFonts w:hint="eastAsia"/>
          <w:lang w:val="en-US" w:eastAsia="zh-CN"/>
        </w:rPr>
        <w:t>..............................................................................24</w:t>
      </w:r>
    </w:p>
    <w:p w14:paraId="40D399BD">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_Toc30827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r>
        <w:rPr>
          <w:rFonts w:hint="eastAsia"/>
          <w:lang w:val="en-US" w:eastAsia="zh-CN"/>
        </w:rPr>
        <w:t>..............................................................................24</w:t>
      </w:r>
    </w:p>
    <w:p w14:paraId="04D5EEE8">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_Toc26030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r>
        <w:rPr>
          <w:rFonts w:hint="eastAsia"/>
          <w:lang w:val="en-US" w:eastAsia="zh-CN"/>
        </w:rPr>
        <w:t>..........................................................................24</w:t>
      </w:r>
    </w:p>
    <w:p w14:paraId="4B68C846">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_Toc25909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r>
        <w:rPr>
          <w:rFonts w:hint="eastAsia"/>
          <w:lang w:val="en-US" w:eastAsia="zh-CN"/>
        </w:rPr>
        <w:t>..................................................................24</w:t>
      </w:r>
    </w:p>
    <w:p w14:paraId="19865C03">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_Toc27357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r>
        <w:rPr>
          <w:rFonts w:hint="eastAsia"/>
          <w:lang w:val="en-US" w:eastAsia="zh-CN"/>
        </w:rPr>
        <w:t>..........................................................................24</w:t>
      </w:r>
    </w:p>
    <w:p w14:paraId="1A6957B5">
      <w:pPr>
        <w:pStyle w:val="45"/>
        <w:pageBreakBefore w:val="0"/>
        <w:tabs>
          <w:tab w:val="right" w:leader="dot" w:pos="8306"/>
        </w:tabs>
        <w:kinsoku/>
        <w:wordWrap/>
        <w:overflowPunct/>
        <w:topLinePunct w:val="0"/>
        <w:bidi w:val="0"/>
        <w:spacing w:line="576" w:lineRule="exact"/>
        <w:textAlignment w:val="auto"/>
        <w:rPr>
          <w:rFonts w:hint="default" w:eastAsia="宋体"/>
          <w:lang w:val="en-US" w:eastAsia="zh-CN"/>
        </w:rPr>
      </w:pPr>
      <w:r>
        <w:fldChar w:fldCharType="begin"/>
      </w:r>
      <w:r>
        <w:instrText xml:space="preserve"> HYPERLINK \l _Toc32413 </w:instrText>
      </w:r>
      <w:r>
        <w:fldChar w:fldCharType="separate"/>
      </w:r>
      <w:r>
        <w:rPr>
          <w:rFonts w:hint="eastAsia" w:ascii="仿宋" w:hAnsi="Cambria" w:eastAsia="仿宋" w:cs="Times New Roman"/>
          <w:kern w:val="2"/>
          <w:szCs w:val="32"/>
          <w:lang w:bidi="ar-SA"/>
        </w:rPr>
        <w:t>十三、财政拨款“三公”经费支出决算表</w:t>
      </w:r>
      <w:r>
        <w:fldChar w:fldCharType="end"/>
      </w:r>
      <w:r>
        <w:rPr>
          <w:rFonts w:hint="eastAsia"/>
          <w:lang w:val="en-US" w:eastAsia="zh-CN"/>
        </w:rPr>
        <w:t>...................................................................................24</w:t>
      </w:r>
    </w:p>
    <w:p w14:paraId="73CF4FC5">
      <w:pPr>
        <w:pageBreakBefore w:val="0"/>
        <w:kinsoku/>
        <w:wordWrap/>
        <w:overflowPunct/>
        <w:topLinePunct w:val="0"/>
        <w:bidi w:val="0"/>
        <w:spacing w:line="576" w:lineRule="exact"/>
        <w:textAlignment w:val="auto"/>
      </w:pPr>
      <w:r>
        <w:fldChar w:fldCharType="end"/>
      </w:r>
    </w:p>
    <w:p w14:paraId="04EF5444">
      <w:pPr>
        <w:adjustRightInd w:val="0"/>
        <w:snapToGrid w:val="0"/>
        <w:spacing w:line="576" w:lineRule="exact"/>
        <w:jc w:val="both"/>
        <w:outlineLvl w:val="0"/>
        <w:rPr>
          <w:rFonts w:hint="eastAsia" w:ascii="方正小标宋简体" w:hAnsi="方正小标宋简体" w:eastAsia="方正小标宋简体" w:cs="方正小标宋简体"/>
          <w:sz w:val="44"/>
          <w:szCs w:val="44"/>
        </w:rPr>
      </w:pPr>
      <w:bookmarkStart w:id="2" w:name="_Toc79163601"/>
      <w:bookmarkStart w:id="3" w:name="_Toc79163851"/>
    </w:p>
    <w:p w14:paraId="11430E12">
      <w:pPr>
        <w:pStyle w:val="19"/>
        <w:rPr>
          <w:rFonts w:hint="eastAsia"/>
        </w:rPr>
      </w:pPr>
    </w:p>
    <w:p w14:paraId="4BF1692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348F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8C5F42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12DADA41">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DC9B1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20EEA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7AD630">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FC8EA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368C6E4A">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C89997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61473B">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AEAAC5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454BBDBD">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 部门概况</w:t>
      </w:r>
      <w:bookmarkEnd w:id="0"/>
      <w:bookmarkEnd w:id="1"/>
      <w:bookmarkEnd w:id="2"/>
      <w:bookmarkEnd w:id="3"/>
    </w:p>
    <w:p w14:paraId="714CCF07">
      <w:pPr>
        <w:keepNext w:val="0"/>
        <w:keepLines w:val="0"/>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53F316E2">
      <w:pPr>
        <w:keepNext w:val="0"/>
        <w:keepLines w:val="0"/>
        <w:pageBreakBefore w:val="0"/>
        <w:kinsoku/>
        <w:wordWrap/>
        <w:overflowPunct/>
        <w:topLinePunct w:val="0"/>
        <w:autoSpaceDE/>
        <w:autoSpaceDN/>
        <w:bidi w:val="0"/>
        <w:spacing w:line="576" w:lineRule="exact"/>
        <w:ind w:firstLine="640" w:firstLineChars="200"/>
        <w:textAlignment w:val="auto"/>
        <w:rPr>
          <w:rStyle w:val="41"/>
          <w:rFonts w:hint="eastAsia" w:ascii="黑体" w:hAnsi="黑体" w:eastAsia="黑体" w:cs="Times New Roman"/>
          <w:b w:val="0"/>
          <w:bCs w:val="0"/>
          <w:color w:val="auto"/>
          <w:highlight w:val="none"/>
          <w:lang w:val="en-US" w:eastAsia="zh-CN" w:bidi="ar-SA"/>
        </w:rPr>
      </w:pPr>
      <w:bookmarkStart w:id="4" w:name="_Toc15378445"/>
      <w:bookmarkStart w:id="5" w:name="_Toc15377198"/>
      <w:r>
        <w:rPr>
          <w:rFonts w:hint="eastAsia" w:ascii="黑体" w:hAnsi="黑体" w:eastAsia="黑体"/>
          <w:sz w:val="32"/>
          <w:szCs w:val="32"/>
        </w:rPr>
        <w:t>一、</w:t>
      </w:r>
      <w:r>
        <w:rPr>
          <w:rStyle w:val="41"/>
          <w:rFonts w:hint="eastAsia" w:ascii="黑体" w:hAnsi="黑体" w:eastAsia="黑体" w:cs="Times New Roman"/>
          <w:b w:val="0"/>
          <w:bCs w:val="0"/>
          <w:color w:val="auto"/>
          <w:highlight w:val="none"/>
          <w:lang w:val="en-US" w:eastAsia="zh-CN" w:bidi="ar-SA"/>
        </w:rPr>
        <w:t>部门职责</w:t>
      </w:r>
    </w:p>
    <w:bookmarkEnd w:id="4"/>
    <w:bookmarkEnd w:id="5"/>
    <w:p w14:paraId="0BA97EA9">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6" w:name="_Toc15377199"/>
      <w:bookmarkStart w:id="7" w:name="_Toc15378446"/>
      <w:r>
        <w:rPr>
          <w:rFonts w:hint="eastAsia" w:ascii="楷体_GB2312" w:hAnsi="楷体_GB2312" w:eastAsia="楷体_GB2312" w:cs="楷体_GB2312"/>
          <w:b/>
          <w:sz w:val="32"/>
          <w:szCs w:val="32"/>
        </w:rPr>
        <w:t>（一）主要职能</w:t>
      </w:r>
    </w:p>
    <w:p w14:paraId="7868B942">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3F84ACD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3A61C21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5DDD2DB8">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FEA4CFE">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2B7112F6">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A389B7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3011AF54">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53D101C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2826565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承办县委、县政府和州机构编制委员会办公室交办的其他事项。</w:t>
      </w:r>
    </w:p>
    <w:bookmarkEnd w:id="6"/>
    <w:bookmarkEnd w:id="7"/>
    <w:p w14:paraId="3DA908C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bCs w:val="0"/>
        </w:rPr>
      </w:pPr>
      <w:bookmarkStart w:id="8" w:name="_Toc15377200"/>
      <w:bookmarkStart w:id="9" w:name="_Toc15396601"/>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8"/>
      <w:bookmarkEnd w:id="9"/>
    </w:p>
    <w:p w14:paraId="124C037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p>
    <w:p w14:paraId="7583E4F6">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 w:hAnsi="仿宋" w:eastAsia="仿宋"/>
          <w:color w:val="000000"/>
          <w:kern w:val="0"/>
          <w:sz w:val="32"/>
          <w:szCs w:val="32"/>
        </w:rPr>
      </w:pPr>
    </w:p>
    <w:p w14:paraId="10587CCF">
      <w:pPr>
        <w:pStyle w:val="23"/>
        <w:keepNext w:val="0"/>
        <w:keepLines w:val="0"/>
        <w:pageBreakBefore w:val="0"/>
        <w:kinsoku/>
        <w:wordWrap/>
        <w:overflowPunct/>
        <w:topLinePunct w:val="0"/>
        <w:autoSpaceDE/>
        <w:autoSpaceDN/>
        <w:bidi w:val="0"/>
        <w:adjustRightInd/>
        <w:snapToGrid/>
        <w:spacing w:line="576" w:lineRule="exact"/>
        <w:ind w:firstLine="643" w:firstLineChars="200"/>
        <w:textAlignment w:val="auto"/>
      </w:pPr>
    </w:p>
    <w:p w14:paraId="74546E26">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637C371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4630E96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2B0BE0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077C24E">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354E13BE">
      <w:pPr>
        <w:pStyle w:val="23"/>
        <w:keepNext w:val="0"/>
        <w:keepLines w:val="0"/>
        <w:pageBreakBefore w:val="0"/>
        <w:kinsoku/>
        <w:wordWrap/>
        <w:overflowPunct/>
        <w:topLinePunct w:val="0"/>
        <w:autoSpaceDE/>
        <w:autoSpaceDN/>
        <w:bidi w:val="0"/>
        <w:adjustRightInd/>
        <w:snapToGrid/>
        <w:spacing w:line="560" w:lineRule="exact"/>
        <w:jc w:val="both"/>
        <w:textAlignment w:val="auto"/>
      </w:pPr>
    </w:p>
    <w:p w14:paraId="05363292">
      <w:pPr>
        <w:pStyle w:val="2"/>
        <w:pageBreakBefore w:val="0"/>
        <w:widowControl w:val="0"/>
        <w:kinsoku/>
        <w:wordWrap/>
        <w:overflowPunct/>
        <w:topLinePunct w:val="0"/>
        <w:autoSpaceDE/>
        <w:autoSpaceDN/>
        <w:bidi w:val="0"/>
        <w:adjustRightInd/>
        <w:spacing w:line="576" w:lineRule="exact"/>
        <w:ind w:right="440"/>
        <w:jc w:val="center"/>
        <w:textAlignment w:val="auto"/>
      </w:pPr>
      <w:bookmarkStart w:id="10" w:name="_Toc79163609"/>
      <w:bookmarkStart w:id="11" w:name="_Toc15396602"/>
      <w:bookmarkStart w:id="12" w:name="_Toc79163859"/>
      <w:bookmarkStart w:id="13" w:name="_Toc15377204"/>
      <w:r>
        <w:rPr>
          <w:rStyle w:val="37"/>
          <w:rFonts w:hint="eastAsia" w:ascii="方正小标宋简体" w:hAnsi="方正小标宋简体" w:eastAsia="方正小标宋简体" w:cs="方正小标宋简体"/>
          <w:b w:val="0"/>
          <w:bCs w:val="0"/>
          <w:lang w:val="en-US" w:eastAsia="zh-CN"/>
        </w:rPr>
        <w:t xml:space="preserve">  </w:t>
      </w:r>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4</w:t>
      </w:r>
      <w:r>
        <w:rPr>
          <w:rStyle w:val="37"/>
          <w:rFonts w:hint="eastAsia" w:ascii="方正小标宋简体" w:hAnsi="方正小标宋简体" w:eastAsia="方正小标宋简体" w:cs="方正小标宋简体"/>
          <w:b w:val="0"/>
          <w:bCs w:val="0"/>
        </w:rPr>
        <w:t>年度部门决算情况说明</w:t>
      </w:r>
      <w:bookmarkEnd w:id="10"/>
      <w:bookmarkEnd w:id="11"/>
      <w:bookmarkEnd w:id="12"/>
      <w:bookmarkEnd w:id="13"/>
    </w:p>
    <w:p w14:paraId="14ADBFEE">
      <w:pPr>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黑体" w:hAnsi="黑体" w:eastAsia="黑体"/>
          <w:sz w:val="32"/>
          <w:szCs w:val="32"/>
        </w:rPr>
      </w:pPr>
      <w:bookmarkStart w:id="14" w:name="_Toc15396606"/>
      <w:bookmarkStart w:id="15" w:name="_Toc79163863"/>
      <w:bookmarkStart w:id="16" w:name="_Toc79163613"/>
      <w:bookmarkStart w:id="17" w:name="_Toc15377208"/>
    </w:p>
    <w:p w14:paraId="74279A03">
      <w:pPr>
        <w:pageBreakBefore w:val="0"/>
        <w:widowControl w:val="0"/>
        <w:kinsoku/>
        <w:wordWrap/>
        <w:overflowPunct/>
        <w:topLinePunct w:val="0"/>
        <w:autoSpaceDE/>
        <w:autoSpaceDN/>
        <w:bidi w:val="0"/>
        <w:adjustRightInd/>
        <w:spacing w:line="576" w:lineRule="exact"/>
        <w:ind w:firstLine="640" w:firstLineChars="200"/>
        <w:textAlignment w:val="auto"/>
        <w:rPr>
          <w:rStyle w:val="41"/>
          <w:rFonts w:ascii="黑体" w:hAnsi="黑体" w:eastAsia="黑体"/>
          <w:b w:val="0"/>
        </w:rPr>
      </w:pPr>
      <w:r>
        <w:rPr>
          <w:rFonts w:hint="eastAsia" w:ascii="黑体" w:hAnsi="黑体" w:eastAsia="黑体"/>
          <w:sz w:val="32"/>
          <w:szCs w:val="32"/>
        </w:rPr>
        <w:t>一、收</w:t>
      </w:r>
      <w:r>
        <w:rPr>
          <w:rStyle w:val="41"/>
          <w:rFonts w:hint="eastAsia" w:ascii="黑体" w:hAnsi="黑体" w:eastAsia="黑体"/>
          <w:b w:val="0"/>
        </w:rPr>
        <w:t>入支出决算总体情况说明</w:t>
      </w:r>
    </w:p>
    <w:p w14:paraId="3169AA46">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251.27</w:t>
      </w:r>
      <w:r>
        <w:rPr>
          <w:rFonts w:hint="eastAsia" w:ascii="Times New Roman" w:hAnsi="Times New Roman" w:eastAsia="仿宋_GB2312" w:cs="仿宋_GB2312"/>
          <w:color w:val="auto"/>
          <w:sz w:val="32"/>
          <w:szCs w:val="32"/>
          <w:highlight w:val="none"/>
        </w:rPr>
        <w:t>万元</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27.61</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12.34</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w:t>
      </w:r>
      <w:r>
        <w:rPr>
          <w:rFonts w:hint="eastAsia" w:ascii="仿宋_GB2312" w:hAnsi="仿宋" w:eastAsia="仿宋_GB2312" w:cs="仿宋"/>
          <w:sz w:val="32"/>
          <w:szCs w:val="32"/>
          <w:lang w:val="en-US" w:eastAsia="zh-CN"/>
        </w:rPr>
        <w:t>人员工资、保险有所增加。</w:t>
      </w:r>
    </w:p>
    <w:p w14:paraId="7B6A539E">
      <w:pPr>
        <w:jc w:val="center"/>
        <w:rPr>
          <w:rFonts w:ascii="仿宋_GB2312" w:eastAsia="仿宋_GB2312"/>
          <w:sz w:val="32"/>
          <w:szCs w:val="32"/>
        </w:rPr>
      </w:pPr>
      <w:bookmarkStart w:id="18" w:name="_Toc15377206"/>
      <w:bookmarkStart w:id="19" w:name="_Toc15396604"/>
      <w:r>
        <w:rPr>
          <w:rFonts w:ascii="仿宋_GB2312" w:eastAsia="仿宋_GB2312"/>
          <w:sz w:val="32"/>
          <w:szCs w:val="32"/>
        </w:rPr>
        <w:drawing>
          <wp:inline distT="0" distB="0" distL="0" distR="0">
            <wp:extent cx="4011930" cy="2385060"/>
            <wp:effectExtent l="4445" t="4445" r="2222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4B72A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18"/>
      <w:bookmarkEnd w:id="19"/>
    </w:p>
    <w:p w14:paraId="29C4A7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年本年收入合计251.27万元，其中：一般公共预算财政拨款收入251.27万元，占100%；政府性基金预算财政拨款收入0万元，占0%。</w:t>
      </w:r>
      <w:bookmarkStart w:id="20" w:name="_Toc15377207"/>
      <w:bookmarkStart w:id="21" w:name="_Toc15396605"/>
    </w:p>
    <w:p w14:paraId="35F086C0">
      <w:pPr>
        <w:jc w:val="center"/>
        <w:rPr>
          <w:rFonts w:ascii="仿宋_GB2312" w:eastAsia="仿宋_GB2312"/>
          <w:sz w:val="32"/>
          <w:szCs w:val="32"/>
        </w:rPr>
      </w:pPr>
      <w:r>
        <w:rPr>
          <w:rFonts w:ascii="仿宋_GB2312" w:eastAsia="仿宋_GB2312"/>
          <w:sz w:val="32"/>
          <w:szCs w:val="32"/>
        </w:rPr>
        <w:drawing>
          <wp:inline distT="0" distB="0" distL="0" distR="0">
            <wp:extent cx="2842260" cy="1781175"/>
            <wp:effectExtent l="4445" t="4445" r="10795"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487E19">
      <w:pPr>
        <w:jc w:val="center"/>
        <w:rPr>
          <w:rFonts w:ascii="仿宋_GB2312" w:eastAsia="仿宋_GB2312"/>
          <w:sz w:val="32"/>
          <w:szCs w:val="32"/>
        </w:rPr>
      </w:pPr>
    </w:p>
    <w:bookmarkEnd w:id="14"/>
    <w:bookmarkEnd w:id="15"/>
    <w:bookmarkEnd w:id="16"/>
    <w:bookmarkEnd w:id="17"/>
    <w:bookmarkEnd w:id="20"/>
    <w:bookmarkEnd w:id="21"/>
    <w:p w14:paraId="3F02FD02">
      <w:pPr>
        <w:spacing w:line="576" w:lineRule="exact"/>
        <w:ind w:firstLine="640" w:firstLineChars="200"/>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0C0DB14F">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251.27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251.27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2C198508">
      <w:pPr>
        <w:ind w:firstLine="640" w:firstLineChars="200"/>
        <w:jc w:val="center"/>
        <w:rPr>
          <w:rFonts w:ascii="黑体" w:hAnsi="黑体" w:eastAsia="黑体"/>
          <w:bCs/>
          <w:sz w:val="32"/>
          <w:szCs w:val="32"/>
        </w:rPr>
      </w:pPr>
      <w:r>
        <w:rPr>
          <w:rFonts w:ascii="黑体" w:hAnsi="黑体" w:eastAsia="黑体"/>
          <w:bCs/>
          <w:sz w:val="32"/>
          <w:szCs w:val="32"/>
        </w:rPr>
        <w:drawing>
          <wp:inline distT="0" distB="0" distL="0" distR="0">
            <wp:extent cx="3495675" cy="2242185"/>
            <wp:effectExtent l="4445" t="4445" r="5080" b="2032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05D025">
      <w:pPr>
        <w:pStyle w:val="4"/>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0B79D1B8">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eastAsia="仿宋_GB2312"/>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均为251.27</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w:t>
      </w:r>
      <w:r>
        <w:rPr>
          <w:rFonts w:hint="eastAsia" w:ascii="Times New Roman" w:hAnsi="Times New Roman" w:eastAsia="仿宋_GB2312" w:cs="仿宋_GB2312"/>
          <w:color w:val="auto"/>
          <w:kern w:val="2"/>
          <w:sz w:val="32"/>
          <w:szCs w:val="32"/>
          <w:highlight w:val="none"/>
          <w:lang w:val="en-US" w:eastAsia="zh-CN" w:bidi="ar-SA"/>
        </w:rPr>
        <w:t>财政拨款收入、支出总计各增加</w:t>
      </w:r>
      <w:r>
        <w:rPr>
          <w:rFonts w:hint="eastAsia" w:eastAsia="仿宋_GB2312" w:cs="仿宋_GB2312"/>
          <w:color w:val="auto"/>
          <w:sz w:val="32"/>
          <w:szCs w:val="32"/>
          <w:highlight w:val="none"/>
          <w:lang w:val="en-US" w:eastAsia="zh-CN"/>
        </w:rPr>
        <w:t>27.61</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12.34</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 w:eastAsia="仿宋_GB2312" w:cs="仿宋"/>
          <w:sz w:val="32"/>
          <w:szCs w:val="32"/>
          <w:lang w:val="en-US" w:eastAsia="zh-CN"/>
        </w:rPr>
        <w:t>人员工资、保险有所增加。</w:t>
      </w:r>
    </w:p>
    <w:p w14:paraId="01BF085A">
      <w:pPr>
        <w:jc w:val="center"/>
      </w:pPr>
      <w:bookmarkStart w:id="22" w:name="_Toc15396607"/>
      <w:bookmarkStart w:id="23" w:name="_Toc15377209"/>
      <w:r>
        <w:rPr>
          <w:rFonts w:ascii="仿宋_GB2312" w:eastAsia="仿宋_GB2312"/>
          <w:sz w:val="32"/>
          <w:szCs w:val="32"/>
        </w:rPr>
        <w:drawing>
          <wp:inline distT="0" distB="0" distL="0" distR="0">
            <wp:extent cx="3768725" cy="2249805"/>
            <wp:effectExtent l="4445" t="4445" r="17780" b="1270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3F17F2">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2"/>
      <w:bookmarkEnd w:id="23"/>
      <w:bookmarkStart w:id="24" w:name="_Toc15377210"/>
    </w:p>
    <w:p w14:paraId="4CE42233">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4"/>
    </w:p>
    <w:p w14:paraId="7292FC3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251.27</w:t>
      </w:r>
      <w:r>
        <w:rPr>
          <w:rFonts w:hint="eastAsia" w:ascii="仿宋_GB2312" w:hAnsi="仿宋_GB2312" w:eastAsia="仿宋_GB2312" w:cs="仿宋_GB2312"/>
          <w:sz w:val="32"/>
          <w:szCs w:val="32"/>
        </w:rPr>
        <w:t>万元，占本年支出合计的100%。与20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支出</w:t>
      </w:r>
      <w:r>
        <w:rPr>
          <w:rFonts w:hint="eastAsia" w:ascii="Times New Roman" w:hAnsi="Times New Roman" w:eastAsia="仿宋_GB2312" w:cs="仿宋_GB2312"/>
          <w:color w:val="auto"/>
          <w:kern w:val="2"/>
          <w:sz w:val="32"/>
          <w:szCs w:val="32"/>
          <w:highlight w:val="none"/>
          <w:lang w:val="en-US" w:eastAsia="zh-CN" w:bidi="ar-SA"/>
        </w:rPr>
        <w:t>增加</w:t>
      </w:r>
      <w:r>
        <w:rPr>
          <w:rFonts w:hint="eastAsia" w:eastAsia="仿宋_GB2312" w:cs="仿宋_GB2312"/>
          <w:color w:val="auto"/>
          <w:sz w:val="32"/>
          <w:szCs w:val="32"/>
          <w:highlight w:val="none"/>
          <w:lang w:val="en-US" w:eastAsia="zh-CN"/>
        </w:rPr>
        <w:t>27.61</w:t>
      </w:r>
      <w:r>
        <w:rPr>
          <w:rFonts w:hint="eastAsia" w:ascii="仿宋_GB2312" w:hAns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12.34</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 w:eastAsia="仿宋_GB2312" w:cs="仿宋"/>
          <w:sz w:val="32"/>
          <w:szCs w:val="32"/>
          <w:lang w:val="en-US" w:eastAsia="zh-CN"/>
        </w:rPr>
        <w:t>人员工资、保险有所增加。</w:t>
      </w:r>
    </w:p>
    <w:p w14:paraId="3ABA3615">
      <w:pPr>
        <w:pStyle w:val="17"/>
      </w:pPr>
    </w:p>
    <w:p w14:paraId="72567AFE">
      <w:pPr>
        <w:jc w:val="center"/>
        <w:rPr>
          <w:rFonts w:ascii="仿宋_GB2312" w:eastAsia="仿宋_GB2312"/>
          <w:sz w:val="32"/>
          <w:szCs w:val="32"/>
        </w:rPr>
      </w:pPr>
      <w:r>
        <w:rPr>
          <w:rFonts w:ascii="仿宋_GB2312" w:eastAsia="仿宋_GB2312"/>
          <w:sz w:val="32"/>
          <w:szCs w:val="32"/>
        </w:rPr>
        <w:drawing>
          <wp:inline distT="0" distB="0" distL="0" distR="0">
            <wp:extent cx="3728720" cy="2041525"/>
            <wp:effectExtent l="5080" t="4445" r="19050" b="1143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88FC3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25" w:name="_Toc15377211"/>
      <w:r>
        <w:rPr>
          <w:rFonts w:hint="eastAsia" w:ascii="楷体_GB2312" w:hAnsi="楷体_GB2312" w:eastAsia="楷体_GB2312" w:cs="楷体_GB2312"/>
          <w:b/>
          <w:sz w:val="32"/>
          <w:szCs w:val="32"/>
        </w:rPr>
        <w:t>（二）一般公共预算财政拨款支出决算结构情况</w:t>
      </w:r>
      <w:bookmarkEnd w:id="25"/>
    </w:p>
    <w:p w14:paraId="0D111FFB">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251.27</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184.11</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73.27</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34.13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13.58</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14.67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rPr>
        <w:t>%；住房保障( 221）支出</w:t>
      </w:r>
      <w:r>
        <w:rPr>
          <w:rFonts w:hint="eastAsia" w:ascii="仿宋_GB2312" w:hAnsi="仿宋_GB2312" w:eastAsia="仿宋_GB2312" w:cs="仿宋_GB2312"/>
          <w:sz w:val="32"/>
          <w:szCs w:val="32"/>
          <w:lang w:val="en-US" w:eastAsia="zh-CN"/>
        </w:rPr>
        <w:t>18.36</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w:t>
      </w:r>
    </w:p>
    <w:p w14:paraId="5D5F83CB">
      <w:pPr>
        <w:jc w:val="center"/>
        <w:rPr>
          <w:rFonts w:hint="eastAsia" w:ascii="楷体_GB2312" w:hAnsi="楷体_GB2312" w:eastAsia="楷体_GB2312" w:cs="楷体_GB2312"/>
          <w:b/>
          <w:sz w:val="32"/>
          <w:szCs w:val="32"/>
        </w:rPr>
      </w:pPr>
      <w:r>
        <w:rPr>
          <w:rFonts w:ascii="仿宋" w:hAnsi="仿宋" w:eastAsia="仿宋"/>
          <w:sz w:val="32"/>
          <w:szCs w:val="32"/>
        </w:rPr>
        <w:drawing>
          <wp:inline distT="0" distB="0" distL="0" distR="0">
            <wp:extent cx="3941445" cy="2218055"/>
            <wp:effectExtent l="4445" t="4445" r="16510"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26" w:name="_Toc15377212"/>
    </w:p>
    <w:p w14:paraId="19BBEDE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26"/>
    </w:p>
    <w:p w14:paraId="12F68CF6">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27" w:name="_Toc15377213"/>
      <w:bookmarkStart w:id="28" w:name="_Toc15377444"/>
      <w:bookmarkStart w:id="29"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251.27</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27"/>
      <w:bookmarkEnd w:id="28"/>
      <w:bookmarkEnd w:id="29"/>
    </w:p>
    <w:p w14:paraId="40A5095F">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一般公共服务（201）组织事务（32）行政运行（01）: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67.79</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52E7DAB0">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116.31</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0EDC7A1F">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社会保障和就业（208）行政事业单位离退休（05）机关事业单位基本养老保险（05）：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22.75</w:t>
      </w:r>
      <w:r>
        <w:rPr>
          <w:rStyle w:val="26"/>
          <w:rFonts w:hint="eastAsia" w:ascii="仿宋_GB2312" w:hAnsi="仿宋_GB2312" w:eastAsia="仿宋_GB2312" w:cs="仿宋_GB2312"/>
          <w:b w:val="0"/>
          <w:bCs/>
          <w:sz w:val="32"/>
          <w:szCs w:val="32"/>
        </w:rPr>
        <w:t>万元，完成预算100%</w:t>
      </w:r>
      <w:r>
        <w:rPr>
          <w:rStyle w:val="26"/>
          <w:rFonts w:hint="eastAsia" w:ascii="仿宋_GB2312" w:hAnsi="仿宋_GB2312" w:eastAsia="仿宋_GB2312" w:cs="仿宋_GB2312"/>
          <w:b w:val="0"/>
          <w:bCs/>
          <w:sz w:val="32"/>
          <w:szCs w:val="32"/>
          <w:lang w:eastAsia="zh-CN"/>
        </w:rPr>
        <w:t>，决算数与预算数持平。</w:t>
      </w:r>
    </w:p>
    <w:p w14:paraId="298FA632">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社会保障和就业（208）行政事业单位离退休（05）机关事业单位职业年金（06）: 支出决算为</w:t>
      </w:r>
      <w:r>
        <w:rPr>
          <w:rStyle w:val="26"/>
          <w:rFonts w:hint="eastAsia" w:ascii="仿宋_GB2312" w:hAnsi="仿宋_GB2312" w:eastAsia="仿宋_GB2312" w:cs="仿宋_GB2312"/>
          <w:b w:val="0"/>
          <w:sz w:val="32"/>
          <w:szCs w:val="32"/>
          <w:lang w:val="en-US" w:eastAsia="zh-CN"/>
        </w:rPr>
        <w:t>11.38</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764F1352">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bCs/>
          <w:sz w:val="32"/>
          <w:szCs w:val="32"/>
          <w:lang w:eastAsia="zh-CN"/>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卫生健康支出(210)行政事业单位医疗（11）行政单位医疗（01）: 支出决算为</w:t>
      </w:r>
      <w:r>
        <w:rPr>
          <w:rStyle w:val="26"/>
          <w:rFonts w:hint="eastAsia" w:ascii="仿宋_GB2312" w:hAnsi="仿宋_GB2312" w:eastAsia="仿宋_GB2312" w:cs="仿宋_GB2312"/>
          <w:b w:val="0"/>
          <w:sz w:val="32"/>
          <w:szCs w:val="32"/>
          <w:lang w:val="en-US" w:eastAsia="zh-CN"/>
        </w:rPr>
        <w:t>5.21</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1E142FDC">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6.</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9.47</w:t>
      </w:r>
      <w:r>
        <w:rPr>
          <w:rStyle w:val="26"/>
          <w:rFonts w:hint="eastAsia" w:ascii="仿宋_GB2312" w:hAnsi="仿宋_GB2312" w:eastAsia="仿宋_GB2312" w:cs="仿宋_GB2312"/>
          <w:b w:val="0"/>
          <w:sz w:val="32"/>
          <w:szCs w:val="32"/>
        </w:rPr>
        <w:t>万元，完成预算100%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4461A5C6">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hint="eastAsia" w:ascii="仿宋_GB2312" w:hAnsi="仿宋_GB2312" w:eastAsia="仿宋_GB2312" w:cs="仿宋_GB2312"/>
          <w:b w:val="0"/>
          <w:sz w:val="32"/>
          <w:szCs w:val="32"/>
          <w:lang w:eastAsia="zh-CN"/>
        </w:rPr>
      </w:pPr>
      <w:r>
        <w:rPr>
          <w:rStyle w:val="26"/>
          <w:rFonts w:hint="eastAsia" w:ascii="仿宋_GB2312" w:hAnsi="仿宋_GB2312" w:eastAsia="仿宋_GB2312" w:cs="仿宋_GB2312"/>
          <w:bCs/>
          <w:sz w:val="32"/>
          <w:szCs w:val="32"/>
        </w:rPr>
        <w:t>7.</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18.36</w:t>
      </w:r>
      <w:r>
        <w:rPr>
          <w:rStyle w:val="26"/>
          <w:rFonts w:hint="eastAsia" w:ascii="仿宋_GB2312" w:hAnsi="仿宋_GB2312" w:eastAsia="仿宋_GB2312" w:cs="仿宋_GB2312"/>
          <w:b w:val="0"/>
          <w:sz w:val="32"/>
          <w:szCs w:val="32"/>
        </w:rPr>
        <w:t>元，完成预算100%</w:t>
      </w:r>
      <w:r>
        <w:rPr>
          <w:rStyle w:val="26"/>
          <w:rFonts w:hint="eastAsia" w:ascii="仿宋_GB2312" w:hAnsi="仿宋_GB2312" w:eastAsia="仿宋_GB2312" w:cs="仿宋_GB2312"/>
          <w:b w:val="0"/>
          <w:sz w:val="32"/>
          <w:szCs w:val="32"/>
          <w:lang w:eastAsia="zh-CN"/>
        </w:rPr>
        <w:t>，</w:t>
      </w:r>
      <w:r>
        <w:rPr>
          <w:rStyle w:val="26"/>
          <w:rFonts w:hint="eastAsia" w:ascii="仿宋_GB2312" w:hAnsi="仿宋_GB2312" w:eastAsia="仿宋_GB2312" w:cs="仿宋_GB2312"/>
          <w:b w:val="0"/>
          <w:bCs/>
          <w:sz w:val="32"/>
          <w:szCs w:val="32"/>
          <w:lang w:eastAsia="zh-CN"/>
        </w:rPr>
        <w:t>决算数与预算数持平。</w:t>
      </w:r>
    </w:p>
    <w:p w14:paraId="54DAC9DD">
      <w:pPr>
        <w:pStyle w:val="4"/>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0" w:name="_Toc15396608"/>
      <w:bookmarkStart w:id="31" w:name="_Toc15377214"/>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0"/>
      <w:bookmarkEnd w:id="31"/>
    </w:p>
    <w:p w14:paraId="29E6D8B1">
      <w:pPr>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251.27</w:t>
      </w:r>
      <w:r>
        <w:rPr>
          <w:rFonts w:hint="eastAsia" w:ascii="仿宋_GB2312" w:hAnsi="仿宋_GB2312" w:eastAsia="仿宋_GB2312" w:cs="仿宋_GB2312"/>
          <w:sz w:val="32"/>
          <w:szCs w:val="32"/>
        </w:rPr>
        <w:t>万元，其中：</w:t>
      </w:r>
    </w:p>
    <w:p w14:paraId="623B9A68">
      <w:pPr>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239.23</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基本工资、津贴补贴、奖金、绩效工资、机关事业单位基本养老保险缴费、职业年金缴费、职工基本医疗保险缴费、其他社会保障缴费、住房公积金、医疗费、生活补助、奖励金。</w:t>
      </w:r>
    </w:p>
    <w:p w14:paraId="7721D9EE">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12.04</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办公费、邮电费、差旅费、培训费、公务接待费、公务用车运行维护费。</w:t>
      </w:r>
    </w:p>
    <w:p w14:paraId="6E901EEE">
      <w:pPr>
        <w:pageBreakBefore w:val="0"/>
        <w:widowControl w:val="0"/>
        <w:kinsoku/>
        <w:wordWrap/>
        <w:overflowPunct/>
        <w:topLinePunct w:val="0"/>
        <w:autoSpaceDE/>
        <w:autoSpaceDN/>
        <w:bidi w:val="0"/>
        <w:adjustRightInd/>
        <w:snapToGrid/>
        <w:spacing w:line="576" w:lineRule="exact"/>
        <w:ind w:firstLine="640"/>
        <w:textAlignment w:val="auto"/>
        <w:outlineLvl w:val="1"/>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0D327F5A">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124B572C">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3.67</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与</w:t>
      </w:r>
      <w:r>
        <w:rPr>
          <w:rFonts w:hint="eastAsia" w:ascii="仿宋" w:hAnsi="仿宋" w:eastAsia="仿宋"/>
          <w:color w:val="auto"/>
          <w:sz w:val="32"/>
          <w:szCs w:val="32"/>
          <w:highlight w:val="none"/>
          <w:lang w:val="en-US" w:eastAsia="zh-CN"/>
        </w:rPr>
        <w:t>2023年相比增加1.07万元，增长41.15%。</w:t>
      </w:r>
      <w:r>
        <w:rPr>
          <w:rFonts w:hint="eastAsia" w:ascii="仿宋" w:hAnsi="仿宋" w:eastAsia="仿宋"/>
          <w:color w:val="auto"/>
          <w:sz w:val="32"/>
          <w:szCs w:val="32"/>
          <w:highlight w:val="none"/>
        </w:rPr>
        <w:t>主要原因是</w:t>
      </w:r>
      <w:r>
        <w:rPr>
          <w:rFonts w:hint="eastAsia" w:ascii="仿宋" w:hAnsi="仿宋" w:eastAsia="仿宋"/>
          <w:color w:val="auto"/>
          <w:sz w:val="32"/>
          <w:szCs w:val="32"/>
          <w:highlight w:val="none"/>
          <w:lang w:eastAsia="zh-CN"/>
        </w:rPr>
        <w:t>：公务出差增加</w:t>
      </w:r>
      <w:r>
        <w:rPr>
          <w:rFonts w:hint="eastAsia" w:ascii="仿宋" w:hAnsi="仿宋" w:eastAsia="仿宋"/>
          <w:color w:val="auto"/>
          <w:sz w:val="32"/>
          <w:szCs w:val="32"/>
          <w:highlight w:val="none"/>
        </w:rPr>
        <w:t>。</w:t>
      </w:r>
    </w:p>
    <w:p w14:paraId="68E5A13B">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bookmarkStart w:id="32" w:name="_Toc15377217"/>
      <w:r>
        <w:rPr>
          <w:rFonts w:hint="eastAsia" w:ascii="楷体_GB2312" w:eastAsia="楷体_GB2312"/>
          <w:b/>
          <w:sz w:val="32"/>
          <w:szCs w:val="32"/>
        </w:rPr>
        <w:t>（二）“三公”经费财政拨款支出决算具体情况说明</w:t>
      </w:r>
      <w:bookmarkEnd w:id="32"/>
    </w:p>
    <w:p w14:paraId="035E5896">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3.54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96.46</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3.54</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68CA4191">
      <w:pPr>
        <w:jc w:val="center"/>
        <w:rPr>
          <w:rFonts w:ascii="仿宋" w:hAnsi="仿宋" w:eastAsia="仿宋"/>
          <w:sz w:val="32"/>
          <w:szCs w:val="32"/>
        </w:rPr>
      </w:pPr>
      <w:r>
        <w:rPr>
          <w:rFonts w:ascii="仿宋" w:hAnsi="仿宋" w:eastAsia="仿宋"/>
          <w:sz w:val="32"/>
          <w:szCs w:val="32"/>
        </w:rPr>
        <w:drawing>
          <wp:inline distT="0" distB="0" distL="0" distR="0">
            <wp:extent cx="3709035" cy="2218055"/>
            <wp:effectExtent l="19050" t="0" r="24654"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A8D44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p>
    <w:p w14:paraId="6C63E62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p>
    <w:p w14:paraId="04198FBA">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3.54</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度相比增加</w:t>
      </w:r>
      <w:r>
        <w:rPr>
          <w:rFonts w:hint="eastAsia" w:ascii="仿宋_GB2312" w:eastAsia="仿宋_GB2312"/>
          <w:color w:val="auto"/>
          <w:sz w:val="32"/>
          <w:szCs w:val="32"/>
          <w:highlight w:val="none"/>
          <w:lang w:val="en-US" w:eastAsia="zh-CN"/>
        </w:rPr>
        <w:t>1.18</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增长</w:t>
      </w:r>
      <w:r>
        <w:rPr>
          <w:rFonts w:hint="eastAsia" w:ascii="仿宋_GB2312" w:eastAsia="仿宋_GB2312"/>
          <w:color w:val="auto"/>
          <w:sz w:val="32"/>
          <w:szCs w:val="32"/>
          <w:highlight w:val="none"/>
          <w:lang w:val="en-US" w:eastAsia="zh-CN"/>
        </w:rPr>
        <w:t>50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：公务出差增加</w:t>
      </w:r>
      <w:r>
        <w:rPr>
          <w:rFonts w:hint="eastAsia" w:ascii="仿宋_GB2312" w:eastAsia="仿宋_GB2312"/>
          <w:color w:val="auto"/>
          <w:sz w:val="32"/>
          <w:szCs w:val="32"/>
          <w:highlight w:val="none"/>
        </w:rPr>
        <w:t>。</w:t>
      </w:r>
    </w:p>
    <w:p w14:paraId="2236F7B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C95AF1B">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3.54</w:t>
      </w:r>
      <w:r>
        <w:rPr>
          <w:rFonts w:hint="eastAsia" w:ascii="仿宋_GB2312" w:eastAsia="仿宋_GB2312"/>
          <w:color w:val="auto"/>
          <w:sz w:val="32"/>
          <w:szCs w:val="32"/>
          <w:highlight w:val="none"/>
        </w:rPr>
        <w:t>万元。主要用于</w:t>
      </w:r>
      <w:r>
        <w:rPr>
          <w:rFonts w:hint="eastAsia" w:ascii="仿宋_GB2312" w:hAnsi="仿宋_GB2312" w:eastAsia="仿宋_GB2312" w:cs="仿宋_GB2312"/>
          <w:color w:val="auto"/>
          <w:sz w:val="32"/>
          <w:szCs w:val="32"/>
        </w:rPr>
        <w:t>公务用车运行维护费主要用于公务用车燃油费、维修费、过路费、保险费等支出。</w:t>
      </w:r>
    </w:p>
    <w:p w14:paraId="46FB7A03">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0.13</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度相比减少</w:t>
      </w:r>
      <w:r>
        <w:rPr>
          <w:rFonts w:hint="eastAsia" w:ascii="仿宋_GB2312" w:eastAsia="仿宋_GB2312"/>
          <w:color w:val="auto"/>
          <w:sz w:val="32"/>
          <w:szCs w:val="32"/>
          <w:highlight w:val="none"/>
          <w:lang w:val="en-US" w:eastAsia="zh-CN"/>
        </w:rPr>
        <w:t>0.11</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下降</w:t>
      </w:r>
      <w:r>
        <w:rPr>
          <w:rFonts w:hint="eastAsia" w:ascii="仿宋_GB2312" w:eastAsia="仿宋_GB2312"/>
          <w:color w:val="auto"/>
          <w:sz w:val="32"/>
          <w:szCs w:val="32"/>
          <w:highlight w:val="none"/>
          <w:lang w:val="en-US" w:eastAsia="zh-CN"/>
        </w:rPr>
        <w:t>45.83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sz w:val="32"/>
          <w:szCs w:val="32"/>
        </w:rPr>
        <w:t>接受相关部门检查指导工作发生的接待支出</w:t>
      </w:r>
      <w:r>
        <w:rPr>
          <w:rFonts w:hint="eastAsia" w:ascii="仿宋_GB2312" w:hAnsi="仿宋_GB2312" w:eastAsia="仿宋_GB2312" w:cs="仿宋_GB2312"/>
          <w:sz w:val="32"/>
          <w:szCs w:val="32"/>
          <w:lang w:eastAsia="zh-CN"/>
        </w:rPr>
        <w:t>减少</w:t>
      </w:r>
      <w:r>
        <w:rPr>
          <w:rFonts w:hint="eastAsia" w:ascii="仿宋_GB2312" w:eastAsia="仿宋_GB2312"/>
          <w:color w:val="auto"/>
          <w:sz w:val="32"/>
          <w:szCs w:val="32"/>
          <w:highlight w:val="none"/>
        </w:rPr>
        <w:t>。其中：</w:t>
      </w:r>
    </w:p>
    <w:p w14:paraId="533E412E">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0.13</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0.13</w:t>
      </w:r>
      <w:r>
        <w:rPr>
          <w:rFonts w:hint="eastAsia" w:ascii="仿宋_GB2312" w:eastAsia="仿宋_GB2312"/>
          <w:color w:val="auto"/>
          <w:sz w:val="32"/>
          <w:szCs w:val="32"/>
          <w:highlight w:val="none"/>
        </w:rPr>
        <w:t>万元。</w:t>
      </w:r>
    </w:p>
    <w:p w14:paraId="06BCB2A0">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14:paraId="0FEB01E2">
      <w:pPr>
        <w:keepNext w:val="0"/>
        <w:keepLines w:val="0"/>
        <w:pageBreakBefore w:val="0"/>
        <w:widowControl w:val="0"/>
        <w:kinsoku/>
        <w:wordWrap/>
        <w:overflowPunct/>
        <w:topLinePunct w:val="0"/>
        <w:bidi w:val="0"/>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4D656B5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县委</w:t>
      </w:r>
      <w:r>
        <w:rPr>
          <w:rFonts w:hint="eastAsia" w:ascii="仿宋_GB2312" w:eastAsia="仿宋_GB2312"/>
          <w:sz w:val="32"/>
          <w:szCs w:val="32"/>
        </w:rPr>
        <w:t>编办202</w:t>
      </w:r>
      <w:r>
        <w:rPr>
          <w:rFonts w:hint="eastAsia" w:ascii="仿宋_GB2312" w:eastAsia="仿宋_GB2312"/>
          <w:sz w:val="32"/>
          <w:szCs w:val="32"/>
          <w:lang w:val="en-US" w:eastAsia="zh-CN"/>
        </w:rPr>
        <w:t>4</w:t>
      </w:r>
      <w:r>
        <w:rPr>
          <w:rFonts w:hint="eastAsia" w:ascii="仿宋_GB2312" w:eastAsia="仿宋_GB2312"/>
          <w:sz w:val="32"/>
          <w:szCs w:val="32"/>
        </w:rPr>
        <w:t>年无政府性基金预算拨款支出。</w:t>
      </w:r>
    </w:p>
    <w:p w14:paraId="6F29674E">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b w:val="0"/>
        </w:rPr>
      </w:pPr>
      <w:bookmarkStart w:id="33" w:name="_Toc15377219"/>
      <w:bookmarkStart w:id="34" w:name="_Toc15396611"/>
      <w:r>
        <w:rPr>
          <w:rStyle w:val="41"/>
          <w:rFonts w:hint="eastAsia" w:ascii="黑体" w:hAnsi="黑体" w:eastAsia="黑体"/>
          <w:b w:val="0"/>
        </w:rPr>
        <w:t>九、国有资本经营预算支出决算情况说明</w:t>
      </w:r>
      <w:bookmarkEnd w:id="33"/>
      <w:bookmarkEnd w:id="34"/>
    </w:p>
    <w:p w14:paraId="291F212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县委</w:t>
      </w: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年无国有资本经营预算拨款支出。</w:t>
      </w:r>
    </w:p>
    <w:p w14:paraId="0BCF8BF0">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1D0A1BB4">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35" w:name="_Toc15377222"/>
      <w:r>
        <w:rPr>
          <w:rStyle w:val="41"/>
          <w:rFonts w:hint="eastAsia" w:ascii="楷体" w:hAnsi="楷体" w:eastAsia="楷体" w:cs="楷体"/>
        </w:rPr>
        <w:t>（一）机关运行经费支出情况</w:t>
      </w:r>
      <w:bookmarkEnd w:id="35"/>
    </w:p>
    <w:p w14:paraId="3DEBC4C4">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县委</w:t>
      </w:r>
      <w:r>
        <w:rPr>
          <w:rFonts w:hint="eastAsia" w:ascii="仿宋_GB2312" w:eastAsia="仿宋_GB2312"/>
          <w:sz w:val="32"/>
          <w:szCs w:val="32"/>
        </w:rPr>
        <w:t>编办机关运行经费支出</w:t>
      </w:r>
      <w:r>
        <w:rPr>
          <w:rFonts w:hint="eastAsia" w:ascii="仿宋_GB2312" w:eastAsia="仿宋_GB2312"/>
          <w:sz w:val="32"/>
          <w:szCs w:val="32"/>
          <w:lang w:val="en-US" w:eastAsia="zh-CN"/>
        </w:rPr>
        <w:t>6.37</w:t>
      </w:r>
      <w:r>
        <w:rPr>
          <w:rFonts w:hint="eastAsia" w:ascii="仿宋_GB2312" w:eastAsia="仿宋_GB2312"/>
          <w:sz w:val="32"/>
          <w:szCs w:val="32"/>
        </w:rPr>
        <w:t>万元，</w:t>
      </w:r>
      <w:r>
        <w:rPr>
          <w:rFonts w:hint="eastAsia" w:ascii="仿宋_GB2312" w:eastAsia="仿宋_GB2312"/>
          <w:sz w:val="32"/>
          <w:szCs w:val="32"/>
          <w:lang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相比增加</w:t>
      </w:r>
      <w:r>
        <w:rPr>
          <w:rFonts w:hint="eastAsia" w:ascii="仿宋_GB2312" w:eastAsia="仿宋_GB2312"/>
          <w:sz w:val="32"/>
          <w:szCs w:val="32"/>
          <w:lang w:val="en-US" w:eastAsia="zh-CN"/>
        </w:rPr>
        <w:t>1.30</w:t>
      </w:r>
      <w:r>
        <w:rPr>
          <w:rFonts w:hint="eastAsia" w:ascii="仿宋_GB2312" w:eastAsia="仿宋_GB2312"/>
          <w:sz w:val="32"/>
          <w:szCs w:val="32"/>
        </w:rPr>
        <w:t>万元</w:t>
      </w:r>
      <w:r>
        <w:rPr>
          <w:rFonts w:hint="eastAsia" w:ascii="仿宋_GB2312" w:eastAsia="仿宋_GB2312"/>
          <w:sz w:val="32"/>
          <w:szCs w:val="32"/>
          <w:lang w:eastAsia="zh-CN"/>
        </w:rPr>
        <w:t>，增长</w:t>
      </w:r>
      <w:r>
        <w:rPr>
          <w:rFonts w:hint="eastAsia" w:ascii="仿宋_GB2312" w:eastAsia="仿宋_GB2312"/>
          <w:sz w:val="32"/>
          <w:szCs w:val="32"/>
          <w:lang w:val="en-US" w:eastAsia="zh-CN"/>
        </w:rPr>
        <w:t>25.64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sz w:val="32"/>
          <w:szCs w:val="32"/>
        </w:rPr>
        <w:t>继续积极贯彻落实中央八项规定及省委省政府十项规定要求，加强行政事业单位日常经费管理。</w:t>
      </w:r>
    </w:p>
    <w:p w14:paraId="24DA177B">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39DC124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县委</w:t>
      </w:r>
      <w:r>
        <w:rPr>
          <w:rFonts w:hint="eastAsia" w:ascii="仿宋_GB2312" w:eastAsia="仿宋_GB2312"/>
          <w:sz w:val="32"/>
          <w:szCs w:val="32"/>
        </w:rPr>
        <w:t>编办无政府采购支出。</w:t>
      </w:r>
    </w:p>
    <w:p w14:paraId="05F0510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3BFA20A2">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县委</w:t>
      </w:r>
      <w:r>
        <w:rPr>
          <w:rFonts w:hint="eastAsia" w:ascii="仿宋_GB2312" w:eastAsia="仿宋_GB2312"/>
          <w:sz w:val="32"/>
          <w:szCs w:val="32"/>
        </w:rPr>
        <w:t>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48E64E15">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357E943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年部门整体支出开展绩效自评，从评价情况来看，202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年我办部门整体支出绩效评价自查自评结果良好，全</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基本支出保证了部门的正常运行和日常工作的正常开展，绩效目标得到较好实现，绩效管理水平不断提高，绩效指标体系逐渐丰富和完善。</w:t>
      </w:r>
    </w:p>
    <w:p w14:paraId="04EA867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1.项目绩效目标完成情况</w:t>
      </w:r>
    </w:p>
    <w:p w14:paraId="34A4E60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年度部门决算中不涉及此内容。</w:t>
      </w:r>
    </w:p>
    <w:p w14:paraId="5BDE98FA">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2.部门开展绩效评价结果</w:t>
      </w:r>
    </w:p>
    <w:p w14:paraId="163115B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年部门整体支出绩效评价情况开展自评。《</w:t>
      </w:r>
      <w:r>
        <w:rPr>
          <w:rFonts w:hint="eastAsia" w:ascii="仿宋_GB2312" w:eastAsia="仿宋_GB2312"/>
          <w:sz w:val="32"/>
          <w:szCs w:val="32"/>
          <w:lang w:eastAsia="zh-CN"/>
        </w:rPr>
        <w:t>县委</w:t>
      </w:r>
      <w:r>
        <w:rPr>
          <w:rFonts w:hint="eastAsia" w:ascii="仿宋_GB2312" w:hAnsi="仿宋_GB2312" w:eastAsia="仿宋_GB2312" w:cs="仿宋_GB2312"/>
          <w:sz w:val="32"/>
          <w:szCs w:val="32"/>
        </w:rPr>
        <w:t>编办202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年部门整体支出绩效评价报告》</w:t>
      </w:r>
      <w:bookmarkStart w:id="36" w:name="_Toc15396612"/>
      <w:bookmarkStart w:id="37" w:name="_Toc15377221"/>
      <w:r>
        <w:rPr>
          <w:rFonts w:hint="eastAsia" w:ascii="仿宋_GB2312" w:hAnsi="仿宋_GB2312" w:eastAsia="仿宋_GB2312" w:cs="仿宋_GB2312"/>
          <w:sz w:val="32"/>
          <w:szCs w:val="32"/>
        </w:rPr>
        <w:t>见附件。</w:t>
      </w:r>
    </w:p>
    <w:p w14:paraId="43C51F2A">
      <w:pPr>
        <w:pStyle w:val="23"/>
        <w:jc w:val="both"/>
        <w:rPr>
          <w:rFonts w:ascii="仿宋_GB2312" w:hAnsi="仿宋_GB2312" w:eastAsia="仿宋_GB2312" w:cs="仿宋_GB2312"/>
        </w:rPr>
      </w:pPr>
    </w:p>
    <w:p w14:paraId="19B1B695">
      <w:pPr>
        <w:pStyle w:val="23"/>
        <w:jc w:val="both"/>
        <w:rPr>
          <w:rFonts w:ascii="仿宋_GB2312" w:hAnsi="仿宋_GB2312" w:eastAsia="仿宋_GB2312" w:cs="仿宋_GB2312"/>
        </w:rPr>
      </w:pPr>
    </w:p>
    <w:p w14:paraId="611B5EDC">
      <w:pPr>
        <w:pStyle w:val="23"/>
        <w:jc w:val="both"/>
        <w:rPr>
          <w:rFonts w:ascii="仿宋_GB2312" w:hAnsi="仿宋_GB2312" w:eastAsia="仿宋_GB2312" w:cs="仿宋_GB2312"/>
        </w:rPr>
      </w:pPr>
    </w:p>
    <w:p w14:paraId="05DD43D0">
      <w:pPr>
        <w:pStyle w:val="23"/>
        <w:jc w:val="both"/>
        <w:rPr>
          <w:rFonts w:ascii="仿宋_GB2312" w:hAnsi="仿宋_GB2312" w:eastAsia="仿宋_GB2312" w:cs="仿宋_GB2312"/>
        </w:rPr>
      </w:pPr>
    </w:p>
    <w:p w14:paraId="5F24F9BB">
      <w:pPr>
        <w:pStyle w:val="23"/>
        <w:jc w:val="both"/>
        <w:rPr>
          <w:rFonts w:ascii="仿宋_GB2312" w:hAnsi="仿宋_GB2312" w:eastAsia="仿宋_GB2312" w:cs="仿宋_GB2312"/>
        </w:rPr>
      </w:pPr>
    </w:p>
    <w:p w14:paraId="2EFE60AD">
      <w:pPr>
        <w:pStyle w:val="23"/>
        <w:jc w:val="both"/>
        <w:rPr>
          <w:rFonts w:ascii="仿宋_GB2312" w:hAnsi="仿宋_GB2312" w:eastAsia="仿宋_GB2312" w:cs="仿宋_GB2312"/>
        </w:rPr>
      </w:pPr>
    </w:p>
    <w:p w14:paraId="4342C4CC">
      <w:pPr>
        <w:pStyle w:val="23"/>
        <w:jc w:val="both"/>
        <w:rPr>
          <w:rFonts w:ascii="仿宋_GB2312" w:hAnsi="仿宋_GB2312" w:eastAsia="仿宋_GB2312" w:cs="仿宋_GB2312"/>
        </w:rPr>
      </w:pPr>
    </w:p>
    <w:p w14:paraId="7B425F4A">
      <w:pPr>
        <w:pStyle w:val="23"/>
        <w:jc w:val="both"/>
        <w:rPr>
          <w:rFonts w:ascii="仿宋_GB2312" w:hAnsi="仿宋_GB2312" w:eastAsia="仿宋_GB2312" w:cs="仿宋_GB2312"/>
        </w:rPr>
      </w:pPr>
    </w:p>
    <w:p w14:paraId="41A50453">
      <w:pPr>
        <w:pStyle w:val="23"/>
        <w:jc w:val="both"/>
        <w:rPr>
          <w:rFonts w:ascii="仿宋_GB2312" w:hAnsi="仿宋_GB2312" w:eastAsia="仿宋_GB2312" w:cs="仿宋_GB2312"/>
        </w:rPr>
      </w:pPr>
    </w:p>
    <w:p w14:paraId="4CAD7B37">
      <w:pPr>
        <w:pStyle w:val="23"/>
        <w:jc w:val="both"/>
        <w:rPr>
          <w:rFonts w:ascii="仿宋_GB2312" w:hAnsi="仿宋_GB2312" w:eastAsia="仿宋_GB2312" w:cs="仿宋_GB2312"/>
        </w:rPr>
      </w:pPr>
    </w:p>
    <w:p w14:paraId="6D7A07C6">
      <w:pPr>
        <w:pStyle w:val="23"/>
        <w:jc w:val="both"/>
        <w:rPr>
          <w:rFonts w:ascii="仿宋_GB2312" w:hAnsi="仿宋_GB2312" w:eastAsia="仿宋_GB2312" w:cs="仿宋_GB2312"/>
        </w:rPr>
      </w:pPr>
    </w:p>
    <w:p w14:paraId="3026C234">
      <w:pPr>
        <w:pStyle w:val="23"/>
        <w:jc w:val="both"/>
        <w:rPr>
          <w:rFonts w:ascii="仿宋_GB2312" w:hAnsi="仿宋_GB2312" w:eastAsia="仿宋_GB2312" w:cs="仿宋_GB2312"/>
        </w:rPr>
      </w:pPr>
    </w:p>
    <w:p w14:paraId="534403AD">
      <w:pPr>
        <w:pStyle w:val="23"/>
        <w:jc w:val="both"/>
        <w:rPr>
          <w:rFonts w:ascii="仿宋_GB2312" w:hAnsi="仿宋_GB2312" w:eastAsia="仿宋_GB2312" w:cs="仿宋_GB2312"/>
        </w:rPr>
      </w:pPr>
    </w:p>
    <w:p w14:paraId="61A86B55">
      <w:pPr>
        <w:pStyle w:val="23"/>
        <w:jc w:val="both"/>
        <w:rPr>
          <w:rFonts w:ascii="仿宋_GB2312" w:hAnsi="仿宋_GB2312" w:eastAsia="仿宋_GB2312" w:cs="仿宋_GB2312"/>
        </w:rPr>
      </w:pPr>
    </w:p>
    <w:p w14:paraId="69B47B24">
      <w:pPr>
        <w:pStyle w:val="23"/>
        <w:jc w:val="both"/>
        <w:rPr>
          <w:rFonts w:ascii="仿宋_GB2312" w:hAnsi="仿宋_GB2312" w:eastAsia="仿宋_GB2312" w:cs="仿宋_GB2312"/>
        </w:rPr>
      </w:pPr>
    </w:p>
    <w:p w14:paraId="79DF3047">
      <w:pPr>
        <w:pStyle w:val="23"/>
        <w:jc w:val="both"/>
        <w:rPr>
          <w:rFonts w:ascii="仿宋_GB2312" w:hAnsi="仿宋_GB2312" w:eastAsia="仿宋_GB2312" w:cs="仿宋_GB2312"/>
        </w:rPr>
      </w:pPr>
    </w:p>
    <w:bookmarkEnd w:id="36"/>
    <w:bookmarkEnd w:id="37"/>
    <w:p w14:paraId="4BFFB396">
      <w:pPr>
        <w:keepNext w:val="0"/>
        <w:keepLines w:val="0"/>
        <w:pageBreakBefore w:val="0"/>
        <w:widowControl w:val="0"/>
        <w:numPr>
          <w:ilvl w:val="0"/>
          <w:numId w:val="1"/>
        </w:numPr>
        <w:kinsoku/>
        <w:wordWrap/>
        <w:overflowPunct/>
        <w:topLinePunct w:val="0"/>
        <w:bidi w:val="0"/>
        <w:snapToGrid/>
        <w:spacing w:line="576" w:lineRule="exact"/>
        <w:ind w:firstLine="660" w:firstLineChars="150"/>
        <w:jc w:val="center"/>
        <w:textAlignment w:val="auto"/>
        <w:outlineLvl w:val="0"/>
        <w:rPr>
          <w:rStyle w:val="37"/>
          <w:rFonts w:ascii="方正小标宋简体" w:hAnsi="方正小标宋简体" w:eastAsia="方正小标宋简体" w:cs="方正小标宋简体"/>
          <w:b w:val="0"/>
        </w:rPr>
      </w:pPr>
      <w:bookmarkStart w:id="38" w:name="_Toc79163879"/>
      <w:bookmarkStart w:id="39" w:name="_Toc15377225"/>
      <w:bookmarkStart w:id="40" w:name="_Toc15396613"/>
      <w:bookmarkStart w:id="41" w:name="_Toc79163629"/>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38"/>
      <w:bookmarkEnd w:id="39"/>
      <w:bookmarkEnd w:id="40"/>
      <w:bookmarkEnd w:id="41"/>
    </w:p>
    <w:p w14:paraId="0E3589CA">
      <w:pPr>
        <w:keepNext w:val="0"/>
        <w:keepLines w:val="0"/>
        <w:pageBreakBefore w:val="0"/>
        <w:widowControl w:val="0"/>
        <w:kinsoku/>
        <w:wordWrap/>
        <w:overflowPunct/>
        <w:topLinePunct w:val="0"/>
        <w:bidi w:val="0"/>
        <w:snapToGrid/>
        <w:spacing w:line="576" w:lineRule="exact"/>
        <w:jc w:val="left"/>
        <w:textAlignment w:val="auto"/>
        <w:rPr>
          <w:rFonts w:ascii="宋体"/>
          <w:b/>
          <w:color w:val="000000"/>
          <w:sz w:val="44"/>
          <w:szCs w:val="44"/>
        </w:rPr>
      </w:pPr>
    </w:p>
    <w:p w14:paraId="3E5F59A9">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2"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B5582EB">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A526A8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9E8985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4EF96A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5B357EA">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558B50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3D11D410">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B10C7A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52E4D700">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207C3E3B">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00778839">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591C5EF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44628AF1">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2FAD2558">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73FD616C">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1046377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0E612CD6">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23E2FE2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B4D8C1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E69C78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F60CAAD">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1A08B3">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黑体"/>
          <w:color w:val="auto"/>
          <w:sz w:val="32"/>
          <w:szCs w:val="32"/>
        </w:rPr>
      </w:pPr>
    </w:p>
    <w:p w14:paraId="13504691">
      <w:pPr>
        <w:spacing w:line="600" w:lineRule="exact"/>
        <w:jc w:val="center"/>
        <w:outlineLvl w:val="0"/>
        <w:rPr>
          <w:rFonts w:hint="eastAsia" w:ascii="方正小标宋简体" w:hAnsi="方正小标宋简体" w:eastAsia="方正小标宋简体" w:cs="方正小标宋简体"/>
          <w:sz w:val="44"/>
          <w:szCs w:val="44"/>
        </w:rPr>
      </w:pPr>
      <w:r>
        <w:rPr>
          <w:rFonts w:ascii="宋体"/>
          <w:b/>
          <w:color w:val="000000"/>
          <w:sz w:val="44"/>
          <w:szCs w:val="44"/>
        </w:rPr>
        <w:br w:type="page"/>
      </w:r>
      <w:bookmarkStart w:id="43" w:name="_Toc79163630"/>
      <w:bookmarkStart w:id="44" w:name="_Toc79163880"/>
      <w:bookmarkStart w:id="45" w:name="_Toc15396614"/>
      <w:r>
        <w:rPr>
          <w:rFonts w:hint="eastAsia" w:ascii="方正小标宋简体" w:hAnsi="方正小标宋简体" w:eastAsia="方正小标宋简体" w:cs="方正小标宋简体"/>
          <w:sz w:val="44"/>
          <w:szCs w:val="44"/>
        </w:rPr>
        <w:t>第四部分 附件</w:t>
      </w:r>
      <w:bookmarkEnd w:id="43"/>
      <w:bookmarkEnd w:id="44"/>
      <w:bookmarkEnd w:id="45"/>
    </w:p>
    <w:p w14:paraId="4CC40289">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bookmarkStart w:id="46"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46"/>
    </w:p>
    <w:p w14:paraId="28707732">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p>
    <w:p w14:paraId="7CC16261">
      <w:pPr>
        <w:widowControl/>
        <w:spacing w:line="578" w:lineRule="exact"/>
        <w:contextualSpacing/>
        <w:jc w:val="center"/>
        <w:rPr>
          <w:rFonts w:hint="eastAsia" w:ascii="黑体" w:hAnsi="Times New Roman" w:eastAsia="黑体" w:cs="黑体"/>
          <w:sz w:val="32"/>
          <w:szCs w:val="32"/>
          <w:lang w:val="en-US" w:eastAsia="zh-CN"/>
        </w:rPr>
      </w:pPr>
      <w:r>
        <w:rPr>
          <w:rFonts w:hint="eastAsia" w:ascii="方正小标宋简体" w:hAnsi="宋体" w:eastAsia="方正小标宋简体"/>
          <w:color w:val="000000"/>
          <w:sz w:val="44"/>
          <w:szCs w:val="44"/>
          <w:shd w:val="clear" w:color="auto" w:fill="FFFFFF"/>
        </w:rPr>
        <w:t>中共茂县县委机构编制委员会办公室</w:t>
      </w:r>
    </w:p>
    <w:p w14:paraId="32D06C57">
      <w:pPr>
        <w:spacing w:line="600" w:lineRule="exact"/>
        <w:jc w:val="center"/>
        <w:outlineLvl w:val="0"/>
        <w:rPr>
          <w:rFonts w:ascii="方正小标宋简体" w:hAnsi="黑体" w:eastAsia="方正小标宋简体" w:cs="黑体"/>
          <w:sz w:val="44"/>
          <w:szCs w:val="44"/>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9A9365A">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82155B7">
      <w:pPr>
        <w:pStyle w:val="4"/>
        <w:pageBreakBefore w:val="0"/>
        <w:kinsoku/>
        <w:wordWrap/>
        <w:overflowPunct/>
        <w:topLinePunct w:val="0"/>
        <w:autoSpaceDE/>
        <w:autoSpaceDN/>
        <w:bidi w:val="0"/>
        <w:spacing w:before="0" w:after="0" w:line="576" w:lineRule="exact"/>
        <w:ind w:firstLine="640" w:firstLineChars="200"/>
        <w:textAlignment w:val="auto"/>
        <w:rPr>
          <w:b w:val="0"/>
          <w:bCs w:val="0"/>
        </w:rPr>
      </w:pPr>
      <w:r>
        <w:rPr>
          <w:rFonts w:hint="eastAsia" w:ascii="黑体" w:hAnsi="黑体" w:eastAsia="黑体" w:cs="黑体"/>
          <w:b w:val="0"/>
          <w:bCs w:val="0"/>
        </w:rPr>
        <w:t>一、</w:t>
      </w:r>
      <w:r>
        <w:rPr>
          <w:rFonts w:hint="default" w:eastAsia="黑体" w:cs="Times New Roman"/>
          <w:b w:val="0"/>
          <w:bCs w:val="0"/>
          <w:color w:val="000000"/>
          <w:kern w:val="0"/>
          <w:sz w:val="32"/>
          <w:szCs w:val="32"/>
          <w:highlight w:val="none"/>
          <w:shd w:val="clear" w:color="auto" w:fill="FFFFFF"/>
          <w:lang w:val="zh-CN"/>
        </w:rPr>
        <w:t>部门（单位）基本情况</w:t>
      </w:r>
    </w:p>
    <w:p w14:paraId="1E80134E">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（一）机构组成</w:t>
      </w:r>
    </w:p>
    <w:p w14:paraId="39768E39">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本单位属一级预算单位，无下属二级预算单位，其中：行政单位1个，内设机构1个（综合股），所属副科级事业机构</w:t>
      </w:r>
      <w:r>
        <w:rPr>
          <w:rFonts w:hint="eastAsia" w:ascii="仿宋_GB2312" w:eastAsia="仿宋_GB2312"/>
          <w:sz w:val="32"/>
          <w:szCs w:val="32"/>
          <w:lang w:val="en-US" w:eastAsia="zh-CN"/>
        </w:rPr>
        <w:t>2</w:t>
      </w:r>
      <w:r>
        <w:rPr>
          <w:rFonts w:hint="eastAsia" w:ascii="仿宋_GB2312" w:eastAsia="仿宋_GB2312"/>
          <w:sz w:val="32"/>
          <w:szCs w:val="32"/>
        </w:rPr>
        <w:t>个，即事业单位登记管理局</w:t>
      </w:r>
      <w:r>
        <w:rPr>
          <w:rFonts w:hint="eastAsia" w:ascii="仿宋_GB2312" w:eastAsia="仿宋_GB2312"/>
          <w:sz w:val="32"/>
          <w:szCs w:val="32"/>
          <w:lang w:eastAsia="zh-CN"/>
        </w:rPr>
        <w:t>，</w:t>
      </w:r>
      <w:r>
        <w:rPr>
          <w:rFonts w:hint="eastAsia" w:ascii="仿宋_GB2312" w:eastAsia="仿宋_GB2312"/>
          <w:sz w:val="32"/>
          <w:szCs w:val="32"/>
        </w:rPr>
        <w:t>机构编制实名制中心。</w:t>
      </w:r>
    </w:p>
    <w:p w14:paraId="0A67E2F0">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（二）机构职能</w:t>
      </w:r>
    </w:p>
    <w:p w14:paraId="70D446B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5704C25C">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BC03DB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0D585CA5">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4F05AF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7332F5C6">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14:paraId="720BF7E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20668C6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329EF53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14:paraId="77CD193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承办县委、县政府和州机构编制委员会办公室交办的其他事项。</w:t>
      </w:r>
    </w:p>
    <w:p w14:paraId="46793C6D">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（三）人员概况</w:t>
      </w:r>
    </w:p>
    <w:p w14:paraId="2C4F0B1C">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default" w:ascii="Times New Roman" w:hAnsi="Times New Roman" w:eastAsia="仿宋_GB2312" w:cs="Times New Roman"/>
          <w:sz w:val="32"/>
          <w:szCs w:val="32"/>
          <w:lang w:val="en-US" w:eastAsia="zh-CN"/>
        </w:rPr>
        <w:t>截至202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Times New Roman"/>
          <w:sz w:val="32"/>
          <w:szCs w:val="32"/>
          <w:lang w:val="en-US" w:eastAsia="zh-CN"/>
        </w:rPr>
        <w:t>，</w:t>
      </w:r>
      <w:r>
        <w:rPr>
          <w:rFonts w:hint="eastAsia" w:ascii="仿宋_GB2312" w:eastAsia="仿宋_GB2312"/>
          <w:sz w:val="32"/>
          <w:szCs w:val="32"/>
          <w:lang w:eastAsia="zh-CN"/>
        </w:rPr>
        <w:t>本</w:t>
      </w:r>
      <w:r>
        <w:rPr>
          <w:rFonts w:hint="eastAsia" w:ascii="仿宋_GB2312" w:eastAsia="仿宋_GB2312"/>
          <w:sz w:val="32"/>
          <w:szCs w:val="32"/>
        </w:rPr>
        <w:t>部门编制人数16名,其中:行政编制5名,参照公务员法管理的事业编制0名，行政工勤编制1名，事业编制 10名，事业工勤编制0名。年末在职人员实有人数1</w:t>
      </w:r>
      <w:r>
        <w:rPr>
          <w:rFonts w:hint="eastAsia" w:ascii="仿宋_GB2312" w:eastAsia="仿宋_GB2312"/>
          <w:sz w:val="32"/>
          <w:szCs w:val="32"/>
          <w:lang w:val="en-US" w:eastAsia="zh-CN"/>
        </w:rPr>
        <w:t>4</w:t>
      </w:r>
      <w:r>
        <w:rPr>
          <w:rFonts w:hint="eastAsia" w:ascii="仿宋_GB2312" w:eastAsia="仿宋_GB2312"/>
          <w:sz w:val="32"/>
          <w:szCs w:val="32"/>
        </w:rPr>
        <w:t>名，其中：行政人员</w:t>
      </w:r>
      <w:r>
        <w:rPr>
          <w:rFonts w:hint="eastAsia" w:ascii="仿宋_GB2312" w:eastAsia="仿宋_GB2312"/>
          <w:sz w:val="32"/>
          <w:szCs w:val="32"/>
          <w:lang w:val="en-US" w:eastAsia="zh-CN"/>
        </w:rPr>
        <w:t>3</w:t>
      </w:r>
      <w:r>
        <w:rPr>
          <w:rFonts w:hint="eastAsia" w:ascii="仿宋_GB2312" w:eastAsia="仿宋_GB2312"/>
          <w:sz w:val="32"/>
          <w:szCs w:val="32"/>
        </w:rPr>
        <w:t>名，参照公务员法管理的事业人员 0 名，行政工勤人员1名，事业人员</w:t>
      </w:r>
      <w:r>
        <w:rPr>
          <w:rFonts w:hint="eastAsia" w:ascii="仿宋_GB2312" w:eastAsia="仿宋_GB2312"/>
          <w:sz w:val="32"/>
          <w:szCs w:val="32"/>
          <w:lang w:val="en-US" w:eastAsia="zh-CN"/>
        </w:rPr>
        <w:t>10</w:t>
      </w:r>
      <w:r>
        <w:rPr>
          <w:rFonts w:hint="eastAsia" w:ascii="仿宋_GB2312" w:eastAsia="仿宋_GB2312"/>
          <w:sz w:val="32"/>
          <w:szCs w:val="32"/>
        </w:rPr>
        <w:t>名，退休人员0人。</w:t>
      </w:r>
    </w:p>
    <w:p w14:paraId="51BAC693">
      <w:pPr>
        <w:pStyle w:val="4"/>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b w:val="0"/>
          <w:bCs w:val="0"/>
        </w:rPr>
      </w:pPr>
      <w:r>
        <w:rPr>
          <w:rFonts w:ascii="黑体" w:hAnsi="黑体" w:eastAsia="黑体" w:cs="黑体"/>
          <w:b w:val="0"/>
          <w:bCs w:val="0"/>
        </w:rPr>
        <w:t>二、部门财政资金收支情况</w:t>
      </w:r>
    </w:p>
    <w:p w14:paraId="02182D8D">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（一）收入情况</w:t>
      </w:r>
    </w:p>
    <w:p w14:paraId="1706888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年单位财政资金收入共计</w:t>
      </w:r>
      <w:r>
        <w:rPr>
          <w:rFonts w:hint="eastAsia" w:ascii="仿宋_GB2312" w:hAnsi="仿宋_GB2312" w:eastAsia="仿宋_GB2312" w:cs="仿宋_GB2312"/>
          <w:sz w:val="32"/>
          <w:szCs w:val="32"/>
          <w:lang w:val="en-US" w:eastAsia="zh-CN"/>
        </w:rPr>
        <w:t>251.27万</w:t>
      </w:r>
      <w:r>
        <w:rPr>
          <w:rFonts w:hint="eastAsia" w:ascii="仿宋_GB2312" w:hAnsi="仿宋_GB2312" w:eastAsia="仿宋_GB2312" w:cs="仿宋_GB2312"/>
          <w:sz w:val="32"/>
          <w:szCs w:val="32"/>
        </w:rPr>
        <w:t>元，均为一般公共预算财政拨款收入，单位无上级补助收入、事业收入、经营收入等其他性质的经费收入。</w:t>
      </w:r>
    </w:p>
    <w:p w14:paraId="00F3D17B">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（二）支出情况</w:t>
      </w:r>
    </w:p>
    <w:p w14:paraId="556A5E27">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年单位财政资金支出决算数为</w:t>
      </w:r>
      <w:r>
        <w:rPr>
          <w:rFonts w:hint="eastAsia" w:ascii="仿宋_GB2312" w:hAnsi="仿宋_GB2312" w:eastAsia="仿宋_GB2312" w:cs="仿宋_GB2312"/>
          <w:sz w:val="32"/>
          <w:szCs w:val="32"/>
          <w:lang w:val="en-US" w:eastAsia="zh-CN"/>
        </w:rPr>
        <w:t>251.27万</w:t>
      </w:r>
      <w:r>
        <w:rPr>
          <w:rFonts w:hint="eastAsia" w:ascii="仿宋_GB2312" w:hAnsi="仿宋_GB2312" w:eastAsia="仿宋_GB2312" w:cs="仿宋_GB2312"/>
          <w:sz w:val="32"/>
          <w:szCs w:val="32"/>
        </w:rPr>
        <w:t>元，均为财政补助支出，其中：</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184.11万元，</w:t>
      </w:r>
      <w:r>
        <w:rPr>
          <w:rFonts w:hint="eastAsia" w:ascii="仿宋_GB2312" w:hAnsi="仿宋"/>
          <w:sz w:val="32"/>
          <w:szCs w:val="32"/>
          <w:lang w:eastAsia="zh-CN"/>
        </w:rPr>
        <w:t>主</w:t>
      </w:r>
      <w:r>
        <w:rPr>
          <w:rFonts w:hint="eastAsia" w:ascii="仿宋_GB2312" w:eastAsia="仿宋_GB2312"/>
          <w:sz w:val="32"/>
          <w:szCs w:val="32"/>
          <w:lang w:eastAsia="zh-CN"/>
        </w:rPr>
        <w:t>要用于本单位</w:t>
      </w:r>
      <w:r>
        <w:rPr>
          <w:rFonts w:ascii="仿宋_GB2312" w:eastAsia="仿宋_GB2312"/>
          <w:sz w:val="32"/>
          <w:szCs w:val="32"/>
        </w:rPr>
        <w:t>人员经费和日常公用经费等基本支出</w:t>
      </w:r>
      <w:r>
        <w:rPr>
          <w:rFonts w:hint="eastAsia" w:ascii="仿宋_GB2312" w:eastAsia="仿宋_GB2312"/>
          <w:sz w:val="32"/>
          <w:szCs w:val="32"/>
          <w:lang w:val="en-US" w:eastAsia="zh-CN"/>
        </w:rPr>
        <w:t>；</w:t>
      </w:r>
      <w:r>
        <w:rPr>
          <w:rFonts w:hint="eastAsia" w:ascii="仿宋_GB2312" w:eastAsia="仿宋_GB2312"/>
          <w:sz w:val="32"/>
          <w:szCs w:val="32"/>
        </w:rPr>
        <w:t>社会保</w:t>
      </w:r>
      <w:r>
        <w:rPr>
          <w:rFonts w:hint="eastAsia" w:ascii="仿宋_GB2312" w:hAnsi="仿宋_GB2312" w:eastAsia="仿宋_GB2312" w:cs="仿宋_GB2312"/>
          <w:sz w:val="32"/>
          <w:szCs w:val="32"/>
        </w:rPr>
        <w:t>障和就业支出</w:t>
      </w:r>
      <w:r>
        <w:rPr>
          <w:rFonts w:hint="eastAsia" w:ascii="仿宋_GB2312" w:hAnsi="仿宋_GB2312" w:eastAsia="仿宋_GB2312" w:cs="仿宋_GB2312"/>
          <w:sz w:val="32"/>
          <w:szCs w:val="32"/>
          <w:lang w:val="en-US" w:eastAsia="zh-CN"/>
        </w:rPr>
        <w:t>34.13万</w:t>
      </w:r>
      <w:r>
        <w:rPr>
          <w:rFonts w:hint="eastAsia" w:ascii="仿宋_GB2312" w:hAnsi="仿宋_GB2312" w:eastAsia="仿宋_GB2312" w:cs="仿宋_GB2312"/>
          <w:sz w:val="32"/>
          <w:szCs w:val="32"/>
        </w:rPr>
        <w:t>元，主要用于本单位人员工资按照规定标准为职工缴纳的机关事业单位养老保险和职业年金；卫生健康支出</w:t>
      </w:r>
      <w:r>
        <w:rPr>
          <w:rFonts w:hint="eastAsia" w:ascii="仿宋_GB2312" w:hAnsi="仿宋_GB2312" w:eastAsia="仿宋_GB2312" w:cs="仿宋_GB2312"/>
          <w:sz w:val="32"/>
          <w:szCs w:val="32"/>
          <w:lang w:val="en-US" w:eastAsia="zh-CN"/>
        </w:rPr>
        <w:t>14.67万</w:t>
      </w:r>
      <w:r>
        <w:rPr>
          <w:rFonts w:hint="eastAsia" w:ascii="仿宋_GB2312" w:hAnsi="仿宋_GB2312" w:eastAsia="仿宋_GB2312" w:cs="仿宋_GB2312"/>
          <w:sz w:val="32"/>
          <w:szCs w:val="32"/>
        </w:rPr>
        <w:t>元，主要用于事业单位按照规定标准为职工缴纳的基本医疗保险及公务员医疗补助等支出；住房保障支出</w:t>
      </w:r>
      <w:r>
        <w:rPr>
          <w:rFonts w:hint="eastAsia" w:ascii="仿宋_GB2312" w:hAnsi="仿宋_GB2312" w:eastAsia="仿宋_GB2312" w:cs="仿宋_GB2312"/>
          <w:sz w:val="32"/>
          <w:szCs w:val="32"/>
          <w:lang w:val="en-US" w:eastAsia="zh-CN"/>
        </w:rPr>
        <w:t>18.36万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用于机关及下属事业单位按照规定标准为职工缴纳住房公积金等支出。</w:t>
      </w:r>
    </w:p>
    <w:p w14:paraId="1DF81E27">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5C66D4C3">
      <w:pPr>
        <w:pageBreakBefore w:val="0"/>
        <w:kinsoku/>
        <w:wordWrap/>
        <w:overflowPunct/>
        <w:topLinePunct w:val="0"/>
        <w:autoSpaceDE/>
        <w:autoSpaceDN/>
        <w:bidi w:val="0"/>
        <w:spacing w:line="576"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本单位2024年无决算报表</w:t>
      </w:r>
      <w:r>
        <w:rPr>
          <w:rFonts w:hint="default" w:ascii="仿宋_GB2312" w:hAnsi="仿宋_GB2312" w:eastAsia="仿宋_GB2312" w:cs="仿宋_GB2312"/>
          <w:sz w:val="32"/>
          <w:szCs w:val="32"/>
          <w:lang w:val="en-US" w:eastAsia="zh-CN"/>
        </w:rPr>
        <w:t>结转结余</w:t>
      </w:r>
      <w:r>
        <w:rPr>
          <w:rFonts w:hint="eastAsia" w:ascii="仿宋_GB2312" w:hAnsi="仿宋_GB2312" w:eastAsia="仿宋_GB2312" w:cs="仿宋_GB2312"/>
          <w:sz w:val="32"/>
          <w:szCs w:val="32"/>
          <w:lang w:val="en-US" w:eastAsia="zh-CN"/>
        </w:rPr>
        <w:t>情况</w:t>
      </w:r>
      <w:r>
        <w:rPr>
          <w:rFonts w:hint="default" w:ascii="仿宋_GB2312" w:hAnsi="仿宋_GB2312" w:eastAsia="仿宋_GB2312" w:cs="仿宋_GB2312"/>
          <w:sz w:val="32"/>
          <w:szCs w:val="32"/>
          <w:lang w:val="en-US" w:eastAsia="zh-CN"/>
        </w:rPr>
        <w:t>。</w:t>
      </w:r>
    </w:p>
    <w:p w14:paraId="2D9D801B">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lang w:eastAsia="zh-CN"/>
        </w:rPr>
      </w:pPr>
      <w:r>
        <w:rPr>
          <w:rFonts w:ascii="黑体" w:hAnsi="黑体" w:eastAsia="黑体" w:cs="黑体"/>
          <w:b w:val="0"/>
          <w:bCs w:val="0"/>
        </w:rPr>
        <w:t>三、部门预算绩效</w:t>
      </w:r>
      <w:r>
        <w:rPr>
          <w:rFonts w:hint="eastAsia" w:ascii="黑体" w:hAnsi="黑体" w:eastAsia="黑体" w:cs="黑体"/>
          <w:b w:val="0"/>
          <w:bCs w:val="0"/>
          <w:lang w:eastAsia="zh-CN"/>
        </w:rPr>
        <w:t>分析</w:t>
      </w:r>
    </w:p>
    <w:p w14:paraId="03A11956">
      <w:pPr>
        <w:pageBreakBefore w:val="0"/>
        <w:kinsoku/>
        <w:wordWrap/>
        <w:overflowPunct/>
        <w:topLinePunct w:val="0"/>
        <w:autoSpaceDE/>
        <w:autoSpaceDN/>
        <w:bidi w:val="0"/>
        <w:spacing w:line="576" w:lineRule="exact"/>
        <w:ind w:firstLine="643" w:firstLineChars="200"/>
        <w:textAlignment w:val="auto"/>
        <w:outlineLvl w:val="1"/>
        <w:rPr>
          <w:rStyle w:val="41"/>
          <w:rFonts w:hint="eastAsia" w:ascii="楷体_GB2312" w:hAnsi="楷体_GB2312" w:eastAsia="楷体_GB2312" w:cs="楷体_GB2312"/>
          <w:lang w:val="zh-CN"/>
        </w:rPr>
      </w:pPr>
      <w:r>
        <w:rPr>
          <w:rStyle w:val="41"/>
          <w:rFonts w:hint="eastAsia" w:ascii="楷体_GB2312" w:hAnsi="楷体_GB2312" w:eastAsia="楷体_GB2312" w:cs="楷体_GB2312"/>
        </w:rPr>
        <w:t>（一）</w:t>
      </w:r>
      <w:r>
        <w:rPr>
          <w:rStyle w:val="41"/>
          <w:rFonts w:hint="eastAsia" w:ascii="楷体_GB2312" w:hAnsi="楷体_GB2312" w:eastAsia="楷体_GB2312" w:cs="楷体_GB2312"/>
          <w:lang w:val="zh-CN"/>
        </w:rPr>
        <w:t>部门预算总体绩效分析</w:t>
      </w:r>
    </w:p>
    <w:p w14:paraId="71FD8EA6">
      <w:pPr>
        <w:pageBreakBefore w:val="0"/>
        <w:kinsoku/>
        <w:wordWrap/>
        <w:overflowPunct/>
        <w:topLinePunct w:val="0"/>
        <w:autoSpaceDE/>
        <w:autoSpaceDN/>
        <w:bidi w:val="0"/>
        <w:spacing w:line="576" w:lineRule="exact"/>
        <w:ind w:firstLine="640" w:firstLineChars="200"/>
        <w:textAlignment w:val="auto"/>
        <w:outlineLvl w:val="1"/>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zh-CN" w:eastAsia="zh-CN"/>
        </w:rPr>
        <w:t>1.履职效能。一是做好党的二十大精神的贯彻落实。把学习贯彻党的二十大精神作为一项重要政治任务，</w:t>
      </w:r>
      <w:r>
        <w:rPr>
          <w:rFonts w:hint="eastAsia" w:ascii="Times New Roman" w:hAnsi="Times New Roman" w:eastAsia="仿宋_GB2312" w:cs="Times New Roman"/>
          <w:color w:val="000000"/>
          <w:kern w:val="0"/>
          <w:sz w:val="32"/>
          <w:szCs w:val="32"/>
          <w:shd w:val="clear" w:color="auto" w:fill="FFFFFF"/>
          <w:lang w:val="zh-CN"/>
        </w:rPr>
        <w:t>紧扣机构编制工作主责主业，持续优化完善有关领域职能职责，不断深化重点领域体制机制创新，为“六个茂县”建设贡献力量。二、持续抓好“三定”规定修订和组织实施工作。对部分县直党群机关事业单位沿用多年、部门职责任务发生重大调整的“三定”规定予以修订，实现高效运转。三、健全编制动态调整长效机制。加强对部门履职情况的</w:t>
      </w:r>
      <w:r>
        <w:rPr>
          <w:rFonts w:hint="eastAsia" w:eastAsia="仿宋_GB2312" w:cs="Times New Roman"/>
          <w:color w:val="000000"/>
          <w:kern w:val="0"/>
          <w:sz w:val="32"/>
          <w:szCs w:val="32"/>
          <w:shd w:val="clear" w:color="auto" w:fill="FFFFFF"/>
          <w:lang w:val="zh-CN"/>
        </w:rPr>
        <w:t>评估</w:t>
      </w:r>
      <w:r>
        <w:rPr>
          <w:rFonts w:hint="eastAsia" w:ascii="Times New Roman" w:hAnsi="Times New Roman" w:eastAsia="仿宋_GB2312" w:cs="Times New Roman"/>
          <w:color w:val="000000"/>
          <w:kern w:val="0"/>
          <w:sz w:val="32"/>
          <w:szCs w:val="32"/>
          <w:shd w:val="clear" w:color="auto" w:fill="FFFFFF"/>
          <w:lang w:val="zh-CN"/>
        </w:rPr>
        <w:t>，探索统筹使用各类编制资源的有效途径，推动编制资源动态调整。四、加强机构编制实名制管理。完善机构编制实名制管理系统基础数据台账，提升机构编制统计工作质量。按照省、州统一安排，积极推行“不见面”上下编工作模式。</w:t>
      </w:r>
    </w:p>
    <w:p w14:paraId="7C1E8DB3">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eastAsia="zh-CN"/>
        </w:rPr>
        <w:t>2.预算管理。</w:t>
      </w:r>
      <w:r>
        <w:rPr>
          <w:rFonts w:hint="eastAsia" w:ascii="Times New Roman" w:hAnsi="Times New Roman" w:eastAsia="仿宋_GB2312" w:cs="Times New Roman"/>
          <w:color w:val="000000"/>
          <w:kern w:val="0"/>
          <w:sz w:val="32"/>
          <w:szCs w:val="32"/>
          <w:shd w:val="clear" w:color="auto" w:fill="FFFFFF"/>
          <w:lang w:val="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14:paraId="10439F51">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部门预算的经费按照有关法规进行测算，做到收入合法合规，支出符合财务规定，对每一收支项目进行认真测算。按照“人员经费按标准，公用经费按定额”的要求，对人员支出按在编实有人数核定。 </w:t>
      </w:r>
    </w:p>
    <w:p w14:paraId="67BB378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 3.财务管理。严格执行《政府会计制度》，规范账务处理，会计凭证和财务报告真实完整。加强</w:t>
      </w:r>
      <w:r>
        <w:rPr>
          <w:rFonts w:hint="default" w:ascii="Times New Roman" w:hAnsi="Times New Roman" w:eastAsia="仿宋_GB2312" w:cs="Times New Roman"/>
          <w:color w:val="000000"/>
          <w:kern w:val="0"/>
          <w:sz w:val="32"/>
          <w:szCs w:val="32"/>
          <w:shd w:val="clear" w:color="auto" w:fill="FFFFFF"/>
          <w:lang w:val="zh-CN"/>
        </w:rPr>
        <w:t>“三公”经费管理，严格控制“三公”经费支出。明确一般性支出的开支范围和标准，严格报账审核。公务接待费、差旅费严格按照相关规定执行。</w:t>
      </w:r>
    </w:p>
    <w:p w14:paraId="00906CD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4.</w:t>
      </w:r>
      <w:r>
        <w:rPr>
          <w:rFonts w:ascii="Times New Roman" w:hAnsi="Times New Roman" w:eastAsia="仿宋_GB2312" w:cs="Times New Roman"/>
          <w:color w:val="000000"/>
          <w:kern w:val="0"/>
          <w:sz w:val="32"/>
          <w:szCs w:val="32"/>
          <w:shd w:val="clear" w:color="auto" w:fill="FFFFFF"/>
          <w:lang w:val="zh-CN"/>
        </w:rPr>
        <w:t>资产管理</w:t>
      </w:r>
      <w:r>
        <w:rPr>
          <w:rFonts w:hint="eastAsia" w:ascii="Times New Roman" w:hAnsi="Times New Roman" w:eastAsia="仿宋_GB2312" w:cs="Times New Roman"/>
          <w:color w:val="000000"/>
          <w:kern w:val="0"/>
          <w:sz w:val="32"/>
          <w:szCs w:val="32"/>
          <w:shd w:val="clear" w:color="auto" w:fill="FFFFFF"/>
          <w:lang w:val="zh-CN"/>
        </w:rPr>
        <w:t>。在资产管理方面，坚持谁使用谁保管谁负责的原则，建立台账，各负其责，财务室负责固定资产的日常账务处理，办公室负责台账登记和日常</w:t>
      </w:r>
      <w:r>
        <w:rPr>
          <w:rFonts w:hint="eastAsia" w:ascii="Times New Roman" w:hAnsi="Times New Roman" w:eastAsia="仿宋_GB2312" w:cs="Times New Roman"/>
          <w:color w:val="000000"/>
          <w:kern w:val="0"/>
          <w:sz w:val="32"/>
          <w:szCs w:val="32"/>
          <w:shd w:val="clear" w:color="auto" w:fill="FFFFFF"/>
          <w:lang w:val="zh-CN" w:eastAsia="zh-CN"/>
        </w:rPr>
        <w:t>维修，使资产</w:t>
      </w:r>
      <w:r>
        <w:rPr>
          <w:rFonts w:hint="eastAsia" w:ascii="Times New Roman" w:hAnsi="Times New Roman" w:eastAsia="仿宋_GB2312" w:cs="Times New Roman"/>
          <w:color w:val="000000"/>
          <w:kern w:val="0"/>
          <w:sz w:val="32"/>
          <w:szCs w:val="32"/>
          <w:shd w:val="clear" w:color="auto" w:fill="FFFFFF"/>
          <w:lang w:val="en-US" w:eastAsia="zh-CN"/>
        </w:rPr>
        <w:t>能保障单位工作的正常运转。在办公设备配置上，严格执行电脑</w:t>
      </w:r>
      <w:r>
        <w:rPr>
          <w:rFonts w:hint="eastAsia" w:eastAsia="仿宋_GB2312" w:cs="Times New Roman"/>
          <w:color w:val="000000"/>
          <w:kern w:val="0"/>
          <w:sz w:val="32"/>
          <w:szCs w:val="32"/>
          <w:shd w:val="clear" w:color="auto" w:fill="FFFFFF"/>
          <w:lang w:val="en-US" w:eastAsia="zh-CN"/>
        </w:rPr>
        <w:t>、</w:t>
      </w:r>
      <w:bookmarkStart w:id="61" w:name="_GoBack"/>
      <w:bookmarkEnd w:id="61"/>
      <w:r>
        <w:rPr>
          <w:rFonts w:hint="eastAsia" w:ascii="Times New Roman" w:hAnsi="Times New Roman" w:eastAsia="仿宋_GB2312" w:cs="Times New Roman"/>
          <w:color w:val="000000"/>
          <w:kern w:val="0"/>
          <w:sz w:val="32"/>
          <w:szCs w:val="32"/>
          <w:shd w:val="clear" w:color="auto" w:fill="FFFFFF"/>
          <w:lang w:val="en-US" w:eastAsia="zh-CN"/>
        </w:rPr>
        <w:t>打印机等最低使用年限且年限满后只要维修后能正常使用的我单位都将继续使用，没有超出配置。资产利用率达100%，无闲置资产。</w:t>
      </w:r>
    </w:p>
    <w:p w14:paraId="04B21A5B">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5.</w:t>
      </w:r>
      <w:r>
        <w:rPr>
          <w:rFonts w:ascii="Times New Roman" w:hAnsi="Times New Roman" w:eastAsia="仿宋_GB2312" w:cs="Times New Roman"/>
          <w:color w:val="000000"/>
          <w:kern w:val="0"/>
          <w:sz w:val="32"/>
          <w:szCs w:val="32"/>
          <w:shd w:val="clear" w:color="auto" w:fill="FFFFFF"/>
          <w:lang w:val="zh-CN"/>
        </w:rPr>
        <w:t>采购管理</w:t>
      </w:r>
      <w:r>
        <w:rPr>
          <w:rFonts w:hint="eastAsia" w:ascii="Times New Roman" w:hAnsi="Times New Roman" w:eastAsia="仿宋_GB2312" w:cs="Times New Roman"/>
          <w:color w:val="000000"/>
          <w:kern w:val="0"/>
          <w:sz w:val="32"/>
          <w:szCs w:val="32"/>
          <w:shd w:val="clear" w:color="auto" w:fill="FFFFFF"/>
          <w:lang w:val="zh-CN"/>
        </w:rPr>
        <w:t>。全年按照年初采购预算和工作实际需要，根据《中华人民共和国政府采购法》《中华人民共和国政府采购法实施条例》和政府采购制度等管理规定，坚决按照政府采购程序采购。</w:t>
      </w:r>
    </w:p>
    <w:p w14:paraId="0EABB16B">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Style w:val="41"/>
          <w:rFonts w:hint="eastAsia" w:ascii="楷体_GB2312" w:hAnsi="楷体_GB2312" w:eastAsia="楷体_GB2312" w:cs="楷体_GB2312"/>
          <w:lang w:val="zh-CN"/>
        </w:rPr>
        <w:t>（二）部门预算项目绩效分析</w:t>
      </w:r>
    </w:p>
    <w:p w14:paraId="381F6957">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常年项目绩效分析。</w:t>
      </w:r>
      <w:r>
        <w:rPr>
          <w:rFonts w:hint="eastAsia" w:eastAsia="仿宋_GB2312" w:cs="Times New Roman"/>
          <w:color w:val="000000"/>
          <w:kern w:val="0"/>
          <w:sz w:val="32"/>
          <w:szCs w:val="32"/>
          <w:shd w:val="clear" w:color="auto" w:fill="FFFFFF"/>
          <w:lang w:val="zh-CN"/>
        </w:rPr>
        <w:t>本单位</w:t>
      </w:r>
      <w:r>
        <w:rPr>
          <w:rFonts w:hint="eastAsia" w:eastAsia="仿宋_GB2312" w:cs="Times New Roman"/>
          <w:color w:val="000000"/>
          <w:kern w:val="0"/>
          <w:sz w:val="32"/>
          <w:szCs w:val="32"/>
          <w:shd w:val="clear" w:color="auto" w:fill="FFFFFF"/>
          <w:lang w:val="en-US" w:eastAsia="zh-CN"/>
        </w:rPr>
        <w:t>2024年无</w:t>
      </w:r>
      <w:r>
        <w:rPr>
          <w:rFonts w:ascii="Times New Roman" w:hAnsi="Times New Roman" w:eastAsia="仿宋_GB2312" w:cs="Times New Roman"/>
          <w:color w:val="000000"/>
          <w:kern w:val="0"/>
          <w:sz w:val="32"/>
          <w:szCs w:val="32"/>
          <w:shd w:val="clear" w:color="auto" w:fill="FFFFFF"/>
          <w:lang w:val="zh-CN"/>
        </w:rPr>
        <w:t>该项目</w:t>
      </w:r>
      <w:r>
        <w:rPr>
          <w:rFonts w:hint="eastAsia" w:eastAsia="仿宋_GB2312" w:cs="Times New Roman"/>
          <w:color w:val="000000"/>
          <w:kern w:val="0"/>
          <w:sz w:val="32"/>
          <w:szCs w:val="32"/>
          <w:shd w:val="clear" w:color="auto" w:fill="FFFFFF"/>
          <w:lang w:val="zh-CN"/>
        </w:rPr>
        <w:t>支出。</w:t>
      </w:r>
    </w:p>
    <w:p w14:paraId="4AAA8A59">
      <w:pPr>
        <w:pageBreakBefore w:val="0"/>
        <w:kinsoku/>
        <w:wordWrap/>
        <w:overflowPunct/>
        <w:topLinePunct w:val="0"/>
        <w:autoSpaceDE/>
        <w:autoSpaceDN/>
        <w:bidi w:val="0"/>
        <w:spacing w:line="576" w:lineRule="exact"/>
        <w:ind w:firstLine="643" w:firstLineChars="200"/>
        <w:textAlignment w:val="auto"/>
        <w:outlineLvl w:val="1"/>
        <w:rPr>
          <w:rFonts w:ascii="Times New Roman" w:hAnsi="Times New Roman" w:eastAsia="楷体_GB2312" w:cs="Times New Roman"/>
          <w:b/>
          <w:bCs/>
          <w:color w:val="000000"/>
          <w:kern w:val="0"/>
          <w:sz w:val="32"/>
          <w:szCs w:val="32"/>
          <w:shd w:val="clear" w:color="auto" w:fill="FFFFFF"/>
          <w:lang w:val="zh-CN"/>
        </w:rPr>
      </w:pPr>
      <w:r>
        <w:rPr>
          <w:rStyle w:val="41"/>
          <w:rFonts w:hint="eastAsia" w:ascii="楷体_GB2312" w:hAnsi="楷体_GB2312" w:eastAsia="楷体_GB2312" w:cs="楷体_GB2312"/>
        </w:rPr>
        <w:t>（三）</w:t>
      </w:r>
      <w:r>
        <w:rPr>
          <w:rFonts w:ascii="Times New Roman" w:hAnsi="Times New Roman" w:eastAsia="楷体_GB2312" w:cs="Times New Roman"/>
          <w:b/>
          <w:bCs/>
          <w:color w:val="000000"/>
          <w:kern w:val="0"/>
          <w:sz w:val="32"/>
          <w:szCs w:val="32"/>
          <w:shd w:val="clear" w:color="auto" w:fill="FFFFFF"/>
          <w:lang w:val="zh-CN"/>
        </w:rPr>
        <w:t>重点领域绩效分析</w:t>
      </w:r>
    </w:p>
    <w:p w14:paraId="1A67DF64">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zh-CN"/>
        </w:rPr>
        <w:t>202</w:t>
      </w:r>
      <w:r>
        <w:rPr>
          <w:rFonts w:hint="eastAsia" w:eastAsia="仿宋_GB2312" w:cs="Times New Roman"/>
          <w:color w:val="000000"/>
          <w:kern w:val="0"/>
          <w:sz w:val="32"/>
          <w:szCs w:val="32"/>
          <w:shd w:val="clear" w:color="auto" w:fill="FFFFFF"/>
          <w:lang w:val="en-US" w:eastAsia="zh-CN"/>
        </w:rPr>
        <w:t>4</w:t>
      </w:r>
      <w:r>
        <w:rPr>
          <w:rFonts w:hint="eastAsia" w:ascii="Times New Roman" w:hAnsi="Times New Roman" w:eastAsia="仿宋_GB2312" w:cs="Times New Roman"/>
          <w:color w:val="000000"/>
          <w:kern w:val="0"/>
          <w:sz w:val="32"/>
          <w:szCs w:val="32"/>
          <w:shd w:val="clear" w:color="auto" w:fill="FFFFFF"/>
          <w:lang w:val="zh-CN"/>
        </w:rPr>
        <w:t>年</w:t>
      </w:r>
      <w:r>
        <w:rPr>
          <w:rFonts w:hint="eastAsia" w:ascii="Times New Roman" w:hAnsi="Times New Roman" w:eastAsia="仿宋_GB2312" w:cs="Times New Roman"/>
          <w:color w:val="000000"/>
          <w:kern w:val="0"/>
          <w:sz w:val="32"/>
          <w:szCs w:val="32"/>
          <w:shd w:val="clear" w:color="auto" w:fill="FFFFFF"/>
          <w:lang w:val="zh-CN" w:eastAsia="zh-CN"/>
        </w:rPr>
        <w:t>我</w:t>
      </w:r>
      <w:r>
        <w:rPr>
          <w:rFonts w:hint="eastAsia" w:ascii="Times New Roman" w:hAnsi="Times New Roman" w:eastAsia="仿宋_GB2312" w:cs="Times New Roman"/>
          <w:color w:val="000000"/>
          <w:kern w:val="0"/>
          <w:sz w:val="32"/>
          <w:szCs w:val="32"/>
          <w:shd w:val="clear" w:color="auto" w:fill="FFFFFF"/>
          <w:lang w:val="en-US" w:eastAsia="zh-CN"/>
        </w:rPr>
        <w:t>单位不</w:t>
      </w:r>
      <w:r>
        <w:rPr>
          <w:rFonts w:hint="eastAsia" w:ascii="Times New Roman" w:hAnsi="Times New Roman" w:eastAsia="仿宋_GB2312" w:cs="Times New Roman"/>
          <w:color w:val="000000"/>
          <w:kern w:val="0"/>
          <w:sz w:val="32"/>
          <w:szCs w:val="32"/>
          <w:shd w:val="clear" w:color="auto" w:fill="FFFFFF"/>
          <w:lang w:val="zh-CN"/>
        </w:rPr>
        <w:t>涉及国有资本</w:t>
      </w:r>
      <w:r>
        <w:rPr>
          <w:rFonts w:hint="eastAsia" w:ascii="Times New Roman" w:hAnsi="Times New Roman" w:eastAsia="仿宋_GB2312" w:cs="Times New Roman"/>
          <w:color w:val="000000"/>
          <w:kern w:val="0"/>
          <w:sz w:val="32"/>
          <w:szCs w:val="32"/>
          <w:shd w:val="clear" w:color="auto" w:fill="FFFFFF"/>
          <w:lang w:val="zh-CN" w:eastAsia="zh-CN"/>
        </w:rPr>
        <w:t>，</w:t>
      </w:r>
      <w:r>
        <w:rPr>
          <w:rFonts w:ascii="Times New Roman" w:hAnsi="Times New Roman" w:eastAsia="仿宋_GB2312" w:cs="Times New Roman"/>
          <w:color w:val="000000"/>
          <w:kern w:val="0"/>
          <w:sz w:val="32"/>
          <w:szCs w:val="32"/>
          <w:shd w:val="clear" w:color="auto" w:fill="FFFFFF"/>
          <w:lang w:val="zh-CN"/>
        </w:rPr>
        <w:t>行政事业性国有资产</w:t>
      </w:r>
      <w:r>
        <w:rPr>
          <w:rFonts w:hint="eastAsia" w:ascii="Times New Roman" w:hAnsi="Times New Roman" w:eastAsia="仿宋_GB2312" w:cs="Times New Roman"/>
          <w:color w:val="000000"/>
          <w:kern w:val="0"/>
          <w:sz w:val="32"/>
          <w:szCs w:val="32"/>
          <w:shd w:val="clear" w:color="auto" w:fill="FFFFFF"/>
          <w:lang w:val="en-US" w:eastAsia="zh-CN"/>
        </w:rPr>
        <w:t>利用率达100%，无闲置资产。</w:t>
      </w:r>
    </w:p>
    <w:p w14:paraId="0BD13088">
      <w:pPr>
        <w:pageBreakBefore w:val="0"/>
        <w:numPr>
          <w:ilvl w:val="0"/>
          <w:numId w:val="2"/>
        </w:numPr>
        <w:kinsoku/>
        <w:wordWrap/>
        <w:overflowPunct/>
        <w:topLinePunct w:val="0"/>
        <w:autoSpaceDE/>
        <w:autoSpaceDN/>
        <w:bidi w:val="0"/>
        <w:snapToGrid w:val="0"/>
        <w:spacing w:line="576" w:lineRule="exact"/>
        <w:ind w:left="0" w:leftChars="0" w:firstLine="643" w:firstLineChars="200"/>
        <w:textAlignment w:val="auto"/>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绩效结果应用情况</w:t>
      </w:r>
    </w:p>
    <w:p w14:paraId="69E8747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en-US" w:eastAsia="zh-CN"/>
        </w:rPr>
        <w:t>注重绩效评价结果的运用，对照绩效评价工作中发现的问题，结合绩效评价报告中提出的整改意见，进一步完善预算管理机制，增强支出责任，规范资金使用，强化监督检查，强化财政资金管理水平，提高财政资金使用效益，为预算资金使用效益的提高提供基础保障。</w:t>
      </w:r>
    </w:p>
    <w:p w14:paraId="60D9F38A">
      <w:pPr>
        <w:pageBreakBefore w:val="0"/>
        <w:numPr>
          <w:ilvl w:val="0"/>
          <w:numId w:val="3"/>
        </w:numPr>
        <w:kinsoku/>
        <w:wordWrap/>
        <w:overflowPunct/>
        <w:topLinePunct w:val="0"/>
        <w:autoSpaceDE/>
        <w:autoSpaceDN/>
        <w:bidi w:val="0"/>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评价结论及建议</w:t>
      </w:r>
    </w:p>
    <w:p w14:paraId="688ED7E8">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14:paraId="2459F56F">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202</w:t>
      </w:r>
      <w:r>
        <w:rPr>
          <w:rFonts w:hint="eastAsia" w:eastAsia="仿宋_GB2312" w:cs="Times New Roman"/>
          <w:color w:val="000000"/>
          <w:kern w:val="0"/>
          <w:sz w:val="32"/>
          <w:szCs w:val="32"/>
          <w:shd w:val="clear" w:color="auto" w:fill="FFFFFF"/>
          <w:lang w:val="en-US" w:eastAsia="zh-CN"/>
        </w:rPr>
        <w:t>4</w:t>
      </w:r>
      <w:r>
        <w:rPr>
          <w:rFonts w:hint="eastAsia" w:ascii="Times New Roman" w:hAnsi="Times New Roman" w:eastAsia="仿宋_GB2312" w:cs="Times New Roman"/>
          <w:color w:val="000000"/>
          <w:kern w:val="0"/>
          <w:sz w:val="32"/>
          <w:szCs w:val="32"/>
          <w:shd w:val="clear" w:color="auto" w:fill="FFFFFF"/>
          <w:lang w:val="en-US" w:eastAsia="zh-CN"/>
        </w:rPr>
        <w:t>年部门整体支出绩效自评得分</w:t>
      </w:r>
      <w:r>
        <w:rPr>
          <w:rFonts w:hint="default" w:ascii="Times New Roman" w:hAnsi="Times New Roman" w:eastAsia="仿宋_GB2312" w:cs="Times New Roman"/>
          <w:color w:val="000000"/>
          <w:kern w:val="0"/>
          <w:sz w:val="32"/>
          <w:szCs w:val="32"/>
          <w:shd w:val="clear" w:color="auto" w:fill="FFFFFF"/>
          <w:lang w:val="en-US" w:eastAsia="zh-CN"/>
        </w:rPr>
        <w:t>9</w:t>
      </w:r>
      <w:r>
        <w:rPr>
          <w:rFonts w:hint="eastAsia" w:ascii="Times New Roman" w:hAnsi="Times New Roman" w:eastAsia="仿宋_GB2312" w:cs="Times New Roman"/>
          <w:color w:val="000000"/>
          <w:kern w:val="0"/>
          <w:sz w:val="32"/>
          <w:szCs w:val="32"/>
          <w:shd w:val="clear" w:color="auto" w:fill="FFFFFF"/>
          <w:lang w:val="en-US" w:eastAsia="zh-CN"/>
        </w:rPr>
        <w:t>7</w:t>
      </w:r>
      <w:r>
        <w:rPr>
          <w:rFonts w:hint="default" w:ascii="Times New Roman" w:hAnsi="Times New Roman" w:eastAsia="仿宋_GB2312" w:cs="Times New Roman"/>
          <w:color w:val="000000"/>
          <w:kern w:val="0"/>
          <w:sz w:val="32"/>
          <w:szCs w:val="32"/>
          <w:shd w:val="clear" w:color="auto" w:fill="FFFFFF"/>
          <w:lang w:val="en-US" w:eastAsia="zh-CN"/>
        </w:rPr>
        <w:t>分，部门整体支出运行</w:t>
      </w:r>
      <w:r>
        <w:rPr>
          <w:rFonts w:hint="eastAsia" w:ascii="Times New Roman" w:hAnsi="Times New Roman" w:eastAsia="仿宋_GB2312" w:cs="Times New Roman"/>
          <w:color w:val="000000"/>
          <w:kern w:val="0"/>
          <w:sz w:val="32"/>
          <w:szCs w:val="32"/>
          <w:shd w:val="clear" w:color="auto" w:fill="FFFFFF"/>
          <w:lang w:val="en-US" w:eastAsia="zh-CN"/>
        </w:rPr>
        <w:t>绩效目标完成情况整体良好</w:t>
      </w:r>
      <w:r>
        <w:rPr>
          <w:rFonts w:hint="default" w:ascii="Times New Roman" w:hAnsi="Times New Roman" w:eastAsia="仿宋_GB2312" w:cs="Times New Roman"/>
          <w:color w:val="000000"/>
          <w:kern w:val="0"/>
          <w:sz w:val="32"/>
          <w:szCs w:val="32"/>
          <w:shd w:val="clear" w:color="auto" w:fill="FFFFFF"/>
          <w:lang w:val="en-US" w:eastAsia="zh-CN"/>
        </w:rPr>
        <w:t>。从整体情况来看，我</w:t>
      </w:r>
      <w:r>
        <w:rPr>
          <w:rFonts w:hint="eastAsia" w:ascii="Times New Roman" w:hAnsi="Times New Roman" w:eastAsia="仿宋_GB2312" w:cs="Times New Roman"/>
          <w:color w:val="000000"/>
          <w:kern w:val="0"/>
          <w:sz w:val="32"/>
          <w:szCs w:val="32"/>
          <w:shd w:val="clear" w:color="auto" w:fill="FFFFFF"/>
          <w:lang w:val="en-US" w:eastAsia="zh-CN"/>
        </w:rPr>
        <w:t>单位</w:t>
      </w:r>
      <w:r>
        <w:rPr>
          <w:rFonts w:hint="default" w:ascii="Times New Roman" w:hAnsi="Times New Roman" w:eastAsia="仿宋_GB2312" w:cs="Times New Roman"/>
          <w:color w:val="000000"/>
          <w:kern w:val="0"/>
          <w:sz w:val="32"/>
          <w:szCs w:val="32"/>
          <w:shd w:val="clear" w:color="auto" w:fill="FFFFFF"/>
          <w:lang w:val="en-US" w:eastAsia="zh-CN"/>
        </w:rPr>
        <w:t>在各项资金使用中，能够按照国家相关规定执行和实施，项目的管理、实施和效果均达到预期目标，管理较规范，实施进度快，最终效果好</w:t>
      </w:r>
      <w:r>
        <w:rPr>
          <w:rFonts w:hint="eastAsia" w:ascii="Times New Roman" w:hAnsi="Times New Roman" w:eastAsia="仿宋_GB2312" w:cs="Times New Roman"/>
          <w:color w:val="000000"/>
          <w:kern w:val="0"/>
          <w:sz w:val="32"/>
          <w:szCs w:val="32"/>
          <w:shd w:val="clear" w:color="auto" w:fill="FFFFFF"/>
          <w:lang w:val="en-US" w:eastAsia="zh-CN"/>
        </w:rPr>
        <w:t>。</w:t>
      </w:r>
    </w:p>
    <w:p w14:paraId="55D4CD6E">
      <w:pPr>
        <w:pStyle w:val="4"/>
        <w:pageBreakBefore w:val="0"/>
        <w:kinsoku/>
        <w:wordWrap/>
        <w:overflowPunct/>
        <w:topLinePunct w:val="0"/>
        <w:autoSpaceDE/>
        <w:autoSpaceDN/>
        <w:bidi w:val="0"/>
        <w:spacing w:before="0" w:after="0" w:line="576" w:lineRule="exact"/>
        <w:ind w:firstLine="643" w:firstLineChars="200"/>
        <w:textAlignment w:val="auto"/>
        <w:rPr>
          <w:rFonts w:ascii="楷体_GB2312" w:hAnsi="楷体_GB2312" w:eastAsia="楷体_GB2312" w:cs="楷体_GB2312"/>
        </w:rPr>
      </w:pPr>
      <w:r>
        <w:rPr>
          <w:rFonts w:hint="eastAsia" w:ascii="楷体_GB2312" w:hAnsi="楷体_GB2312" w:eastAsia="楷体_GB2312" w:cs="楷体_GB2312"/>
        </w:rPr>
        <w:t>（二）存在问题</w:t>
      </w:r>
    </w:p>
    <w:p w14:paraId="1824B6F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en-US" w:eastAsia="zh-CN"/>
        </w:rPr>
        <w:t>通过本次自查，我单位个别绩效评价指标不够细致完善。绩效评价方面还有待加强。对部门的绩效评价报告质量还有待提高，绩效指标体系还有待完善，绩效管理工作机制还有待进一步健全。</w:t>
      </w:r>
    </w:p>
    <w:p w14:paraId="0085FD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14:paraId="0FAD58E8">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加强预算绩效管理知识学习，提升预算绩效管理水平。</w:t>
      </w:r>
      <w:r>
        <w:rPr>
          <w:rFonts w:hint="eastAsia" w:ascii="Times New Roman" w:hAnsi="Times New Roman" w:eastAsia="仿宋_GB2312" w:cs="Times New Roman"/>
          <w:color w:val="000000"/>
          <w:kern w:val="0"/>
          <w:sz w:val="32"/>
          <w:szCs w:val="32"/>
          <w:shd w:val="clear" w:color="auto" w:fill="FFFFFF"/>
          <w:lang w:val="en-US" w:eastAsia="zh-CN"/>
        </w:rPr>
        <w:t> </w:t>
      </w:r>
    </w:p>
    <w:p w14:paraId="76242C9E">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69CAF2CB">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7880B06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45BCF6C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24BA13CB">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487299A3">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04500014">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16F536EC">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411A95F4">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6BA11283">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2FF64090">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5FA7A402">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423B540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0B4B5404">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24742A47">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6A3FD746">
      <w:pPr>
        <w:pStyle w:val="23"/>
        <w:pageBreakBefore w:val="0"/>
        <w:kinsoku/>
        <w:wordWrap/>
        <w:overflowPunct/>
        <w:topLinePunct w:val="0"/>
        <w:autoSpaceDE/>
        <w:autoSpaceDN/>
        <w:bidi w:val="0"/>
        <w:spacing w:line="576" w:lineRule="exact"/>
        <w:jc w:val="both"/>
        <w:textAlignment w:val="auto"/>
        <w:rPr>
          <w:rFonts w:ascii="仿宋_GB2312" w:hAnsi="仿宋_GB2312" w:eastAsia="仿宋_GB2312" w:cs="仿宋_GB2312"/>
        </w:rPr>
      </w:pPr>
    </w:p>
    <w:p w14:paraId="7C591D72">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w:t>
      </w:r>
      <w:r>
        <w:rPr>
          <w:rFonts w:hint="eastAsia" w:cs="Times New Roman"/>
          <w:color w:val="auto"/>
          <w:sz w:val="32"/>
          <w:szCs w:val="32"/>
          <w:highlight w:val="none"/>
          <w:lang w:val="en-US" w:eastAsia="zh-CN"/>
        </w:rPr>
        <w:t>4</w:t>
      </w:r>
      <w:r>
        <w:rPr>
          <w:rFonts w:hint="eastAsia" w:hAnsi="Times New Roman" w:cs="Times New Roman"/>
          <w:color w:val="auto"/>
          <w:sz w:val="32"/>
          <w:szCs w:val="32"/>
          <w:highlight w:val="none"/>
          <w:lang w:val="en-US" w:eastAsia="zh-CN"/>
        </w:rPr>
        <w:t>年度）</w:t>
      </w:r>
    </w:p>
    <w:tbl>
      <w:tblPr>
        <w:tblStyle w:val="24"/>
        <w:tblpPr w:leftFromText="180" w:rightFromText="180" w:vertAnchor="text" w:horzAnchor="page" w:tblpX="504" w:tblpY="619"/>
        <w:tblOverlap w:val="never"/>
        <w:tblW w:w="110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1845"/>
        <w:gridCol w:w="1215"/>
        <w:gridCol w:w="1245"/>
        <w:gridCol w:w="525"/>
        <w:gridCol w:w="630"/>
        <w:gridCol w:w="840"/>
        <w:gridCol w:w="1095"/>
        <w:gridCol w:w="510"/>
        <w:gridCol w:w="450"/>
        <w:gridCol w:w="2133"/>
      </w:tblGrid>
      <w:tr w14:paraId="6626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70133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0C1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A8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02DB1B">
            <w:pPr>
              <w:rPr>
                <w:rFonts w:hint="eastAsia" w:ascii="宋体" w:hAnsi="宋体" w:eastAsia="宋体" w:cs="宋体"/>
                <w:i w:val="0"/>
                <w:iCs w:val="0"/>
                <w:color w:val="000000"/>
                <w:sz w:val="18"/>
                <w:szCs w:val="18"/>
                <w:u w:val="none"/>
              </w:rPr>
            </w:pPr>
          </w:p>
        </w:tc>
      </w:tr>
      <w:tr w14:paraId="22F4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84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FDFBF">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016563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92AD7">
            <w:pPr>
              <w:jc w:val="center"/>
              <w:rPr>
                <w:rFonts w:hint="eastAsia" w:ascii="宋体" w:hAnsi="宋体" w:eastAsia="宋体" w:cs="宋体"/>
                <w:i w:val="0"/>
                <w:iCs w:val="0"/>
                <w:color w:val="000000"/>
                <w:sz w:val="18"/>
                <w:szCs w:val="18"/>
                <w:u w:val="none"/>
              </w:rPr>
            </w:pPr>
          </w:p>
        </w:tc>
      </w:tr>
      <w:tr w14:paraId="46218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8F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1F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306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BB8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BAA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9B043">
            <w:pP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86E53">
            <w:pPr>
              <w:rPr>
                <w:rFonts w:hint="eastAsia" w:ascii="宋体" w:hAnsi="宋体" w:eastAsia="宋体" w:cs="宋体"/>
                <w:i w:val="0"/>
                <w:iCs w:val="0"/>
                <w:color w:val="000000"/>
                <w:sz w:val="18"/>
                <w:szCs w:val="18"/>
                <w:u w:val="none"/>
              </w:rPr>
            </w:pP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161FE">
            <w:pPr>
              <w:rPr>
                <w:rFonts w:hint="eastAsia" w:ascii="宋体" w:hAnsi="宋体" w:eastAsia="宋体" w:cs="宋体"/>
                <w:i w:val="0"/>
                <w:iCs w:val="0"/>
                <w:color w:val="000000"/>
                <w:sz w:val="18"/>
                <w:szCs w:val="18"/>
                <w:u w:val="none"/>
              </w:rPr>
            </w:pP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F8B0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D77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E5519">
            <w:pP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9BF937">
            <w:pPr>
              <w:rPr>
                <w:rFonts w:hint="eastAsia" w:ascii="宋体" w:hAnsi="宋体" w:eastAsia="宋体" w:cs="宋体"/>
                <w:i w:val="0"/>
                <w:iCs w:val="0"/>
                <w:color w:val="000000"/>
                <w:sz w:val="18"/>
                <w:szCs w:val="18"/>
                <w:u w:val="none"/>
              </w:rPr>
            </w:pPr>
          </w:p>
        </w:tc>
      </w:tr>
      <w:tr w14:paraId="2B7B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9C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2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7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76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2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C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C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1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EC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D9D10">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5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3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AC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F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A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5C28">
            <w:pPr>
              <w:jc w:val="center"/>
              <w:rPr>
                <w:rFonts w:hint="eastAsia" w:ascii="宋体" w:hAnsi="宋体" w:eastAsia="宋体" w:cs="宋体"/>
                <w:i w:val="0"/>
                <w:iCs w:val="0"/>
                <w:color w:val="000000"/>
                <w:sz w:val="18"/>
                <w:szCs w:val="18"/>
                <w:u w:val="none"/>
              </w:rPr>
            </w:pPr>
          </w:p>
        </w:tc>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9B3B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753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B443">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3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E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638D">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C089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9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9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7E908">
            <w:pPr>
              <w:rPr>
                <w:rFonts w:hint="eastAsia" w:ascii="黑体" w:hAnsi="黑体" w:eastAsia="黑体" w:cs="黑体"/>
                <w:i/>
                <w:iCs/>
                <w:color w:val="000000"/>
                <w:sz w:val="18"/>
                <w:szCs w:val="18"/>
                <w:u w:val="none"/>
              </w:rPr>
            </w:pPr>
          </w:p>
        </w:tc>
      </w:tr>
      <w:tr w14:paraId="1331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A6D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E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4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C6F1">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A99E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F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D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E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60E51">
            <w:pPr>
              <w:rPr>
                <w:rFonts w:hint="eastAsia" w:ascii="黑体" w:hAnsi="黑体" w:eastAsia="黑体" w:cs="黑体"/>
                <w:i/>
                <w:iCs/>
                <w:color w:val="000000"/>
                <w:sz w:val="18"/>
                <w:szCs w:val="18"/>
                <w:u w:val="none"/>
              </w:rPr>
            </w:pPr>
          </w:p>
        </w:tc>
      </w:tr>
      <w:tr w14:paraId="40F5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7916">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C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8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B90A">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73BF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8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3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D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FABD4">
            <w:pPr>
              <w:rPr>
                <w:rFonts w:hint="eastAsia" w:ascii="黑体" w:hAnsi="黑体" w:eastAsia="黑体" w:cs="黑体"/>
                <w:i/>
                <w:iCs/>
                <w:color w:val="000000"/>
                <w:sz w:val="18"/>
                <w:szCs w:val="18"/>
                <w:u w:val="none"/>
              </w:rPr>
            </w:pPr>
          </w:p>
        </w:tc>
      </w:tr>
      <w:tr w14:paraId="4972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E68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6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B27C">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1CB8">
            <w:pPr>
              <w:jc w:val="center"/>
              <w:rPr>
                <w:rFonts w:hint="eastAsia" w:ascii="微软雅黑" w:hAnsi="微软雅黑" w:eastAsia="微软雅黑" w:cs="微软雅黑"/>
                <w:i/>
                <w:iCs/>
                <w:color w:val="000000"/>
                <w:sz w:val="16"/>
                <w:szCs w:val="16"/>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F59D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5C1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2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6D38B">
            <w:pPr>
              <w:rPr>
                <w:rFonts w:hint="eastAsia" w:ascii="黑体" w:hAnsi="黑体" w:eastAsia="黑体" w:cs="黑体"/>
                <w:i/>
                <w:iCs/>
                <w:color w:val="000000"/>
                <w:sz w:val="18"/>
                <w:szCs w:val="18"/>
                <w:u w:val="none"/>
              </w:rPr>
            </w:pPr>
          </w:p>
        </w:tc>
      </w:tr>
      <w:tr w14:paraId="0280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5A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0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9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4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E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D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3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1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2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266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D7258">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1ACB">
            <w:pPr>
              <w:jc w:val="cente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D305">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67E4">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3F2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829">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45A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A54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6BEF">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18EA">
            <w:pPr>
              <w:jc w:val="cente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B6A7">
            <w:pPr>
              <w:jc w:val="center"/>
              <w:rPr>
                <w:rFonts w:hint="eastAsia" w:ascii="微软雅黑" w:hAnsi="微软雅黑" w:eastAsia="微软雅黑" w:cs="微软雅黑"/>
                <w:i/>
                <w:iCs/>
                <w:color w:val="000000"/>
                <w:sz w:val="16"/>
                <w:szCs w:val="16"/>
                <w:u w:val="none"/>
              </w:rPr>
            </w:pPr>
          </w:p>
        </w:tc>
      </w:tr>
      <w:tr w14:paraId="7D30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5C3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4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FF0A">
            <w:pP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0E27">
            <w:pPr>
              <w:rPr>
                <w:rFonts w:hint="eastAsia" w:ascii="宋体" w:hAnsi="宋体" w:eastAsia="宋体" w:cs="宋体"/>
                <w:i w:val="0"/>
                <w:iCs w:val="0"/>
                <w:color w:val="000000"/>
                <w:sz w:val="18"/>
                <w:szCs w:val="18"/>
                <w:u w:val="none"/>
              </w:rPr>
            </w:pPr>
          </w:p>
        </w:tc>
      </w:tr>
      <w:tr w14:paraId="3E06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6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7B8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26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F55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10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E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CAC2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38C2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FCD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6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C65B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bookmarkEnd w:id="42"/>
    </w:tbl>
    <w:p w14:paraId="2D265B88">
      <w:pPr>
        <w:pageBreakBefore w:val="0"/>
        <w:kinsoku/>
        <w:wordWrap/>
        <w:overflowPunct/>
        <w:topLinePunct w:val="0"/>
        <w:bidi w:val="0"/>
        <w:spacing w:line="576" w:lineRule="exact"/>
        <w:jc w:val="both"/>
        <w:textAlignment w:val="auto"/>
        <w:outlineLvl w:val="0"/>
        <w:rPr>
          <w:rFonts w:hint="eastAsia" w:ascii="黑体" w:hAnsi="Times New Roman" w:eastAsia="黑体" w:cs="Times New Roman"/>
          <w:color w:val="000000"/>
          <w:sz w:val="44"/>
          <w:szCs w:val="44"/>
        </w:rPr>
      </w:pPr>
      <w:bookmarkStart w:id="47" w:name="_Toc7045"/>
    </w:p>
    <w:p w14:paraId="6F7C7751">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p>
    <w:p w14:paraId="63597415">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p>
    <w:p w14:paraId="5539BC0B">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47"/>
    </w:p>
    <w:p w14:paraId="4874F8A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8" w:name="_Toc28912"/>
      <w:r>
        <w:rPr>
          <w:rFonts w:hint="eastAsia" w:ascii="仿宋" w:hAnsi="Cambria" w:eastAsia="仿宋" w:cs="Times New Roman"/>
          <w:b w:val="0"/>
          <w:color w:val="000000"/>
          <w:kern w:val="2"/>
          <w:sz w:val="32"/>
          <w:szCs w:val="32"/>
          <w:lang w:bidi="ar-SA"/>
        </w:rPr>
        <w:t>一、收入支出决算总表</w:t>
      </w:r>
      <w:bookmarkEnd w:id="48"/>
    </w:p>
    <w:p w14:paraId="090E18E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9" w:name="_Toc15691"/>
      <w:r>
        <w:rPr>
          <w:rFonts w:hint="eastAsia" w:ascii="仿宋" w:hAnsi="Cambria" w:eastAsia="仿宋" w:cs="Times New Roman"/>
          <w:b w:val="0"/>
          <w:color w:val="000000"/>
          <w:kern w:val="2"/>
          <w:sz w:val="32"/>
          <w:szCs w:val="32"/>
          <w:lang w:bidi="ar-SA"/>
        </w:rPr>
        <w:t>二、收入决算表</w:t>
      </w:r>
      <w:bookmarkEnd w:id="49"/>
    </w:p>
    <w:p w14:paraId="5EAF9DD9">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0" w:name="_Toc11856"/>
      <w:r>
        <w:rPr>
          <w:rFonts w:hint="eastAsia" w:ascii="仿宋" w:hAnsi="Cambria" w:eastAsia="仿宋" w:cs="Times New Roman"/>
          <w:b w:val="0"/>
          <w:color w:val="000000"/>
          <w:kern w:val="2"/>
          <w:sz w:val="32"/>
          <w:szCs w:val="32"/>
          <w:lang w:bidi="ar-SA"/>
        </w:rPr>
        <w:t>三、支出决算表</w:t>
      </w:r>
      <w:bookmarkEnd w:id="50"/>
    </w:p>
    <w:p w14:paraId="1C28BBE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1" w:name="_Toc25907"/>
      <w:r>
        <w:rPr>
          <w:rFonts w:hint="eastAsia" w:ascii="仿宋" w:hAnsi="Cambria" w:eastAsia="仿宋" w:cs="Times New Roman"/>
          <w:b w:val="0"/>
          <w:color w:val="000000"/>
          <w:kern w:val="2"/>
          <w:sz w:val="32"/>
          <w:szCs w:val="32"/>
          <w:lang w:bidi="ar-SA"/>
        </w:rPr>
        <w:t>四、财政拨款收入支出决算总表</w:t>
      </w:r>
      <w:bookmarkEnd w:id="51"/>
    </w:p>
    <w:p w14:paraId="10CC007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5912"/>
      <w:r>
        <w:rPr>
          <w:rFonts w:hint="eastAsia" w:ascii="仿宋" w:hAnsi="Cambria" w:eastAsia="仿宋" w:cs="Times New Roman"/>
          <w:b w:val="0"/>
          <w:color w:val="000000"/>
          <w:kern w:val="2"/>
          <w:sz w:val="32"/>
          <w:szCs w:val="32"/>
          <w:lang w:bidi="ar-SA"/>
        </w:rPr>
        <w:t>五、财政拨款支出决算明细表</w:t>
      </w:r>
      <w:bookmarkEnd w:id="52"/>
    </w:p>
    <w:p w14:paraId="43B2CAD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10267"/>
      <w:r>
        <w:rPr>
          <w:rFonts w:hint="eastAsia" w:ascii="仿宋" w:hAnsi="Cambria" w:eastAsia="仿宋" w:cs="Times New Roman"/>
          <w:b w:val="0"/>
          <w:color w:val="000000"/>
          <w:kern w:val="2"/>
          <w:sz w:val="32"/>
          <w:szCs w:val="32"/>
          <w:lang w:bidi="ar-SA"/>
        </w:rPr>
        <w:t>六、一般公共预算财政拨款支出决算表</w:t>
      </w:r>
      <w:bookmarkEnd w:id="53"/>
    </w:p>
    <w:p w14:paraId="3B8C9A5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703"/>
      <w:r>
        <w:rPr>
          <w:rFonts w:hint="eastAsia" w:ascii="仿宋" w:hAnsi="Cambria" w:eastAsia="仿宋" w:cs="Times New Roman"/>
          <w:b w:val="0"/>
          <w:color w:val="000000"/>
          <w:kern w:val="2"/>
          <w:sz w:val="32"/>
          <w:szCs w:val="32"/>
          <w:lang w:bidi="ar-SA"/>
        </w:rPr>
        <w:t>七、一般公共预算财政拨款支出决算明细表</w:t>
      </w:r>
      <w:bookmarkEnd w:id="54"/>
    </w:p>
    <w:p w14:paraId="3E4930D0">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164"/>
      <w:r>
        <w:rPr>
          <w:rFonts w:hint="eastAsia" w:ascii="仿宋" w:hAnsi="Cambria" w:eastAsia="仿宋" w:cs="Times New Roman"/>
          <w:b w:val="0"/>
          <w:color w:val="000000"/>
          <w:kern w:val="2"/>
          <w:sz w:val="32"/>
          <w:szCs w:val="32"/>
          <w:lang w:bidi="ar-SA"/>
        </w:rPr>
        <w:t>八、一般公共预算财政拨款基本支出决算表</w:t>
      </w:r>
      <w:bookmarkEnd w:id="55"/>
    </w:p>
    <w:p w14:paraId="046F5E6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30827"/>
      <w:r>
        <w:rPr>
          <w:rFonts w:hint="eastAsia" w:ascii="仿宋" w:hAnsi="Cambria" w:eastAsia="仿宋" w:cs="Times New Roman"/>
          <w:b w:val="0"/>
          <w:color w:val="000000"/>
          <w:kern w:val="2"/>
          <w:sz w:val="32"/>
          <w:szCs w:val="32"/>
          <w:lang w:bidi="ar-SA"/>
        </w:rPr>
        <w:t>九、一般公共预算财政拨款项目支出决算表</w:t>
      </w:r>
      <w:bookmarkEnd w:id="56"/>
    </w:p>
    <w:p w14:paraId="1007B8B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26030"/>
      <w:r>
        <w:rPr>
          <w:rFonts w:hint="eastAsia" w:ascii="仿宋" w:hAnsi="Cambria" w:eastAsia="仿宋" w:cs="Times New Roman"/>
          <w:b w:val="0"/>
          <w:color w:val="000000"/>
          <w:kern w:val="2"/>
          <w:sz w:val="32"/>
          <w:szCs w:val="32"/>
          <w:lang w:bidi="ar-SA"/>
        </w:rPr>
        <w:t>十、政府性基金预算财政拨款收入支出决算表</w:t>
      </w:r>
      <w:bookmarkEnd w:id="57"/>
    </w:p>
    <w:p w14:paraId="61F893CF">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25909"/>
      <w:r>
        <w:rPr>
          <w:rFonts w:hint="eastAsia" w:ascii="仿宋" w:hAnsi="Cambria" w:eastAsia="仿宋" w:cs="Times New Roman"/>
          <w:b w:val="0"/>
          <w:color w:val="000000"/>
          <w:kern w:val="2"/>
          <w:sz w:val="32"/>
          <w:szCs w:val="32"/>
          <w:lang w:bidi="ar-SA"/>
        </w:rPr>
        <w:t>十一、国有资本经营预算财政拨款收入支出决算表</w:t>
      </w:r>
      <w:bookmarkEnd w:id="58"/>
    </w:p>
    <w:p w14:paraId="034EA27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7357"/>
      <w:r>
        <w:rPr>
          <w:rFonts w:hint="eastAsia" w:ascii="仿宋" w:hAnsi="Cambria" w:eastAsia="仿宋" w:cs="Times New Roman"/>
          <w:b w:val="0"/>
          <w:color w:val="000000"/>
          <w:kern w:val="2"/>
          <w:sz w:val="32"/>
          <w:szCs w:val="32"/>
          <w:lang w:bidi="ar-SA"/>
        </w:rPr>
        <w:t>十二、国有资本经营预算财政拨款支出决算表</w:t>
      </w:r>
      <w:bookmarkEnd w:id="59"/>
    </w:p>
    <w:p w14:paraId="458C0D2A">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32413"/>
      <w:r>
        <w:rPr>
          <w:rFonts w:hint="eastAsia" w:ascii="仿宋" w:hAnsi="Cambria" w:eastAsia="仿宋" w:cs="Times New Roman"/>
          <w:b w:val="0"/>
          <w:color w:val="000000"/>
          <w:kern w:val="2"/>
          <w:sz w:val="32"/>
          <w:szCs w:val="32"/>
          <w:lang w:bidi="ar-SA"/>
        </w:rPr>
        <w:t>十三、财政拨款“三公”经费支出决算表</w:t>
      </w:r>
      <w:bookmarkEnd w:id="60"/>
    </w:p>
    <w:p w14:paraId="01159D39"/>
    <w:p w14:paraId="119D7FE2"/>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28EF">
    <w:pPr>
      <w:pStyle w:val="13"/>
      <w:jc w:val="center"/>
    </w:pPr>
    <w:r>
      <w:fldChar w:fldCharType="begin"/>
    </w:r>
    <w:r>
      <w:instrText xml:space="preserve">PAGE   \* MERGEFORMAT</w:instrText>
    </w:r>
    <w:r>
      <w:fldChar w:fldCharType="separate"/>
    </w:r>
    <w:r>
      <w:t>12</w:t>
    </w:r>
    <w:r>
      <w:fldChar w:fldCharType="end"/>
    </w:r>
  </w:p>
  <w:p w14:paraId="625486A2">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CC6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B3865"/>
    <w:multiLevelType w:val="singleLevel"/>
    <w:tmpl w:val="AB0B3865"/>
    <w:lvl w:ilvl="0" w:tentative="0">
      <w:start w:val="3"/>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24B5D28C"/>
    <w:multiLevelType w:val="singleLevel"/>
    <w:tmpl w:val="24B5D28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461"/>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4E85"/>
    <w:rsid w:val="001F7506"/>
    <w:rsid w:val="002006CD"/>
    <w:rsid w:val="00202B36"/>
    <w:rsid w:val="00204B7A"/>
    <w:rsid w:val="00204CDE"/>
    <w:rsid w:val="0021101A"/>
    <w:rsid w:val="00220536"/>
    <w:rsid w:val="00235629"/>
    <w:rsid w:val="00244D22"/>
    <w:rsid w:val="00256262"/>
    <w:rsid w:val="00260C38"/>
    <w:rsid w:val="002616C0"/>
    <w:rsid w:val="00265372"/>
    <w:rsid w:val="002662AA"/>
    <w:rsid w:val="0027224D"/>
    <w:rsid w:val="00280496"/>
    <w:rsid w:val="002924FD"/>
    <w:rsid w:val="00294DC9"/>
    <w:rsid w:val="00295495"/>
    <w:rsid w:val="002A31DE"/>
    <w:rsid w:val="002B2613"/>
    <w:rsid w:val="002B723E"/>
    <w:rsid w:val="002D6D05"/>
    <w:rsid w:val="002D762D"/>
    <w:rsid w:val="002F1818"/>
    <w:rsid w:val="002F567B"/>
    <w:rsid w:val="00306858"/>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1607"/>
    <w:rsid w:val="00406254"/>
    <w:rsid w:val="004223DE"/>
    <w:rsid w:val="0042273C"/>
    <w:rsid w:val="00423FD7"/>
    <w:rsid w:val="00434489"/>
    <w:rsid w:val="00437085"/>
    <w:rsid w:val="00443880"/>
    <w:rsid w:val="00445607"/>
    <w:rsid w:val="004464F4"/>
    <w:rsid w:val="00471401"/>
    <w:rsid w:val="00471E6C"/>
    <w:rsid w:val="00473F31"/>
    <w:rsid w:val="0048263A"/>
    <w:rsid w:val="00484C35"/>
    <w:rsid w:val="00487E5D"/>
    <w:rsid w:val="004A711F"/>
    <w:rsid w:val="004B199D"/>
    <w:rsid w:val="004B4690"/>
    <w:rsid w:val="004D02D1"/>
    <w:rsid w:val="004D04B9"/>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05328"/>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246C"/>
    <w:rsid w:val="008253BB"/>
    <w:rsid w:val="0083706E"/>
    <w:rsid w:val="008408F6"/>
    <w:rsid w:val="008423A5"/>
    <w:rsid w:val="00850625"/>
    <w:rsid w:val="0085066D"/>
    <w:rsid w:val="00853718"/>
    <w:rsid w:val="00855221"/>
    <w:rsid w:val="00860645"/>
    <w:rsid w:val="00871F71"/>
    <w:rsid w:val="00872FD8"/>
    <w:rsid w:val="00883836"/>
    <w:rsid w:val="00885AF4"/>
    <w:rsid w:val="0088763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1ACF"/>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4E5E"/>
    <w:rsid w:val="00B011E4"/>
    <w:rsid w:val="00B03C9D"/>
    <w:rsid w:val="00B060AE"/>
    <w:rsid w:val="00B10517"/>
    <w:rsid w:val="00B134EC"/>
    <w:rsid w:val="00B14E76"/>
    <w:rsid w:val="00B161B8"/>
    <w:rsid w:val="00B2048C"/>
    <w:rsid w:val="00B26A18"/>
    <w:rsid w:val="00B310B9"/>
    <w:rsid w:val="00B34006"/>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04C62"/>
    <w:rsid w:val="00C33E72"/>
    <w:rsid w:val="00C354B2"/>
    <w:rsid w:val="00C35554"/>
    <w:rsid w:val="00C42709"/>
    <w:rsid w:val="00C533CC"/>
    <w:rsid w:val="00C5751C"/>
    <w:rsid w:val="00C61BFC"/>
    <w:rsid w:val="00C61ECA"/>
    <w:rsid w:val="00C62B85"/>
    <w:rsid w:val="00C65438"/>
    <w:rsid w:val="00C87FD8"/>
    <w:rsid w:val="00C91381"/>
    <w:rsid w:val="00C91CBB"/>
    <w:rsid w:val="00C91D96"/>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2267"/>
    <w:rsid w:val="00E825DB"/>
    <w:rsid w:val="00E853CE"/>
    <w:rsid w:val="00E8567B"/>
    <w:rsid w:val="00E867B6"/>
    <w:rsid w:val="00EA010F"/>
    <w:rsid w:val="00EA68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52A4"/>
    <w:rsid w:val="00FC1AD8"/>
    <w:rsid w:val="00FC2607"/>
    <w:rsid w:val="00FD3CC1"/>
    <w:rsid w:val="00FE553C"/>
    <w:rsid w:val="00FF1E02"/>
    <w:rsid w:val="00FF30B4"/>
    <w:rsid w:val="013730A5"/>
    <w:rsid w:val="013B4DBA"/>
    <w:rsid w:val="019E74C5"/>
    <w:rsid w:val="01CB1346"/>
    <w:rsid w:val="01F3521E"/>
    <w:rsid w:val="02E237DF"/>
    <w:rsid w:val="02EA1AA6"/>
    <w:rsid w:val="03D1333D"/>
    <w:rsid w:val="03F129D0"/>
    <w:rsid w:val="04930218"/>
    <w:rsid w:val="04E71B7F"/>
    <w:rsid w:val="04E86B91"/>
    <w:rsid w:val="058B111D"/>
    <w:rsid w:val="061B054F"/>
    <w:rsid w:val="063107D8"/>
    <w:rsid w:val="06B32D73"/>
    <w:rsid w:val="07681A52"/>
    <w:rsid w:val="09376339"/>
    <w:rsid w:val="0A1A225A"/>
    <w:rsid w:val="0A2032A3"/>
    <w:rsid w:val="0A736F6D"/>
    <w:rsid w:val="10C055FF"/>
    <w:rsid w:val="118107EC"/>
    <w:rsid w:val="11FC5F65"/>
    <w:rsid w:val="12740C7C"/>
    <w:rsid w:val="13C02977"/>
    <w:rsid w:val="1628756B"/>
    <w:rsid w:val="16547CE8"/>
    <w:rsid w:val="16BB723D"/>
    <w:rsid w:val="16E42F30"/>
    <w:rsid w:val="17C96E8C"/>
    <w:rsid w:val="189B292C"/>
    <w:rsid w:val="19A908A7"/>
    <w:rsid w:val="1A7F369B"/>
    <w:rsid w:val="1B391A9C"/>
    <w:rsid w:val="1B4F155D"/>
    <w:rsid w:val="1BB47375"/>
    <w:rsid w:val="1D155CEE"/>
    <w:rsid w:val="1E90049B"/>
    <w:rsid w:val="1F7D7088"/>
    <w:rsid w:val="1F9F4D6C"/>
    <w:rsid w:val="21A77CC7"/>
    <w:rsid w:val="22196184"/>
    <w:rsid w:val="223E5BEA"/>
    <w:rsid w:val="227839A9"/>
    <w:rsid w:val="2312721A"/>
    <w:rsid w:val="233F60BE"/>
    <w:rsid w:val="23446EF2"/>
    <w:rsid w:val="240371BF"/>
    <w:rsid w:val="264552AC"/>
    <w:rsid w:val="26972D05"/>
    <w:rsid w:val="26FC6074"/>
    <w:rsid w:val="2834158B"/>
    <w:rsid w:val="289F315B"/>
    <w:rsid w:val="29CD4421"/>
    <w:rsid w:val="29FD04D3"/>
    <w:rsid w:val="2A1C3D55"/>
    <w:rsid w:val="2AE45A08"/>
    <w:rsid w:val="2BCA6741"/>
    <w:rsid w:val="2D572256"/>
    <w:rsid w:val="2D6230D5"/>
    <w:rsid w:val="2D8F19F0"/>
    <w:rsid w:val="2E7035CF"/>
    <w:rsid w:val="2EEE52C5"/>
    <w:rsid w:val="2F8A06C1"/>
    <w:rsid w:val="2FCF07C9"/>
    <w:rsid w:val="31175F84"/>
    <w:rsid w:val="312B37AD"/>
    <w:rsid w:val="319F7F4E"/>
    <w:rsid w:val="31E85B72"/>
    <w:rsid w:val="3215658C"/>
    <w:rsid w:val="32DF2AD1"/>
    <w:rsid w:val="32FA790B"/>
    <w:rsid w:val="3358176D"/>
    <w:rsid w:val="34202FEC"/>
    <w:rsid w:val="345901E0"/>
    <w:rsid w:val="351A54EA"/>
    <w:rsid w:val="358636D8"/>
    <w:rsid w:val="373D070E"/>
    <w:rsid w:val="377601E8"/>
    <w:rsid w:val="37B7401D"/>
    <w:rsid w:val="381C6576"/>
    <w:rsid w:val="38284FA4"/>
    <w:rsid w:val="390A4620"/>
    <w:rsid w:val="39721065"/>
    <w:rsid w:val="399726C0"/>
    <w:rsid w:val="399860D0"/>
    <w:rsid w:val="3A126E8D"/>
    <w:rsid w:val="3B131A81"/>
    <w:rsid w:val="3B983D0A"/>
    <w:rsid w:val="3BBD3BCC"/>
    <w:rsid w:val="3C2C4CF9"/>
    <w:rsid w:val="3D227CD9"/>
    <w:rsid w:val="3EB56DDC"/>
    <w:rsid w:val="3F0D4532"/>
    <w:rsid w:val="40E77DF5"/>
    <w:rsid w:val="40EB0D07"/>
    <w:rsid w:val="41807B75"/>
    <w:rsid w:val="42416A88"/>
    <w:rsid w:val="42723962"/>
    <w:rsid w:val="428B67D2"/>
    <w:rsid w:val="441A635D"/>
    <w:rsid w:val="464078D3"/>
    <w:rsid w:val="47883F28"/>
    <w:rsid w:val="47C63E08"/>
    <w:rsid w:val="48A15CA6"/>
    <w:rsid w:val="49802948"/>
    <w:rsid w:val="4A225C6E"/>
    <w:rsid w:val="4A30697C"/>
    <w:rsid w:val="4B6401D6"/>
    <w:rsid w:val="4B700C5B"/>
    <w:rsid w:val="4C2F01CE"/>
    <w:rsid w:val="4C516396"/>
    <w:rsid w:val="4C6043D0"/>
    <w:rsid w:val="4CA06C53"/>
    <w:rsid w:val="4CAD0A4B"/>
    <w:rsid w:val="4ECE2238"/>
    <w:rsid w:val="4F5D2E49"/>
    <w:rsid w:val="50C106B1"/>
    <w:rsid w:val="514A7858"/>
    <w:rsid w:val="51960CEF"/>
    <w:rsid w:val="525717A0"/>
    <w:rsid w:val="52746B52"/>
    <w:rsid w:val="52A645C6"/>
    <w:rsid w:val="52C75604"/>
    <w:rsid w:val="52F26DF3"/>
    <w:rsid w:val="53480987"/>
    <w:rsid w:val="53E755F7"/>
    <w:rsid w:val="545A34B3"/>
    <w:rsid w:val="54F77CF7"/>
    <w:rsid w:val="560E52F8"/>
    <w:rsid w:val="57902C01"/>
    <w:rsid w:val="58D9764A"/>
    <w:rsid w:val="5A112174"/>
    <w:rsid w:val="5B092C41"/>
    <w:rsid w:val="5BDC543A"/>
    <w:rsid w:val="5BFC5BF3"/>
    <w:rsid w:val="5D3F048D"/>
    <w:rsid w:val="5D577585"/>
    <w:rsid w:val="5DC82230"/>
    <w:rsid w:val="5F9C5723"/>
    <w:rsid w:val="60912DAE"/>
    <w:rsid w:val="610E43FE"/>
    <w:rsid w:val="61A84853"/>
    <w:rsid w:val="61E621C0"/>
    <w:rsid w:val="62500A46"/>
    <w:rsid w:val="625422E5"/>
    <w:rsid w:val="63916DA4"/>
    <w:rsid w:val="649E018F"/>
    <w:rsid w:val="656D5001"/>
    <w:rsid w:val="6640375F"/>
    <w:rsid w:val="67FD192F"/>
    <w:rsid w:val="6A2829D5"/>
    <w:rsid w:val="6B9A78F3"/>
    <w:rsid w:val="6BE37E48"/>
    <w:rsid w:val="6C3A69EF"/>
    <w:rsid w:val="6C4A05C8"/>
    <w:rsid w:val="6C813AED"/>
    <w:rsid w:val="6D4F02AD"/>
    <w:rsid w:val="6D6F26C8"/>
    <w:rsid w:val="6D7A69B8"/>
    <w:rsid w:val="6D860E3C"/>
    <w:rsid w:val="6FFC146A"/>
    <w:rsid w:val="701B1B3B"/>
    <w:rsid w:val="70D656D1"/>
    <w:rsid w:val="72734D90"/>
    <w:rsid w:val="734B073F"/>
    <w:rsid w:val="73F90F3E"/>
    <w:rsid w:val="74053257"/>
    <w:rsid w:val="745443C6"/>
    <w:rsid w:val="74B9247B"/>
    <w:rsid w:val="751029E3"/>
    <w:rsid w:val="78C560C2"/>
    <w:rsid w:val="7AA54BD8"/>
    <w:rsid w:val="7B371003"/>
    <w:rsid w:val="7D9373AE"/>
    <w:rsid w:val="7DB36601"/>
    <w:rsid w:val="7E36223B"/>
    <w:rsid w:val="7EF21D34"/>
    <w:rsid w:val="7F172312"/>
    <w:rsid w:val="7FB06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Body Text"/>
    <w:basedOn w:val="1"/>
    <w:link w:val="35"/>
    <w:qFormat/>
    <w:uiPriority w:val="99"/>
    <w:pPr>
      <w:spacing w:beforeLines="30"/>
    </w:pPr>
    <w:rPr>
      <w:rFonts w:ascii="仿宋_GB2312" w:eastAsia="仿宋_GB2312"/>
      <w:kern w:val="0"/>
      <w:sz w:val="24"/>
      <w:szCs w:val="20"/>
      <w:lang w:val="zh-CN"/>
    </w:rPr>
  </w:style>
  <w:style w:type="paragraph" w:styleId="7">
    <w:name w:val="Body Text Indent"/>
    <w:basedOn w:val="1"/>
    <w:next w:val="8"/>
    <w:qFormat/>
    <w:uiPriority w:val="0"/>
    <w:pPr>
      <w:tabs>
        <w:tab w:val="left" w:pos="960"/>
      </w:tabs>
      <w:spacing w:line="540" w:lineRule="exact"/>
      <w:ind w:firstLine="5440" w:firstLineChars="1700"/>
    </w:pPr>
    <w:rPr>
      <w:sz w:val="32"/>
      <w:szCs w:val="32"/>
    </w:rPr>
  </w:style>
  <w:style w:type="paragraph" w:styleId="8">
    <w:name w:val="Body Text First Indent 2"/>
    <w:basedOn w:val="7"/>
    <w:qFormat/>
    <w:uiPriority w:val="0"/>
    <w:pPr>
      <w:ind w:firstLine="420" w:firstLineChars="200"/>
    </w:p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8"/>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3"/>
    <w:qFormat/>
    <w:locked/>
    <w:uiPriority w:val="9"/>
    <w:rPr>
      <w:rFonts w:ascii="Times New Roman" w:hAnsi="Times New Roman" w:cs="Times New Roman"/>
      <w:b/>
      <w:bCs/>
      <w:kern w:val="2"/>
      <w:sz w:val="32"/>
      <w:szCs w:val="32"/>
    </w:rPr>
  </w:style>
  <w:style w:type="character" w:customStyle="1" w:styleId="35">
    <w:name w:val="正文文本 Char"/>
    <w:link w:val="6"/>
    <w:qFormat/>
    <w:locked/>
    <w:uiPriority w:val="99"/>
    <w:rPr>
      <w:rFonts w:ascii="仿宋_GB2312" w:hAnsi="Times New Roman" w:eastAsia="仿宋_GB2312"/>
      <w:sz w:val="24"/>
    </w:rPr>
  </w:style>
  <w:style w:type="character" w:customStyle="1" w:styleId="36">
    <w:name w:val="页脚 Char"/>
    <w:link w:val="13"/>
    <w:qFormat/>
    <w:locked/>
    <w:uiPriority w:val="99"/>
    <w:rPr>
      <w:sz w:val="18"/>
    </w:rPr>
  </w:style>
  <w:style w:type="character" w:customStyle="1" w:styleId="37">
    <w:name w:val="标题 1 Char"/>
    <w:basedOn w:val="25"/>
    <w:link w:val="2"/>
    <w:qFormat/>
    <w:locked/>
    <w:uiPriority w:val="9"/>
    <w:rPr>
      <w:rFonts w:ascii="Times New Roman" w:hAnsi="Times New Roman" w:cs="Times New Roman"/>
      <w:b/>
      <w:bCs/>
      <w:kern w:val="44"/>
      <w:sz w:val="44"/>
      <w:szCs w:val="44"/>
    </w:rPr>
  </w:style>
  <w:style w:type="character" w:customStyle="1" w:styleId="38">
    <w:name w:val="批注框文本 Char"/>
    <w:basedOn w:val="25"/>
    <w:link w:val="12"/>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4"/>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4"/>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en-US"/>
              <a:t>收入、支出决算总计变动情况图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223.66</c:v>
                </c:pt>
                <c:pt idx="1">
                  <c:v>251.27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223.66</c:v>
                </c:pt>
                <c:pt idx="1">
                  <c:v>251.27</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Sheet1!$D$2:$D$3</c:f>
              <c:numCache>
                <c:formatCode>General</c:formatCode>
                <c:ptCount val="2"/>
              </c:numCache>
            </c:numRef>
          </c:val>
        </c:ser>
        <c:dLbls>
          <c:showLegendKey val="0"/>
          <c:showVal val="1"/>
          <c:showCatName val="0"/>
          <c:showSerName val="0"/>
          <c:showPercent val="0"/>
          <c:showBubbleSize val="0"/>
        </c:dLbls>
        <c:gapWidth val="260"/>
        <c:overlap val="-32"/>
        <c:axId val="136941952"/>
        <c:axId val="136943488"/>
      </c:barChart>
      <c:catAx>
        <c:axId val="1369419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943488"/>
        <c:crosses val="autoZero"/>
        <c:auto val="1"/>
        <c:lblAlgn val="ctr"/>
        <c:lblOffset val="100"/>
        <c:noMultiLvlLbl val="0"/>
      </c:catAx>
      <c:valAx>
        <c:axId val="13694348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94195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be893f-81eb-49a5-a748-9168228ca1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2024年本年收入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251.27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3b509ce-5369-43fc-8caf-5c91562f331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251.27</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ca650aa7-0f07-4cfb-b6dd-958a0e5594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223.66</c:v>
                </c:pt>
                <c:pt idx="1">
                  <c:v>251.27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223.66</c:v>
                </c:pt>
                <c:pt idx="1">
                  <c:v>251.27</c:v>
                </c:pt>
              </c:numCache>
            </c:numRef>
          </c:val>
        </c:ser>
        <c:dLbls>
          <c:showLegendKey val="0"/>
          <c:showVal val="1"/>
          <c:showCatName val="0"/>
          <c:showSerName val="0"/>
          <c:showPercent val="0"/>
          <c:showBubbleSize val="0"/>
        </c:dLbls>
        <c:gapWidth val="260"/>
        <c:overlap val="-32"/>
        <c:axId val="67337600"/>
        <c:axId val="67343488"/>
      </c:barChart>
      <c:catAx>
        <c:axId val="673376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343488"/>
        <c:crosses val="autoZero"/>
        <c:auto val="1"/>
        <c:lblAlgn val="ctr"/>
        <c:lblOffset val="100"/>
        <c:noMultiLvlLbl val="0"/>
      </c:catAx>
      <c:valAx>
        <c:axId val="6734348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33760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e8ad21e-b74d-4da5-9a29-1559d7b17b6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223.66</c:v>
                </c:pt>
                <c:pt idx="1">
                  <c:v>251.27</c:v>
                </c:pt>
              </c:numCache>
            </c:numRef>
          </c:val>
        </c:ser>
        <c:dLbls>
          <c:showLegendKey val="0"/>
          <c:showVal val="1"/>
          <c:showCatName val="0"/>
          <c:showSerName val="0"/>
          <c:showPercent val="0"/>
          <c:showBubbleSize val="0"/>
        </c:dLbls>
        <c:gapWidth val="260"/>
        <c:overlap val="-32"/>
        <c:axId val="137389184"/>
        <c:axId val="137390720"/>
      </c:barChart>
      <c:catAx>
        <c:axId val="1373891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7390720"/>
        <c:crosses val="autoZero"/>
        <c:auto val="1"/>
        <c:lblAlgn val="ctr"/>
        <c:lblOffset val="100"/>
        <c:noMultiLvlLbl val="0"/>
      </c:catAx>
      <c:valAx>
        <c:axId val="13739072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738918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2ca29fd-aff7-475e-8cfd-9003a38586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184.11</c:v>
                </c:pt>
                <c:pt idx="1">
                  <c:v>34.13</c:v>
                </c:pt>
                <c:pt idx="2">
                  <c:v>14.67</c:v>
                </c:pt>
                <c:pt idx="3">
                  <c:v>18.36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f7ee8fd6-9ad7-4d23-a515-0b9311fa05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3.54</c:v>
                </c:pt>
                <c:pt idx="2">
                  <c:v>0.24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1d434e6-7d5c-4783-9d90-629a4e318f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4C17-8599-4DF6-A8E4-EA489714059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7650</Words>
  <Characters>9456</Characters>
  <Lines>12</Lines>
  <Paragraphs>18</Paragraphs>
  <TotalTime>18</TotalTime>
  <ScaleCrop>false</ScaleCrop>
  <LinksUpToDate>false</LinksUpToDate>
  <CharactersWithSpaces>9516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2022-09-14T08:18:00Z</dcterms:created>
  <dc:creator>曹颖</dc:creator>
  <cp:lastModifiedBy>Darling </cp:lastModifiedBy>
  <cp:lastPrinted>2025-09-23T01:17:00Z</cp:lastPrinted>
  <dcterms:modified xsi:type="dcterms:W3CDTF">2025-09-26T08:43:49Z</dcterms:modified>
  <dc:title>阿坝州部门决算说明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C89164049B514A988F704E4EB1C8D7E7_13</vt:lpwstr>
  </property>
  <property fmtid="{D5CDD505-2E9C-101B-9397-08002B2CF9AE}" pid="4" name="KSOTemplateDocerSaveRecord">
    <vt:lpwstr>eyJoZGlkIjoiNWIxYmQxODM3YzQzMzNjYmI0ODczNWI1Y2Q5NmJlYmQiLCJ1c2VySWQiOiIxMTUzNjY4NDE4In0=</vt:lpwstr>
  </property>
</Properties>
</file>