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eastAsia="宋体"/>
          <w:b/>
          <w:sz w:val="72"/>
          <w:szCs w:val="72"/>
        </w:rPr>
      </w:pPr>
      <w:bookmarkStart w:id="0" w:name="_Toc15378441"/>
      <w:bookmarkStart w:id="1" w:name="_Toc15377193"/>
      <w:bookmarkStart w:id="2" w:name="_Toc15377425"/>
      <w:bookmarkStart w:id="3" w:name="_Toc15396597"/>
      <w:bookmarkStart w:id="4" w:name="_Toc15306267"/>
      <w:bookmarkStart w:id="5" w:name="_Toc15396475"/>
    </w:p>
    <w:p>
      <w:pPr>
        <w:jc w:val="center"/>
        <w:rPr>
          <w:rFonts w:ascii="黑体" w:hAnsi="黑体" w:eastAsia="黑体"/>
          <w:sz w:val="72"/>
          <w:szCs w:val="72"/>
        </w:rPr>
      </w:pPr>
      <w:r>
        <w:rPr>
          <w:rFonts w:ascii="黑体" w:hAnsi="黑体" w:eastAsia="黑体"/>
          <w:sz w:val="72"/>
          <w:szCs w:val="72"/>
        </w:rPr>
        <w:t>202</w:t>
      </w:r>
      <w:r>
        <w:rPr>
          <w:rFonts w:hint="eastAsia" w:ascii="黑体" w:hAnsi="黑体" w:eastAsia="黑体"/>
          <w:sz w:val="72"/>
          <w:szCs w:val="72"/>
          <w:lang w:val="en-US" w:eastAsia="zh-CN"/>
        </w:rPr>
        <w:t>4</w:t>
      </w:r>
      <w:r>
        <w:rPr>
          <w:rFonts w:hint="eastAsia" w:ascii="黑体" w:hAnsi="黑体" w:eastAsia="黑体"/>
          <w:sz w:val="72"/>
          <w:szCs w:val="72"/>
        </w:rPr>
        <w:t>年度</w:t>
      </w:r>
    </w:p>
    <w:p>
      <w:pPr>
        <w:jc w:val="center"/>
        <w:rPr>
          <w:rFonts w:ascii="方正小标宋简体" w:eastAsia="方正小标宋简体"/>
          <w:sz w:val="72"/>
          <w:szCs w:val="72"/>
        </w:rPr>
      </w:pPr>
      <w:r>
        <w:rPr>
          <w:rFonts w:hint="eastAsia" w:ascii="方正小标宋简体" w:eastAsia="方正小标宋简体"/>
          <w:sz w:val="72"/>
          <w:szCs w:val="72"/>
        </w:rPr>
        <w:t>四川省茂县地情资料收集整理中心</w:t>
      </w:r>
      <w:r>
        <w:rPr>
          <w:rFonts w:hint="eastAsia" w:ascii="方正小标宋简体" w:eastAsia="方正小标宋简体"/>
          <w:sz w:val="72"/>
          <w:szCs w:val="72"/>
          <w:lang w:eastAsia="zh-CN"/>
        </w:rPr>
        <w:t>单位</w:t>
      </w:r>
      <w:r>
        <w:rPr>
          <w:rFonts w:hint="eastAsia" w:ascii="方正小标宋简体" w:eastAsia="方正小标宋简体"/>
          <w:sz w:val="72"/>
          <w:szCs w:val="72"/>
        </w:rPr>
        <w:t>决算</w:t>
      </w: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hint="eastAsia" w:ascii="黑体" w:hAnsi="黑体" w:eastAsia="黑体" w:cs="黑体"/>
          <w:sz w:val="32"/>
          <w:szCs w:val="32"/>
          <w:lang w:eastAsia="zh-CN"/>
        </w:rPr>
      </w:pPr>
      <w:r>
        <w:rPr>
          <w:rFonts w:hint="eastAsia" w:ascii="黑体" w:hAnsi="黑体" w:eastAsia="黑体" w:cs="黑体"/>
          <w:sz w:val="32"/>
          <w:szCs w:val="32"/>
        </w:rPr>
        <w:t>保密审查情况：</w:t>
      </w:r>
    </w:p>
    <w:p>
      <w:pPr>
        <w:autoSpaceDE w:val="0"/>
        <w:autoSpaceDN w:val="0"/>
        <w:adjustRightInd w:val="0"/>
        <w:ind w:left="420" w:leftChars="200"/>
        <w:jc w:val="left"/>
        <w:rPr>
          <w:rFonts w:hint="eastAsia" w:ascii="CESI仿宋-GB2312" w:hAnsi="CESI仿宋-GB2312" w:eastAsia="CESI仿宋-GB2312" w:cs="CESI仿宋-GB2312"/>
          <w:sz w:val="32"/>
          <w:szCs w:val="32"/>
          <w:lang w:eastAsia="zh-CN"/>
        </w:rPr>
      </w:pPr>
      <w:r>
        <w:rPr>
          <w:rFonts w:hint="eastAsia" w:ascii="黑体" w:hAnsi="黑体" w:eastAsia="黑体" w:cs="黑体"/>
          <w:sz w:val="32"/>
          <w:szCs w:val="32"/>
        </w:rPr>
        <w:t>部门主要负责人审签情况</w:t>
      </w:r>
      <w:r>
        <w:rPr>
          <w:rFonts w:hint="eastAsia" w:ascii="CESI仿宋-GB2312" w:hAnsi="CESI仿宋-GB2312" w:eastAsia="CESI仿宋-GB2312" w:cs="CESI仿宋-GB2312"/>
          <w:sz w:val="32"/>
          <w:szCs w:val="32"/>
        </w:rPr>
        <w:t>：</w:t>
      </w:r>
    </w:p>
    <w:p>
      <w:pPr>
        <w:pStyle w:val="5"/>
        <w:ind w:firstLine="0"/>
        <w:rPr>
          <w:rFonts w:hint="eastAsia" w:ascii="CESI仿宋-GB2312" w:hAnsi="CESI仿宋-GB2312" w:eastAsia="CESI仿宋-GB2312" w:cs="CESI仿宋-GB2312"/>
        </w:rPr>
      </w:pPr>
    </w:p>
    <w:bookmarkEnd w:id="0"/>
    <w:bookmarkEnd w:id="1"/>
    <w:bookmarkEnd w:id="2"/>
    <w:bookmarkEnd w:id="3"/>
    <w:bookmarkEnd w:id="4"/>
    <w:bookmarkEnd w:id="5"/>
    <w:p>
      <w:pPr>
        <w:pStyle w:val="5"/>
        <w:rPr>
          <w:rFonts w:hint="eastAsia" w:ascii="CESI仿宋-GB2312" w:hAnsi="CESI仿宋-GB2312" w:eastAsia="CESI仿宋-GB2312" w:cs="CESI仿宋-GB2312"/>
        </w:rPr>
      </w:pPr>
    </w:p>
    <w:p>
      <w:pPr>
        <w:pStyle w:val="5"/>
      </w:pPr>
    </w:p>
    <w:p>
      <w:pPr>
        <w:pStyle w:val="5"/>
      </w:pPr>
    </w:p>
    <w:p>
      <w:pPr>
        <w:pStyle w:val="5"/>
        <w:tabs>
          <w:tab w:val="left" w:pos="3600"/>
        </w:tabs>
        <w:ind w:left="0" w:leftChars="0" w:firstLine="0" w:firstLineChars="0"/>
        <w:rPr>
          <w:rFonts w:ascii="黑体" w:eastAsia="黑体"/>
          <w:color w:val="000000"/>
          <w:sz w:val="48"/>
          <w:szCs w:val="48"/>
        </w:rPr>
      </w:pPr>
      <w:bookmarkStart w:id="6" w:name="_Toc15377196"/>
    </w:p>
    <w:p>
      <w:pPr>
        <w:widowControl/>
        <w:jc w:val="center"/>
        <w:rPr>
          <w:rFonts w:ascii="黑体" w:hAnsi="黑体" w:eastAsia="黑体"/>
          <w:color w:val="000000"/>
          <w:sz w:val="48"/>
          <w:szCs w:val="48"/>
        </w:rPr>
      </w:pPr>
      <w:r>
        <w:rPr>
          <w:rFonts w:hint="eastAsia" w:ascii="黑体" w:hAnsi="黑体" w:eastAsia="黑体"/>
          <w:color w:val="000000"/>
          <w:sz w:val="48"/>
          <w:szCs w:val="48"/>
        </w:rPr>
        <w:t>目</w:t>
      </w:r>
      <w:r>
        <w:rPr>
          <w:rFonts w:ascii="黑体" w:hAnsi="黑体" w:eastAsia="黑体"/>
          <w:color w:val="000000"/>
          <w:sz w:val="48"/>
          <w:szCs w:val="48"/>
        </w:rPr>
        <w:t xml:space="preserve"> </w:t>
      </w:r>
      <w:r>
        <w:rPr>
          <w:rFonts w:hint="eastAsia" w:ascii="黑体" w:hAnsi="黑体" w:eastAsia="黑体"/>
          <w:color w:val="000000"/>
          <w:sz w:val="48"/>
          <w:szCs w:val="48"/>
        </w:rPr>
        <w:t>录</w:t>
      </w:r>
    </w:p>
    <w:p>
      <w:pPr>
        <w:pStyle w:val="12"/>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公开时间：202</w:t>
      </w:r>
      <w:r>
        <w:rPr>
          <w:rFonts w:hint="eastAsia" w:ascii="仿宋_GB2312" w:hAnsi="仿宋_GB2312" w:eastAsia="仿宋_GB2312" w:cs="仿宋_GB2312"/>
          <w:b/>
          <w:bCs/>
          <w:sz w:val="28"/>
          <w:szCs w:val="28"/>
          <w:lang w:val="en-US" w:eastAsia="zh-CN"/>
        </w:rPr>
        <w:t>5</w:t>
      </w:r>
      <w:r>
        <w:rPr>
          <w:rFonts w:hint="eastAsia" w:ascii="仿宋_GB2312" w:hAnsi="仿宋_GB2312" w:eastAsia="仿宋_GB2312" w:cs="仿宋_GB2312"/>
          <w:b/>
          <w:bCs/>
          <w:sz w:val="28"/>
          <w:szCs w:val="28"/>
        </w:rPr>
        <w:t xml:space="preserve">年9 月 </w:t>
      </w:r>
      <w:r>
        <w:rPr>
          <w:rFonts w:hint="eastAsia" w:ascii="仿宋_GB2312" w:hAnsi="仿宋_GB2312" w:eastAsia="仿宋_GB2312" w:cs="仿宋_GB2312"/>
          <w:b/>
          <w:bCs/>
          <w:sz w:val="28"/>
          <w:szCs w:val="28"/>
          <w:lang w:val="en-US" w:eastAsia="zh-CN"/>
        </w:rPr>
        <w:t>25</w:t>
      </w:r>
      <w:r>
        <w:rPr>
          <w:rFonts w:hint="eastAsia" w:ascii="仿宋_GB2312" w:hAnsi="仿宋_GB2312" w:eastAsia="仿宋_GB2312" w:cs="仿宋_GB2312"/>
          <w:b/>
          <w:bCs/>
          <w:sz w:val="28"/>
          <w:szCs w:val="28"/>
        </w:rPr>
        <w:t>日</w:t>
      </w:r>
    </w:p>
    <w:p>
      <w:pPr>
        <w:pStyle w:val="8"/>
        <w:tabs>
          <w:tab w:val="right" w:leader="dot" w:pos="8306"/>
          <w:tab w:val="clear" w:pos="8296"/>
        </w:tabs>
        <w:ind w:left="0" w:leftChars="0" w:firstLine="0" w:firstLineChars="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TOC \o \u </w:instrText>
      </w:r>
      <w:r>
        <w:rPr>
          <w:rFonts w:hint="eastAsia" w:ascii="仿宋_GB2312" w:hAnsi="仿宋_GB2312" w:eastAsia="仿宋_GB2312" w:cs="仿宋_GB2312"/>
          <w:color w:val="000000"/>
          <w:sz w:val="32"/>
          <w:szCs w:val="32"/>
        </w:rPr>
        <w:fldChar w:fldCharType="separate"/>
      </w:r>
      <w:r>
        <w:rPr>
          <w:rFonts w:hint="eastAsia" w:ascii="CESI黑体-GB13000" w:hAnsi="CESI黑体-GB13000" w:eastAsia="CESI黑体-GB13000" w:cs="CESI黑体-GB13000"/>
          <w:color w:val="000000"/>
          <w:sz w:val="32"/>
          <w:szCs w:val="32"/>
        </w:rPr>
        <w:t>第一部分 部门概况</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PAGEREF _Toc1398 \h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fldChar w:fldCharType="end"/>
      </w:r>
    </w:p>
    <w:p>
      <w:pPr>
        <w:pStyle w:val="8"/>
        <w:tabs>
          <w:tab w:val="right" w:leader="dot" w:pos="8306"/>
          <w:tab w:val="clear" w:pos="8296"/>
        </w:tabs>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一</w:t>
      </w:r>
      <w:r>
        <w:rPr>
          <w:rFonts w:hint="eastAsia" w:ascii="仿宋_GB2312" w:hAnsi="仿宋_GB2312" w:eastAsia="仿宋_GB2312" w:cs="仿宋_GB2312"/>
          <w:color w:val="000000"/>
          <w:sz w:val="32"/>
          <w:szCs w:val="32"/>
          <w:lang w:eastAsia="zh-CN"/>
        </w:rPr>
        <w:t>、部门职责</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lang w:val="en-US" w:eastAsia="zh-CN"/>
        </w:rPr>
        <w:t>5</w:t>
      </w:r>
    </w:p>
    <w:p>
      <w:pPr>
        <w:pStyle w:val="8"/>
        <w:tabs>
          <w:tab w:val="right" w:leader="dot" w:pos="8306"/>
          <w:tab w:val="clear" w:pos="8296"/>
        </w:tabs>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二、机构设置</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PAGEREF _Toc23404 \h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fldChar w:fldCharType="end"/>
      </w:r>
    </w:p>
    <w:p>
      <w:pPr>
        <w:pStyle w:val="8"/>
        <w:tabs>
          <w:tab w:val="right" w:leader="dot" w:pos="8306"/>
          <w:tab w:val="clear" w:pos="8296"/>
        </w:tabs>
        <w:ind w:left="0" w:leftChars="0" w:firstLine="0" w:firstLineChars="0"/>
        <w:rPr>
          <w:rFonts w:hint="eastAsia" w:ascii="仿宋_GB2312" w:hAnsi="仿宋_GB2312" w:eastAsia="仿宋_GB2312" w:cs="仿宋_GB2312"/>
          <w:color w:val="000000"/>
          <w:sz w:val="32"/>
          <w:szCs w:val="32"/>
        </w:rPr>
      </w:pPr>
      <w:r>
        <w:rPr>
          <w:rFonts w:hint="eastAsia" w:ascii="CESI黑体-GB13000" w:hAnsi="CESI黑体-GB13000" w:eastAsia="CESI黑体-GB13000" w:cs="CESI黑体-GB13000"/>
          <w:color w:val="000000"/>
          <w:sz w:val="32"/>
          <w:szCs w:val="32"/>
        </w:rPr>
        <w:t>第二部分 202</w:t>
      </w:r>
      <w:r>
        <w:rPr>
          <w:rFonts w:hint="eastAsia" w:ascii="CESI黑体-GB13000" w:hAnsi="CESI黑体-GB13000" w:eastAsia="CESI黑体-GB13000" w:cs="CESI黑体-GB13000"/>
          <w:color w:val="000000"/>
          <w:sz w:val="32"/>
          <w:szCs w:val="32"/>
          <w:lang w:val="en-US" w:eastAsia="zh-CN"/>
        </w:rPr>
        <w:t>4</w:t>
      </w:r>
      <w:r>
        <w:rPr>
          <w:rFonts w:hint="eastAsia" w:ascii="CESI黑体-GB13000" w:hAnsi="CESI黑体-GB13000" w:eastAsia="CESI黑体-GB13000" w:cs="CESI黑体-GB13000"/>
          <w:color w:val="000000"/>
          <w:sz w:val="32"/>
          <w:szCs w:val="32"/>
        </w:rPr>
        <w:t>年度部门决算情况说明</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PAGEREF _Toc26567 \h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fldChar w:fldCharType="end"/>
      </w:r>
    </w:p>
    <w:p>
      <w:pPr>
        <w:pStyle w:val="8"/>
        <w:tabs>
          <w:tab w:val="right" w:leader="dot" w:pos="8306"/>
          <w:tab w:val="clear" w:pos="8296"/>
        </w:tabs>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一、收入支出决算总体情况说明</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PAGEREF _Toc14352 \h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fldChar w:fldCharType="end"/>
      </w:r>
    </w:p>
    <w:p>
      <w:pPr>
        <w:pStyle w:val="8"/>
        <w:tabs>
          <w:tab w:val="right" w:leader="dot" w:pos="8306"/>
          <w:tab w:val="clear" w:pos="8296"/>
        </w:tabs>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二、收入决算情况说明</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PAGEREF _Toc22482 \h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fldChar w:fldCharType="end"/>
      </w:r>
    </w:p>
    <w:p>
      <w:pPr>
        <w:pStyle w:val="8"/>
        <w:tabs>
          <w:tab w:val="right" w:leader="dot" w:pos="8306"/>
          <w:tab w:val="clear" w:pos="8296"/>
        </w:tabs>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三、支出决算情况说明</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PAGEREF _Toc13351 \h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7</w:t>
      </w:r>
      <w:r>
        <w:rPr>
          <w:rFonts w:hint="eastAsia" w:ascii="仿宋_GB2312" w:hAnsi="仿宋_GB2312" w:eastAsia="仿宋_GB2312" w:cs="仿宋_GB2312"/>
          <w:color w:val="000000"/>
          <w:sz w:val="32"/>
          <w:szCs w:val="32"/>
        </w:rPr>
        <w:fldChar w:fldCharType="end"/>
      </w:r>
    </w:p>
    <w:p>
      <w:pPr>
        <w:pStyle w:val="8"/>
        <w:tabs>
          <w:tab w:val="right" w:leader="dot" w:pos="8306"/>
          <w:tab w:val="clear" w:pos="8296"/>
        </w:tabs>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四、财政拨款收入支出决算总体情况说明</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PAGEREF _Toc25611 \h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7</w:t>
      </w:r>
      <w:r>
        <w:rPr>
          <w:rFonts w:hint="eastAsia" w:ascii="仿宋_GB2312" w:hAnsi="仿宋_GB2312" w:eastAsia="仿宋_GB2312" w:cs="仿宋_GB2312"/>
          <w:color w:val="000000"/>
          <w:sz w:val="32"/>
          <w:szCs w:val="32"/>
        </w:rPr>
        <w:fldChar w:fldCharType="end"/>
      </w:r>
    </w:p>
    <w:p>
      <w:pPr>
        <w:pStyle w:val="8"/>
        <w:tabs>
          <w:tab w:val="right" w:leader="dot" w:pos="8306"/>
          <w:tab w:val="clear" w:pos="8296"/>
        </w:tabs>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五、一般公共预算财政拨款支出决算情况说明</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PAGEREF _Toc24234 \h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8</w:t>
      </w:r>
      <w:r>
        <w:rPr>
          <w:rFonts w:hint="eastAsia" w:ascii="仿宋_GB2312" w:hAnsi="仿宋_GB2312" w:eastAsia="仿宋_GB2312" w:cs="仿宋_GB2312"/>
          <w:color w:val="000000"/>
          <w:sz w:val="32"/>
          <w:szCs w:val="32"/>
        </w:rPr>
        <w:fldChar w:fldCharType="end"/>
      </w:r>
    </w:p>
    <w:p>
      <w:pPr>
        <w:pStyle w:val="8"/>
        <w:tabs>
          <w:tab w:val="right" w:leader="dot" w:pos="8306"/>
          <w:tab w:val="clear" w:pos="8296"/>
        </w:tabs>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（一）一般公共预算财政拨款支出决算总体情况</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PAGEREF _Toc1306 \h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8</w:t>
      </w:r>
      <w:r>
        <w:rPr>
          <w:rFonts w:hint="eastAsia" w:ascii="仿宋_GB2312" w:hAnsi="仿宋_GB2312" w:eastAsia="仿宋_GB2312" w:cs="仿宋_GB2312"/>
          <w:color w:val="000000"/>
          <w:sz w:val="32"/>
          <w:szCs w:val="32"/>
        </w:rPr>
        <w:fldChar w:fldCharType="end"/>
      </w:r>
    </w:p>
    <w:p>
      <w:pPr>
        <w:pStyle w:val="8"/>
        <w:tabs>
          <w:tab w:val="right" w:leader="dot" w:pos="8306"/>
          <w:tab w:val="clear" w:pos="8296"/>
        </w:tabs>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（二）一般公共预算财政拨款支出决算结构情况</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PAGEREF _Toc28498 \h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8</w:t>
      </w:r>
      <w:r>
        <w:rPr>
          <w:rFonts w:hint="eastAsia" w:ascii="仿宋_GB2312" w:hAnsi="仿宋_GB2312" w:eastAsia="仿宋_GB2312" w:cs="仿宋_GB2312"/>
          <w:color w:val="000000"/>
          <w:sz w:val="32"/>
          <w:szCs w:val="32"/>
        </w:rPr>
        <w:fldChar w:fldCharType="end"/>
      </w:r>
    </w:p>
    <w:p>
      <w:pPr>
        <w:pStyle w:val="8"/>
        <w:tabs>
          <w:tab w:val="right" w:leader="dot" w:pos="8306"/>
          <w:tab w:val="clear" w:pos="8296"/>
        </w:tabs>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（三）一般公共预算财政拨款支出决算具体情况</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PAGEREF _Toc30403 \h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9</w:t>
      </w:r>
      <w:r>
        <w:rPr>
          <w:rFonts w:hint="eastAsia" w:ascii="仿宋_GB2312" w:hAnsi="仿宋_GB2312" w:eastAsia="仿宋_GB2312" w:cs="仿宋_GB2312"/>
          <w:color w:val="000000"/>
          <w:sz w:val="32"/>
          <w:szCs w:val="32"/>
        </w:rPr>
        <w:fldChar w:fldCharType="end"/>
      </w:r>
    </w:p>
    <w:p>
      <w:pPr>
        <w:pStyle w:val="8"/>
        <w:tabs>
          <w:tab w:val="right" w:leader="dot" w:pos="8306"/>
          <w:tab w:val="clear" w:pos="8296"/>
        </w:tabs>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六、一般公共预算财政拨款基本支出决算情况说明</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PAGEREF _Toc12824 \h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9</w:t>
      </w:r>
      <w:r>
        <w:rPr>
          <w:rFonts w:hint="eastAsia" w:ascii="仿宋_GB2312" w:hAnsi="仿宋_GB2312" w:eastAsia="仿宋_GB2312" w:cs="仿宋_GB2312"/>
          <w:color w:val="000000"/>
          <w:sz w:val="32"/>
          <w:szCs w:val="32"/>
        </w:rPr>
        <w:fldChar w:fldCharType="end"/>
      </w:r>
    </w:p>
    <w:p>
      <w:pPr>
        <w:pStyle w:val="8"/>
        <w:tabs>
          <w:tab w:val="right" w:leader="dot" w:pos="8306"/>
          <w:tab w:val="clear" w:pos="8296"/>
        </w:tabs>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七、“三公”经费财政拨款支出决算情况说明</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PAGEREF _Toc24403 \h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10</w:t>
      </w:r>
      <w:r>
        <w:rPr>
          <w:rFonts w:hint="eastAsia" w:ascii="仿宋_GB2312" w:hAnsi="仿宋_GB2312" w:eastAsia="仿宋_GB2312" w:cs="仿宋_GB2312"/>
          <w:color w:val="000000"/>
          <w:sz w:val="32"/>
          <w:szCs w:val="32"/>
        </w:rPr>
        <w:fldChar w:fldCharType="end"/>
      </w:r>
    </w:p>
    <w:p>
      <w:pPr>
        <w:pStyle w:val="8"/>
        <w:tabs>
          <w:tab w:val="right" w:leader="dot" w:pos="8306"/>
          <w:tab w:val="clear" w:pos="8296"/>
        </w:tabs>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（一）“三公”经费财政拨款支出决算总体情况说明</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lang w:val="en-US" w:eastAsia="zh-CN"/>
        </w:rPr>
        <w:t>.</w:t>
      </w:r>
    </w:p>
    <w:p>
      <w:pPr>
        <w:pStyle w:val="8"/>
        <w:tabs>
          <w:tab w:val="right" w:leader="dot" w:pos="8306"/>
          <w:tab w:val="clear" w:pos="8296"/>
        </w:tabs>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PAGEREF _Toc32099 \h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10</w:t>
      </w:r>
      <w:r>
        <w:rPr>
          <w:rFonts w:hint="eastAsia" w:ascii="仿宋_GB2312" w:hAnsi="仿宋_GB2312" w:eastAsia="仿宋_GB2312" w:cs="仿宋_GB2312"/>
          <w:color w:val="000000"/>
          <w:sz w:val="32"/>
          <w:szCs w:val="32"/>
        </w:rPr>
        <w:fldChar w:fldCharType="end"/>
      </w:r>
    </w:p>
    <w:p>
      <w:pPr>
        <w:pStyle w:val="8"/>
        <w:tabs>
          <w:tab w:val="right" w:leader="dot" w:pos="8306"/>
          <w:tab w:val="clear" w:pos="8296"/>
        </w:tabs>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（二）“三公”经费财政拨款支出决算具体情况说明</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PAGEREF _Toc10142 \h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10</w:t>
      </w:r>
      <w:r>
        <w:rPr>
          <w:rFonts w:hint="eastAsia" w:ascii="仿宋_GB2312" w:hAnsi="仿宋_GB2312" w:eastAsia="仿宋_GB2312" w:cs="仿宋_GB2312"/>
          <w:color w:val="000000"/>
          <w:sz w:val="32"/>
          <w:szCs w:val="32"/>
        </w:rPr>
        <w:fldChar w:fldCharType="end"/>
      </w:r>
    </w:p>
    <w:p>
      <w:pPr>
        <w:pStyle w:val="8"/>
        <w:tabs>
          <w:tab w:val="right" w:leader="dot" w:pos="8306"/>
          <w:tab w:val="clear" w:pos="8296"/>
        </w:tabs>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八、政府性基金预算支出决算情况说明</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PAGEREF _Toc31386 \h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11</w:t>
      </w:r>
      <w:r>
        <w:rPr>
          <w:rFonts w:hint="eastAsia" w:ascii="仿宋_GB2312" w:hAnsi="仿宋_GB2312" w:eastAsia="仿宋_GB2312" w:cs="仿宋_GB2312"/>
          <w:color w:val="000000"/>
          <w:sz w:val="32"/>
          <w:szCs w:val="32"/>
        </w:rPr>
        <w:fldChar w:fldCharType="end"/>
      </w:r>
    </w:p>
    <w:p>
      <w:pPr>
        <w:pStyle w:val="8"/>
        <w:tabs>
          <w:tab w:val="right" w:leader="dot" w:pos="8306"/>
          <w:tab w:val="clear" w:pos="8296"/>
        </w:tabs>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九、国有资本经营预算支出决算情况说明</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PAGEREF _Toc12233 \h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11</w:t>
      </w:r>
      <w:r>
        <w:rPr>
          <w:rFonts w:hint="eastAsia" w:ascii="仿宋_GB2312" w:hAnsi="仿宋_GB2312" w:eastAsia="仿宋_GB2312" w:cs="仿宋_GB2312"/>
          <w:color w:val="000000"/>
          <w:sz w:val="32"/>
          <w:szCs w:val="32"/>
        </w:rPr>
        <w:fldChar w:fldCharType="end"/>
      </w:r>
    </w:p>
    <w:p>
      <w:pPr>
        <w:pStyle w:val="8"/>
        <w:tabs>
          <w:tab w:val="right" w:leader="dot" w:pos="8306"/>
          <w:tab w:val="clear" w:pos="8296"/>
        </w:tabs>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十、其他重要事项的情况说明</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PAGEREF _Toc23620 \h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11</w:t>
      </w:r>
      <w:r>
        <w:rPr>
          <w:rFonts w:hint="eastAsia" w:ascii="仿宋_GB2312" w:hAnsi="仿宋_GB2312" w:eastAsia="仿宋_GB2312" w:cs="仿宋_GB2312"/>
          <w:color w:val="000000"/>
          <w:sz w:val="32"/>
          <w:szCs w:val="32"/>
        </w:rPr>
        <w:fldChar w:fldCharType="end"/>
      </w:r>
    </w:p>
    <w:p>
      <w:pPr>
        <w:pStyle w:val="8"/>
        <w:tabs>
          <w:tab w:val="right" w:leader="dot" w:pos="8306"/>
          <w:tab w:val="clear" w:pos="8296"/>
        </w:tabs>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（一）机关运行经费支出情况</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PAGEREF _Toc12140 \h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11</w:t>
      </w:r>
      <w:r>
        <w:rPr>
          <w:rFonts w:hint="eastAsia" w:ascii="仿宋_GB2312" w:hAnsi="仿宋_GB2312" w:eastAsia="仿宋_GB2312" w:cs="仿宋_GB2312"/>
          <w:color w:val="000000"/>
          <w:sz w:val="32"/>
          <w:szCs w:val="32"/>
        </w:rPr>
        <w:fldChar w:fldCharType="end"/>
      </w:r>
    </w:p>
    <w:p>
      <w:pPr>
        <w:pStyle w:val="8"/>
        <w:tabs>
          <w:tab w:val="right" w:leader="dot" w:pos="8306"/>
          <w:tab w:val="clear" w:pos="8296"/>
        </w:tabs>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（二）政府采购支出情况</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PAGEREF _Toc13849 \h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11</w:t>
      </w:r>
      <w:r>
        <w:rPr>
          <w:rFonts w:hint="eastAsia" w:ascii="仿宋_GB2312" w:hAnsi="仿宋_GB2312" w:eastAsia="仿宋_GB2312" w:cs="仿宋_GB2312"/>
          <w:color w:val="000000"/>
          <w:sz w:val="32"/>
          <w:szCs w:val="32"/>
        </w:rPr>
        <w:fldChar w:fldCharType="end"/>
      </w:r>
    </w:p>
    <w:p>
      <w:pPr>
        <w:pStyle w:val="8"/>
        <w:tabs>
          <w:tab w:val="right" w:leader="dot" w:pos="8306"/>
          <w:tab w:val="clear" w:pos="8296"/>
        </w:tabs>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 国有资产占有使用情况</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PAGEREF _Toc17369 \h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11</w:t>
      </w:r>
      <w:r>
        <w:rPr>
          <w:rFonts w:hint="eastAsia" w:ascii="仿宋_GB2312" w:hAnsi="仿宋_GB2312" w:eastAsia="仿宋_GB2312" w:cs="仿宋_GB2312"/>
          <w:color w:val="000000"/>
          <w:sz w:val="32"/>
          <w:szCs w:val="32"/>
        </w:rPr>
        <w:fldChar w:fldCharType="end"/>
      </w:r>
    </w:p>
    <w:p>
      <w:pPr>
        <w:pStyle w:val="8"/>
        <w:tabs>
          <w:tab w:val="right" w:leader="dot" w:pos="8306"/>
          <w:tab w:val="clear" w:pos="8296"/>
        </w:tabs>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（四）预算绩效管理情况</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PAGEREF _Toc3762 \h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11</w:t>
      </w:r>
      <w:r>
        <w:rPr>
          <w:rFonts w:hint="eastAsia" w:ascii="仿宋_GB2312" w:hAnsi="仿宋_GB2312" w:eastAsia="仿宋_GB2312" w:cs="仿宋_GB2312"/>
          <w:color w:val="000000"/>
          <w:sz w:val="32"/>
          <w:szCs w:val="32"/>
        </w:rPr>
        <w:fldChar w:fldCharType="end"/>
      </w:r>
    </w:p>
    <w:p>
      <w:pPr>
        <w:pStyle w:val="8"/>
        <w:tabs>
          <w:tab w:val="right" w:leader="dot" w:pos="8306"/>
          <w:tab w:val="clear" w:pos="8296"/>
        </w:tabs>
        <w:ind w:left="0" w:leftChars="0" w:firstLine="0" w:firstLineChars="0"/>
        <w:rPr>
          <w:rFonts w:hint="eastAsia" w:ascii="仿宋_GB2312" w:hAnsi="仿宋_GB2312" w:eastAsia="仿宋_GB2312" w:cs="仿宋_GB2312"/>
          <w:color w:val="000000"/>
          <w:sz w:val="32"/>
          <w:szCs w:val="32"/>
        </w:rPr>
      </w:pPr>
      <w:r>
        <w:rPr>
          <w:rFonts w:hint="eastAsia" w:ascii="CESI黑体-GB13000" w:hAnsi="CESI黑体-GB13000" w:eastAsia="CESI黑体-GB13000" w:cs="CESI黑体-GB13000"/>
          <w:color w:val="000000"/>
          <w:sz w:val="32"/>
          <w:szCs w:val="32"/>
        </w:rPr>
        <w:t>第三部分 名词解释</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PAGEREF _Toc1419 \h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11</w:t>
      </w:r>
      <w:r>
        <w:rPr>
          <w:rFonts w:hint="eastAsia" w:ascii="仿宋_GB2312" w:hAnsi="仿宋_GB2312" w:eastAsia="仿宋_GB2312" w:cs="仿宋_GB2312"/>
          <w:color w:val="000000"/>
          <w:sz w:val="32"/>
          <w:szCs w:val="32"/>
        </w:rPr>
        <w:fldChar w:fldCharType="end"/>
      </w:r>
    </w:p>
    <w:p>
      <w:pPr>
        <w:pStyle w:val="8"/>
        <w:tabs>
          <w:tab w:val="right" w:leader="dot" w:pos="8306"/>
          <w:tab w:val="clear" w:pos="8296"/>
        </w:tabs>
        <w:ind w:left="0" w:leftChars="0" w:firstLine="0" w:firstLineChars="0"/>
        <w:rPr>
          <w:rFonts w:hint="eastAsia" w:ascii="仿宋_GB2312" w:hAnsi="仿宋_GB2312" w:eastAsia="仿宋_GB2312" w:cs="仿宋_GB2312"/>
          <w:color w:val="000000"/>
          <w:sz w:val="32"/>
          <w:szCs w:val="32"/>
        </w:rPr>
      </w:pPr>
      <w:r>
        <w:rPr>
          <w:rFonts w:hint="eastAsia" w:ascii="CESI黑体-GB13000" w:hAnsi="CESI黑体-GB13000" w:eastAsia="CESI黑体-GB13000" w:cs="CESI黑体-GB13000"/>
          <w:color w:val="000000"/>
          <w:sz w:val="32"/>
          <w:szCs w:val="32"/>
          <w:lang w:val="en-US" w:eastAsia="zh-CN"/>
        </w:rPr>
        <w:t>第四部分 附件</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PAGEREF _Toc16323 \h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16</w:t>
      </w:r>
      <w:r>
        <w:rPr>
          <w:rFonts w:hint="eastAsia" w:ascii="仿宋_GB2312" w:hAnsi="仿宋_GB2312" w:eastAsia="仿宋_GB2312" w:cs="仿宋_GB2312"/>
          <w:color w:val="000000"/>
          <w:sz w:val="32"/>
          <w:szCs w:val="32"/>
        </w:rPr>
        <w:fldChar w:fldCharType="end"/>
      </w:r>
    </w:p>
    <w:p>
      <w:pPr>
        <w:pStyle w:val="8"/>
        <w:tabs>
          <w:tab w:val="right" w:leader="dot" w:pos="8306"/>
          <w:tab w:val="clear" w:pos="8296"/>
        </w:tabs>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茂县地情资料收集整理中心202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部门预算评价报告</w:t>
      </w:r>
    </w:p>
    <w:p>
      <w:pPr>
        <w:pStyle w:val="8"/>
        <w:tabs>
          <w:tab w:val="right" w:leader="dot" w:pos="8306"/>
          <w:tab w:val="clear" w:pos="8296"/>
        </w:tabs>
        <w:ind w:left="0" w:leftChars="0" w:firstLine="0" w:firstLineChars="0"/>
        <w:rPr>
          <w:rFonts w:hint="default" w:ascii="CESI仿宋-GB2312" w:hAnsi="CESI仿宋-GB2312" w:eastAsia="仿宋_GB2312" w:cs="CESI仿宋-GB2312"/>
          <w:b w:val="0"/>
          <w:bCs w:val="0"/>
          <w:color w:val="000000"/>
          <w:sz w:val="32"/>
          <w:szCs w:val="32"/>
          <w:lang w:val="en-US" w:eastAsia="zh-CN"/>
        </w:rPr>
      </w:pPr>
      <w:r>
        <w:rPr>
          <w:rFonts w:hint="eastAsia" w:ascii="CESI黑体-GB13000" w:hAnsi="CESI黑体-GB13000" w:eastAsia="CESI黑体-GB13000" w:cs="CESI黑体-GB13000"/>
          <w:color w:val="000000"/>
          <w:sz w:val="32"/>
          <w:szCs w:val="32"/>
        </w:rPr>
        <w:t>第五部分 附表</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lang w:val="en-US" w:eastAsia="zh-CN"/>
        </w:rPr>
        <w:t>21</w:t>
      </w:r>
    </w:p>
    <w:p>
      <w:pPr>
        <w:pStyle w:val="8"/>
        <w:tabs>
          <w:tab w:val="right" w:leader="dot" w:pos="8306"/>
          <w:tab w:val="clear" w:pos="8296"/>
        </w:tabs>
        <w:rPr>
          <w:rFonts w:hint="default"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一、收入支出决算总表</w:t>
      </w:r>
      <w:r>
        <w:rPr>
          <w:rFonts w:hint="default" w:ascii="仿宋_GB2312" w:hAnsi="仿宋_GB2312" w:eastAsia="仿宋_GB2312" w:cs="仿宋_GB2312"/>
          <w:color w:val="000000"/>
          <w:sz w:val="32"/>
          <w:szCs w:val="32"/>
        </w:rPr>
        <w:t>........................21</w:t>
      </w:r>
    </w:p>
    <w:p>
      <w:pPr>
        <w:pStyle w:val="8"/>
        <w:tabs>
          <w:tab w:val="right" w:leader="dot" w:pos="8306"/>
          <w:tab w:val="clear" w:pos="8296"/>
        </w:tabs>
        <w:rPr>
          <w:rFonts w:hint="default"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二、收入决算表</w:t>
      </w:r>
      <w:r>
        <w:rPr>
          <w:rFonts w:hint="default" w:ascii="仿宋_GB2312" w:hAnsi="仿宋_GB2312" w:eastAsia="仿宋_GB2312" w:cs="仿宋_GB2312"/>
          <w:color w:val="000000"/>
          <w:sz w:val="32"/>
          <w:szCs w:val="32"/>
        </w:rPr>
        <w:t>..............................21</w:t>
      </w:r>
    </w:p>
    <w:p>
      <w:pPr>
        <w:pStyle w:val="8"/>
        <w:tabs>
          <w:tab w:val="right" w:leader="dot" w:pos="8306"/>
          <w:tab w:val="clear" w:pos="8296"/>
        </w:tabs>
        <w:rPr>
          <w:rFonts w:hint="default"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三、支出决算表</w:t>
      </w:r>
      <w:r>
        <w:rPr>
          <w:rFonts w:hint="default" w:ascii="仿宋_GB2312" w:hAnsi="仿宋_GB2312" w:eastAsia="仿宋_GB2312" w:cs="仿宋_GB2312"/>
          <w:color w:val="000000"/>
          <w:sz w:val="32"/>
          <w:szCs w:val="32"/>
        </w:rPr>
        <w:t>..............................21</w:t>
      </w:r>
    </w:p>
    <w:p>
      <w:pPr>
        <w:pStyle w:val="8"/>
        <w:tabs>
          <w:tab w:val="right" w:leader="dot" w:pos="8306"/>
          <w:tab w:val="clear" w:pos="8296"/>
        </w:tabs>
        <w:rPr>
          <w:rFonts w:hint="default"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四、财政拨款收入支出决算总表</w:t>
      </w:r>
      <w:r>
        <w:rPr>
          <w:rFonts w:hint="default" w:ascii="仿宋_GB2312" w:hAnsi="仿宋_GB2312" w:eastAsia="仿宋_GB2312" w:cs="仿宋_GB2312"/>
          <w:color w:val="000000"/>
          <w:sz w:val="32"/>
          <w:szCs w:val="32"/>
        </w:rPr>
        <w:t>................21</w:t>
      </w:r>
    </w:p>
    <w:p>
      <w:pPr>
        <w:pStyle w:val="8"/>
        <w:tabs>
          <w:tab w:val="right" w:leader="dot" w:pos="8306"/>
          <w:tab w:val="clear" w:pos="8296"/>
        </w:tabs>
        <w:rPr>
          <w:rFonts w:hint="default"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五、财政拨款支出决算明细表</w:t>
      </w:r>
      <w:r>
        <w:rPr>
          <w:rFonts w:hint="default" w:ascii="仿宋_GB2312" w:hAnsi="仿宋_GB2312" w:eastAsia="仿宋_GB2312" w:cs="仿宋_GB2312"/>
          <w:color w:val="000000"/>
          <w:sz w:val="32"/>
          <w:szCs w:val="32"/>
        </w:rPr>
        <w:t>..................21</w:t>
      </w:r>
    </w:p>
    <w:p>
      <w:pPr>
        <w:pStyle w:val="8"/>
        <w:tabs>
          <w:tab w:val="right" w:leader="dot" w:pos="8306"/>
          <w:tab w:val="clear" w:pos="8296"/>
        </w:tabs>
        <w:rPr>
          <w:rFonts w:hint="default"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六、一般公共预算财政拨款支出决算表</w:t>
      </w:r>
      <w:r>
        <w:rPr>
          <w:rFonts w:hint="default" w:ascii="仿宋_GB2312" w:hAnsi="仿宋_GB2312" w:eastAsia="仿宋_GB2312" w:cs="仿宋_GB2312"/>
          <w:color w:val="000000"/>
          <w:sz w:val="32"/>
          <w:szCs w:val="32"/>
        </w:rPr>
        <w:t>..........21</w:t>
      </w:r>
    </w:p>
    <w:p>
      <w:pPr>
        <w:pStyle w:val="8"/>
        <w:tabs>
          <w:tab w:val="right" w:leader="dot" w:pos="8306"/>
          <w:tab w:val="clear" w:pos="8296"/>
        </w:tabs>
        <w:rPr>
          <w:rFonts w:hint="default"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七、一般公共预算财政拨款支出决算明细表</w:t>
      </w:r>
      <w:r>
        <w:rPr>
          <w:rFonts w:hint="default" w:ascii="仿宋_GB2312" w:hAnsi="仿宋_GB2312" w:eastAsia="仿宋_GB2312" w:cs="仿宋_GB2312"/>
          <w:color w:val="000000"/>
          <w:sz w:val="32"/>
          <w:szCs w:val="32"/>
        </w:rPr>
        <w:t>......21</w:t>
      </w:r>
    </w:p>
    <w:p>
      <w:pPr>
        <w:pStyle w:val="8"/>
        <w:tabs>
          <w:tab w:val="right" w:leader="dot" w:pos="8306"/>
          <w:tab w:val="clear" w:pos="8296"/>
        </w:tabs>
        <w:rPr>
          <w:rFonts w:hint="default"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八、一般公共预算财政拨款基本支出决算</w:t>
      </w:r>
      <w:r>
        <w:rPr>
          <w:rFonts w:hint="eastAsia" w:ascii="仿宋_GB2312" w:hAnsi="仿宋_GB2312" w:eastAsia="仿宋_GB2312" w:cs="仿宋_GB2312"/>
          <w:color w:val="000000"/>
          <w:sz w:val="32"/>
          <w:szCs w:val="32"/>
          <w:lang w:eastAsia="zh-CN"/>
        </w:rPr>
        <w:t>明细</w:t>
      </w:r>
      <w:r>
        <w:rPr>
          <w:rFonts w:hint="eastAsia" w:ascii="仿宋_GB2312" w:hAnsi="仿宋_GB2312" w:eastAsia="仿宋_GB2312" w:cs="仿宋_GB2312"/>
          <w:color w:val="000000"/>
          <w:sz w:val="32"/>
          <w:szCs w:val="32"/>
        </w:rPr>
        <w:t>表</w:t>
      </w:r>
      <w:r>
        <w:rPr>
          <w:rFonts w:hint="default" w:ascii="仿宋_GB2312" w:hAnsi="仿宋_GB2312" w:eastAsia="仿宋_GB2312" w:cs="仿宋_GB2312"/>
          <w:color w:val="000000"/>
          <w:sz w:val="32"/>
          <w:szCs w:val="32"/>
        </w:rPr>
        <w:t>...21</w:t>
      </w:r>
    </w:p>
    <w:p>
      <w:pPr>
        <w:pStyle w:val="8"/>
        <w:tabs>
          <w:tab w:val="right" w:leader="dot" w:pos="8306"/>
          <w:tab w:val="clear" w:pos="8296"/>
        </w:tabs>
        <w:rPr>
          <w:rFonts w:hint="default"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九、一般公共预算财政拨款项目支出决算表</w:t>
      </w:r>
      <w:r>
        <w:rPr>
          <w:rFonts w:hint="default" w:ascii="仿宋_GB2312" w:hAnsi="仿宋_GB2312" w:eastAsia="仿宋_GB2312" w:cs="仿宋_GB2312"/>
          <w:color w:val="000000"/>
          <w:sz w:val="32"/>
          <w:szCs w:val="32"/>
        </w:rPr>
        <w:t>.......21</w:t>
      </w:r>
    </w:p>
    <w:p>
      <w:pPr>
        <w:pStyle w:val="8"/>
        <w:tabs>
          <w:tab w:val="right" w:leader="dot" w:pos="8306"/>
          <w:tab w:val="clear" w:pos="8296"/>
        </w:tabs>
        <w:rPr>
          <w:rFonts w:hint="default"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w:t>
      </w:r>
      <w:r>
        <w:rPr>
          <w:rFonts w:hint="eastAsia" w:ascii="仿宋_GB2312" w:hAnsi="仿宋_GB2312" w:eastAsia="仿宋_GB2312" w:cs="仿宋_GB2312"/>
          <w:color w:val="000000"/>
          <w:sz w:val="32"/>
          <w:szCs w:val="32"/>
          <w:lang w:eastAsia="zh-CN"/>
        </w:rPr>
        <w:t>政府性基金预算财政拨款收入支出</w:t>
      </w:r>
      <w:r>
        <w:rPr>
          <w:rFonts w:hint="eastAsia" w:ascii="仿宋_GB2312" w:hAnsi="仿宋_GB2312" w:eastAsia="仿宋_GB2312" w:cs="仿宋_GB2312"/>
          <w:color w:val="000000"/>
          <w:sz w:val="32"/>
          <w:szCs w:val="32"/>
        </w:rPr>
        <w:t>决算表</w:t>
      </w:r>
      <w:r>
        <w:rPr>
          <w:rFonts w:hint="default" w:ascii="仿宋_GB2312" w:hAnsi="仿宋_GB2312" w:eastAsia="仿宋_GB2312" w:cs="仿宋_GB2312"/>
          <w:color w:val="000000"/>
          <w:sz w:val="32"/>
          <w:szCs w:val="32"/>
        </w:rPr>
        <w:t>.....21</w:t>
      </w:r>
    </w:p>
    <w:p>
      <w:pPr>
        <w:pStyle w:val="8"/>
        <w:tabs>
          <w:tab w:val="right" w:leader="dot" w:pos="8306"/>
          <w:tab w:val="clear" w:pos="8296"/>
        </w:tabs>
        <w:rPr>
          <w:rFonts w:hint="default"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十一、</w:t>
      </w:r>
      <w:r>
        <w:rPr>
          <w:rFonts w:hint="eastAsia" w:ascii="仿宋_GB2312" w:hAnsi="仿宋_GB2312" w:eastAsia="仿宋_GB2312" w:cs="仿宋_GB2312"/>
          <w:color w:val="000000"/>
          <w:sz w:val="32"/>
          <w:szCs w:val="32"/>
          <w:lang w:eastAsia="zh-CN"/>
        </w:rPr>
        <w:t>国有资本经营预算财政拨款收入支出决算表</w:t>
      </w:r>
      <w:r>
        <w:rPr>
          <w:rFonts w:hint="default" w:ascii="仿宋_GB2312" w:hAnsi="仿宋_GB2312" w:eastAsia="仿宋_GB2312" w:cs="仿宋_GB2312"/>
          <w:color w:val="000000"/>
          <w:sz w:val="32"/>
          <w:szCs w:val="32"/>
          <w:lang w:eastAsia="zh-CN"/>
        </w:rPr>
        <w:t>.21</w:t>
      </w:r>
    </w:p>
    <w:p>
      <w:pPr>
        <w:pStyle w:val="8"/>
        <w:tabs>
          <w:tab w:val="right" w:leader="dot" w:pos="8306"/>
          <w:tab w:val="clear" w:pos="8296"/>
        </w:tabs>
        <w:rPr>
          <w:rFonts w:hint="default"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十二、</w:t>
      </w:r>
      <w:r>
        <w:rPr>
          <w:rFonts w:hint="eastAsia" w:ascii="仿宋_GB2312" w:hAnsi="仿宋_GB2312" w:eastAsia="仿宋_GB2312" w:cs="仿宋_GB2312"/>
          <w:color w:val="000000"/>
          <w:sz w:val="32"/>
          <w:szCs w:val="32"/>
          <w:lang w:eastAsia="zh-CN"/>
        </w:rPr>
        <w:t>国有资本经营预算财政拨款支出决算表</w:t>
      </w:r>
      <w:r>
        <w:rPr>
          <w:rFonts w:hint="default" w:ascii="仿宋_GB2312" w:hAnsi="仿宋_GB2312" w:eastAsia="仿宋_GB2312" w:cs="仿宋_GB2312"/>
          <w:color w:val="000000"/>
          <w:sz w:val="32"/>
          <w:szCs w:val="32"/>
          <w:lang w:eastAsia="zh-CN"/>
        </w:rPr>
        <w:t>....21</w:t>
      </w:r>
    </w:p>
    <w:p>
      <w:pPr>
        <w:pStyle w:val="8"/>
        <w:tabs>
          <w:tab w:val="right" w:leader="dot" w:pos="8306"/>
          <w:tab w:val="clear" w:pos="8296"/>
        </w:tabs>
        <w:rPr>
          <w:rFonts w:hint="default"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十三、</w:t>
      </w:r>
      <w:r>
        <w:rPr>
          <w:rFonts w:hint="eastAsia" w:ascii="仿宋_GB2312" w:hAnsi="仿宋_GB2312" w:eastAsia="仿宋_GB2312" w:cs="仿宋_GB2312"/>
          <w:color w:val="000000"/>
          <w:sz w:val="32"/>
          <w:szCs w:val="32"/>
          <w:lang w:eastAsia="zh-CN"/>
        </w:rPr>
        <w:t>财政拨款“三公”经费</w:t>
      </w:r>
      <w:r>
        <w:rPr>
          <w:rFonts w:hint="eastAsia" w:ascii="仿宋_GB2312" w:hAnsi="仿宋_GB2312" w:eastAsia="仿宋_GB2312" w:cs="仿宋_GB2312"/>
          <w:color w:val="000000"/>
          <w:sz w:val="32"/>
          <w:szCs w:val="32"/>
        </w:rPr>
        <w:t>支出决算表</w:t>
      </w:r>
      <w:r>
        <w:rPr>
          <w:rFonts w:hint="default" w:ascii="仿宋_GB2312" w:hAnsi="仿宋_GB2312" w:eastAsia="仿宋_GB2312" w:cs="仿宋_GB2312"/>
          <w:color w:val="000000"/>
          <w:sz w:val="32"/>
          <w:szCs w:val="32"/>
        </w:rPr>
        <w:t>.....21</w:t>
      </w:r>
      <w:bookmarkStart w:id="124" w:name="_GoBack"/>
      <w:bookmarkEnd w:id="124"/>
    </w:p>
    <w:p>
      <w:pPr>
        <w:pStyle w:val="8"/>
        <w:pageBreakBefore w:val="0"/>
        <w:tabs>
          <w:tab w:val="right" w:leader="dot" w:pos="8306"/>
          <w:tab w:val="clear" w:pos="8296"/>
        </w:tabs>
        <w:kinsoku/>
        <w:wordWrap/>
        <w:overflowPunct/>
        <w:topLinePunct w:val="0"/>
        <w:autoSpaceDE/>
        <w:autoSpaceDN/>
        <w:bidi w:val="0"/>
        <w:spacing w:line="576" w:lineRule="exact"/>
        <w:ind w:left="0" w:leftChars="0" w:firstLine="0" w:firstLineChars="0"/>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fldChar w:fldCharType="end"/>
      </w:r>
      <w:bookmarkStart w:id="7" w:name="_Toc1398"/>
      <w:bookmarkStart w:id="8" w:name="_Toc23038"/>
      <w:bookmarkStart w:id="9" w:name="_Toc111208495"/>
    </w:p>
    <w:p>
      <w:pPr>
        <w:pStyle w:val="8"/>
        <w:pageBreakBefore w:val="0"/>
        <w:tabs>
          <w:tab w:val="right" w:leader="dot" w:pos="8306"/>
          <w:tab w:val="clear" w:pos="8296"/>
        </w:tabs>
        <w:kinsoku/>
        <w:wordWrap/>
        <w:overflowPunct/>
        <w:topLinePunct w:val="0"/>
        <w:autoSpaceDE/>
        <w:autoSpaceDN/>
        <w:bidi w:val="0"/>
        <w:spacing w:line="576" w:lineRule="exact"/>
        <w:ind w:left="0" w:leftChars="0" w:firstLine="0" w:firstLineChars="0"/>
        <w:jc w:val="center"/>
        <w:textAlignment w:val="auto"/>
        <w:rPr>
          <w:rFonts w:hint="eastAsia" w:ascii="仿宋_GB2312" w:hAnsi="仿宋_GB2312" w:eastAsia="仿宋_GB2312" w:cs="仿宋_GB2312"/>
          <w:color w:val="000000"/>
          <w:sz w:val="32"/>
          <w:szCs w:val="32"/>
        </w:rPr>
      </w:pPr>
    </w:p>
    <w:p>
      <w:pPr>
        <w:pStyle w:val="8"/>
        <w:pageBreakBefore w:val="0"/>
        <w:tabs>
          <w:tab w:val="right" w:leader="dot" w:pos="8306"/>
          <w:tab w:val="clear" w:pos="8296"/>
        </w:tabs>
        <w:kinsoku/>
        <w:wordWrap/>
        <w:overflowPunct/>
        <w:topLinePunct w:val="0"/>
        <w:autoSpaceDE/>
        <w:autoSpaceDN/>
        <w:bidi w:val="0"/>
        <w:spacing w:line="576" w:lineRule="exact"/>
        <w:ind w:left="0" w:leftChars="0" w:firstLine="0" w:firstLineChars="0"/>
        <w:jc w:val="center"/>
        <w:textAlignment w:val="auto"/>
        <w:rPr>
          <w:rFonts w:hint="eastAsia" w:ascii="仿宋_GB2312" w:hAnsi="仿宋_GB2312" w:eastAsia="仿宋_GB2312" w:cs="仿宋_GB2312"/>
          <w:color w:val="000000"/>
          <w:sz w:val="32"/>
          <w:szCs w:val="32"/>
        </w:rPr>
      </w:pPr>
    </w:p>
    <w:p>
      <w:pPr>
        <w:pStyle w:val="8"/>
        <w:pageBreakBefore w:val="0"/>
        <w:tabs>
          <w:tab w:val="right" w:leader="dot" w:pos="8306"/>
          <w:tab w:val="clear" w:pos="8296"/>
        </w:tabs>
        <w:kinsoku/>
        <w:wordWrap/>
        <w:overflowPunct/>
        <w:topLinePunct w:val="0"/>
        <w:autoSpaceDE/>
        <w:autoSpaceDN/>
        <w:bidi w:val="0"/>
        <w:spacing w:line="576" w:lineRule="exact"/>
        <w:ind w:left="0" w:leftChars="0" w:firstLine="0" w:firstLineChars="0"/>
        <w:jc w:val="center"/>
        <w:textAlignment w:val="auto"/>
        <w:rPr>
          <w:rFonts w:hint="eastAsia" w:ascii="仿宋_GB2312" w:hAnsi="仿宋_GB2312" w:eastAsia="仿宋_GB2312" w:cs="仿宋_GB2312"/>
          <w:color w:val="000000"/>
          <w:sz w:val="32"/>
          <w:szCs w:val="32"/>
        </w:rPr>
      </w:pPr>
    </w:p>
    <w:p>
      <w:pPr>
        <w:pStyle w:val="8"/>
        <w:pageBreakBefore w:val="0"/>
        <w:tabs>
          <w:tab w:val="right" w:leader="dot" w:pos="8306"/>
          <w:tab w:val="clear" w:pos="8296"/>
        </w:tabs>
        <w:kinsoku/>
        <w:wordWrap/>
        <w:overflowPunct/>
        <w:topLinePunct w:val="0"/>
        <w:autoSpaceDE/>
        <w:autoSpaceDN/>
        <w:bidi w:val="0"/>
        <w:spacing w:line="576" w:lineRule="exact"/>
        <w:ind w:left="0" w:leftChars="0" w:firstLine="0" w:firstLineChars="0"/>
        <w:jc w:val="center"/>
        <w:textAlignment w:val="auto"/>
        <w:rPr>
          <w:rFonts w:hint="eastAsia" w:ascii="仿宋_GB2312" w:hAnsi="仿宋_GB2312" w:eastAsia="仿宋_GB2312" w:cs="仿宋_GB2312"/>
          <w:color w:val="000000"/>
          <w:sz w:val="32"/>
          <w:szCs w:val="32"/>
        </w:rPr>
      </w:pPr>
    </w:p>
    <w:p>
      <w:pPr>
        <w:pStyle w:val="8"/>
        <w:pageBreakBefore w:val="0"/>
        <w:tabs>
          <w:tab w:val="right" w:leader="dot" w:pos="8306"/>
          <w:tab w:val="clear" w:pos="8296"/>
        </w:tabs>
        <w:kinsoku/>
        <w:wordWrap/>
        <w:overflowPunct/>
        <w:topLinePunct w:val="0"/>
        <w:autoSpaceDE/>
        <w:autoSpaceDN/>
        <w:bidi w:val="0"/>
        <w:spacing w:line="576" w:lineRule="exact"/>
        <w:ind w:left="0" w:leftChars="0" w:firstLine="0" w:firstLineChars="0"/>
        <w:jc w:val="center"/>
        <w:textAlignment w:val="auto"/>
        <w:rPr>
          <w:rFonts w:hint="eastAsia" w:ascii="仿宋_GB2312" w:hAnsi="仿宋_GB2312" w:eastAsia="仿宋_GB2312" w:cs="仿宋_GB2312"/>
          <w:color w:val="000000"/>
          <w:sz w:val="32"/>
          <w:szCs w:val="32"/>
        </w:rPr>
      </w:pPr>
    </w:p>
    <w:p>
      <w:pPr>
        <w:pStyle w:val="8"/>
        <w:pageBreakBefore w:val="0"/>
        <w:tabs>
          <w:tab w:val="right" w:leader="dot" w:pos="8306"/>
          <w:tab w:val="clear" w:pos="8296"/>
        </w:tabs>
        <w:kinsoku/>
        <w:wordWrap/>
        <w:overflowPunct/>
        <w:topLinePunct w:val="0"/>
        <w:autoSpaceDE/>
        <w:autoSpaceDN/>
        <w:bidi w:val="0"/>
        <w:spacing w:line="576" w:lineRule="exact"/>
        <w:ind w:left="0" w:leftChars="0" w:firstLine="0" w:firstLineChars="0"/>
        <w:jc w:val="center"/>
        <w:textAlignment w:val="auto"/>
        <w:rPr>
          <w:rFonts w:hint="eastAsia" w:ascii="仿宋_GB2312" w:hAnsi="仿宋_GB2312" w:eastAsia="仿宋_GB2312" w:cs="仿宋_GB2312"/>
          <w:color w:val="000000"/>
          <w:sz w:val="32"/>
          <w:szCs w:val="32"/>
        </w:rPr>
      </w:pPr>
    </w:p>
    <w:p>
      <w:pPr>
        <w:pStyle w:val="8"/>
        <w:pageBreakBefore w:val="0"/>
        <w:tabs>
          <w:tab w:val="right" w:leader="dot" w:pos="8306"/>
          <w:tab w:val="clear" w:pos="8296"/>
        </w:tabs>
        <w:kinsoku/>
        <w:wordWrap/>
        <w:overflowPunct/>
        <w:topLinePunct w:val="0"/>
        <w:autoSpaceDE/>
        <w:autoSpaceDN/>
        <w:bidi w:val="0"/>
        <w:spacing w:line="576" w:lineRule="exact"/>
        <w:ind w:left="0" w:leftChars="0" w:firstLine="0" w:firstLineChars="0"/>
        <w:jc w:val="center"/>
        <w:textAlignment w:val="auto"/>
        <w:rPr>
          <w:rFonts w:hint="eastAsia" w:ascii="仿宋_GB2312" w:hAnsi="仿宋_GB2312" w:eastAsia="仿宋_GB2312" w:cs="仿宋_GB2312"/>
          <w:color w:val="000000"/>
          <w:sz w:val="32"/>
          <w:szCs w:val="32"/>
        </w:rPr>
      </w:pPr>
    </w:p>
    <w:p>
      <w:pPr>
        <w:pStyle w:val="8"/>
        <w:pageBreakBefore w:val="0"/>
        <w:tabs>
          <w:tab w:val="right" w:leader="dot" w:pos="8306"/>
          <w:tab w:val="clear" w:pos="8296"/>
        </w:tabs>
        <w:kinsoku/>
        <w:wordWrap/>
        <w:overflowPunct/>
        <w:topLinePunct w:val="0"/>
        <w:autoSpaceDE/>
        <w:autoSpaceDN/>
        <w:bidi w:val="0"/>
        <w:spacing w:line="576" w:lineRule="exact"/>
        <w:ind w:left="0" w:leftChars="0" w:firstLine="0" w:firstLineChars="0"/>
        <w:jc w:val="center"/>
        <w:textAlignment w:val="auto"/>
        <w:rPr>
          <w:rFonts w:hint="eastAsia" w:ascii="仿宋_GB2312" w:hAnsi="仿宋_GB2312" w:eastAsia="仿宋_GB2312" w:cs="仿宋_GB2312"/>
          <w:color w:val="000000"/>
          <w:sz w:val="32"/>
          <w:szCs w:val="32"/>
        </w:rPr>
      </w:pPr>
    </w:p>
    <w:p>
      <w:pPr>
        <w:pStyle w:val="8"/>
        <w:pageBreakBefore w:val="0"/>
        <w:tabs>
          <w:tab w:val="right" w:leader="dot" w:pos="8306"/>
          <w:tab w:val="clear" w:pos="8296"/>
        </w:tabs>
        <w:kinsoku/>
        <w:wordWrap/>
        <w:overflowPunct/>
        <w:topLinePunct w:val="0"/>
        <w:autoSpaceDE/>
        <w:autoSpaceDN/>
        <w:bidi w:val="0"/>
        <w:spacing w:line="576" w:lineRule="exact"/>
        <w:ind w:left="0" w:leftChars="0" w:firstLine="0" w:firstLineChars="0"/>
        <w:jc w:val="center"/>
        <w:textAlignment w:val="auto"/>
        <w:rPr>
          <w:rFonts w:hint="eastAsia" w:ascii="仿宋_GB2312" w:hAnsi="仿宋_GB2312" w:eastAsia="仿宋_GB2312" w:cs="仿宋_GB2312"/>
          <w:color w:val="000000"/>
          <w:sz w:val="32"/>
          <w:szCs w:val="32"/>
        </w:rPr>
      </w:pPr>
    </w:p>
    <w:p>
      <w:pPr>
        <w:pStyle w:val="8"/>
        <w:pageBreakBefore w:val="0"/>
        <w:tabs>
          <w:tab w:val="right" w:leader="dot" w:pos="8306"/>
          <w:tab w:val="clear" w:pos="8296"/>
        </w:tabs>
        <w:kinsoku/>
        <w:wordWrap/>
        <w:overflowPunct/>
        <w:topLinePunct w:val="0"/>
        <w:autoSpaceDE/>
        <w:autoSpaceDN/>
        <w:bidi w:val="0"/>
        <w:spacing w:line="576" w:lineRule="exact"/>
        <w:ind w:left="0" w:leftChars="0" w:firstLine="0" w:firstLineChars="0"/>
        <w:jc w:val="center"/>
        <w:textAlignment w:val="auto"/>
        <w:rPr>
          <w:rFonts w:hint="eastAsia" w:ascii="仿宋_GB2312" w:hAnsi="仿宋_GB2312" w:eastAsia="仿宋_GB2312" w:cs="仿宋_GB2312"/>
          <w:color w:val="000000"/>
          <w:sz w:val="32"/>
          <w:szCs w:val="32"/>
        </w:rPr>
      </w:pPr>
    </w:p>
    <w:p>
      <w:pPr>
        <w:pStyle w:val="8"/>
        <w:pageBreakBefore w:val="0"/>
        <w:tabs>
          <w:tab w:val="right" w:leader="dot" w:pos="8306"/>
          <w:tab w:val="clear" w:pos="8296"/>
        </w:tabs>
        <w:kinsoku/>
        <w:wordWrap/>
        <w:overflowPunct/>
        <w:topLinePunct w:val="0"/>
        <w:autoSpaceDE/>
        <w:autoSpaceDN/>
        <w:bidi w:val="0"/>
        <w:spacing w:line="576" w:lineRule="exact"/>
        <w:ind w:left="0" w:leftChars="0" w:firstLine="0" w:firstLineChars="0"/>
        <w:jc w:val="center"/>
        <w:textAlignment w:val="auto"/>
        <w:rPr>
          <w:rFonts w:hint="eastAsia" w:ascii="仿宋_GB2312" w:hAnsi="仿宋_GB2312" w:eastAsia="仿宋_GB2312" w:cs="仿宋_GB2312"/>
          <w:color w:val="000000"/>
          <w:sz w:val="32"/>
          <w:szCs w:val="32"/>
        </w:rPr>
      </w:pPr>
    </w:p>
    <w:p>
      <w:pPr>
        <w:pStyle w:val="8"/>
        <w:pageBreakBefore w:val="0"/>
        <w:tabs>
          <w:tab w:val="right" w:leader="dot" w:pos="8306"/>
          <w:tab w:val="clear" w:pos="8296"/>
        </w:tabs>
        <w:kinsoku/>
        <w:wordWrap/>
        <w:overflowPunct/>
        <w:topLinePunct w:val="0"/>
        <w:autoSpaceDE/>
        <w:autoSpaceDN/>
        <w:bidi w:val="0"/>
        <w:spacing w:line="576" w:lineRule="exact"/>
        <w:ind w:left="0" w:leftChars="0" w:firstLine="0" w:firstLineChars="0"/>
        <w:jc w:val="center"/>
        <w:textAlignment w:val="auto"/>
        <w:rPr>
          <w:rFonts w:hint="eastAsia" w:ascii="仿宋_GB2312" w:hAnsi="仿宋_GB2312" w:eastAsia="仿宋_GB2312" w:cs="仿宋_GB2312"/>
          <w:color w:val="000000"/>
          <w:sz w:val="32"/>
          <w:szCs w:val="32"/>
        </w:rPr>
      </w:pPr>
    </w:p>
    <w:p>
      <w:pPr>
        <w:pStyle w:val="8"/>
        <w:pageBreakBefore w:val="0"/>
        <w:tabs>
          <w:tab w:val="right" w:leader="dot" w:pos="8306"/>
          <w:tab w:val="clear" w:pos="8296"/>
        </w:tabs>
        <w:kinsoku/>
        <w:wordWrap/>
        <w:overflowPunct/>
        <w:topLinePunct w:val="0"/>
        <w:autoSpaceDE/>
        <w:autoSpaceDN/>
        <w:bidi w:val="0"/>
        <w:spacing w:line="576" w:lineRule="exact"/>
        <w:ind w:left="0" w:leftChars="0" w:firstLine="0" w:firstLineChars="0"/>
        <w:jc w:val="center"/>
        <w:textAlignment w:val="auto"/>
        <w:rPr>
          <w:rFonts w:hint="eastAsia" w:ascii="仿宋_GB2312" w:hAnsi="仿宋_GB2312" w:eastAsia="仿宋_GB2312" w:cs="仿宋_GB2312"/>
          <w:color w:val="000000"/>
          <w:sz w:val="32"/>
          <w:szCs w:val="32"/>
        </w:rPr>
      </w:pPr>
    </w:p>
    <w:p>
      <w:pPr>
        <w:pStyle w:val="8"/>
        <w:pageBreakBefore w:val="0"/>
        <w:tabs>
          <w:tab w:val="right" w:leader="dot" w:pos="8306"/>
          <w:tab w:val="clear" w:pos="8296"/>
        </w:tabs>
        <w:kinsoku/>
        <w:wordWrap/>
        <w:overflowPunct/>
        <w:topLinePunct w:val="0"/>
        <w:autoSpaceDE/>
        <w:autoSpaceDN/>
        <w:bidi w:val="0"/>
        <w:spacing w:line="576" w:lineRule="exact"/>
        <w:ind w:left="0" w:leftChars="0" w:firstLine="0" w:firstLineChars="0"/>
        <w:jc w:val="center"/>
        <w:textAlignment w:val="auto"/>
        <w:rPr>
          <w:rFonts w:hint="eastAsia" w:ascii="仿宋_GB2312" w:hAnsi="仿宋_GB2312" w:eastAsia="仿宋_GB2312" w:cs="仿宋_GB2312"/>
          <w:color w:val="000000"/>
          <w:sz w:val="32"/>
          <w:szCs w:val="32"/>
        </w:rPr>
      </w:pPr>
    </w:p>
    <w:p>
      <w:pPr>
        <w:pStyle w:val="8"/>
        <w:pageBreakBefore w:val="0"/>
        <w:tabs>
          <w:tab w:val="right" w:leader="dot" w:pos="8306"/>
          <w:tab w:val="clear" w:pos="8296"/>
        </w:tabs>
        <w:kinsoku/>
        <w:wordWrap/>
        <w:overflowPunct/>
        <w:topLinePunct w:val="0"/>
        <w:autoSpaceDE/>
        <w:autoSpaceDN/>
        <w:bidi w:val="0"/>
        <w:spacing w:line="576" w:lineRule="exact"/>
        <w:ind w:left="0" w:leftChars="0" w:firstLine="0" w:firstLineChars="0"/>
        <w:jc w:val="center"/>
        <w:textAlignment w:val="auto"/>
        <w:rPr>
          <w:rFonts w:hint="eastAsia" w:ascii="仿宋_GB2312" w:hAnsi="仿宋_GB2312" w:eastAsia="仿宋_GB2312" w:cs="仿宋_GB2312"/>
          <w:color w:val="000000"/>
          <w:sz w:val="32"/>
          <w:szCs w:val="32"/>
        </w:rPr>
      </w:pPr>
    </w:p>
    <w:p>
      <w:pPr>
        <w:pStyle w:val="8"/>
        <w:pageBreakBefore w:val="0"/>
        <w:tabs>
          <w:tab w:val="right" w:leader="dot" w:pos="8306"/>
          <w:tab w:val="clear" w:pos="8296"/>
        </w:tabs>
        <w:kinsoku/>
        <w:wordWrap/>
        <w:overflowPunct/>
        <w:topLinePunct w:val="0"/>
        <w:autoSpaceDE/>
        <w:autoSpaceDN/>
        <w:bidi w:val="0"/>
        <w:spacing w:line="576" w:lineRule="exact"/>
        <w:ind w:left="0" w:leftChars="0" w:firstLine="0" w:firstLineChars="0"/>
        <w:jc w:val="center"/>
        <w:textAlignment w:val="auto"/>
        <w:rPr>
          <w:rFonts w:hint="eastAsia" w:ascii="仿宋_GB2312" w:hAnsi="仿宋_GB2312" w:eastAsia="仿宋_GB2312" w:cs="仿宋_GB2312"/>
          <w:color w:val="000000"/>
          <w:sz w:val="32"/>
          <w:szCs w:val="32"/>
        </w:rPr>
      </w:pPr>
    </w:p>
    <w:p>
      <w:pPr>
        <w:pStyle w:val="8"/>
        <w:pageBreakBefore w:val="0"/>
        <w:tabs>
          <w:tab w:val="right" w:leader="dot" w:pos="8306"/>
          <w:tab w:val="clear" w:pos="8296"/>
        </w:tabs>
        <w:kinsoku/>
        <w:wordWrap/>
        <w:overflowPunct/>
        <w:topLinePunct w:val="0"/>
        <w:autoSpaceDE/>
        <w:autoSpaceDN/>
        <w:bidi w:val="0"/>
        <w:spacing w:line="576" w:lineRule="exact"/>
        <w:ind w:left="0" w:leftChars="0" w:firstLine="0" w:firstLineChars="0"/>
        <w:jc w:val="center"/>
        <w:textAlignment w:val="auto"/>
        <w:rPr>
          <w:rFonts w:hint="eastAsia" w:ascii="仿宋_GB2312" w:hAnsi="仿宋_GB2312" w:eastAsia="仿宋_GB2312" w:cs="仿宋_GB2312"/>
          <w:color w:val="000000"/>
          <w:sz w:val="32"/>
          <w:szCs w:val="32"/>
        </w:rPr>
      </w:pPr>
    </w:p>
    <w:p>
      <w:pPr>
        <w:pStyle w:val="8"/>
        <w:pageBreakBefore w:val="0"/>
        <w:tabs>
          <w:tab w:val="right" w:leader="dot" w:pos="8306"/>
          <w:tab w:val="clear" w:pos="8296"/>
        </w:tabs>
        <w:kinsoku/>
        <w:wordWrap/>
        <w:overflowPunct/>
        <w:topLinePunct w:val="0"/>
        <w:autoSpaceDE/>
        <w:autoSpaceDN/>
        <w:bidi w:val="0"/>
        <w:spacing w:line="576" w:lineRule="exact"/>
        <w:ind w:left="0" w:leftChars="0" w:firstLine="0" w:firstLineChars="0"/>
        <w:jc w:val="center"/>
        <w:textAlignment w:val="auto"/>
        <w:rPr>
          <w:rFonts w:hint="eastAsia" w:ascii="仿宋_GB2312" w:hAnsi="仿宋_GB2312" w:eastAsia="仿宋_GB2312" w:cs="仿宋_GB2312"/>
          <w:color w:val="000000"/>
          <w:sz w:val="32"/>
          <w:szCs w:val="32"/>
        </w:rPr>
      </w:pPr>
    </w:p>
    <w:p>
      <w:pPr>
        <w:pStyle w:val="8"/>
        <w:pageBreakBefore w:val="0"/>
        <w:tabs>
          <w:tab w:val="right" w:leader="dot" w:pos="8306"/>
          <w:tab w:val="clear" w:pos="8296"/>
        </w:tabs>
        <w:kinsoku/>
        <w:wordWrap/>
        <w:overflowPunct/>
        <w:topLinePunct w:val="0"/>
        <w:autoSpaceDE/>
        <w:autoSpaceDN/>
        <w:bidi w:val="0"/>
        <w:spacing w:line="576" w:lineRule="exact"/>
        <w:ind w:left="0" w:leftChars="0" w:firstLine="0" w:firstLineChars="0"/>
        <w:jc w:val="center"/>
        <w:textAlignment w:val="auto"/>
        <w:rPr>
          <w:rFonts w:hint="eastAsia" w:ascii="仿宋_GB2312" w:hAnsi="仿宋_GB2312" w:eastAsia="仿宋_GB2312" w:cs="仿宋_GB2312"/>
          <w:color w:val="000000"/>
          <w:sz w:val="32"/>
          <w:szCs w:val="32"/>
        </w:rPr>
      </w:pPr>
    </w:p>
    <w:p>
      <w:pPr>
        <w:pStyle w:val="8"/>
        <w:pageBreakBefore w:val="0"/>
        <w:tabs>
          <w:tab w:val="right" w:leader="dot" w:pos="8306"/>
          <w:tab w:val="clear" w:pos="8296"/>
        </w:tabs>
        <w:kinsoku/>
        <w:wordWrap/>
        <w:overflowPunct/>
        <w:topLinePunct w:val="0"/>
        <w:autoSpaceDE/>
        <w:autoSpaceDN/>
        <w:bidi w:val="0"/>
        <w:spacing w:line="576" w:lineRule="exact"/>
        <w:ind w:left="0" w:leftChars="0" w:firstLine="0" w:firstLineChars="0"/>
        <w:jc w:val="center"/>
        <w:textAlignment w:val="auto"/>
        <w:rPr>
          <w:rFonts w:hint="eastAsia" w:ascii="仿宋_GB2312" w:hAnsi="仿宋_GB2312" w:eastAsia="仿宋_GB2312" w:cs="仿宋_GB2312"/>
          <w:color w:val="000000"/>
          <w:sz w:val="32"/>
          <w:szCs w:val="32"/>
        </w:rPr>
      </w:pPr>
    </w:p>
    <w:p>
      <w:pPr>
        <w:pStyle w:val="8"/>
        <w:pageBreakBefore w:val="0"/>
        <w:tabs>
          <w:tab w:val="right" w:leader="dot" w:pos="8306"/>
          <w:tab w:val="clear" w:pos="8296"/>
        </w:tabs>
        <w:kinsoku/>
        <w:wordWrap/>
        <w:overflowPunct/>
        <w:topLinePunct w:val="0"/>
        <w:autoSpaceDE/>
        <w:autoSpaceDN/>
        <w:bidi w:val="0"/>
        <w:spacing w:line="576" w:lineRule="exact"/>
        <w:ind w:left="0" w:leftChars="0" w:firstLine="0" w:firstLineChars="0"/>
        <w:jc w:val="center"/>
        <w:textAlignment w:val="auto"/>
        <w:rPr>
          <w:rFonts w:hint="eastAsia" w:ascii="仿宋_GB2312" w:hAnsi="仿宋_GB2312" w:eastAsia="仿宋_GB2312" w:cs="仿宋_GB2312"/>
          <w:color w:val="000000"/>
          <w:sz w:val="32"/>
          <w:szCs w:val="32"/>
        </w:rPr>
      </w:pPr>
    </w:p>
    <w:p>
      <w:pPr>
        <w:pStyle w:val="8"/>
        <w:pageBreakBefore w:val="0"/>
        <w:tabs>
          <w:tab w:val="right" w:leader="dot" w:pos="8306"/>
          <w:tab w:val="clear" w:pos="8296"/>
        </w:tabs>
        <w:kinsoku/>
        <w:wordWrap/>
        <w:overflowPunct/>
        <w:topLinePunct w:val="0"/>
        <w:autoSpaceDE/>
        <w:autoSpaceDN/>
        <w:bidi w:val="0"/>
        <w:spacing w:line="576" w:lineRule="exact"/>
        <w:ind w:left="0" w:leftChars="0" w:firstLine="0" w:firstLineChars="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sz w:val="44"/>
          <w:szCs w:val="44"/>
        </w:rPr>
        <w:t xml:space="preserve">第一部分 </w:t>
      </w:r>
      <w:r>
        <w:rPr>
          <w:rStyle w:val="21"/>
          <w:rFonts w:hint="eastAsia" w:ascii="方正小标宋简体" w:hAnsi="方正小标宋简体" w:eastAsia="方正小标宋简体" w:cs="方正小标宋简体"/>
          <w:b w:val="0"/>
          <w:bCs/>
          <w:sz w:val="44"/>
          <w:szCs w:val="44"/>
        </w:rPr>
        <w:t>部门概况</w:t>
      </w:r>
      <w:bookmarkEnd w:id="6"/>
      <w:bookmarkEnd w:id="7"/>
      <w:bookmarkEnd w:id="8"/>
      <w:bookmarkEnd w:id="9"/>
    </w:p>
    <w:p>
      <w:pPr>
        <w:pStyle w:val="3"/>
        <w:pageBreakBefore w:val="0"/>
        <w:kinsoku/>
        <w:wordWrap/>
        <w:overflowPunct/>
        <w:topLinePunct w:val="0"/>
        <w:autoSpaceDE/>
        <w:autoSpaceDN/>
        <w:bidi w:val="0"/>
        <w:spacing w:before="0" w:after="0" w:line="576" w:lineRule="exact"/>
        <w:textAlignment w:val="auto"/>
        <w:rPr>
          <w:rFonts w:hint="eastAsia" w:ascii="黑体" w:eastAsia="黑体"/>
          <w:b w:val="0"/>
          <w:color w:val="000000"/>
        </w:rPr>
      </w:pPr>
      <w:bookmarkStart w:id="10" w:name="_Toc79163602"/>
      <w:bookmarkStart w:id="11" w:name="_Toc10216"/>
      <w:bookmarkStart w:id="12" w:name="_Toc6271"/>
      <w:bookmarkStart w:id="13" w:name="_Toc15396600"/>
      <w:bookmarkStart w:id="14" w:name="_Toc25800"/>
      <w:bookmarkStart w:id="15" w:name="_Toc15377197"/>
      <w:bookmarkStart w:id="16" w:name="_Toc15377204"/>
    </w:p>
    <w:p>
      <w:pPr>
        <w:pStyle w:val="3"/>
        <w:pageBreakBefore w:val="0"/>
        <w:kinsoku/>
        <w:wordWrap/>
        <w:overflowPunct/>
        <w:topLinePunct w:val="0"/>
        <w:autoSpaceDE/>
        <w:autoSpaceDN/>
        <w:bidi w:val="0"/>
        <w:spacing w:before="0" w:after="0" w:line="576" w:lineRule="exact"/>
        <w:ind w:firstLine="640" w:firstLineChars="200"/>
        <w:textAlignment w:val="auto"/>
        <w:rPr>
          <w:rStyle w:val="22"/>
          <w:rFonts w:ascii="仿宋" w:eastAsia="仿宋"/>
          <w:b w:val="0"/>
          <w:bCs w:val="0"/>
        </w:rPr>
      </w:pPr>
      <w:r>
        <w:rPr>
          <w:rFonts w:hint="eastAsia" w:ascii="黑体" w:eastAsia="黑体"/>
          <w:b w:val="0"/>
          <w:color w:val="000000"/>
        </w:rPr>
        <w:t>一、</w:t>
      </w:r>
      <w:bookmarkEnd w:id="10"/>
      <w:bookmarkEnd w:id="11"/>
      <w:bookmarkEnd w:id="12"/>
      <w:bookmarkEnd w:id="13"/>
      <w:bookmarkEnd w:id="14"/>
      <w:bookmarkEnd w:id="15"/>
      <w:r>
        <w:rPr>
          <w:rFonts w:hint="eastAsia" w:ascii="黑体" w:hAnsi="黑体" w:eastAsia="黑体"/>
          <w:b w:val="0"/>
          <w:color w:val="auto"/>
          <w:highlight w:val="none"/>
          <w:lang w:eastAsia="zh-CN"/>
        </w:rPr>
        <w:t>部门职责</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640" w:firstLineChars="200"/>
        <w:jc w:val="left"/>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党史工作：</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征集、整理县委重要党史资料，收集整理重要口述历史资料、重要党史人物回忆录，搜集、整理和研究有关中共党史、中共地方党史的信息资料</w:t>
      </w:r>
      <w:r>
        <w:rPr>
          <w:rFonts w:hint="eastAsia" w:ascii="仿宋_GB2312" w:hAnsi="仿宋_GB2312" w:eastAsia="仿宋_GB2312" w:cs="仿宋_GB2312"/>
          <w:kern w:val="0"/>
          <w:sz w:val="32"/>
          <w:szCs w:val="32"/>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640" w:firstLineChars="200"/>
        <w:jc w:val="left"/>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地方志工作：</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仿宋_GB2312" w:cs="仿宋_GB2312"/>
        </w:rPr>
      </w:pPr>
      <w:r>
        <w:rPr>
          <w:rFonts w:hint="eastAsia" w:ascii="仿宋_GB2312" w:hAnsi="仿宋_GB2312" w:eastAsia="仿宋_GB2312" w:cs="仿宋_GB2312"/>
          <w:kern w:val="0"/>
          <w:sz w:val="32"/>
          <w:szCs w:val="32"/>
        </w:rPr>
        <w:t>收集、整理、保存地方志文献及相关地情文献资料，组织整理旧志，推动方志理论研究；</w:t>
      </w:r>
    </w:p>
    <w:p>
      <w:pPr>
        <w:pStyle w:val="3"/>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eastAsia="黑体" w:cs="黑体"/>
          <w:b w:val="0"/>
          <w:bCs/>
          <w:color w:val="000000"/>
          <w:lang w:eastAsia="zh-CN"/>
        </w:rPr>
      </w:pPr>
      <w:bookmarkStart w:id="17" w:name="_Toc111208497"/>
      <w:bookmarkStart w:id="18" w:name="_Toc15377200"/>
      <w:bookmarkStart w:id="19" w:name="_Toc23404"/>
      <w:bookmarkStart w:id="20" w:name="_Toc2743"/>
      <w:r>
        <w:rPr>
          <w:rFonts w:hint="eastAsia" w:ascii="黑体" w:eastAsia="黑体" w:cs="黑体"/>
          <w:b w:val="0"/>
          <w:bCs/>
          <w:color w:val="000000"/>
        </w:rPr>
        <w:t>二、机构设置</w:t>
      </w:r>
      <w:bookmarkEnd w:id="17"/>
      <w:bookmarkEnd w:id="18"/>
      <w:bookmarkEnd w:id="19"/>
    </w:p>
    <w:bookmarkEnd w:id="20"/>
    <w:p>
      <w:pPr>
        <w:pStyle w:val="3"/>
        <w:pageBreakBefore w:val="0"/>
        <w:kinsoku/>
        <w:wordWrap/>
        <w:overflowPunct/>
        <w:topLinePunct w:val="0"/>
        <w:autoSpaceDE/>
        <w:autoSpaceDN/>
        <w:bidi w:val="0"/>
        <w:spacing w:before="0" w:after="0" w:line="576" w:lineRule="exact"/>
        <w:ind w:firstLine="640" w:firstLineChars="200"/>
        <w:textAlignment w:val="auto"/>
        <w:rPr>
          <w:rFonts w:ascii="仿宋_GB2312" w:eastAsia="仿宋_GB2312"/>
          <w:b/>
          <w:bCs/>
          <w:color w:val="000000"/>
          <w:kern w:val="44"/>
          <w:sz w:val="44"/>
          <w:szCs w:val="44"/>
        </w:rPr>
      </w:pPr>
      <w:bookmarkStart w:id="21" w:name="_Toc10049"/>
      <w:r>
        <w:rPr>
          <w:rFonts w:hint="eastAsia" w:ascii="仿宋_GB2312" w:hAnsi="仿宋_GB2312" w:eastAsia="仿宋_GB2312" w:cs="仿宋_GB2312"/>
          <w:b w:val="0"/>
          <w:bCs w:val="0"/>
        </w:rPr>
        <w:t>茂县地情资料收集整理中心</w:t>
      </w:r>
      <w:r>
        <w:rPr>
          <w:rFonts w:hint="eastAsia" w:ascii="仿宋_GB2312" w:hAnsi="仿宋_GB2312" w:eastAsia="仿宋_GB2312" w:cs="仿宋_GB2312"/>
          <w:b w:val="0"/>
          <w:bCs w:val="0"/>
          <w:lang w:eastAsia="zh-CN"/>
        </w:rPr>
        <w:t>下属二级预算单位</w:t>
      </w:r>
      <w:r>
        <w:rPr>
          <w:rFonts w:hint="eastAsia" w:ascii="仿宋_GB2312" w:hAnsi="仿宋_GB2312" w:eastAsia="仿宋_GB2312" w:cs="仿宋_GB2312"/>
          <w:b w:val="0"/>
          <w:bCs w:val="0"/>
          <w:lang w:val="en-US" w:eastAsia="zh-CN"/>
        </w:rPr>
        <w:t>0个</w:t>
      </w:r>
      <w:r>
        <w:rPr>
          <w:rFonts w:hint="eastAsia" w:ascii="仿宋_GB2312" w:hAnsi="仿宋_GB2312" w:eastAsia="仿宋_GB2312" w:cs="仿宋_GB2312"/>
          <w:b w:val="0"/>
          <w:bCs w:val="0"/>
        </w:rPr>
        <w:t>，其中行政单位</w:t>
      </w:r>
      <w:r>
        <w:rPr>
          <w:rFonts w:ascii="仿宋_GB2312" w:hAnsi="仿宋_GB2312" w:eastAsia="仿宋_GB2312" w:cs="仿宋_GB2312"/>
          <w:b w:val="0"/>
          <w:bCs w:val="0"/>
        </w:rPr>
        <w:t>0</w:t>
      </w:r>
      <w:r>
        <w:rPr>
          <w:rFonts w:hint="eastAsia" w:ascii="仿宋_GB2312" w:hAnsi="仿宋_GB2312" w:eastAsia="仿宋_GB2312" w:cs="仿宋_GB2312"/>
          <w:b w:val="0"/>
          <w:bCs w:val="0"/>
        </w:rPr>
        <w:t>个，参照公务员法管理的事业单位</w:t>
      </w:r>
      <w:r>
        <w:rPr>
          <w:rFonts w:hint="eastAsia" w:ascii="仿宋_GB2312" w:hAnsi="仿宋_GB2312" w:eastAsia="仿宋_GB2312" w:cs="仿宋_GB2312"/>
          <w:b w:val="0"/>
          <w:bCs w:val="0"/>
          <w:lang w:val="en-US" w:eastAsia="zh-CN"/>
        </w:rPr>
        <w:t>0</w:t>
      </w:r>
      <w:r>
        <w:rPr>
          <w:rFonts w:hint="eastAsia" w:ascii="仿宋_GB2312" w:hAnsi="仿宋_GB2312" w:eastAsia="仿宋_GB2312" w:cs="仿宋_GB2312"/>
          <w:b w:val="0"/>
          <w:bCs w:val="0"/>
        </w:rPr>
        <w:t>个，其他事业单位</w:t>
      </w:r>
      <w:r>
        <w:rPr>
          <w:rFonts w:hint="eastAsia" w:ascii="仿宋_GB2312" w:hAnsi="仿宋_GB2312" w:eastAsia="仿宋_GB2312" w:cs="仿宋_GB2312"/>
          <w:b w:val="0"/>
          <w:bCs w:val="0"/>
          <w:lang w:val="en-US" w:eastAsia="zh-CN"/>
        </w:rPr>
        <w:t>0</w:t>
      </w:r>
      <w:r>
        <w:rPr>
          <w:rFonts w:hint="eastAsia" w:ascii="仿宋_GB2312" w:hAnsi="仿宋_GB2312" w:eastAsia="仿宋_GB2312" w:cs="仿宋_GB2312"/>
          <w:b w:val="0"/>
          <w:bCs w:val="0"/>
        </w:rPr>
        <w:t>个。</w:t>
      </w:r>
      <w:bookmarkEnd w:id="21"/>
    </w:p>
    <w:p>
      <w:pPr>
        <w:pStyle w:val="2"/>
        <w:pageBreakBefore w:val="0"/>
        <w:kinsoku/>
        <w:wordWrap/>
        <w:overflowPunct/>
        <w:topLinePunct w:val="0"/>
        <w:autoSpaceDE/>
        <w:autoSpaceDN/>
        <w:bidi w:val="0"/>
        <w:spacing w:before="0" w:after="0" w:line="576" w:lineRule="exact"/>
        <w:jc w:val="center"/>
        <w:textAlignment w:val="auto"/>
        <w:rPr>
          <w:rFonts w:hint="eastAsia" w:ascii="黑体" w:eastAsia="黑体" w:cs="黑体"/>
          <w:b w:val="0"/>
          <w:bCs w:val="0"/>
        </w:rPr>
      </w:pPr>
      <w:bookmarkStart w:id="22" w:name="_Toc4756"/>
      <w:bookmarkStart w:id="23" w:name="_Toc111208498"/>
      <w:bookmarkStart w:id="24" w:name="_Toc26567"/>
    </w:p>
    <w:p>
      <w:pPr>
        <w:pStyle w:val="2"/>
        <w:pageBreakBefore w:val="0"/>
        <w:kinsoku/>
        <w:wordWrap/>
        <w:overflowPunct/>
        <w:topLinePunct w:val="0"/>
        <w:autoSpaceDE/>
        <w:autoSpaceDN/>
        <w:bidi w:val="0"/>
        <w:spacing w:before="0" w:after="0" w:line="576" w:lineRule="exact"/>
        <w:jc w:val="center"/>
        <w:textAlignment w:val="auto"/>
        <w:rPr>
          <w:rFonts w:hint="eastAsia" w:ascii="黑体" w:eastAsia="黑体" w:cs="黑体"/>
          <w:b w:val="0"/>
          <w:bCs w:val="0"/>
        </w:rPr>
      </w:pPr>
    </w:p>
    <w:p>
      <w:pPr>
        <w:rPr>
          <w:rFonts w:hint="eastAsia"/>
        </w:rPr>
      </w:pPr>
    </w:p>
    <w:p>
      <w:pPr>
        <w:pStyle w:val="2"/>
        <w:pageBreakBefore w:val="0"/>
        <w:kinsoku/>
        <w:wordWrap/>
        <w:overflowPunct/>
        <w:topLinePunct w:val="0"/>
        <w:autoSpaceDE/>
        <w:autoSpaceDN/>
        <w:bidi w:val="0"/>
        <w:spacing w:before="0" w:after="0" w:line="576" w:lineRule="exact"/>
        <w:jc w:val="center"/>
        <w:textAlignment w:val="auto"/>
        <w:rPr>
          <w:rFonts w:hint="eastAsia" w:ascii="黑体" w:eastAsia="黑体" w:cs="黑体"/>
          <w:b w:val="0"/>
          <w:bCs w:val="0"/>
        </w:rPr>
      </w:pPr>
    </w:p>
    <w:p>
      <w:pPr>
        <w:rPr>
          <w:rFonts w:hint="eastAsia"/>
        </w:rPr>
      </w:pPr>
    </w:p>
    <w:p>
      <w:pPr>
        <w:pStyle w:val="2"/>
        <w:pageBreakBefore w:val="0"/>
        <w:kinsoku/>
        <w:wordWrap/>
        <w:overflowPunct/>
        <w:topLinePunct w:val="0"/>
        <w:autoSpaceDE/>
        <w:autoSpaceDN/>
        <w:bidi w:val="0"/>
        <w:spacing w:before="0" w:after="0" w:line="576" w:lineRule="exact"/>
        <w:jc w:val="center"/>
        <w:textAlignment w:val="auto"/>
        <w:rPr>
          <w:rFonts w:hint="eastAsia" w:ascii="黑体" w:eastAsia="黑体" w:cs="黑体"/>
          <w:b w:val="0"/>
          <w:bCs w:val="0"/>
        </w:rPr>
      </w:pPr>
    </w:p>
    <w:p>
      <w:pPr>
        <w:rPr>
          <w:rFonts w:hint="eastAsia" w:ascii="黑体" w:eastAsia="黑体" w:cs="黑体"/>
          <w:b w:val="0"/>
          <w:bCs w:val="0"/>
        </w:rPr>
      </w:pPr>
    </w:p>
    <w:p>
      <w:pPr>
        <w:rPr>
          <w:rFonts w:hint="eastAsia" w:ascii="黑体" w:eastAsia="黑体" w:cs="黑体"/>
          <w:b w:val="0"/>
          <w:bCs w:val="0"/>
        </w:rPr>
      </w:pPr>
    </w:p>
    <w:p>
      <w:pPr>
        <w:pStyle w:val="2"/>
        <w:pageBreakBefore w:val="0"/>
        <w:kinsoku/>
        <w:wordWrap/>
        <w:overflowPunct/>
        <w:topLinePunct w:val="0"/>
        <w:autoSpaceDE/>
        <w:autoSpaceDN/>
        <w:bidi w:val="0"/>
        <w:spacing w:before="0" w:after="0" w:line="576" w:lineRule="exact"/>
        <w:jc w:val="center"/>
        <w:textAlignment w:val="auto"/>
        <w:rPr>
          <w:rFonts w:hint="eastAsia" w:ascii="黑体" w:eastAsia="黑体" w:cs="黑体"/>
          <w:b w:val="0"/>
          <w:bCs w:val="0"/>
        </w:rPr>
      </w:pPr>
    </w:p>
    <w:p>
      <w:pPr>
        <w:pStyle w:val="2"/>
        <w:pageBreakBefore w:val="0"/>
        <w:kinsoku/>
        <w:wordWrap/>
        <w:overflowPunct/>
        <w:topLinePunct w:val="0"/>
        <w:autoSpaceDE/>
        <w:autoSpaceDN/>
        <w:bidi w:val="0"/>
        <w:spacing w:before="0" w:after="0" w:line="576" w:lineRule="exact"/>
        <w:jc w:val="center"/>
        <w:textAlignment w:val="auto"/>
        <w:rPr>
          <w:rFonts w:ascii="黑体" w:eastAsia="黑体" w:cs="黑体"/>
          <w:b w:val="0"/>
          <w:bCs w:val="0"/>
        </w:rPr>
      </w:pPr>
      <w:r>
        <w:rPr>
          <w:rFonts w:hint="eastAsia" w:ascii="黑体" w:eastAsia="黑体" w:cs="黑体"/>
          <w:b w:val="0"/>
          <w:bCs w:val="0"/>
        </w:rPr>
        <w:t>第二部分</w:t>
      </w:r>
      <w:r>
        <w:rPr>
          <w:rFonts w:ascii="黑体" w:eastAsia="黑体" w:cs="黑体"/>
          <w:b w:val="0"/>
          <w:bCs w:val="0"/>
        </w:rPr>
        <w:t xml:space="preserve"> </w:t>
      </w:r>
      <w:r>
        <w:rPr>
          <w:rFonts w:hint="eastAsia" w:ascii="黑体" w:eastAsia="黑体" w:cs="黑体"/>
          <w:b w:val="0"/>
          <w:bCs w:val="0"/>
        </w:rPr>
        <w:t>202</w:t>
      </w:r>
      <w:r>
        <w:rPr>
          <w:rFonts w:hint="eastAsia" w:ascii="黑体" w:eastAsia="黑体" w:cs="黑体"/>
          <w:b w:val="0"/>
          <w:bCs w:val="0"/>
          <w:lang w:val="en-US" w:eastAsia="zh-CN"/>
        </w:rPr>
        <w:t>4</w:t>
      </w:r>
      <w:r>
        <w:rPr>
          <w:rFonts w:hint="eastAsia" w:ascii="黑体" w:eastAsia="黑体" w:cs="黑体"/>
          <w:b w:val="0"/>
          <w:bCs w:val="0"/>
        </w:rPr>
        <w:t>年度部门决算情况说明</w:t>
      </w:r>
      <w:bookmarkEnd w:id="16"/>
      <w:bookmarkEnd w:id="22"/>
      <w:bookmarkEnd w:id="23"/>
      <w:bookmarkEnd w:id="24"/>
    </w:p>
    <w:p>
      <w:pPr>
        <w:pStyle w:val="3"/>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bCs/>
          <w:color w:val="000000"/>
        </w:rPr>
      </w:pPr>
      <w:bookmarkStart w:id="25" w:name="_Toc15377205"/>
      <w:bookmarkStart w:id="26" w:name="_Toc26705"/>
      <w:bookmarkStart w:id="27" w:name="_Toc111208499"/>
      <w:bookmarkStart w:id="28" w:name="_Toc14352"/>
    </w:p>
    <w:p>
      <w:pPr>
        <w:pStyle w:val="3"/>
        <w:pageBreakBefore w:val="0"/>
        <w:kinsoku/>
        <w:wordWrap/>
        <w:overflowPunct/>
        <w:topLinePunct w:val="0"/>
        <w:autoSpaceDE/>
        <w:autoSpaceDN/>
        <w:bidi w:val="0"/>
        <w:spacing w:before="0" w:after="0" w:line="576" w:lineRule="exact"/>
        <w:ind w:firstLine="640" w:firstLineChars="200"/>
        <w:textAlignment w:val="auto"/>
        <w:rPr>
          <w:rFonts w:ascii="黑体" w:eastAsia="黑体" w:cs="Times New Roman"/>
          <w:b w:val="0"/>
          <w:bCs/>
          <w:color w:val="000000"/>
        </w:rPr>
      </w:pPr>
      <w:r>
        <w:rPr>
          <w:rFonts w:hint="eastAsia" w:ascii="黑体" w:eastAsia="黑体" w:cs="Times New Roman"/>
          <w:b w:val="0"/>
          <w:bCs/>
          <w:color w:val="000000"/>
        </w:rPr>
        <w:t>一、收入支出决算总体情况说</w:t>
      </w:r>
      <w:bookmarkEnd w:id="25"/>
      <w:r>
        <w:rPr>
          <w:rFonts w:hint="eastAsia" w:ascii="黑体" w:eastAsia="黑体" w:cs="Times New Roman"/>
          <w:b w:val="0"/>
          <w:bCs/>
          <w:color w:val="000000"/>
        </w:rPr>
        <w:t>明</w:t>
      </w:r>
      <w:bookmarkEnd w:id="26"/>
      <w:bookmarkEnd w:id="27"/>
      <w:bookmarkEnd w:id="28"/>
    </w:p>
    <w:p>
      <w:pPr>
        <w:pageBreakBefore w:val="0"/>
        <w:kinsoku/>
        <w:wordWrap/>
        <w:overflowPunct/>
        <w:topLinePunct w:val="0"/>
        <w:autoSpaceDE/>
        <w:autoSpaceDN/>
        <w:bidi w:val="0"/>
        <w:spacing w:line="576" w:lineRule="exact"/>
        <w:ind w:firstLine="640" w:firstLineChars="200"/>
        <w:textAlignment w:val="auto"/>
        <w:rPr>
          <w:rFonts w:hint="eastAsia" w:ascii="仿宋_GB2312" w:hAnsi="仿宋" w:eastAsia="仿宋_GB2312"/>
          <w:color w:val="000000"/>
          <w:sz w:val="32"/>
          <w:szCs w:val="32"/>
          <w:lang w:val="en-US" w:eastAsia="zh-CN"/>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年度收、支总计</w:t>
      </w:r>
      <w:r>
        <w:rPr>
          <w:rFonts w:hint="eastAsia" w:ascii="仿宋_GB2312" w:hAnsi="仿宋_GB2312" w:eastAsia="仿宋_GB2312" w:cs="仿宋_GB2312"/>
          <w:sz w:val="32"/>
          <w:szCs w:val="32"/>
          <w:lang w:val="en-US" w:eastAsia="zh-CN"/>
        </w:rPr>
        <w:t>22.61</w:t>
      </w:r>
      <w:r>
        <w:rPr>
          <w:rFonts w:hint="eastAsia" w:ascii="仿宋_GB2312" w:hAnsi="仿宋_GB2312" w:eastAsia="仿宋_GB2312" w:cs="仿宋_GB2312"/>
          <w:color w:val="000000"/>
          <w:sz w:val="32"/>
          <w:szCs w:val="32"/>
        </w:rPr>
        <w:t>万元。与202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年相比，收、支总计各增加</w:t>
      </w:r>
      <w:r>
        <w:rPr>
          <w:rFonts w:hint="eastAsia" w:ascii="仿宋_GB2312" w:hAnsi="仿宋_GB2312" w:eastAsia="仿宋_GB2312" w:cs="仿宋_GB2312"/>
          <w:color w:val="000000"/>
          <w:sz w:val="32"/>
          <w:szCs w:val="32"/>
          <w:lang w:val="en-US" w:eastAsia="zh-CN"/>
        </w:rPr>
        <w:t>0.37</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sz w:val="32"/>
          <w:szCs w:val="32"/>
          <w:lang w:val="en-US" w:eastAsia="zh-CN"/>
        </w:rPr>
        <w:t>1.64</w:t>
      </w:r>
      <w:r>
        <w:rPr>
          <w:rFonts w:hint="eastAsia" w:ascii="仿宋_GB2312" w:hAnsi="仿宋_GB2312" w:eastAsia="仿宋_GB2312" w:cs="仿宋_GB2312"/>
          <w:color w:val="000000"/>
          <w:sz w:val="32"/>
          <w:szCs w:val="32"/>
        </w:rPr>
        <w:t>%。主要变动原因</w:t>
      </w:r>
      <w:r>
        <w:rPr>
          <w:rFonts w:hint="eastAsia" w:ascii="仿宋_GB2312" w:hAnsi="仿宋_GB2312" w:eastAsia="仿宋_GB2312" w:cs="仿宋_GB2312"/>
          <w:color w:val="000000"/>
          <w:sz w:val="32"/>
          <w:szCs w:val="32"/>
          <w:lang w:eastAsia="zh-CN"/>
        </w:rPr>
        <w:t>是：人员经费的增加。</w:t>
      </w:r>
    </w:p>
    <w:p>
      <w:pPr>
        <w:pStyle w:val="5"/>
        <w:rPr>
          <w:rFonts w:hint="eastAsia" w:ascii="仿宋_GB2312" w:hAnsi="仿宋" w:eastAsia="仿宋_GB2312"/>
          <w:color w:val="000000"/>
          <w:sz w:val="32"/>
          <w:szCs w:val="32"/>
        </w:rPr>
      </w:pPr>
      <w:r>
        <w:rPr>
          <w:rFonts w:hint="eastAsia" w:ascii="仿宋_GB2312" w:hAnsi="仿宋" w:eastAsia="仿宋_GB2312"/>
          <w:color w:val="000000"/>
          <w:sz w:val="32"/>
          <w:szCs w:val="32"/>
        </w:rPr>
        <w:drawing>
          <wp:anchor distT="0" distB="0" distL="114300" distR="114300" simplePos="0" relativeHeight="251659264" behindDoc="0" locked="0" layoutInCell="1" allowOverlap="1">
            <wp:simplePos x="0" y="0"/>
            <wp:positionH relativeFrom="column">
              <wp:posOffset>432435</wp:posOffset>
            </wp:positionH>
            <wp:positionV relativeFrom="paragraph">
              <wp:posOffset>15240</wp:posOffset>
            </wp:positionV>
            <wp:extent cx="4479290" cy="2547620"/>
            <wp:effectExtent l="4445" t="4445" r="12065" b="1968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5"/>
        <w:rPr>
          <w:rFonts w:hint="eastAsia" w:ascii="仿宋_GB2312" w:hAnsi="仿宋" w:eastAsia="仿宋_GB2312"/>
          <w:color w:val="000000"/>
          <w:sz w:val="32"/>
          <w:szCs w:val="32"/>
        </w:rPr>
      </w:pPr>
    </w:p>
    <w:p>
      <w:pPr>
        <w:pStyle w:val="5"/>
        <w:rPr>
          <w:rFonts w:hint="eastAsia" w:ascii="仿宋_GB2312" w:hAnsi="仿宋" w:eastAsia="仿宋_GB2312"/>
          <w:color w:val="000000"/>
          <w:sz w:val="32"/>
          <w:szCs w:val="32"/>
        </w:rPr>
      </w:pPr>
    </w:p>
    <w:p>
      <w:pPr>
        <w:pStyle w:val="5"/>
        <w:rPr>
          <w:rFonts w:hint="eastAsia" w:ascii="仿宋_GB2312" w:hAnsi="仿宋" w:eastAsia="仿宋_GB2312"/>
          <w:color w:val="000000"/>
          <w:sz w:val="32"/>
          <w:szCs w:val="32"/>
        </w:rPr>
      </w:pPr>
    </w:p>
    <w:p>
      <w:pPr>
        <w:pStyle w:val="5"/>
        <w:rPr>
          <w:rFonts w:hint="eastAsia" w:ascii="仿宋_GB2312" w:hAnsi="仿宋" w:eastAsia="仿宋_GB2312"/>
          <w:color w:val="000000"/>
          <w:sz w:val="32"/>
          <w:szCs w:val="32"/>
        </w:rPr>
      </w:pPr>
    </w:p>
    <w:p>
      <w:pPr>
        <w:pStyle w:val="3"/>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ascii="黑体" w:eastAsia="黑体" w:cs="Times New Roman"/>
          <w:b w:val="0"/>
          <w:bCs/>
          <w:color w:val="000000"/>
        </w:rPr>
      </w:pPr>
      <w:bookmarkStart w:id="29" w:name="_Toc22482"/>
      <w:bookmarkStart w:id="30" w:name="_Toc15377206"/>
      <w:bookmarkStart w:id="31" w:name="_Toc111208500"/>
      <w:bookmarkStart w:id="32" w:name="_Toc25746"/>
      <w:r>
        <w:rPr>
          <w:rFonts w:hint="eastAsia" w:ascii="黑体" w:eastAsia="黑体" w:cs="Times New Roman"/>
          <w:b w:val="0"/>
          <w:bCs/>
          <w:color w:val="000000"/>
        </w:rPr>
        <w:t>二、收入决算情况说明</w:t>
      </w:r>
      <w:bookmarkEnd w:id="29"/>
      <w:bookmarkEnd w:id="30"/>
      <w:bookmarkEnd w:id="31"/>
      <w:bookmarkEnd w:id="32"/>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2024年本年收入合计</w:t>
      </w:r>
      <w:r>
        <w:rPr>
          <w:rFonts w:hint="eastAsia" w:ascii="仿宋_GB2312" w:hAnsi="仿宋_GB2312" w:eastAsia="仿宋_GB2312" w:cs="仿宋_GB2312"/>
          <w:sz w:val="32"/>
          <w:szCs w:val="32"/>
          <w:lang w:val="en-US" w:eastAsia="zh-CN"/>
        </w:rPr>
        <w:t>22.61</w:t>
      </w:r>
      <w:r>
        <w:rPr>
          <w:rFonts w:hint="eastAsia" w:ascii="仿宋_GB2312" w:hAnsi="仿宋_GB2312" w:eastAsia="仿宋_GB2312" w:cs="仿宋_GB2312"/>
          <w:color w:val="000000"/>
          <w:sz w:val="32"/>
          <w:szCs w:val="32"/>
          <w:lang w:val="en-US" w:eastAsia="zh-CN"/>
        </w:rPr>
        <w:t>万元，其中：一般公共预算财政拨款收入</w:t>
      </w:r>
      <w:r>
        <w:rPr>
          <w:rFonts w:hint="eastAsia" w:ascii="仿宋_GB2312" w:hAnsi="仿宋_GB2312" w:eastAsia="仿宋_GB2312" w:cs="仿宋_GB2312"/>
          <w:sz w:val="32"/>
          <w:szCs w:val="32"/>
          <w:lang w:val="en-US" w:eastAsia="zh-CN"/>
        </w:rPr>
        <w:t>22.61</w:t>
      </w:r>
      <w:r>
        <w:rPr>
          <w:rFonts w:hint="eastAsia" w:ascii="仿宋_GB2312" w:hAnsi="仿宋_GB2312" w:eastAsia="仿宋_GB2312" w:cs="仿宋_GB2312"/>
          <w:color w:val="000000"/>
          <w:sz w:val="32"/>
          <w:szCs w:val="32"/>
          <w:lang w:val="en-US" w:eastAsia="zh-CN"/>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政府性基金预算财政拨款收入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pPr>
        <w:pStyle w:val="13"/>
        <w:ind w:left="0" w:leftChars="0" w:firstLine="0" w:firstLineChars="0"/>
        <w:jc w:val="both"/>
      </w:pPr>
      <w:r>
        <w:rPr>
          <w:rFonts w:hint="eastAsia" w:ascii="仿宋_GB2312" w:eastAsia="仿宋_GB2312"/>
          <w:color w:val="FF0000"/>
          <w:sz w:val="32"/>
          <w:szCs w:val="32"/>
          <w:lang w:val="en-US" w:eastAsia="zh-CN"/>
        </w:rPr>
        <w:t xml:space="preserve">  </w:t>
      </w:r>
      <w:r>
        <w:rPr>
          <w:rFonts w:hint="eastAsia" w:ascii="仿宋_GB2312" w:eastAsia="仿宋_GB2312"/>
          <w:color w:val="FF0000"/>
          <w:sz w:val="32"/>
          <w:szCs w:val="32"/>
        </w:rPr>
        <w:drawing>
          <wp:inline distT="0" distB="0" distL="114300" distR="114300">
            <wp:extent cx="4857750" cy="2029460"/>
            <wp:effectExtent l="5080" t="4445" r="13970" b="2349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3"/>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ascii="黑体" w:eastAsia="黑体" w:cs="Times New Roman"/>
          <w:b w:val="0"/>
          <w:bCs/>
          <w:color w:val="000000"/>
        </w:rPr>
      </w:pPr>
      <w:bookmarkStart w:id="33" w:name="_Toc111208501"/>
      <w:bookmarkStart w:id="34" w:name="_Toc13351"/>
      <w:bookmarkStart w:id="35" w:name="_Toc15377207"/>
      <w:bookmarkStart w:id="36" w:name="_Toc26388"/>
      <w:r>
        <w:rPr>
          <w:rFonts w:hint="eastAsia" w:ascii="黑体" w:eastAsia="黑体" w:cs="Times New Roman"/>
          <w:b w:val="0"/>
          <w:bCs/>
          <w:color w:val="000000"/>
        </w:rPr>
        <w:t>三、支出决算情况说明</w:t>
      </w:r>
      <w:bookmarkEnd w:id="33"/>
      <w:bookmarkEnd w:id="34"/>
      <w:bookmarkEnd w:id="35"/>
      <w:bookmarkEnd w:id="36"/>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2024年本年支出合计</w:t>
      </w:r>
      <w:r>
        <w:rPr>
          <w:rFonts w:hint="eastAsia" w:ascii="仿宋_GB2312" w:hAnsi="仿宋_GB2312" w:eastAsia="仿宋_GB2312" w:cs="仿宋_GB2312"/>
          <w:sz w:val="32"/>
          <w:szCs w:val="32"/>
          <w:lang w:val="en-US" w:eastAsia="zh-CN"/>
        </w:rPr>
        <w:t>22.61</w:t>
      </w:r>
      <w:r>
        <w:rPr>
          <w:rFonts w:hint="eastAsia" w:ascii="仿宋_GB2312" w:hAnsi="仿宋_GB2312" w:eastAsia="仿宋_GB2312" w:cs="仿宋_GB2312"/>
          <w:color w:val="000000"/>
          <w:sz w:val="32"/>
          <w:szCs w:val="32"/>
          <w:lang w:val="en-US" w:eastAsia="zh-CN"/>
        </w:rPr>
        <w:t>万元，其中：基本支出</w:t>
      </w:r>
      <w:r>
        <w:rPr>
          <w:rFonts w:hint="eastAsia" w:ascii="仿宋_GB2312" w:hAnsi="仿宋_GB2312" w:eastAsia="仿宋_GB2312" w:cs="仿宋_GB2312"/>
          <w:sz w:val="32"/>
          <w:szCs w:val="32"/>
          <w:lang w:val="en-US" w:eastAsia="zh-CN"/>
        </w:rPr>
        <w:t>22.61</w:t>
      </w:r>
      <w:r>
        <w:rPr>
          <w:rFonts w:hint="eastAsia" w:ascii="仿宋_GB2312" w:hAnsi="仿宋_GB2312" w:eastAsia="仿宋_GB2312" w:cs="仿宋_GB2312"/>
          <w:color w:val="000000"/>
          <w:sz w:val="32"/>
          <w:szCs w:val="32"/>
          <w:lang w:val="en-US" w:eastAsia="zh-CN"/>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color w:val="000000"/>
          <w:sz w:val="32"/>
          <w:szCs w:val="32"/>
          <w:lang w:val="en-US" w:eastAsia="zh-CN"/>
        </w:rPr>
        <w:t xml:space="preserve">%；项目支出 </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lang w:val="en-US" w:eastAsia="zh-CN"/>
        </w:rPr>
        <w:t>万元。</w:t>
      </w:r>
    </w:p>
    <w:p>
      <w:pPr>
        <w:jc w:val="center"/>
      </w:pPr>
      <w:r>
        <w:rPr>
          <w:rFonts w:hint="eastAsia" w:ascii="仿宋_GB2312" w:eastAsia="仿宋_GB2312"/>
          <w:color w:val="FF0000"/>
          <w:sz w:val="32"/>
          <w:szCs w:val="32"/>
          <w:lang w:eastAsia="zh-CN"/>
        </w:rPr>
        <w:drawing>
          <wp:inline distT="0" distB="0" distL="114300" distR="114300">
            <wp:extent cx="3994785" cy="2772410"/>
            <wp:effectExtent l="4445" t="4445" r="20320" b="2349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3"/>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ascii="黑体" w:eastAsia="黑体" w:cs="Times New Roman"/>
          <w:b w:val="0"/>
          <w:bCs/>
          <w:color w:val="000000"/>
        </w:rPr>
      </w:pPr>
      <w:bookmarkStart w:id="37" w:name="_Toc111208502"/>
      <w:bookmarkStart w:id="38" w:name="_Toc25611"/>
      <w:bookmarkStart w:id="39" w:name="_Toc15377208"/>
      <w:bookmarkStart w:id="40" w:name="_Toc27304"/>
      <w:r>
        <w:rPr>
          <w:rFonts w:hint="eastAsia" w:ascii="黑体" w:eastAsia="黑体" w:cs="Times New Roman"/>
          <w:b w:val="0"/>
          <w:bCs/>
          <w:color w:val="000000"/>
        </w:rPr>
        <w:t>四、财政拨款收入支出决算总体情况说明</w:t>
      </w:r>
      <w:bookmarkEnd w:id="37"/>
      <w:bookmarkEnd w:id="38"/>
      <w:bookmarkEnd w:id="39"/>
      <w:bookmarkEnd w:id="40"/>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sz w:val="32"/>
          <w:szCs w:val="32"/>
          <w:lang w:val="en-US" w:eastAsia="zh-CN"/>
        </w:rPr>
        <w:t>2024年财政拨款收、支总计</w:t>
      </w:r>
      <w:r>
        <w:rPr>
          <w:rFonts w:hint="eastAsia" w:ascii="仿宋_GB2312" w:hAnsi="仿宋_GB2312" w:eastAsia="仿宋_GB2312" w:cs="仿宋_GB2312"/>
          <w:sz w:val="32"/>
          <w:szCs w:val="32"/>
          <w:lang w:val="en-US" w:eastAsia="zh-CN"/>
        </w:rPr>
        <w:t>22.61</w:t>
      </w:r>
      <w:r>
        <w:rPr>
          <w:rFonts w:hint="eastAsia" w:ascii="仿宋_GB2312" w:hAnsi="仿宋_GB2312" w:eastAsia="仿宋_GB2312" w:cs="仿宋_GB2312"/>
          <w:color w:val="000000"/>
          <w:sz w:val="32"/>
          <w:szCs w:val="32"/>
          <w:lang w:val="en-US" w:eastAsia="zh-CN"/>
        </w:rPr>
        <w:t>万元。与2023年相比，财政拨款收、支总计各增加0.37万元，增长</w:t>
      </w:r>
      <w:r>
        <w:rPr>
          <w:rFonts w:hint="eastAsia" w:ascii="仿宋_GB2312" w:hAnsi="仿宋_GB2312" w:eastAsia="仿宋_GB2312" w:cs="仿宋_GB2312"/>
          <w:sz w:val="32"/>
          <w:szCs w:val="32"/>
          <w:lang w:val="en-US" w:eastAsia="zh-CN"/>
        </w:rPr>
        <w:t>1.64</w:t>
      </w:r>
      <w:r>
        <w:rPr>
          <w:rFonts w:hint="eastAsia" w:ascii="仿宋_GB2312" w:hAnsi="仿宋_GB2312" w:eastAsia="仿宋_GB2312" w:cs="仿宋_GB2312"/>
          <w:color w:val="000000"/>
          <w:sz w:val="32"/>
          <w:szCs w:val="32"/>
          <w:lang w:val="en-US" w:eastAsia="zh-CN"/>
        </w:rPr>
        <w:t>%。主要变动原因是：人员经费增加。</w:t>
      </w:r>
    </w:p>
    <w:p>
      <w:pPr>
        <w:pStyle w:val="5"/>
        <w:ind w:firstLine="1673" w:firstLineChars="523"/>
        <w:rPr>
          <w:rFonts w:hint="eastAsia" w:ascii="仿宋_GB2312" w:eastAsia="仿宋_GB2312" w:cs="仿宋_GB2312"/>
          <w:color w:val="000000"/>
          <w:kern w:val="2"/>
          <w:sz w:val="32"/>
          <w:szCs w:val="32"/>
          <w:lang w:val="en-US" w:eastAsia="zh-CN" w:bidi="ar-SA"/>
        </w:rPr>
      </w:pPr>
      <w:r>
        <w:rPr>
          <w:rFonts w:hint="eastAsia" w:ascii="仿宋_GB2312" w:hAnsi="仿宋" w:eastAsia="仿宋_GB2312"/>
          <w:color w:val="000000"/>
          <w:sz w:val="32"/>
          <w:szCs w:val="32"/>
        </w:rPr>
        <w:drawing>
          <wp:anchor distT="0" distB="0" distL="114300" distR="114300" simplePos="0" relativeHeight="251660288" behindDoc="0" locked="0" layoutInCell="1" allowOverlap="1">
            <wp:simplePos x="0" y="0"/>
            <wp:positionH relativeFrom="column">
              <wp:posOffset>548640</wp:posOffset>
            </wp:positionH>
            <wp:positionV relativeFrom="paragraph">
              <wp:posOffset>219075</wp:posOffset>
            </wp:positionV>
            <wp:extent cx="4610735" cy="2696845"/>
            <wp:effectExtent l="4445" t="4445" r="13970" b="22860"/>
            <wp:wrapSquare wrapText="bothSides"/>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5"/>
        <w:jc w:val="left"/>
      </w:pPr>
    </w:p>
    <w:p>
      <w:pPr>
        <w:pStyle w:val="5"/>
        <w:jc w:val="left"/>
      </w:pPr>
    </w:p>
    <w:p>
      <w:pPr>
        <w:pStyle w:val="5"/>
        <w:jc w:val="left"/>
      </w:pPr>
    </w:p>
    <w:p>
      <w:pPr>
        <w:pStyle w:val="5"/>
        <w:jc w:val="left"/>
      </w:pPr>
    </w:p>
    <w:p>
      <w:pPr>
        <w:pStyle w:val="5"/>
        <w:jc w:val="left"/>
      </w:pPr>
    </w:p>
    <w:p>
      <w:pPr>
        <w:pStyle w:val="3"/>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eastAsia="黑体" w:cs="Times New Roman"/>
          <w:b w:val="0"/>
          <w:bCs/>
          <w:color w:val="000000"/>
        </w:rPr>
      </w:pPr>
      <w:bookmarkStart w:id="41" w:name="_Toc15377209"/>
      <w:bookmarkStart w:id="42" w:name="_Toc24234"/>
      <w:bookmarkStart w:id="43" w:name="_Toc11217"/>
      <w:bookmarkStart w:id="44" w:name="_Toc111208503"/>
      <w:bookmarkStart w:id="45" w:name="_Toc15377211"/>
      <w:r>
        <w:rPr>
          <w:rFonts w:hint="eastAsia" w:ascii="黑体" w:eastAsia="黑体" w:cs="Times New Roman"/>
          <w:b w:val="0"/>
          <w:bCs/>
          <w:color w:val="000000"/>
        </w:rPr>
        <w:t>五、一般公共预算财政拨款支出决算情况说</w:t>
      </w:r>
      <w:bookmarkEnd w:id="41"/>
      <w:r>
        <w:rPr>
          <w:rFonts w:hint="eastAsia" w:ascii="黑体" w:eastAsia="黑体" w:cs="Times New Roman"/>
          <w:b w:val="0"/>
          <w:bCs/>
          <w:color w:val="000000"/>
        </w:rPr>
        <w:t>明</w:t>
      </w:r>
      <w:bookmarkEnd w:id="42"/>
      <w:bookmarkEnd w:id="43"/>
      <w:bookmarkEnd w:id="44"/>
    </w:p>
    <w:p>
      <w:pPr>
        <w:pageBreakBefore w:val="0"/>
        <w:widowControl w:val="0"/>
        <w:kinsoku/>
        <w:wordWrap/>
        <w:overflowPunct/>
        <w:topLinePunct w:val="0"/>
        <w:autoSpaceDE/>
        <w:autoSpaceDN/>
        <w:bidi w:val="0"/>
        <w:adjustRightInd/>
        <w:snapToGrid/>
        <w:spacing w:line="576" w:lineRule="exact"/>
        <w:ind w:firstLine="642" w:firstLineChars="200"/>
        <w:textAlignment w:val="auto"/>
        <w:outlineLvl w:val="2"/>
        <w:rPr>
          <w:rFonts w:hint="eastAsia" w:ascii="楷体_GB2312" w:hAnsi="楷体_GB2312" w:eastAsia="楷体_GB2312" w:cs="楷体_GB2312"/>
          <w:b/>
          <w:bCs w:val="0"/>
          <w:color w:val="000000"/>
          <w:sz w:val="32"/>
          <w:szCs w:val="32"/>
        </w:rPr>
      </w:pPr>
      <w:bookmarkStart w:id="46" w:name="_Toc15377210"/>
      <w:bookmarkStart w:id="47" w:name="_Toc1306"/>
      <w:r>
        <w:rPr>
          <w:rFonts w:hint="eastAsia" w:ascii="楷体_GB2312" w:hAnsi="楷体_GB2312" w:eastAsia="楷体_GB2312" w:cs="楷体_GB2312"/>
          <w:b/>
          <w:bCs w:val="0"/>
          <w:color w:val="000000"/>
          <w:sz w:val="32"/>
          <w:szCs w:val="32"/>
        </w:rPr>
        <w:t>（一）一般公共预算财政拨款支出决算总体情况</w:t>
      </w:r>
      <w:bookmarkEnd w:id="46"/>
      <w:bookmarkEnd w:id="47"/>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sz w:val="32"/>
          <w:szCs w:val="32"/>
          <w:lang w:val="en-US" w:eastAsia="zh-CN"/>
        </w:rPr>
        <w:t>22.61</w:t>
      </w:r>
      <w:r>
        <w:rPr>
          <w:rFonts w:hint="eastAsia" w:ascii="仿宋_GB2312" w:hAnsi="仿宋_GB2312" w:eastAsia="仿宋_GB2312" w:cs="仿宋_GB2312"/>
          <w:color w:val="000000"/>
          <w:sz w:val="32"/>
          <w:szCs w:val="32"/>
        </w:rPr>
        <w:t>万元，占本年支出合计的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color w:val="000000"/>
          <w:sz w:val="32"/>
          <w:szCs w:val="32"/>
        </w:rPr>
        <w:t>%。与202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年相比，一般公共预算财政拨款支出增加</w:t>
      </w:r>
      <w:r>
        <w:rPr>
          <w:rFonts w:hint="eastAsia" w:ascii="仿宋_GB2312" w:hAnsi="仿宋_GB2312" w:eastAsia="仿宋_GB2312" w:cs="仿宋_GB2312"/>
          <w:color w:val="000000"/>
          <w:sz w:val="32"/>
          <w:szCs w:val="32"/>
          <w:lang w:val="en-US" w:eastAsia="zh-CN"/>
        </w:rPr>
        <w:t>0.37</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1.64</w:t>
      </w:r>
      <w:r>
        <w:rPr>
          <w:rFonts w:hint="eastAsia" w:ascii="仿宋_GB2312" w:hAnsi="仿宋_GB2312" w:eastAsia="仿宋_GB2312" w:cs="仿宋_GB2312"/>
          <w:color w:val="000000"/>
          <w:sz w:val="32"/>
          <w:szCs w:val="32"/>
        </w:rPr>
        <w:t>%。主要变动原因</w:t>
      </w:r>
      <w:r>
        <w:rPr>
          <w:rFonts w:hint="eastAsia" w:ascii="仿宋_GB2312" w:hAnsi="仿宋_GB2312" w:eastAsia="仿宋_GB2312" w:cs="仿宋_GB2312"/>
          <w:color w:val="000000"/>
          <w:sz w:val="32"/>
          <w:szCs w:val="32"/>
          <w:lang w:eastAsia="zh-CN"/>
        </w:rPr>
        <w:t>是：人员经费增加。</w:t>
      </w:r>
    </w:p>
    <w:p>
      <w:pPr>
        <w:pStyle w:val="5"/>
        <w:ind w:firstLine="0"/>
        <w:rPr>
          <w:rFonts w:ascii="仿宋_GB2312" w:eastAsia="仿宋_GB2312"/>
          <w:b/>
          <w:color w:val="000000"/>
          <w:sz w:val="32"/>
          <w:szCs w:val="32"/>
        </w:rPr>
      </w:pPr>
      <w:r>
        <w:rPr>
          <w:rFonts w:hint="eastAsia" w:ascii="仿宋_GB2312" w:hAnsi="仿宋" w:eastAsia="仿宋_GB2312"/>
          <w:color w:val="000000"/>
          <w:sz w:val="32"/>
          <w:szCs w:val="32"/>
        </w:rPr>
        <w:drawing>
          <wp:anchor distT="0" distB="0" distL="114300" distR="114300" simplePos="0" relativeHeight="251661312" behindDoc="0" locked="0" layoutInCell="1" allowOverlap="1">
            <wp:simplePos x="0" y="0"/>
            <wp:positionH relativeFrom="column">
              <wp:posOffset>434340</wp:posOffset>
            </wp:positionH>
            <wp:positionV relativeFrom="paragraph">
              <wp:posOffset>61595</wp:posOffset>
            </wp:positionV>
            <wp:extent cx="4712970" cy="2476500"/>
            <wp:effectExtent l="4445" t="5080" r="6985" b="1397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5"/>
        <w:ind w:firstLine="0"/>
        <w:rPr>
          <w:rFonts w:ascii="仿宋_GB2312" w:eastAsia="仿宋_GB2312"/>
          <w:b/>
          <w:color w:val="000000"/>
          <w:sz w:val="32"/>
          <w:szCs w:val="32"/>
        </w:rPr>
      </w:pPr>
    </w:p>
    <w:p>
      <w:pPr>
        <w:pStyle w:val="5"/>
        <w:ind w:firstLine="0"/>
        <w:rPr>
          <w:rFonts w:ascii="仿宋_GB2312" w:eastAsia="仿宋_GB2312"/>
          <w:b/>
          <w:color w:val="000000"/>
          <w:sz w:val="32"/>
          <w:szCs w:val="32"/>
        </w:rPr>
      </w:pPr>
    </w:p>
    <w:p>
      <w:pPr>
        <w:pStyle w:val="5"/>
        <w:ind w:firstLine="0"/>
        <w:rPr>
          <w:rFonts w:ascii="仿宋_GB2312" w:eastAsia="仿宋_GB2312"/>
          <w:b/>
          <w:color w:val="000000"/>
          <w:sz w:val="32"/>
          <w:szCs w:val="32"/>
        </w:rPr>
      </w:pPr>
    </w:p>
    <w:p>
      <w:pPr>
        <w:pStyle w:val="5"/>
        <w:ind w:firstLine="0"/>
        <w:rPr>
          <w:rFonts w:ascii="仿宋_GB2312" w:eastAsia="仿宋_GB2312"/>
          <w:b/>
          <w:color w:val="000000"/>
          <w:sz w:val="32"/>
          <w:szCs w:val="32"/>
        </w:rPr>
      </w:pPr>
    </w:p>
    <w:p>
      <w:pPr>
        <w:pStyle w:val="5"/>
        <w:ind w:firstLine="0"/>
        <w:rPr>
          <w:rFonts w:ascii="仿宋_GB2312" w:eastAsia="仿宋_GB2312"/>
          <w:b/>
          <w:color w:val="000000"/>
          <w:sz w:val="32"/>
          <w:szCs w:val="32"/>
        </w:rPr>
      </w:pPr>
    </w:p>
    <w:bookmarkEnd w:id="45"/>
    <w:p>
      <w:pPr>
        <w:spacing w:line="600" w:lineRule="exact"/>
        <w:outlineLvl w:val="2"/>
        <w:rPr>
          <w:rFonts w:hint="eastAsia" w:ascii="仿宋" w:hAnsi="仿宋" w:eastAsia="仿宋" w:cs="仿宋"/>
          <w:b/>
          <w:bCs w:val="0"/>
          <w:color w:val="000000"/>
          <w:sz w:val="32"/>
          <w:szCs w:val="32"/>
        </w:rPr>
      </w:pPr>
      <w:bookmarkStart w:id="48" w:name="_Toc28498"/>
    </w:p>
    <w:p>
      <w:pPr>
        <w:keepNext w:val="0"/>
        <w:keepLines w:val="0"/>
        <w:pageBreakBefore w:val="0"/>
        <w:kinsoku/>
        <w:wordWrap/>
        <w:overflowPunct/>
        <w:topLinePunct w:val="0"/>
        <w:autoSpaceDE/>
        <w:autoSpaceDN/>
        <w:bidi w:val="0"/>
        <w:adjustRightInd/>
        <w:snapToGrid/>
        <w:spacing w:beforeAutospacing="0" w:afterAutospacing="0" w:line="576" w:lineRule="exact"/>
        <w:ind w:firstLine="642" w:firstLineChars="200"/>
        <w:textAlignment w:val="auto"/>
        <w:outlineLvl w:val="2"/>
        <w:rPr>
          <w:rFonts w:hint="eastAsia" w:ascii="楷体_GB2312" w:hAnsi="楷体_GB2312" w:eastAsia="楷体_GB2312" w:cs="楷体_GB2312"/>
          <w:b/>
          <w:bCs w:val="0"/>
          <w:color w:val="000000"/>
          <w:sz w:val="32"/>
          <w:szCs w:val="32"/>
        </w:rPr>
      </w:pPr>
      <w:r>
        <w:rPr>
          <w:rFonts w:hint="eastAsia" w:ascii="楷体_GB2312" w:hAnsi="楷体_GB2312" w:eastAsia="楷体_GB2312" w:cs="楷体_GB2312"/>
          <w:b/>
          <w:bCs w:val="0"/>
          <w:color w:val="000000"/>
          <w:sz w:val="32"/>
          <w:szCs w:val="32"/>
        </w:rPr>
        <w:t>（二）一般公共预算财政拨款支出决算结构情况</w:t>
      </w:r>
      <w:bookmarkEnd w:id="48"/>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640" w:firstLineChars="200"/>
        <w:jc w:val="left"/>
        <w:textAlignment w:val="auto"/>
      </w:pPr>
      <w:r>
        <w:rPr>
          <w:rFonts w:hint="eastAsia" w:ascii="仿宋_GB2312" w:hAnsi="仿宋_GB2312" w:eastAsia="仿宋_GB2312" w:cs="仿宋_GB2312"/>
          <w:color w:val="000000"/>
          <w:kern w:val="2"/>
          <w:sz w:val="32"/>
          <w:szCs w:val="32"/>
          <w:lang w:val="en-US" w:eastAsia="zh-CN" w:bidi="ar-SA"/>
        </w:rPr>
        <w:t>2024年一般公共预算财政拨款支出</w:t>
      </w:r>
      <w:r>
        <w:rPr>
          <w:rFonts w:hint="eastAsia" w:ascii="仿宋_GB2312" w:hAnsi="仿宋_GB2312" w:eastAsia="仿宋_GB2312" w:cs="仿宋_GB2312"/>
          <w:sz w:val="32"/>
          <w:szCs w:val="32"/>
          <w:lang w:val="en-US" w:eastAsia="zh-CN"/>
        </w:rPr>
        <w:t>22.61</w:t>
      </w:r>
      <w:r>
        <w:rPr>
          <w:rFonts w:hint="eastAsia" w:ascii="仿宋_GB2312" w:hAnsi="仿宋_GB2312" w:eastAsia="仿宋_GB2312" w:cs="仿宋_GB2312"/>
          <w:color w:val="000000"/>
          <w:kern w:val="2"/>
          <w:sz w:val="32"/>
          <w:szCs w:val="32"/>
          <w:lang w:val="en-US" w:eastAsia="zh-CN" w:bidi="ar-SA"/>
        </w:rPr>
        <w:t>万元，主要用于以下方面:</w:t>
      </w:r>
      <w:r>
        <w:rPr>
          <w:rFonts w:hint="eastAsia" w:ascii="仿宋_GB2312" w:hAnsi="仿宋_GB2312" w:eastAsia="仿宋_GB2312" w:cs="仿宋_GB2312"/>
          <w:b/>
          <w:color w:val="000000"/>
          <w:kern w:val="2"/>
          <w:sz w:val="32"/>
          <w:szCs w:val="32"/>
          <w:lang w:val="en-US" w:eastAsia="zh-CN" w:bidi="ar-SA"/>
        </w:rPr>
        <w:t>科学技术（类）支出</w:t>
      </w:r>
      <w:r>
        <w:rPr>
          <w:rFonts w:hint="eastAsia" w:ascii="仿宋_GB2312" w:hAnsi="仿宋_GB2312" w:eastAsia="仿宋_GB2312" w:cs="仿宋_GB2312"/>
          <w:sz w:val="32"/>
          <w:szCs w:val="32"/>
          <w:lang w:val="en-US" w:eastAsia="zh-CN"/>
        </w:rPr>
        <w:t>16.30</w:t>
      </w:r>
      <w:r>
        <w:rPr>
          <w:rFonts w:hint="eastAsia" w:ascii="仿宋_GB2312" w:hAnsi="仿宋_GB2312" w:eastAsia="仿宋_GB2312" w:cs="仿宋_GB2312"/>
          <w:color w:val="000000"/>
          <w:kern w:val="2"/>
          <w:sz w:val="32"/>
          <w:szCs w:val="32"/>
          <w:lang w:val="en-US" w:eastAsia="zh-CN" w:bidi="ar-SA"/>
        </w:rPr>
        <w:t>万元，占</w:t>
      </w:r>
      <w:r>
        <w:rPr>
          <w:rFonts w:hint="eastAsia" w:ascii="仿宋_GB2312" w:hAnsi="仿宋_GB2312" w:eastAsia="仿宋_GB2312" w:cs="仿宋_GB2312"/>
          <w:sz w:val="32"/>
          <w:szCs w:val="32"/>
          <w:lang w:val="en-US" w:eastAsia="zh-CN"/>
        </w:rPr>
        <w:t>72.10</w:t>
      </w:r>
      <w:r>
        <w:rPr>
          <w:rFonts w:hint="eastAsia" w:ascii="仿宋_GB2312" w:hAnsi="仿宋_GB2312" w:eastAsia="仿宋_GB2312" w:cs="仿宋_GB2312"/>
          <w:color w:val="000000"/>
          <w:kern w:val="2"/>
          <w:sz w:val="32"/>
          <w:szCs w:val="32"/>
          <w:lang w:val="en-US" w:eastAsia="zh-CN" w:bidi="ar-SA"/>
        </w:rPr>
        <w:t>%；</w:t>
      </w:r>
      <w:r>
        <w:rPr>
          <w:rFonts w:hint="eastAsia" w:ascii="仿宋_GB2312" w:hAnsi="仿宋_GB2312" w:eastAsia="仿宋_GB2312" w:cs="仿宋_GB2312"/>
          <w:b/>
          <w:color w:val="000000"/>
          <w:kern w:val="2"/>
          <w:sz w:val="32"/>
          <w:szCs w:val="32"/>
          <w:lang w:val="en-US" w:eastAsia="zh-CN" w:bidi="ar-SA"/>
        </w:rPr>
        <w:t>社会保障和就业（类）支出</w:t>
      </w:r>
      <w:r>
        <w:rPr>
          <w:rFonts w:hint="eastAsia" w:ascii="仿宋_GB2312" w:hAnsi="仿宋_GB2312" w:eastAsia="仿宋_GB2312" w:cs="仿宋_GB2312"/>
          <w:sz w:val="32"/>
          <w:szCs w:val="32"/>
          <w:lang w:val="en-US" w:eastAsia="zh-CN"/>
        </w:rPr>
        <w:t>3.34</w:t>
      </w:r>
      <w:r>
        <w:rPr>
          <w:rFonts w:hint="eastAsia" w:ascii="仿宋_GB2312" w:hAnsi="仿宋_GB2312" w:eastAsia="仿宋_GB2312" w:cs="仿宋_GB2312"/>
          <w:color w:val="000000"/>
          <w:kern w:val="2"/>
          <w:sz w:val="32"/>
          <w:szCs w:val="32"/>
          <w:lang w:val="en-US" w:eastAsia="zh-CN" w:bidi="ar-SA"/>
        </w:rPr>
        <w:t>万元，占14.77%；</w:t>
      </w:r>
      <w:r>
        <w:rPr>
          <w:rFonts w:hint="eastAsia" w:ascii="仿宋_GB2312" w:hAnsi="仿宋_GB2312" w:eastAsia="仿宋_GB2312" w:cs="仿宋_GB2312"/>
          <w:b/>
          <w:color w:val="000000"/>
          <w:kern w:val="2"/>
          <w:sz w:val="32"/>
          <w:szCs w:val="32"/>
          <w:lang w:val="en-US" w:eastAsia="zh-CN" w:bidi="ar-SA"/>
        </w:rPr>
        <w:t>卫生健康支出</w:t>
      </w:r>
      <w:r>
        <w:rPr>
          <w:rFonts w:hint="eastAsia" w:ascii="仿宋_GB2312" w:hAnsi="仿宋_GB2312" w:eastAsia="仿宋_GB2312" w:cs="仿宋_GB2312"/>
          <w:sz w:val="32"/>
          <w:szCs w:val="32"/>
          <w:lang w:val="en-US" w:eastAsia="zh-CN"/>
        </w:rPr>
        <w:t>1.19</w:t>
      </w:r>
      <w:r>
        <w:rPr>
          <w:rFonts w:hint="eastAsia" w:ascii="仿宋_GB2312" w:hAnsi="仿宋_GB2312" w:eastAsia="仿宋_GB2312" w:cs="仿宋_GB2312"/>
          <w:color w:val="000000"/>
          <w:kern w:val="2"/>
          <w:sz w:val="32"/>
          <w:szCs w:val="32"/>
          <w:lang w:val="en-US" w:eastAsia="zh-CN" w:bidi="ar-SA"/>
        </w:rPr>
        <w:t>万元，占</w:t>
      </w:r>
      <w:r>
        <w:rPr>
          <w:rFonts w:hint="eastAsia" w:ascii="仿宋_GB2312" w:hAnsi="仿宋_GB2312" w:eastAsia="仿宋_GB2312" w:cs="仿宋_GB2312"/>
          <w:sz w:val="32"/>
          <w:szCs w:val="32"/>
          <w:lang w:val="en-US" w:eastAsia="zh-CN"/>
        </w:rPr>
        <w:t>5.26</w:t>
      </w:r>
      <w:r>
        <w:rPr>
          <w:rFonts w:hint="eastAsia" w:ascii="仿宋_GB2312" w:hAnsi="仿宋_GB2312" w:eastAsia="仿宋_GB2312" w:cs="仿宋_GB2312"/>
          <w:color w:val="000000"/>
          <w:kern w:val="2"/>
          <w:sz w:val="32"/>
          <w:szCs w:val="32"/>
          <w:lang w:val="en-US" w:eastAsia="zh-CN" w:bidi="ar-SA"/>
        </w:rPr>
        <w:t>%；</w:t>
      </w:r>
      <w:r>
        <w:rPr>
          <w:rFonts w:hint="eastAsia" w:ascii="仿宋_GB2312" w:hAnsi="仿宋_GB2312" w:eastAsia="仿宋_GB2312" w:cs="仿宋_GB2312"/>
          <w:b/>
          <w:color w:val="000000"/>
          <w:kern w:val="2"/>
          <w:sz w:val="32"/>
          <w:szCs w:val="32"/>
          <w:lang w:val="en-US" w:eastAsia="zh-CN" w:bidi="ar-SA"/>
        </w:rPr>
        <w:t>住房保障支出</w:t>
      </w:r>
      <w:r>
        <w:rPr>
          <w:rFonts w:hint="eastAsia" w:ascii="仿宋_GB2312" w:hAnsi="仿宋_GB2312" w:eastAsia="仿宋_GB2312" w:cs="仿宋_GB2312"/>
          <w:sz w:val="32"/>
          <w:szCs w:val="32"/>
          <w:lang w:val="en-US" w:eastAsia="zh-CN"/>
        </w:rPr>
        <w:t>1.78</w:t>
      </w:r>
      <w:r>
        <w:rPr>
          <w:rFonts w:hint="eastAsia" w:ascii="仿宋_GB2312" w:hAnsi="仿宋_GB2312" w:eastAsia="仿宋_GB2312" w:cs="仿宋_GB2312"/>
          <w:color w:val="000000"/>
          <w:kern w:val="2"/>
          <w:sz w:val="32"/>
          <w:szCs w:val="32"/>
          <w:lang w:val="en-US" w:eastAsia="zh-CN" w:bidi="ar-SA"/>
        </w:rPr>
        <w:t>万元，占</w:t>
      </w:r>
      <w:r>
        <w:rPr>
          <w:rFonts w:hint="eastAsia" w:ascii="仿宋_GB2312" w:hAnsi="仿宋_GB2312" w:eastAsia="仿宋_GB2312" w:cs="仿宋_GB2312"/>
          <w:sz w:val="32"/>
          <w:szCs w:val="32"/>
          <w:lang w:val="en-US" w:eastAsia="zh-CN"/>
        </w:rPr>
        <w:t>7.87</w:t>
      </w:r>
      <w:r>
        <w:rPr>
          <w:rFonts w:hint="eastAsia" w:ascii="仿宋_GB2312" w:hAnsi="仿宋_GB2312" w:eastAsia="仿宋_GB2312" w:cs="仿宋_GB2312"/>
          <w:color w:val="000000"/>
          <w:kern w:val="2"/>
          <w:sz w:val="32"/>
          <w:szCs w:val="32"/>
          <w:lang w:val="en-US" w:eastAsia="zh-CN" w:bidi="ar-SA"/>
        </w:rPr>
        <w:t>%。</w:t>
      </w:r>
      <w:bookmarkStart w:id="49" w:name="_Toc15377212"/>
    </w:p>
    <w:p>
      <w:pPr>
        <w:pStyle w:val="5"/>
        <w:ind w:left="0" w:leftChars="0" w:firstLine="0" w:firstLineChars="0"/>
      </w:pPr>
      <w:r>
        <w:rPr>
          <w:rFonts w:hint="eastAsia" w:ascii="仿宋" w:hAnsi="仿宋" w:eastAsia="仿宋"/>
          <w:color w:val="000000"/>
          <w:sz w:val="32"/>
          <w:szCs w:val="32"/>
        </w:rPr>
        <w:drawing>
          <wp:anchor distT="0" distB="0" distL="114300" distR="114300" simplePos="0" relativeHeight="251662336" behindDoc="0" locked="0" layoutInCell="1" allowOverlap="1">
            <wp:simplePos x="0" y="0"/>
            <wp:positionH relativeFrom="column">
              <wp:posOffset>616585</wp:posOffset>
            </wp:positionH>
            <wp:positionV relativeFrom="paragraph">
              <wp:posOffset>43180</wp:posOffset>
            </wp:positionV>
            <wp:extent cx="4084955" cy="1936115"/>
            <wp:effectExtent l="4445" t="4445" r="6350" b="21590"/>
            <wp:wrapSquare wrapText="bothSides"/>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p>
    <w:p>
      <w:pPr>
        <w:pageBreakBefore w:val="0"/>
        <w:kinsoku/>
        <w:wordWrap/>
        <w:overflowPunct/>
        <w:topLinePunct w:val="0"/>
        <w:bidi w:val="0"/>
        <w:spacing w:beforeAutospacing="0" w:afterAutospacing="0" w:line="576" w:lineRule="exact"/>
        <w:ind w:leftChars="0" w:firstLine="642" w:firstLineChars="200"/>
        <w:textAlignment w:val="auto"/>
        <w:outlineLvl w:val="2"/>
        <w:rPr>
          <w:rFonts w:hint="eastAsia" w:ascii="楷体_GB2312" w:hAnsi="楷体_GB2312" w:eastAsia="楷体_GB2312" w:cs="楷体_GB2312"/>
          <w:b/>
          <w:bCs w:val="0"/>
          <w:color w:val="000000"/>
          <w:sz w:val="32"/>
          <w:szCs w:val="32"/>
        </w:rPr>
      </w:pPr>
      <w:bookmarkStart w:id="50" w:name="_Toc30403"/>
      <w:r>
        <w:rPr>
          <w:rFonts w:hint="eastAsia" w:ascii="楷体_GB2312" w:hAnsi="楷体_GB2312" w:eastAsia="楷体_GB2312" w:cs="楷体_GB2312"/>
          <w:b/>
          <w:bCs w:val="0"/>
          <w:color w:val="000000"/>
          <w:sz w:val="32"/>
          <w:szCs w:val="32"/>
        </w:rPr>
        <w:t>（三）一般公共预算财政拨款支出决算具体情况</w:t>
      </w:r>
      <w:bookmarkEnd w:id="49"/>
      <w:bookmarkEnd w:id="50"/>
    </w:p>
    <w:p>
      <w:pPr>
        <w:pageBreakBefore w:val="0"/>
        <w:kinsoku/>
        <w:wordWrap/>
        <w:overflowPunct/>
        <w:topLinePunct w:val="0"/>
        <w:bidi w:val="0"/>
        <w:spacing w:beforeAutospacing="0" w:afterAutospacing="0" w:line="576" w:lineRule="exact"/>
        <w:ind w:leftChars="0" w:firstLine="642" w:firstLineChars="200"/>
        <w:textAlignment w:val="auto"/>
        <w:rPr>
          <w:rFonts w:hint="eastAsia" w:ascii="仿宋_GB2312" w:hAnsi="仿宋_GB2312" w:eastAsia="仿宋_GB2312" w:cs="仿宋_GB2312"/>
          <w:b/>
          <w:bCs/>
          <w:sz w:val="32"/>
          <w:szCs w:val="32"/>
        </w:rPr>
      </w:pPr>
      <w:bookmarkStart w:id="51" w:name="_Toc15377213"/>
      <w:bookmarkStart w:id="52" w:name="_Toc15378460"/>
      <w:bookmarkStart w:id="53" w:name="_Toc15377444"/>
      <w:r>
        <w:rPr>
          <w:rFonts w:hint="eastAsia" w:ascii="仿宋_GB2312" w:hAnsi="仿宋_GB2312" w:eastAsia="仿宋_GB2312" w:cs="仿宋_GB2312"/>
          <w:b/>
          <w:bCs/>
          <w:sz w:val="32"/>
          <w:szCs w:val="32"/>
        </w:rPr>
        <w:t>202</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年一般公共预算支出决算数为</w:t>
      </w:r>
      <w:r>
        <w:rPr>
          <w:rFonts w:hint="eastAsia" w:ascii="仿宋_GB2312" w:hAnsi="仿宋_GB2312" w:eastAsia="仿宋_GB2312" w:cs="仿宋_GB2312"/>
          <w:sz w:val="32"/>
          <w:szCs w:val="32"/>
          <w:lang w:val="en-US" w:eastAsia="zh-CN"/>
        </w:rPr>
        <w:t>22.61</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b/>
          <w:bCs/>
          <w:sz w:val="32"/>
          <w:szCs w:val="32"/>
        </w:rPr>
        <w:t>，完成预算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b/>
          <w:bCs/>
          <w:sz w:val="32"/>
          <w:szCs w:val="32"/>
        </w:rPr>
        <w:t>%。其中：</w:t>
      </w:r>
    </w:p>
    <w:p>
      <w:pPr>
        <w:pageBreakBefore w:val="0"/>
        <w:kinsoku/>
        <w:wordWrap/>
        <w:overflowPunct/>
        <w:topLinePunct w:val="0"/>
        <w:bidi w:val="0"/>
        <w:spacing w:beforeAutospacing="0" w:afterAutospacing="0" w:line="576" w:lineRule="exact"/>
        <w:ind w:leftChars="0" w:firstLine="640" w:firstLineChars="200"/>
        <w:textAlignment w:val="auto"/>
        <w:rPr>
          <w:rStyle w:val="18"/>
          <w:rFonts w:hint="eastAsia" w:ascii="仿宋_GB2312" w:hAnsi="仿宋_GB2312" w:eastAsia="仿宋_GB2312" w:cs="仿宋_GB2312"/>
          <w:b w:val="0"/>
          <w:bCs/>
          <w:color w:val="000000"/>
          <w:kern w:val="0"/>
          <w:sz w:val="32"/>
          <w:szCs w:val="32"/>
          <w:lang w:eastAsia="zh-CN"/>
        </w:rPr>
      </w:pPr>
      <w:r>
        <w:rPr>
          <w:rStyle w:val="18"/>
          <w:rFonts w:hint="eastAsia" w:ascii="仿宋_GB2312" w:hAnsi="仿宋_GB2312" w:eastAsia="仿宋_GB2312" w:cs="仿宋_GB2312"/>
          <w:b w:val="0"/>
          <w:bCs/>
          <w:color w:val="000000"/>
          <w:kern w:val="0"/>
          <w:sz w:val="32"/>
          <w:szCs w:val="32"/>
        </w:rPr>
        <w:t>1.科学技术（</w:t>
      </w:r>
      <w:r>
        <w:rPr>
          <w:rStyle w:val="18"/>
          <w:rFonts w:hint="eastAsia" w:ascii="仿宋_GB2312" w:hAnsi="仿宋_GB2312" w:eastAsia="仿宋_GB2312" w:cs="仿宋_GB2312"/>
          <w:b w:val="0"/>
          <w:bCs/>
          <w:color w:val="000000"/>
          <w:kern w:val="0"/>
          <w:sz w:val="32"/>
          <w:szCs w:val="32"/>
          <w:lang w:val="en-US" w:eastAsia="zh-CN"/>
        </w:rPr>
        <w:t>206</w:t>
      </w:r>
      <w:r>
        <w:rPr>
          <w:rStyle w:val="18"/>
          <w:rFonts w:hint="eastAsia" w:ascii="仿宋_GB2312" w:hAnsi="仿宋_GB2312" w:eastAsia="仿宋_GB2312" w:cs="仿宋_GB2312"/>
          <w:b w:val="0"/>
          <w:bCs/>
          <w:color w:val="000000"/>
          <w:kern w:val="0"/>
          <w:sz w:val="32"/>
          <w:szCs w:val="32"/>
        </w:rPr>
        <w:t>）科技条件与服务（</w:t>
      </w:r>
      <w:r>
        <w:rPr>
          <w:rStyle w:val="18"/>
          <w:rFonts w:hint="eastAsia" w:ascii="仿宋_GB2312" w:hAnsi="仿宋_GB2312" w:eastAsia="仿宋_GB2312" w:cs="仿宋_GB2312"/>
          <w:b w:val="0"/>
          <w:bCs/>
          <w:color w:val="000000"/>
          <w:kern w:val="0"/>
          <w:sz w:val="32"/>
          <w:szCs w:val="32"/>
          <w:lang w:val="en-US" w:eastAsia="zh-CN"/>
        </w:rPr>
        <w:t>05</w:t>
      </w:r>
      <w:r>
        <w:rPr>
          <w:rStyle w:val="18"/>
          <w:rFonts w:hint="eastAsia" w:ascii="仿宋_GB2312" w:hAnsi="仿宋_GB2312" w:eastAsia="仿宋_GB2312" w:cs="仿宋_GB2312"/>
          <w:b w:val="0"/>
          <w:bCs/>
          <w:color w:val="000000"/>
          <w:kern w:val="0"/>
          <w:sz w:val="32"/>
          <w:szCs w:val="32"/>
        </w:rPr>
        <w:t>）其他科技条件与服务（</w:t>
      </w:r>
      <w:r>
        <w:rPr>
          <w:rStyle w:val="18"/>
          <w:rFonts w:hint="eastAsia" w:ascii="仿宋_GB2312" w:hAnsi="仿宋_GB2312" w:eastAsia="仿宋_GB2312" w:cs="仿宋_GB2312"/>
          <w:b w:val="0"/>
          <w:bCs/>
          <w:color w:val="000000"/>
          <w:kern w:val="0"/>
          <w:sz w:val="32"/>
          <w:szCs w:val="32"/>
          <w:lang w:val="en-US" w:eastAsia="zh-CN"/>
        </w:rPr>
        <w:t>99</w:t>
      </w:r>
      <w:r>
        <w:rPr>
          <w:rStyle w:val="18"/>
          <w:rFonts w:hint="eastAsia" w:ascii="仿宋_GB2312" w:hAnsi="仿宋_GB2312" w:eastAsia="仿宋_GB2312" w:cs="仿宋_GB2312"/>
          <w:b w:val="0"/>
          <w:bCs/>
          <w:color w:val="000000"/>
          <w:kern w:val="0"/>
          <w:sz w:val="32"/>
          <w:szCs w:val="32"/>
        </w:rPr>
        <w:t>）: 支出决算</w:t>
      </w:r>
      <w:r>
        <w:rPr>
          <w:rStyle w:val="18"/>
          <w:rFonts w:hint="eastAsia" w:ascii="仿宋_GB2312" w:hAnsi="仿宋_GB2312" w:eastAsia="仿宋_GB2312" w:cs="仿宋_GB2312"/>
          <w:b w:val="0"/>
          <w:bCs/>
          <w:color w:val="000000"/>
          <w:kern w:val="0"/>
          <w:sz w:val="32"/>
          <w:szCs w:val="32"/>
          <w:lang w:eastAsia="zh-CN"/>
        </w:rPr>
        <w:t>数</w:t>
      </w:r>
      <w:r>
        <w:rPr>
          <w:rStyle w:val="18"/>
          <w:rFonts w:hint="eastAsia" w:ascii="仿宋_GB2312" w:hAnsi="仿宋_GB2312" w:eastAsia="仿宋_GB2312" w:cs="仿宋_GB2312"/>
          <w:b w:val="0"/>
          <w:bCs/>
          <w:color w:val="000000"/>
          <w:kern w:val="0"/>
          <w:sz w:val="32"/>
          <w:szCs w:val="32"/>
          <w:lang w:val="en-US" w:eastAsia="zh-CN"/>
        </w:rPr>
        <w:t>16.30</w:t>
      </w:r>
      <w:r>
        <w:rPr>
          <w:rStyle w:val="18"/>
          <w:rFonts w:hint="eastAsia" w:ascii="仿宋_GB2312" w:hAnsi="仿宋_GB2312" w:eastAsia="仿宋_GB2312" w:cs="仿宋_GB2312"/>
          <w:b w:val="0"/>
          <w:bCs/>
          <w:color w:val="000000"/>
          <w:kern w:val="0"/>
          <w:sz w:val="32"/>
          <w:szCs w:val="32"/>
        </w:rPr>
        <w:t>万元，完成预算100%</w:t>
      </w:r>
      <w:r>
        <w:rPr>
          <w:rStyle w:val="18"/>
          <w:rFonts w:hint="eastAsia" w:ascii="仿宋_GB2312" w:hAnsi="仿宋_GB2312" w:eastAsia="仿宋_GB2312" w:cs="仿宋_GB2312"/>
          <w:b w:val="0"/>
          <w:bCs/>
          <w:color w:val="000000"/>
          <w:kern w:val="0"/>
          <w:sz w:val="32"/>
          <w:szCs w:val="32"/>
          <w:lang w:eastAsia="zh-CN"/>
        </w:rPr>
        <w:t>，决算数等于预算数。</w:t>
      </w:r>
    </w:p>
    <w:p>
      <w:pPr>
        <w:pageBreakBefore w:val="0"/>
        <w:kinsoku/>
        <w:wordWrap/>
        <w:overflowPunct/>
        <w:topLinePunct w:val="0"/>
        <w:bidi w:val="0"/>
        <w:spacing w:beforeAutospacing="0" w:afterAutospacing="0" w:line="576" w:lineRule="exact"/>
        <w:ind w:leftChars="0" w:firstLine="640" w:firstLineChars="200"/>
        <w:textAlignment w:val="auto"/>
        <w:rPr>
          <w:rStyle w:val="18"/>
          <w:rFonts w:hint="eastAsia" w:ascii="仿宋_GB2312" w:hAnsi="仿宋_GB2312" w:eastAsia="仿宋_GB2312" w:cs="仿宋_GB2312"/>
          <w:b w:val="0"/>
          <w:bCs/>
          <w:color w:val="000000"/>
          <w:kern w:val="0"/>
          <w:sz w:val="32"/>
          <w:szCs w:val="32"/>
          <w:lang w:eastAsia="zh-CN"/>
        </w:rPr>
      </w:pPr>
      <w:r>
        <w:rPr>
          <w:rStyle w:val="18"/>
          <w:rFonts w:hint="eastAsia" w:ascii="仿宋_GB2312" w:hAnsi="仿宋_GB2312" w:eastAsia="仿宋_GB2312" w:cs="仿宋_GB2312"/>
          <w:b w:val="0"/>
          <w:bCs/>
          <w:color w:val="000000"/>
          <w:kern w:val="0"/>
          <w:sz w:val="32"/>
          <w:szCs w:val="32"/>
        </w:rPr>
        <w:t>2.社会保障和就业</w:t>
      </w:r>
      <w:r>
        <w:rPr>
          <w:rStyle w:val="18"/>
          <w:rFonts w:hint="eastAsia" w:ascii="仿宋_GB2312" w:hAnsi="仿宋_GB2312" w:eastAsia="仿宋_GB2312" w:cs="仿宋_GB2312"/>
          <w:b w:val="0"/>
          <w:bCs/>
          <w:color w:val="000000"/>
          <w:kern w:val="0"/>
          <w:sz w:val="32"/>
          <w:szCs w:val="32"/>
          <w:lang w:val="en-US" w:eastAsia="zh-CN"/>
        </w:rPr>
        <w:t>208</w:t>
      </w:r>
      <w:r>
        <w:rPr>
          <w:rStyle w:val="18"/>
          <w:rFonts w:hint="eastAsia" w:ascii="仿宋_GB2312" w:hAnsi="仿宋_GB2312" w:eastAsia="仿宋_GB2312" w:cs="仿宋_GB2312"/>
          <w:b w:val="0"/>
          <w:bCs/>
          <w:color w:val="000000"/>
          <w:kern w:val="0"/>
          <w:sz w:val="32"/>
          <w:szCs w:val="32"/>
        </w:rPr>
        <w:t>）行政事业单位离退休（</w:t>
      </w:r>
      <w:r>
        <w:rPr>
          <w:rStyle w:val="18"/>
          <w:rFonts w:hint="eastAsia" w:ascii="仿宋_GB2312" w:hAnsi="仿宋_GB2312" w:eastAsia="仿宋_GB2312" w:cs="仿宋_GB2312"/>
          <w:b w:val="0"/>
          <w:bCs/>
          <w:color w:val="000000"/>
          <w:kern w:val="0"/>
          <w:sz w:val="32"/>
          <w:szCs w:val="32"/>
          <w:lang w:val="en-US" w:eastAsia="zh-CN"/>
        </w:rPr>
        <w:t>05</w:t>
      </w:r>
      <w:r>
        <w:rPr>
          <w:rStyle w:val="18"/>
          <w:rFonts w:hint="eastAsia" w:ascii="仿宋_GB2312" w:hAnsi="仿宋_GB2312" w:eastAsia="仿宋_GB2312" w:cs="仿宋_GB2312"/>
          <w:b w:val="0"/>
          <w:bCs/>
          <w:color w:val="000000"/>
          <w:kern w:val="0"/>
          <w:sz w:val="32"/>
          <w:szCs w:val="32"/>
        </w:rPr>
        <w:t>）机关事业单位基本养老保险（</w:t>
      </w:r>
      <w:r>
        <w:rPr>
          <w:rStyle w:val="18"/>
          <w:rFonts w:hint="eastAsia" w:ascii="仿宋_GB2312" w:hAnsi="仿宋_GB2312" w:eastAsia="仿宋_GB2312" w:cs="仿宋_GB2312"/>
          <w:b w:val="0"/>
          <w:bCs/>
          <w:color w:val="000000"/>
          <w:kern w:val="0"/>
          <w:sz w:val="32"/>
          <w:szCs w:val="32"/>
          <w:lang w:val="en-US" w:eastAsia="zh-CN"/>
        </w:rPr>
        <w:t>05</w:t>
      </w:r>
      <w:r>
        <w:rPr>
          <w:rStyle w:val="18"/>
          <w:rFonts w:hint="eastAsia" w:ascii="仿宋_GB2312" w:hAnsi="仿宋_GB2312" w:eastAsia="仿宋_GB2312" w:cs="仿宋_GB2312"/>
          <w:b w:val="0"/>
          <w:bCs/>
          <w:color w:val="000000"/>
          <w:kern w:val="0"/>
          <w:sz w:val="32"/>
          <w:szCs w:val="32"/>
        </w:rPr>
        <w:t>）: 支出决算</w:t>
      </w:r>
      <w:r>
        <w:rPr>
          <w:rStyle w:val="18"/>
          <w:rFonts w:hint="eastAsia" w:ascii="仿宋_GB2312" w:hAnsi="仿宋_GB2312" w:eastAsia="仿宋_GB2312" w:cs="仿宋_GB2312"/>
          <w:b w:val="0"/>
          <w:bCs/>
          <w:color w:val="000000"/>
          <w:kern w:val="0"/>
          <w:sz w:val="32"/>
          <w:szCs w:val="32"/>
          <w:lang w:eastAsia="zh-CN"/>
        </w:rPr>
        <w:t>数</w:t>
      </w:r>
      <w:r>
        <w:rPr>
          <w:rStyle w:val="18"/>
          <w:rFonts w:hint="eastAsia" w:ascii="仿宋_GB2312" w:hAnsi="仿宋_GB2312" w:eastAsia="仿宋_GB2312" w:cs="仿宋_GB2312"/>
          <w:b w:val="0"/>
          <w:bCs/>
          <w:color w:val="000000"/>
          <w:kern w:val="0"/>
          <w:sz w:val="32"/>
          <w:szCs w:val="32"/>
          <w:lang w:val="en-US" w:eastAsia="zh-CN"/>
        </w:rPr>
        <w:t>2.23</w:t>
      </w:r>
      <w:r>
        <w:rPr>
          <w:rStyle w:val="18"/>
          <w:rFonts w:hint="eastAsia" w:ascii="仿宋_GB2312" w:hAnsi="仿宋_GB2312" w:eastAsia="仿宋_GB2312" w:cs="仿宋_GB2312"/>
          <w:b w:val="0"/>
          <w:bCs/>
          <w:color w:val="000000"/>
          <w:kern w:val="0"/>
          <w:sz w:val="32"/>
          <w:szCs w:val="32"/>
        </w:rPr>
        <w:t>万元，完成预算100%</w:t>
      </w:r>
      <w:r>
        <w:rPr>
          <w:rStyle w:val="18"/>
          <w:rFonts w:hint="eastAsia" w:ascii="仿宋_GB2312" w:hAnsi="仿宋_GB2312" w:eastAsia="仿宋_GB2312" w:cs="仿宋_GB2312"/>
          <w:b w:val="0"/>
          <w:bCs/>
          <w:color w:val="000000"/>
          <w:kern w:val="0"/>
          <w:sz w:val="32"/>
          <w:szCs w:val="32"/>
          <w:lang w:eastAsia="zh-CN"/>
        </w:rPr>
        <w:t>，决算数等于预算数。</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lang w:eastAsia="zh-CN"/>
        </w:rPr>
      </w:pPr>
      <w:r>
        <w:rPr>
          <w:rStyle w:val="18"/>
          <w:rFonts w:hint="eastAsia" w:ascii="仿宋_GB2312" w:hAnsi="仿宋_GB2312" w:eastAsia="仿宋_GB2312" w:cs="仿宋_GB2312"/>
          <w:b w:val="0"/>
          <w:bCs/>
          <w:color w:val="000000"/>
          <w:kern w:val="0"/>
          <w:sz w:val="32"/>
          <w:szCs w:val="32"/>
        </w:rPr>
        <w:t>3.</w:t>
      </w:r>
      <w:r>
        <w:rPr>
          <w:rFonts w:hint="eastAsia" w:ascii="仿宋_GB2312" w:hAnsi="仿宋_GB2312" w:eastAsia="仿宋_GB2312" w:cs="仿宋_GB2312"/>
          <w:color w:val="000000"/>
          <w:kern w:val="0"/>
          <w:sz w:val="32"/>
          <w:szCs w:val="32"/>
        </w:rPr>
        <w:t>社会保障和就业（</w:t>
      </w:r>
      <w:r>
        <w:rPr>
          <w:rFonts w:hint="eastAsia" w:ascii="仿宋_GB2312" w:hAnsi="仿宋_GB2312" w:eastAsia="仿宋_GB2312" w:cs="仿宋_GB2312"/>
          <w:color w:val="000000"/>
          <w:kern w:val="0"/>
          <w:sz w:val="32"/>
          <w:szCs w:val="32"/>
          <w:lang w:val="en-US" w:eastAsia="zh-CN"/>
        </w:rPr>
        <w:t>208</w:t>
      </w:r>
      <w:r>
        <w:rPr>
          <w:rFonts w:hint="eastAsia" w:ascii="仿宋_GB2312" w:hAnsi="仿宋_GB2312" w:eastAsia="仿宋_GB2312" w:cs="仿宋_GB2312"/>
          <w:color w:val="000000"/>
          <w:kern w:val="0"/>
          <w:sz w:val="32"/>
          <w:szCs w:val="32"/>
        </w:rPr>
        <w:t>）行政事业单位离退休（</w:t>
      </w:r>
      <w:r>
        <w:rPr>
          <w:rFonts w:hint="eastAsia" w:ascii="仿宋_GB2312" w:hAnsi="仿宋_GB2312" w:eastAsia="仿宋_GB2312" w:cs="仿宋_GB2312"/>
          <w:color w:val="000000"/>
          <w:kern w:val="0"/>
          <w:sz w:val="32"/>
          <w:szCs w:val="32"/>
          <w:lang w:val="en-US" w:eastAsia="zh-CN"/>
        </w:rPr>
        <w:t>05</w:t>
      </w:r>
      <w:r>
        <w:rPr>
          <w:rFonts w:hint="eastAsia" w:ascii="仿宋_GB2312" w:hAnsi="仿宋_GB2312" w:eastAsia="仿宋_GB2312" w:cs="仿宋_GB2312"/>
          <w:color w:val="000000"/>
          <w:kern w:val="0"/>
          <w:sz w:val="32"/>
          <w:szCs w:val="32"/>
        </w:rPr>
        <w:t>）机关事业单位职业年金缴费（</w:t>
      </w:r>
      <w:r>
        <w:rPr>
          <w:rFonts w:hint="eastAsia" w:ascii="仿宋_GB2312" w:hAnsi="仿宋_GB2312" w:eastAsia="仿宋_GB2312" w:cs="仿宋_GB2312"/>
          <w:color w:val="000000"/>
          <w:kern w:val="0"/>
          <w:sz w:val="32"/>
          <w:szCs w:val="32"/>
          <w:lang w:val="en-US" w:eastAsia="zh-CN"/>
        </w:rPr>
        <w:t>06</w:t>
      </w:r>
      <w:r>
        <w:rPr>
          <w:rFonts w:hint="eastAsia" w:ascii="仿宋_GB2312" w:hAnsi="仿宋_GB2312" w:eastAsia="仿宋_GB2312" w:cs="仿宋_GB2312"/>
          <w:color w:val="000000"/>
          <w:kern w:val="0"/>
          <w:sz w:val="32"/>
          <w:szCs w:val="32"/>
        </w:rPr>
        <w:t>）：支出决算</w:t>
      </w:r>
      <w:r>
        <w:rPr>
          <w:rFonts w:hint="eastAsia" w:ascii="仿宋_GB2312" w:hAnsi="仿宋_GB2312" w:eastAsia="仿宋_GB2312" w:cs="仿宋_GB2312"/>
          <w:color w:val="000000"/>
          <w:kern w:val="0"/>
          <w:sz w:val="32"/>
          <w:szCs w:val="32"/>
          <w:lang w:eastAsia="zh-CN"/>
        </w:rPr>
        <w:t>数</w:t>
      </w:r>
      <w:r>
        <w:rPr>
          <w:rFonts w:hint="eastAsia" w:ascii="仿宋_GB2312" w:hAnsi="仿宋_GB2312" w:eastAsia="仿宋_GB2312" w:cs="仿宋_GB2312"/>
          <w:color w:val="000000"/>
          <w:kern w:val="0"/>
          <w:sz w:val="32"/>
          <w:szCs w:val="32"/>
          <w:lang w:val="en-US" w:eastAsia="zh-CN"/>
        </w:rPr>
        <w:t>1.11</w:t>
      </w:r>
      <w:r>
        <w:rPr>
          <w:rFonts w:hint="eastAsia" w:ascii="仿宋_GB2312" w:hAnsi="仿宋_GB2312" w:eastAsia="仿宋_GB2312" w:cs="仿宋_GB2312"/>
          <w:color w:val="000000"/>
          <w:kern w:val="0"/>
          <w:sz w:val="32"/>
          <w:szCs w:val="32"/>
        </w:rPr>
        <w:t>万元，</w:t>
      </w:r>
      <w:r>
        <w:rPr>
          <w:rStyle w:val="18"/>
          <w:rFonts w:hint="eastAsia" w:ascii="仿宋_GB2312" w:hAnsi="仿宋_GB2312" w:eastAsia="仿宋_GB2312" w:cs="仿宋_GB2312"/>
          <w:b w:val="0"/>
          <w:bCs/>
          <w:color w:val="000000"/>
          <w:kern w:val="0"/>
          <w:sz w:val="32"/>
          <w:szCs w:val="32"/>
        </w:rPr>
        <w:t>完成预算100%</w:t>
      </w:r>
      <w:r>
        <w:rPr>
          <w:rStyle w:val="18"/>
          <w:rFonts w:hint="eastAsia" w:ascii="仿宋_GB2312" w:hAnsi="仿宋_GB2312" w:eastAsia="仿宋_GB2312" w:cs="仿宋_GB2312"/>
          <w:b w:val="0"/>
          <w:bCs/>
          <w:color w:val="000000"/>
          <w:kern w:val="0"/>
          <w:sz w:val="32"/>
          <w:szCs w:val="32"/>
          <w:lang w:eastAsia="zh-CN"/>
        </w:rPr>
        <w:t>，决算数等于预算数。</w:t>
      </w:r>
    </w:p>
    <w:p>
      <w:pPr>
        <w:pageBreakBefore w:val="0"/>
        <w:kinsoku/>
        <w:wordWrap/>
        <w:overflowPunct/>
        <w:topLinePunct w:val="0"/>
        <w:bidi w:val="0"/>
        <w:spacing w:beforeAutospacing="0" w:afterAutospacing="0" w:line="576" w:lineRule="exact"/>
        <w:ind w:leftChars="0" w:firstLine="640" w:firstLineChars="200"/>
        <w:textAlignment w:val="auto"/>
        <w:rPr>
          <w:rStyle w:val="18"/>
          <w:rFonts w:hint="eastAsia" w:ascii="仿宋_GB2312" w:hAnsi="仿宋_GB2312" w:eastAsia="仿宋_GB2312" w:cs="仿宋_GB2312"/>
          <w:b w:val="0"/>
          <w:bCs/>
          <w:color w:val="000000"/>
          <w:kern w:val="0"/>
          <w:sz w:val="32"/>
          <w:szCs w:val="32"/>
          <w:lang w:eastAsia="zh-CN"/>
        </w:rPr>
      </w:pPr>
      <w:r>
        <w:rPr>
          <w:rStyle w:val="18"/>
          <w:rFonts w:hint="eastAsia" w:ascii="仿宋_GB2312" w:hAnsi="仿宋_GB2312" w:eastAsia="仿宋_GB2312" w:cs="仿宋_GB2312"/>
          <w:b w:val="0"/>
          <w:bCs/>
          <w:color w:val="000000"/>
          <w:kern w:val="0"/>
          <w:sz w:val="32"/>
          <w:szCs w:val="32"/>
        </w:rPr>
        <w:t>4.医疗卫生与计划生育（</w:t>
      </w:r>
      <w:r>
        <w:rPr>
          <w:rStyle w:val="18"/>
          <w:rFonts w:hint="eastAsia" w:ascii="仿宋_GB2312" w:hAnsi="仿宋_GB2312" w:eastAsia="仿宋_GB2312" w:cs="仿宋_GB2312"/>
          <w:b w:val="0"/>
          <w:bCs/>
          <w:color w:val="000000"/>
          <w:kern w:val="0"/>
          <w:sz w:val="32"/>
          <w:szCs w:val="32"/>
          <w:lang w:val="en-US" w:eastAsia="zh-CN"/>
        </w:rPr>
        <w:t>210</w:t>
      </w:r>
      <w:r>
        <w:rPr>
          <w:rStyle w:val="18"/>
          <w:rFonts w:hint="eastAsia" w:ascii="仿宋_GB2312" w:hAnsi="仿宋_GB2312" w:eastAsia="仿宋_GB2312" w:cs="仿宋_GB2312"/>
          <w:b w:val="0"/>
          <w:bCs/>
          <w:color w:val="000000"/>
          <w:kern w:val="0"/>
          <w:sz w:val="32"/>
          <w:szCs w:val="32"/>
        </w:rPr>
        <w:t>）行政事业单位医疗（</w:t>
      </w:r>
      <w:r>
        <w:rPr>
          <w:rStyle w:val="18"/>
          <w:rFonts w:hint="eastAsia" w:ascii="仿宋_GB2312" w:hAnsi="仿宋_GB2312" w:eastAsia="仿宋_GB2312" w:cs="仿宋_GB2312"/>
          <w:b w:val="0"/>
          <w:bCs/>
          <w:color w:val="000000"/>
          <w:kern w:val="0"/>
          <w:sz w:val="32"/>
          <w:szCs w:val="32"/>
          <w:lang w:val="en-US" w:eastAsia="zh-CN"/>
        </w:rPr>
        <w:t>11</w:t>
      </w:r>
      <w:r>
        <w:rPr>
          <w:rStyle w:val="18"/>
          <w:rFonts w:hint="eastAsia" w:ascii="仿宋_GB2312" w:hAnsi="仿宋_GB2312" w:eastAsia="仿宋_GB2312" w:cs="仿宋_GB2312"/>
          <w:b w:val="0"/>
          <w:bCs/>
          <w:color w:val="000000"/>
          <w:kern w:val="0"/>
          <w:sz w:val="32"/>
          <w:szCs w:val="32"/>
        </w:rPr>
        <w:t>）</w:t>
      </w:r>
      <w:r>
        <w:rPr>
          <w:rStyle w:val="18"/>
          <w:rFonts w:hint="eastAsia" w:ascii="仿宋_GB2312" w:hAnsi="仿宋_GB2312" w:eastAsia="仿宋_GB2312" w:cs="仿宋_GB2312"/>
          <w:b w:val="0"/>
          <w:bCs/>
          <w:color w:val="000000"/>
          <w:kern w:val="0"/>
          <w:sz w:val="32"/>
          <w:szCs w:val="32"/>
          <w:lang w:val="en-US" w:eastAsia="zh-CN"/>
        </w:rPr>
        <w:t>事业</w:t>
      </w:r>
      <w:r>
        <w:rPr>
          <w:rStyle w:val="18"/>
          <w:rFonts w:hint="eastAsia" w:ascii="仿宋_GB2312" w:hAnsi="仿宋_GB2312" w:eastAsia="仿宋_GB2312" w:cs="仿宋_GB2312"/>
          <w:b w:val="0"/>
          <w:bCs/>
          <w:color w:val="000000"/>
          <w:kern w:val="0"/>
          <w:sz w:val="32"/>
          <w:szCs w:val="32"/>
        </w:rPr>
        <w:t>单位医疗（</w:t>
      </w:r>
      <w:r>
        <w:rPr>
          <w:rStyle w:val="18"/>
          <w:rFonts w:hint="eastAsia" w:ascii="仿宋_GB2312" w:hAnsi="仿宋_GB2312" w:eastAsia="仿宋_GB2312" w:cs="仿宋_GB2312"/>
          <w:b w:val="0"/>
          <w:bCs/>
          <w:color w:val="000000"/>
          <w:kern w:val="0"/>
          <w:sz w:val="32"/>
          <w:szCs w:val="32"/>
          <w:lang w:val="en-US" w:eastAsia="zh-CN"/>
        </w:rPr>
        <w:t>02</w:t>
      </w:r>
      <w:r>
        <w:rPr>
          <w:rStyle w:val="18"/>
          <w:rFonts w:hint="eastAsia" w:ascii="仿宋_GB2312" w:hAnsi="仿宋_GB2312" w:eastAsia="仿宋_GB2312" w:cs="仿宋_GB2312"/>
          <w:b w:val="0"/>
          <w:bCs/>
          <w:color w:val="000000"/>
          <w:kern w:val="0"/>
          <w:sz w:val="32"/>
          <w:szCs w:val="32"/>
        </w:rPr>
        <w:t>）:支出决算</w:t>
      </w:r>
      <w:r>
        <w:rPr>
          <w:rStyle w:val="18"/>
          <w:rFonts w:hint="eastAsia" w:ascii="仿宋_GB2312" w:hAnsi="仿宋_GB2312" w:eastAsia="仿宋_GB2312" w:cs="仿宋_GB2312"/>
          <w:b w:val="0"/>
          <w:bCs/>
          <w:color w:val="000000"/>
          <w:kern w:val="0"/>
          <w:sz w:val="32"/>
          <w:szCs w:val="32"/>
          <w:lang w:eastAsia="zh-CN"/>
        </w:rPr>
        <w:t>数</w:t>
      </w:r>
      <w:r>
        <w:rPr>
          <w:rStyle w:val="18"/>
          <w:rFonts w:hint="eastAsia" w:ascii="仿宋_GB2312" w:hAnsi="仿宋_GB2312" w:eastAsia="仿宋_GB2312" w:cs="仿宋_GB2312"/>
          <w:b w:val="0"/>
          <w:bCs/>
          <w:color w:val="000000"/>
          <w:kern w:val="0"/>
          <w:sz w:val="32"/>
          <w:szCs w:val="32"/>
          <w:lang w:val="en-US" w:eastAsia="zh-CN"/>
        </w:rPr>
        <w:t>1.19</w:t>
      </w:r>
      <w:r>
        <w:rPr>
          <w:rStyle w:val="18"/>
          <w:rFonts w:hint="eastAsia" w:ascii="仿宋_GB2312" w:hAnsi="仿宋_GB2312" w:eastAsia="仿宋_GB2312" w:cs="仿宋_GB2312"/>
          <w:b w:val="0"/>
          <w:bCs/>
          <w:color w:val="000000"/>
          <w:kern w:val="0"/>
          <w:sz w:val="32"/>
          <w:szCs w:val="32"/>
        </w:rPr>
        <w:t>万元，完成预算100%</w:t>
      </w:r>
      <w:r>
        <w:rPr>
          <w:rStyle w:val="18"/>
          <w:rFonts w:hint="eastAsia" w:ascii="仿宋_GB2312" w:hAnsi="仿宋_GB2312" w:eastAsia="仿宋_GB2312" w:cs="仿宋_GB2312"/>
          <w:b w:val="0"/>
          <w:bCs/>
          <w:color w:val="000000"/>
          <w:kern w:val="0"/>
          <w:sz w:val="32"/>
          <w:szCs w:val="32"/>
          <w:lang w:eastAsia="zh-CN"/>
        </w:rPr>
        <w:t>，决算数等于预算数。</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黑体" w:eastAsia="黑体" w:cs="Times New Roman"/>
          <w:b w:val="0"/>
          <w:bCs/>
          <w:color w:val="000000"/>
        </w:rPr>
      </w:pPr>
      <w:r>
        <w:rPr>
          <w:rStyle w:val="18"/>
          <w:rFonts w:hint="eastAsia" w:ascii="仿宋_GB2312" w:hAnsi="仿宋_GB2312" w:eastAsia="仿宋_GB2312" w:cs="仿宋_GB2312"/>
          <w:b w:val="0"/>
          <w:bCs/>
          <w:color w:val="000000"/>
          <w:kern w:val="0"/>
          <w:sz w:val="32"/>
          <w:szCs w:val="32"/>
        </w:rPr>
        <w:t>5</w:t>
      </w:r>
      <w:r>
        <w:rPr>
          <w:rFonts w:hint="eastAsia" w:ascii="仿宋_GB2312" w:hAnsi="仿宋_GB2312" w:eastAsia="仿宋_GB2312" w:cs="仿宋_GB2312"/>
          <w:color w:val="000000"/>
          <w:kern w:val="0"/>
          <w:sz w:val="32"/>
          <w:szCs w:val="32"/>
        </w:rPr>
        <w:t>.住房保障（</w:t>
      </w:r>
      <w:r>
        <w:rPr>
          <w:rFonts w:hint="eastAsia" w:ascii="仿宋_GB2312" w:hAnsi="仿宋_GB2312" w:eastAsia="仿宋_GB2312" w:cs="仿宋_GB2312"/>
          <w:color w:val="000000"/>
          <w:kern w:val="0"/>
          <w:sz w:val="32"/>
          <w:szCs w:val="32"/>
          <w:lang w:val="en-US" w:eastAsia="zh-CN"/>
        </w:rPr>
        <w:t>221</w:t>
      </w:r>
      <w:r>
        <w:rPr>
          <w:rFonts w:hint="eastAsia" w:ascii="仿宋_GB2312" w:hAnsi="仿宋_GB2312" w:eastAsia="仿宋_GB2312" w:cs="仿宋_GB2312"/>
          <w:color w:val="000000"/>
          <w:kern w:val="0"/>
          <w:sz w:val="32"/>
          <w:szCs w:val="32"/>
        </w:rPr>
        <w:t>）住房改革（</w:t>
      </w:r>
      <w:r>
        <w:rPr>
          <w:rFonts w:hint="eastAsia" w:ascii="仿宋_GB2312" w:hAnsi="仿宋_GB2312" w:eastAsia="仿宋_GB2312" w:cs="仿宋_GB2312"/>
          <w:color w:val="000000"/>
          <w:kern w:val="0"/>
          <w:sz w:val="32"/>
          <w:szCs w:val="32"/>
          <w:lang w:val="en-US" w:eastAsia="zh-CN"/>
        </w:rPr>
        <w:t>02</w:t>
      </w:r>
      <w:r>
        <w:rPr>
          <w:rFonts w:hint="eastAsia" w:ascii="仿宋_GB2312" w:hAnsi="仿宋_GB2312" w:eastAsia="仿宋_GB2312" w:cs="仿宋_GB2312"/>
          <w:color w:val="000000"/>
          <w:kern w:val="0"/>
          <w:sz w:val="32"/>
          <w:szCs w:val="32"/>
        </w:rPr>
        <w:t>）住房公积金（</w:t>
      </w:r>
      <w:r>
        <w:rPr>
          <w:rFonts w:hint="eastAsia" w:ascii="仿宋_GB2312" w:hAnsi="仿宋_GB2312" w:eastAsia="仿宋_GB2312" w:cs="仿宋_GB2312"/>
          <w:color w:val="000000"/>
          <w:kern w:val="0"/>
          <w:sz w:val="32"/>
          <w:szCs w:val="32"/>
          <w:lang w:val="en-US" w:eastAsia="zh-CN"/>
        </w:rPr>
        <w:t>01</w:t>
      </w:r>
      <w:r>
        <w:rPr>
          <w:rFonts w:hint="eastAsia" w:ascii="仿宋_GB2312" w:hAnsi="仿宋_GB2312" w:eastAsia="仿宋_GB2312" w:cs="仿宋_GB2312"/>
          <w:color w:val="000000"/>
          <w:kern w:val="0"/>
          <w:sz w:val="32"/>
          <w:szCs w:val="32"/>
        </w:rPr>
        <w:t>）:支出决算</w:t>
      </w:r>
      <w:r>
        <w:rPr>
          <w:rFonts w:hint="eastAsia" w:ascii="仿宋_GB2312" w:hAnsi="仿宋_GB2312" w:eastAsia="仿宋_GB2312" w:cs="仿宋_GB2312"/>
          <w:color w:val="000000"/>
          <w:kern w:val="0"/>
          <w:sz w:val="32"/>
          <w:szCs w:val="32"/>
          <w:lang w:eastAsia="zh-CN"/>
        </w:rPr>
        <w:t>数</w:t>
      </w:r>
      <w:r>
        <w:rPr>
          <w:rFonts w:hint="eastAsia" w:ascii="仿宋_GB2312" w:hAnsi="仿宋_GB2312" w:eastAsia="仿宋_GB2312" w:cs="仿宋_GB2312"/>
          <w:color w:val="000000"/>
          <w:kern w:val="0"/>
          <w:sz w:val="32"/>
          <w:szCs w:val="32"/>
          <w:lang w:val="en-US" w:eastAsia="zh-CN"/>
        </w:rPr>
        <w:t>1.78</w:t>
      </w:r>
      <w:r>
        <w:rPr>
          <w:rFonts w:hint="eastAsia" w:ascii="仿宋_GB2312" w:hAnsi="仿宋_GB2312" w:eastAsia="仿宋_GB2312" w:cs="仿宋_GB2312"/>
          <w:color w:val="000000"/>
          <w:kern w:val="0"/>
          <w:sz w:val="32"/>
          <w:szCs w:val="32"/>
        </w:rPr>
        <w:t>万元，</w:t>
      </w:r>
      <w:r>
        <w:rPr>
          <w:rStyle w:val="18"/>
          <w:rFonts w:hint="eastAsia" w:ascii="仿宋_GB2312" w:hAnsi="仿宋_GB2312" w:eastAsia="仿宋_GB2312" w:cs="仿宋_GB2312"/>
          <w:b w:val="0"/>
          <w:bCs/>
          <w:color w:val="000000"/>
          <w:kern w:val="0"/>
          <w:sz w:val="32"/>
          <w:szCs w:val="32"/>
        </w:rPr>
        <w:t>完成预算100%</w:t>
      </w:r>
      <w:r>
        <w:rPr>
          <w:rStyle w:val="18"/>
          <w:rFonts w:hint="eastAsia" w:ascii="仿宋_GB2312" w:hAnsi="仿宋_GB2312" w:eastAsia="仿宋_GB2312" w:cs="仿宋_GB2312"/>
          <w:b w:val="0"/>
          <w:bCs/>
          <w:color w:val="000000"/>
          <w:kern w:val="0"/>
          <w:sz w:val="32"/>
          <w:szCs w:val="32"/>
          <w:lang w:eastAsia="zh-CN"/>
        </w:rPr>
        <w:t>，决算数等于预算数。</w:t>
      </w:r>
      <w:bookmarkEnd w:id="51"/>
      <w:bookmarkEnd w:id="52"/>
      <w:bookmarkEnd w:id="53"/>
      <w:bookmarkStart w:id="54" w:name="_Toc15377214"/>
      <w:bookmarkStart w:id="55" w:name="_Toc111208504"/>
      <w:bookmarkStart w:id="56" w:name="_Toc12824"/>
      <w:bookmarkStart w:id="57" w:name="_Toc32028"/>
    </w:p>
    <w:p>
      <w:pPr>
        <w:pStyle w:val="3"/>
        <w:pageBreakBefore w:val="0"/>
        <w:kinsoku/>
        <w:wordWrap/>
        <w:overflowPunct/>
        <w:topLinePunct w:val="0"/>
        <w:autoSpaceDE/>
        <w:autoSpaceDN/>
        <w:bidi w:val="0"/>
        <w:adjustRightInd/>
        <w:snapToGrid w:val="0"/>
        <w:spacing w:before="0" w:beforeAutospacing="0" w:after="0" w:afterAutospacing="0" w:line="576" w:lineRule="exact"/>
        <w:ind w:firstLine="640" w:firstLineChars="200"/>
        <w:textAlignment w:val="auto"/>
        <w:rPr>
          <w:rFonts w:ascii="黑体" w:eastAsia="黑体" w:cs="Times New Roman"/>
          <w:b w:val="0"/>
          <w:bCs/>
          <w:color w:val="000000"/>
        </w:rPr>
      </w:pPr>
      <w:r>
        <w:rPr>
          <w:rFonts w:hint="eastAsia" w:ascii="黑体" w:eastAsia="黑体" w:cs="Times New Roman"/>
          <w:b w:val="0"/>
          <w:bCs/>
          <w:color w:val="000000"/>
        </w:rPr>
        <w:t>六、一般公共预算财政拨款基本支出决算情况说</w:t>
      </w:r>
      <w:bookmarkEnd w:id="54"/>
      <w:r>
        <w:rPr>
          <w:rFonts w:hint="eastAsia" w:ascii="黑体" w:eastAsia="黑体" w:cs="Times New Roman"/>
          <w:b w:val="0"/>
          <w:bCs/>
          <w:color w:val="000000"/>
        </w:rPr>
        <w:t>明</w:t>
      </w:r>
      <w:bookmarkEnd w:id="55"/>
      <w:bookmarkEnd w:id="56"/>
      <w:bookmarkEnd w:id="57"/>
    </w:p>
    <w:p>
      <w:pPr>
        <w:pStyle w:val="1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76" w:lineRule="exact"/>
        <w:ind w:leftChars="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2024年一般公共预算财政拨款基本支出</w:t>
      </w:r>
      <w:r>
        <w:rPr>
          <w:rFonts w:hint="eastAsia" w:ascii="仿宋_GB2312" w:hAnsi="仿宋_GB2312" w:eastAsia="仿宋_GB2312" w:cs="仿宋_GB2312"/>
          <w:sz w:val="32"/>
          <w:szCs w:val="32"/>
          <w:lang w:val="en-US" w:eastAsia="zh-CN"/>
        </w:rPr>
        <w:t>22.61</w:t>
      </w:r>
      <w:r>
        <w:rPr>
          <w:rFonts w:hint="eastAsia" w:ascii="仿宋_GB2312" w:hAnsi="仿宋_GB2312" w:eastAsia="仿宋_GB2312" w:cs="仿宋_GB2312"/>
          <w:color w:val="000000"/>
          <w:kern w:val="2"/>
          <w:sz w:val="32"/>
          <w:szCs w:val="32"/>
          <w:lang w:val="en-US" w:eastAsia="zh-CN" w:bidi="ar-SA"/>
        </w:rPr>
        <w:t>万元，其中：</w:t>
      </w:r>
    </w:p>
    <w:p>
      <w:pPr>
        <w:pageBreakBefore w:val="0"/>
        <w:kinsoku/>
        <w:wordWrap/>
        <w:overflowPunct/>
        <w:topLinePunct w:val="0"/>
        <w:bidi w:val="0"/>
        <w:spacing w:beforeAutospacing="0" w:afterAutospacing="0" w:line="576" w:lineRule="exact"/>
        <w:ind w:leftChars="0" w:firstLine="640" w:firstLineChars="200"/>
        <w:textAlignment w:val="auto"/>
        <w:rPr>
          <w:rStyle w:val="18"/>
          <w:rFonts w:hint="eastAsia" w:ascii="仿宋_GB2312" w:hAnsi="仿宋_GB2312" w:eastAsia="仿宋_GB2312" w:cs="仿宋_GB2312"/>
          <w:b w:val="0"/>
          <w:bCs/>
          <w:color w:val="000000"/>
          <w:kern w:val="0"/>
          <w:sz w:val="32"/>
          <w:szCs w:val="32"/>
          <w:lang w:val="en-US" w:eastAsia="zh-CN"/>
        </w:rPr>
      </w:pPr>
      <w:r>
        <w:rPr>
          <w:rStyle w:val="18"/>
          <w:rFonts w:hint="eastAsia" w:ascii="仿宋_GB2312" w:hAnsi="仿宋_GB2312" w:eastAsia="仿宋_GB2312" w:cs="仿宋_GB2312"/>
          <w:b w:val="0"/>
          <w:bCs/>
          <w:color w:val="000000"/>
          <w:kern w:val="0"/>
          <w:sz w:val="32"/>
          <w:szCs w:val="32"/>
          <w:lang w:val="en-US" w:eastAsia="zh-CN"/>
        </w:rPr>
        <w:t>人员经费21.92万元，主要包括：基本工资、津贴补贴、奖金、伙食补助费、绩效工资、机关事业单位基本养老保险缴费、职业年金缴费、其他 社会保障缴费、其他工资福利支出、离休费、退休费、抚恤金、生活补助、医疗费补助、奖励金、住房公积金、其他对个人和家庭的补助支出等。</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2"/>
          <w:sz w:val="32"/>
          <w:szCs w:val="32"/>
          <w:lang w:val="en-US" w:eastAsia="zh-CN" w:bidi="ar-SA"/>
        </w:rPr>
      </w:pPr>
      <w:r>
        <w:rPr>
          <w:rStyle w:val="18"/>
          <w:rFonts w:hint="eastAsia" w:ascii="仿宋_GB2312" w:hAnsi="仿宋_GB2312" w:eastAsia="仿宋_GB2312" w:cs="仿宋_GB2312"/>
          <w:b w:val="0"/>
          <w:bCs/>
          <w:color w:val="000000"/>
          <w:kern w:val="0"/>
          <w:sz w:val="32"/>
          <w:szCs w:val="32"/>
          <w:lang w:val="en-US" w:eastAsia="zh-CN"/>
        </w:rPr>
        <w:t>公用经费0.69万元，主要包括：办公费、印刷费、咨询费、手续费、水费、电费、邮电费、取暖费、物业管理费</w:t>
      </w:r>
      <w:r>
        <w:rPr>
          <w:rFonts w:hint="eastAsia" w:ascii="仿宋_GB2312" w:hAnsi="仿宋_GB2312" w:eastAsia="仿宋_GB2312" w:cs="仿宋_GB2312"/>
          <w:color w:val="000000"/>
          <w:kern w:val="2"/>
          <w:sz w:val="32"/>
          <w:szCs w:val="32"/>
          <w:lang w:val="en-US" w:eastAsia="zh-CN" w:bidi="ar-SA"/>
        </w:rPr>
        <w:t>、差旅费、因公出国（境） 费用、维修（护）费、租赁费、会议费、培训费、公务接待费、劳务费、委托业务费、工会经费、福利费、公务用车运行维护费、其他交通费、税金及附加费用、其 他商品和服务支出、办公设备购置、专用设备购置、信息网络及软件购置更新、其他资本性支出等。</w:t>
      </w:r>
    </w:p>
    <w:p>
      <w:pPr>
        <w:pStyle w:val="3"/>
        <w:pageBreakBefore w:val="0"/>
        <w:kinsoku/>
        <w:wordWrap/>
        <w:overflowPunct/>
        <w:topLinePunct w:val="0"/>
        <w:autoSpaceDE/>
        <w:autoSpaceDN/>
        <w:bidi w:val="0"/>
        <w:adjustRightInd/>
        <w:snapToGrid w:val="0"/>
        <w:spacing w:before="0" w:beforeAutospacing="0" w:after="0" w:afterAutospacing="0" w:line="576" w:lineRule="exact"/>
        <w:ind w:leftChars="0" w:firstLine="640" w:firstLineChars="200"/>
        <w:textAlignment w:val="auto"/>
        <w:rPr>
          <w:rFonts w:ascii="黑体" w:eastAsia="黑体" w:cs="Times New Roman"/>
          <w:b w:val="0"/>
          <w:bCs/>
          <w:color w:val="000000"/>
        </w:rPr>
      </w:pPr>
      <w:bookmarkStart w:id="58" w:name="_Toc8600"/>
      <w:bookmarkStart w:id="59" w:name="_Toc111208505"/>
      <w:bookmarkStart w:id="60" w:name="_Toc15377215"/>
      <w:bookmarkStart w:id="61" w:name="_Toc24403"/>
      <w:r>
        <w:rPr>
          <w:rFonts w:hint="eastAsia" w:ascii="黑体" w:eastAsia="黑体" w:cs="Times New Roman"/>
          <w:b w:val="0"/>
          <w:bCs/>
          <w:color w:val="000000"/>
        </w:rPr>
        <w:t>七、“三公”经费财政拨款支出决算情况说明</w:t>
      </w:r>
      <w:bookmarkEnd w:id="58"/>
      <w:bookmarkEnd w:id="59"/>
      <w:bookmarkEnd w:id="60"/>
      <w:bookmarkEnd w:id="61"/>
    </w:p>
    <w:p>
      <w:pPr>
        <w:pageBreakBefore w:val="0"/>
        <w:kinsoku/>
        <w:wordWrap/>
        <w:overflowPunct/>
        <w:topLinePunct w:val="0"/>
        <w:autoSpaceDE/>
        <w:autoSpaceDN/>
        <w:bidi w:val="0"/>
        <w:adjustRightInd/>
        <w:snapToGrid w:val="0"/>
        <w:spacing w:beforeAutospacing="0" w:afterAutospacing="0" w:line="576" w:lineRule="exact"/>
        <w:ind w:leftChars="0" w:firstLine="642" w:firstLineChars="200"/>
        <w:textAlignment w:val="auto"/>
        <w:outlineLvl w:val="2"/>
        <w:rPr>
          <w:rFonts w:hint="eastAsia" w:ascii="仿宋_GB2312" w:hAnsi="仿宋_GB2312" w:eastAsia="仿宋_GB2312" w:cs="仿宋_GB2312"/>
          <w:b/>
          <w:color w:val="000000"/>
          <w:sz w:val="32"/>
          <w:szCs w:val="32"/>
        </w:rPr>
      </w:pPr>
      <w:bookmarkStart w:id="62" w:name="_Toc32099"/>
      <w:bookmarkStart w:id="63" w:name="_Toc15377216"/>
      <w:r>
        <w:rPr>
          <w:rFonts w:hint="eastAsia" w:ascii="楷体_GB2312" w:hAnsi="楷体_GB2312" w:eastAsia="楷体_GB2312" w:cs="楷体_GB2312"/>
          <w:b/>
          <w:bCs w:val="0"/>
          <w:color w:val="000000"/>
          <w:sz w:val="32"/>
          <w:szCs w:val="32"/>
        </w:rPr>
        <w:t>（一）“三公”经费财政拨款支出决算总体情况说明</w:t>
      </w:r>
      <w:bookmarkEnd w:id="62"/>
      <w:bookmarkEnd w:id="63"/>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年“三公”经费财政拨款支出决算为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，与上年相比无变化</w:t>
      </w:r>
      <w:r>
        <w:rPr>
          <w:rFonts w:hint="eastAsia" w:ascii="仿宋_GB2312" w:hAnsi="仿宋_GB2312" w:eastAsia="仿宋_GB2312" w:cs="仿宋_GB2312"/>
          <w:color w:val="000000"/>
          <w:sz w:val="32"/>
          <w:szCs w:val="32"/>
        </w:rPr>
        <w:t>。</w:t>
      </w:r>
      <w:bookmarkStart w:id="64" w:name="_Toc15377217"/>
    </w:p>
    <w:p>
      <w:pPr>
        <w:pageBreakBefore w:val="0"/>
        <w:kinsoku/>
        <w:wordWrap/>
        <w:overflowPunct/>
        <w:topLinePunct w:val="0"/>
        <w:autoSpaceDE/>
        <w:autoSpaceDN/>
        <w:bidi w:val="0"/>
        <w:adjustRightInd/>
        <w:snapToGrid w:val="0"/>
        <w:spacing w:beforeAutospacing="0" w:afterAutospacing="0" w:line="576" w:lineRule="exact"/>
        <w:ind w:leftChars="0" w:firstLine="642" w:firstLineChars="200"/>
        <w:textAlignment w:val="auto"/>
        <w:outlineLvl w:val="2"/>
        <w:rPr>
          <w:rFonts w:hint="eastAsia" w:ascii="楷体_GB2312" w:hAnsi="楷体_GB2312" w:eastAsia="楷体_GB2312" w:cs="楷体_GB2312"/>
          <w:b/>
          <w:color w:val="000000"/>
          <w:sz w:val="32"/>
          <w:szCs w:val="32"/>
        </w:rPr>
      </w:pPr>
      <w:bookmarkStart w:id="65" w:name="_Toc10142"/>
      <w:r>
        <w:rPr>
          <w:rFonts w:hint="eastAsia" w:ascii="楷体_GB2312" w:hAnsi="楷体_GB2312" w:eastAsia="楷体_GB2312" w:cs="楷体_GB2312"/>
          <w:b/>
          <w:color w:val="000000"/>
          <w:sz w:val="32"/>
          <w:szCs w:val="32"/>
        </w:rPr>
        <w:t>（二）“三公”经费财政拨款支出决算具体情况说明</w:t>
      </w:r>
      <w:bookmarkEnd w:id="64"/>
      <w:bookmarkEnd w:id="65"/>
    </w:p>
    <w:p>
      <w:pPr>
        <w:pageBreakBefore w:val="0"/>
        <w:kinsoku/>
        <w:wordWrap/>
        <w:overflowPunct/>
        <w:topLinePunct w:val="0"/>
        <w:bidi w:val="0"/>
        <w:spacing w:beforeAutospacing="0" w:afterAutospacing="0" w:line="576" w:lineRule="exact"/>
        <w:ind w:leftChars="0"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万元；公务用车购置及运行维护费支出决算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万元；公务接待费支出决算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万元。具体情况如下：</w:t>
      </w:r>
    </w:p>
    <w:p>
      <w:pPr>
        <w:pageBreakBefore w:val="0"/>
        <w:kinsoku/>
        <w:wordWrap/>
        <w:overflowPunct/>
        <w:topLinePunct w:val="0"/>
        <w:bidi w:val="0"/>
        <w:spacing w:beforeAutospacing="0" w:afterAutospacing="0" w:line="576" w:lineRule="exact"/>
        <w:ind w:leftChars="0" w:firstLine="64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bCs/>
          <w:color w:val="000000"/>
          <w:sz w:val="32"/>
          <w:szCs w:val="32"/>
        </w:rPr>
        <w:t>1.因公出国（境）经费支出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与202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年相比无</w:t>
      </w:r>
      <w:r>
        <w:rPr>
          <w:rFonts w:hint="eastAsia" w:ascii="仿宋_GB2312" w:hAnsi="仿宋_GB2312" w:eastAsia="仿宋_GB2312" w:cs="仿宋_GB2312"/>
          <w:color w:val="000000"/>
          <w:sz w:val="32"/>
          <w:szCs w:val="32"/>
          <w:lang w:eastAsia="zh-CN"/>
        </w:rPr>
        <w:t>变化。</w:t>
      </w:r>
    </w:p>
    <w:p>
      <w:pPr>
        <w:pageBreakBefore w:val="0"/>
        <w:kinsoku/>
        <w:wordWrap/>
        <w:overflowPunct/>
        <w:topLinePunct w:val="0"/>
        <w:bidi w:val="0"/>
        <w:spacing w:beforeAutospacing="0" w:afterAutospacing="0" w:line="576" w:lineRule="exact"/>
        <w:ind w:leftChars="0" w:firstLine="642"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sz w:val="32"/>
          <w:szCs w:val="32"/>
        </w:rPr>
        <w:t>2.公务用车购置及运行维护费支出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万元。公务用车购置及运行维护费支出决算与202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年相比无</w:t>
      </w:r>
      <w:r>
        <w:rPr>
          <w:rFonts w:hint="eastAsia" w:ascii="仿宋_GB2312" w:hAnsi="仿宋_GB2312" w:eastAsia="仿宋_GB2312" w:cs="仿宋_GB2312"/>
          <w:color w:val="000000"/>
          <w:sz w:val="32"/>
          <w:szCs w:val="32"/>
          <w:lang w:eastAsia="zh-CN"/>
        </w:rPr>
        <w:t>变化</w:t>
      </w:r>
      <w:r>
        <w:rPr>
          <w:rFonts w:hint="eastAsia" w:ascii="仿宋_GB2312" w:hAnsi="仿宋_GB2312" w:eastAsia="仿宋_GB2312" w:cs="仿宋_GB2312"/>
          <w:color w:val="000000"/>
          <w:sz w:val="32"/>
          <w:szCs w:val="32"/>
        </w:rPr>
        <w:t>。</w:t>
      </w:r>
    </w:p>
    <w:p>
      <w:pPr>
        <w:pageBreakBefore w:val="0"/>
        <w:kinsoku/>
        <w:wordWrap/>
        <w:overflowPunct/>
        <w:topLinePunct w:val="0"/>
        <w:bidi w:val="0"/>
        <w:spacing w:beforeAutospacing="0" w:afterAutospacing="0" w:line="576" w:lineRule="exact"/>
        <w:ind w:leftChars="0"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其中：公务用车购置支出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万元。全年按规定更新购置公务用车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辆，其中：轿车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万元，越野车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万元，载客汽车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万元。截至202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年12月底，单位共有公务用车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辆，其中：轿车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辆、越野车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辆、载客汽车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w:t>
      </w:r>
    </w:p>
    <w:p>
      <w:pPr>
        <w:pageBreakBefore w:val="0"/>
        <w:kinsoku/>
        <w:wordWrap/>
        <w:overflowPunct/>
        <w:topLinePunct w:val="0"/>
        <w:bidi w:val="0"/>
        <w:spacing w:beforeAutospacing="0" w:afterAutospacing="0" w:line="576" w:lineRule="exact"/>
        <w:ind w:leftChars="0"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公务用车运行维护费支出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w:t>
      </w:r>
    </w:p>
    <w:p>
      <w:pPr>
        <w:pageBreakBefore w:val="0"/>
        <w:kinsoku/>
        <w:wordWrap/>
        <w:overflowPunct/>
        <w:topLinePunct w:val="0"/>
        <w:bidi w:val="0"/>
        <w:spacing w:beforeAutospacing="0" w:afterAutospacing="0" w:line="576" w:lineRule="exact"/>
        <w:ind w:leftChars="0" w:firstLine="640"/>
        <w:textAlignment w:val="auto"/>
        <w:rPr>
          <w:rFonts w:hint="eastAsia" w:ascii="仿宋_GB2312" w:hAnsi="仿宋_GB2312" w:eastAsia="仿宋_GB2312" w:cs="仿宋_GB2312"/>
        </w:rPr>
      </w:pPr>
      <w:r>
        <w:rPr>
          <w:rFonts w:hint="eastAsia" w:ascii="仿宋_GB2312" w:hAnsi="仿宋_GB2312" w:eastAsia="仿宋_GB2312" w:cs="仿宋_GB2312"/>
          <w:b/>
          <w:bCs/>
          <w:color w:val="000000"/>
          <w:sz w:val="32"/>
          <w:szCs w:val="32"/>
        </w:rPr>
        <w:t>3.公务接待费支出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万元。公务接待费支出决算与202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年相比无</w:t>
      </w:r>
      <w:r>
        <w:rPr>
          <w:rFonts w:hint="eastAsia" w:ascii="仿宋_GB2312" w:hAnsi="仿宋_GB2312" w:eastAsia="仿宋_GB2312" w:cs="仿宋_GB2312"/>
          <w:color w:val="000000"/>
          <w:sz w:val="32"/>
          <w:szCs w:val="32"/>
          <w:lang w:eastAsia="zh-CN"/>
        </w:rPr>
        <w:t>变化</w:t>
      </w:r>
      <w:r>
        <w:rPr>
          <w:rFonts w:hint="eastAsia" w:ascii="仿宋_GB2312" w:hAnsi="仿宋_GB2312" w:eastAsia="仿宋_GB2312" w:cs="仿宋_GB2312"/>
          <w:color w:val="000000"/>
          <w:sz w:val="32"/>
          <w:szCs w:val="32"/>
        </w:rPr>
        <w:t>。外事接待支出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w:t>
      </w:r>
    </w:p>
    <w:p>
      <w:pPr>
        <w:pStyle w:val="3"/>
        <w:pageBreakBefore w:val="0"/>
        <w:kinsoku/>
        <w:wordWrap/>
        <w:overflowPunct/>
        <w:topLinePunct w:val="0"/>
        <w:bidi w:val="0"/>
        <w:spacing w:before="0" w:beforeAutospacing="0" w:after="0" w:afterAutospacing="0" w:line="576" w:lineRule="exact"/>
        <w:ind w:leftChars="0" w:firstLine="640" w:firstLineChars="200"/>
        <w:textAlignment w:val="auto"/>
        <w:rPr>
          <w:rFonts w:ascii="黑体" w:eastAsia="黑体" w:cs="Times New Roman"/>
          <w:b w:val="0"/>
          <w:bCs/>
          <w:color w:val="000000"/>
        </w:rPr>
      </w:pPr>
      <w:bookmarkStart w:id="66" w:name="_Toc31386"/>
      <w:bookmarkStart w:id="67" w:name="_Toc15377218"/>
      <w:bookmarkStart w:id="68" w:name="_Toc9979"/>
      <w:bookmarkStart w:id="69" w:name="_Toc111208506"/>
      <w:r>
        <w:rPr>
          <w:rFonts w:hint="eastAsia" w:ascii="黑体" w:eastAsia="黑体" w:cs="Times New Roman"/>
          <w:b w:val="0"/>
          <w:bCs/>
          <w:color w:val="000000"/>
        </w:rPr>
        <w:t>八、政府性基金预算支出决算情况说明</w:t>
      </w:r>
      <w:bookmarkEnd w:id="66"/>
      <w:bookmarkEnd w:id="67"/>
      <w:bookmarkEnd w:id="68"/>
      <w:bookmarkEnd w:id="69"/>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Chars="0"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2024年政府性基金预算拨款支出0万元，与2023年度相比无变化。</w:t>
      </w:r>
      <w:bookmarkStart w:id="70" w:name="_Toc15377219"/>
    </w:p>
    <w:p>
      <w:pPr>
        <w:pStyle w:val="3"/>
        <w:pageBreakBefore w:val="0"/>
        <w:kinsoku/>
        <w:wordWrap/>
        <w:overflowPunct/>
        <w:topLinePunct w:val="0"/>
        <w:bidi w:val="0"/>
        <w:spacing w:before="0" w:beforeAutospacing="0" w:after="0" w:afterAutospacing="0" w:line="576" w:lineRule="exact"/>
        <w:ind w:leftChars="0" w:firstLine="640" w:firstLineChars="200"/>
        <w:textAlignment w:val="auto"/>
        <w:rPr>
          <w:rFonts w:ascii="黑体" w:eastAsia="黑体" w:cs="Times New Roman"/>
          <w:b w:val="0"/>
          <w:bCs/>
          <w:color w:val="000000"/>
        </w:rPr>
      </w:pPr>
      <w:bookmarkStart w:id="71" w:name="_Toc19072"/>
      <w:bookmarkStart w:id="72" w:name="_Toc12233"/>
      <w:bookmarkStart w:id="73" w:name="_Toc111208507"/>
      <w:r>
        <w:rPr>
          <w:rFonts w:hint="eastAsia" w:ascii="黑体" w:eastAsia="黑体" w:cs="Times New Roman"/>
          <w:b w:val="0"/>
          <w:bCs/>
          <w:color w:val="000000"/>
        </w:rPr>
        <w:t>九、国有资本经营预算支出决算情况说明</w:t>
      </w:r>
      <w:bookmarkEnd w:id="70"/>
      <w:bookmarkEnd w:id="71"/>
      <w:bookmarkEnd w:id="72"/>
      <w:bookmarkEnd w:id="73"/>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Chars="0"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2024年国有资本经营预算拨款支出0万元，与2023年度相比无变化。</w:t>
      </w:r>
    </w:p>
    <w:p>
      <w:pPr>
        <w:pStyle w:val="3"/>
        <w:pageBreakBefore w:val="0"/>
        <w:kinsoku/>
        <w:wordWrap/>
        <w:overflowPunct/>
        <w:topLinePunct w:val="0"/>
        <w:bidi w:val="0"/>
        <w:spacing w:before="0" w:beforeAutospacing="0" w:after="0" w:afterAutospacing="0" w:line="576" w:lineRule="exact"/>
        <w:ind w:leftChars="0" w:firstLine="640" w:firstLineChars="200"/>
        <w:textAlignment w:val="auto"/>
        <w:rPr>
          <w:rFonts w:ascii="黑体" w:eastAsia="黑体" w:cs="Times New Roman"/>
          <w:b w:val="0"/>
          <w:bCs/>
          <w:color w:val="000000"/>
        </w:rPr>
      </w:pPr>
      <w:bookmarkStart w:id="74" w:name="_Toc15377221"/>
      <w:bookmarkStart w:id="75" w:name="_Toc23620"/>
      <w:bookmarkStart w:id="76" w:name="_Toc24656"/>
      <w:bookmarkStart w:id="77" w:name="_Toc111208508"/>
      <w:r>
        <w:rPr>
          <w:rFonts w:hint="eastAsia" w:ascii="黑体" w:eastAsia="黑体" w:cs="Times New Roman"/>
          <w:b w:val="0"/>
          <w:bCs/>
          <w:color w:val="000000"/>
        </w:rPr>
        <w:t>十、其他重要事项的情况说明</w:t>
      </w:r>
      <w:bookmarkEnd w:id="74"/>
      <w:bookmarkEnd w:id="75"/>
      <w:bookmarkEnd w:id="76"/>
      <w:bookmarkEnd w:id="77"/>
    </w:p>
    <w:p>
      <w:pPr>
        <w:pageBreakBefore w:val="0"/>
        <w:kinsoku/>
        <w:wordWrap/>
        <w:overflowPunct/>
        <w:topLinePunct w:val="0"/>
        <w:bidi w:val="0"/>
        <w:spacing w:beforeAutospacing="0" w:afterAutospacing="0" w:line="576" w:lineRule="exact"/>
        <w:ind w:leftChars="0" w:firstLine="642" w:firstLineChars="200"/>
        <w:textAlignment w:val="auto"/>
        <w:outlineLvl w:val="2"/>
        <w:rPr>
          <w:rFonts w:hint="eastAsia" w:ascii="楷体_GB2312" w:hAnsi="楷体_GB2312" w:eastAsia="楷体_GB2312" w:cs="楷体_GB2312"/>
          <w:b/>
          <w:color w:val="000000"/>
          <w:sz w:val="32"/>
          <w:szCs w:val="32"/>
        </w:rPr>
      </w:pPr>
      <w:bookmarkStart w:id="78" w:name="_Toc15377222"/>
      <w:bookmarkStart w:id="79" w:name="_Toc12140"/>
      <w:r>
        <w:rPr>
          <w:rFonts w:hint="eastAsia" w:ascii="楷体_GB2312" w:hAnsi="楷体_GB2312" w:eastAsia="楷体_GB2312" w:cs="楷体_GB2312"/>
          <w:b/>
          <w:color w:val="000000"/>
          <w:sz w:val="32"/>
          <w:szCs w:val="32"/>
        </w:rPr>
        <w:t>（一）机关运行经费支出情况</w:t>
      </w:r>
      <w:bookmarkEnd w:id="78"/>
      <w:bookmarkEnd w:id="79"/>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lang w:eastAsia="zh-CN"/>
        </w:rPr>
        <w:t>地情资料收集整理中心</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年度部门决算机关运行经费支出</w:t>
      </w:r>
      <w:r>
        <w:rPr>
          <w:rFonts w:hint="eastAsia" w:ascii="仿宋_GB2312" w:hAnsi="仿宋_GB2312" w:eastAsia="仿宋_GB2312" w:cs="仿宋_GB2312"/>
          <w:sz w:val="32"/>
          <w:szCs w:val="32"/>
          <w:lang w:val="en-US" w:eastAsia="zh-CN"/>
        </w:rPr>
        <w:t>0.69</w:t>
      </w:r>
      <w:r>
        <w:rPr>
          <w:rFonts w:hint="eastAsia" w:ascii="仿宋_GB2312" w:hAnsi="仿宋_GB2312" w:eastAsia="仿宋_GB2312" w:cs="仿宋_GB2312"/>
          <w:color w:val="000000"/>
          <w:sz w:val="32"/>
          <w:szCs w:val="32"/>
        </w:rPr>
        <w:t>万元，比202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sz w:val="32"/>
          <w:szCs w:val="32"/>
          <w:lang w:val="en-US" w:eastAsia="zh-CN"/>
        </w:rPr>
        <w:t>0.01</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1.45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kern w:val="2"/>
          <w:sz w:val="32"/>
          <w:szCs w:val="32"/>
          <w:lang w:val="en-US" w:eastAsia="zh-CN" w:bidi="ar-SA"/>
        </w:rPr>
        <w:t xml:space="preserve">主要原因是：减少了培训经费支出。 </w:t>
      </w:r>
    </w:p>
    <w:p>
      <w:pPr>
        <w:pageBreakBefore w:val="0"/>
        <w:kinsoku/>
        <w:wordWrap/>
        <w:overflowPunct/>
        <w:topLinePunct w:val="0"/>
        <w:bidi w:val="0"/>
        <w:spacing w:beforeAutospacing="0" w:afterAutospacing="0" w:line="576" w:lineRule="exact"/>
        <w:ind w:leftChars="0" w:firstLine="642" w:firstLineChars="200"/>
        <w:textAlignment w:val="auto"/>
        <w:outlineLvl w:val="2"/>
        <w:rPr>
          <w:rFonts w:hint="eastAsia" w:ascii="楷体_GB2312" w:hAnsi="楷体_GB2312" w:eastAsia="楷体_GB2312" w:cs="楷体_GB2312"/>
          <w:b/>
          <w:color w:val="000000"/>
          <w:sz w:val="32"/>
          <w:szCs w:val="32"/>
        </w:rPr>
      </w:pPr>
      <w:bookmarkStart w:id="80" w:name="_Toc15377223"/>
      <w:bookmarkStart w:id="81" w:name="_Toc13849"/>
      <w:r>
        <w:rPr>
          <w:rFonts w:hint="eastAsia" w:ascii="楷体_GB2312" w:hAnsi="楷体_GB2312" w:eastAsia="楷体_GB2312" w:cs="楷体_GB2312"/>
          <w:b/>
          <w:color w:val="000000"/>
          <w:sz w:val="32"/>
          <w:szCs w:val="32"/>
        </w:rPr>
        <w:t>（二）政府采购支出情况</w:t>
      </w:r>
      <w:bookmarkEnd w:id="80"/>
      <w:bookmarkEnd w:id="81"/>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lang w:eastAsia="zh-CN"/>
        </w:rPr>
        <w:t>地情资料收集整理中心</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年度部门决算政府采购支出总额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pPr>
        <w:pageBreakBefore w:val="0"/>
        <w:numPr>
          <w:ilvl w:val="0"/>
          <w:numId w:val="0"/>
        </w:numPr>
        <w:kinsoku/>
        <w:wordWrap/>
        <w:overflowPunct/>
        <w:topLinePunct w:val="0"/>
        <w:bidi w:val="0"/>
        <w:spacing w:beforeAutospacing="0" w:afterAutospacing="0" w:line="576" w:lineRule="exact"/>
        <w:ind w:firstLine="642" w:firstLineChars="200"/>
        <w:textAlignment w:val="auto"/>
        <w:outlineLvl w:val="2"/>
        <w:rPr>
          <w:rFonts w:hint="eastAsia" w:ascii="楷体_GB2312" w:hAnsi="楷体_GB2312" w:eastAsia="楷体_GB2312" w:cs="楷体_GB2312"/>
          <w:b/>
          <w:color w:val="000000"/>
          <w:sz w:val="32"/>
          <w:szCs w:val="32"/>
        </w:rPr>
      </w:pPr>
      <w:bookmarkStart w:id="82" w:name="_Toc17369"/>
      <w:bookmarkStart w:id="83" w:name="_Toc15377224"/>
      <w:r>
        <w:rPr>
          <w:rFonts w:hint="eastAsia" w:ascii="楷体_GB2312" w:hAnsi="楷体_GB2312" w:eastAsia="楷体_GB2312" w:cs="楷体_GB2312"/>
          <w:b/>
          <w:color w:val="000000"/>
          <w:sz w:val="32"/>
          <w:szCs w:val="32"/>
          <w:lang w:eastAsia="zh-CN"/>
        </w:rPr>
        <w:t>（三）</w:t>
      </w:r>
      <w:r>
        <w:rPr>
          <w:rFonts w:hint="eastAsia" w:ascii="楷体_GB2312" w:hAnsi="楷体_GB2312" w:eastAsia="楷体_GB2312" w:cs="楷体_GB2312"/>
          <w:b/>
          <w:color w:val="000000"/>
          <w:sz w:val="32"/>
          <w:szCs w:val="32"/>
        </w:rPr>
        <w:t>国有资产占有使用情况</w:t>
      </w:r>
      <w:bookmarkEnd w:id="82"/>
      <w:bookmarkEnd w:id="83"/>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截至202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年12月31日，茂县</w:t>
      </w:r>
      <w:r>
        <w:rPr>
          <w:rFonts w:hint="eastAsia" w:ascii="仿宋_GB2312" w:hAnsi="仿宋_GB2312" w:eastAsia="仿宋_GB2312" w:cs="仿宋_GB2312"/>
          <w:color w:val="000000"/>
          <w:sz w:val="32"/>
          <w:szCs w:val="32"/>
          <w:lang w:eastAsia="zh-CN"/>
        </w:rPr>
        <w:t>地情资料收集整理中心</w:t>
      </w:r>
      <w:r>
        <w:rPr>
          <w:rFonts w:hint="eastAsia" w:ascii="仿宋_GB2312" w:hAnsi="仿宋_GB2312" w:eastAsia="仿宋_GB2312" w:cs="仿宋_GB2312"/>
          <w:color w:val="000000"/>
          <w:sz w:val="32"/>
          <w:szCs w:val="32"/>
        </w:rPr>
        <w:t>部门决算共有车辆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辆。</w:t>
      </w:r>
    </w:p>
    <w:p>
      <w:pPr>
        <w:pageBreakBefore w:val="0"/>
        <w:numPr>
          <w:ilvl w:val="0"/>
          <w:numId w:val="0"/>
        </w:numPr>
        <w:kinsoku/>
        <w:wordWrap/>
        <w:overflowPunct/>
        <w:topLinePunct w:val="0"/>
        <w:bidi w:val="0"/>
        <w:spacing w:beforeAutospacing="0" w:afterAutospacing="0" w:line="576" w:lineRule="exact"/>
        <w:ind w:firstLine="642" w:firstLineChars="200"/>
        <w:textAlignment w:val="auto"/>
        <w:outlineLvl w:val="2"/>
        <w:rPr>
          <w:rFonts w:hint="eastAsia" w:ascii="楷体_GB2312" w:hAnsi="楷体_GB2312" w:eastAsia="楷体_GB2312" w:cs="楷体_GB2312"/>
          <w:b/>
          <w:color w:val="000000"/>
          <w:sz w:val="32"/>
          <w:szCs w:val="32"/>
        </w:rPr>
      </w:pPr>
      <w:bookmarkStart w:id="84" w:name="_Toc3762"/>
      <w:r>
        <w:rPr>
          <w:rFonts w:hint="eastAsia" w:ascii="楷体_GB2312" w:hAnsi="楷体_GB2312" w:eastAsia="楷体_GB2312" w:cs="楷体_GB2312"/>
          <w:b/>
          <w:color w:val="000000"/>
          <w:sz w:val="32"/>
          <w:szCs w:val="32"/>
          <w:lang w:eastAsia="zh-CN"/>
        </w:rPr>
        <w:t>（四）</w:t>
      </w:r>
      <w:r>
        <w:rPr>
          <w:rFonts w:hint="eastAsia" w:ascii="楷体_GB2312" w:hAnsi="楷体_GB2312" w:eastAsia="楷体_GB2312" w:cs="楷体_GB2312"/>
          <w:b/>
          <w:color w:val="000000"/>
          <w:sz w:val="32"/>
          <w:szCs w:val="32"/>
        </w:rPr>
        <w:t>预算绩效管理情况</w:t>
      </w:r>
      <w:bookmarkEnd w:id="84"/>
      <w:bookmarkStart w:id="85" w:name="_Toc1419"/>
      <w:bookmarkStart w:id="86" w:name="_Toc2930"/>
    </w:p>
    <w:p>
      <w:pPr>
        <w:pageBreakBefore w:val="0"/>
        <w:numPr>
          <w:ilvl w:val="0"/>
          <w:numId w:val="0"/>
        </w:numPr>
        <w:kinsoku/>
        <w:wordWrap/>
        <w:overflowPunct/>
        <w:topLinePunct w:val="0"/>
        <w:bidi w:val="0"/>
        <w:spacing w:beforeAutospacing="0" w:afterAutospacing="0" w:line="576" w:lineRule="exact"/>
        <w:ind w:firstLine="640" w:firstLineChars="200"/>
        <w:textAlignment w:val="auto"/>
        <w:outlineLvl w:val="2"/>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根据预算绩效管理要求，茂县地情资料收集整理中心2024年度预算编制阶段组织对一般公共预算、政府基金等开展绩效自评，形成</w:t>
      </w:r>
      <w:r>
        <w:rPr>
          <w:rFonts w:hint="eastAsia" w:ascii="仿宋_GB2312" w:hAnsi="仿宋_GB2312" w:eastAsia="仿宋_GB2312" w:cs="仿宋_GB2312"/>
          <w:b w:val="0"/>
          <w:bCs w:val="0"/>
          <w:sz w:val="32"/>
          <w:szCs w:val="32"/>
          <w:lang w:eastAsia="zh-CN"/>
        </w:rPr>
        <w:t>单位</w:t>
      </w:r>
      <w:r>
        <w:rPr>
          <w:rFonts w:hint="eastAsia" w:ascii="仿宋_GB2312" w:hAnsi="仿宋_GB2312" w:eastAsia="仿宋_GB2312" w:cs="仿宋_GB2312"/>
          <w:b w:val="0"/>
          <w:bCs w:val="0"/>
          <w:sz w:val="32"/>
          <w:szCs w:val="32"/>
        </w:rPr>
        <w:t>整体绩效评价报告。整体支出绩效评价自查自评结果良好。《茂县地情资料收集整理中心2024年预算绩效评价报告》见附件。</w:t>
      </w:r>
    </w:p>
    <w:p>
      <w:pPr>
        <w:pageBreakBefore w:val="0"/>
        <w:numPr>
          <w:ilvl w:val="0"/>
          <w:numId w:val="0"/>
        </w:numPr>
        <w:kinsoku/>
        <w:wordWrap/>
        <w:overflowPunct/>
        <w:topLinePunct w:val="0"/>
        <w:bidi w:val="0"/>
        <w:spacing w:beforeAutospacing="0" w:afterAutospacing="0" w:line="576" w:lineRule="exact"/>
        <w:ind w:firstLine="640" w:firstLineChars="200"/>
        <w:textAlignment w:val="auto"/>
        <w:outlineLvl w:val="2"/>
        <w:rPr>
          <w:rFonts w:hint="eastAsia" w:ascii="仿宋_GB2312" w:hAnsi="仿宋_GB2312" w:eastAsia="仿宋_GB2312" w:cs="仿宋_GB2312"/>
          <w:b w:val="0"/>
          <w:bCs w:val="0"/>
          <w:sz w:val="32"/>
          <w:szCs w:val="32"/>
        </w:rPr>
      </w:pPr>
    </w:p>
    <w:p>
      <w:pPr>
        <w:pageBreakBefore w:val="0"/>
        <w:numPr>
          <w:ilvl w:val="0"/>
          <w:numId w:val="0"/>
        </w:numPr>
        <w:kinsoku/>
        <w:wordWrap/>
        <w:overflowPunct/>
        <w:topLinePunct w:val="0"/>
        <w:bidi w:val="0"/>
        <w:spacing w:beforeAutospacing="0" w:afterAutospacing="0" w:line="576" w:lineRule="exact"/>
        <w:ind w:firstLine="640" w:firstLineChars="200"/>
        <w:textAlignment w:val="auto"/>
        <w:outlineLvl w:val="2"/>
        <w:rPr>
          <w:rFonts w:hint="eastAsia" w:ascii="仿宋_GB2312" w:hAnsi="仿宋_GB2312" w:eastAsia="仿宋_GB2312" w:cs="仿宋_GB2312"/>
          <w:b w:val="0"/>
          <w:bCs w:val="0"/>
          <w:sz w:val="32"/>
          <w:szCs w:val="32"/>
        </w:rPr>
      </w:pPr>
    </w:p>
    <w:p>
      <w:pPr>
        <w:pageBreakBefore w:val="0"/>
        <w:numPr>
          <w:ilvl w:val="0"/>
          <w:numId w:val="0"/>
        </w:numPr>
        <w:kinsoku/>
        <w:wordWrap/>
        <w:overflowPunct/>
        <w:topLinePunct w:val="0"/>
        <w:bidi w:val="0"/>
        <w:spacing w:beforeAutospacing="0" w:afterAutospacing="0" w:line="576" w:lineRule="exact"/>
        <w:ind w:firstLine="640" w:firstLineChars="200"/>
        <w:textAlignment w:val="auto"/>
        <w:outlineLvl w:val="2"/>
        <w:rPr>
          <w:rFonts w:hint="eastAsia" w:ascii="仿宋_GB2312" w:hAnsi="仿宋_GB2312" w:eastAsia="仿宋_GB2312" w:cs="仿宋_GB2312"/>
          <w:b w:val="0"/>
          <w:bCs w:val="0"/>
          <w:sz w:val="32"/>
          <w:szCs w:val="32"/>
        </w:rPr>
      </w:pPr>
    </w:p>
    <w:p>
      <w:pPr>
        <w:pageBreakBefore w:val="0"/>
        <w:numPr>
          <w:ilvl w:val="0"/>
          <w:numId w:val="0"/>
        </w:numPr>
        <w:kinsoku/>
        <w:wordWrap/>
        <w:overflowPunct/>
        <w:topLinePunct w:val="0"/>
        <w:bidi w:val="0"/>
        <w:spacing w:beforeAutospacing="0" w:afterAutospacing="0" w:line="576" w:lineRule="exact"/>
        <w:ind w:firstLine="640" w:firstLineChars="200"/>
        <w:textAlignment w:val="auto"/>
        <w:outlineLvl w:val="2"/>
        <w:rPr>
          <w:rFonts w:hint="eastAsia" w:ascii="仿宋_GB2312" w:hAnsi="仿宋_GB2312" w:eastAsia="仿宋_GB2312" w:cs="仿宋_GB2312"/>
          <w:b w:val="0"/>
          <w:bCs w:val="0"/>
          <w:sz w:val="32"/>
          <w:szCs w:val="32"/>
        </w:rPr>
      </w:pPr>
    </w:p>
    <w:p>
      <w:pPr>
        <w:pageBreakBefore w:val="0"/>
        <w:numPr>
          <w:ilvl w:val="0"/>
          <w:numId w:val="0"/>
        </w:numPr>
        <w:kinsoku/>
        <w:wordWrap/>
        <w:overflowPunct/>
        <w:topLinePunct w:val="0"/>
        <w:bidi w:val="0"/>
        <w:spacing w:beforeAutospacing="0" w:afterAutospacing="0" w:line="576" w:lineRule="exact"/>
        <w:ind w:firstLine="640" w:firstLineChars="200"/>
        <w:textAlignment w:val="auto"/>
        <w:outlineLvl w:val="2"/>
        <w:rPr>
          <w:rFonts w:hint="eastAsia" w:ascii="仿宋_GB2312" w:hAnsi="仿宋_GB2312" w:eastAsia="仿宋_GB2312" w:cs="仿宋_GB2312"/>
          <w:b w:val="0"/>
          <w:bCs w:val="0"/>
          <w:sz w:val="32"/>
          <w:szCs w:val="32"/>
        </w:rPr>
      </w:pPr>
    </w:p>
    <w:p>
      <w:pPr>
        <w:pageBreakBefore w:val="0"/>
        <w:numPr>
          <w:ilvl w:val="0"/>
          <w:numId w:val="0"/>
        </w:numPr>
        <w:kinsoku/>
        <w:wordWrap/>
        <w:overflowPunct/>
        <w:topLinePunct w:val="0"/>
        <w:bidi w:val="0"/>
        <w:spacing w:beforeAutospacing="0" w:afterAutospacing="0" w:line="576" w:lineRule="exact"/>
        <w:ind w:firstLine="640" w:firstLineChars="200"/>
        <w:textAlignment w:val="auto"/>
        <w:outlineLvl w:val="2"/>
        <w:rPr>
          <w:rFonts w:hint="eastAsia" w:ascii="仿宋_GB2312" w:hAnsi="仿宋_GB2312" w:eastAsia="仿宋_GB2312" w:cs="仿宋_GB2312"/>
          <w:b w:val="0"/>
          <w:bCs w:val="0"/>
          <w:sz w:val="32"/>
          <w:szCs w:val="32"/>
        </w:rPr>
      </w:pPr>
    </w:p>
    <w:p>
      <w:pPr>
        <w:pageBreakBefore w:val="0"/>
        <w:numPr>
          <w:ilvl w:val="0"/>
          <w:numId w:val="0"/>
        </w:numPr>
        <w:kinsoku/>
        <w:wordWrap/>
        <w:overflowPunct/>
        <w:topLinePunct w:val="0"/>
        <w:bidi w:val="0"/>
        <w:spacing w:beforeAutospacing="0" w:afterAutospacing="0" w:line="576" w:lineRule="exact"/>
        <w:ind w:firstLine="640" w:firstLineChars="200"/>
        <w:textAlignment w:val="auto"/>
        <w:outlineLvl w:val="2"/>
        <w:rPr>
          <w:rFonts w:hint="eastAsia" w:ascii="仿宋_GB2312" w:hAnsi="仿宋_GB2312" w:eastAsia="仿宋_GB2312" w:cs="仿宋_GB2312"/>
          <w:b w:val="0"/>
          <w:bCs w:val="0"/>
          <w:sz w:val="32"/>
          <w:szCs w:val="32"/>
        </w:rPr>
      </w:pPr>
    </w:p>
    <w:p>
      <w:pPr>
        <w:pageBreakBefore w:val="0"/>
        <w:numPr>
          <w:ilvl w:val="0"/>
          <w:numId w:val="0"/>
        </w:numPr>
        <w:kinsoku/>
        <w:wordWrap/>
        <w:overflowPunct/>
        <w:topLinePunct w:val="0"/>
        <w:bidi w:val="0"/>
        <w:spacing w:beforeAutospacing="0" w:afterAutospacing="0" w:line="576" w:lineRule="exact"/>
        <w:ind w:firstLine="640" w:firstLineChars="200"/>
        <w:textAlignment w:val="auto"/>
        <w:outlineLvl w:val="2"/>
        <w:rPr>
          <w:rFonts w:hint="eastAsia" w:ascii="仿宋_GB2312" w:hAnsi="仿宋_GB2312" w:eastAsia="仿宋_GB2312" w:cs="仿宋_GB2312"/>
          <w:b w:val="0"/>
          <w:bCs w:val="0"/>
          <w:sz w:val="32"/>
          <w:szCs w:val="32"/>
        </w:rPr>
      </w:pPr>
    </w:p>
    <w:p>
      <w:pPr>
        <w:pageBreakBefore w:val="0"/>
        <w:numPr>
          <w:ilvl w:val="0"/>
          <w:numId w:val="0"/>
        </w:numPr>
        <w:kinsoku/>
        <w:wordWrap/>
        <w:overflowPunct/>
        <w:topLinePunct w:val="0"/>
        <w:bidi w:val="0"/>
        <w:spacing w:beforeAutospacing="0" w:afterAutospacing="0" w:line="576" w:lineRule="exact"/>
        <w:ind w:firstLine="640" w:firstLineChars="200"/>
        <w:textAlignment w:val="auto"/>
        <w:outlineLvl w:val="2"/>
        <w:rPr>
          <w:rFonts w:hint="eastAsia" w:ascii="仿宋_GB2312" w:hAnsi="仿宋_GB2312" w:eastAsia="仿宋_GB2312" w:cs="仿宋_GB2312"/>
          <w:b w:val="0"/>
          <w:bCs w:val="0"/>
          <w:sz w:val="32"/>
          <w:szCs w:val="32"/>
        </w:rPr>
      </w:pPr>
    </w:p>
    <w:p>
      <w:pPr>
        <w:pageBreakBefore w:val="0"/>
        <w:numPr>
          <w:ilvl w:val="0"/>
          <w:numId w:val="0"/>
        </w:numPr>
        <w:kinsoku/>
        <w:wordWrap/>
        <w:overflowPunct/>
        <w:topLinePunct w:val="0"/>
        <w:bidi w:val="0"/>
        <w:spacing w:beforeAutospacing="0" w:afterAutospacing="0" w:line="576" w:lineRule="exact"/>
        <w:ind w:firstLine="640" w:firstLineChars="200"/>
        <w:textAlignment w:val="auto"/>
        <w:outlineLvl w:val="2"/>
        <w:rPr>
          <w:rFonts w:hint="eastAsia" w:ascii="仿宋_GB2312" w:hAnsi="仿宋_GB2312" w:eastAsia="仿宋_GB2312" w:cs="仿宋_GB2312"/>
          <w:b w:val="0"/>
          <w:bCs w:val="0"/>
          <w:sz w:val="32"/>
          <w:szCs w:val="32"/>
        </w:rPr>
      </w:pPr>
    </w:p>
    <w:p>
      <w:pPr>
        <w:pageBreakBefore w:val="0"/>
        <w:numPr>
          <w:ilvl w:val="0"/>
          <w:numId w:val="0"/>
        </w:numPr>
        <w:kinsoku/>
        <w:wordWrap/>
        <w:overflowPunct/>
        <w:topLinePunct w:val="0"/>
        <w:bidi w:val="0"/>
        <w:spacing w:beforeAutospacing="0" w:afterAutospacing="0" w:line="576" w:lineRule="exact"/>
        <w:ind w:firstLine="640" w:firstLineChars="200"/>
        <w:textAlignment w:val="auto"/>
        <w:outlineLvl w:val="2"/>
        <w:rPr>
          <w:rFonts w:hint="eastAsia" w:ascii="仿宋_GB2312" w:hAnsi="仿宋_GB2312" w:eastAsia="仿宋_GB2312" w:cs="仿宋_GB2312"/>
          <w:b w:val="0"/>
          <w:bCs w:val="0"/>
          <w:sz w:val="32"/>
          <w:szCs w:val="32"/>
        </w:rPr>
      </w:pPr>
    </w:p>
    <w:p>
      <w:pPr>
        <w:pageBreakBefore w:val="0"/>
        <w:numPr>
          <w:ilvl w:val="0"/>
          <w:numId w:val="0"/>
        </w:numPr>
        <w:kinsoku/>
        <w:wordWrap/>
        <w:overflowPunct/>
        <w:topLinePunct w:val="0"/>
        <w:bidi w:val="0"/>
        <w:spacing w:beforeAutospacing="0" w:afterAutospacing="0" w:line="576" w:lineRule="exact"/>
        <w:ind w:firstLine="640" w:firstLineChars="200"/>
        <w:textAlignment w:val="auto"/>
        <w:outlineLvl w:val="2"/>
        <w:rPr>
          <w:rFonts w:hint="eastAsia" w:ascii="仿宋_GB2312" w:hAnsi="仿宋_GB2312" w:eastAsia="仿宋_GB2312" w:cs="仿宋_GB2312"/>
          <w:b w:val="0"/>
          <w:bCs w:val="0"/>
          <w:sz w:val="32"/>
          <w:szCs w:val="32"/>
        </w:rPr>
      </w:pPr>
    </w:p>
    <w:p>
      <w:pPr>
        <w:pageBreakBefore w:val="0"/>
        <w:numPr>
          <w:ilvl w:val="0"/>
          <w:numId w:val="0"/>
        </w:numPr>
        <w:kinsoku/>
        <w:wordWrap/>
        <w:overflowPunct/>
        <w:topLinePunct w:val="0"/>
        <w:bidi w:val="0"/>
        <w:spacing w:beforeAutospacing="0" w:afterAutospacing="0" w:line="576" w:lineRule="exact"/>
        <w:ind w:firstLine="640" w:firstLineChars="200"/>
        <w:textAlignment w:val="auto"/>
        <w:outlineLvl w:val="2"/>
        <w:rPr>
          <w:rFonts w:hint="eastAsia" w:ascii="仿宋_GB2312" w:hAnsi="仿宋_GB2312" w:eastAsia="仿宋_GB2312" w:cs="仿宋_GB2312"/>
          <w:b w:val="0"/>
          <w:bCs w:val="0"/>
          <w:sz w:val="32"/>
          <w:szCs w:val="32"/>
        </w:rPr>
      </w:pPr>
    </w:p>
    <w:p>
      <w:pPr>
        <w:pageBreakBefore w:val="0"/>
        <w:numPr>
          <w:ilvl w:val="0"/>
          <w:numId w:val="0"/>
        </w:numPr>
        <w:kinsoku/>
        <w:wordWrap/>
        <w:overflowPunct/>
        <w:topLinePunct w:val="0"/>
        <w:bidi w:val="0"/>
        <w:spacing w:beforeAutospacing="0" w:afterAutospacing="0" w:line="576" w:lineRule="exact"/>
        <w:ind w:firstLine="640" w:firstLineChars="200"/>
        <w:textAlignment w:val="auto"/>
        <w:outlineLvl w:val="2"/>
        <w:rPr>
          <w:rFonts w:hint="eastAsia" w:ascii="仿宋_GB2312" w:hAnsi="仿宋_GB2312" w:eastAsia="仿宋_GB2312" w:cs="仿宋_GB2312"/>
          <w:b w:val="0"/>
          <w:bCs w:val="0"/>
          <w:sz w:val="32"/>
          <w:szCs w:val="32"/>
        </w:rPr>
      </w:pPr>
    </w:p>
    <w:p>
      <w:pPr>
        <w:pageBreakBefore w:val="0"/>
        <w:numPr>
          <w:ilvl w:val="0"/>
          <w:numId w:val="0"/>
        </w:numPr>
        <w:kinsoku/>
        <w:wordWrap/>
        <w:overflowPunct/>
        <w:topLinePunct w:val="0"/>
        <w:bidi w:val="0"/>
        <w:spacing w:beforeAutospacing="0" w:afterAutospacing="0" w:line="576" w:lineRule="exact"/>
        <w:ind w:firstLine="640" w:firstLineChars="200"/>
        <w:textAlignment w:val="auto"/>
        <w:outlineLvl w:val="2"/>
        <w:rPr>
          <w:rFonts w:hint="eastAsia" w:ascii="仿宋_GB2312" w:hAnsi="仿宋_GB2312" w:eastAsia="仿宋_GB2312" w:cs="仿宋_GB2312"/>
          <w:b w:val="0"/>
          <w:bCs w:val="0"/>
          <w:sz w:val="32"/>
          <w:szCs w:val="32"/>
        </w:rPr>
      </w:pPr>
    </w:p>
    <w:p>
      <w:pPr>
        <w:pageBreakBefore w:val="0"/>
        <w:numPr>
          <w:ilvl w:val="0"/>
          <w:numId w:val="0"/>
        </w:numPr>
        <w:kinsoku/>
        <w:wordWrap/>
        <w:overflowPunct/>
        <w:topLinePunct w:val="0"/>
        <w:bidi w:val="0"/>
        <w:spacing w:beforeAutospacing="0" w:afterAutospacing="0" w:line="576" w:lineRule="exact"/>
        <w:ind w:firstLine="640" w:firstLineChars="200"/>
        <w:textAlignment w:val="auto"/>
        <w:outlineLvl w:val="2"/>
        <w:rPr>
          <w:rFonts w:hint="eastAsia" w:ascii="仿宋_GB2312" w:hAnsi="仿宋_GB2312" w:eastAsia="仿宋_GB2312" w:cs="仿宋_GB2312"/>
          <w:b w:val="0"/>
          <w:bCs w:val="0"/>
          <w:sz w:val="32"/>
          <w:szCs w:val="32"/>
        </w:rPr>
      </w:pPr>
    </w:p>
    <w:p>
      <w:pPr>
        <w:pageBreakBefore w:val="0"/>
        <w:numPr>
          <w:ilvl w:val="0"/>
          <w:numId w:val="0"/>
        </w:numPr>
        <w:kinsoku/>
        <w:wordWrap/>
        <w:overflowPunct/>
        <w:topLinePunct w:val="0"/>
        <w:bidi w:val="0"/>
        <w:spacing w:beforeAutospacing="0" w:afterAutospacing="0" w:line="576" w:lineRule="exact"/>
        <w:ind w:firstLine="640" w:firstLineChars="200"/>
        <w:textAlignment w:val="auto"/>
        <w:outlineLvl w:val="2"/>
        <w:rPr>
          <w:rFonts w:hint="eastAsia" w:ascii="仿宋_GB2312" w:hAnsi="仿宋_GB2312" w:eastAsia="仿宋_GB2312" w:cs="仿宋_GB2312"/>
          <w:b w:val="0"/>
          <w:bCs w:val="0"/>
          <w:sz w:val="32"/>
          <w:szCs w:val="32"/>
        </w:rPr>
      </w:pPr>
    </w:p>
    <w:p>
      <w:pPr>
        <w:pageBreakBefore w:val="0"/>
        <w:numPr>
          <w:ilvl w:val="0"/>
          <w:numId w:val="0"/>
        </w:numPr>
        <w:kinsoku/>
        <w:wordWrap/>
        <w:overflowPunct/>
        <w:topLinePunct w:val="0"/>
        <w:bidi w:val="0"/>
        <w:spacing w:beforeAutospacing="0" w:afterAutospacing="0" w:line="576" w:lineRule="exact"/>
        <w:ind w:firstLine="640" w:firstLineChars="200"/>
        <w:textAlignment w:val="auto"/>
        <w:outlineLvl w:val="2"/>
        <w:rPr>
          <w:rFonts w:hint="eastAsia" w:ascii="仿宋_GB2312" w:hAnsi="仿宋_GB2312" w:eastAsia="仿宋_GB2312" w:cs="仿宋_GB2312"/>
          <w:b w:val="0"/>
          <w:bCs w:val="0"/>
          <w:sz w:val="32"/>
          <w:szCs w:val="32"/>
        </w:rPr>
      </w:pPr>
    </w:p>
    <w:p>
      <w:pPr>
        <w:pStyle w:val="2"/>
        <w:pageBreakBefore w:val="0"/>
        <w:kinsoku/>
        <w:wordWrap/>
        <w:overflowPunct/>
        <w:topLinePunct w:val="0"/>
        <w:bidi w:val="0"/>
        <w:spacing w:before="0" w:beforeAutospacing="0" w:after="0" w:afterAutospacing="0" w:line="576" w:lineRule="exact"/>
        <w:jc w:val="both"/>
        <w:textAlignment w:val="auto"/>
        <w:rPr>
          <w:rFonts w:hint="eastAsia" w:ascii="方正小标宋简体" w:hAnsi="方正小标宋简体" w:eastAsia="方正小标宋简体" w:cs="方正小标宋简体"/>
          <w:b w:val="0"/>
          <w:bCs w:val="0"/>
        </w:rPr>
      </w:pPr>
    </w:p>
    <w:p>
      <w:pPr>
        <w:rPr>
          <w:rFonts w:hint="eastAsia"/>
        </w:rPr>
      </w:pPr>
    </w:p>
    <w:p>
      <w:pPr>
        <w:pStyle w:val="2"/>
        <w:pageBreakBefore w:val="0"/>
        <w:kinsoku/>
        <w:wordWrap/>
        <w:overflowPunct/>
        <w:topLinePunct w:val="0"/>
        <w:bidi w:val="0"/>
        <w:spacing w:before="0" w:beforeAutospacing="0" w:after="0" w:afterAutospacing="0" w:line="576" w:lineRule="exact"/>
        <w:jc w:val="center"/>
        <w:textAlignment w:val="auto"/>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rPr>
        <w:t>第三部分 名词解释</w:t>
      </w:r>
      <w:bookmarkEnd w:id="85"/>
      <w:bookmarkEnd w:id="86"/>
    </w:p>
    <w:p>
      <w:pPr>
        <w:pageBreakBefore w:val="0"/>
        <w:kinsoku/>
        <w:wordWrap/>
        <w:overflowPunct/>
        <w:topLinePunct w:val="0"/>
        <w:bidi w:val="0"/>
        <w:spacing w:beforeAutospacing="0" w:afterAutospacing="0" w:line="576" w:lineRule="exact"/>
        <w:ind w:leftChars="0" w:firstLine="640"/>
        <w:textAlignment w:val="auto"/>
        <w:rPr>
          <w:rFonts w:hint="eastAsia" w:ascii="仿宋_GB2312" w:hAnsi="仿宋_GB2312" w:eastAsia="仿宋_GB2312" w:cs="仿宋_GB2312"/>
          <w:color w:val="000000"/>
          <w:sz w:val="32"/>
          <w:szCs w:val="32"/>
        </w:rPr>
      </w:pPr>
    </w:p>
    <w:p>
      <w:pPr>
        <w:pageBreakBefore w:val="0"/>
        <w:kinsoku/>
        <w:wordWrap/>
        <w:overflowPunct/>
        <w:topLinePunct w:val="0"/>
        <w:bidi w:val="0"/>
        <w:spacing w:beforeAutospacing="0" w:afterAutospacing="0" w:line="576" w:lineRule="exact"/>
        <w:ind w:leftChars="0"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pPr>
        <w:pStyle w:val="23"/>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pPr>
        <w:pStyle w:val="23"/>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pPr>
        <w:pStyle w:val="23"/>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4.其他收入：指单位取得的除上述收入以外的各项收入。 </w:t>
      </w:r>
    </w:p>
    <w:p>
      <w:pPr>
        <w:pStyle w:val="23"/>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5.使用非财政拨款结余：指事业单位使用以前年度积累的非财政拨款结余弥补当年收支差额的金额。 </w:t>
      </w:r>
    </w:p>
    <w:p>
      <w:pPr>
        <w:pStyle w:val="23"/>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6.年初结转和结余：指以前年度尚未完成、结转到本年按有关规定继续使用的资金。 </w:t>
      </w:r>
    </w:p>
    <w:p>
      <w:pPr>
        <w:pStyle w:val="23"/>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7.结余分配：指事业单位按照会计制度规定缴纳的所得税、提取的专用结余以及转入非财政拨款结余的金额等。</w:t>
      </w:r>
    </w:p>
    <w:p>
      <w:pPr>
        <w:pStyle w:val="23"/>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9.科学技术（类）科技条件与服务（款）其他科技条件与服务（项）：指反映其他用于科技条件与服务方面的支出。</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10.社会保障和就业（类）行政事业单位离退休（款）机关事业单位基本养老保险缴费支出（项）：指反映机关事业单位实施养老保险制度由单位缴纳的基本养老保险费支出。</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11.社会保障和就业（类）行政事业单位离退休（款）机关事业单位职业年金缴费支出（项）：指反映机关事业单位实施养老保险制度由单位缴纳的职业年金支出。</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12.医疗卫生与计划生育（类）行政事业单位医疗（款）行政单位医疗（项）：指反映财政部门集中安排的行政单位基本医疗保险缴费经费。</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13.住房保障（类）住房改革（款）住房公积金（项）：指反映行政事业单位按人力资源和社会保障部、财政部规定的基本工资和津贴补贴以及规定比例为职工缴纳的住房公积金。</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Cs/>
          <w:color w:val="000000"/>
          <w:sz w:val="32"/>
          <w:szCs w:val="32"/>
        </w:rPr>
        <w:t>14.</w:t>
      </w:r>
      <w:r>
        <w:rPr>
          <w:rFonts w:hint="eastAsia" w:ascii="仿宋_GB2312" w:hAnsi="仿宋_GB2312" w:eastAsia="仿宋_GB2312" w:cs="仿宋_GB2312"/>
          <w:color w:val="000000"/>
          <w:kern w:val="0"/>
          <w:sz w:val="32"/>
          <w:szCs w:val="32"/>
        </w:rPr>
        <w:t>住房保障（类）住房改革（款）购房补贴（项）：指反映行政事业单位按人力资源和社会保障部、财政部规定的基本工资和津贴补贴以及规定比例为职工支出的购房补贴。</w:t>
      </w:r>
    </w:p>
    <w:p>
      <w:pPr>
        <w:pageBreakBefore w:val="0"/>
        <w:kinsoku/>
        <w:wordWrap/>
        <w:overflowPunct/>
        <w:topLinePunct w:val="0"/>
        <w:bidi w:val="0"/>
        <w:spacing w:beforeAutospacing="0" w:afterAutospacing="0" w:line="576" w:lineRule="exact"/>
        <w:ind w:leftChars="0" w:firstLine="64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Cs/>
          <w:color w:val="000000"/>
          <w:sz w:val="32"/>
          <w:szCs w:val="32"/>
        </w:rPr>
        <w:t>15.农林水支出</w:t>
      </w:r>
      <w:r>
        <w:rPr>
          <w:rFonts w:hint="eastAsia" w:ascii="仿宋_GB2312" w:hAnsi="仿宋_GB2312" w:eastAsia="仿宋_GB2312" w:cs="仿宋_GB2312"/>
          <w:color w:val="000000"/>
          <w:kern w:val="0"/>
          <w:sz w:val="32"/>
          <w:szCs w:val="32"/>
        </w:rPr>
        <w:t>（类）扶贫（款）社会发展（项）：指反映用于农村贫困地区中小学教育、文化、广播、电视、医疗、卫生等方面的项目支出。</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16.基本支出：指为保障机构正常运转、完成日常工作任务而发生的人员支出和公用支出。</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17.项目支出：指在基本支出之外为完成特定行政任务和事业发展目标所发生的支出。 </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18.经营支出：指事业单位在专业业务活动及其辅助活动之外开展非独立核算经营活动发生的支出。</w:t>
      </w:r>
    </w:p>
    <w:p>
      <w:pPr>
        <w:pStyle w:val="23"/>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5"/>
        <w:keepNext w:val="0"/>
        <w:keepLines w:val="0"/>
        <w:pageBreakBefore w:val="0"/>
        <w:widowControl/>
        <w:suppressLineNumbers w:val="0"/>
        <w:kinsoku/>
        <w:wordWrap/>
        <w:overflowPunct/>
        <w:topLinePunct w:val="0"/>
        <w:bidi w:val="0"/>
        <w:spacing w:before="0" w:beforeAutospacing="0" w:after="0" w:afterAutospacing="0" w:line="576" w:lineRule="exact"/>
        <w:ind w:leftChars="0"/>
        <w:jc w:val="center"/>
        <w:textAlignment w:val="auto"/>
        <w:outlineLvl w:val="0"/>
        <w:rPr>
          <w:rFonts w:hint="eastAsia" w:ascii="仿宋_GB2312" w:hAnsi="仿宋_GB2312" w:eastAsia="仿宋_GB2312" w:cs="仿宋_GB2312"/>
          <w:color w:val="000000"/>
          <w:kern w:val="2"/>
          <w:sz w:val="44"/>
          <w:szCs w:val="44"/>
          <w:lang w:val="en-US" w:eastAsia="zh-CN" w:bidi="ar-SA"/>
        </w:rPr>
      </w:pPr>
      <w:bookmarkStart w:id="87" w:name="_Toc7978"/>
      <w:bookmarkStart w:id="88" w:name="_Toc19088"/>
      <w:bookmarkStart w:id="89" w:name="_Toc111208510"/>
      <w:bookmarkStart w:id="90" w:name="_Toc15177"/>
    </w:p>
    <w:p>
      <w:pPr>
        <w:pStyle w:val="15"/>
        <w:keepNext w:val="0"/>
        <w:keepLines w:val="0"/>
        <w:pageBreakBefore w:val="0"/>
        <w:widowControl/>
        <w:suppressLineNumbers w:val="0"/>
        <w:kinsoku/>
        <w:wordWrap/>
        <w:overflowPunct/>
        <w:topLinePunct w:val="0"/>
        <w:bidi w:val="0"/>
        <w:spacing w:before="0" w:beforeAutospacing="0" w:after="0" w:afterAutospacing="0" w:line="576" w:lineRule="exact"/>
        <w:ind w:leftChars="0"/>
        <w:jc w:val="center"/>
        <w:textAlignment w:val="auto"/>
        <w:outlineLvl w:val="0"/>
        <w:rPr>
          <w:rFonts w:hint="eastAsia" w:ascii="CESI仿宋-GB2312" w:hAnsi="CESI仿宋-GB2312" w:eastAsia="CESI仿宋-GB2312" w:cs="CESI仿宋-GB2312"/>
          <w:color w:val="000000"/>
          <w:kern w:val="2"/>
          <w:sz w:val="44"/>
          <w:szCs w:val="44"/>
          <w:lang w:val="en-US" w:eastAsia="zh-CN" w:bidi="ar-SA"/>
        </w:rPr>
      </w:pPr>
    </w:p>
    <w:p>
      <w:pPr>
        <w:pStyle w:val="15"/>
        <w:keepNext w:val="0"/>
        <w:keepLines w:val="0"/>
        <w:pageBreakBefore w:val="0"/>
        <w:widowControl/>
        <w:suppressLineNumbers w:val="0"/>
        <w:kinsoku/>
        <w:wordWrap/>
        <w:overflowPunct/>
        <w:topLinePunct w:val="0"/>
        <w:bidi w:val="0"/>
        <w:spacing w:before="0" w:beforeAutospacing="0" w:after="0" w:afterAutospacing="0" w:line="576" w:lineRule="exact"/>
        <w:ind w:leftChars="0"/>
        <w:jc w:val="center"/>
        <w:textAlignment w:val="auto"/>
        <w:outlineLvl w:val="0"/>
        <w:rPr>
          <w:rFonts w:hint="eastAsia" w:ascii="CESI仿宋-GB2312" w:hAnsi="CESI仿宋-GB2312" w:eastAsia="CESI仿宋-GB2312" w:cs="CESI仿宋-GB2312"/>
          <w:color w:val="000000"/>
          <w:kern w:val="2"/>
          <w:sz w:val="44"/>
          <w:szCs w:val="44"/>
          <w:lang w:val="en-US" w:eastAsia="zh-CN" w:bidi="ar-SA"/>
        </w:rPr>
      </w:pPr>
    </w:p>
    <w:p>
      <w:pPr>
        <w:pStyle w:val="15"/>
        <w:keepNext w:val="0"/>
        <w:keepLines w:val="0"/>
        <w:pageBreakBefore w:val="0"/>
        <w:widowControl/>
        <w:suppressLineNumbers w:val="0"/>
        <w:kinsoku/>
        <w:wordWrap/>
        <w:overflowPunct/>
        <w:topLinePunct w:val="0"/>
        <w:bidi w:val="0"/>
        <w:spacing w:before="0" w:beforeAutospacing="0" w:after="0" w:afterAutospacing="0" w:line="576" w:lineRule="exact"/>
        <w:ind w:leftChars="0"/>
        <w:jc w:val="both"/>
        <w:textAlignment w:val="auto"/>
        <w:outlineLvl w:val="0"/>
        <w:rPr>
          <w:rFonts w:hint="eastAsia" w:ascii="黑体" w:hAnsi="Times New Roman" w:eastAsia="黑体" w:cs="Times New Roman"/>
          <w:color w:val="000000"/>
          <w:kern w:val="2"/>
          <w:sz w:val="44"/>
          <w:szCs w:val="44"/>
          <w:lang w:val="en-US" w:eastAsia="zh-CN" w:bidi="ar-SA"/>
        </w:rPr>
      </w:pPr>
      <w:bookmarkStart w:id="91" w:name="_Toc16323"/>
    </w:p>
    <w:p>
      <w:pPr>
        <w:pStyle w:val="15"/>
        <w:keepNext w:val="0"/>
        <w:keepLines w:val="0"/>
        <w:pageBreakBefore w:val="0"/>
        <w:widowControl/>
        <w:suppressLineNumbers w:val="0"/>
        <w:kinsoku/>
        <w:wordWrap/>
        <w:overflowPunct/>
        <w:topLinePunct w:val="0"/>
        <w:bidi w:val="0"/>
        <w:spacing w:before="0" w:beforeAutospacing="0" w:after="0" w:afterAutospacing="0" w:line="576" w:lineRule="exact"/>
        <w:ind w:leftChars="0"/>
        <w:jc w:val="both"/>
        <w:textAlignment w:val="auto"/>
        <w:outlineLvl w:val="0"/>
        <w:rPr>
          <w:rFonts w:hint="eastAsia" w:ascii="黑体" w:hAnsi="Times New Roman" w:eastAsia="黑体" w:cs="Times New Roman"/>
          <w:color w:val="000000"/>
          <w:kern w:val="2"/>
          <w:sz w:val="44"/>
          <w:szCs w:val="44"/>
          <w:lang w:val="en-US" w:eastAsia="zh-CN" w:bidi="ar-SA"/>
        </w:rPr>
      </w:pPr>
    </w:p>
    <w:p>
      <w:pPr>
        <w:pStyle w:val="15"/>
        <w:keepNext w:val="0"/>
        <w:keepLines w:val="0"/>
        <w:pageBreakBefore w:val="0"/>
        <w:widowControl/>
        <w:suppressLineNumbers w:val="0"/>
        <w:kinsoku/>
        <w:wordWrap/>
        <w:overflowPunct/>
        <w:topLinePunct w:val="0"/>
        <w:bidi w:val="0"/>
        <w:spacing w:before="0" w:beforeAutospacing="0" w:after="0" w:afterAutospacing="0" w:line="576" w:lineRule="exact"/>
        <w:ind w:leftChars="0"/>
        <w:jc w:val="both"/>
        <w:textAlignment w:val="auto"/>
        <w:outlineLvl w:val="0"/>
        <w:rPr>
          <w:rFonts w:hint="eastAsia" w:ascii="黑体" w:hAnsi="Times New Roman" w:eastAsia="黑体" w:cs="Times New Roman"/>
          <w:color w:val="000000"/>
          <w:kern w:val="2"/>
          <w:sz w:val="44"/>
          <w:szCs w:val="44"/>
          <w:lang w:val="en-US" w:eastAsia="zh-CN" w:bidi="ar-SA"/>
        </w:rPr>
      </w:pPr>
    </w:p>
    <w:p>
      <w:pPr>
        <w:pStyle w:val="15"/>
        <w:keepNext w:val="0"/>
        <w:keepLines w:val="0"/>
        <w:pageBreakBefore w:val="0"/>
        <w:widowControl/>
        <w:suppressLineNumbers w:val="0"/>
        <w:kinsoku/>
        <w:wordWrap/>
        <w:overflowPunct/>
        <w:topLinePunct w:val="0"/>
        <w:bidi w:val="0"/>
        <w:spacing w:before="0" w:beforeAutospacing="0" w:after="0" w:afterAutospacing="0" w:line="576" w:lineRule="exact"/>
        <w:ind w:leftChars="0"/>
        <w:jc w:val="both"/>
        <w:textAlignment w:val="auto"/>
        <w:outlineLvl w:val="0"/>
        <w:rPr>
          <w:rFonts w:hint="eastAsia" w:ascii="黑体" w:hAnsi="Times New Roman" w:eastAsia="黑体" w:cs="Times New Roman"/>
          <w:color w:val="000000"/>
          <w:kern w:val="2"/>
          <w:sz w:val="44"/>
          <w:szCs w:val="44"/>
          <w:lang w:val="en-US" w:eastAsia="zh-CN" w:bidi="ar-SA"/>
        </w:rPr>
      </w:pPr>
    </w:p>
    <w:p>
      <w:pPr>
        <w:pStyle w:val="15"/>
        <w:keepNext w:val="0"/>
        <w:keepLines w:val="0"/>
        <w:pageBreakBefore w:val="0"/>
        <w:widowControl/>
        <w:suppressLineNumbers w:val="0"/>
        <w:kinsoku/>
        <w:wordWrap/>
        <w:overflowPunct/>
        <w:topLinePunct w:val="0"/>
        <w:bidi w:val="0"/>
        <w:spacing w:before="0" w:beforeAutospacing="0" w:after="0" w:afterAutospacing="0" w:line="576" w:lineRule="exact"/>
        <w:ind w:leftChars="0"/>
        <w:jc w:val="center"/>
        <w:textAlignment w:val="auto"/>
        <w:outlineLvl w:val="0"/>
        <w:rPr>
          <w:rFonts w:hint="eastAsia" w:ascii="黑体" w:hAnsi="Times New Roman" w:eastAsia="黑体" w:cs="Times New Roman"/>
          <w:color w:val="000000"/>
          <w:kern w:val="2"/>
          <w:sz w:val="44"/>
          <w:szCs w:val="44"/>
          <w:lang w:val="en-US" w:eastAsia="zh-CN" w:bidi="ar-SA"/>
        </w:rPr>
      </w:pPr>
    </w:p>
    <w:p>
      <w:pPr>
        <w:pStyle w:val="15"/>
        <w:keepNext w:val="0"/>
        <w:keepLines w:val="0"/>
        <w:pageBreakBefore w:val="0"/>
        <w:widowControl/>
        <w:suppressLineNumbers w:val="0"/>
        <w:kinsoku/>
        <w:wordWrap/>
        <w:overflowPunct/>
        <w:topLinePunct w:val="0"/>
        <w:bidi w:val="0"/>
        <w:spacing w:before="0" w:beforeAutospacing="0" w:after="0" w:afterAutospacing="0" w:line="576" w:lineRule="exact"/>
        <w:ind w:leftChars="0"/>
        <w:jc w:val="center"/>
        <w:textAlignment w:val="auto"/>
        <w:outlineLvl w:val="0"/>
        <w:rPr>
          <w:rFonts w:hint="eastAsia" w:ascii="黑体" w:hAnsi="Times New Roman" w:eastAsia="黑体" w:cs="Times New Roman"/>
          <w:color w:val="000000"/>
          <w:kern w:val="2"/>
          <w:sz w:val="44"/>
          <w:szCs w:val="44"/>
          <w:lang w:val="en-US" w:eastAsia="zh-CN" w:bidi="ar-SA"/>
        </w:rPr>
      </w:pPr>
    </w:p>
    <w:p>
      <w:pPr>
        <w:pStyle w:val="15"/>
        <w:keepNext w:val="0"/>
        <w:keepLines w:val="0"/>
        <w:pageBreakBefore w:val="0"/>
        <w:widowControl/>
        <w:suppressLineNumbers w:val="0"/>
        <w:kinsoku/>
        <w:wordWrap/>
        <w:overflowPunct/>
        <w:topLinePunct w:val="0"/>
        <w:bidi w:val="0"/>
        <w:spacing w:before="0" w:beforeAutospacing="0" w:after="0" w:afterAutospacing="0" w:line="576" w:lineRule="exact"/>
        <w:ind w:leftChars="0"/>
        <w:jc w:val="center"/>
        <w:textAlignment w:val="auto"/>
        <w:outlineLvl w:val="0"/>
        <w:rPr>
          <w:rFonts w:hint="eastAsia" w:ascii="黑体" w:hAnsi="Times New Roman" w:eastAsia="黑体" w:cs="Times New Roman"/>
          <w:color w:val="000000"/>
          <w:kern w:val="2"/>
          <w:sz w:val="44"/>
          <w:szCs w:val="44"/>
          <w:lang w:val="en-US" w:eastAsia="zh-CN" w:bidi="ar-SA"/>
        </w:rPr>
      </w:pPr>
    </w:p>
    <w:p>
      <w:pPr>
        <w:pStyle w:val="15"/>
        <w:keepNext w:val="0"/>
        <w:keepLines w:val="0"/>
        <w:pageBreakBefore w:val="0"/>
        <w:widowControl/>
        <w:suppressLineNumbers w:val="0"/>
        <w:kinsoku/>
        <w:wordWrap/>
        <w:overflowPunct/>
        <w:topLinePunct w:val="0"/>
        <w:bidi w:val="0"/>
        <w:spacing w:before="0" w:beforeAutospacing="0" w:after="0" w:afterAutospacing="0" w:line="576" w:lineRule="exact"/>
        <w:ind w:leftChars="0"/>
        <w:jc w:val="center"/>
        <w:textAlignment w:val="auto"/>
        <w:outlineLvl w:val="0"/>
        <w:rPr>
          <w:rFonts w:hint="eastAsia" w:ascii="黑体" w:hAnsi="Times New Roman" w:eastAsia="黑体" w:cs="Times New Roman"/>
          <w:color w:val="000000"/>
          <w:kern w:val="2"/>
          <w:sz w:val="44"/>
          <w:szCs w:val="44"/>
          <w:lang w:val="en-US" w:eastAsia="zh-CN" w:bidi="ar-SA"/>
        </w:rPr>
      </w:pPr>
    </w:p>
    <w:p>
      <w:pPr>
        <w:pStyle w:val="15"/>
        <w:keepNext w:val="0"/>
        <w:keepLines w:val="0"/>
        <w:pageBreakBefore w:val="0"/>
        <w:widowControl/>
        <w:suppressLineNumbers w:val="0"/>
        <w:kinsoku/>
        <w:wordWrap/>
        <w:overflowPunct/>
        <w:topLinePunct w:val="0"/>
        <w:bidi w:val="0"/>
        <w:spacing w:before="0" w:beforeAutospacing="0" w:after="0" w:afterAutospacing="0" w:line="576" w:lineRule="exact"/>
        <w:ind w:leftChars="0"/>
        <w:jc w:val="both"/>
        <w:textAlignment w:val="auto"/>
        <w:outlineLvl w:val="0"/>
        <w:rPr>
          <w:rFonts w:hint="eastAsia" w:ascii="黑体" w:hAnsi="Times New Roman" w:eastAsia="黑体" w:cs="Times New Roman"/>
          <w:color w:val="000000"/>
          <w:kern w:val="2"/>
          <w:sz w:val="44"/>
          <w:szCs w:val="44"/>
          <w:lang w:val="en-US" w:eastAsia="zh-CN" w:bidi="ar-SA"/>
        </w:rPr>
      </w:pPr>
    </w:p>
    <w:p>
      <w:pPr>
        <w:pStyle w:val="15"/>
        <w:keepNext w:val="0"/>
        <w:keepLines w:val="0"/>
        <w:pageBreakBefore w:val="0"/>
        <w:widowControl/>
        <w:suppressLineNumbers w:val="0"/>
        <w:kinsoku/>
        <w:wordWrap/>
        <w:overflowPunct/>
        <w:topLinePunct w:val="0"/>
        <w:bidi w:val="0"/>
        <w:spacing w:before="0" w:beforeAutospacing="0" w:after="0" w:afterAutospacing="0" w:line="576" w:lineRule="exact"/>
        <w:ind w:leftChars="0"/>
        <w:jc w:val="center"/>
        <w:textAlignment w:val="auto"/>
        <w:outlineLvl w:val="0"/>
        <w:rPr>
          <w:rFonts w:hint="eastAsia" w:ascii="方正小标宋简体" w:hAnsi="方正小标宋简体" w:eastAsia="方正小标宋简体" w:cs="方正小标宋简体"/>
          <w:color w:val="000000"/>
          <w:kern w:val="2"/>
          <w:sz w:val="44"/>
          <w:szCs w:val="44"/>
          <w:lang w:val="en-US" w:eastAsia="zh-CN" w:bidi="ar-SA"/>
        </w:rPr>
      </w:pPr>
    </w:p>
    <w:p>
      <w:pPr>
        <w:pStyle w:val="15"/>
        <w:keepNext w:val="0"/>
        <w:keepLines w:val="0"/>
        <w:pageBreakBefore w:val="0"/>
        <w:widowControl/>
        <w:suppressLineNumbers w:val="0"/>
        <w:kinsoku/>
        <w:wordWrap/>
        <w:overflowPunct/>
        <w:topLinePunct w:val="0"/>
        <w:bidi w:val="0"/>
        <w:spacing w:before="0" w:beforeAutospacing="0" w:after="0" w:afterAutospacing="0" w:line="576" w:lineRule="exact"/>
        <w:ind w:leftChars="0"/>
        <w:jc w:val="center"/>
        <w:textAlignment w:val="auto"/>
        <w:outlineLvl w:val="0"/>
        <w:rPr>
          <w:rFonts w:hint="eastAsia" w:ascii="方正小标宋简体" w:hAnsi="方正小标宋简体" w:eastAsia="方正小标宋简体" w:cs="方正小标宋简体"/>
          <w:color w:val="000000"/>
          <w:kern w:val="2"/>
          <w:sz w:val="44"/>
          <w:szCs w:val="44"/>
          <w:lang w:val="en-US" w:eastAsia="zh-CN" w:bidi="ar-SA"/>
        </w:rPr>
      </w:pPr>
    </w:p>
    <w:p>
      <w:pPr>
        <w:pStyle w:val="15"/>
        <w:keepNext w:val="0"/>
        <w:keepLines w:val="0"/>
        <w:pageBreakBefore w:val="0"/>
        <w:widowControl/>
        <w:suppressLineNumbers w:val="0"/>
        <w:kinsoku/>
        <w:wordWrap/>
        <w:overflowPunct/>
        <w:topLinePunct w:val="0"/>
        <w:bidi w:val="0"/>
        <w:spacing w:before="0" w:beforeAutospacing="0" w:after="0" w:afterAutospacing="0" w:line="576" w:lineRule="exact"/>
        <w:ind w:leftChars="0"/>
        <w:jc w:val="center"/>
        <w:textAlignment w:val="auto"/>
        <w:outlineLvl w:val="0"/>
        <w:rPr>
          <w:rFonts w:hint="eastAsia" w:ascii="方正小标宋简体" w:hAnsi="方正小标宋简体" w:eastAsia="方正小标宋简体" w:cs="方正小标宋简体"/>
          <w:color w:val="000000"/>
          <w:kern w:val="2"/>
          <w:sz w:val="44"/>
          <w:szCs w:val="44"/>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第四部分 附件</w:t>
      </w:r>
      <w:bookmarkEnd w:id="87"/>
      <w:bookmarkEnd w:id="88"/>
      <w:bookmarkEnd w:id="91"/>
    </w:p>
    <w:p>
      <w:pPr>
        <w:pageBreakBefore w:val="0"/>
        <w:kinsoku/>
        <w:wordWrap/>
        <w:overflowPunct/>
        <w:topLinePunct w:val="0"/>
        <w:bidi w:val="0"/>
        <w:spacing w:beforeAutospacing="0" w:afterAutospacing="0" w:line="576" w:lineRule="exact"/>
        <w:ind w:leftChars="0"/>
        <w:jc w:val="center"/>
        <w:textAlignment w:val="auto"/>
        <w:outlineLvl w:val="9"/>
        <w:rPr>
          <w:rFonts w:ascii="方正小标宋简体" w:hAnsi="Times New Roman" w:eastAsia="方正小标宋简体" w:cs="黑体"/>
          <w:sz w:val="44"/>
          <w:szCs w:val="44"/>
        </w:rPr>
      </w:pPr>
      <w:r>
        <w:t> </w:t>
      </w:r>
    </w:p>
    <w:p>
      <w:pPr>
        <w:pageBreakBefore w:val="0"/>
        <w:kinsoku/>
        <w:wordWrap/>
        <w:overflowPunct/>
        <w:topLinePunct w:val="0"/>
        <w:bidi w:val="0"/>
        <w:spacing w:beforeAutospacing="0" w:afterAutospacing="0" w:line="576" w:lineRule="exact"/>
        <w:ind w:leftChars="0"/>
        <w:jc w:val="center"/>
        <w:textAlignment w:val="auto"/>
        <w:outlineLvl w:val="0"/>
        <w:rPr>
          <w:rFonts w:ascii="方正小标宋简体" w:hAnsi="黑体" w:eastAsia="方正小标宋简体" w:cs="黑体"/>
          <w:sz w:val="44"/>
          <w:szCs w:val="44"/>
        </w:rPr>
      </w:pPr>
      <w:bookmarkStart w:id="92" w:name="_Toc1539"/>
      <w:bookmarkStart w:id="93" w:name="_Toc79163632"/>
      <w:bookmarkStart w:id="94" w:name="_Toc79163882"/>
      <w:bookmarkStart w:id="95" w:name="_Toc983"/>
      <w:r>
        <w:rPr>
          <w:rFonts w:hint="eastAsia" w:ascii="方正小标宋简体" w:hAnsi="黑体" w:eastAsia="方正小标宋简体" w:cs="黑体"/>
          <w:sz w:val="44"/>
          <w:szCs w:val="44"/>
        </w:rPr>
        <w:t>茂县地情资料收集整理中心</w:t>
      </w:r>
      <w:r>
        <w:rPr>
          <w:rFonts w:ascii="方正小标宋简体" w:hAnsi="黑体" w:eastAsia="方正小标宋简体" w:cs="黑体"/>
          <w:sz w:val="44"/>
          <w:szCs w:val="44"/>
        </w:rPr>
        <w:t>202</w:t>
      </w:r>
      <w:r>
        <w:rPr>
          <w:rFonts w:hint="eastAsia" w:ascii="方正小标宋简体" w:hAnsi="黑体" w:eastAsia="方正小标宋简体" w:cs="黑体"/>
          <w:sz w:val="44"/>
          <w:szCs w:val="44"/>
          <w:lang w:val="en-US" w:eastAsia="zh-CN"/>
        </w:rPr>
        <w:t>4</w:t>
      </w:r>
      <w:r>
        <w:rPr>
          <w:rFonts w:hint="eastAsia" w:ascii="方正小标宋简体" w:hAnsi="黑体" w:eastAsia="方正小标宋简体" w:cs="黑体"/>
          <w:sz w:val="44"/>
          <w:szCs w:val="44"/>
        </w:rPr>
        <w:t>年</w:t>
      </w:r>
      <w:bookmarkEnd w:id="92"/>
    </w:p>
    <w:p>
      <w:pPr>
        <w:pageBreakBefore w:val="0"/>
        <w:kinsoku/>
        <w:wordWrap/>
        <w:overflowPunct/>
        <w:topLinePunct w:val="0"/>
        <w:bidi w:val="0"/>
        <w:spacing w:beforeAutospacing="0" w:afterAutospacing="0" w:line="576" w:lineRule="exact"/>
        <w:ind w:leftChars="0"/>
        <w:jc w:val="center"/>
        <w:textAlignment w:val="auto"/>
        <w:outlineLvl w:val="0"/>
        <w:rPr>
          <w:rFonts w:ascii="方正小标宋简体" w:hAnsi="黑体" w:eastAsia="方正小标宋简体" w:cs="黑体"/>
          <w:sz w:val="44"/>
          <w:szCs w:val="44"/>
        </w:rPr>
      </w:pPr>
      <w:bookmarkStart w:id="96" w:name="_Toc8441"/>
      <w:r>
        <w:rPr>
          <w:rFonts w:hint="eastAsia" w:ascii="方正小标宋简体" w:hAnsi="黑体" w:eastAsia="方正小标宋简体" w:cs="黑体"/>
          <w:sz w:val="44"/>
          <w:szCs w:val="44"/>
        </w:rPr>
        <w:t>部门</w:t>
      </w:r>
      <w:r>
        <w:rPr>
          <w:rFonts w:hint="eastAsia" w:ascii="方正小标宋简体" w:hAnsi="黑体" w:eastAsia="方正小标宋简体" w:cs="黑体"/>
          <w:sz w:val="44"/>
          <w:szCs w:val="44"/>
          <w:lang w:eastAsia="zh-CN"/>
        </w:rPr>
        <w:t>预算绩效</w:t>
      </w:r>
      <w:r>
        <w:rPr>
          <w:rFonts w:hint="eastAsia" w:ascii="方正小标宋简体" w:hAnsi="黑体" w:eastAsia="方正小标宋简体" w:cs="黑体"/>
          <w:sz w:val="44"/>
          <w:szCs w:val="44"/>
        </w:rPr>
        <w:t>评价报告</w:t>
      </w:r>
      <w:bookmarkEnd w:id="93"/>
      <w:bookmarkEnd w:id="94"/>
      <w:bookmarkEnd w:id="96"/>
    </w:p>
    <w:p>
      <w:pPr>
        <w:pageBreakBefore w:val="0"/>
        <w:widowControl/>
        <w:kinsoku/>
        <w:wordWrap/>
        <w:overflowPunct/>
        <w:topLinePunct w:val="0"/>
        <w:bidi w:val="0"/>
        <w:adjustRightInd w:val="0"/>
        <w:snapToGrid w:val="0"/>
        <w:spacing w:beforeAutospacing="0" w:afterAutospacing="0" w:line="576" w:lineRule="exact"/>
        <w:ind w:leftChars="0" w:firstLine="640" w:firstLineChars="200"/>
        <w:contextualSpacing/>
        <w:jc w:val="left"/>
        <w:textAlignment w:val="auto"/>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单位概况</w:t>
      </w:r>
    </w:p>
    <w:p>
      <w:pPr>
        <w:pageBreakBefore w:val="0"/>
        <w:widowControl/>
        <w:kinsoku/>
        <w:wordWrap/>
        <w:overflowPunct/>
        <w:topLinePunct w:val="0"/>
        <w:bidi w:val="0"/>
        <w:adjustRightInd w:val="0"/>
        <w:snapToGrid w:val="0"/>
        <w:spacing w:beforeAutospacing="0" w:afterAutospacing="0" w:line="576" w:lineRule="exact"/>
        <w:ind w:leftChars="0"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（一）机构组成</w:t>
      </w:r>
    </w:p>
    <w:p>
      <w:pPr>
        <w:pStyle w:val="3"/>
        <w:pageBreakBefore w:val="0"/>
        <w:kinsoku/>
        <w:wordWrap/>
        <w:overflowPunct/>
        <w:topLinePunct w:val="0"/>
        <w:bidi w:val="0"/>
        <w:spacing w:before="0" w:beforeAutospacing="0" w:after="0" w:afterAutospacing="0" w:line="576" w:lineRule="exact"/>
        <w:ind w:leftChars="0" w:firstLine="640" w:firstLineChars="200"/>
        <w:textAlignment w:val="auto"/>
        <w:rPr>
          <w:rFonts w:hint="eastAsia" w:ascii="仿宋_GB2312" w:hAnsi="仿宋_GB2312" w:eastAsia="仿宋_GB2312" w:cs="仿宋_GB2312"/>
          <w:b w:val="0"/>
          <w:bCs w:val="0"/>
        </w:rPr>
      </w:pPr>
      <w:bookmarkStart w:id="97" w:name="_Toc24994"/>
      <w:r>
        <w:rPr>
          <w:rFonts w:hint="eastAsia" w:ascii="仿宋_GB2312" w:hAnsi="仿宋_GB2312" w:eastAsia="仿宋_GB2312" w:cs="仿宋_GB2312"/>
          <w:b w:val="0"/>
          <w:bCs w:val="0"/>
        </w:rPr>
        <w:t>茂县地情资料收集整理中心属于茂县党史研究和地方志编纂中心下属</w:t>
      </w:r>
      <w:r>
        <w:rPr>
          <w:rFonts w:hint="eastAsia" w:ascii="仿宋_GB2312" w:hAnsi="仿宋_GB2312" w:eastAsia="仿宋_GB2312" w:cs="仿宋_GB2312"/>
          <w:b w:val="0"/>
          <w:bCs w:val="0"/>
          <w:lang w:eastAsia="zh-CN"/>
        </w:rPr>
        <w:t>的</w:t>
      </w:r>
      <w:r>
        <w:rPr>
          <w:rFonts w:hint="eastAsia" w:ascii="仿宋_GB2312" w:hAnsi="仿宋_GB2312" w:eastAsia="仿宋_GB2312" w:cs="仿宋_GB2312"/>
          <w:b w:val="0"/>
          <w:bCs w:val="0"/>
        </w:rPr>
        <w:t>事业</w:t>
      </w:r>
      <w:r>
        <w:rPr>
          <w:rFonts w:hint="eastAsia" w:ascii="仿宋_GB2312" w:hAnsi="仿宋_GB2312" w:eastAsia="仿宋_GB2312" w:cs="仿宋_GB2312"/>
          <w:b w:val="0"/>
          <w:bCs w:val="0"/>
          <w:lang w:eastAsia="zh-CN"/>
        </w:rPr>
        <w:t>部分</w:t>
      </w:r>
      <w:r>
        <w:rPr>
          <w:rFonts w:hint="eastAsia" w:ascii="仿宋_GB2312" w:hAnsi="仿宋_GB2312" w:eastAsia="仿宋_GB2312" w:cs="仿宋_GB2312"/>
          <w:b w:val="0"/>
          <w:bCs w:val="0"/>
        </w:rPr>
        <w:t>。</w:t>
      </w:r>
      <w:bookmarkEnd w:id="97"/>
    </w:p>
    <w:p>
      <w:pPr>
        <w:pageBreakBefore w:val="0"/>
        <w:widowControl/>
        <w:numPr>
          <w:ilvl w:val="0"/>
          <w:numId w:val="0"/>
        </w:numPr>
        <w:kinsoku/>
        <w:wordWrap/>
        <w:overflowPunct/>
        <w:topLinePunct w:val="0"/>
        <w:bidi w:val="0"/>
        <w:adjustRightInd w:val="0"/>
        <w:snapToGrid w:val="0"/>
        <w:spacing w:beforeAutospacing="0" w:afterAutospacing="0" w:line="576" w:lineRule="exact"/>
        <w:ind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（二）机构职能</w:t>
      </w:r>
    </w:p>
    <w:p>
      <w:pPr>
        <w:pageBreakBefore w:val="0"/>
        <w:widowControl/>
        <w:shd w:val="clear" w:color="auto" w:fill="FFFFFF"/>
        <w:kinsoku/>
        <w:wordWrap/>
        <w:overflowPunct/>
        <w:topLinePunct w:val="0"/>
        <w:bidi w:val="0"/>
        <w:spacing w:beforeAutospacing="0" w:afterAutospacing="0" w:line="576" w:lineRule="exact"/>
        <w:ind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党史工作：</w:t>
      </w:r>
    </w:p>
    <w:p>
      <w:pPr>
        <w:pageBreakBefore w:val="0"/>
        <w:widowControl/>
        <w:shd w:val="clear" w:color="auto" w:fill="FFFFFF"/>
        <w:kinsoku/>
        <w:wordWrap/>
        <w:overflowPunct/>
        <w:topLinePunct w:val="0"/>
        <w:bidi w:val="0"/>
        <w:spacing w:beforeAutospacing="0" w:afterAutospacing="0" w:line="576" w:lineRule="exact"/>
        <w:ind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征集、整理县委重要党史资料，收集整理重要口述历史资料、重要党史人物回忆录，搜集、整理和研究有关中共党史、中共地方党史的信息资料。</w:t>
      </w:r>
    </w:p>
    <w:p>
      <w:pPr>
        <w:pageBreakBefore w:val="0"/>
        <w:widowControl/>
        <w:shd w:val="clear" w:color="auto" w:fill="FFFFFF"/>
        <w:kinsoku/>
        <w:wordWrap/>
        <w:overflowPunct/>
        <w:topLinePunct w:val="0"/>
        <w:bidi w:val="0"/>
        <w:spacing w:beforeAutospacing="0" w:afterAutospacing="0" w:line="576" w:lineRule="exact"/>
        <w:ind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地方志工作：</w:t>
      </w:r>
    </w:p>
    <w:p>
      <w:pPr>
        <w:pageBreakBefore w:val="0"/>
        <w:widowControl/>
        <w:shd w:val="clear" w:color="auto" w:fill="FFFFFF"/>
        <w:kinsoku/>
        <w:wordWrap/>
        <w:overflowPunct/>
        <w:topLinePunct w:val="0"/>
        <w:bidi w:val="0"/>
        <w:spacing w:beforeAutospacing="0" w:afterAutospacing="0" w:line="576"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收集、整理、保存地方志文献及相关地情文献资料，组织整理旧志，推动方志理论研究。</w:t>
      </w:r>
    </w:p>
    <w:p>
      <w:pPr>
        <w:pageBreakBefore w:val="0"/>
        <w:widowControl/>
        <w:kinsoku/>
        <w:wordWrap/>
        <w:overflowPunct/>
        <w:topLinePunct w:val="0"/>
        <w:bidi w:val="0"/>
        <w:adjustRightInd w:val="0"/>
        <w:snapToGrid w:val="0"/>
        <w:spacing w:beforeAutospacing="0" w:afterAutospacing="0" w:line="576" w:lineRule="exact"/>
        <w:ind w:leftChars="0"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（三）人员概况</w:t>
      </w:r>
    </w:p>
    <w:p>
      <w:pPr>
        <w:pageBreakBefore w:val="0"/>
        <w:widowControl/>
        <w:kinsoku/>
        <w:wordWrap/>
        <w:overflowPunct/>
        <w:topLinePunct w:val="0"/>
        <w:bidi w:val="0"/>
        <w:adjustRightInd w:val="0"/>
        <w:snapToGrid w:val="0"/>
        <w:spacing w:beforeAutospacing="0" w:afterAutospacing="0" w:line="576" w:lineRule="exact"/>
        <w:ind w:leftChars="0"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kern w:val="0"/>
          <w:sz w:val="32"/>
          <w:szCs w:val="32"/>
        </w:rPr>
        <w:t>总编制</w:t>
      </w:r>
      <w:r>
        <w:rPr>
          <w:rFonts w:hint="eastAsia" w:ascii="仿宋_GB2312" w:hAnsi="仿宋_GB2312" w:eastAsia="仿宋_GB2312" w:cs="仿宋_GB2312"/>
          <w:kern w:val="0"/>
          <w:sz w:val="32"/>
          <w:szCs w:val="32"/>
          <w:u w:val="single"/>
        </w:rPr>
        <w:t>2</w:t>
      </w:r>
      <w:r>
        <w:rPr>
          <w:rFonts w:hint="eastAsia" w:ascii="仿宋_GB2312" w:hAnsi="仿宋_GB2312" w:eastAsia="仿宋_GB2312" w:cs="仿宋_GB2312"/>
          <w:kern w:val="0"/>
          <w:sz w:val="32"/>
          <w:szCs w:val="32"/>
        </w:rPr>
        <w:t>名,在职人员总数</w:t>
      </w:r>
      <w:r>
        <w:rPr>
          <w:rFonts w:hint="eastAsia" w:ascii="仿宋_GB2312" w:hAnsi="仿宋_GB2312" w:eastAsia="仿宋_GB2312" w:cs="仿宋_GB2312"/>
          <w:kern w:val="0"/>
          <w:sz w:val="32"/>
          <w:szCs w:val="32"/>
          <w:u w:val="single"/>
        </w:rPr>
        <w:t>1</w:t>
      </w:r>
      <w:r>
        <w:rPr>
          <w:rFonts w:hint="eastAsia" w:ascii="仿宋_GB2312" w:hAnsi="仿宋_GB2312" w:eastAsia="仿宋_GB2312" w:cs="仿宋_GB2312"/>
          <w:kern w:val="0"/>
          <w:sz w:val="32"/>
          <w:szCs w:val="32"/>
        </w:rPr>
        <w:t>名，其中：参照公务员法管理的事业人员</w:t>
      </w:r>
      <w:r>
        <w:rPr>
          <w:rFonts w:hint="eastAsia" w:ascii="仿宋_GB2312" w:hAnsi="仿宋_GB2312" w:eastAsia="仿宋_GB2312" w:cs="仿宋_GB2312"/>
          <w:kern w:val="0"/>
          <w:sz w:val="32"/>
          <w:szCs w:val="32"/>
          <w:u w:val="single"/>
        </w:rPr>
        <w:t>0</w:t>
      </w:r>
      <w:r>
        <w:rPr>
          <w:rFonts w:hint="eastAsia" w:ascii="仿宋_GB2312" w:hAnsi="仿宋_GB2312" w:eastAsia="仿宋_GB2312" w:cs="仿宋_GB2312"/>
          <w:kern w:val="0"/>
          <w:sz w:val="32"/>
          <w:szCs w:val="32"/>
        </w:rPr>
        <w:t>名，行政工勤人员</w:t>
      </w:r>
      <w:r>
        <w:rPr>
          <w:rFonts w:hint="eastAsia" w:ascii="仿宋_GB2312" w:hAnsi="仿宋_GB2312" w:eastAsia="仿宋_GB2312" w:cs="仿宋_GB2312"/>
          <w:kern w:val="0"/>
          <w:sz w:val="32"/>
          <w:szCs w:val="32"/>
          <w:u w:val="single"/>
        </w:rPr>
        <w:t>0</w:t>
      </w:r>
      <w:r>
        <w:rPr>
          <w:rFonts w:hint="eastAsia" w:ascii="仿宋_GB2312" w:hAnsi="仿宋_GB2312" w:eastAsia="仿宋_GB2312" w:cs="仿宋_GB2312"/>
          <w:kern w:val="0"/>
          <w:sz w:val="32"/>
          <w:szCs w:val="32"/>
        </w:rPr>
        <w:t>名；事业人员</w:t>
      </w:r>
      <w:r>
        <w:rPr>
          <w:rFonts w:hint="eastAsia" w:ascii="仿宋_GB2312" w:hAnsi="仿宋_GB2312" w:eastAsia="仿宋_GB2312" w:cs="仿宋_GB2312"/>
          <w:kern w:val="0"/>
          <w:sz w:val="32"/>
          <w:szCs w:val="32"/>
          <w:u w:val="single"/>
        </w:rPr>
        <w:t>1</w:t>
      </w:r>
      <w:r>
        <w:rPr>
          <w:rFonts w:hint="eastAsia" w:ascii="仿宋_GB2312" w:hAnsi="仿宋_GB2312" w:eastAsia="仿宋_GB2312" w:cs="仿宋_GB2312"/>
          <w:kern w:val="0"/>
          <w:sz w:val="32"/>
          <w:szCs w:val="32"/>
        </w:rPr>
        <w:t>名。退休人员</w:t>
      </w:r>
      <w:r>
        <w:rPr>
          <w:rFonts w:hint="eastAsia" w:ascii="仿宋_GB2312" w:hAnsi="仿宋_GB2312" w:eastAsia="仿宋_GB2312" w:cs="仿宋_GB2312"/>
          <w:kern w:val="0"/>
          <w:sz w:val="32"/>
          <w:szCs w:val="32"/>
          <w:u w:val="single"/>
        </w:rPr>
        <w:t>0</w:t>
      </w:r>
      <w:r>
        <w:rPr>
          <w:rFonts w:hint="eastAsia" w:ascii="仿宋_GB2312" w:hAnsi="仿宋_GB2312" w:eastAsia="仿宋_GB2312" w:cs="仿宋_GB2312"/>
          <w:kern w:val="0"/>
          <w:sz w:val="32"/>
          <w:szCs w:val="32"/>
        </w:rPr>
        <w:t>人。</w:t>
      </w:r>
    </w:p>
    <w:p>
      <w:pPr>
        <w:pageBreakBefore w:val="0"/>
        <w:widowControl/>
        <w:kinsoku/>
        <w:wordWrap/>
        <w:overflowPunct/>
        <w:topLinePunct w:val="0"/>
        <w:bidi w:val="0"/>
        <w:adjustRightInd w:val="0"/>
        <w:snapToGrid w:val="0"/>
        <w:spacing w:beforeAutospacing="0" w:afterAutospacing="0" w:line="576" w:lineRule="exact"/>
        <w:ind w:leftChars="0" w:firstLine="640" w:firstLineChars="200"/>
        <w:contextualSpacing/>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pageBreakBefore w:val="0"/>
        <w:widowControl/>
        <w:kinsoku/>
        <w:wordWrap/>
        <w:overflowPunct/>
        <w:topLinePunct w:val="0"/>
        <w:bidi w:val="0"/>
        <w:adjustRightInd w:val="0"/>
        <w:snapToGrid w:val="0"/>
        <w:spacing w:beforeAutospacing="0" w:afterAutospacing="0" w:line="576" w:lineRule="exact"/>
        <w:ind w:leftChars="0"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（一）部门财政资金收入情况</w:t>
      </w:r>
    </w:p>
    <w:p>
      <w:pPr>
        <w:pageBreakBefore w:val="0"/>
        <w:widowControl/>
        <w:kinsoku/>
        <w:wordWrap/>
        <w:overflowPunct/>
        <w:topLinePunct w:val="0"/>
        <w:bidi w:val="0"/>
        <w:adjustRightInd w:val="0"/>
        <w:snapToGrid w:val="0"/>
        <w:spacing w:beforeAutospacing="0" w:afterAutospacing="0" w:line="576" w:lineRule="exact"/>
        <w:ind w:leftChars="0" w:firstLine="640" w:firstLineChars="200"/>
        <w:jc w:val="left"/>
        <w:textAlignment w:val="auto"/>
        <w:rPr>
          <w:rFonts w:ascii="仿宋_GB2312" w:hAnsi="仿宋_GB2312" w:eastAsia="仿宋_GB2312" w:cs="仿宋_GB2312"/>
          <w:color w:val="000000"/>
          <w:kern w:val="0"/>
          <w:sz w:val="32"/>
          <w:szCs w:val="32"/>
          <w:shd w:val="clear" w:color="auto" w:fill="FFFFFF"/>
        </w:rPr>
      </w:pPr>
      <w:r>
        <w:rPr>
          <w:rFonts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年收入合计</w:t>
      </w:r>
      <w:r>
        <w:rPr>
          <w:rFonts w:hint="eastAsia" w:ascii="仿宋_GB2312" w:hAnsi="仿宋_GB2312" w:eastAsia="仿宋_GB2312" w:cs="仿宋_GB2312"/>
          <w:color w:val="000000"/>
          <w:sz w:val="32"/>
          <w:szCs w:val="32"/>
          <w:lang w:val="en-US" w:eastAsia="zh-CN"/>
        </w:rPr>
        <w:t>22.61</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22.61</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kern w:val="0"/>
          <w:sz w:val="32"/>
          <w:szCs w:val="32"/>
          <w:shd w:val="clear" w:color="auto" w:fill="FFFFFF"/>
        </w:rPr>
        <w:t>。</w:t>
      </w:r>
    </w:p>
    <w:p>
      <w:pPr>
        <w:pageBreakBefore w:val="0"/>
        <w:widowControl/>
        <w:numPr>
          <w:ilvl w:val="0"/>
          <w:numId w:val="0"/>
        </w:numPr>
        <w:kinsoku/>
        <w:wordWrap/>
        <w:overflowPunct/>
        <w:topLinePunct w:val="0"/>
        <w:bidi w:val="0"/>
        <w:adjustRightInd w:val="0"/>
        <w:snapToGrid w:val="0"/>
        <w:spacing w:beforeAutospacing="0" w:afterAutospacing="0" w:line="576" w:lineRule="exact"/>
        <w:ind w:left="630" w:leftChars="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（二）部门财政资金支出情况</w:t>
      </w:r>
    </w:p>
    <w:p>
      <w:pPr>
        <w:pageBreakBefore w:val="0"/>
        <w:widowControl/>
        <w:kinsoku/>
        <w:wordWrap/>
        <w:overflowPunct/>
        <w:topLinePunct w:val="0"/>
        <w:bidi w:val="0"/>
        <w:adjustRightInd w:val="0"/>
        <w:snapToGrid w:val="0"/>
        <w:spacing w:beforeAutospacing="0" w:afterAutospacing="0" w:line="576" w:lineRule="exact"/>
        <w:ind w:leftChars="0" w:firstLine="720"/>
        <w:jc w:val="left"/>
        <w:textAlignment w:val="auto"/>
        <w:rPr>
          <w:rFonts w:ascii="仿宋_GB2312" w:hAnsi="宋体" w:eastAsia="仿宋_GB2312" w:cs="宋体"/>
          <w:color w:val="000000"/>
          <w:kern w:val="0"/>
          <w:sz w:val="32"/>
          <w:szCs w:val="32"/>
          <w:shd w:val="clear" w:color="auto" w:fill="FFFFFF"/>
          <w:lang w:val="zh-CN"/>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年支出合计</w:t>
      </w:r>
      <w:r>
        <w:rPr>
          <w:rFonts w:hint="eastAsia" w:ascii="仿宋_GB2312" w:hAnsi="仿宋_GB2312" w:eastAsia="仿宋_GB2312" w:cs="仿宋_GB2312"/>
          <w:sz w:val="32"/>
          <w:szCs w:val="32"/>
          <w:lang w:val="en-US" w:eastAsia="zh-CN"/>
        </w:rPr>
        <w:t>22.61</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22.61</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；项目支出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kern w:val="0"/>
          <w:sz w:val="32"/>
          <w:szCs w:val="32"/>
          <w:shd w:val="clear" w:color="auto" w:fill="FFFFFF"/>
          <w:lang w:val="zh-CN"/>
        </w:rPr>
        <w:t>。</w:t>
      </w:r>
    </w:p>
    <w:p>
      <w:pPr>
        <w:pageBreakBefore w:val="0"/>
        <w:widowControl/>
        <w:kinsoku/>
        <w:wordWrap/>
        <w:overflowPunct/>
        <w:topLinePunct w:val="0"/>
        <w:bidi w:val="0"/>
        <w:adjustRightInd w:val="0"/>
        <w:snapToGrid w:val="0"/>
        <w:spacing w:beforeAutospacing="0" w:afterAutospacing="0" w:line="576" w:lineRule="exact"/>
        <w:ind w:leftChars="0" w:firstLine="640" w:firstLineChars="200"/>
        <w:contextualSpacing/>
        <w:jc w:val="left"/>
        <w:textAlignment w:val="auto"/>
        <w:rPr>
          <w:rFonts w:hint="eastAsia" w:ascii="黑体" w:hAnsi="宋体" w:eastAsia="黑体" w:cs="宋体"/>
          <w:color w:val="000000"/>
          <w:kern w:val="0"/>
          <w:sz w:val="32"/>
          <w:szCs w:val="32"/>
          <w:shd w:val="clear" w:color="auto" w:fill="FFFFFF"/>
          <w:lang w:eastAsia="zh-CN"/>
        </w:rPr>
      </w:pPr>
      <w:r>
        <w:rPr>
          <w:rFonts w:hint="eastAsia" w:ascii="黑体" w:hAnsi="宋体" w:eastAsia="黑体" w:cs="宋体"/>
          <w:color w:val="000000"/>
          <w:kern w:val="0"/>
          <w:sz w:val="32"/>
          <w:szCs w:val="32"/>
          <w:shd w:val="clear" w:color="auto" w:fill="FFFFFF"/>
        </w:rPr>
        <w:t>三、部门预算绩效</w:t>
      </w:r>
      <w:r>
        <w:rPr>
          <w:rFonts w:hint="eastAsia" w:ascii="黑体" w:hAnsi="宋体" w:eastAsia="黑体" w:cs="宋体"/>
          <w:color w:val="000000"/>
          <w:kern w:val="0"/>
          <w:sz w:val="32"/>
          <w:szCs w:val="32"/>
          <w:shd w:val="clear" w:color="auto" w:fill="FFFFFF"/>
          <w:lang w:eastAsia="zh-CN"/>
        </w:rPr>
        <w:t>分析</w:t>
      </w:r>
    </w:p>
    <w:p>
      <w:pPr>
        <w:pageBreakBefore w:val="0"/>
        <w:widowControl/>
        <w:kinsoku/>
        <w:wordWrap/>
        <w:overflowPunct/>
        <w:topLinePunct w:val="0"/>
        <w:bidi w:val="0"/>
        <w:adjustRightInd w:val="0"/>
        <w:snapToGrid w:val="0"/>
        <w:spacing w:beforeAutospacing="0" w:afterAutospacing="0" w:line="576" w:lineRule="exact"/>
        <w:ind w:leftChars="0"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（一）部门预算总体绩效分析</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lang w:val="zh-CN"/>
        </w:rPr>
        <w:t>茂县地情资料收集整理中心在预决算编制上做到认真、负责、按时按规定报送。</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年本中心预算收入</w:t>
      </w:r>
      <w:r>
        <w:rPr>
          <w:rFonts w:hint="eastAsia" w:ascii="仿宋_GB2312" w:hAnsi="仿宋_GB2312" w:eastAsia="仿宋_GB2312" w:cs="仿宋_GB2312"/>
          <w:color w:val="000000"/>
          <w:kern w:val="0"/>
          <w:sz w:val="32"/>
          <w:szCs w:val="32"/>
          <w:shd w:val="clear" w:color="auto" w:fill="FFFFFF"/>
          <w:lang w:val="en-US" w:eastAsia="zh-CN"/>
        </w:rPr>
        <w:t>22.61</w:t>
      </w:r>
      <w:r>
        <w:rPr>
          <w:rFonts w:hint="eastAsia" w:ascii="仿宋_GB2312" w:hAnsi="仿宋_GB2312" w:eastAsia="仿宋_GB2312" w:cs="仿宋_GB2312"/>
          <w:color w:val="000000"/>
          <w:kern w:val="0"/>
          <w:sz w:val="32"/>
          <w:szCs w:val="32"/>
          <w:shd w:val="clear" w:color="auto" w:fill="FFFFFF"/>
        </w:rPr>
        <w:t>万</w:t>
      </w:r>
      <w:r>
        <w:rPr>
          <w:rFonts w:hint="eastAsia" w:ascii="仿宋_GB2312" w:hAnsi="仿宋_GB2312" w:eastAsia="仿宋_GB2312" w:cs="仿宋_GB2312"/>
          <w:sz w:val="32"/>
          <w:szCs w:val="32"/>
        </w:rPr>
        <w:t>元，其中基本支出</w:t>
      </w:r>
      <w:r>
        <w:rPr>
          <w:rFonts w:hint="eastAsia" w:ascii="仿宋_GB2312" w:hAnsi="仿宋_GB2312" w:eastAsia="仿宋_GB2312" w:cs="仿宋_GB2312"/>
          <w:color w:val="000000"/>
          <w:kern w:val="0"/>
          <w:sz w:val="32"/>
          <w:szCs w:val="32"/>
          <w:shd w:val="clear" w:color="auto" w:fill="FFFFFF"/>
          <w:lang w:val="en-US" w:eastAsia="zh-CN"/>
        </w:rPr>
        <w:t>22.61</w:t>
      </w:r>
      <w:r>
        <w:rPr>
          <w:rFonts w:hint="eastAsia" w:ascii="仿宋_GB2312" w:hAnsi="仿宋_GB2312" w:eastAsia="仿宋_GB2312" w:cs="仿宋_GB2312"/>
          <w:color w:val="000000"/>
          <w:kern w:val="0"/>
          <w:sz w:val="32"/>
          <w:szCs w:val="32"/>
          <w:shd w:val="clear" w:color="auto" w:fill="FFFFFF"/>
        </w:rPr>
        <w:t>万</w:t>
      </w:r>
      <w:r>
        <w:rPr>
          <w:rFonts w:hint="eastAsia" w:ascii="仿宋_GB2312" w:hAnsi="仿宋_GB2312" w:eastAsia="仿宋_GB2312" w:cs="仿宋_GB2312"/>
          <w:sz w:val="32"/>
          <w:szCs w:val="32"/>
        </w:rPr>
        <w:t>元，占总支出的100%。基本支出预算包括科学技术支出</w:t>
      </w:r>
      <w:r>
        <w:rPr>
          <w:rFonts w:hint="eastAsia" w:ascii="仿宋_GB2312" w:hAnsi="仿宋_GB2312" w:eastAsia="仿宋_GB2312" w:cs="仿宋_GB2312"/>
          <w:sz w:val="32"/>
          <w:szCs w:val="32"/>
          <w:lang w:val="en-US" w:eastAsia="zh-CN"/>
        </w:rPr>
        <w:t>16.30</w:t>
      </w:r>
      <w:r>
        <w:rPr>
          <w:rFonts w:hint="eastAsia" w:ascii="仿宋_GB2312" w:hAnsi="仿宋_GB2312" w:eastAsia="仿宋_GB2312" w:cs="仿宋_GB2312"/>
          <w:sz w:val="32"/>
          <w:szCs w:val="32"/>
        </w:rPr>
        <w:t>万元，社会保障和就业支出</w:t>
      </w:r>
      <w:r>
        <w:rPr>
          <w:rFonts w:hint="eastAsia" w:ascii="仿宋_GB2312" w:hAnsi="仿宋_GB2312" w:eastAsia="仿宋_GB2312" w:cs="仿宋_GB2312"/>
          <w:sz w:val="32"/>
          <w:szCs w:val="32"/>
          <w:lang w:val="en-US" w:eastAsia="zh-CN"/>
        </w:rPr>
        <w:t>3.34</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sz w:val="32"/>
          <w:szCs w:val="32"/>
          <w:lang w:val="en-US" w:eastAsia="zh-CN"/>
        </w:rPr>
        <w:t>1.19</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1.78</w:t>
      </w:r>
      <w:r>
        <w:rPr>
          <w:rFonts w:hint="eastAsia" w:ascii="仿宋_GB2312" w:hAnsi="仿宋_GB2312" w:eastAsia="仿宋_GB2312" w:cs="仿宋_GB2312"/>
          <w:sz w:val="32"/>
          <w:szCs w:val="32"/>
        </w:rPr>
        <w:t>万元。</w:t>
      </w:r>
    </w:p>
    <w:p>
      <w:pPr>
        <w:pageBreakBefore w:val="0"/>
        <w:widowControl/>
        <w:kinsoku/>
        <w:wordWrap/>
        <w:overflowPunct/>
        <w:topLinePunct w:val="0"/>
        <w:bidi w:val="0"/>
        <w:adjustRightInd w:val="0"/>
        <w:snapToGrid w:val="0"/>
        <w:spacing w:beforeAutospacing="0" w:afterAutospacing="0" w:line="576" w:lineRule="exact"/>
        <w:ind w:leftChars="0" w:firstLine="720"/>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“三公”经费支出情况：202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“三公”经费支出总额为0</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元，公务用车运行维护费为0</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，原因是单位无公车，平时业务用车是申请单位的编纂工作经费和办公经费租赁车辆。202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年预算编制公务接待费0.0</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年公务接待费决算数为0</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元。</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lang w:val="zh-CN"/>
        </w:rPr>
        <w:t>履职效能</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履职效能主要体现在：一是</w:t>
      </w:r>
      <w:r>
        <w:rPr>
          <w:rFonts w:hint="eastAsia" w:ascii="仿宋_GB2312" w:hAnsi="仿宋_GB2312" w:eastAsia="仿宋_GB2312" w:cs="仿宋_GB2312"/>
          <w:kern w:val="0"/>
          <w:sz w:val="32"/>
          <w:szCs w:val="32"/>
        </w:rPr>
        <w:t>征集、整理县委重要党史资料</w:t>
      </w:r>
      <w:r>
        <w:rPr>
          <w:rFonts w:hint="eastAsia" w:ascii="仿宋_GB2312" w:hAnsi="仿宋_GB2312" w:eastAsia="仿宋_GB2312" w:cs="仿宋_GB2312"/>
          <w:kern w:val="0"/>
          <w:sz w:val="32"/>
          <w:szCs w:val="32"/>
          <w:lang w:eastAsia="zh-CN"/>
        </w:rPr>
        <w:t>，完成每年一卷的《中国共产党茂县执政实录》的资料收集</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kern w:val="0"/>
          <w:sz w:val="32"/>
          <w:szCs w:val="32"/>
          <w:lang w:eastAsia="zh-CN"/>
        </w:rPr>
        <w:t>二是</w:t>
      </w:r>
      <w:r>
        <w:rPr>
          <w:rFonts w:hint="eastAsia" w:ascii="仿宋_GB2312" w:hAnsi="仿宋_GB2312" w:eastAsia="仿宋_GB2312" w:cs="仿宋_GB2312"/>
          <w:kern w:val="0"/>
          <w:sz w:val="32"/>
          <w:szCs w:val="32"/>
        </w:rPr>
        <w:t>收集整理重要口述历史资料、重要党史人物回忆录，搜集有关中共党史、中共地方党史的信息资料</w:t>
      </w:r>
      <w:r>
        <w:rPr>
          <w:rFonts w:hint="eastAsia" w:ascii="仿宋_GB2312" w:hAnsi="仿宋_GB2312" w:eastAsia="仿宋_GB2312" w:cs="仿宋_GB2312"/>
          <w:kern w:val="0"/>
          <w:sz w:val="32"/>
          <w:szCs w:val="32"/>
          <w:lang w:eastAsia="zh-CN"/>
        </w:rPr>
        <w:t>，完成每年一部口述历史片的资料</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kern w:val="0"/>
          <w:sz w:val="32"/>
          <w:szCs w:val="32"/>
          <w:lang w:eastAsia="zh-CN"/>
        </w:rPr>
        <w:t>三是</w:t>
      </w:r>
      <w:r>
        <w:rPr>
          <w:rFonts w:hint="eastAsia" w:ascii="仿宋_GB2312" w:hAnsi="仿宋_GB2312" w:eastAsia="仿宋_GB2312" w:cs="仿宋_GB2312"/>
          <w:kern w:val="0"/>
          <w:sz w:val="32"/>
          <w:szCs w:val="32"/>
        </w:rPr>
        <w:t>组织编纂地方志书、地方综合年鉴和其他相关地情文献</w:t>
      </w:r>
      <w:r>
        <w:rPr>
          <w:rFonts w:hint="eastAsia" w:ascii="仿宋_GB2312" w:hAnsi="仿宋_GB2312" w:eastAsia="仿宋_GB2312" w:cs="仿宋_GB2312"/>
          <w:kern w:val="0"/>
          <w:sz w:val="32"/>
          <w:szCs w:val="32"/>
          <w:lang w:eastAsia="zh-CN"/>
        </w:rPr>
        <w:t>，完成每年一卷《茂县年鉴》资料收集以及镇（乡）、村、志书资料收集。</w:t>
      </w:r>
    </w:p>
    <w:p>
      <w:pPr>
        <w:pageBreakBefore w:val="0"/>
        <w:numPr>
          <w:ilvl w:val="0"/>
          <w:numId w:val="0"/>
        </w:numPr>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2.预算管理</w:t>
      </w:r>
    </w:p>
    <w:p>
      <w:pPr>
        <w:pageBreakBefore w:val="0"/>
        <w:widowControl/>
        <w:kinsoku/>
        <w:wordWrap/>
        <w:overflowPunct/>
        <w:topLinePunct w:val="0"/>
        <w:bidi w:val="0"/>
        <w:adjustRightInd w:val="0"/>
        <w:snapToGrid w:val="0"/>
        <w:spacing w:beforeAutospacing="0" w:afterAutospacing="0" w:line="576" w:lineRule="exact"/>
        <w:ind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color w:val="000000"/>
          <w:kern w:val="0"/>
          <w:sz w:val="32"/>
          <w:szCs w:val="32"/>
          <w:shd w:val="clear" w:color="auto" w:fill="FFFFFF"/>
          <w:lang w:val="zh-CN"/>
        </w:rPr>
        <w:t>我单位在预决算编制上做到认真、负责、按时按规定报送。严格按要求编制本单位的部门预算，编制预算时做到有文件有依据，严格控制一般性支出。</w:t>
      </w:r>
      <w:r>
        <w:rPr>
          <w:rFonts w:hint="eastAsia" w:ascii="仿宋_GB2312" w:hAnsi="仿宋_GB2312" w:eastAsia="仿宋_GB2312" w:cs="仿宋_GB2312"/>
          <w:color w:val="000000"/>
          <w:kern w:val="0"/>
          <w:sz w:val="32"/>
          <w:szCs w:val="32"/>
          <w:shd w:val="clear" w:color="auto" w:fill="FFFFFF"/>
          <w:lang w:val="en-US" w:eastAsia="zh-CN"/>
        </w:rPr>
        <w:t>2024</w:t>
      </w:r>
      <w:r>
        <w:rPr>
          <w:rFonts w:hint="eastAsia" w:ascii="仿宋_GB2312" w:hAnsi="仿宋_GB2312" w:eastAsia="仿宋_GB2312" w:cs="仿宋_GB2312"/>
          <w:color w:val="000000"/>
          <w:kern w:val="0"/>
          <w:sz w:val="32"/>
          <w:szCs w:val="32"/>
          <w:shd w:val="clear" w:color="auto" w:fill="FFFFFF"/>
          <w:lang w:val="zh-CN"/>
        </w:rPr>
        <w:t>年我单位部门预算收入总数为</w:t>
      </w:r>
      <w:r>
        <w:rPr>
          <w:rFonts w:hint="eastAsia" w:ascii="仿宋_GB2312" w:hAnsi="仿宋_GB2312" w:eastAsia="仿宋_GB2312" w:cs="仿宋_GB2312"/>
          <w:color w:val="000000"/>
          <w:kern w:val="0"/>
          <w:sz w:val="32"/>
          <w:szCs w:val="32"/>
          <w:shd w:val="clear" w:color="auto" w:fill="FFFFFF"/>
          <w:lang w:val="en-US" w:eastAsia="zh-CN"/>
        </w:rPr>
        <w:t>22.61万</w:t>
      </w:r>
      <w:r>
        <w:rPr>
          <w:rFonts w:hint="eastAsia" w:ascii="仿宋_GB2312" w:hAnsi="仿宋_GB2312" w:eastAsia="仿宋_GB2312" w:cs="仿宋_GB2312"/>
          <w:color w:val="000000"/>
          <w:kern w:val="0"/>
          <w:sz w:val="32"/>
          <w:szCs w:val="32"/>
          <w:shd w:val="clear" w:color="auto" w:fill="FFFFFF"/>
          <w:lang w:val="zh-CN"/>
        </w:rPr>
        <w:t>元，调整预算收入总数为</w:t>
      </w:r>
      <w:r>
        <w:rPr>
          <w:rFonts w:hint="eastAsia" w:ascii="仿宋_GB2312" w:hAnsi="仿宋_GB2312" w:eastAsia="仿宋_GB2312" w:cs="仿宋_GB2312"/>
          <w:color w:val="000000"/>
          <w:kern w:val="0"/>
          <w:sz w:val="32"/>
          <w:szCs w:val="32"/>
          <w:shd w:val="clear" w:color="auto" w:fill="FFFFFF"/>
          <w:lang w:val="en-US" w:eastAsia="zh-CN"/>
        </w:rPr>
        <w:t>22.61万</w:t>
      </w:r>
      <w:r>
        <w:rPr>
          <w:rFonts w:hint="eastAsia" w:ascii="仿宋_GB2312" w:hAnsi="仿宋_GB2312" w:eastAsia="仿宋_GB2312" w:cs="仿宋_GB2312"/>
          <w:color w:val="000000"/>
          <w:kern w:val="0"/>
          <w:sz w:val="32"/>
          <w:szCs w:val="32"/>
          <w:shd w:val="clear" w:color="auto" w:fill="FFFFFF"/>
          <w:lang w:val="zh-CN"/>
        </w:rPr>
        <w:t>元；20</w:t>
      </w:r>
      <w:r>
        <w:rPr>
          <w:rFonts w:hint="eastAsia" w:ascii="仿宋_GB2312" w:hAnsi="仿宋_GB2312" w:eastAsia="仿宋_GB2312" w:cs="仿宋_GB2312"/>
          <w:color w:val="000000"/>
          <w:kern w:val="0"/>
          <w:sz w:val="32"/>
          <w:szCs w:val="32"/>
          <w:shd w:val="clear" w:color="auto" w:fill="FFFFFF"/>
          <w:lang w:val="en-US" w:eastAsia="zh-CN"/>
        </w:rPr>
        <w:t>24</w:t>
      </w:r>
      <w:r>
        <w:rPr>
          <w:rFonts w:hint="eastAsia" w:ascii="仿宋_GB2312" w:hAnsi="仿宋_GB2312" w:eastAsia="仿宋_GB2312" w:cs="仿宋_GB2312"/>
          <w:color w:val="000000"/>
          <w:kern w:val="0"/>
          <w:sz w:val="32"/>
          <w:szCs w:val="32"/>
          <w:shd w:val="clear" w:color="auto" w:fill="FFFFFF"/>
          <w:lang w:val="zh-CN"/>
        </w:rPr>
        <w:t>年部门预算支出总数是</w:t>
      </w:r>
      <w:r>
        <w:rPr>
          <w:rFonts w:hint="eastAsia" w:ascii="仿宋_GB2312" w:hAnsi="仿宋_GB2312" w:eastAsia="仿宋_GB2312" w:cs="仿宋_GB2312"/>
          <w:color w:val="000000"/>
          <w:kern w:val="0"/>
          <w:sz w:val="32"/>
          <w:szCs w:val="32"/>
          <w:shd w:val="clear" w:color="auto" w:fill="FFFFFF"/>
          <w:lang w:val="en-US" w:eastAsia="zh-CN"/>
        </w:rPr>
        <w:t>22.61万</w:t>
      </w:r>
      <w:r>
        <w:rPr>
          <w:rFonts w:hint="eastAsia" w:ascii="仿宋_GB2312" w:hAnsi="仿宋_GB2312" w:eastAsia="仿宋_GB2312" w:cs="仿宋_GB2312"/>
          <w:color w:val="000000"/>
          <w:kern w:val="0"/>
          <w:sz w:val="32"/>
          <w:szCs w:val="32"/>
          <w:shd w:val="clear" w:color="auto" w:fill="FFFFFF"/>
          <w:lang w:val="zh-CN"/>
        </w:rPr>
        <w:t>元，调整决算支出总数为</w:t>
      </w:r>
      <w:r>
        <w:rPr>
          <w:rFonts w:hint="eastAsia" w:ascii="仿宋_GB2312" w:hAnsi="仿宋_GB2312" w:eastAsia="仿宋_GB2312" w:cs="仿宋_GB2312"/>
          <w:color w:val="000000"/>
          <w:kern w:val="0"/>
          <w:sz w:val="32"/>
          <w:szCs w:val="32"/>
          <w:shd w:val="clear" w:color="auto" w:fill="FFFFFF"/>
          <w:lang w:val="en-US" w:eastAsia="zh-CN"/>
        </w:rPr>
        <w:t>22.61万</w:t>
      </w:r>
      <w:r>
        <w:rPr>
          <w:rFonts w:hint="eastAsia" w:ascii="仿宋_GB2312" w:hAnsi="仿宋_GB2312" w:eastAsia="仿宋_GB2312" w:cs="仿宋_GB2312"/>
          <w:color w:val="000000"/>
          <w:kern w:val="0"/>
          <w:sz w:val="32"/>
          <w:szCs w:val="32"/>
          <w:shd w:val="clear" w:color="auto" w:fill="FFFFFF"/>
          <w:lang w:val="zh-CN"/>
        </w:rPr>
        <w:t>元，</w:t>
      </w:r>
      <w:r>
        <w:rPr>
          <w:rFonts w:hint="eastAsia" w:ascii="仿宋_GB2312" w:hAnsi="仿宋_GB2312" w:eastAsia="仿宋_GB2312" w:cs="仿宋_GB2312"/>
          <w:sz w:val="32"/>
          <w:szCs w:val="32"/>
          <w:lang w:eastAsia="zh-CN"/>
        </w:rPr>
        <w:t>占预算</w:t>
      </w:r>
      <w:r>
        <w:rPr>
          <w:rFonts w:hint="eastAsia" w:ascii="仿宋_GB2312" w:hAnsi="仿宋_GB2312" w:eastAsia="仿宋_GB2312" w:cs="仿宋_GB2312"/>
          <w:sz w:val="32"/>
          <w:szCs w:val="32"/>
          <w:lang w:val="en-US" w:eastAsia="zh-CN"/>
        </w:rPr>
        <w:t>100%。</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资金支出执行进度正常，能按要求及时支付，年终预算无结余结转，全部完成年初预算。厉行节约，严控一般性支出，做到“三公”经费只减不增。</w:t>
      </w:r>
    </w:p>
    <w:p>
      <w:pPr>
        <w:pageBreakBefore w:val="0"/>
        <w:numPr>
          <w:ilvl w:val="0"/>
          <w:numId w:val="0"/>
        </w:numPr>
        <w:kinsoku/>
        <w:wordWrap/>
        <w:overflowPunct/>
        <w:topLinePunct w:val="0"/>
        <w:bidi w:val="0"/>
        <w:adjustRightInd w:val="0"/>
        <w:snapToGrid w:val="0"/>
        <w:spacing w:beforeAutospacing="0" w:afterAutospacing="0" w:line="576" w:lineRule="exact"/>
        <w:ind w:leftChars="0"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en-US" w:eastAsia="zh-CN"/>
        </w:rPr>
        <w:t>3.</w:t>
      </w:r>
      <w:r>
        <w:rPr>
          <w:rFonts w:hint="eastAsia" w:ascii="仿宋_GB2312" w:hAnsi="仿宋_GB2312" w:eastAsia="仿宋_GB2312" w:cs="仿宋_GB2312"/>
          <w:color w:val="000000"/>
          <w:kern w:val="0"/>
          <w:sz w:val="32"/>
          <w:szCs w:val="32"/>
          <w:shd w:val="clear" w:color="auto" w:fill="FFFFFF"/>
          <w:lang w:val="zh-CN"/>
        </w:rPr>
        <w:t>财务管理</w:t>
      </w:r>
    </w:p>
    <w:p>
      <w:pPr>
        <w:pageBreakBefore w:val="0"/>
        <w:kinsoku/>
        <w:wordWrap/>
        <w:overflowPunct/>
        <w:topLinePunct w:val="0"/>
        <w:bidi w:val="0"/>
        <w:adjustRightInd w:val="0"/>
        <w:snapToGrid w:val="0"/>
        <w:spacing w:beforeAutospacing="0" w:afterAutospacing="0" w:line="576" w:lineRule="exact"/>
        <w:ind w:leftChars="0"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zh-CN"/>
        </w:rPr>
        <w:t>单位建立了相关的财务管理制度，设立了出纳岗和会计岗，配备了相应的财务人员。</w:t>
      </w:r>
      <w:r>
        <w:rPr>
          <w:rFonts w:hint="eastAsia" w:ascii="仿宋_GB2312" w:hAnsi="仿宋_GB2312" w:eastAsia="仿宋_GB2312" w:cs="仿宋_GB2312"/>
          <w:color w:val="000000"/>
          <w:sz w:val="32"/>
          <w:szCs w:val="32"/>
        </w:rPr>
        <w:t>在财务管理方面，经费支出实行</w:t>
      </w:r>
      <w:r>
        <w:rPr>
          <w:rFonts w:hint="eastAsia" w:ascii="仿宋_GB2312" w:hAnsi="仿宋_GB2312" w:eastAsia="仿宋_GB2312" w:cs="仿宋_GB2312"/>
          <w:color w:val="000000"/>
          <w:sz w:val="32"/>
          <w:szCs w:val="32"/>
          <w:lang w:eastAsia="zh-CN"/>
        </w:rPr>
        <w:t>严格</w:t>
      </w:r>
      <w:r>
        <w:rPr>
          <w:rFonts w:hint="eastAsia" w:ascii="仿宋_GB2312" w:hAnsi="仿宋_GB2312" w:eastAsia="仿宋_GB2312" w:cs="仿宋_GB2312"/>
          <w:color w:val="000000"/>
          <w:sz w:val="32"/>
          <w:szCs w:val="32"/>
        </w:rPr>
        <w:t>审批制度，严格预算原则。严格控制基本经费支出，加强对日常经费开支的管理。</w:t>
      </w:r>
      <w:r>
        <w:rPr>
          <w:rFonts w:hint="eastAsia" w:ascii="仿宋_GB2312" w:hAnsi="仿宋_GB2312" w:eastAsia="仿宋_GB2312" w:cs="仿宋_GB2312"/>
          <w:color w:val="000000"/>
          <w:sz w:val="32"/>
          <w:szCs w:val="32"/>
          <w:lang w:eastAsia="zh-CN"/>
        </w:rPr>
        <w:t>严禁超预算支出。</w:t>
      </w:r>
      <w:r>
        <w:rPr>
          <w:rFonts w:hint="eastAsia" w:ascii="仿宋_GB2312" w:hAnsi="仿宋_GB2312" w:eastAsia="仿宋_GB2312" w:cs="仿宋_GB2312"/>
          <w:color w:val="000000"/>
          <w:sz w:val="32"/>
          <w:szCs w:val="32"/>
        </w:rPr>
        <w:t>加大对公务卡的使用管理，严格按照公务卡结算目录的要求使用公务卡。</w:t>
      </w:r>
      <w:r>
        <w:rPr>
          <w:rFonts w:hint="eastAsia" w:ascii="仿宋_GB2312" w:hAnsi="仿宋_GB2312" w:eastAsia="仿宋_GB2312" w:cs="仿宋_GB2312"/>
          <w:color w:val="000000"/>
          <w:sz w:val="32"/>
          <w:szCs w:val="32"/>
          <w:lang w:eastAsia="zh-CN"/>
        </w:rPr>
        <w:t>资金使用符合相关的财务管理规定。</w:t>
      </w:r>
      <w:r>
        <w:rPr>
          <w:rFonts w:hint="eastAsia" w:ascii="仿宋_GB2312" w:hAnsi="仿宋_GB2312" w:eastAsia="仿宋_GB2312" w:cs="仿宋_GB2312"/>
          <w:color w:val="000000"/>
          <w:kern w:val="0"/>
          <w:sz w:val="32"/>
          <w:szCs w:val="32"/>
          <w:shd w:val="clear" w:color="auto" w:fill="FFFFFF"/>
          <w:lang w:val="en-US" w:eastAsia="zh-CN"/>
        </w:rPr>
        <w:t xml:space="preserve"> </w:t>
      </w:r>
    </w:p>
    <w:p>
      <w:pPr>
        <w:pageBreakBefore w:val="0"/>
        <w:numPr>
          <w:ilvl w:val="0"/>
          <w:numId w:val="0"/>
        </w:numPr>
        <w:kinsoku/>
        <w:wordWrap/>
        <w:overflowPunct/>
        <w:topLinePunct w:val="0"/>
        <w:bidi w:val="0"/>
        <w:adjustRightInd w:val="0"/>
        <w:snapToGrid w:val="0"/>
        <w:spacing w:beforeAutospacing="0" w:afterAutospacing="0" w:line="576" w:lineRule="exact"/>
        <w:ind w:leftChars="0"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4.</w:t>
      </w:r>
      <w:r>
        <w:rPr>
          <w:rFonts w:hint="eastAsia" w:ascii="仿宋_GB2312" w:hAnsi="仿宋_GB2312" w:eastAsia="仿宋_GB2312" w:cs="仿宋_GB2312"/>
          <w:color w:val="000000"/>
          <w:kern w:val="0"/>
          <w:sz w:val="32"/>
          <w:szCs w:val="32"/>
          <w:shd w:val="clear" w:color="auto" w:fill="FFFFFF"/>
          <w:lang w:val="zh-CN"/>
        </w:rPr>
        <w:t>资产管理</w:t>
      </w:r>
    </w:p>
    <w:p>
      <w:pPr>
        <w:pageBreakBefore w:val="0"/>
        <w:numPr>
          <w:ilvl w:val="0"/>
          <w:numId w:val="0"/>
        </w:numPr>
        <w:kinsoku/>
        <w:wordWrap/>
        <w:overflowPunct/>
        <w:topLinePunct w:val="0"/>
        <w:bidi w:val="0"/>
        <w:adjustRightInd w:val="0"/>
        <w:snapToGrid w:val="0"/>
        <w:spacing w:beforeAutospacing="0" w:afterAutospacing="0" w:line="576" w:lineRule="exact"/>
        <w:ind w:leftChars="0"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sz w:val="32"/>
          <w:szCs w:val="32"/>
        </w:rPr>
        <w:t>在</w:t>
      </w:r>
      <w:r>
        <w:rPr>
          <w:rFonts w:hint="eastAsia" w:ascii="仿宋_GB2312" w:hAnsi="仿宋_GB2312" w:eastAsia="仿宋_GB2312" w:cs="仿宋_GB2312"/>
          <w:color w:val="000000"/>
          <w:sz w:val="32"/>
          <w:szCs w:val="32"/>
          <w:lang w:val="en-US" w:eastAsia="zh-CN"/>
        </w:rPr>
        <w:t>2024年我单位人均资产变化率低，</w:t>
      </w:r>
      <w:r>
        <w:rPr>
          <w:rFonts w:hint="eastAsia" w:ascii="仿宋_GB2312" w:hAnsi="仿宋_GB2312" w:eastAsia="仿宋_GB2312" w:cs="仿宋_GB2312"/>
          <w:color w:val="000000"/>
          <w:kern w:val="0"/>
          <w:sz w:val="32"/>
          <w:szCs w:val="32"/>
          <w:shd w:val="clear" w:color="auto" w:fill="FFFFFF"/>
          <w:lang w:val="en-US" w:eastAsia="zh-CN"/>
        </w:rPr>
        <w:t>资产利用率高</w:t>
      </w:r>
      <w:r>
        <w:rPr>
          <w:rFonts w:hint="eastAsia" w:ascii="仿宋_GB2312" w:hAnsi="仿宋_GB2312" w:eastAsia="仿宋_GB2312" w:cs="仿宋_GB2312"/>
          <w:b w:val="0"/>
          <w:bCs w:val="0"/>
          <w:color w:val="000000"/>
          <w:kern w:val="0"/>
          <w:sz w:val="32"/>
          <w:szCs w:val="32"/>
          <w:shd w:val="clear" w:color="auto" w:fill="FFFFFF"/>
          <w:lang w:val="en-US" w:eastAsia="zh-CN"/>
        </w:rPr>
        <w:t>，</w:t>
      </w:r>
      <w:r>
        <w:rPr>
          <w:rFonts w:hint="eastAsia" w:ascii="仿宋_GB2312" w:hAnsi="仿宋_GB2312" w:eastAsia="仿宋_GB2312" w:cs="仿宋_GB2312"/>
          <w:color w:val="000000"/>
          <w:kern w:val="0"/>
          <w:sz w:val="32"/>
          <w:szCs w:val="32"/>
          <w:shd w:val="clear" w:color="auto" w:fill="FFFFFF"/>
          <w:lang w:val="en-US" w:eastAsia="zh-CN"/>
        </w:rPr>
        <w:t>无闲置资产，使用率100%。资产购置、使用、保管和报废严格按照资产管理办法执行，定期盘点，确保账账相符。</w:t>
      </w:r>
    </w:p>
    <w:p>
      <w:pPr>
        <w:pageBreakBefore w:val="0"/>
        <w:numPr>
          <w:ilvl w:val="0"/>
          <w:numId w:val="0"/>
        </w:numPr>
        <w:kinsoku/>
        <w:wordWrap/>
        <w:overflowPunct/>
        <w:topLinePunct w:val="0"/>
        <w:bidi w:val="0"/>
        <w:adjustRightInd w:val="0"/>
        <w:snapToGrid w:val="0"/>
        <w:spacing w:beforeAutospacing="0" w:afterAutospacing="0" w:line="576" w:lineRule="exact"/>
        <w:ind w:leftChars="0"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en-US" w:eastAsia="zh-CN"/>
        </w:rPr>
        <w:t>5.</w:t>
      </w:r>
      <w:r>
        <w:rPr>
          <w:rFonts w:hint="eastAsia" w:ascii="仿宋_GB2312" w:hAnsi="仿宋_GB2312" w:eastAsia="仿宋_GB2312" w:cs="仿宋_GB2312"/>
          <w:color w:val="000000"/>
          <w:kern w:val="0"/>
          <w:sz w:val="32"/>
          <w:szCs w:val="32"/>
          <w:shd w:val="clear" w:color="auto" w:fill="FFFFFF"/>
          <w:lang w:val="zh-CN"/>
        </w:rPr>
        <w:t>采购管理</w:t>
      </w:r>
    </w:p>
    <w:p>
      <w:pPr>
        <w:pageBreakBefore w:val="0"/>
        <w:numPr>
          <w:ilvl w:val="0"/>
          <w:numId w:val="0"/>
        </w:numPr>
        <w:kinsoku/>
        <w:wordWrap/>
        <w:overflowPunct/>
        <w:topLinePunct w:val="0"/>
        <w:bidi w:val="0"/>
        <w:adjustRightInd w:val="0"/>
        <w:snapToGrid w:val="0"/>
        <w:spacing w:beforeAutospacing="0" w:afterAutospacing="0" w:line="576" w:lineRule="exact"/>
        <w:ind w:leftChars="0"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我单位的采购主要是采用询价的方式进行，采购严格按照相关的文件进行。项目在单位的监管下按合同正常推进完成，采购执行率高。</w:t>
      </w:r>
    </w:p>
    <w:p>
      <w:pPr>
        <w:pageBreakBefore w:val="0"/>
        <w:widowControl/>
        <w:kinsoku/>
        <w:wordWrap/>
        <w:overflowPunct/>
        <w:topLinePunct w:val="0"/>
        <w:bidi w:val="0"/>
        <w:adjustRightInd w:val="0"/>
        <w:snapToGrid w:val="0"/>
        <w:spacing w:beforeAutospacing="0" w:afterAutospacing="0" w:line="576" w:lineRule="exact"/>
        <w:ind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rPr>
      </w:pPr>
      <w:r>
        <w:rPr>
          <w:rFonts w:hint="eastAsia" w:ascii="楷体_GB2312" w:hAnsi="楷体_GB2312" w:eastAsia="楷体_GB2312" w:cs="楷体_GB2312"/>
          <w:b/>
          <w:bCs/>
          <w:color w:val="000000"/>
          <w:kern w:val="0"/>
          <w:sz w:val="32"/>
          <w:szCs w:val="32"/>
          <w:shd w:val="clear" w:color="auto" w:fill="FFFFFF"/>
          <w:lang w:val="zh-CN"/>
        </w:rPr>
        <w:t>（二）部门预算项目绩效分析</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常年项目绩效分析。该类项目总数</w:t>
      </w:r>
      <w:r>
        <w:rPr>
          <w:rFonts w:hint="eastAsia" w:ascii="仿宋_GB2312" w:hAnsi="仿宋_GB2312" w:eastAsia="仿宋_GB2312" w:cs="仿宋_GB2312"/>
          <w:b w:val="0"/>
          <w:bCs w:val="0"/>
          <w:sz w:val="32"/>
          <w:szCs w:val="32"/>
          <w:lang w:val="en-US" w:eastAsia="zh-CN"/>
        </w:rPr>
        <w:t>10</w:t>
      </w:r>
      <w:r>
        <w:rPr>
          <w:rFonts w:hint="eastAsia" w:ascii="仿宋_GB2312" w:hAnsi="仿宋_GB2312" w:eastAsia="仿宋_GB2312" w:cs="仿宋_GB2312"/>
          <w:b w:val="0"/>
          <w:bCs w:val="0"/>
          <w:sz w:val="32"/>
          <w:szCs w:val="32"/>
          <w:lang w:eastAsia="zh-CN"/>
        </w:rPr>
        <w:t>个，涉及预算总金额</w:t>
      </w:r>
      <w:r>
        <w:rPr>
          <w:rFonts w:hint="eastAsia" w:ascii="仿宋_GB2312" w:hAnsi="仿宋_GB2312" w:eastAsia="仿宋_GB2312" w:cs="仿宋_GB2312"/>
          <w:b w:val="0"/>
          <w:bCs w:val="0"/>
          <w:sz w:val="32"/>
          <w:szCs w:val="32"/>
          <w:lang w:val="en-US" w:eastAsia="zh-CN"/>
        </w:rPr>
        <w:t>22.61</w:t>
      </w:r>
      <w:r>
        <w:rPr>
          <w:rFonts w:hint="eastAsia" w:ascii="仿宋_GB2312" w:hAnsi="仿宋_GB2312" w:eastAsia="仿宋_GB2312" w:cs="仿宋_GB2312"/>
          <w:b w:val="0"/>
          <w:bCs w:val="0"/>
          <w:sz w:val="32"/>
          <w:szCs w:val="32"/>
          <w:lang w:eastAsia="zh-CN"/>
        </w:rPr>
        <w:t>万元，实际支付</w:t>
      </w:r>
      <w:r>
        <w:rPr>
          <w:rFonts w:hint="eastAsia" w:ascii="仿宋_GB2312" w:hAnsi="仿宋_GB2312" w:eastAsia="仿宋_GB2312" w:cs="仿宋_GB2312"/>
          <w:b w:val="0"/>
          <w:bCs w:val="0"/>
          <w:sz w:val="32"/>
          <w:szCs w:val="32"/>
          <w:lang w:val="en-US" w:eastAsia="zh-CN"/>
        </w:rPr>
        <w:t>22.61</w:t>
      </w:r>
      <w:r>
        <w:rPr>
          <w:rFonts w:hint="eastAsia" w:ascii="仿宋_GB2312" w:hAnsi="仿宋_GB2312" w:eastAsia="仿宋_GB2312" w:cs="仿宋_GB2312"/>
          <w:b w:val="0"/>
          <w:bCs w:val="0"/>
          <w:sz w:val="32"/>
          <w:szCs w:val="32"/>
          <w:lang w:eastAsia="zh-CN"/>
        </w:rPr>
        <w:t>万元。1—12月预算执行总体进度为 100 %，其中：预算结余率大于10%的项目共计0个。</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阶段（一次性）项目绩效分析。该类项目总数</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lang w:eastAsia="zh-CN"/>
        </w:rPr>
        <w:t>个，涉及预算总金额</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lang w:eastAsia="zh-CN"/>
        </w:rPr>
        <w:t>万元，其中：预算结余率大于10%的项目共计0个。</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1.项目决策。部门预算项目设立按规定履行评估论证、申报程序，部门预算项目绩效目标与计划期内的任务量、预算安排的资金一致，绩效目标设置科学合理、规范完整、量化细化、预算匹配，部门预算项目均在规定时间完成项目入库。</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2.项目执行。部门预算项目实际列支内容与绩效目标设置方向相符，部门预算项目没有采取对应调整措施。常年项目绩效分析,该类项目总数10个，涉及预算总金额22.61万元;阶段（一次性）项目绩效分析,该类项目总数0个，涉及预算总金额0万元，其中：预算结余率大于10%的项目共计0个。</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3.目标实现。常年项目支出绩效自评结果良好，项目如期完成了预定的绩效目标。</w:t>
      </w:r>
    </w:p>
    <w:p>
      <w:pPr>
        <w:pageBreakBefore w:val="0"/>
        <w:numPr>
          <w:ilvl w:val="0"/>
          <w:numId w:val="0"/>
        </w:numPr>
        <w:kinsoku/>
        <w:wordWrap/>
        <w:overflowPunct/>
        <w:topLinePunct w:val="0"/>
        <w:bidi w:val="0"/>
        <w:spacing w:beforeAutospacing="0" w:afterAutospacing="0" w:line="576" w:lineRule="exact"/>
        <w:ind w:leftChars="0" w:firstLine="642"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（三）重点领域绩效分析</w:t>
      </w:r>
    </w:p>
    <w:p>
      <w:pPr>
        <w:pageBreakBefore w:val="0"/>
        <w:numPr>
          <w:ilvl w:val="0"/>
          <w:numId w:val="0"/>
        </w:numPr>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2024年茂县地情资料收集整理中心不</w:t>
      </w:r>
      <w:r>
        <w:rPr>
          <w:rFonts w:hint="eastAsia" w:ascii="仿宋_GB2312" w:hAnsi="仿宋_GB2312" w:eastAsia="仿宋_GB2312" w:cs="仿宋_GB2312"/>
          <w:sz w:val="32"/>
          <w:szCs w:val="32"/>
        </w:rPr>
        <w:t>涉及国有资本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行政事业性国有资产</w:t>
      </w:r>
      <w:r>
        <w:rPr>
          <w:rFonts w:hint="eastAsia" w:ascii="仿宋_GB2312" w:hAnsi="仿宋_GB2312" w:eastAsia="仿宋_GB2312" w:cs="仿宋_GB2312"/>
          <w:color w:val="000000"/>
          <w:kern w:val="0"/>
          <w:sz w:val="32"/>
          <w:szCs w:val="32"/>
          <w:shd w:val="clear" w:color="auto" w:fill="FFFFFF"/>
          <w:lang w:val="en-US" w:eastAsia="zh-CN"/>
        </w:rPr>
        <w:t>利用率达</w:t>
      </w:r>
      <w:r>
        <w:rPr>
          <w:rFonts w:hint="eastAsia" w:ascii="仿宋_GB2312" w:hAnsi="仿宋_GB2312" w:eastAsia="仿宋_GB2312" w:cs="仿宋_GB2312"/>
          <w:b w:val="0"/>
          <w:bCs w:val="0"/>
          <w:color w:val="000000"/>
          <w:kern w:val="0"/>
          <w:sz w:val="32"/>
          <w:szCs w:val="32"/>
          <w:shd w:val="clear" w:color="auto" w:fill="FFFFFF"/>
          <w:lang w:val="en-US" w:eastAsia="zh-CN"/>
        </w:rPr>
        <w:t>100%，</w:t>
      </w:r>
      <w:r>
        <w:rPr>
          <w:rFonts w:hint="eastAsia" w:ascii="仿宋_GB2312" w:hAnsi="仿宋_GB2312" w:eastAsia="仿宋_GB2312" w:cs="仿宋_GB2312"/>
          <w:color w:val="000000"/>
          <w:kern w:val="0"/>
          <w:sz w:val="32"/>
          <w:szCs w:val="32"/>
          <w:shd w:val="clear" w:color="auto" w:fill="FFFFFF"/>
          <w:lang w:val="en-US" w:eastAsia="zh-CN"/>
        </w:rPr>
        <w:t>无闲置资产。</w:t>
      </w:r>
    </w:p>
    <w:p>
      <w:pPr>
        <w:pageBreakBefore w:val="0"/>
        <w:widowControl/>
        <w:kinsoku/>
        <w:wordWrap/>
        <w:overflowPunct/>
        <w:topLinePunct w:val="0"/>
        <w:bidi w:val="0"/>
        <w:adjustRightInd w:val="0"/>
        <w:snapToGrid w:val="0"/>
        <w:spacing w:beforeAutospacing="0" w:afterAutospacing="0" w:line="576" w:lineRule="exact"/>
        <w:ind w:leftChars="0"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（四）绩效结果应用情况</w:t>
      </w:r>
    </w:p>
    <w:p>
      <w:pPr>
        <w:pageBreakBefore w:val="0"/>
        <w:widowControl/>
        <w:kinsoku/>
        <w:wordWrap/>
        <w:overflowPunct/>
        <w:topLinePunct w:val="0"/>
        <w:bidi w:val="0"/>
        <w:adjustRightInd w:val="0"/>
        <w:snapToGrid w:val="0"/>
        <w:spacing w:beforeAutospacing="0" w:afterAutospacing="0" w:line="576" w:lineRule="exact"/>
        <w:ind w:leftChars="0" w:firstLine="640" w:firstLineChars="200"/>
        <w:contextualSpacing/>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财政支出绩效评价结果的运用是判断评价工作能否取得成效的主要依据，结合2024年度绩效自评结果，一是对评价结果优秀且绩效突出的，总结相关工作经验，并在安排后续资金时给与充分保障。二是对下一步需要改进的工作，在对存在的问题整改后，转变相关工作思路，提升工作效率。</w:t>
      </w:r>
    </w:p>
    <w:p>
      <w:pPr>
        <w:pageBreakBefore w:val="0"/>
        <w:widowControl/>
        <w:kinsoku/>
        <w:wordWrap/>
        <w:overflowPunct/>
        <w:topLinePunct w:val="0"/>
        <w:bidi w:val="0"/>
        <w:adjustRightInd w:val="0"/>
        <w:snapToGrid w:val="0"/>
        <w:spacing w:beforeAutospacing="0" w:afterAutospacing="0" w:line="576" w:lineRule="exact"/>
        <w:ind w:leftChars="0" w:firstLine="640" w:firstLineChars="200"/>
        <w:contextualSpacing/>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pageBreakBefore w:val="0"/>
        <w:widowControl/>
        <w:kinsoku/>
        <w:wordWrap/>
        <w:overflowPunct/>
        <w:topLinePunct w:val="0"/>
        <w:bidi w:val="0"/>
        <w:adjustRightInd w:val="0"/>
        <w:snapToGrid w:val="0"/>
        <w:spacing w:beforeAutospacing="0" w:afterAutospacing="0" w:line="576" w:lineRule="exact"/>
        <w:ind w:leftChars="0"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（一）评价结论</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sz w:val="32"/>
          <w:szCs w:val="32"/>
        </w:rPr>
        <w:t>评价</w:t>
      </w:r>
      <w:r>
        <w:rPr>
          <w:rFonts w:hint="eastAsia" w:ascii="仿宋_GB2312" w:hAnsi="仿宋_GB2312" w:eastAsia="仿宋_GB2312" w:cs="仿宋_GB2312"/>
          <w:color w:val="000000"/>
          <w:sz w:val="32"/>
          <w:szCs w:val="32"/>
          <w:lang w:eastAsia="zh-CN"/>
        </w:rPr>
        <w:t>结论</w:t>
      </w:r>
      <w:r>
        <w:rPr>
          <w:rFonts w:hint="eastAsia" w:ascii="仿宋_GB2312" w:hAnsi="仿宋_GB2312" w:eastAsia="仿宋_GB2312" w:cs="仿宋_GB2312"/>
          <w:color w:val="000000"/>
          <w:sz w:val="32"/>
          <w:szCs w:val="32"/>
        </w:rPr>
        <w:t>：茂县地情资料收集整理中心202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年部门整体绩效支出</w:t>
      </w:r>
      <w:r>
        <w:rPr>
          <w:rFonts w:hint="eastAsia" w:ascii="仿宋_GB2312" w:hAnsi="仿宋_GB2312" w:eastAsia="仿宋_GB2312" w:cs="仿宋_GB2312"/>
          <w:color w:val="000000"/>
          <w:sz w:val="32"/>
          <w:szCs w:val="32"/>
          <w:lang w:eastAsia="zh-CN"/>
        </w:rPr>
        <w:t>评价</w:t>
      </w:r>
      <w:r>
        <w:rPr>
          <w:rFonts w:hint="eastAsia" w:ascii="仿宋_GB2312" w:hAnsi="仿宋_GB2312" w:eastAsia="仿宋_GB2312" w:cs="仿宋_GB2312"/>
          <w:color w:val="000000"/>
          <w:sz w:val="32"/>
          <w:szCs w:val="32"/>
        </w:rPr>
        <w:t>显示我中心整体支出严格预算执行，</w:t>
      </w:r>
      <w:r>
        <w:rPr>
          <w:rFonts w:hint="eastAsia" w:ascii="仿宋_GB2312" w:hAnsi="仿宋_GB2312" w:eastAsia="仿宋_GB2312" w:cs="仿宋_GB2312"/>
          <w:color w:val="000000"/>
          <w:sz w:val="32"/>
          <w:szCs w:val="32"/>
          <w:lang w:eastAsia="zh-CN"/>
        </w:rPr>
        <w:t>严格按要求在规定的时间内在茂县门户网站主动公开本单位的预决算信息。</w:t>
      </w:r>
      <w:r>
        <w:rPr>
          <w:rFonts w:hint="eastAsia" w:ascii="仿宋_GB2312" w:hAnsi="仿宋_GB2312" w:eastAsia="仿宋_GB2312" w:cs="仿宋_GB2312"/>
          <w:color w:val="000000"/>
          <w:sz w:val="32"/>
          <w:szCs w:val="32"/>
        </w:rPr>
        <w:t>绩效目标完成情况整体良好</w:t>
      </w:r>
      <w:r>
        <w:rPr>
          <w:rFonts w:hint="eastAsia" w:ascii="仿宋_GB2312" w:hAnsi="仿宋_GB2312" w:eastAsia="仿宋_GB2312" w:cs="仿宋_GB2312"/>
          <w:color w:val="000000"/>
          <w:sz w:val="32"/>
          <w:szCs w:val="32"/>
          <w:lang w:eastAsia="zh-CN"/>
        </w:rPr>
        <w:t>，自评良好</w:t>
      </w:r>
      <w:r>
        <w:rPr>
          <w:rFonts w:hint="eastAsia" w:ascii="仿宋_GB2312" w:hAnsi="仿宋_GB2312" w:eastAsia="仿宋_GB2312" w:cs="仿宋_GB2312"/>
          <w:color w:val="000000"/>
          <w:sz w:val="32"/>
          <w:szCs w:val="32"/>
        </w:rPr>
        <w:t xml:space="preserve">。 </w:t>
      </w:r>
    </w:p>
    <w:p>
      <w:pPr>
        <w:pageBreakBefore w:val="0"/>
        <w:widowControl/>
        <w:numPr>
          <w:ilvl w:val="0"/>
          <w:numId w:val="0"/>
        </w:numPr>
        <w:kinsoku/>
        <w:wordWrap/>
        <w:overflowPunct/>
        <w:topLinePunct w:val="0"/>
        <w:bidi w:val="0"/>
        <w:adjustRightInd w:val="0"/>
        <w:snapToGrid w:val="0"/>
        <w:spacing w:beforeAutospacing="0" w:afterAutospacing="0" w:line="576" w:lineRule="exact"/>
        <w:ind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（二）存在问题</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我单位财务人员均为非财务专业的工作人员。</w:t>
      </w:r>
    </w:p>
    <w:p>
      <w:pPr>
        <w:pageBreakBefore w:val="0"/>
        <w:widowControl/>
        <w:kinsoku/>
        <w:wordWrap/>
        <w:overflowPunct/>
        <w:topLinePunct w:val="0"/>
        <w:bidi w:val="0"/>
        <w:adjustRightInd w:val="0"/>
        <w:snapToGrid w:val="0"/>
        <w:spacing w:beforeAutospacing="0" w:afterAutospacing="0" w:line="576" w:lineRule="exact"/>
        <w:ind w:leftChars="0" w:firstLine="642" w:firstLineChars="200"/>
        <w:contextualSpacing/>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color w:val="000000"/>
          <w:kern w:val="0"/>
          <w:sz w:val="32"/>
          <w:szCs w:val="32"/>
          <w:shd w:val="clear" w:color="auto" w:fill="FFFFFF"/>
          <w:lang w:val="zh-CN"/>
        </w:rPr>
        <w:t>（三）改进建议</w:t>
      </w:r>
    </w:p>
    <w:p>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首先力争有财务专业</w:t>
      </w:r>
      <w:r>
        <w:rPr>
          <w:rFonts w:hint="eastAsia" w:ascii="仿宋_GB2312" w:hAnsi="仿宋_GB2312" w:eastAsia="仿宋_GB2312" w:cs="仿宋_GB2312"/>
          <w:sz w:val="32"/>
          <w:szCs w:val="32"/>
          <w:lang w:eastAsia="zh-CN"/>
        </w:rPr>
        <w:t>背景</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rPr>
        <w:t>从事财务工作，其次是从事财务工作的非财务专业的人员多参加和学习相关的财会培训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加强政府会计制度的学习、交流和培训。</w:t>
      </w:r>
    </w:p>
    <w:bookmarkEnd w:id="89"/>
    <w:bookmarkEnd w:id="90"/>
    <w:bookmarkEnd w:id="95"/>
    <w:p>
      <w:pPr>
        <w:pStyle w:val="2"/>
        <w:pageBreakBefore w:val="0"/>
        <w:numPr>
          <w:ilvl w:val="0"/>
          <w:numId w:val="0"/>
        </w:numPr>
        <w:kinsoku/>
        <w:wordWrap/>
        <w:overflowPunct/>
        <w:topLinePunct w:val="0"/>
        <w:bidi w:val="0"/>
        <w:spacing w:before="0" w:beforeAutospacing="0" w:after="0" w:afterAutospacing="0" w:line="576" w:lineRule="exact"/>
        <w:jc w:val="both"/>
        <w:textAlignment w:val="auto"/>
        <w:rPr>
          <w:rFonts w:hint="eastAsia" w:ascii="方正小标宋简体" w:hAnsi="方正小标宋简体" w:eastAsia="方正小标宋简体" w:cs="方正小标宋简体"/>
          <w:b w:val="0"/>
          <w:bCs w:val="0"/>
        </w:rPr>
      </w:pPr>
    </w:p>
    <w:p>
      <w:pPr>
        <w:rPr>
          <w:rFonts w:hint="eastAsia" w:ascii="方正小标宋简体" w:hAnsi="方正小标宋简体" w:eastAsia="方正小标宋简体" w:cs="方正小标宋简体"/>
          <w:b w:val="0"/>
          <w:bCs w:val="0"/>
        </w:rPr>
      </w:pPr>
    </w:p>
    <w:p>
      <w:pPr>
        <w:rPr>
          <w:rFonts w:hint="eastAsia" w:ascii="方正小标宋简体" w:hAnsi="方正小标宋简体" w:eastAsia="方正小标宋简体" w:cs="方正小标宋简体"/>
          <w:b w:val="0"/>
          <w:bCs w:val="0"/>
        </w:rPr>
      </w:pPr>
    </w:p>
    <w:p>
      <w:pPr>
        <w:rPr>
          <w:rFonts w:hint="eastAsia" w:ascii="方正小标宋简体" w:hAnsi="方正小标宋简体" w:eastAsia="方正小标宋简体" w:cs="方正小标宋简体"/>
          <w:b w:val="0"/>
          <w:bCs w:val="0"/>
        </w:rPr>
      </w:pPr>
    </w:p>
    <w:p>
      <w:pPr>
        <w:rPr>
          <w:rFonts w:hint="eastAsia" w:ascii="方正小标宋简体" w:hAnsi="方正小标宋简体" w:eastAsia="方正小标宋简体" w:cs="方正小标宋简体"/>
          <w:b w:val="0"/>
          <w:bCs w:val="0"/>
        </w:rPr>
      </w:pPr>
    </w:p>
    <w:p>
      <w:pPr>
        <w:rPr>
          <w:rFonts w:hint="eastAsia" w:ascii="方正小标宋简体" w:hAnsi="方正小标宋简体" w:eastAsia="方正小标宋简体" w:cs="方正小标宋简体"/>
          <w:b w:val="0"/>
          <w:bCs w:val="0"/>
        </w:rPr>
      </w:pPr>
    </w:p>
    <w:p>
      <w:pPr>
        <w:jc w:val="center"/>
        <w:rPr>
          <w:rFonts w:hint="default"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eastAsia="zh-CN"/>
        </w:rPr>
        <w:t>第五部分</w:t>
      </w:r>
      <w:r>
        <w:rPr>
          <w:rFonts w:hint="eastAsia" w:ascii="方正小标宋简体" w:hAnsi="方正小标宋简体" w:eastAsia="方正小标宋简体" w:cs="方正小标宋简体"/>
          <w:b w:val="0"/>
          <w:bCs w:val="0"/>
          <w:sz w:val="44"/>
          <w:szCs w:val="44"/>
          <w:lang w:val="en-US" w:eastAsia="zh-CN"/>
        </w:rPr>
        <w:t xml:space="preserve">   附表</w:t>
      </w:r>
    </w:p>
    <w:p>
      <w:pPr>
        <w:numPr>
          <w:ilvl w:val="0"/>
          <w:numId w:val="0"/>
        </w:numPr>
        <w:rPr>
          <w:rFonts w:hint="eastAsia"/>
        </w:rPr>
      </w:pPr>
    </w:p>
    <w:p>
      <w:pPr>
        <w:pStyle w:val="3"/>
        <w:keepNext/>
        <w:keepLines/>
        <w:pageBreakBefore w:val="0"/>
        <w:widowControl w:val="0"/>
        <w:kinsoku/>
        <w:wordWrap/>
        <w:overflowPunct/>
        <w:topLinePunct w:val="0"/>
        <w:autoSpaceDE/>
        <w:autoSpaceDN/>
        <w:bidi w:val="0"/>
        <w:adjustRightInd/>
        <w:snapToGrid/>
        <w:spacing w:before="0" w:beforeAutospacing="0" w:after="0" w:afterAutospacing="0" w:line="576" w:lineRule="exact"/>
        <w:ind w:leftChars="0" w:firstLine="640" w:firstLineChars="200"/>
        <w:textAlignment w:val="auto"/>
        <w:rPr>
          <w:rFonts w:hint="eastAsia" w:ascii="仿宋_GB2312" w:hAnsi="仿宋_GB2312" w:eastAsia="仿宋_GB2312" w:cs="仿宋_GB2312"/>
          <w:b w:val="0"/>
          <w:bCs/>
          <w:color w:val="000000"/>
        </w:rPr>
      </w:pPr>
      <w:bookmarkStart w:id="98" w:name="_Toc9059"/>
      <w:bookmarkStart w:id="99" w:name="_Toc1426"/>
      <w:r>
        <w:rPr>
          <w:rFonts w:hint="eastAsia" w:ascii="仿宋_GB2312" w:hAnsi="仿宋_GB2312" w:eastAsia="仿宋_GB2312" w:cs="仿宋_GB2312"/>
          <w:b w:val="0"/>
          <w:bCs/>
          <w:color w:val="000000"/>
        </w:rPr>
        <w:t>一、收入支出决算总表</w:t>
      </w:r>
      <w:bookmarkEnd w:id="98"/>
      <w:bookmarkEnd w:id="99"/>
    </w:p>
    <w:p>
      <w:pPr>
        <w:pStyle w:val="3"/>
        <w:keepNext/>
        <w:keepLines/>
        <w:pageBreakBefore w:val="0"/>
        <w:widowControl w:val="0"/>
        <w:kinsoku/>
        <w:wordWrap/>
        <w:overflowPunct/>
        <w:topLinePunct w:val="0"/>
        <w:autoSpaceDE/>
        <w:autoSpaceDN/>
        <w:bidi w:val="0"/>
        <w:adjustRightInd/>
        <w:snapToGrid/>
        <w:spacing w:before="0" w:beforeAutospacing="0" w:after="0" w:afterAutospacing="0" w:line="576" w:lineRule="exact"/>
        <w:ind w:leftChars="0" w:firstLine="640" w:firstLineChars="200"/>
        <w:textAlignment w:val="auto"/>
        <w:rPr>
          <w:rFonts w:hint="eastAsia" w:ascii="仿宋_GB2312" w:hAnsi="仿宋_GB2312" w:eastAsia="仿宋_GB2312" w:cs="仿宋_GB2312"/>
          <w:b w:val="0"/>
          <w:bCs/>
          <w:color w:val="000000"/>
        </w:rPr>
      </w:pPr>
      <w:bookmarkStart w:id="100" w:name="_Toc25951"/>
      <w:bookmarkStart w:id="101" w:name="_Toc16276"/>
      <w:r>
        <w:rPr>
          <w:rFonts w:hint="eastAsia" w:ascii="仿宋_GB2312" w:hAnsi="仿宋_GB2312" w:eastAsia="仿宋_GB2312" w:cs="仿宋_GB2312"/>
          <w:b w:val="0"/>
          <w:bCs/>
          <w:color w:val="000000"/>
        </w:rPr>
        <w:t>二、收入决算表</w:t>
      </w:r>
      <w:bookmarkEnd w:id="100"/>
      <w:bookmarkEnd w:id="101"/>
    </w:p>
    <w:p>
      <w:pPr>
        <w:pStyle w:val="3"/>
        <w:keepNext/>
        <w:keepLines/>
        <w:pageBreakBefore w:val="0"/>
        <w:widowControl w:val="0"/>
        <w:kinsoku/>
        <w:wordWrap/>
        <w:overflowPunct/>
        <w:topLinePunct w:val="0"/>
        <w:autoSpaceDE/>
        <w:autoSpaceDN/>
        <w:bidi w:val="0"/>
        <w:adjustRightInd/>
        <w:snapToGrid/>
        <w:spacing w:before="0" w:beforeAutospacing="0" w:after="0" w:afterAutospacing="0" w:line="576" w:lineRule="exact"/>
        <w:ind w:leftChars="0" w:firstLine="640" w:firstLineChars="200"/>
        <w:textAlignment w:val="auto"/>
        <w:rPr>
          <w:rFonts w:hint="eastAsia" w:ascii="仿宋_GB2312" w:hAnsi="仿宋_GB2312" w:eastAsia="仿宋_GB2312" w:cs="仿宋_GB2312"/>
          <w:b w:val="0"/>
          <w:bCs/>
          <w:color w:val="000000"/>
        </w:rPr>
      </w:pPr>
      <w:bookmarkStart w:id="102" w:name="_Toc1809"/>
      <w:bookmarkStart w:id="103" w:name="_Toc30359"/>
      <w:r>
        <w:rPr>
          <w:rFonts w:hint="eastAsia" w:ascii="仿宋_GB2312" w:hAnsi="仿宋_GB2312" w:eastAsia="仿宋_GB2312" w:cs="仿宋_GB2312"/>
          <w:b w:val="0"/>
          <w:bCs/>
          <w:color w:val="000000"/>
        </w:rPr>
        <w:t>三、支出决算表</w:t>
      </w:r>
      <w:bookmarkEnd w:id="102"/>
      <w:bookmarkEnd w:id="103"/>
    </w:p>
    <w:p>
      <w:pPr>
        <w:pStyle w:val="3"/>
        <w:keepNext/>
        <w:keepLines/>
        <w:pageBreakBefore w:val="0"/>
        <w:widowControl w:val="0"/>
        <w:kinsoku/>
        <w:wordWrap/>
        <w:overflowPunct/>
        <w:topLinePunct w:val="0"/>
        <w:autoSpaceDE/>
        <w:autoSpaceDN/>
        <w:bidi w:val="0"/>
        <w:adjustRightInd/>
        <w:snapToGrid/>
        <w:spacing w:before="0" w:beforeAutospacing="0" w:after="0" w:afterAutospacing="0" w:line="576" w:lineRule="exact"/>
        <w:ind w:leftChars="0" w:firstLine="640" w:firstLineChars="200"/>
        <w:textAlignment w:val="auto"/>
        <w:rPr>
          <w:rFonts w:hint="eastAsia" w:ascii="仿宋_GB2312" w:hAnsi="仿宋_GB2312" w:eastAsia="仿宋_GB2312" w:cs="仿宋_GB2312"/>
          <w:b w:val="0"/>
          <w:bCs/>
          <w:color w:val="000000"/>
        </w:rPr>
      </w:pPr>
      <w:bookmarkStart w:id="104" w:name="_Toc13188"/>
      <w:bookmarkStart w:id="105" w:name="_Toc13976"/>
      <w:r>
        <w:rPr>
          <w:rFonts w:hint="eastAsia" w:ascii="仿宋_GB2312" w:hAnsi="仿宋_GB2312" w:eastAsia="仿宋_GB2312" w:cs="仿宋_GB2312"/>
          <w:b w:val="0"/>
          <w:bCs/>
          <w:color w:val="000000"/>
        </w:rPr>
        <w:t>四、财政拨款收入支出决算总表</w:t>
      </w:r>
      <w:bookmarkEnd w:id="104"/>
      <w:bookmarkEnd w:id="105"/>
    </w:p>
    <w:p>
      <w:pPr>
        <w:pStyle w:val="3"/>
        <w:keepNext/>
        <w:keepLines/>
        <w:pageBreakBefore w:val="0"/>
        <w:widowControl w:val="0"/>
        <w:kinsoku/>
        <w:wordWrap/>
        <w:overflowPunct/>
        <w:topLinePunct w:val="0"/>
        <w:autoSpaceDE/>
        <w:autoSpaceDN/>
        <w:bidi w:val="0"/>
        <w:adjustRightInd/>
        <w:snapToGrid/>
        <w:spacing w:before="0" w:beforeAutospacing="0" w:after="0" w:afterAutospacing="0" w:line="576" w:lineRule="exact"/>
        <w:ind w:leftChars="0" w:firstLine="640" w:firstLineChars="200"/>
        <w:textAlignment w:val="auto"/>
        <w:rPr>
          <w:rFonts w:hint="eastAsia" w:ascii="仿宋_GB2312" w:hAnsi="仿宋_GB2312" w:eastAsia="仿宋_GB2312" w:cs="仿宋_GB2312"/>
          <w:b w:val="0"/>
          <w:bCs/>
          <w:color w:val="000000"/>
        </w:rPr>
      </w:pPr>
      <w:bookmarkStart w:id="106" w:name="_Toc25514"/>
      <w:bookmarkStart w:id="107" w:name="_Toc18298"/>
      <w:r>
        <w:rPr>
          <w:rFonts w:hint="eastAsia" w:ascii="仿宋_GB2312" w:hAnsi="仿宋_GB2312" w:eastAsia="仿宋_GB2312" w:cs="仿宋_GB2312"/>
          <w:b w:val="0"/>
          <w:bCs/>
          <w:color w:val="000000"/>
        </w:rPr>
        <w:t>五、财政拨款支出决算明细表</w:t>
      </w:r>
      <w:bookmarkEnd w:id="106"/>
      <w:bookmarkEnd w:id="107"/>
    </w:p>
    <w:p>
      <w:pPr>
        <w:pStyle w:val="3"/>
        <w:keepNext/>
        <w:keepLines/>
        <w:pageBreakBefore w:val="0"/>
        <w:widowControl w:val="0"/>
        <w:kinsoku/>
        <w:wordWrap/>
        <w:overflowPunct/>
        <w:topLinePunct w:val="0"/>
        <w:autoSpaceDE/>
        <w:autoSpaceDN/>
        <w:bidi w:val="0"/>
        <w:adjustRightInd/>
        <w:snapToGrid/>
        <w:spacing w:before="0" w:beforeAutospacing="0" w:after="0" w:afterAutospacing="0" w:line="576" w:lineRule="exact"/>
        <w:ind w:leftChars="0" w:firstLine="640" w:firstLineChars="200"/>
        <w:textAlignment w:val="auto"/>
        <w:rPr>
          <w:rFonts w:hint="eastAsia" w:ascii="仿宋_GB2312" w:hAnsi="仿宋_GB2312" w:eastAsia="仿宋_GB2312" w:cs="仿宋_GB2312"/>
          <w:b w:val="0"/>
          <w:bCs/>
          <w:color w:val="000000"/>
        </w:rPr>
      </w:pPr>
      <w:bookmarkStart w:id="108" w:name="_Toc13411"/>
      <w:bookmarkStart w:id="109" w:name="_Toc25120"/>
      <w:r>
        <w:rPr>
          <w:rFonts w:hint="eastAsia" w:ascii="仿宋_GB2312" w:hAnsi="仿宋_GB2312" w:eastAsia="仿宋_GB2312" w:cs="仿宋_GB2312"/>
          <w:b w:val="0"/>
          <w:bCs/>
          <w:color w:val="000000"/>
        </w:rPr>
        <w:t>六、一般公共预算财政拨款支出决算表</w:t>
      </w:r>
      <w:bookmarkEnd w:id="108"/>
      <w:bookmarkEnd w:id="109"/>
    </w:p>
    <w:p>
      <w:pPr>
        <w:pStyle w:val="3"/>
        <w:keepNext/>
        <w:keepLines/>
        <w:pageBreakBefore w:val="0"/>
        <w:widowControl w:val="0"/>
        <w:kinsoku/>
        <w:wordWrap/>
        <w:overflowPunct/>
        <w:topLinePunct w:val="0"/>
        <w:autoSpaceDE/>
        <w:autoSpaceDN/>
        <w:bidi w:val="0"/>
        <w:adjustRightInd/>
        <w:snapToGrid/>
        <w:spacing w:before="0" w:beforeAutospacing="0" w:after="0" w:afterAutospacing="0" w:line="576" w:lineRule="exact"/>
        <w:ind w:leftChars="0" w:firstLine="640" w:firstLineChars="200"/>
        <w:textAlignment w:val="auto"/>
        <w:rPr>
          <w:rFonts w:hint="eastAsia" w:ascii="仿宋_GB2312" w:hAnsi="仿宋_GB2312" w:eastAsia="仿宋_GB2312" w:cs="仿宋_GB2312"/>
          <w:b w:val="0"/>
          <w:bCs/>
          <w:color w:val="000000"/>
        </w:rPr>
      </w:pPr>
      <w:bookmarkStart w:id="110" w:name="_Toc7404"/>
      <w:bookmarkStart w:id="111" w:name="_Toc26430"/>
      <w:r>
        <w:rPr>
          <w:rFonts w:hint="eastAsia" w:ascii="仿宋_GB2312" w:hAnsi="仿宋_GB2312" w:eastAsia="仿宋_GB2312" w:cs="仿宋_GB2312"/>
          <w:b w:val="0"/>
          <w:bCs/>
          <w:color w:val="000000"/>
        </w:rPr>
        <w:t>七、一般公共预算财政拨款支出决算明细表</w:t>
      </w:r>
      <w:bookmarkEnd w:id="110"/>
      <w:bookmarkEnd w:id="111"/>
    </w:p>
    <w:p>
      <w:pPr>
        <w:pStyle w:val="3"/>
        <w:keepNext/>
        <w:keepLines/>
        <w:pageBreakBefore w:val="0"/>
        <w:widowControl w:val="0"/>
        <w:kinsoku/>
        <w:wordWrap/>
        <w:overflowPunct/>
        <w:topLinePunct w:val="0"/>
        <w:autoSpaceDE/>
        <w:autoSpaceDN/>
        <w:bidi w:val="0"/>
        <w:adjustRightInd/>
        <w:snapToGrid/>
        <w:spacing w:before="0" w:beforeAutospacing="0" w:after="0" w:afterAutospacing="0" w:line="576" w:lineRule="exact"/>
        <w:ind w:leftChars="0" w:firstLine="640" w:firstLineChars="200"/>
        <w:textAlignment w:val="auto"/>
        <w:rPr>
          <w:rFonts w:hint="eastAsia" w:ascii="仿宋_GB2312" w:hAnsi="仿宋_GB2312" w:eastAsia="仿宋_GB2312" w:cs="仿宋_GB2312"/>
          <w:b w:val="0"/>
          <w:bCs/>
          <w:color w:val="000000"/>
        </w:rPr>
      </w:pPr>
      <w:bookmarkStart w:id="112" w:name="_Toc6312"/>
      <w:bookmarkStart w:id="113" w:name="_Toc25058"/>
      <w:r>
        <w:rPr>
          <w:rFonts w:hint="eastAsia" w:ascii="仿宋_GB2312" w:hAnsi="仿宋_GB2312" w:eastAsia="仿宋_GB2312" w:cs="仿宋_GB2312"/>
          <w:b w:val="0"/>
          <w:bCs/>
          <w:color w:val="000000"/>
        </w:rPr>
        <w:t>八、一般公共预算财政拨款基本支出决算表</w:t>
      </w:r>
      <w:bookmarkEnd w:id="112"/>
      <w:bookmarkEnd w:id="113"/>
    </w:p>
    <w:p>
      <w:pPr>
        <w:pStyle w:val="3"/>
        <w:keepNext/>
        <w:keepLines/>
        <w:pageBreakBefore w:val="0"/>
        <w:widowControl w:val="0"/>
        <w:kinsoku/>
        <w:wordWrap/>
        <w:overflowPunct/>
        <w:topLinePunct w:val="0"/>
        <w:autoSpaceDE/>
        <w:autoSpaceDN/>
        <w:bidi w:val="0"/>
        <w:adjustRightInd/>
        <w:snapToGrid/>
        <w:spacing w:before="0" w:beforeAutospacing="0" w:after="0" w:afterAutospacing="0" w:line="576" w:lineRule="exact"/>
        <w:ind w:leftChars="0" w:firstLine="640" w:firstLineChars="200"/>
        <w:textAlignment w:val="auto"/>
        <w:rPr>
          <w:rFonts w:hint="eastAsia" w:ascii="仿宋_GB2312" w:hAnsi="仿宋_GB2312" w:eastAsia="仿宋_GB2312" w:cs="仿宋_GB2312"/>
          <w:b w:val="0"/>
          <w:bCs/>
          <w:color w:val="000000"/>
        </w:rPr>
      </w:pPr>
      <w:bookmarkStart w:id="114" w:name="_Toc29979"/>
      <w:bookmarkStart w:id="115" w:name="_Toc30828"/>
      <w:r>
        <w:rPr>
          <w:rFonts w:hint="eastAsia" w:ascii="仿宋_GB2312" w:hAnsi="仿宋_GB2312" w:eastAsia="仿宋_GB2312" w:cs="仿宋_GB2312"/>
          <w:b w:val="0"/>
          <w:bCs/>
          <w:color w:val="000000"/>
        </w:rPr>
        <w:t>九、一般公共预算财政拨款项目支出决算表</w:t>
      </w:r>
      <w:bookmarkEnd w:id="114"/>
      <w:bookmarkEnd w:id="115"/>
    </w:p>
    <w:p>
      <w:pPr>
        <w:pStyle w:val="3"/>
        <w:keepNext/>
        <w:keepLines/>
        <w:pageBreakBefore w:val="0"/>
        <w:widowControl w:val="0"/>
        <w:kinsoku/>
        <w:wordWrap/>
        <w:overflowPunct/>
        <w:topLinePunct w:val="0"/>
        <w:autoSpaceDE/>
        <w:autoSpaceDN/>
        <w:bidi w:val="0"/>
        <w:adjustRightInd/>
        <w:snapToGrid/>
        <w:spacing w:before="0" w:beforeAutospacing="0" w:after="0" w:afterAutospacing="0" w:line="576" w:lineRule="exact"/>
        <w:ind w:leftChars="0" w:firstLine="640" w:firstLineChars="200"/>
        <w:textAlignment w:val="auto"/>
        <w:rPr>
          <w:rFonts w:hint="eastAsia" w:ascii="仿宋_GB2312" w:hAnsi="仿宋_GB2312" w:eastAsia="仿宋_GB2312" w:cs="仿宋_GB2312"/>
          <w:b w:val="0"/>
          <w:bCs/>
          <w:color w:val="000000"/>
        </w:rPr>
      </w:pPr>
      <w:bookmarkStart w:id="116" w:name="_Toc29725"/>
      <w:bookmarkStart w:id="117" w:name="_Toc25021"/>
      <w:r>
        <w:rPr>
          <w:rFonts w:hint="eastAsia" w:ascii="仿宋_GB2312" w:hAnsi="仿宋_GB2312" w:eastAsia="仿宋_GB2312" w:cs="仿宋_GB2312"/>
          <w:b w:val="0"/>
          <w:bCs/>
          <w:color w:val="000000"/>
        </w:rPr>
        <w:t>十、</w:t>
      </w:r>
      <w:r>
        <w:rPr>
          <w:rFonts w:hint="eastAsia" w:ascii="仿宋_GB2312" w:hAnsi="仿宋_GB2312" w:eastAsia="仿宋_GB2312" w:cs="仿宋_GB2312"/>
          <w:b w:val="0"/>
          <w:bCs/>
          <w:color w:val="000000"/>
          <w:lang w:eastAsia="zh-CN"/>
        </w:rPr>
        <w:t>政府性基金预算财政拨款收入支出</w:t>
      </w:r>
      <w:r>
        <w:rPr>
          <w:rFonts w:hint="eastAsia" w:ascii="仿宋_GB2312" w:hAnsi="仿宋_GB2312" w:eastAsia="仿宋_GB2312" w:cs="仿宋_GB2312"/>
          <w:b w:val="0"/>
          <w:bCs/>
          <w:color w:val="000000"/>
        </w:rPr>
        <w:t>决算表</w:t>
      </w:r>
      <w:bookmarkEnd w:id="116"/>
      <w:bookmarkEnd w:id="117"/>
    </w:p>
    <w:p>
      <w:pPr>
        <w:pStyle w:val="3"/>
        <w:keepNext/>
        <w:keepLines/>
        <w:pageBreakBefore w:val="0"/>
        <w:widowControl w:val="0"/>
        <w:kinsoku/>
        <w:wordWrap/>
        <w:overflowPunct/>
        <w:topLinePunct w:val="0"/>
        <w:autoSpaceDE/>
        <w:autoSpaceDN/>
        <w:bidi w:val="0"/>
        <w:adjustRightInd/>
        <w:snapToGrid/>
        <w:spacing w:before="0" w:beforeAutospacing="0" w:after="0" w:afterAutospacing="0" w:line="576" w:lineRule="exact"/>
        <w:ind w:leftChars="0" w:firstLine="640" w:firstLineChars="200"/>
        <w:textAlignment w:val="auto"/>
        <w:rPr>
          <w:rFonts w:hint="eastAsia" w:ascii="仿宋_GB2312" w:hAnsi="仿宋_GB2312" w:eastAsia="仿宋_GB2312" w:cs="仿宋_GB2312"/>
          <w:b w:val="0"/>
          <w:bCs/>
          <w:color w:val="000000"/>
        </w:rPr>
      </w:pPr>
      <w:bookmarkStart w:id="118" w:name="_Toc792"/>
      <w:bookmarkStart w:id="119" w:name="_Toc2823"/>
      <w:r>
        <w:rPr>
          <w:rFonts w:hint="eastAsia" w:ascii="仿宋_GB2312" w:hAnsi="仿宋_GB2312" w:eastAsia="仿宋_GB2312" w:cs="仿宋_GB2312"/>
          <w:b w:val="0"/>
          <w:bCs/>
          <w:color w:val="000000"/>
        </w:rPr>
        <w:t>十一、</w:t>
      </w:r>
      <w:r>
        <w:rPr>
          <w:rFonts w:hint="eastAsia" w:ascii="仿宋_GB2312" w:hAnsi="仿宋_GB2312" w:eastAsia="仿宋_GB2312" w:cs="仿宋_GB2312"/>
          <w:b w:val="0"/>
          <w:bCs/>
          <w:color w:val="000000"/>
          <w:lang w:eastAsia="zh-CN"/>
        </w:rPr>
        <w:t>国有资本经营预算财政拨款收入支出决算表</w:t>
      </w:r>
      <w:bookmarkEnd w:id="118"/>
      <w:bookmarkEnd w:id="119"/>
    </w:p>
    <w:p>
      <w:pPr>
        <w:pStyle w:val="3"/>
        <w:keepNext/>
        <w:keepLines/>
        <w:pageBreakBefore w:val="0"/>
        <w:widowControl w:val="0"/>
        <w:kinsoku/>
        <w:wordWrap/>
        <w:overflowPunct/>
        <w:topLinePunct w:val="0"/>
        <w:autoSpaceDE/>
        <w:autoSpaceDN/>
        <w:bidi w:val="0"/>
        <w:adjustRightInd/>
        <w:snapToGrid/>
        <w:spacing w:before="0" w:beforeAutospacing="0" w:after="0" w:afterAutospacing="0" w:line="576" w:lineRule="exact"/>
        <w:ind w:leftChars="0" w:firstLine="640" w:firstLineChars="200"/>
        <w:textAlignment w:val="auto"/>
        <w:rPr>
          <w:rFonts w:hint="eastAsia" w:ascii="仿宋_GB2312" w:hAnsi="仿宋_GB2312" w:eastAsia="仿宋_GB2312" w:cs="仿宋_GB2312"/>
          <w:b w:val="0"/>
          <w:bCs/>
          <w:color w:val="000000"/>
          <w:lang w:eastAsia="zh-CN"/>
        </w:rPr>
      </w:pPr>
      <w:bookmarkStart w:id="120" w:name="_Toc4229"/>
      <w:bookmarkStart w:id="121" w:name="_Toc25006"/>
      <w:r>
        <w:rPr>
          <w:rFonts w:hint="eastAsia" w:ascii="仿宋_GB2312" w:hAnsi="仿宋_GB2312" w:eastAsia="仿宋_GB2312" w:cs="仿宋_GB2312"/>
          <w:b w:val="0"/>
          <w:bCs/>
          <w:color w:val="000000"/>
        </w:rPr>
        <w:t>十二、</w:t>
      </w:r>
      <w:bookmarkEnd w:id="120"/>
      <w:bookmarkStart w:id="122" w:name="_Toc10442"/>
      <w:r>
        <w:rPr>
          <w:rFonts w:hint="eastAsia" w:ascii="仿宋_GB2312" w:hAnsi="仿宋_GB2312" w:eastAsia="仿宋_GB2312" w:cs="仿宋_GB2312"/>
          <w:b w:val="0"/>
          <w:bCs/>
          <w:color w:val="000000"/>
          <w:lang w:eastAsia="zh-CN"/>
        </w:rPr>
        <w:t>国有资本经营预算财政拨款支出决算表</w:t>
      </w:r>
      <w:bookmarkEnd w:id="121"/>
    </w:p>
    <w:p>
      <w:pPr>
        <w:pStyle w:val="3"/>
        <w:keepNext/>
        <w:keepLines/>
        <w:pageBreakBefore w:val="0"/>
        <w:widowControl w:val="0"/>
        <w:kinsoku/>
        <w:wordWrap/>
        <w:overflowPunct/>
        <w:topLinePunct w:val="0"/>
        <w:autoSpaceDE/>
        <w:autoSpaceDN/>
        <w:bidi w:val="0"/>
        <w:adjustRightInd/>
        <w:snapToGrid/>
        <w:spacing w:before="0" w:beforeAutospacing="0" w:after="0" w:afterAutospacing="0" w:line="576" w:lineRule="exact"/>
        <w:ind w:leftChars="0" w:firstLine="640" w:firstLineChars="200"/>
        <w:textAlignment w:val="auto"/>
        <w:rPr>
          <w:rFonts w:hint="eastAsia" w:ascii="仿宋_GB2312" w:hAnsi="仿宋_GB2312" w:eastAsia="仿宋_GB2312" w:cs="仿宋_GB2312"/>
          <w:b w:val="0"/>
          <w:bCs/>
          <w:color w:val="000000"/>
        </w:rPr>
      </w:pPr>
      <w:bookmarkStart w:id="123" w:name="_Toc21675"/>
      <w:r>
        <w:rPr>
          <w:rFonts w:hint="eastAsia" w:ascii="仿宋_GB2312" w:hAnsi="仿宋_GB2312" w:eastAsia="仿宋_GB2312" w:cs="仿宋_GB2312"/>
          <w:b w:val="0"/>
          <w:bCs/>
          <w:color w:val="000000"/>
        </w:rPr>
        <w:t>十三、</w:t>
      </w:r>
      <w:r>
        <w:rPr>
          <w:rFonts w:hint="eastAsia" w:ascii="仿宋_GB2312" w:hAnsi="仿宋_GB2312" w:eastAsia="仿宋_GB2312" w:cs="仿宋_GB2312"/>
          <w:b w:val="0"/>
          <w:bCs/>
          <w:color w:val="000000"/>
          <w:lang w:eastAsia="zh-CN"/>
        </w:rPr>
        <w:t>财政拨款“三公”经费</w:t>
      </w:r>
      <w:r>
        <w:rPr>
          <w:rFonts w:hint="eastAsia" w:ascii="仿宋_GB2312" w:hAnsi="仿宋_GB2312" w:eastAsia="仿宋_GB2312" w:cs="仿宋_GB2312"/>
          <w:b w:val="0"/>
          <w:bCs/>
          <w:color w:val="000000"/>
        </w:rPr>
        <w:t>支出决算表</w:t>
      </w:r>
      <w:bookmarkEnd w:id="122"/>
      <w:bookmarkEnd w:id="123"/>
    </w:p>
    <w:p>
      <w:pPr>
        <w:pStyle w:val="3"/>
        <w:keepNext/>
        <w:keepLines/>
        <w:pageBreakBefore w:val="0"/>
        <w:widowControl w:val="0"/>
        <w:kinsoku/>
        <w:wordWrap/>
        <w:overflowPunct/>
        <w:topLinePunct w:val="0"/>
        <w:autoSpaceDE/>
        <w:autoSpaceDN/>
        <w:bidi w:val="0"/>
        <w:adjustRightInd/>
        <w:snapToGrid/>
        <w:spacing w:before="0" w:beforeAutospacing="0" w:after="0" w:afterAutospacing="0" w:line="576" w:lineRule="exact"/>
        <w:ind w:leftChars="0" w:firstLine="640" w:firstLineChars="200"/>
        <w:textAlignment w:val="auto"/>
        <w:rPr>
          <w:rFonts w:hint="eastAsia" w:ascii="CESI仿宋-GB2312" w:hAnsi="CESI仿宋-GB2312" w:eastAsia="CESI仿宋-GB2312" w:cs="CESI仿宋-GB2312"/>
          <w:b w:val="0"/>
          <w:bCs/>
          <w:color w:val="000000"/>
        </w:rPr>
      </w:pPr>
    </w:p>
    <w:p>
      <w:pPr>
        <w:pageBreakBefore w:val="0"/>
        <w:kinsoku/>
        <w:wordWrap/>
        <w:overflowPunct/>
        <w:topLinePunct w:val="0"/>
        <w:bidi w:val="0"/>
        <w:spacing w:beforeAutospacing="0" w:afterAutospacing="0" w:line="576" w:lineRule="exact"/>
        <w:ind w:leftChars="0"/>
        <w:textAlignment w:val="auto"/>
        <w:rPr>
          <w:rFonts w:hint="eastAsia" w:ascii="CESI仿宋-GB2312" w:hAnsi="CESI仿宋-GB2312" w:eastAsia="CESI仿宋-GB2312" w:cs="CESI仿宋-GB2312"/>
          <w:b w:val="0"/>
          <w:bCs/>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CESI黑体-GB13000">
    <w:panose1 w:val="02000500000000000000"/>
    <w:charset w:val="86"/>
    <w:family w:val="auto"/>
    <w:pitch w:val="default"/>
    <w:sig w:usb0="800002BF" w:usb1="38CF7CF8" w:usb2="00000016" w:usb3="00000000" w:csb0="0004000F" w:csb1="00000000"/>
  </w:font>
  <w:font w:name="AR PL UKai CN">
    <w:panose1 w:val="02000503000000000000"/>
    <w:charset w:val="86"/>
    <w:family w:val="auto"/>
    <w:pitch w:val="default"/>
    <w:sig w:usb0="A00002FF" w:usb1="3ACFFDFF" w:usb2="00000036" w:usb3="00000000" w:csb0="2016009F" w:csb1="DFD70000"/>
  </w:font>
  <w:font w:name="Lucida Sans">
    <w:altName w:val="Noto Naskh Arabic"/>
    <w:panose1 w:val="020B0602030504020204"/>
    <w:charset w:val="01"/>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FreeSerif">
    <w:panose1 w:val="02020603050405020304"/>
    <w:charset w:val="00"/>
    <w:family w:val="auto"/>
    <w:pitch w:val="default"/>
    <w:sig w:usb0="E59FAFFF" w:usb1="C200FDFF" w:usb2="43501B29" w:usb3="04000043" w:csb0="600101FF" w:csb1="F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10"/>
          <w:jc w:val="center"/>
        </w:pPr>
        <w:r>
          <w:fldChar w:fldCharType="begin"/>
        </w:r>
        <w:r>
          <w:instrText xml:space="preserve">PAGE   \* MERGEFORMAT</w:instrText>
        </w:r>
        <w:r>
          <w:fldChar w:fldCharType="separate"/>
        </w:r>
        <w:r>
          <w:rPr>
            <w:lang w:val="zh-CN"/>
          </w:rPr>
          <w:t>4</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VhZTdlMGIzODJkYmQ1ODc3YjgyNGVmZWNiMjhmZjEifQ=="/>
  </w:docVars>
  <w:rsids>
    <w:rsidRoot w:val="00000000"/>
    <w:rsid w:val="01F42CF7"/>
    <w:rsid w:val="022D1746"/>
    <w:rsid w:val="054B3704"/>
    <w:rsid w:val="05C37CE3"/>
    <w:rsid w:val="061614DB"/>
    <w:rsid w:val="06622F82"/>
    <w:rsid w:val="07BE29D4"/>
    <w:rsid w:val="07F12200"/>
    <w:rsid w:val="0AA5260C"/>
    <w:rsid w:val="0BDB462C"/>
    <w:rsid w:val="10951256"/>
    <w:rsid w:val="11307DE0"/>
    <w:rsid w:val="175A3CEF"/>
    <w:rsid w:val="185C440F"/>
    <w:rsid w:val="1A3A9519"/>
    <w:rsid w:val="1AC110D6"/>
    <w:rsid w:val="1AC5672F"/>
    <w:rsid w:val="1B171B26"/>
    <w:rsid w:val="1C984EE8"/>
    <w:rsid w:val="1D746261"/>
    <w:rsid w:val="1DB13FB4"/>
    <w:rsid w:val="1DEE0D80"/>
    <w:rsid w:val="1DF046E4"/>
    <w:rsid w:val="1F3B805D"/>
    <w:rsid w:val="1F6DF82D"/>
    <w:rsid w:val="20350AB8"/>
    <w:rsid w:val="205E3D53"/>
    <w:rsid w:val="208F2F74"/>
    <w:rsid w:val="23565728"/>
    <w:rsid w:val="264E03C6"/>
    <w:rsid w:val="27B46451"/>
    <w:rsid w:val="27FF2790"/>
    <w:rsid w:val="280B46B8"/>
    <w:rsid w:val="282B09BF"/>
    <w:rsid w:val="299815A5"/>
    <w:rsid w:val="29DF7BB7"/>
    <w:rsid w:val="2A5F4C8E"/>
    <w:rsid w:val="2AAE055A"/>
    <w:rsid w:val="2B7C45EA"/>
    <w:rsid w:val="2B896186"/>
    <w:rsid w:val="2CDF9F0B"/>
    <w:rsid w:val="2DAD1E76"/>
    <w:rsid w:val="2EED10C4"/>
    <w:rsid w:val="2F324481"/>
    <w:rsid w:val="304846CF"/>
    <w:rsid w:val="308166B1"/>
    <w:rsid w:val="31836306"/>
    <w:rsid w:val="325C3658"/>
    <w:rsid w:val="32A1698A"/>
    <w:rsid w:val="33746B9D"/>
    <w:rsid w:val="337C6554"/>
    <w:rsid w:val="33815F6A"/>
    <w:rsid w:val="341F0E81"/>
    <w:rsid w:val="35380BBF"/>
    <w:rsid w:val="35552210"/>
    <w:rsid w:val="35FE1B45"/>
    <w:rsid w:val="365B5433"/>
    <w:rsid w:val="36B4A911"/>
    <w:rsid w:val="370159CC"/>
    <w:rsid w:val="378EB102"/>
    <w:rsid w:val="37C75988"/>
    <w:rsid w:val="37D85005"/>
    <w:rsid w:val="385145A0"/>
    <w:rsid w:val="39DDA15A"/>
    <w:rsid w:val="39E6D59D"/>
    <w:rsid w:val="3A2625AB"/>
    <w:rsid w:val="3C0B10D5"/>
    <w:rsid w:val="3CD97E1E"/>
    <w:rsid w:val="3D296BB4"/>
    <w:rsid w:val="3E36C5B9"/>
    <w:rsid w:val="3EF67E23"/>
    <w:rsid w:val="3F0F7FAA"/>
    <w:rsid w:val="3F6BB190"/>
    <w:rsid w:val="3FD98AFF"/>
    <w:rsid w:val="3FFBA920"/>
    <w:rsid w:val="3FFFEC78"/>
    <w:rsid w:val="402F0C61"/>
    <w:rsid w:val="41326E0A"/>
    <w:rsid w:val="42606DC8"/>
    <w:rsid w:val="427B2EB7"/>
    <w:rsid w:val="47FD0CFC"/>
    <w:rsid w:val="48846E86"/>
    <w:rsid w:val="49AF7CB9"/>
    <w:rsid w:val="4A8D0DD3"/>
    <w:rsid w:val="4BB27D2F"/>
    <w:rsid w:val="4BF65666"/>
    <w:rsid w:val="4C4A325A"/>
    <w:rsid w:val="4C8B4645"/>
    <w:rsid w:val="4DFF1AEF"/>
    <w:rsid w:val="4F3DA8CC"/>
    <w:rsid w:val="4F7FECC7"/>
    <w:rsid w:val="50856579"/>
    <w:rsid w:val="512F3A08"/>
    <w:rsid w:val="525070F0"/>
    <w:rsid w:val="53470203"/>
    <w:rsid w:val="53BFE225"/>
    <w:rsid w:val="56813D1C"/>
    <w:rsid w:val="571E0092"/>
    <w:rsid w:val="57294EB0"/>
    <w:rsid w:val="572F603A"/>
    <w:rsid w:val="57EF8285"/>
    <w:rsid w:val="57F0234F"/>
    <w:rsid w:val="58214696"/>
    <w:rsid w:val="5984C5D6"/>
    <w:rsid w:val="5BA04C44"/>
    <w:rsid w:val="5C661102"/>
    <w:rsid w:val="5C8F7D98"/>
    <w:rsid w:val="5CAF11E0"/>
    <w:rsid w:val="5CBC7459"/>
    <w:rsid w:val="5D1F0697"/>
    <w:rsid w:val="5DEAEBE0"/>
    <w:rsid w:val="5DF67589"/>
    <w:rsid w:val="5EF24A4E"/>
    <w:rsid w:val="5F216D76"/>
    <w:rsid w:val="5F771C92"/>
    <w:rsid w:val="5F797E1C"/>
    <w:rsid w:val="5F7A6958"/>
    <w:rsid w:val="5FBF66DC"/>
    <w:rsid w:val="5FCF8B3C"/>
    <w:rsid w:val="5FF5D88D"/>
    <w:rsid w:val="5FF72C91"/>
    <w:rsid w:val="5FFB4B23"/>
    <w:rsid w:val="617A7CE6"/>
    <w:rsid w:val="61AE115F"/>
    <w:rsid w:val="624F3D2A"/>
    <w:rsid w:val="62FFF85B"/>
    <w:rsid w:val="634B193A"/>
    <w:rsid w:val="638C0197"/>
    <w:rsid w:val="63BF76DE"/>
    <w:rsid w:val="647FD5F1"/>
    <w:rsid w:val="65E9543A"/>
    <w:rsid w:val="66A01F9C"/>
    <w:rsid w:val="66CD6B09"/>
    <w:rsid w:val="684C129B"/>
    <w:rsid w:val="6850354E"/>
    <w:rsid w:val="695270B1"/>
    <w:rsid w:val="6A224FFA"/>
    <w:rsid w:val="6BD5DF02"/>
    <w:rsid w:val="6C103720"/>
    <w:rsid w:val="6DEBCCD1"/>
    <w:rsid w:val="6DFFBC2A"/>
    <w:rsid w:val="6ECABA56"/>
    <w:rsid w:val="6EE13152"/>
    <w:rsid w:val="6FEFB5D1"/>
    <w:rsid w:val="722B70F5"/>
    <w:rsid w:val="733C383E"/>
    <w:rsid w:val="73B14CAF"/>
    <w:rsid w:val="73BE8ECC"/>
    <w:rsid w:val="73CF20D1"/>
    <w:rsid w:val="745B415B"/>
    <w:rsid w:val="75B75CFB"/>
    <w:rsid w:val="76E47C83"/>
    <w:rsid w:val="771234C0"/>
    <w:rsid w:val="777FFE3A"/>
    <w:rsid w:val="77D55678"/>
    <w:rsid w:val="77F6DB27"/>
    <w:rsid w:val="785726D7"/>
    <w:rsid w:val="78603A1D"/>
    <w:rsid w:val="791E1021"/>
    <w:rsid w:val="795CBC76"/>
    <w:rsid w:val="79FF7A6B"/>
    <w:rsid w:val="7A2134D3"/>
    <w:rsid w:val="7ABDD0A3"/>
    <w:rsid w:val="7ACFD9C9"/>
    <w:rsid w:val="7AF378CC"/>
    <w:rsid w:val="7AFCB028"/>
    <w:rsid w:val="7B7F1388"/>
    <w:rsid w:val="7BBB10B3"/>
    <w:rsid w:val="7BDB2CC8"/>
    <w:rsid w:val="7BFF5D32"/>
    <w:rsid w:val="7DB33182"/>
    <w:rsid w:val="7DB53458"/>
    <w:rsid w:val="7DBB9F08"/>
    <w:rsid w:val="7DBDA028"/>
    <w:rsid w:val="7DCFB41D"/>
    <w:rsid w:val="7E34D8CB"/>
    <w:rsid w:val="7E97CA82"/>
    <w:rsid w:val="7EC7E00E"/>
    <w:rsid w:val="7ED39992"/>
    <w:rsid w:val="7EEA314F"/>
    <w:rsid w:val="7EFFA415"/>
    <w:rsid w:val="7F2BBEF7"/>
    <w:rsid w:val="7F4F4108"/>
    <w:rsid w:val="7F77FCE7"/>
    <w:rsid w:val="7F7B934C"/>
    <w:rsid w:val="7F9D5509"/>
    <w:rsid w:val="7F9F152B"/>
    <w:rsid w:val="7FC9BE1B"/>
    <w:rsid w:val="7FCBAF3D"/>
    <w:rsid w:val="7FDD3294"/>
    <w:rsid w:val="7FEEFD55"/>
    <w:rsid w:val="7FF38548"/>
    <w:rsid w:val="7FFF2B40"/>
    <w:rsid w:val="7FFF6E3B"/>
    <w:rsid w:val="7FFFD0BA"/>
    <w:rsid w:val="7FFFF4EB"/>
    <w:rsid w:val="89BF7195"/>
    <w:rsid w:val="9BBB847D"/>
    <w:rsid w:val="9D7FC7FF"/>
    <w:rsid w:val="AFED4158"/>
    <w:rsid w:val="B5E7ABD2"/>
    <w:rsid w:val="B675A091"/>
    <w:rsid w:val="B75B3995"/>
    <w:rsid w:val="B7B7CC51"/>
    <w:rsid w:val="B9FE1E35"/>
    <w:rsid w:val="BABBD7C5"/>
    <w:rsid w:val="BB65ECFB"/>
    <w:rsid w:val="BD8FA5C0"/>
    <w:rsid w:val="BD9FA456"/>
    <w:rsid w:val="BDDF511A"/>
    <w:rsid w:val="BE3F963F"/>
    <w:rsid w:val="BEF25687"/>
    <w:rsid w:val="BF5F0154"/>
    <w:rsid w:val="BFFB6DD4"/>
    <w:rsid w:val="BFFCB314"/>
    <w:rsid w:val="C17F0560"/>
    <w:rsid w:val="C7FFA820"/>
    <w:rsid w:val="C9370373"/>
    <w:rsid w:val="CCED85FD"/>
    <w:rsid w:val="CE7F2D34"/>
    <w:rsid w:val="CFFD1F5C"/>
    <w:rsid w:val="D7F9CE44"/>
    <w:rsid w:val="DAFF7D0E"/>
    <w:rsid w:val="DBD7D5A5"/>
    <w:rsid w:val="DDFE9CD6"/>
    <w:rsid w:val="DE3D8BDD"/>
    <w:rsid w:val="DE7F9A9B"/>
    <w:rsid w:val="DF5B4520"/>
    <w:rsid w:val="DF5DAD60"/>
    <w:rsid w:val="DF7E5158"/>
    <w:rsid w:val="DFB2225C"/>
    <w:rsid w:val="DFDFC655"/>
    <w:rsid w:val="DFF2DF85"/>
    <w:rsid w:val="E7572F4B"/>
    <w:rsid w:val="E7DB514B"/>
    <w:rsid w:val="ECFFD71B"/>
    <w:rsid w:val="EDD38DF9"/>
    <w:rsid w:val="EDFDC90C"/>
    <w:rsid w:val="EE4F007D"/>
    <w:rsid w:val="EE89CDFE"/>
    <w:rsid w:val="EEFB3D7E"/>
    <w:rsid w:val="EF3E903E"/>
    <w:rsid w:val="EF6366FE"/>
    <w:rsid w:val="EF6FDABC"/>
    <w:rsid w:val="EFB79180"/>
    <w:rsid w:val="EFFBE404"/>
    <w:rsid w:val="EFFC3282"/>
    <w:rsid w:val="F1DF6AE0"/>
    <w:rsid w:val="F3EF2DC5"/>
    <w:rsid w:val="F3EFE5D9"/>
    <w:rsid w:val="F71108B5"/>
    <w:rsid w:val="F766F08C"/>
    <w:rsid w:val="F77DFCAD"/>
    <w:rsid w:val="F77E7A5D"/>
    <w:rsid w:val="F7EC6645"/>
    <w:rsid w:val="F89FEEF9"/>
    <w:rsid w:val="F8CF9D7E"/>
    <w:rsid w:val="F97F4488"/>
    <w:rsid w:val="FADFC361"/>
    <w:rsid w:val="FBFEE116"/>
    <w:rsid w:val="FCF767E8"/>
    <w:rsid w:val="FDCFC7AE"/>
    <w:rsid w:val="FDDB4A5F"/>
    <w:rsid w:val="FDF62AC6"/>
    <w:rsid w:val="FDFC3701"/>
    <w:rsid w:val="FE0F89D2"/>
    <w:rsid w:val="FEBFFC2D"/>
    <w:rsid w:val="FEFBEE7B"/>
    <w:rsid w:val="FEFFD30F"/>
    <w:rsid w:val="FF5777D7"/>
    <w:rsid w:val="FF7A6A1A"/>
    <w:rsid w:val="FFBB8A99"/>
    <w:rsid w:val="FFBECE3E"/>
    <w:rsid w:val="FFE396E8"/>
    <w:rsid w:val="FFED7DCA"/>
    <w:rsid w:val="FFFD34FB"/>
    <w:rsid w:val="FFFE58CC"/>
    <w:rsid w:val="FFFE86C3"/>
    <w:rsid w:val="FFFEB4E1"/>
    <w:rsid w:val="FFFFA6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7">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680"/>
    </w:pPr>
  </w:style>
  <w:style w:type="paragraph" w:styleId="6">
    <w:name w:val="annotation text"/>
    <w:basedOn w:val="1"/>
    <w:qFormat/>
    <w:uiPriority w:val="0"/>
    <w:pPr>
      <w:jc w:val="left"/>
    </w:p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table of figures"/>
    <w:basedOn w:val="1"/>
    <w:next w:val="1"/>
    <w:qFormat/>
    <w:uiPriority w:val="0"/>
    <w:pPr>
      <w:ind w:left="400" w:leftChars="200" w:hanging="200" w:hangingChars="200"/>
    </w:pPr>
  </w:style>
  <w:style w:type="paragraph" w:styleId="14">
    <w:name w:val="toc 2"/>
    <w:basedOn w:val="1"/>
    <w:next w:val="1"/>
    <w:qFormat/>
    <w:uiPriority w:val="0"/>
    <w:pPr>
      <w:tabs>
        <w:tab w:val="right" w:leader="dot" w:pos="8296"/>
      </w:tabs>
      <w:ind w:left="20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styleId="20">
    <w:name w:val="annotation reference"/>
    <w:basedOn w:val="17"/>
    <w:qFormat/>
    <w:uiPriority w:val="0"/>
    <w:rPr>
      <w:sz w:val="21"/>
      <w:szCs w:val="21"/>
    </w:rPr>
  </w:style>
  <w:style w:type="character" w:customStyle="1" w:styleId="21">
    <w:name w:val="heading 1 Char"/>
    <w:basedOn w:val="17"/>
    <w:link w:val="2"/>
    <w:qFormat/>
    <w:uiPriority w:val="0"/>
    <w:rPr>
      <w:rFonts w:ascii="Times New Roman" w:hAnsi="Times New Roman" w:eastAsia="宋体" w:cs="Times New Roman"/>
      <w:b/>
      <w:bCs/>
      <w:kern w:val="44"/>
      <w:sz w:val="44"/>
      <w:szCs w:val="44"/>
      <w:lang w:val="en-US" w:eastAsia="zh-CN" w:bidi="ar-SA"/>
    </w:rPr>
  </w:style>
  <w:style w:type="character" w:customStyle="1" w:styleId="22">
    <w:name w:val="heading 2 Char"/>
    <w:basedOn w:val="17"/>
    <w:link w:val="3"/>
    <w:qFormat/>
    <w:uiPriority w:val="0"/>
    <w:rPr>
      <w:rFonts w:ascii="Cambria" w:hAnsi="Cambria" w:eastAsia="宋体" w:cs="Times New Roman"/>
      <w:b/>
      <w:bCs/>
      <w:kern w:val="2"/>
      <w:sz w:val="32"/>
      <w:szCs w:val="32"/>
      <w:lang w:val="en-US" w:eastAsia="zh-CN" w:bidi="ar-SA"/>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4">
    <w:name w:val="Header Char"/>
    <w:basedOn w:val="17"/>
    <w:qFormat/>
    <w:uiPriority w:val="0"/>
    <w:rPr>
      <w:rFonts w:ascii="Times New Roman" w:hAnsi="Times New Roman"/>
      <w:sz w:val="18"/>
      <w:szCs w:val="18"/>
    </w:rPr>
  </w:style>
  <w:style w:type="character" w:customStyle="1" w:styleId="25">
    <w:name w:val="Footer Char"/>
    <w:basedOn w:val="17"/>
    <w:qFormat/>
    <w:uiPriority w:val="0"/>
    <w:rPr>
      <w:rFonts w:ascii="Times New Roman" w:hAnsi="Times New Roman"/>
      <w:sz w:val="18"/>
      <w:szCs w:val="18"/>
    </w:rPr>
  </w:style>
  <w:style w:type="character" w:customStyle="1" w:styleId="26">
    <w:name w:val="Body Text Char"/>
    <w:basedOn w:val="17"/>
    <w:qFormat/>
    <w:uiPriority w:val="0"/>
    <w:rPr>
      <w:rFonts w:ascii="Times New Roman" w:hAnsi="Times New Roman"/>
      <w:szCs w:val="24"/>
    </w:rPr>
  </w:style>
  <w:style w:type="paragraph" w:styleId="27">
    <w:name w:val="List Paragraph"/>
    <w:basedOn w:val="1"/>
    <w:qFormat/>
    <w:uiPriority w:val="0"/>
    <w:pPr>
      <w:ind w:firstLine="200" w:firstLineChars="200"/>
    </w:pPr>
  </w:style>
  <w:style w:type="paragraph" w:customStyle="1" w:styleId="28">
    <w:name w:val="TOC 标题1"/>
    <w:basedOn w:val="2"/>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29">
    <w:name w:val="Normal363950e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Default Paragraph Font830522c6"/>
    <w:qFormat/>
    <w:uiPriority w:val="0"/>
  </w:style>
  <w:style w:type="paragraph" w:customStyle="1" w:styleId="31">
    <w:name w:val="Normal31da962d"/>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32">
    <w:name w:val="Default Paragraph Font5"/>
    <w:qFormat/>
    <w:uiPriority w:val="0"/>
  </w:style>
  <w:style w:type="paragraph" w:customStyle="1" w:styleId="33">
    <w:name w:val="footerce85b5ec"/>
    <w:basedOn w:val="31"/>
    <w:qFormat/>
    <w:uiPriority w:val="0"/>
    <w:pPr>
      <w:tabs>
        <w:tab w:val="center" w:pos="4153"/>
        <w:tab w:val="right" w:pos="8306"/>
      </w:tabs>
      <w:snapToGrid w:val="0"/>
      <w:jc w:val="left"/>
    </w:pPr>
    <w:rPr>
      <w:kern w:val="0"/>
      <w:sz w:val="18"/>
      <w:szCs w:val="20"/>
    </w:rPr>
  </w:style>
  <w:style w:type="paragraph" w:customStyle="1" w:styleId="34">
    <w:name w:val="headerf7e0821f"/>
    <w:basedOn w:val="31"/>
    <w:qFormat/>
    <w:uiPriority w:val="0"/>
    <w:pPr>
      <w:pBdr>
        <w:bottom w:val="single" w:color="auto" w:sz="6" w:space="1"/>
      </w:pBdr>
      <w:tabs>
        <w:tab w:val="center" w:pos="4153"/>
        <w:tab w:val="right" w:pos="8306"/>
      </w:tabs>
      <w:snapToGrid w:val="0"/>
      <w:jc w:val="center"/>
    </w:pPr>
    <w:rPr>
      <w:kern w:val="0"/>
      <w:sz w:val="18"/>
      <w:szCs w:val="20"/>
    </w:rPr>
  </w:style>
  <w:style w:type="character" w:customStyle="1" w:styleId="35">
    <w:name w:val="标题 2 Char"/>
    <w:basedOn w:val="17"/>
    <w:link w:val="3"/>
    <w:qFormat/>
    <w:uiPriority w:val="9"/>
    <w:rPr>
      <w:rFonts w:ascii="Cambria" w:hAnsi="Cambria" w:eastAsia="宋体" w:cs="Times New Roman"/>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embeddings/oleObject4.bin"/></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embeddings/oleObject1.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723196881091"/>
          <c:y val="0.00675675675675676"/>
          <c:w val="0.862378167641326"/>
          <c:h val="0.826013513513513"/>
        </c:manualLayout>
      </c:layout>
      <c:barChart>
        <c:barDir val="col"/>
        <c:grouping val="clustered"/>
        <c:varyColors val="0"/>
        <c:ser>
          <c:idx val="0"/>
          <c:order val="0"/>
          <c:tx>
            <c:strRef>
              <c:f>Sheet1!$B$1</c:f>
              <c:strCache>
                <c:ptCount val="1"/>
                <c:pt idx="0">
                  <c:v>金额</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strRef>
              <c:f>Sheet1!$A$2:$A$5</c:f>
              <c:strCache>
                <c:ptCount val="4"/>
                <c:pt idx="0">
                  <c:v>2023年收入</c:v>
                </c:pt>
                <c:pt idx="1">
                  <c:v>2023年支出</c:v>
                </c:pt>
                <c:pt idx="2">
                  <c:v>2024年收入</c:v>
                </c:pt>
                <c:pt idx="3">
                  <c:v>2024年支出</c:v>
                </c:pt>
              </c:strCache>
            </c:strRef>
          </c:cat>
          <c:val>
            <c:numRef>
              <c:f>Sheet1!$B$2:$B$5</c:f>
              <c:numCache>
                <c:formatCode>0.00_ </c:formatCode>
                <c:ptCount val="4"/>
                <c:pt idx="0">
                  <c:v>22.24</c:v>
                </c:pt>
                <c:pt idx="1">
                  <c:v>22.24</c:v>
                </c:pt>
                <c:pt idx="2">
                  <c:v>22.61</c:v>
                </c:pt>
                <c:pt idx="3">
                  <c:v>22.61</c:v>
                </c:pt>
              </c:numCache>
            </c:numRef>
          </c:val>
        </c:ser>
        <c:dLbls>
          <c:showLegendKey val="0"/>
          <c:showVal val="1"/>
          <c:showCatName val="0"/>
          <c:showSerName val="0"/>
          <c:showPercent val="0"/>
          <c:showBubbleSize val="0"/>
        </c:dLbls>
        <c:gapWidth val="41"/>
        <c:overlap val="0"/>
        <c:axId val="60139776"/>
        <c:axId val="60160256"/>
      </c:barChart>
      <c:catAx>
        <c:axId val="60139776"/>
        <c:scaling>
          <c:orientation val="minMax"/>
        </c:scaling>
        <c:delete val="0"/>
        <c:axPos val="b"/>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60160256"/>
        <c:crosses val="autoZero"/>
        <c:auto val="1"/>
        <c:lblAlgn val="ctr"/>
        <c:lblOffset val="100"/>
        <c:noMultiLvlLbl val="0"/>
      </c:catAx>
      <c:valAx>
        <c:axId val="60160256"/>
        <c:scaling>
          <c:orientation val="minMax"/>
        </c:scaling>
        <c:delete val="1"/>
        <c:axPos val="l"/>
        <c:numFmt formatCode="0.00_ "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60139776"/>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AR PL UKai CN" panose="02000503000000000000" charset="-122"/>
                <a:ea typeface="AR PL UKai CN" panose="02000503000000000000" charset="-122"/>
                <a:cs typeface="Lucida Sans" panose="020B0602030504020204"/>
              </a:defRPr>
            </a:pPr>
            <a:r>
              <a:rPr lang="zh-CN"/>
              <a:t>收入决算结构图</a:t>
            </a:r>
            <a:endParaRPr lang="zh-CN"/>
          </a:p>
        </c:rich>
      </c:tx>
      <c:layout/>
      <c:overlay val="0"/>
      <c:spPr>
        <a:ln>
          <a:noFill/>
        </a:ln>
      </c:spPr>
    </c:title>
    <c:autoTitleDeleted val="0"/>
    <c:plotArea>
      <c:layout/>
      <c:pieChart>
        <c:varyColors val="1"/>
        <c:ser>
          <c:idx val="1"/>
          <c:order val="0"/>
          <c:spPr>
            <a:ln>
              <a:noFill/>
            </a:ln>
          </c:spPr>
          <c:explosion val="0"/>
          <c:dPt>
            <c:idx val="0"/>
            <c:bubble3D val="0"/>
            <c:spPr>
              <a:solidFill>
                <a:srgbClr val="4572A7"/>
              </a:solidFill>
            </c:spPr>
          </c:dPt>
          <c:dPt>
            <c:idx val="1"/>
            <c:bubble3D val="0"/>
            <c:spPr>
              <a:solidFill>
                <a:srgbClr val="AA4643"/>
              </a:solidFill>
            </c:spPr>
          </c:dPt>
          <c:dPt>
            <c:idx val="2"/>
            <c:bubble3D val="0"/>
            <c:spPr>
              <a:solidFill>
                <a:srgbClr val="89A54E"/>
              </a:solidFill>
            </c:spPr>
          </c:dPt>
          <c:dPt>
            <c:idx val="3"/>
            <c:bubble3D val="0"/>
            <c:spPr>
              <a:solidFill>
                <a:srgbClr val="71588F"/>
              </a:solidFill>
            </c:spPr>
          </c:dPt>
          <c:dPt>
            <c:idx val="4"/>
            <c:bubble3D val="0"/>
            <c:spPr>
              <a:solidFill>
                <a:srgbClr val="4198AF"/>
              </a:solidFill>
            </c:spPr>
          </c:dPt>
          <c:dPt>
            <c:idx val="5"/>
            <c:bubble3D val="0"/>
            <c:spPr>
              <a:solidFill>
                <a:srgbClr val="DB843D"/>
              </a:solidFill>
            </c:spPr>
          </c:dPt>
          <c:dPt>
            <c:idx val="6"/>
            <c:bubble3D val="0"/>
            <c:spPr>
              <a:solidFill>
                <a:srgbClr val="93A9CF"/>
              </a:solidFill>
            </c:spPr>
          </c:dPt>
          <c:dPt>
            <c:idx val="7"/>
            <c:bubble3D val="0"/>
            <c:spPr>
              <a:solidFill>
                <a:srgbClr val="D19392"/>
              </a:solidFill>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panose="02000503000000000000" charset="-122"/>
                    <a:ea typeface="AR PL UKai CN" panose="02000503000000000000" charset="-122"/>
                    <a:cs typeface="Lucida Sans" panose="020B0602030504020204"/>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{12537102.67,0,0,0,0,0,0,0}</c:f>
              <c:numCache>
                <c:formatCode>General</c:formatCode>
                <c:ptCount val="8"/>
                <c:pt idx="0">
                  <c:v>12537102.67</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panose="020B0602030504020204"/>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c:f>
              <c:strCache>
                <c:ptCount val="1"/>
                <c:pt idx="0">
                  <c:v>基本支出</c:v>
                </c:pt>
              </c:strCache>
            </c:strRef>
          </c:cat>
          <c:val>
            <c:numRef>
              <c:f>Sheet1!$B$2</c:f>
              <c:numCache>
                <c:formatCode>0.00_ </c:formatCode>
                <c:ptCount val="1"/>
                <c:pt idx="0">
                  <c:v>20.6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02494021182098"/>
          <c:y val="0.0122599100939926"/>
          <c:w val="0.862378167641326"/>
          <c:h val="0.826013513513513"/>
        </c:manualLayout>
      </c:layout>
      <c:barChart>
        <c:barDir val="col"/>
        <c:grouping val="clustered"/>
        <c:varyColors val="0"/>
        <c:ser>
          <c:idx val="0"/>
          <c:order val="0"/>
          <c:tx>
            <c:strRef>
              <c:f>Sheet1!$B$1</c:f>
              <c:strCache>
                <c:ptCount val="1"/>
                <c:pt idx="0">
                  <c:v>金额</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2023年收入</c:v>
                </c:pt>
                <c:pt idx="1">
                  <c:v>2023年支出</c:v>
                </c:pt>
                <c:pt idx="2">
                  <c:v>2024年收入</c:v>
                </c:pt>
                <c:pt idx="3">
                  <c:v>2024年支出</c:v>
                </c:pt>
              </c:strCache>
            </c:strRef>
          </c:cat>
          <c:val>
            <c:numRef>
              <c:f>Sheet1!$B$2:$B$5</c:f>
              <c:numCache>
                <c:formatCode>0.00_ </c:formatCode>
                <c:ptCount val="4"/>
                <c:pt idx="0">
                  <c:v>22.24</c:v>
                </c:pt>
                <c:pt idx="1">
                  <c:v>22.24</c:v>
                </c:pt>
                <c:pt idx="2">
                  <c:v>22.61</c:v>
                </c:pt>
                <c:pt idx="3">
                  <c:v>22.61</c:v>
                </c:pt>
              </c:numCache>
            </c:numRef>
          </c:val>
        </c:ser>
        <c:dLbls>
          <c:showLegendKey val="0"/>
          <c:showVal val="1"/>
          <c:showCatName val="0"/>
          <c:showSerName val="0"/>
          <c:showPercent val="0"/>
          <c:showBubbleSize val="0"/>
        </c:dLbls>
        <c:gapWidth val="219"/>
        <c:overlap val="-27"/>
        <c:axId val="60139776"/>
        <c:axId val="60160256"/>
      </c:barChart>
      <c:catAx>
        <c:axId val="6013977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160256"/>
        <c:crosses val="autoZero"/>
        <c:auto val="1"/>
        <c:lblAlgn val="ctr"/>
        <c:lblOffset val="100"/>
        <c:noMultiLvlLbl val="0"/>
      </c:catAx>
      <c:valAx>
        <c:axId val="60160256"/>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139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044014827368"/>
          <c:y val="0.0402424242424242"/>
          <c:w val="0.862378167641326"/>
          <c:h val="0.826013513513513"/>
        </c:manualLayout>
      </c:layout>
      <c:barChart>
        <c:barDir val="col"/>
        <c:grouping val="clustered"/>
        <c:varyColors val="0"/>
        <c:ser>
          <c:idx val="0"/>
          <c:order val="0"/>
          <c:tx>
            <c:strRef>
              <c:f>Sheet1!$B$1</c:f>
              <c:strCache>
                <c:ptCount val="1"/>
                <c:pt idx="0">
                  <c:v>金额</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2023年</c:v>
                </c:pt>
                <c:pt idx="1">
                  <c:v>2024年</c:v>
                </c:pt>
              </c:strCache>
            </c:strRef>
          </c:cat>
          <c:val>
            <c:numRef>
              <c:f>Sheet1!$B$2:$B$3</c:f>
              <c:numCache>
                <c:formatCode>0.00_ </c:formatCode>
                <c:ptCount val="2"/>
                <c:pt idx="0">
                  <c:v>22.24</c:v>
                </c:pt>
                <c:pt idx="1">
                  <c:v>22.61</c:v>
                </c:pt>
              </c:numCache>
            </c:numRef>
          </c:val>
        </c:ser>
        <c:dLbls>
          <c:showLegendKey val="0"/>
          <c:showVal val="1"/>
          <c:showCatName val="0"/>
          <c:showSerName val="0"/>
          <c:showPercent val="0"/>
          <c:showBubbleSize val="0"/>
        </c:dLbls>
        <c:gapWidth val="75"/>
        <c:axId val="60139776"/>
        <c:axId val="60160256"/>
      </c:barChart>
      <c:catAx>
        <c:axId val="6013977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0160256"/>
        <c:crosses val="autoZero"/>
        <c:auto val="1"/>
        <c:lblAlgn val="ctr"/>
        <c:lblOffset val="100"/>
        <c:noMultiLvlLbl val="0"/>
      </c:catAx>
      <c:valAx>
        <c:axId val="60160256"/>
        <c:scaling>
          <c:orientation val="minMax"/>
        </c:scaling>
        <c:delete val="0"/>
        <c:axPos val="l"/>
        <c:numFmt formatCode="0.00_ "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0139776"/>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金额</c:v>
                </c:pt>
              </c:strCache>
            </c:strRef>
          </c:tx>
          <c:explosion val="0"/>
          <c:dPt>
            <c:idx val="0"/>
            <c:bubble3D val="0"/>
          </c:dPt>
          <c:dPt>
            <c:idx val="1"/>
            <c:bubble3D val="0"/>
          </c:dPt>
          <c:dPt>
            <c:idx val="2"/>
            <c:bubble3D val="0"/>
          </c:dPt>
          <c:dPt>
            <c:idx val="3"/>
            <c:bubble3D val="0"/>
          </c:dPt>
          <c:dLbls>
            <c:delete val="1"/>
          </c:dLbls>
          <c:cat>
            <c:strRef>
              <c:f>Sheet1!$A$2:$A$5</c:f>
              <c:strCache>
                <c:ptCount val="4"/>
                <c:pt idx="0">
                  <c:v>其他科学技术支出72.10%</c:v>
                </c:pt>
                <c:pt idx="1">
                  <c:v>社会保障和就业支出14.77%</c:v>
                </c:pt>
                <c:pt idx="2">
                  <c:v>卫生健康支出5.26%</c:v>
                </c:pt>
                <c:pt idx="3">
                  <c:v>住房保障支出7.87%</c:v>
                </c:pt>
              </c:strCache>
            </c:strRef>
          </c:cat>
          <c:val>
            <c:numRef>
              <c:f>Sheet1!$B$2:$B$5</c:f>
              <c:numCache>
                <c:formatCode>0.00_ </c:formatCode>
                <c:ptCount val="4"/>
                <c:pt idx="0">
                  <c:v>16.3</c:v>
                </c:pt>
                <c:pt idx="1">
                  <c:v>3.34</c:v>
                </c:pt>
                <c:pt idx="2">
                  <c:v>1.19</c:v>
                </c:pt>
                <c:pt idx="3">
                  <c:v>1.78</c:v>
                </c:pt>
              </c:numCache>
            </c:numRef>
          </c:val>
        </c:ser>
        <c:ser>
          <c:idx val="1"/>
          <c:order val="1"/>
          <c:tx>
            <c:strRef>
              <c:f>Sheet1!#REF!</c:f>
              <c:strCache>
                <c:ptCount val="1"/>
                <c:pt idx="0">
                  <c:v/>
                </c:pt>
              </c:strCache>
            </c:strRef>
          </c:tx>
          <c:explosion val="0"/>
          <c:dPt>
            <c:idx val="0"/>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其他科学技术支出72.10%</c:v>
                </c:pt>
                <c:pt idx="1">
                  <c:v>社会保障和就业支出14.77%</c:v>
                </c:pt>
                <c:pt idx="2">
                  <c:v>卫生健康支出5.26%</c:v>
                </c:pt>
                <c:pt idx="3">
                  <c:v>住房保障支出7.87%</c:v>
                </c:pt>
              </c:strCache>
            </c:strRef>
          </c:cat>
          <c:val>
            <c:numRef>
              <c:f>Sheet1!#REF!</c:f>
              <c:numCache>
                <c:formatCode>General</c:formatCode>
                <c:ptCount val="1"/>
                <c:pt idx="0">
                  <c:v>1</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77238456312652"/>
          <c:y val="0.0841256735616201"/>
          <c:w val="0.318076239923487"/>
          <c:h val="0.861615678776291"/>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19</Pages>
  <Words>6738</Words>
  <Characters>7336</Characters>
  <Lines>441</Lines>
  <Paragraphs>193</Paragraphs>
  <TotalTime>8</TotalTime>
  <ScaleCrop>false</ScaleCrop>
  <LinksUpToDate>false</LinksUpToDate>
  <CharactersWithSpaces>7393</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2022-08-28T17:31:00Z</dcterms:created>
  <dc:creator>lgk</dc:creator>
  <cp:lastModifiedBy>user</cp:lastModifiedBy>
  <cp:lastPrinted>2025-09-19T07:11:00Z</cp:lastPrinted>
  <dcterms:modified xsi:type="dcterms:W3CDTF">2025-09-18T17:53:32Z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58623B47BD294E14A600AB92A114339E_13</vt:lpwstr>
  </property>
  <property fmtid="{D5CDD505-2E9C-101B-9397-08002B2CF9AE}" pid="4" name="KSOTemplateDocerSaveRecord">
    <vt:lpwstr>eyJoZGlkIjoiOWVjMGMzZDg4Zjk1NzBhMTQzMmM2OTcwOWY1ZDY5ZWEiLCJ1c2VySWQiOiIxNDkwMTI0NTY1In0=</vt:lpwstr>
  </property>
</Properties>
</file>