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44"/>
          <w:szCs w:val="44"/>
        </w:rPr>
      </w:pPr>
      <w:bookmarkStart w:id="1" w:name="_Toc15378441"/>
      <w:bookmarkStart w:id="2" w:name="_Toc15396475"/>
      <w:bookmarkStart w:id="3" w:name="_Toc15396597"/>
      <w:bookmarkStart w:id="4" w:name="_Toc15377193"/>
      <w:bookmarkStart w:id="5" w:name="_Toc15377425"/>
      <w:r>
        <w:rPr>
          <w:rFonts w:ascii="方正小标宋简体" w:eastAsia="方正小标宋简体" w:cs="方正小标宋简体"/>
          <w:b/>
          <w:bCs/>
          <w:color w:val="000000"/>
          <w:sz w:val="44"/>
          <w:szCs w:val="44"/>
        </w:rPr>
        <w:t>2019</w:t>
      </w:r>
      <w:r>
        <w:rPr>
          <w:rFonts w:hint="eastAsia" w:ascii="方正小标宋简体" w:eastAsia="方正小标宋简体" w:cs="方正小标宋简体"/>
          <w:b/>
          <w:bCs/>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b/>
          <w:bCs/>
          <w:color w:val="000000"/>
          <w:sz w:val="44"/>
          <w:szCs w:val="44"/>
        </w:rPr>
      </w:pPr>
      <w:bookmarkStart w:id="6" w:name="_Toc15378442"/>
      <w:bookmarkStart w:id="7" w:name="_Toc15377426"/>
      <w:bookmarkStart w:id="8" w:name="_Toc15396598"/>
      <w:bookmarkStart w:id="9" w:name="_Toc15396476"/>
      <w:bookmarkStart w:id="10" w:name="_Toc15377194"/>
      <w:r>
        <w:rPr>
          <w:rFonts w:hint="eastAsia" w:ascii="方正小标宋简体" w:eastAsia="方正小标宋简体" w:cs="方正小标宋简体"/>
          <w:b/>
          <w:bCs/>
          <w:color w:val="000000"/>
          <w:sz w:val="44"/>
          <w:szCs w:val="44"/>
        </w:rPr>
        <w:t>四川</w:t>
      </w:r>
      <w:bookmarkEnd w:id="0"/>
      <w:bookmarkStart w:id="11" w:name="_Toc15306268"/>
      <w:r>
        <w:rPr>
          <w:rFonts w:hint="eastAsia" w:ascii="方正小标宋简体" w:eastAsia="方正小标宋简体" w:cs="方正小标宋简体"/>
          <w:b/>
          <w:bCs/>
          <w:color w:val="000000"/>
          <w:sz w:val="44"/>
          <w:szCs w:val="44"/>
        </w:rPr>
        <w:t>省阿坝州茂县县委党校部门决算</w:t>
      </w:r>
      <w:bookmarkEnd w:id="6"/>
      <w:bookmarkEnd w:id="7"/>
      <w:bookmarkEnd w:id="8"/>
      <w:bookmarkEnd w:id="9"/>
      <w:bookmarkEnd w:id="10"/>
      <w:bookmarkEnd w:id="11"/>
    </w:p>
    <w:p>
      <w:pPr>
        <w:adjustRightInd w:val="0"/>
        <w:snapToGrid w:val="0"/>
        <w:spacing w:line="360" w:lineRule="auto"/>
        <w:jc w:val="center"/>
        <w:outlineLvl w:val="0"/>
        <w:rPr>
          <w:rFonts w:ascii="黑体" w:eastAsia="黑体"/>
          <w:b/>
          <w:bCs/>
          <w:color w:val="000000"/>
          <w:sz w:val="44"/>
          <w:szCs w:val="44"/>
        </w:rPr>
      </w:pPr>
      <w:bookmarkStart w:id="72" w:name="_GoBack"/>
      <w:bookmarkEnd w:id="72"/>
      <w:r>
        <w:rPr>
          <w:rFonts w:ascii="方正小标宋简体" w:eastAsia="方正小标宋简体"/>
          <w:color w:val="000000"/>
          <w:sz w:val="36"/>
          <w:szCs w:val="36"/>
        </w:rPr>
        <w:br w:type="page"/>
      </w:r>
      <w:r>
        <w:rPr>
          <w:rFonts w:hint="eastAsia" w:ascii="方正小标宋简体" w:eastAsia="方正小标宋简体" w:cs="方正小标宋简体"/>
          <w:b/>
          <w:bCs/>
          <w:color w:val="000000"/>
          <w:sz w:val="44"/>
          <w:szCs w:val="44"/>
        </w:rPr>
        <w:t>目录</w:t>
      </w:r>
    </w:p>
    <w:p>
      <w:pPr>
        <w:widowControl/>
        <w:jc w:val="center"/>
        <w:rPr>
          <w:rFonts w:ascii="黑体" w:eastAsia="黑体"/>
          <w:sz w:val="28"/>
          <w:szCs w:val="28"/>
        </w:rPr>
      </w:pPr>
      <w:r>
        <w:rPr>
          <w:rFonts w:ascii="黑体" w:eastAsia="黑体" w:cs="黑体"/>
          <w:color w:val="000000"/>
          <w:sz w:val="48"/>
          <w:szCs w:val="48"/>
        </w:rPr>
        <w:fldChar w:fldCharType="begin"/>
      </w:r>
      <w:r>
        <w:rPr>
          <w:rFonts w:ascii="黑体" w:eastAsia="黑体" w:cs="黑体"/>
          <w:color w:val="000000"/>
          <w:sz w:val="48"/>
          <w:szCs w:val="48"/>
        </w:rPr>
        <w:instrText xml:space="preserve"> TOC \o "1-2" \h \z \u </w:instrText>
      </w:r>
      <w:r>
        <w:rPr>
          <w:rFonts w:ascii="黑体" w:eastAsia="黑体" w:cs="黑体"/>
          <w:color w:val="000000"/>
          <w:sz w:val="48"/>
          <w:szCs w:val="48"/>
        </w:rPr>
        <w:fldChar w:fldCharType="separate"/>
      </w:r>
    </w:p>
    <w:p>
      <w:pPr>
        <w:pStyle w:val="11"/>
      </w:pPr>
      <w:r>
        <w:rPr>
          <w:rFonts w:hint="eastAsia" w:ascii="宋体" w:cs="宋体"/>
        </w:rPr>
        <w:t>公开时间：</w:t>
      </w:r>
      <w:r>
        <w:t>2020</w:t>
      </w:r>
      <w:r>
        <w:rPr>
          <w:rFonts w:hint="eastAsia" w:ascii="宋体" w:cs="宋体"/>
        </w:rPr>
        <w:t>年</w:t>
      </w:r>
      <w:r>
        <w:t>9</w:t>
      </w:r>
      <w:r>
        <w:rPr>
          <w:rFonts w:hint="eastAsia" w:ascii="宋体" w:cs="宋体"/>
        </w:rPr>
        <w:t>月</w:t>
      </w:r>
      <w:r>
        <w:t>25</w:t>
      </w:r>
      <w:r>
        <w:rPr>
          <w:rFonts w:hint="eastAsia" w:ascii="宋体" w:cs="宋体"/>
        </w:rPr>
        <w:t>日</w:t>
      </w:r>
    </w:p>
    <w:p>
      <w:pPr>
        <w:rPr>
          <w:rFonts w:ascii="仿宋_GB2312" w:eastAsia="仿宋_GB2312"/>
          <w:sz w:val="32"/>
          <w:szCs w:val="32"/>
        </w:rPr>
      </w:pPr>
    </w:p>
    <w:p>
      <w:pPr>
        <w:pStyle w:val="11"/>
      </w:pPr>
      <w:r>
        <w:fldChar w:fldCharType="begin"/>
      </w:r>
      <w:r>
        <w:instrText xml:space="preserve">Hyperlink \l "_Toc15396599"</w:instrText>
      </w:r>
      <w:r>
        <w:fldChar w:fldCharType="separate"/>
      </w:r>
      <w:r>
        <w:rPr>
          <w:rFonts w:hint="eastAsia" w:ascii="宋体" w:cs="宋体"/>
        </w:rPr>
        <w:t>第一部分部门概况</w:t>
      </w:r>
      <w:r>
        <w:tab/>
      </w:r>
      <w:r>
        <w:t>4</w:t>
      </w:r>
      <w:r>
        <w:fldChar w:fldCharType="end"/>
      </w:r>
    </w:p>
    <w:p>
      <w:pPr>
        <w:pStyle w:val="12"/>
        <w:rPr>
          <w:rFonts w:ascii="??" w:hAnsi="??"/>
          <w:sz w:val="28"/>
          <w:szCs w:val="28"/>
        </w:rPr>
      </w:pPr>
      <w:r>
        <w:fldChar w:fldCharType="begin"/>
      </w:r>
      <w:r>
        <w:instrText xml:space="preserve">Hyperlink \l "_Toc15396600"</w:instrText>
      </w:r>
      <w:r>
        <w:fldChar w:fldCharType="separate"/>
      </w:r>
      <w:r>
        <w:rPr>
          <w:rFonts w:hint="eastAsia" w:ascii="宋体" w:cs="宋体"/>
          <w:sz w:val="28"/>
          <w:szCs w:val="28"/>
        </w:rPr>
        <w:t>一、基本职能及主要工作</w:t>
      </w:r>
      <w:r>
        <w:rPr>
          <w:rFonts w:ascii="??" w:hAnsi="??"/>
          <w:sz w:val="28"/>
          <w:szCs w:val="28"/>
        </w:rPr>
        <w:tab/>
      </w:r>
      <w:r>
        <w:rPr>
          <w:rFonts w:ascii="??" w:hAnsi="??"/>
          <w:sz w:val="28"/>
          <w:szCs w:val="28"/>
        </w:rPr>
        <w:t>4</w:t>
      </w:r>
      <w:r>
        <w:fldChar w:fldCharType="end"/>
      </w:r>
    </w:p>
    <w:p>
      <w:pPr>
        <w:pStyle w:val="12"/>
        <w:rPr>
          <w:rFonts w:ascii="??" w:hAnsi="??"/>
          <w:sz w:val="28"/>
          <w:szCs w:val="28"/>
        </w:rPr>
      </w:pPr>
      <w:r>
        <w:fldChar w:fldCharType="begin"/>
      </w:r>
      <w:r>
        <w:instrText xml:space="preserve">Hyperlink \l "_Toc15396601"</w:instrText>
      </w:r>
      <w:r>
        <w:fldChar w:fldCharType="separate"/>
      </w:r>
      <w:r>
        <w:rPr>
          <w:rFonts w:hint="eastAsia" w:ascii="宋体" w:cs="宋体"/>
          <w:sz w:val="28"/>
          <w:szCs w:val="28"/>
        </w:rPr>
        <w:t>二、机构设置</w:t>
      </w:r>
      <w:r>
        <w:rPr>
          <w:rFonts w:ascii="??" w:hAnsi="??"/>
          <w:sz w:val="28"/>
          <w:szCs w:val="28"/>
        </w:rPr>
        <w:tab/>
      </w:r>
      <w:r>
        <w:rPr>
          <w:rFonts w:ascii="??" w:hAnsi="??"/>
          <w:sz w:val="28"/>
          <w:szCs w:val="28"/>
        </w:rPr>
        <w:fldChar w:fldCharType="begin"/>
      </w:r>
      <w:r>
        <w:rPr>
          <w:rFonts w:ascii="??" w:hAnsi="??"/>
          <w:sz w:val="28"/>
          <w:szCs w:val="28"/>
        </w:rPr>
        <w:instrText xml:space="preserve"> PAGEREF _Toc15396601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1"/>
      </w:pPr>
      <w:r>
        <w:fldChar w:fldCharType="begin"/>
      </w:r>
      <w:r>
        <w:instrText xml:space="preserve">Hyperlink \l "_Toc15396602"</w:instrText>
      </w:r>
      <w:r>
        <w:fldChar w:fldCharType="separate"/>
      </w:r>
      <w:r>
        <w:rPr>
          <w:rFonts w:hint="eastAsia" w:ascii="宋体" w:cs="宋体"/>
        </w:rPr>
        <w:t>第二部分</w:t>
      </w:r>
      <w:r>
        <w:rPr>
          <w:rFonts w:cs="??"/>
        </w:rPr>
        <w:t xml:space="preserve"> 2019</w:t>
      </w:r>
      <w:r>
        <w:rPr>
          <w:rFonts w:hint="eastAsia" w:ascii="宋体" w:cs="宋体"/>
        </w:rPr>
        <w:t>年度部门决算情况说明</w:t>
      </w:r>
      <w:r>
        <w:tab/>
      </w:r>
      <w:r>
        <w:fldChar w:fldCharType="begin"/>
      </w:r>
      <w:r>
        <w:instrText xml:space="preserve"> PAGEREF _Toc15396602 \h </w:instrText>
      </w:r>
      <w:r>
        <w:fldChar w:fldCharType="separate"/>
      </w:r>
      <w:r>
        <w:t>3</w:t>
      </w:r>
      <w:r>
        <w:fldChar w:fldCharType="end"/>
      </w:r>
      <w:r>
        <w:fldChar w:fldCharType="end"/>
      </w:r>
    </w:p>
    <w:p>
      <w:pPr>
        <w:pStyle w:val="12"/>
        <w:rPr>
          <w:rFonts w:ascii="??" w:hAnsi="??"/>
          <w:sz w:val="28"/>
          <w:szCs w:val="28"/>
        </w:rPr>
      </w:pPr>
      <w:r>
        <w:fldChar w:fldCharType="begin"/>
      </w:r>
      <w:r>
        <w:instrText xml:space="preserve">Hyperlink \l "_Toc15396603"</w:instrText>
      </w:r>
      <w:r>
        <w:fldChar w:fldCharType="separate"/>
      </w:r>
      <w:r>
        <w:rPr>
          <w:rFonts w:hint="eastAsia" w:ascii="宋体" w:cs="宋体"/>
          <w:sz w:val="28"/>
          <w:szCs w:val="28"/>
        </w:rPr>
        <w:t>一、收入支出决算总体情况说明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_Toc15396603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"_Toc15396604"</w:instrText>
      </w:r>
      <w:r>
        <w:fldChar w:fldCharType="separate"/>
      </w:r>
      <w:r>
        <w:rPr>
          <w:rFonts w:hint="eastAsia" w:ascii="宋体" w:cs="宋体"/>
          <w:sz w:val="28"/>
          <w:szCs w:val="28"/>
        </w:rPr>
        <w:t>二、收入决算情况说明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_Toc15396604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"_Toc15396605"</w:instrText>
      </w:r>
      <w:r>
        <w:fldChar w:fldCharType="separate"/>
      </w:r>
      <w:r>
        <w:rPr>
          <w:rFonts w:hint="eastAsia" w:ascii="宋体" w:cs="宋体"/>
          <w:sz w:val="28"/>
          <w:szCs w:val="28"/>
        </w:rPr>
        <w:t>三、支出决算情况说明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_Toc15396605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"_Toc15396606"</w:instrText>
      </w:r>
      <w:r>
        <w:fldChar w:fldCharType="separate"/>
      </w:r>
      <w:r>
        <w:rPr>
          <w:rFonts w:hint="eastAsia" w:ascii="宋体" w:cs="宋体"/>
          <w:sz w:val="28"/>
          <w:szCs w:val="28"/>
        </w:rPr>
        <w:t>四、财政拨款收入支出决算总体情况说明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_Toc15396606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"_Toc15396607"</w:instrText>
      </w:r>
      <w:r>
        <w:fldChar w:fldCharType="separate"/>
      </w:r>
      <w:r>
        <w:rPr>
          <w:rFonts w:hint="eastAsia" w:ascii="宋体" w:cs="宋体"/>
          <w:sz w:val="28"/>
          <w:szCs w:val="28"/>
        </w:rPr>
        <w:t>五、一般公共预算财政拨款支出决算情况说明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_Toc15396607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"_Toc15396608"</w:instrText>
      </w:r>
      <w:r>
        <w:fldChar w:fldCharType="separate"/>
      </w:r>
      <w:r>
        <w:rPr>
          <w:rFonts w:hint="eastAsia" w:ascii="宋体" w:cs="宋体"/>
          <w:sz w:val="28"/>
          <w:szCs w:val="28"/>
        </w:rPr>
        <w:t>六、一般公共预算财政拨款基本支出决算情况说明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_Toc15396608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"_Toc15396609"</w:instrText>
      </w:r>
      <w:r>
        <w:fldChar w:fldCharType="separate"/>
      </w:r>
      <w:r>
        <w:rPr>
          <w:rFonts w:hint="eastAsia" w:ascii="宋体" w:cs="宋体"/>
          <w:sz w:val="28"/>
          <w:szCs w:val="28"/>
        </w:rPr>
        <w:t>七、</w:t>
      </w:r>
      <w:r>
        <w:rPr>
          <w:rFonts w:ascii="??" w:hAnsi="??"/>
          <w:sz w:val="28"/>
          <w:szCs w:val="28"/>
        </w:rPr>
        <w:t>“</w:t>
      </w:r>
      <w:r>
        <w:rPr>
          <w:rFonts w:hint="eastAsia" w:ascii="宋体" w:cs="宋体"/>
          <w:sz w:val="28"/>
          <w:szCs w:val="28"/>
        </w:rPr>
        <w:t>三公</w:t>
      </w:r>
      <w:r>
        <w:rPr>
          <w:rFonts w:ascii="??" w:hAnsi="??"/>
          <w:sz w:val="28"/>
          <w:szCs w:val="28"/>
        </w:rPr>
        <w:t>”</w:t>
      </w:r>
      <w:r>
        <w:rPr>
          <w:rFonts w:hint="eastAsia" w:ascii="宋体" w:cs="宋体"/>
          <w:sz w:val="28"/>
          <w:szCs w:val="28"/>
        </w:rPr>
        <w:t>经费财政拨款支出决算情况说明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_Toc15396609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"_Toc15396610"</w:instrText>
      </w:r>
      <w:r>
        <w:fldChar w:fldCharType="separate"/>
      </w:r>
      <w:r>
        <w:rPr>
          <w:rFonts w:hint="eastAsia" w:ascii="宋体" w:cs="宋体"/>
          <w:sz w:val="28"/>
          <w:szCs w:val="28"/>
        </w:rPr>
        <w:t>八、政府性基金预算支出决算情况说明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_Toc15396610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"_Toc15396611"</w:instrText>
      </w:r>
      <w:r>
        <w:fldChar w:fldCharType="separate"/>
      </w:r>
      <w:r>
        <w:rPr>
          <w:rFonts w:hint="eastAsia" w:ascii="宋体" w:cs="宋体"/>
          <w:sz w:val="28"/>
          <w:szCs w:val="28"/>
        </w:rPr>
        <w:t>九、国有资本经营预算支出决算情况说明</w:t>
      </w:r>
      <w:r>
        <w:rPr>
          <w:rFonts w:ascii="??" w:hAnsi="??"/>
          <w:sz w:val="28"/>
          <w:szCs w:val="28"/>
        </w:rPr>
        <w:tab/>
      </w:r>
      <w:r>
        <w:rPr>
          <w:rFonts w:ascii="??" w:hAnsi="??"/>
          <w:sz w:val="28"/>
          <w:szCs w:val="28"/>
        </w:rPr>
        <w:fldChar w:fldCharType="begin"/>
      </w:r>
      <w:r>
        <w:rPr>
          <w:rFonts w:ascii="??" w:hAnsi="??"/>
          <w:sz w:val="28"/>
          <w:szCs w:val="28"/>
        </w:rPr>
        <w:instrText xml:space="preserve"> PAGEREF _Toc15396611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fldChar w:fldCharType="begin"/>
      </w:r>
      <w:r>
        <w:instrText xml:space="preserve">Hyperlink \l "_Toc15396612"</w:instrText>
      </w:r>
      <w:r>
        <w:fldChar w:fldCharType="separate"/>
      </w:r>
      <w:r>
        <w:rPr>
          <w:rFonts w:hint="eastAsia" w:ascii="宋体" w:cs="宋体"/>
          <w:sz w:val="28"/>
          <w:szCs w:val="28"/>
        </w:rPr>
        <w:t>十、其他重要事项的情况说明</w:t>
      </w:r>
      <w:r>
        <w:rPr>
          <w:rFonts w:ascii="??" w:hAnsi="??"/>
          <w:sz w:val="28"/>
          <w:szCs w:val="28"/>
        </w:rPr>
        <w:tab/>
      </w:r>
      <w:r>
        <w:rPr>
          <w:rFonts w:ascii="??" w:hAnsi="??"/>
          <w:sz w:val="28"/>
          <w:szCs w:val="28"/>
        </w:rPr>
        <w:fldChar w:fldCharType="begin"/>
      </w:r>
      <w:r>
        <w:rPr>
          <w:rFonts w:ascii="??" w:hAnsi="??"/>
          <w:sz w:val="28"/>
          <w:szCs w:val="28"/>
        </w:rPr>
        <w:instrText xml:space="preserve"> PAGEREF _Toc15396612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1"/>
        <w:ind w:firstLine="280" w:firstLineChars="100"/>
        <w:jc w:val="both"/>
      </w:pPr>
      <w:r>
        <w:rPr>
          <w:rFonts w:hint="eastAsia"/>
        </w:rPr>
        <w:t>第三部分</w:t>
      </w:r>
      <w:r>
        <w:fldChar w:fldCharType="begin"/>
      </w:r>
      <w:r>
        <w:instrText xml:space="preserve">Hyperlink \l "_Toc15396614"</w:instrText>
      </w:r>
      <w:r>
        <w:fldChar w:fldCharType="separate"/>
      </w:r>
      <w:r>
        <w:rPr>
          <w:rFonts w:hint="eastAsia"/>
        </w:rPr>
        <w:t>名词解释</w:t>
      </w:r>
      <w:r>
        <w:tab/>
      </w:r>
      <w:r>
        <w:t>1</w:t>
      </w:r>
      <w:r>
        <w:fldChar w:fldCharType="end"/>
      </w:r>
      <w:r>
        <w:t>8</w:t>
      </w:r>
    </w:p>
    <w:p>
      <w:pPr>
        <w:pStyle w:val="11"/>
      </w:pPr>
      <w:r>
        <w:fldChar w:fldCharType="begin"/>
      </w:r>
      <w:r>
        <w:instrText xml:space="preserve">Hyperlink \l "_Toc15396614"</w:instrText>
      </w:r>
      <w:r>
        <w:fldChar w:fldCharType="separate"/>
      </w:r>
      <w:r>
        <w:rPr>
          <w:rFonts w:hint="eastAsia" w:ascii="宋体" w:cs="宋体"/>
        </w:rPr>
        <w:t>第</w:t>
      </w:r>
      <w:r>
        <w:rPr>
          <w:rFonts w:hint="eastAsia" w:ascii="宋体" w:cs="宋体"/>
          <w:kern w:val="44"/>
        </w:rPr>
        <w:t>四部分附件</w:t>
      </w:r>
      <w:r>
        <w:tab/>
      </w:r>
      <w:r>
        <w:t>2</w:t>
      </w:r>
      <w:r>
        <w:fldChar w:fldCharType="end"/>
      </w:r>
      <w:r>
        <w:t>2</w:t>
      </w:r>
    </w:p>
    <w:p>
      <w:pPr>
        <w:pStyle w:val="12"/>
        <w:rPr>
          <w:rFonts w:ascii="??" w:hAnsi="??"/>
          <w:sz w:val="28"/>
          <w:szCs w:val="28"/>
        </w:rPr>
      </w:pPr>
      <w:r>
        <w:fldChar w:fldCharType="begin"/>
      </w:r>
      <w:r>
        <w:instrText xml:space="preserve">Hyperlink \l "_Toc15396615"</w:instrText>
      </w:r>
      <w:r>
        <w:fldChar w:fldCharType="separate"/>
      </w:r>
      <w:r>
        <w:rPr>
          <w:rFonts w:hint="eastAsia" w:ascii="宋体" w:cs="宋体"/>
          <w:kern w:val="44"/>
          <w:sz w:val="28"/>
          <w:szCs w:val="28"/>
        </w:rPr>
        <w:t>附件</w:t>
      </w:r>
      <w:r>
        <w:rPr>
          <w:rFonts w:ascii="??" w:hAnsi="??"/>
          <w:sz w:val="28"/>
          <w:szCs w:val="28"/>
        </w:rPr>
        <w:tab/>
      </w:r>
      <w:r>
        <w:rPr>
          <w:rFonts w:ascii="??" w:hAnsi="??"/>
          <w:sz w:val="28"/>
          <w:szCs w:val="28"/>
        </w:rPr>
        <w:t>2</w:t>
      </w:r>
      <w:r>
        <w:fldChar w:fldCharType="end"/>
      </w:r>
      <w:r>
        <w:rPr>
          <w:rFonts w:ascii="??" w:hAnsi="??"/>
          <w:sz w:val="28"/>
          <w:szCs w:val="28"/>
        </w:rPr>
        <w:t>2</w:t>
      </w:r>
    </w:p>
    <w:p>
      <w:pPr>
        <w:pStyle w:val="11"/>
      </w:pPr>
      <w:r>
        <w:fldChar w:fldCharType="begin"/>
      </w:r>
      <w:r>
        <w:instrText xml:space="preserve">Hyperlink \l "_Toc15396618"</w:instrText>
      </w:r>
      <w:r>
        <w:fldChar w:fldCharType="separate"/>
      </w:r>
      <w:r>
        <w:rPr>
          <w:rFonts w:hint="eastAsia" w:ascii="宋体" w:cs="宋体"/>
        </w:rPr>
        <w:t>第</w:t>
      </w:r>
      <w:r>
        <w:rPr>
          <w:rFonts w:hint="eastAsia" w:ascii="宋体" w:cs="宋体"/>
          <w:kern w:val="44"/>
        </w:rPr>
        <w:t>五部分附表</w:t>
      </w:r>
      <w:r>
        <w:tab/>
      </w:r>
      <w:r>
        <w:t>2</w:t>
      </w:r>
      <w:r>
        <w:fldChar w:fldCharType="end"/>
      </w:r>
      <w:r>
        <w:t>6</w:t>
      </w:r>
    </w:p>
    <w:p>
      <w:pPr>
        <w:pStyle w:val="12"/>
        <w:rPr>
          <w:rFonts w:ascii="??" w:hAnsi="??"/>
          <w:sz w:val="28"/>
          <w:szCs w:val="28"/>
        </w:rPr>
      </w:pPr>
      <w:r>
        <w:rPr>
          <w:rFonts w:hint="eastAsia" w:ascii="宋体" w:cs="宋体"/>
          <w:sz w:val="28"/>
          <w:szCs w:val="28"/>
        </w:rPr>
        <w:t>一、</w:t>
      </w:r>
      <w:r>
        <w:fldChar w:fldCharType="begin"/>
      </w:r>
      <w:r>
        <w:instrText xml:space="preserve">Hyperlink \l "_Toc15396619"</w:instrText>
      </w:r>
      <w:r>
        <w:fldChar w:fldCharType="separate"/>
      </w:r>
      <w:r>
        <w:rPr>
          <w:rFonts w:hint="eastAsia" w:ascii="宋体" w:cs="宋体"/>
          <w:sz w:val="28"/>
          <w:szCs w:val="28"/>
        </w:rPr>
        <w:t>收入支出决算总表</w:t>
      </w:r>
      <w:r>
        <w:rPr>
          <w:rFonts w:ascii="??" w:hAnsi="??"/>
          <w:sz w:val="28"/>
          <w:szCs w:val="28"/>
        </w:rPr>
        <w:tab/>
      </w:r>
      <w:r>
        <w:rPr>
          <w:rFonts w:ascii="??" w:hAnsi="??"/>
          <w:sz w:val="28"/>
          <w:szCs w:val="28"/>
        </w:rPr>
        <w:t>2</w:t>
      </w:r>
      <w:r>
        <w:fldChar w:fldCharType="end"/>
      </w:r>
      <w:r>
        <w:rPr>
          <w:rFonts w:ascii="??" w:hAnsi="??"/>
          <w:sz w:val="28"/>
          <w:szCs w:val="28"/>
        </w:rPr>
        <w:t>6</w:t>
      </w:r>
    </w:p>
    <w:p>
      <w:pPr>
        <w:pStyle w:val="12"/>
        <w:rPr>
          <w:rFonts w:ascii="??" w:hAnsi="??"/>
          <w:sz w:val="28"/>
          <w:szCs w:val="28"/>
        </w:rPr>
      </w:pPr>
      <w:r>
        <w:rPr>
          <w:rFonts w:hint="eastAsia" w:ascii="宋体" w:cs="宋体"/>
          <w:sz w:val="28"/>
          <w:szCs w:val="28"/>
        </w:rPr>
        <w:t>二、</w:t>
      </w:r>
      <w:r>
        <w:fldChar w:fldCharType="begin"/>
      </w:r>
      <w:r>
        <w:instrText xml:space="preserve">Hyperlink \l "_Toc15396620"</w:instrText>
      </w:r>
      <w:r>
        <w:fldChar w:fldCharType="separate"/>
      </w:r>
      <w:r>
        <w:rPr>
          <w:rFonts w:hint="eastAsia" w:ascii="宋体" w:cs="宋体"/>
          <w:sz w:val="28"/>
          <w:szCs w:val="28"/>
        </w:rPr>
        <w:t>收入总表</w:t>
      </w:r>
      <w:r>
        <w:rPr>
          <w:rFonts w:ascii="??" w:hAnsi="??"/>
          <w:sz w:val="28"/>
          <w:szCs w:val="28"/>
        </w:rPr>
        <w:tab/>
      </w:r>
      <w:r>
        <w:rPr>
          <w:rFonts w:ascii="??" w:hAnsi="??"/>
          <w:sz w:val="28"/>
          <w:szCs w:val="28"/>
        </w:rPr>
        <w:t>2</w:t>
      </w:r>
      <w:r>
        <w:fldChar w:fldCharType="end"/>
      </w:r>
      <w:r>
        <w:rPr>
          <w:rFonts w:ascii="??" w:hAnsi="??"/>
          <w:sz w:val="28"/>
          <w:szCs w:val="28"/>
        </w:rPr>
        <w:t>6</w:t>
      </w:r>
    </w:p>
    <w:p>
      <w:pPr>
        <w:pStyle w:val="12"/>
        <w:rPr>
          <w:rFonts w:ascii="??" w:hAnsi="??"/>
          <w:sz w:val="28"/>
          <w:szCs w:val="28"/>
        </w:rPr>
      </w:pPr>
      <w:r>
        <w:rPr>
          <w:rFonts w:hint="eastAsia" w:ascii="宋体" w:cs="宋体"/>
          <w:sz w:val="28"/>
          <w:szCs w:val="28"/>
        </w:rPr>
        <w:t>三、</w:t>
      </w:r>
      <w:r>
        <w:fldChar w:fldCharType="begin"/>
      </w:r>
      <w:r>
        <w:instrText xml:space="preserve">Hyperlink \l "_Toc15396621"</w:instrText>
      </w:r>
      <w:r>
        <w:fldChar w:fldCharType="separate"/>
      </w:r>
      <w:r>
        <w:rPr>
          <w:rFonts w:hint="eastAsia" w:ascii="宋体" w:cs="宋体"/>
          <w:sz w:val="28"/>
          <w:szCs w:val="28"/>
        </w:rPr>
        <w:t>支出总表</w:t>
      </w:r>
      <w:r>
        <w:rPr>
          <w:rFonts w:ascii="??" w:hAnsi="??"/>
          <w:sz w:val="28"/>
          <w:szCs w:val="28"/>
        </w:rPr>
        <w:tab/>
      </w:r>
      <w:r>
        <w:rPr>
          <w:rFonts w:ascii="??" w:hAnsi="??"/>
          <w:sz w:val="28"/>
          <w:szCs w:val="28"/>
        </w:rPr>
        <w:t>2</w:t>
      </w:r>
      <w:r>
        <w:fldChar w:fldCharType="end"/>
      </w:r>
      <w:r>
        <w:rPr>
          <w:rFonts w:ascii="??" w:hAnsi="??"/>
          <w:sz w:val="28"/>
          <w:szCs w:val="28"/>
        </w:rPr>
        <w:t>6</w:t>
      </w:r>
    </w:p>
    <w:p>
      <w:pPr>
        <w:pStyle w:val="12"/>
        <w:rPr>
          <w:rFonts w:ascii="??" w:hAnsi="??"/>
          <w:sz w:val="28"/>
          <w:szCs w:val="28"/>
        </w:rPr>
      </w:pPr>
      <w:r>
        <w:rPr>
          <w:rFonts w:hint="eastAsia" w:ascii="宋体" w:cs="宋体"/>
          <w:sz w:val="28"/>
          <w:szCs w:val="28"/>
        </w:rPr>
        <w:t>四、</w:t>
      </w:r>
      <w:r>
        <w:fldChar w:fldCharType="begin"/>
      </w:r>
      <w:r>
        <w:instrText xml:space="preserve">Hyperlink \l "_Toc15396622"</w:instrText>
      </w:r>
      <w:r>
        <w:fldChar w:fldCharType="separate"/>
      </w:r>
      <w:r>
        <w:rPr>
          <w:rFonts w:hint="eastAsia" w:ascii="宋体" w:cs="宋体"/>
          <w:sz w:val="28"/>
          <w:szCs w:val="28"/>
        </w:rPr>
        <w:t>财政拨款收入支出决算总表</w:t>
      </w:r>
      <w:r>
        <w:rPr>
          <w:rFonts w:ascii="??" w:hAnsi="??"/>
          <w:sz w:val="28"/>
          <w:szCs w:val="28"/>
        </w:rPr>
        <w:tab/>
      </w:r>
      <w:r>
        <w:rPr>
          <w:rFonts w:ascii="??" w:hAnsi="??"/>
          <w:sz w:val="28"/>
          <w:szCs w:val="28"/>
        </w:rPr>
        <w:fldChar w:fldCharType="begin"/>
      </w:r>
      <w:r>
        <w:rPr>
          <w:rFonts w:ascii="??" w:hAnsi="??"/>
          <w:sz w:val="28"/>
          <w:szCs w:val="28"/>
        </w:rPr>
        <w:instrText xml:space="preserve"> PAGEREF _Toc15396622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五、</w:t>
      </w:r>
      <w:r>
        <w:fldChar w:fldCharType="begin"/>
      </w:r>
      <w:r>
        <w:instrText xml:space="preserve">Hyperlink \l "_Toc15396623"</w:instrText>
      </w:r>
      <w:r>
        <w:fldChar w:fldCharType="separate"/>
      </w:r>
      <w:r>
        <w:rPr>
          <w:rFonts w:hint="eastAsia" w:ascii="宋体" w:cs="宋体"/>
          <w:sz w:val="28"/>
          <w:szCs w:val="28"/>
        </w:rPr>
        <w:t>财政拨款支出决算明细表（政府经济分类科目）</w:t>
      </w:r>
      <w:r>
        <w:rPr>
          <w:rFonts w:ascii="??" w:hAnsi="??"/>
          <w:sz w:val="28"/>
          <w:szCs w:val="28"/>
        </w:rPr>
        <w:tab/>
      </w:r>
      <w:r>
        <w:rPr>
          <w:rFonts w:ascii="??" w:hAnsi="??"/>
          <w:sz w:val="28"/>
          <w:szCs w:val="28"/>
        </w:rPr>
        <w:fldChar w:fldCharType="begin"/>
      </w:r>
      <w:r>
        <w:rPr>
          <w:rFonts w:ascii="??" w:hAnsi="??"/>
          <w:sz w:val="28"/>
          <w:szCs w:val="28"/>
        </w:rPr>
        <w:instrText xml:space="preserve"> PAGEREF _Toc15396623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六、</w:t>
      </w:r>
      <w:r>
        <w:fldChar w:fldCharType="begin"/>
      </w:r>
      <w:r>
        <w:instrText xml:space="preserve">Hyperlink \l "_Toc15396624"</w:instrText>
      </w:r>
      <w:r>
        <w:fldChar w:fldCharType="separate"/>
      </w:r>
      <w:r>
        <w:rPr>
          <w:rFonts w:hint="eastAsia" w:ascii="宋体" w:cs="宋体"/>
          <w:sz w:val="28"/>
          <w:szCs w:val="28"/>
        </w:rPr>
        <w:t>一般公共预算财政拨款支出决算表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_Toc15396624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七、</w:t>
      </w:r>
      <w:r>
        <w:fldChar w:fldCharType="begin"/>
      </w:r>
      <w:r>
        <w:instrText xml:space="preserve">Hyperlink \l "_Toc15396625"</w:instrText>
      </w:r>
      <w:r>
        <w:fldChar w:fldCharType="separate"/>
      </w:r>
      <w:r>
        <w:rPr>
          <w:rFonts w:hint="eastAsia" w:ascii="宋体" w:cs="宋体"/>
          <w:sz w:val="28"/>
          <w:szCs w:val="28"/>
        </w:rPr>
        <w:t>一般公共预算财政拨款支出决算明细表</w:t>
      </w:r>
      <w:r>
        <w:rPr>
          <w:rFonts w:ascii="??" w:hAnsi="??"/>
          <w:sz w:val="28"/>
          <w:szCs w:val="28"/>
        </w:rPr>
        <w:tab/>
      </w:r>
      <w:r>
        <w:rPr>
          <w:rFonts w:ascii="??" w:hAnsi="??"/>
          <w:sz w:val="28"/>
          <w:szCs w:val="28"/>
        </w:rPr>
        <w:fldChar w:fldCharType="begin"/>
      </w:r>
      <w:r>
        <w:rPr>
          <w:rFonts w:ascii="??" w:hAnsi="??"/>
          <w:sz w:val="28"/>
          <w:szCs w:val="28"/>
        </w:rPr>
        <w:instrText xml:space="preserve"> PAGEREF _Toc15396625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八、</w:t>
      </w:r>
      <w:r>
        <w:fldChar w:fldCharType="begin"/>
      </w:r>
      <w:r>
        <w:instrText xml:space="preserve">Hyperlink \l "_Toc15396626"</w:instrText>
      </w:r>
      <w:r>
        <w:fldChar w:fldCharType="separate"/>
      </w:r>
      <w:r>
        <w:rPr>
          <w:rFonts w:hint="eastAsia" w:ascii="宋体" w:cs="宋体"/>
          <w:sz w:val="28"/>
          <w:szCs w:val="28"/>
        </w:rPr>
        <w:t>一般公共预算财政拨款基本支出决算表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_Toc15396626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九、</w:t>
      </w:r>
      <w:r>
        <w:fldChar w:fldCharType="begin"/>
      </w:r>
      <w:r>
        <w:instrText xml:space="preserve">Hyperlink \l "_Toc15396627"</w:instrText>
      </w:r>
      <w:r>
        <w:fldChar w:fldCharType="separate"/>
      </w:r>
      <w:r>
        <w:rPr>
          <w:rFonts w:hint="eastAsia" w:ascii="宋体" w:cs="宋体"/>
          <w:sz w:val="28"/>
          <w:szCs w:val="28"/>
        </w:rPr>
        <w:t>一般公共预算财政拨款项目支出决算表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_Toc15396627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十、</w:t>
      </w:r>
      <w:r>
        <w:fldChar w:fldCharType="begin"/>
      </w:r>
      <w:r>
        <w:instrText xml:space="preserve">Hyperlink \l "_Toc15396628"</w:instrText>
      </w:r>
      <w:r>
        <w:fldChar w:fldCharType="separate"/>
      </w:r>
      <w:r>
        <w:rPr>
          <w:rFonts w:hint="eastAsia" w:ascii="宋体" w:cs="宋体"/>
          <w:sz w:val="28"/>
          <w:szCs w:val="28"/>
        </w:rPr>
        <w:t>一般公共预算财政拨款</w:t>
      </w:r>
      <w:r>
        <w:rPr>
          <w:rFonts w:ascii="??" w:hAnsi="??"/>
          <w:sz w:val="28"/>
          <w:szCs w:val="28"/>
        </w:rPr>
        <w:t>“</w:t>
      </w:r>
      <w:r>
        <w:rPr>
          <w:rFonts w:hint="eastAsia" w:ascii="宋体" w:cs="宋体"/>
          <w:sz w:val="28"/>
          <w:szCs w:val="28"/>
        </w:rPr>
        <w:t>三公</w:t>
      </w:r>
      <w:r>
        <w:rPr>
          <w:rFonts w:ascii="??" w:hAnsi="??"/>
          <w:sz w:val="28"/>
          <w:szCs w:val="28"/>
        </w:rPr>
        <w:t>”</w:t>
      </w:r>
      <w:r>
        <w:rPr>
          <w:rFonts w:hint="eastAsia" w:ascii="宋体" w:cs="宋体"/>
          <w:sz w:val="28"/>
          <w:szCs w:val="28"/>
        </w:rPr>
        <w:t>经费支出决算表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_Toc15396628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十一、</w:t>
      </w:r>
      <w:r>
        <w:fldChar w:fldCharType="begin"/>
      </w:r>
      <w:r>
        <w:instrText xml:space="preserve">Hyperlink \l "_Toc15396629"</w:instrText>
      </w:r>
      <w:r>
        <w:fldChar w:fldCharType="separate"/>
      </w:r>
      <w:r>
        <w:rPr>
          <w:rFonts w:hint="eastAsia" w:ascii="宋体" w:cs="宋体"/>
          <w:sz w:val="28"/>
          <w:szCs w:val="28"/>
        </w:rPr>
        <w:t>政府性基金预算财政拨款收入支出决算表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_Toc15396629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8"/>
          <w:szCs w:val="28"/>
        </w:rPr>
      </w:pPr>
      <w:r>
        <w:rPr>
          <w:rFonts w:hint="eastAsia" w:ascii="宋体" w:cs="宋体"/>
          <w:sz w:val="28"/>
          <w:szCs w:val="28"/>
        </w:rPr>
        <w:t>十二、</w:t>
      </w:r>
      <w:r>
        <w:fldChar w:fldCharType="begin"/>
      </w:r>
      <w:r>
        <w:instrText xml:space="preserve">Hyperlink \l "_Toc15396630"</w:instrText>
      </w:r>
      <w:r>
        <w:fldChar w:fldCharType="separate"/>
      </w:r>
      <w:r>
        <w:rPr>
          <w:rFonts w:hint="eastAsia" w:ascii="宋体" w:cs="宋体"/>
          <w:sz w:val="28"/>
          <w:szCs w:val="28"/>
        </w:rPr>
        <w:t>政府性基金预算财政拨款</w:t>
      </w:r>
      <w:r>
        <w:rPr>
          <w:rFonts w:ascii="??" w:hAnsi="??"/>
          <w:sz w:val="28"/>
          <w:szCs w:val="28"/>
        </w:rPr>
        <w:t>“</w:t>
      </w:r>
      <w:r>
        <w:rPr>
          <w:rFonts w:hint="eastAsia" w:ascii="宋体" w:cs="宋体"/>
          <w:sz w:val="28"/>
          <w:szCs w:val="28"/>
        </w:rPr>
        <w:t>三公</w:t>
      </w:r>
      <w:r>
        <w:rPr>
          <w:rFonts w:ascii="??" w:hAnsi="??"/>
          <w:sz w:val="28"/>
          <w:szCs w:val="28"/>
        </w:rPr>
        <w:t>”</w:t>
      </w:r>
      <w:r>
        <w:rPr>
          <w:rFonts w:hint="eastAsia" w:ascii="宋体" w:cs="宋体"/>
          <w:sz w:val="28"/>
          <w:szCs w:val="28"/>
        </w:rPr>
        <w:t>经费支出决算表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_Toc15396630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pStyle w:val="12"/>
        <w:rPr>
          <w:rFonts w:ascii="??" w:hAnsi="??"/>
          <w:sz w:val="24"/>
          <w:szCs w:val="24"/>
        </w:rPr>
      </w:pPr>
      <w:r>
        <w:rPr>
          <w:rFonts w:hint="eastAsia" w:ascii="宋体" w:cs="宋体"/>
          <w:sz w:val="28"/>
          <w:szCs w:val="28"/>
        </w:rPr>
        <w:t>十三、</w:t>
      </w:r>
      <w:r>
        <w:fldChar w:fldCharType="begin"/>
      </w:r>
      <w:r>
        <w:instrText xml:space="preserve">Hyperlink \l "_Toc15396631"</w:instrText>
      </w:r>
      <w:r>
        <w:fldChar w:fldCharType="separate"/>
      </w:r>
      <w:r>
        <w:rPr>
          <w:rFonts w:hint="eastAsia" w:ascii="宋体" w:cs="宋体"/>
          <w:sz w:val="28"/>
          <w:szCs w:val="28"/>
        </w:rPr>
        <w:t>国有资本经营预算支出决算表</w:t>
      </w:r>
      <w:r>
        <w:rPr>
          <w:rFonts w:ascii="??" w:hAnsi="??"/>
          <w:sz w:val="28"/>
          <w:szCs w:val="28"/>
        </w:rPr>
        <w:tab/>
      </w:r>
      <w:r>
        <w:rPr>
          <w:rFonts w:ascii="??" w:hAnsi="??"/>
          <w:sz w:val="28"/>
          <w:szCs w:val="28"/>
        </w:rPr>
        <w:fldChar w:fldCharType="begin"/>
      </w:r>
      <w:r>
        <w:rPr>
          <w:rFonts w:ascii="??" w:hAnsi="??"/>
          <w:sz w:val="28"/>
          <w:szCs w:val="28"/>
        </w:rPr>
        <w:instrText xml:space="preserve"> PAGEREF _Toc15396631 \h </w:instrText>
      </w:r>
      <w:r>
        <w:rPr>
          <w:rFonts w:ascii="??" w:hAnsi="??"/>
          <w:sz w:val="28"/>
          <w:szCs w:val="28"/>
        </w:rPr>
        <w:fldChar w:fldCharType="separate"/>
      </w:r>
      <w:r>
        <w:rPr>
          <w:rFonts w:ascii="??" w:hAnsi="??"/>
          <w:sz w:val="28"/>
          <w:szCs w:val="28"/>
        </w:rPr>
        <w:t>3</w:t>
      </w:r>
      <w:r>
        <w:rPr>
          <w:rFonts w:ascii="??" w:hAnsi="??"/>
          <w:sz w:val="28"/>
          <w:szCs w:val="28"/>
        </w:rPr>
        <w:fldChar w:fldCharType="end"/>
      </w:r>
      <w:r>
        <w:fldChar w:fldCharType="end"/>
      </w:r>
    </w:p>
    <w:p>
      <w:pPr>
        <w:widowControl/>
        <w:jc w:val="left"/>
        <w:rPr>
          <w:rFonts w:ascii="??" w:hAnsi="??"/>
          <w:color w:val="000000"/>
          <w:sz w:val="24"/>
          <w:szCs w:val="24"/>
        </w:rPr>
      </w:pPr>
      <w:r>
        <w:rPr>
          <w:rFonts w:ascii="黑体" w:eastAsia="黑体" w:cs="黑体"/>
          <w:color w:val="000000"/>
          <w:sz w:val="48"/>
          <w:szCs w:val="48"/>
        </w:rPr>
        <w:fldChar w:fldCharType="end"/>
      </w:r>
    </w:p>
    <w:p>
      <w:pPr>
        <w:widowControl/>
        <w:jc w:val="left"/>
        <w:rPr>
          <w:rFonts w:ascii="黑体" w:eastAsia="黑体"/>
          <w:kern w:val="44"/>
          <w:sz w:val="44"/>
          <w:szCs w:val="44"/>
        </w:rPr>
      </w:pPr>
      <w:bookmarkStart w:id="12" w:name="_Toc15377196"/>
      <w:bookmarkStart w:id="13" w:name="_Toc15396599"/>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left"/>
        <w:rPr>
          <w:rFonts w:ascii="黑体" w:eastAsia="黑体"/>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adjustRightInd w:val="0"/>
        <w:snapToGrid w:val="0"/>
        <w:spacing w:line="360" w:lineRule="auto"/>
        <w:jc w:val="center"/>
        <w:outlineLvl w:val="0"/>
        <w:rPr>
          <w:rFonts w:ascii="方正小标宋简体" w:eastAsia="方正小标宋简体"/>
          <w:sz w:val="44"/>
          <w:szCs w:val="44"/>
        </w:rPr>
      </w:pPr>
    </w:p>
    <w:p>
      <w:pPr>
        <w:adjustRightInd w:val="0"/>
        <w:snapToGrid w:val="0"/>
        <w:spacing w:line="576" w:lineRule="exact"/>
        <w:jc w:val="center"/>
        <w:outlineLvl w:val="0"/>
        <w:rPr>
          <w:rFonts w:ascii="仿宋_GB2312" w:eastAsia="仿宋_GB2312"/>
          <w:color w:val="000000"/>
          <w:sz w:val="44"/>
          <w:szCs w:val="44"/>
        </w:rPr>
      </w:pPr>
      <w:r>
        <w:rPr>
          <w:rStyle w:val="17"/>
          <w:rFonts w:hint="eastAsia" w:ascii="方正小标宋简体" w:eastAsia="方正小标宋简体" w:cs="方正小标宋简体"/>
          <w:b w:val="0"/>
          <w:bCs w:val="0"/>
        </w:rPr>
        <w:t>第一部分部门概况</w:t>
      </w:r>
      <w:bookmarkEnd w:id="12"/>
      <w:bookmarkEnd w:id="13"/>
      <w:bookmarkStart w:id="14" w:name="_Toc15377197"/>
      <w:bookmarkStart w:id="15" w:name="_Toc15396600"/>
    </w:p>
    <w:p>
      <w:pPr>
        <w:numPr>
          <w:ilvl w:val="0"/>
          <w:numId w:val="1"/>
        </w:numPr>
        <w:adjustRightInd w:val="0"/>
        <w:snapToGrid w:val="0"/>
        <w:spacing w:line="576" w:lineRule="exact"/>
        <w:ind w:left="0" w:firstLine="640" w:firstLineChars="200"/>
        <w:jc w:val="left"/>
        <w:outlineLvl w:val="0"/>
        <w:rPr>
          <w:rStyle w:val="18"/>
          <w:rFonts w:ascii="黑体" w:eastAsia="黑体" w:cs="Times New Roman"/>
          <w:b w:val="0"/>
          <w:bCs w:val="0"/>
        </w:rPr>
      </w:pPr>
      <w:r>
        <w:rPr>
          <w:rStyle w:val="18"/>
          <w:rFonts w:hint="eastAsia" w:ascii="黑体" w:eastAsia="黑体" w:cs="黑体"/>
          <w:b w:val="0"/>
          <w:bCs w:val="0"/>
        </w:rPr>
        <w:t>基本职能及主要工作</w:t>
      </w:r>
      <w:bookmarkEnd w:id="14"/>
      <w:bookmarkEnd w:id="15"/>
      <w:bookmarkStart w:id="16" w:name="_Toc15378445"/>
      <w:bookmarkStart w:id="17" w:name="_Toc15377198"/>
    </w:p>
    <w:p>
      <w:pPr>
        <w:numPr>
          <w:ilvl w:val="0"/>
          <w:numId w:val="2"/>
        </w:numPr>
        <w:adjustRightInd w:val="0"/>
        <w:snapToGrid w:val="0"/>
        <w:spacing w:line="576" w:lineRule="exact"/>
        <w:ind w:left="0" w:firstLine="642" w:firstLineChars="200"/>
        <w:jc w:val="left"/>
        <w:outlineLvl w:val="0"/>
        <w:rPr>
          <w:rFonts w:ascii="楷体" w:eastAsia="楷体" w:cs="楷体"/>
          <w:b/>
          <w:bCs/>
          <w:color w:val="000000"/>
          <w:sz w:val="32"/>
          <w:szCs w:val="32"/>
        </w:rPr>
      </w:pPr>
      <w:r>
        <w:rPr>
          <w:rFonts w:hint="eastAsia" w:ascii="楷体" w:eastAsia="楷体" w:cs="楷体"/>
          <w:b/>
          <w:bCs/>
          <w:color w:val="000000"/>
          <w:sz w:val="32"/>
          <w:szCs w:val="32"/>
        </w:rPr>
        <w:t>主要职能。</w:t>
      </w:r>
      <w:bookmarkEnd w:id="16"/>
      <w:bookmarkEnd w:id="17"/>
    </w:p>
    <w:p>
      <w:pPr>
        <w:adjustRightInd w:val="0"/>
        <w:snapToGrid w:val="0"/>
        <w:spacing w:line="576" w:lineRule="exact"/>
        <w:ind w:firstLine="640" w:firstLineChars="200"/>
        <w:jc w:val="left"/>
        <w:outlineLvl w:val="0"/>
        <w:rPr>
          <w:rFonts w:ascii="仿宋_GB2312" w:eastAsia="仿宋_GB2312"/>
          <w:b/>
          <w:bCs/>
          <w:sz w:val="32"/>
          <w:szCs w:val="32"/>
        </w:rPr>
      </w:pPr>
      <w:r>
        <w:rPr>
          <w:rFonts w:hint="eastAsia" w:ascii="仿宋_GB2312" w:eastAsia="仿宋_GB2312" w:cs="仿宋_GB2312"/>
          <w:kern w:val="0"/>
          <w:sz w:val="32"/>
          <w:szCs w:val="32"/>
        </w:rPr>
        <w:t>主要职责是：</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w:t>
      </w:r>
      <w:r>
        <w:rPr>
          <w:rFonts w:hint="default" w:ascii="仿宋_GB2312" w:eastAsia="仿宋_GB2312" w:cs="仿宋_GB2312"/>
          <w:sz w:val="32"/>
          <w:szCs w:val="32"/>
        </w:rPr>
        <w:t>县委、县政府</w:t>
      </w:r>
      <w:r>
        <w:rPr>
          <w:rFonts w:hint="eastAsia" w:ascii="仿宋_GB2312" w:eastAsia="仿宋_GB2312" w:cs="仿宋_GB2312"/>
          <w:sz w:val="32"/>
          <w:szCs w:val="32"/>
        </w:rPr>
        <w:t>对全县干部队伍的要求，有计划地轮训、培训全县各级党员领导干部和公务员及理论宣传骨干，协同组织人事部门对学员在校期间的表现进行考核，提出使用建议。</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研究、宣传马列主义、毛泽东思想和邓小平建设有中国特色的社会主义理论，围绕全党的中心任务和</w:t>
      </w:r>
      <w:r>
        <w:rPr>
          <w:rFonts w:hint="default" w:ascii="仿宋_GB2312" w:eastAsia="仿宋_GB2312" w:cs="仿宋_GB2312"/>
          <w:sz w:val="32"/>
          <w:szCs w:val="32"/>
        </w:rPr>
        <w:t>县委、县政府</w:t>
      </w:r>
      <w:r>
        <w:rPr>
          <w:rFonts w:hint="eastAsia" w:ascii="仿宋_GB2312" w:eastAsia="仿宋_GB2312" w:cs="仿宋_GB2312"/>
          <w:sz w:val="32"/>
          <w:szCs w:val="32"/>
        </w:rPr>
        <w:t>的重大部署，对全县重大现实问题开展理论研究，为教学和振兴茂县经济服务，为</w:t>
      </w:r>
      <w:r>
        <w:rPr>
          <w:rFonts w:hint="default" w:ascii="仿宋_GB2312" w:eastAsia="仿宋_GB2312" w:cs="仿宋_GB2312"/>
          <w:sz w:val="32"/>
          <w:szCs w:val="32"/>
        </w:rPr>
        <w:t>县委、县政府</w:t>
      </w:r>
      <w:r>
        <w:rPr>
          <w:rFonts w:hint="eastAsia" w:ascii="仿宋_GB2312" w:eastAsia="仿宋_GB2312" w:cs="仿宋_GB2312"/>
          <w:sz w:val="32"/>
          <w:szCs w:val="32"/>
        </w:rPr>
        <w:t>决策参考。</w:t>
      </w:r>
    </w:p>
    <w:p>
      <w:pPr>
        <w:spacing w:line="576"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w:t>
      </w:r>
      <w:r>
        <w:rPr>
          <w:rFonts w:hint="default" w:ascii="仿宋_GB2312" w:eastAsia="仿宋_GB2312" w:cs="仿宋_GB2312"/>
          <w:sz w:val="32"/>
          <w:szCs w:val="32"/>
        </w:rPr>
        <w:t>县委、县政府</w:t>
      </w:r>
      <w:r>
        <w:rPr>
          <w:rFonts w:hint="eastAsia" w:ascii="仿宋_GB2312" w:eastAsia="仿宋_GB2312" w:cs="仿宋_GB2312"/>
          <w:sz w:val="32"/>
          <w:szCs w:val="32"/>
        </w:rPr>
        <w:t>交办的其它事项。</w:t>
      </w:r>
    </w:p>
    <w:p>
      <w:pPr>
        <w:spacing w:line="576" w:lineRule="exact"/>
        <w:ind w:firstLine="642" w:firstLineChars="200"/>
        <w:outlineLvl w:val="1"/>
        <w:rPr>
          <w:rStyle w:val="18"/>
          <w:rFonts w:ascii="仿宋_GB2312" w:hAnsi="仿宋_GB2312" w:eastAsia="方正楷体简体" w:cs="Times New Roman"/>
          <w:b w:val="0"/>
          <w:bCs w:val="0"/>
        </w:rPr>
      </w:pPr>
      <w:bookmarkStart w:id="18" w:name="_Toc15378446"/>
      <w:bookmarkStart w:id="19" w:name="_Toc15377199"/>
      <w:r>
        <w:rPr>
          <w:rFonts w:hint="eastAsia" w:ascii="楷体" w:eastAsia="楷体" w:cs="楷体"/>
          <w:b/>
          <w:bCs/>
          <w:color w:val="000000"/>
          <w:sz w:val="32"/>
          <w:szCs w:val="32"/>
        </w:rPr>
        <w:t>（二）</w:t>
      </w:r>
      <w:r>
        <w:rPr>
          <w:rFonts w:ascii="楷体" w:eastAsia="楷体" w:cs="楷体"/>
          <w:b/>
          <w:bCs/>
          <w:color w:val="000000"/>
          <w:sz w:val="32"/>
          <w:szCs w:val="32"/>
        </w:rPr>
        <w:t>2019</w:t>
      </w:r>
      <w:r>
        <w:rPr>
          <w:rFonts w:hint="eastAsia" w:ascii="楷体" w:eastAsia="楷体" w:cs="楷体"/>
          <w:b/>
          <w:bCs/>
          <w:color w:val="000000"/>
          <w:sz w:val="32"/>
          <w:szCs w:val="32"/>
        </w:rPr>
        <w:t>年重点工作完成情况。</w:t>
      </w:r>
      <w:bookmarkEnd w:id="18"/>
      <w:bookmarkEnd w:id="19"/>
    </w:p>
    <w:p>
      <w:pPr>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在办学目标上，主要是充分发挥党校作为干部培训主渠道、决策咨询思想库、理论宣讲主阵地作用。</w:t>
      </w:r>
      <w:r>
        <w:rPr>
          <w:rFonts w:hint="eastAsia" w:ascii="仿宋_GB2312" w:eastAsia="仿宋_GB2312" w:cs="仿宋_GB2312"/>
          <w:kern w:val="0"/>
          <w:sz w:val="32"/>
          <w:szCs w:val="32"/>
        </w:rPr>
        <w:t>根据县委组织部的安排部署，</w:t>
      </w:r>
      <w:r>
        <w:rPr>
          <w:rFonts w:hint="eastAsia" w:ascii="仿宋_GB2312" w:eastAsia="仿宋_GB2312" w:cs="仿宋_GB2312"/>
          <w:color w:val="000000"/>
          <w:sz w:val="32"/>
          <w:szCs w:val="32"/>
        </w:rPr>
        <w:t>精心组织，以分级培训，分类指导的原则抓好培训工作，干部教育培训的主渠道作用进一步凸现。</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年我校共培训</w:t>
      </w:r>
      <w:r>
        <w:rPr>
          <w:rFonts w:ascii="仿宋_GB2312" w:eastAsia="仿宋_GB2312" w:cs="仿宋_GB2312"/>
          <w:color w:val="000000"/>
          <w:sz w:val="32"/>
          <w:szCs w:val="32"/>
        </w:rPr>
        <w:t>18</w:t>
      </w:r>
      <w:r>
        <w:rPr>
          <w:rFonts w:hint="eastAsia" w:ascii="仿宋_GB2312" w:eastAsia="仿宋_GB2312" w:cs="仿宋_GB2312"/>
          <w:color w:val="000000"/>
          <w:sz w:val="32"/>
          <w:szCs w:val="32"/>
        </w:rPr>
        <w:t>期</w:t>
      </w:r>
      <w:r>
        <w:rPr>
          <w:rFonts w:ascii="仿宋_GB2312" w:eastAsia="仿宋_GB2312" w:cs="仿宋_GB2312"/>
          <w:color w:val="000000"/>
          <w:sz w:val="32"/>
          <w:szCs w:val="32"/>
        </w:rPr>
        <w:t>4300</w:t>
      </w:r>
      <w:r>
        <w:rPr>
          <w:rFonts w:hint="eastAsia" w:ascii="仿宋_GB2312" w:eastAsia="仿宋_GB2312" w:cs="仿宋_GB2312"/>
          <w:color w:val="000000"/>
          <w:sz w:val="32"/>
          <w:szCs w:val="32"/>
        </w:rPr>
        <w:t>多人次</w:t>
      </w:r>
      <w:r>
        <w:rPr>
          <w:rFonts w:ascii="仿宋_GB2312" w:eastAsia="仿宋_GB2312" w:cs="仿宋_GB2312"/>
          <w:color w:val="000000"/>
          <w:sz w:val="32"/>
          <w:szCs w:val="32"/>
        </w:rPr>
        <w:t>(</w:t>
      </w:r>
      <w:r>
        <w:rPr>
          <w:rFonts w:hint="eastAsia" w:ascii="仿宋_GB2312" w:eastAsia="仿宋_GB2312" w:cs="仿宋_GB2312"/>
          <w:color w:val="000000"/>
          <w:sz w:val="32"/>
          <w:szCs w:val="32"/>
        </w:rPr>
        <w:t>长征干部学院学员</w:t>
      </w:r>
      <w:r>
        <w:rPr>
          <w:rFonts w:ascii="仿宋_GB2312" w:eastAsia="仿宋_GB2312" w:cs="仿宋_GB2312"/>
          <w:color w:val="000000"/>
          <w:sz w:val="32"/>
          <w:szCs w:val="32"/>
        </w:rPr>
        <w:t>3500</w:t>
      </w:r>
      <w:r>
        <w:rPr>
          <w:rFonts w:hint="eastAsia" w:ascii="仿宋_GB2312" w:eastAsia="仿宋_GB2312" w:cs="仿宋_GB2312"/>
          <w:color w:val="000000"/>
          <w:sz w:val="32"/>
          <w:szCs w:val="32"/>
        </w:rPr>
        <w:t>人次</w:t>
      </w:r>
      <w:r>
        <w:rPr>
          <w:rFonts w:ascii="仿宋_GB2312" w:eastAsia="仿宋_GB2312" w:cs="仿宋_GB2312"/>
          <w:color w:val="000000"/>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w:t>
      </w:r>
    </w:p>
    <w:p>
      <w:pPr>
        <w:spacing w:line="576" w:lineRule="exact"/>
        <w:ind w:firstLine="640" w:firstLineChars="200"/>
        <w:rPr>
          <w:rFonts w:ascii="仿宋_GB2312" w:eastAsia="仿宋_GB2312" w:cs="仿宋_GB2312"/>
          <w:color w:val="000000"/>
          <w:sz w:val="32"/>
          <w:szCs w:val="32"/>
        </w:rPr>
      </w:pPr>
      <w:r>
        <w:rPr>
          <w:rFonts w:ascii="仿宋_GB2312" w:eastAsia="仿宋_GB2312" w:cs="仿宋_GB2312"/>
          <w:sz w:val="32"/>
          <w:szCs w:val="32"/>
        </w:rPr>
        <w:t>2.</w:t>
      </w:r>
      <w:r>
        <w:rPr>
          <w:rFonts w:hint="eastAsia" w:ascii="仿宋_GB2312" w:eastAsia="仿宋_GB2312" w:cs="仿宋_GB2312"/>
          <w:color w:val="000000"/>
          <w:sz w:val="32"/>
          <w:szCs w:val="32"/>
        </w:rPr>
        <w:t>开拓创新，努力建设现场教学点。</w:t>
      </w:r>
      <w:r>
        <w:rPr>
          <w:rFonts w:hint="eastAsia" w:ascii="仿宋_GB2312" w:eastAsia="仿宋_GB2312" w:cs="仿宋_GB2312"/>
          <w:sz w:val="32"/>
          <w:szCs w:val="32"/>
        </w:rPr>
        <w:t>针对茂县党性教育基地、特色教学点基础薄弱的现状，认真分析茂县的特色和优势，立足茂县的羌民族特色、生态农业特色、长征红色文化特色，重点打造羌绣产业教学点、</w:t>
      </w:r>
      <w:r>
        <w:rPr>
          <w:rFonts w:hint="eastAsia" w:ascii="仿宋_GB2312" w:eastAsia="仿宋_GB2312" w:cs="仿宋_GB2312"/>
          <w:bCs/>
          <w:sz w:val="32"/>
          <w:szCs w:val="32"/>
        </w:rPr>
        <w:t>坪头乡村振兴教学点、</w:t>
      </w:r>
      <w:r>
        <w:rPr>
          <w:rFonts w:hint="eastAsia" w:ascii="仿宋_GB2312" w:eastAsia="仿宋_GB2312" w:cs="仿宋_GB2312"/>
          <w:sz w:val="32"/>
          <w:szCs w:val="32"/>
        </w:rPr>
        <w:t>凤毛坪村生态建设教学点、红军长征过羌寨陈列馆等</w:t>
      </w:r>
      <w:r>
        <w:rPr>
          <w:rFonts w:ascii="仿宋_GB2312" w:eastAsia="仿宋_GB2312" w:cs="仿宋_GB2312"/>
          <w:sz w:val="32"/>
          <w:szCs w:val="32"/>
        </w:rPr>
        <w:t>4</w:t>
      </w:r>
      <w:r>
        <w:rPr>
          <w:rFonts w:hint="eastAsia" w:ascii="仿宋_GB2312" w:eastAsia="仿宋_GB2312" w:cs="仿宋_GB2312"/>
          <w:sz w:val="32"/>
          <w:szCs w:val="32"/>
        </w:rPr>
        <w:t>个教学点，不断充实完善茂县党性教育内容，进一步开发利用茂县民族文化和红色文化资源，抓实“羌山党旗红党建示范带”建设，优化党校教育和干部培训教学内容，无缝对接阿坝长征干部学习培训，努力建设特色党性教育基地，助力茂县基层党建、乡村振兴、文化旅游工作。</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加强教学调研工作。坚持调研为提高教学质量服务，为党委和政府决策服务的方向，努力提高我校调研工作的质量和水平。完成《贯彻党的宗教工作方针，做好新形势下的宗教工作》《学习习近平讲话，</w:t>
      </w:r>
      <w:r>
        <w:rPr>
          <w:rFonts w:ascii="仿宋_GB2312" w:eastAsia="仿宋_GB2312" w:cs="仿宋_GB2312"/>
          <w:sz w:val="32"/>
          <w:szCs w:val="32"/>
        </w:rPr>
        <w:t xml:space="preserve"> </w:t>
      </w:r>
      <w:r>
        <w:rPr>
          <w:rFonts w:hint="eastAsia" w:ascii="仿宋_GB2312" w:eastAsia="仿宋_GB2312" w:cs="仿宋_GB2312"/>
          <w:sz w:val="32"/>
          <w:szCs w:val="32"/>
        </w:rPr>
        <w:t>坚定“四个自信”》等新课件的制作，并通过县级初审，拟送州级“好教材、好课程、好案例”评比，完成《茂县村规民约在乡村善治中的作用》调研文章的撰写。在积极开展《茂县村规民约在乡村善治中的作用》课题调研工作的同时，配合州委党校完成相应的课题调研工作。</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抓好人才队伍。按照提高办学质量、加强学科建设和提高保障水平的要求，积极争取政策引进教师</w:t>
      </w:r>
      <w:r>
        <w:rPr>
          <w:rFonts w:ascii="仿宋_GB2312" w:eastAsia="仿宋_GB2312" w:cs="仿宋_GB2312"/>
          <w:sz w:val="32"/>
          <w:szCs w:val="32"/>
        </w:rPr>
        <w:t>;</w:t>
      </w:r>
      <w:r>
        <w:rPr>
          <w:rFonts w:hint="eastAsia" w:ascii="仿宋_GB2312" w:eastAsia="仿宋_GB2312" w:cs="仿宋_GB2312"/>
          <w:sz w:val="32"/>
          <w:szCs w:val="32"/>
        </w:rPr>
        <w:t>积极参与各类师资培训，并通过定期开展教研活动、加强学术交流等方式，促进教师教学科研能力的进一步提升</w:t>
      </w:r>
      <w:r>
        <w:rPr>
          <w:rFonts w:ascii="仿宋_GB2312" w:eastAsia="仿宋_GB2312" w:cs="仿宋_GB2312"/>
          <w:sz w:val="32"/>
          <w:szCs w:val="32"/>
        </w:rPr>
        <w:t>;</w:t>
      </w:r>
      <w:r>
        <w:rPr>
          <w:rFonts w:hint="eastAsia" w:ascii="仿宋_GB2312" w:eastAsia="仿宋_GB2312" w:cs="仿宋_GB2312"/>
          <w:sz w:val="32"/>
          <w:szCs w:val="32"/>
        </w:rPr>
        <w:t>通过实地调研、跟班学习等途径，切实提高教师理论联系实际的能力和业务水平。</w:t>
      </w:r>
      <w:bookmarkStart w:id="20" w:name="_Toc15396601"/>
      <w:bookmarkStart w:id="21" w:name="_Toc15377200"/>
    </w:p>
    <w:p>
      <w:pPr>
        <w:spacing w:line="576" w:lineRule="exact"/>
        <w:ind w:firstLine="640" w:firstLineChars="200"/>
        <w:rPr>
          <w:rStyle w:val="18"/>
          <w:b w:val="0"/>
          <w:bCs w:val="0"/>
        </w:rPr>
      </w:pPr>
      <w:r>
        <w:rPr>
          <w:rFonts w:hint="eastAsia" w:ascii="黑体" w:eastAsia="黑体" w:cs="黑体"/>
          <w:color w:val="000000"/>
          <w:sz w:val="32"/>
          <w:szCs w:val="32"/>
        </w:rPr>
        <w:t>二、机</w:t>
      </w:r>
      <w:r>
        <w:rPr>
          <w:rStyle w:val="18"/>
          <w:rFonts w:hint="eastAsia" w:ascii="黑体" w:eastAsia="黑体" w:cs="黑体"/>
          <w:b w:val="0"/>
          <w:bCs w:val="0"/>
        </w:rPr>
        <w:t>构设置</w:t>
      </w:r>
      <w:bookmarkEnd w:id="20"/>
      <w:bookmarkEnd w:id="21"/>
    </w:p>
    <w:p>
      <w:pPr>
        <w:spacing w:line="576"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76"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1</w:t>
      </w:r>
      <w:r>
        <w:rPr>
          <w:rFonts w:hint="eastAsia" w:ascii="仿宋_GB2312" w:eastAsia="仿宋_GB2312" w:cs="仿宋_GB2312"/>
          <w:sz w:val="32"/>
          <w:szCs w:val="32"/>
        </w:rPr>
        <w:t>个。</w:t>
      </w:r>
    </w:p>
    <w:p>
      <w:pPr>
        <w:widowControl/>
        <w:spacing w:line="576" w:lineRule="exact"/>
        <w:jc w:val="left"/>
        <w:rPr>
          <w:rStyle w:val="17"/>
          <w:rFonts w:ascii="方正小标宋简体" w:eastAsia="方正小标宋简体"/>
          <w:b w:val="0"/>
          <w:bCs w:val="0"/>
        </w:rPr>
      </w:pPr>
      <w:r>
        <w:rPr>
          <w:rFonts w:ascii="??" w:hAnsi="??"/>
          <w:color w:val="000000"/>
          <w:sz w:val="32"/>
          <w:szCs w:val="32"/>
        </w:rPr>
        <w:br w:type="page"/>
      </w:r>
      <w:bookmarkStart w:id="22" w:name="_Toc15396602"/>
      <w:bookmarkStart w:id="23" w:name="_Toc15377204"/>
      <w:r>
        <w:rPr>
          <w:rStyle w:val="17"/>
          <w:rFonts w:hint="eastAsia" w:ascii="方正小标宋简体" w:eastAsia="方正小标宋简体" w:cs="方正小标宋简体"/>
          <w:b w:val="0"/>
          <w:bCs w:val="0"/>
        </w:rPr>
        <w:t>第二部分</w:t>
      </w:r>
      <w:r>
        <w:rPr>
          <w:rStyle w:val="17"/>
          <w:rFonts w:ascii="方正小标宋简体" w:eastAsia="方正小标宋简体" w:cs="方正小标宋简体"/>
          <w:b w:val="0"/>
          <w:bCs w:val="0"/>
        </w:rPr>
        <w:t>2019</w:t>
      </w:r>
      <w:r>
        <w:rPr>
          <w:rStyle w:val="17"/>
          <w:rFonts w:hint="eastAsia" w:ascii="方正小标宋简体" w:eastAsia="方正小标宋简体" w:cs="方正小标宋简体"/>
          <w:b w:val="0"/>
          <w:bCs w:val="0"/>
        </w:rPr>
        <w:t>年度部门决算情况说明</w:t>
      </w:r>
      <w:bookmarkEnd w:id="22"/>
      <w:bookmarkEnd w:id="23"/>
      <w:bookmarkStart w:id="24" w:name="_Toc15377205"/>
      <w:bookmarkStart w:id="25" w:name="_Toc15396603"/>
    </w:p>
    <w:p>
      <w:pPr>
        <w:numPr>
          <w:ilvl w:val="0"/>
          <w:numId w:val="3"/>
        </w:numPr>
        <w:adjustRightInd w:val="0"/>
        <w:snapToGrid w:val="0"/>
        <w:spacing w:line="576" w:lineRule="exact"/>
        <w:ind w:left="0" w:firstLine="640" w:firstLineChars="200"/>
        <w:outlineLvl w:val="0"/>
        <w:rPr>
          <w:rStyle w:val="18"/>
          <w:rFonts w:ascii="黑体" w:eastAsia="黑体" w:cs="Times New Roman"/>
          <w:b w:val="0"/>
          <w:bCs w:val="0"/>
        </w:rPr>
      </w:pPr>
      <w:r>
        <w:rPr>
          <w:rFonts w:hint="eastAsia" w:ascii="黑体" w:eastAsia="黑体" w:cs="黑体"/>
          <w:color w:val="000000"/>
          <w:sz w:val="32"/>
          <w:szCs w:val="32"/>
        </w:rPr>
        <w:t>收</w:t>
      </w:r>
      <w:r>
        <w:rPr>
          <w:rStyle w:val="18"/>
          <w:rFonts w:hint="eastAsia" w:ascii="黑体" w:eastAsia="黑体" w:cs="黑体"/>
          <w:b w:val="0"/>
          <w:bCs w:val="0"/>
        </w:rPr>
        <w:t>入支出决算总体情况说明</w:t>
      </w:r>
      <w:bookmarkEnd w:id="24"/>
      <w:bookmarkEnd w:id="25"/>
    </w:p>
    <w:p>
      <w:pPr>
        <w:widowControl/>
        <w:spacing w:line="576" w:lineRule="exact"/>
        <w:ind w:firstLine="640" w:firstLineChars="200"/>
        <w:jc w:val="left"/>
        <w:rPr>
          <w:rFonts w:ascii="仿宋_GB2312" w:eastAsia="仿宋_GB2312"/>
          <w:sz w:val="32"/>
          <w:szCs w:val="32"/>
        </w:rPr>
      </w:pPr>
      <w:r>
        <w:rPr>
          <w:rFonts w:ascii="仿宋_GB2312" w:eastAsia="仿宋_GB2312" w:cs="仿宋_GB2312"/>
          <w:sz w:val="32"/>
          <w:szCs w:val="32"/>
        </w:rPr>
        <w:t>2019</w:t>
      </w:r>
      <w:r>
        <w:rPr>
          <w:rFonts w:hint="eastAsia" w:ascii="仿宋_GB2312" w:eastAsia="仿宋_GB2312" w:cs="仿宋_GB2312"/>
          <w:sz w:val="32"/>
          <w:szCs w:val="32"/>
        </w:rPr>
        <w:t>年度收、支总计</w:t>
      </w:r>
      <w:r>
        <w:rPr>
          <w:rFonts w:ascii="仿宋_GB2312" w:eastAsia="仿宋_GB2312" w:cs="仿宋_GB2312"/>
          <w:sz w:val="32"/>
          <w:szCs w:val="32"/>
        </w:rPr>
        <w:t>233.21</w:t>
      </w:r>
      <w:r>
        <w:rPr>
          <w:rFonts w:hint="eastAsia" w:ascii="仿宋_GB2312" w:eastAsia="仿宋_GB2312" w:cs="仿宋_GB2312"/>
          <w:sz w:val="32"/>
          <w:szCs w:val="32"/>
        </w:rPr>
        <w:t>万元。与</w:t>
      </w:r>
      <w:r>
        <w:rPr>
          <w:rFonts w:ascii="仿宋_GB2312" w:eastAsia="仿宋_GB2312" w:cs="仿宋_GB2312"/>
          <w:sz w:val="32"/>
          <w:szCs w:val="32"/>
        </w:rPr>
        <w:t>2018</w:t>
      </w:r>
      <w:r>
        <w:rPr>
          <w:rFonts w:hint="eastAsia" w:ascii="仿宋_GB2312" w:eastAsia="仿宋_GB2312" w:cs="仿宋_GB2312"/>
          <w:sz w:val="32"/>
          <w:szCs w:val="32"/>
        </w:rPr>
        <w:t>年相比收、支总计各增加</w:t>
      </w:r>
      <w:r>
        <w:rPr>
          <w:rFonts w:ascii="仿宋_GB2312" w:eastAsia="仿宋_GB2312" w:cs="仿宋_GB2312"/>
          <w:sz w:val="32"/>
          <w:szCs w:val="32"/>
        </w:rPr>
        <w:t>5.39</w:t>
      </w:r>
      <w:r>
        <w:rPr>
          <w:rFonts w:hint="eastAsia" w:ascii="仿宋_GB2312" w:eastAsia="仿宋_GB2312" w:cs="仿宋_GB2312"/>
          <w:sz w:val="32"/>
          <w:szCs w:val="32"/>
        </w:rPr>
        <w:t>万元，主要原因是</w:t>
      </w:r>
      <w:r>
        <w:rPr>
          <w:rFonts w:hint="eastAsia" w:ascii="仿宋_GB2312" w:eastAsia="仿宋_GB2312"/>
          <w:sz w:val="32"/>
          <w:szCs w:val="32"/>
        </w:rPr>
        <w:t>单位职工工资标准上调，相应的单位缴纳的机关事业单位养老保险、职业年金、住房公积金等缴费基数增长。</w:t>
      </w:r>
    </w:p>
    <w:p>
      <w:pPr>
        <w:widowControl/>
        <w:spacing w:line="576" w:lineRule="exact"/>
        <w:ind w:firstLine="630" w:firstLineChars="300"/>
        <w:jc w:val="left"/>
        <w:rPr>
          <w:rFonts w:ascii="宋体"/>
          <w:b/>
          <w:bCs/>
          <w:color w:val="000000"/>
          <w:kern w:val="0"/>
          <w:sz w:val="28"/>
          <w:szCs w:val="28"/>
        </w:rPr>
      </w:pPr>
      <w:r>
        <w:pict>
          <v:shape id="_x0000_s1026" o:spid="_x0000_s1026" o:spt="75" type="#_x0000_t75" style="position:absolute;left:0pt;margin-left:-5.25pt;margin-top:61.2pt;height:234.05pt;width:435.75pt;mso-wrap-distance-bottom:0pt;mso-wrap-distance-left:8.95pt;mso-wrap-distance-right:8.95pt;mso-wrap-distance-top:0pt;z-index:251659264;mso-width-relative:page;mso-height-relative:page;" o:ole="t" filled="f" o:preferrelative="t" stroked="f" coordsize="21600,21600">
            <v:path/>
            <v:fill on="f" focussize="0,0"/>
            <v:stroke on="f" color="#000000"/>
            <v:imagedata r:id="rId7" o:title="image1"/>
            <o:lock v:ext="edit" aspectratio="t"/>
            <w10:wrap type="square"/>
          </v:shape>
          <o:OLEObject Type="Embed" ProgID="Package" ShapeID="_x0000_s1026" DrawAspect="Content" ObjectID="_1468075725" r:id="rId6">
            <o:LockedField>false</o:LockedField>
          </o:OLEObject>
        </w:pict>
      </w: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jc w:val="left"/>
        <w:rPr>
          <w:szCs w:val="24"/>
        </w:rPr>
      </w:pPr>
    </w:p>
    <w:p>
      <w:pPr>
        <w:widowControl/>
        <w:jc w:val="left"/>
        <w:rPr>
          <w:szCs w:val="24"/>
        </w:rPr>
      </w:pPr>
    </w:p>
    <w:p>
      <w:pPr>
        <w:widowControl/>
        <w:jc w:val="left"/>
        <w:rPr>
          <w:rStyle w:val="18"/>
          <w:rFonts w:ascii="Times New Roman" w:hAnsi="Times New Roman" w:cs="Times New Roman"/>
          <w:b w:val="0"/>
          <w:bCs w:val="0"/>
          <w:sz w:val="21"/>
          <w:szCs w:val="24"/>
        </w:rPr>
      </w:pPr>
      <w:bookmarkStart w:id="26" w:name="_Toc15396604"/>
      <w:bookmarkStart w:id="27" w:name="_Toc15377206"/>
      <w:r>
        <w:rPr>
          <w:rFonts w:hint="eastAsia" w:ascii="黑体" w:eastAsia="黑体" w:cs="黑体"/>
          <w:color w:val="000000"/>
          <w:sz w:val="32"/>
          <w:szCs w:val="32"/>
        </w:rPr>
        <w:t>二、收</w:t>
      </w:r>
      <w:r>
        <w:rPr>
          <w:rStyle w:val="18"/>
          <w:rFonts w:hint="eastAsia" w:ascii="黑体" w:eastAsia="黑体" w:cs="黑体"/>
          <w:b w:val="0"/>
          <w:bCs w:val="0"/>
        </w:rPr>
        <w:t>入决算情况说明</w:t>
      </w:r>
      <w:bookmarkEnd w:id="26"/>
      <w:bookmarkEnd w:id="27"/>
    </w:p>
    <w:p>
      <w:pPr>
        <w:widowControl/>
        <w:ind w:firstLine="640" w:firstLineChars="200"/>
        <w:jc w:val="left"/>
        <w:rPr>
          <w:rFonts w:ascii="仿宋_GB2312" w:eastAsia="仿宋_GB2312"/>
          <w:sz w:val="32"/>
          <w:szCs w:val="32"/>
        </w:rPr>
      </w:pPr>
      <w:r>
        <w:rPr>
          <w:rFonts w:ascii="仿宋_GB2312" w:eastAsia="仿宋_GB2312" w:cs="仿宋_GB2312"/>
          <w:sz w:val="32"/>
          <w:szCs w:val="32"/>
        </w:rPr>
        <w:t>2019</w:t>
      </w:r>
      <w:r>
        <w:rPr>
          <w:rFonts w:hint="eastAsia" w:ascii="仿宋_GB2312" w:eastAsia="仿宋_GB2312" w:cs="仿宋_GB2312"/>
          <w:sz w:val="32"/>
          <w:szCs w:val="32"/>
        </w:rPr>
        <w:t>年本年收入</w:t>
      </w:r>
      <w:r>
        <w:rPr>
          <w:rFonts w:ascii="仿宋_GB2312" w:eastAsia="仿宋_GB2312" w:cs="仿宋_GB2312"/>
          <w:sz w:val="32"/>
          <w:szCs w:val="32"/>
        </w:rPr>
        <w:t>228.29</w:t>
      </w:r>
      <w:r>
        <w:rPr>
          <w:rFonts w:hint="eastAsia" w:ascii="仿宋_GB2312" w:eastAsia="仿宋_GB2312" w:cs="仿宋_GB2312"/>
          <w:sz w:val="32"/>
          <w:szCs w:val="32"/>
        </w:rPr>
        <w:t>万元，其中财政拨款收入</w:t>
      </w:r>
      <w:r>
        <w:rPr>
          <w:rFonts w:ascii="仿宋_GB2312" w:eastAsia="仿宋_GB2312" w:cs="仿宋_GB2312"/>
          <w:sz w:val="32"/>
          <w:szCs w:val="32"/>
        </w:rPr>
        <w:t>228.29</w:t>
      </w:r>
      <w:r>
        <w:rPr>
          <w:rFonts w:hint="eastAsia" w:ascii="仿宋_GB2312" w:eastAsia="仿宋_GB2312" w:cs="仿宋_GB2312"/>
          <w:sz w:val="32"/>
          <w:szCs w:val="32"/>
        </w:rPr>
        <w:t>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万元，占</w:t>
      </w:r>
      <w:r>
        <w:rPr>
          <w:rFonts w:ascii="仿宋_GB2312" w:eastAsia="仿宋_GB2312" w:cs="仿宋_GB2312"/>
          <w:color w:val="000000"/>
          <w:kern w:val="0"/>
          <w:sz w:val="32"/>
          <w:szCs w:val="32"/>
        </w:rPr>
        <w:t xml:space="preserve"> 0%</w:t>
      </w:r>
      <w:r>
        <w:rPr>
          <w:rFonts w:hint="eastAsia" w:ascii="仿宋_GB2312" w:eastAsia="仿宋_GB2312" w:cs="仿宋_GB2312"/>
          <w:color w:val="000000"/>
          <w:kern w:val="0"/>
          <w:sz w:val="32"/>
          <w:szCs w:val="32"/>
        </w:rPr>
        <w:t>；国有资本经营预算财政拨款收入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万元，占</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万元，占</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万元，占</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万元，占</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万元，占总收入的</w:t>
      </w:r>
      <w:r>
        <w:rPr>
          <w:rFonts w:ascii="仿宋_GB2312" w:eastAsia="仿宋_GB2312" w:cs="仿宋_GB2312"/>
          <w:sz w:val="32"/>
          <w:szCs w:val="32"/>
        </w:rPr>
        <w:t>0%</w:t>
      </w:r>
      <w:r>
        <w:rPr>
          <w:rFonts w:hint="eastAsia" w:ascii="仿宋_GB2312" w:eastAsia="仿宋_GB2312" w:cs="仿宋_GB2312"/>
          <w:sz w:val="32"/>
          <w:szCs w:val="32"/>
        </w:rPr>
        <w:t>。</w:t>
      </w:r>
    </w:p>
    <w:p>
      <w:pPr>
        <w:widowControl/>
        <w:spacing w:line="576" w:lineRule="exact"/>
        <w:ind w:firstLine="1686" w:firstLineChars="6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76" w:lineRule="exact"/>
        <w:ind w:firstLine="1260" w:firstLineChars="600"/>
        <w:jc w:val="left"/>
        <w:rPr>
          <w:rFonts w:ascii="宋体" w:cs="宋体"/>
          <w:b/>
          <w:bCs/>
          <w:color w:val="000000"/>
          <w:kern w:val="0"/>
          <w:sz w:val="28"/>
          <w:szCs w:val="28"/>
        </w:rPr>
      </w:pPr>
      <w:r>
        <w:drawing>
          <wp:anchor distT="0" distB="0" distL="113665" distR="113665" simplePos="0" relativeHeight="251659264" behindDoc="0" locked="0" layoutInCell="1" allowOverlap="1">
            <wp:simplePos x="0" y="0"/>
            <wp:positionH relativeFrom="column">
              <wp:posOffset>391795</wp:posOffset>
            </wp:positionH>
            <wp:positionV relativeFrom="paragraph">
              <wp:posOffset>219075</wp:posOffset>
            </wp:positionV>
            <wp:extent cx="4522470" cy="2684145"/>
            <wp:effectExtent l="0" t="0" r="26" b="40"/>
            <wp:wrapSquare wrapText="bothSides"/>
            <wp:docPr id="6" name="_x0000_s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x0000_s1028"/>
                    <pic:cNvPicPr>
                      <a:picLocks noChangeAspect="1"/>
                    </pic:cNvPicPr>
                  </pic:nvPicPr>
                  <pic:blipFill>
                    <a:blip r:embed="rId8"/>
                    <a:stretch>
                      <a:fillRect/>
                    </a:stretch>
                  </pic:blipFill>
                  <pic:spPr>
                    <a:xfrm>
                      <a:off x="0" y="0"/>
                      <a:ext cx="4522470" cy="2684144"/>
                    </a:xfrm>
                    <a:prstGeom prst="rect">
                      <a:avLst/>
                    </a:prstGeom>
                    <a:noFill/>
                    <a:ln w="9525" cap="flat" cmpd="sng">
                      <a:noFill/>
                      <a:prstDash val="solid"/>
                      <a:miter/>
                    </a:ln>
                  </pic:spPr>
                </pic:pic>
              </a:graphicData>
            </a:graphic>
          </wp:anchor>
        </w:drawing>
      </w: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1686" w:firstLineChars="600"/>
        <w:jc w:val="left"/>
        <w:rPr>
          <w:rFonts w:ascii="宋体" w:cs="宋体"/>
          <w:b/>
          <w:bCs/>
          <w:color w:val="000000"/>
          <w:kern w:val="0"/>
          <w:sz w:val="28"/>
          <w:szCs w:val="28"/>
        </w:rPr>
      </w:pPr>
    </w:p>
    <w:p>
      <w:pPr>
        <w:widowControl/>
        <w:spacing w:line="576" w:lineRule="exact"/>
        <w:ind w:firstLine="960" w:firstLineChars="300"/>
        <w:jc w:val="left"/>
        <w:rPr>
          <w:rStyle w:val="18"/>
          <w:rFonts w:ascii="黑体" w:eastAsia="黑体" w:cs="Times New Roman"/>
          <w:b w:val="0"/>
          <w:bCs w:val="0"/>
        </w:rPr>
      </w:pPr>
      <w:bookmarkStart w:id="28" w:name="_Toc15377207"/>
      <w:bookmarkStart w:id="29" w:name="_Toc15396605"/>
      <w:r>
        <w:rPr>
          <w:rFonts w:hint="eastAsia" w:ascii="黑体" w:eastAsia="黑体" w:cs="黑体"/>
          <w:sz w:val="32"/>
          <w:szCs w:val="32"/>
        </w:rPr>
        <w:t>三、</w:t>
      </w:r>
      <w:r>
        <w:rPr>
          <w:rFonts w:hint="eastAsia" w:ascii="黑体" w:eastAsia="黑体" w:cs="黑体"/>
          <w:color w:val="000000"/>
          <w:sz w:val="32"/>
          <w:szCs w:val="32"/>
        </w:rPr>
        <w:t>支</w:t>
      </w:r>
      <w:r>
        <w:rPr>
          <w:rStyle w:val="18"/>
          <w:rFonts w:hint="eastAsia" w:ascii="黑体" w:eastAsia="黑体" w:cs="黑体"/>
          <w:b w:val="0"/>
          <w:bCs w:val="0"/>
        </w:rPr>
        <w:t>出决算情况说明</w:t>
      </w:r>
      <w:bookmarkEnd w:id="28"/>
      <w:bookmarkEnd w:id="29"/>
    </w:p>
    <w:p>
      <w:pPr>
        <w:widowControl/>
        <w:spacing w:line="576"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年本年支出合计</w:t>
      </w:r>
      <w:r>
        <w:rPr>
          <w:rFonts w:ascii="仿宋_GB2312" w:eastAsia="仿宋_GB2312" w:cs="仿宋_GB2312"/>
          <w:color w:val="000000"/>
          <w:sz w:val="32"/>
          <w:szCs w:val="32"/>
        </w:rPr>
        <w:t>232.05</w:t>
      </w:r>
      <w:r>
        <w:rPr>
          <w:rFonts w:hint="eastAsia" w:ascii="仿宋_GB2312" w:eastAsia="仿宋_GB2312" w:cs="仿宋_GB2312"/>
          <w:color w:val="000000"/>
          <w:sz w:val="32"/>
          <w:szCs w:val="32"/>
        </w:rPr>
        <w:t>万元，其中：基本支出</w:t>
      </w:r>
      <w:r>
        <w:rPr>
          <w:rFonts w:ascii="仿宋_GB2312" w:eastAsia="仿宋_GB2312" w:cs="仿宋_GB2312"/>
          <w:color w:val="000000"/>
          <w:sz w:val="32"/>
          <w:szCs w:val="32"/>
        </w:rPr>
        <w:t>230.51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99%;</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1.54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p>
    <w:p>
      <w:pPr>
        <w:widowControl/>
        <w:spacing w:line="576"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p>
    <w:p>
      <w:pPr>
        <w:spacing w:line="576" w:lineRule="exact"/>
        <w:ind w:firstLine="640"/>
        <w:rPr>
          <w:rFonts w:ascii="仿宋_GB2312" w:eastAsia="仿宋_GB2312"/>
          <w:color w:val="000000"/>
          <w:sz w:val="32"/>
          <w:szCs w:val="32"/>
        </w:rPr>
      </w:pPr>
      <w:r>
        <w:drawing>
          <wp:anchor distT="0" distB="0" distL="113665" distR="113665" simplePos="0" relativeHeight="251659264" behindDoc="0" locked="0" layoutInCell="1" allowOverlap="1">
            <wp:simplePos x="0" y="0"/>
            <wp:positionH relativeFrom="column">
              <wp:posOffset>451485</wp:posOffset>
            </wp:positionH>
            <wp:positionV relativeFrom="paragraph">
              <wp:posOffset>153670</wp:posOffset>
            </wp:positionV>
            <wp:extent cx="4040505" cy="2383790"/>
            <wp:effectExtent l="0" t="0" r="0" b="0"/>
            <wp:wrapTight wrapText="bothSides">
              <wp:wrapPolygon>
                <wp:start x="153" y="346"/>
                <wp:lineTo x="153" y="21168"/>
                <wp:lineTo x="21345" y="21168"/>
                <wp:lineTo x="21345" y="346"/>
                <wp:lineTo x="153" y="346"/>
              </wp:wrapPolygon>
            </wp:wrapTight>
            <wp:docPr id="9" name="_x0000_s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x0000_s1029"/>
                    <pic:cNvPicPr>
                      <a:picLocks noChangeAspect="1"/>
                    </pic:cNvPicPr>
                  </pic:nvPicPr>
                  <pic:blipFill>
                    <a:blip r:embed="rId9"/>
                    <a:stretch>
                      <a:fillRect/>
                    </a:stretch>
                  </pic:blipFill>
                  <pic:spPr>
                    <a:xfrm>
                      <a:off x="0" y="0"/>
                      <a:ext cx="4040505" cy="2383790"/>
                    </a:xfrm>
                    <a:prstGeom prst="rect">
                      <a:avLst/>
                    </a:prstGeom>
                    <a:noFill/>
                    <a:ln w="9525" cap="flat" cmpd="sng">
                      <a:noFill/>
                      <a:prstDash val="solid"/>
                      <a:miter/>
                    </a:ln>
                  </pic:spPr>
                </pic:pic>
              </a:graphicData>
            </a:graphic>
          </wp:anchor>
        </w:drawing>
      </w:r>
    </w:p>
    <w:p>
      <w:pPr>
        <w:spacing w:line="576" w:lineRule="exact"/>
        <w:ind w:firstLine="640"/>
        <w:rPr>
          <w:rFonts w:ascii="仿宋_GB2312" w:eastAsia="仿宋_GB2312"/>
          <w:color w:val="000000"/>
          <w:sz w:val="32"/>
          <w:szCs w:val="32"/>
        </w:rPr>
      </w:pPr>
    </w:p>
    <w:p>
      <w:pPr>
        <w:spacing w:line="576" w:lineRule="exact"/>
        <w:ind w:firstLine="640"/>
        <w:rPr>
          <w:rFonts w:ascii="仿宋_GB2312" w:eastAsia="仿宋_GB2312"/>
          <w:color w:val="000000"/>
          <w:sz w:val="32"/>
          <w:szCs w:val="32"/>
        </w:rPr>
      </w:pPr>
    </w:p>
    <w:p>
      <w:pPr>
        <w:spacing w:line="576" w:lineRule="exact"/>
        <w:ind w:firstLine="640"/>
        <w:rPr>
          <w:rFonts w:ascii="仿宋_GB2312" w:eastAsia="仿宋_GB2312"/>
          <w:color w:val="000000"/>
          <w:sz w:val="32"/>
          <w:szCs w:val="32"/>
        </w:rPr>
      </w:pPr>
    </w:p>
    <w:p>
      <w:pPr>
        <w:spacing w:line="576" w:lineRule="exact"/>
        <w:ind w:firstLine="640" w:firstLineChars="200"/>
        <w:rPr>
          <w:rFonts w:ascii="黑体" w:eastAsia="黑体" w:cs="黑体"/>
          <w:color w:val="000000"/>
          <w:sz w:val="32"/>
          <w:szCs w:val="32"/>
        </w:rPr>
      </w:pPr>
      <w:bookmarkStart w:id="30" w:name="_Toc15377208"/>
      <w:bookmarkStart w:id="31" w:name="_Toc15396606"/>
    </w:p>
    <w:p>
      <w:pPr>
        <w:spacing w:line="576" w:lineRule="exact"/>
        <w:ind w:firstLine="640" w:firstLineChars="200"/>
        <w:rPr>
          <w:rFonts w:ascii="黑体" w:eastAsia="黑体" w:cs="黑体"/>
          <w:color w:val="000000"/>
          <w:sz w:val="32"/>
          <w:szCs w:val="32"/>
        </w:rPr>
      </w:pPr>
    </w:p>
    <w:p>
      <w:pPr>
        <w:spacing w:line="576" w:lineRule="exact"/>
        <w:ind w:firstLine="640" w:firstLineChars="200"/>
        <w:rPr>
          <w:rFonts w:ascii="黑体" w:eastAsia="黑体" w:cs="黑体"/>
          <w:color w:val="000000"/>
          <w:sz w:val="32"/>
          <w:szCs w:val="32"/>
        </w:rPr>
      </w:pPr>
    </w:p>
    <w:p>
      <w:pPr>
        <w:spacing w:line="576" w:lineRule="exact"/>
        <w:ind w:firstLine="640" w:firstLineChars="200"/>
        <w:rPr>
          <w:rStyle w:val="18"/>
          <w:rFonts w:ascii="黑体" w:eastAsia="黑体" w:cs="Times New Roman"/>
          <w:b w:val="0"/>
          <w:bCs w:val="0"/>
        </w:rPr>
      </w:pPr>
      <w:r>
        <w:rPr>
          <w:rFonts w:hint="eastAsia" w:ascii="黑体" w:eastAsia="黑体" w:cs="黑体"/>
          <w:color w:val="000000"/>
          <w:sz w:val="32"/>
          <w:szCs w:val="32"/>
        </w:rPr>
        <w:t>四、财</w:t>
      </w:r>
      <w:r>
        <w:rPr>
          <w:rStyle w:val="18"/>
          <w:rFonts w:hint="eastAsia" w:ascii="黑体" w:eastAsia="黑体" w:cs="黑体"/>
          <w:b w:val="0"/>
          <w:bCs w:val="0"/>
        </w:rPr>
        <w:t>政拨款收入支出决算总体情况说明</w:t>
      </w:r>
      <w:bookmarkEnd w:id="30"/>
      <w:bookmarkEnd w:id="31"/>
    </w:p>
    <w:p>
      <w:pPr>
        <w:widowControl/>
        <w:spacing w:line="576"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年财政拨款收入</w:t>
      </w:r>
      <w:r>
        <w:rPr>
          <w:rFonts w:ascii="仿宋_GB2312" w:eastAsia="仿宋_GB2312" w:cs="仿宋_GB2312"/>
          <w:color w:val="000000"/>
          <w:sz w:val="32"/>
          <w:szCs w:val="32"/>
        </w:rPr>
        <w:t>228.29</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年相比，财政拨款收入增加</w:t>
      </w:r>
      <w:r>
        <w:rPr>
          <w:rFonts w:ascii="仿宋_GB2312" w:eastAsia="仿宋_GB2312" w:cs="仿宋_GB2312"/>
          <w:color w:val="000000"/>
          <w:sz w:val="32"/>
          <w:szCs w:val="32"/>
        </w:rPr>
        <w:t>9.2</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4.2%</w:t>
      </w:r>
      <w:r>
        <w:rPr>
          <w:rFonts w:hint="eastAsia" w:ascii="仿宋_GB2312" w:eastAsia="仿宋_GB2312" w:cs="仿宋_GB2312"/>
          <w:color w:val="000000"/>
          <w:sz w:val="32"/>
          <w:szCs w:val="32"/>
        </w:rPr>
        <w:t>。主要变动的原因是</w:t>
      </w:r>
      <w:r>
        <w:rPr>
          <w:rFonts w:hint="eastAsia" w:ascii="仿宋_GB2312" w:eastAsia="仿宋_GB2312"/>
          <w:sz w:val="32"/>
          <w:szCs w:val="32"/>
        </w:rPr>
        <w:t>单位职工工资标准上调，相应的单位缴纳的机关事业单位养老保险、职业年金、住房公积金等缴费基数增长。</w:t>
      </w:r>
    </w:p>
    <w:p>
      <w:pPr>
        <w:widowControl/>
        <w:spacing w:line="576"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年财政拨款支出</w:t>
      </w:r>
      <w:r>
        <w:rPr>
          <w:rFonts w:ascii="仿宋_GB2312" w:eastAsia="仿宋_GB2312" w:cs="仿宋_GB2312"/>
          <w:color w:val="000000"/>
          <w:sz w:val="32"/>
          <w:szCs w:val="32"/>
        </w:rPr>
        <w:t>227.13</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年相比，财政拨款收入增加</w:t>
      </w:r>
      <w:r>
        <w:rPr>
          <w:rFonts w:ascii="仿宋_GB2312" w:eastAsia="仿宋_GB2312" w:cs="仿宋_GB2312"/>
          <w:color w:val="000000"/>
          <w:sz w:val="32"/>
          <w:szCs w:val="32"/>
        </w:rPr>
        <w:t>8.04</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3.7%</w:t>
      </w:r>
      <w:r>
        <w:rPr>
          <w:rFonts w:hint="eastAsia" w:ascii="仿宋_GB2312" w:eastAsia="仿宋_GB2312" w:cs="仿宋_GB2312"/>
          <w:color w:val="000000"/>
          <w:sz w:val="32"/>
          <w:szCs w:val="32"/>
        </w:rPr>
        <w:t>。主要变动的原因是</w:t>
      </w:r>
      <w:r>
        <w:rPr>
          <w:rFonts w:hint="eastAsia" w:ascii="仿宋_GB2312" w:eastAsia="仿宋_GB2312"/>
          <w:sz w:val="32"/>
          <w:szCs w:val="32"/>
        </w:rPr>
        <w:t>单位职工工资标准上调，相应的单位缴纳的机关事业单位养老保险、职业年金、住房公积金等缴费基数增长。</w:t>
      </w:r>
    </w:p>
    <w:p>
      <w:pPr>
        <w:spacing w:line="576" w:lineRule="exact"/>
        <w:ind w:firstLine="562" w:firstLineChars="200"/>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76" w:lineRule="exact"/>
        <w:ind w:firstLine="420" w:firstLineChars="200"/>
        <w:rPr>
          <w:rFonts w:ascii="仿宋_GB2312" w:eastAsia="仿宋_GB2312"/>
          <w:color w:val="000000"/>
          <w:sz w:val="32"/>
          <w:szCs w:val="32"/>
        </w:rPr>
      </w:pPr>
      <w:r>
        <w:drawing>
          <wp:anchor distT="0" distB="0" distL="113665" distR="113665" simplePos="0" relativeHeight="251659264" behindDoc="0" locked="0" layoutInCell="1" allowOverlap="1">
            <wp:simplePos x="0" y="0"/>
            <wp:positionH relativeFrom="column">
              <wp:posOffset>514985</wp:posOffset>
            </wp:positionH>
            <wp:positionV relativeFrom="paragraph">
              <wp:posOffset>78740</wp:posOffset>
            </wp:positionV>
            <wp:extent cx="3967480" cy="2461260"/>
            <wp:effectExtent l="0" t="0" r="3" b="38"/>
            <wp:wrapSquare wrapText="bothSides"/>
            <wp:docPr id="12" name="_x0000_s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s1030"/>
                    <pic:cNvPicPr>
                      <a:picLocks noChangeAspect="1"/>
                    </pic:cNvPicPr>
                  </pic:nvPicPr>
                  <pic:blipFill>
                    <a:blip r:embed="rId10"/>
                    <a:stretch>
                      <a:fillRect/>
                    </a:stretch>
                  </pic:blipFill>
                  <pic:spPr>
                    <a:xfrm>
                      <a:off x="0" y="0"/>
                      <a:ext cx="3967480" cy="2461260"/>
                    </a:xfrm>
                    <a:prstGeom prst="rect">
                      <a:avLst/>
                    </a:prstGeom>
                    <a:noFill/>
                    <a:ln w="9525" cap="flat" cmpd="sng">
                      <a:noFill/>
                      <a:prstDash val="solid"/>
                      <a:miter/>
                    </a:ln>
                  </pic:spPr>
                </pic:pic>
              </a:graphicData>
            </a:graphic>
          </wp:anchor>
        </w:drawing>
      </w: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olor w:val="000000"/>
          <w:sz w:val="32"/>
          <w:szCs w:val="32"/>
        </w:rPr>
      </w:pPr>
    </w:p>
    <w:p>
      <w:pPr>
        <w:spacing w:line="576" w:lineRule="exact"/>
        <w:rPr>
          <w:rFonts w:ascii="黑体" w:eastAsia="黑体" w:cs="黑体"/>
          <w:color w:val="000000"/>
          <w:sz w:val="32"/>
          <w:szCs w:val="32"/>
        </w:rPr>
      </w:pPr>
      <w:bookmarkStart w:id="32" w:name="_Toc15377209"/>
      <w:bookmarkStart w:id="33" w:name="_Toc15396607"/>
    </w:p>
    <w:p>
      <w:pPr>
        <w:spacing w:line="576" w:lineRule="exact"/>
        <w:ind w:firstLine="640" w:firstLineChars="200"/>
        <w:rPr>
          <w:rFonts w:ascii="??" w:hAnsi="??"/>
          <w:color w:val="000000"/>
          <w:sz w:val="32"/>
          <w:szCs w:val="32"/>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18"/>
          <w:rFonts w:hint="eastAsia" w:ascii="黑体" w:eastAsia="黑体" w:cs="黑体"/>
          <w:b w:val="0"/>
          <w:bCs w:val="0"/>
        </w:rPr>
        <w:t>般公共预算财政拨款支出决算情况说明</w:t>
      </w:r>
      <w:bookmarkEnd w:id="32"/>
      <w:bookmarkEnd w:id="33"/>
      <w:bookmarkStart w:id="34" w:name="_Toc15377210"/>
    </w:p>
    <w:p>
      <w:pPr>
        <w:spacing w:line="576" w:lineRule="exact"/>
        <w:ind w:firstLine="642" w:firstLineChars="200"/>
        <w:outlineLvl w:val="1"/>
        <w:rPr>
          <w:rFonts w:ascii="楷体" w:eastAsia="楷体" w:cs="楷体"/>
          <w:b/>
          <w:bCs/>
          <w:color w:val="000000"/>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76"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227.13</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98%</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年相比，一般公共预算财政拨款增加</w:t>
      </w:r>
      <w:r>
        <w:rPr>
          <w:rFonts w:ascii="仿宋_GB2312" w:eastAsia="仿宋_GB2312" w:cs="仿宋_GB2312"/>
          <w:color w:val="000000"/>
          <w:sz w:val="32"/>
          <w:szCs w:val="32"/>
        </w:rPr>
        <w:t>8.04</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3.7%</w:t>
      </w:r>
      <w:r>
        <w:rPr>
          <w:rFonts w:hint="eastAsia" w:ascii="仿宋_GB2312" w:eastAsia="仿宋_GB2312" w:cs="仿宋_GB2312"/>
          <w:color w:val="000000"/>
          <w:sz w:val="32"/>
          <w:szCs w:val="32"/>
        </w:rPr>
        <w:t>。主要变动原因是</w:t>
      </w:r>
      <w:r>
        <w:rPr>
          <w:rFonts w:hint="eastAsia" w:ascii="仿宋_GB2312" w:eastAsia="仿宋_GB2312"/>
          <w:sz w:val="32"/>
          <w:szCs w:val="32"/>
        </w:rPr>
        <w:t>单位职工工资标准上调，相应的单位缴纳的机关事业单位养老保险、职业年金、住房公积金等缴费基数增长。</w:t>
      </w:r>
    </w:p>
    <w:p>
      <w:pPr>
        <w:widowControl/>
        <w:spacing w:line="576"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76" w:lineRule="exact"/>
        <w:ind w:firstLine="420" w:firstLineChars="200"/>
        <w:jc w:val="left"/>
        <w:rPr>
          <w:rFonts w:ascii="楷体" w:eastAsia="楷体" w:cs="楷体"/>
          <w:b/>
          <w:bCs/>
          <w:color w:val="000000"/>
          <w:sz w:val="32"/>
          <w:szCs w:val="32"/>
        </w:rPr>
      </w:pPr>
      <w:bookmarkStart w:id="35" w:name="_Toc15377211"/>
      <w:r>
        <w:drawing>
          <wp:anchor distT="0" distB="0" distL="113665" distR="113665" simplePos="0" relativeHeight="251659264" behindDoc="0" locked="0" layoutInCell="1" allowOverlap="1">
            <wp:simplePos x="0" y="0"/>
            <wp:positionH relativeFrom="column">
              <wp:posOffset>676910</wp:posOffset>
            </wp:positionH>
            <wp:positionV relativeFrom="paragraph">
              <wp:posOffset>240030</wp:posOffset>
            </wp:positionV>
            <wp:extent cx="4124960" cy="3924300"/>
            <wp:effectExtent l="0" t="0" r="30" b="35"/>
            <wp:wrapSquare wrapText="bothSides"/>
            <wp:docPr id="15" name="_x0000_s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00_s1031"/>
                    <pic:cNvPicPr>
                      <a:picLocks noChangeAspect="1"/>
                    </pic:cNvPicPr>
                  </pic:nvPicPr>
                  <pic:blipFill>
                    <a:blip r:embed="rId11"/>
                    <a:stretch>
                      <a:fillRect/>
                    </a:stretch>
                  </pic:blipFill>
                  <pic:spPr>
                    <a:xfrm>
                      <a:off x="0" y="0"/>
                      <a:ext cx="4124959" cy="3924300"/>
                    </a:xfrm>
                    <a:prstGeom prst="rect">
                      <a:avLst/>
                    </a:prstGeom>
                    <a:noFill/>
                    <a:ln w="9525" cap="flat" cmpd="sng">
                      <a:noFill/>
                      <a:prstDash val="solid"/>
                      <a:miter/>
                    </a:ln>
                  </pic:spPr>
                </pic:pic>
              </a:graphicData>
            </a:graphic>
          </wp:anchor>
        </w:drawing>
      </w:r>
    </w:p>
    <w:p>
      <w:pPr>
        <w:widowControl/>
        <w:spacing w:line="576" w:lineRule="exact"/>
        <w:ind w:firstLine="642" w:firstLineChars="200"/>
        <w:jc w:val="left"/>
        <w:rPr>
          <w:rFonts w:ascii="楷体" w:eastAsia="楷体" w:cs="楷体"/>
          <w:b/>
          <w:bCs/>
          <w:color w:val="000000"/>
          <w:sz w:val="32"/>
          <w:szCs w:val="32"/>
        </w:rPr>
      </w:pPr>
    </w:p>
    <w:p>
      <w:pPr>
        <w:widowControl/>
        <w:spacing w:line="576" w:lineRule="exact"/>
        <w:ind w:firstLine="642" w:firstLineChars="200"/>
        <w:jc w:val="left"/>
        <w:rPr>
          <w:rFonts w:ascii="楷体" w:eastAsia="楷体" w:cs="楷体"/>
          <w:b/>
          <w:bCs/>
          <w:color w:val="000000"/>
          <w:sz w:val="32"/>
          <w:szCs w:val="32"/>
        </w:rPr>
      </w:pPr>
    </w:p>
    <w:p>
      <w:pPr>
        <w:widowControl/>
        <w:spacing w:line="576" w:lineRule="exact"/>
        <w:ind w:firstLine="642" w:firstLineChars="200"/>
        <w:jc w:val="left"/>
        <w:rPr>
          <w:rFonts w:ascii="楷体" w:eastAsia="楷体" w:cs="楷体"/>
          <w:b/>
          <w:bCs/>
          <w:color w:val="000000"/>
          <w:sz w:val="32"/>
          <w:szCs w:val="32"/>
        </w:rPr>
      </w:pPr>
    </w:p>
    <w:p>
      <w:pPr>
        <w:widowControl/>
        <w:spacing w:line="576" w:lineRule="exact"/>
        <w:ind w:firstLine="642" w:firstLineChars="200"/>
        <w:jc w:val="left"/>
        <w:rPr>
          <w:rFonts w:ascii="楷体" w:eastAsia="楷体" w:cs="楷体"/>
          <w:b/>
          <w:bCs/>
          <w:color w:val="000000"/>
          <w:sz w:val="32"/>
          <w:szCs w:val="32"/>
        </w:rPr>
      </w:pPr>
    </w:p>
    <w:p>
      <w:pPr>
        <w:widowControl/>
        <w:spacing w:line="576" w:lineRule="exact"/>
        <w:ind w:firstLine="642" w:firstLineChars="200"/>
        <w:jc w:val="left"/>
        <w:rPr>
          <w:rFonts w:ascii="楷体" w:eastAsia="楷体" w:cs="楷体"/>
          <w:b/>
          <w:bCs/>
          <w:color w:val="000000"/>
          <w:sz w:val="32"/>
          <w:szCs w:val="32"/>
        </w:rPr>
      </w:pPr>
      <w:r>
        <w:rPr>
          <w:rFonts w:hint="eastAsia" w:ascii="楷体" w:eastAsia="楷体" w:cs="楷体"/>
          <w:b/>
          <w:bCs/>
          <w:color w:val="000000"/>
          <w:sz w:val="32"/>
          <w:szCs w:val="32"/>
        </w:rPr>
        <w:t>（二）一般公共预算财政拨款支出决算结构情况</w:t>
      </w:r>
      <w:bookmarkEnd w:id="35"/>
    </w:p>
    <w:p>
      <w:pPr>
        <w:spacing w:line="576"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227.13</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w:t>
      </w:r>
      <w:r>
        <w:rPr>
          <w:rFonts w:ascii="仿宋_GB2312" w:eastAsia="仿宋_GB2312" w:cs="仿宋_GB2312"/>
          <w:color w:val="000000"/>
          <w:sz w:val="32"/>
          <w:szCs w:val="32"/>
        </w:rPr>
        <w:t>167.41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74%</w:t>
      </w:r>
      <w:r>
        <w:rPr>
          <w:rFonts w:hint="eastAsia" w:ascii="仿宋_GB2312" w:eastAsia="仿宋_GB2312" w:cs="仿宋_GB2312"/>
          <w:color w:val="000000"/>
          <w:sz w:val="32"/>
          <w:szCs w:val="32"/>
        </w:rPr>
        <w:t>；社会保障和就业支出</w:t>
      </w:r>
      <w:r>
        <w:rPr>
          <w:rFonts w:ascii="仿宋_GB2312" w:eastAsia="仿宋_GB2312" w:cs="仿宋_GB2312"/>
          <w:color w:val="000000"/>
          <w:sz w:val="32"/>
          <w:szCs w:val="32"/>
        </w:rPr>
        <w:t>28.6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13%</w:t>
      </w:r>
      <w:r>
        <w:rPr>
          <w:rFonts w:hint="eastAsia" w:ascii="仿宋_GB2312" w:eastAsia="仿宋_GB2312" w:cs="仿宋_GB2312"/>
          <w:color w:val="000000"/>
          <w:sz w:val="32"/>
          <w:szCs w:val="32"/>
        </w:rPr>
        <w:t>；卫生健康支出</w:t>
      </w:r>
      <w:r>
        <w:rPr>
          <w:rFonts w:ascii="仿宋_GB2312" w:eastAsia="仿宋_GB2312" w:cs="仿宋_GB2312"/>
          <w:color w:val="000000"/>
          <w:sz w:val="32"/>
          <w:szCs w:val="32"/>
        </w:rPr>
        <w:t>12.48</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5%</w:t>
      </w:r>
      <w:r>
        <w:rPr>
          <w:rFonts w:hint="eastAsia" w:ascii="仿宋_GB2312" w:eastAsia="仿宋_GB2312" w:cs="仿宋_GB2312"/>
          <w:color w:val="000000"/>
          <w:sz w:val="32"/>
          <w:szCs w:val="32"/>
        </w:rPr>
        <w:t>；农林水支出</w:t>
      </w:r>
      <w:r>
        <w:rPr>
          <w:rFonts w:ascii="仿宋_GB2312" w:eastAsia="仿宋_GB2312" w:cs="仿宋_GB2312"/>
          <w:color w:val="000000"/>
          <w:sz w:val="32"/>
          <w:szCs w:val="32"/>
        </w:rPr>
        <w:t>1.54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17.1</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w:t>
      </w:r>
    </w:p>
    <w:p>
      <w:pPr>
        <w:widowControl/>
        <w:spacing w:line="576" w:lineRule="exact"/>
        <w:ind w:firstLine="933" w:firstLineChars="300"/>
        <w:jc w:val="left"/>
        <w:rPr>
          <w:b/>
          <w:bCs/>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w:t>
      </w:r>
    </w:p>
    <w:p>
      <w:pPr>
        <w:spacing w:line="576" w:lineRule="exact"/>
        <w:ind w:firstLine="640"/>
        <w:rPr>
          <w:rFonts w:ascii="仿宋_GB2312" w:eastAsia="仿宋_GB2312"/>
          <w:color w:val="000000"/>
          <w:sz w:val="32"/>
          <w:szCs w:val="32"/>
        </w:rPr>
      </w:pPr>
      <w:r>
        <w:drawing>
          <wp:anchor distT="0" distB="0" distL="113665" distR="113665" simplePos="0" relativeHeight="251659264" behindDoc="0" locked="0" layoutInCell="1" allowOverlap="1">
            <wp:simplePos x="0" y="0"/>
            <wp:positionH relativeFrom="column">
              <wp:posOffset>358775</wp:posOffset>
            </wp:positionH>
            <wp:positionV relativeFrom="paragraph">
              <wp:posOffset>281940</wp:posOffset>
            </wp:positionV>
            <wp:extent cx="4432300" cy="3265805"/>
            <wp:effectExtent l="0" t="0" r="5" b="18"/>
            <wp:wrapSquare wrapText="bothSides"/>
            <wp:docPr id="18" name="_x0000_s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x0000_s1032"/>
                    <pic:cNvPicPr>
                      <a:picLocks noChangeAspect="1"/>
                    </pic:cNvPicPr>
                  </pic:nvPicPr>
                  <pic:blipFill>
                    <a:blip r:embed="rId12"/>
                    <a:stretch>
                      <a:fillRect/>
                    </a:stretch>
                  </pic:blipFill>
                  <pic:spPr>
                    <a:xfrm>
                      <a:off x="0" y="0"/>
                      <a:ext cx="4432300" cy="3265805"/>
                    </a:xfrm>
                    <a:prstGeom prst="rect">
                      <a:avLst/>
                    </a:prstGeom>
                    <a:noFill/>
                    <a:ln w="9525" cap="flat" cmpd="sng">
                      <a:noFill/>
                      <a:prstDash val="solid"/>
                      <a:miter/>
                    </a:ln>
                  </pic:spPr>
                </pic:pic>
              </a:graphicData>
            </a:graphic>
          </wp:anchor>
        </w:drawing>
      </w:r>
    </w:p>
    <w:p>
      <w:pPr>
        <w:spacing w:line="576" w:lineRule="exact"/>
        <w:ind w:firstLine="640"/>
        <w:rPr>
          <w:rFonts w:ascii="仿宋_GB2312" w:eastAsia="仿宋_GB2312"/>
          <w:color w:val="000000"/>
          <w:sz w:val="32"/>
          <w:szCs w:val="32"/>
        </w:rPr>
      </w:pPr>
    </w:p>
    <w:p>
      <w:pPr>
        <w:spacing w:line="576" w:lineRule="exact"/>
        <w:ind w:firstLine="640"/>
        <w:rPr>
          <w:rFonts w:ascii="仿宋_GB2312" w:eastAsia="仿宋_GB2312"/>
          <w:color w:val="000000"/>
          <w:sz w:val="32"/>
          <w:szCs w:val="32"/>
        </w:rPr>
      </w:pPr>
    </w:p>
    <w:p>
      <w:pPr>
        <w:spacing w:line="576" w:lineRule="exact"/>
        <w:ind w:firstLine="640"/>
        <w:rPr>
          <w:rFonts w:ascii="仿宋_GB2312" w:eastAsia="仿宋_GB2312"/>
          <w:color w:val="000000"/>
          <w:sz w:val="32"/>
          <w:szCs w:val="32"/>
        </w:rPr>
      </w:pPr>
    </w:p>
    <w:p>
      <w:pPr>
        <w:spacing w:line="576" w:lineRule="exact"/>
        <w:ind w:firstLine="642" w:firstLineChars="200"/>
        <w:rPr>
          <w:rFonts w:ascii="楷体" w:eastAsia="楷体" w:cs="楷体"/>
          <w:b/>
          <w:bCs/>
          <w:color w:val="000000"/>
          <w:sz w:val="32"/>
          <w:szCs w:val="32"/>
        </w:rPr>
      </w:pPr>
      <w:bookmarkStart w:id="36" w:name="_Toc15377212"/>
      <w:r>
        <w:rPr>
          <w:rFonts w:hint="eastAsia" w:ascii="楷体" w:eastAsia="楷体" w:cs="楷体"/>
          <w:b/>
          <w:bCs/>
          <w:color w:val="000000"/>
          <w:sz w:val="32"/>
          <w:szCs w:val="32"/>
        </w:rPr>
        <w:t>（三）一般公共预算财政拨款支出决算具体情况</w:t>
      </w:r>
      <w:bookmarkEnd w:id="36"/>
      <w:bookmarkStart w:id="37" w:name="_Toc15377213"/>
      <w:bookmarkStart w:id="38" w:name="_Toc15377444"/>
      <w:bookmarkStart w:id="39" w:name="_Toc15378460"/>
    </w:p>
    <w:p>
      <w:pPr>
        <w:spacing w:line="576" w:lineRule="exact"/>
        <w:ind w:firstLine="640" w:firstLineChars="200"/>
        <w:rPr>
          <w:rFonts w:ascii="仿宋_GB2312" w:eastAsia="仿宋_GB2312"/>
          <w:color w:val="FF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年一般公共预算支出决算数为</w:t>
      </w:r>
      <w:r>
        <w:rPr>
          <w:rFonts w:ascii="仿宋_GB2312" w:eastAsia="仿宋_GB2312" w:cs="仿宋_GB2312"/>
          <w:color w:val="000000"/>
          <w:sz w:val="32"/>
          <w:szCs w:val="32"/>
        </w:rPr>
        <w:t>227.13</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。其中：</w:t>
      </w:r>
      <w:bookmarkEnd w:id="37"/>
      <w:bookmarkEnd w:id="38"/>
      <w:bookmarkEnd w:id="39"/>
    </w:p>
    <w:p>
      <w:pPr>
        <w:spacing w:line="576" w:lineRule="exact"/>
        <w:ind w:firstLine="640" w:firstLineChars="200"/>
        <w:rPr>
          <w:rFonts w:ascii="仿宋_GB2312" w:eastAsia="仿宋_GB2312"/>
          <w:color w:val="000000"/>
          <w:sz w:val="32"/>
          <w:szCs w:val="32"/>
        </w:rPr>
      </w:pPr>
      <w:r>
        <w:rPr>
          <w:rStyle w:val="15"/>
          <w:rFonts w:ascii="仿宋_GB2312" w:eastAsia="仿宋_GB2312" w:cs="仿宋_GB2312"/>
          <w:b w:val="0"/>
          <w:bCs w:val="0"/>
          <w:color w:val="000000"/>
          <w:sz w:val="32"/>
          <w:szCs w:val="32"/>
        </w:rPr>
        <w:t>1.</w:t>
      </w:r>
      <w:r>
        <w:rPr>
          <w:rStyle w:val="15"/>
          <w:rFonts w:hint="eastAsia" w:ascii="仿宋_GB2312" w:eastAsia="仿宋_GB2312" w:cs="仿宋_GB2312"/>
          <w:b w:val="0"/>
          <w:bCs w:val="0"/>
          <w:color w:val="000000"/>
          <w:sz w:val="32"/>
          <w:szCs w:val="32"/>
        </w:rPr>
        <w:t>教育支出（类）教育管理事务（款）行政运行（项）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167.41</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2.</w:t>
      </w:r>
      <w:r>
        <w:rPr>
          <w:rStyle w:val="15"/>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19.57</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3.</w:t>
      </w:r>
      <w:r>
        <w:rPr>
          <w:rStyle w:val="15"/>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9.03</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4.</w:t>
      </w:r>
      <w:r>
        <w:rPr>
          <w:rStyle w:val="15"/>
          <w:rFonts w:hint="eastAsia" w:ascii="仿宋_GB2312" w:eastAsia="仿宋_GB2312" w:cs="仿宋_GB2312"/>
          <w:b w:val="0"/>
          <w:bCs w:val="0"/>
          <w:color w:val="000000"/>
          <w:sz w:val="32"/>
          <w:szCs w:val="32"/>
        </w:rPr>
        <w:t>卫生健康支出（类）行政事业单位医疗（款）行政单位医疗（项）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7.7</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b w:val="0"/>
          <w:bCs w:val="0"/>
          <w:color w:val="000000"/>
          <w:sz w:val="32"/>
          <w:szCs w:val="32"/>
        </w:rPr>
      </w:pPr>
      <w:r>
        <w:rPr>
          <w:rStyle w:val="15"/>
          <w:rFonts w:ascii="仿宋_GB2312" w:eastAsia="仿宋_GB2312" w:cs="仿宋_GB2312"/>
          <w:b w:val="0"/>
          <w:bCs w:val="0"/>
          <w:color w:val="000000"/>
          <w:sz w:val="32"/>
          <w:szCs w:val="32"/>
        </w:rPr>
        <w:t>5.</w:t>
      </w:r>
      <w:r>
        <w:rPr>
          <w:rStyle w:val="15"/>
          <w:rFonts w:hint="eastAsia" w:ascii="仿宋_GB2312" w:eastAsia="仿宋_GB2312" w:cs="仿宋_GB2312"/>
          <w:b w:val="0"/>
          <w:bCs w:val="0"/>
          <w:color w:val="000000"/>
          <w:sz w:val="32"/>
          <w:szCs w:val="32"/>
        </w:rPr>
        <w:t>卫生健康支出（类）行政事业单位医疗（款）事业单位医疗（项）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4.78</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6.</w:t>
      </w:r>
      <w:r>
        <w:rPr>
          <w:rStyle w:val="15"/>
          <w:rFonts w:hint="eastAsia" w:ascii="仿宋_GB2312" w:eastAsia="仿宋_GB2312" w:cs="仿宋_GB2312"/>
          <w:b w:val="0"/>
          <w:bCs w:val="0"/>
          <w:color w:val="000000"/>
          <w:sz w:val="32"/>
          <w:szCs w:val="32"/>
        </w:rPr>
        <w:t>农林水支出（类）扶贫（款）其他扶贫支出（项）：支出决算为</w:t>
      </w:r>
      <w:r>
        <w:rPr>
          <w:rStyle w:val="15"/>
          <w:rFonts w:ascii="仿宋_GB2312" w:eastAsia="仿宋_GB2312" w:cs="仿宋_GB2312"/>
          <w:b w:val="0"/>
          <w:bCs w:val="0"/>
          <w:color w:val="000000"/>
          <w:sz w:val="32"/>
          <w:szCs w:val="32"/>
        </w:rPr>
        <w:t>1.54</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5"/>
          <w:rFonts w:ascii="仿宋_GB2312" w:eastAsia="仿宋_GB2312"/>
          <w:b w:val="0"/>
          <w:bCs w:val="0"/>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住房保障支出（类）住房改革支出（款）住房公积金（项）：</w:t>
      </w:r>
      <w:r>
        <w:rPr>
          <w:rStyle w:val="15"/>
          <w:rFonts w:hint="eastAsia" w:ascii="仿宋_GB2312" w:eastAsia="仿宋_GB2312" w:cs="仿宋_GB2312"/>
          <w:b w:val="0"/>
          <w:bCs w:val="0"/>
          <w:color w:val="000000"/>
          <w:sz w:val="32"/>
          <w:szCs w:val="32"/>
        </w:rPr>
        <w:t>支出决算为</w:t>
      </w:r>
      <w:r>
        <w:rPr>
          <w:rFonts w:ascii="仿宋_GB2312" w:eastAsia="仿宋_GB2312" w:cs="仿宋_GB2312"/>
          <w:color w:val="000000"/>
          <w:sz w:val="32"/>
          <w:szCs w:val="32"/>
        </w:rPr>
        <w:t>17.10</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76" w:lineRule="exact"/>
        <w:ind w:firstLine="640" w:firstLineChars="200"/>
        <w:rPr>
          <w:rStyle w:val="18"/>
        </w:rPr>
      </w:pPr>
      <w:bookmarkStart w:id="40" w:name="_Toc15377214"/>
      <w:bookmarkStart w:id="41" w:name="_Toc15396608"/>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18"/>
          <w:rFonts w:hint="eastAsia" w:ascii="黑体" w:eastAsia="黑体" w:cs="黑体"/>
          <w:b w:val="0"/>
          <w:bCs w:val="0"/>
        </w:rPr>
        <w:t>般公共预算财政拨款基本支出决算情况说明</w:t>
      </w:r>
      <w:bookmarkEnd w:id="40"/>
      <w:bookmarkEnd w:id="41"/>
    </w:p>
    <w:p>
      <w:pPr>
        <w:spacing w:line="576" w:lineRule="exact"/>
        <w:ind w:firstLine="645"/>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225.61</w:t>
      </w:r>
      <w:r>
        <w:rPr>
          <w:rFonts w:hint="eastAsia" w:ascii="仿宋_GB2312" w:eastAsia="仿宋_GB2312" w:cs="仿宋_GB2312"/>
          <w:color w:val="000000"/>
          <w:sz w:val="32"/>
          <w:szCs w:val="32"/>
        </w:rPr>
        <w:t>万元，其中：</w:t>
      </w:r>
    </w:p>
    <w:p>
      <w:pPr>
        <w:spacing w:line="576" w:lineRule="exact"/>
        <w:ind w:firstLine="645"/>
        <w:rPr>
          <w:rFonts w:ascii="仿宋_GB2312" w:eastAsia="仿宋_GB2312"/>
          <w:color w:val="00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216.32</w:t>
      </w:r>
      <w:r>
        <w:rPr>
          <w:rFonts w:hint="eastAsia" w:ascii="仿宋_GB2312" w:eastAsia="仿宋_GB2312" w:cs="仿宋_GB2312"/>
          <w:color w:val="000000"/>
          <w:sz w:val="32"/>
          <w:szCs w:val="32"/>
        </w:rPr>
        <w:t>万元，主要包括：基本工资、津贴补贴、奖金、绩效工资、机关事业单位基本养老保险缴费、职业年金缴费、职工基本医疗保险费、其他社会保障缴费、住房公积金、医疗费、生活补助、医疗费补助、奖励金等。</w:t>
      </w:r>
      <w:r>
        <w:rPr>
          <w:rFonts w:ascii="仿宋_GB2312" w:eastAsia="仿宋_GB2312"/>
          <w:color w:val="000000"/>
          <w:sz w:val="32"/>
          <w:szCs w:val="32"/>
        </w:rPr>
        <w:br w:type="textWrapping"/>
      </w:r>
      <w:r>
        <w:rPr>
          <w:rFonts w:hint="eastAsia" w:ascii="仿宋_GB2312" w:eastAsia="仿宋_GB2312" w:cs="仿宋_GB2312"/>
          <w:color w:val="000000"/>
          <w:sz w:val="32"/>
          <w:szCs w:val="32"/>
        </w:rPr>
        <w:t>　　日常公用经费</w:t>
      </w:r>
      <w:r>
        <w:rPr>
          <w:rFonts w:ascii="仿宋_GB2312" w:eastAsia="仿宋_GB2312" w:cs="仿宋_GB2312"/>
          <w:color w:val="000000"/>
          <w:sz w:val="32"/>
          <w:szCs w:val="32"/>
        </w:rPr>
        <w:t>9.29</w:t>
      </w:r>
      <w:r>
        <w:rPr>
          <w:rFonts w:hint="eastAsia" w:ascii="仿宋_GB2312" w:eastAsia="仿宋_GB2312" w:cs="仿宋_GB2312"/>
          <w:color w:val="000000"/>
          <w:sz w:val="32"/>
          <w:szCs w:val="32"/>
        </w:rPr>
        <w:t>万元，主要包括：办公费、水费、电费、邮电费、差旅费、培训费、公务接待费支出等。</w:t>
      </w:r>
    </w:p>
    <w:p>
      <w:pPr>
        <w:spacing w:line="576" w:lineRule="exact"/>
        <w:ind w:firstLine="640" w:firstLineChars="200"/>
        <w:rPr>
          <w:rStyle w:val="18"/>
          <w:rFonts w:asci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18"/>
          <w:rFonts w:hint="eastAsia" w:ascii="黑体" w:eastAsia="黑体" w:cs="黑体"/>
        </w:rPr>
        <w:t>“</w:t>
      </w:r>
      <w:r>
        <w:rPr>
          <w:rStyle w:val="18"/>
          <w:rFonts w:hint="eastAsia" w:ascii="黑体" w:eastAsia="黑体" w:cs="黑体"/>
          <w:b w:val="0"/>
          <w:bCs w:val="0"/>
        </w:rPr>
        <w:t>三公”经费财政拨款支出决算情况说明</w:t>
      </w:r>
      <w:bookmarkEnd w:id="42"/>
      <w:bookmarkEnd w:id="43"/>
    </w:p>
    <w:p>
      <w:pPr>
        <w:spacing w:line="576" w:lineRule="exact"/>
        <w:ind w:firstLine="642" w:firstLineChars="200"/>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76" w:lineRule="exact"/>
        <w:ind w:firstLine="640" w:firstLineChars="200"/>
        <w:jc w:val="left"/>
        <w:rPr>
          <w:rFonts w:ascii="??" w:hAnsi="??"/>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年“三公”经费财政拨款支出决算为</w:t>
      </w:r>
      <w:r>
        <w:rPr>
          <w:rFonts w:ascii="仿宋_GB2312" w:eastAsia="仿宋_GB2312" w:cs="仿宋_GB2312"/>
          <w:color w:val="000000"/>
          <w:sz w:val="32"/>
          <w:szCs w:val="32"/>
        </w:rPr>
        <w:t>0.07</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35 %</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p>
    <w:p>
      <w:pPr>
        <w:spacing w:line="576" w:lineRule="exact"/>
        <w:ind w:firstLine="642" w:firstLineChars="200"/>
        <w:outlineLvl w:val="1"/>
        <w:rPr>
          <w:rFonts w:ascii="楷体" w:eastAsia="楷体" w:cs="楷体"/>
          <w:b/>
          <w:bCs/>
          <w:color w:val="000000"/>
          <w:sz w:val="32"/>
          <w:szCs w:val="32"/>
        </w:rPr>
      </w:pPr>
      <w:bookmarkStart w:id="45" w:name="_Toc15377217"/>
      <w:r>
        <w:rPr>
          <w:rFonts w:hint="eastAsia" w:ascii="楷体" w:eastAsia="楷体" w:cs="楷体"/>
          <w:b/>
          <w:bCs/>
          <w:color w:val="000000"/>
          <w:sz w:val="32"/>
          <w:szCs w:val="32"/>
        </w:rPr>
        <w:t>（二）“三公”经费财政拨款支出决算具体情况说明</w:t>
      </w:r>
      <w:bookmarkEnd w:id="45"/>
    </w:p>
    <w:p>
      <w:pPr>
        <w:widowControl/>
        <w:spacing w:line="576"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w:t>
      </w:r>
      <w:r>
        <w:rPr>
          <w:rFonts w:ascii="仿宋_GB2312" w:eastAsia="仿宋_GB2312" w:cs="仿宋_GB2312"/>
          <w:color w:val="000000"/>
          <w:sz w:val="32"/>
          <w:szCs w:val="32"/>
        </w:rPr>
        <w:t>0.07</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w:t>
      </w:r>
    </w:p>
    <w:p>
      <w:pPr>
        <w:widowControl/>
        <w:spacing w:line="576"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8</w:t>
      </w:r>
      <w:r>
        <w:rPr>
          <w:rFonts w:hint="eastAsia" w:ascii="宋体" w:cs="宋体"/>
          <w:b/>
          <w:bCs/>
          <w:color w:val="000000"/>
          <w:kern w:val="0"/>
          <w:sz w:val="28"/>
          <w:szCs w:val="28"/>
        </w:rPr>
        <w:t>：“三公”经费财政拨款支出结构（单位：万元）</w:t>
      </w:r>
    </w:p>
    <w:p>
      <w:pPr>
        <w:widowControl/>
        <w:spacing w:line="576" w:lineRule="exact"/>
        <w:ind w:firstLine="420" w:firstLineChars="200"/>
        <w:jc w:val="left"/>
        <w:rPr>
          <w:rFonts w:ascii="宋体"/>
          <w:b/>
          <w:bCs/>
          <w:color w:val="000000"/>
          <w:kern w:val="0"/>
          <w:sz w:val="28"/>
          <w:szCs w:val="28"/>
        </w:rPr>
      </w:pPr>
      <w:r>
        <w:drawing>
          <wp:anchor distT="0" distB="0" distL="113665" distR="113665" simplePos="0" relativeHeight="251659264" behindDoc="0" locked="0" layoutInCell="1" allowOverlap="1">
            <wp:simplePos x="0" y="0"/>
            <wp:positionH relativeFrom="column">
              <wp:posOffset>229870</wp:posOffset>
            </wp:positionH>
            <wp:positionV relativeFrom="paragraph">
              <wp:posOffset>214630</wp:posOffset>
            </wp:positionV>
            <wp:extent cx="4619625" cy="3053715"/>
            <wp:effectExtent l="0" t="0" r="24" b="46"/>
            <wp:wrapSquare wrapText="bothSides"/>
            <wp:docPr id="21" name="_x0000_s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s1033"/>
                    <pic:cNvPicPr>
                      <a:picLocks noChangeAspect="1"/>
                    </pic:cNvPicPr>
                  </pic:nvPicPr>
                  <pic:blipFill>
                    <a:blip r:embed="rId13"/>
                    <a:stretch>
                      <a:fillRect/>
                    </a:stretch>
                  </pic:blipFill>
                  <pic:spPr>
                    <a:xfrm>
                      <a:off x="0" y="0"/>
                      <a:ext cx="4619625" cy="3053714"/>
                    </a:xfrm>
                    <a:prstGeom prst="rect">
                      <a:avLst/>
                    </a:prstGeom>
                    <a:noFill/>
                    <a:ln w="9525" cap="flat" cmpd="sng">
                      <a:noFill/>
                      <a:prstDash val="solid"/>
                      <a:miter/>
                    </a:ln>
                  </pic:spPr>
                </pic:pic>
              </a:graphicData>
            </a:graphic>
          </wp:anchor>
        </w:drawing>
      </w:r>
    </w:p>
    <w:p>
      <w:pPr>
        <w:widowControl/>
        <w:spacing w:line="576" w:lineRule="exact"/>
        <w:ind w:firstLine="562" w:firstLineChars="200"/>
        <w:jc w:val="left"/>
        <w:rPr>
          <w:rFonts w:ascii="宋体"/>
          <w:b/>
          <w:bCs/>
          <w:color w:val="000000"/>
          <w:kern w:val="0"/>
          <w:sz w:val="28"/>
          <w:szCs w:val="28"/>
        </w:rPr>
      </w:pP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olor w:val="000000"/>
          <w:sz w:val="32"/>
          <w:szCs w:val="32"/>
        </w:rPr>
      </w:pPr>
    </w:p>
    <w:p>
      <w:pPr>
        <w:spacing w:line="576" w:lineRule="exact"/>
        <w:ind w:firstLine="640" w:firstLineChars="200"/>
        <w:rPr>
          <w:rFonts w:ascii="仿宋_GB2312" w:eastAsia="仿宋_GB2312" w:cs="仿宋_GB2312"/>
          <w:color w:val="000000"/>
          <w:sz w:val="32"/>
          <w:szCs w:val="32"/>
        </w:rPr>
      </w:pPr>
    </w:p>
    <w:p>
      <w:pPr>
        <w:spacing w:line="576" w:lineRule="exact"/>
        <w:ind w:firstLine="640" w:firstLineChars="200"/>
        <w:rPr>
          <w:rFonts w:ascii="仿宋_GB2312" w:eastAsia="仿宋_GB2312" w:cs="仿宋_GB2312"/>
          <w:color w:val="000000"/>
          <w:sz w:val="32"/>
          <w:szCs w:val="32"/>
        </w:rPr>
      </w:pPr>
    </w:p>
    <w:p>
      <w:pPr>
        <w:spacing w:line="576" w:lineRule="exact"/>
        <w:ind w:firstLine="640" w:firstLineChars="200"/>
        <w:rPr>
          <w:rFonts w:ascii="仿宋_GB2312" w:eastAsia="仿宋_GB2312" w:cs="仿宋_GB2312"/>
          <w:color w:val="000000"/>
          <w:sz w:val="32"/>
          <w:szCs w:val="32"/>
        </w:rPr>
      </w:pP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w:t>
      </w:r>
    </w:p>
    <w:p>
      <w:pPr>
        <w:spacing w:line="576" w:lineRule="exact"/>
        <w:ind w:firstLine="64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0.07</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35%</w:t>
      </w:r>
      <w:r>
        <w:rPr>
          <w:rStyle w:val="15"/>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0.11</w:t>
      </w:r>
      <w:r>
        <w:rPr>
          <w:rFonts w:hint="eastAsia" w:ascii="仿宋_GB2312" w:eastAsia="仿宋_GB2312" w:cs="仿宋_GB2312"/>
          <w:color w:val="000000"/>
          <w:sz w:val="32"/>
          <w:szCs w:val="32"/>
        </w:rPr>
        <w:t>万元。主要原因是厉行节约，公务</w:t>
      </w:r>
      <w:r>
        <w:rPr>
          <w:rFonts w:hint="eastAsia" w:ascii="仿宋_GB2312" w:eastAsia="仿宋_GB2312" w:cs="仿宋_GB2312"/>
          <w:sz w:val="32"/>
          <w:szCs w:val="32"/>
        </w:rPr>
        <w:t>活动减少。</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9</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0.07</w:t>
      </w:r>
      <w:r>
        <w:rPr>
          <w:rFonts w:hint="eastAsia" w:ascii="仿宋_GB2312" w:eastAsia="仿宋_GB2312" w:cs="仿宋_GB2312"/>
          <w:color w:val="000000"/>
          <w:sz w:val="32"/>
          <w:szCs w:val="32"/>
        </w:rPr>
        <w:t>万元，具体内容包括：省直机关党校调研，省电大、省电视台科教频道到茂县拍摄《行走的书院》摄制组一行。</w:t>
      </w:r>
      <w:bookmarkStart w:id="46" w:name="_Toc15396610"/>
      <w:bookmarkStart w:id="47" w:name="_Toc15377218"/>
    </w:p>
    <w:p>
      <w:pPr>
        <w:numPr>
          <w:ilvl w:val="0"/>
          <w:numId w:val="4"/>
        </w:numPr>
        <w:spacing w:line="576" w:lineRule="exact"/>
        <w:ind w:left="0" w:firstLine="640" w:firstLineChars="200"/>
        <w:rPr>
          <w:rStyle w:val="18"/>
          <w:rFonts w:ascii="黑体" w:eastAsia="黑体" w:cs="黑体"/>
          <w:b w:val="0"/>
          <w:bCs w:val="0"/>
        </w:rPr>
      </w:pPr>
      <w:r>
        <w:rPr>
          <w:rStyle w:val="18"/>
          <w:rFonts w:hint="eastAsia" w:ascii="黑体" w:eastAsia="黑体" w:cs="黑体"/>
          <w:b w:val="0"/>
          <w:bCs w:val="0"/>
        </w:rPr>
        <w:t>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年无政府性基金预算拨款支出。</w:t>
      </w:r>
      <w:bookmarkStart w:id="48" w:name="_Toc15377219"/>
      <w:bookmarkStart w:id="49" w:name="_Toc15396611"/>
    </w:p>
    <w:p>
      <w:pPr>
        <w:pStyle w:val="3"/>
        <w:spacing w:before="0" w:after="0" w:line="576" w:lineRule="exact"/>
        <w:ind w:firstLine="640" w:firstLineChars="200"/>
        <w:rPr>
          <w:rStyle w:val="18"/>
          <w:rFonts w:ascii="黑体" w:eastAsia="黑体" w:cs="Times New Roman"/>
          <w:b w:val="0"/>
          <w:bCs w:val="0"/>
        </w:rPr>
      </w:pPr>
      <w:r>
        <w:rPr>
          <w:rStyle w:val="18"/>
          <w:rFonts w:hint="eastAsia" w:ascii="黑体" w:eastAsia="黑体" w:cs="黑体"/>
          <w:b w:val="0"/>
          <w:bCs w:val="0"/>
        </w:rPr>
        <w:t>九、国有资本经营预算支出决算情况说明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年无国有资本经营预算拨款支出。</w:t>
      </w:r>
    </w:p>
    <w:p>
      <w:pPr>
        <w:pStyle w:val="3"/>
        <w:spacing w:before="0" w:after="0" w:line="576" w:lineRule="exact"/>
        <w:ind w:firstLine="642" w:firstLineChars="200"/>
        <w:rPr>
          <w:rStyle w:val="18"/>
          <w:rFonts w:ascii="黑体" w:eastAsia="黑体" w:cs="黑体"/>
          <w:b/>
          <w:bCs/>
        </w:rPr>
      </w:pPr>
      <w:r>
        <w:rPr>
          <w:rStyle w:val="18"/>
          <w:rFonts w:hint="eastAsia" w:ascii="黑体" w:eastAsia="黑体" w:cs="黑体"/>
          <w:b/>
          <w:bCs/>
        </w:rPr>
        <w:t>十、其他重要事项的情况说明</w:t>
      </w:r>
    </w:p>
    <w:p>
      <w:pPr>
        <w:ind w:left="420" w:leftChars="200" w:firstLine="321" w:firstLineChars="100"/>
        <w:rPr>
          <w:rFonts w:ascii="宋体" w:cs="宋体"/>
          <w:b/>
          <w:bCs/>
          <w:sz w:val="32"/>
          <w:szCs w:val="32"/>
        </w:rPr>
      </w:pPr>
      <w:r>
        <w:rPr>
          <w:rFonts w:hint="eastAsia" w:ascii="宋体" w:cs="宋体"/>
          <w:b/>
          <w:bCs/>
          <w:sz w:val="32"/>
          <w:szCs w:val="32"/>
        </w:rPr>
        <w:t>（一）机关运行经费支出情况</w:t>
      </w:r>
    </w:p>
    <w:p>
      <w:pPr>
        <w:ind w:left="420" w:leftChars="200" w:firstLine="320" w:firstLineChars="1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年，我校机关运行经费支出</w:t>
      </w:r>
      <w:r>
        <w:rPr>
          <w:rFonts w:ascii="仿宋_GB2312" w:eastAsia="仿宋_GB2312"/>
          <w:color w:val="000000"/>
          <w:sz w:val="32"/>
          <w:szCs w:val="32"/>
        </w:rPr>
        <w:t>6</w:t>
      </w:r>
      <w:r>
        <w:rPr>
          <w:rFonts w:hint="eastAsia" w:ascii="仿宋_GB2312" w:eastAsia="仿宋_GB2312"/>
          <w:color w:val="000000"/>
          <w:sz w:val="32"/>
          <w:szCs w:val="32"/>
        </w:rPr>
        <w:t>万元，比</w:t>
      </w:r>
      <w:r>
        <w:rPr>
          <w:rFonts w:ascii="仿宋_GB2312" w:eastAsia="仿宋_GB2312"/>
          <w:color w:val="000000"/>
          <w:sz w:val="32"/>
          <w:szCs w:val="32"/>
        </w:rPr>
        <w:t>2018</w:t>
      </w:r>
      <w:r>
        <w:rPr>
          <w:rFonts w:hint="eastAsia" w:ascii="仿宋_GB2312" w:eastAsia="仿宋_GB2312"/>
          <w:color w:val="000000"/>
          <w:sz w:val="32"/>
          <w:szCs w:val="32"/>
        </w:rPr>
        <w:t>年增减少</w:t>
      </w:r>
      <w:r>
        <w:rPr>
          <w:rFonts w:ascii="仿宋_GB2312" w:eastAsia="仿宋_GB2312"/>
          <w:color w:val="000000"/>
          <w:sz w:val="32"/>
          <w:szCs w:val="32"/>
        </w:rPr>
        <w:t>2.68</w:t>
      </w:r>
      <w:r>
        <w:rPr>
          <w:rFonts w:hint="eastAsia" w:ascii="仿宋_GB2312" w:eastAsia="仿宋_GB2312"/>
          <w:color w:val="000000"/>
          <w:sz w:val="32"/>
          <w:szCs w:val="32"/>
        </w:rPr>
        <w:t>万元，下降</w:t>
      </w:r>
      <w:r>
        <w:rPr>
          <w:rFonts w:ascii="仿宋_GB2312" w:eastAsia="仿宋_GB2312"/>
          <w:color w:val="000000"/>
          <w:sz w:val="32"/>
          <w:szCs w:val="32"/>
        </w:rPr>
        <w:t>31%</w:t>
      </w:r>
      <w:r>
        <w:rPr>
          <w:rFonts w:hint="eastAsia" w:ascii="仿宋_GB2312" w:eastAsia="仿宋_GB2312"/>
          <w:color w:val="000000"/>
          <w:sz w:val="32"/>
          <w:szCs w:val="32"/>
        </w:rPr>
        <w:t>。主要原因是</w:t>
      </w:r>
      <w:r>
        <w:rPr>
          <w:rFonts w:hint="eastAsia" w:ascii="仿宋_GB2312" w:eastAsia="仿宋_GB2312" w:cs="仿宋_GB2312"/>
          <w:color w:val="000000"/>
          <w:kern w:val="0"/>
          <w:sz w:val="32"/>
          <w:szCs w:val="32"/>
        </w:rPr>
        <w:t>厉行节约，从严控制经费支出。</w:t>
      </w:r>
    </w:p>
    <w:p>
      <w:pPr>
        <w:autoSpaceDE w:val="0"/>
        <w:autoSpaceDN w:val="0"/>
        <w:adjustRightInd w:val="0"/>
        <w:spacing w:line="60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ind w:left="420" w:leftChars="200" w:firstLine="320" w:firstLineChars="10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p>
    <w:p>
      <w:pPr>
        <w:ind w:left="420" w:leftChars="200" w:firstLine="320" w:firstLineChars="1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5"/>
        </w:numPr>
        <w:autoSpaceDE w:val="0"/>
        <w:autoSpaceDN w:val="0"/>
        <w:adjustRightInd w:val="0"/>
        <w:spacing w:line="600" w:lineRule="exact"/>
        <w:ind w:left="0" w:firstLine="642"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widowControl/>
        <w:ind w:firstLine="640" w:firstLineChars="200"/>
        <w:jc w:val="left"/>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76"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2019</w:t>
      </w:r>
      <w:r>
        <w:rPr>
          <w:rFonts w:hint="eastAsia" w:ascii="仿宋_GB2312" w:eastAsia="仿宋_GB2312" w:cs="仿宋_GB2312"/>
          <w:sz w:val="32"/>
          <w:szCs w:val="32"/>
        </w:rPr>
        <w:t>年部门整体支出绩效评价情况开展自评，</w:t>
      </w:r>
      <w:r>
        <w:rPr>
          <w:rFonts w:ascii="仿宋_GB2312" w:eastAsia="仿宋_GB2312" w:cs="仿宋_GB2312"/>
          <w:color w:val="000000"/>
          <w:kern w:val="0"/>
          <w:sz w:val="32"/>
          <w:szCs w:val="32"/>
        </w:rPr>
        <w:t>2019</w:t>
      </w:r>
      <w:r>
        <w:rPr>
          <w:rFonts w:hint="eastAsia" w:ascii="仿宋_GB2312" w:eastAsia="仿宋_GB2312" w:cs="仿宋_GB2312"/>
          <w:color w:val="000000"/>
          <w:kern w:val="0"/>
          <w:sz w:val="32"/>
          <w:szCs w:val="32"/>
        </w:rPr>
        <w:t>年我校部门整体支出绩效评价自查自评结果良好，全年基本支出保证了部门的正常运行和日常工作的正常开展，绩效目标得到较好实现，绩效管理水平不断提高，绩效指标体系逐渐丰富和完善。</w:t>
      </w:r>
    </w:p>
    <w:p>
      <w:pPr>
        <w:spacing w:line="576" w:lineRule="exact"/>
        <w:ind w:left="638" w:leftChars="304"/>
        <w:rPr>
          <w:rFonts w:ascii="仿宋_GB2312" w:eastAsia="仿宋_GB2312"/>
          <w:sz w:val="32"/>
          <w:szCs w:val="32"/>
        </w:rPr>
      </w:pPr>
      <w:r>
        <w:rPr>
          <w:rFonts w:hint="eastAsia" w:ascii="楷体" w:eastAsia="楷体" w:cs="楷体"/>
          <w:b/>
          <w:bCs/>
          <w:sz w:val="32"/>
          <w:szCs w:val="32"/>
        </w:rPr>
        <w:t>项目绩效目标完成情况。</w:t>
      </w:r>
      <w:r>
        <w:rPr>
          <w:rFonts w:ascii="楷体_GB2312" w:eastAsia="楷体_GB2312"/>
          <w:b/>
          <w:bCs/>
          <w:sz w:val="32"/>
          <w:szCs w:val="32"/>
        </w:rPr>
        <w:br w:type="textWrapping"/>
      </w:r>
      <w:r>
        <w:rPr>
          <w:rFonts w:hint="eastAsia" w:ascii="仿宋_GB2312" w:eastAsia="仿宋_GB2312" w:cs="仿宋_GB2312"/>
          <w:sz w:val="32"/>
          <w:szCs w:val="32"/>
        </w:rPr>
        <w:t>项目绩效内容本单位不涉及。</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0"/>
              <w:widowControl/>
              <w:spacing w:line="576" w:lineRule="exact"/>
              <w:ind w:left="4173" w:leftChars="1310" w:hanging="1422" w:hangingChars="395"/>
              <w:textAlignment w:val="center"/>
              <w:rPr>
                <w:rFonts w:ascii="宋体"/>
                <w:color w:val="000000"/>
                <w:sz w:val="36"/>
                <w:szCs w:val="36"/>
              </w:rPr>
            </w:pPr>
            <w:r>
              <w:rPr>
                <w:rFonts w:hint="eastAsia" w:asci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cs="宋体"/>
                <w:color w:val="000000"/>
                <w:kern w:val="0"/>
                <w:sz w:val="36"/>
                <w:szCs w:val="36"/>
              </w:rPr>
              <w:t>(2019</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szCs w:val="24"/>
              </w:rPr>
            </w:pPr>
          </w:p>
        </w:tc>
      </w:tr>
    </w:tbl>
    <w:p>
      <w:pPr>
        <w:spacing w:line="576" w:lineRule="exact"/>
        <w:ind w:firstLine="642" w:firstLineChars="200"/>
        <w:outlineLvl w:val="1"/>
        <w:rPr>
          <w:rFonts w:ascii="楷体" w:eastAsia="楷体" w:cs="楷体"/>
          <w:b/>
          <w:bCs/>
          <w:sz w:val="32"/>
          <w:szCs w:val="32"/>
        </w:rPr>
      </w:pPr>
      <w:r>
        <w:rPr>
          <w:rFonts w:hint="eastAsia" w:ascii="楷体" w:eastAsia="楷体" w:cs="楷体"/>
          <w:b/>
          <w:bCs/>
          <w:sz w:val="32"/>
          <w:szCs w:val="32"/>
        </w:rPr>
        <w:t>部门开展绩效评价结果。</w:t>
      </w:r>
      <w:bookmarkStart w:id="50" w:name="_Toc15396612"/>
      <w:bookmarkStart w:id="51" w:name="_Toc15377221"/>
    </w:p>
    <w:p>
      <w:pPr>
        <w:spacing w:line="576"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2019 </w:t>
      </w:r>
      <w:r>
        <w:rPr>
          <w:rFonts w:hint="eastAsia" w:ascii="仿宋_GB2312" w:eastAsia="仿宋_GB2312" w:cs="仿宋_GB2312"/>
          <w:color w:val="000000"/>
          <w:kern w:val="0"/>
          <w:sz w:val="32"/>
          <w:szCs w:val="32"/>
        </w:rPr>
        <w:t>年部门整体支出绩效评价情况开展自评，《茂县县委党校</w:t>
      </w:r>
      <w:r>
        <w:rPr>
          <w:rFonts w:ascii="仿宋_GB2312" w:eastAsia="仿宋_GB2312" w:cs="仿宋_GB2312"/>
          <w:color w:val="000000"/>
          <w:kern w:val="0"/>
          <w:sz w:val="32"/>
          <w:szCs w:val="32"/>
        </w:rPr>
        <w:t>2019</w:t>
      </w:r>
      <w:r>
        <w:rPr>
          <w:rFonts w:hint="eastAsia" w:ascii="仿宋_GB2312" w:eastAsia="仿宋_GB2312" w:cs="仿宋_GB2312"/>
          <w:color w:val="000000"/>
          <w:kern w:val="0"/>
          <w:sz w:val="32"/>
          <w:szCs w:val="32"/>
        </w:rPr>
        <w:t>年整体支出绩效评价报告》见附件。</w:t>
      </w:r>
      <w:r>
        <w:rPr>
          <w:rFonts w:ascii="仿宋_GB2312" w:eastAsia="仿宋_GB2312" w:cs="仿宋_GB2312"/>
          <w:color w:val="000000"/>
          <w:kern w:val="0"/>
          <w:sz w:val="32"/>
          <w:szCs w:val="32"/>
        </w:rPr>
        <w:t xml:space="preserve"> </w:t>
      </w:r>
    </w:p>
    <w:bookmarkEnd w:id="50"/>
    <w:bookmarkEnd w:id="51"/>
    <w:p>
      <w:pPr>
        <w:widowControl/>
        <w:ind w:firstLine="1760" w:firstLineChars="400"/>
        <w:jc w:val="left"/>
        <w:rPr>
          <w:rFonts w:ascii="方正小标宋简体" w:eastAsia="方正小标宋简体" w:cs="方正小标宋简体"/>
          <w:color w:val="000000"/>
          <w:sz w:val="44"/>
          <w:szCs w:val="44"/>
        </w:rPr>
      </w:pPr>
      <w:bookmarkStart w:id="52" w:name="_Toc15396613"/>
      <w:bookmarkStart w:id="53" w:name="_Toc15377225"/>
    </w:p>
    <w:p>
      <w:pPr>
        <w:widowControl/>
        <w:ind w:firstLine="1760" w:firstLineChars="400"/>
        <w:jc w:val="left"/>
        <w:rPr>
          <w:rFonts w:ascii="方正小标宋简体" w:eastAsia="方正小标宋简体" w:cs="方正小标宋简体"/>
          <w:color w:val="000000"/>
          <w:sz w:val="44"/>
          <w:szCs w:val="44"/>
        </w:rPr>
      </w:pPr>
    </w:p>
    <w:p>
      <w:pPr>
        <w:widowControl/>
        <w:ind w:firstLine="1760" w:firstLineChars="400"/>
        <w:jc w:val="left"/>
        <w:rPr>
          <w:rFonts w:ascii="方正小标宋简体" w:eastAsia="方正小标宋简体" w:cs="方正小标宋简体"/>
          <w:color w:val="000000"/>
          <w:sz w:val="44"/>
          <w:szCs w:val="44"/>
        </w:rPr>
      </w:pPr>
    </w:p>
    <w:p>
      <w:pPr>
        <w:widowControl/>
        <w:ind w:firstLine="1760" w:firstLineChars="4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Fonts w:ascii="方正小标宋简体" w:eastAsia="方正小标宋简体" w:cs="方正小标宋简体"/>
          <w:color w:val="000000"/>
          <w:sz w:val="44"/>
          <w:szCs w:val="44"/>
        </w:rPr>
      </w:pPr>
    </w:p>
    <w:p>
      <w:pPr>
        <w:widowControl/>
        <w:ind w:firstLine="2200" w:firstLineChars="500"/>
        <w:jc w:val="left"/>
        <w:rPr>
          <w:rStyle w:val="17"/>
          <w:rFonts w:ascii="方正小标宋简体" w:eastAsia="方正小标宋简体"/>
          <w:b w:val="0"/>
          <w:bCs w:val="0"/>
        </w:rPr>
      </w:pPr>
      <w:r>
        <w:rPr>
          <w:rFonts w:hint="eastAsia" w:ascii="方正小标宋简体" w:eastAsia="方正小标宋简体" w:cs="方正小标宋简体"/>
          <w:color w:val="000000"/>
          <w:sz w:val="44"/>
          <w:szCs w:val="44"/>
        </w:rPr>
        <w:t>第三部分名</w:t>
      </w:r>
      <w:r>
        <w:rPr>
          <w:rStyle w:val="17"/>
          <w:rFonts w:hint="eastAsia" w:ascii="方正小标宋简体" w:eastAsia="方正小标宋简体" w:cs="方正小标宋简体"/>
          <w:b w:val="0"/>
          <w:bCs w:val="0"/>
        </w:rPr>
        <w:t>词解释</w:t>
      </w:r>
      <w:bookmarkEnd w:id="52"/>
      <w:bookmarkEnd w:id="53"/>
    </w:p>
    <w:p>
      <w:pPr>
        <w:pStyle w:val="19"/>
        <w:spacing w:line="560" w:lineRule="exact"/>
        <w:ind w:firstLine="640" w:firstLineChars="200"/>
        <w:rPr>
          <w:rFonts w:ascii="仿宋_GB2312" w:eastAsia="仿宋_GB2312" w:cs="仿宋_GB2312"/>
          <w:sz w:val="32"/>
          <w:szCs w:val="32"/>
        </w:rPr>
      </w:pPr>
      <w:bookmarkStart w:id="54" w:name="_Toc15396614"/>
      <w:bookmarkStart w:id="55"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r>
        <w:rPr>
          <w:rFonts w:ascii="仿宋_GB2312" w:eastAsia="仿宋_GB2312" w:cs="仿宋_GB2312"/>
          <w:sz w:val="32"/>
          <w:szCs w:val="32"/>
        </w:rPr>
        <w:t xml:space="preserve"> </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一般公共服务（类）…（款）…（项）：</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外交（类）…（款）…（项）：</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公共安全（类）…（款）…（项）：</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教育（类）教育管理事务（款）行政运行（项）：指用于保障机构运行、开展日常工作的基本支出。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科学技术（类）…（款）…（项）：</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文化体育与传媒（类）…（款）…（项）：</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18.</w:t>
      </w:r>
      <w:r>
        <w:rPr>
          <w:rFonts w:hint="eastAsia" w:ascii="仿宋_GB2312" w:eastAsia="仿宋_GB2312" w:cs="仿宋_GB2312"/>
          <w:color w:val="000000"/>
          <w:sz w:val="32"/>
          <w:szCs w:val="32"/>
        </w:rPr>
        <w:t>节能环保（类）…（款）…（项）：指……。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19.</w:t>
      </w:r>
      <w:r>
        <w:rPr>
          <w:rFonts w:hint="eastAsia" w:ascii="仿宋_GB2312" w:eastAsia="仿宋_GB2312" w:cs="仿宋_GB2312"/>
          <w:color w:val="000000"/>
          <w:sz w:val="32"/>
          <w:szCs w:val="32"/>
        </w:rPr>
        <w:t>城乡社区（类）…（款）…（项）：指……。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rPr>
        <w:t>农林水（类）…（款）…（项）：指……。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21.</w:t>
      </w:r>
      <w:r>
        <w:rPr>
          <w:rFonts w:hint="eastAsia" w:ascii="仿宋_GB2312" w:eastAsia="仿宋_GB2312" w:cs="仿宋_GB2312"/>
          <w:color w:val="000000"/>
          <w:sz w:val="32"/>
          <w:szCs w:val="32"/>
        </w:rPr>
        <w:t>交通运输（类）…（款）…（项）：指……。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22.</w:t>
      </w:r>
      <w:r>
        <w:rPr>
          <w:rFonts w:hint="eastAsia" w:ascii="仿宋_GB2312" w:eastAsia="仿宋_GB2312" w:cs="仿宋_GB2312"/>
          <w:color w:val="000000"/>
          <w:sz w:val="32"/>
          <w:szCs w:val="32"/>
        </w:rPr>
        <w:t>资源勘探信息等（类）…（款）…（项）：指……。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23.</w:t>
      </w:r>
      <w:r>
        <w:rPr>
          <w:rFonts w:hint="eastAsia" w:ascii="仿宋_GB2312" w:eastAsia="仿宋_GB2312" w:cs="仿宋_GB2312"/>
          <w:color w:val="000000"/>
          <w:sz w:val="32"/>
          <w:szCs w:val="32"/>
        </w:rPr>
        <w:t>商业服务业（类）…（款）…（项）：指……。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24.</w:t>
      </w:r>
      <w:r>
        <w:rPr>
          <w:rFonts w:hint="eastAsia" w:ascii="仿宋_GB2312" w:eastAsia="仿宋_GB2312" w:cs="仿宋_GB2312"/>
          <w:color w:val="000000"/>
          <w:sz w:val="32"/>
          <w:szCs w:val="32"/>
        </w:rPr>
        <w:t>金融（类）…（款）…（项）：指……。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25.</w:t>
      </w:r>
      <w:r>
        <w:rPr>
          <w:rFonts w:hint="eastAsia" w:ascii="仿宋_GB2312" w:eastAsia="仿宋_GB2312" w:cs="仿宋_GB2312"/>
          <w:color w:val="000000"/>
          <w:sz w:val="32"/>
          <w:szCs w:val="32"/>
        </w:rPr>
        <w:t>国土海洋气象等（类）…（款）…（项）：指……。</w:t>
      </w:r>
    </w:p>
    <w:p>
      <w:pPr>
        <w:widowControl/>
        <w:ind w:firstLine="640" w:firstLineChars="200"/>
        <w:jc w:val="left"/>
      </w:pPr>
      <w:r>
        <w:rPr>
          <w:rFonts w:ascii="仿宋_GB2312" w:eastAsia="仿宋_GB2312" w:cs="仿宋_GB2312"/>
          <w:color w:val="000000"/>
          <w:sz w:val="32"/>
          <w:szCs w:val="32"/>
        </w:rPr>
        <w:t>26.</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27.</w:t>
      </w:r>
      <w:r>
        <w:rPr>
          <w:rFonts w:hint="eastAsia" w:ascii="仿宋_GB2312" w:eastAsia="仿宋_GB2312" w:cs="仿宋_GB2312"/>
          <w:color w:val="000000"/>
          <w:sz w:val="32"/>
          <w:szCs w:val="32"/>
        </w:rPr>
        <w:t>粮油物资储备（类）…（款）…（项）：指……。</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28.</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29.</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30.</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32.</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Fonts w:hint="eastAsia" w:ascii="方正小标宋简体" w:eastAsia="方正小标宋简体" w:cs="方正小标宋简体"/>
          <w:sz w:val="44"/>
          <w:szCs w:val="44"/>
        </w:rPr>
      </w:pPr>
    </w:p>
    <w:p>
      <w:pPr>
        <w:spacing w:line="600" w:lineRule="exact"/>
        <w:jc w:val="center"/>
        <w:outlineLvl w:val="0"/>
        <w:rPr>
          <w:rStyle w:val="17"/>
          <w:rFonts w:ascii="方正小标宋简体" w:eastAsia="方正小标宋简体" w:cs="方正小标宋简体"/>
          <w:b w:val="0"/>
          <w:bCs w:val="0"/>
        </w:rPr>
      </w:pPr>
      <w:r>
        <w:rPr>
          <w:rFonts w:hint="eastAsia" w:ascii="方正小标宋简体" w:eastAsia="方正小标宋简体" w:cs="方正小标宋简体"/>
          <w:sz w:val="44"/>
          <w:szCs w:val="44"/>
        </w:rPr>
        <w:t>第四部分</w:t>
      </w:r>
      <w:r>
        <w:rPr>
          <w:rFonts w:ascii="方正小标宋简体" w:eastAsia="方正小标宋简体" w:cs="方正小标宋简体"/>
          <w:sz w:val="44"/>
          <w:szCs w:val="44"/>
        </w:rPr>
        <w:t xml:space="preserve"> </w:t>
      </w:r>
      <w:r>
        <w:rPr>
          <w:rStyle w:val="17"/>
          <w:rFonts w:hint="eastAsia" w:ascii="方正小标宋简体" w:eastAsia="方正小标宋简体" w:cs="方正小标宋简体"/>
          <w:b w:val="0"/>
          <w:bCs w:val="0"/>
        </w:rPr>
        <w:t>附件</w:t>
      </w:r>
      <w:bookmarkEnd w:id="54"/>
      <w:bookmarkStart w:id="56" w:name="_Toc15396615"/>
    </w:p>
    <w:bookmarkEnd w:id="56"/>
    <w:p>
      <w:pPr>
        <w:spacing w:line="600" w:lineRule="exact"/>
        <w:outlineLvl w:val="0"/>
        <w:rPr>
          <w:rStyle w:val="17"/>
          <w:rFonts w:ascii="??" w:hAnsi="??"/>
          <w:b w:val="0"/>
          <w:bCs w:val="0"/>
          <w:sz w:val="32"/>
          <w:szCs w:val="32"/>
        </w:rPr>
      </w:pPr>
    </w:p>
    <w:p>
      <w:pPr>
        <w:spacing w:line="600" w:lineRule="exact"/>
        <w:jc w:val="center"/>
        <w:outlineLvl w:val="0"/>
        <w:rPr>
          <w:rFonts w:ascii="方正小标宋简体" w:eastAsia="方正小标宋简体"/>
          <w:sz w:val="44"/>
          <w:szCs w:val="44"/>
        </w:rPr>
      </w:pPr>
      <w:bookmarkStart w:id="57" w:name="_Toc15396616"/>
      <w:r>
        <w:rPr>
          <w:rFonts w:hint="eastAsia" w:ascii="方正小标宋简体" w:eastAsia="方正小标宋简体" w:cs="方正小标宋简体"/>
          <w:sz w:val="44"/>
          <w:szCs w:val="44"/>
        </w:rPr>
        <w:t>茂县县委党校</w:t>
      </w:r>
      <w:r>
        <w:rPr>
          <w:rFonts w:ascii="方正小标宋简体" w:eastAsia="方正小标宋简体" w:cs="方正小标宋简体"/>
          <w:sz w:val="44"/>
          <w:szCs w:val="44"/>
        </w:rPr>
        <w:t>2019</w:t>
      </w:r>
      <w:r>
        <w:rPr>
          <w:rFonts w:hint="eastAsia" w:ascii="方正小标宋简体" w:eastAsia="方正小标宋简体" w:cs="方正小标宋简体"/>
          <w:sz w:val="44"/>
          <w:szCs w:val="44"/>
        </w:rPr>
        <w:t>年部门整体支出绩效</w:t>
      </w:r>
    </w:p>
    <w:p>
      <w:pPr>
        <w:spacing w:line="600" w:lineRule="exact"/>
        <w:jc w:val="center"/>
        <w:outlineLvl w:val="0"/>
        <w:rPr>
          <w:rFonts w:ascii="黑体" w:eastAsia="黑体"/>
          <w:sz w:val="36"/>
          <w:szCs w:val="36"/>
        </w:rPr>
      </w:pPr>
      <w:r>
        <w:rPr>
          <w:rFonts w:hint="eastAsia" w:ascii="方正小标宋简体" w:eastAsia="方正小标宋简体" w:cs="方正小标宋简体"/>
          <w:sz w:val="44"/>
          <w:szCs w:val="44"/>
        </w:rPr>
        <w:t>评价报告</w:t>
      </w:r>
      <w:bookmarkEnd w:id="57"/>
    </w:p>
    <w:p>
      <w:pPr>
        <w:spacing w:line="580" w:lineRule="exact"/>
        <w:ind w:firstLine="640" w:firstLineChars="200"/>
        <w:rPr>
          <w:rStyle w:val="18"/>
          <w:rFonts w:ascii="黑体" w:eastAsia="黑体" w:cs="Times New Roman"/>
          <w:b w:val="0"/>
          <w:bCs w:val="0"/>
        </w:rPr>
      </w:pPr>
      <w:r>
        <w:rPr>
          <w:rFonts w:hint="eastAsia" w:ascii="黑体" w:eastAsia="黑体" w:cs="黑体"/>
          <w:color w:val="000000"/>
          <w:sz w:val="32"/>
          <w:szCs w:val="32"/>
        </w:rPr>
        <w:t>一、</w:t>
      </w:r>
      <w:r>
        <w:rPr>
          <w:rFonts w:hint="eastAsia" w:ascii="黑体" w:eastAsia="黑体" w:cs="黑体"/>
          <w:sz w:val="32"/>
          <w:szCs w:val="32"/>
        </w:rPr>
        <w:t>部门（单位）概况</w:t>
      </w:r>
    </w:p>
    <w:p>
      <w:pPr>
        <w:widowControl/>
        <w:adjustRightInd w:val="0"/>
        <w:snapToGrid w:val="0"/>
        <w:spacing w:line="54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sz w:val="32"/>
          <w:szCs w:val="32"/>
        </w:rPr>
        <w:t>（一）机构组成</w:t>
      </w:r>
    </w:p>
    <w:p>
      <w:pPr>
        <w:widowControl/>
        <w:adjustRightInd w:val="0"/>
        <w:snapToGrid w:val="0"/>
        <w:spacing w:line="540" w:lineRule="exact"/>
        <w:ind w:firstLine="800" w:firstLineChars="250"/>
        <w:jc w:val="left"/>
        <w:rPr>
          <w:rFonts w:ascii="仿宋_GB2312" w:eastAsia="仿宋_GB2312"/>
          <w:color w:val="000000"/>
          <w:kern w:val="0"/>
          <w:sz w:val="32"/>
          <w:szCs w:val="32"/>
          <w:shd w:val="clear" w:color="auto" w:fill="FFFFFF"/>
          <w:lang w:val="zh-CN"/>
        </w:rPr>
      </w:pPr>
      <w:r>
        <w:rPr>
          <w:rFonts w:hint="eastAsia" w:ascii="仿宋_GB2312" w:eastAsia="仿宋_GB2312" w:cs="仿宋_GB2312"/>
          <w:sz w:val="32"/>
          <w:szCs w:val="32"/>
        </w:rPr>
        <w:t>县委党校是县委直属的乡科级全额拨款的事业单位。内设办公室、教研室、后勤财务室。</w:t>
      </w:r>
    </w:p>
    <w:p>
      <w:pPr>
        <w:widowControl/>
        <w:adjustRightInd w:val="0"/>
        <w:snapToGrid w:val="0"/>
        <w:spacing w:line="540" w:lineRule="exact"/>
        <w:ind w:firstLine="800" w:firstLineChars="250"/>
        <w:jc w:val="left"/>
        <w:rPr>
          <w:rFonts w:ascii="仿宋_GB2312" w:eastAsia="仿宋_GB2312"/>
          <w:color w:val="000000"/>
          <w:kern w:val="0"/>
          <w:sz w:val="32"/>
          <w:szCs w:val="32"/>
          <w:shd w:val="clear" w:color="auto" w:fill="FFFFFF"/>
          <w:lang w:val="zh-CN"/>
        </w:rPr>
      </w:pPr>
      <w:r>
        <w:rPr>
          <w:rFonts w:ascii="仿宋_GB2312" w:eastAsia="仿宋_GB2312" w:cs="仿宋_GB2312"/>
          <w:sz w:val="32"/>
          <w:szCs w:val="32"/>
        </w:rPr>
        <w:t>(</w:t>
      </w:r>
      <w:r>
        <w:rPr>
          <w:rFonts w:hint="eastAsia" w:ascii="仿宋_GB2312" w:eastAsia="仿宋_GB2312" w:cs="仿宋_GB2312"/>
          <w:sz w:val="32"/>
          <w:szCs w:val="32"/>
        </w:rPr>
        <w:t>二）机构职能。</w:t>
      </w:r>
    </w:p>
    <w:p>
      <w:pPr>
        <w:widowControl/>
        <w:adjustRightInd w:val="0"/>
        <w:snapToGrid w:val="0"/>
        <w:spacing w:line="540" w:lineRule="exact"/>
        <w:ind w:firstLine="800" w:firstLineChars="250"/>
        <w:jc w:val="left"/>
        <w:rPr>
          <w:rFonts w:ascii="仿宋_GB2312" w:eastAsia="仿宋_GB2312"/>
          <w:color w:val="000000"/>
          <w:kern w:val="0"/>
          <w:sz w:val="32"/>
          <w:szCs w:val="32"/>
          <w:shd w:val="clear" w:color="auto" w:fill="FFFFFF"/>
          <w:lang w:val="zh-CN"/>
        </w:rPr>
      </w:pPr>
      <w:r>
        <w:rPr>
          <w:rFonts w:hint="eastAsia" w:ascii="仿宋_GB2312" w:eastAsia="仿宋_GB2312" w:cs="仿宋_GB2312"/>
          <w:sz w:val="32"/>
          <w:szCs w:val="32"/>
        </w:rPr>
        <w:t>党校是县委的直属事业单位，是</w:t>
      </w:r>
      <w:r>
        <w:rPr>
          <w:rFonts w:hint="default" w:ascii="仿宋_GB2312" w:eastAsia="仿宋_GB2312" w:cs="仿宋_GB2312"/>
          <w:sz w:val="32"/>
          <w:szCs w:val="32"/>
        </w:rPr>
        <w:t>县委、县政府</w:t>
      </w:r>
      <w:r>
        <w:rPr>
          <w:rFonts w:hint="eastAsia" w:ascii="仿宋_GB2312" w:eastAsia="仿宋_GB2312" w:cs="仿宋_GB2312"/>
          <w:sz w:val="32"/>
          <w:szCs w:val="32"/>
        </w:rPr>
        <w:t>轮训和培训党员领导干部的重要阵地，培养党的理论队伍的重要阵地，学习、研究马列主义、毛泽东思想、邓小平理论的重要阵地，党员干部党性锻炼的熔炉。主要任务是：（</w:t>
      </w:r>
      <w:r>
        <w:rPr>
          <w:rFonts w:ascii="仿宋_GB2312" w:eastAsia="仿宋_GB2312" w:cs="仿宋_GB2312"/>
          <w:sz w:val="32"/>
          <w:szCs w:val="32"/>
        </w:rPr>
        <w:t>1</w:t>
      </w:r>
      <w:r>
        <w:rPr>
          <w:rFonts w:hint="eastAsia" w:ascii="仿宋_GB2312" w:eastAsia="仿宋_GB2312" w:cs="仿宋_GB2312"/>
          <w:sz w:val="32"/>
          <w:szCs w:val="32"/>
        </w:rPr>
        <w:t>）、轮训党员领导干部；（</w:t>
      </w:r>
      <w:r>
        <w:rPr>
          <w:rFonts w:ascii="仿宋_GB2312" w:eastAsia="仿宋_GB2312" w:cs="仿宋_GB2312"/>
          <w:sz w:val="32"/>
          <w:szCs w:val="32"/>
        </w:rPr>
        <w:t>2</w:t>
      </w:r>
      <w:r>
        <w:rPr>
          <w:rFonts w:hint="eastAsia" w:ascii="仿宋_GB2312" w:eastAsia="仿宋_GB2312" w:cs="仿宋_GB2312"/>
          <w:sz w:val="32"/>
          <w:szCs w:val="32"/>
        </w:rPr>
        <w:t>）、培训中青年党员领导干部；（</w:t>
      </w:r>
      <w:r>
        <w:rPr>
          <w:rFonts w:ascii="仿宋_GB2312" w:eastAsia="仿宋_GB2312" w:cs="仿宋_GB2312"/>
          <w:sz w:val="32"/>
          <w:szCs w:val="32"/>
        </w:rPr>
        <w:t>3</w:t>
      </w:r>
      <w:r>
        <w:rPr>
          <w:rFonts w:hint="eastAsia" w:ascii="仿宋_GB2312" w:eastAsia="仿宋_GB2312" w:cs="仿宋_GB2312"/>
          <w:sz w:val="32"/>
          <w:szCs w:val="32"/>
        </w:rPr>
        <w:t>）、培训意识形态部门的领导干部和理论骨干；（</w:t>
      </w:r>
      <w:r>
        <w:rPr>
          <w:rFonts w:ascii="仿宋_GB2312" w:eastAsia="仿宋_GB2312" w:cs="仿宋_GB2312"/>
          <w:sz w:val="32"/>
          <w:szCs w:val="32"/>
        </w:rPr>
        <w:t>4</w:t>
      </w:r>
      <w:r>
        <w:rPr>
          <w:rFonts w:hint="eastAsia" w:ascii="仿宋_GB2312" w:eastAsia="仿宋_GB2312" w:cs="仿宋_GB2312"/>
          <w:sz w:val="32"/>
          <w:szCs w:val="32"/>
        </w:rPr>
        <w:t>）、协同组织人事部门，对学员在校期间进行考核考察；（</w:t>
      </w:r>
      <w:r>
        <w:rPr>
          <w:rFonts w:ascii="仿宋_GB2312" w:eastAsia="仿宋_GB2312" w:cs="仿宋_GB2312"/>
          <w:sz w:val="32"/>
          <w:szCs w:val="32"/>
        </w:rPr>
        <w:t>5</w:t>
      </w:r>
      <w:r>
        <w:rPr>
          <w:rFonts w:hint="eastAsia" w:ascii="仿宋_GB2312" w:eastAsia="仿宋_GB2312" w:cs="仿宋_GB2312"/>
          <w:sz w:val="32"/>
          <w:szCs w:val="32"/>
        </w:rPr>
        <w:t>）、围绕国内外出现的新情况、新问题以及我县的热点难点问题开展调查研究；（</w:t>
      </w:r>
      <w:r>
        <w:rPr>
          <w:rFonts w:ascii="仿宋_GB2312" w:eastAsia="仿宋_GB2312" w:cs="仿宋_GB2312"/>
          <w:sz w:val="32"/>
          <w:szCs w:val="32"/>
        </w:rPr>
        <w:t>6</w:t>
      </w:r>
      <w:r>
        <w:rPr>
          <w:rFonts w:hint="eastAsia" w:ascii="仿宋_GB2312" w:eastAsia="仿宋_GB2312" w:cs="仿宋_GB2312"/>
          <w:sz w:val="32"/>
          <w:szCs w:val="32"/>
        </w:rPr>
        <w:t>）、宣传马克思列宁主义、毛泽东思想、邓小平理论和“三个代表”重要思想以及党的各项路线、方针、政策；（</w:t>
      </w:r>
      <w:r>
        <w:rPr>
          <w:rFonts w:ascii="仿宋_GB2312" w:eastAsia="仿宋_GB2312" w:cs="仿宋_GB2312"/>
          <w:sz w:val="32"/>
          <w:szCs w:val="32"/>
        </w:rPr>
        <w:t>7</w:t>
      </w:r>
      <w:r>
        <w:rPr>
          <w:rFonts w:hint="eastAsia" w:ascii="仿宋_GB2312" w:eastAsia="仿宋_GB2312" w:cs="仿宋_GB2312"/>
          <w:sz w:val="32"/>
          <w:szCs w:val="32"/>
        </w:rPr>
        <w:t>）、承担县委和上级主管部门交办的其他工作。</w:t>
      </w:r>
    </w:p>
    <w:p>
      <w:pPr>
        <w:widowControl/>
        <w:numPr>
          <w:ilvl w:val="0"/>
          <w:numId w:val="6"/>
        </w:numPr>
        <w:adjustRightInd w:val="0"/>
        <w:snapToGrid w:val="0"/>
        <w:spacing w:line="540" w:lineRule="exact"/>
        <w:ind w:left="0" w:firstLine="640" w:firstLineChars="200"/>
        <w:jc w:val="left"/>
        <w:rPr>
          <w:rFonts w:ascii="仿宋_GB2312" w:eastAsia="仿宋_GB2312"/>
          <w:sz w:val="32"/>
          <w:szCs w:val="32"/>
        </w:rPr>
      </w:pPr>
      <w:r>
        <w:rPr>
          <w:rFonts w:hint="eastAsia" w:ascii="仿宋_GB2312" w:eastAsia="仿宋_GB2312" w:cs="仿宋_GB2312"/>
          <w:sz w:val="32"/>
          <w:szCs w:val="32"/>
        </w:rPr>
        <w:t>人员概况。</w:t>
      </w:r>
    </w:p>
    <w:p>
      <w:pPr>
        <w:widowControl/>
        <w:adjustRightInd w:val="0"/>
        <w:snapToGrid w:val="0"/>
        <w:spacing w:line="540" w:lineRule="exact"/>
        <w:ind w:firstLine="640" w:firstLineChars="200"/>
        <w:jc w:val="left"/>
        <w:rPr>
          <w:rFonts w:ascii="仿宋_GB2312" w:eastAsia="仿宋_GB2312"/>
          <w:color w:val="000000"/>
          <w:kern w:val="0"/>
          <w:sz w:val="32"/>
          <w:szCs w:val="32"/>
          <w:shd w:val="clear" w:color="auto" w:fill="FFFFFF"/>
          <w:lang w:val="zh-CN"/>
        </w:rPr>
      </w:pPr>
      <w:r>
        <w:rPr>
          <w:rFonts w:hint="eastAsia" w:ascii="仿宋_GB2312" w:eastAsia="仿宋_GB2312" w:cs="仿宋_GB2312"/>
          <w:sz w:val="32"/>
          <w:szCs w:val="32"/>
        </w:rPr>
        <w:t>茂县党校核定编制</w:t>
      </w:r>
      <w:r>
        <w:rPr>
          <w:rFonts w:ascii="仿宋_GB2312" w:eastAsia="仿宋_GB2312" w:cs="仿宋_GB2312"/>
          <w:sz w:val="32"/>
          <w:szCs w:val="32"/>
        </w:rPr>
        <w:t>14</w:t>
      </w:r>
      <w:r>
        <w:rPr>
          <w:rFonts w:hint="eastAsia" w:ascii="仿宋_GB2312" w:eastAsia="仿宋_GB2312" w:cs="仿宋_GB2312"/>
          <w:sz w:val="32"/>
          <w:szCs w:val="32"/>
        </w:rPr>
        <w:t>名，其中：参公编制</w:t>
      </w:r>
      <w:r>
        <w:rPr>
          <w:rFonts w:ascii="仿宋_GB2312" w:eastAsia="仿宋_GB2312" w:cs="仿宋_GB2312"/>
          <w:sz w:val="32"/>
          <w:szCs w:val="32"/>
        </w:rPr>
        <w:t>8</w:t>
      </w:r>
      <w:r>
        <w:rPr>
          <w:rFonts w:hint="eastAsia" w:ascii="仿宋_GB2312" w:eastAsia="仿宋_GB2312" w:cs="仿宋_GB2312"/>
          <w:sz w:val="32"/>
          <w:szCs w:val="32"/>
        </w:rPr>
        <w:t>人，事业编制</w:t>
      </w:r>
      <w:r>
        <w:rPr>
          <w:rFonts w:ascii="仿宋_GB2312" w:eastAsia="仿宋_GB2312" w:cs="仿宋_GB2312"/>
          <w:sz w:val="32"/>
          <w:szCs w:val="32"/>
        </w:rPr>
        <w:t>5</w:t>
      </w:r>
      <w:r>
        <w:rPr>
          <w:rFonts w:hint="eastAsia" w:ascii="仿宋_GB2312" w:eastAsia="仿宋_GB2312" w:cs="仿宋_GB2312"/>
          <w:sz w:val="32"/>
          <w:szCs w:val="32"/>
        </w:rPr>
        <w:t>名，工勤</w:t>
      </w:r>
      <w:r>
        <w:rPr>
          <w:rFonts w:ascii="仿宋_GB2312" w:eastAsia="仿宋_GB2312" w:cs="仿宋_GB2312"/>
          <w:sz w:val="32"/>
          <w:szCs w:val="32"/>
        </w:rPr>
        <w:t>1</w:t>
      </w:r>
      <w:r>
        <w:rPr>
          <w:rFonts w:hint="eastAsia" w:ascii="仿宋_GB2312" w:eastAsia="仿宋_GB2312" w:cs="仿宋_GB2312"/>
          <w:sz w:val="32"/>
          <w:szCs w:val="32"/>
        </w:rPr>
        <w:t>名。实有在职职工</w:t>
      </w:r>
      <w:r>
        <w:rPr>
          <w:rFonts w:ascii="仿宋_GB2312" w:eastAsia="仿宋_GB2312" w:cs="仿宋_GB2312"/>
          <w:sz w:val="32"/>
          <w:szCs w:val="32"/>
        </w:rPr>
        <w:t>13</w:t>
      </w:r>
      <w:r>
        <w:rPr>
          <w:rFonts w:hint="eastAsia" w:ascii="仿宋_GB2312" w:eastAsia="仿宋_GB2312" w:cs="仿宋_GB2312"/>
          <w:sz w:val="32"/>
          <w:szCs w:val="32"/>
        </w:rPr>
        <w:t>名（其中参公人员</w:t>
      </w:r>
      <w:r>
        <w:rPr>
          <w:rFonts w:ascii="仿宋_GB2312" w:eastAsia="仿宋_GB2312" w:cs="仿宋_GB2312"/>
          <w:sz w:val="32"/>
          <w:szCs w:val="32"/>
        </w:rPr>
        <w:t>8</w:t>
      </w:r>
      <w:r>
        <w:rPr>
          <w:rFonts w:hint="eastAsia" w:ascii="仿宋_GB2312" w:eastAsia="仿宋_GB2312" w:cs="仿宋_GB2312"/>
          <w:sz w:val="32"/>
          <w:szCs w:val="32"/>
        </w:rPr>
        <w:t>名，事业人员</w:t>
      </w:r>
      <w:r>
        <w:rPr>
          <w:rFonts w:ascii="仿宋_GB2312" w:eastAsia="仿宋_GB2312" w:cs="仿宋_GB2312"/>
          <w:sz w:val="32"/>
          <w:szCs w:val="32"/>
        </w:rPr>
        <w:t>5</w:t>
      </w:r>
      <w:r>
        <w:rPr>
          <w:rFonts w:hint="eastAsia" w:ascii="仿宋_GB2312" w:eastAsia="仿宋_GB2312" w:cs="仿宋_GB2312"/>
          <w:sz w:val="32"/>
          <w:szCs w:val="32"/>
        </w:rPr>
        <w:t>名），退休</w:t>
      </w:r>
      <w:r>
        <w:rPr>
          <w:rFonts w:ascii="仿宋_GB2312" w:eastAsia="仿宋_GB2312" w:cs="仿宋_GB2312"/>
          <w:sz w:val="32"/>
          <w:szCs w:val="32"/>
        </w:rPr>
        <w:t>6</w:t>
      </w:r>
      <w:r>
        <w:rPr>
          <w:rFonts w:hint="eastAsia" w:ascii="仿宋_GB2312" w:eastAsia="仿宋_GB2312" w:cs="仿宋_GB2312"/>
          <w:sz w:val="32"/>
          <w:szCs w:val="32"/>
        </w:rPr>
        <w:t>人。</w:t>
      </w:r>
    </w:p>
    <w:p>
      <w:pPr>
        <w:pStyle w:val="3"/>
        <w:ind w:firstLine="642" w:firstLineChars="200"/>
        <w:rPr>
          <w:rStyle w:val="18"/>
          <w:rFonts w:ascii="黑体" w:eastAsia="黑体" w:cs="Times New Roman"/>
          <w:b w:val="0"/>
          <w:bCs w:val="0"/>
        </w:rPr>
      </w:pPr>
      <w:r>
        <w:rPr>
          <w:rFonts w:hint="eastAsia" w:ascii="黑体" w:eastAsia="黑体" w:cs="黑体"/>
        </w:rPr>
        <w:t>二、部门财政资金收支情况</w:t>
      </w:r>
    </w:p>
    <w:p>
      <w:pPr>
        <w:pStyle w:val="3"/>
        <w:ind w:firstLine="320" w:firstLineChars="100"/>
        <w:rPr>
          <w:rFonts w:ascii="仿宋_GB2312" w:eastAsia="仿宋_GB2312" w:cs="仿宋_GB2312"/>
        </w:rPr>
      </w:pPr>
      <w:r>
        <w:rPr>
          <w:rFonts w:hint="eastAsia" w:ascii="仿宋_GB2312" w:eastAsia="仿宋_GB2312" w:cs="仿宋_GB2312"/>
          <w:b w:val="0"/>
          <w:bCs w:val="0"/>
        </w:rPr>
        <w:t>（一）部门财政资金收入情况。</w:t>
      </w:r>
    </w:p>
    <w:p>
      <w:pPr>
        <w:pStyle w:val="3"/>
        <w:ind w:firstLine="640" w:firstLineChars="200"/>
        <w:rPr>
          <w:rFonts w:ascii="仿宋_GB2312" w:eastAsia="仿宋_GB2312"/>
          <w:b w:val="0"/>
          <w:bCs w:val="0"/>
        </w:rPr>
      </w:pPr>
      <w:r>
        <w:rPr>
          <w:rFonts w:ascii="仿宋_GB2312" w:eastAsia="仿宋_GB2312" w:cs="仿宋_GB2312"/>
          <w:b w:val="0"/>
        </w:rPr>
        <w:t>2019</w:t>
      </w:r>
      <w:r>
        <w:rPr>
          <w:rFonts w:hint="eastAsia" w:ascii="仿宋_GB2312" w:eastAsia="仿宋_GB2312" w:cs="仿宋_GB2312"/>
          <w:b w:val="0"/>
        </w:rPr>
        <w:t>年度收、支总计</w:t>
      </w:r>
      <w:r>
        <w:rPr>
          <w:rFonts w:ascii="仿宋_GB2312" w:eastAsia="仿宋_GB2312" w:cs="仿宋_GB2312"/>
          <w:b w:val="0"/>
        </w:rPr>
        <w:t>233.21</w:t>
      </w:r>
      <w:r>
        <w:rPr>
          <w:rFonts w:hint="eastAsia" w:ascii="仿宋_GB2312" w:eastAsia="仿宋_GB2312" w:cs="仿宋_GB2312"/>
          <w:b w:val="0"/>
        </w:rPr>
        <w:t>万元。与</w:t>
      </w:r>
      <w:r>
        <w:rPr>
          <w:rFonts w:ascii="仿宋_GB2312" w:eastAsia="仿宋_GB2312" w:cs="仿宋_GB2312"/>
          <w:b w:val="0"/>
        </w:rPr>
        <w:t>2018</w:t>
      </w:r>
      <w:r>
        <w:rPr>
          <w:rFonts w:hint="eastAsia" w:ascii="仿宋_GB2312" w:eastAsia="仿宋_GB2312" w:cs="仿宋_GB2312"/>
          <w:b w:val="0"/>
        </w:rPr>
        <w:t>年相比收、支总计各增加</w:t>
      </w:r>
      <w:r>
        <w:rPr>
          <w:rFonts w:ascii="仿宋_GB2312" w:eastAsia="仿宋_GB2312" w:cs="仿宋_GB2312"/>
          <w:b w:val="0"/>
        </w:rPr>
        <w:t>5.39</w:t>
      </w:r>
      <w:r>
        <w:rPr>
          <w:rFonts w:hint="eastAsia" w:ascii="仿宋_GB2312" w:eastAsia="仿宋_GB2312" w:cs="仿宋_GB2312"/>
          <w:b w:val="0"/>
        </w:rPr>
        <w:t>万元，主要原因是</w:t>
      </w:r>
      <w:r>
        <w:rPr>
          <w:rFonts w:hint="eastAsia" w:ascii="仿宋_GB2312" w:eastAsia="仿宋_GB2312"/>
          <w:b w:val="0"/>
        </w:rPr>
        <w:t>单位职工工资标准上调，相应的单位缴纳的机关事业单位养老保险、职业年金、住房公积金等缴费基数增长</w:t>
      </w:r>
    </w:p>
    <w:p>
      <w:pPr>
        <w:ind w:firstLine="640" w:firstLineChars="200"/>
        <w:rPr>
          <w:rFonts w:ascii="仿宋_GB2312" w:eastAsia="仿宋_GB2312"/>
          <w:b/>
          <w:bCs/>
          <w:sz w:val="32"/>
          <w:szCs w:val="32"/>
        </w:rPr>
      </w:pPr>
      <w:r>
        <w:rPr>
          <w:rFonts w:hint="eastAsia" w:ascii="仿宋_GB2312" w:eastAsia="仿宋_GB2312" w:cs="仿宋_GB2312"/>
          <w:sz w:val="32"/>
          <w:szCs w:val="32"/>
        </w:rPr>
        <w:t>（二）部门财政资金支出情况。</w:t>
      </w:r>
    </w:p>
    <w:p>
      <w:pPr>
        <w:ind w:firstLine="640" w:firstLineChars="200"/>
        <w:rPr>
          <w:rFonts w:ascii="仿宋_GB2312" w:eastAsia="仿宋_GB2312"/>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年本年支出合计</w:t>
      </w:r>
      <w:r>
        <w:rPr>
          <w:rFonts w:ascii="仿宋_GB2312" w:eastAsia="仿宋_GB2312" w:cs="仿宋_GB2312"/>
          <w:color w:val="000000"/>
          <w:sz w:val="32"/>
          <w:szCs w:val="32"/>
        </w:rPr>
        <w:t>232.05</w:t>
      </w:r>
      <w:r>
        <w:rPr>
          <w:rFonts w:hint="eastAsia" w:ascii="仿宋_GB2312" w:eastAsia="仿宋_GB2312" w:cs="仿宋_GB2312"/>
          <w:color w:val="000000"/>
          <w:sz w:val="32"/>
          <w:szCs w:val="32"/>
        </w:rPr>
        <w:t>万元，</w:t>
      </w:r>
      <w:r>
        <w:rPr>
          <w:rFonts w:hint="eastAsia" w:ascii="仿宋_GB2312" w:eastAsia="仿宋_GB2312" w:cs="仿宋_GB2312"/>
          <w:sz w:val="32"/>
          <w:szCs w:val="32"/>
        </w:rPr>
        <w:t>其中：教育支出</w:t>
      </w:r>
      <w:r>
        <w:rPr>
          <w:rFonts w:ascii="仿宋_GB2312" w:eastAsia="仿宋_GB2312" w:cs="仿宋_GB2312"/>
          <w:sz w:val="32"/>
          <w:szCs w:val="32"/>
        </w:rPr>
        <w:t>172.33</w:t>
      </w:r>
      <w:r>
        <w:rPr>
          <w:rFonts w:hint="eastAsia" w:ascii="仿宋_GB2312" w:eastAsia="仿宋_GB2312" w:cs="仿宋_GB2312"/>
          <w:sz w:val="32"/>
          <w:szCs w:val="32"/>
        </w:rPr>
        <w:t>万元，社会保障和就业支出</w:t>
      </w:r>
      <w:r>
        <w:rPr>
          <w:rFonts w:ascii="仿宋_GB2312" w:eastAsia="仿宋_GB2312" w:cs="仿宋_GB2312"/>
          <w:sz w:val="32"/>
          <w:szCs w:val="32"/>
        </w:rPr>
        <w:t>28.6</w:t>
      </w:r>
      <w:r>
        <w:rPr>
          <w:rFonts w:hint="eastAsia" w:ascii="仿宋_GB2312" w:eastAsia="仿宋_GB2312" w:cs="仿宋_GB2312"/>
          <w:sz w:val="32"/>
          <w:szCs w:val="32"/>
        </w:rPr>
        <w:t>万元，卫生健康支出</w:t>
      </w:r>
      <w:r>
        <w:rPr>
          <w:rFonts w:ascii="仿宋_GB2312" w:eastAsia="仿宋_GB2312" w:cs="仿宋_GB2312"/>
          <w:sz w:val="32"/>
          <w:szCs w:val="32"/>
        </w:rPr>
        <w:t>12.48</w:t>
      </w:r>
      <w:r>
        <w:rPr>
          <w:rFonts w:hint="eastAsia" w:ascii="仿宋_GB2312" w:eastAsia="仿宋_GB2312" w:cs="仿宋_GB2312"/>
          <w:sz w:val="32"/>
          <w:szCs w:val="32"/>
        </w:rPr>
        <w:t>万元，住房保障支出</w:t>
      </w:r>
      <w:r>
        <w:rPr>
          <w:rFonts w:ascii="仿宋_GB2312" w:eastAsia="仿宋_GB2312" w:cs="仿宋_GB2312"/>
          <w:sz w:val="32"/>
          <w:szCs w:val="32"/>
        </w:rPr>
        <w:t>17.1</w:t>
      </w:r>
      <w:r>
        <w:rPr>
          <w:rFonts w:hint="eastAsia" w:ascii="仿宋_GB2312" w:eastAsia="仿宋_GB2312" w:cs="仿宋_GB2312"/>
          <w:sz w:val="32"/>
          <w:szCs w:val="32"/>
        </w:rPr>
        <w:t>万元，农林水支出</w:t>
      </w:r>
      <w:r>
        <w:rPr>
          <w:rFonts w:ascii="仿宋_GB2312" w:eastAsia="仿宋_GB2312" w:cs="仿宋_GB2312"/>
          <w:sz w:val="32"/>
          <w:szCs w:val="32"/>
        </w:rPr>
        <w:t>1.54</w:t>
      </w:r>
      <w:r>
        <w:rPr>
          <w:rFonts w:hint="eastAsia" w:ascii="仿宋_GB2312" w:eastAsia="仿宋_GB2312" w:cs="仿宋_GB2312"/>
          <w:sz w:val="32"/>
          <w:szCs w:val="32"/>
        </w:rPr>
        <w:t>。</w:t>
      </w:r>
    </w:p>
    <w:p>
      <w:pPr>
        <w:ind w:firstLine="640" w:firstLineChars="200"/>
        <w:rPr>
          <w:rFonts w:ascii="黑体" w:eastAsia="黑体"/>
          <w:sz w:val="32"/>
          <w:szCs w:val="32"/>
        </w:rPr>
      </w:pPr>
      <w:r>
        <w:rPr>
          <w:rFonts w:hint="eastAsia" w:ascii="黑体" w:eastAsia="黑体" w:cs="黑体"/>
          <w:sz w:val="32"/>
          <w:szCs w:val="32"/>
        </w:rPr>
        <w:t>三、部门整体预算绩效管理情况</w:t>
      </w:r>
    </w:p>
    <w:p>
      <w:pPr>
        <w:ind w:firstLine="642" w:firstLineChars="200"/>
        <w:rPr>
          <w:rFonts w:ascii="楷体" w:eastAsia="楷体" w:cs="楷体"/>
          <w:b/>
          <w:bCs/>
          <w:color w:val="000000"/>
          <w:sz w:val="32"/>
          <w:szCs w:val="32"/>
        </w:rPr>
      </w:pPr>
      <w:r>
        <w:rPr>
          <w:rFonts w:hint="eastAsia" w:ascii="楷体" w:eastAsia="楷体" w:cs="楷体"/>
          <w:b/>
          <w:bCs/>
          <w:sz w:val="32"/>
          <w:szCs w:val="32"/>
        </w:rPr>
        <w:t>（一）部门预算管理。</w:t>
      </w:r>
    </w:p>
    <w:p>
      <w:pPr>
        <w:ind w:firstLine="640" w:firstLineChars="200"/>
        <w:rPr>
          <w:rFonts w:ascii="仿宋_GB2312" w:eastAsia="仿宋_GB2312"/>
          <w:b/>
          <w:bCs/>
          <w:sz w:val="32"/>
          <w:szCs w:val="32"/>
        </w:rPr>
      </w:pPr>
      <w:r>
        <w:rPr>
          <w:rFonts w:ascii="仿宋_GB2312" w:eastAsia="仿宋_GB2312" w:cs="仿宋_GB2312"/>
          <w:sz w:val="32"/>
          <w:szCs w:val="32"/>
        </w:rPr>
        <w:t>1.</w:t>
      </w:r>
      <w:r>
        <w:rPr>
          <w:rFonts w:hint="eastAsia" w:ascii="仿宋_GB2312" w:eastAsia="仿宋_GB2312" w:cs="仿宋_GB2312"/>
          <w:sz w:val="32"/>
          <w:szCs w:val="32"/>
        </w:rPr>
        <w:t>预决算编制情况。</w:t>
      </w:r>
    </w:p>
    <w:p>
      <w:pPr>
        <w:ind w:firstLine="640" w:firstLineChars="200"/>
        <w:rPr>
          <w:rFonts w:ascii="仿宋_GB2312" w:eastAsia="仿宋_GB2312"/>
          <w:b/>
          <w:bCs/>
          <w:sz w:val="32"/>
          <w:szCs w:val="32"/>
        </w:rPr>
      </w:pPr>
      <w:r>
        <w:rPr>
          <w:rFonts w:hint="eastAsia" w:ascii="仿宋_GB2312" w:eastAsia="仿宋_GB2312" w:cs="仿宋_GB2312"/>
          <w:sz w:val="32"/>
          <w:szCs w:val="32"/>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ind w:firstLine="640" w:firstLineChars="200"/>
        <w:rPr>
          <w:rFonts w:ascii="仿宋_GB2312" w:eastAsia="仿宋_GB2312"/>
          <w:b/>
          <w:bCs/>
          <w:sz w:val="32"/>
          <w:szCs w:val="32"/>
        </w:rPr>
      </w:pPr>
      <w:r>
        <w:rPr>
          <w:rFonts w:ascii="仿宋_GB2312" w:eastAsia="仿宋_GB2312" w:cs="仿宋_GB2312"/>
          <w:sz w:val="32"/>
          <w:szCs w:val="32"/>
        </w:rPr>
        <w:t>2.</w:t>
      </w:r>
      <w:r>
        <w:rPr>
          <w:rFonts w:hint="eastAsia" w:ascii="仿宋_GB2312" w:eastAsia="仿宋_GB2312" w:cs="仿宋_GB2312"/>
          <w:sz w:val="32"/>
          <w:szCs w:val="32"/>
        </w:rPr>
        <w:t>执行管理情况。</w:t>
      </w:r>
    </w:p>
    <w:p>
      <w:pPr>
        <w:ind w:firstLine="640" w:firstLineChars="200"/>
        <w:rPr>
          <w:rFonts w:ascii="仿宋_GB2312" w:eastAsia="仿宋_GB2312"/>
          <w:sz w:val="32"/>
          <w:szCs w:val="32"/>
        </w:rPr>
      </w:pPr>
      <w:r>
        <w:rPr>
          <w:rFonts w:hint="eastAsia" w:ascii="仿宋_GB2312" w:eastAsia="仿宋_GB2312" w:cs="仿宋_GB2312"/>
          <w:sz w:val="32"/>
          <w:szCs w:val="32"/>
        </w:rPr>
        <w:t>基本支出严格按部门预算均衡执行，机关厉行节约，严格实行会议、公务接待和出差审批制度，公务接待经费明显下降。</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“三公”经费支出情况：无因公出国（境）经费支出，公务接待费支出</w:t>
      </w:r>
      <w:r>
        <w:rPr>
          <w:rFonts w:ascii="仿宋_GB2312" w:eastAsia="仿宋_GB2312" w:cs="仿宋_GB2312"/>
          <w:sz w:val="32"/>
          <w:szCs w:val="32"/>
        </w:rPr>
        <w:t>0.07</w:t>
      </w:r>
      <w:r>
        <w:rPr>
          <w:rFonts w:hint="eastAsia" w:ascii="仿宋_GB2312" w:eastAsia="仿宋_GB2312" w:cs="仿宋_GB2312"/>
          <w:sz w:val="32"/>
          <w:szCs w:val="32"/>
        </w:rPr>
        <w:t>万元，无公务用车购置及运行维护费。</w:t>
      </w:r>
    </w:p>
    <w:p>
      <w:pPr>
        <w:ind w:firstLine="640" w:firstLineChars="200"/>
        <w:rPr>
          <w:rFonts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综合管理情况。</w:t>
      </w:r>
    </w:p>
    <w:p>
      <w:pPr>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收入管理：严格遵守国家收费的有关规定，所有收费项目和标准都经物价部门批准，无擅自设立收费项目、扩大收费范围或提高收费标准等行为。所有预算外收入全额纳入财政专户，严格执行“收支两条线”管理。</w:t>
      </w:r>
    </w:p>
    <w:p>
      <w:pPr>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支出管理：严格执行国家规定的开支范围及标准，无虚列虚报或以白条作为报销凭证现象；按规定应当纳入政府采购的项目能实行政府采购；能定期公布学校收支及管理情况；支出实行常务校长负责制，大额资金使用经校委会集体讨论并有会议记录记载；学校财务管理的审批人员、报账人员、经办人员、财产保管人员的职责明确，相互分离、相互制约、相互监督；无私设“小金库”、公款私存、设立账外账、坐收坐支等现象；所有支出发票均有经办人签名及用途，对购置的财产有入库登记；无大额现金支付现象；津补贴发放符合规定，无违规乱发钱、物。</w:t>
      </w:r>
    </w:p>
    <w:p>
      <w:pPr>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资产管理：根据财政局关于开展行政事业单位国有资产清查工作的通知，我校组织进行全面的资产清查，并就清查中发现的问题进行全面整改。完善了《茂县党校财务管理制度》、《茂县党校资产管理制度》，确保各项资产核算准确、帐实相符、管理到位。</w:t>
      </w:r>
    </w:p>
    <w:p>
      <w:pPr>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4</w:t>
      </w:r>
      <w:r>
        <w:rPr>
          <w:rFonts w:hint="eastAsia" w:ascii="仿宋_GB2312" w:eastAsia="仿宋_GB2312" w:cs="仿宋_GB2312"/>
          <w:sz w:val="32"/>
          <w:szCs w:val="32"/>
        </w:rPr>
        <w:t>）内部管理制度建设情况：近年来，我校制定、完善了《茂县党校财务管理制度》、《茂县党校资产管理制度》、《茂县党校公务卡使用和报销管理办法》等一系列内部制度。</w:t>
      </w:r>
    </w:p>
    <w:p>
      <w:pPr>
        <w:ind w:firstLine="642" w:firstLineChars="200"/>
        <w:rPr>
          <w:rFonts w:ascii="楷体" w:eastAsia="楷体" w:cs="楷体"/>
          <w:b/>
          <w:bCs/>
          <w:sz w:val="32"/>
          <w:szCs w:val="32"/>
        </w:rPr>
      </w:pPr>
      <w:r>
        <w:rPr>
          <w:rFonts w:hint="eastAsia" w:ascii="楷体" w:eastAsia="楷体" w:cs="楷体"/>
          <w:b/>
          <w:bCs/>
          <w:sz w:val="32"/>
          <w:szCs w:val="32"/>
        </w:rPr>
        <w:t>（二）专项预算管理。</w:t>
      </w:r>
    </w:p>
    <w:p>
      <w:pPr>
        <w:spacing w:line="580" w:lineRule="exact"/>
        <w:ind w:firstLine="640" w:firstLineChars="200"/>
        <w:rPr>
          <w:rFonts w:ascii="??" w:hAnsi="??"/>
          <w:sz w:val="32"/>
          <w:szCs w:val="32"/>
        </w:rPr>
      </w:pPr>
      <w:r>
        <w:rPr>
          <w:rFonts w:hint="eastAsia" w:ascii="仿宋_GB2312" w:eastAsia="仿宋_GB2312" w:cs="仿宋_GB2312"/>
          <w:sz w:val="32"/>
          <w:szCs w:val="32"/>
        </w:rPr>
        <w:t>本单位不涉及专项预算。</w:t>
      </w:r>
    </w:p>
    <w:p>
      <w:pPr>
        <w:spacing w:line="580" w:lineRule="exact"/>
        <w:ind w:firstLine="642" w:firstLineChars="200"/>
        <w:rPr>
          <w:rFonts w:ascii="楷体" w:eastAsia="楷体" w:cs="楷体"/>
          <w:sz w:val="32"/>
          <w:szCs w:val="32"/>
        </w:rPr>
      </w:pPr>
      <w:r>
        <w:rPr>
          <w:rFonts w:hint="eastAsia" w:ascii="楷体" w:eastAsia="楷体" w:cs="楷体"/>
          <w:b/>
          <w:bCs/>
          <w:sz w:val="32"/>
          <w:szCs w:val="32"/>
        </w:rPr>
        <w:t>（三）结果应用情况。</w:t>
      </w:r>
    </w:p>
    <w:p>
      <w:pPr>
        <w:ind w:firstLine="640" w:firstLineChars="200"/>
        <w:rPr>
          <w:rFonts w:ascii="仿宋_GB2312" w:eastAsia="仿宋_GB2312"/>
          <w:sz w:val="32"/>
          <w:szCs w:val="32"/>
        </w:rPr>
      </w:pPr>
      <w:r>
        <w:rPr>
          <w:rFonts w:hint="eastAsia" w:ascii="仿宋_GB2312" w:eastAsia="仿宋_GB2312" w:cs="仿宋_GB2312"/>
          <w:sz w:val="32"/>
          <w:szCs w:val="32"/>
        </w:rPr>
        <w:t>我校在县委、</w:t>
      </w:r>
      <w:r>
        <w:rPr>
          <w:rFonts w:ascii="仿宋_GB2312" w:eastAsia="仿宋_GB2312" w:cs="仿宋_GB2312"/>
          <w:sz w:val="32"/>
          <w:szCs w:val="32"/>
        </w:rPr>
        <w:t>县</w:t>
      </w:r>
      <w:r>
        <w:rPr>
          <w:rFonts w:hint="eastAsia" w:ascii="仿宋_GB2312" w:eastAsia="仿宋_GB2312" w:cs="仿宋_GB2312"/>
          <w:sz w:val="32"/>
          <w:szCs w:val="32"/>
        </w:rPr>
        <w:t>政府的正确领导下，坚持以习近平新时代中国特色社会主义思想和党的十九大精神为指导</w:t>
      </w:r>
      <w:r>
        <w:rPr>
          <w:rFonts w:ascii="仿宋_GB2312" w:eastAsia="仿宋_GB2312" w:cs="仿宋_GB2312"/>
          <w:sz w:val="32"/>
          <w:szCs w:val="32"/>
        </w:rPr>
        <w:t>,</w:t>
      </w:r>
      <w:r>
        <w:rPr>
          <w:rFonts w:hint="eastAsia" w:ascii="仿宋_GB2312" w:eastAsia="仿宋_GB2312" w:cs="仿宋_GB2312"/>
          <w:sz w:val="32"/>
          <w:szCs w:val="32"/>
        </w:rPr>
        <w:t>以干部教育培训工作为中心，积极开展干部培训工作，</w:t>
      </w:r>
      <w:r>
        <w:rPr>
          <w:rFonts w:hint="eastAsia" w:ascii="仿宋_GB2312" w:eastAsia="仿宋_GB2312" w:cs="仿宋_GB2312"/>
          <w:color w:val="000000"/>
          <w:sz w:val="32"/>
          <w:szCs w:val="32"/>
        </w:rPr>
        <w:t>我校共培训</w:t>
      </w:r>
      <w:r>
        <w:rPr>
          <w:rFonts w:ascii="仿宋_GB2312" w:eastAsia="仿宋_GB2312" w:cs="仿宋_GB2312"/>
          <w:color w:val="000000"/>
          <w:sz w:val="32"/>
          <w:szCs w:val="32"/>
        </w:rPr>
        <w:t>18</w:t>
      </w:r>
      <w:r>
        <w:rPr>
          <w:rFonts w:hint="eastAsia" w:ascii="仿宋_GB2312" w:eastAsia="仿宋_GB2312" w:cs="仿宋_GB2312"/>
          <w:color w:val="000000"/>
          <w:sz w:val="32"/>
          <w:szCs w:val="32"/>
        </w:rPr>
        <w:t>期</w:t>
      </w:r>
      <w:r>
        <w:rPr>
          <w:rFonts w:ascii="仿宋_GB2312" w:eastAsia="仿宋_GB2312" w:cs="仿宋_GB2312"/>
          <w:color w:val="000000"/>
          <w:sz w:val="32"/>
          <w:szCs w:val="32"/>
        </w:rPr>
        <w:t>4300</w:t>
      </w:r>
      <w:r>
        <w:rPr>
          <w:rFonts w:hint="eastAsia" w:ascii="仿宋_GB2312" w:eastAsia="仿宋_GB2312" w:cs="仿宋_GB2312"/>
          <w:color w:val="000000"/>
          <w:sz w:val="32"/>
          <w:szCs w:val="32"/>
        </w:rPr>
        <w:t>多人次</w:t>
      </w:r>
      <w:r>
        <w:rPr>
          <w:rFonts w:ascii="仿宋_GB2312" w:eastAsia="仿宋_GB2312" w:cs="仿宋_GB2312"/>
          <w:color w:val="000000"/>
          <w:sz w:val="32"/>
          <w:szCs w:val="32"/>
        </w:rPr>
        <w:t>(</w:t>
      </w:r>
      <w:r>
        <w:rPr>
          <w:rFonts w:hint="eastAsia" w:ascii="仿宋_GB2312" w:eastAsia="仿宋_GB2312" w:cs="仿宋_GB2312"/>
          <w:color w:val="000000"/>
          <w:sz w:val="32"/>
          <w:szCs w:val="32"/>
        </w:rPr>
        <w:t>长征干部学院学员</w:t>
      </w:r>
      <w:r>
        <w:rPr>
          <w:rFonts w:ascii="仿宋_GB2312" w:eastAsia="仿宋_GB2312" w:cs="仿宋_GB2312"/>
          <w:color w:val="000000"/>
          <w:sz w:val="32"/>
          <w:szCs w:val="32"/>
        </w:rPr>
        <w:t>3500</w:t>
      </w:r>
      <w:r>
        <w:rPr>
          <w:rFonts w:hint="eastAsia" w:ascii="仿宋_GB2312" w:eastAsia="仿宋_GB2312" w:cs="仿宋_GB2312"/>
          <w:color w:val="000000"/>
          <w:sz w:val="32"/>
          <w:szCs w:val="32"/>
        </w:rPr>
        <w:t>人次</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w:t>
      </w:r>
      <w:r>
        <w:rPr>
          <w:rFonts w:hint="eastAsia" w:ascii="仿宋_GB2312" w:eastAsia="仿宋_GB2312" w:cs="仿宋_GB2312"/>
          <w:sz w:val="32"/>
          <w:szCs w:val="32"/>
        </w:rPr>
        <w:t>公文写作与处理能力提升培训班</w:t>
      </w:r>
      <w:r>
        <w:rPr>
          <w:rFonts w:ascii="仿宋_GB2312" w:eastAsia="仿宋_GB2312" w:cs="仿宋_GB2312"/>
          <w:sz w:val="32"/>
          <w:szCs w:val="32"/>
        </w:rPr>
        <w:t>1</w:t>
      </w:r>
      <w:r>
        <w:rPr>
          <w:rFonts w:hint="eastAsia" w:ascii="仿宋_GB2312" w:eastAsia="仿宋_GB2312" w:cs="仿宋_GB2312"/>
          <w:sz w:val="32"/>
          <w:szCs w:val="32"/>
        </w:rPr>
        <w:t>期、第一书记及驻村工作队培训班</w:t>
      </w:r>
      <w:r>
        <w:rPr>
          <w:rFonts w:ascii="仿宋_GB2312" w:eastAsia="仿宋_GB2312" w:cs="仿宋_GB2312"/>
          <w:sz w:val="32"/>
          <w:szCs w:val="32"/>
        </w:rPr>
        <w:t>1</w:t>
      </w:r>
      <w:r>
        <w:rPr>
          <w:rFonts w:hint="eastAsia" w:ascii="仿宋_GB2312" w:eastAsia="仿宋_GB2312" w:cs="仿宋_GB2312"/>
          <w:sz w:val="32"/>
          <w:szCs w:val="32"/>
        </w:rPr>
        <w:t>期、发展对象专题培训班</w:t>
      </w:r>
      <w:r>
        <w:rPr>
          <w:rFonts w:ascii="仿宋_GB2312" w:eastAsia="仿宋_GB2312" w:cs="仿宋_GB2312"/>
          <w:sz w:val="32"/>
          <w:szCs w:val="32"/>
        </w:rPr>
        <w:t>2</w:t>
      </w:r>
      <w:r>
        <w:rPr>
          <w:rFonts w:hint="eastAsia" w:ascii="仿宋_GB2312" w:eastAsia="仿宋_GB2312" w:cs="仿宋_GB2312"/>
          <w:sz w:val="32"/>
          <w:szCs w:val="32"/>
        </w:rPr>
        <w:t>期、县级机关党务工作者</w:t>
      </w:r>
      <w:r>
        <w:rPr>
          <w:rFonts w:ascii="仿宋_GB2312" w:eastAsia="仿宋_GB2312" w:cs="仿宋_GB2312"/>
          <w:sz w:val="32"/>
          <w:szCs w:val="32"/>
        </w:rPr>
        <w:t>1</w:t>
      </w:r>
      <w:r>
        <w:rPr>
          <w:rFonts w:hint="eastAsia" w:ascii="仿宋_GB2312" w:eastAsia="仿宋_GB2312" w:cs="仿宋_GB2312"/>
          <w:sz w:val="32"/>
          <w:szCs w:val="32"/>
        </w:rPr>
        <w:t>期、东西部劳务扶贫协作“扶贫专班”</w:t>
      </w:r>
      <w:r>
        <w:rPr>
          <w:rFonts w:ascii="仿宋_GB2312" w:eastAsia="仿宋_GB2312" w:cs="仿宋_GB2312"/>
          <w:sz w:val="32"/>
          <w:szCs w:val="32"/>
        </w:rPr>
        <w:t>3</w:t>
      </w:r>
      <w:r>
        <w:rPr>
          <w:rFonts w:hint="eastAsia" w:ascii="仿宋_GB2312" w:eastAsia="仿宋_GB2312" w:cs="仿宋_GB2312"/>
          <w:sz w:val="32"/>
          <w:szCs w:val="32"/>
        </w:rPr>
        <w:t>期、县级领导干部</w:t>
      </w:r>
      <w:r>
        <w:rPr>
          <w:rFonts w:hint="default" w:ascii="仿宋_GB2312" w:eastAsia="仿宋_GB2312" w:cs="仿宋_GB2312"/>
          <w:sz w:val="32"/>
          <w:szCs w:val="32"/>
        </w:rPr>
        <w:t>“不忘初心、牢记使命”主题教育</w:t>
      </w:r>
      <w:r>
        <w:rPr>
          <w:rFonts w:hint="eastAsia" w:ascii="仿宋_GB2312" w:eastAsia="仿宋_GB2312" w:cs="仿宋_GB2312"/>
          <w:sz w:val="32"/>
          <w:szCs w:val="32"/>
        </w:rPr>
        <w:t>集中学习研讨班</w:t>
      </w:r>
      <w:r>
        <w:rPr>
          <w:rFonts w:ascii="仿宋_GB2312" w:eastAsia="仿宋_GB2312" w:cs="仿宋_GB2312"/>
          <w:sz w:val="32"/>
          <w:szCs w:val="32"/>
        </w:rPr>
        <w:t>1</w:t>
      </w:r>
      <w:r>
        <w:rPr>
          <w:rFonts w:hint="eastAsia" w:ascii="仿宋_GB2312" w:eastAsia="仿宋_GB2312" w:cs="仿宋_GB2312"/>
          <w:sz w:val="32"/>
          <w:szCs w:val="32"/>
        </w:rPr>
        <w:t>期、移动公司党性教育培训班系列教育。</w:t>
      </w:r>
      <w:r>
        <w:rPr>
          <w:rFonts w:hint="eastAsia" w:ascii="仿宋_GB2312" w:eastAsia="仿宋_GB2312" w:cs="仿宋_GB2312"/>
          <w:color w:val="000000"/>
          <w:sz w:val="32"/>
          <w:szCs w:val="32"/>
        </w:rPr>
        <w:t>与组织部门联合组织开展异地培训</w:t>
      </w:r>
      <w:r>
        <w:rPr>
          <w:rFonts w:ascii="仿宋_GB2312" w:eastAsia="仿宋_GB2312" w:cs="仿宋_GB2312"/>
          <w:color w:val="000000"/>
          <w:sz w:val="32"/>
          <w:szCs w:val="32"/>
        </w:rPr>
        <w:t>6</w:t>
      </w:r>
      <w:r>
        <w:rPr>
          <w:rFonts w:hint="eastAsia" w:ascii="仿宋_GB2312" w:eastAsia="仿宋_GB2312" w:cs="仿宋_GB2312"/>
          <w:color w:val="000000"/>
          <w:sz w:val="32"/>
          <w:szCs w:val="32"/>
        </w:rPr>
        <w:t>期，接待长征干部学院现场教学</w:t>
      </w:r>
      <w:r>
        <w:rPr>
          <w:rFonts w:ascii="仿宋_GB2312" w:eastAsia="仿宋_GB2312" w:cs="仿宋_GB2312"/>
          <w:color w:val="000000"/>
          <w:sz w:val="32"/>
          <w:szCs w:val="32"/>
        </w:rPr>
        <w:t>80</w:t>
      </w:r>
      <w:r>
        <w:rPr>
          <w:rFonts w:hint="eastAsia" w:ascii="仿宋_GB2312" w:eastAsia="仿宋_GB2312" w:cs="仿宋_GB2312"/>
          <w:color w:val="000000"/>
          <w:sz w:val="32"/>
          <w:szCs w:val="32"/>
        </w:rPr>
        <w:t>余期，与统战部、发改局等部门举报专题短训班</w:t>
      </w:r>
      <w:r>
        <w:rPr>
          <w:rFonts w:ascii="仿宋_GB2312" w:eastAsia="仿宋_GB2312" w:cs="仿宋_GB2312"/>
          <w:color w:val="000000"/>
          <w:sz w:val="32"/>
          <w:szCs w:val="32"/>
        </w:rPr>
        <w:t>3</w:t>
      </w:r>
      <w:r>
        <w:rPr>
          <w:rFonts w:hint="eastAsia" w:ascii="仿宋_GB2312" w:eastAsia="仿宋_GB2312" w:cs="仿宋_GB2312"/>
          <w:color w:val="000000"/>
          <w:sz w:val="32"/>
          <w:szCs w:val="32"/>
        </w:rPr>
        <w:t>期，教育培训的主渠道作用进一步凸现。</w:t>
      </w:r>
      <w:r>
        <w:rPr>
          <w:rFonts w:hint="eastAsia" w:ascii="仿宋_GB2312" w:eastAsia="仿宋_GB2312" w:cs="仿宋_GB2312"/>
          <w:sz w:val="32"/>
          <w:szCs w:val="32"/>
        </w:rPr>
        <w:t>按照县委安排认真抓好政策宣讲工作，组织教师编写了《茂县脱贫攻坚感恩宣讲提纲》，深入乡镇、村组开展了以“彭清华书记来州视察重要指示精神”、</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“省委十一届五次全会精神”、“州委十一届六次全会精神”为主题的政策宣讲</w:t>
      </w:r>
      <w:r>
        <w:rPr>
          <w:rFonts w:ascii="仿宋_GB2312" w:eastAsia="仿宋_GB2312" w:cs="仿宋_GB2312"/>
          <w:color w:val="000000"/>
          <w:sz w:val="32"/>
          <w:szCs w:val="32"/>
        </w:rPr>
        <w:t>,</w:t>
      </w:r>
      <w:r>
        <w:rPr>
          <w:rFonts w:hint="eastAsia" w:ascii="仿宋_GB2312" w:eastAsia="仿宋_GB2312" w:cs="仿宋_GB2312"/>
          <w:sz w:val="32"/>
          <w:szCs w:val="32"/>
        </w:rPr>
        <w:t>。圆满完成了本年度干部教育培训任务。履职效益高，社会公众满意度评价高。</w:t>
      </w:r>
    </w:p>
    <w:p>
      <w:pPr>
        <w:ind w:firstLine="640" w:firstLineChars="200"/>
        <w:rPr>
          <w:rFonts w:ascii="仿宋_GB2312" w:eastAsia="仿宋_GB2312"/>
          <w:color w:val="222222"/>
          <w:sz w:val="32"/>
          <w:szCs w:val="32"/>
        </w:rPr>
      </w:pPr>
      <w:r>
        <w:rPr>
          <w:rFonts w:hint="eastAsia" w:ascii="仿宋_GB2312" w:eastAsia="仿宋_GB2312" w:cs="仿宋_GB2312"/>
          <w:sz w:val="32"/>
          <w:szCs w:val="32"/>
        </w:rPr>
        <w:t>从整体情况来看，</w:t>
      </w:r>
      <w:r>
        <w:rPr>
          <w:rFonts w:hint="eastAsia" w:ascii="仿宋_GB2312" w:eastAsia="仿宋_GB2312" w:cs="仿宋_GB2312"/>
          <w:color w:val="222222"/>
          <w:sz w:val="32"/>
          <w:szCs w:val="32"/>
        </w:rPr>
        <w:t>我校根据年初工作规划和重点性工作，围绕我县中心工作，积极履职，强化管理，较好的完成了年度工作目标。通过加强预算收支管理，不断建立健全内部管理制度，梳理内部管理流程，部门整体支出管理情况得到提升。</w:t>
      </w:r>
    </w:p>
    <w:p>
      <w:pPr>
        <w:ind w:firstLine="642" w:firstLineChars="200"/>
        <w:rPr>
          <w:rFonts w:ascii="黑体" w:eastAsia="黑体"/>
          <w:sz w:val="32"/>
          <w:szCs w:val="32"/>
        </w:rPr>
      </w:pPr>
      <w:r>
        <w:rPr>
          <w:rFonts w:hint="eastAsia" w:ascii="黑体" w:eastAsia="黑体" w:cs="黑体"/>
          <w:b/>
          <w:bCs/>
          <w:sz w:val="32"/>
          <w:szCs w:val="32"/>
        </w:rPr>
        <w:t>四、评价结论及建议</w:t>
      </w:r>
    </w:p>
    <w:p>
      <w:pPr>
        <w:ind w:firstLine="642" w:firstLineChars="200"/>
        <w:rPr>
          <w:rFonts w:ascii="仿宋_GB2312" w:eastAsia="仿宋_GB2312" w:cs="仿宋_GB2312"/>
          <w:sz w:val="32"/>
          <w:szCs w:val="32"/>
        </w:rPr>
      </w:pPr>
      <w:r>
        <w:rPr>
          <w:rFonts w:hint="eastAsia" w:ascii="楷体" w:eastAsia="楷体" w:cs="楷体"/>
          <w:b/>
          <w:bCs/>
          <w:sz w:val="32"/>
          <w:szCs w:val="32"/>
        </w:rPr>
        <w:t>（一）评价结论。</w:t>
      </w:r>
      <w:r>
        <w:rPr>
          <w:rFonts w:hint="eastAsia" w:ascii="仿宋_GB2312" w:eastAsia="仿宋_GB2312" w:cs="仿宋_GB2312"/>
          <w:sz w:val="32"/>
          <w:szCs w:val="32"/>
        </w:rPr>
        <w:t>我校将部门整体支出绩效评价作为财政预算资金使用管理的一项重要工作，切实加强预算收支管理，全面梳理内部管理流程，建立健全内部管理制度，有效提升了我校整体支出管理水平。</w:t>
      </w:r>
    </w:p>
    <w:p>
      <w:pPr>
        <w:ind w:firstLine="642" w:firstLineChars="200"/>
        <w:rPr>
          <w:rFonts w:ascii="仿宋_GB2312" w:eastAsia="仿宋_GB2312"/>
          <w:sz w:val="32"/>
          <w:szCs w:val="32"/>
        </w:rPr>
      </w:pPr>
      <w:r>
        <w:rPr>
          <w:rFonts w:hint="eastAsia" w:ascii="楷体" w:eastAsia="楷体" w:cs="楷体"/>
          <w:b/>
          <w:bCs/>
          <w:sz w:val="32"/>
          <w:szCs w:val="32"/>
        </w:rPr>
        <w:t>（二）存在问题。</w:t>
      </w:r>
      <w:r>
        <w:rPr>
          <w:rFonts w:hint="eastAsia" w:ascii="仿宋_GB2312" w:eastAsia="仿宋_GB2312" w:cs="仿宋_GB2312"/>
          <w:sz w:val="32"/>
          <w:szCs w:val="32"/>
        </w:rPr>
        <w:t>一是预算编制工作有待细化；二是制度建设和规范化管理有待加强；三是信息化管理水平有待提高</w:t>
      </w:r>
    </w:p>
    <w:p>
      <w:pPr>
        <w:ind w:firstLine="642" w:firstLineChars="200"/>
        <w:rPr>
          <w:rFonts w:ascii="仿宋_GB2312" w:eastAsia="仿宋_GB2312"/>
          <w:sz w:val="32"/>
          <w:szCs w:val="32"/>
        </w:rPr>
      </w:pPr>
      <w:r>
        <w:rPr>
          <w:rFonts w:hint="eastAsia" w:ascii="楷体" w:eastAsia="楷体" w:cs="楷体"/>
          <w:b/>
          <w:bCs/>
          <w:sz w:val="32"/>
          <w:szCs w:val="32"/>
        </w:rPr>
        <w:t>（三）改进建议。</w:t>
      </w:r>
      <w:r>
        <w:rPr>
          <w:rFonts w:hint="eastAsia" w:ascii="仿宋_GB2312" w:eastAsia="仿宋_GB2312" w:cs="仿宋_GB2312"/>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widowControl/>
        <w:rPr>
          <w:rFonts w:ascii="方正小标宋简体" w:eastAsia="方正小标宋简体" w:cs="方正小标宋简体"/>
          <w:color w:val="000000"/>
          <w:sz w:val="44"/>
          <w:szCs w:val="44"/>
        </w:rPr>
      </w:pPr>
      <w:bookmarkStart w:id="58" w:name="_Toc15396618"/>
    </w:p>
    <w:p>
      <w:pPr>
        <w:widowControl/>
        <w:ind w:firstLine="2200" w:firstLineChars="500"/>
        <w:rPr>
          <w:rStyle w:val="17"/>
          <w:rFonts w:ascii="方正小标宋简体" w:eastAsia="方正小标宋简体"/>
          <w:b w:val="0"/>
          <w:bCs w:val="0"/>
        </w:rPr>
      </w:pPr>
      <w:r>
        <w:rPr>
          <w:rFonts w:hint="eastAsia" w:ascii="方正小标宋简体" w:eastAsia="方正小标宋简体" w:cs="方正小标宋简体"/>
          <w:color w:val="000000"/>
          <w:sz w:val="44"/>
          <w:szCs w:val="44"/>
        </w:rPr>
        <w:t>第</w:t>
      </w:r>
      <w:r>
        <w:rPr>
          <w:rStyle w:val="17"/>
          <w:rFonts w:hint="eastAsia" w:ascii="方正小标宋简体" w:eastAsia="方正小标宋简体" w:cs="方正小标宋简体"/>
          <w:b w:val="0"/>
          <w:bCs w:val="0"/>
        </w:rPr>
        <w:t>五部分附表</w:t>
      </w:r>
      <w:bookmarkEnd w:id="55"/>
      <w:bookmarkEnd w:id="58"/>
    </w:p>
    <w:p>
      <w:pPr>
        <w:pStyle w:val="3"/>
        <w:rPr>
          <w:rFonts w:ascii="仿宋_GB2312" w:eastAsia="仿宋_GB2312" w:cs="Times New Roman"/>
          <w:color w:val="000000"/>
        </w:rPr>
      </w:pPr>
      <w:bookmarkStart w:id="59" w:name="_Toc15396619"/>
      <w:r>
        <w:rPr>
          <w:rFonts w:hint="eastAsia" w:ascii="仿宋_GB2312" w:eastAsia="仿宋_GB2312" w:cs="仿宋_GB2312"/>
          <w:b w:val="0"/>
          <w:bCs w:val="0"/>
          <w:color w:val="000000"/>
        </w:rPr>
        <w:t>一、收</w:t>
      </w:r>
      <w:r>
        <w:rPr>
          <w:rStyle w:val="18"/>
          <w:rFonts w:hint="eastAsia" w:ascii="仿宋_GB2312" w:eastAsia="仿宋_GB2312" w:cs="仿宋_GB2312"/>
          <w:b w:val="0"/>
          <w:bCs w:val="0"/>
        </w:rPr>
        <w:t>入支出决算总表</w:t>
      </w:r>
      <w:bookmarkEnd w:id="59"/>
    </w:p>
    <w:p>
      <w:pPr>
        <w:pStyle w:val="3"/>
        <w:rPr>
          <w:rFonts w:ascii="仿宋_GB2312" w:eastAsia="仿宋_GB2312" w:cs="Times New Roman"/>
          <w:color w:val="000000"/>
        </w:rPr>
      </w:pPr>
      <w:bookmarkStart w:id="60" w:name="_Toc15396620"/>
      <w:r>
        <w:rPr>
          <w:rFonts w:hint="eastAsia" w:ascii="仿宋_GB2312" w:eastAsia="仿宋_GB2312" w:cs="仿宋_GB2312"/>
          <w:b w:val="0"/>
          <w:bCs w:val="0"/>
          <w:color w:val="000000"/>
        </w:rPr>
        <w:t>二、收</w:t>
      </w:r>
      <w:r>
        <w:rPr>
          <w:rStyle w:val="18"/>
          <w:rFonts w:hint="eastAsia" w:ascii="仿宋_GB2312" w:eastAsia="仿宋_GB2312" w:cs="仿宋_GB2312"/>
          <w:b w:val="0"/>
          <w:bCs w:val="0"/>
        </w:rPr>
        <w:t>入总表</w:t>
      </w:r>
      <w:bookmarkEnd w:id="60"/>
    </w:p>
    <w:p>
      <w:pPr>
        <w:pStyle w:val="3"/>
        <w:rPr>
          <w:rFonts w:ascii="仿宋_GB2312" w:eastAsia="仿宋_GB2312" w:cs="Times New Roman"/>
          <w:color w:val="000000"/>
        </w:rPr>
      </w:pPr>
      <w:bookmarkStart w:id="61" w:name="_Toc15396621"/>
      <w:r>
        <w:rPr>
          <w:rStyle w:val="18"/>
          <w:rFonts w:hint="eastAsia" w:ascii="仿宋_GB2312" w:eastAsia="仿宋_GB2312" w:cs="仿宋_GB2312"/>
          <w:b w:val="0"/>
          <w:bCs w:val="0"/>
        </w:rPr>
        <w:t>三、</w:t>
      </w:r>
      <w:r>
        <w:rPr>
          <w:rFonts w:hint="eastAsia" w:ascii="仿宋_GB2312" w:eastAsia="仿宋_GB2312" w:cs="仿宋_GB2312"/>
          <w:b w:val="0"/>
          <w:bCs w:val="0"/>
          <w:color w:val="000000"/>
        </w:rPr>
        <w:t>支</w:t>
      </w:r>
      <w:r>
        <w:rPr>
          <w:rStyle w:val="18"/>
          <w:rFonts w:hint="eastAsia" w:ascii="仿宋_GB2312" w:eastAsia="仿宋_GB2312" w:cs="仿宋_GB2312"/>
          <w:b w:val="0"/>
          <w:bCs w:val="0"/>
        </w:rPr>
        <w:t>出总表</w:t>
      </w:r>
      <w:bookmarkEnd w:id="61"/>
    </w:p>
    <w:p>
      <w:pPr>
        <w:pStyle w:val="3"/>
        <w:rPr>
          <w:rFonts w:ascii="仿宋_GB2312" w:eastAsia="仿宋_GB2312" w:cs="Times New Roman"/>
          <w:b w:val="0"/>
          <w:bCs w:val="0"/>
          <w:color w:val="000000"/>
        </w:rPr>
      </w:pPr>
      <w:bookmarkStart w:id="62" w:name="_Toc15396622"/>
      <w:r>
        <w:rPr>
          <w:rStyle w:val="18"/>
          <w:rFonts w:hint="eastAsia" w:ascii="仿宋_GB2312" w:eastAsia="仿宋_GB2312" w:cs="仿宋_GB2312"/>
          <w:b w:val="0"/>
          <w:bCs w:val="0"/>
        </w:rPr>
        <w:t>四、</w:t>
      </w:r>
      <w:r>
        <w:rPr>
          <w:rFonts w:hint="eastAsia" w:ascii="仿宋_GB2312" w:eastAsia="仿宋_GB2312" w:cs="仿宋_GB2312"/>
          <w:b w:val="0"/>
          <w:bCs w:val="0"/>
          <w:color w:val="000000"/>
        </w:rPr>
        <w:t>财</w:t>
      </w:r>
      <w:r>
        <w:rPr>
          <w:rStyle w:val="18"/>
          <w:rFonts w:hint="eastAsia" w:ascii="仿宋_GB2312" w:eastAsia="仿宋_GB2312" w:cs="仿宋_GB2312"/>
          <w:b w:val="0"/>
          <w:bCs w:val="0"/>
        </w:rPr>
        <w:t>政拨款收入支出决算总表</w:t>
      </w:r>
      <w:bookmarkEnd w:id="62"/>
    </w:p>
    <w:p>
      <w:pPr>
        <w:pStyle w:val="3"/>
        <w:rPr>
          <w:rFonts w:ascii="仿宋_GB2312" w:eastAsia="仿宋_GB2312" w:cs="Times New Roman"/>
          <w:color w:val="000000"/>
        </w:rPr>
      </w:pPr>
      <w:bookmarkStart w:id="63" w:name="_Toc15396623"/>
      <w:r>
        <w:rPr>
          <w:rStyle w:val="18"/>
          <w:rFonts w:hint="eastAsia" w:ascii="仿宋_GB2312" w:eastAsia="仿宋_GB2312" w:cs="仿宋_GB2312"/>
          <w:b w:val="0"/>
          <w:bCs w:val="0"/>
        </w:rPr>
        <w:t>五、</w:t>
      </w:r>
      <w:r>
        <w:rPr>
          <w:rFonts w:hint="eastAsia" w:ascii="仿宋_GB2312" w:eastAsia="仿宋_GB2312" w:cs="仿宋_GB2312"/>
          <w:b w:val="0"/>
          <w:bCs w:val="0"/>
          <w:color w:val="000000"/>
        </w:rPr>
        <w:t>财</w:t>
      </w:r>
      <w:r>
        <w:rPr>
          <w:rStyle w:val="18"/>
          <w:rFonts w:hint="eastAsia" w:ascii="仿宋_GB2312" w:eastAsia="仿宋_GB2312" w:cs="仿宋_GB2312"/>
          <w:b w:val="0"/>
          <w:bCs w:val="0"/>
        </w:rPr>
        <w:t>政拨款支出决算明细表（政府经济分类科目）</w:t>
      </w:r>
      <w:bookmarkEnd w:id="63"/>
    </w:p>
    <w:p>
      <w:pPr>
        <w:pStyle w:val="3"/>
        <w:rPr>
          <w:rFonts w:ascii="仿宋_GB2312" w:eastAsia="仿宋_GB2312" w:cs="Times New Roman"/>
          <w:color w:val="000000"/>
        </w:rPr>
      </w:pPr>
      <w:bookmarkStart w:id="64" w:name="_Toc15396624"/>
      <w:r>
        <w:rPr>
          <w:rStyle w:val="18"/>
          <w:rFonts w:hint="eastAsia" w:ascii="仿宋_GB2312" w:eastAsia="仿宋_GB2312" w:cs="仿宋_GB2312"/>
          <w:b w:val="0"/>
          <w:bCs w:val="0"/>
        </w:rPr>
        <w:t>六、</w:t>
      </w:r>
      <w:r>
        <w:rPr>
          <w:rFonts w:hint="eastAsia" w:ascii="仿宋_GB2312" w:eastAsia="仿宋_GB2312" w:cs="仿宋_GB2312"/>
          <w:b w:val="0"/>
          <w:bCs w:val="0"/>
          <w:color w:val="000000"/>
        </w:rPr>
        <w:t>一</w:t>
      </w:r>
      <w:r>
        <w:rPr>
          <w:rStyle w:val="18"/>
          <w:rFonts w:hint="eastAsia" w:ascii="仿宋_GB2312" w:eastAsia="仿宋_GB2312" w:cs="仿宋_GB2312"/>
          <w:b w:val="0"/>
          <w:bCs w:val="0"/>
        </w:rPr>
        <w:t>般公共预算财政拨款支出决算表</w:t>
      </w:r>
      <w:bookmarkEnd w:id="64"/>
    </w:p>
    <w:p>
      <w:pPr>
        <w:pStyle w:val="3"/>
        <w:rPr>
          <w:rFonts w:ascii="仿宋_GB2312" w:eastAsia="仿宋_GB2312" w:cs="Times New Roman"/>
          <w:color w:val="000000"/>
        </w:rPr>
      </w:pPr>
      <w:bookmarkStart w:id="65" w:name="_Toc15396625"/>
      <w:r>
        <w:rPr>
          <w:rStyle w:val="18"/>
          <w:rFonts w:hint="eastAsia" w:ascii="仿宋_GB2312" w:eastAsia="仿宋_GB2312" w:cs="仿宋_GB2312"/>
          <w:b w:val="0"/>
          <w:bCs w:val="0"/>
        </w:rPr>
        <w:t>七、</w:t>
      </w:r>
      <w:r>
        <w:rPr>
          <w:rFonts w:hint="eastAsia" w:ascii="仿宋_GB2312" w:eastAsia="仿宋_GB2312" w:cs="仿宋_GB2312"/>
          <w:b w:val="0"/>
          <w:bCs w:val="0"/>
          <w:color w:val="000000"/>
        </w:rPr>
        <w:t>一</w:t>
      </w:r>
      <w:r>
        <w:rPr>
          <w:rStyle w:val="18"/>
          <w:rFonts w:hint="eastAsia" w:ascii="仿宋_GB2312" w:eastAsia="仿宋_GB2312" w:cs="仿宋_GB2312"/>
          <w:b w:val="0"/>
          <w:bCs w:val="0"/>
        </w:rPr>
        <w:t>般公共预算财政拨款支出决算明细表</w:t>
      </w:r>
      <w:bookmarkEnd w:id="65"/>
    </w:p>
    <w:p>
      <w:pPr>
        <w:pStyle w:val="3"/>
        <w:rPr>
          <w:rFonts w:ascii="仿宋_GB2312" w:eastAsia="仿宋_GB2312" w:cs="Times New Roman"/>
          <w:color w:val="000000"/>
        </w:rPr>
      </w:pPr>
      <w:bookmarkStart w:id="66" w:name="_Toc15396626"/>
      <w:r>
        <w:rPr>
          <w:rStyle w:val="18"/>
          <w:rFonts w:hint="eastAsia" w:ascii="仿宋_GB2312" w:eastAsia="仿宋_GB2312" w:cs="仿宋_GB2312"/>
          <w:b w:val="0"/>
          <w:bCs w:val="0"/>
        </w:rPr>
        <w:t>八、</w:t>
      </w:r>
      <w:r>
        <w:rPr>
          <w:rFonts w:hint="eastAsia" w:ascii="仿宋_GB2312" w:eastAsia="仿宋_GB2312" w:cs="仿宋_GB2312"/>
          <w:b w:val="0"/>
          <w:bCs w:val="0"/>
          <w:color w:val="000000"/>
        </w:rPr>
        <w:t>一</w:t>
      </w:r>
      <w:r>
        <w:rPr>
          <w:rStyle w:val="18"/>
          <w:rFonts w:hint="eastAsia" w:ascii="仿宋_GB2312" w:eastAsia="仿宋_GB2312" w:cs="仿宋_GB2312"/>
          <w:b w:val="0"/>
          <w:bCs w:val="0"/>
        </w:rPr>
        <w:t>般公共预算财政拨款基本支出决算表</w:t>
      </w:r>
      <w:bookmarkEnd w:id="66"/>
    </w:p>
    <w:p>
      <w:pPr>
        <w:pStyle w:val="3"/>
        <w:rPr>
          <w:rFonts w:ascii="仿宋_GB2312" w:eastAsia="仿宋_GB2312" w:cs="Times New Roman"/>
          <w:color w:val="000000"/>
        </w:rPr>
      </w:pPr>
      <w:bookmarkStart w:id="67" w:name="_Toc15396627"/>
      <w:r>
        <w:rPr>
          <w:rStyle w:val="18"/>
          <w:rFonts w:hint="eastAsia" w:ascii="仿宋_GB2312" w:eastAsia="仿宋_GB2312" w:cs="仿宋_GB2312"/>
          <w:b w:val="0"/>
          <w:bCs w:val="0"/>
        </w:rPr>
        <w:t>九、</w:t>
      </w:r>
      <w:r>
        <w:rPr>
          <w:rFonts w:hint="eastAsia" w:ascii="仿宋_GB2312" w:eastAsia="仿宋_GB2312" w:cs="仿宋_GB2312"/>
          <w:b w:val="0"/>
          <w:bCs w:val="0"/>
          <w:color w:val="000000"/>
        </w:rPr>
        <w:t>一</w:t>
      </w:r>
      <w:r>
        <w:rPr>
          <w:rStyle w:val="18"/>
          <w:rFonts w:hint="eastAsia" w:ascii="仿宋_GB2312" w:eastAsia="仿宋_GB2312" w:cs="仿宋_GB2312"/>
          <w:b w:val="0"/>
          <w:bCs w:val="0"/>
        </w:rPr>
        <w:t>般公共预算财政拨款项目支出决算表</w:t>
      </w:r>
      <w:bookmarkEnd w:id="67"/>
    </w:p>
    <w:p>
      <w:pPr>
        <w:pStyle w:val="3"/>
        <w:rPr>
          <w:rFonts w:ascii="仿宋_GB2312" w:eastAsia="仿宋_GB2312" w:cs="Times New Roman"/>
          <w:color w:val="000000"/>
        </w:rPr>
      </w:pPr>
      <w:bookmarkStart w:id="68" w:name="_Toc15396628"/>
      <w:r>
        <w:rPr>
          <w:rStyle w:val="18"/>
          <w:rFonts w:hint="eastAsia" w:ascii="仿宋_GB2312" w:eastAsia="仿宋_GB2312" w:cs="仿宋_GB2312"/>
          <w:b w:val="0"/>
          <w:bCs w:val="0"/>
        </w:rPr>
        <w:t>十、</w:t>
      </w:r>
      <w:r>
        <w:rPr>
          <w:rFonts w:hint="eastAsia" w:ascii="仿宋_GB2312" w:eastAsia="仿宋_GB2312" w:cs="仿宋_GB2312"/>
          <w:b w:val="0"/>
          <w:bCs w:val="0"/>
          <w:color w:val="000000"/>
        </w:rPr>
        <w:t>一</w:t>
      </w:r>
      <w:r>
        <w:rPr>
          <w:rStyle w:val="18"/>
          <w:rFonts w:hint="eastAsia" w:ascii="仿宋_GB2312" w:eastAsia="仿宋_GB2312" w:cs="仿宋_GB2312"/>
          <w:b w:val="0"/>
          <w:bCs w:val="0"/>
        </w:rPr>
        <w:t>般公共预算财政拨款“三公”经费支出决算表</w:t>
      </w:r>
      <w:bookmarkEnd w:id="68"/>
    </w:p>
    <w:p>
      <w:pPr>
        <w:pStyle w:val="3"/>
        <w:rPr>
          <w:rFonts w:ascii="仿宋_GB2312" w:eastAsia="仿宋_GB2312" w:cs="Times New Roman"/>
          <w:color w:val="000000"/>
        </w:rPr>
      </w:pPr>
      <w:bookmarkStart w:id="69" w:name="_Toc15396629"/>
      <w:r>
        <w:rPr>
          <w:rStyle w:val="18"/>
          <w:rFonts w:hint="eastAsia" w:ascii="仿宋_GB2312" w:eastAsia="仿宋_GB2312" w:cs="仿宋_GB2312"/>
          <w:b w:val="0"/>
          <w:bCs w:val="0"/>
        </w:rPr>
        <w:t>十一、</w:t>
      </w:r>
      <w:r>
        <w:rPr>
          <w:rFonts w:hint="eastAsia" w:ascii="仿宋_GB2312" w:eastAsia="仿宋_GB2312" w:cs="仿宋_GB2312"/>
          <w:b w:val="0"/>
          <w:bCs w:val="0"/>
          <w:color w:val="000000"/>
        </w:rPr>
        <w:t>政</w:t>
      </w:r>
      <w:r>
        <w:rPr>
          <w:rStyle w:val="18"/>
          <w:rFonts w:hint="eastAsia" w:ascii="仿宋_GB2312" w:eastAsia="仿宋_GB2312" w:cs="仿宋_GB2312"/>
          <w:b w:val="0"/>
          <w:bCs w:val="0"/>
        </w:rPr>
        <w:t>府性基金预算财政拨款收入支出决算表</w:t>
      </w:r>
      <w:bookmarkEnd w:id="69"/>
    </w:p>
    <w:p>
      <w:pPr>
        <w:pStyle w:val="3"/>
        <w:rPr>
          <w:rFonts w:ascii="仿宋_GB2312" w:eastAsia="仿宋_GB2312" w:cs="Times New Roman"/>
          <w:color w:val="000000"/>
        </w:rPr>
      </w:pPr>
      <w:bookmarkStart w:id="70" w:name="_Toc15396630"/>
      <w:r>
        <w:rPr>
          <w:rStyle w:val="18"/>
          <w:rFonts w:hint="eastAsia" w:ascii="仿宋_GB2312" w:eastAsia="仿宋_GB2312" w:cs="仿宋_GB2312"/>
          <w:b w:val="0"/>
          <w:bCs w:val="0"/>
        </w:rPr>
        <w:t>十二、</w:t>
      </w:r>
      <w:r>
        <w:rPr>
          <w:rFonts w:hint="eastAsia" w:ascii="仿宋_GB2312" w:eastAsia="仿宋_GB2312" w:cs="仿宋_GB2312"/>
          <w:b w:val="0"/>
          <w:bCs w:val="0"/>
          <w:color w:val="000000"/>
        </w:rPr>
        <w:t>政</w:t>
      </w:r>
      <w:r>
        <w:rPr>
          <w:rStyle w:val="18"/>
          <w:rFonts w:hint="eastAsia" w:ascii="仿宋_GB2312" w:eastAsia="仿宋_GB2312" w:cs="仿宋_GB2312"/>
          <w:b w:val="0"/>
          <w:bCs w:val="0"/>
        </w:rPr>
        <w:t>府性基金预算财政拨款“三公”经费支出决算表</w:t>
      </w:r>
      <w:bookmarkEnd w:id="70"/>
    </w:p>
    <w:p>
      <w:pPr>
        <w:pStyle w:val="3"/>
        <w:rPr>
          <w:rStyle w:val="18"/>
          <w:rFonts w:ascii="仿宋_GB2312" w:eastAsia="仿宋_GB2312" w:cs="Times New Roman"/>
          <w:b w:val="0"/>
          <w:bCs w:val="0"/>
        </w:rPr>
      </w:pPr>
      <w:bookmarkStart w:id="71" w:name="_Toc15396631"/>
      <w:r>
        <w:rPr>
          <w:rStyle w:val="18"/>
          <w:rFonts w:hint="eastAsia" w:ascii="仿宋_GB2312" w:eastAsia="仿宋_GB2312" w:cs="仿宋_GB2312"/>
          <w:b w:val="0"/>
          <w:bCs w:val="0"/>
        </w:rPr>
        <w:t>十三、</w:t>
      </w:r>
      <w:r>
        <w:rPr>
          <w:rFonts w:hint="eastAsia" w:ascii="仿宋_GB2312" w:eastAsia="仿宋_GB2312" w:cs="仿宋_GB2312"/>
          <w:b w:val="0"/>
          <w:bCs w:val="0"/>
          <w:color w:val="000000"/>
        </w:rPr>
        <w:t>国</w:t>
      </w:r>
      <w:r>
        <w:rPr>
          <w:rStyle w:val="18"/>
          <w:rFonts w:hint="eastAsia" w:ascii="仿宋_GB2312" w:eastAsia="仿宋_GB2312" w:cs="仿宋_GB2312"/>
          <w:b w:val="0"/>
          <w:bCs w:val="0"/>
        </w:rPr>
        <w:t>有资本经营预算支出决算表</w:t>
      </w:r>
      <w:bookmarkEnd w:id="71"/>
    </w:p>
    <w:p>
      <w:pPr>
        <w:rPr>
          <w:rFonts w:eastAsia="Times New Roman"/>
          <w:b/>
          <w:bCs/>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altName w:val="楷体_GB2312"/>
    <w:panose1 w:val="00000000000000000000"/>
    <w:charset w:val="86"/>
    <w:family w:val="auto"/>
    <w:pitch w:val="default"/>
    <w:sig w:usb0="00000000" w:usb1="00000000" w:usb2="00000010" w:usb3="00000000" w:csb0="00040000" w:csb1="00000000"/>
  </w:font>
  <w:font w:name="方正楷体简体">
    <w:altName w:val="方正楷体_GBK"/>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黑体"/>
    <w:panose1 w:val="00000000000000000000"/>
    <w:charset w:val="86"/>
    <w:family w:val="auto"/>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114300" cy="285045"/>
                      </a:xfrm>
                      <a:prstGeom prst="rect">
                        <a:avLst/>
                      </a:prstGeom>
                      <a:noFill/>
                      <a:ln w="9525" cap="flat" cmpd="sng">
                        <a:noFill/>
                        <a:prstDash val="solid"/>
                        <a:miter/>
                      </a:ln>
                    </wps:spPr>
                    <wps:txbx>
                      <w:txbxContent>
                        <w:p>
                          <w:pPr>
                            <w:pStyle w:val="9"/>
                            <w:jc w:val="center"/>
                          </w:pPr>
                          <w:r>
                            <w:fldChar w:fldCharType="begin"/>
                          </w:r>
                          <w:r>
                            <w:instrText xml:space="preserve">PAGE   \* MERGEFORMAT</w:instrText>
                          </w:r>
                          <w:r>
                            <w:fldChar w:fldCharType="separate"/>
                          </w:r>
                          <w:r>
                            <w:rPr>
                              <w:lang w:val="zh-CN"/>
                            </w:rPr>
                            <w:t>22</w:t>
                          </w:r>
                          <w: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45pt;width:9pt;mso-position-horizontal:center;mso-position-horizontal-relative:margin;mso-wrap-style:none;z-index:251659264;mso-width-relative:page;mso-height-relative:page;" filled="f" stroked="f" coordsize="21600,21600" o:gfxdata="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&#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B8XPOA0QAAAAMBAAAPAAAAAAAAAAEAIAAAADgAAABk&#10;cnMvZG93bnJldi54bWxQSwECFAAUAAAACACHTuJABMG2CPcBAAD1AwAADgAAAAAAAAABACAAAAA2&#10;AQAAZHJzL2Uyb0RvYy54bWxQSwUGAAAAAAYABgBZAQAAnwUAAAAA&#10;">
              <v:fill on="f" focussize="0,0"/>
              <v:stroke on="f" joinstyle="miter"/>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22</w:t>
                    </w:r>
                    <w:r>
                      <w:fldChar w:fldCharType="end"/>
                    </w:r>
                  </w:p>
                  <w:p/>
                </w:txbxContent>
              </v:textbox>
            </v:rect>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0EE6A6"/>
    <w:multiLevelType w:val="singleLevel"/>
    <w:tmpl w:val="D20EE6A6"/>
    <w:lvl w:ilvl="0" w:tentative="0">
      <w:start w:val="4"/>
      <w:numFmt w:val="chineseCounting"/>
      <w:suff w:val="nothing"/>
      <w:lvlText w:val="（%1）"/>
      <w:lvlJc w:val="left"/>
      <w:pPr>
        <w:ind w:left="0" w:firstLine="0"/>
      </w:pPr>
      <w:rPr>
        <w:rFonts w:hint="eastAsia" w:cs="Times New Roman"/>
      </w:rPr>
    </w:lvl>
  </w:abstractNum>
  <w:abstractNum w:abstractNumId="1">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2">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3">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4">
    <w:nsid w:val="52BF56EF"/>
    <w:multiLevelType w:val="singleLevel"/>
    <w:tmpl w:val="52BF56EF"/>
    <w:lvl w:ilvl="0" w:tentative="0">
      <w:start w:val="3"/>
      <w:numFmt w:val="chineseCounting"/>
      <w:suff w:val="nothing"/>
      <w:lvlText w:val="（%1）"/>
      <w:lvlJc w:val="left"/>
      <w:pPr>
        <w:ind w:left="0" w:firstLine="0"/>
      </w:pPr>
      <w:rPr>
        <w:rFonts w:hint="eastAsia" w:cs="Times New Roman"/>
      </w:rPr>
    </w:lvl>
  </w:abstractNum>
  <w:abstractNum w:abstractNumId="5">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E0CB9F"/>
    <w:rsid w:val="6F8E42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spacing w:before="30" w:beforeLines="30"/>
    </w:pPr>
    <w:rPr>
      <w:rFonts w:ascii="仿宋_GB2312" w:eastAsia="仿宋_GB2312"/>
      <w:kern w:val="0"/>
      <w:sz w:val="24"/>
      <w:szCs w:val="24"/>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0"/>
    <w:pPr>
      <w:tabs>
        <w:tab w:val="right" w:leader="dot" w:pos="8296"/>
      </w:tabs>
      <w:spacing w:before="93"/>
      <w:jc w:val="center"/>
    </w:pPr>
    <w:rPr>
      <w:rFonts w:ascii="??" w:hAnsi="??" w:cs="??"/>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rFonts w:cs="Times New Roman"/>
      <w:b/>
      <w:bCs/>
    </w:rPr>
  </w:style>
  <w:style w:type="character" w:styleId="16">
    <w:name w:val="Hyperlink"/>
    <w:basedOn w:val="14"/>
    <w:qFormat/>
    <w:uiPriority w:val="0"/>
    <w:rPr>
      <w:rFonts w:cs="Times New Roman"/>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Cambria"/>
      <w:b/>
      <w:bCs/>
      <w:kern w:val="2"/>
      <w:sz w:val="32"/>
      <w:szCs w:val="32"/>
      <w:lang w:val="en-US" w:eastAsia="zh-CN" w:bidi="ar-SA"/>
    </w:rPr>
  </w:style>
  <w:style w:type="paragraph" w:customStyle="1" w:styleId="19">
    <w:name w:val="Default"/>
    <w:qFormat/>
    <w:uiPriority w:val="0"/>
    <w:pPr>
      <w:widowControl w:val="0"/>
      <w:autoSpaceDE w:val="0"/>
      <w:autoSpaceDN w:val="0"/>
      <w:adjustRightInd w:val="0"/>
    </w:pPr>
    <w:rPr>
      <w:rFonts w:ascii="??" w:hAnsi="??" w:eastAsia="Times New Roman" w:cs="??"/>
      <w:color w:val="000000"/>
      <w:kern w:val="0"/>
      <w:sz w:val="24"/>
      <w:szCs w:val="24"/>
      <w:lang w:val="en-US" w:eastAsia="zh-CN" w:bidi="ar-SA"/>
    </w:rPr>
  </w:style>
  <w:style w:type="paragraph" w:styleId="20">
    <w:name w:val="List Paragraph"/>
    <w:basedOn w:val="1"/>
    <w:qFormat/>
    <w:uiPriority w:val="0"/>
    <w:pPr>
      <w:ind w:firstLine="200" w:firstLineChars="200"/>
    </w:pPr>
  </w:style>
  <w:style w:type="paragraph" w:customStyle="1" w:styleId="21">
    <w:name w:val="TOC Heading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emf"/><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8092</Words>
  <Characters>8536</Characters>
  <Lines>588</Lines>
  <Paragraphs>223</Paragraphs>
  <TotalTime>110</TotalTime>
  <ScaleCrop>false</ScaleCrop>
  <LinksUpToDate>false</LinksUpToDate>
  <CharactersWithSpaces>8597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2020-09-22T11:04:00Z</cp:lastPrinted>
  <dcterms:modified xsi:type="dcterms:W3CDTF">2026-06-01T09:47:12Z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