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方正小标宋简体" w:eastAsia="方正小标宋简体"/>
          <w:b/>
          <w:bCs/>
          <w:color w:val="000000"/>
          <w:sz w:val="44"/>
          <w:szCs w:val="44"/>
        </w:rPr>
      </w:pPr>
      <w:bookmarkStart w:id="1" w:name="_Toc15377425"/>
      <w:bookmarkStart w:id="2" w:name="_Toc15378441"/>
      <w:bookmarkStart w:id="3" w:name="_Toc15377193"/>
      <w:bookmarkStart w:id="4" w:name="_Toc15396475"/>
      <w:bookmarkStart w:id="5" w:name="_Toc15396597"/>
      <w:r>
        <w:rPr>
          <w:rFonts w:hint="eastAsia" w:ascii="方正小标宋简体" w:hAnsi="方正小标宋简体" w:eastAsia="方正小标宋简体" w:cs="方正小标宋简体"/>
          <w:b/>
          <w:bCs/>
          <w:color w:val="000000"/>
          <w:sz w:val="44"/>
          <w:szCs w:val="44"/>
        </w:rPr>
        <w:t>2020年度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s="方正小标宋简体"/>
          <w:b/>
          <w:bCs/>
          <w:color w:val="000000"/>
          <w:sz w:val="44"/>
          <w:szCs w:val="44"/>
        </w:rPr>
      </w:pPr>
      <w:bookmarkStart w:id="6" w:name="_Toc15396476"/>
      <w:bookmarkStart w:id="7" w:name="_Toc15378442"/>
      <w:bookmarkStart w:id="8" w:name="_Toc15377426"/>
      <w:bookmarkStart w:id="9" w:name="_Toc15377194"/>
      <w:bookmarkStart w:id="10" w:name="_Toc15396598"/>
      <w:r>
        <w:rPr>
          <w:rFonts w:hint="eastAsia" w:ascii="方正小标宋简体" w:hAnsi="宋体" w:eastAsia="方正小标宋简体" w:cs="方正小标宋简体"/>
          <w:b/>
          <w:bCs/>
          <w:color w:val="000000"/>
          <w:sz w:val="44"/>
          <w:szCs w:val="44"/>
        </w:rPr>
        <w:t>四川</w:t>
      </w:r>
      <w:bookmarkEnd w:id="0"/>
      <w:bookmarkStart w:id="11" w:name="_Toc15306268"/>
      <w:r>
        <w:rPr>
          <w:rFonts w:hint="eastAsia" w:ascii="方正小标宋简体" w:hAnsi="宋体" w:eastAsia="方正小标宋简体" w:cs="方正小标宋简体"/>
          <w:b/>
          <w:bCs/>
          <w:color w:val="000000"/>
          <w:sz w:val="44"/>
          <w:szCs w:val="44"/>
        </w:rPr>
        <w:t>省阿坝州茂县县委党校部门决算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s="方正小标宋简体"/>
          <w:b/>
          <w:bCs/>
          <w:color w:val="000000"/>
          <w:sz w:val="44"/>
          <w:szCs w:val="44"/>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bookmarkStart w:id="100" w:name="_GoBack"/>
      <w:bookmarkEnd w:id="100"/>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ind w:left="480" w:hanging="480" w:hangingChars="150"/>
        <w:outlineLvl w:val="0"/>
        <w:rPr>
          <w:rFonts w:ascii="黑体" w:hAnsi="黑体" w:eastAsia="黑体"/>
          <w:b/>
          <w:bCs/>
          <w:color w:val="000000"/>
          <w:sz w:val="44"/>
          <w:szCs w:val="44"/>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br w:type="page"/>
      </w:r>
      <w:r>
        <w:rPr>
          <w:rFonts w:hint="eastAsia" w:ascii="方正小标宋简体" w:hAnsi="方正小标宋简体" w:eastAsia="方正小标宋简体" w:cs="方正小标宋简体"/>
          <w:b/>
          <w:bCs/>
          <w:color w:val="000000"/>
          <w:sz w:val="44"/>
          <w:szCs w:val="44"/>
        </w:rPr>
        <w:t xml:space="preserve">              目录</w:t>
      </w:r>
    </w:p>
    <w:p>
      <w:pPr>
        <w:widowControl/>
        <w:jc w:val="center"/>
        <w:rPr>
          <w:rFonts w:asciiTheme="minorEastAsia" w:hAnsiTheme="minorEastAsia" w:eastAsiaTheme="minorEastAsia"/>
          <w:color w:val="000000"/>
          <w:sz w:val="28"/>
          <w:szCs w:val="28"/>
        </w:rPr>
      </w:pPr>
      <w:r>
        <w:rPr>
          <w:rFonts w:cs="黑体" w:asciiTheme="minorEastAsia" w:hAnsiTheme="minorEastAsia" w:eastAsiaTheme="minorEastAsia"/>
          <w:color w:val="000000"/>
          <w:sz w:val="28"/>
          <w:szCs w:val="28"/>
        </w:rPr>
        <w:fldChar w:fldCharType="begin"/>
      </w:r>
      <w:r>
        <w:rPr>
          <w:rFonts w:cs="黑体" w:asciiTheme="minorEastAsia" w:hAnsiTheme="minorEastAsia" w:eastAsiaTheme="minorEastAsia"/>
          <w:color w:val="000000"/>
          <w:sz w:val="28"/>
          <w:szCs w:val="28"/>
        </w:rPr>
        <w:instrText xml:space="preserve"> TOC \o "1-2" \h \z \u </w:instrText>
      </w:r>
      <w:r>
        <w:rPr>
          <w:rFonts w:cs="黑体" w:asciiTheme="minorEastAsia" w:hAnsiTheme="minorEastAsia" w:eastAsiaTheme="minorEastAsia"/>
          <w:color w:val="000000"/>
          <w:sz w:val="28"/>
          <w:szCs w:val="28"/>
        </w:rPr>
        <w:fldChar w:fldCharType="separate"/>
      </w:r>
      <w:r>
        <w:rPr>
          <w:rFonts w:hint="eastAsia" w:asciiTheme="minorEastAsia" w:hAnsiTheme="minorEastAsia" w:eastAsiaTheme="minorEastAsia"/>
          <w:sz w:val="28"/>
          <w:szCs w:val="28"/>
        </w:rPr>
        <w:t>公开时间：2021年9月27日</w:t>
      </w:r>
    </w:p>
    <w:p>
      <w:pPr>
        <w:pStyle w:val="11"/>
        <w:rPr>
          <w:rFonts w:asciiTheme="minorEastAsia" w:hAnsiTheme="minorEastAsia" w:eastAsiaTheme="minorEastAsia"/>
          <w:b/>
          <w:bCs/>
          <w:caps/>
          <w:smallCaps/>
        </w:rPr>
      </w:pPr>
      <w:r>
        <w:rPr>
          <w:rFonts w:asciiTheme="minorEastAsia" w:hAnsiTheme="minorEastAsia" w:eastAsiaTheme="minorEastAsia"/>
          <w:b/>
          <w:bCs/>
          <w:caps/>
          <w:smallCaps/>
        </w:rPr>
        <w:fldChar w:fldCharType="begin"/>
      </w:r>
      <w:r>
        <w:rPr>
          <w:rFonts w:asciiTheme="minorEastAsia" w:hAnsiTheme="minorEastAsia" w:eastAsiaTheme="minorEastAsia"/>
          <w:smallCaps/>
        </w:rPr>
        <w:instrText xml:space="preserve"> TOC \o \u </w:instrText>
      </w:r>
      <w:r>
        <w:rPr>
          <w:rFonts w:asciiTheme="minorEastAsia" w:hAnsiTheme="minorEastAsia" w:eastAsiaTheme="minorEastAsia"/>
          <w:b/>
          <w:bCs/>
          <w:caps/>
          <w:smallCaps/>
        </w:rPr>
        <w:fldChar w:fldCharType="separate"/>
      </w:r>
      <w:r>
        <w:rPr>
          <w:rFonts w:asciiTheme="minorEastAsia" w:hAnsiTheme="minorEastAsia" w:eastAsiaTheme="minorEastAsia"/>
          <w:smallCaps/>
        </w:rPr>
        <w:t>第一部分 部门概况</w:t>
      </w:r>
      <w:r>
        <w:rPr>
          <w:rFonts w:asciiTheme="minorEastAsia" w:hAnsiTheme="minorEastAsia" w:eastAsiaTheme="minorEastAsia"/>
          <w:smallCaps/>
        </w:rPr>
        <w:tab/>
      </w:r>
      <w:r>
        <w:rPr>
          <w:rFonts w:hint="eastAsia" w:asciiTheme="minorEastAsia" w:hAnsiTheme="minorEastAsia" w:eastAsiaTheme="minorEastAsia"/>
          <w:bCs/>
          <w:caps/>
          <w:smallCaps/>
        </w:rPr>
        <w:t>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一、基本职能及主要工作</w:t>
      </w:r>
      <w:r>
        <w:rPr>
          <w:rFonts w:asciiTheme="minorEastAsia" w:hAnsiTheme="minorEastAsia" w:eastAsiaTheme="minorEastAsia"/>
          <w:sz w:val="28"/>
          <w:szCs w:val="28"/>
        </w:rPr>
        <w:tab/>
      </w:r>
      <w:r>
        <w:rPr>
          <w:rFonts w:hint="eastAsia" w:asciiTheme="minorEastAsia" w:hAnsiTheme="minorEastAsia" w:eastAsiaTheme="minorEastAsia"/>
          <w:sz w:val="28"/>
          <w:szCs w:val="28"/>
        </w:rPr>
        <w:t>5</w:t>
      </w:r>
    </w:p>
    <w:p>
      <w:pPr>
        <w:pStyle w:val="7"/>
        <w:ind w:left="0" w:leftChars="0" w:firstLine="280" w:firstLineChars="100"/>
        <w:rPr>
          <w:rFonts w:asciiTheme="minorEastAsia" w:hAnsiTheme="minorEastAsia" w:eastAsiaTheme="minorEastAsia"/>
          <w:i/>
          <w:iCs/>
          <w:smallCaps/>
          <w:sz w:val="28"/>
          <w:szCs w:val="28"/>
        </w:rPr>
      </w:pPr>
      <w:r>
        <w:rPr>
          <w:rFonts w:asciiTheme="minorEastAsia" w:hAnsiTheme="minorEastAsia" w:eastAsiaTheme="minorEastAsia"/>
          <w:smallCaps/>
          <w:sz w:val="28"/>
          <w:szCs w:val="28"/>
        </w:rPr>
        <w:t>（一）主要职能</w:t>
      </w:r>
      <w:r>
        <w:rPr>
          <w:rFonts w:asciiTheme="minorEastAsia" w:hAnsiTheme="minorEastAsia" w:eastAsiaTheme="minorEastAsia"/>
          <w:smallCaps/>
          <w:sz w:val="28"/>
          <w:szCs w:val="28"/>
        </w:rPr>
        <w:tab/>
      </w:r>
      <w:r>
        <w:rPr>
          <w:rFonts w:hint="eastAsia" w:asciiTheme="minorEastAsia" w:hAnsiTheme="minorEastAsia" w:eastAsiaTheme="minorEastAsia"/>
          <w:i/>
          <w:iCs/>
          <w:smallCaps/>
          <w:sz w:val="28"/>
          <w:szCs w:val="28"/>
        </w:rPr>
        <w:t>5</w:t>
      </w:r>
    </w:p>
    <w:p>
      <w:pPr>
        <w:pStyle w:val="7"/>
        <w:ind w:left="0" w:leftChars="0" w:firstLine="280" w:firstLineChars="100"/>
        <w:rPr>
          <w:rFonts w:asciiTheme="minorEastAsia" w:hAnsiTheme="minorEastAsia" w:eastAsiaTheme="minorEastAsia"/>
          <w:i/>
          <w:iCs/>
          <w:smallCaps/>
          <w:sz w:val="28"/>
          <w:szCs w:val="28"/>
        </w:rPr>
      </w:pPr>
      <w:r>
        <w:rPr>
          <w:rFonts w:asciiTheme="minorEastAsia" w:hAnsiTheme="minorEastAsia" w:eastAsiaTheme="minorEastAsia"/>
          <w:smallCaps/>
          <w:sz w:val="28"/>
          <w:szCs w:val="28"/>
        </w:rPr>
        <w:t>（二）2020年重点工作完成情况</w:t>
      </w:r>
      <w:r>
        <w:rPr>
          <w:rFonts w:asciiTheme="minorEastAsia" w:hAnsiTheme="minorEastAsia" w:eastAsiaTheme="minorEastAsia"/>
          <w:smallCaps/>
          <w:sz w:val="28"/>
          <w:szCs w:val="28"/>
        </w:rPr>
        <w:tab/>
      </w:r>
      <w:r>
        <w:rPr>
          <w:rFonts w:hint="eastAsia" w:asciiTheme="minorEastAsia" w:hAnsiTheme="minorEastAsia" w:eastAsiaTheme="minorEastAsia"/>
          <w:i/>
          <w:iCs/>
          <w:smallCaps/>
          <w:sz w:val="28"/>
          <w:szCs w:val="28"/>
        </w:rPr>
        <w:t>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二、机构设置</w:t>
      </w:r>
      <w:r>
        <w:rPr>
          <w:rFonts w:asciiTheme="minorEastAsia" w:hAnsiTheme="minorEastAsia" w:eastAsiaTheme="minorEastAsia"/>
          <w:sz w:val="28"/>
          <w:szCs w:val="28"/>
        </w:rPr>
        <w:tab/>
      </w:r>
      <w:r>
        <w:rPr>
          <w:rFonts w:hint="eastAsia" w:asciiTheme="minorEastAsia" w:hAnsiTheme="minorEastAsia" w:eastAsiaTheme="minorEastAsia"/>
          <w:sz w:val="28"/>
          <w:szCs w:val="28"/>
        </w:rPr>
        <w:t>7</w:t>
      </w:r>
    </w:p>
    <w:p>
      <w:pPr>
        <w:pStyle w:val="11"/>
        <w:jc w:val="both"/>
        <w:rPr>
          <w:rFonts w:asciiTheme="minorEastAsia" w:hAnsiTheme="minorEastAsia" w:eastAsiaTheme="minorEastAsia"/>
          <w:caps/>
          <w:smallCaps/>
        </w:rPr>
      </w:pPr>
      <w:r>
        <w:rPr>
          <w:rFonts w:asciiTheme="minorEastAsia" w:hAnsiTheme="minorEastAsia" w:eastAsiaTheme="minorEastAsia"/>
          <w:smallCaps/>
        </w:rPr>
        <w:t>第二部分 2020年度部门决算情况说明</w:t>
      </w:r>
      <w:r>
        <w:rPr>
          <w:rFonts w:asciiTheme="minorEastAsia" w:hAnsiTheme="minorEastAsia" w:eastAsiaTheme="minorEastAsia"/>
          <w:smallCaps/>
        </w:rPr>
        <w:tab/>
      </w:r>
      <w:r>
        <w:rPr>
          <w:rFonts w:hint="eastAsia" w:asciiTheme="minorEastAsia" w:hAnsiTheme="minorEastAsia" w:eastAsiaTheme="minorEastAsia"/>
          <w:caps/>
          <w:smallCaps/>
        </w:rPr>
        <w:t>8</w:t>
      </w:r>
    </w:p>
    <w:p>
      <w:pPr>
        <w:pStyle w:val="12"/>
        <w:tabs>
          <w:tab w:val="left" w:pos="840"/>
        </w:tabs>
        <w:rPr>
          <w:rFonts w:asciiTheme="minorEastAsia" w:hAnsiTheme="minorEastAsia" w:eastAsiaTheme="minorEastAsia"/>
          <w:sz w:val="28"/>
          <w:szCs w:val="28"/>
        </w:rPr>
      </w:pPr>
      <w:r>
        <w:rPr>
          <w:rFonts w:asciiTheme="minorEastAsia" w:hAnsiTheme="minorEastAsia" w:eastAsiaTheme="minorEastAsia"/>
          <w:sz w:val="28"/>
          <w:szCs w:val="28"/>
        </w:rPr>
        <w:t>一、收入支出决算总体情况说明</w:t>
      </w:r>
      <w:r>
        <w:rPr>
          <w:rFonts w:asciiTheme="minorEastAsia" w:hAnsiTheme="minorEastAsia" w:eastAsiaTheme="minorEastAsia"/>
          <w:sz w:val="28"/>
          <w:szCs w:val="28"/>
        </w:rPr>
        <w:tab/>
      </w:r>
      <w:r>
        <w:rPr>
          <w:rFonts w:hint="eastAsia" w:asciiTheme="minorEastAsia" w:hAnsiTheme="minorEastAsia" w:eastAsiaTheme="minorEastAsia"/>
          <w:sz w:val="28"/>
          <w:szCs w:val="28"/>
        </w:rPr>
        <w:t>8</w:t>
      </w:r>
    </w:p>
    <w:p>
      <w:pPr>
        <w:pStyle w:val="12"/>
        <w:tabs>
          <w:tab w:val="left" w:pos="840"/>
        </w:tabs>
        <w:rPr>
          <w:rFonts w:asciiTheme="minorEastAsia" w:hAnsiTheme="minorEastAsia" w:eastAsiaTheme="minorEastAsia"/>
          <w:sz w:val="28"/>
          <w:szCs w:val="28"/>
        </w:rPr>
      </w:pPr>
      <w:r>
        <w:rPr>
          <w:rFonts w:asciiTheme="minorEastAsia" w:hAnsiTheme="minorEastAsia" w:eastAsiaTheme="minorEastAsia"/>
          <w:sz w:val="28"/>
          <w:szCs w:val="28"/>
        </w:rPr>
        <w:t>二、收入决算情况说明</w:t>
      </w:r>
      <w:r>
        <w:rPr>
          <w:rFonts w:asciiTheme="minorEastAsia" w:hAnsiTheme="minorEastAsia" w:eastAsiaTheme="minorEastAsia"/>
          <w:sz w:val="28"/>
          <w:szCs w:val="28"/>
        </w:rPr>
        <w:tab/>
      </w:r>
      <w:r>
        <w:rPr>
          <w:rFonts w:hint="eastAsia" w:asciiTheme="minorEastAsia" w:hAnsiTheme="minorEastAsia" w:eastAsiaTheme="minorEastAsia"/>
          <w:sz w:val="28"/>
          <w:szCs w:val="28"/>
        </w:rPr>
        <w:t xml:space="preserve">8    </w:t>
      </w:r>
    </w:p>
    <w:p>
      <w:pPr>
        <w:pStyle w:val="12"/>
        <w:tabs>
          <w:tab w:val="left" w:pos="840"/>
        </w:tabs>
        <w:rPr>
          <w:rFonts w:asciiTheme="minorEastAsia" w:hAnsiTheme="minorEastAsia" w:eastAsiaTheme="minorEastAsia"/>
          <w:sz w:val="28"/>
          <w:szCs w:val="28"/>
        </w:rPr>
      </w:pPr>
      <w:r>
        <w:rPr>
          <w:rFonts w:asciiTheme="minorEastAsia" w:hAnsiTheme="minorEastAsia" w:eastAsiaTheme="minorEastAsia"/>
          <w:sz w:val="28"/>
          <w:szCs w:val="28"/>
        </w:rPr>
        <w:t>三、支出决算情况说明</w:t>
      </w:r>
      <w:r>
        <w:rPr>
          <w:rFonts w:asciiTheme="minorEastAsia" w:hAnsiTheme="minorEastAsia" w:eastAsiaTheme="minorEastAsia"/>
          <w:sz w:val="28"/>
          <w:szCs w:val="28"/>
        </w:rPr>
        <w:tab/>
      </w:r>
      <w:r>
        <w:rPr>
          <w:rFonts w:hint="eastAsia" w:asciiTheme="minorEastAsia" w:hAnsiTheme="minorEastAsia" w:eastAsiaTheme="minorEastAsia"/>
          <w:sz w:val="28"/>
          <w:szCs w:val="28"/>
        </w:rPr>
        <w:t>9</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四、财政拨款收入支出决算总体情况说明</w:t>
      </w:r>
      <w:r>
        <w:rPr>
          <w:rFonts w:asciiTheme="minorEastAsia" w:hAnsiTheme="minorEastAsia" w:eastAsiaTheme="minorEastAsia"/>
          <w:sz w:val="28"/>
          <w:szCs w:val="28"/>
        </w:rPr>
        <w:tab/>
      </w:r>
      <w:r>
        <w:rPr>
          <w:rFonts w:hint="eastAsia" w:asciiTheme="minorEastAsia" w:hAnsiTheme="minorEastAsia" w:eastAsiaTheme="minorEastAsia"/>
          <w:sz w:val="28"/>
          <w:szCs w:val="28"/>
        </w:rPr>
        <w:t>9</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五、一般公共预算财政拨款支出决算情况说明</w:t>
      </w:r>
      <w:r>
        <w:rPr>
          <w:rFonts w:asciiTheme="minorEastAsia" w:hAnsiTheme="minorEastAsia" w:eastAsiaTheme="minorEastAsia"/>
          <w:sz w:val="28"/>
          <w:szCs w:val="28"/>
        </w:rPr>
        <w:tab/>
      </w:r>
      <w:r>
        <w:rPr>
          <w:rFonts w:hint="eastAsia" w:asciiTheme="minorEastAsia" w:hAnsiTheme="minorEastAsia" w:eastAsiaTheme="minorEastAsia"/>
          <w:sz w:val="28"/>
          <w:szCs w:val="28"/>
        </w:rPr>
        <w:t>10</w:t>
      </w:r>
    </w:p>
    <w:p>
      <w:pPr>
        <w:pStyle w:val="7"/>
        <w:ind w:left="0" w:leftChars="0" w:firstLine="280" w:firstLineChars="100"/>
        <w:rPr>
          <w:rFonts w:asciiTheme="minorEastAsia" w:hAnsiTheme="minorEastAsia" w:eastAsiaTheme="minorEastAsia"/>
          <w:i/>
          <w:iCs/>
          <w:smallCaps/>
          <w:sz w:val="28"/>
          <w:szCs w:val="28"/>
        </w:rPr>
      </w:pPr>
      <w:r>
        <w:rPr>
          <w:rFonts w:asciiTheme="minorEastAsia" w:hAnsiTheme="minorEastAsia" w:eastAsiaTheme="minorEastAsia"/>
          <w:smallCaps/>
          <w:sz w:val="28"/>
          <w:szCs w:val="28"/>
        </w:rPr>
        <w:t>（一）一般公共预算财政拨款支出决算总体情况</w:t>
      </w:r>
      <w:r>
        <w:rPr>
          <w:rFonts w:asciiTheme="minorEastAsia" w:hAnsiTheme="minorEastAsia" w:eastAsiaTheme="minorEastAsia"/>
          <w:smallCaps/>
          <w:sz w:val="28"/>
          <w:szCs w:val="28"/>
        </w:rPr>
        <w:tab/>
      </w:r>
      <w:r>
        <w:rPr>
          <w:rFonts w:hint="eastAsia" w:asciiTheme="minorEastAsia" w:hAnsiTheme="minorEastAsia" w:eastAsiaTheme="minorEastAsia"/>
          <w:i/>
          <w:iCs/>
          <w:smallCaps/>
          <w:sz w:val="28"/>
          <w:szCs w:val="28"/>
        </w:rPr>
        <w:t>10</w:t>
      </w:r>
    </w:p>
    <w:p>
      <w:pPr>
        <w:pStyle w:val="7"/>
        <w:ind w:left="0" w:leftChars="0" w:firstLine="280" w:firstLineChars="100"/>
        <w:rPr>
          <w:rFonts w:asciiTheme="minorEastAsia" w:hAnsiTheme="minorEastAsia" w:eastAsiaTheme="minorEastAsia"/>
          <w:i/>
          <w:iCs/>
          <w:smallCaps/>
          <w:sz w:val="28"/>
          <w:szCs w:val="28"/>
        </w:rPr>
      </w:pPr>
      <w:r>
        <w:rPr>
          <w:rFonts w:asciiTheme="minorEastAsia" w:hAnsiTheme="minorEastAsia" w:eastAsiaTheme="minorEastAsia"/>
          <w:smallCaps/>
          <w:sz w:val="28"/>
          <w:szCs w:val="28"/>
        </w:rPr>
        <w:t>（二）一般公共预算财政拨款支出决算结构情况</w:t>
      </w:r>
      <w:r>
        <w:rPr>
          <w:rFonts w:asciiTheme="minorEastAsia" w:hAnsiTheme="minorEastAsia" w:eastAsiaTheme="minorEastAsia"/>
          <w:smallCaps/>
          <w:sz w:val="28"/>
          <w:szCs w:val="28"/>
        </w:rPr>
        <w:tab/>
      </w:r>
      <w:r>
        <w:rPr>
          <w:rFonts w:hint="eastAsia" w:asciiTheme="minorEastAsia" w:hAnsiTheme="minorEastAsia" w:eastAsiaTheme="minorEastAsia"/>
          <w:i/>
          <w:iCs/>
          <w:smallCaps/>
          <w:sz w:val="28"/>
          <w:szCs w:val="28"/>
        </w:rPr>
        <w:t>11</w:t>
      </w:r>
    </w:p>
    <w:p>
      <w:pPr>
        <w:pStyle w:val="7"/>
        <w:ind w:left="0" w:leftChars="0" w:firstLine="280" w:firstLineChars="100"/>
        <w:rPr>
          <w:rFonts w:asciiTheme="minorEastAsia" w:hAnsiTheme="minorEastAsia" w:eastAsiaTheme="minorEastAsia"/>
          <w:i/>
          <w:iCs/>
          <w:smallCaps/>
          <w:sz w:val="28"/>
          <w:szCs w:val="28"/>
        </w:rPr>
      </w:pPr>
      <w:r>
        <w:rPr>
          <w:rFonts w:asciiTheme="minorEastAsia" w:hAnsiTheme="minorEastAsia" w:eastAsiaTheme="minorEastAsia"/>
          <w:smallCaps/>
          <w:sz w:val="28"/>
          <w:szCs w:val="28"/>
        </w:rPr>
        <w:t>（三）一般公共预算财政拨款支出决算具体情况</w:t>
      </w:r>
      <w:r>
        <w:rPr>
          <w:rFonts w:asciiTheme="minorEastAsia" w:hAnsiTheme="minorEastAsia" w:eastAsiaTheme="minorEastAsia"/>
          <w:smallCaps/>
          <w:sz w:val="28"/>
          <w:szCs w:val="28"/>
        </w:rPr>
        <w:tab/>
      </w:r>
      <w:r>
        <w:rPr>
          <w:rFonts w:hint="eastAsia" w:asciiTheme="minorEastAsia" w:hAnsiTheme="minorEastAsia" w:eastAsiaTheme="minorEastAsia"/>
          <w:i/>
          <w:iCs/>
          <w:smallCaps/>
          <w:sz w:val="28"/>
          <w:szCs w:val="28"/>
        </w:rPr>
        <w:t>12</w:t>
      </w:r>
    </w:p>
    <w:p>
      <w:pPr>
        <w:pStyle w:val="12"/>
        <w:ind w:left="0" w:leftChars="0" w:firstLine="280" w:firstLineChars="100"/>
        <w:rPr>
          <w:rFonts w:asciiTheme="minorEastAsia" w:hAnsiTheme="minorEastAsia" w:eastAsiaTheme="minorEastAsia"/>
          <w:sz w:val="28"/>
          <w:szCs w:val="28"/>
        </w:rPr>
      </w:pPr>
      <w:r>
        <w:rPr>
          <w:rFonts w:asciiTheme="minorEastAsia" w:hAnsiTheme="minorEastAsia" w:eastAsiaTheme="minorEastAsia"/>
          <w:sz w:val="28"/>
          <w:szCs w:val="28"/>
        </w:rPr>
        <w:t>六、一般公共预算财政拨款基本支出决算情况说明</w:t>
      </w:r>
      <w:r>
        <w:rPr>
          <w:rFonts w:asciiTheme="minorEastAsia" w:hAnsiTheme="minorEastAsia" w:eastAsiaTheme="minorEastAsia"/>
          <w:sz w:val="28"/>
          <w:szCs w:val="28"/>
        </w:rPr>
        <w:tab/>
      </w:r>
      <w:r>
        <w:rPr>
          <w:rFonts w:hint="eastAsia" w:asciiTheme="minorEastAsia" w:hAnsiTheme="minorEastAsia" w:eastAsiaTheme="minorEastAsia"/>
          <w:sz w:val="28"/>
          <w:szCs w:val="28"/>
        </w:rPr>
        <w:t>12</w:t>
      </w:r>
    </w:p>
    <w:p>
      <w:pPr>
        <w:pStyle w:val="12"/>
        <w:ind w:left="0" w:leftChars="0" w:firstLine="280" w:firstLineChars="100"/>
        <w:rPr>
          <w:rFonts w:asciiTheme="minorEastAsia" w:hAnsiTheme="minorEastAsia" w:eastAsiaTheme="minorEastAsia"/>
          <w:sz w:val="28"/>
          <w:szCs w:val="28"/>
        </w:rPr>
      </w:pPr>
      <w:r>
        <w:rPr>
          <w:rFonts w:asciiTheme="minorEastAsia" w:hAnsiTheme="minorEastAsia" w:eastAsiaTheme="minorEastAsia"/>
          <w:sz w:val="28"/>
          <w:szCs w:val="28"/>
        </w:rPr>
        <w:t>七、“三公”经费财政拨款支出决算情况说明</w:t>
      </w:r>
      <w:r>
        <w:rPr>
          <w:rFonts w:asciiTheme="minorEastAsia" w:hAnsiTheme="minorEastAsia" w:eastAsiaTheme="minorEastAsia"/>
          <w:sz w:val="28"/>
          <w:szCs w:val="28"/>
        </w:rPr>
        <w:tab/>
      </w:r>
      <w:r>
        <w:rPr>
          <w:rFonts w:hint="eastAsia" w:asciiTheme="minorEastAsia" w:hAnsiTheme="minorEastAsia" w:eastAsiaTheme="minorEastAsia"/>
          <w:sz w:val="28"/>
          <w:szCs w:val="28"/>
        </w:rPr>
        <w:t>13</w:t>
      </w:r>
    </w:p>
    <w:p>
      <w:pPr>
        <w:pStyle w:val="7"/>
        <w:ind w:left="0" w:leftChars="0" w:firstLine="280" w:firstLineChars="100"/>
        <w:rPr>
          <w:rFonts w:asciiTheme="minorEastAsia" w:hAnsiTheme="minorEastAsia" w:eastAsiaTheme="minorEastAsia"/>
          <w:i/>
          <w:iCs/>
          <w:smallCaps/>
          <w:sz w:val="28"/>
          <w:szCs w:val="28"/>
        </w:rPr>
      </w:pPr>
      <w:r>
        <w:rPr>
          <w:rFonts w:asciiTheme="minorEastAsia" w:hAnsiTheme="minorEastAsia" w:eastAsiaTheme="minorEastAsia"/>
          <w:smallCaps/>
          <w:sz w:val="28"/>
          <w:szCs w:val="28"/>
        </w:rPr>
        <w:t>（一）“三公”经费财政拨款支出决算总体情况说明</w:t>
      </w:r>
      <w:r>
        <w:rPr>
          <w:rFonts w:asciiTheme="minorEastAsia" w:hAnsiTheme="minorEastAsia" w:eastAsiaTheme="minorEastAsia"/>
          <w:sz w:val="28"/>
          <w:szCs w:val="28"/>
        </w:rPr>
        <w:tab/>
      </w:r>
      <w:r>
        <w:rPr>
          <w:rFonts w:hint="eastAsia" w:asciiTheme="minorEastAsia" w:hAnsiTheme="minorEastAsia" w:eastAsiaTheme="minorEastAsia"/>
          <w:sz w:val="28"/>
          <w:szCs w:val="28"/>
        </w:rPr>
        <w:t>13</w:t>
      </w:r>
    </w:p>
    <w:p>
      <w:pPr>
        <w:pStyle w:val="7"/>
        <w:ind w:left="0" w:leftChars="0" w:firstLine="280" w:firstLineChars="100"/>
        <w:rPr>
          <w:rFonts w:asciiTheme="minorEastAsia" w:hAnsiTheme="minorEastAsia" w:eastAsiaTheme="minorEastAsia"/>
          <w:i/>
          <w:iCs/>
          <w:smallCaps/>
          <w:sz w:val="28"/>
          <w:szCs w:val="28"/>
        </w:rPr>
      </w:pPr>
      <w:r>
        <w:rPr>
          <w:rFonts w:asciiTheme="minorEastAsia" w:hAnsiTheme="minorEastAsia" w:eastAsiaTheme="minorEastAsia"/>
          <w:smallCaps/>
          <w:sz w:val="28"/>
          <w:szCs w:val="28"/>
        </w:rPr>
        <w:t>（二）“三公”经费财政拨款支出决算具体情况说明</w:t>
      </w:r>
      <w:r>
        <w:rPr>
          <w:rFonts w:asciiTheme="minorEastAsia" w:hAnsiTheme="minorEastAsia" w:eastAsiaTheme="minorEastAsia"/>
          <w:smallCaps/>
          <w:sz w:val="28"/>
          <w:szCs w:val="28"/>
        </w:rPr>
        <w:tab/>
      </w:r>
      <w:r>
        <w:rPr>
          <w:rFonts w:hint="eastAsia" w:asciiTheme="minorEastAsia" w:hAnsiTheme="minorEastAsia" w:eastAsiaTheme="minorEastAsia"/>
          <w:i/>
          <w:iCs/>
          <w:smallCaps/>
          <w:sz w:val="28"/>
          <w:szCs w:val="28"/>
        </w:rPr>
        <w:t>13</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八、政府性基金预算支出决算情况说明</w:t>
      </w:r>
      <w:r>
        <w:rPr>
          <w:rFonts w:asciiTheme="minorEastAsia" w:hAnsiTheme="minorEastAsia" w:eastAsiaTheme="minorEastAsia"/>
          <w:sz w:val="28"/>
          <w:szCs w:val="28"/>
        </w:rPr>
        <w:tab/>
      </w:r>
      <w:r>
        <w:rPr>
          <w:rFonts w:hint="eastAsia" w:asciiTheme="minorEastAsia" w:hAnsiTheme="minorEastAsia" w:eastAsiaTheme="minorEastAsia"/>
          <w:sz w:val="28"/>
          <w:szCs w:val="28"/>
        </w:rPr>
        <w:t>14</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九、 国有资本经营预算支出决算情况说明</w:t>
      </w:r>
      <w:r>
        <w:rPr>
          <w:rFonts w:asciiTheme="minorEastAsia" w:hAnsiTheme="minorEastAsia" w:eastAsiaTheme="minorEastAsia"/>
          <w:sz w:val="28"/>
          <w:szCs w:val="28"/>
        </w:rPr>
        <w:tab/>
      </w:r>
      <w:r>
        <w:rPr>
          <w:rFonts w:hint="eastAsia" w:asciiTheme="minorEastAsia" w:hAnsiTheme="minorEastAsia" w:eastAsiaTheme="minorEastAsia"/>
          <w:sz w:val="28"/>
          <w:szCs w:val="28"/>
        </w:rPr>
        <w:t>14</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十、其他重要事项的情况说明</w:t>
      </w:r>
      <w:r>
        <w:rPr>
          <w:rFonts w:asciiTheme="minorEastAsia" w:hAnsiTheme="minorEastAsia" w:eastAsiaTheme="minorEastAsia"/>
          <w:sz w:val="28"/>
          <w:szCs w:val="28"/>
        </w:rPr>
        <w:tab/>
      </w:r>
      <w:r>
        <w:rPr>
          <w:rFonts w:hint="eastAsia" w:asciiTheme="minorEastAsia" w:hAnsiTheme="minorEastAsia" w:eastAsiaTheme="minorEastAsia"/>
          <w:sz w:val="28"/>
          <w:szCs w:val="28"/>
        </w:rPr>
        <w:t>14</w:t>
      </w:r>
    </w:p>
    <w:p>
      <w:pPr>
        <w:pStyle w:val="7"/>
        <w:rPr>
          <w:rFonts w:asciiTheme="minorEastAsia" w:hAnsiTheme="minorEastAsia" w:eastAsiaTheme="minorEastAsia"/>
          <w:i/>
          <w:iCs/>
          <w:smallCaps/>
          <w:sz w:val="28"/>
          <w:szCs w:val="28"/>
        </w:rPr>
      </w:pPr>
      <w:r>
        <w:rPr>
          <w:rFonts w:asciiTheme="minorEastAsia" w:hAnsiTheme="minorEastAsia" w:eastAsiaTheme="minorEastAsia"/>
          <w:smallCaps/>
          <w:sz w:val="28"/>
          <w:szCs w:val="28"/>
        </w:rPr>
        <w:t>（一）机关运行经费支出情况</w:t>
      </w:r>
      <w:r>
        <w:rPr>
          <w:rFonts w:asciiTheme="minorEastAsia" w:hAnsiTheme="minorEastAsia" w:eastAsiaTheme="minorEastAsia"/>
          <w:smallCaps/>
          <w:sz w:val="28"/>
          <w:szCs w:val="28"/>
        </w:rPr>
        <w:tab/>
      </w:r>
      <w:r>
        <w:rPr>
          <w:rFonts w:hint="eastAsia" w:asciiTheme="minorEastAsia" w:hAnsiTheme="minorEastAsia" w:eastAsiaTheme="minorEastAsia"/>
          <w:i/>
          <w:iCs/>
          <w:smallCaps/>
          <w:sz w:val="28"/>
          <w:szCs w:val="28"/>
        </w:rPr>
        <w:t>14</w:t>
      </w:r>
    </w:p>
    <w:p>
      <w:pPr>
        <w:pStyle w:val="7"/>
        <w:rPr>
          <w:rFonts w:asciiTheme="minorEastAsia" w:hAnsiTheme="minorEastAsia" w:eastAsiaTheme="minorEastAsia"/>
          <w:i/>
          <w:iCs/>
          <w:smallCaps/>
          <w:sz w:val="28"/>
          <w:szCs w:val="28"/>
        </w:rPr>
      </w:pPr>
      <w:r>
        <w:rPr>
          <w:rFonts w:asciiTheme="minorEastAsia" w:hAnsiTheme="minorEastAsia" w:eastAsiaTheme="minorEastAsia"/>
          <w:smallCaps/>
          <w:sz w:val="28"/>
          <w:szCs w:val="28"/>
        </w:rPr>
        <w:t>（二）政府采购支出情况</w:t>
      </w:r>
      <w:r>
        <w:rPr>
          <w:rFonts w:asciiTheme="minorEastAsia" w:hAnsiTheme="minorEastAsia" w:eastAsiaTheme="minorEastAsia"/>
          <w:smallCaps/>
          <w:sz w:val="28"/>
          <w:szCs w:val="28"/>
        </w:rPr>
        <w:tab/>
      </w:r>
      <w:r>
        <w:rPr>
          <w:rFonts w:hint="eastAsia" w:asciiTheme="minorEastAsia" w:hAnsiTheme="minorEastAsia" w:eastAsiaTheme="minorEastAsia"/>
          <w:i/>
          <w:iCs/>
          <w:smallCaps/>
          <w:sz w:val="28"/>
          <w:szCs w:val="28"/>
        </w:rPr>
        <w:t>15</w:t>
      </w:r>
    </w:p>
    <w:p>
      <w:pPr>
        <w:pStyle w:val="7"/>
        <w:rPr>
          <w:rFonts w:asciiTheme="minorEastAsia" w:hAnsiTheme="minorEastAsia" w:eastAsiaTheme="minorEastAsia"/>
          <w:i/>
          <w:iCs/>
          <w:smallCaps/>
          <w:sz w:val="28"/>
          <w:szCs w:val="28"/>
        </w:rPr>
      </w:pPr>
      <w:r>
        <w:rPr>
          <w:rFonts w:asciiTheme="minorEastAsia" w:hAnsiTheme="minorEastAsia" w:eastAsiaTheme="minorEastAsia"/>
          <w:smallCaps/>
          <w:sz w:val="28"/>
          <w:szCs w:val="28"/>
        </w:rPr>
        <w:t>（三）国有资产占有使用情况</w:t>
      </w:r>
      <w:r>
        <w:rPr>
          <w:rFonts w:asciiTheme="minorEastAsia" w:hAnsiTheme="minorEastAsia" w:eastAsiaTheme="minorEastAsia"/>
          <w:smallCaps/>
          <w:sz w:val="28"/>
          <w:szCs w:val="28"/>
        </w:rPr>
        <w:tab/>
      </w:r>
      <w:r>
        <w:rPr>
          <w:rFonts w:hint="eastAsia" w:asciiTheme="minorEastAsia" w:hAnsiTheme="minorEastAsia" w:eastAsiaTheme="minorEastAsia"/>
          <w:i/>
          <w:iCs/>
          <w:smallCaps/>
          <w:sz w:val="28"/>
          <w:szCs w:val="28"/>
        </w:rPr>
        <w:t>15</w:t>
      </w:r>
    </w:p>
    <w:p>
      <w:pPr>
        <w:pStyle w:val="7"/>
        <w:rPr>
          <w:rFonts w:asciiTheme="minorEastAsia" w:hAnsiTheme="minorEastAsia" w:eastAsiaTheme="minorEastAsia"/>
          <w:i/>
          <w:iCs/>
          <w:smallCaps/>
          <w:sz w:val="28"/>
          <w:szCs w:val="28"/>
        </w:rPr>
      </w:pPr>
      <w:r>
        <w:rPr>
          <w:rFonts w:asciiTheme="minorEastAsia" w:hAnsiTheme="minorEastAsia" w:eastAsiaTheme="minorEastAsia"/>
          <w:smallCaps/>
          <w:sz w:val="28"/>
          <w:szCs w:val="28"/>
        </w:rPr>
        <w:t>（四）预算绩效管理情况</w:t>
      </w:r>
      <w:r>
        <w:rPr>
          <w:rFonts w:asciiTheme="minorEastAsia" w:hAnsiTheme="minorEastAsia" w:eastAsiaTheme="minorEastAsia"/>
          <w:smallCaps/>
          <w:sz w:val="28"/>
          <w:szCs w:val="28"/>
        </w:rPr>
        <w:tab/>
      </w:r>
      <w:r>
        <w:rPr>
          <w:rFonts w:hint="eastAsia" w:asciiTheme="minorEastAsia" w:hAnsiTheme="minorEastAsia" w:eastAsiaTheme="minorEastAsia"/>
          <w:i/>
          <w:iCs/>
          <w:smallCaps/>
          <w:sz w:val="28"/>
          <w:szCs w:val="28"/>
        </w:rPr>
        <w:t>15</w:t>
      </w:r>
    </w:p>
    <w:p>
      <w:pPr>
        <w:pStyle w:val="11"/>
        <w:rPr>
          <w:rFonts w:asciiTheme="minorEastAsia" w:hAnsiTheme="minorEastAsia" w:eastAsiaTheme="minorEastAsia"/>
          <w:caps/>
          <w:smallCaps/>
        </w:rPr>
      </w:pPr>
      <w:r>
        <w:rPr>
          <w:rFonts w:asciiTheme="minorEastAsia" w:hAnsiTheme="minorEastAsia" w:eastAsiaTheme="minorEastAsia"/>
          <w:smallCaps/>
        </w:rPr>
        <w:t>第三部分 名词解释</w:t>
      </w:r>
      <w:r>
        <w:rPr>
          <w:rFonts w:asciiTheme="minorEastAsia" w:hAnsiTheme="minorEastAsia" w:eastAsiaTheme="minorEastAsia"/>
          <w:smallCaps/>
        </w:rPr>
        <w:tab/>
      </w:r>
      <w:r>
        <w:rPr>
          <w:rFonts w:hint="eastAsia" w:asciiTheme="minorEastAsia" w:hAnsiTheme="minorEastAsia" w:eastAsiaTheme="minorEastAsia"/>
          <w:caps/>
          <w:smallCaps/>
        </w:rPr>
        <w:t>18</w:t>
      </w:r>
    </w:p>
    <w:p>
      <w:pPr>
        <w:pStyle w:val="11"/>
        <w:rPr>
          <w:rFonts w:asciiTheme="minorEastAsia" w:hAnsiTheme="minorEastAsia" w:eastAsiaTheme="minorEastAsia"/>
          <w:caps/>
          <w:smallCaps/>
        </w:rPr>
      </w:pPr>
      <w:r>
        <w:rPr>
          <w:rFonts w:asciiTheme="minorEastAsia" w:hAnsiTheme="minorEastAsia" w:eastAsiaTheme="minorEastAsia"/>
          <w:smallCaps/>
        </w:rPr>
        <w:t>第四部分 附件</w:t>
      </w:r>
      <w:r>
        <w:rPr>
          <w:rFonts w:asciiTheme="minorEastAsia" w:hAnsiTheme="minorEastAsia" w:eastAsiaTheme="minorEastAsia"/>
          <w:smallCaps/>
        </w:rPr>
        <w:tab/>
      </w:r>
      <w:r>
        <w:rPr>
          <w:rFonts w:hint="eastAsia" w:asciiTheme="minorEastAsia" w:hAnsiTheme="minorEastAsia" w:eastAsiaTheme="minorEastAsia"/>
          <w:caps/>
          <w:smallCaps/>
        </w:rPr>
        <w:t>21</w:t>
      </w:r>
    </w:p>
    <w:p>
      <w:pPr>
        <w:pStyle w:val="11"/>
        <w:rPr>
          <w:rFonts w:asciiTheme="minorEastAsia" w:hAnsiTheme="minorEastAsia" w:eastAsiaTheme="minorEastAsia"/>
          <w:caps/>
          <w:smallCaps/>
        </w:rPr>
      </w:pPr>
      <w:r>
        <w:rPr>
          <w:rFonts w:asciiTheme="minorEastAsia" w:hAnsiTheme="minorEastAsia" w:eastAsiaTheme="minorEastAsia"/>
          <w:smallCaps/>
        </w:rPr>
        <w:t>附件1</w:t>
      </w:r>
      <w:r>
        <w:rPr>
          <w:rFonts w:asciiTheme="minorEastAsia" w:hAnsiTheme="minorEastAsia" w:eastAsiaTheme="minorEastAsia"/>
          <w:smallCaps/>
        </w:rPr>
        <w:tab/>
      </w:r>
      <w:r>
        <w:rPr>
          <w:rFonts w:hint="eastAsia" w:asciiTheme="minorEastAsia" w:hAnsiTheme="minorEastAsia" w:eastAsiaTheme="minorEastAsia"/>
          <w:caps/>
          <w:smallCaps/>
        </w:rPr>
        <w:t>22</w:t>
      </w:r>
    </w:p>
    <w:p>
      <w:pPr>
        <w:pStyle w:val="11"/>
      </w:pPr>
      <w:r>
        <w:rPr>
          <w:rFonts w:hint="eastAsia"/>
        </w:rPr>
        <w:t>茂县县委党校2020年部门整体支出绩效评价报告</w:t>
      </w:r>
      <w:r>
        <w:rPr>
          <w:rFonts w:asciiTheme="minorEastAsia" w:hAnsiTheme="minorEastAsia" w:eastAsiaTheme="minorEastAsia"/>
          <w:smallCaps/>
        </w:rPr>
        <w:tab/>
      </w:r>
      <w:r>
        <w:rPr>
          <w:rFonts w:hint="eastAsia" w:asciiTheme="minorEastAsia" w:hAnsiTheme="minorEastAsia" w:eastAsiaTheme="minorEastAsia"/>
          <w:caps/>
          <w:smallCaps/>
        </w:rPr>
        <w:t>22</w:t>
      </w:r>
    </w:p>
    <w:p>
      <w:pPr>
        <w:pStyle w:val="11"/>
        <w:jc w:val="both"/>
        <w:rPr>
          <w:rFonts w:asciiTheme="minorEastAsia" w:hAnsiTheme="minorEastAsia" w:eastAsiaTheme="minorEastAsia"/>
          <w:b w:val="0"/>
          <w:bCs w:val="0"/>
          <w:caps/>
          <w:smallCaps/>
        </w:rPr>
      </w:pPr>
      <w:r>
        <w:rPr>
          <w:rFonts w:asciiTheme="minorEastAsia" w:hAnsiTheme="minorEastAsia" w:eastAsiaTheme="minorEastAsia"/>
          <w:smallCaps/>
        </w:rPr>
        <w:t>第五部分 附表</w:t>
      </w:r>
      <w:r>
        <w:rPr>
          <w:rFonts w:asciiTheme="minorEastAsia" w:hAnsiTheme="minorEastAsia" w:eastAsiaTheme="minorEastAsia"/>
          <w:smallCaps/>
        </w:rPr>
        <w:tab/>
      </w:r>
      <w:r>
        <w:rPr>
          <w:rFonts w:hint="eastAsia" w:asciiTheme="minorEastAsia" w:hAnsiTheme="minorEastAsia" w:eastAsiaTheme="minorEastAsia"/>
          <w:b w:val="0"/>
          <w:bCs w:val="0"/>
          <w:caps/>
          <w:smallCaps/>
        </w:rPr>
        <w:t>25</w:t>
      </w:r>
    </w:p>
    <w:p>
      <w:pPr>
        <w:pStyle w:val="11"/>
        <w:rPr>
          <w:rFonts w:asciiTheme="minorEastAsia" w:hAnsiTheme="minorEastAsia" w:eastAsiaTheme="minorEastAsia"/>
          <w:b w:val="0"/>
          <w:bCs w:val="0"/>
          <w:caps/>
          <w:smallCaps/>
        </w:rPr>
      </w:pPr>
      <w:r>
        <w:rPr>
          <w:rFonts w:hint="eastAsia" w:asciiTheme="minorEastAsia" w:hAnsiTheme="minorEastAsia" w:eastAsiaTheme="minorEastAsia"/>
        </w:rPr>
        <w:t xml:space="preserve">   </w:t>
      </w:r>
      <w:r>
        <w:rPr>
          <w:rFonts w:asciiTheme="minorEastAsia" w:hAnsiTheme="minorEastAsia" w:eastAsiaTheme="minorEastAsia"/>
        </w:rPr>
        <w:t>一、收入支出决算总表</w:t>
      </w:r>
      <w:r>
        <w:rPr>
          <w:rFonts w:asciiTheme="minorEastAsia" w:hAnsiTheme="minorEastAsia" w:eastAsiaTheme="minorEastAsia"/>
        </w:rPr>
        <w:tab/>
      </w:r>
      <w:r>
        <w:rPr>
          <w:rFonts w:hint="eastAsia" w:asciiTheme="minorEastAsia" w:hAnsiTheme="minorEastAsia" w:eastAsiaTheme="minorEastAsia"/>
          <w:b w:val="0"/>
          <w:bCs w:val="0"/>
          <w:caps/>
          <w:smallCaps/>
        </w:rPr>
        <w:t>25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二、收入决算表</w:t>
      </w:r>
      <w:r>
        <w:rPr>
          <w:rFonts w:asciiTheme="minorEastAsia" w:hAnsiTheme="minorEastAsia" w:eastAsiaTheme="minorEastAsia"/>
          <w:sz w:val="28"/>
          <w:szCs w:val="28"/>
        </w:rPr>
        <w:tab/>
      </w:r>
      <w:r>
        <w:rPr>
          <w:rFonts w:hint="eastAsia" w:asciiTheme="minorEastAsia" w:hAnsiTheme="minorEastAsia" w:eastAsiaTheme="minorEastAsia"/>
          <w:sz w:val="28"/>
          <w:szCs w:val="28"/>
        </w:rPr>
        <w:t>25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三、支出决算表</w:t>
      </w:r>
      <w:r>
        <w:rPr>
          <w:rFonts w:asciiTheme="minorEastAsia" w:hAnsiTheme="minorEastAsia" w:eastAsiaTheme="minorEastAsia"/>
          <w:sz w:val="28"/>
          <w:szCs w:val="28"/>
        </w:rPr>
        <w:tab/>
      </w:r>
      <w:r>
        <w:rPr>
          <w:rFonts w:hint="eastAsia" w:asciiTheme="minorEastAsia" w:hAnsiTheme="minorEastAsia" w:eastAsiaTheme="minorEastAsia"/>
          <w:sz w:val="28"/>
          <w:szCs w:val="28"/>
        </w:rPr>
        <w:t>25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四、财政拨款收入支出决算总表</w:t>
      </w:r>
      <w:r>
        <w:rPr>
          <w:rFonts w:asciiTheme="minorEastAsia" w:hAnsiTheme="minorEastAsia" w:eastAsiaTheme="minorEastAsia"/>
          <w:sz w:val="28"/>
          <w:szCs w:val="28"/>
        </w:rPr>
        <w:tab/>
      </w:r>
      <w:r>
        <w:rPr>
          <w:rFonts w:hint="eastAsia" w:asciiTheme="minorEastAsia" w:hAnsiTheme="minorEastAsia" w:eastAsiaTheme="minorEastAsia"/>
          <w:sz w:val="28"/>
          <w:szCs w:val="28"/>
        </w:rPr>
        <w:t>25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五、财政拨款支出决算明细表</w:t>
      </w:r>
      <w:r>
        <w:rPr>
          <w:rFonts w:asciiTheme="minorEastAsia" w:hAnsiTheme="minorEastAsia" w:eastAsiaTheme="minorEastAsia"/>
          <w:sz w:val="28"/>
          <w:szCs w:val="28"/>
        </w:rPr>
        <w:tab/>
      </w:r>
      <w:r>
        <w:rPr>
          <w:rFonts w:hint="eastAsia" w:asciiTheme="minorEastAsia" w:hAnsiTheme="minorEastAsia" w:eastAsiaTheme="minorEastAsia"/>
          <w:sz w:val="28"/>
          <w:szCs w:val="28"/>
        </w:rPr>
        <w:t>25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六、一般公共预算财政拨款支出决算表</w:t>
      </w:r>
      <w:r>
        <w:rPr>
          <w:rFonts w:asciiTheme="minorEastAsia" w:hAnsiTheme="minorEastAsia" w:eastAsiaTheme="minorEastAsia"/>
          <w:sz w:val="28"/>
          <w:szCs w:val="28"/>
        </w:rPr>
        <w:tab/>
      </w:r>
      <w:r>
        <w:rPr>
          <w:rFonts w:hint="eastAsia" w:asciiTheme="minorEastAsia" w:hAnsiTheme="minorEastAsia" w:eastAsiaTheme="minorEastAsia"/>
          <w:sz w:val="28"/>
          <w:szCs w:val="28"/>
        </w:rPr>
        <w:t>25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七、一般公共预算财政拨款支出决算明细表</w:t>
      </w:r>
      <w:r>
        <w:rPr>
          <w:rFonts w:asciiTheme="minorEastAsia" w:hAnsiTheme="minorEastAsia" w:eastAsiaTheme="minorEastAsia"/>
          <w:sz w:val="28"/>
          <w:szCs w:val="28"/>
        </w:rPr>
        <w:tab/>
      </w:r>
      <w:r>
        <w:rPr>
          <w:rFonts w:hint="eastAsia" w:asciiTheme="minorEastAsia" w:hAnsiTheme="minorEastAsia" w:eastAsiaTheme="minorEastAsia"/>
          <w:sz w:val="28"/>
          <w:szCs w:val="28"/>
        </w:rPr>
        <w:t>25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八、一般公共预算财政拨款基本支出决算表</w:t>
      </w:r>
      <w:r>
        <w:rPr>
          <w:rFonts w:asciiTheme="minorEastAsia" w:hAnsiTheme="minorEastAsia" w:eastAsiaTheme="minorEastAsia"/>
          <w:sz w:val="28"/>
          <w:szCs w:val="28"/>
        </w:rPr>
        <w:tab/>
      </w:r>
      <w:r>
        <w:rPr>
          <w:rFonts w:hint="eastAsia" w:asciiTheme="minorEastAsia" w:hAnsiTheme="minorEastAsia" w:eastAsiaTheme="minorEastAsia"/>
          <w:sz w:val="28"/>
          <w:szCs w:val="28"/>
        </w:rPr>
        <w:t>25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九、一般公共预算财政拨款项目支出决算表</w:t>
      </w:r>
      <w:r>
        <w:rPr>
          <w:rFonts w:asciiTheme="minorEastAsia" w:hAnsiTheme="minorEastAsia" w:eastAsiaTheme="minorEastAsia"/>
          <w:sz w:val="28"/>
          <w:szCs w:val="28"/>
        </w:rPr>
        <w:tab/>
      </w:r>
      <w:r>
        <w:rPr>
          <w:rFonts w:hint="eastAsia" w:asciiTheme="minorEastAsia" w:hAnsiTheme="minorEastAsia" w:eastAsiaTheme="minorEastAsia"/>
          <w:sz w:val="28"/>
          <w:szCs w:val="28"/>
        </w:rPr>
        <w:t>25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十、一般公共预算财政拨款“三公”经费支出决算表</w:t>
      </w:r>
      <w:r>
        <w:rPr>
          <w:rFonts w:asciiTheme="minorEastAsia" w:hAnsiTheme="minorEastAsia" w:eastAsiaTheme="minorEastAsia"/>
          <w:sz w:val="28"/>
          <w:szCs w:val="28"/>
        </w:rPr>
        <w:tab/>
      </w:r>
      <w:r>
        <w:rPr>
          <w:rFonts w:hint="eastAsia" w:asciiTheme="minorEastAsia" w:hAnsiTheme="minorEastAsia" w:eastAsiaTheme="minorEastAsia"/>
          <w:sz w:val="28"/>
          <w:szCs w:val="28"/>
        </w:rPr>
        <w:t>25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十一、政府性基金预算财政拨款收入支出决算表</w:t>
      </w:r>
      <w:r>
        <w:rPr>
          <w:rFonts w:asciiTheme="minorEastAsia" w:hAnsiTheme="minorEastAsia" w:eastAsiaTheme="minorEastAsia"/>
          <w:sz w:val="28"/>
          <w:szCs w:val="28"/>
        </w:rPr>
        <w:tab/>
      </w:r>
      <w:r>
        <w:rPr>
          <w:rFonts w:hint="eastAsia" w:asciiTheme="minorEastAsia" w:hAnsiTheme="minorEastAsia" w:eastAsiaTheme="minorEastAsia"/>
          <w:sz w:val="28"/>
          <w:szCs w:val="28"/>
        </w:rPr>
        <w:t>25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十二、政府性基金预算财政拨款“三公”经费支出决算表</w:t>
      </w:r>
      <w:r>
        <w:rPr>
          <w:rFonts w:asciiTheme="minorEastAsia" w:hAnsiTheme="minorEastAsia" w:eastAsiaTheme="minorEastAsia"/>
          <w:sz w:val="28"/>
          <w:szCs w:val="28"/>
        </w:rPr>
        <w:tab/>
      </w:r>
      <w:r>
        <w:rPr>
          <w:rFonts w:hint="eastAsia" w:asciiTheme="minorEastAsia" w:hAnsiTheme="minorEastAsia" w:eastAsiaTheme="minorEastAsia"/>
          <w:sz w:val="28"/>
          <w:szCs w:val="28"/>
        </w:rPr>
        <w:t>25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十三、国有资本经营预算财政拨款支出决算表</w:t>
      </w:r>
      <w:r>
        <w:rPr>
          <w:rFonts w:asciiTheme="minorEastAsia" w:hAnsiTheme="minorEastAsia" w:eastAsiaTheme="minorEastAsia"/>
          <w:sz w:val="28"/>
          <w:szCs w:val="28"/>
        </w:rPr>
        <w:tab/>
      </w:r>
      <w:r>
        <w:rPr>
          <w:rFonts w:hint="eastAsia" w:asciiTheme="minorEastAsia" w:hAnsiTheme="minorEastAsia" w:eastAsiaTheme="minorEastAsia"/>
          <w:sz w:val="28"/>
          <w:szCs w:val="28"/>
        </w:rPr>
        <w:t>25</w:t>
      </w:r>
    </w:p>
    <w:p>
      <w:pPr>
        <w:pStyle w:val="12"/>
        <w:rPr>
          <w:rFonts w:asciiTheme="minorEastAsia" w:hAnsiTheme="minorEastAsia" w:eastAsiaTheme="minorEastAsia"/>
          <w:sz w:val="28"/>
          <w:szCs w:val="28"/>
        </w:rPr>
      </w:pPr>
      <w:r>
        <w:rPr>
          <w:rFonts w:asciiTheme="minorEastAsia" w:hAnsiTheme="minorEastAsia" w:eastAsiaTheme="minorEastAsia"/>
          <w:sz w:val="28"/>
          <w:szCs w:val="28"/>
        </w:rPr>
        <w:t>十四、国有资本经营预算财政拨款支出决算表</w:t>
      </w:r>
      <w:r>
        <w:rPr>
          <w:rFonts w:asciiTheme="minorEastAsia" w:hAnsiTheme="minorEastAsia" w:eastAsiaTheme="minorEastAsia"/>
          <w:sz w:val="28"/>
          <w:szCs w:val="28"/>
        </w:rPr>
        <w:tab/>
      </w:r>
      <w:r>
        <w:rPr>
          <w:rFonts w:hint="eastAsia" w:asciiTheme="minorEastAsia" w:hAnsiTheme="minorEastAsia" w:eastAsiaTheme="minorEastAsia"/>
          <w:sz w:val="28"/>
          <w:szCs w:val="28"/>
        </w:rPr>
        <w:t>25</w:t>
      </w:r>
    </w:p>
    <w:p>
      <w:pPr>
        <w:widowControl/>
        <w:jc w:val="center"/>
        <w:rPr>
          <w:rFonts w:asciiTheme="minorEastAsia" w:hAnsiTheme="minorEastAsia" w:eastAsiaTheme="minorEastAsia"/>
          <w:sz w:val="28"/>
          <w:szCs w:val="28"/>
        </w:rPr>
      </w:pPr>
      <w:r>
        <w:rPr>
          <w:rFonts w:asciiTheme="minorEastAsia" w:hAnsiTheme="minorEastAsia" w:eastAsiaTheme="minorEastAsia"/>
          <w:smallCaps/>
          <w:sz w:val="28"/>
          <w:szCs w:val="28"/>
        </w:rPr>
        <w:fldChar w:fldCharType="end"/>
      </w:r>
    </w:p>
    <w:p>
      <w:pPr>
        <w:widowControl/>
        <w:jc w:val="left"/>
        <w:rPr>
          <w:rFonts w:asciiTheme="minorEastAsia" w:hAnsiTheme="minorEastAsia" w:eastAsiaTheme="minorEastAsia"/>
          <w:color w:val="000000"/>
          <w:sz w:val="28"/>
          <w:szCs w:val="28"/>
        </w:rPr>
      </w:pPr>
      <w:r>
        <w:rPr>
          <w:rFonts w:cs="黑体" w:asciiTheme="minorEastAsia" w:hAnsiTheme="minorEastAsia" w:eastAsiaTheme="minorEastAsia"/>
          <w:color w:val="000000"/>
          <w:sz w:val="28"/>
          <w:szCs w:val="28"/>
        </w:rPr>
        <w:fldChar w:fldCharType="end"/>
      </w:r>
    </w:p>
    <w:p>
      <w:pPr>
        <w:widowControl/>
        <w:jc w:val="left"/>
        <w:rPr>
          <w:rFonts w:asciiTheme="minorEastAsia" w:hAnsiTheme="minorEastAsia" w:eastAsiaTheme="minorEastAsia"/>
          <w:kern w:val="44"/>
          <w:sz w:val="28"/>
          <w:szCs w:val="28"/>
        </w:rPr>
      </w:pPr>
      <w:bookmarkStart w:id="12" w:name="_Toc15396599"/>
      <w:bookmarkStart w:id="13" w:name="_Toc15377196"/>
    </w:p>
    <w:p>
      <w:pPr>
        <w:widowControl/>
        <w:jc w:val="left"/>
        <w:rPr>
          <w:rFonts w:asciiTheme="minorEastAsia" w:hAnsiTheme="minorEastAsia" w:eastAsiaTheme="minorEastAsia"/>
          <w:kern w:val="44"/>
          <w:sz w:val="28"/>
          <w:szCs w:val="28"/>
        </w:rPr>
      </w:pPr>
    </w:p>
    <w:p>
      <w:pPr>
        <w:widowControl/>
        <w:jc w:val="left"/>
        <w:rPr>
          <w:rFonts w:asciiTheme="minorEastAsia" w:hAnsiTheme="minorEastAsia" w:eastAsiaTheme="minorEastAsia"/>
          <w:kern w:val="44"/>
          <w:sz w:val="28"/>
          <w:szCs w:val="28"/>
        </w:rPr>
      </w:pPr>
    </w:p>
    <w:p>
      <w:pPr>
        <w:widowControl/>
        <w:jc w:val="left"/>
        <w:rPr>
          <w:rFonts w:asciiTheme="minorEastAsia" w:hAnsiTheme="minorEastAsia" w:eastAsiaTheme="minorEastAsia"/>
          <w:kern w:val="44"/>
          <w:sz w:val="28"/>
          <w:szCs w:val="28"/>
        </w:rPr>
      </w:pPr>
    </w:p>
    <w:p>
      <w:pPr>
        <w:widowControl/>
        <w:jc w:val="center"/>
        <w:rPr>
          <w:rFonts w:asciiTheme="minorEastAsia" w:hAnsiTheme="minorEastAsia" w:eastAsiaTheme="minorEastAsia"/>
          <w:sz w:val="28"/>
          <w:szCs w:val="28"/>
        </w:rPr>
      </w:pPr>
    </w:p>
    <w:p>
      <w:pPr>
        <w:widowControl/>
        <w:jc w:val="center"/>
        <w:rPr>
          <w:rFonts w:asciiTheme="minorEastAsia" w:hAnsiTheme="minorEastAsia" w:eastAsiaTheme="minorEastAsia"/>
          <w:sz w:val="28"/>
          <w:szCs w:val="28"/>
        </w:rPr>
      </w:pPr>
    </w:p>
    <w:p>
      <w:pPr>
        <w:widowControl/>
        <w:jc w:val="center"/>
        <w:rPr>
          <w:rFonts w:asciiTheme="minorEastAsia" w:hAnsiTheme="minorEastAsia" w:eastAsiaTheme="minorEastAsia"/>
          <w:sz w:val="28"/>
          <w:szCs w:val="28"/>
        </w:rPr>
      </w:pPr>
    </w:p>
    <w:p>
      <w:pPr>
        <w:widowControl/>
        <w:jc w:val="center"/>
        <w:rPr>
          <w:rFonts w:ascii="黑体" w:hAnsi="黑体" w:eastAsia="黑体"/>
        </w:rPr>
      </w:pPr>
    </w:p>
    <w:p>
      <w:pPr>
        <w:adjustRightInd w:val="0"/>
        <w:snapToGrid w:val="0"/>
        <w:spacing w:line="576" w:lineRule="exact"/>
        <w:outlineLvl w:val="0"/>
        <w:rPr>
          <w:rStyle w:val="17"/>
          <w:rFonts w:ascii="方正小标宋简体" w:hAnsi="方正小标宋简体" w:eastAsia="方正小标宋简体" w:cs="方正小标宋简体"/>
          <w:b w:val="0"/>
          <w:bCs w:val="0"/>
        </w:rPr>
      </w:pPr>
    </w:p>
    <w:p>
      <w:pPr>
        <w:adjustRightInd w:val="0"/>
        <w:snapToGrid w:val="0"/>
        <w:spacing w:line="576" w:lineRule="exact"/>
        <w:jc w:val="center"/>
        <w:outlineLvl w:val="0"/>
        <w:rPr>
          <w:rStyle w:val="17"/>
          <w:rFonts w:ascii="方正小标宋简体" w:hAnsi="方正小标宋简体" w:eastAsia="方正小标宋简体" w:cs="方正小标宋简体"/>
          <w:b w:val="0"/>
          <w:bCs w:val="0"/>
        </w:rPr>
      </w:pPr>
    </w:p>
    <w:p>
      <w:pPr>
        <w:adjustRightInd w:val="0"/>
        <w:snapToGrid w:val="0"/>
        <w:spacing w:line="576" w:lineRule="exact"/>
        <w:jc w:val="center"/>
        <w:outlineLvl w:val="0"/>
        <w:rPr>
          <w:rStyle w:val="17"/>
          <w:rFonts w:ascii="方正小标宋简体" w:hAnsi="方正小标宋简体" w:eastAsia="方正小标宋简体" w:cs="方正小标宋简体"/>
          <w:b w:val="0"/>
          <w:bCs w:val="0"/>
        </w:rPr>
      </w:pPr>
    </w:p>
    <w:p>
      <w:pPr>
        <w:adjustRightInd w:val="0"/>
        <w:snapToGrid w:val="0"/>
        <w:spacing w:line="576" w:lineRule="exact"/>
        <w:jc w:val="center"/>
        <w:outlineLvl w:val="0"/>
        <w:rPr>
          <w:rStyle w:val="17"/>
          <w:rFonts w:ascii="方正小标宋简体" w:hAnsi="方正小标宋简体" w:eastAsia="方正小标宋简体" w:cs="方正小标宋简体"/>
          <w:b w:val="0"/>
          <w:bCs w:val="0"/>
        </w:rPr>
      </w:pPr>
    </w:p>
    <w:p>
      <w:pPr>
        <w:adjustRightInd w:val="0"/>
        <w:snapToGrid w:val="0"/>
        <w:spacing w:line="576" w:lineRule="exact"/>
        <w:jc w:val="center"/>
        <w:outlineLvl w:val="0"/>
        <w:rPr>
          <w:rStyle w:val="17"/>
          <w:rFonts w:ascii="方正小标宋简体" w:hAnsi="方正小标宋简体" w:eastAsia="方正小标宋简体" w:cs="方正小标宋简体"/>
          <w:b w:val="0"/>
          <w:bCs w:val="0"/>
        </w:rPr>
      </w:pPr>
    </w:p>
    <w:p>
      <w:pPr>
        <w:adjustRightInd w:val="0"/>
        <w:snapToGrid w:val="0"/>
        <w:spacing w:line="576" w:lineRule="exact"/>
        <w:jc w:val="center"/>
        <w:outlineLvl w:val="0"/>
        <w:rPr>
          <w:rStyle w:val="17"/>
          <w:rFonts w:ascii="方正小标宋简体" w:hAnsi="方正小标宋简体" w:eastAsia="方正小标宋简体" w:cs="方正小标宋简体"/>
          <w:b w:val="0"/>
          <w:bCs w:val="0"/>
        </w:rPr>
      </w:pPr>
    </w:p>
    <w:p>
      <w:pPr>
        <w:adjustRightInd w:val="0"/>
        <w:snapToGrid w:val="0"/>
        <w:spacing w:line="576" w:lineRule="exact"/>
        <w:outlineLvl w:val="0"/>
        <w:rPr>
          <w:rStyle w:val="17"/>
          <w:rFonts w:ascii="方正小标宋简体" w:hAnsi="方正小标宋简体" w:eastAsia="方正小标宋简体" w:cs="方正小标宋简体"/>
          <w:b w:val="0"/>
          <w:bCs w:val="0"/>
        </w:rPr>
      </w:pPr>
    </w:p>
    <w:p>
      <w:pPr>
        <w:adjustRightInd w:val="0"/>
        <w:snapToGrid w:val="0"/>
        <w:spacing w:line="576" w:lineRule="exact"/>
        <w:jc w:val="center"/>
        <w:outlineLvl w:val="0"/>
        <w:rPr>
          <w:rStyle w:val="17"/>
          <w:rFonts w:ascii="方正小标宋简体" w:hAnsi="方正小标宋简体" w:eastAsia="方正小标宋简体" w:cs="方正小标宋简体"/>
          <w:b w:val="0"/>
          <w:bCs w:val="0"/>
        </w:rPr>
      </w:pPr>
    </w:p>
    <w:p>
      <w:pPr>
        <w:adjustRightInd w:val="0"/>
        <w:snapToGrid w:val="0"/>
        <w:spacing w:line="576" w:lineRule="exact"/>
        <w:jc w:val="center"/>
        <w:outlineLvl w:val="0"/>
        <w:rPr>
          <w:rStyle w:val="17"/>
          <w:rFonts w:ascii="方正小标宋简体" w:hAnsi="方正小标宋简体" w:eastAsia="方正小标宋简体" w:cs="方正小标宋简体"/>
          <w:b w:val="0"/>
          <w:bCs w:val="0"/>
        </w:rPr>
      </w:pPr>
    </w:p>
    <w:p>
      <w:pPr>
        <w:adjustRightInd w:val="0"/>
        <w:snapToGrid w:val="0"/>
        <w:spacing w:line="576" w:lineRule="exact"/>
        <w:jc w:val="center"/>
        <w:outlineLvl w:val="0"/>
        <w:rPr>
          <w:rFonts w:ascii="仿宋_GB2312" w:hAnsi="仿宋_GB2312" w:eastAsia="仿宋_GB2312"/>
          <w:color w:val="000000"/>
          <w:sz w:val="44"/>
          <w:szCs w:val="44"/>
        </w:rPr>
      </w:pPr>
      <w:r>
        <w:rPr>
          <w:rStyle w:val="17"/>
          <w:rFonts w:hint="eastAsia" w:ascii="方正小标宋简体" w:hAnsi="方正小标宋简体" w:eastAsia="方正小标宋简体" w:cs="方正小标宋简体"/>
          <w:b w:val="0"/>
          <w:bCs w:val="0"/>
        </w:rPr>
        <w:t>第一部分部门概况</w:t>
      </w:r>
      <w:bookmarkEnd w:id="12"/>
      <w:bookmarkEnd w:id="13"/>
      <w:bookmarkStart w:id="14" w:name="_Toc15377197"/>
      <w:bookmarkStart w:id="15" w:name="_Toc15396600"/>
    </w:p>
    <w:p>
      <w:pPr>
        <w:numPr>
          <w:ilvl w:val="0"/>
          <w:numId w:val="1"/>
        </w:numPr>
        <w:adjustRightInd w:val="0"/>
        <w:snapToGrid w:val="0"/>
        <w:spacing w:line="576" w:lineRule="exact"/>
        <w:ind w:firstLine="640" w:firstLineChars="200"/>
        <w:jc w:val="left"/>
        <w:outlineLvl w:val="0"/>
        <w:rPr>
          <w:rStyle w:val="18"/>
          <w:rFonts w:ascii="黑体" w:hAnsi="黑体" w:eastAsia="黑体" w:cs="Times New Roman"/>
          <w:b w:val="0"/>
          <w:bCs w:val="0"/>
        </w:rPr>
      </w:pPr>
      <w:r>
        <w:rPr>
          <w:rStyle w:val="18"/>
          <w:rFonts w:hint="eastAsia" w:ascii="黑体" w:hAnsi="黑体" w:eastAsia="黑体" w:cs="黑体"/>
          <w:b w:val="0"/>
          <w:bCs w:val="0"/>
        </w:rPr>
        <w:t>基本职能及主要工作</w:t>
      </w:r>
      <w:bookmarkEnd w:id="14"/>
      <w:bookmarkEnd w:id="15"/>
      <w:bookmarkStart w:id="16" w:name="_Toc15378445"/>
      <w:bookmarkStart w:id="17" w:name="_Toc15377198"/>
    </w:p>
    <w:p>
      <w:pPr>
        <w:numPr>
          <w:ilvl w:val="0"/>
          <w:numId w:val="2"/>
        </w:numPr>
        <w:adjustRightInd w:val="0"/>
        <w:snapToGrid w:val="0"/>
        <w:spacing w:line="576" w:lineRule="exact"/>
        <w:ind w:firstLine="642" w:firstLineChars="200"/>
        <w:jc w:val="left"/>
        <w:outlineLvl w:val="0"/>
        <w:rPr>
          <w:rFonts w:ascii="楷体" w:hAnsi="楷体" w:eastAsia="楷体" w:cs="楷体"/>
          <w:b/>
          <w:bCs/>
          <w:color w:val="000000"/>
          <w:sz w:val="32"/>
          <w:szCs w:val="32"/>
        </w:rPr>
      </w:pPr>
      <w:r>
        <w:rPr>
          <w:rFonts w:hint="eastAsia" w:ascii="楷体" w:hAnsi="楷体" w:eastAsia="楷体" w:cs="楷体"/>
          <w:b/>
          <w:bCs/>
          <w:color w:val="000000"/>
          <w:sz w:val="32"/>
          <w:szCs w:val="32"/>
        </w:rPr>
        <w:t>主要职能</w:t>
      </w:r>
      <w:bookmarkEnd w:id="16"/>
      <w:bookmarkEnd w:id="17"/>
    </w:p>
    <w:p>
      <w:pPr>
        <w:adjustRightInd w:val="0"/>
        <w:snapToGrid w:val="0"/>
        <w:spacing w:line="576" w:lineRule="exact"/>
        <w:ind w:firstLine="640" w:firstLineChars="200"/>
        <w:jc w:val="left"/>
        <w:outlineLvl w:val="0"/>
        <w:rPr>
          <w:rFonts w:ascii="仿宋_GB2312" w:hAnsi="仿宋_GB2312" w:eastAsia="仿宋_GB2312"/>
          <w:b/>
          <w:bCs/>
          <w:sz w:val="32"/>
          <w:szCs w:val="32"/>
        </w:rPr>
      </w:pPr>
      <w:r>
        <w:rPr>
          <w:rFonts w:hint="eastAsia" w:ascii="仿宋_GB2312" w:hAnsi="仿宋_GB2312" w:eastAsia="仿宋_GB2312" w:cs="仿宋_GB2312"/>
          <w:kern w:val="0"/>
          <w:sz w:val="32"/>
          <w:szCs w:val="32"/>
        </w:rPr>
        <w:t>主要职责是：</w:t>
      </w:r>
    </w:p>
    <w:p>
      <w:pPr>
        <w:spacing w:line="576" w:lineRule="exac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根据县委、县政府对全县干部队伍的要求，有计划地轮训、培训全县各级党员领导干部和公务员及理论宣传骨干，协同组织人事部门对学员在校期间的表现进行考核，提出使用建议。</w:t>
      </w:r>
    </w:p>
    <w:p>
      <w:pPr>
        <w:spacing w:line="576" w:lineRule="exac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研究、宣传马列主义、毛泽东思想和邓小平建设有中国特色的社会主义理论，围绕全党的中心任务和县委、县政府的重大部署，对全县重大现实问题开展理论研究，为教学和振兴茂县经济服务，为县委、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政府决策参考。</w:t>
      </w:r>
    </w:p>
    <w:p>
      <w:pPr>
        <w:spacing w:line="576" w:lineRule="exact"/>
        <w:rPr>
          <w:rFonts w:ascii="仿宋_GB2312" w:hAnsi="仿宋_GB2312" w:eastAsia="仿宋_GB2312"/>
          <w:sz w:val="32"/>
          <w:szCs w:val="32"/>
        </w:rPr>
      </w:pPr>
      <w:r>
        <w:rPr>
          <w:rFonts w:ascii="仿宋_GB2312" w:hAnsi="仿宋_GB2312" w:eastAsia="仿宋_GB2312" w:cs="仿宋_GB2312"/>
          <w:sz w:val="32"/>
          <w:szCs w:val="32"/>
        </w:rPr>
        <w:t xml:space="preserve">    3.</w:t>
      </w:r>
      <w:r>
        <w:rPr>
          <w:rFonts w:hint="eastAsia" w:ascii="仿宋_GB2312" w:hAnsi="仿宋_GB2312" w:eastAsia="仿宋_GB2312" w:cs="仿宋_GB2312"/>
          <w:sz w:val="32"/>
          <w:szCs w:val="32"/>
        </w:rPr>
        <w:t>接受上级党校的业务指导，完成县委、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政府交办的其它事项。</w:t>
      </w:r>
    </w:p>
    <w:p>
      <w:pPr>
        <w:spacing w:line="576" w:lineRule="exact"/>
        <w:ind w:firstLine="642" w:firstLineChars="200"/>
        <w:outlineLvl w:val="1"/>
        <w:rPr>
          <w:rStyle w:val="18"/>
          <w:rFonts w:ascii="仿宋_GB2312" w:hAnsi="仿宋_GB2312" w:eastAsia="方正楷体简体" w:cs="Times New Roman"/>
          <w:b w:val="0"/>
          <w:bCs w:val="0"/>
        </w:rPr>
      </w:pPr>
      <w:bookmarkStart w:id="18" w:name="_Toc15377199"/>
      <w:bookmarkStart w:id="19" w:name="_Toc15378446"/>
      <w:r>
        <w:rPr>
          <w:rFonts w:hint="eastAsia" w:ascii="楷体" w:hAnsi="楷体" w:eastAsia="楷体" w:cs="楷体"/>
          <w:b/>
          <w:bCs/>
          <w:color w:val="000000"/>
          <w:sz w:val="32"/>
          <w:szCs w:val="32"/>
        </w:rPr>
        <w:t>（二）</w:t>
      </w:r>
      <w:r>
        <w:rPr>
          <w:rFonts w:ascii="楷体" w:hAnsi="楷体" w:eastAsia="楷体" w:cs="楷体"/>
          <w:b/>
          <w:bCs/>
          <w:color w:val="000000"/>
          <w:sz w:val="32"/>
          <w:szCs w:val="32"/>
        </w:rPr>
        <w:t>20</w:t>
      </w:r>
      <w:r>
        <w:rPr>
          <w:rFonts w:hint="eastAsia" w:ascii="楷体" w:hAnsi="楷体" w:eastAsia="楷体" w:cs="楷体"/>
          <w:b/>
          <w:bCs/>
          <w:color w:val="000000"/>
          <w:sz w:val="32"/>
          <w:szCs w:val="32"/>
        </w:rPr>
        <w:t>20年重点工作完成情况</w:t>
      </w:r>
      <w:bookmarkEnd w:id="18"/>
      <w:bookmarkEnd w:id="19"/>
    </w:p>
    <w:p>
      <w:pPr>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1.坚持政治标准,突出主责主业。坚持党校姓党原则，抓好理论教育和党性教育主责主业。一是不断提升课件质量。按照县委组织部制订的年度干部培训计划,通过集中备课等形式,组织骨干力量围绕党的基本理论、理想信念、党性教育、形势教育,开发了</w:t>
      </w:r>
      <w:r>
        <w:rPr>
          <w:rFonts w:hint="eastAsia" w:ascii="仿宋_GB2312" w:hAnsi="仿宋" w:eastAsia="仿宋_GB2312"/>
          <w:sz w:val="32"/>
          <w:szCs w:val="32"/>
        </w:rPr>
        <w:t>《马克思基本原理》、</w:t>
      </w:r>
      <w:r>
        <w:rPr>
          <w:rFonts w:hint="eastAsia" w:ascii="仿宋_GB2312" w:hAnsi="仿宋" w:eastAsia="仿宋_GB2312" w:cs="仿宋_GB2312"/>
          <w:sz w:val="32"/>
          <w:szCs w:val="32"/>
        </w:rPr>
        <w:t>《从新冠疫情看中国之治》</w:t>
      </w:r>
      <w:r>
        <w:rPr>
          <w:rFonts w:hint="eastAsia" w:ascii="仿宋_GB2312" w:hAnsi="仿宋" w:eastAsia="仿宋_GB2312"/>
          <w:sz w:val="32"/>
          <w:szCs w:val="32"/>
        </w:rPr>
        <w:t>、《宗教与社会主义相适应》等10余个比较成熟的课件。</w:t>
      </w:r>
      <w:r>
        <w:rPr>
          <w:rFonts w:hint="eastAsia" w:ascii="仿宋_GB2312" w:hAnsi="仿宋" w:eastAsia="仿宋_GB2312"/>
          <w:color w:val="000000"/>
          <w:sz w:val="32"/>
          <w:szCs w:val="32"/>
        </w:rPr>
        <w:t>二是全力打造现场教学点。</w:t>
      </w:r>
      <w:r>
        <w:rPr>
          <w:rFonts w:hint="eastAsia" w:ascii="仿宋_GB2312" w:hAnsi="仿宋" w:eastAsia="仿宋_GB2312"/>
          <w:sz w:val="32"/>
          <w:szCs w:val="32"/>
        </w:rPr>
        <w:t>根据打造长征干部学院“红色、绿色、彩色”现场教学点的指导原则，结合“羌山党旗红党建示范带”建设，在州委党校专业教师的指导下,组建工作专班全力开展现场教学点打造和特色课程开发工作,完成土门战役、新磨新村、非物质文化传习中心等4个教学点的教学设计、微课制作和讲解培训。三是努力办好各类培训。</w:t>
      </w:r>
      <w:r>
        <w:rPr>
          <w:rFonts w:hint="eastAsia" w:ascii="仿宋_GB2312" w:hAnsi="仿宋" w:eastAsia="仿宋_GB2312"/>
          <w:kern w:val="0"/>
          <w:sz w:val="32"/>
          <w:szCs w:val="32"/>
        </w:rPr>
        <w:t>根据干部培训年度计划</w:t>
      </w:r>
      <w:r>
        <w:rPr>
          <w:rFonts w:hint="eastAsia" w:ascii="仿宋_GB2312" w:hAnsi="仿宋" w:eastAsia="仿宋_GB2312"/>
          <w:color w:val="000000"/>
          <w:sz w:val="32"/>
          <w:szCs w:val="32"/>
        </w:rPr>
        <w:t>精心组织主体班次培训，2020年举办</w:t>
      </w:r>
      <w:r>
        <w:rPr>
          <w:rFonts w:hint="eastAsia" w:ascii="仿宋_GB2312" w:hAnsi="仿宋" w:eastAsia="仿宋_GB2312"/>
          <w:sz w:val="32"/>
          <w:szCs w:val="32"/>
        </w:rPr>
        <w:t>阿坝州优秀村组织书记示范培训班、发展对象培训班等主体班次6期，培训学员430余人次；配合应急管理局、就业局等县级部门举办专题培训班3期，培训学员220余人次；承接四川省长征干部学院雪山草地分院现场教学8期，培训学员360余人次</w:t>
      </w:r>
      <w:r>
        <w:rPr>
          <w:rFonts w:hint="eastAsia" w:ascii="仿宋_GB2312" w:hAnsi="仿宋" w:eastAsia="仿宋_GB2312"/>
          <w:color w:val="000000"/>
          <w:sz w:val="32"/>
          <w:szCs w:val="32"/>
        </w:rPr>
        <w:t>。较好地发挥了干部教育培训的主渠道作用。</w:t>
      </w:r>
    </w:p>
    <w:p>
      <w:pPr>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2.坚持政治原则,认真推进分类建设。</w:t>
      </w:r>
      <w:r>
        <w:rPr>
          <w:rFonts w:hint="eastAsia" w:ascii="仿宋_GB2312" w:hAnsi="仿宋" w:eastAsia="仿宋_GB2312" w:cs="仿宋_GB2312"/>
          <w:bCs/>
          <w:sz w:val="32"/>
          <w:szCs w:val="32"/>
        </w:rPr>
        <w:t xml:space="preserve">按照《中国共产党党校（行政学院）工作条例》和《四川省市县级党校分类建设计划实施方案（征求意见稿）》精神，结合实际情况，认真开展县级党校分类建设工作。 </w:t>
      </w:r>
    </w:p>
    <w:p>
      <w:pPr>
        <w:spacing w:line="576"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3.强化政治意识,加强班子队伍建设。认真贯彻落实全面从严治党要求，牢固树立“围绕培训抓党建，抓好党建促培训”的观念，以党建工作引领党校教育培训事业健康发展。一是抓实集中理论学习。中央、省、州、县重要会议召开后，立即组织骨干教师开展集中学习讨论，努力把握精神实质，引导全体教职员工增强“四个意识”，坚定“四个自信”，做到“两个维护”。二是严格贯彻落实意识形态工作责任制。坚持以学术讲政治的基本原则，认真辨析思想文化领域突出问题，加强对党校课堂和科研阵地的管理，对老师的课件、课堂讲授内容严格把关，守好阵地、唱好主旋律，三是注重教师业务素质提升，高度重视骨干教师的成长，全年组织组织骨干教师参加上级业务部门组织培训调训8人次。</w:t>
      </w:r>
      <w:bookmarkStart w:id="20" w:name="_Toc15396601"/>
      <w:bookmarkStart w:id="21" w:name="_Toc15377200"/>
    </w:p>
    <w:p>
      <w:pPr>
        <w:spacing w:line="576" w:lineRule="exact"/>
        <w:ind w:firstLine="640" w:firstLineChars="200"/>
        <w:rPr>
          <w:rStyle w:val="18"/>
          <w:b w:val="0"/>
          <w:bCs w:val="0"/>
        </w:rPr>
      </w:pPr>
      <w:r>
        <w:rPr>
          <w:rFonts w:hint="eastAsia" w:ascii="黑体" w:eastAsia="黑体" w:cs="黑体"/>
          <w:color w:val="000000"/>
          <w:sz w:val="32"/>
          <w:szCs w:val="32"/>
        </w:rPr>
        <w:t>二、</w:t>
      </w:r>
      <w:r>
        <w:rPr>
          <w:rFonts w:hint="eastAsia" w:ascii="黑体" w:hAnsi="黑体" w:eastAsia="黑体" w:cs="黑体"/>
          <w:color w:val="000000"/>
          <w:sz w:val="32"/>
          <w:szCs w:val="32"/>
        </w:rPr>
        <w:t>机</w:t>
      </w:r>
      <w:r>
        <w:rPr>
          <w:rStyle w:val="18"/>
          <w:rFonts w:hint="eastAsia" w:ascii="黑体" w:hAnsi="黑体" w:eastAsia="黑体" w:cs="黑体"/>
          <w:b w:val="0"/>
          <w:bCs w:val="0"/>
        </w:rPr>
        <w:t>构设置</w:t>
      </w:r>
      <w:bookmarkEnd w:id="20"/>
      <w:bookmarkEnd w:id="21"/>
    </w:p>
    <w:p>
      <w:pPr>
        <w:spacing w:line="576" w:lineRule="exact"/>
        <w:ind w:firstLine="567"/>
        <w:rPr>
          <w:rFonts w:ascii="仿宋_GB2312" w:hAnsi="仿宋_GB2312" w:eastAsia="仿宋_GB2312"/>
          <w:sz w:val="32"/>
          <w:szCs w:val="32"/>
        </w:rPr>
      </w:pPr>
      <w:r>
        <w:rPr>
          <w:rFonts w:hint="eastAsia" w:ascii="仿宋_GB2312" w:hAnsi="仿宋_GB2312" w:eastAsia="仿宋_GB2312" w:cs="仿宋_GB2312"/>
          <w:sz w:val="32"/>
          <w:szCs w:val="32"/>
        </w:rPr>
        <w:t>本单位为一级预算单位，所属</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级预算单位，单位性质为参照公务员管理的事业单位，决算编报类型为单户表，按照行政单位会计制度填报决算数据。</w:t>
      </w:r>
    </w:p>
    <w:p>
      <w:pPr>
        <w:snapToGrid w:val="0"/>
        <w:spacing w:line="576" w:lineRule="exact"/>
        <w:ind w:firstLine="640" w:firstLineChars="200"/>
        <w:rPr>
          <w:rFonts w:ascii="楷体_GB2312" w:hAnsi="楷体_GB2312" w:eastAsia="楷体_GB2312"/>
          <w:sz w:val="32"/>
          <w:szCs w:val="32"/>
        </w:rPr>
      </w:pPr>
      <w:r>
        <w:rPr>
          <w:rFonts w:hint="eastAsia" w:ascii="仿宋_GB2312" w:hAnsi="仿宋_GB2312" w:eastAsia="仿宋_GB2312" w:cs="仿宋_GB2312"/>
          <w:sz w:val="32"/>
          <w:szCs w:val="32"/>
        </w:rPr>
        <w:t>纳入本套决算编制范围的独立核算单位共</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w:t>
      </w:r>
    </w:p>
    <w:p>
      <w:pPr>
        <w:widowControl/>
        <w:spacing w:line="576" w:lineRule="exact"/>
        <w:jc w:val="center"/>
        <w:rPr>
          <w:rStyle w:val="17"/>
          <w:rFonts w:ascii="方正小标宋简体" w:hAnsi="方正小标宋简体" w:eastAsia="方正小标宋简体"/>
          <w:b w:val="0"/>
          <w:bCs w:val="0"/>
        </w:rPr>
      </w:pPr>
      <w:r>
        <w:rPr>
          <w:rFonts w:ascii="??" w:hAnsi="??"/>
          <w:color w:val="000000"/>
          <w:sz w:val="32"/>
          <w:szCs w:val="32"/>
        </w:rPr>
        <w:br w:type="page"/>
      </w:r>
      <w:bookmarkStart w:id="22" w:name="_Toc15396602"/>
      <w:bookmarkStart w:id="23" w:name="_Toc15377204"/>
      <w:r>
        <w:rPr>
          <w:rStyle w:val="17"/>
          <w:rFonts w:hint="eastAsia" w:ascii="方正小标宋简体" w:hAnsi="方正小标宋简体" w:eastAsia="方正小标宋简体" w:cs="方正小标宋简体"/>
          <w:b w:val="0"/>
          <w:bCs w:val="0"/>
        </w:rPr>
        <w:t>第二部分</w:t>
      </w:r>
      <w:r>
        <w:rPr>
          <w:rStyle w:val="17"/>
          <w:rFonts w:ascii="方正小标宋简体" w:hAnsi="方正小标宋简体" w:eastAsia="方正小标宋简体" w:cs="方正小标宋简体"/>
          <w:b w:val="0"/>
          <w:bCs w:val="0"/>
        </w:rPr>
        <w:t>20</w:t>
      </w:r>
      <w:r>
        <w:rPr>
          <w:rStyle w:val="17"/>
          <w:rFonts w:hint="eastAsia" w:ascii="方正小标宋简体" w:hAnsi="方正小标宋简体" w:eastAsia="方正小标宋简体" w:cs="方正小标宋简体"/>
          <w:b w:val="0"/>
          <w:bCs w:val="0"/>
        </w:rPr>
        <w:t>20年度部门决算情况说明</w:t>
      </w:r>
      <w:bookmarkEnd w:id="22"/>
      <w:bookmarkEnd w:id="23"/>
      <w:bookmarkStart w:id="24" w:name="_Toc15396603"/>
      <w:bookmarkStart w:id="25" w:name="_Toc15377205"/>
    </w:p>
    <w:p>
      <w:pPr>
        <w:numPr>
          <w:ilvl w:val="0"/>
          <w:numId w:val="3"/>
        </w:numPr>
        <w:adjustRightInd w:val="0"/>
        <w:snapToGrid w:val="0"/>
        <w:spacing w:line="576" w:lineRule="exact"/>
        <w:ind w:firstLine="640" w:firstLineChars="200"/>
        <w:outlineLvl w:val="0"/>
        <w:rPr>
          <w:rStyle w:val="18"/>
          <w:rFonts w:ascii="黑体" w:hAnsi="黑体" w:eastAsia="黑体" w:cs="Times New Roman"/>
          <w:b w:val="0"/>
          <w:bCs w:val="0"/>
        </w:rPr>
      </w:pPr>
      <w:r>
        <w:rPr>
          <w:rFonts w:hint="eastAsia" w:ascii="黑体" w:hAnsi="黑体" w:eastAsia="黑体" w:cs="黑体"/>
          <w:color w:val="000000"/>
          <w:sz w:val="32"/>
          <w:szCs w:val="32"/>
        </w:rPr>
        <w:t>收</w:t>
      </w:r>
      <w:r>
        <w:rPr>
          <w:rStyle w:val="18"/>
          <w:rFonts w:hint="eastAsia" w:ascii="黑体" w:hAnsi="黑体" w:eastAsia="黑体" w:cs="黑体"/>
          <w:b w:val="0"/>
          <w:bCs w:val="0"/>
        </w:rPr>
        <w:t>入支出决算总体情况说明</w:t>
      </w:r>
      <w:bookmarkEnd w:id="24"/>
      <w:bookmarkEnd w:id="25"/>
    </w:p>
    <w:p>
      <w:pPr>
        <w:widowControl/>
        <w:spacing w:line="576" w:lineRule="exact"/>
        <w:ind w:firstLine="640" w:firstLineChars="200"/>
        <w:jc w:val="left"/>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20年度收、支总计287.71万元。与</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9年相比收、支总计各增加54.50万元，主要原因是</w:t>
      </w:r>
      <w:r>
        <w:rPr>
          <w:rFonts w:hint="eastAsia" w:ascii="仿宋_GB2312" w:hAnsi="仿宋" w:eastAsia="仿宋_GB2312"/>
          <w:sz w:val="32"/>
          <w:szCs w:val="32"/>
        </w:rPr>
        <w:t>人员增加。</w:t>
      </w:r>
    </w:p>
    <w:p>
      <w:pPr>
        <w:widowControl/>
        <w:spacing w:line="576" w:lineRule="exact"/>
        <w:ind w:firstLine="843" w:firstLineChars="300"/>
        <w:jc w:val="left"/>
        <w:rPr>
          <w:rFonts w:ascii="宋体" w:hAnsi="宋体" w:cs="宋体"/>
          <w:b/>
          <w:bCs/>
          <w:color w:val="000000"/>
          <w:kern w:val="0"/>
          <w:sz w:val="28"/>
          <w:szCs w:val="28"/>
        </w:rPr>
      </w:pPr>
      <w:r>
        <w:rPr>
          <w:rFonts w:hint="eastAsia" w:ascii="宋体" w:hAnsi="宋体" w:cs="宋体"/>
          <w:b/>
          <w:bCs/>
          <w:color w:val="000000"/>
          <w:kern w:val="0"/>
          <w:sz w:val="28"/>
          <w:szCs w:val="28"/>
        </w:rPr>
        <w:t>图</w:t>
      </w:r>
      <w:r>
        <w:rPr>
          <w:rFonts w:ascii="宋体" w:hAnsi="宋体" w:cs="宋体"/>
          <w:b/>
          <w:bCs/>
          <w:color w:val="000000"/>
          <w:kern w:val="0"/>
          <w:sz w:val="28"/>
          <w:szCs w:val="28"/>
        </w:rPr>
        <w:t>1</w:t>
      </w:r>
      <w:r>
        <w:rPr>
          <w:rFonts w:hint="eastAsia" w:ascii="宋体" w:hAnsi="宋体" w:cs="宋体"/>
          <w:b/>
          <w:bCs/>
          <w:color w:val="000000"/>
          <w:kern w:val="0"/>
          <w:sz w:val="28"/>
          <w:szCs w:val="28"/>
        </w:rPr>
        <w:t>：收、支决算总计变动情况图（单位：万元）</w:t>
      </w:r>
    </w:p>
    <w:p>
      <w:pPr>
        <w:widowControl/>
        <w:jc w:val="left"/>
        <w:rPr>
          <w:rFonts w:ascii="宋体"/>
          <w:b/>
          <w:bCs/>
          <w:color w:val="000000"/>
          <w:kern w:val="0"/>
          <w:sz w:val="28"/>
          <w:szCs w:val="28"/>
        </w:rPr>
      </w:pPr>
    </w:p>
    <w:p>
      <w:pPr>
        <w:widowControl/>
        <w:jc w:val="left"/>
        <w:rPr>
          <w:rFonts w:ascii="宋体"/>
          <w:b/>
          <w:bCs/>
          <w:color w:val="000000"/>
          <w:kern w:val="0"/>
          <w:sz w:val="28"/>
          <w:szCs w:val="28"/>
        </w:rPr>
      </w:pPr>
      <w:r>
        <w:rPr>
          <w:rFonts w:ascii="宋体"/>
          <w:b/>
          <w:color w:val="000000"/>
          <w:kern w:val="0"/>
          <w:sz w:val="28"/>
          <w:szCs w:val="28"/>
        </w:rPr>
        <w:drawing>
          <wp:inline distT="0" distB="0" distL="114300" distR="114300">
            <wp:extent cx="4847590" cy="3456940"/>
            <wp:effectExtent l="5080" t="5080" r="5080" b="5080"/>
            <wp:docPr id="7" name="图片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widowControl/>
        <w:ind w:firstLine="640" w:firstLineChars="200"/>
        <w:jc w:val="left"/>
        <w:rPr>
          <w:rStyle w:val="18"/>
          <w:rFonts w:ascii="Times New Roman" w:hAnsi="Times New Roman" w:cs="Times New Roman"/>
          <w:b w:val="0"/>
          <w:bCs w:val="0"/>
          <w:sz w:val="21"/>
          <w:szCs w:val="24"/>
        </w:rPr>
      </w:pPr>
      <w:bookmarkStart w:id="26" w:name="_Toc15396604"/>
      <w:bookmarkStart w:id="27" w:name="_Toc15377206"/>
      <w:r>
        <w:rPr>
          <w:rFonts w:hint="eastAsia" w:ascii="黑体" w:hAnsi="黑体" w:eastAsia="黑体" w:cs="黑体"/>
          <w:color w:val="000000"/>
          <w:sz w:val="32"/>
          <w:szCs w:val="32"/>
        </w:rPr>
        <w:t>二、收</w:t>
      </w:r>
      <w:r>
        <w:rPr>
          <w:rStyle w:val="18"/>
          <w:rFonts w:hint="eastAsia" w:ascii="黑体" w:hAnsi="黑体" w:eastAsia="黑体" w:cs="黑体"/>
          <w:b w:val="0"/>
          <w:bCs w:val="0"/>
        </w:rPr>
        <w:t>入决算情况说明</w:t>
      </w:r>
      <w:bookmarkEnd w:id="26"/>
      <w:bookmarkEnd w:id="27"/>
    </w:p>
    <w:p>
      <w:pPr>
        <w:widowControl/>
        <w:ind w:firstLine="640" w:firstLineChars="200"/>
        <w:jc w:val="left"/>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20年本年收入286.59万元，其中财政拨款收入286.59万元，占总收入的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rPr>
        <w:t>政府性基金预算财政拨款收入</w:t>
      </w:r>
      <w:r>
        <w:rPr>
          <w:rFonts w:ascii="仿宋_GB2312" w:hAnsi="仿宋_GB2312" w:eastAsia="仿宋_GB2312" w:cs="仿宋_GB2312"/>
          <w:color w:val="000000"/>
          <w:kern w:val="0"/>
          <w:sz w:val="32"/>
          <w:szCs w:val="32"/>
        </w:rPr>
        <w:t>0</w:t>
      </w:r>
      <w:r>
        <w:rPr>
          <w:rFonts w:hint="eastAsia" w:ascii="仿宋_GB2312" w:hAnsi="仿宋_GB2312" w:eastAsia="仿宋_GB2312" w:cs="仿宋_GB2312"/>
          <w:color w:val="000000"/>
          <w:kern w:val="0"/>
          <w:sz w:val="32"/>
          <w:szCs w:val="32"/>
        </w:rPr>
        <w:t>万元；国有资本经营预算财政拨款收入</w:t>
      </w:r>
      <w:r>
        <w:rPr>
          <w:rFonts w:ascii="仿宋_GB2312" w:hAnsi="仿宋_GB2312" w:eastAsia="仿宋_GB2312" w:cs="仿宋_GB2312"/>
          <w:color w:val="000000"/>
          <w:kern w:val="0"/>
          <w:sz w:val="32"/>
          <w:szCs w:val="32"/>
        </w:rPr>
        <w:t>0</w:t>
      </w:r>
      <w:r>
        <w:rPr>
          <w:rFonts w:hint="eastAsia" w:ascii="仿宋_GB2312" w:hAnsi="仿宋_GB2312" w:eastAsia="仿宋_GB2312" w:cs="仿宋_GB2312"/>
          <w:color w:val="000000"/>
          <w:kern w:val="0"/>
          <w:sz w:val="32"/>
          <w:szCs w:val="32"/>
        </w:rPr>
        <w:t>万元;事业收入</w:t>
      </w:r>
      <w:r>
        <w:rPr>
          <w:rFonts w:ascii="仿宋_GB2312" w:hAnsi="仿宋_GB2312" w:eastAsia="仿宋_GB2312" w:cs="仿宋_GB2312"/>
          <w:color w:val="000000"/>
          <w:kern w:val="0"/>
          <w:sz w:val="32"/>
          <w:szCs w:val="32"/>
        </w:rPr>
        <w:t>0</w:t>
      </w:r>
      <w:r>
        <w:rPr>
          <w:rFonts w:hint="eastAsia" w:ascii="仿宋_GB2312" w:hAnsi="仿宋_GB2312" w:eastAsia="仿宋_GB2312" w:cs="仿宋_GB2312"/>
          <w:color w:val="000000"/>
          <w:kern w:val="0"/>
          <w:sz w:val="32"/>
          <w:szCs w:val="32"/>
        </w:rPr>
        <w:t>万元；经营收入</w:t>
      </w:r>
      <w:r>
        <w:rPr>
          <w:rFonts w:ascii="仿宋_GB2312" w:hAnsi="仿宋_GB2312" w:eastAsia="仿宋_GB2312" w:cs="仿宋_GB2312"/>
          <w:color w:val="000000"/>
          <w:kern w:val="0"/>
          <w:sz w:val="32"/>
          <w:szCs w:val="32"/>
        </w:rPr>
        <w:t>0</w:t>
      </w:r>
      <w:r>
        <w:rPr>
          <w:rFonts w:hint="eastAsia" w:ascii="仿宋_GB2312" w:hAnsi="仿宋_GB2312" w:eastAsia="仿宋_GB2312" w:cs="仿宋_GB2312"/>
          <w:color w:val="000000"/>
          <w:kern w:val="0"/>
          <w:sz w:val="32"/>
          <w:szCs w:val="32"/>
        </w:rPr>
        <w:t>万元；附属单位上缴收入</w:t>
      </w:r>
      <w:r>
        <w:rPr>
          <w:rFonts w:ascii="仿宋_GB2312" w:hAnsi="仿宋_GB2312" w:eastAsia="仿宋_GB2312" w:cs="仿宋_GB2312"/>
          <w:color w:val="000000"/>
          <w:kern w:val="0"/>
          <w:sz w:val="32"/>
          <w:szCs w:val="32"/>
        </w:rPr>
        <w:t>0</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sz w:val="32"/>
          <w:szCs w:val="32"/>
        </w:rPr>
        <w:t>其他收入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p>
    <w:p>
      <w:pPr>
        <w:widowControl/>
        <w:spacing w:line="576" w:lineRule="exact"/>
        <w:ind w:firstLine="1686" w:firstLineChars="600"/>
        <w:jc w:val="left"/>
        <w:rPr>
          <w:rFonts w:ascii="宋体" w:hAnsi="宋体" w:cs="宋体"/>
          <w:b/>
          <w:bCs/>
          <w:color w:val="000000"/>
          <w:kern w:val="0"/>
          <w:sz w:val="28"/>
          <w:szCs w:val="28"/>
        </w:rPr>
      </w:pPr>
    </w:p>
    <w:p>
      <w:pPr>
        <w:widowControl/>
        <w:spacing w:line="576" w:lineRule="exact"/>
        <w:ind w:firstLine="1686" w:firstLineChars="600"/>
        <w:jc w:val="left"/>
        <w:rPr>
          <w:rFonts w:ascii="宋体" w:cs="宋体"/>
          <w:b/>
          <w:bCs/>
          <w:color w:val="000000"/>
          <w:kern w:val="0"/>
          <w:sz w:val="28"/>
          <w:szCs w:val="28"/>
        </w:rPr>
      </w:pPr>
      <w:r>
        <w:rPr>
          <w:rFonts w:hint="eastAsia" w:ascii="宋体" w:hAnsi="宋体" w:cs="宋体"/>
          <w:b/>
          <w:bCs/>
          <w:color w:val="000000"/>
          <w:kern w:val="0"/>
          <w:sz w:val="28"/>
          <w:szCs w:val="28"/>
        </w:rPr>
        <w:t>图</w:t>
      </w:r>
      <w:r>
        <w:rPr>
          <w:rFonts w:ascii="宋体" w:hAnsi="宋体" w:cs="宋体"/>
          <w:b/>
          <w:bCs/>
          <w:color w:val="000000"/>
          <w:kern w:val="0"/>
          <w:sz w:val="28"/>
          <w:szCs w:val="28"/>
        </w:rPr>
        <w:t xml:space="preserve"> 2</w:t>
      </w:r>
      <w:r>
        <w:rPr>
          <w:rFonts w:hint="eastAsia" w:ascii="宋体" w:hAnsi="宋体" w:cs="宋体"/>
          <w:b/>
          <w:bCs/>
          <w:color w:val="000000"/>
          <w:kern w:val="0"/>
          <w:sz w:val="28"/>
          <w:szCs w:val="28"/>
        </w:rPr>
        <w:t>：收入决算结构图（单位：万元）</w:t>
      </w:r>
    </w:p>
    <w:p>
      <w:pPr>
        <w:widowControl/>
        <w:spacing w:line="576" w:lineRule="exact"/>
        <w:ind w:firstLine="1686" w:firstLineChars="600"/>
        <w:jc w:val="left"/>
        <w:rPr>
          <w:rFonts w:ascii="宋体" w:cs="宋体"/>
          <w:b/>
          <w:bCs/>
          <w:color w:val="000000"/>
          <w:kern w:val="0"/>
          <w:sz w:val="28"/>
          <w:szCs w:val="28"/>
        </w:rPr>
      </w:pPr>
    </w:p>
    <w:p>
      <w:pPr>
        <w:widowControl/>
        <w:spacing w:line="576" w:lineRule="exact"/>
        <w:ind w:firstLine="1686" w:firstLineChars="600"/>
        <w:jc w:val="left"/>
        <w:rPr>
          <w:rFonts w:ascii="宋体" w:cs="宋体"/>
          <w:b/>
          <w:bCs/>
          <w:color w:val="000000"/>
          <w:kern w:val="0"/>
          <w:sz w:val="28"/>
          <w:szCs w:val="28"/>
        </w:rPr>
      </w:pPr>
    </w:p>
    <w:p>
      <w:pPr>
        <w:widowControl/>
        <w:spacing w:line="576" w:lineRule="exact"/>
        <w:ind w:firstLine="1260" w:firstLineChars="600"/>
        <w:jc w:val="left"/>
        <w:rPr>
          <w:rFonts w:ascii="宋体" w:cs="宋体"/>
          <w:b/>
          <w:bCs/>
          <w:color w:val="000000"/>
          <w:kern w:val="0"/>
          <w:sz w:val="28"/>
          <w:szCs w:val="28"/>
        </w:rPr>
      </w:pPr>
      <w:r>
        <w:drawing>
          <wp:anchor distT="0" distB="0" distL="114300" distR="114300" simplePos="0" relativeHeight="251664384" behindDoc="0" locked="0" layoutInCell="1" allowOverlap="1">
            <wp:simplePos x="0" y="0"/>
            <wp:positionH relativeFrom="column">
              <wp:posOffset>496570</wp:posOffset>
            </wp:positionH>
            <wp:positionV relativeFrom="paragraph">
              <wp:posOffset>-355600</wp:posOffset>
            </wp:positionV>
            <wp:extent cx="4786630" cy="2705100"/>
            <wp:effectExtent l="4445" t="4445" r="9525" b="14605"/>
            <wp:wrapSquare wrapText="bothSides"/>
            <wp:docPr id="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widowControl/>
        <w:spacing w:line="576" w:lineRule="exact"/>
        <w:jc w:val="left"/>
        <w:rPr>
          <w:rFonts w:ascii="宋体" w:cs="宋体"/>
          <w:b/>
          <w:bCs/>
          <w:color w:val="000000"/>
          <w:kern w:val="0"/>
          <w:sz w:val="28"/>
          <w:szCs w:val="28"/>
        </w:rPr>
      </w:pPr>
    </w:p>
    <w:p>
      <w:pPr>
        <w:widowControl/>
        <w:spacing w:line="576" w:lineRule="exact"/>
        <w:ind w:firstLine="1686" w:firstLineChars="600"/>
        <w:jc w:val="left"/>
        <w:rPr>
          <w:rFonts w:ascii="宋体" w:cs="宋体"/>
          <w:b/>
          <w:bCs/>
          <w:color w:val="000000"/>
          <w:kern w:val="0"/>
          <w:sz w:val="28"/>
          <w:szCs w:val="28"/>
        </w:rPr>
      </w:pPr>
    </w:p>
    <w:p>
      <w:pPr>
        <w:widowControl/>
        <w:spacing w:line="576" w:lineRule="exact"/>
        <w:ind w:firstLine="1686" w:firstLineChars="600"/>
        <w:jc w:val="left"/>
        <w:rPr>
          <w:rFonts w:ascii="宋体" w:cs="宋体"/>
          <w:b/>
          <w:bCs/>
          <w:color w:val="000000"/>
          <w:kern w:val="0"/>
          <w:sz w:val="28"/>
          <w:szCs w:val="28"/>
        </w:rPr>
      </w:pPr>
    </w:p>
    <w:p>
      <w:pPr>
        <w:widowControl/>
        <w:spacing w:line="576" w:lineRule="exact"/>
        <w:ind w:firstLine="960" w:firstLineChars="300"/>
        <w:jc w:val="left"/>
        <w:rPr>
          <w:rFonts w:ascii="黑体" w:hAnsi="黑体" w:eastAsia="黑体" w:cs="黑体"/>
          <w:sz w:val="32"/>
          <w:szCs w:val="32"/>
        </w:rPr>
      </w:pPr>
      <w:bookmarkStart w:id="28" w:name="_Toc15377207"/>
      <w:bookmarkStart w:id="29" w:name="_Toc15396605"/>
    </w:p>
    <w:p>
      <w:pPr>
        <w:widowControl/>
        <w:spacing w:line="576" w:lineRule="exact"/>
        <w:ind w:firstLine="960" w:firstLineChars="300"/>
        <w:jc w:val="left"/>
        <w:rPr>
          <w:rFonts w:ascii="黑体" w:hAnsi="黑体" w:eastAsia="黑体" w:cs="黑体"/>
          <w:sz w:val="32"/>
          <w:szCs w:val="32"/>
        </w:rPr>
      </w:pPr>
    </w:p>
    <w:p>
      <w:pPr>
        <w:widowControl/>
        <w:spacing w:line="576" w:lineRule="exact"/>
        <w:jc w:val="left"/>
        <w:rPr>
          <w:rFonts w:ascii="黑体" w:hAnsi="黑体" w:eastAsia="黑体" w:cs="黑体"/>
          <w:sz w:val="32"/>
          <w:szCs w:val="32"/>
        </w:rPr>
      </w:pPr>
    </w:p>
    <w:p>
      <w:pPr>
        <w:widowControl/>
        <w:spacing w:line="576" w:lineRule="exact"/>
        <w:ind w:firstLine="640" w:firstLineChars="200"/>
        <w:jc w:val="left"/>
        <w:rPr>
          <w:rStyle w:val="18"/>
          <w:rFonts w:ascii="黑体" w:hAnsi="黑体" w:eastAsia="黑体" w:cs="Times New Roman"/>
          <w:b w:val="0"/>
          <w:bCs w:val="0"/>
        </w:rPr>
      </w:pPr>
      <w:r>
        <w:rPr>
          <w:rFonts w:hint="eastAsia" w:ascii="黑体" w:hAnsi="黑体" w:eastAsia="黑体" w:cs="黑体"/>
          <w:sz w:val="32"/>
          <w:szCs w:val="32"/>
        </w:rPr>
        <w:t>三、</w:t>
      </w:r>
      <w:r>
        <w:rPr>
          <w:rFonts w:hint="eastAsia" w:ascii="黑体" w:hAnsi="黑体" w:eastAsia="黑体" w:cs="黑体"/>
          <w:color w:val="000000"/>
          <w:sz w:val="32"/>
          <w:szCs w:val="32"/>
        </w:rPr>
        <w:t>支</w:t>
      </w:r>
      <w:r>
        <w:rPr>
          <w:rStyle w:val="18"/>
          <w:rFonts w:hint="eastAsia" w:ascii="黑体" w:hAnsi="黑体" w:eastAsia="黑体" w:cs="黑体"/>
          <w:b w:val="0"/>
          <w:bCs w:val="0"/>
        </w:rPr>
        <w:t>出决算情况说明</w:t>
      </w:r>
      <w:bookmarkEnd w:id="28"/>
      <w:bookmarkEnd w:id="29"/>
    </w:p>
    <w:p>
      <w:pPr>
        <w:widowControl/>
        <w:spacing w:line="576" w:lineRule="exact"/>
        <w:ind w:firstLine="640" w:firstLineChars="200"/>
        <w:jc w:val="left"/>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20年本年支出合计280.10万元，其中：基本支出278.68万元，占</w:t>
      </w:r>
      <w:r>
        <w:rPr>
          <w:rFonts w:ascii="仿宋_GB2312" w:hAnsi="仿宋_GB2312" w:eastAsia="仿宋_GB2312" w:cs="仿宋_GB2312"/>
          <w:color w:val="000000"/>
          <w:sz w:val="32"/>
          <w:szCs w:val="32"/>
        </w:rPr>
        <w:t>99%;</w:t>
      </w:r>
      <w:r>
        <w:rPr>
          <w:rFonts w:hint="eastAsia" w:ascii="仿宋_GB2312" w:hAnsi="仿宋_GB2312" w:eastAsia="仿宋_GB2312" w:cs="仿宋_GB2312"/>
          <w:color w:val="000000"/>
          <w:sz w:val="32"/>
          <w:szCs w:val="32"/>
        </w:rPr>
        <w:t>项目支出1.42万元，占</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w:t>
      </w:r>
    </w:p>
    <w:p>
      <w:pPr>
        <w:widowControl/>
        <w:spacing w:line="576" w:lineRule="exact"/>
        <w:jc w:val="center"/>
      </w:pPr>
      <w:r>
        <w:rPr>
          <w:rFonts w:hint="eastAsia" w:ascii="宋体" w:hAnsi="宋体" w:cs="宋体"/>
          <w:b/>
          <w:bCs/>
          <w:color w:val="000000"/>
          <w:kern w:val="0"/>
          <w:sz w:val="28"/>
          <w:szCs w:val="28"/>
        </w:rPr>
        <w:t>图</w:t>
      </w:r>
      <w:r>
        <w:rPr>
          <w:rFonts w:ascii="宋体" w:hAnsi="宋体" w:cs="宋体"/>
          <w:b/>
          <w:bCs/>
          <w:color w:val="000000"/>
          <w:kern w:val="0"/>
          <w:sz w:val="28"/>
          <w:szCs w:val="28"/>
        </w:rPr>
        <w:t xml:space="preserve"> 3</w:t>
      </w:r>
      <w:r>
        <w:rPr>
          <w:rFonts w:hint="eastAsia" w:ascii="宋体" w:hAnsi="宋体" w:cs="宋体"/>
          <w:b/>
          <w:bCs/>
          <w:color w:val="000000"/>
          <w:kern w:val="0"/>
          <w:sz w:val="28"/>
          <w:szCs w:val="28"/>
        </w:rPr>
        <w:t>：支出决算结构图（单位：万元</w:t>
      </w:r>
      <w:bookmarkStart w:id="30" w:name="_Toc15377208"/>
      <w:bookmarkStart w:id="31" w:name="_Toc15396606"/>
    </w:p>
    <w:p>
      <w:pPr>
        <w:tabs>
          <w:tab w:val="left" w:pos="6765"/>
        </w:tabs>
        <w:spacing w:line="576" w:lineRule="exact"/>
        <w:rPr>
          <w:rFonts w:ascii="仿宋_GB2312" w:hAnsi="仿宋_GB2312" w:eastAsia="仿宋_GB2312"/>
          <w:color w:val="000000"/>
          <w:sz w:val="32"/>
          <w:szCs w:val="32"/>
        </w:rPr>
      </w:pPr>
      <w:r>
        <w:drawing>
          <wp:anchor distT="0" distB="0" distL="114300" distR="114300" simplePos="0" relativeHeight="251660288" behindDoc="0" locked="0" layoutInCell="1" allowOverlap="1">
            <wp:simplePos x="0" y="0"/>
            <wp:positionH relativeFrom="column">
              <wp:posOffset>325755</wp:posOffset>
            </wp:positionH>
            <wp:positionV relativeFrom="paragraph">
              <wp:posOffset>178435</wp:posOffset>
            </wp:positionV>
            <wp:extent cx="4572000" cy="2743200"/>
            <wp:effectExtent l="0" t="0" r="0" b="0"/>
            <wp:wrapSquare wrapText="bothSides"/>
            <wp:docPr id="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pic:cNvPicPr>
                      <a:picLocks noChangeAspect="1"/>
                    </pic:cNvPicPr>
                  </pic:nvPicPr>
                  <pic:blipFill>
                    <a:blip r:embed="rId9"/>
                    <a:stretch>
                      <a:fillRect/>
                    </a:stretch>
                  </pic:blipFill>
                  <pic:spPr>
                    <a:xfrm>
                      <a:off x="0" y="0"/>
                      <a:ext cx="4572000" cy="2743200"/>
                    </a:xfrm>
                    <a:prstGeom prst="rect">
                      <a:avLst/>
                    </a:prstGeom>
                    <a:noFill/>
                    <a:ln>
                      <a:noFill/>
                    </a:ln>
                  </pic:spPr>
                </pic:pic>
              </a:graphicData>
            </a:graphic>
          </wp:anchor>
        </w:drawing>
      </w:r>
    </w:p>
    <w:p>
      <w:pPr>
        <w:tabs>
          <w:tab w:val="left" w:pos="6765"/>
        </w:tabs>
        <w:spacing w:line="576" w:lineRule="exact"/>
        <w:rPr>
          <w:rFonts w:ascii="仿宋_GB2312" w:hAnsi="仿宋_GB2312" w:eastAsia="仿宋_GB2312"/>
          <w:color w:val="000000"/>
          <w:sz w:val="32"/>
          <w:szCs w:val="32"/>
        </w:rPr>
      </w:pPr>
    </w:p>
    <w:p>
      <w:pPr>
        <w:tabs>
          <w:tab w:val="left" w:pos="2662"/>
        </w:tabs>
        <w:spacing w:line="576" w:lineRule="exact"/>
        <w:rPr>
          <w:rFonts w:ascii="仿宋_GB2312" w:hAnsi="仿宋_GB2312" w:eastAsia="仿宋_GB2312"/>
          <w:color w:val="000000"/>
          <w:sz w:val="32"/>
          <w:szCs w:val="32"/>
        </w:rPr>
      </w:pPr>
      <w:r>
        <w:rPr>
          <w:rFonts w:ascii="仿宋_GB2312" w:hAnsi="仿宋_GB2312" w:eastAsia="仿宋_GB2312"/>
          <w:color w:val="000000"/>
          <w:sz w:val="32"/>
          <w:szCs w:val="32"/>
        </w:rPr>
        <w:tab/>
      </w:r>
    </w:p>
    <w:p>
      <w:pPr>
        <w:tabs>
          <w:tab w:val="left" w:pos="6765"/>
        </w:tabs>
        <w:spacing w:line="576" w:lineRule="exact"/>
        <w:rPr>
          <w:rFonts w:ascii="仿宋_GB2312" w:hAnsi="仿宋_GB2312" w:eastAsia="仿宋_GB2312"/>
          <w:color w:val="000000"/>
          <w:sz w:val="32"/>
          <w:szCs w:val="32"/>
        </w:rPr>
      </w:pPr>
    </w:p>
    <w:p>
      <w:pPr>
        <w:tabs>
          <w:tab w:val="left" w:pos="6765"/>
        </w:tabs>
        <w:spacing w:line="576" w:lineRule="exact"/>
        <w:rPr>
          <w:rFonts w:ascii="仿宋_GB2312" w:hAnsi="仿宋_GB2312" w:eastAsia="仿宋_GB2312"/>
          <w:color w:val="000000"/>
          <w:sz w:val="32"/>
          <w:szCs w:val="32"/>
        </w:rPr>
      </w:pPr>
    </w:p>
    <w:p>
      <w:pPr>
        <w:tabs>
          <w:tab w:val="left" w:pos="6765"/>
        </w:tabs>
        <w:spacing w:line="576" w:lineRule="exact"/>
        <w:rPr>
          <w:rFonts w:ascii="仿宋_GB2312" w:hAnsi="仿宋_GB2312" w:eastAsia="仿宋_GB2312"/>
          <w:color w:val="000000"/>
          <w:sz w:val="32"/>
          <w:szCs w:val="32"/>
        </w:rPr>
      </w:pPr>
    </w:p>
    <w:p>
      <w:pPr>
        <w:spacing w:line="576" w:lineRule="exact"/>
        <w:ind w:firstLine="640" w:firstLineChars="200"/>
        <w:rPr>
          <w:rFonts w:ascii="黑体" w:hAnsi="黑体" w:eastAsia="黑体" w:cs="黑体"/>
          <w:color w:val="000000"/>
          <w:sz w:val="32"/>
          <w:szCs w:val="32"/>
        </w:rPr>
      </w:pPr>
    </w:p>
    <w:p>
      <w:pPr>
        <w:spacing w:line="576" w:lineRule="exact"/>
        <w:ind w:firstLine="640" w:firstLineChars="200"/>
        <w:rPr>
          <w:rFonts w:ascii="黑体" w:hAnsi="黑体" w:eastAsia="黑体" w:cs="黑体"/>
          <w:color w:val="000000"/>
          <w:sz w:val="32"/>
          <w:szCs w:val="32"/>
        </w:rPr>
      </w:pPr>
    </w:p>
    <w:p>
      <w:pPr>
        <w:spacing w:line="576" w:lineRule="exact"/>
        <w:ind w:firstLine="640" w:firstLineChars="200"/>
        <w:rPr>
          <w:rStyle w:val="18"/>
          <w:rFonts w:ascii="黑体" w:hAnsi="黑体" w:eastAsia="黑体" w:cs="Times New Roman"/>
          <w:b w:val="0"/>
          <w:bCs w:val="0"/>
        </w:rPr>
      </w:pPr>
      <w:r>
        <w:rPr>
          <w:rFonts w:hint="eastAsia" w:ascii="黑体" w:hAnsi="黑体" w:eastAsia="黑体" w:cs="黑体"/>
          <w:color w:val="000000"/>
          <w:sz w:val="32"/>
          <w:szCs w:val="32"/>
        </w:rPr>
        <w:t>四、财</w:t>
      </w:r>
      <w:r>
        <w:rPr>
          <w:rStyle w:val="18"/>
          <w:rFonts w:hint="eastAsia" w:ascii="黑体" w:hAnsi="黑体" w:eastAsia="黑体" w:cs="黑体"/>
          <w:b w:val="0"/>
          <w:bCs w:val="0"/>
        </w:rPr>
        <w:t>政拨款收入支出决算总体情况说明</w:t>
      </w:r>
      <w:bookmarkEnd w:id="30"/>
      <w:bookmarkEnd w:id="31"/>
    </w:p>
    <w:p>
      <w:pPr>
        <w:widowControl/>
        <w:spacing w:line="576" w:lineRule="exact"/>
        <w:ind w:firstLine="640" w:firstLineChars="200"/>
        <w:jc w:val="left"/>
        <w:rPr>
          <w:rFonts w:ascii="仿宋_GB2312" w:hAnsi="仿宋" w:eastAsia="仿宋_GB2312"/>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20年财政拨款收入总计286.59万元。与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9年相比，财政拨款收入增加58.3万元，增长25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。主要变动的原因是人员增加</w:t>
      </w:r>
      <w:r>
        <w:rPr>
          <w:rFonts w:hint="eastAsia" w:ascii="仿宋_GB2312" w:hAnsi="仿宋" w:eastAsia="仿宋_GB2312"/>
          <w:sz w:val="32"/>
          <w:szCs w:val="32"/>
        </w:rPr>
        <w:t xml:space="preserve"> 。</w:t>
      </w:r>
    </w:p>
    <w:p>
      <w:pPr>
        <w:widowControl/>
        <w:spacing w:line="576" w:lineRule="exact"/>
        <w:ind w:firstLine="640" w:firstLineChars="200"/>
        <w:jc w:val="left"/>
        <w:rPr>
          <w:rFonts w:ascii="仿宋_GB2312" w:hAnsi="仿宋_GB2312" w:eastAsia="仿宋_GB2312"/>
          <w:sz w:val="32"/>
          <w:szCs w:val="32"/>
        </w:rPr>
      </w:pPr>
      <w:r>
        <w:rPr>
          <w:rFonts w:hint="eastAsia" w:ascii="仿宋_GB2312" w:eastAsia="仿宋_GB2312" w:cs="仿宋_GB2312"/>
          <w:color w:val="000000"/>
          <w:sz w:val="32"/>
          <w:szCs w:val="32"/>
        </w:rPr>
        <w:t>2020年财政拨款支出280.10万元。与</w:t>
      </w:r>
      <w:r>
        <w:rPr>
          <w:rFonts w:ascii="仿宋_GB2312" w:eastAsia="仿宋_GB2312" w:cs="仿宋_GB2312"/>
          <w:color w:val="000000"/>
          <w:sz w:val="32"/>
          <w:szCs w:val="32"/>
        </w:rPr>
        <w:t>201</w:t>
      </w:r>
      <w:r>
        <w:rPr>
          <w:rFonts w:hint="eastAsia" w:ascii="仿宋_GB2312" w:eastAsia="仿宋_GB2312" w:cs="仿宋_GB2312"/>
          <w:color w:val="000000"/>
          <w:sz w:val="32"/>
          <w:szCs w:val="32"/>
        </w:rPr>
        <w:t>9年相比，财政拨款收入增加 52.97万元，增长23</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。主要变动的原因是人员增加。</w:t>
      </w:r>
    </w:p>
    <w:p>
      <w:pPr>
        <w:spacing w:line="576" w:lineRule="exact"/>
        <w:ind w:firstLine="562" w:firstLineChars="200"/>
      </w:pPr>
      <w:r>
        <w:rPr>
          <w:rFonts w:hint="eastAsia" w:ascii="宋体" w:hAnsi="宋体" w:cs="宋体"/>
          <w:b/>
          <w:bCs/>
          <w:color w:val="000000"/>
          <w:kern w:val="0"/>
          <w:sz w:val="28"/>
          <w:szCs w:val="28"/>
        </w:rPr>
        <w:t>图</w:t>
      </w:r>
      <w:r>
        <w:rPr>
          <w:rFonts w:ascii="宋体" w:hAnsi="宋体" w:cs="宋体"/>
          <w:b/>
          <w:bCs/>
          <w:color w:val="000000"/>
          <w:kern w:val="0"/>
          <w:sz w:val="28"/>
          <w:szCs w:val="28"/>
        </w:rPr>
        <w:t>4</w:t>
      </w:r>
      <w:r>
        <w:rPr>
          <w:rFonts w:hint="eastAsia" w:ascii="宋体" w:hAnsi="宋体" w:cs="宋体"/>
          <w:b/>
          <w:bCs/>
          <w:color w:val="000000"/>
          <w:kern w:val="0"/>
          <w:sz w:val="28"/>
          <w:szCs w:val="28"/>
        </w:rPr>
        <w:t>：财政拨款收、支决算变动情况（单位：万元）</w:t>
      </w:r>
    </w:p>
    <w:p>
      <w:pPr>
        <w:spacing w:line="576" w:lineRule="exact"/>
        <w:rPr>
          <w:rFonts w:ascii="黑体" w:hAnsi="黑体" w:eastAsia="黑体" w:cs="黑体"/>
          <w:color w:val="000000"/>
          <w:sz w:val="32"/>
          <w:szCs w:val="32"/>
        </w:rPr>
      </w:pPr>
      <w:bookmarkStart w:id="32" w:name="_Toc15396607"/>
      <w:bookmarkStart w:id="33" w:name="_Toc15377209"/>
      <w:r>
        <w:drawing>
          <wp:anchor distT="0" distB="0" distL="114300" distR="114300" simplePos="0" relativeHeight="251659264" behindDoc="0" locked="0" layoutInCell="1" allowOverlap="1">
            <wp:simplePos x="0" y="0"/>
            <wp:positionH relativeFrom="margin">
              <wp:posOffset>454025</wp:posOffset>
            </wp:positionH>
            <wp:positionV relativeFrom="margin">
              <wp:posOffset>2740025</wp:posOffset>
            </wp:positionV>
            <wp:extent cx="4446270" cy="3418205"/>
            <wp:effectExtent l="4445" t="4445" r="6985" b="6350"/>
            <wp:wrapSquare wrapText="bothSides"/>
            <wp:docPr id="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numPr>
          <w:ilvl w:val="0"/>
          <w:numId w:val="4"/>
        </w:numPr>
        <w:spacing w:line="576" w:lineRule="exact"/>
        <w:ind w:firstLine="642" w:firstLineChars="200"/>
        <w:rPr>
          <w:rStyle w:val="18"/>
          <w:rFonts w:ascii="黑体" w:hAnsi="黑体" w:eastAsia="黑体" w:cs="黑体"/>
          <w:b w:val="0"/>
          <w:bCs w:val="0"/>
        </w:rPr>
      </w:pPr>
      <w:r>
        <w:rPr>
          <w:rFonts w:hint="eastAsia" w:ascii="黑体" w:hAnsi="黑体" w:eastAsia="黑体" w:cs="黑体"/>
          <w:b/>
          <w:bCs/>
          <w:color w:val="000000"/>
          <w:sz w:val="32"/>
          <w:szCs w:val="32"/>
        </w:rPr>
        <w:t>一</w:t>
      </w:r>
      <w:r>
        <w:rPr>
          <w:rStyle w:val="18"/>
          <w:rFonts w:hint="eastAsia" w:ascii="黑体" w:hAnsi="黑体" w:eastAsia="黑体" w:cs="黑体"/>
          <w:b w:val="0"/>
          <w:bCs w:val="0"/>
        </w:rPr>
        <w:t>般公共预算财政拨款支出决算情况说明</w:t>
      </w:r>
      <w:bookmarkEnd w:id="32"/>
      <w:bookmarkEnd w:id="33"/>
      <w:bookmarkStart w:id="34" w:name="_Toc15377210"/>
    </w:p>
    <w:p>
      <w:pPr>
        <w:spacing w:line="576" w:lineRule="exact"/>
        <w:ind w:firstLine="629" w:firstLineChars="196"/>
        <w:rPr>
          <w:rFonts w:ascii="黑体" w:hAnsi="黑体" w:eastAsia="黑体" w:cs="黑体"/>
          <w:sz w:val="32"/>
          <w:szCs w:val="32"/>
        </w:rPr>
      </w:pPr>
      <w:r>
        <w:rPr>
          <w:rFonts w:hint="eastAsia" w:ascii="楷体" w:hAnsi="楷体" w:eastAsia="楷体" w:cs="楷体"/>
          <w:b/>
          <w:bCs/>
          <w:color w:val="000000"/>
          <w:sz w:val="32"/>
          <w:szCs w:val="32"/>
        </w:rPr>
        <w:t>（一）一般公共预算财政拨款支出决算总体情况</w:t>
      </w:r>
      <w:bookmarkEnd w:id="34"/>
    </w:p>
    <w:p>
      <w:pPr>
        <w:widowControl/>
        <w:spacing w:line="576" w:lineRule="exact"/>
        <w:ind w:firstLine="640" w:firstLineChars="200"/>
        <w:jc w:val="left"/>
        <w:rPr>
          <w:rFonts w:ascii="仿宋_GB2312" w:hAnsi="仿宋_GB2312" w:eastAsia="仿宋_GB2312"/>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20年一般公共预算财政拨款支出280.10万元，占本年支出合计的</w:t>
      </w:r>
      <w:r>
        <w:rPr>
          <w:rFonts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rPr>
        <w:t>7</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9年相比，一般公共预算财政拨款增加52.98万元，增长23</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。主要变动原因是</w:t>
      </w:r>
      <w:r>
        <w:rPr>
          <w:rFonts w:hint="eastAsia" w:ascii="仿宋_GB2312" w:hAnsi="仿宋" w:eastAsia="仿宋_GB2312"/>
          <w:sz w:val="32"/>
          <w:szCs w:val="32"/>
        </w:rPr>
        <w:t>人员增加。</w:t>
      </w:r>
    </w:p>
    <w:p>
      <w:pPr>
        <w:widowControl/>
        <w:spacing w:line="576" w:lineRule="exact"/>
        <w:ind w:left="559" w:leftChars="266"/>
        <w:jc w:val="left"/>
        <w:rPr>
          <w:rFonts w:ascii="宋体"/>
          <w:b/>
          <w:bCs/>
          <w:color w:val="000000"/>
          <w:kern w:val="0"/>
          <w:sz w:val="28"/>
          <w:szCs w:val="28"/>
        </w:rPr>
      </w:pPr>
      <w:r>
        <w:rPr>
          <w:rFonts w:hint="eastAsia" w:ascii="宋体" w:hAnsi="宋体" w:cs="宋体"/>
          <w:b/>
          <w:bCs/>
          <w:color w:val="000000"/>
          <w:kern w:val="0"/>
          <w:sz w:val="28"/>
          <w:szCs w:val="28"/>
        </w:rPr>
        <w:t>图</w:t>
      </w:r>
      <w:r>
        <w:rPr>
          <w:rFonts w:ascii="宋体" w:hAnsi="宋体" w:cs="宋体"/>
          <w:b/>
          <w:bCs/>
          <w:color w:val="000000"/>
          <w:kern w:val="0"/>
          <w:sz w:val="28"/>
          <w:szCs w:val="28"/>
        </w:rPr>
        <w:t xml:space="preserve"> 5</w:t>
      </w:r>
      <w:r>
        <w:rPr>
          <w:rFonts w:hint="eastAsia" w:ascii="宋体" w:hAnsi="宋体" w:cs="宋体"/>
          <w:b/>
          <w:bCs/>
          <w:color w:val="000000"/>
          <w:kern w:val="0"/>
          <w:sz w:val="28"/>
          <w:szCs w:val="28"/>
        </w:rPr>
        <w:t>：一般公共预算财政拨款支出决算变动情况（单位：万元）</w:t>
      </w:r>
    </w:p>
    <w:p>
      <w:pPr>
        <w:widowControl/>
        <w:spacing w:line="576" w:lineRule="exact"/>
        <w:ind w:firstLine="642" w:firstLineChars="200"/>
        <w:jc w:val="left"/>
        <w:rPr>
          <w:rFonts w:ascii="楷体" w:hAnsi="楷体" w:eastAsia="楷体" w:cs="楷体"/>
          <w:b/>
          <w:bCs/>
          <w:color w:val="000000"/>
          <w:sz w:val="32"/>
          <w:szCs w:val="32"/>
        </w:rPr>
      </w:pPr>
      <w:bookmarkStart w:id="35" w:name="_Toc15377211"/>
    </w:p>
    <w:p>
      <w:pPr>
        <w:widowControl/>
        <w:tabs>
          <w:tab w:val="left" w:pos="3533"/>
        </w:tabs>
        <w:spacing w:line="576" w:lineRule="exact"/>
        <w:ind w:firstLine="420" w:firstLineChars="200"/>
        <w:jc w:val="left"/>
        <w:rPr>
          <w:rFonts w:ascii="楷体" w:hAnsi="楷体" w:eastAsia="楷体" w:cs="楷体"/>
          <w:b/>
          <w:bCs/>
          <w:color w:val="000000"/>
          <w:sz w:val="32"/>
          <w:szCs w:val="32"/>
        </w:rPr>
      </w:pPr>
      <w:r>
        <w:drawing>
          <wp:anchor distT="0" distB="0" distL="114300" distR="114300" simplePos="0" relativeHeight="251661312" behindDoc="0" locked="0" layoutInCell="1" allowOverlap="1">
            <wp:simplePos x="0" y="0"/>
            <wp:positionH relativeFrom="column">
              <wp:posOffset>165735</wp:posOffset>
            </wp:positionH>
            <wp:positionV relativeFrom="paragraph">
              <wp:posOffset>-564515</wp:posOffset>
            </wp:positionV>
            <wp:extent cx="4980940" cy="3136265"/>
            <wp:effectExtent l="4445" t="4445" r="5715" b="21590"/>
            <wp:wrapSquare wrapText="bothSides"/>
            <wp:docPr id="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楷体" w:hAnsi="楷体" w:eastAsia="楷体" w:cs="楷体"/>
          <w:b/>
          <w:bCs/>
          <w:color w:val="000000"/>
          <w:sz w:val="32"/>
          <w:szCs w:val="32"/>
        </w:rPr>
        <w:tab/>
      </w:r>
    </w:p>
    <w:p>
      <w:pPr>
        <w:widowControl/>
        <w:spacing w:line="576" w:lineRule="exact"/>
        <w:ind w:firstLine="472" w:firstLineChars="147"/>
        <w:jc w:val="left"/>
        <w:rPr>
          <w:rFonts w:ascii="楷体" w:hAnsi="楷体" w:eastAsia="楷体" w:cs="楷体"/>
          <w:b/>
          <w:bCs/>
          <w:color w:val="000000"/>
          <w:sz w:val="32"/>
          <w:szCs w:val="32"/>
        </w:rPr>
      </w:pPr>
      <w:r>
        <w:rPr>
          <w:rFonts w:hint="eastAsia" w:ascii="楷体" w:hAnsi="楷体" w:eastAsia="楷体" w:cs="楷体"/>
          <w:b/>
          <w:bCs/>
          <w:color w:val="000000"/>
          <w:sz w:val="32"/>
          <w:szCs w:val="32"/>
        </w:rPr>
        <w:t>(二）一般公共预算财政拨款支出决算结构情况</w:t>
      </w:r>
      <w:bookmarkEnd w:id="35"/>
    </w:p>
    <w:p>
      <w:pPr>
        <w:spacing w:line="576" w:lineRule="exact"/>
        <w:ind w:firstLine="640"/>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20年一般公共预算财政拨款支出280.10万元，主要用于以下方面</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教育支出210.52万元，占</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；社会保障和就业支出31.05万元，占</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；卫生健康支出15.16万元，占</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；农林水支出</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42万元，占1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；住房保障支出21.95万元，占8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widowControl/>
        <w:spacing w:line="576" w:lineRule="exact"/>
        <w:ind w:firstLine="933" w:firstLineChars="300"/>
        <w:jc w:val="left"/>
        <w:rPr>
          <w:b/>
          <w:bCs/>
        </w:rPr>
      </w:pPr>
      <w:r>
        <w:rPr>
          <w:rFonts w:hint="eastAsia" w:ascii="宋体" w:hAnsi="宋体" w:cs="宋体"/>
          <w:b/>
          <w:bCs/>
          <w:color w:val="000000"/>
          <w:kern w:val="0"/>
          <w:sz w:val="31"/>
          <w:szCs w:val="31"/>
        </w:rPr>
        <w:t>图</w:t>
      </w:r>
      <w:r>
        <w:rPr>
          <w:rFonts w:ascii="仿宋" w:eastAsia="仿宋"/>
          <w:b/>
          <w:bCs/>
          <w:color w:val="000000"/>
          <w:kern w:val="0"/>
          <w:sz w:val="31"/>
          <w:szCs w:val="31"/>
        </w:rPr>
        <w:t xml:space="preserve"> 6</w:t>
      </w:r>
      <w:r>
        <w:rPr>
          <w:rFonts w:hint="eastAsia" w:ascii="宋体" w:hAnsi="宋体" w:cs="宋体"/>
          <w:b/>
          <w:bCs/>
          <w:color w:val="000000"/>
          <w:kern w:val="0"/>
          <w:sz w:val="31"/>
          <w:szCs w:val="31"/>
        </w:rPr>
        <w:t>：一般公共预算财政拨款支出决算结构</w:t>
      </w:r>
    </w:p>
    <w:p>
      <w:pPr>
        <w:spacing w:line="576" w:lineRule="exact"/>
        <w:ind w:firstLine="640"/>
        <w:rPr>
          <w:rFonts w:ascii="仿宋_GB2312" w:hAnsi="仿宋_GB2312" w:eastAsia="仿宋_GB2312"/>
          <w:color w:val="000000"/>
          <w:sz w:val="32"/>
          <w:szCs w:val="32"/>
        </w:rPr>
      </w:pPr>
      <w:r>
        <w:drawing>
          <wp:anchor distT="0" distB="0" distL="114300" distR="114300" simplePos="0" relativeHeight="251662336" behindDoc="1" locked="0" layoutInCell="1" allowOverlap="1">
            <wp:simplePos x="0" y="0"/>
            <wp:positionH relativeFrom="column">
              <wp:posOffset>487045</wp:posOffset>
            </wp:positionH>
            <wp:positionV relativeFrom="paragraph">
              <wp:posOffset>323215</wp:posOffset>
            </wp:positionV>
            <wp:extent cx="4340225" cy="2802890"/>
            <wp:effectExtent l="4445" t="4445" r="17780" b="12065"/>
            <wp:wrapTight wrapText="bothSides">
              <wp:wrapPolygon>
                <wp:start x="-45" y="0"/>
                <wp:lineTo x="-45" y="21525"/>
                <wp:lineTo x="21600" y="21525"/>
                <wp:lineTo x="21600" y="0"/>
                <wp:lineTo x="-45" y="0"/>
              </wp:wrapPolygon>
            </wp:wrapTight>
            <wp:docPr id="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76" w:lineRule="exact"/>
        <w:ind w:firstLine="640"/>
        <w:rPr>
          <w:rFonts w:ascii="仿宋_GB2312" w:hAnsi="仿宋_GB2312" w:eastAsia="仿宋_GB2312"/>
          <w:color w:val="000000"/>
          <w:sz w:val="32"/>
          <w:szCs w:val="32"/>
        </w:rPr>
      </w:pPr>
    </w:p>
    <w:p>
      <w:pPr>
        <w:spacing w:line="576" w:lineRule="exact"/>
        <w:ind w:firstLine="642" w:firstLineChars="200"/>
        <w:rPr>
          <w:rFonts w:ascii="楷体" w:hAnsi="楷体" w:eastAsia="楷体" w:cs="楷体"/>
          <w:b/>
          <w:bCs/>
          <w:color w:val="000000"/>
          <w:sz w:val="32"/>
          <w:szCs w:val="32"/>
        </w:rPr>
      </w:pPr>
      <w:bookmarkStart w:id="36" w:name="_Toc15377212"/>
      <w:r>
        <w:rPr>
          <w:rFonts w:hint="eastAsia" w:ascii="楷体" w:hAnsi="楷体" w:eastAsia="楷体" w:cs="楷体"/>
          <w:b/>
          <w:bCs/>
          <w:color w:val="000000"/>
          <w:sz w:val="32"/>
          <w:szCs w:val="32"/>
        </w:rPr>
        <w:t>（三）一般公共预算财政拨款支出决算具体情况</w:t>
      </w:r>
      <w:bookmarkEnd w:id="36"/>
      <w:bookmarkStart w:id="37" w:name="_Toc15377213"/>
      <w:bookmarkStart w:id="38" w:name="_Toc15377444"/>
      <w:bookmarkStart w:id="39" w:name="_Toc15378460"/>
    </w:p>
    <w:p>
      <w:pPr>
        <w:spacing w:line="576" w:lineRule="exact"/>
        <w:ind w:firstLine="640" w:firstLineChars="200"/>
        <w:rPr>
          <w:rStyle w:val="15"/>
          <w:rFonts w:ascii="仿宋_GB2312" w:hAnsi="仿宋_GB2312" w:eastAsia="仿宋_GB2312" w:cs="仿宋_GB2312"/>
          <w:b w:val="0"/>
          <w:bCs w:val="0"/>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20年一般公共预算支出决算数为280.10万元，</w:t>
      </w:r>
      <w:r>
        <w:rPr>
          <w:rStyle w:val="15"/>
          <w:rFonts w:hint="eastAsia" w:ascii="仿宋_GB2312" w:hAnsi="仿宋_GB2312" w:eastAsia="仿宋_GB2312" w:cs="仿宋_GB2312"/>
          <w:b w:val="0"/>
          <w:bCs w:val="0"/>
          <w:color w:val="000000"/>
          <w:sz w:val="32"/>
          <w:szCs w:val="32"/>
        </w:rPr>
        <w:t>完成</w:t>
      </w:r>
    </w:p>
    <w:p>
      <w:pPr>
        <w:spacing w:line="576" w:lineRule="exact"/>
        <w:rPr>
          <w:rFonts w:ascii="仿宋_GB2312" w:hAnsi="仿宋_GB2312" w:eastAsia="仿宋_GB2312"/>
          <w:color w:val="FF0000"/>
          <w:sz w:val="32"/>
          <w:szCs w:val="32"/>
        </w:rPr>
      </w:pPr>
      <w:r>
        <w:rPr>
          <w:rStyle w:val="15"/>
          <w:rFonts w:hint="eastAsia" w:ascii="仿宋_GB2312" w:hAnsi="仿宋_GB2312" w:eastAsia="仿宋_GB2312" w:cs="仿宋_GB2312"/>
          <w:b w:val="0"/>
          <w:bCs w:val="0"/>
          <w:color w:val="000000"/>
          <w:sz w:val="32"/>
          <w:szCs w:val="32"/>
        </w:rPr>
        <w:t>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。其中：</w:t>
      </w:r>
      <w:bookmarkEnd w:id="37"/>
      <w:bookmarkEnd w:id="38"/>
      <w:bookmarkEnd w:id="39"/>
    </w:p>
    <w:p>
      <w:pPr>
        <w:spacing w:line="576" w:lineRule="exact"/>
        <w:ind w:firstLine="640" w:firstLineChars="200"/>
        <w:rPr>
          <w:rFonts w:ascii="仿宋_GB2312" w:hAnsi="仿宋_GB2312" w:eastAsia="仿宋_GB2312"/>
          <w:color w:val="000000"/>
          <w:sz w:val="32"/>
          <w:szCs w:val="32"/>
        </w:rPr>
      </w:pPr>
      <w:r>
        <w:rPr>
          <w:rStyle w:val="15"/>
          <w:rFonts w:ascii="仿宋_GB2312" w:hAnsi="仿宋_GB2312" w:eastAsia="仿宋_GB2312" w:cs="仿宋_GB2312"/>
          <w:b w:val="0"/>
          <w:bCs w:val="0"/>
          <w:color w:val="000000"/>
          <w:sz w:val="32"/>
          <w:szCs w:val="32"/>
        </w:rPr>
        <w:t>1.</w:t>
      </w:r>
      <w:r>
        <w:rPr>
          <w:rStyle w:val="15"/>
          <w:rFonts w:hint="eastAsia" w:ascii="仿宋_GB2312" w:hAnsi="仿宋_GB2312" w:eastAsia="仿宋_GB2312" w:cs="仿宋_GB2312"/>
          <w:b w:val="0"/>
          <w:bCs w:val="0"/>
          <w:color w:val="000000"/>
          <w:sz w:val="32"/>
          <w:szCs w:val="32"/>
        </w:rPr>
        <w:t>教育支出（类）教育管理事务（款）行政运行（项）</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支出决算为210.52万元，完成预算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w:t>
      </w:r>
    </w:p>
    <w:p>
      <w:pPr>
        <w:spacing w:line="576" w:lineRule="exact"/>
        <w:ind w:firstLine="640" w:firstLineChars="200"/>
        <w:rPr>
          <w:rStyle w:val="15"/>
          <w:rFonts w:ascii="仿宋_GB2312" w:hAnsi="仿宋_GB2312" w:eastAsia="仿宋_GB2312" w:cs="仿宋_GB2312"/>
          <w:b w:val="0"/>
          <w:bCs w:val="0"/>
          <w:color w:val="000000"/>
          <w:sz w:val="32"/>
          <w:szCs w:val="32"/>
        </w:rPr>
      </w:pPr>
      <w:r>
        <w:rPr>
          <w:rStyle w:val="15"/>
          <w:rFonts w:ascii="仿宋_GB2312" w:hAnsi="仿宋_GB2312" w:eastAsia="仿宋_GB2312" w:cs="仿宋_GB2312"/>
          <w:b w:val="0"/>
          <w:bCs w:val="0"/>
          <w:color w:val="000000"/>
          <w:sz w:val="32"/>
          <w:szCs w:val="32"/>
        </w:rPr>
        <w:t>2.</w:t>
      </w:r>
      <w:r>
        <w:rPr>
          <w:rStyle w:val="15"/>
          <w:rFonts w:hint="eastAsia" w:ascii="仿宋_GB2312" w:hAnsi="仿宋_GB2312" w:eastAsia="仿宋_GB2312" w:cs="仿宋_GB2312"/>
          <w:b w:val="0"/>
          <w:bCs w:val="0"/>
          <w:color w:val="000000"/>
          <w:sz w:val="32"/>
          <w:szCs w:val="32"/>
        </w:rPr>
        <w:t>社会保障和就业支出（类）行政事业单位离退休（款）机关事业单位基本养老保险缴费支出（项）</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支出决算为20.7万元，完成预算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w:t>
      </w:r>
    </w:p>
    <w:p>
      <w:pPr>
        <w:spacing w:line="576" w:lineRule="exact"/>
        <w:ind w:firstLine="640" w:firstLineChars="200"/>
        <w:rPr>
          <w:rStyle w:val="15"/>
          <w:rFonts w:ascii="仿宋_GB2312" w:hAnsi="仿宋_GB2312" w:eastAsia="仿宋_GB2312" w:cs="仿宋_GB2312"/>
          <w:b w:val="0"/>
          <w:bCs w:val="0"/>
          <w:color w:val="000000"/>
          <w:sz w:val="32"/>
          <w:szCs w:val="32"/>
        </w:rPr>
      </w:pPr>
      <w:r>
        <w:rPr>
          <w:rStyle w:val="15"/>
          <w:rFonts w:ascii="仿宋_GB2312" w:hAnsi="仿宋_GB2312" w:eastAsia="仿宋_GB2312" w:cs="仿宋_GB2312"/>
          <w:b w:val="0"/>
          <w:bCs w:val="0"/>
          <w:color w:val="000000"/>
          <w:sz w:val="32"/>
          <w:szCs w:val="32"/>
        </w:rPr>
        <w:t>3.</w:t>
      </w:r>
      <w:r>
        <w:rPr>
          <w:rStyle w:val="15"/>
          <w:rFonts w:hint="eastAsia" w:ascii="仿宋_GB2312" w:hAnsi="仿宋_GB2312" w:eastAsia="仿宋_GB2312" w:cs="仿宋_GB2312"/>
          <w:b w:val="0"/>
          <w:bCs w:val="0"/>
          <w:color w:val="000000"/>
          <w:sz w:val="32"/>
          <w:szCs w:val="32"/>
        </w:rPr>
        <w:t>社会保障和就业支出（类）行政事业单位离退休（款）机关事业单位职业年金缴费支出（项）</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支出决算为10.35万元，完成预算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w:t>
      </w:r>
    </w:p>
    <w:p>
      <w:pPr>
        <w:spacing w:line="576" w:lineRule="exact"/>
        <w:ind w:firstLine="640" w:firstLineChars="200"/>
        <w:rPr>
          <w:rStyle w:val="15"/>
          <w:rFonts w:ascii="仿宋_GB2312" w:hAnsi="仿宋_GB2312" w:eastAsia="仿宋_GB2312" w:cs="仿宋_GB2312"/>
          <w:b w:val="0"/>
          <w:bCs w:val="0"/>
          <w:color w:val="000000"/>
          <w:sz w:val="32"/>
          <w:szCs w:val="32"/>
        </w:rPr>
      </w:pPr>
      <w:r>
        <w:rPr>
          <w:rStyle w:val="15"/>
          <w:rFonts w:ascii="仿宋_GB2312" w:hAnsi="仿宋_GB2312" w:eastAsia="仿宋_GB2312" w:cs="仿宋_GB2312"/>
          <w:b w:val="0"/>
          <w:bCs w:val="0"/>
          <w:color w:val="000000"/>
          <w:sz w:val="32"/>
          <w:szCs w:val="32"/>
        </w:rPr>
        <w:t>4.</w:t>
      </w:r>
      <w:r>
        <w:rPr>
          <w:rStyle w:val="15"/>
          <w:rFonts w:hint="eastAsia" w:ascii="仿宋_GB2312" w:hAnsi="仿宋_GB2312" w:eastAsia="仿宋_GB2312" w:cs="仿宋_GB2312"/>
          <w:b w:val="0"/>
          <w:bCs w:val="0"/>
          <w:color w:val="000000"/>
          <w:sz w:val="32"/>
          <w:szCs w:val="32"/>
        </w:rPr>
        <w:t>卫生健康支出（类）行政事业单位医疗（款）行政单位医疗（项）</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支出决算为9.71万元，完成预算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w:t>
      </w:r>
    </w:p>
    <w:p>
      <w:pPr>
        <w:spacing w:line="576" w:lineRule="exac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5.</w:t>
      </w:r>
      <w:r>
        <w:rPr>
          <w:rStyle w:val="15"/>
          <w:rFonts w:hint="eastAsia" w:ascii="仿宋_GB2312" w:hAnsi="仿宋_GB2312" w:eastAsia="仿宋_GB2312" w:cs="仿宋_GB2312"/>
          <w:b w:val="0"/>
          <w:bCs w:val="0"/>
          <w:color w:val="000000"/>
          <w:sz w:val="32"/>
          <w:szCs w:val="32"/>
        </w:rPr>
        <w:t>卫生健康支出（类）行政事业单位医疗（款）事业单位医疗（项）</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支出决算为5.45万元，完成预算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w:t>
      </w:r>
    </w:p>
    <w:p>
      <w:pPr>
        <w:spacing w:line="576" w:lineRule="exact"/>
        <w:ind w:firstLine="640" w:firstLineChars="200"/>
        <w:rPr>
          <w:rStyle w:val="15"/>
          <w:rFonts w:ascii="仿宋_GB2312" w:hAnsi="仿宋_GB2312" w:eastAsia="仿宋_GB2312" w:cs="仿宋_GB2312"/>
          <w:b w:val="0"/>
          <w:bCs w:val="0"/>
          <w:color w:val="000000"/>
          <w:sz w:val="32"/>
          <w:szCs w:val="32"/>
        </w:rPr>
      </w:pPr>
      <w:r>
        <w:rPr>
          <w:rStyle w:val="15"/>
          <w:rFonts w:ascii="仿宋_GB2312" w:hAnsi="仿宋_GB2312" w:eastAsia="仿宋_GB2312" w:cs="仿宋_GB2312"/>
          <w:b w:val="0"/>
          <w:bCs w:val="0"/>
          <w:color w:val="000000"/>
          <w:sz w:val="32"/>
          <w:szCs w:val="32"/>
        </w:rPr>
        <w:t>6.</w:t>
      </w:r>
      <w:r>
        <w:rPr>
          <w:rStyle w:val="15"/>
          <w:rFonts w:hint="eastAsia" w:ascii="仿宋_GB2312" w:hAnsi="仿宋_GB2312" w:eastAsia="仿宋_GB2312" w:cs="仿宋_GB2312"/>
          <w:b w:val="0"/>
          <w:bCs w:val="0"/>
          <w:color w:val="000000"/>
          <w:sz w:val="32"/>
          <w:szCs w:val="32"/>
        </w:rPr>
        <w:t>农林水支出（类）扶贫（款）其他扶贫支出（项）：支出决算为</w:t>
      </w:r>
      <w:r>
        <w:rPr>
          <w:rStyle w:val="15"/>
          <w:rFonts w:ascii="仿宋_GB2312" w:hAnsi="仿宋_GB2312" w:eastAsia="仿宋_GB2312" w:cs="仿宋_GB2312"/>
          <w:b w:val="0"/>
          <w:bCs w:val="0"/>
          <w:color w:val="000000"/>
          <w:sz w:val="32"/>
          <w:szCs w:val="32"/>
        </w:rPr>
        <w:t>1.</w:t>
      </w:r>
      <w:r>
        <w:rPr>
          <w:rStyle w:val="15"/>
          <w:rFonts w:hint="eastAsia" w:ascii="仿宋_GB2312" w:hAnsi="仿宋_GB2312" w:eastAsia="仿宋_GB2312" w:cs="仿宋_GB2312"/>
          <w:b w:val="0"/>
          <w:bCs w:val="0"/>
          <w:color w:val="000000"/>
          <w:sz w:val="32"/>
          <w:szCs w:val="32"/>
        </w:rPr>
        <w:t>42万元，完成预算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w:t>
      </w:r>
    </w:p>
    <w:p>
      <w:pPr>
        <w:spacing w:line="576" w:lineRule="exact"/>
        <w:ind w:firstLine="640" w:firstLineChars="200"/>
        <w:rPr>
          <w:rStyle w:val="15"/>
          <w:rFonts w:ascii="仿宋_GB2312" w:hAnsi="仿宋_GB2312" w:eastAsia="仿宋_GB2312" w:cs="仿宋_GB2312"/>
          <w:b w:val="0"/>
          <w:bCs w:val="0"/>
          <w:color w:val="000000"/>
          <w:sz w:val="32"/>
          <w:szCs w:val="32"/>
        </w:rPr>
      </w:pP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住房保障支出（类）住房改革支出（款）住房公积金（项）：</w:t>
      </w:r>
      <w:r>
        <w:rPr>
          <w:rStyle w:val="15"/>
          <w:rFonts w:hint="eastAsia" w:ascii="仿宋_GB2312" w:hAnsi="仿宋_GB2312" w:eastAsia="仿宋_GB2312" w:cs="仿宋_GB2312"/>
          <w:b w:val="0"/>
          <w:bCs w:val="0"/>
          <w:color w:val="000000"/>
          <w:sz w:val="32"/>
          <w:szCs w:val="32"/>
        </w:rPr>
        <w:t>支出决算为</w:t>
      </w:r>
      <w:r>
        <w:rPr>
          <w:rFonts w:hint="eastAsia" w:ascii="仿宋_GB2312" w:hAnsi="仿宋_GB2312" w:eastAsia="仿宋_GB2312" w:cs="仿宋_GB2312"/>
          <w:color w:val="000000"/>
          <w:sz w:val="32"/>
          <w:szCs w:val="32"/>
        </w:rPr>
        <w:t>20.93万元，</w:t>
      </w:r>
      <w:r>
        <w:rPr>
          <w:rStyle w:val="15"/>
          <w:rFonts w:hint="eastAsia" w:ascii="仿宋_GB2312" w:hAnsi="仿宋_GB2312" w:eastAsia="仿宋_GB2312" w:cs="仿宋_GB2312"/>
          <w:b w:val="0"/>
          <w:bCs w:val="0"/>
          <w:color w:val="000000"/>
          <w:sz w:val="32"/>
          <w:szCs w:val="32"/>
        </w:rPr>
        <w:t>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w:t>
      </w:r>
    </w:p>
    <w:p>
      <w:pPr>
        <w:spacing w:line="576" w:lineRule="exact"/>
        <w:ind w:firstLine="640" w:firstLineChars="200"/>
        <w:rPr>
          <w:rStyle w:val="15"/>
          <w:rFonts w:ascii="仿宋_GB2312" w:hAnsi="仿宋_GB2312" w:eastAsia="仿宋_GB2312"/>
          <w:b w:val="0"/>
          <w:bCs w:val="0"/>
          <w:color w:val="000000"/>
          <w:sz w:val="32"/>
          <w:szCs w:val="32"/>
        </w:rPr>
      </w:pPr>
      <w:r>
        <w:rPr>
          <w:rStyle w:val="15"/>
          <w:rFonts w:hint="eastAsia" w:ascii="仿宋_GB2312" w:hAnsi="仿宋_GB2312" w:eastAsia="仿宋_GB2312" w:cs="仿宋_GB2312"/>
          <w:b w:val="0"/>
          <w:bCs w:val="0"/>
          <w:color w:val="000000"/>
          <w:sz w:val="32"/>
          <w:szCs w:val="32"/>
        </w:rPr>
        <w:t>8.</w:t>
      </w:r>
      <w:r>
        <w:rPr>
          <w:rFonts w:hint="eastAsia" w:ascii="仿宋_GB2312" w:hAnsi="仿宋_GB2312" w:eastAsia="仿宋_GB2312" w:cs="仿宋_GB2312"/>
          <w:color w:val="000000"/>
          <w:sz w:val="32"/>
          <w:szCs w:val="32"/>
        </w:rPr>
        <w:t xml:space="preserve"> 住房保障支出（类）住房改革支出（款）购房补贴（项）：支出决算为1.02万元，</w:t>
      </w:r>
      <w:r>
        <w:rPr>
          <w:rStyle w:val="15"/>
          <w:rFonts w:hint="eastAsia" w:ascii="仿宋_GB2312" w:hAnsi="仿宋_GB2312" w:eastAsia="仿宋_GB2312" w:cs="仿宋_GB2312"/>
          <w:b w:val="0"/>
          <w:bCs w:val="0"/>
          <w:color w:val="000000"/>
          <w:sz w:val="32"/>
          <w:szCs w:val="32"/>
        </w:rPr>
        <w:t>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w:t>
      </w:r>
    </w:p>
    <w:p>
      <w:pPr>
        <w:spacing w:line="576" w:lineRule="exact"/>
        <w:ind w:firstLine="640" w:firstLineChars="200"/>
        <w:rPr>
          <w:rStyle w:val="18"/>
        </w:rPr>
      </w:pPr>
      <w:bookmarkStart w:id="40" w:name="_Toc15377214"/>
      <w:bookmarkStart w:id="41" w:name="_Toc15396608"/>
      <w:r>
        <w:rPr>
          <w:rFonts w:hint="eastAsia" w:ascii="黑体" w:eastAsia="黑体" w:cs="黑体"/>
          <w:color w:val="000000"/>
          <w:sz w:val="32"/>
          <w:szCs w:val="32"/>
        </w:rPr>
        <w:t>六</w:t>
      </w:r>
      <w:r>
        <w:rPr>
          <w:rFonts w:hint="eastAsia" w:ascii="黑体" w:eastAsia="黑体" w:cs="黑体"/>
          <w:b/>
          <w:bCs/>
          <w:color w:val="000000"/>
          <w:sz w:val="32"/>
          <w:szCs w:val="32"/>
        </w:rPr>
        <w:t>、</w:t>
      </w:r>
      <w:r>
        <w:rPr>
          <w:rFonts w:hint="eastAsia" w:ascii="黑体" w:hAnsi="黑体" w:eastAsia="黑体" w:cs="黑体"/>
          <w:b/>
          <w:bCs/>
          <w:color w:val="000000"/>
          <w:sz w:val="32"/>
          <w:szCs w:val="32"/>
        </w:rPr>
        <w:t>一</w:t>
      </w:r>
      <w:r>
        <w:rPr>
          <w:rStyle w:val="18"/>
          <w:rFonts w:hint="eastAsia" w:ascii="黑体" w:hAnsi="黑体" w:eastAsia="黑体" w:cs="黑体"/>
          <w:b w:val="0"/>
          <w:bCs w:val="0"/>
        </w:rPr>
        <w:t>般公共预算财政拨款基本支出决算情况说明</w:t>
      </w:r>
      <w:bookmarkEnd w:id="40"/>
      <w:bookmarkEnd w:id="41"/>
    </w:p>
    <w:p>
      <w:pPr>
        <w:spacing w:line="576" w:lineRule="exact"/>
        <w:ind w:firstLine="645"/>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20年一般公共预算财政拨款基本支出278.68万元，其中：</w:t>
      </w:r>
    </w:p>
    <w:p>
      <w:pPr>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271.16万元，主要包括：基本工资、津贴补贴、奖金、绩效工资、机关事业单位基本养老保险缴费、职业年金缴费、职工基本医疗保险费、其他社会保障缴费、住房公积金、医疗费、生活补助、医疗费补助、奖励金等。</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日常公用经费7.52万元，主要包括：办公费、水费、电费、邮电费、差旅费、培训费、公务接待费支出等。</w:t>
      </w:r>
    </w:p>
    <w:p>
      <w:pPr>
        <w:spacing w:line="576" w:lineRule="exact"/>
        <w:ind w:firstLine="640" w:firstLineChars="200"/>
        <w:rPr>
          <w:rStyle w:val="18"/>
          <w:rFonts w:ascii="黑体" w:hAnsi="黑体" w:eastAsia="黑体" w:cs="Times New Roman"/>
          <w:b w:val="0"/>
          <w:bCs w:val="0"/>
        </w:rPr>
      </w:pPr>
      <w:bookmarkStart w:id="42" w:name="_Toc15377215"/>
      <w:bookmarkStart w:id="43" w:name="_Toc15396609"/>
      <w:r>
        <w:rPr>
          <w:rFonts w:hint="eastAsia" w:ascii="黑体" w:eastAsia="黑体" w:cs="黑体"/>
          <w:color w:val="000000"/>
          <w:sz w:val="32"/>
          <w:szCs w:val="32"/>
        </w:rPr>
        <w:t>七、</w:t>
      </w:r>
      <w:r>
        <w:rPr>
          <w:rStyle w:val="18"/>
          <w:rFonts w:hint="eastAsia" w:ascii="黑体" w:hAnsi="黑体" w:eastAsia="黑体" w:cs="黑体"/>
        </w:rPr>
        <w:t>“</w:t>
      </w:r>
      <w:r>
        <w:rPr>
          <w:rStyle w:val="18"/>
          <w:rFonts w:hint="eastAsia" w:ascii="黑体" w:hAnsi="黑体" w:eastAsia="黑体" w:cs="黑体"/>
          <w:b w:val="0"/>
          <w:bCs w:val="0"/>
        </w:rPr>
        <w:t>三公”经费财政拨款支出决算情况说明</w:t>
      </w:r>
      <w:bookmarkEnd w:id="42"/>
      <w:bookmarkEnd w:id="43"/>
    </w:p>
    <w:p>
      <w:pPr>
        <w:spacing w:line="576" w:lineRule="exact"/>
        <w:ind w:firstLine="629" w:firstLineChars="196"/>
        <w:outlineLvl w:val="1"/>
        <w:rPr>
          <w:rFonts w:ascii="楷体" w:hAnsi="楷体" w:eastAsia="楷体" w:cs="楷体"/>
          <w:b/>
          <w:bCs/>
          <w:color w:val="000000"/>
          <w:sz w:val="32"/>
          <w:szCs w:val="32"/>
        </w:rPr>
      </w:pPr>
      <w:bookmarkStart w:id="44" w:name="_Toc15377216"/>
      <w:r>
        <w:rPr>
          <w:rFonts w:hint="eastAsia" w:ascii="楷体" w:hAnsi="楷体" w:eastAsia="楷体" w:cs="楷体"/>
          <w:b/>
          <w:bCs/>
          <w:color w:val="000000"/>
          <w:sz w:val="32"/>
          <w:szCs w:val="32"/>
        </w:rPr>
        <w:t>（一）“三公”经费财政拨款支出决算总体情况说明</w:t>
      </w:r>
      <w:bookmarkEnd w:id="44"/>
    </w:p>
    <w:p>
      <w:pPr>
        <w:widowControl/>
        <w:spacing w:line="576" w:lineRule="exact"/>
        <w:ind w:firstLine="640" w:firstLineChars="200"/>
        <w:jc w:val="left"/>
        <w:rPr>
          <w:rFonts w:ascii="??" w:hAnsi="??"/>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20年“三公”经费财政拨款支出决算为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18万元，完成预算</w:t>
      </w:r>
      <w:r>
        <w:rPr>
          <w:rFonts w:ascii="仿宋_GB2312" w:hAnsi="仿宋_GB2312" w:eastAsia="仿宋_GB2312" w:cs="仿宋_GB2312"/>
          <w:color w:val="000000"/>
          <w:sz w:val="32"/>
          <w:szCs w:val="32"/>
        </w:rPr>
        <w:t>35 %</w:t>
      </w:r>
      <w:r>
        <w:rPr>
          <w:rFonts w:hint="eastAsia" w:ascii="仿宋_GB2312" w:hAnsi="仿宋_GB2312" w:eastAsia="仿宋_GB2312" w:cs="仿宋_GB2312"/>
          <w:color w:val="000000"/>
          <w:sz w:val="32"/>
          <w:szCs w:val="32"/>
        </w:rPr>
        <w:t>，决算数小于预算数的主要原因是</w:t>
      </w:r>
      <w:r>
        <w:rPr>
          <w:rFonts w:hint="eastAsia" w:ascii="仿宋_GB2312" w:hAnsi="仿宋_GB2312" w:eastAsia="仿宋_GB2312" w:cs="仿宋_GB2312"/>
          <w:color w:val="000000"/>
          <w:kern w:val="0"/>
          <w:sz w:val="32"/>
          <w:szCs w:val="32"/>
        </w:rPr>
        <w:t>我校继续认真贯彻落实中央八项规定及省委省政府十项规定要求，厉行节约，从严控制“三公”经费支出，全年实际支出比预算有所节约。</w:t>
      </w:r>
      <w:bookmarkStart w:id="45" w:name="_Toc15377217"/>
    </w:p>
    <w:p>
      <w:pPr>
        <w:widowControl/>
        <w:spacing w:line="576" w:lineRule="exact"/>
        <w:ind w:firstLine="642" w:firstLineChars="200"/>
        <w:jc w:val="left"/>
        <w:rPr>
          <w:rFonts w:ascii="??" w:hAnsi="??"/>
          <w:color w:val="000000"/>
          <w:sz w:val="32"/>
          <w:szCs w:val="32"/>
        </w:rPr>
      </w:pPr>
      <w:r>
        <w:rPr>
          <w:rFonts w:hint="eastAsia" w:ascii="楷体" w:hAnsi="楷体" w:eastAsia="楷体" w:cs="楷体"/>
          <w:b/>
          <w:bCs/>
          <w:color w:val="000000"/>
          <w:sz w:val="32"/>
          <w:szCs w:val="32"/>
        </w:rPr>
        <w:t>（二）“三公”经费财政拨款支出决算具体情况说明</w:t>
      </w:r>
      <w:bookmarkEnd w:id="45"/>
    </w:p>
    <w:p>
      <w:pPr>
        <w:widowControl/>
        <w:spacing w:line="576" w:lineRule="exact"/>
        <w:ind w:firstLine="640" w:firstLineChars="200"/>
        <w:jc w:val="left"/>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20年“三公”经费财政拨款支出决算中，因公出国（境）费支出决算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万元；公务用车购置及运行维护费支出决算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万元；公务接待费支出决算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18万元，占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。具体情况如下：接待省委党校、行政学院常务副校院长李新一行到茂县县委党校调研。公务接待1批次，13人次（不包括陪同人员）。</w:t>
      </w:r>
    </w:p>
    <w:p>
      <w:pPr>
        <w:widowControl/>
        <w:spacing w:line="576" w:lineRule="exact"/>
        <w:ind w:firstLine="562" w:firstLineChars="200"/>
        <w:jc w:val="left"/>
        <w:rPr>
          <w:rFonts w:ascii="宋体"/>
          <w:b/>
          <w:bCs/>
          <w:color w:val="000000"/>
          <w:kern w:val="0"/>
          <w:sz w:val="28"/>
          <w:szCs w:val="28"/>
        </w:rPr>
      </w:pPr>
      <w:r>
        <w:rPr>
          <w:rFonts w:hint="eastAsia" w:ascii="宋体" w:hAnsi="宋体" w:cs="宋体"/>
          <w:b/>
          <w:bCs/>
          <w:color w:val="000000"/>
          <w:kern w:val="0"/>
          <w:sz w:val="28"/>
          <w:szCs w:val="28"/>
        </w:rPr>
        <w:t>图7：“三公”经费财政拨款支出结构（单位：万元）</w:t>
      </w:r>
    </w:p>
    <w:p>
      <w:pPr>
        <w:widowControl/>
        <w:spacing w:line="576" w:lineRule="exact"/>
        <w:ind w:firstLine="420" w:firstLineChars="200"/>
        <w:jc w:val="left"/>
        <w:rPr>
          <w:rFonts w:ascii="宋体"/>
          <w:b/>
          <w:bCs/>
          <w:color w:val="000000"/>
          <w:kern w:val="0"/>
          <w:sz w:val="28"/>
          <w:szCs w:val="28"/>
        </w:rPr>
      </w:pPr>
      <w:r>
        <w:drawing>
          <wp:anchor distT="0" distB="0" distL="114300" distR="114300" simplePos="0" relativeHeight="251663360" behindDoc="0" locked="0" layoutInCell="1" allowOverlap="1">
            <wp:simplePos x="0" y="0"/>
            <wp:positionH relativeFrom="column">
              <wp:posOffset>441960</wp:posOffset>
            </wp:positionH>
            <wp:positionV relativeFrom="paragraph">
              <wp:posOffset>79375</wp:posOffset>
            </wp:positionV>
            <wp:extent cx="4310380" cy="2391410"/>
            <wp:effectExtent l="4445" t="5080" r="9525" b="22860"/>
            <wp:wrapSquare wrapText="bothSides"/>
            <wp:docPr id="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widowControl/>
        <w:spacing w:line="576" w:lineRule="exact"/>
        <w:ind w:firstLine="562" w:firstLineChars="200"/>
        <w:jc w:val="left"/>
        <w:rPr>
          <w:rFonts w:ascii="宋体"/>
          <w:b/>
          <w:bCs/>
          <w:color w:val="000000"/>
          <w:kern w:val="0"/>
          <w:sz w:val="28"/>
          <w:szCs w:val="28"/>
        </w:rPr>
      </w:pPr>
    </w:p>
    <w:p>
      <w:pPr>
        <w:spacing w:line="576" w:lineRule="exact"/>
        <w:ind w:firstLine="640" w:firstLineChars="200"/>
        <w:rPr>
          <w:rFonts w:ascii="仿宋_GB2312" w:hAnsi="仿宋_GB2312" w:eastAsia="仿宋_GB2312"/>
          <w:color w:val="000000"/>
          <w:sz w:val="32"/>
          <w:szCs w:val="32"/>
        </w:rPr>
      </w:pPr>
    </w:p>
    <w:p>
      <w:pPr>
        <w:spacing w:line="576" w:lineRule="exact"/>
        <w:ind w:firstLine="640" w:firstLineChars="200"/>
        <w:rPr>
          <w:rFonts w:ascii="仿宋_GB2312" w:hAnsi="仿宋_GB2312" w:eastAsia="仿宋_GB2312"/>
          <w:color w:val="000000"/>
          <w:sz w:val="32"/>
          <w:szCs w:val="32"/>
        </w:rPr>
      </w:pPr>
    </w:p>
    <w:p>
      <w:pPr>
        <w:spacing w:line="576" w:lineRule="exact"/>
        <w:rPr>
          <w:rFonts w:ascii="仿宋_GB2312" w:hAnsi="仿宋_GB2312" w:eastAsia="仿宋_GB2312" w:cs="仿宋_GB2312"/>
          <w:color w:val="000000"/>
          <w:sz w:val="32"/>
          <w:szCs w:val="32"/>
        </w:rPr>
      </w:pP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因公出国（境）经费支出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val="0"/>
          <w:color w:val="000000"/>
          <w:sz w:val="32"/>
          <w:szCs w:val="32"/>
        </w:rPr>
        <w:t>。</w:t>
      </w:r>
    </w:p>
    <w:p>
      <w:pPr>
        <w:spacing w:line="576" w:lineRule="exact"/>
        <w:ind w:firstLine="640"/>
        <w:rPr>
          <w:rFonts w:ascii="仿宋_GB2312" w:hAnsi="仿宋_GB2312" w:eastAsia="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公务用车购置及运行维护费支出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76" w:lineRule="exact"/>
        <w:ind w:firstLine="640"/>
        <w:rPr>
          <w:rFonts w:ascii="仿宋_GB2312" w:hAnsi="仿宋_GB2312" w:eastAsia="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公务接待费支出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18万元，</w:t>
      </w:r>
      <w:r>
        <w:rPr>
          <w:rStyle w:val="15"/>
          <w:rFonts w:hint="eastAsia" w:ascii="仿宋_GB2312" w:hAnsi="仿宋_GB2312" w:eastAsia="仿宋_GB2312" w:cs="仿宋_GB2312"/>
          <w:b w:val="0"/>
          <w:bCs w:val="0"/>
          <w:color w:val="000000"/>
          <w:sz w:val="32"/>
          <w:szCs w:val="32"/>
        </w:rPr>
        <w:t>完成预算</w:t>
      </w:r>
      <w:r>
        <w:rPr>
          <w:rStyle w:val="15"/>
          <w:rFonts w:ascii="仿宋_GB2312" w:hAnsi="仿宋_GB2312" w:eastAsia="仿宋_GB2312" w:cs="仿宋_GB2312"/>
          <w:b w:val="0"/>
          <w:bCs w:val="0"/>
          <w:color w:val="000000"/>
          <w:sz w:val="32"/>
          <w:szCs w:val="32"/>
        </w:rPr>
        <w:t>35%</w:t>
      </w:r>
      <w:r>
        <w:rPr>
          <w:rStyle w:val="15"/>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rPr>
        <w:t>公务接待费支出决算比</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9年增加0.11万元。主要原因是</w:t>
      </w:r>
      <w:r>
        <w:rPr>
          <w:rFonts w:hint="eastAsia" w:ascii="仿宋_GB2312" w:hAnsi="仿宋_GB2312" w:eastAsia="仿宋_GB2312" w:cs="仿宋_GB2312"/>
          <w:sz w:val="32"/>
          <w:szCs w:val="32"/>
        </w:rPr>
        <w:t>本年调研人数多。</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主要用于执行公务、开展业务活动开支的用餐费。国内公务接待1批次，13人次（不包括陪同人员），共计支出0.18万元，具体内容包括：四川省委党校、行政学院常务副校院长李新一行到茂县县委党校调研。</w:t>
      </w:r>
      <w:bookmarkStart w:id="46" w:name="_Toc15377218"/>
      <w:bookmarkStart w:id="47" w:name="_Toc15396610"/>
    </w:p>
    <w:p>
      <w:pPr>
        <w:numPr>
          <w:ilvl w:val="0"/>
          <w:numId w:val="5"/>
        </w:numPr>
        <w:spacing w:line="576" w:lineRule="exact"/>
        <w:ind w:firstLine="640" w:firstLineChars="200"/>
        <w:rPr>
          <w:rStyle w:val="18"/>
          <w:rFonts w:ascii="黑体" w:hAnsi="黑体" w:eastAsia="黑体" w:cs="黑体"/>
          <w:b w:val="0"/>
          <w:bCs w:val="0"/>
        </w:rPr>
      </w:pPr>
      <w:r>
        <w:rPr>
          <w:rStyle w:val="18"/>
          <w:rFonts w:hint="eastAsia" w:ascii="黑体" w:hAnsi="黑体" w:eastAsia="黑体" w:cs="黑体"/>
          <w:b w:val="0"/>
          <w:bCs w:val="0"/>
        </w:rPr>
        <w:t>政府性基金预算支出决算情况说明</w:t>
      </w:r>
      <w:bookmarkEnd w:id="46"/>
      <w:bookmarkEnd w:id="47"/>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w:t>
      </w:r>
      <w:r>
        <w:rPr>
          <w:rFonts w:hint="eastAsia" w:ascii="仿宋_GB2312" w:eastAsia="仿宋_GB2312" w:cs="仿宋_GB2312"/>
          <w:color w:val="000000"/>
          <w:sz w:val="32"/>
          <w:szCs w:val="32"/>
        </w:rPr>
        <w:t>20年无政府性基金预算拨款支出。</w:t>
      </w:r>
      <w:bookmarkStart w:id="48" w:name="_Toc15377219"/>
      <w:bookmarkStart w:id="49" w:name="_Toc15396611"/>
    </w:p>
    <w:p>
      <w:pPr>
        <w:pStyle w:val="3"/>
        <w:spacing w:before="0" w:after="0" w:line="576" w:lineRule="exact"/>
        <w:ind w:firstLine="640" w:firstLineChars="200"/>
        <w:rPr>
          <w:rStyle w:val="18"/>
          <w:rFonts w:ascii="黑体" w:hAnsi="黑体" w:eastAsia="黑体" w:cs="Times New Roman"/>
          <w:b w:val="0"/>
          <w:bCs w:val="0"/>
        </w:rPr>
      </w:pPr>
      <w:r>
        <w:rPr>
          <w:rStyle w:val="18"/>
          <w:rFonts w:hint="eastAsia" w:ascii="黑体" w:hAnsi="黑体" w:eastAsia="黑体" w:cs="黑体"/>
          <w:b w:val="0"/>
          <w:bCs w:val="0"/>
        </w:rPr>
        <w:t>九、国有资本经营预算支出决算情况说明</w:t>
      </w:r>
      <w:bookmarkEnd w:id="48"/>
      <w:bookmarkEnd w:id="49"/>
    </w:p>
    <w:p>
      <w:pPr>
        <w:spacing w:line="576"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w:t>
      </w:r>
      <w:r>
        <w:rPr>
          <w:rFonts w:hint="eastAsia" w:ascii="仿宋_GB2312" w:eastAsia="仿宋_GB2312" w:cs="仿宋_GB2312"/>
          <w:color w:val="000000"/>
          <w:sz w:val="32"/>
          <w:szCs w:val="32"/>
        </w:rPr>
        <w:t>20年无国有资本经营预算拨款支出。</w:t>
      </w:r>
    </w:p>
    <w:p>
      <w:pPr>
        <w:pStyle w:val="3"/>
        <w:spacing w:before="0" w:after="0" w:line="576" w:lineRule="exact"/>
        <w:ind w:firstLine="642" w:firstLineChars="200"/>
        <w:rPr>
          <w:rStyle w:val="18"/>
          <w:rFonts w:ascii="黑体" w:hAnsi="黑体" w:eastAsia="黑体" w:cs="黑体"/>
          <w:b/>
          <w:bCs/>
        </w:rPr>
      </w:pPr>
      <w:r>
        <w:rPr>
          <w:rStyle w:val="18"/>
          <w:rFonts w:hint="eastAsia" w:ascii="黑体" w:hAnsi="黑体" w:eastAsia="黑体" w:cs="黑体"/>
          <w:b/>
          <w:bCs/>
        </w:rPr>
        <w:t>十、其他重要事项的情况说明</w:t>
      </w:r>
    </w:p>
    <w:p>
      <w:pPr>
        <w:ind w:firstLine="642" w:firstLineChars="200"/>
        <w:rPr>
          <w:rFonts w:ascii="宋体" w:cs="宋体"/>
          <w:b/>
          <w:bCs/>
          <w:sz w:val="32"/>
          <w:szCs w:val="32"/>
        </w:rPr>
      </w:pPr>
      <w:r>
        <w:rPr>
          <w:rFonts w:hint="eastAsia" w:ascii="宋体" w:hAnsi="宋体" w:cs="宋体"/>
          <w:b/>
          <w:bCs/>
          <w:sz w:val="32"/>
          <w:szCs w:val="32"/>
        </w:rPr>
        <w:t>（一）机关运行经费支出情况</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20年，我校机关运行经费支出4.33万元，比</w:t>
      </w:r>
      <w:r>
        <w:rPr>
          <w:rFonts w:ascii="仿宋_GB2312" w:eastAsia="仿宋_GB2312"/>
          <w:color w:val="000000"/>
          <w:sz w:val="32"/>
          <w:szCs w:val="32"/>
        </w:rPr>
        <w:t>201</w:t>
      </w:r>
      <w:r>
        <w:rPr>
          <w:rFonts w:hint="eastAsia" w:ascii="仿宋_GB2312" w:eastAsia="仿宋_GB2312"/>
          <w:color w:val="000000"/>
          <w:sz w:val="32"/>
          <w:szCs w:val="32"/>
        </w:rPr>
        <w:t>9年增减少1.67万元，下降28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hAnsi="仿宋_GB2312" w:eastAsia="仿宋_GB2312" w:cs="仿宋_GB2312"/>
          <w:color w:val="000000"/>
          <w:kern w:val="0"/>
          <w:sz w:val="32"/>
          <w:szCs w:val="32"/>
        </w:rPr>
        <w:t>厉行节约，从严控制经费支出。</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（二）政府采购支出情况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2020年，茂县县委党校政府采购支出总额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ind w:firstLine="642" w:firstLineChars="200"/>
        <w:rPr>
          <w:rFonts w:ascii="仿宋" w:hAnsi="仿宋" w:eastAsia="仿宋"/>
          <w:b/>
          <w:color w:val="000000"/>
          <w:sz w:val="32"/>
          <w:szCs w:val="32"/>
        </w:rPr>
      </w:pPr>
      <w:r>
        <w:rPr>
          <w:rFonts w:hint="eastAsia" w:ascii="仿宋" w:hAnsi="仿宋" w:eastAsia="仿宋"/>
          <w:b/>
          <w:color w:val="000000"/>
          <w:sz w:val="32"/>
          <w:szCs w:val="32"/>
        </w:rPr>
        <w:t>（三）国有资产占有使用情况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0</w:t>
      </w:r>
      <w:r>
        <w:rPr>
          <w:rFonts w:hint="eastAsia" w:ascii="仿宋_GB2312" w:eastAsia="仿宋_GB2312"/>
          <w:color w:val="000000"/>
          <w:sz w:val="32"/>
          <w:szCs w:val="32"/>
        </w:rPr>
        <w:t>辆。</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widowControl/>
        <w:ind w:firstLine="640" w:firstLineChars="200"/>
        <w:jc w:val="left"/>
      </w:pPr>
      <w:r>
        <w:rPr>
          <w:rFonts w:hint="eastAsia" w:ascii="仿宋_GB2312" w:hAnsi="仿宋_GB2312" w:eastAsia="仿宋_GB2312" w:cs="仿宋_GB2312"/>
          <w:sz w:val="32"/>
          <w:szCs w:val="32"/>
        </w:rPr>
        <w:t>我校</w:t>
      </w:r>
      <w:r>
        <w:rPr>
          <w:rFonts w:hint="eastAsia" w:ascii="仿宋_GB2312" w:hAnsi="仿宋_GB2312" w:eastAsia="仿宋_GB2312" w:cs="仿宋_GB2312"/>
          <w:color w:val="000000"/>
          <w:kern w:val="0"/>
          <w:sz w:val="32"/>
          <w:szCs w:val="32"/>
        </w:rPr>
        <w:t>根据预算绩效管理要求，</w:t>
      </w:r>
      <w:r>
        <w:rPr>
          <w:rFonts w:hint="eastAsia" w:ascii="仿宋_GB2312" w:hAnsi="仿宋_GB2312" w:eastAsia="仿宋_GB2312" w:cs="仿宋_GB2312"/>
          <w:color w:val="222222"/>
          <w:sz w:val="32"/>
          <w:szCs w:val="32"/>
        </w:rPr>
        <w:t>根据年初工作规划和重点性工作，积极履职，强化管理，通过加强预算收支管理，不断建立健全内部管理制度，梳理内部管理流程，较好的完成了年度工作目标。</w:t>
      </w:r>
    </w:p>
    <w:p>
      <w:pPr>
        <w:spacing w:line="576" w:lineRule="exact"/>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sz w:val="32"/>
          <w:szCs w:val="32"/>
        </w:rPr>
        <w:t>本校按要求对</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20年部门整体支出绩效评价情况开展自评，</w:t>
      </w:r>
      <w:r>
        <w:rPr>
          <w:rFonts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rPr>
        <w:t>20年我校部门整体支出绩效评价自查自评结果良好，全年基本支出保证了部门的正常运行和日常工作的正常开展，绩效目标得到较好实现，绩效管理水平不断提高，绩效指标体系逐渐丰富和完善。</w:t>
      </w:r>
    </w:p>
    <w:p>
      <w:pPr>
        <w:spacing w:line="576" w:lineRule="exact"/>
        <w:ind w:left="638" w:leftChars="304"/>
        <w:rPr>
          <w:rFonts w:ascii="楷体" w:hAnsi="楷体" w:eastAsia="楷体" w:cs="楷体"/>
          <w:b/>
          <w:bCs/>
          <w:sz w:val="32"/>
          <w:szCs w:val="32"/>
        </w:rPr>
      </w:pPr>
      <w:r>
        <w:rPr>
          <w:rFonts w:hint="eastAsia" w:ascii="楷体" w:hAnsi="楷体" w:eastAsia="楷体" w:cs="楷体"/>
          <w:b/>
          <w:bCs/>
          <w:sz w:val="32"/>
          <w:szCs w:val="32"/>
        </w:rPr>
        <w:t>1.项目绩效目标完成情况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项目绩效内容本单位不涉及。</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9"/>
              <w:widowControl/>
              <w:spacing w:line="576" w:lineRule="exact"/>
              <w:ind w:left="4173" w:leftChars="1310" w:hanging="1422" w:hangingChars="395"/>
              <w:textAlignment w:val="center"/>
              <w:rPr>
                <w:rFonts w:ascii="黑体" w:hAnsi="黑体" w:eastAsia="黑体" w:cs="黑体"/>
                <w:color w:val="000000"/>
                <w:kern w:val="0"/>
                <w:sz w:val="36"/>
                <w:szCs w:val="36"/>
              </w:rPr>
            </w:pPr>
            <w:r>
              <w:rPr>
                <w:rFonts w:hint="eastAsia" w:ascii="黑体" w:hAnsi="黑体" w:eastAsia="黑体" w:cs="黑体"/>
                <w:color w:val="000000"/>
                <w:kern w:val="0"/>
                <w:sz w:val="36"/>
                <w:szCs w:val="36"/>
              </w:rPr>
              <w:t>项目支出绩效目标完成情况表</w:t>
            </w:r>
          </w:p>
          <w:p>
            <w:pPr>
              <w:pStyle w:val="29"/>
              <w:widowControl/>
              <w:spacing w:line="576" w:lineRule="exact"/>
              <w:ind w:left="4173" w:leftChars="1310" w:hanging="1422" w:hangingChars="395"/>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rPr>
              <w:t>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宋体"/>
                <w:color w:val="000000"/>
                <w:sz w:val="24"/>
                <w:szCs w:val="24"/>
              </w:rPr>
            </w:pPr>
            <w:r>
              <w:rPr>
                <w:rFonts w:hint="eastAsia" w:ascii="仿宋_GB2312" w:hAnsi="仿宋_GB2312" w:eastAsia="仿宋_GB2312" w:cs="仿宋_GB2312"/>
                <w:sz w:val="32"/>
                <w:szCs w:val="32"/>
              </w:rPr>
              <w:t xml:space="preserve"> </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宋体"/>
                <w:color w:val="000000"/>
                <w:sz w:val="24"/>
                <w:szCs w:val="24"/>
              </w:rPr>
            </w:pPr>
            <w:r>
              <w:rPr>
                <w:rFonts w:hint="eastAsia" w:ascii="仿宋_GB2312" w:hAnsi="仿宋_GB2312" w:eastAsia="仿宋_GB2312" w:cs="仿宋_GB2312"/>
                <w:color w:val="000000"/>
                <w:sz w:val="32"/>
                <w:szCs w:val="32"/>
              </w:rPr>
              <w:t xml:space="preserve"> </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仿宋_GB2312" w:hAnsi="仿宋_GB2312" w:eastAsia="仿宋_GB2312" w:cs="仿宋_GB2312"/>
                <w:color w:val="000000"/>
                <w:sz w:val="32"/>
                <w:szCs w:val="32"/>
              </w:rPr>
              <w:t xml:space="preserve">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jc w:val="center"/>
              <w:rPr>
                <w:rFonts w:ascii="宋体"/>
                <w:color w:val="000000"/>
                <w:sz w:val="24"/>
                <w:szCs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eastAsia="仿宋_GB2312"/>
                <w:color w:val="000000"/>
                <w:sz w:val="24"/>
                <w:szCs w:val="24"/>
              </w:rPr>
            </w:pPr>
            <w:r>
              <w:rPr>
                <w:rFonts w:hint="eastAsia" w:ascii="仿宋_GB2312" w:hAnsi="仿宋_GB2312" w:eastAsia="仿宋_GB2312" w:cs="仿宋_GB2312"/>
                <w:sz w:val="32"/>
                <w:szCs w:val="32"/>
              </w:rPr>
              <w:t xml:space="preserve"> </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napToGrid w:val="0"/>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 xml:space="preserve"> </w:t>
            </w:r>
          </w:p>
          <w:p>
            <w:pPr>
              <w:widowControl/>
              <w:spacing w:line="576" w:lineRule="exact"/>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olor w:val="000000"/>
                <w:sz w:val="24"/>
                <w:szCs w:val="24"/>
              </w:rPr>
              <w:t xml:space="preserve">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olor w:val="000000"/>
                <w:sz w:val="24"/>
                <w:szCs w:val="24"/>
              </w:rPr>
              <w:t xml:space="preserve">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楷体_GB2312" w:hAnsi="楷体_GB2312" w:eastAsia="楷体_GB2312" w:cs="楷体_GB2312"/>
                <w:sz w:val="32"/>
                <w:szCs w:val="32"/>
              </w:rPr>
              <w:t xml:space="preserve">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楷体_GB2312" w:hAnsi="楷体_GB2312" w:eastAsia="楷体_GB2312" w:cs="楷体_GB2312"/>
                <w:sz w:val="32"/>
                <w:szCs w:val="32"/>
              </w:rPr>
              <w:t xml:space="preserve"> </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p>
        </w:tc>
      </w:tr>
    </w:tbl>
    <w:p>
      <w:pPr>
        <w:spacing w:line="576" w:lineRule="exact"/>
        <w:ind w:firstLine="642" w:firstLineChars="200"/>
        <w:outlineLvl w:val="1"/>
        <w:rPr>
          <w:rFonts w:ascii="楷体" w:hAnsi="楷体" w:eastAsia="楷体" w:cs="楷体"/>
          <w:b/>
          <w:bCs/>
          <w:sz w:val="32"/>
          <w:szCs w:val="32"/>
        </w:rPr>
      </w:pPr>
      <w:r>
        <w:rPr>
          <w:rFonts w:hint="eastAsia" w:ascii="楷体" w:hAnsi="楷体" w:eastAsia="楷体" w:cs="楷体"/>
          <w:b/>
          <w:bCs/>
          <w:sz w:val="32"/>
          <w:szCs w:val="32"/>
        </w:rPr>
        <w:t>2.</w:t>
      </w:r>
      <w:bookmarkStart w:id="50" w:name="_Toc15396612"/>
      <w:bookmarkStart w:id="51" w:name="_Toc15377221"/>
      <w:r>
        <w:rPr>
          <w:rFonts w:hint="eastAsia" w:ascii="楷体" w:hAnsi="楷体" w:eastAsia="楷体" w:cs="楷体"/>
          <w:b/>
          <w:bCs/>
          <w:sz w:val="32"/>
          <w:szCs w:val="32"/>
        </w:rPr>
        <w:t>部门开展绩效评价结果</w:t>
      </w:r>
    </w:p>
    <w:p>
      <w:pPr>
        <w:spacing w:line="576"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本部门按要求对</w:t>
      </w:r>
      <w:r>
        <w:rPr>
          <w:rFonts w:ascii="仿宋_GB2312" w:hAnsi="仿宋_GB2312" w:eastAsia="仿宋_GB2312" w:cs="仿宋_GB2312"/>
          <w:color w:val="000000"/>
          <w:kern w:val="0"/>
          <w:sz w:val="32"/>
          <w:szCs w:val="32"/>
        </w:rPr>
        <w:t xml:space="preserve"> 20</w:t>
      </w:r>
      <w:r>
        <w:rPr>
          <w:rFonts w:hint="eastAsia" w:ascii="仿宋_GB2312" w:hAnsi="仿宋_GB2312" w:eastAsia="仿宋_GB2312" w:cs="仿宋_GB2312"/>
          <w:color w:val="000000"/>
          <w:kern w:val="0"/>
          <w:sz w:val="32"/>
          <w:szCs w:val="32"/>
        </w:rPr>
        <w:t>20年部门整体支出绩效评价情况开展自评，《茂县县委党校2020年部门整体支出绩效评价报告》见附件（附件1）。</w:t>
      </w:r>
    </w:p>
    <w:bookmarkEnd w:id="50"/>
    <w:bookmarkEnd w:id="51"/>
    <w:p>
      <w:pPr>
        <w:widowControl/>
        <w:ind w:firstLine="1760" w:firstLineChars="400"/>
        <w:jc w:val="left"/>
        <w:rPr>
          <w:rFonts w:ascii="方正小标宋简体" w:hAnsi="方正小标宋简体" w:eastAsia="方正小标宋简体" w:cs="方正小标宋简体"/>
          <w:color w:val="000000"/>
          <w:sz w:val="44"/>
          <w:szCs w:val="44"/>
        </w:rPr>
      </w:pPr>
      <w:bookmarkStart w:id="52" w:name="_Toc15396613"/>
      <w:bookmarkStart w:id="53" w:name="_Toc15377225"/>
    </w:p>
    <w:p>
      <w:pPr>
        <w:widowControl/>
        <w:rPr>
          <w:rFonts w:hint="eastAsia" w:ascii="方正小标宋简体" w:hAnsi="方正小标宋简体" w:eastAsia="方正小标宋简体" w:cs="方正小标宋简体"/>
          <w:color w:val="000000"/>
          <w:sz w:val="44"/>
          <w:szCs w:val="44"/>
        </w:rPr>
      </w:pPr>
    </w:p>
    <w:p>
      <w:pPr>
        <w:widowControl/>
        <w:jc w:val="center"/>
        <w:rPr>
          <w:rStyle w:val="17"/>
          <w:rFonts w:ascii="方正小标宋简体" w:hAnsi="方正小标宋简体" w:eastAsia="方正小标宋简体"/>
          <w:b w:val="0"/>
          <w:bCs w:val="0"/>
        </w:rPr>
      </w:pPr>
      <w:r>
        <w:rPr>
          <w:rFonts w:hint="eastAsia" w:ascii="方正小标宋简体" w:hAnsi="方正小标宋简体" w:eastAsia="方正小标宋简体" w:cs="方正小标宋简体"/>
          <w:color w:val="000000"/>
          <w:sz w:val="44"/>
          <w:szCs w:val="44"/>
        </w:rPr>
        <w:t>第三部分名</w:t>
      </w:r>
      <w:r>
        <w:rPr>
          <w:rStyle w:val="17"/>
          <w:rFonts w:hint="eastAsia" w:ascii="方正小标宋简体" w:hAnsi="方正小标宋简体" w:eastAsia="方正小标宋简体" w:cs="方正小标宋简体"/>
          <w:b w:val="0"/>
          <w:bCs w:val="0"/>
        </w:rPr>
        <w:t>词解释</w:t>
      </w:r>
      <w:bookmarkEnd w:id="52"/>
      <w:bookmarkEnd w:id="53"/>
    </w:p>
    <w:p>
      <w:pPr>
        <w:pStyle w:val="28"/>
        <w:spacing w:line="560" w:lineRule="exact"/>
        <w:ind w:firstLine="640" w:firstLineChars="200"/>
        <w:rPr>
          <w:rFonts w:ascii="仿宋_GB2312" w:hAnsi="仿宋_GB2312" w:eastAsia="仿宋_GB2312" w:cs="仿宋_GB2312"/>
          <w:sz w:val="32"/>
          <w:szCs w:val="32"/>
        </w:rPr>
      </w:pPr>
      <w:bookmarkStart w:id="54" w:name="_Toc15396614"/>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财政拨款收入：指单位从同级财政部门取得的财政预算资金。</w:t>
      </w:r>
    </w:p>
    <w:p>
      <w:pPr>
        <w:pStyle w:val="28"/>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事业收入：指事业单位开展专业业务活动及辅助活动取得的收入。</w:t>
      </w:r>
    </w:p>
    <w:p>
      <w:pPr>
        <w:pStyle w:val="28"/>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pPr>
        <w:pStyle w:val="28"/>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其他收入：指单位取得的除上述收入以外的各项收入。</w:t>
      </w:r>
    </w:p>
    <w:p>
      <w:pPr>
        <w:pStyle w:val="28"/>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8"/>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p>
    <w:p>
      <w:pPr>
        <w:pStyle w:val="28"/>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结余分配：指事业单位按照事业单位会计制度的规定从非财政补助结余中分配的事业基金和职工福利基金等。</w:t>
      </w:r>
    </w:p>
    <w:p>
      <w:pPr>
        <w:pStyle w:val="28"/>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.年末结转和结余：指单位按有关规定结转到下年或以后年度继续使用的资金。</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教育（类）教育管理事务（款）行政运行（项）：指用于保障机构运行、开展日常工作的基本支出。</w:t>
      </w:r>
    </w:p>
    <w:p>
      <w:pPr>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社会保障和就业（类）行政事业单位离退休（款）机关事业单位职业年金缴费支出（项）：指部门实施养老保险制度由单位缴纳的职业年金的支出。</w:t>
      </w:r>
    </w:p>
    <w:p>
      <w:pPr>
        <w:widowControl/>
        <w:ind w:firstLine="640" w:firstLineChars="20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医疗卫生与计划生育（类）行政事业单位医疗（款）行政单位医疗（项）：指本</w:t>
      </w:r>
      <w:r>
        <w:rPr>
          <w:rFonts w:hint="eastAsia" w:ascii="仿宋_GB2312" w:hAnsi="仿宋_GB2312" w:eastAsia="仿宋_GB2312" w:cs="仿宋_GB2312"/>
          <w:color w:val="000000"/>
          <w:kern w:val="0"/>
          <w:sz w:val="32"/>
          <w:szCs w:val="32"/>
        </w:rPr>
        <w:t>单位用于缴纳单位基本医疗保险支出。</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农林水（类）扶贫（款）其他扶贫支出（项）：指扶贫方面支出。</w:t>
      </w:r>
    </w:p>
    <w:p>
      <w:pPr>
        <w:widowControl/>
        <w:ind w:firstLine="640" w:firstLineChars="200"/>
        <w:jc w:val="left"/>
      </w:pPr>
      <w:r>
        <w:rPr>
          <w:rFonts w:hint="eastAsia" w:ascii="仿宋_GB2312" w:hAnsi="仿宋_GB2312" w:eastAsia="仿宋_GB2312" w:cs="仿宋_GB2312"/>
          <w:color w:val="000000"/>
          <w:sz w:val="32"/>
          <w:szCs w:val="32"/>
        </w:rPr>
        <w:t>14</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住房保障（类）住房改革（款）住房公积金（项）：指</w:t>
      </w:r>
      <w:r>
        <w:rPr>
          <w:rFonts w:hint="eastAsia" w:ascii="仿宋_GB2312" w:hAnsi="仿宋_GB2312" w:eastAsia="仿宋_GB2312" w:cs="仿宋_GB2312"/>
          <w:color w:val="000000"/>
          <w:kern w:val="0"/>
          <w:sz w:val="32"/>
          <w:szCs w:val="32"/>
        </w:rPr>
        <w:t>行政事业单位按规定为职工缴纳的住房公积金。</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项目支出：指在基本支出之外为完成特定行政任务和事业发展目标所发生的支出。</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pPr>
        <w:pStyle w:val="28"/>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pPr>
        <w:spacing w:line="600" w:lineRule="exact"/>
        <w:ind w:firstLine="2420" w:firstLineChars="550"/>
        <w:outlineLvl w:val="0"/>
        <w:rPr>
          <w:rFonts w:ascii="方正小标宋简体" w:hAnsi="方正小标宋简体" w:eastAsia="方正小标宋简体" w:cs="方正小标宋简体"/>
          <w:sz w:val="44"/>
          <w:szCs w:val="44"/>
        </w:rPr>
      </w:pPr>
    </w:p>
    <w:p>
      <w:pPr>
        <w:spacing w:line="600" w:lineRule="exact"/>
        <w:outlineLvl w:val="0"/>
        <w:rPr>
          <w:rFonts w:ascii="方正小标宋简体" w:hAnsi="方正小标宋简体" w:eastAsia="方正小标宋简体" w:cs="方正小标宋简体"/>
          <w:sz w:val="44"/>
          <w:szCs w:val="44"/>
        </w:rPr>
      </w:pPr>
    </w:p>
    <w:p>
      <w:pPr>
        <w:spacing w:line="600" w:lineRule="exact"/>
        <w:ind w:firstLine="2420" w:firstLineChars="550"/>
        <w:outlineLvl w:val="0"/>
        <w:rPr>
          <w:rFonts w:ascii="方正小标宋简体" w:hAnsi="方正小标宋简体" w:eastAsia="方正小标宋简体" w:cs="方正小标宋简体"/>
          <w:sz w:val="44"/>
          <w:szCs w:val="44"/>
        </w:rPr>
      </w:pPr>
    </w:p>
    <w:p>
      <w:pPr>
        <w:spacing w:line="600" w:lineRule="exact"/>
        <w:ind w:firstLine="2420" w:firstLineChars="550"/>
        <w:outlineLvl w:val="0"/>
        <w:rPr>
          <w:rFonts w:ascii="方正小标宋简体" w:hAnsi="方正小标宋简体" w:eastAsia="方正小标宋简体" w:cs="方正小标宋简体"/>
          <w:sz w:val="44"/>
          <w:szCs w:val="44"/>
        </w:rPr>
      </w:pPr>
    </w:p>
    <w:p>
      <w:pPr>
        <w:spacing w:line="600" w:lineRule="exact"/>
        <w:ind w:firstLine="2420" w:firstLineChars="550"/>
        <w:outlineLvl w:val="0"/>
        <w:rPr>
          <w:rFonts w:ascii="方正小标宋简体" w:hAnsi="方正小标宋简体" w:eastAsia="方正小标宋简体" w:cs="方正小标宋简体"/>
          <w:sz w:val="44"/>
          <w:szCs w:val="44"/>
        </w:rPr>
      </w:pPr>
    </w:p>
    <w:p>
      <w:pPr>
        <w:spacing w:line="600" w:lineRule="exact"/>
        <w:ind w:firstLine="2420" w:firstLineChars="550"/>
        <w:outlineLvl w:val="0"/>
        <w:rPr>
          <w:rFonts w:ascii="方正小标宋简体" w:hAnsi="方正小标宋简体" w:eastAsia="方正小标宋简体" w:cs="方正小标宋简体"/>
          <w:sz w:val="44"/>
          <w:szCs w:val="44"/>
        </w:rPr>
      </w:pPr>
    </w:p>
    <w:p>
      <w:pPr>
        <w:spacing w:line="600" w:lineRule="exact"/>
        <w:ind w:firstLine="2420" w:firstLineChars="550"/>
        <w:outlineLvl w:val="0"/>
        <w:rPr>
          <w:rFonts w:ascii="方正小标宋简体" w:hAnsi="方正小标宋简体" w:eastAsia="方正小标宋简体" w:cs="方正小标宋简体"/>
          <w:sz w:val="44"/>
          <w:szCs w:val="44"/>
        </w:rPr>
      </w:pPr>
    </w:p>
    <w:p>
      <w:pPr>
        <w:spacing w:line="600" w:lineRule="exact"/>
        <w:ind w:firstLine="2420" w:firstLineChars="550"/>
        <w:outlineLvl w:val="0"/>
        <w:rPr>
          <w:rFonts w:ascii="方正小标宋简体" w:hAnsi="方正小标宋简体" w:eastAsia="方正小标宋简体" w:cs="方正小标宋简体"/>
          <w:sz w:val="44"/>
          <w:szCs w:val="44"/>
        </w:rPr>
      </w:pPr>
    </w:p>
    <w:p>
      <w:pPr>
        <w:spacing w:line="600" w:lineRule="exact"/>
        <w:ind w:firstLine="2420" w:firstLineChars="550"/>
        <w:outlineLvl w:val="0"/>
        <w:rPr>
          <w:rFonts w:ascii="方正小标宋简体" w:hAnsi="方正小标宋简体" w:eastAsia="方正小标宋简体" w:cs="方正小标宋简体"/>
          <w:sz w:val="44"/>
          <w:szCs w:val="44"/>
        </w:rPr>
      </w:pPr>
    </w:p>
    <w:p>
      <w:pPr>
        <w:spacing w:line="600" w:lineRule="exact"/>
        <w:ind w:firstLine="2420" w:firstLineChars="550"/>
        <w:outlineLvl w:val="0"/>
        <w:rPr>
          <w:rFonts w:ascii="方正小标宋简体" w:hAnsi="方正小标宋简体" w:eastAsia="方正小标宋简体" w:cs="方正小标宋简体"/>
          <w:sz w:val="44"/>
          <w:szCs w:val="44"/>
        </w:rPr>
      </w:pPr>
    </w:p>
    <w:p>
      <w:pPr>
        <w:spacing w:line="600" w:lineRule="exact"/>
        <w:ind w:firstLine="2420" w:firstLineChars="550"/>
        <w:outlineLvl w:val="0"/>
        <w:rPr>
          <w:rFonts w:ascii="方正小标宋简体" w:hAnsi="方正小标宋简体" w:eastAsia="方正小标宋简体" w:cs="方正小标宋简体"/>
          <w:sz w:val="44"/>
          <w:szCs w:val="44"/>
        </w:rPr>
      </w:pPr>
    </w:p>
    <w:p>
      <w:pPr>
        <w:spacing w:line="600" w:lineRule="exact"/>
        <w:ind w:firstLine="2420" w:firstLineChars="550"/>
        <w:outlineLvl w:val="0"/>
        <w:rPr>
          <w:rFonts w:ascii="方正小标宋简体" w:hAnsi="方正小标宋简体" w:eastAsia="方正小标宋简体" w:cs="方正小标宋简体"/>
          <w:sz w:val="44"/>
          <w:szCs w:val="44"/>
        </w:rPr>
      </w:pPr>
    </w:p>
    <w:p>
      <w:pPr>
        <w:spacing w:line="600" w:lineRule="exact"/>
        <w:ind w:firstLine="2420" w:firstLineChars="550"/>
        <w:outlineLvl w:val="0"/>
        <w:rPr>
          <w:rFonts w:ascii="方正小标宋简体" w:hAnsi="方正小标宋简体" w:eastAsia="方正小标宋简体" w:cs="方正小标宋简体"/>
          <w:sz w:val="44"/>
          <w:szCs w:val="44"/>
        </w:rPr>
      </w:pPr>
    </w:p>
    <w:p>
      <w:pPr>
        <w:spacing w:line="600" w:lineRule="exact"/>
        <w:ind w:firstLine="2420" w:firstLineChars="550"/>
        <w:outlineLvl w:val="0"/>
        <w:rPr>
          <w:rFonts w:ascii="方正小标宋简体" w:hAnsi="方正小标宋简体" w:eastAsia="方正小标宋简体" w:cs="方正小标宋简体"/>
          <w:sz w:val="44"/>
          <w:szCs w:val="44"/>
        </w:rPr>
      </w:pPr>
    </w:p>
    <w:p>
      <w:pPr>
        <w:spacing w:line="600" w:lineRule="exact"/>
        <w:ind w:firstLine="2420" w:firstLineChars="550"/>
        <w:outlineLvl w:val="0"/>
        <w:rPr>
          <w:rStyle w:val="17"/>
          <w:rFonts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sz w:val="44"/>
          <w:szCs w:val="44"/>
        </w:rPr>
        <w:t>第四部分</w:t>
      </w:r>
      <w:r>
        <w:rPr>
          <w:rStyle w:val="17"/>
          <w:rFonts w:hint="eastAsia" w:ascii="方正小标宋简体" w:hAnsi="方正小标宋简体" w:eastAsia="方正小标宋简体" w:cs="方正小标宋简体"/>
          <w:b w:val="0"/>
          <w:bCs w:val="0"/>
        </w:rPr>
        <w:t>附件</w:t>
      </w:r>
      <w:bookmarkEnd w:id="54"/>
      <w:bookmarkStart w:id="55" w:name="_Toc15396615"/>
    </w:p>
    <w:bookmarkEnd w:id="55"/>
    <w:p>
      <w:pPr>
        <w:spacing w:line="600" w:lineRule="exact"/>
        <w:outlineLvl w:val="0"/>
        <w:rPr>
          <w:rStyle w:val="17"/>
          <w:rFonts w:ascii="黑体" w:hAnsi="黑体" w:eastAsia="黑体" w:cs="黑体"/>
          <w:b w:val="0"/>
          <w:bCs w:val="0"/>
          <w:sz w:val="32"/>
          <w:szCs w:val="32"/>
        </w:rPr>
      </w:pPr>
      <w:r>
        <w:rPr>
          <w:rStyle w:val="17"/>
          <w:rFonts w:hint="eastAsia" w:ascii="黑体" w:hAnsi="黑体" w:eastAsia="黑体" w:cs="黑体"/>
          <w:b w:val="0"/>
          <w:bCs w:val="0"/>
          <w:sz w:val="32"/>
          <w:szCs w:val="32"/>
        </w:rPr>
        <w:t>附件1</w:t>
      </w:r>
    </w:p>
    <w:p>
      <w:pPr>
        <w:spacing w:line="600" w:lineRule="exact"/>
        <w:jc w:val="center"/>
        <w:outlineLvl w:val="0"/>
        <w:rPr>
          <w:rFonts w:ascii="方正小标宋简体" w:hAnsi="方正小标宋简体" w:eastAsia="方正小标宋简体"/>
          <w:sz w:val="44"/>
          <w:szCs w:val="44"/>
        </w:rPr>
      </w:pPr>
      <w:bookmarkStart w:id="56" w:name="_Toc15396616"/>
      <w:r>
        <w:rPr>
          <w:rFonts w:hint="eastAsia" w:ascii="方正小标宋简体" w:hAnsi="方正小标宋简体" w:eastAsia="方正小标宋简体" w:cs="方正小标宋简体"/>
          <w:sz w:val="44"/>
          <w:szCs w:val="44"/>
        </w:rPr>
        <w:t>茂县县委党校</w:t>
      </w:r>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rPr>
        <w:t>20年部门整体支出绩效</w:t>
      </w:r>
    </w:p>
    <w:p>
      <w:pPr>
        <w:spacing w:line="600" w:lineRule="exact"/>
        <w:jc w:val="center"/>
        <w:outlineLvl w:val="0"/>
        <w:rPr>
          <w:rFonts w:ascii="黑体" w:hAnsi="黑体" w:eastAsia="黑体"/>
          <w:sz w:val="36"/>
          <w:szCs w:val="36"/>
        </w:rPr>
      </w:pPr>
      <w:r>
        <w:rPr>
          <w:rFonts w:hint="eastAsia" w:ascii="方正小标宋简体" w:hAnsi="方正小标宋简体" w:eastAsia="方正小标宋简体" w:cs="方正小标宋简体"/>
          <w:sz w:val="44"/>
          <w:szCs w:val="44"/>
        </w:rPr>
        <w:t>评价报告</w:t>
      </w:r>
      <w:bookmarkEnd w:id="56"/>
    </w:p>
    <w:p>
      <w:pPr>
        <w:widowControl/>
        <w:spacing w:line="580" w:lineRule="exact"/>
        <w:ind w:firstLine="642" w:firstLineChars="200"/>
        <w:contextualSpacing/>
        <w:rPr>
          <w:rFonts w:ascii="仿宋_GB2312" w:eastAsia="仿宋_GB2312"/>
          <w:b/>
          <w:sz w:val="32"/>
          <w:szCs w:val="32"/>
          <w:shd w:val="clear" w:color="auto" w:fill="FFFFFF"/>
        </w:rPr>
      </w:pPr>
      <w:r>
        <w:rPr>
          <w:rFonts w:hint="eastAsia" w:ascii="仿宋_GB2312" w:eastAsia="仿宋_GB2312"/>
          <w:b/>
          <w:sz w:val="32"/>
          <w:szCs w:val="32"/>
          <w:shd w:val="clear" w:color="auto" w:fill="FFFFFF"/>
        </w:rPr>
        <w:t>一、部门（单位）概况</w:t>
      </w:r>
    </w:p>
    <w:p>
      <w:pPr>
        <w:widowControl/>
        <w:spacing w:line="580" w:lineRule="exact"/>
        <w:ind w:firstLine="480" w:firstLineChars="150"/>
        <w:contextualSpacing/>
        <w:rPr>
          <w:rFonts w:ascii="仿宋_GB2312" w:eastAsia="仿宋_GB2312"/>
          <w:sz w:val="32"/>
          <w:szCs w:val="32"/>
          <w:shd w:val="clear" w:color="auto" w:fill="FFFFFF"/>
        </w:rPr>
      </w:pPr>
      <w:r>
        <w:rPr>
          <w:rFonts w:hint="eastAsia" w:ascii="仿宋_GB2312" w:eastAsia="仿宋_GB2312"/>
          <w:sz w:val="32"/>
          <w:szCs w:val="32"/>
          <w:shd w:val="clear" w:color="auto" w:fill="FFFFFF"/>
        </w:rPr>
        <w:t>（一）机构组成</w:t>
      </w:r>
    </w:p>
    <w:p>
      <w:pPr>
        <w:widowControl/>
        <w:spacing w:line="580" w:lineRule="exact"/>
        <w:ind w:firstLine="640" w:firstLineChars="200"/>
        <w:contextualSpacing/>
        <w:rPr>
          <w:rFonts w:ascii="仿宋_GB2312" w:eastAsia="仿宋_GB2312"/>
          <w:sz w:val="32"/>
          <w:szCs w:val="32"/>
          <w:shd w:val="clear" w:color="auto" w:fill="FFFFFF"/>
        </w:rPr>
      </w:pPr>
      <w:r>
        <w:rPr>
          <w:rFonts w:hint="eastAsia" w:ascii="仿宋_GB2312" w:eastAsia="仿宋_GB2312"/>
          <w:sz w:val="32"/>
          <w:szCs w:val="32"/>
          <w:shd w:val="clear" w:color="auto" w:fill="FFFFFF"/>
        </w:rPr>
        <w:t>县委党校是县委直属的乡科级全额拨款的事业单位。内设办公室、教研室、后勤财务室。</w:t>
      </w:r>
    </w:p>
    <w:p>
      <w:pPr>
        <w:widowControl/>
        <w:spacing w:line="580" w:lineRule="exact"/>
        <w:ind w:firstLine="640" w:firstLineChars="200"/>
        <w:contextualSpacing/>
        <w:rPr>
          <w:rFonts w:ascii="仿宋_GB2312" w:eastAsia="仿宋_GB2312"/>
          <w:sz w:val="32"/>
          <w:szCs w:val="32"/>
          <w:shd w:val="clear" w:color="auto" w:fill="FFFFFF"/>
        </w:rPr>
      </w:pPr>
      <w:r>
        <w:rPr>
          <w:rFonts w:hint="eastAsia" w:ascii="仿宋_GB2312" w:eastAsia="仿宋_GB2312"/>
          <w:sz w:val="32"/>
          <w:szCs w:val="32"/>
          <w:shd w:val="clear" w:color="auto" w:fill="FFFFFF"/>
        </w:rPr>
        <w:t>(二）机构职能</w:t>
      </w:r>
    </w:p>
    <w:p>
      <w:pPr>
        <w:widowControl/>
        <w:spacing w:line="58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党校是县委的直属事业单位，是县委、县政府轮训和培训党员领导干部的重要阵地，培养党的理论队伍的重要阵地，学习、研究马列主义、毛泽东思想、邓小平理论的重要阵地，党员干部党性锻炼的熔炉。主要任务是：（1）轮训党员领导干部；（2）培训中青年党员领导干部；（3）培训意识形态部门的领导干部和理论骨干；（4）协同组织人事部门，对学员在校期间进行考核考察；（5）围绕国内外出现的新情况、新问题以及我县的热点难点问题开展调查研究；（6）宣传马克思列宁主义、毛泽东思想、邓小平理论和“三个代表”重要思想以及党的各项路线、方针、政策；（7）承担县委和上级主管部门交办的其他工作。</w:t>
      </w:r>
    </w:p>
    <w:p>
      <w:pPr>
        <w:widowControl/>
        <w:spacing w:line="580" w:lineRule="exact"/>
        <w:ind w:firstLine="480" w:firstLineChars="150"/>
        <w:contextualSpacing/>
        <w:rPr>
          <w:rFonts w:ascii="仿宋_GB2312" w:eastAsia="仿宋_GB2312"/>
          <w:sz w:val="32"/>
          <w:szCs w:val="32"/>
          <w:shd w:val="clear" w:color="auto" w:fill="FFFFFF"/>
        </w:rPr>
      </w:pPr>
      <w:r>
        <w:rPr>
          <w:rFonts w:hint="eastAsia" w:ascii="仿宋_GB2312" w:eastAsia="仿宋_GB2312"/>
          <w:sz w:val="32"/>
          <w:szCs w:val="32"/>
          <w:shd w:val="clear" w:color="auto" w:fill="FFFFFF"/>
        </w:rPr>
        <w:t>（三）人员概况</w:t>
      </w:r>
    </w:p>
    <w:p>
      <w:pPr>
        <w:widowControl/>
        <w:spacing w:line="580" w:lineRule="exact"/>
        <w:ind w:firstLine="640" w:firstLineChars="200"/>
        <w:contextualSpacing/>
        <w:rPr>
          <w:rFonts w:ascii="仿宋_GB2312" w:eastAsia="仿宋_GB2312"/>
          <w:sz w:val="32"/>
          <w:szCs w:val="32"/>
          <w:shd w:val="clear" w:color="auto" w:fill="FFFFFF"/>
        </w:rPr>
      </w:pPr>
      <w:r>
        <w:rPr>
          <w:rFonts w:hint="eastAsia" w:ascii="仿宋_GB2312" w:eastAsia="仿宋_GB2312"/>
          <w:sz w:val="32"/>
          <w:szCs w:val="32"/>
          <w:shd w:val="clear" w:color="auto" w:fill="FFFFFF"/>
        </w:rPr>
        <w:t>茂县党校核定编制14名，其中：参公编制8人，事业编制5名，工勤1名。实有在职职工15名（其中参公人员9名，参公工勤1名，事业人员5名），退休5人。</w:t>
      </w:r>
    </w:p>
    <w:p>
      <w:pPr>
        <w:widowControl/>
        <w:spacing w:line="580" w:lineRule="exact"/>
        <w:ind w:firstLine="642" w:firstLineChars="200"/>
        <w:contextualSpacing/>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二、部门财政资金收支情况</w:t>
      </w:r>
    </w:p>
    <w:p>
      <w:pPr>
        <w:widowControl/>
        <w:spacing w:line="580" w:lineRule="exact"/>
        <w:ind w:firstLine="640" w:firstLineChars="200"/>
        <w:contextualSpacing/>
        <w:rPr>
          <w:rFonts w:ascii="仿宋_GB2312" w:eastAsia="仿宋_GB2312"/>
          <w:sz w:val="32"/>
          <w:szCs w:val="32"/>
          <w:shd w:val="clear" w:color="auto" w:fill="FFFFFF"/>
        </w:rPr>
      </w:pPr>
      <w:r>
        <w:rPr>
          <w:rFonts w:hint="eastAsia" w:ascii="仿宋_GB2312" w:eastAsia="仿宋_GB2312"/>
          <w:sz w:val="32"/>
          <w:szCs w:val="32"/>
          <w:shd w:val="clear" w:color="auto" w:fill="FFFFFF"/>
        </w:rPr>
        <w:t>（一）部门财政资金收入情况</w:t>
      </w:r>
    </w:p>
    <w:p>
      <w:pPr>
        <w:widowControl/>
        <w:spacing w:line="580" w:lineRule="exact"/>
        <w:ind w:firstLine="640" w:firstLineChars="200"/>
        <w:contextualSpacing/>
        <w:rPr>
          <w:rFonts w:ascii="仿宋_GB2312" w:eastAsia="仿宋_GB2312"/>
          <w:sz w:val="32"/>
          <w:szCs w:val="32"/>
          <w:shd w:val="clear" w:color="auto" w:fill="FFFFFF"/>
        </w:rPr>
      </w:pPr>
      <w:r>
        <w:rPr>
          <w:rFonts w:hint="eastAsia" w:ascii="仿宋_GB2312" w:eastAsia="仿宋_GB2312"/>
          <w:sz w:val="32"/>
          <w:szCs w:val="32"/>
          <w:shd w:val="clear" w:color="auto" w:fill="FFFFFF"/>
        </w:rPr>
        <w:t>2020年部门（单位）决算总收入286.59万元。收入决算总额较2019年增加58.3万元，主要原因是人员增加。</w:t>
      </w:r>
    </w:p>
    <w:p>
      <w:pPr>
        <w:widowControl/>
        <w:spacing w:line="58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2021年1月—6月收入141.02万元。</w:t>
      </w:r>
    </w:p>
    <w:p>
      <w:pPr>
        <w:widowControl/>
        <w:spacing w:line="580" w:lineRule="exact"/>
        <w:ind w:firstLine="480" w:firstLineChars="15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(二）部门财政资金支出情况</w:t>
      </w:r>
    </w:p>
    <w:p>
      <w:pPr>
        <w:widowControl/>
        <w:spacing w:line="58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2020年本年支出合计280.1万元，其中：教育支出210.52万元，社会保障和就业支出31.05万元，卫生健康支出15.16万元，住房保障支出21.95万元，农林水支出1.42万元。</w:t>
      </w:r>
    </w:p>
    <w:p>
      <w:pPr>
        <w:widowControl/>
        <w:spacing w:line="58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2021年1月—6月支出148.63万元，其中：教育支出114.43万元，社会保障和就业支出16.18万元，卫生健康支出7.79万元，住房保障支出10.23万元。</w:t>
      </w:r>
    </w:p>
    <w:p>
      <w:pPr>
        <w:widowControl/>
        <w:numPr>
          <w:ilvl w:val="0"/>
          <w:numId w:val="3"/>
        </w:numPr>
        <w:spacing w:line="580" w:lineRule="exact"/>
        <w:ind w:firstLine="642" w:firstLineChars="200"/>
        <w:contextualSpacing/>
        <w:jc w:val="left"/>
        <w:rPr>
          <w:rFonts w:ascii="仿宋_GB2312" w:eastAsia="仿宋_GB2312"/>
          <w:b/>
          <w:sz w:val="32"/>
          <w:szCs w:val="32"/>
          <w:shd w:val="clear" w:color="auto" w:fill="FFFFFF"/>
        </w:rPr>
      </w:pPr>
      <w:r>
        <w:rPr>
          <w:rFonts w:hint="eastAsia" w:ascii="仿宋_GB2312" w:eastAsia="仿宋_GB2312"/>
          <w:b/>
          <w:sz w:val="32"/>
          <w:szCs w:val="32"/>
          <w:shd w:val="clear" w:color="auto" w:fill="FFFFFF"/>
        </w:rPr>
        <w:t>部门整体预算绩效管理情况</w:t>
      </w:r>
    </w:p>
    <w:p>
      <w:pPr>
        <w:widowControl/>
        <w:spacing w:line="58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（一）部门预算管理 </w:t>
      </w:r>
    </w:p>
    <w:p>
      <w:pPr>
        <w:widowControl/>
        <w:spacing w:line="58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预算编制工作严格遵循合法性、真实性、完整性、重点性、绩效性，按定额标准编制部门预算。决算编审工作中严格按照“真实、准确、完整、及时”的要求，正确理解和掌握决算报表的口径和相关指标，单位决算报表的内容涵盖单位的全部收支，做到了数据真实，计算准确，内容完整。按照上级的要求，我校在茂县的信息网站上进行了预决算公开。</w:t>
      </w:r>
    </w:p>
    <w:p>
      <w:pPr>
        <w:widowControl/>
        <w:spacing w:line="58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预算执行方面，根据“总量控制、计划管理”的要求从严控制行政经费，压缩公务费开支，严格控制“三公”经费，支出总额控制在预算总额以内。预算资金按规定管理使用，较好地完成了当年任务目标。</w:t>
      </w:r>
    </w:p>
    <w:p>
      <w:pPr>
        <w:widowControl/>
        <w:spacing w:line="58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（二）结果应用情况</w:t>
      </w:r>
    </w:p>
    <w:p>
      <w:pPr>
        <w:spacing w:line="576" w:lineRule="exact"/>
        <w:ind w:firstLine="640" w:firstLineChars="200"/>
        <w:rPr>
          <w:rFonts w:ascii="仿宋_GB2312" w:hAnsi="仿宋" w:eastAsia="仿宋_GB2312"/>
          <w:sz w:val="32"/>
          <w:szCs w:val="32"/>
        </w:rPr>
      </w:pPr>
      <w:r>
        <w:rPr>
          <w:rFonts w:hint="eastAsia" w:ascii="仿宋_GB2312" w:eastAsia="仿宋_GB2312"/>
          <w:sz w:val="32"/>
          <w:szCs w:val="32"/>
          <w:shd w:val="clear" w:color="auto" w:fill="FFFFFF"/>
        </w:rPr>
        <w:t>我校在县委、</w:t>
      </w:r>
      <w:r>
        <w:rPr>
          <w:rFonts w:hint="eastAsia" w:ascii="仿宋_GB2312" w:eastAsia="仿宋_GB2312"/>
          <w:sz w:val="32"/>
          <w:szCs w:val="32"/>
          <w:shd w:val="clear" w:color="auto" w:fill="FFFFFF"/>
          <w:lang w:eastAsia="zh-CN"/>
        </w:rPr>
        <w:t>县</w:t>
      </w:r>
      <w:r>
        <w:rPr>
          <w:rFonts w:hint="eastAsia" w:ascii="仿宋_GB2312" w:eastAsia="仿宋_GB2312"/>
          <w:sz w:val="32"/>
          <w:szCs w:val="32"/>
          <w:shd w:val="clear" w:color="auto" w:fill="FFFFFF"/>
        </w:rPr>
        <w:t>政府的正确领导下，坚持</w:t>
      </w:r>
      <w:r>
        <w:rPr>
          <w:rFonts w:hint="default" w:ascii="仿宋_GB2312" w:eastAsia="仿宋_GB2312"/>
          <w:sz w:val="32"/>
          <w:szCs w:val="32"/>
          <w:shd w:val="clear" w:color="auto" w:fill="FFFFFF"/>
        </w:rPr>
        <w:t>以习近平新时代中国特色社会主义思想和党的十九大精神为指导</w:t>
      </w:r>
      <w:r>
        <w:rPr>
          <w:rFonts w:hint="eastAsia" w:ascii="仿宋_GB2312" w:eastAsia="仿宋_GB2312"/>
          <w:sz w:val="32"/>
          <w:szCs w:val="32"/>
          <w:shd w:val="clear" w:color="auto" w:fill="FFFFFF"/>
        </w:rPr>
        <w:t>,以干部教育培训工作为中心，积极开展干部培训工作，</w:t>
      </w:r>
      <w:r>
        <w:rPr>
          <w:rFonts w:hint="eastAsia" w:ascii="仿宋_GB2312" w:hAnsi="仿宋" w:eastAsia="仿宋_GB2312"/>
          <w:kern w:val="0"/>
          <w:sz w:val="32"/>
          <w:szCs w:val="32"/>
        </w:rPr>
        <w:t>根据干部培训年度计划</w:t>
      </w:r>
      <w:r>
        <w:rPr>
          <w:rFonts w:hint="eastAsia" w:ascii="仿宋_GB2312" w:hAnsi="仿宋" w:eastAsia="仿宋_GB2312"/>
          <w:color w:val="000000"/>
          <w:sz w:val="32"/>
          <w:szCs w:val="32"/>
        </w:rPr>
        <w:t>精心组织主体班次培训，举办</w:t>
      </w:r>
      <w:r>
        <w:rPr>
          <w:rFonts w:hint="eastAsia" w:ascii="仿宋_GB2312" w:hAnsi="仿宋" w:eastAsia="仿宋_GB2312"/>
          <w:sz w:val="32"/>
          <w:szCs w:val="32"/>
        </w:rPr>
        <w:t>阿坝州优秀村组织书记示范培训班、发展对象培训班等主体班次6期，培训学员430余人次；配合应急管理局、就业局等县级部门举办专题培训班3期，培训学员220余人次；承接四川省长征干部学院雪山草地分院现场教学8期，培训学员360余人次</w:t>
      </w:r>
      <w:r>
        <w:rPr>
          <w:rFonts w:hint="eastAsia" w:ascii="仿宋_GB2312" w:hAnsi="仿宋" w:eastAsia="仿宋_GB2312"/>
          <w:color w:val="000000"/>
          <w:sz w:val="32"/>
          <w:szCs w:val="32"/>
        </w:rPr>
        <w:t>。较好地发挥了干部教育培训的主渠道作用。</w:t>
      </w:r>
      <w:r>
        <w:rPr>
          <w:rFonts w:hint="eastAsia" w:ascii="仿宋_GB2312" w:eastAsia="仿宋_GB2312"/>
          <w:sz w:val="32"/>
          <w:szCs w:val="32"/>
          <w:shd w:val="clear" w:color="auto" w:fill="FFFFFF"/>
        </w:rPr>
        <w:t>圆满完成了本年度干部教育培训任务。履职效益高，社会公众满意度评价高。</w:t>
      </w:r>
    </w:p>
    <w:p>
      <w:pPr>
        <w:widowControl/>
        <w:spacing w:line="580" w:lineRule="exact"/>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从整体情况来看，我校根据年初工作规划和重点性工作，围绕我县中心工作，积极履职，强化管理，较好的完成了年度工作目标。通过加强预算收支管理，不断建立健全内部管理制度，梳理内部管理流程，部门整体支出管理情况得到提升。</w:t>
      </w:r>
    </w:p>
    <w:p>
      <w:pPr>
        <w:widowControl/>
        <w:spacing w:line="580" w:lineRule="exact"/>
        <w:ind w:firstLine="642" w:firstLineChars="200"/>
        <w:contextualSpacing/>
        <w:jc w:val="left"/>
        <w:rPr>
          <w:rFonts w:ascii="仿宋_GB2312" w:eastAsia="仿宋_GB2312"/>
          <w:b/>
          <w:sz w:val="32"/>
          <w:szCs w:val="32"/>
          <w:shd w:val="clear" w:color="auto" w:fill="FFFFFF"/>
        </w:rPr>
      </w:pPr>
      <w:r>
        <w:rPr>
          <w:rFonts w:hint="eastAsia" w:ascii="仿宋_GB2312" w:eastAsia="仿宋_GB2312"/>
          <w:b/>
          <w:sz w:val="32"/>
          <w:szCs w:val="32"/>
          <w:shd w:val="clear" w:color="auto" w:fill="FFFFFF"/>
        </w:rPr>
        <w:t>四、评价结论及建议</w:t>
      </w:r>
    </w:p>
    <w:p>
      <w:pPr>
        <w:widowControl/>
        <w:spacing w:line="580" w:lineRule="exact"/>
        <w:ind w:firstLine="470" w:firstLineChars="147"/>
        <w:contextualSpacing/>
        <w:jc w:val="left"/>
        <w:rPr>
          <w:rFonts w:ascii="仿宋_GB2312" w:eastAsia="仿宋_GB2312"/>
          <w:b/>
          <w:sz w:val="32"/>
          <w:szCs w:val="32"/>
          <w:shd w:val="clear" w:color="auto" w:fill="FFFFFF"/>
        </w:rPr>
      </w:pPr>
      <w:r>
        <w:rPr>
          <w:rFonts w:hint="eastAsia" w:ascii="仿宋_GB2312" w:eastAsia="仿宋_GB2312"/>
          <w:sz w:val="32"/>
          <w:szCs w:val="32"/>
          <w:shd w:val="clear" w:color="auto" w:fill="FFFFFF"/>
        </w:rPr>
        <w:t>（一）评价结论</w:t>
      </w:r>
    </w:p>
    <w:p>
      <w:pPr>
        <w:widowControl/>
        <w:spacing w:line="58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2020年部门整体支出绩效自评结果良好，我校绩效管理情况较为理想，达到了年初设定的各项绩效目标。所有资金使用严格按审批程序办理，会计核算结果真实、准确，各项支出严格按照各项制度执行。</w:t>
      </w:r>
    </w:p>
    <w:p>
      <w:pPr>
        <w:widowControl/>
        <w:spacing w:line="58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（二）存在问题</w:t>
      </w:r>
    </w:p>
    <w:p>
      <w:pPr>
        <w:widowControl/>
        <w:spacing w:line="580" w:lineRule="exact"/>
        <w:ind w:firstLine="640" w:firstLineChars="200"/>
        <w:contextualSpacing/>
        <w:jc w:val="left"/>
        <w:rPr>
          <w:rFonts w:hint="eastAsia" w:ascii="仿宋_GB2312" w:eastAsia="仿宋_GB2312"/>
          <w:sz w:val="32"/>
          <w:szCs w:val="32"/>
          <w:shd w:val="clear" w:color="auto" w:fill="FFFFFF"/>
          <w:lang w:eastAsia="zh-CN"/>
        </w:rPr>
      </w:pPr>
      <w:r>
        <w:rPr>
          <w:rFonts w:hint="eastAsia" w:ascii="仿宋_GB2312" w:eastAsia="仿宋_GB2312"/>
          <w:sz w:val="32"/>
          <w:szCs w:val="32"/>
          <w:shd w:val="clear" w:color="auto" w:fill="FFFFFF"/>
        </w:rPr>
        <w:t>一是预算编制工作有待细化；二是制度建设和规范化管理有待加强；三是信息化管理水平有待提高</w:t>
      </w:r>
      <w:r>
        <w:rPr>
          <w:rFonts w:hint="eastAsia" w:ascii="仿宋_GB2312" w:eastAsia="仿宋_GB2312"/>
          <w:sz w:val="32"/>
          <w:szCs w:val="32"/>
          <w:shd w:val="clear" w:color="auto" w:fill="FFFFFF"/>
          <w:lang w:eastAsia="zh-CN"/>
        </w:rPr>
        <w:t>。</w:t>
      </w:r>
    </w:p>
    <w:p>
      <w:pPr>
        <w:widowControl/>
        <w:spacing w:line="58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（三）改进建议</w:t>
      </w:r>
    </w:p>
    <w:p>
      <w:pPr>
        <w:widowControl/>
        <w:spacing w:line="58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进一步健全和完善财务管理制度，严格执行预算法，及财务管理各项规定，加强部门整体支出绩效管理，树立正确的绩效观，提升部门履职能力，为实现党校培训任务又好又快发展做出应有的贡献。</w:t>
      </w:r>
    </w:p>
    <w:p>
      <w:pPr>
        <w:widowControl/>
        <w:ind w:firstLine="800" w:firstLineChars="250"/>
        <w:rPr>
          <w:rFonts w:ascii="仿宋_GB2312" w:hAnsi="方正小标宋简体" w:eastAsia="仿宋_GB2312" w:cs="方正小标宋简体"/>
          <w:color w:val="000000"/>
          <w:sz w:val="32"/>
          <w:szCs w:val="32"/>
        </w:rPr>
      </w:pPr>
    </w:p>
    <w:p>
      <w:pPr>
        <w:spacing w:line="600" w:lineRule="exact"/>
        <w:jc w:val="center"/>
        <w:outlineLvl w:val="0"/>
        <w:rPr>
          <w:rFonts w:ascii="黑体" w:hAnsi="黑体" w:eastAsia="黑体"/>
          <w:color w:val="000000"/>
          <w:sz w:val="44"/>
          <w:szCs w:val="44"/>
        </w:rPr>
      </w:pPr>
      <w:bookmarkStart w:id="57" w:name="_Toc79163635"/>
      <w:bookmarkStart w:id="58" w:name="_Toc79163885"/>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17"/>
          <w:rFonts w:ascii="黑体" w:hAnsi="黑体" w:eastAsia="黑体"/>
          <w:b w:val="0"/>
        </w:rPr>
      </w:pPr>
      <w:r>
        <w:rPr>
          <w:rFonts w:hint="eastAsia" w:ascii="黑体" w:hAnsi="黑体" w:eastAsia="黑体"/>
          <w:color w:val="000000"/>
          <w:sz w:val="44"/>
          <w:szCs w:val="44"/>
        </w:rPr>
        <w:t>第</w:t>
      </w:r>
      <w:r>
        <w:rPr>
          <w:rStyle w:val="17"/>
          <w:rFonts w:hint="eastAsia" w:ascii="黑体" w:hAnsi="黑体" w:eastAsia="黑体"/>
          <w:b w:val="0"/>
        </w:rPr>
        <w:t>五部分附表</w:t>
      </w:r>
      <w:bookmarkEnd w:id="57"/>
      <w:bookmarkEnd w:id="58"/>
      <w:bookmarkStart w:id="59" w:name="_Toc79163886"/>
      <w:bookmarkStart w:id="60" w:name="_Toc79163636"/>
      <w:bookmarkStart w:id="61" w:name="_Toc15396619"/>
    </w:p>
    <w:p>
      <w:pPr>
        <w:spacing w:line="600" w:lineRule="exact"/>
        <w:outlineLvl w:val="0"/>
        <w:rPr>
          <w:rFonts w:ascii="仿宋" w:hAnsi="仿宋" w:eastAsia="仿宋"/>
          <w:color w:val="000000"/>
          <w:sz w:val="32"/>
          <w:szCs w:val="32"/>
        </w:rPr>
      </w:pPr>
      <w:r>
        <w:rPr>
          <w:rFonts w:hint="eastAsia" w:ascii="仿宋" w:hAnsi="仿宋" w:eastAsia="仿宋"/>
          <w:color w:val="000000"/>
          <w:sz w:val="32"/>
          <w:szCs w:val="32"/>
        </w:rPr>
        <w:t>一、收</w:t>
      </w:r>
      <w:r>
        <w:rPr>
          <w:rStyle w:val="18"/>
          <w:rFonts w:hint="eastAsia" w:ascii="仿宋" w:hAnsi="仿宋" w:eastAsia="仿宋"/>
          <w:b w:val="0"/>
          <w:bCs w:val="0"/>
        </w:rPr>
        <w:t>入支出决算总表</w:t>
      </w:r>
      <w:bookmarkEnd w:id="59"/>
      <w:bookmarkEnd w:id="60"/>
      <w:bookmarkEnd w:id="61"/>
    </w:p>
    <w:p>
      <w:pPr>
        <w:pStyle w:val="3"/>
        <w:rPr>
          <w:rFonts w:ascii="仿宋" w:hAnsi="仿宋" w:eastAsia="仿宋"/>
          <w:color w:val="000000"/>
        </w:rPr>
      </w:pPr>
      <w:bookmarkStart w:id="62" w:name="_Toc79163887"/>
      <w:bookmarkStart w:id="63" w:name="_Toc79163637"/>
      <w:bookmarkStart w:id="64" w:name="_Toc15396620"/>
      <w:r>
        <w:rPr>
          <w:rFonts w:hint="eastAsia" w:ascii="仿宋" w:hAnsi="仿宋" w:eastAsia="仿宋"/>
          <w:b w:val="0"/>
          <w:color w:val="000000"/>
        </w:rPr>
        <w:t>二、收</w:t>
      </w:r>
      <w:r>
        <w:rPr>
          <w:rStyle w:val="18"/>
          <w:rFonts w:hint="eastAsia" w:ascii="仿宋" w:hAnsi="仿宋" w:eastAsia="仿宋"/>
          <w:b w:val="0"/>
          <w:bCs w:val="0"/>
        </w:rPr>
        <w:t>入决算表</w:t>
      </w:r>
      <w:bookmarkEnd w:id="62"/>
      <w:bookmarkEnd w:id="63"/>
      <w:bookmarkEnd w:id="64"/>
    </w:p>
    <w:p>
      <w:pPr>
        <w:pStyle w:val="3"/>
        <w:rPr>
          <w:rFonts w:ascii="仿宋" w:hAnsi="仿宋" w:eastAsia="仿宋"/>
          <w:color w:val="000000"/>
        </w:rPr>
      </w:pPr>
      <w:bookmarkStart w:id="65" w:name="_Toc15396621"/>
      <w:bookmarkStart w:id="66" w:name="_Toc79163888"/>
      <w:bookmarkStart w:id="67" w:name="_Toc79163638"/>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出决算表</w:t>
      </w:r>
      <w:bookmarkEnd w:id="65"/>
      <w:bookmarkEnd w:id="66"/>
      <w:bookmarkEnd w:id="67"/>
    </w:p>
    <w:p>
      <w:pPr>
        <w:pStyle w:val="3"/>
        <w:rPr>
          <w:rFonts w:ascii="仿宋" w:hAnsi="仿宋" w:eastAsia="仿宋"/>
          <w:b w:val="0"/>
          <w:color w:val="000000"/>
        </w:rPr>
      </w:pPr>
      <w:bookmarkStart w:id="68" w:name="_Toc15396622"/>
      <w:bookmarkStart w:id="69" w:name="_Toc79163639"/>
      <w:bookmarkStart w:id="70" w:name="_Toc79163889"/>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68"/>
      <w:bookmarkEnd w:id="69"/>
      <w:bookmarkEnd w:id="70"/>
    </w:p>
    <w:p>
      <w:pPr>
        <w:pStyle w:val="3"/>
        <w:rPr>
          <w:rStyle w:val="18"/>
          <w:rFonts w:ascii="仿宋" w:hAnsi="仿宋" w:eastAsia="仿宋"/>
          <w:b w:val="0"/>
          <w:bCs w:val="0"/>
        </w:rPr>
      </w:pPr>
      <w:bookmarkStart w:id="71" w:name="_Toc79163890"/>
      <w:bookmarkStart w:id="72" w:name="_Toc79163640"/>
      <w:bookmarkStart w:id="73" w:name="_Toc15396623"/>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w:t>
      </w:r>
      <w:bookmarkEnd w:id="71"/>
      <w:bookmarkEnd w:id="72"/>
      <w:bookmarkEnd w:id="73"/>
      <w:bookmarkStart w:id="74" w:name="_Toc15396624"/>
    </w:p>
    <w:p>
      <w:pPr>
        <w:pStyle w:val="3"/>
        <w:rPr>
          <w:rFonts w:ascii="仿宋" w:hAnsi="仿宋" w:eastAsia="仿宋"/>
          <w:color w:val="000000"/>
        </w:rPr>
      </w:pPr>
      <w:bookmarkStart w:id="75" w:name="_Toc79163641"/>
      <w:bookmarkStart w:id="76" w:name="_Toc79163891"/>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般公共预算财政拨款支出决算表</w:t>
      </w:r>
      <w:bookmarkEnd w:id="74"/>
      <w:bookmarkEnd w:id="75"/>
      <w:bookmarkEnd w:id="76"/>
    </w:p>
    <w:p>
      <w:pPr>
        <w:pStyle w:val="3"/>
        <w:rPr>
          <w:rFonts w:ascii="仿宋" w:hAnsi="仿宋" w:eastAsia="仿宋"/>
          <w:color w:val="000000"/>
        </w:rPr>
      </w:pPr>
      <w:bookmarkStart w:id="77" w:name="_Toc79163892"/>
      <w:bookmarkStart w:id="78" w:name="_Toc79163642"/>
      <w:bookmarkStart w:id="79" w:name="_Toc15396625"/>
      <w:r>
        <w:rPr>
          <w:rStyle w:val="18"/>
          <w:rFonts w:hint="eastAsia" w:ascii="仿宋" w:hAnsi="仿宋" w:eastAsia="仿宋"/>
          <w:b w:val="0"/>
          <w:bCs w:val="0"/>
        </w:rPr>
        <w:t>七、</w:t>
      </w:r>
      <w:r>
        <w:rPr>
          <w:rFonts w:hint="eastAsia" w:ascii="仿宋" w:hAnsi="仿宋" w:eastAsia="仿宋"/>
          <w:b w:val="0"/>
          <w:color w:val="000000"/>
        </w:rPr>
        <w:t>一</w:t>
      </w:r>
      <w:r>
        <w:rPr>
          <w:rStyle w:val="18"/>
          <w:rFonts w:hint="eastAsia" w:ascii="仿宋" w:hAnsi="仿宋" w:eastAsia="仿宋"/>
          <w:b w:val="0"/>
          <w:bCs w:val="0"/>
        </w:rPr>
        <w:t>般公共预算财政拨款支出决算明细表</w:t>
      </w:r>
      <w:bookmarkEnd w:id="77"/>
      <w:bookmarkEnd w:id="78"/>
      <w:bookmarkEnd w:id="79"/>
    </w:p>
    <w:p>
      <w:pPr>
        <w:pStyle w:val="3"/>
        <w:rPr>
          <w:rFonts w:ascii="仿宋" w:hAnsi="仿宋" w:eastAsia="仿宋"/>
          <w:color w:val="000000"/>
        </w:rPr>
      </w:pPr>
      <w:bookmarkStart w:id="80" w:name="_Toc79163643"/>
      <w:bookmarkStart w:id="81" w:name="_Toc15396626"/>
      <w:bookmarkStart w:id="82" w:name="_Toc79163893"/>
      <w:r>
        <w:rPr>
          <w:rStyle w:val="18"/>
          <w:rFonts w:hint="eastAsia" w:ascii="仿宋" w:hAnsi="仿宋" w:eastAsia="仿宋"/>
          <w:b w:val="0"/>
          <w:bCs w:val="0"/>
        </w:rPr>
        <w:t>八、</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80"/>
      <w:bookmarkEnd w:id="81"/>
      <w:bookmarkEnd w:id="82"/>
    </w:p>
    <w:p>
      <w:pPr>
        <w:pStyle w:val="3"/>
        <w:rPr>
          <w:rFonts w:ascii="仿宋" w:hAnsi="仿宋" w:eastAsia="仿宋"/>
          <w:color w:val="000000"/>
        </w:rPr>
      </w:pPr>
      <w:bookmarkStart w:id="83" w:name="_Toc79163644"/>
      <w:bookmarkStart w:id="84" w:name="_Toc79163894"/>
      <w:bookmarkStart w:id="85" w:name="_Toc15396627"/>
      <w:r>
        <w:rPr>
          <w:rStyle w:val="18"/>
          <w:rFonts w:hint="eastAsia" w:ascii="仿宋" w:hAnsi="仿宋" w:eastAsia="仿宋"/>
          <w:b w:val="0"/>
          <w:bCs w:val="0"/>
        </w:rPr>
        <w:t>九、</w:t>
      </w:r>
      <w:r>
        <w:rPr>
          <w:rFonts w:hint="eastAsia" w:ascii="仿宋" w:hAnsi="仿宋" w:eastAsia="仿宋"/>
          <w:b w:val="0"/>
          <w:color w:val="000000"/>
        </w:rPr>
        <w:t>一</w:t>
      </w:r>
      <w:r>
        <w:rPr>
          <w:rStyle w:val="18"/>
          <w:rFonts w:hint="eastAsia" w:ascii="仿宋" w:hAnsi="仿宋" w:eastAsia="仿宋"/>
          <w:b w:val="0"/>
          <w:bCs w:val="0"/>
        </w:rPr>
        <w:t>般公共预算财政拨款项目支出决算表</w:t>
      </w:r>
      <w:bookmarkEnd w:id="83"/>
      <w:bookmarkEnd w:id="84"/>
      <w:bookmarkEnd w:id="85"/>
    </w:p>
    <w:p>
      <w:pPr>
        <w:pStyle w:val="3"/>
        <w:rPr>
          <w:rFonts w:ascii="仿宋" w:hAnsi="仿宋" w:eastAsia="仿宋"/>
          <w:color w:val="000000"/>
        </w:rPr>
      </w:pPr>
      <w:bookmarkStart w:id="86" w:name="_Toc79163645"/>
      <w:bookmarkStart w:id="87" w:name="_Toc15396628"/>
      <w:bookmarkStart w:id="88" w:name="_Toc79163895"/>
      <w:r>
        <w:rPr>
          <w:rStyle w:val="18"/>
          <w:rFonts w:hint="eastAsia" w:ascii="仿宋" w:hAnsi="仿宋" w:eastAsia="仿宋"/>
          <w:b w:val="0"/>
          <w:bCs w:val="0"/>
        </w:rPr>
        <w:t>十、</w:t>
      </w:r>
      <w:r>
        <w:rPr>
          <w:rFonts w:hint="eastAsia" w:ascii="仿宋" w:hAnsi="仿宋" w:eastAsia="仿宋"/>
          <w:b w:val="0"/>
          <w:color w:val="000000"/>
        </w:rPr>
        <w:t>一</w:t>
      </w:r>
      <w:r>
        <w:rPr>
          <w:rStyle w:val="18"/>
          <w:rFonts w:hint="eastAsia" w:ascii="仿宋" w:hAnsi="仿宋" w:eastAsia="仿宋"/>
          <w:b w:val="0"/>
          <w:bCs w:val="0"/>
        </w:rPr>
        <w:t>般公共预算财政拨款“三公”经费支出决算表</w:t>
      </w:r>
      <w:bookmarkEnd w:id="86"/>
      <w:bookmarkEnd w:id="87"/>
      <w:bookmarkEnd w:id="88"/>
    </w:p>
    <w:p>
      <w:pPr>
        <w:pStyle w:val="3"/>
        <w:rPr>
          <w:rFonts w:ascii="仿宋" w:hAnsi="仿宋" w:eastAsia="仿宋"/>
          <w:color w:val="000000"/>
        </w:rPr>
      </w:pPr>
      <w:bookmarkStart w:id="89" w:name="_Toc15396629"/>
      <w:bookmarkStart w:id="90" w:name="_Toc79163896"/>
      <w:bookmarkStart w:id="91" w:name="_Toc79163646"/>
      <w:r>
        <w:rPr>
          <w:rStyle w:val="18"/>
          <w:rFonts w:hint="eastAsia" w:ascii="仿宋" w:hAnsi="仿宋" w:eastAsia="仿宋"/>
          <w:b w:val="0"/>
          <w:bCs w:val="0"/>
        </w:rPr>
        <w:t>十一、</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89"/>
      <w:bookmarkEnd w:id="90"/>
      <w:bookmarkEnd w:id="91"/>
    </w:p>
    <w:p>
      <w:pPr>
        <w:pStyle w:val="3"/>
        <w:rPr>
          <w:rFonts w:ascii="仿宋" w:hAnsi="仿宋" w:eastAsia="仿宋"/>
          <w:color w:val="000000"/>
        </w:rPr>
      </w:pPr>
      <w:bookmarkStart w:id="92" w:name="_Toc79163647"/>
      <w:bookmarkStart w:id="93" w:name="_Toc79163897"/>
      <w:bookmarkStart w:id="94" w:name="_Toc15396630"/>
      <w:r>
        <w:rPr>
          <w:rStyle w:val="18"/>
          <w:rFonts w:hint="eastAsia" w:ascii="仿宋" w:hAnsi="仿宋" w:eastAsia="仿宋"/>
          <w:b w:val="0"/>
          <w:bCs w:val="0"/>
        </w:rPr>
        <w:t>十二、</w:t>
      </w:r>
      <w:r>
        <w:rPr>
          <w:rFonts w:hint="eastAsia" w:ascii="仿宋" w:hAnsi="仿宋" w:eastAsia="仿宋"/>
          <w:b w:val="0"/>
          <w:color w:val="000000"/>
        </w:rPr>
        <w:t>政</w:t>
      </w:r>
      <w:r>
        <w:rPr>
          <w:rStyle w:val="18"/>
          <w:rFonts w:hint="eastAsia" w:ascii="仿宋" w:hAnsi="仿宋" w:eastAsia="仿宋"/>
          <w:b w:val="0"/>
          <w:bCs w:val="0"/>
        </w:rPr>
        <w:t>府性基金预算财政拨款“三公”经费支出决算表</w:t>
      </w:r>
      <w:bookmarkEnd w:id="92"/>
      <w:bookmarkEnd w:id="93"/>
      <w:bookmarkEnd w:id="94"/>
    </w:p>
    <w:p>
      <w:pPr>
        <w:pStyle w:val="3"/>
        <w:rPr>
          <w:rStyle w:val="18"/>
          <w:rFonts w:ascii="仿宋" w:hAnsi="仿宋" w:eastAsia="仿宋"/>
          <w:b w:val="0"/>
          <w:bCs w:val="0"/>
        </w:rPr>
      </w:pPr>
      <w:bookmarkStart w:id="95" w:name="_Toc15396631"/>
      <w:bookmarkStart w:id="96" w:name="_Toc79163898"/>
      <w:bookmarkStart w:id="97" w:name="_Toc79163648"/>
      <w:r>
        <w:rPr>
          <w:rStyle w:val="18"/>
          <w:rFonts w:hint="eastAsia" w:ascii="仿宋" w:hAnsi="仿宋" w:eastAsia="仿宋"/>
          <w:b w:val="0"/>
          <w:bCs w:val="0"/>
        </w:rPr>
        <w:t>十三、</w:t>
      </w:r>
      <w:r>
        <w:rPr>
          <w:rFonts w:hint="eastAsia" w:ascii="仿宋" w:hAnsi="仿宋" w:eastAsia="仿宋"/>
          <w:b w:val="0"/>
          <w:color w:val="000000"/>
        </w:rPr>
        <w:t>国</w:t>
      </w:r>
      <w:r>
        <w:rPr>
          <w:rStyle w:val="18"/>
          <w:rFonts w:hint="eastAsia" w:ascii="仿宋" w:hAnsi="仿宋" w:eastAsia="仿宋"/>
          <w:b w:val="0"/>
          <w:bCs w:val="0"/>
        </w:rPr>
        <w:t>有资本经营预算财政拨款支出决算表</w:t>
      </w:r>
      <w:bookmarkEnd w:id="95"/>
      <w:bookmarkEnd w:id="96"/>
      <w:bookmarkEnd w:id="97"/>
    </w:p>
    <w:p>
      <w:pPr>
        <w:widowControl/>
        <w:rPr>
          <w:rFonts w:ascii="方正小标宋简体" w:hAnsi="方正小标宋简体" w:eastAsia="方正小标宋简体" w:cs="方正小标宋简体"/>
          <w:b/>
          <w:color w:val="000000"/>
          <w:sz w:val="44"/>
          <w:szCs w:val="44"/>
        </w:rPr>
      </w:pPr>
      <w:bookmarkStart w:id="98" w:name="_Toc79163899"/>
      <w:bookmarkStart w:id="99" w:name="_Toc79163649"/>
      <w:r>
        <w:rPr>
          <w:rStyle w:val="18"/>
          <w:rFonts w:hint="eastAsia" w:ascii="仿宋" w:hAnsi="仿宋" w:eastAsia="仿宋"/>
          <w:b w:val="0"/>
        </w:rPr>
        <w:t>十四、国有资本经营预算财政拨款支出决算表</w:t>
      </w:r>
      <w:bookmarkEnd w:id="98"/>
      <w:bookmarkEnd w:id="99"/>
    </w:p>
    <w:sectPr>
      <w:headerReference r:id="rId3" w:type="default"/>
      <w:footerReference r:id="rId5"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简体">
    <w:altName w:val="楷体_GB2312"/>
    <w:panose1 w:val="00000000000000000000"/>
    <w:charset w:val="86"/>
    <w:family w:val="auto"/>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9"/>
                            <w:jc w:val="center"/>
                          </w:pPr>
                          <w:r>
                            <w:fldChar w:fldCharType="begin"/>
                          </w:r>
                          <w:r>
                            <w:instrText xml:space="preserve">PAGE   \* MERGEFORMAT</w:instrText>
                          </w:r>
                          <w:r>
                            <w:fldChar w:fldCharType="separate"/>
                          </w:r>
                          <w:r>
                            <w:rPr>
                              <w:lang w:val="zh-CN"/>
                            </w:rPr>
                            <w:t>25</w:t>
                          </w:r>
                          <w:r>
                            <w:rPr>
                              <w:lang w:val="zh-CN"/>
                            </w:rPr>
                            <w:fldChar w:fldCharType="end"/>
                          </w:r>
                        </w:p>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zSVju0AAAAAUBAAAP&#10;AAAAAAAAAAEAIAAAADgAAABkcnMvZG93bnJldi54bWxQSwECFAAUAAAACACHTuJA+mWQO9EBAACi&#10;AwAADgAAAAAAAAABACAAAAA1AQAAZHJzL2Uyb0RvYy54bWxQSwUGAAAAAAYABgBZAQAAeAUAAAAA&#10;">
              <v:fill on="f" focussize="0,0"/>
              <v:stroke on="f" weight="0.5pt"/>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25</w:t>
                    </w:r>
                    <w:r>
                      <w:rPr>
                        <w:lang w:val="zh-CN"/>
                      </w:rPr>
                      <w:fldChar w:fldCharType="end"/>
                    </w:r>
                  </w:p>
                  <w:p/>
                </w:txbxContent>
              </v:textbox>
            </v:shape>
          </w:pict>
        </mc:Fallback>
      </mc:AlternateConten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6E6FE6"/>
    <w:multiLevelType w:val="singleLevel"/>
    <w:tmpl w:val="B96E6FE6"/>
    <w:lvl w:ilvl="0" w:tentative="0">
      <w:start w:val="5"/>
      <w:numFmt w:val="chineseCounting"/>
      <w:suff w:val="nothing"/>
      <w:lvlText w:val="%1、"/>
      <w:lvlJc w:val="left"/>
      <w:rPr>
        <w:rFonts w:hint="eastAsia"/>
      </w:rPr>
    </w:lvl>
  </w:abstractNum>
  <w:abstractNum w:abstractNumId="1">
    <w:nsid w:val="D78C10A8"/>
    <w:multiLevelType w:val="singleLevel"/>
    <w:tmpl w:val="D78C10A8"/>
    <w:lvl w:ilvl="0" w:tentative="0">
      <w:start w:val="1"/>
      <w:numFmt w:val="chineseCounting"/>
      <w:suff w:val="nothing"/>
      <w:lvlText w:val="%1、"/>
      <w:lvlJc w:val="left"/>
      <w:rPr>
        <w:rFonts w:hint="eastAsia" w:cs="Times New Roman"/>
      </w:rPr>
    </w:lvl>
  </w:abstractNum>
  <w:abstractNum w:abstractNumId="2">
    <w:nsid w:val="0AA26B8A"/>
    <w:multiLevelType w:val="singleLevel"/>
    <w:tmpl w:val="0AA26B8A"/>
    <w:lvl w:ilvl="0" w:tentative="0">
      <w:start w:val="1"/>
      <w:numFmt w:val="chineseCounting"/>
      <w:suff w:val="nothing"/>
      <w:lvlText w:val="（%1）"/>
      <w:lvlJc w:val="left"/>
      <w:rPr>
        <w:rFonts w:hint="eastAsia" w:cs="Times New Roman"/>
      </w:rPr>
    </w:lvl>
  </w:abstractNum>
  <w:abstractNum w:abstractNumId="3">
    <w:nsid w:val="0DA84ED4"/>
    <w:multiLevelType w:val="singleLevel"/>
    <w:tmpl w:val="0DA84ED4"/>
    <w:lvl w:ilvl="0" w:tentative="0">
      <w:start w:val="1"/>
      <w:numFmt w:val="chineseCounting"/>
      <w:suff w:val="nothing"/>
      <w:lvlText w:val="%1、"/>
      <w:lvlJc w:val="left"/>
      <w:rPr>
        <w:rFonts w:hint="eastAsia" w:cs="Times New Roman"/>
      </w:rPr>
    </w:lvl>
  </w:abstractNum>
  <w:abstractNum w:abstractNumId="4">
    <w:nsid w:val="69411C9E"/>
    <w:multiLevelType w:val="singleLevel"/>
    <w:tmpl w:val="69411C9E"/>
    <w:lvl w:ilvl="0" w:tentative="0">
      <w:start w:val="8"/>
      <w:numFmt w:val="chineseCounting"/>
      <w:suff w:val="nothing"/>
      <w:lvlText w:val="%1、"/>
      <w:lvlJc w:val="left"/>
      <w:rPr>
        <w:rFonts w:hint="eastAsia" w:cs="Times New Roman"/>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083"/>
    <w:rsid w:val="000222C6"/>
    <w:rsid w:val="00024FCB"/>
    <w:rsid w:val="0002549F"/>
    <w:rsid w:val="00063794"/>
    <w:rsid w:val="0006487A"/>
    <w:rsid w:val="00065F8F"/>
    <w:rsid w:val="000768F2"/>
    <w:rsid w:val="000773D6"/>
    <w:rsid w:val="0009184B"/>
    <w:rsid w:val="000934F4"/>
    <w:rsid w:val="0009593C"/>
    <w:rsid w:val="000B047F"/>
    <w:rsid w:val="000B5923"/>
    <w:rsid w:val="000B5A48"/>
    <w:rsid w:val="000B6FF3"/>
    <w:rsid w:val="000C0F91"/>
    <w:rsid w:val="000C3467"/>
    <w:rsid w:val="000C3CA6"/>
    <w:rsid w:val="000D1267"/>
    <w:rsid w:val="000D1D50"/>
    <w:rsid w:val="000D4010"/>
    <w:rsid w:val="000D5782"/>
    <w:rsid w:val="000E6613"/>
    <w:rsid w:val="000E7119"/>
    <w:rsid w:val="000F5BD6"/>
    <w:rsid w:val="00114E9B"/>
    <w:rsid w:val="00115C4C"/>
    <w:rsid w:val="0012349E"/>
    <w:rsid w:val="0014729F"/>
    <w:rsid w:val="0015305D"/>
    <w:rsid w:val="00155AAF"/>
    <w:rsid w:val="00157BAB"/>
    <w:rsid w:val="001654D1"/>
    <w:rsid w:val="00176806"/>
    <w:rsid w:val="0018106D"/>
    <w:rsid w:val="001877A7"/>
    <w:rsid w:val="00191536"/>
    <w:rsid w:val="00196687"/>
    <w:rsid w:val="001C0962"/>
    <w:rsid w:val="001C0C3A"/>
    <w:rsid w:val="001D7531"/>
    <w:rsid w:val="001E7090"/>
    <w:rsid w:val="001E737D"/>
    <w:rsid w:val="001F0592"/>
    <w:rsid w:val="001F7506"/>
    <w:rsid w:val="002006CD"/>
    <w:rsid w:val="00202B36"/>
    <w:rsid w:val="00204B7A"/>
    <w:rsid w:val="00207B11"/>
    <w:rsid w:val="0021101A"/>
    <w:rsid w:val="00216313"/>
    <w:rsid w:val="00220536"/>
    <w:rsid w:val="00234B85"/>
    <w:rsid w:val="00235629"/>
    <w:rsid w:val="0023715E"/>
    <w:rsid w:val="00240C81"/>
    <w:rsid w:val="00260C38"/>
    <w:rsid w:val="002616C0"/>
    <w:rsid w:val="00262A19"/>
    <w:rsid w:val="002662AA"/>
    <w:rsid w:val="00280496"/>
    <w:rsid w:val="00295495"/>
    <w:rsid w:val="002A4D67"/>
    <w:rsid w:val="002B2613"/>
    <w:rsid w:val="002C2B37"/>
    <w:rsid w:val="002C4777"/>
    <w:rsid w:val="002F1818"/>
    <w:rsid w:val="002F567B"/>
    <w:rsid w:val="003216A9"/>
    <w:rsid w:val="00327297"/>
    <w:rsid w:val="00340733"/>
    <w:rsid w:val="00340DA9"/>
    <w:rsid w:val="0037013F"/>
    <w:rsid w:val="00373FAB"/>
    <w:rsid w:val="00380C92"/>
    <w:rsid w:val="003914F9"/>
    <w:rsid w:val="003A484F"/>
    <w:rsid w:val="003A5D96"/>
    <w:rsid w:val="003B0BE0"/>
    <w:rsid w:val="003B0C1B"/>
    <w:rsid w:val="003B152E"/>
    <w:rsid w:val="003B688C"/>
    <w:rsid w:val="003C0291"/>
    <w:rsid w:val="003C39AE"/>
    <w:rsid w:val="003C7B60"/>
    <w:rsid w:val="003D1FB2"/>
    <w:rsid w:val="003D66DA"/>
    <w:rsid w:val="003E1310"/>
    <w:rsid w:val="003E6F55"/>
    <w:rsid w:val="003F2360"/>
    <w:rsid w:val="00406254"/>
    <w:rsid w:val="00417FAF"/>
    <w:rsid w:val="004215D0"/>
    <w:rsid w:val="004223DE"/>
    <w:rsid w:val="00434489"/>
    <w:rsid w:val="004344E4"/>
    <w:rsid w:val="00437085"/>
    <w:rsid w:val="00443880"/>
    <w:rsid w:val="004464F4"/>
    <w:rsid w:val="00464ADA"/>
    <w:rsid w:val="00470795"/>
    <w:rsid w:val="00471401"/>
    <w:rsid w:val="00473F31"/>
    <w:rsid w:val="00476847"/>
    <w:rsid w:val="0048263A"/>
    <w:rsid w:val="00485B36"/>
    <w:rsid w:val="00487E5D"/>
    <w:rsid w:val="004A711F"/>
    <w:rsid w:val="004B199D"/>
    <w:rsid w:val="004B4690"/>
    <w:rsid w:val="004E0A2D"/>
    <w:rsid w:val="004E206B"/>
    <w:rsid w:val="004E4817"/>
    <w:rsid w:val="004E6DF7"/>
    <w:rsid w:val="004F0FBD"/>
    <w:rsid w:val="00505A47"/>
    <w:rsid w:val="00512FDA"/>
    <w:rsid w:val="0051764F"/>
    <w:rsid w:val="00520CE7"/>
    <w:rsid w:val="00520DA0"/>
    <w:rsid w:val="00521598"/>
    <w:rsid w:val="00561476"/>
    <w:rsid w:val="005664BB"/>
    <w:rsid w:val="0057481D"/>
    <w:rsid w:val="0058486E"/>
    <w:rsid w:val="005B10AC"/>
    <w:rsid w:val="005D1C8B"/>
    <w:rsid w:val="005D5CED"/>
    <w:rsid w:val="005D64A6"/>
    <w:rsid w:val="005E06CF"/>
    <w:rsid w:val="005F1A4C"/>
    <w:rsid w:val="00605688"/>
    <w:rsid w:val="006070AF"/>
    <w:rsid w:val="00607224"/>
    <w:rsid w:val="00607E6C"/>
    <w:rsid w:val="006101B1"/>
    <w:rsid w:val="00610EA4"/>
    <w:rsid w:val="006116AC"/>
    <w:rsid w:val="00614E44"/>
    <w:rsid w:val="00622830"/>
    <w:rsid w:val="006229A7"/>
    <w:rsid w:val="00626C40"/>
    <w:rsid w:val="00630AEF"/>
    <w:rsid w:val="006325F8"/>
    <w:rsid w:val="0063272B"/>
    <w:rsid w:val="0063391F"/>
    <w:rsid w:val="00634377"/>
    <w:rsid w:val="00634C9A"/>
    <w:rsid w:val="00640264"/>
    <w:rsid w:val="006440E4"/>
    <w:rsid w:val="0066343B"/>
    <w:rsid w:val="00664777"/>
    <w:rsid w:val="006748A4"/>
    <w:rsid w:val="00683E73"/>
    <w:rsid w:val="006857D4"/>
    <w:rsid w:val="00696F12"/>
    <w:rsid w:val="006A3141"/>
    <w:rsid w:val="006A5E34"/>
    <w:rsid w:val="006B2422"/>
    <w:rsid w:val="006B2B9A"/>
    <w:rsid w:val="006C1121"/>
    <w:rsid w:val="006C1937"/>
    <w:rsid w:val="006C3CE1"/>
    <w:rsid w:val="006F020C"/>
    <w:rsid w:val="006F1B4C"/>
    <w:rsid w:val="007127B7"/>
    <w:rsid w:val="00716FE8"/>
    <w:rsid w:val="007260A3"/>
    <w:rsid w:val="007302D2"/>
    <w:rsid w:val="007416B6"/>
    <w:rsid w:val="007464FE"/>
    <w:rsid w:val="00746F48"/>
    <w:rsid w:val="007518D2"/>
    <w:rsid w:val="0075404D"/>
    <w:rsid w:val="0076182A"/>
    <w:rsid w:val="00767B7E"/>
    <w:rsid w:val="007732FD"/>
    <w:rsid w:val="007737D9"/>
    <w:rsid w:val="00774B9A"/>
    <w:rsid w:val="00776D60"/>
    <w:rsid w:val="007770C3"/>
    <w:rsid w:val="00781713"/>
    <w:rsid w:val="00784D24"/>
    <w:rsid w:val="00785FBA"/>
    <w:rsid w:val="00786E4A"/>
    <w:rsid w:val="007875EB"/>
    <w:rsid w:val="0079426B"/>
    <w:rsid w:val="007A1A42"/>
    <w:rsid w:val="007A7134"/>
    <w:rsid w:val="007C0615"/>
    <w:rsid w:val="007C08DD"/>
    <w:rsid w:val="007C4B66"/>
    <w:rsid w:val="007D2871"/>
    <w:rsid w:val="007D312A"/>
    <w:rsid w:val="007D3F19"/>
    <w:rsid w:val="007E23B0"/>
    <w:rsid w:val="007E2842"/>
    <w:rsid w:val="007F1991"/>
    <w:rsid w:val="007F1A1C"/>
    <w:rsid w:val="007F2C2F"/>
    <w:rsid w:val="007F2CDF"/>
    <w:rsid w:val="007F31E3"/>
    <w:rsid w:val="007F55FC"/>
    <w:rsid w:val="007F5665"/>
    <w:rsid w:val="00800112"/>
    <w:rsid w:val="00800BDD"/>
    <w:rsid w:val="0080235C"/>
    <w:rsid w:val="008253BB"/>
    <w:rsid w:val="00826FB6"/>
    <w:rsid w:val="0083706E"/>
    <w:rsid w:val="00840817"/>
    <w:rsid w:val="008423A5"/>
    <w:rsid w:val="00850625"/>
    <w:rsid w:val="00851168"/>
    <w:rsid w:val="00853718"/>
    <w:rsid w:val="00855221"/>
    <w:rsid w:val="00860645"/>
    <w:rsid w:val="00871F71"/>
    <w:rsid w:val="00885AF4"/>
    <w:rsid w:val="008939CD"/>
    <w:rsid w:val="008B768C"/>
    <w:rsid w:val="008C4DB1"/>
    <w:rsid w:val="008C4EAF"/>
    <w:rsid w:val="008C5176"/>
    <w:rsid w:val="008C7FD0"/>
    <w:rsid w:val="008D501C"/>
    <w:rsid w:val="008E0956"/>
    <w:rsid w:val="008E1DE7"/>
    <w:rsid w:val="008E707C"/>
    <w:rsid w:val="00900B08"/>
    <w:rsid w:val="00901D6E"/>
    <w:rsid w:val="00902155"/>
    <w:rsid w:val="00902D4B"/>
    <w:rsid w:val="00902FA3"/>
    <w:rsid w:val="00923564"/>
    <w:rsid w:val="0092392E"/>
    <w:rsid w:val="009315F9"/>
    <w:rsid w:val="00936E80"/>
    <w:rsid w:val="00943D20"/>
    <w:rsid w:val="009443B4"/>
    <w:rsid w:val="00946945"/>
    <w:rsid w:val="00951248"/>
    <w:rsid w:val="0095152F"/>
    <w:rsid w:val="00954C49"/>
    <w:rsid w:val="0097099F"/>
    <w:rsid w:val="00971997"/>
    <w:rsid w:val="00971FFC"/>
    <w:rsid w:val="00975366"/>
    <w:rsid w:val="0098660A"/>
    <w:rsid w:val="0098768E"/>
    <w:rsid w:val="009911A2"/>
    <w:rsid w:val="009931C3"/>
    <w:rsid w:val="00993FFB"/>
    <w:rsid w:val="009B2C43"/>
    <w:rsid w:val="009B4EAE"/>
    <w:rsid w:val="009B7573"/>
    <w:rsid w:val="009C0620"/>
    <w:rsid w:val="009C22F4"/>
    <w:rsid w:val="009C2E98"/>
    <w:rsid w:val="009D3447"/>
    <w:rsid w:val="009D4711"/>
    <w:rsid w:val="009E2F46"/>
    <w:rsid w:val="009E56A9"/>
    <w:rsid w:val="009F1185"/>
    <w:rsid w:val="009F18CD"/>
    <w:rsid w:val="009F2A13"/>
    <w:rsid w:val="00A04EB0"/>
    <w:rsid w:val="00A13CC1"/>
    <w:rsid w:val="00A16847"/>
    <w:rsid w:val="00A237D8"/>
    <w:rsid w:val="00A268C4"/>
    <w:rsid w:val="00A307CD"/>
    <w:rsid w:val="00A40A00"/>
    <w:rsid w:val="00A4142F"/>
    <w:rsid w:val="00A50574"/>
    <w:rsid w:val="00A537A2"/>
    <w:rsid w:val="00A56DF2"/>
    <w:rsid w:val="00A64E30"/>
    <w:rsid w:val="00A67AB5"/>
    <w:rsid w:val="00A721C6"/>
    <w:rsid w:val="00A91760"/>
    <w:rsid w:val="00A93B00"/>
    <w:rsid w:val="00A93C21"/>
    <w:rsid w:val="00AA1234"/>
    <w:rsid w:val="00AA54CF"/>
    <w:rsid w:val="00AC02E8"/>
    <w:rsid w:val="00AC3C6A"/>
    <w:rsid w:val="00AC6E22"/>
    <w:rsid w:val="00AD5620"/>
    <w:rsid w:val="00AD7C1B"/>
    <w:rsid w:val="00AE16BA"/>
    <w:rsid w:val="00AE1EBE"/>
    <w:rsid w:val="00B0069C"/>
    <w:rsid w:val="00B03AD1"/>
    <w:rsid w:val="00B03C9D"/>
    <w:rsid w:val="00B060AE"/>
    <w:rsid w:val="00B10517"/>
    <w:rsid w:val="00B14E76"/>
    <w:rsid w:val="00B161B8"/>
    <w:rsid w:val="00B17446"/>
    <w:rsid w:val="00B2048C"/>
    <w:rsid w:val="00B310B9"/>
    <w:rsid w:val="00B35F3F"/>
    <w:rsid w:val="00B36CBB"/>
    <w:rsid w:val="00B425E0"/>
    <w:rsid w:val="00B440AA"/>
    <w:rsid w:val="00B44B70"/>
    <w:rsid w:val="00B53C56"/>
    <w:rsid w:val="00B61DE8"/>
    <w:rsid w:val="00B70063"/>
    <w:rsid w:val="00B77EA6"/>
    <w:rsid w:val="00B81598"/>
    <w:rsid w:val="00B841F1"/>
    <w:rsid w:val="00B944D6"/>
    <w:rsid w:val="00BB26BB"/>
    <w:rsid w:val="00BB4DF0"/>
    <w:rsid w:val="00BC289F"/>
    <w:rsid w:val="00BC5361"/>
    <w:rsid w:val="00BC5460"/>
    <w:rsid w:val="00BC6B50"/>
    <w:rsid w:val="00BD021D"/>
    <w:rsid w:val="00BD0E25"/>
    <w:rsid w:val="00BE1EEB"/>
    <w:rsid w:val="00BE4D6C"/>
    <w:rsid w:val="00BE6609"/>
    <w:rsid w:val="00BF3879"/>
    <w:rsid w:val="00BF5BD6"/>
    <w:rsid w:val="00C03E31"/>
    <w:rsid w:val="00C30E35"/>
    <w:rsid w:val="00C33E72"/>
    <w:rsid w:val="00C354B2"/>
    <w:rsid w:val="00C35554"/>
    <w:rsid w:val="00C42709"/>
    <w:rsid w:val="00C533CC"/>
    <w:rsid w:val="00C54921"/>
    <w:rsid w:val="00C5751C"/>
    <w:rsid w:val="00C61BFC"/>
    <w:rsid w:val="00C62B85"/>
    <w:rsid w:val="00C65438"/>
    <w:rsid w:val="00C91CBB"/>
    <w:rsid w:val="00CB1B9B"/>
    <w:rsid w:val="00CB213D"/>
    <w:rsid w:val="00CC09B6"/>
    <w:rsid w:val="00CC666F"/>
    <w:rsid w:val="00CD02EF"/>
    <w:rsid w:val="00CD1E3F"/>
    <w:rsid w:val="00CE44F6"/>
    <w:rsid w:val="00CE49DA"/>
    <w:rsid w:val="00CE7B61"/>
    <w:rsid w:val="00D00095"/>
    <w:rsid w:val="00D136A7"/>
    <w:rsid w:val="00D149DF"/>
    <w:rsid w:val="00D20620"/>
    <w:rsid w:val="00D26091"/>
    <w:rsid w:val="00D277C1"/>
    <w:rsid w:val="00D34E7C"/>
    <w:rsid w:val="00D35489"/>
    <w:rsid w:val="00D40270"/>
    <w:rsid w:val="00D44656"/>
    <w:rsid w:val="00D51276"/>
    <w:rsid w:val="00D53BD6"/>
    <w:rsid w:val="00D7035F"/>
    <w:rsid w:val="00D7647F"/>
    <w:rsid w:val="00D92300"/>
    <w:rsid w:val="00D9337E"/>
    <w:rsid w:val="00DA5854"/>
    <w:rsid w:val="00DA65AC"/>
    <w:rsid w:val="00DB1913"/>
    <w:rsid w:val="00DC410D"/>
    <w:rsid w:val="00DC68CA"/>
    <w:rsid w:val="00DC7CBA"/>
    <w:rsid w:val="00DD73B7"/>
    <w:rsid w:val="00DE0BEF"/>
    <w:rsid w:val="00DF28BC"/>
    <w:rsid w:val="00DF34B9"/>
    <w:rsid w:val="00DF6561"/>
    <w:rsid w:val="00E01053"/>
    <w:rsid w:val="00E06B80"/>
    <w:rsid w:val="00E06F6A"/>
    <w:rsid w:val="00E07ACF"/>
    <w:rsid w:val="00E24166"/>
    <w:rsid w:val="00E253C6"/>
    <w:rsid w:val="00E263A3"/>
    <w:rsid w:val="00E312DF"/>
    <w:rsid w:val="00E331A1"/>
    <w:rsid w:val="00E33202"/>
    <w:rsid w:val="00E336A9"/>
    <w:rsid w:val="00E37819"/>
    <w:rsid w:val="00E414EB"/>
    <w:rsid w:val="00E50624"/>
    <w:rsid w:val="00E568DF"/>
    <w:rsid w:val="00E64269"/>
    <w:rsid w:val="00E80DE4"/>
    <w:rsid w:val="00E82267"/>
    <w:rsid w:val="00E90A21"/>
    <w:rsid w:val="00E92609"/>
    <w:rsid w:val="00EA010F"/>
    <w:rsid w:val="00EA0E14"/>
    <w:rsid w:val="00EB44E4"/>
    <w:rsid w:val="00EB4CA1"/>
    <w:rsid w:val="00ED1B63"/>
    <w:rsid w:val="00ED3C1F"/>
    <w:rsid w:val="00ED4085"/>
    <w:rsid w:val="00ED420E"/>
    <w:rsid w:val="00EE11E3"/>
    <w:rsid w:val="00EE2F57"/>
    <w:rsid w:val="00EF4C34"/>
    <w:rsid w:val="00EF77C6"/>
    <w:rsid w:val="00F05438"/>
    <w:rsid w:val="00F1361C"/>
    <w:rsid w:val="00F13CB7"/>
    <w:rsid w:val="00F160C7"/>
    <w:rsid w:val="00F21500"/>
    <w:rsid w:val="00F36D8F"/>
    <w:rsid w:val="00F417B1"/>
    <w:rsid w:val="00F602DF"/>
    <w:rsid w:val="00F805F0"/>
    <w:rsid w:val="00F81FD9"/>
    <w:rsid w:val="00F841AA"/>
    <w:rsid w:val="00FA23E8"/>
    <w:rsid w:val="00FB6133"/>
    <w:rsid w:val="00FC061B"/>
    <w:rsid w:val="00FD3CC1"/>
    <w:rsid w:val="00FF1E02"/>
    <w:rsid w:val="00FF30B4"/>
    <w:rsid w:val="013C6FB7"/>
    <w:rsid w:val="01451506"/>
    <w:rsid w:val="017723DF"/>
    <w:rsid w:val="01B77453"/>
    <w:rsid w:val="01D8348D"/>
    <w:rsid w:val="02BE77A3"/>
    <w:rsid w:val="02D20DBD"/>
    <w:rsid w:val="03281E15"/>
    <w:rsid w:val="04880E1F"/>
    <w:rsid w:val="051C4811"/>
    <w:rsid w:val="05D47297"/>
    <w:rsid w:val="061F353C"/>
    <w:rsid w:val="06690587"/>
    <w:rsid w:val="073F1013"/>
    <w:rsid w:val="078633EE"/>
    <w:rsid w:val="09255370"/>
    <w:rsid w:val="09E427B1"/>
    <w:rsid w:val="09EB35CF"/>
    <w:rsid w:val="0A330AE7"/>
    <w:rsid w:val="0AFB54DE"/>
    <w:rsid w:val="0BE7219B"/>
    <w:rsid w:val="0BEA3D90"/>
    <w:rsid w:val="0CB90B7E"/>
    <w:rsid w:val="0E3B168D"/>
    <w:rsid w:val="0F774E4A"/>
    <w:rsid w:val="0F87419C"/>
    <w:rsid w:val="10C055FF"/>
    <w:rsid w:val="134466AB"/>
    <w:rsid w:val="13876C2A"/>
    <w:rsid w:val="1474077E"/>
    <w:rsid w:val="14E96A27"/>
    <w:rsid w:val="15636299"/>
    <w:rsid w:val="15C57F1F"/>
    <w:rsid w:val="163C2F09"/>
    <w:rsid w:val="16BB723D"/>
    <w:rsid w:val="16DE398D"/>
    <w:rsid w:val="16F57D3E"/>
    <w:rsid w:val="183834B2"/>
    <w:rsid w:val="197113AE"/>
    <w:rsid w:val="1D3B41B3"/>
    <w:rsid w:val="1D670EA1"/>
    <w:rsid w:val="1D6F4FDE"/>
    <w:rsid w:val="1D946715"/>
    <w:rsid w:val="1DEE683B"/>
    <w:rsid w:val="1F18067C"/>
    <w:rsid w:val="1F4672FA"/>
    <w:rsid w:val="1FC91DB9"/>
    <w:rsid w:val="20EA4ECB"/>
    <w:rsid w:val="22823209"/>
    <w:rsid w:val="23FC72A6"/>
    <w:rsid w:val="240371BF"/>
    <w:rsid w:val="24B5572B"/>
    <w:rsid w:val="2501596E"/>
    <w:rsid w:val="2807616B"/>
    <w:rsid w:val="28BA4AF0"/>
    <w:rsid w:val="297F70CC"/>
    <w:rsid w:val="29D23E1C"/>
    <w:rsid w:val="29FD04D3"/>
    <w:rsid w:val="2B6B7BA1"/>
    <w:rsid w:val="2C7A34CA"/>
    <w:rsid w:val="2D7A7CA5"/>
    <w:rsid w:val="2D866A38"/>
    <w:rsid w:val="2DC70748"/>
    <w:rsid w:val="2E703C38"/>
    <w:rsid w:val="2E71038E"/>
    <w:rsid w:val="2EFD0AE5"/>
    <w:rsid w:val="2F1F732D"/>
    <w:rsid w:val="3065149E"/>
    <w:rsid w:val="311B7B5B"/>
    <w:rsid w:val="319F7F4E"/>
    <w:rsid w:val="33971B36"/>
    <w:rsid w:val="339A574D"/>
    <w:rsid w:val="33B468A5"/>
    <w:rsid w:val="342E63AF"/>
    <w:rsid w:val="365C52ED"/>
    <w:rsid w:val="36991CF5"/>
    <w:rsid w:val="3778796F"/>
    <w:rsid w:val="378B042C"/>
    <w:rsid w:val="3BBC42A9"/>
    <w:rsid w:val="3BDF24FD"/>
    <w:rsid w:val="3C0F6A36"/>
    <w:rsid w:val="3CA614D9"/>
    <w:rsid w:val="3D3400D3"/>
    <w:rsid w:val="3D883730"/>
    <w:rsid w:val="3EA138BC"/>
    <w:rsid w:val="3EC1360F"/>
    <w:rsid w:val="406F319B"/>
    <w:rsid w:val="4073672A"/>
    <w:rsid w:val="41B23378"/>
    <w:rsid w:val="41DF46F7"/>
    <w:rsid w:val="41E87BFD"/>
    <w:rsid w:val="422A20A3"/>
    <w:rsid w:val="425F28B7"/>
    <w:rsid w:val="42BB109D"/>
    <w:rsid w:val="42EE0E15"/>
    <w:rsid w:val="43944ED0"/>
    <w:rsid w:val="43EE43C4"/>
    <w:rsid w:val="449C4B6D"/>
    <w:rsid w:val="456F6A55"/>
    <w:rsid w:val="458C5BA3"/>
    <w:rsid w:val="46BE6CC3"/>
    <w:rsid w:val="47A05921"/>
    <w:rsid w:val="482B741C"/>
    <w:rsid w:val="48583822"/>
    <w:rsid w:val="485A5A0D"/>
    <w:rsid w:val="48A07C1A"/>
    <w:rsid w:val="49123F7D"/>
    <w:rsid w:val="4960231F"/>
    <w:rsid w:val="4991733A"/>
    <w:rsid w:val="4A944875"/>
    <w:rsid w:val="4D5F2B85"/>
    <w:rsid w:val="4D8A189A"/>
    <w:rsid w:val="4E216A51"/>
    <w:rsid w:val="4E637D89"/>
    <w:rsid w:val="4EF97F49"/>
    <w:rsid w:val="51983D9F"/>
    <w:rsid w:val="52503234"/>
    <w:rsid w:val="53C835AF"/>
    <w:rsid w:val="54402F2E"/>
    <w:rsid w:val="548835C0"/>
    <w:rsid w:val="55DD0064"/>
    <w:rsid w:val="564C7B28"/>
    <w:rsid w:val="56E53D6F"/>
    <w:rsid w:val="56E872D3"/>
    <w:rsid w:val="573A0F05"/>
    <w:rsid w:val="57D035B2"/>
    <w:rsid w:val="59687F94"/>
    <w:rsid w:val="59D57E6D"/>
    <w:rsid w:val="5A264C94"/>
    <w:rsid w:val="5A904976"/>
    <w:rsid w:val="5AD02772"/>
    <w:rsid w:val="5BC34CA9"/>
    <w:rsid w:val="5D182563"/>
    <w:rsid w:val="5D8F592A"/>
    <w:rsid w:val="5E75603C"/>
    <w:rsid w:val="5E836D86"/>
    <w:rsid w:val="5ECA022C"/>
    <w:rsid w:val="5EEB429D"/>
    <w:rsid w:val="5F0636F2"/>
    <w:rsid w:val="605F58B9"/>
    <w:rsid w:val="614D14AD"/>
    <w:rsid w:val="61A66859"/>
    <w:rsid w:val="61D607D8"/>
    <w:rsid w:val="627F18F2"/>
    <w:rsid w:val="63072820"/>
    <w:rsid w:val="63116750"/>
    <w:rsid w:val="63215092"/>
    <w:rsid w:val="63772C18"/>
    <w:rsid w:val="64E038E4"/>
    <w:rsid w:val="65FE63CE"/>
    <w:rsid w:val="661B3E55"/>
    <w:rsid w:val="663507D6"/>
    <w:rsid w:val="671F068C"/>
    <w:rsid w:val="67824EEF"/>
    <w:rsid w:val="68193BED"/>
    <w:rsid w:val="696C5EB3"/>
    <w:rsid w:val="69B64677"/>
    <w:rsid w:val="6B4B1116"/>
    <w:rsid w:val="6B5107DA"/>
    <w:rsid w:val="6EA7539B"/>
    <w:rsid w:val="6EA94E03"/>
    <w:rsid w:val="6F0530ED"/>
    <w:rsid w:val="6FA93FA4"/>
    <w:rsid w:val="6FD0360E"/>
    <w:rsid w:val="706C3A95"/>
    <w:rsid w:val="70877C7A"/>
    <w:rsid w:val="70DA4891"/>
    <w:rsid w:val="70F608F2"/>
    <w:rsid w:val="7126639D"/>
    <w:rsid w:val="7163186A"/>
    <w:rsid w:val="721C5103"/>
    <w:rsid w:val="729670CC"/>
    <w:rsid w:val="72E6464E"/>
    <w:rsid w:val="73405B7C"/>
    <w:rsid w:val="74A06921"/>
    <w:rsid w:val="74EC682F"/>
    <w:rsid w:val="75A3109E"/>
    <w:rsid w:val="761607CE"/>
    <w:rsid w:val="76DE74AA"/>
    <w:rsid w:val="774A02FE"/>
    <w:rsid w:val="77B60799"/>
    <w:rsid w:val="77F22B74"/>
    <w:rsid w:val="77FD1C7D"/>
    <w:rsid w:val="78326A9A"/>
    <w:rsid w:val="78A4134A"/>
    <w:rsid w:val="793F1C1D"/>
    <w:rsid w:val="796371B7"/>
    <w:rsid w:val="7A5551E5"/>
    <w:rsid w:val="7A9D7D73"/>
    <w:rsid w:val="7C415A26"/>
    <w:rsid w:val="7C706E0C"/>
    <w:rsid w:val="7C8F605C"/>
    <w:rsid w:val="7CE20791"/>
    <w:rsid w:val="7D0D29A6"/>
    <w:rsid w:val="7D6B2114"/>
    <w:rsid w:val="7E456FA2"/>
    <w:rsid w:val="7E6043DC"/>
    <w:rsid w:val="7EB37B35"/>
    <w:rsid w:val="7F8E08FF"/>
    <w:rsid w:val="7FDE6CBF"/>
    <w:rsid w:val="B7D745E7"/>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0"/>
    <w:semiHidden/>
    <w:qFormat/>
    <w:uiPriority w:val="99"/>
    <w:pPr>
      <w:shd w:val="clear" w:color="auto" w:fill="000080"/>
    </w:pPr>
  </w:style>
  <w:style w:type="paragraph" w:styleId="6">
    <w:name w:val="Body Text"/>
    <w:basedOn w:val="1"/>
    <w:link w:val="27"/>
    <w:qFormat/>
    <w:uiPriority w:val="99"/>
    <w:pPr>
      <w:spacing w:beforeLines="30"/>
    </w:pPr>
    <w:rPr>
      <w:rFonts w:ascii="仿宋_GB2312" w:eastAsia="仿宋_GB2312"/>
      <w:kern w:val="0"/>
      <w:sz w:val="24"/>
      <w:szCs w:val="24"/>
    </w:rPr>
  </w:style>
  <w:style w:type="paragraph" w:styleId="7">
    <w:name w:val="toc 3"/>
    <w:basedOn w:val="1"/>
    <w:next w:val="1"/>
    <w:semiHidden/>
    <w:qFormat/>
    <w:uiPriority w:val="99"/>
    <w:pPr>
      <w:tabs>
        <w:tab w:val="right" w:leader="dot" w:pos="8296"/>
      </w:tabs>
      <w:ind w:left="840" w:leftChars="400"/>
    </w:pPr>
  </w:style>
  <w:style w:type="paragraph" w:styleId="8">
    <w:name w:val="Balloon Text"/>
    <w:basedOn w:val="1"/>
    <w:link w:val="22"/>
    <w:semiHidden/>
    <w:qFormat/>
    <w:uiPriority w:val="99"/>
    <w:rPr>
      <w:sz w:val="18"/>
      <w:szCs w:val="18"/>
    </w:rPr>
  </w:style>
  <w:style w:type="paragraph" w:styleId="9">
    <w:name w:val="footer"/>
    <w:basedOn w:val="1"/>
    <w:link w:val="26"/>
    <w:qFormat/>
    <w:uiPriority w:val="99"/>
    <w:pPr>
      <w:tabs>
        <w:tab w:val="center" w:pos="4153"/>
        <w:tab w:val="right" w:pos="8306"/>
      </w:tabs>
      <w:snapToGrid w:val="0"/>
      <w:jc w:val="left"/>
    </w:pPr>
    <w:rPr>
      <w:kern w:val="0"/>
      <w:sz w:val="18"/>
      <w:szCs w:val="18"/>
    </w:rPr>
  </w:style>
  <w:style w:type="paragraph" w:styleId="10">
    <w:name w:val="header"/>
    <w:basedOn w:val="1"/>
    <w:link w:val="25"/>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semiHidden/>
    <w:qFormat/>
    <w:uiPriority w:val="99"/>
    <w:pPr>
      <w:tabs>
        <w:tab w:val="right" w:leader="dot" w:pos="8296"/>
      </w:tabs>
      <w:spacing w:before="93"/>
      <w:jc w:val="center"/>
    </w:pPr>
    <w:rPr>
      <w:rFonts w:ascii="??" w:hAnsi="??" w:cs="??"/>
      <w:sz w:val="28"/>
      <w:szCs w:val="28"/>
    </w:rPr>
  </w:style>
  <w:style w:type="paragraph" w:styleId="12">
    <w:name w:val="toc 2"/>
    <w:basedOn w:val="1"/>
    <w:next w:val="1"/>
    <w:semiHidden/>
    <w:qFormat/>
    <w:uiPriority w:val="99"/>
    <w:pPr>
      <w:tabs>
        <w:tab w:val="right" w:leader="dot" w:pos="8296"/>
      </w:tabs>
      <w:ind w:left="420" w:leftChars="200"/>
    </w:pPr>
  </w:style>
  <w:style w:type="character" w:styleId="15">
    <w:name w:val="Strong"/>
    <w:basedOn w:val="14"/>
    <w:qFormat/>
    <w:uiPriority w:val="99"/>
    <w:rPr>
      <w:rFonts w:cs="Times New Roman"/>
      <w:b/>
      <w:bCs/>
    </w:rPr>
  </w:style>
  <w:style w:type="character" w:styleId="16">
    <w:name w:val="Hyperlink"/>
    <w:basedOn w:val="14"/>
    <w:qFormat/>
    <w:uiPriority w:val="99"/>
    <w:rPr>
      <w:rFonts w:cs="Times New Roman"/>
      <w:color w:val="0000FF"/>
      <w:u w:val="single"/>
    </w:rPr>
  </w:style>
  <w:style w:type="character" w:customStyle="1" w:styleId="17">
    <w:name w:val="标题 1 Char"/>
    <w:basedOn w:val="14"/>
    <w:link w:val="2"/>
    <w:qFormat/>
    <w:locked/>
    <w:uiPriority w:val="99"/>
    <w:rPr>
      <w:rFonts w:ascii="Times New Roman" w:hAnsi="Times New Roman" w:cs="Times New Roman"/>
      <w:b/>
      <w:bCs/>
      <w:kern w:val="44"/>
      <w:sz w:val="44"/>
      <w:szCs w:val="44"/>
    </w:rPr>
  </w:style>
  <w:style w:type="character" w:customStyle="1" w:styleId="18">
    <w:name w:val="标题 2 Char"/>
    <w:basedOn w:val="14"/>
    <w:link w:val="3"/>
    <w:qFormat/>
    <w:locked/>
    <w:uiPriority w:val="99"/>
    <w:rPr>
      <w:rFonts w:ascii="Cambria" w:hAnsi="Cambria" w:eastAsia="宋体" w:cs="Cambria"/>
      <w:b/>
      <w:bCs/>
      <w:kern w:val="2"/>
      <w:sz w:val="32"/>
      <w:szCs w:val="32"/>
    </w:rPr>
  </w:style>
  <w:style w:type="character" w:customStyle="1" w:styleId="19">
    <w:name w:val="标题 3 Char"/>
    <w:basedOn w:val="14"/>
    <w:link w:val="4"/>
    <w:qFormat/>
    <w:locked/>
    <w:uiPriority w:val="99"/>
    <w:rPr>
      <w:rFonts w:ascii="Times New Roman" w:hAnsi="Times New Roman" w:cs="Times New Roman"/>
      <w:b/>
      <w:bCs/>
      <w:kern w:val="2"/>
      <w:sz w:val="32"/>
      <w:szCs w:val="32"/>
    </w:rPr>
  </w:style>
  <w:style w:type="character" w:customStyle="1" w:styleId="20">
    <w:name w:val="文档结构图 Char"/>
    <w:basedOn w:val="14"/>
    <w:link w:val="5"/>
    <w:semiHidden/>
    <w:qFormat/>
    <w:locked/>
    <w:uiPriority w:val="99"/>
    <w:rPr>
      <w:rFonts w:cs="Times New Roman"/>
      <w:sz w:val="2"/>
    </w:rPr>
  </w:style>
  <w:style w:type="character" w:customStyle="1" w:styleId="21">
    <w:name w:val="Body Text Char"/>
    <w:basedOn w:val="14"/>
    <w:link w:val="6"/>
    <w:semiHidden/>
    <w:qFormat/>
    <w:locked/>
    <w:uiPriority w:val="99"/>
    <w:rPr>
      <w:rFonts w:ascii="Times New Roman" w:hAnsi="Times New Roman" w:cs="Times New Roman"/>
      <w:sz w:val="24"/>
      <w:szCs w:val="24"/>
    </w:rPr>
  </w:style>
  <w:style w:type="character" w:customStyle="1" w:styleId="22">
    <w:name w:val="批注框文本 Char"/>
    <w:basedOn w:val="14"/>
    <w:link w:val="8"/>
    <w:semiHidden/>
    <w:qFormat/>
    <w:locked/>
    <w:uiPriority w:val="99"/>
    <w:rPr>
      <w:rFonts w:ascii="Times New Roman" w:hAnsi="Times New Roman" w:cs="Times New Roman"/>
      <w:kern w:val="2"/>
      <w:sz w:val="18"/>
      <w:szCs w:val="18"/>
    </w:rPr>
  </w:style>
  <w:style w:type="character" w:customStyle="1" w:styleId="23">
    <w:name w:val="Footer Char"/>
    <w:basedOn w:val="14"/>
    <w:link w:val="9"/>
    <w:semiHidden/>
    <w:qFormat/>
    <w:locked/>
    <w:uiPriority w:val="99"/>
    <w:rPr>
      <w:rFonts w:ascii="Times New Roman" w:hAnsi="Times New Roman" w:cs="Times New Roman"/>
      <w:sz w:val="18"/>
      <w:szCs w:val="18"/>
    </w:rPr>
  </w:style>
  <w:style w:type="character" w:customStyle="1" w:styleId="24">
    <w:name w:val="Header Char"/>
    <w:basedOn w:val="14"/>
    <w:link w:val="10"/>
    <w:semiHidden/>
    <w:qFormat/>
    <w:locked/>
    <w:uiPriority w:val="99"/>
    <w:rPr>
      <w:rFonts w:ascii="Times New Roman" w:hAnsi="Times New Roman" w:cs="Times New Roman"/>
      <w:sz w:val="18"/>
      <w:szCs w:val="18"/>
    </w:rPr>
  </w:style>
  <w:style w:type="character" w:customStyle="1" w:styleId="25">
    <w:name w:val="页眉 Char"/>
    <w:link w:val="10"/>
    <w:semiHidden/>
    <w:qFormat/>
    <w:locked/>
    <w:uiPriority w:val="99"/>
    <w:rPr>
      <w:sz w:val="18"/>
    </w:rPr>
  </w:style>
  <w:style w:type="character" w:customStyle="1" w:styleId="26">
    <w:name w:val="页脚 Char"/>
    <w:link w:val="9"/>
    <w:qFormat/>
    <w:locked/>
    <w:uiPriority w:val="99"/>
    <w:rPr>
      <w:sz w:val="18"/>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 w:hAnsi="Calibri" w:eastAsia="Times New Roman" w:cs="??"/>
      <w:color w:val="000000"/>
      <w:sz w:val="24"/>
      <w:szCs w:val="24"/>
      <w:lang w:val="en-US" w:eastAsia="zh-CN" w:bidi="ar-SA"/>
    </w:rPr>
  </w:style>
  <w:style w:type="paragraph" w:styleId="29">
    <w:name w:val="List Paragraph"/>
    <w:basedOn w:val="1"/>
    <w:qFormat/>
    <w:uiPriority w:val="99"/>
    <w:pPr>
      <w:ind w:firstLine="420" w:firstLineChars="200"/>
    </w:pPr>
  </w:style>
  <w:style w:type="paragraph" w:customStyle="1" w:styleId="30">
    <w:name w:val="TOC Heading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Sheet1!$B$2:$B$3</c:f>
              <c:strCache>
                <c:ptCount val="2"/>
                <c:pt idx="0">
                  <c:v>2019年</c:v>
                </c:pt>
                <c:pt idx="1">
                  <c:v>2020年</c:v>
                </c:pt>
              </c:strCache>
            </c:strRef>
          </c:cat>
          <c:val>
            <c:numRef>
              <c:f>Sheet1!$C$2:$C$3</c:f>
              <c:numCache>
                <c:formatCode>General</c:formatCode>
                <c:ptCount val="2"/>
                <c:pt idx="0">
                  <c:v>233.21</c:v>
                </c:pt>
                <c:pt idx="1">
                  <c:v>287.71</c:v>
                </c:pt>
              </c:numCache>
            </c:numRef>
          </c:val>
        </c:ser>
        <c:dLbls>
          <c:showLegendKey val="1"/>
          <c:showVal val="1"/>
          <c:showCatName val="1"/>
          <c:showSerName val="1"/>
          <c:showPercent val="1"/>
          <c:showBubbleSize val="1"/>
        </c:dLbls>
        <c:gapWidth val="150"/>
        <c:overlap val="100"/>
        <c:axId val="172205952"/>
        <c:axId val="172207488"/>
      </c:barChart>
      <c:catAx>
        <c:axId val="17220595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2207488"/>
        <c:crosses val="autoZero"/>
        <c:auto val="1"/>
        <c:lblAlgn val="ctr"/>
        <c:lblOffset val="100"/>
        <c:noMultiLvlLbl val="0"/>
      </c:catAx>
      <c:valAx>
        <c:axId val="17220748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220595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Sheet1!$C$3</c:f>
              <c:strCache>
                <c:ptCount val="1"/>
                <c:pt idx="0">
                  <c:v>财政拨款收入</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val>
            <c:numRef>
              <c:f>Sheet1!$D$3</c:f>
              <c:numCache>
                <c:formatCode>General</c:formatCode>
                <c:ptCount val="1"/>
                <c:pt idx="0">
                  <c:v>286.59</c:v>
                </c:pt>
              </c:numCache>
            </c:numRef>
          </c:val>
        </c:ser>
        <c:dLbls>
          <c:showLegendKey val="1"/>
          <c:showVal val="1"/>
          <c:showCatName val="1"/>
          <c:showSerName val="1"/>
          <c:showPercent val="1"/>
          <c:showBubbleSize val="1"/>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Sheet1!$B$2</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Sheet1!$C$1:$D$1</c:f>
              <c:strCache>
                <c:ptCount val="2"/>
                <c:pt idx="0">
                  <c:v>收入</c:v>
                </c:pt>
                <c:pt idx="1">
                  <c:v>支出</c:v>
                </c:pt>
              </c:strCache>
            </c:strRef>
          </c:cat>
          <c:val>
            <c:numRef>
              <c:f>Sheet1!$C$2:$D$2</c:f>
              <c:numCache>
                <c:formatCode>General</c:formatCode>
                <c:ptCount val="2"/>
                <c:pt idx="0">
                  <c:v>228.29</c:v>
                </c:pt>
                <c:pt idx="1">
                  <c:v>227.13</c:v>
                </c:pt>
              </c:numCache>
            </c:numRef>
          </c:val>
        </c:ser>
        <c:ser>
          <c:idx val="1"/>
          <c:order val="1"/>
          <c:tx>
            <c:strRef>
              <c:f>Sheet1!$B$3</c:f>
              <c:strCache>
                <c:ptCount val="1"/>
                <c:pt idx="0">
                  <c:v>2020年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Sheet1!$C$1:$D$1</c:f>
              <c:strCache>
                <c:ptCount val="2"/>
                <c:pt idx="0">
                  <c:v>收入</c:v>
                </c:pt>
                <c:pt idx="1">
                  <c:v>支出</c:v>
                </c:pt>
              </c:strCache>
            </c:strRef>
          </c:cat>
          <c:val>
            <c:numRef>
              <c:f>Sheet1!$C$3:$D$3</c:f>
              <c:numCache>
                <c:formatCode>General</c:formatCode>
                <c:ptCount val="2"/>
                <c:pt idx="0">
                  <c:v>286.59</c:v>
                </c:pt>
                <c:pt idx="1">
                  <c:v>280.1</c:v>
                </c:pt>
              </c:numCache>
            </c:numRef>
          </c:val>
        </c:ser>
        <c:dLbls>
          <c:showLegendKey val="1"/>
          <c:showVal val="1"/>
          <c:showCatName val="1"/>
          <c:showSerName val="1"/>
          <c:showPercent val="1"/>
          <c:showBubbleSize val="1"/>
        </c:dLbls>
        <c:gapWidth val="150"/>
        <c:axId val="90815488"/>
        <c:axId val="150341120"/>
      </c:barChart>
      <c:catAx>
        <c:axId val="908154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0341120"/>
        <c:crosses val="autoZero"/>
        <c:auto val="1"/>
        <c:lblAlgn val="ctr"/>
        <c:lblOffset val="100"/>
        <c:noMultiLvlLbl val="0"/>
      </c:catAx>
      <c:valAx>
        <c:axId val="15034112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0815488"/>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Sheet1!$B$2:$B$3</c:f>
              <c:strCache>
                <c:ptCount val="2"/>
                <c:pt idx="0">
                  <c:v>2019年</c:v>
                </c:pt>
                <c:pt idx="1">
                  <c:v>2020年</c:v>
                </c:pt>
              </c:strCache>
            </c:strRef>
          </c:cat>
          <c:val>
            <c:numRef>
              <c:f>Sheet1!$C$2:$C$3</c:f>
              <c:numCache>
                <c:formatCode>General</c:formatCode>
                <c:ptCount val="2"/>
                <c:pt idx="0">
                  <c:v>227.13</c:v>
                </c:pt>
                <c:pt idx="1">
                  <c:v>280.1</c:v>
                </c:pt>
              </c:numCache>
            </c:numRef>
          </c:val>
        </c:ser>
        <c:dLbls>
          <c:showLegendKey val="1"/>
          <c:showVal val="1"/>
          <c:showCatName val="1"/>
          <c:showSerName val="1"/>
          <c:showPercent val="1"/>
          <c:showBubbleSize val="1"/>
        </c:dLbls>
        <c:gapWidth val="150"/>
        <c:overlap val="100"/>
        <c:axId val="155526656"/>
        <c:axId val="155550080"/>
      </c:barChart>
      <c:catAx>
        <c:axId val="15552665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5550080"/>
        <c:crosses val="autoZero"/>
        <c:auto val="1"/>
        <c:lblAlgn val="ctr"/>
        <c:lblOffset val="100"/>
        <c:noMultiLvlLbl val="0"/>
      </c:catAx>
      <c:valAx>
        <c:axId val="1555500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552665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Sheet1!$B$3:$F$3</c:f>
              <c:strCache>
                <c:ptCount val="5"/>
                <c:pt idx="0">
                  <c:v>教育支出</c:v>
                </c:pt>
                <c:pt idx="1">
                  <c:v>社会保障和就业支出</c:v>
                </c:pt>
                <c:pt idx="2">
                  <c:v>卫生健康支出</c:v>
                </c:pt>
                <c:pt idx="3">
                  <c:v>农林水支出</c:v>
                </c:pt>
                <c:pt idx="4">
                  <c:v>住房保障支出</c:v>
                </c:pt>
              </c:strCache>
            </c:strRef>
          </c:cat>
          <c:val>
            <c:numRef>
              <c:f>Sheet1!$B$4:$F$4</c:f>
              <c:numCache>
                <c:formatCode>General</c:formatCode>
                <c:ptCount val="5"/>
                <c:pt idx="0">
                  <c:v>210.52</c:v>
                </c:pt>
                <c:pt idx="1">
                  <c:v>31.05</c:v>
                </c:pt>
                <c:pt idx="2">
                  <c:v>15.16</c:v>
                </c:pt>
                <c:pt idx="3">
                  <c:v>1.42</c:v>
                </c:pt>
                <c:pt idx="4">
                  <c:v>21.95</c:v>
                </c:pt>
              </c:numCache>
            </c:numRef>
          </c:val>
        </c:ser>
        <c:dLbls>
          <c:showLegendKey val="1"/>
          <c:showVal val="1"/>
          <c:showCatName val="1"/>
          <c:showSerName val="1"/>
          <c:showPercent val="1"/>
          <c:showBubbleSize val="1"/>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Sheet1!$C$3:$C$5</c:f>
              <c:strCache>
                <c:ptCount val="3"/>
                <c:pt idx="0">
                  <c:v>公务接待费支出</c:v>
                </c:pt>
                <c:pt idx="1">
                  <c:v>因公出国（境）经费</c:v>
                </c:pt>
                <c:pt idx="2">
                  <c:v>公务用车购置及运行维护费支出</c:v>
                </c:pt>
              </c:strCache>
            </c:strRef>
          </c:cat>
          <c:val>
            <c:numRef>
              <c:f>Sheet1!$D$3:$D$5</c:f>
              <c:numCache>
                <c:formatCode>General</c:formatCode>
                <c:ptCount val="3"/>
                <c:pt idx="0">
                  <c:v>0.18</c:v>
                </c:pt>
                <c:pt idx="1">
                  <c:v>0</c:v>
                </c:pt>
                <c:pt idx="2">
                  <c:v>0</c:v>
                </c:pt>
              </c:numCache>
            </c:numRef>
          </c:val>
        </c:ser>
        <c:dLbls>
          <c:showLegendKey val="1"/>
          <c:showVal val="1"/>
          <c:showCatName val="1"/>
          <c:showSerName val="1"/>
          <c:showPercent val="1"/>
          <c:showBubbleSize val="1"/>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7399</Words>
  <Characters>1040</Characters>
  <Lines>8</Lines>
  <Paragraphs>16</Paragraphs>
  <TotalTime>80</TotalTime>
  <ScaleCrop>false</ScaleCrop>
  <LinksUpToDate>false</LinksUpToDate>
  <CharactersWithSpaces>8423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2021-09-24T09:22:00Z</cp:lastPrinted>
  <dcterms:modified xsi:type="dcterms:W3CDTF">2026-05-14T11:29:59Z</dcterms:modified>
  <dc:title>四川省***</dc:title>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B6E2F34B5C324041A5C9386612D2B941</vt:lpwstr>
  </property>
</Properties>
</file>