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93" w:name="_GoBack"/>
      <w:bookmarkEnd w:id="93"/>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7193"/>
      <w:bookmarkStart w:id="2" w:name="_Toc15377425"/>
      <w:bookmarkStart w:id="3" w:name="_Toc15396475"/>
      <w:bookmarkStart w:id="4" w:name="_Toc15396597"/>
      <w:bookmarkStart w:id="5" w:name="_Toc15378441"/>
      <w:r>
        <w:rPr>
          <w:rFonts w:ascii="方正小标宋简体" w:eastAsia="方正小标宋简体" w:cs="方正小标宋简体"/>
          <w:b/>
          <w:bCs/>
          <w:color w:val="000000"/>
          <w:sz w:val="52"/>
          <w:szCs w:val="52"/>
        </w:rPr>
        <w:t>202</w:t>
      </w:r>
      <w:r>
        <w:rPr>
          <w:rFonts w:hint="eastAsia" w:ascii="方正小标宋简体" w:eastAsia="方正小标宋简体" w:cs="方正小标宋简体"/>
          <w:b/>
          <w:bCs/>
          <w:color w:val="000000"/>
          <w:sz w:val="52"/>
          <w:szCs w:val="52"/>
        </w:rPr>
        <w:t>2年度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96476"/>
      <w:bookmarkStart w:id="7" w:name="_Toc15377426"/>
      <w:bookmarkStart w:id="8" w:name="_Toc15377194"/>
      <w:bookmarkStart w:id="9" w:name="_Toc15378442"/>
      <w:bookmarkStart w:id="10" w:name="_Toc15396598"/>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省茂县县委党校</w:t>
      </w:r>
      <w:r>
        <w:rPr>
          <w:rFonts w:hint="eastAsia" w:ascii="方正小标宋简体" w:eastAsia="方正小标宋简体" w:cs="方正小标宋简体"/>
          <w:b/>
          <w:bCs/>
          <w:color w:val="000000"/>
          <w:sz w:val="52"/>
          <w:szCs w:val="52"/>
          <w:lang w:eastAsia="zh-CN"/>
        </w:rPr>
        <w:t>（汇总）</w:t>
      </w:r>
      <w:r>
        <w:rPr>
          <w:rFonts w:hint="eastAsia" w:ascii="方正小标宋简体" w:eastAsia="方正小标宋简体" w:cs="方正小标宋简体"/>
          <w:b/>
          <w:bCs/>
          <w:color w:val="000000"/>
          <w:sz w:val="52"/>
          <w:szCs w:val="5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560" w:lineRule="exact"/>
        <w:ind w:left="480" w:hanging="480" w:hangingChars="150"/>
        <w:outlineLvl w:val="0"/>
        <w:rPr>
          <w:rFonts w:ascii="黑体" w:eastAsia="黑体"/>
          <w:b/>
          <w:bCs/>
          <w:color w:val="000000"/>
          <w:sz w:val="44"/>
          <w:szCs w:val="44"/>
        </w:rPr>
      </w:pPr>
      <w:r>
        <w:rPr>
          <w:rFonts w:ascii="仿宋_GB2312" w:eastAsia="仿宋_GB2312" w:cs="仿宋_GB2312"/>
          <w:color w:val="000000"/>
          <w:sz w:val="32"/>
          <w:szCs w:val="32"/>
        </w:rPr>
        <w:br w:type="page"/>
      </w:r>
      <w:r>
        <w:rPr>
          <w:rFonts w:ascii="方正小标宋简体" w:eastAsia="方正小标宋简体" w:cs="方正小标宋简体"/>
          <w:b/>
          <w:bCs/>
          <w:color w:val="000000"/>
          <w:sz w:val="44"/>
          <w:szCs w:val="44"/>
        </w:rPr>
        <w:t xml:space="preserve">             </w:t>
      </w:r>
      <w:r>
        <w:rPr>
          <w:rFonts w:hint="eastAsia" w:ascii="方正小标宋简体" w:eastAsia="方正小标宋简体" w:cs="方正小标宋简体"/>
          <w:b/>
          <w:bCs/>
          <w:color w:val="000000"/>
          <w:sz w:val="44"/>
          <w:szCs w:val="44"/>
          <w:lang w:val="en-US" w:eastAsia="zh-CN"/>
        </w:rPr>
        <w:t xml:space="preserve"> </w:t>
      </w:r>
      <w:r>
        <w:rPr>
          <w:rFonts w:ascii="方正小标宋简体" w:eastAsia="方正小标宋简体" w:cs="方正小标宋简体"/>
          <w:b/>
          <w:bCs/>
          <w:color w:val="000000"/>
          <w:sz w:val="44"/>
          <w:szCs w:val="44"/>
        </w:rPr>
        <w:t xml:space="preserve"> </w:t>
      </w:r>
      <w:r>
        <w:rPr>
          <w:rFonts w:hint="eastAsia" w:ascii="方正小标宋简体" w:eastAsia="方正小标宋简体" w:cs="方正小标宋简体"/>
          <w:b/>
          <w:bCs/>
          <w:color w:val="000000"/>
          <w:sz w:val="44"/>
          <w:szCs w:val="44"/>
        </w:rPr>
        <w:t>目</w:t>
      </w:r>
      <w:r>
        <w:rPr>
          <w:rFonts w:hint="eastAsia" w:ascii="方正小标宋简体" w:eastAsia="方正小标宋简体" w:cs="方正小标宋简体"/>
          <w:b/>
          <w:bCs/>
          <w:color w:val="000000"/>
          <w:sz w:val="44"/>
          <w:szCs w:val="44"/>
          <w:lang w:val="en-US" w:eastAsia="zh-CN"/>
        </w:rPr>
        <w:t xml:space="preserve">    </w:t>
      </w:r>
      <w:r>
        <w:rPr>
          <w:rFonts w:hint="eastAsia" w:ascii="方正小标宋简体" w:eastAsia="方正小标宋简体" w:cs="方正小标宋简体"/>
          <w:b/>
          <w:bCs/>
          <w:color w:val="000000"/>
          <w:sz w:val="44"/>
          <w:szCs w:val="44"/>
        </w:rPr>
        <w:t>录</w:t>
      </w:r>
    </w:p>
    <w:p>
      <w:pPr>
        <w:widowControl/>
        <w:spacing w:line="560" w:lineRule="exact"/>
        <w:jc w:val="center"/>
        <w:rPr>
          <w:rFonts w:ascii="宋体" w:cs="黑体"/>
          <w:color w:val="000000"/>
          <w:sz w:val="28"/>
          <w:szCs w:val="28"/>
        </w:rPr>
      </w:pPr>
    </w:p>
    <w:p>
      <w:pPr>
        <w:widowControl/>
        <w:spacing w:line="560" w:lineRule="exact"/>
        <w:jc w:val="center"/>
        <w:rPr>
          <w:rFonts w:hint="eastAsia" w:ascii="宋体"/>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w:t>
      </w:r>
      <w:r>
        <w:rPr>
          <w:rFonts w:hint="eastAsia" w:ascii="宋体"/>
          <w:sz w:val="28"/>
          <w:szCs w:val="28"/>
        </w:rPr>
        <w:t>3年</w:t>
      </w:r>
      <w:r>
        <w:rPr>
          <w:rFonts w:ascii="宋体"/>
          <w:sz w:val="28"/>
          <w:szCs w:val="28"/>
        </w:rPr>
        <w:t>9</w:t>
      </w:r>
      <w:r>
        <w:rPr>
          <w:rFonts w:hint="eastAsia" w:ascii="宋体"/>
          <w:sz w:val="28"/>
          <w:szCs w:val="28"/>
        </w:rPr>
        <w:t>月12日</w:t>
      </w:r>
    </w:p>
    <w:p>
      <w:pPr>
        <w:pStyle w:val="2"/>
      </w:pPr>
    </w:p>
    <w:p>
      <w:pPr>
        <w:pStyle w:val="12"/>
        <w:spacing w:line="560" w:lineRule="exact"/>
        <w:jc w:val="both"/>
        <w:rPr>
          <w:rFonts w:ascii="宋体"/>
          <w:b/>
          <w:bCs/>
          <w:caps w:val="0"/>
          <w:smallCaps/>
        </w:rPr>
      </w:pPr>
      <w:r>
        <w:rPr>
          <w:rFonts w:ascii="宋体"/>
          <w:caps w:val="0"/>
          <w:smallCaps/>
        </w:rPr>
        <w:fldChar w:fldCharType="begin"/>
      </w:r>
      <w:r>
        <w:rPr>
          <w:rFonts w:ascii="宋体"/>
          <w:caps w:val="0"/>
          <w:smallCaps/>
        </w:rPr>
        <w:instrText xml:space="preserve"> TOC \o \u </w:instrText>
      </w:r>
      <w:r>
        <w:rPr>
          <w:rFonts w:ascii="宋体"/>
          <w:caps w:val="0"/>
          <w:smallCaps/>
        </w:rPr>
        <w:fldChar w:fldCharType="separate"/>
      </w:r>
      <w:r>
        <w:rPr>
          <w:rFonts w:hint="eastAsia" w:ascii="宋体"/>
          <w:caps w:val="0"/>
          <w:smallCaps/>
        </w:rPr>
        <w:t>第一部分</w:t>
      </w:r>
      <w:r>
        <w:rPr>
          <w:rFonts w:hint="eastAsia" w:ascii="宋体"/>
          <w:caps w:val="0"/>
          <w:smallCaps/>
          <w:lang w:val="en-US" w:eastAsia="zh-CN"/>
        </w:rPr>
        <w:t xml:space="preserve">  </w:t>
      </w:r>
      <w:r>
        <w:rPr>
          <w:rFonts w:hint="eastAsia" w:ascii="宋体"/>
          <w:caps w:val="0"/>
          <w:smallCaps/>
          <w:lang w:eastAsia="zh-CN"/>
        </w:rPr>
        <w:t>部门</w:t>
      </w:r>
      <w:r>
        <w:rPr>
          <w:rFonts w:hint="eastAsia" w:ascii="宋体"/>
          <w:caps w:val="0"/>
          <w:smallCaps/>
        </w:rPr>
        <w:t>概况</w:t>
      </w:r>
      <w:r>
        <w:rPr>
          <w:rFonts w:ascii="宋体"/>
          <w:caps w:val="0"/>
          <w:smallCaps/>
        </w:rPr>
        <w:tab/>
      </w:r>
      <w:r>
        <w:rPr>
          <w:rFonts w:ascii="宋体"/>
          <w:bCs/>
          <w:caps w:val="0"/>
          <w:smallCaps/>
        </w:rPr>
        <w:t>5</w:t>
      </w:r>
    </w:p>
    <w:p>
      <w:pPr>
        <w:pStyle w:val="13"/>
        <w:spacing w:line="560" w:lineRule="exact"/>
        <w:ind w:left="0" w:leftChars="0" w:firstLine="560" w:firstLineChars="200"/>
        <w:rPr>
          <w:rFonts w:ascii="宋体"/>
          <w:sz w:val="28"/>
          <w:szCs w:val="28"/>
        </w:rPr>
      </w:pPr>
      <w:r>
        <w:rPr>
          <w:rFonts w:hint="eastAsia" w:ascii="宋体"/>
          <w:sz w:val="28"/>
          <w:szCs w:val="28"/>
        </w:rPr>
        <w:t>一、</w:t>
      </w:r>
      <w:r>
        <w:rPr>
          <w:rFonts w:hint="eastAsia" w:ascii="宋体"/>
          <w:sz w:val="28"/>
          <w:szCs w:val="28"/>
          <w:lang w:eastAsia="zh-CN"/>
        </w:rPr>
        <w:t>基本职能及主要工作</w:t>
      </w:r>
      <w:r>
        <w:rPr>
          <w:rFonts w:ascii="宋体"/>
          <w:sz w:val="28"/>
          <w:szCs w:val="28"/>
        </w:rPr>
        <w:tab/>
      </w:r>
      <w:r>
        <w:rPr>
          <w:rFonts w:ascii="宋体"/>
          <w:sz w:val="28"/>
          <w:szCs w:val="28"/>
        </w:rPr>
        <w:t>5</w:t>
      </w:r>
    </w:p>
    <w:p>
      <w:pPr>
        <w:pStyle w:val="13"/>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（一）主要职能</w:t>
      </w:r>
      <w:r>
        <w:rPr>
          <w:rFonts w:ascii="宋体"/>
          <w:caps w:val="0"/>
          <w:smallCaps/>
          <w:sz w:val="28"/>
          <w:szCs w:val="28"/>
        </w:rPr>
        <w:tab/>
      </w:r>
      <w:r>
        <w:rPr>
          <w:rFonts w:ascii="宋体"/>
          <w:sz w:val="28"/>
          <w:szCs w:val="28"/>
        </w:rPr>
        <w:t>5</w:t>
      </w:r>
    </w:p>
    <w:p>
      <w:pPr>
        <w:pStyle w:val="9"/>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w:t>
      </w:r>
      <w:r>
        <w:rPr>
          <w:rFonts w:ascii="宋体"/>
          <w:caps w:val="0"/>
          <w:smallCaps/>
          <w:sz w:val="28"/>
          <w:szCs w:val="28"/>
        </w:rPr>
        <w:t>202</w:t>
      </w:r>
      <w:r>
        <w:rPr>
          <w:rFonts w:hint="eastAsia" w:ascii="宋体"/>
          <w:caps w:val="0"/>
          <w:smallCaps/>
          <w:sz w:val="28"/>
          <w:szCs w:val="28"/>
        </w:rPr>
        <w:t>2年重点工作完成情况</w:t>
      </w:r>
      <w:r>
        <w:rPr>
          <w:rFonts w:ascii="宋体"/>
          <w:caps w:val="0"/>
          <w:smallCaps/>
          <w:sz w:val="28"/>
          <w:szCs w:val="28"/>
        </w:rPr>
        <w:tab/>
      </w:r>
      <w:r>
        <w:rPr>
          <w:rFonts w:ascii="宋体"/>
          <w:sz w:val="28"/>
          <w:szCs w:val="28"/>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二、机构设置</w:t>
      </w:r>
      <w:r>
        <w:rPr>
          <w:rFonts w:ascii="宋体"/>
          <w:sz w:val="28"/>
          <w:szCs w:val="28"/>
        </w:rPr>
        <w:tab/>
      </w:r>
      <w:r>
        <w:rPr>
          <w:rFonts w:hint="eastAsia" w:ascii="宋体"/>
          <w:sz w:val="28"/>
          <w:szCs w:val="28"/>
          <w:lang w:val="en-US" w:eastAsia="zh-CN"/>
        </w:rPr>
        <w:t>9</w:t>
      </w:r>
    </w:p>
    <w:p>
      <w:pPr>
        <w:pStyle w:val="12"/>
        <w:spacing w:line="560" w:lineRule="exact"/>
        <w:jc w:val="both"/>
        <w:rPr>
          <w:rFonts w:ascii="宋体" w:eastAsia="宋体"/>
          <w:caps w:val="0"/>
          <w:smallCaps/>
          <w:lang w:val="en-US" w:eastAsia="zh-CN"/>
        </w:rPr>
      </w:pPr>
      <w:r>
        <w:rPr>
          <w:rFonts w:hint="eastAsia" w:ascii="宋体"/>
          <w:caps w:val="0"/>
          <w:smallCaps/>
        </w:rPr>
        <w:t>第二部分</w:t>
      </w:r>
      <w:r>
        <w:rPr>
          <w:rFonts w:ascii="宋体"/>
          <w:caps w:val="0"/>
          <w:smallCaps/>
        </w:rPr>
        <w:t xml:space="preserve"> 202</w:t>
      </w:r>
      <w:r>
        <w:rPr>
          <w:rFonts w:hint="eastAsia" w:ascii="宋体"/>
          <w:caps w:val="0"/>
          <w:smallCaps/>
        </w:rPr>
        <w:t>2年度</w:t>
      </w:r>
      <w:r>
        <w:rPr>
          <w:rFonts w:hint="eastAsia" w:ascii="宋体"/>
          <w:caps w:val="0"/>
          <w:smallCaps/>
          <w:lang w:eastAsia="zh-CN"/>
        </w:rPr>
        <w:t>部门</w:t>
      </w:r>
      <w:r>
        <w:rPr>
          <w:rFonts w:hint="eastAsia" w:ascii="宋体"/>
          <w:caps w:val="0"/>
          <w:smallCaps/>
        </w:rPr>
        <w:t>决算情况说明</w:t>
      </w:r>
      <w:r>
        <w:rPr>
          <w:rFonts w:ascii="宋体"/>
          <w:caps w:val="0"/>
          <w:smallCaps/>
        </w:rPr>
        <w:tab/>
      </w:r>
      <w:r>
        <w:rPr>
          <w:rFonts w:hint="eastAsia" w:ascii="宋体"/>
          <w:caps w:val="0"/>
          <w:smallCaps/>
          <w:lang w:val="en-US" w:eastAsia="zh-CN"/>
        </w:rPr>
        <w:t>10</w:t>
      </w:r>
    </w:p>
    <w:p>
      <w:pPr>
        <w:pStyle w:val="13"/>
        <w:tabs>
          <w:tab w:val="left" w:pos="840"/>
        </w:tabs>
        <w:spacing w:line="560" w:lineRule="exact"/>
        <w:ind w:left="0" w:leftChars="0" w:firstLine="560" w:firstLineChars="200"/>
        <w:rPr>
          <w:rFonts w:ascii="宋体" w:eastAsia="宋体"/>
          <w:sz w:val="28"/>
          <w:szCs w:val="28"/>
          <w:lang w:val="en-US" w:eastAsia="zh-CN"/>
        </w:rPr>
      </w:pPr>
      <w:r>
        <w:rPr>
          <w:rFonts w:hint="eastAsia" w:ascii="宋体"/>
          <w:sz w:val="28"/>
          <w:szCs w:val="28"/>
        </w:rPr>
        <w:t>一、收入支出决算总体情况说明</w:t>
      </w:r>
      <w:r>
        <w:rPr>
          <w:rFonts w:ascii="宋体"/>
          <w:sz w:val="28"/>
          <w:szCs w:val="28"/>
        </w:rPr>
        <w:tab/>
      </w:r>
      <w:r>
        <w:rPr>
          <w:rFonts w:hint="eastAsia" w:ascii="宋体"/>
          <w:sz w:val="28"/>
          <w:szCs w:val="28"/>
          <w:lang w:val="en-US" w:eastAsia="zh-CN"/>
        </w:rPr>
        <w:t>10</w:t>
      </w:r>
    </w:p>
    <w:p>
      <w:pPr>
        <w:pStyle w:val="13"/>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hint="eastAsia" w:ascii="宋体"/>
          <w:sz w:val="28"/>
          <w:szCs w:val="28"/>
          <w:lang w:val="en-US" w:eastAsia="zh-CN"/>
        </w:rPr>
        <w:t>10</w:t>
      </w:r>
      <w:r>
        <w:rPr>
          <w:rFonts w:ascii="宋体"/>
          <w:sz w:val="28"/>
          <w:szCs w:val="28"/>
        </w:rPr>
        <w:t xml:space="preserve">    </w:t>
      </w:r>
    </w:p>
    <w:p>
      <w:pPr>
        <w:pStyle w:val="13"/>
        <w:tabs>
          <w:tab w:val="left" w:pos="840"/>
        </w:tabs>
        <w:spacing w:line="560" w:lineRule="exact"/>
        <w:ind w:left="0" w:leftChars="0" w:firstLine="560" w:firstLineChars="200"/>
        <w:rPr>
          <w:rFonts w:ascii="宋体" w:eastAsia="宋体"/>
          <w:sz w:val="28"/>
          <w:szCs w:val="28"/>
          <w:lang w:val="en-US" w:eastAsia="zh-CN"/>
        </w:rPr>
      </w:pPr>
      <w:r>
        <w:rPr>
          <w:rFonts w:hint="eastAsia" w:ascii="宋体"/>
          <w:sz w:val="28"/>
          <w:szCs w:val="28"/>
        </w:rPr>
        <w:t>三、支出决算情况说明</w:t>
      </w:r>
      <w:r>
        <w:rPr>
          <w:rFonts w:ascii="宋体"/>
          <w:sz w:val="28"/>
          <w:szCs w:val="28"/>
        </w:rPr>
        <w:tab/>
      </w:r>
      <w:r>
        <w:rPr>
          <w:rFonts w:hint="eastAsia" w:ascii="宋体"/>
          <w:sz w:val="28"/>
          <w:szCs w:val="28"/>
          <w:lang w:val="en-US" w:eastAsia="zh-CN"/>
        </w:rPr>
        <w:t>11</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四、财政拨款收入支出决算总体情况说明</w:t>
      </w:r>
      <w:r>
        <w:rPr>
          <w:rFonts w:ascii="宋体"/>
          <w:sz w:val="28"/>
          <w:szCs w:val="28"/>
        </w:rPr>
        <w:tab/>
      </w:r>
      <w:r>
        <w:rPr>
          <w:rFonts w:hint="eastAsia" w:ascii="宋体"/>
          <w:sz w:val="28"/>
          <w:szCs w:val="28"/>
          <w:lang w:val="en-US" w:eastAsia="zh-CN"/>
        </w:rPr>
        <w:t>12</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lang w:val="en-US" w:eastAsia="zh-CN"/>
        </w:rPr>
        <w:t>12</w:t>
      </w:r>
    </w:p>
    <w:p>
      <w:pPr>
        <w:pStyle w:val="9"/>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（一）一般公共预算财政拨款支出决算总体情况</w:t>
      </w:r>
      <w:r>
        <w:rPr>
          <w:rFonts w:ascii="宋体"/>
          <w:caps w:val="0"/>
          <w:smallCaps/>
          <w:sz w:val="28"/>
          <w:szCs w:val="28"/>
        </w:rPr>
        <w:tab/>
      </w:r>
      <w:r>
        <w:rPr>
          <w:rFonts w:hint="eastAsia" w:ascii="宋体"/>
          <w:sz w:val="28"/>
          <w:szCs w:val="28"/>
          <w:lang w:val="en-US" w:eastAsia="zh-CN"/>
        </w:rPr>
        <w:t>12</w:t>
      </w:r>
    </w:p>
    <w:p>
      <w:pPr>
        <w:pStyle w:val="9"/>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（二）一般公共预算财政拨款支出决算结构情况</w:t>
      </w:r>
      <w:r>
        <w:rPr>
          <w:rFonts w:ascii="宋体"/>
          <w:caps w:val="0"/>
          <w:smallCaps/>
          <w:sz w:val="28"/>
          <w:szCs w:val="28"/>
        </w:rPr>
        <w:tab/>
      </w:r>
      <w:r>
        <w:rPr>
          <w:rFonts w:hint="eastAsia" w:ascii="宋体"/>
          <w:sz w:val="28"/>
          <w:szCs w:val="28"/>
          <w:lang w:val="en-US" w:eastAsia="zh-CN"/>
        </w:rPr>
        <w:t>13</w:t>
      </w:r>
    </w:p>
    <w:p>
      <w:pPr>
        <w:pStyle w:val="9"/>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（三）一般公共预算财政拨款支出决算具体情况</w:t>
      </w:r>
      <w:r>
        <w:rPr>
          <w:rFonts w:ascii="宋体"/>
          <w:caps w:val="0"/>
          <w:smallCaps/>
          <w:sz w:val="28"/>
          <w:szCs w:val="28"/>
        </w:rPr>
        <w:tab/>
      </w:r>
      <w:r>
        <w:rPr>
          <w:rFonts w:hint="eastAsia" w:ascii="宋体"/>
          <w:sz w:val="28"/>
          <w:szCs w:val="28"/>
          <w:lang w:val="en-US" w:eastAsia="zh-CN"/>
        </w:rPr>
        <w:t>13</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六、一般公共预算财政拨款基本支出决算情况说明</w:t>
      </w:r>
      <w:r>
        <w:rPr>
          <w:rFonts w:ascii="宋体"/>
          <w:sz w:val="28"/>
          <w:szCs w:val="28"/>
        </w:rPr>
        <w:tab/>
      </w:r>
      <w:r>
        <w:rPr>
          <w:rFonts w:hint="eastAsia" w:ascii="宋体"/>
          <w:sz w:val="28"/>
          <w:szCs w:val="28"/>
          <w:lang w:val="en-US" w:eastAsia="zh-CN"/>
        </w:rPr>
        <w:t>14</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七、“三公”经费财政拨款支出决算情况说明</w:t>
      </w:r>
      <w:r>
        <w:rPr>
          <w:rFonts w:ascii="宋体"/>
          <w:sz w:val="28"/>
          <w:szCs w:val="28"/>
        </w:rPr>
        <w:tab/>
      </w:r>
      <w:r>
        <w:rPr>
          <w:rFonts w:hint="eastAsia" w:ascii="宋体"/>
          <w:sz w:val="28"/>
          <w:szCs w:val="28"/>
          <w:lang w:val="en-US" w:eastAsia="zh-CN"/>
        </w:rPr>
        <w:t>14</w:t>
      </w:r>
    </w:p>
    <w:p>
      <w:pPr>
        <w:pStyle w:val="9"/>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（一）“三公”经费财政拨款支出决算总体情况说明</w:t>
      </w:r>
      <w:r>
        <w:rPr>
          <w:rFonts w:ascii="宋体"/>
          <w:sz w:val="28"/>
          <w:szCs w:val="28"/>
        </w:rPr>
        <w:tab/>
      </w:r>
      <w:r>
        <w:rPr>
          <w:rFonts w:hint="eastAsia" w:ascii="宋体"/>
          <w:sz w:val="28"/>
          <w:szCs w:val="28"/>
          <w:lang w:val="en-US" w:eastAsia="zh-CN"/>
        </w:rPr>
        <w:t>14</w:t>
      </w:r>
    </w:p>
    <w:p>
      <w:pPr>
        <w:pStyle w:val="9"/>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（二）“三公”经费财政拨款支出决算具体情况说明</w:t>
      </w:r>
      <w:r>
        <w:rPr>
          <w:rFonts w:ascii="宋体"/>
          <w:caps w:val="0"/>
          <w:smallCaps/>
          <w:sz w:val="28"/>
          <w:szCs w:val="28"/>
        </w:rPr>
        <w:tab/>
      </w:r>
      <w:r>
        <w:rPr>
          <w:rFonts w:hint="eastAsia" w:ascii="宋体"/>
          <w:sz w:val="28"/>
          <w:szCs w:val="28"/>
          <w:lang w:val="en-US" w:eastAsia="zh-CN"/>
        </w:rPr>
        <w:t>15</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八、政府性基金预算支出决算情况说明</w:t>
      </w:r>
      <w:r>
        <w:rPr>
          <w:rFonts w:ascii="宋体"/>
          <w:sz w:val="28"/>
          <w:szCs w:val="28"/>
        </w:rPr>
        <w:tab/>
      </w:r>
      <w:r>
        <w:rPr>
          <w:rFonts w:hint="eastAsia" w:ascii="宋体"/>
          <w:sz w:val="28"/>
          <w:szCs w:val="28"/>
          <w:lang w:val="en-US" w:eastAsia="zh-CN"/>
        </w:rPr>
        <w:t>16</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九、国有资本经营预算支出决算情况说明</w:t>
      </w:r>
      <w:r>
        <w:rPr>
          <w:rFonts w:ascii="宋体"/>
          <w:sz w:val="28"/>
          <w:szCs w:val="28"/>
        </w:rPr>
        <w:tab/>
      </w:r>
      <w:r>
        <w:rPr>
          <w:rFonts w:hint="eastAsia" w:ascii="宋体"/>
          <w:sz w:val="28"/>
          <w:szCs w:val="28"/>
          <w:lang w:val="en-US" w:eastAsia="zh-CN"/>
        </w:rPr>
        <w:t>16</w:t>
      </w:r>
    </w:p>
    <w:p>
      <w:pPr>
        <w:pStyle w:val="13"/>
        <w:spacing w:line="560" w:lineRule="exact"/>
        <w:ind w:left="0" w:leftChars="0" w:firstLine="840" w:firstLineChars="300"/>
        <w:rPr>
          <w:rFonts w:ascii="宋体" w:eastAsia="宋体"/>
          <w:sz w:val="28"/>
          <w:szCs w:val="28"/>
          <w:lang w:val="en-US" w:eastAsia="zh-CN"/>
        </w:rPr>
      </w:pPr>
      <w:r>
        <w:rPr>
          <w:rFonts w:hint="eastAsia" w:ascii="宋体"/>
          <w:sz w:val="28"/>
          <w:szCs w:val="28"/>
        </w:rPr>
        <w:t>十、其他重要事项的情况说明</w:t>
      </w:r>
      <w:r>
        <w:rPr>
          <w:rFonts w:ascii="宋体"/>
          <w:sz w:val="28"/>
          <w:szCs w:val="28"/>
        </w:rPr>
        <w:tab/>
      </w:r>
      <w:r>
        <w:rPr>
          <w:rFonts w:hint="eastAsia" w:ascii="宋体"/>
          <w:sz w:val="28"/>
          <w:szCs w:val="28"/>
          <w:lang w:val="en-US" w:eastAsia="zh-CN"/>
        </w:rPr>
        <w:t>16</w:t>
      </w:r>
    </w:p>
    <w:p>
      <w:pPr>
        <w:pStyle w:val="9"/>
        <w:spacing w:line="560" w:lineRule="exact"/>
        <w:ind w:left="0" w:leftChars="0" w:firstLine="840" w:firstLineChars="300"/>
        <w:rPr>
          <w:rFonts w:ascii="宋体" w:eastAsia="宋体"/>
          <w:i/>
          <w:iCs/>
          <w:caps w:val="0"/>
          <w:smallCaps/>
          <w:sz w:val="28"/>
          <w:szCs w:val="28"/>
          <w:lang w:val="en-US" w:eastAsia="zh-CN"/>
        </w:rPr>
      </w:pPr>
      <w:r>
        <w:rPr>
          <w:rFonts w:hint="eastAsia" w:ascii="宋体"/>
          <w:caps w:val="0"/>
          <w:smallCaps/>
          <w:sz w:val="28"/>
          <w:szCs w:val="28"/>
        </w:rPr>
        <w:t>（一）机关运行经费支出情况</w:t>
      </w:r>
      <w:r>
        <w:rPr>
          <w:rFonts w:ascii="宋体"/>
          <w:caps w:val="0"/>
          <w:smallCaps/>
          <w:sz w:val="28"/>
          <w:szCs w:val="28"/>
        </w:rPr>
        <w:tab/>
      </w:r>
      <w:r>
        <w:rPr>
          <w:rFonts w:hint="eastAsia" w:ascii="宋体"/>
          <w:sz w:val="28"/>
          <w:szCs w:val="28"/>
          <w:lang w:val="en-US" w:eastAsia="zh-CN"/>
        </w:rPr>
        <w:t>16</w:t>
      </w:r>
    </w:p>
    <w:p>
      <w:pPr>
        <w:pStyle w:val="9"/>
        <w:spacing w:line="560" w:lineRule="exact"/>
        <w:rPr>
          <w:rFonts w:ascii="宋体" w:eastAsia="宋体"/>
          <w:i/>
          <w:iCs/>
          <w:caps w:val="0"/>
          <w:smallCaps/>
          <w:sz w:val="28"/>
          <w:szCs w:val="28"/>
          <w:lang w:val="en-US" w:eastAsia="zh-CN"/>
        </w:rPr>
      </w:pPr>
      <w:r>
        <w:rPr>
          <w:rFonts w:hint="eastAsia" w:ascii="宋体"/>
          <w:caps w:val="0"/>
          <w:smallCaps/>
          <w:sz w:val="28"/>
          <w:szCs w:val="28"/>
        </w:rPr>
        <w:t>（二）政府采购支出情况</w:t>
      </w:r>
      <w:r>
        <w:rPr>
          <w:rFonts w:ascii="宋体"/>
          <w:caps w:val="0"/>
          <w:smallCaps/>
          <w:sz w:val="28"/>
          <w:szCs w:val="28"/>
        </w:rPr>
        <w:tab/>
      </w:r>
      <w:r>
        <w:rPr>
          <w:rFonts w:hint="eastAsia" w:ascii="宋体"/>
          <w:sz w:val="28"/>
          <w:szCs w:val="28"/>
          <w:lang w:val="en-US" w:eastAsia="zh-CN"/>
        </w:rPr>
        <w:t>16</w:t>
      </w:r>
    </w:p>
    <w:p>
      <w:pPr>
        <w:pStyle w:val="9"/>
        <w:spacing w:line="560" w:lineRule="exact"/>
        <w:rPr>
          <w:rFonts w:ascii="宋体" w:eastAsia="宋体"/>
          <w:sz w:val="28"/>
          <w:szCs w:val="28"/>
          <w:lang w:val="en-US" w:eastAsia="zh-CN"/>
        </w:rPr>
      </w:pPr>
      <w:r>
        <w:rPr>
          <w:rFonts w:hint="eastAsia" w:ascii="宋体"/>
          <w:caps w:val="0"/>
          <w:smallCaps/>
          <w:sz w:val="28"/>
          <w:szCs w:val="28"/>
        </w:rPr>
        <w:t>（三）国有资产占有使用情况</w:t>
      </w:r>
      <w:r>
        <w:rPr>
          <w:rFonts w:ascii="宋体"/>
          <w:caps w:val="0"/>
          <w:smallCaps/>
          <w:sz w:val="28"/>
          <w:szCs w:val="28"/>
        </w:rPr>
        <w:tab/>
      </w:r>
      <w:r>
        <w:rPr>
          <w:rFonts w:hint="eastAsia" w:ascii="宋体"/>
          <w:sz w:val="28"/>
          <w:szCs w:val="28"/>
          <w:lang w:val="en-US" w:eastAsia="zh-CN"/>
        </w:rPr>
        <w:t>16</w:t>
      </w:r>
    </w:p>
    <w:p>
      <w:pPr>
        <w:pStyle w:val="9"/>
        <w:spacing w:line="560" w:lineRule="exact"/>
        <w:rPr>
          <w:rFonts w:ascii="宋体"/>
          <w:i/>
          <w:iCs/>
          <w:caps w:val="0"/>
          <w:smallCaps/>
          <w:sz w:val="28"/>
          <w:szCs w:val="28"/>
        </w:rPr>
      </w:pPr>
      <w:r>
        <w:rPr>
          <w:rFonts w:hint="eastAsia" w:ascii="宋体"/>
          <w:caps w:val="0"/>
          <w:smallCaps/>
          <w:sz w:val="28"/>
          <w:szCs w:val="28"/>
        </w:rPr>
        <w:t>（四）预算绩效管理情况</w:t>
      </w:r>
      <w:r>
        <w:rPr>
          <w:rFonts w:ascii="宋体"/>
          <w:caps w:val="0"/>
          <w:smallCaps/>
          <w:sz w:val="28"/>
          <w:szCs w:val="28"/>
        </w:rPr>
        <w:tab/>
      </w:r>
      <w:r>
        <w:rPr>
          <w:rFonts w:hint="eastAsia" w:ascii="宋体"/>
          <w:sz w:val="28"/>
          <w:szCs w:val="28"/>
        </w:rPr>
        <w:t>16</w:t>
      </w:r>
    </w:p>
    <w:p>
      <w:pPr>
        <w:pStyle w:val="12"/>
        <w:spacing w:line="560" w:lineRule="exact"/>
        <w:jc w:val="both"/>
        <w:rPr>
          <w:rFonts w:ascii="宋体" w:eastAsia="宋体"/>
          <w:caps w:val="0"/>
          <w:smallCaps/>
          <w:lang w:val="en-US" w:eastAsia="zh-CN"/>
        </w:rPr>
      </w:pPr>
      <w:r>
        <w:rPr>
          <w:rFonts w:hint="eastAsia" w:ascii="宋体"/>
          <w:caps w:val="0"/>
          <w:smallCaps/>
        </w:rPr>
        <w:t>第三部分</w:t>
      </w:r>
      <w:r>
        <w:rPr>
          <w:rFonts w:ascii="宋体"/>
          <w:caps w:val="0"/>
          <w:smallCaps/>
        </w:rPr>
        <w:t xml:space="preserve"> </w:t>
      </w:r>
      <w:r>
        <w:rPr>
          <w:rFonts w:hint="eastAsia" w:ascii="宋体"/>
          <w:caps w:val="0"/>
          <w:smallCaps/>
        </w:rPr>
        <w:t>名词解释</w:t>
      </w:r>
      <w:r>
        <w:rPr>
          <w:rFonts w:ascii="宋体"/>
          <w:caps w:val="0"/>
          <w:smallCaps/>
        </w:rPr>
        <w:tab/>
      </w:r>
      <w:r>
        <w:rPr>
          <w:rFonts w:hint="eastAsia" w:ascii="宋体"/>
          <w:caps w:val="0"/>
          <w:smallCaps/>
          <w:lang w:val="en-US" w:eastAsia="zh-CN"/>
        </w:rPr>
        <w:t>19</w:t>
      </w:r>
    </w:p>
    <w:p>
      <w:pPr>
        <w:pStyle w:val="12"/>
        <w:spacing w:line="560" w:lineRule="exact"/>
        <w:jc w:val="both"/>
        <w:rPr>
          <w:rFonts w:hint="eastAsia" w:ascii="宋体" w:eastAsia="宋体"/>
          <w:caps w:val="0"/>
          <w:smallCaps/>
          <w:lang w:eastAsia="zh-CN"/>
        </w:rPr>
      </w:pPr>
      <w:r>
        <w:rPr>
          <w:rFonts w:hint="eastAsia" w:ascii="宋体"/>
          <w:caps w:val="0"/>
          <w:smallCaps/>
        </w:rPr>
        <w:t>第四部分</w:t>
      </w:r>
      <w:r>
        <w:rPr>
          <w:rFonts w:ascii="宋体"/>
          <w:caps w:val="0"/>
          <w:smallCaps/>
        </w:rPr>
        <w:t xml:space="preserve"> </w:t>
      </w:r>
      <w:r>
        <w:rPr>
          <w:rFonts w:hint="eastAsia" w:ascii="宋体"/>
          <w:caps w:val="0"/>
          <w:smallCaps/>
        </w:rPr>
        <w:t>附件</w:t>
      </w:r>
      <w:r>
        <w:rPr>
          <w:rFonts w:ascii="宋体"/>
          <w:caps w:val="0"/>
          <w:smallCaps/>
        </w:rPr>
        <w:tab/>
      </w:r>
      <w:r>
        <w:rPr>
          <w:rFonts w:hint="eastAsia" w:ascii="宋体"/>
          <w:caps w:val="0"/>
          <w:smallCaps/>
        </w:rPr>
        <w:t>2</w:t>
      </w:r>
      <w:r>
        <w:rPr>
          <w:rFonts w:hint="eastAsia" w:ascii="宋体"/>
          <w:caps w:val="0"/>
          <w:smallCaps/>
          <w:lang w:val="en-US" w:eastAsia="zh-CN"/>
        </w:rPr>
        <w:t>3</w:t>
      </w:r>
    </w:p>
    <w:p>
      <w:pPr>
        <w:pStyle w:val="13"/>
        <w:spacing w:line="560" w:lineRule="exact"/>
        <w:ind w:left="0" w:leftChars="0" w:firstLine="560" w:firstLineChars="200"/>
        <w:rPr>
          <w:rFonts w:hint="eastAsia" w:ascii="宋体"/>
          <w:sz w:val="28"/>
          <w:szCs w:val="28"/>
          <w:lang w:val="en-US" w:eastAsia="zh-CN"/>
        </w:rPr>
      </w:pPr>
      <w:r>
        <w:rPr>
          <w:rFonts w:hint="eastAsia" w:ascii="宋体"/>
          <w:sz w:val="28"/>
          <w:szCs w:val="28"/>
          <w:lang w:val="en-US" w:eastAsia="zh-CN"/>
        </w:rPr>
        <w:t>2022年部门整体绩效评价报告</w:t>
      </w:r>
      <w:r>
        <w:rPr>
          <w:rFonts w:hint="eastAsia" w:ascii="宋体"/>
          <w:sz w:val="28"/>
          <w:szCs w:val="28"/>
        </w:rPr>
        <w:tab/>
      </w:r>
      <w:r>
        <w:rPr>
          <w:rFonts w:hint="eastAsia" w:ascii="宋体"/>
          <w:sz w:val="28"/>
          <w:szCs w:val="28"/>
          <w:lang w:val="en-US" w:eastAsia="zh-CN"/>
        </w:rPr>
        <w:t>...........................23</w:t>
      </w:r>
      <w:r>
        <w:rPr>
          <w:rFonts w:hint="eastAsia" w:ascii="宋体"/>
          <w:sz w:val="28"/>
          <w:szCs w:val="28"/>
        </w:rPr>
        <w:tab/>
      </w:r>
    </w:p>
    <w:p>
      <w:pPr>
        <w:pStyle w:val="12"/>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eastAsia="宋体"/>
          <w:caps w:val="0"/>
          <w:smallCaps/>
          <w:lang w:eastAsia="zh-CN"/>
        </w:rPr>
      </w:pPr>
      <w:r>
        <w:rPr>
          <w:rFonts w:hint="eastAsia" w:ascii="宋体"/>
          <w:caps w:val="0"/>
          <w:smallCaps/>
        </w:rPr>
        <w:t>第五部分</w:t>
      </w:r>
      <w:r>
        <w:rPr>
          <w:rFonts w:ascii="宋体"/>
          <w:caps w:val="0"/>
          <w:smallCaps/>
        </w:rPr>
        <w:t xml:space="preserve"> </w:t>
      </w:r>
      <w:r>
        <w:rPr>
          <w:rFonts w:hint="eastAsia" w:ascii="宋体"/>
          <w:caps w:val="0"/>
          <w:smallCaps/>
        </w:rPr>
        <w:t>附表</w:t>
      </w:r>
      <w:r>
        <w:rPr>
          <w:rFonts w:ascii="宋体"/>
          <w:caps w:val="0"/>
          <w:smallCaps/>
        </w:rPr>
        <w:tab/>
      </w:r>
      <w:r>
        <w:rPr>
          <w:rFonts w:ascii="宋体"/>
          <w:caps w:val="0"/>
          <w:smallCaps/>
        </w:rPr>
        <w:t>2</w:t>
      </w:r>
      <w:r>
        <w:rPr>
          <w:rFonts w:hint="eastAsia" w:ascii="宋体"/>
          <w:caps w:val="0"/>
          <w:smallCaps/>
          <w:lang w:val="en-US" w:eastAsia="zh-CN"/>
        </w:rPr>
        <w:t>8</w:t>
      </w:r>
    </w:p>
    <w:p>
      <w:pPr>
        <w:pStyle w:val="12"/>
        <w:spacing w:line="560" w:lineRule="exact"/>
        <w:ind w:firstLine="560" w:firstLineChars="200"/>
        <w:jc w:val="both"/>
        <w:rPr>
          <w:rFonts w:hint="eastAsia" w:ascii="宋体" w:eastAsia="宋体"/>
          <w:caps w:val="0"/>
          <w:smallCaps/>
          <w:lang w:eastAsia="zh-CN"/>
        </w:rPr>
      </w:pPr>
      <w:r>
        <w:rPr>
          <w:rFonts w:hint="eastAsia" w:ascii="宋体"/>
        </w:rPr>
        <w:t>一、收入支出决算总表</w:t>
      </w:r>
      <w:r>
        <w:rPr>
          <w:rFonts w:ascii="宋体"/>
        </w:rPr>
        <w:tab/>
      </w:r>
      <w:r>
        <w:rPr>
          <w:rFonts w:ascii="宋体"/>
          <w:caps w:val="0"/>
          <w:smallCaps/>
        </w:rPr>
        <w:t>2</w:t>
      </w:r>
      <w:r>
        <w:rPr>
          <w:rFonts w:hint="eastAsia" w:ascii="宋体"/>
          <w:caps w:val="0"/>
          <w:smallCaps/>
          <w:lang w:val="en-US" w:eastAsia="zh-CN"/>
        </w:rPr>
        <w:t>8</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二、收入决算表</w:t>
      </w:r>
      <w:r>
        <w:rPr>
          <w:rFonts w:ascii="宋体"/>
          <w:sz w:val="28"/>
          <w:szCs w:val="28"/>
        </w:rPr>
        <w:tab/>
      </w:r>
      <w:r>
        <w:rPr>
          <w:rFonts w:hint="eastAsia" w:ascii="宋体"/>
          <w:sz w:val="28"/>
          <w:szCs w:val="28"/>
          <w:lang w:val="en-US" w:eastAsia="zh-CN"/>
        </w:rPr>
        <w:t>28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三、支出决算表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四、财政拨款收入支出决算总表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五、财政拨款支出决算明细表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七、一般公共预算财政拨款支出决算明细表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八、一般公共预算财政拨款基本支出决算表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九、一般公共预算财政拨款项目支出决算表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十、政府性基金预算财政拨款收入支出决算表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十一、国有资本经营预算财政拨款收入支出决算表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rPr>
          <w:rFonts w:hint="eastAsia" w:ascii="宋体" w:eastAsia="宋体"/>
          <w:sz w:val="28"/>
          <w:szCs w:val="28"/>
          <w:lang w:eastAsia="zh-CN"/>
        </w:rPr>
      </w:pPr>
      <w:r>
        <w:rPr>
          <w:rFonts w:hint="eastAsia" w:ascii="宋体"/>
          <w:sz w:val="28"/>
          <w:szCs w:val="28"/>
        </w:rPr>
        <w:t>十二、国有资本经营预算财政拨款支出决算表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rPr>
          <w:rFonts w:hint="eastAsia" w:ascii="宋体" w:eastAsia="宋体"/>
          <w:sz w:val="28"/>
          <w:szCs w:val="28"/>
          <w:lang w:eastAsia="zh-CN"/>
        </w:rPr>
      </w:pPr>
      <w:r>
        <w:rPr>
          <w:rFonts w:hint="eastAsia" w:ascii="宋体"/>
          <w:sz w:val="28"/>
          <w:szCs w:val="28"/>
        </w:rPr>
        <w:t>十三、财政拨款“三公”经费支出决算表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2"/>
        <w:spacing w:line="560" w:lineRule="exact"/>
        <w:rPr>
          <w:rFonts w:hint="eastAsia" w:ascii="宋体"/>
          <w:caps w:val="0"/>
          <w:smallCaps/>
          <w:lang w:eastAsia="zh-CN"/>
        </w:rPr>
      </w:pPr>
    </w:p>
    <w:p>
      <w:pPr>
        <w:pStyle w:val="12"/>
        <w:spacing w:line="560" w:lineRule="exact"/>
        <w:rPr>
          <w:rFonts w:hint="eastAsia" w:ascii="宋体"/>
          <w:caps w:val="0"/>
          <w:smallCaps/>
          <w:lang w:eastAsia="zh-CN"/>
        </w:rPr>
      </w:pPr>
    </w:p>
    <w:p>
      <w:pPr>
        <w:rPr>
          <w:rFonts w:hint="eastAsia" w:ascii="宋体"/>
          <w:caps w:val="0"/>
          <w:smallCaps/>
          <w:lang w:eastAsia="zh-CN"/>
        </w:rPr>
      </w:pPr>
    </w:p>
    <w:p>
      <w:pPr>
        <w:pStyle w:val="2"/>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3"/>
        <w:rPr>
          <w:rFonts w:hint="eastAsia" w:ascii="宋体"/>
          <w:caps w:val="0"/>
          <w:smallCaps/>
          <w:lang w:eastAsia="zh-CN"/>
        </w:rPr>
      </w:pPr>
    </w:p>
    <w:p>
      <w:pPr>
        <w:pStyle w:val="12"/>
        <w:spacing w:line="560" w:lineRule="exact"/>
        <w:jc w:val="both"/>
        <w:rPr>
          <w:rFonts w:hint="eastAsia" w:ascii="宋体"/>
          <w:caps w:val="0"/>
          <w:smallCaps/>
          <w:lang w:eastAsia="zh-CN"/>
        </w:rPr>
      </w:pPr>
    </w:p>
    <w:p>
      <w:pPr>
        <w:adjustRightInd w:val="0"/>
        <w:snapToGrid w:val="0"/>
        <w:spacing w:line="560" w:lineRule="exact"/>
        <w:jc w:val="center"/>
        <w:outlineLvl w:val="0"/>
        <w:rPr>
          <w:rStyle w:val="19"/>
          <w:rFonts w:ascii="方正小标宋简体" w:eastAsia="方正小标宋简体" w:cs="方正小标宋简体"/>
          <w:b w:val="0"/>
          <w:bCs w:val="0"/>
        </w:rPr>
      </w:pPr>
      <w:r>
        <w:rPr>
          <w:rStyle w:val="19"/>
          <w:rFonts w:hint="eastAsia" w:ascii="方正小标宋简体" w:eastAsia="方正小标宋简体" w:cs="方正小标宋简体"/>
          <w:b w:val="0"/>
          <w:bCs w:val="0"/>
        </w:rPr>
        <w:t xml:space="preserve">第一部分  </w:t>
      </w:r>
      <w:r>
        <w:rPr>
          <w:rStyle w:val="19"/>
          <w:rFonts w:hint="eastAsia" w:ascii="方正小标宋简体" w:eastAsia="方正小标宋简体" w:cs="方正小标宋简体"/>
          <w:b w:val="0"/>
          <w:bCs w:val="0"/>
          <w:lang w:eastAsia="zh-CN"/>
        </w:rPr>
        <w:t>部门</w:t>
      </w:r>
      <w:r>
        <w:rPr>
          <w:rStyle w:val="19"/>
          <w:rFonts w:hint="eastAsia" w:ascii="方正小标宋简体" w:eastAsia="方正小标宋简体" w:cs="方正小标宋简体"/>
          <w:b w:val="0"/>
          <w:bCs w:val="0"/>
        </w:rPr>
        <w:t>概况</w:t>
      </w:r>
    </w:p>
    <w:p>
      <w:pPr>
        <w:rPr>
          <w:rFonts w:hint="eastAsia"/>
          <w:lang w:eastAsia="zh-CN"/>
        </w:rPr>
      </w:pPr>
    </w:p>
    <w:p>
      <w:pPr>
        <w:pStyle w:val="12"/>
        <w:spacing w:line="560" w:lineRule="exact"/>
        <w:rPr>
          <w:rFonts w:ascii="宋体" w:cs="Times New Roman"/>
        </w:rPr>
      </w:pPr>
      <w:r>
        <w:rPr>
          <w:rFonts w:ascii="宋体"/>
          <w:caps w:val="0"/>
          <w:smallCaps/>
        </w:rPr>
        <w:fldChar w:fldCharType="end"/>
      </w:r>
    </w:p>
    <w:p>
      <w:pPr>
        <w:widowControl/>
        <w:spacing w:line="560" w:lineRule="exact"/>
        <w:jc w:val="left"/>
        <w:rPr>
          <w:rStyle w:val="20"/>
          <w:rFonts w:ascii="黑体" w:eastAsia="黑体" w:cs="Times New Roman"/>
          <w:b w:val="0"/>
          <w:bCs w:val="0"/>
        </w:rPr>
      </w:pPr>
      <w:r>
        <w:rPr>
          <w:rFonts w:ascii="宋体" w:cs="黑体"/>
          <w:color w:val="000000"/>
          <w:sz w:val="28"/>
          <w:szCs w:val="28"/>
        </w:rPr>
        <w:fldChar w:fldCharType="end"/>
      </w:r>
      <w:bookmarkStart w:id="12" w:name="_Toc15377198"/>
      <w:bookmarkStart w:id="13" w:name="_Toc15378445"/>
      <w:r>
        <w:rPr>
          <w:rFonts w:hint="eastAsia" w:ascii="宋体" w:cs="黑体"/>
          <w:color w:val="000000"/>
          <w:sz w:val="28"/>
          <w:szCs w:val="28"/>
          <w:lang w:val="en-US" w:eastAsia="zh-CN"/>
        </w:rPr>
        <w:t xml:space="preserve">  </w:t>
      </w:r>
      <w:r>
        <w:rPr>
          <w:rStyle w:val="20"/>
          <w:rFonts w:hint="eastAsia" w:ascii="黑体" w:eastAsia="黑体" w:cs="黑体"/>
          <w:b w:val="0"/>
          <w:bCs w:val="0"/>
          <w:lang w:eastAsia="zh-CN"/>
        </w:rPr>
        <w:t>一、</w:t>
      </w:r>
      <w:r>
        <w:rPr>
          <w:rStyle w:val="20"/>
          <w:rFonts w:hint="eastAsia" w:ascii="黑体" w:eastAsia="黑体" w:cs="黑体"/>
          <w:b w:val="0"/>
          <w:bCs w:val="0"/>
        </w:rPr>
        <w:t>主要</w:t>
      </w:r>
      <w:r>
        <w:rPr>
          <w:rStyle w:val="20"/>
          <w:rFonts w:hint="eastAsia" w:ascii="黑体" w:eastAsia="黑体" w:cs="黑体"/>
          <w:b w:val="0"/>
          <w:bCs w:val="0"/>
          <w:lang w:eastAsia="zh-CN"/>
        </w:rPr>
        <w:t>职能及主要工作</w:t>
      </w:r>
    </w:p>
    <w:p>
      <w:pPr>
        <w:numPr>
          <w:ilvl w:val="0"/>
          <w:numId w:val="1"/>
        </w:numPr>
        <w:adjustRightInd w:val="0"/>
        <w:snapToGrid w:val="0"/>
        <w:spacing w:line="560" w:lineRule="exact"/>
        <w:ind w:left="0" w:firstLine="642" w:firstLineChars="200"/>
        <w:jc w:val="left"/>
        <w:outlineLvl w:val="0"/>
        <w:rPr>
          <w:rFonts w:ascii="仿宋_GB2312" w:eastAsia="仿宋_GB2312"/>
          <w:sz w:val="32"/>
          <w:szCs w:val="32"/>
        </w:rPr>
      </w:pPr>
      <w:r>
        <w:rPr>
          <w:rFonts w:hint="eastAsia" w:ascii="楷体" w:eastAsia="楷体" w:cs="楷体"/>
          <w:b/>
          <w:bCs/>
          <w:color w:val="000000"/>
          <w:sz w:val="32"/>
          <w:szCs w:val="32"/>
        </w:rPr>
        <w:t>主要职能</w:t>
      </w:r>
      <w:bookmarkEnd w:id="12"/>
      <w:bookmarkEnd w:id="13"/>
    </w:p>
    <w:p>
      <w:pPr>
        <w:adjustRightInd w:val="0"/>
        <w:snapToGrid w:val="0"/>
        <w:spacing w:line="560" w:lineRule="exact"/>
        <w:ind w:firstLine="640" w:firstLineChars="200"/>
        <w:jc w:val="left"/>
        <w:outlineLvl w:val="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2" w:firstLineChars="200"/>
        <w:outlineLvl w:val="1"/>
        <w:rPr>
          <w:rStyle w:val="20"/>
          <w:rFonts w:ascii="仿宋_GB2312" w:hAnsi="仿宋_GB2312" w:eastAsia="方正楷体简体" w:cs="Times New Roman"/>
          <w:b w:val="0"/>
          <w:bCs w:val="0"/>
        </w:rPr>
      </w:pPr>
      <w:bookmarkStart w:id="14" w:name="_Toc15377199"/>
      <w:bookmarkStart w:id="15" w:name="_Toc15378446"/>
      <w:r>
        <w:rPr>
          <w:rFonts w:hint="eastAsia" w:ascii="楷体" w:eastAsia="楷体" w:cs="楷体"/>
          <w:b/>
          <w:bCs/>
          <w:color w:val="000000"/>
          <w:sz w:val="32"/>
          <w:szCs w:val="32"/>
        </w:rPr>
        <w:t>（二）</w:t>
      </w:r>
      <w:r>
        <w:rPr>
          <w:rFonts w:ascii="楷体" w:eastAsia="楷体" w:cs="楷体"/>
          <w:b/>
          <w:bCs/>
          <w:color w:val="000000"/>
          <w:sz w:val="32"/>
          <w:szCs w:val="32"/>
        </w:rPr>
        <w:t>202</w:t>
      </w:r>
      <w:r>
        <w:rPr>
          <w:rFonts w:hint="eastAsia" w:ascii="楷体" w:eastAsia="楷体" w:cs="楷体"/>
          <w:b/>
          <w:bCs/>
          <w:color w:val="000000"/>
          <w:sz w:val="32"/>
          <w:szCs w:val="32"/>
        </w:rPr>
        <w:t>2年重点工作完成情况</w:t>
      </w:r>
      <w:bookmarkEnd w:id="14"/>
      <w:bookmarkEnd w:id="15"/>
    </w:p>
    <w:p>
      <w:pPr>
        <w:spacing w:line="576" w:lineRule="exact"/>
        <w:ind w:firstLine="642" w:firstLineChars="200"/>
        <w:jc w:val="left"/>
        <w:rPr>
          <w:rFonts w:eastAsia="仿宋_GB2312"/>
          <w:sz w:val="32"/>
          <w:szCs w:val="32"/>
        </w:rPr>
      </w:pPr>
      <w:bookmarkStart w:id="16" w:name="_Toc15396601"/>
      <w:bookmarkStart w:id="17" w:name="_Toc15377200"/>
      <w:r>
        <w:rPr>
          <w:rFonts w:hint="eastAsia" w:eastAsia="楷体_GB2312"/>
          <w:b/>
          <w:bCs/>
          <w:sz w:val="32"/>
          <w:szCs w:val="32"/>
          <w:lang w:val="en-US" w:eastAsia="zh-CN"/>
        </w:rPr>
        <w:t>1.</w:t>
      </w:r>
      <w:r>
        <w:rPr>
          <w:rFonts w:eastAsia="楷体_GB2312"/>
          <w:b/>
          <w:bCs/>
          <w:sz w:val="32"/>
          <w:szCs w:val="32"/>
        </w:rPr>
        <w:t>坚持党校姓党，提高政治站位。</w:t>
      </w:r>
      <w:r>
        <w:rPr>
          <w:rFonts w:eastAsia="仿宋_GB2312"/>
          <w:b/>
          <w:bCs/>
          <w:sz w:val="32"/>
          <w:szCs w:val="32"/>
        </w:rPr>
        <w:t>一</w:t>
      </w:r>
      <w:r>
        <w:rPr>
          <w:rFonts w:eastAsia="仿宋_GB2312"/>
          <w:b w:val="0"/>
          <w:bCs w:val="0"/>
          <w:sz w:val="32"/>
          <w:szCs w:val="32"/>
        </w:rPr>
        <w:t>是认真抓好理论学习。</w:t>
      </w:r>
      <w:r>
        <w:rPr>
          <w:rFonts w:eastAsia="仿宋_GB2312"/>
          <w:sz w:val="32"/>
          <w:szCs w:val="32"/>
        </w:rPr>
        <w:t>第一时间专题学习党的十九届六中全会精神、习近平总书记来川视察重要讲话精神、省</w:t>
      </w:r>
      <w:r>
        <w:rPr>
          <w:rFonts w:hint="eastAsia" w:eastAsia="仿宋_GB2312"/>
          <w:sz w:val="32"/>
          <w:szCs w:val="32"/>
          <w:lang w:eastAsia="zh-CN"/>
        </w:rPr>
        <w:t>第</w:t>
      </w:r>
      <w:r>
        <w:rPr>
          <w:rFonts w:eastAsia="仿宋_GB2312"/>
          <w:sz w:val="32"/>
          <w:szCs w:val="32"/>
        </w:rPr>
        <w:t>十二次党代会精神以及党的二十大精神。学原著、读原文、悟原理，准确理解和把握习近平新时代中国特色社会主义思想</w:t>
      </w:r>
      <w:r>
        <w:rPr>
          <w:rFonts w:hint="eastAsia" w:eastAsia="仿宋_GB2312"/>
          <w:sz w:val="32"/>
          <w:szCs w:val="32"/>
        </w:rPr>
        <w:t>的</w:t>
      </w:r>
      <w:r>
        <w:rPr>
          <w:rFonts w:eastAsia="仿宋_GB2312"/>
          <w:sz w:val="32"/>
          <w:szCs w:val="32"/>
        </w:rPr>
        <w:t>基本内容、精神实质。引导全体教职工牢固树立“四个意识”，坚定“四个自信”，做到“两个维护”，不断提高政治站位，自觉在思想上政治上行动上同以习近平同志为核心的党中央保持高度一致。</w:t>
      </w:r>
      <w:r>
        <w:rPr>
          <w:rFonts w:eastAsia="仿宋_GB2312"/>
          <w:b w:val="0"/>
          <w:bCs w:val="0"/>
          <w:sz w:val="32"/>
          <w:szCs w:val="32"/>
        </w:rPr>
        <w:t>二是落实意识形态责任制</w:t>
      </w:r>
      <w:r>
        <w:rPr>
          <w:rFonts w:eastAsia="仿宋_GB2312"/>
          <w:b/>
          <w:bCs/>
          <w:sz w:val="32"/>
          <w:szCs w:val="32"/>
        </w:rPr>
        <w:t>。</w:t>
      </w:r>
      <w:r>
        <w:rPr>
          <w:rFonts w:eastAsia="仿宋_GB2312"/>
          <w:sz w:val="32"/>
          <w:szCs w:val="32"/>
        </w:rPr>
        <w:t>严格按照实施细则部署贯彻落实党校意识形态工作责任制。落实常务副校长是第一责任人，全面负责我校的意识形态工作。班子其他成员根据工作分工，按照“一岗双责”要求，主抓分管股室的意识形态工作，对职责范围内的意识形态工作负领导责任。班子成员分工明确，定期召开会议分析研判意识形态领域情况，辨析思想文化领域突出问题，分清主流支流，对重大事件、重要情况、重要社情民意中的苗头倾向性的问题，有针对性地进行引导。</w:t>
      </w:r>
      <w:r>
        <w:rPr>
          <w:rFonts w:eastAsia="仿宋_GB2312"/>
          <w:b w:val="0"/>
          <w:bCs/>
          <w:sz w:val="32"/>
          <w:szCs w:val="32"/>
        </w:rPr>
        <w:t>三是加强阵地管理。通</w:t>
      </w:r>
      <w:r>
        <w:rPr>
          <w:rFonts w:eastAsia="仿宋_GB2312"/>
          <w:sz w:val="32"/>
          <w:szCs w:val="32"/>
        </w:rPr>
        <w:t>过建章立制，党校加强对党校课堂、科研、宣传三个阵地的管理。经常性开展教研专题备课会活动。对老师的课件、课堂讲授内容、舆情处置等严格把关，确保党校课堂讲纪律，无“杂音”。引导党员干部学而思、学而信、学而行，进一步统一思想、明确方向、凝聚力量。</w:t>
      </w:r>
    </w:p>
    <w:p>
      <w:pPr>
        <w:spacing w:line="576" w:lineRule="exact"/>
        <w:ind w:firstLine="642" w:firstLineChars="200"/>
        <w:jc w:val="left"/>
        <w:rPr>
          <w:rFonts w:eastAsia="仿宋_GB2312"/>
          <w:sz w:val="32"/>
          <w:szCs w:val="32"/>
        </w:rPr>
      </w:pPr>
      <w:r>
        <w:rPr>
          <w:rFonts w:hint="eastAsia" w:eastAsia="楷体_GB2312"/>
          <w:b/>
          <w:bCs/>
          <w:sz w:val="32"/>
          <w:szCs w:val="32"/>
          <w:lang w:val="en-US" w:eastAsia="zh-CN"/>
        </w:rPr>
        <w:t>2.</w:t>
      </w:r>
      <w:r>
        <w:rPr>
          <w:rFonts w:eastAsia="楷体_GB2312"/>
          <w:b/>
          <w:bCs/>
          <w:sz w:val="32"/>
          <w:szCs w:val="32"/>
        </w:rPr>
        <w:t>突出主业主课，提高办学水平。</w:t>
      </w:r>
      <w:r>
        <w:rPr>
          <w:rFonts w:eastAsia="仿宋_GB2312"/>
          <w:b w:val="0"/>
          <w:bCs w:val="0"/>
          <w:sz w:val="32"/>
          <w:szCs w:val="32"/>
        </w:rPr>
        <w:t>一是扎实完成干部培训工作</w:t>
      </w:r>
      <w:r>
        <w:rPr>
          <w:rFonts w:eastAsia="仿宋_GB2312"/>
          <w:b/>
          <w:bCs/>
          <w:sz w:val="32"/>
          <w:szCs w:val="32"/>
        </w:rPr>
        <w:t>。</w:t>
      </w:r>
      <w:r>
        <w:rPr>
          <w:rFonts w:eastAsia="仿宋_GB2312"/>
          <w:sz w:val="32"/>
          <w:szCs w:val="32"/>
        </w:rPr>
        <w:t>按照《办学规范》，根据培训计划举办各类培训班。在课程设置上，把习近平新时代中国特色社会主义思想作为中心内容和首要任务，突出理论教育和党性教育。为提升教学效果，创新培训方式方法，采取“1+N”运行模式，在全县打造1个教学基地（茂县坪头乡村振兴培训中心），4个现场教学点（中国羌城、中国羌族博物馆、叠溪新磨新村、南新镇“两山”理论），形成了以县委党校为主体、教学基地为补充、现场教学点为延伸的多层次、多渠道、立体式、宽领域、全方位的干部教育培训工作格局。在此基础上，今年加强与邻县党校之间的交流，与黑水党校、松潘党校密切合作，有效地整合利用红色教育资源和党性教育资源，实现资源共享，优势互补，共同发展。今年以来，共举办主体班12期，培训党员干部988人次；其它培训班6期，培训学员616人次；州委组织部委托培训2期，培训学员200人次；承接长征干部学院培训班的现场教学11期，培训学员448人次。</w:t>
      </w:r>
      <w:r>
        <w:rPr>
          <w:rFonts w:eastAsia="仿宋_GB2312"/>
          <w:b w:val="0"/>
          <w:bCs w:val="0"/>
          <w:sz w:val="32"/>
          <w:szCs w:val="32"/>
        </w:rPr>
        <w:t>二是出色完成宣讲任务。</w:t>
      </w:r>
      <w:r>
        <w:rPr>
          <w:rFonts w:eastAsia="仿宋_GB2312"/>
          <w:sz w:val="32"/>
          <w:szCs w:val="32"/>
        </w:rPr>
        <w:t>以基层理论宣讲志愿服务活动为载体，积极开展党课进机关、进学校、进企业、进社区、进农村的“五进”活动，截至目前，党课“五进”30场次，受众1560余人。</w:t>
      </w:r>
      <w:r>
        <w:rPr>
          <w:rFonts w:eastAsia="仿宋_GB2312"/>
          <w:b w:val="0"/>
          <w:bCs w:val="0"/>
          <w:sz w:val="32"/>
          <w:szCs w:val="32"/>
        </w:rPr>
        <w:t>三是与部门合作完成课题调研任务。</w:t>
      </w:r>
      <w:r>
        <w:rPr>
          <w:rFonts w:eastAsia="仿宋_GB2312"/>
          <w:sz w:val="32"/>
          <w:szCs w:val="32"/>
        </w:rPr>
        <w:t>为了落实县委第十三次党代会目标任务，推进“六个茂县”建设，县委党校紧密围绕县委中心工作，聚焦当前发展中的热点难点问题，以求真务实的态度，主动与部门合作开展课题调研。省级课题《红军长征在茂县》长征精神数据库建设工作项目已结项；《关于茂县基层治理的实证研究》《做好两项改革后半篇文章，健全完善应急体系》《茂县使用红色资源开展思政教育探析》课题完成结项申报工作；与县政协合作的《关于农村生活垃圾和污水处理的考察报告》《关于茂县餐炊具集中消毒企业管理的调研报告》，与县卫生健康局、县疾控中心合作的《关于茂县疾病预防控制体系建设情况的调研报告》形成咨政稿，为县委、县政府提供决策参考。</w:t>
      </w:r>
      <w:r>
        <w:rPr>
          <w:rFonts w:hint="eastAsia" w:eastAsia="仿宋_GB2312"/>
          <w:sz w:val="32"/>
          <w:szCs w:val="32"/>
        </w:rPr>
        <w:t xml:space="preserve"> </w:t>
      </w:r>
      <w:r>
        <w:rPr>
          <w:rFonts w:eastAsia="仿宋_GB2312"/>
          <w:b w:val="0"/>
          <w:bCs w:val="0"/>
          <w:sz w:val="32"/>
          <w:szCs w:val="32"/>
        </w:rPr>
        <w:t>四是持续做好学历教育任务。</w:t>
      </w:r>
      <w:r>
        <w:rPr>
          <w:rFonts w:eastAsia="仿宋_GB2312"/>
          <w:sz w:val="32"/>
          <w:szCs w:val="32"/>
        </w:rPr>
        <w:t>借助阿坝开放大学平台，持续推动干部能力素质和学历“双提升”工作。今年对茂县55名村（社区）干部进行能力素质和学历“双提升”培训，全面提升村社区干部的政治素养和工作能力。</w:t>
      </w:r>
    </w:p>
    <w:p>
      <w:pPr>
        <w:pStyle w:val="2"/>
        <w:spacing w:before="0" w:beforeAutospacing="0" w:after="0" w:afterAutospacing="0" w:line="576" w:lineRule="exact"/>
        <w:ind w:firstLine="642" w:firstLineChars="200"/>
        <w:rPr>
          <w:rFonts w:ascii="Times New Roman" w:hAnsi="Times New Roman" w:eastAsia="仿宋_GB2312"/>
          <w:sz w:val="32"/>
          <w:szCs w:val="32"/>
        </w:rPr>
      </w:pPr>
      <w:r>
        <w:rPr>
          <w:rFonts w:hint="eastAsia" w:ascii="Times New Roman" w:hAnsi="Times New Roman" w:eastAsia="楷体_GB2312"/>
          <w:b/>
          <w:bCs/>
          <w:sz w:val="32"/>
          <w:szCs w:val="32"/>
          <w:lang w:val="en-US" w:eastAsia="zh-CN"/>
        </w:rPr>
        <w:t>3.</w:t>
      </w:r>
      <w:r>
        <w:rPr>
          <w:rFonts w:ascii="Times New Roman" w:hAnsi="Times New Roman" w:eastAsia="楷体_GB2312"/>
          <w:b/>
          <w:bCs/>
          <w:sz w:val="32"/>
          <w:szCs w:val="32"/>
        </w:rPr>
        <w:t>聚焦分类建设，提高办学质量。</w:t>
      </w:r>
      <w:r>
        <w:rPr>
          <w:rFonts w:ascii="Times New Roman" w:hAnsi="Times New Roman" w:eastAsia="仿宋_GB2312"/>
          <w:b w:val="0"/>
          <w:bCs w:val="0"/>
          <w:sz w:val="32"/>
          <w:szCs w:val="32"/>
        </w:rPr>
        <w:t>一是争取相关部门支持，落实共建任务。</w:t>
      </w:r>
      <w:r>
        <w:rPr>
          <w:rFonts w:ascii="Times New Roman" w:hAnsi="Times New Roman" w:eastAsia="仿宋_GB2312"/>
          <w:sz w:val="32"/>
          <w:szCs w:val="32"/>
        </w:rPr>
        <w:t>对照《县级党校办学质量评估指标体系评分细则》和《茂县县级党校分类建设工作责任清单》，会同县委办、政府办、县委组织部等相关部门齐心协力、各司其职、各负其责，落实共建责任。</w:t>
      </w:r>
      <w:r>
        <w:rPr>
          <w:rFonts w:ascii="Times New Roman" w:hAnsi="Times New Roman" w:eastAsia="仿宋_GB2312"/>
          <w:b w:val="0"/>
          <w:bCs w:val="0"/>
          <w:sz w:val="32"/>
          <w:szCs w:val="32"/>
        </w:rPr>
        <w:t>二是实施人才兴校，注重队伍建设。</w:t>
      </w:r>
      <w:r>
        <w:rPr>
          <w:rFonts w:ascii="Times New Roman" w:hAnsi="Times New Roman" w:eastAsia="仿宋_GB2312"/>
          <w:sz w:val="32"/>
          <w:szCs w:val="32"/>
        </w:rPr>
        <w:t>优化配置现有机构编制资源，解决了县委党校参公人员多、专职教师少的问题。调整编制后，党校事业编制8人，专职教师编制占本单位核定编制数的50%，高于县级党校在岗专职教师占本单位核定编制数的规定比例。今年公开考试招聘1名，“硕博进阿坝”项目引进2名。我校人才队伍的年龄和学历结构均得到极大优化，已基本建成一支政治强、业务精、作风好的教研人才队伍。</w:t>
      </w:r>
      <w:r>
        <w:rPr>
          <w:rFonts w:ascii="Times New Roman" w:hAnsi="Times New Roman" w:eastAsia="仿宋_GB2312"/>
          <w:b w:val="0"/>
          <w:bCs w:val="0"/>
          <w:sz w:val="32"/>
          <w:szCs w:val="32"/>
        </w:rPr>
        <w:t>三是坚持从严治校，抓好校风学风。</w:t>
      </w:r>
      <w:r>
        <w:rPr>
          <w:rFonts w:ascii="Times New Roman" w:hAnsi="Times New Roman" w:eastAsia="仿宋_GB2312"/>
          <w:sz w:val="32"/>
          <w:szCs w:val="32"/>
        </w:rPr>
        <w:t>严肃党内政治生活，严格执行《关于新形势下党内政治生活的若干准则》，认真落实“三会一课”、主题党日、党员领导干部过双重组织生活、谈心谈话等制度。围绕习近平总书记关于党的作风建设重要讲话以及省州重要会议精神，引导职工及学员廉洁从政、廉洁从教、廉洁齐家、廉洁修身。同时，以案肃纪，扎实开展警示教育。根据《茂县2022年干部作风教育整顿专项行动实施方案》《茂县常态化整治“慵懒散浮拖”实施方案》，对职工开展作风教育整顿活动。积极配合县委第一巡察组对我校开展巡察，切实抓好反馈意见的整改工作。严格学员管理，加强党校与组织部、学员派出单位的协调配合，形成严格调训、严格管理、严格监督的制度和机制。</w:t>
      </w:r>
    </w:p>
    <w:p>
      <w:pPr>
        <w:spacing w:line="560" w:lineRule="exact"/>
        <w:ind w:firstLine="642" w:firstLineChars="200"/>
        <w:rPr>
          <w:rStyle w:val="20"/>
          <w:b w:val="0"/>
          <w:bCs w:val="0"/>
        </w:rPr>
      </w:pPr>
      <w:r>
        <w:rPr>
          <w:rFonts w:hint="eastAsia" w:eastAsia="楷体_GB2312"/>
          <w:b/>
          <w:bCs/>
          <w:sz w:val="32"/>
          <w:szCs w:val="32"/>
        </w:rPr>
        <w:t xml:space="preserve"> </w:t>
      </w:r>
      <w:r>
        <w:rPr>
          <w:rFonts w:hint="eastAsia" w:ascii="黑体" w:eastAsia="黑体" w:cs="黑体"/>
          <w:color w:val="000000"/>
          <w:sz w:val="32"/>
          <w:szCs w:val="32"/>
        </w:rPr>
        <w:t>二、机</w:t>
      </w:r>
      <w:r>
        <w:rPr>
          <w:rStyle w:val="20"/>
          <w:rFonts w:hint="eastAsia" w:ascii="黑体" w:eastAsia="黑体" w:cs="黑体"/>
          <w:b w:val="0"/>
          <w:bCs w:val="0"/>
        </w:rPr>
        <w:t>构设置</w:t>
      </w:r>
      <w:bookmarkEnd w:id="16"/>
      <w:bookmarkEnd w:id="17"/>
    </w:p>
    <w:p>
      <w:pPr>
        <w:spacing w:line="560"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60"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2</w:t>
      </w:r>
      <w:r>
        <w:rPr>
          <w:rFonts w:hint="eastAsia" w:ascii="仿宋_GB2312" w:eastAsia="仿宋_GB2312" w:cs="仿宋_GB2312"/>
          <w:sz w:val="32"/>
          <w:szCs w:val="32"/>
        </w:rPr>
        <w:t>个。包括：中共茂县委员会党校（本级）和中共茂县委员会党校教研室。</w:t>
      </w:r>
    </w:p>
    <w:p>
      <w:pPr>
        <w:widowControl/>
        <w:spacing w:line="560" w:lineRule="exact"/>
        <w:jc w:val="center"/>
        <w:rPr>
          <w:rStyle w:val="19"/>
          <w:rFonts w:ascii="方正小标宋简体" w:eastAsia="方正小标宋简体" w:cs="方正小标宋简体"/>
          <w:b w:val="0"/>
          <w:bCs w:val="0"/>
        </w:rPr>
      </w:pPr>
      <w:r>
        <w:rPr>
          <w:rFonts w:ascii="??" w:hAnsi="??"/>
          <w:color w:val="000000"/>
          <w:sz w:val="32"/>
          <w:szCs w:val="32"/>
        </w:rPr>
        <w:br w:type="page"/>
      </w:r>
      <w:bookmarkStart w:id="18" w:name="_Toc15396602"/>
      <w:bookmarkStart w:id="19" w:name="_Toc15377204"/>
      <w:r>
        <w:rPr>
          <w:rStyle w:val="19"/>
          <w:rFonts w:hint="eastAsia" w:ascii="方正小标宋简体" w:eastAsia="方正小标宋简体" w:cs="方正小标宋简体"/>
          <w:b w:val="0"/>
          <w:bCs w:val="0"/>
        </w:rPr>
        <w:t>第二部分</w:t>
      </w:r>
      <w:r>
        <w:rPr>
          <w:rStyle w:val="19"/>
          <w:rFonts w:ascii="方正小标宋简体" w:eastAsia="方正小标宋简体" w:cs="方正小标宋简体"/>
          <w:b w:val="0"/>
          <w:bCs w:val="0"/>
        </w:rPr>
        <w:t>202</w:t>
      </w:r>
      <w:r>
        <w:rPr>
          <w:rStyle w:val="19"/>
          <w:rFonts w:hint="eastAsia" w:ascii="方正小标宋简体" w:eastAsia="方正小标宋简体" w:cs="方正小标宋简体"/>
          <w:b w:val="0"/>
          <w:bCs w:val="0"/>
        </w:rPr>
        <w:t>2年度</w:t>
      </w:r>
      <w:r>
        <w:rPr>
          <w:rStyle w:val="19"/>
          <w:rFonts w:hint="eastAsia" w:ascii="方正小标宋简体" w:eastAsia="方正小标宋简体" w:cs="方正小标宋简体"/>
          <w:b w:val="0"/>
          <w:bCs w:val="0"/>
          <w:lang w:eastAsia="zh-CN"/>
        </w:rPr>
        <w:t>部门</w:t>
      </w:r>
      <w:r>
        <w:rPr>
          <w:rStyle w:val="19"/>
          <w:rFonts w:hint="eastAsia" w:ascii="方正小标宋简体" w:eastAsia="方正小标宋简体" w:cs="方正小标宋简体"/>
          <w:b w:val="0"/>
          <w:bCs w:val="0"/>
        </w:rPr>
        <w:t>决算情况说明</w:t>
      </w:r>
      <w:bookmarkEnd w:id="18"/>
      <w:bookmarkEnd w:id="19"/>
      <w:bookmarkStart w:id="20" w:name="_Toc15377205"/>
      <w:bookmarkStart w:id="21" w:name="_Toc15396603"/>
    </w:p>
    <w:p>
      <w:pPr>
        <w:widowControl/>
        <w:spacing w:line="560" w:lineRule="exact"/>
        <w:jc w:val="center"/>
        <w:rPr>
          <w:rStyle w:val="19"/>
          <w:rFonts w:ascii="??" w:hAnsi="??"/>
          <w:b w:val="0"/>
          <w:bCs w:val="0"/>
          <w:color w:val="000000"/>
          <w:kern w:val="2"/>
          <w:sz w:val="32"/>
          <w:szCs w:val="32"/>
        </w:rPr>
      </w:pPr>
    </w:p>
    <w:p>
      <w:pPr>
        <w:numPr>
          <w:ilvl w:val="0"/>
          <w:numId w:val="2"/>
        </w:numPr>
        <w:adjustRightInd w:val="0"/>
        <w:snapToGrid w:val="0"/>
        <w:spacing w:line="560" w:lineRule="exact"/>
        <w:ind w:left="0" w:firstLine="640" w:firstLineChars="200"/>
        <w:outlineLvl w:val="0"/>
        <w:rPr>
          <w:rStyle w:val="20"/>
          <w:rFonts w:ascii="黑体" w:eastAsia="黑体" w:cs="Times New Roman"/>
          <w:b w:val="0"/>
          <w:bCs w:val="0"/>
        </w:rPr>
      </w:pPr>
      <w:r>
        <w:rPr>
          <w:rFonts w:hint="eastAsia" w:ascii="黑体" w:eastAsia="黑体" w:cs="黑体"/>
          <w:color w:val="000000"/>
          <w:sz w:val="32"/>
          <w:szCs w:val="32"/>
        </w:rPr>
        <w:t>收</w:t>
      </w:r>
      <w:r>
        <w:rPr>
          <w:rStyle w:val="20"/>
          <w:rFonts w:hint="eastAsia" w:ascii="黑体" w:eastAsia="黑体" w:cs="黑体"/>
          <w:b w:val="0"/>
          <w:bCs w:val="0"/>
        </w:rPr>
        <w:t>入支出决算总体情况说明</w:t>
      </w:r>
      <w:bookmarkEnd w:id="20"/>
      <w:bookmarkEnd w:id="21"/>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2年度收、支总计</w:t>
      </w:r>
      <w:r>
        <w:rPr>
          <w:rFonts w:hint="eastAsia" w:ascii="仿宋_GB2312" w:eastAsia="仿宋_GB2312" w:cs="仿宋_GB2312"/>
          <w:sz w:val="32"/>
          <w:szCs w:val="32"/>
          <w:lang w:val="en-US" w:eastAsia="zh-CN"/>
        </w:rPr>
        <w:t>324.11</w:t>
      </w:r>
      <w:r>
        <w:rPr>
          <w:rFonts w:hint="eastAsia" w:ascii="仿宋_GB2312" w:eastAsia="仿宋_GB2312" w:cs="仿宋_GB2312"/>
          <w:sz w:val="32"/>
          <w:szCs w:val="32"/>
        </w:rPr>
        <w:t>万元。与</w:t>
      </w:r>
      <w:r>
        <w:rPr>
          <w:rFonts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年相比，收、支总计各增加</w:t>
      </w:r>
      <w:r>
        <w:rPr>
          <w:rFonts w:hint="eastAsia" w:ascii="仿宋_GB2312" w:eastAsia="仿宋_GB2312" w:cs="仿宋_GB2312"/>
          <w:sz w:val="32"/>
          <w:szCs w:val="32"/>
          <w:lang w:val="en-US" w:eastAsia="zh-CN"/>
        </w:rPr>
        <w:t>17.06</w:t>
      </w:r>
      <w:r>
        <w:rPr>
          <w:rFonts w:hint="eastAsia" w:ascii="仿宋_GB2312" w:eastAsia="仿宋_GB2312" w:cs="仿宋_GB2312"/>
          <w:sz w:val="32"/>
          <w:szCs w:val="32"/>
        </w:rPr>
        <w:t>万元，增长</w:t>
      </w:r>
      <w:r>
        <w:rPr>
          <w:rFonts w:hint="eastAsia" w:ascii="仿宋_GB2312" w:eastAsia="仿宋_GB2312" w:cs="仿宋_GB2312"/>
          <w:sz w:val="32"/>
          <w:szCs w:val="32"/>
          <w:lang w:val="en-US" w:eastAsia="zh-CN"/>
        </w:rPr>
        <w:t>5.6</w:t>
      </w:r>
      <w:r>
        <w:rPr>
          <w:rFonts w:ascii="仿宋_GB2312" w:eastAsia="仿宋_GB2312" w:cs="仿宋_GB2312"/>
          <w:sz w:val="32"/>
          <w:szCs w:val="32"/>
        </w:rPr>
        <w:t>%</w:t>
      </w:r>
      <w:r>
        <w:rPr>
          <w:rFonts w:hint="eastAsia" w:ascii="仿宋_GB2312" w:eastAsia="仿宋_GB2312" w:cs="仿宋_GB2312"/>
          <w:sz w:val="32"/>
          <w:szCs w:val="32"/>
        </w:rPr>
        <w:t>。主要原因是</w:t>
      </w:r>
      <w:r>
        <w:rPr>
          <w:rFonts w:hint="eastAsia" w:ascii="仿宋_GB2312" w:eastAsia="仿宋_GB2312" w:cs="仿宋_GB2312"/>
          <w:sz w:val="32"/>
          <w:szCs w:val="32"/>
          <w:lang w:eastAsia="zh-CN"/>
        </w:rPr>
        <w:t>人员增加，故</w:t>
      </w:r>
      <w:r>
        <w:rPr>
          <w:rFonts w:hint="eastAsia" w:ascii="仿宋_GB2312" w:eastAsia="仿宋_GB2312"/>
          <w:sz w:val="32"/>
          <w:szCs w:val="32"/>
        </w:rPr>
        <w:t>人员经费</w:t>
      </w:r>
      <w:r>
        <w:rPr>
          <w:rFonts w:hint="eastAsia" w:ascii="仿宋_GB2312" w:eastAsia="仿宋_GB2312"/>
          <w:sz w:val="32"/>
          <w:szCs w:val="32"/>
          <w:lang w:eastAsia="zh-CN"/>
        </w:rPr>
        <w:t>和公用经费</w:t>
      </w:r>
      <w:r>
        <w:rPr>
          <w:rFonts w:hint="eastAsia" w:ascii="仿宋_GB2312" w:eastAsia="仿宋_GB2312"/>
          <w:sz w:val="32"/>
          <w:szCs w:val="32"/>
        </w:rPr>
        <w:t>增加。</w:t>
      </w:r>
    </w:p>
    <w:p>
      <w:pPr>
        <w:widowControl/>
        <w:spacing w:line="560" w:lineRule="exact"/>
        <w:ind w:firstLine="843" w:firstLineChars="3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251659264" behindDoc="0" locked="0" layoutInCell="1" allowOverlap="1">
            <wp:simplePos x="0" y="0"/>
            <wp:positionH relativeFrom="column">
              <wp:posOffset>407035</wp:posOffset>
            </wp:positionH>
            <wp:positionV relativeFrom="paragraph">
              <wp:posOffset>219710</wp:posOffset>
            </wp:positionV>
            <wp:extent cx="4419600" cy="2609215"/>
            <wp:effectExtent l="0" t="0" r="28" b="23"/>
            <wp:wrapSquare wrapText="bothSides"/>
            <wp:docPr id="4" name="_x0000_s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s1045"/>
                    <pic:cNvPicPr>
                      <a:picLocks noChangeAspect="1"/>
                    </pic:cNvPicPr>
                  </pic:nvPicPr>
                  <pic:blipFill>
                    <a:blip r:embed="rId7"/>
                    <a:stretch>
                      <a:fillRect/>
                    </a:stretch>
                  </pic:blipFill>
                  <pic:spPr>
                    <a:xfrm>
                      <a:off x="0" y="0"/>
                      <a:ext cx="4419600" cy="2609215"/>
                    </a:xfrm>
                    <a:prstGeom prst="rect">
                      <a:avLst/>
                    </a:prstGeom>
                    <a:noFill/>
                    <a:ln w="9525" cap="flat" cmpd="sng">
                      <a:noFill/>
                      <a:prstDash val="solid"/>
                      <a:miter/>
                    </a:ln>
                  </pic:spPr>
                </pic:pic>
              </a:graphicData>
            </a:graphic>
          </wp:anchor>
        </w:drawing>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pStyle w:val="2"/>
        <w:rPr>
          <w:b/>
          <w:color w:val="000000"/>
          <w:sz w:val="28"/>
          <w:szCs w:val="28"/>
        </w:rPr>
      </w:pPr>
    </w:p>
    <w:p>
      <w:pPr>
        <w:pStyle w:val="3"/>
      </w:pPr>
    </w:p>
    <w:p>
      <w:pPr>
        <w:widowControl/>
        <w:spacing w:line="560" w:lineRule="exact"/>
        <w:jc w:val="center"/>
        <w:rPr>
          <w:rFonts w:ascii="宋体"/>
          <w:b/>
          <w:color w:val="000000"/>
          <w:kern w:val="0"/>
          <w:sz w:val="28"/>
          <w:szCs w:val="28"/>
        </w:rPr>
      </w:pPr>
    </w:p>
    <w:p>
      <w:pPr>
        <w:widowControl/>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640" w:firstLineChars="200"/>
        <w:jc w:val="left"/>
        <w:rPr>
          <w:rStyle w:val="20"/>
          <w:rFonts w:ascii="Times New Roman" w:hAnsi="Times New Roman" w:cs="Times New Roman"/>
          <w:b w:val="0"/>
          <w:bCs w:val="0"/>
          <w:sz w:val="21"/>
          <w:szCs w:val="24"/>
        </w:rPr>
      </w:pPr>
      <w:bookmarkStart w:id="22" w:name="_Toc15396604"/>
      <w:bookmarkStart w:id="23" w:name="_Toc15377206"/>
      <w:r>
        <w:rPr>
          <w:rFonts w:hint="eastAsia" w:ascii="黑体" w:eastAsia="黑体" w:cs="黑体"/>
          <w:color w:val="000000"/>
          <w:sz w:val="32"/>
          <w:szCs w:val="32"/>
        </w:rPr>
        <w:t>二、收</w:t>
      </w:r>
      <w:r>
        <w:rPr>
          <w:rStyle w:val="20"/>
          <w:rFonts w:hint="eastAsia" w:ascii="黑体" w:eastAsia="黑体" w:cs="黑体"/>
          <w:b w:val="0"/>
          <w:bCs w:val="0"/>
        </w:rPr>
        <w:t>入决算情况说明</w:t>
      </w:r>
      <w:bookmarkEnd w:id="22"/>
      <w:bookmarkEnd w:id="23"/>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2年本年收入</w:t>
      </w:r>
      <w:r>
        <w:rPr>
          <w:rFonts w:hint="eastAsia" w:ascii="仿宋_GB2312" w:eastAsia="仿宋_GB2312" w:cs="仿宋_GB2312"/>
          <w:sz w:val="32"/>
          <w:szCs w:val="32"/>
          <w:lang w:val="en-US" w:eastAsia="zh-CN"/>
        </w:rPr>
        <w:t>324.11</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324.11</w:t>
      </w:r>
      <w:r>
        <w:rPr>
          <w:rFonts w:hint="eastAsia" w:ascii="仿宋_GB2312" w:eastAsia="仿宋_GB2312" w:cs="仿宋_GB2312"/>
          <w:sz w:val="32"/>
          <w:szCs w:val="32"/>
        </w:rPr>
        <w:t>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万元；国有资本经营预算财政拨款收入0万元，上级补助收入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w:t>
      </w:r>
    </w:p>
    <w:p>
      <w:pPr>
        <w:widowControl/>
        <w:spacing w:line="560" w:lineRule="exact"/>
        <w:jc w:val="center"/>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60" w:lineRule="exact"/>
        <w:ind w:firstLine="1260" w:firstLineChars="600"/>
        <w:jc w:val="left"/>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419100</wp:posOffset>
            </wp:positionH>
            <wp:positionV relativeFrom="paragraph">
              <wp:posOffset>201930</wp:posOffset>
            </wp:positionV>
            <wp:extent cx="4596130" cy="2767330"/>
            <wp:effectExtent l="0" t="0" r="7" b="21"/>
            <wp:wrapSquare wrapText="bothSides"/>
            <wp:docPr id="7" name="_x0000_s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s1047"/>
                    <pic:cNvPicPr>
                      <a:picLocks noChangeAspect="1"/>
                    </pic:cNvPicPr>
                  </pic:nvPicPr>
                  <pic:blipFill>
                    <a:blip r:embed="rId8"/>
                    <a:stretch>
                      <a:fillRect/>
                    </a:stretch>
                  </pic:blipFill>
                  <pic:spPr>
                    <a:xfrm>
                      <a:off x="0" y="0"/>
                      <a:ext cx="4596130" cy="2767330"/>
                    </a:xfrm>
                    <a:prstGeom prst="rect">
                      <a:avLst/>
                    </a:prstGeom>
                    <a:noFill/>
                    <a:ln w="9525" cap="flat" cmpd="sng">
                      <a:noFill/>
                      <a:prstDash val="solid"/>
                      <a:miter/>
                    </a:ln>
                  </pic:spPr>
                </pic:pic>
              </a:graphicData>
            </a:graphic>
          </wp:anchor>
        </w:drawing>
      </w:r>
    </w:p>
    <w:p>
      <w:pPr>
        <w:widowControl/>
        <w:tabs>
          <w:tab w:val="left" w:pos="1745"/>
        </w:tabs>
        <w:spacing w:line="560" w:lineRule="exact"/>
        <w:jc w:val="left"/>
        <w:rPr>
          <w:rFonts w:ascii="黑体" w:eastAsia="黑体" w:cs="黑体"/>
          <w:sz w:val="32"/>
          <w:szCs w:val="32"/>
        </w:rPr>
      </w:pPr>
      <w:bookmarkStart w:id="24" w:name="_Toc15377207"/>
      <w:bookmarkStart w:id="25" w:name="_Toc15396605"/>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Style w:val="20"/>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20"/>
          <w:rFonts w:hint="eastAsia" w:ascii="黑体" w:eastAsia="黑体" w:cs="黑体"/>
          <w:b w:val="0"/>
          <w:bCs w:val="0"/>
        </w:rPr>
        <w:t>出决算情况说明</w:t>
      </w:r>
      <w:bookmarkEnd w:id="24"/>
      <w:bookmarkEnd w:id="25"/>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2年本年支出合计</w:t>
      </w:r>
      <w:r>
        <w:rPr>
          <w:rFonts w:hint="eastAsia" w:ascii="仿宋_GB2312" w:eastAsia="仿宋_GB2312" w:cs="仿宋_GB2312"/>
          <w:color w:val="000000"/>
          <w:sz w:val="32"/>
          <w:szCs w:val="32"/>
          <w:lang w:val="en-US" w:eastAsia="zh-CN"/>
        </w:rPr>
        <w:t>324.11</w:t>
      </w:r>
      <w:r>
        <w:rPr>
          <w:rFonts w:hint="eastAsia" w:ascii="仿宋_GB2312" w:eastAsia="仿宋_GB2312" w:cs="仿宋_GB2312"/>
          <w:color w:val="000000"/>
          <w:sz w:val="32"/>
          <w:szCs w:val="32"/>
        </w:rPr>
        <w:t>万元，其中：基本支出</w:t>
      </w:r>
      <w:r>
        <w:rPr>
          <w:rFonts w:hint="eastAsia" w:ascii="仿宋_GB2312" w:eastAsia="仿宋_GB2312" w:cs="仿宋_GB2312"/>
          <w:color w:val="000000"/>
          <w:sz w:val="32"/>
          <w:szCs w:val="32"/>
          <w:lang w:val="en-US" w:eastAsia="zh-CN"/>
        </w:rPr>
        <w:t>322.91</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99%;</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w:t>
      </w:r>
    </w:p>
    <w:p>
      <w:pPr>
        <w:widowControl/>
        <w:spacing w:line="560"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bookmarkStart w:id="26" w:name="_Toc15396606"/>
      <w:bookmarkStart w:id="27" w:name="_Toc15377208"/>
      <w:r>
        <w:rPr>
          <w:rFonts w:hint="eastAsia" w:ascii="宋体" w:cs="宋体"/>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624840</wp:posOffset>
            </wp:positionH>
            <wp:positionV relativeFrom="paragraph">
              <wp:posOffset>326390</wp:posOffset>
            </wp:positionV>
            <wp:extent cx="4114800" cy="2773045"/>
            <wp:effectExtent l="0" t="1" r="32" b="22"/>
            <wp:wrapSquare wrapText="bothSides"/>
            <wp:docPr id="10" name="_x0000_s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s1046"/>
                    <pic:cNvPicPr>
                      <a:picLocks noChangeAspect="1"/>
                    </pic:cNvPicPr>
                  </pic:nvPicPr>
                  <pic:blipFill>
                    <a:blip r:embed="rId9"/>
                    <a:stretch>
                      <a:fillRect/>
                    </a:stretch>
                  </pic:blipFill>
                  <pic:spPr>
                    <a:xfrm>
                      <a:off x="0" y="0"/>
                      <a:ext cx="4114800" cy="2773045"/>
                    </a:xfrm>
                    <a:prstGeom prst="rect">
                      <a:avLst/>
                    </a:prstGeom>
                    <a:noFill/>
                    <a:ln w="9525" cap="flat" cmpd="sng">
                      <a:noFill/>
                      <a:prstDash val="solid"/>
                      <a:miter/>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rPr>
          <w:rStyle w:val="20"/>
          <w:rFonts w:ascii="黑体" w:eastAsia="黑体" w:cs="Times New Roman"/>
          <w:b w:val="0"/>
          <w:bCs w:val="0"/>
        </w:rPr>
      </w:pPr>
      <w:r>
        <w:rPr>
          <w:rFonts w:hint="eastAsia" w:ascii="黑体" w:eastAsia="黑体" w:cs="黑体"/>
          <w:color w:val="000000"/>
          <w:sz w:val="32"/>
          <w:szCs w:val="32"/>
        </w:rPr>
        <w:t>四、财</w:t>
      </w:r>
      <w:r>
        <w:rPr>
          <w:rStyle w:val="20"/>
          <w:rFonts w:hint="eastAsia" w:ascii="黑体" w:eastAsia="黑体" w:cs="黑体"/>
          <w:b w:val="0"/>
          <w:bCs w:val="0"/>
        </w:rPr>
        <w:t>政拨款收入支出决算总体情况说明</w:t>
      </w:r>
      <w:bookmarkEnd w:id="26"/>
      <w:bookmarkEnd w:id="27"/>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2年财政拨款收、支总计</w:t>
      </w:r>
      <w:r>
        <w:rPr>
          <w:rFonts w:hint="eastAsia" w:ascii="仿宋_GB2312" w:eastAsia="仿宋_GB2312" w:cs="仿宋_GB2312"/>
          <w:color w:val="000000"/>
          <w:sz w:val="32"/>
          <w:szCs w:val="32"/>
          <w:lang w:val="en-US" w:eastAsia="zh-CN"/>
        </w:rPr>
        <w:t>324.11</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1年相比，财政拨款收、支总计增加</w:t>
      </w:r>
      <w:r>
        <w:rPr>
          <w:rFonts w:hint="eastAsia" w:ascii="仿宋_GB2312" w:eastAsia="仿宋_GB2312" w:cs="仿宋_GB2312"/>
          <w:color w:val="000000"/>
          <w:sz w:val="32"/>
          <w:szCs w:val="32"/>
          <w:lang w:val="en-US" w:eastAsia="zh-CN"/>
        </w:rPr>
        <w:t>17.06</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5.6</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w:t>
      </w:r>
      <w:r>
        <w:rPr>
          <w:rFonts w:hint="default" w:ascii="仿宋_GB2312" w:eastAsia="仿宋_GB2312" w:cs="仿宋_GB2312"/>
          <w:color w:val="000000"/>
          <w:sz w:val="32"/>
          <w:szCs w:val="32"/>
        </w:rPr>
        <w:t>原因是</w:t>
      </w:r>
      <w:r>
        <w:rPr>
          <w:rFonts w:hint="eastAsia" w:ascii="仿宋_GB2312" w:eastAsia="仿宋_GB2312" w:cs="仿宋_GB2312"/>
          <w:sz w:val="32"/>
          <w:szCs w:val="32"/>
          <w:lang w:eastAsia="zh-CN"/>
        </w:rPr>
        <w:t>人员增加，故</w:t>
      </w:r>
      <w:r>
        <w:rPr>
          <w:rFonts w:hint="eastAsia" w:ascii="仿宋_GB2312" w:eastAsia="仿宋_GB2312"/>
          <w:sz w:val="32"/>
          <w:szCs w:val="32"/>
        </w:rPr>
        <w:t>人员经费</w:t>
      </w:r>
      <w:r>
        <w:rPr>
          <w:rFonts w:hint="eastAsia" w:ascii="仿宋_GB2312" w:eastAsia="仿宋_GB2312"/>
          <w:sz w:val="32"/>
          <w:szCs w:val="32"/>
          <w:lang w:eastAsia="zh-CN"/>
        </w:rPr>
        <w:t>和公用经费</w:t>
      </w:r>
      <w:r>
        <w:rPr>
          <w:rFonts w:hint="eastAsia" w:ascii="仿宋_GB2312" w:eastAsia="仿宋_GB2312"/>
          <w:sz w:val="32"/>
          <w:szCs w:val="32"/>
        </w:rPr>
        <w:t>增加。</w:t>
      </w:r>
    </w:p>
    <w:p>
      <w:pPr>
        <w:spacing w:line="560" w:lineRule="exact"/>
        <w:ind w:firstLine="562" w:firstLineChars="200"/>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60" w:lineRule="exact"/>
        <w:ind w:firstLine="562" w:firstLineChars="200"/>
        <w:rPr>
          <w:rFonts w:ascii="宋体" w:cs="宋体"/>
          <w:b/>
          <w:bCs/>
          <w:color w:val="000000"/>
          <w:kern w:val="0"/>
          <w:sz w:val="28"/>
          <w:szCs w:val="28"/>
        </w:rPr>
      </w:pPr>
    </w:p>
    <w:p>
      <w:pPr>
        <w:spacing w:line="560" w:lineRule="exact"/>
        <w:ind w:firstLine="420" w:firstLineChars="200"/>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449580</wp:posOffset>
            </wp:positionH>
            <wp:positionV relativeFrom="paragraph">
              <wp:posOffset>39370</wp:posOffset>
            </wp:positionV>
            <wp:extent cx="4596130" cy="2767330"/>
            <wp:effectExtent l="0" t="0" r="7" b="21"/>
            <wp:wrapSquare wrapText="bothSides"/>
            <wp:docPr id="13" name="_x0000_s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s1048"/>
                    <pic:cNvPicPr>
                      <a:picLocks noChangeAspect="1"/>
                    </pic:cNvPicPr>
                  </pic:nvPicPr>
                  <pic:blipFill>
                    <a:blip r:embed="rId10"/>
                    <a:stretch>
                      <a:fillRect/>
                    </a:stretch>
                  </pic:blipFill>
                  <pic:spPr>
                    <a:xfrm>
                      <a:off x="0" y="0"/>
                      <a:ext cx="4596130" cy="2767330"/>
                    </a:xfrm>
                    <a:prstGeom prst="rect">
                      <a:avLst/>
                    </a:prstGeom>
                    <a:noFill/>
                    <a:ln w="9525" cap="flat" cmpd="sng">
                      <a:noFill/>
                      <a:prstDash val="solid"/>
                      <a:miter/>
                    </a:ln>
                  </pic:spPr>
                </pic:pic>
              </a:graphicData>
            </a:graphic>
          </wp:anchor>
        </w:drawing>
      </w: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420" w:firstLineChars="200"/>
      </w:pPr>
    </w:p>
    <w:p>
      <w:pPr>
        <w:spacing w:line="560" w:lineRule="exact"/>
        <w:ind w:firstLine="1120" w:firstLineChars="350"/>
        <w:rPr>
          <w:rFonts w:ascii="黑体" w:eastAsia="黑体" w:cs="黑体"/>
          <w:color w:val="000000"/>
          <w:sz w:val="32"/>
          <w:szCs w:val="32"/>
        </w:rPr>
      </w:pPr>
      <w:bookmarkStart w:id="28" w:name="_Toc15377209"/>
      <w:bookmarkStart w:id="29" w:name="_Toc15396607"/>
    </w:p>
    <w:p>
      <w:pPr>
        <w:spacing w:line="560" w:lineRule="exact"/>
        <w:ind w:firstLine="1120" w:firstLineChars="350"/>
        <w:rPr>
          <w:rFonts w:ascii="黑体" w:eastAsia="黑体" w:cs="黑体"/>
          <w:color w:val="000000"/>
          <w:sz w:val="32"/>
          <w:szCs w:val="32"/>
        </w:rPr>
      </w:pPr>
    </w:p>
    <w:p>
      <w:pPr>
        <w:spacing w:line="560" w:lineRule="exact"/>
        <w:ind w:firstLine="640" w:firstLineChars="200"/>
        <w:rPr>
          <w:rStyle w:val="20"/>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20"/>
          <w:rFonts w:hint="eastAsia" w:ascii="黑体" w:eastAsia="黑体" w:cs="黑体"/>
          <w:b w:val="0"/>
          <w:bCs w:val="0"/>
        </w:rPr>
        <w:t>般公共预算财政拨款支出决算情况说明</w:t>
      </w:r>
      <w:bookmarkEnd w:id="28"/>
      <w:bookmarkEnd w:id="29"/>
      <w:bookmarkStart w:id="30" w:name="_Toc15377210"/>
    </w:p>
    <w:p>
      <w:pPr>
        <w:spacing w:line="560" w:lineRule="exact"/>
        <w:ind w:firstLine="629" w:firstLineChars="196"/>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0"/>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2年一般公共预算财政拨款支出</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lang w:val="en-US" w:eastAsia="zh-CN"/>
        </w:rPr>
        <w:t>324.11</w:t>
      </w:r>
      <w:r>
        <w:rPr>
          <w:rFonts w:hint="eastAsia" w:ascii="仿宋_GB2312" w:eastAsia="仿宋_GB2312" w:cs="仿宋_GB2312"/>
          <w:color w:val="000000"/>
          <w:sz w:val="32"/>
          <w:szCs w:val="32"/>
        </w:rPr>
        <w:t>万元，占本年支出合计的</w:t>
      </w:r>
      <w:r>
        <w:rPr>
          <w:rFonts w:ascii="仿宋_GB2312" w:eastAsia="仿宋_GB2312" w:cs="仿宋_GB2312"/>
          <w:color w:val="000000"/>
          <w:sz w:val="32"/>
          <w:szCs w:val="32"/>
        </w:rPr>
        <w:t>100 %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1年相比，一般公共预算财政拨款增加</w:t>
      </w:r>
      <w:r>
        <w:rPr>
          <w:rFonts w:hint="eastAsia" w:ascii="仿宋_GB2312" w:eastAsia="仿宋_GB2312" w:cs="仿宋_GB2312"/>
          <w:color w:val="000000"/>
          <w:sz w:val="32"/>
          <w:szCs w:val="32"/>
          <w:lang w:val="en-US" w:eastAsia="zh-CN"/>
        </w:rPr>
        <w:t>17.06</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5.6</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w:t>
      </w:r>
      <w:r>
        <w:rPr>
          <w:rFonts w:hint="default" w:ascii="仿宋_GB2312" w:eastAsia="仿宋_GB2312" w:cs="仿宋_GB2312"/>
          <w:color w:val="000000"/>
          <w:sz w:val="32"/>
          <w:szCs w:val="32"/>
        </w:rPr>
        <w:t>原因是</w:t>
      </w:r>
      <w:r>
        <w:rPr>
          <w:rFonts w:hint="eastAsia" w:ascii="仿宋_GB2312" w:eastAsia="仿宋_GB2312" w:cs="仿宋_GB2312"/>
          <w:sz w:val="32"/>
          <w:szCs w:val="32"/>
          <w:lang w:eastAsia="zh-CN"/>
        </w:rPr>
        <w:t>人员增加，故</w:t>
      </w:r>
      <w:r>
        <w:rPr>
          <w:rFonts w:hint="eastAsia" w:ascii="仿宋_GB2312" w:eastAsia="仿宋_GB2312"/>
          <w:sz w:val="32"/>
          <w:szCs w:val="32"/>
        </w:rPr>
        <w:t>人员经费</w:t>
      </w:r>
      <w:r>
        <w:rPr>
          <w:rFonts w:hint="eastAsia" w:ascii="仿宋_GB2312" w:eastAsia="仿宋_GB2312"/>
          <w:sz w:val="32"/>
          <w:szCs w:val="32"/>
          <w:lang w:eastAsia="zh-CN"/>
        </w:rPr>
        <w:t>和公用经费</w:t>
      </w:r>
      <w:r>
        <w:rPr>
          <w:rFonts w:hint="eastAsia" w:ascii="仿宋_GB2312" w:eastAsia="仿宋_GB2312"/>
          <w:sz w:val="32"/>
          <w:szCs w:val="32"/>
        </w:rPr>
        <w:t>增加。</w:t>
      </w:r>
    </w:p>
    <w:p>
      <w:pPr>
        <w:widowControl/>
        <w:spacing w:line="560"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60" w:lineRule="exact"/>
        <w:ind w:firstLine="420" w:firstLineChars="200"/>
        <w:jc w:val="left"/>
        <w:rPr>
          <w:rFonts w:ascii="楷体" w:eastAsia="楷体" w:cs="楷体"/>
          <w:b/>
          <w:bCs/>
          <w:color w:val="000000"/>
          <w:sz w:val="32"/>
          <w:szCs w:val="32"/>
        </w:rPr>
      </w:pPr>
      <w:bookmarkStart w:id="31" w:name="_Toc15377211"/>
      <w:r>
        <w:drawing>
          <wp:anchor distT="0" distB="0" distL="114300" distR="114300" simplePos="0" relativeHeight="251659264" behindDoc="0" locked="0" layoutInCell="1" allowOverlap="1">
            <wp:simplePos x="0" y="0"/>
            <wp:positionH relativeFrom="column">
              <wp:posOffset>754380</wp:posOffset>
            </wp:positionH>
            <wp:positionV relativeFrom="paragraph">
              <wp:posOffset>118745</wp:posOffset>
            </wp:positionV>
            <wp:extent cx="3625850" cy="2128520"/>
            <wp:effectExtent l="0" t="0" r="23" b="1"/>
            <wp:wrapSquare wrapText="bothSides"/>
            <wp:docPr id="16" name="_x0000_s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s1049"/>
                    <pic:cNvPicPr>
                      <a:picLocks noChangeAspect="1"/>
                    </pic:cNvPicPr>
                  </pic:nvPicPr>
                  <pic:blipFill>
                    <a:blip r:embed="rId11"/>
                    <a:stretch>
                      <a:fillRect/>
                    </a:stretch>
                  </pic:blipFill>
                  <pic:spPr>
                    <a:xfrm>
                      <a:off x="0" y="0"/>
                      <a:ext cx="3625849" cy="2128520"/>
                    </a:xfrm>
                    <a:prstGeom prst="rect">
                      <a:avLst/>
                    </a:prstGeom>
                    <a:noFill/>
                    <a:ln w="9525" cap="flat" cmpd="sng">
                      <a:noFill/>
                      <a:prstDash val="solid"/>
                      <a:miter/>
                    </a:ln>
                  </pic:spPr>
                </pic:pic>
              </a:graphicData>
            </a:graphic>
          </wp:anchor>
        </w:drawing>
      </w: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31"/>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2年一般公共预算财政拨款支出</w:t>
      </w:r>
      <w:r>
        <w:rPr>
          <w:rFonts w:hint="eastAsia" w:ascii="仿宋_GB2312" w:eastAsia="仿宋_GB2312" w:cs="仿宋_GB2312"/>
          <w:color w:val="000000"/>
          <w:sz w:val="32"/>
          <w:szCs w:val="32"/>
          <w:lang w:val="en-US" w:eastAsia="zh-CN"/>
        </w:rPr>
        <w:t>324.11</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w:t>
      </w:r>
      <w:r>
        <w:rPr>
          <w:rFonts w:hint="eastAsia" w:ascii="仿宋_GB2312" w:eastAsia="仿宋_GB2312" w:cs="仿宋_GB2312"/>
          <w:color w:val="000000"/>
          <w:sz w:val="32"/>
          <w:szCs w:val="32"/>
          <w:lang w:val="en-US" w:eastAsia="zh-CN"/>
        </w:rPr>
        <w:t>244.93</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7</w:t>
      </w:r>
      <w:r>
        <w:rPr>
          <w:rFonts w:hint="eastAsia" w:ascii="仿宋_GB2312" w:eastAsia="仿宋_GB2312" w:cs="仿宋_GB2312"/>
          <w:color w:val="000000"/>
          <w:sz w:val="32"/>
          <w:szCs w:val="32"/>
        </w:rPr>
        <w:t>5</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w:t>
      </w:r>
      <w:r>
        <w:rPr>
          <w:rFonts w:hint="eastAsia" w:ascii="仿宋_GB2312" w:eastAsia="仿宋_GB2312" w:cs="仿宋_GB2312"/>
          <w:color w:val="000000"/>
          <w:sz w:val="32"/>
          <w:szCs w:val="32"/>
          <w:lang w:val="en-US" w:eastAsia="zh-CN"/>
        </w:rPr>
        <w:t>39.74</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2</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w:t>
      </w:r>
      <w:r>
        <w:rPr>
          <w:rFonts w:hint="eastAsia" w:ascii="仿宋_GB2312" w:eastAsia="仿宋_GB2312" w:cs="仿宋_GB2312"/>
          <w:color w:val="000000"/>
          <w:sz w:val="32"/>
          <w:szCs w:val="32"/>
          <w:lang w:val="en-US" w:eastAsia="zh-CN"/>
        </w:rPr>
        <w:t>15.96</w:t>
      </w:r>
      <w:r>
        <w:rPr>
          <w:rFonts w:hint="eastAsia" w:ascii="仿宋_GB2312" w:eastAsia="仿宋_GB2312" w:cs="仿宋_GB2312"/>
          <w:color w:val="000000"/>
          <w:sz w:val="32"/>
          <w:szCs w:val="32"/>
        </w:rPr>
        <w:t>万元，占5</w:t>
      </w:r>
      <w:r>
        <w:rPr>
          <w:rFonts w:ascii="仿宋_GB2312" w:eastAsia="仿宋_GB2312" w:cs="仿宋_GB2312"/>
          <w:color w:val="000000"/>
          <w:sz w:val="32"/>
          <w:szCs w:val="32"/>
        </w:rPr>
        <w:t>%</w:t>
      </w:r>
      <w:r>
        <w:rPr>
          <w:rFonts w:hint="eastAsia" w:ascii="仿宋_GB2312" w:eastAsia="仿宋_GB2312" w:cs="仿宋_GB2312"/>
          <w:color w:val="000000"/>
          <w:sz w:val="32"/>
          <w:szCs w:val="32"/>
        </w:rPr>
        <w:t>；农林水支出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万元，占1</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22.29</w:t>
      </w:r>
      <w:r>
        <w:rPr>
          <w:rFonts w:hint="eastAsia" w:ascii="仿宋_GB2312" w:eastAsia="仿宋_GB2312" w:cs="仿宋_GB2312"/>
          <w:color w:val="000000"/>
          <w:sz w:val="32"/>
          <w:szCs w:val="32"/>
        </w:rPr>
        <w:t>万元，占7</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rPr>
          <w:rFonts w:ascii="宋体" w:cs="宋体"/>
          <w:b/>
          <w:bCs/>
          <w:color w:val="000000"/>
          <w:kern w:val="0"/>
          <w:sz w:val="31"/>
          <w:szCs w:val="31"/>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：一般公共预算财政拨款支出决算结构（单位：万元）</w:t>
      </w:r>
    </w:p>
    <w:p>
      <w:pPr>
        <w:widowControl/>
        <w:spacing w:line="560" w:lineRule="exact"/>
        <w:jc w:val="center"/>
        <w:rPr>
          <w:b/>
          <w:bCs/>
        </w:rPr>
      </w:pPr>
    </w:p>
    <w:p>
      <w:pPr>
        <w:pStyle w:val="2"/>
        <w:rPr>
          <w:b/>
          <w:bCs/>
        </w:rPr>
      </w:pPr>
      <w:r>
        <w:drawing>
          <wp:anchor distT="0" distB="0" distL="114300" distR="114300" simplePos="0" relativeHeight="251659264" behindDoc="0" locked="0" layoutInCell="1" allowOverlap="1">
            <wp:simplePos x="0" y="0"/>
            <wp:positionH relativeFrom="column">
              <wp:posOffset>465455</wp:posOffset>
            </wp:positionH>
            <wp:positionV relativeFrom="paragraph">
              <wp:posOffset>15240</wp:posOffset>
            </wp:positionV>
            <wp:extent cx="4419600" cy="2670175"/>
            <wp:effectExtent l="0" t="0" r="28" b="22"/>
            <wp:wrapSquare wrapText="bothSides"/>
            <wp:docPr id="19" name="_x0000_s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x0000_s1054"/>
                    <pic:cNvPicPr>
                      <a:picLocks noChangeAspect="1"/>
                    </pic:cNvPicPr>
                  </pic:nvPicPr>
                  <pic:blipFill>
                    <a:blip r:embed="rId12"/>
                    <a:stretch>
                      <a:fillRect/>
                    </a:stretch>
                  </pic:blipFill>
                  <pic:spPr>
                    <a:xfrm>
                      <a:off x="0" y="0"/>
                      <a:ext cx="4419600" cy="2670175"/>
                    </a:xfrm>
                    <a:prstGeom prst="rect">
                      <a:avLst/>
                    </a:prstGeom>
                    <a:noFill/>
                    <a:ln w="9525" cap="flat" cmpd="sng">
                      <a:noFill/>
                      <a:prstDash val="solid"/>
                      <a:miter/>
                    </a:ln>
                  </pic:spPr>
                </pic:pic>
              </a:graphicData>
            </a:graphic>
          </wp:anchor>
        </w:drawing>
      </w: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spacing w:line="560" w:lineRule="exact"/>
        <w:ind w:firstLine="642" w:firstLineChars="200"/>
        <w:rPr>
          <w:rFonts w:ascii="楷体" w:eastAsia="楷体" w:cs="楷体"/>
          <w:b/>
          <w:bCs/>
          <w:color w:val="000000"/>
          <w:sz w:val="32"/>
          <w:szCs w:val="32"/>
        </w:rPr>
      </w:pPr>
      <w:bookmarkStart w:id="32" w:name="_Toc15377212"/>
    </w:p>
    <w:p>
      <w:pPr>
        <w:spacing w:line="560" w:lineRule="exact"/>
        <w:ind w:firstLine="642" w:firstLineChars="200"/>
        <w:rPr>
          <w:rFonts w:ascii="楷体" w:eastAsia="楷体" w:cs="楷体"/>
          <w:b/>
          <w:bCs/>
          <w:color w:val="000000"/>
          <w:sz w:val="32"/>
          <w:szCs w:val="32"/>
        </w:rPr>
      </w:pPr>
    </w:p>
    <w:p>
      <w:pPr>
        <w:spacing w:line="560" w:lineRule="exact"/>
        <w:ind w:firstLine="642" w:firstLineChars="200"/>
        <w:rPr>
          <w:rFonts w:ascii="仿宋_GB2312" w:eastAsia="仿宋_GB2312"/>
          <w:color w:val="000000"/>
          <w:sz w:val="32"/>
          <w:szCs w:val="32"/>
        </w:rPr>
      </w:pPr>
      <w:r>
        <w:rPr>
          <w:rFonts w:hint="eastAsia" w:ascii="楷体" w:eastAsia="楷体" w:cs="楷体"/>
          <w:b/>
          <w:bCs/>
          <w:color w:val="000000"/>
          <w:sz w:val="32"/>
          <w:szCs w:val="32"/>
        </w:rPr>
        <w:t>（三）一般公共预算财政拨款支出决算具体情况</w:t>
      </w:r>
      <w:bookmarkEnd w:id="32"/>
      <w:bookmarkStart w:id="33" w:name="_Toc15377213"/>
      <w:bookmarkStart w:id="34" w:name="_Toc15377444"/>
      <w:bookmarkStart w:id="35" w:name="_Toc15378460"/>
    </w:p>
    <w:p>
      <w:pPr>
        <w:spacing w:line="560" w:lineRule="exact"/>
        <w:ind w:firstLine="640" w:firstLineChars="200"/>
        <w:rPr>
          <w:rStyle w:val="16"/>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2年一般公共预算支出决算数为</w:t>
      </w:r>
      <w:r>
        <w:rPr>
          <w:rFonts w:hint="eastAsia" w:ascii="仿宋_GB2312" w:eastAsia="仿宋_GB2312" w:cs="仿宋_GB2312"/>
          <w:color w:val="000000"/>
          <w:sz w:val="32"/>
          <w:szCs w:val="32"/>
          <w:lang w:val="en-US" w:eastAsia="zh-CN"/>
        </w:rPr>
        <w:t>324.11</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6"/>
          <w:rFonts w:hint="eastAsia" w:ascii="仿宋_GB2312" w:eastAsia="仿宋_GB2312" w:cs="仿宋_GB2312"/>
          <w:b w:val="0"/>
          <w:bCs w:val="0"/>
          <w:color w:val="000000"/>
          <w:sz w:val="32"/>
          <w:szCs w:val="32"/>
        </w:rPr>
        <w:t>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。其中：</w:t>
      </w:r>
      <w:bookmarkEnd w:id="33"/>
      <w:bookmarkEnd w:id="34"/>
      <w:bookmarkEnd w:id="35"/>
    </w:p>
    <w:p>
      <w:pPr>
        <w:spacing w:line="560" w:lineRule="exact"/>
        <w:ind w:firstLine="640" w:firstLineChars="200"/>
        <w:rPr>
          <w:rFonts w:ascii="仿宋_GB2312" w:eastAsia="仿宋_GB2312"/>
          <w:color w:val="000000"/>
          <w:sz w:val="32"/>
          <w:szCs w:val="32"/>
        </w:rPr>
      </w:pPr>
      <w:r>
        <w:rPr>
          <w:rStyle w:val="16"/>
          <w:rFonts w:ascii="仿宋_GB2312" w:eastAsia="仿宋_GB2312" w:cs="仿宋_GB2312"/>
          <w:b w:val="0"/>
          <w:bCs w:val="0"/>
          <w:color w:val="000000"/>
          <w:sz w:val="32"/>
          <w:szCs w:val="32"/>
        </w:rPr>
        <w:t>1.</w:t>
      </w:r>
      <w:r>
        <w:rPr>
          <w:rStyle w:val="16"/>
          <w:rFonts w:hint="eastAsia" w:ascii="仿宋_GB2312" w:eastAsia="仿宋_GB2312" w:cs="仿宋_GB2312"/>
          <w:b w:val="0"/>
          <w:bCs w:val="0"/>
          <w:color w:val="000000"/>
          <w:sz w:val="32"/>
          <w:szCs w:val="32"/>
        </w:rPr>
        <w:t>教育支出（类）教育管理事务（款）行政运行（项）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244.93</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2.</w:t>
      </w:r>
      <w:r>
        <w:rPr>
          <w:rStyle w:val="16"/>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26.49</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3.</w:t>
      </w:r>
      <w:r>
        <w:rPr>
          <w:rStyle w:val="16"/>
          <w:rFonts w:hint="eastAsia" w:ascii="仿宋_GB2312" w:eastAsia="仿宋_GB2312" w:cs="仿宋_GB2312"/>
          <w:b w:val="0"/>
          <w:bCs w:val="0"/>
          <w:color w:val="000000"/>
          <w:sz w:val="32"/>
          <w:szCs w:val="32"/>
        </w:rPr>
        <w:t>社会保障和就业支出（类）行政事业单位离退休（款）机关事业单位职业年金缴费支出（项）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13.25</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4.</w:t>
      </w:r>
      <w:r>
        <w:rPr>
          <w:rStyle w:val="16"/>
          <w:rFonts w:hint="eastAsia" w:ascii="仿宋_GB2312" w:eastAsia="仿宋_GB2312" w:cs="仿宋_GB2312"/>
          <w:b w:val="0"/>
          <w:bCs w:val="0"/>
          <w:color w:val="000000"/>
          <w:sz w:val="32"/>
          <w:szCs w:val="32"/>
        </w:rPr>
        <w:t>卫生健康支出（类）行政事业单位医疗（款）行政单位医疗（项）</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15.96</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5.</w:t>
      </w:r>
      <w:r>
        <w:rPr>
          <w:rStyle w:val="16"/>
          <w:rFonts w:hint="eastAsia" w:ascii="仿宋_GB2312" w:eastAsia="仿宋_GB2312" w:cs="仿宋_GB2312"/>
          <w:b w:val="0"/>
          <w:bCs w:val="0"/>
          <w:color w:val="000000"/>
          <w:sz w:val="32"/>
          <w:szCs w:val="32"/>
        </w:rPr>
        <w:t>农林水支出（类）扶贫（款）其他扶贫支出（项）：支出决算为</w:t>
      </w:r>
      <w:r>
        <w:rPr>
          <w:rStyle w:val="16"/>
          <w:rFonts w:ascii="仿宋_GB2312" w:eastAsia="仿宋_GB2312" w:cs="仿宋_GB2312"/>
          <w:b w:val="0"/>
          <w:bCs w:val="0"/>
          <w:color w:val="000000"/>
          <w:sz w:val="32"/>
          <w:szCs w:val="32"/>
        </w:rPr>
        <w:t>1.2</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住房保障支出（类）住房改革支出（款）住房公积金（项）：</w:t>
      </w:r>
      <w:r>
        <w:rPr>
          <w:rStyle w:val="16"/>
          <w:rFonts w:hint="eastAsia" w:ascii="仿宋_GB2312" w:eastAsia="仿宋_GB2312" w:cs="仿宋_GB2312"/>
          <w:b w:val="0"/>
          <w:bCs w:val="0"/>
          <w:color w:val="000000"/>
          <w:sz w:val="32"/>
          <w:szCs w:val="32"/>
        </w:rPr>
        <w:t>支出决算为</w:t>
      </w:r>
      <w:r>
        <w:rPr>
          <w:rFonts w:hint="eastAsia" w:ascii="仿宋_GB2312" w:eastAsia="仿宋_GB2312" w:cs="仿宋_GB2312"/>
          <w:color w:val="000000"/>
          <w:sz w:val="32"/>
          <w:szCs w:val="32"/>
          <w:lang w:val="en-US" w:eastAsia="zh-CN"/>
        </w:rPr>
        <w:t>22.29</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rPr>
        <w:t>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20"/>
        </w:rPr>
      </w:pPr>
      <w:bookmarkStart w:id="36" w:name="_Toc15377214"/>
      <w:bookmarkStart w:id="37" w:name="_Toc15396608"/>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20"/>
          <w:rFonts w:hint="eastAsia" w:ascii="黑体" w:eastAsia="黑体" w:cs="黑体"/>
          <w:b w:val="0"/>
          <w:bCs w:val="0"/>
        </w:rPr>
        <w:t>般公共预算财政拨款基本支出决算情况说明</w:t>
      </w:r>
      <w:bookmarkEnd w:id="36"/>
      <w:bookmarkEnd w:id="37"/>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2年一般公共预算财政拨款基本支出</w:t>
      </w:r>
      <w:r>
        <w:rPr>
          <w:rFonts w:hint="eastAsia" w:ascii="仿宋_GB2312" w:eastAsia="仿宋_GB2312" w:cs="仿宋_GB2312"/>
          <w:color w:val="000000"/>
          <w:sz w:val="32"/>
          <w:szCs w:val="32"/>
          <w:lang w:val="en-US" w:eastAsia="zh-CN"/>
        </w:rPr>
        <w:t>322.91</w:t>
      </w:r>
      <w:r>
        <w:rPr>
          <w:rFonts w:hint="eastAsia" w:ascii="仿宋_GB2312" w:eastAsia="仿宋_GB2312" w:cs="仿宋_GB2312"/>
          <w:color w:val="000000"/>
          <w:sz w:val="32"/>
          <w:szCs w:val="32"/>
        </w:rPr>
        <w:t>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hint="eastAsia" w:ascii="仿宋_GB2312" w:eastAsia="仿宋_GB2312" w:cs="仿宋_GB2312"/>
          <w:color w:val="000000"/>
          <w:sz w:val="32"/>
          <w:szCs w:val="32"/>
          <w:lang w:val="en-US" w:eastAsia="zh-CN"/>
        </w:rPr>
        <w:t>310.58</w:t>
      </w:r>
      <w:r>
        <w:rPr>
          <w:rFonts w:hint="eastAsia" w:ascii="仿宋_GB2312" w:eastAsia="仿宋_GB2312" w:cs="仿宋_GB2312"/>
          <w:color w:val="000000"/>
          <w:sz w:val="32"/>
          <w:szCs w:val="32"/>
        </w:rPr>
        <w:t>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w:t>
      </w:r>
      <w:r>
        <w:rPr>
          <w:rFonts w:hint="eastAsia" w:ascii="仿宋_GB2312" w:eastAsia="仿宋_GB2312" w:cs="仿宋_GB2312"/>
          <w:color w:val="000000"/>
          <w:sz w:val="32"/>
          <w:szCs w:val="32"/>
          <w:lang w:val="en-US" w:eastAsia="zh-CN"/>
        </w:rPr>
        <w:t>12.33</w:t>
      </w:r>
      <w:r>
        <w:rPr>
          <w:rFonts w:hint="eastAsia" w:ascii="仿宋_GB2312" w:eastAsia="仿宋_GB2312" w:cs="仿宋_GB2312"/>
          <w:color w:val="000000"/>
          <w:sz w:val="32"/>
          <w:szCs w:val="32"/>
        </w:rPr>
        <w:t>万元，主要包括：办公费、水费、电费、邮电费、差旅费、培训费、公务接待费支出等。</w:t>
      </w:r>
    </w:p>
    <w:p>
      <w:pPr>
        <w:spacing w:line="560" w:lineRule="exact"/>
        <w:ind w:firstLine="640" w:firstLineChars="200"/>
        <w:rPr>
          <w:rStyle w:val="20"/>
          <w:rFonts w:ascii="黑体" w:eastAsia="黑体" w:cs="Times New Roman"/>
          <w:b w:val="0"/>
          <w:bCs w:val="0"/>
        </w:rPr>
      </w:pPr>
      <w:bookmarkStart w:id="38" w:name="_Toc15377215"/>
      <w:bookmarkStart w:id="39" w:name="_Toc15396609"/>
      <w:r>
        <w:rPr>
          <w:rFonts w:hint="eastAsia" w:ascii="黑体" w:eastAsia="黑体" w:cs="黑体"/>
          <w:color w:val="000000"/>
          <w:sz w:val="32"/>
          <w:szCs w:val="32"/>
        </w:rPr>
        <w:t>七、</w:t>
      </w:r>
      <w:r>
        <w:rPr>
          <w:rStyle w:val="20"/>
          <w:rFonts w:hint="eastAsia" w:ascii="黑体" w:eastAsia="黑体" w:cs="黑体"/>
        </w:rPr>
        <w:t>“</w:t>
      </w:r>
      <w:r>
        <w:rPr>
          <w:rStyle w:val="20"/>
          <w:rFonts w:hint="eastAsia" w:ascii="黑体" w:eastAsia="黑体" w:cs="黑体"/>
          <w:b w:val="0"/>
          <w:bCs w:val="0"/>
        </w:rPr>
        <w:t>三公”经费财政拨款支出决算情况说明</w:t>
      </w:r>
      <w:bookmarkEnd w:id="38"/>
      <w:bookmarkEnd w:id="39"/>
    </w:p>
    <w:p>
      <w:pPr>
        <w:spacing w:line="560" w:lineRule="exact"/>
        <w:ind w:firstLine="629" w:firstLineChars="196"/>
        <w:outlineLvl w:val="1"/>
        <w:rPr>
          <w:rFonts w:ascii="楷体" w:eastAsia="楷体" w:cs="楷体"/>
          <w:b/>
          <w:bCs/>
          <w:color w:val="000000"/>
          <w:sz w:val="32"/>
          <w:szCs w:val="32"/>
        </w:rPr>
      </w:pPr>
      <w:bookmarkStart w:id="40" w:name="_Toc15377216"/>
      <w:r>
        <w:rPr>
          <w:rFonts w:hint="eastAsia" w:ascii="楷体" w:eastAsia="楷体" w:cs="楷体"/>
          <w:b/>
          <w:bCs/>
          <w:color w:val="000000"/>
          <w:sz w:val="32"/>
          <w:szCs w:val="32"/>
        </w:rPr>
        <w:t>（一）“三公”经费财政拨款支出决算总体情况说明</w:t>
      </w:r>
      <w:bookmarkEnd w:id="40"/>
    </w:p>
    <w:p>
      <w:pPr>
        <w:widowControl/>
        <w:spacing w:line="560" w:lineRule="exact"/>
        <w:ind w:firstLine="640" w:firstLineChars="200"/>
        <w:jc w:val="left"/>
        <w:rPr>
          <w:rFonts w:ascii="??" w:hAnsi="??"/>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2年“三公”经费财政拨款支出决算为</w:t>
      </w:r>
      <w:r>
        <w:rPr>
          <w:rFonts w:ascii="仿宋_GB2312" w:eastAsia="仿宋_GB2312" w:cs="仿宋_GB2312"/>
          <w:color w:val="000000"/>
          <w:sz w:val="32"/>
          <w:szCs w:val="32"/>
        </w:rPr>
        <w:t>0.</w:t>
      </w:r>
      <w:r>
        <w:rPr>
          <w:rFonts w:hint="eastAsia" w:ascii="仿宋_GB2312" w:eastAsia="仿宋_GB2312" w:cs="仿宋_GB2312"/>
          <w:color w:val="000000"/>
          <w:sz w:val="32"/>
          <w:szCs w:val="32"/>
        </w:rPr>
        <w:t>11万元，完成预算65</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bookmarkStart w:id="41" w:name="_Toc15377217"/>
    </w:p>
    <w:p>
      <w:pPr>
        <w:widowControl/>
        <w:spacing w:line="560" w:lineRule="exact"/>
        <w:ind w:firstLine="642"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1"/>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万元；公务接待费支出决算0.11万元，占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。具体情况如下：接待阿坝开放大学到我校开展“茂县村（社）干部‘双提升’班”送教活动，公务接待2批次，10人次（不包括陪同人员）。</w:t>
      </w:r>
    </w:p>
    <w:p>
      <w:pPr>
        <w:widowControl/>
        <w:spacing w:line="560" w:lineRule="exact"/>
        <w:ind w:firstLine="562" w:firstLineChars="200"/>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7</w:t>
      </w:r>
      <w:r>
        <w:rPr>
          <w:rFonts w:hint="eastAsia" w:ascii="宋体" w:cs="宋体"/>
          <w:b/>
          <w:bCs/>
          <w:color w:val="000000"/>
          <w:kern w:val="0"/>
          <w:sz w:val="28"/>
          <w:szCs w:val="28"/>
        </w:rPr>
        <w:t>：“三公”经费财政拨款支出结构（单位：万元）</w:t>
      </w:r>
    </w:p>
    <w:p>
      <w:pPr>
        <w:widowControl/>
        <w:spacing w:line="560" w:lineRule="exact"/>
        <w:ind w:firstLine="420" w:firstLineChars="200"/>
        <w:jc w:val="left"/>
        <w:rPr>
          <w:rFonts w:ascii="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643890</wp:posOffset>
            </wp:positionH>
            <wp:positionV relativeFrom="paragraph">
              <wp:posOffset>108585</wp:posOffset>
            </wp:positionV>
            <wp:extent cx="3982720" cy="2521585"/>
            <wp:effectExtent l="0" t="0" r="2" b="25"/>
            <wp:wrapSquare wrapText="bothSides"/>
            <wp:docPr id="22" name="_x0000_s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s1053"/>
                    <pic:cNvPicPr>
                      <a:picLocks noChangeAspect="1"/>
                    </pic:cNvPicPr>
                  </pic:nvPicPr>
                  <pic:blipFill>
                    <a:blip r:embed="rId13"/>
                    <a:stretch>
                      <a:fillRect/>
                    </a:stretch>
                  </pic:blipFill>
                  <pic:spPr>
                    <a:xfrm>
                      <a:off x="0" y="0"/>
                      <a:ext cx="3982720" cy="2521585"/>
                    </a:xfrm>
                    <a:prstGeom prst="rect">
                      <a:avLst/>
                    </a:prstGeom>
                    <a:noFill/>
                    <a:ln w="9525" cap="flat" cmpd="sng">
                      <a:noFill/>
                      <a:prstDash val="solid"/>
                      <a:miter/>
                    </a:ln>
                  </pic:spPr>
                </pic:pic>
              </a:graphicData>
            </a:graphic>
          </wp:anchor>
        </w:drawing>
      </w:r>
    </w:p>
    <w:p>
      <w:pPr>
        <w:pStyle w:val="2"/>
        <w:rPr>
          <w:b/>
          <w:bCs/>
          <w:color w:val="000000"/>
          <w:sz w:val="28"/>
          <w:szCs w:val="28"/>
        </w:rPr>
      </w:pPr>
    </w:p>
    <w:p>
      <w:pPr>
        <w:pStyle w:val="3"/>
      </w:pPr>
    </w:p>
    <w:p>
      <w:pPr>
        <w:widowControl/>
        <w:spacing w:line="560" w:lineRule="exact"/>
        <w:ind w:firstLine="562" w:firstLineChars="200"/>
        <w:jc w:val="left"/>
        <w:rPr>
          <w:rFonts w:ascii="宋体"/>
          <w:b/>
          <w:bCs/>
          <w:color w:val="000000"/>
          <w:kern w:val="0"/>
          <w:sz w:val="28"/>
          <w:szCs w:val="28"/>
        </w:rPr>
      </w:pP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p>
    <w:p>
      <w:pPr>
        <w:spacing w:line="560" w:lineRule="exact"/>
        <w:rPr>
          <w:rFonts w:ascii="仿宋_GB2312" w:eastAsia="仿宋_GB2312" w:cs="仿宋_GB2312"/>
          <w:color w:val="000000"/>
          <w:sz w:val="32"/>
          <w:szCs w:val="32"/>
        </w:rPr>
      </w:pPr>
    </w:p>
    <w:p>
      <w:pPr>
        <w:spacing w:line="560" w:lineRule="exact"/>
        <w:ind w:firstLine="640" w:firstLineChars="200"/>
        <w:rPr>
          <w:rFonts w:hint="eastAsia" w:ascii="仿宋_GB2312" w:eastAsia="仿宋_GB2312"/>
          <w:color w:val="000000"/>
          <w:sz w:val="32"/>
          <w:szCs w:val="32"/>
          <w:lang w:eastAsia="zh-CN"/>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lang w:eastAsia="zh-CN"/>
        </w:rPr>
        <w:t>与上年数相比，无变化。</w:t>
      </w:r>
    </w:p>
    <w:p>
      <w:pPr>
        <w:spacing w:line="560" w:lineRule="exact"/>
        <w:ind w:firstLine="640" w:firstLineChars="200"/>
        <w:rPr>
          <w:rStyle w:val="16"/>
          <w:rFonts w:hint="eastAsia" w:ascii="仿宋_GB2312" w:eastAsia="仿宋_GB2312" w:cs="仿宋_GB2312"/>
          <w:b w:val="0"/>
          <w:bCs w:val="0"/>
          <w:color w:val="000000"/>
          <w:sz w:val="32"/>
          <w:szCs w:val="32"/>
          <w:lang w:eastAsia="zh-CN"/>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lang w:eastAsia="zh-CN"/>
        </w:rPr>
        <w:t>公务用车购置及运行维护费支出决算与2021年相比无增减。主要原因是单位无公车，也无公务用车运行维护费的预算。</w:t>
      </w:r>
    </w:p>
    <w:p>
      <w:pPr>
        <w:spacing w:line="560" w:lineRule="exact"/>
        <w:ind w:firstLine="640" w:firstLineChars="200"/>
        <w:rPr>
          <w:rStyle w:val="16"/>
          <w:rFonts w:hint="eastAsia" w:ascii="仿宋_GB2312" w:eastAsia="仿宋_GB2312" w:cs="仿宋_GB2312"/>
          <w:b w:val="0"/>
          <w:bCs w:val="0"/>
          <w:color w:val="000000"/>
          <w:sz w:val="32"/>
          <w:szCs w:val="32"/>
          <w:lang w:eastAsia="zh-CN"/>
        </w:rPr>
      </w:pPr>
      <w:r>
        <w:rPr>
          <w:rStyle w:val="16"/>
          <w:rFonts w:hint="eastAsia" w:ascii="仿宋_GB2312" w:eastAsia="仿宋_GB2312" w:cs="仿宋_GB2312"/>
          <w:b w:val="0"/>
          <w:bCs w:val="0"/>
          <w:color w:val="000000"/>
          <w:sz w:val="32"/>
          <w:szCs w:val="32"/>
          <w:lang w:eastAsia="zh-CN"/>
        </w:rPr>
        <w:t>其中：公务用车购置支出0万元。全年按规定更新购置公务用车0辆，其中：轿车0辆，金额0万元；越野车0辆、金额0万元；载客汽车0辆，金额0万元。截至2022年12月底，单位共有公务用车0辆，其中：轿车0辆、越野车0辆、载客汽车0辆。</w:t>
      </w:r>
    </w:p>
    <w:p>
      <w:pPr>
        <w:spacing w:line="560" w:lineRule="exact"/>
        <w:ind w:firstLine="640" w:firstLineChars="200"/>
        <w:rPr>
          <w:rFonts w:ascii="仿宋_GB2312" w:eastAsia="仿宋_GB2312"/>
          <w:color w:val="000000"/>
          <w:sz w:val="32"/>
          <w:szCs w:val="32"/>
        </w:rPr>
      </w:pPr>
      <w:r>
        <w:rPr>
          <w:rStyle w:val="16"/>
          <w:rFonts w:hint="eastAsia" w:ascii="仿宋_GB2312" w:eastAsia="仿宋_GB2312" w:cs="仿宋_GB2312"/>
          <w:b w:val="0"/>
          <w:bCs w:val="0"/>
          <w:color w:val="000000"/>
          <w:sz w:val="32"/>
          <w:szCs w:val="32"/>
          <w:lang w:eastAsia="zh-CN"/>
        </w:rPr>
        <w:t>公务用车运行维护费支出0万元。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w:t>
      </w:r>
      <w:r>
        <w:rPr>
          <w:rFonts w:ascii="仿宋_GB2312" w:eastAsia="仿宋_GB2312" w:cs="仿宋_GB2312"/>
          <w:color w:val="000000"/>
          <w:sz w:val="32"/>
          <w:szCs w:val="32"/>
        </w:rPr>
        <w:t>0.1</w:t>
      </w:r>
      <w:r>
        <w:rPr>
          <w:rFonts w:hint="eastAsia" w:ascii="仿宋_GB2312" w:eastAsia="仿宋_GB2312" w:cs="仿宋_GB2312"/>
          <w:color w:val="000000"/>
          <w:sz w:val="32"/>
          <w:szCs w:val="32"/>
        </w:rPr>
        <w:t>1万元，</w:t>
      </w:r>
      <w:r>
        <w:rPr>
          <w:rStyle w:val="16"/>
          <w:rFonts w:hint="eastAsia" w:ascii="仿宋_GB2312" w:eastAsia="仿宋_GB2312" w:cs="仿宋_GB2312"/>
          <w:b w:val="0"/>
          <w:bCs w:val="0"/>
          <w:color w:val="000000"/>
          <w:sz w:val="32"/>
          <w:szCs w:val="32"/>
        </w:rPr>
        <w:t>完成预算6</w:t>
      </w:r>
      <w:r>
        <w:rPr>
          <w:rStyle w:val="16"/>
          <w:rFonts w:ascii="仿宋_GB2312" w:eastAsia="仿宋_GB2312" w:cs="仿宋_GB2312"/>
          <w:b w:val="0"/>
          <w:bCs w:val="0"/>
          <w:color w:val="000000"/>
          <w:sz w:val="32"/>
          <w:szCs w:val="32"/>
        </w:rPr>
        <w:t>5%</w:t>
      </w:r>
      <w:r>
        <w:rPr>
          <w:rStyle w:val="16"/>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w:t>
      </w:r>
      <w:r>
        <w:rPr>
          <w:rFonts w:hint="eastAsia" w:ascii="仿宋_GB2312" w:eastAsia="仿宋_GB2312" w:cs="仿宋_GB2312"/>
          <w:color w:val="000000"/>
          <w:sz w:val="32"/>
          <w:szCs w:val="32"/>
        </w:rPr>
        <w:t>1年减少</w:t>
      </w:r>
      <w:r>
        <w:rPr>
          <w:rFonts w:ascii="仿宋_GB2312" w:eastAsia="仿宋_GB2312" w:cs="仿宋_GB2312"/>
          <w:color w:val="000000"/>
          <w:sz w:val="32"/>
          <w:szCs w:val="32"/>
        </w:rPr>
        <w:t>0.0</w:t>
      </w:r>
      <w:r>
        <w:rPr>
          <w:rFonts w:hint="eastAsia" w:ascii="仿宋_GB2312" w:eastAsia="仿宋_GB2312" w:cs="仿宋_GB2312"/>
          <w:color w:val="000000"/>
          <w:sz w:val="32"/>
          <w:szCs w:val="32"/>
        </w:rPr>
        <w:t>3万元。主要原因是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国内公务接待支出0.11万元，主要用于执行公务、开展业务活动开支的用餐费。国内公务接待</w:t>
      </w:r>
      <w:r>
        <w:rPr>
          <w:rFonts w:ascii="仿宋_GB2312" w:eastAsia="仿宋_GB2312" w:cs="仿宋_GB2312"/>
          <w:color w:val="000000"/>
          <w:sz w:val="32"/>
          <w:szCs w:val="32"/>
        </w:rPr>
        <w:t>2</w:t>
      </w:r>
      <w:r>
        <w:rPr>
          <w:rFonts w:hint="eastAsia" w:ascii="仿宋_GB2312" w:eastAsia="仿宋_GB2312" w:cs="仿宋_GB2312"/>
          <w:color w:val="000000"/>
          <w:sz w:val="32"/>
          <w:szCs w:val="32"/>
        </w:rPr>
        <w:t>批次，10人次（不包括陪同人员），共计支出</w:t>
      </w:r>
      <w:r>
        <w:rPr>
          <w:rFonts w:ascii="仿宋_GB2312" w:eastAsia="仿宋_GB2312" w:cs="仿宋_GB2312"/>
          <w:color w:val="000000"/>
          <w:sz w:val="32"/>
          <w:szCs w:val="32"/>
        </w:rPr>
        <w:t>0.1</w:t>
      </w:r>
      <w:r>
        <w:rPr>
          <w:rFonts w:hint="eastAsia" w:ascii="仿宋_GB2312" w:eastAsia="仿宋_GB2312" w:cs="仿宋_GB2312"/>
          <w:color w:val="000000"/>
          <w:sz w:val="32"/>
          <w:szCs w:val="32"/>
        </w:rPr>
        <w:t>1万元，具体内容包括：接待阿坝开放大学到我校开展“茂县村（社）干部‘双提升’班”送教活动。</w:t>
      </w:r>
      <w:bookmarkStart w:id="42" w:name="_Toc15377218"/>
      <w:bookmarkStart w:id="43" w:name="_Toc15396610"/>
    </w:p>
    <w:p>
      <w:pPr>
        <w:numPr>
          <w:ilvl w:val="0"/>
          <w:numId w:val="3"/>
        </w:numPr>
        <w:spacing w:line="560" w:lineRule="exact"/>
        <w:ind w:left="0" w:firstLine="640" w:firstLineChars="200"/>
        <w:rPr>
          <w:rStyle w:val="20"/>
          <w:rFonts w:ascii="黑体" w:eastAsia="黑体" w:cs="黑体"/>
          <w:b w:val="0"/>
          <w:bCs w:val="0"/>
        </w:rPr>
      </w:pPr>
      <w:r>
        <w:rPr>
          <w:rStyle w:val="20"/>
          <w:rFonts w:hint="eastAsia" w:ascii="黑体" w:eastAsia="黑体" w:cs="黑体"/>
          <w:b w:val="0"/>
          <w:bCs w:val="0"/>
        </w:rPr>
        <w:t>政府性基金预算支出决算情况说明</w:t>
      </w:r>
      <w:bookmarkEnd w:id="42"/>
      <w:bookmarkEnd w:id="43"/>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2年无政府性基金预算拨款支出。</w:t>
      </w:r>
      <w:bookmarkStart w:id="44" w:name="_Toc15396611"/>
      <w:bookmarkStart w:id="45" w:name="_Toc15377219"/>
    </w:p>
    <w:p>
      <w:pPr>
        <w:pStyle w:val="5"/>
        <w:spacing w:before="0" w:after="0" w:line="560" w:lineRule="exact"/>
        <w:ind w:firstLine="640" w:firstLineChars="200"/>
        <w:rPr>
          <w:rStyle w:val="20"/>
          <w:rFonts w:ascii="黑体" w:eastAsia="黑体" w:cs="Times New Roman"/>
          <w:b w:val="0"/>
          <w:bCs w:val="0"/>
        </w:rPr>
      </w:pPr>
      <w:r>
        <w:rPr>
          <w:rStyle w:val="20"/>
          <w:rFonts w:hint="eastAsia" w:ascii="黑体" w:eastAsia="黑体" w:cs="黑体"/>
          <w:b w:val="0"/>
          <w:bCs w:val="0"/>
        </w:rPr>
        <w:t>九、国有资本经营预算支出决算情况说明</w:t>
      </w:r>
      <w:bookmarkEnd w:id="44"/>
      <w:bookmarkEnd w:id="45"/>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2年无国有资本经营预算拨款支出。</w:t>
      </w:r>
    </w:p>
    <w:p>
      <w:pPr>
        <w:pStyle w:val="5"/>
        <w:spacing w:before="0" w:after="0" w:line="560" w:lineRule="exact"/>
        <w:ind w:firstLine="642" w:firstLineChars="200"/>
        <w:rPr>
          <w:rStyle w:val="20"/>
          <w:rFonts w:ascii="黑体" w:eastAsia="黑体" w:cs="黑体"/>
          <w:b/>
          <w:bCs/>
        </w:rPr>
      </w:pPr>
      <w:r>
        <w:rPr>
          <w:rStyle w:val="20"/>
          <w:rFonts w:hint="eastAsia" w:ascii="黑体" w:eastAsia="黑体" w:cs="黑体"/>
          <w:b/>
          <w:bCs/>
        </w:rPr>
        <w:t>十、其他重要事项的情况说明</w:t>
      </w:r>
    </w:p>
    <w:p>
      <w:pPr>
        <w:spacing w:line="560" w:lineRule="exact"/>
        <w:ind w:firstLine="642"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2年，我校机关运行经费支出8.58万元，比</w:t>
      </w:r>
      <w:r>
        <w:rPr>
          <w:rFonts w:ascii="仿宋_GB2312" w:eastAsia="仿宋_GB2312"/>
          <w:color w:val="000000"/>
          <w:sz w:val="32"/>
          <w:szCs w:val="32"/>
        </w:rPr>
        <w:t>202</w:t>
      </w:r>
      <w:r>
        <w:rPr>
          <w:rFonts w:hint="eastAsia" w:ascii="仿宋_GB2312" w:eastAsia="仿宋_GB2312"/>
          <w:color w:val="000000"/>
          <w:sz w:val="32"/>
          <w:szCs w:val="32"/>
        </w:rPr>
        <w:t>1年增加1.02万元。主要原因是</w:t>
      </w:r>
      <w:r>
        <w:rPr>
          <w:rFonts w:hint="eastAsia" w:ascii="仿宋_GB2312" w:eastAsia="仿宋_GB2312" w:cs="仿宋_GB2312"/>
          <w:color w:val="000000"/>
          <w:kern w:val="0"/>
          <w:sz w:val="32"/>
          <w:szCs w:val="32"/>
        </w:rPr>
        <w:t>人员经费增加。</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numPr>
          <w:ilvl w:val="0"/>
          <w:numId w:val="4"/>
        </w:numPr>
        <w:autoSpaceDE w:val="0"/>
        <w:autoSpaceDN w:val="0"/>
        <w:adjustRightInd w:val="0"/>
        <w:spacing w:line="560" w:lineRule="exact"/>
        <w:ind w:left="0" w:firstLine="642" w:firstLineChars="200"/>
        <w:jc w:val="left"/>
        <w:outlineLvl w:val="2"/>
        <w:rPr>
          <w:rFonts w:ascii="仿宋" w:eastAsia="仿宋"/>
          <w:b/>
          <w:color w:val="000000"/>
          <w:sz w:val="32"/>
          <w:szCs w:val="32"/>
        </w:rPr>
      </w:pPr>
      <w:r>
        <w:rPr>
          <w:rFonts w:hint="eastAsia" w:ascii="仿宋" w:eastAsia="仿宋"/>
          <w:b/>
          <w:color w:val="000000"/>
          <w:sz w:val="32"/>
          <w:szCs w:val="32"/>
        </w:rPr>
        <w:t>预算绩效管理情况</w:t>
      </w:r>
    </w:p>
    <w:p>
      <w:pPr>
        <w:autoSpaceDE w:val="0"/>
        <w:autoSpaceDN w:val="0"/>
        <w:adjustRightInd w:val="0"/>
        <w:spacing w:line="560" w:lineRule="exact"/>
        <w:ind w:firstLine="640" w:firstLineChars="200"/>
        <w:jc w:val="left"/>
        <w:outlineLvl w:val="2"/>
      </w:pP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202</w:t>
      </w:r>
      <w:r>
        <w:rPr>
          <w:rFonts w:hint="eastAsia" w:ascii="仿宋_GB2312" w:eastAsia="仿宋_GB2312" w:cs="仿宋_GB2312"/>
          <w:sz w:val="32"/>
          <w:szCs w:val="32"/>
        </w:rPr>
        <w:t>2年部门整体支出绩效评价情况开展自评，</w:t>
      </w:r>
      <w:r>
        <w:rPr>
          <w:rFonts w:ascii="仿宋_GB2312" w:eastAsia="仿宋_GB2312" w:cs="仿宋_GB2312"/>
          <w:color w:val="000000"/>
          <w:kern w:val="0"/>
          <w:sz w:val="32"/>
          <w:szCs w:val="32"/>
        </w:rPr>
        <w:t>202</w:t>
      </w:r>
      <w:r>
        <w:rPr>
          <w:rFonts w:hint="eastAsia" w:ascii="仿宋_GB2312" w:eastAsia="仿宋_GB2312" w:cs="仿宋_GB2312"/>
          <w:color w:val="000000"/>
          <w:kern w:val="0"/>
          <w:sz w:val="32"/>
          <w:szCs w:val="32"/>
        </w:rPr>
        <w:t>2年我校部门整体支出绩效评价自查自评结果良好，全年基本支出保证了部门的正常运行和日常工作的正常开展，绩效目标得到较好实现，绩效管理水平不断提高，绩效指标体系逐渐丰富和完善。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left="638" w:leftChars="304"/>
        <w:rPr>
          <w:rFonts w:ascii="楷体" w:eastAsia="楷体" w:cs="楷体"/>
          <w:b/>
          <w:bCs/>
          <w:sz w:val="32"/>
          <w:szCs w:val="32"/>
        </w:rPr>
      </w:pPr>
      <w:r>
        <w:rPr>
          <w:rFonts w:ascii="楷体" w:eastAsia="楷体" w:cs="楷体"/>
          <w:b/>
          <w:bCs/>
          <w:sz w:val="32"/>
          <w:szCs w:val="32"/>
        </w:rPr>
        <w:t>1.</w:t>
      </w:r>
      <w:r>
        <w:rPr>
          <w:rFonts w:hint="eastAsia" w:ascii="楷体" w:eastAsia="楷体" w:cs="楷体"/>
          <w:b/>
          <w:bCs/>
          <w:sz w:val="32"/>
          <w:szCs w:val="32"/>
        </w:rPr>
        <w:t>项目绩效目标完成情况</w:t>
      </w:r>
    </w:p>
    <w:p>
      <w:pPr>
        <w:pStyle w:val="22"/>
        <w:widowControl/>
        <w:spacing w:line="560" w:lineRule="exact"/>
        <w:ind w:firstLine="480" w:firstLineChars="150"/>
        <w:textAlignment w:val="center"/>
        <w:rPr>
          <w:rFonts w:ascii="仿宋_GB2312" w:eastAsia="仿宋_GB2312" w:cs="仿宋_GB2312"/>
          <w:kern w:val="0"/>
          <w:sz w:val="32"/>
          <w:szCs w:val="32"/>
        </w:rPr>
      </w:pPr>
      <w:r>
        <w:rPr>
          <w:rFonts w:hint="eastAsia" w:ascii="仿宋_GB2312" w:eastAsia="仿宋_GB2312" w:cs="仿宋_GB2312"/>
          <w:kern w:val="0"/>
          <w:sz w:val="32"/>
          <w:szCs w:val="32"/>
        </w:rPr>
        <w:t>我校在</w:t>
      </w:r>
      <w:r>
        <w:rPr>
          <w:rFonts w:ascii="仿宋_GB2312" w:eastAsia="仿宋_GB2312" w:cs="仿宋_GB2312"/>
          <w:kern w:val="0"/>
          <w:sz w:val="32"/>
          <w:szCs w:val="32"/>
        </w:rPr>
        <w:t>202</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年度部门决算中反映</w:t>
      </w:r>
      <w:r>
        <w:rPr>
          <w:rFonts w:ascii="仿宋_GB2312" w:eastAsia="仿宋_GB2312" w:cs="仿宋_GB2312"/>
          <w:kern w:val="0"/>
          <w:sz w:val="32"/>
          <w:szCs w:val="32"/>
        </w:rPr>
        <w:t>1</w:t>
      </w:r>
      <w:r>
        <w:rPr>
          <w:rFonts w:hint="eastAsia" w:ascii="仿宋_GB2312" w:eastAsia="仿宋_GB2312" w:cs="仿宋_GB2312"/>
          <w:kern w:val="0"/>
          <w:sz w:val="32"/>
          <w:szCs w:val="32"/>
        </w:rPr>
        <w:t>个项目绩效目标实际完成情况。</w:t>
      </w:r>
    </w:p>
    <w:p>
      <w:pPr>
        <w:pStyle w:val="22"/>
        <w:widowControl/>
        <w:spacing w:line="560" w:lineRule="exact"/>
        <w:ind w:firstLine="480" w:firstLineChars="150"/>
        <w:textAlignment w:val="center"/>
        <w:rPr>
          <w:rFonts w:ascii="黑体" w:eastAsia="黑体" w:cs="黑体"/>
          <w:color w:val="000000"/>
          <w:kern w:val="0"/>
          <w:sz w:val="36"/>
          <w:szCs w:val="36"/>
        </w:rPr>
      </w:pPr>
      <w:r>
        <w:rPr>
          <w:rFonts w:hint="eastAsia" w:ascii="仿宋_GB2312" w:eastAsia="仿宋_GB2312"/>
          <w:color w:val="000000"/>
          <w:sz w:val="32"/>
          <w:szCs w:val="32"/>
        </w:rPr>
        <w:t>“驻村工作队队员乡镇补贴和临岗补贴”项目绩效目标完成情况。项目全年预算数</w:t>
      </w:r>
      <w:r>
        <w:rPr>
          <w:rFonts w:ascii="仿宋_GB2312" w:eastAsia="仿宋_GB2312"/>
          <w:color w:val="000000"/>
          <w:sz w:val="32"/>
          <w:szCs w:val="32"/>
        </w:rPr>
        <w:t>1.2</w:t>
      </w:r>
      <w:r>
        <w:rPr>
          <w:rFonts w:hint="eastAsia" w:ascii="仿宋_GB2312" w:eastAsia="仿宋_GB2312"/>
          <w:color w:val="000000"/>
          <w:sz w:val="32"/>
          <w:szCs w:val="32"/>
        </w:rPr>
        <w:t>万元，执行数为</w:t>
      </w:r>
      <w:r>
        <w:rPr>
          <w:rFonts w:ascii="仿宋_GB2312" w:eastAsia="仿宋_GB2312"/>
          <w:color w:val="000000"/>
          <w:sz w:val="32"/>
          <w:szCs w:val="32"/>
        </w:rPr>
        <w:t>1.2</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s="仿宋_GB2312"/>
          <w:kern w:val="0"/>
          <w:sz w:val="32"/>
          <w:szCs w:val="32"/>
        </w:rPr>
        <w:t>。通过项目实施，保障了驻村工作队经费，有力提高了驻村干部在基层的工作干劲，确保驻村工作正常开展，全面提升了乡村振兴工作效率。</w:t>
      </w:r>
    </w:p>
    <w:tbl>
      <w:tblPr>
        <w:tblStyle w:val="14"/>
        <w:tblpPr w:leftFromText="180" w:rightFromText="180" w:vertAnchor="text" w:horzAnchor="page" w:tblpXSpec="center" w:tblpY="423"/>
        <w:tblOverlap w:val="never"/>
        <w:tblW w:w="101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596"/>
        <w:gridCol w:w="2190"/>
        <w:gridCol w:w="2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134" w:type="dxa"/>
            <w:gridSpan w:val="6"/>
            <w:noWrap/>
            <w:tcMar>
              <w:top w:w="15" w:type="dxa"/>
              <w:left w:w="15" w:type="dxa"/>
              <w:right w:w="15" w:type="dxa"/>
            </w:tcMar>
            <w:vAlign w:val="center"/>
          </w:tcPr>
          <w:p>
            <w:pPr>
              <w:pStyle w:val="22"/>
              <w:widowControl/>
              <w:spacing w:line="560" w:lineRule="exact"/>
              <w:ind w:firstLine="0" w:firstLineChars="0"/>
              <w:jc w:val="center"/>
              <w:textAlignment w:val="center"/>
              <w:rPr>
                <w:rFonts w:ascii="黑体" w:eastAsia="黑体" w:cs="黑体"/>
                <w:color w:val="000000"/>
                <w:kern w:val="0"/>
                <w:sz w:val="36"/>
                <w:szCs w:val="36"/>
              </w:rPr>
            </w:pPr>
            <w:r>
              <w:rPr>
                <w:rFonts w:hint="eastAsia" w:ascii="黑体" w:eastAsia="黑体" w:cs="黑体"/>
                <w:color w:val="000000"/>
                <w:kern w:val="0"/>
                <w:sz w:val="36"/>
                <w:szCs w:val="36"/>
              </w:rPr>
              <w:t>项目支出绩效目标完成情况表</w:t>
            </w:r>
          </w:p>
          <w:p>
            <w:pPr>
              <w:pStyle w:val="22"/>
              <w:widowControl/>
              <w:spacing w:line="560" w:lineRule="exact"/>
              <w:ind w:left="4170" w:leftChars="1823" w:hanging="342" w:hangingChars="95"/>
              <w:textAlignment w:val="center"/>
              <w:rPr>
                <w:rFonts w:ascii="宋体"/>
                <w:color w:val="000000"/>
                <w:sz w:val="36"/>
                <w:szCs w:val="36"/>
              </w:rPr>
            </w:pPr>
            <w:r>
              <w:rPr>
                <w:rFonts w:ascii="宋体" w:cs="宋体"/>
                <w:color w:val="000000"/>
                <w:kern w:val="0"/>
                <w:sz w:val="36"/>
                <w:szCs w:val="36"/>
              </w:rPr>
              <w:t>(202</w:t>
            </w:r>
            <w:r>
              <w:rPr>
                <w:rFonts w:hint="eastAsia" w:ascii="宋体" w:cs="宋体"/>
                <w:color w:val="000000"/>
                <w:kern w:val="0"/>
                <w:sz w:val="36"/>
                <w:szCs w:val="36"/>
                <w:lang w:val="en-US" w:eastAsia="zh-CN"/>
              </w:rPr>
              <w:t>2</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s="宋体"/>
                <w:color w:val="000000"/>
                <w:kern w:val="0"/>
                <w:sz w:val="32"/>
                <w:szCs w:val="32"/>
              </w:rPr>
              <w:t>项目名称</w:t>
            </w:r>
          </w:p>
        </w:tc>
        <w:tc>
          <w:tcPr>
            <w:tcW w:w="73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驻村工作队队员乡镇补贴和临岗补贴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预算单位</w:t>
            </w:r>
          </w:p>
        </w:tc>
        <w:tc>
          <w:tcPr>
            <w:tcW w:w="73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茂县县委党校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sz w:val="32"/>
                <w:szCs w:val="32"/>
              </w:rPr>
              <w:t>1.2</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仿宋_GB2312" w:eastAsia="仿宋_GB2312"/>
                <w:color w:val="000000"/>
                <w:sz w:val="32"/>
                <w:szCs w:val="32"/>
              </w:rPr>
              <w:t>1.2</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s="宋体"/>
                <w:color w:val="000000"/>
                <w:kern w:val="0"/>
                <w:sz w:val="24"/>
                <w:szCs w:val="24"/>
              </w:rPr>
              <w:t>0</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60" w:lineRule="exact"/>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98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预期目标</w:t>
            </w:r>
          </w:p>
        </w:tc>
        <w:tc>
          <w:tcPr>
            <w:tcW w:w="475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98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left"/>
              <w:textAlignment w:val="center"/>
              <w:rPr>
                <w:rFonts w:ascii="宋体" w:hAnsi="宋体" w:eastAsia="仿宋_GB2312"/>
                <w:color w:val="000000"/>
                <w:sz w:val="32"/>
                <w:szCs w:val="32"/>
              </w:rPr>
            </w:pPr>
            <w:r>
              <w:rPr>
                <w:rFonts w:hint="eastAsia" w:ascii="宋体" w:hAnsi="宋体" w:eastAsia="仿宋_GB2312"/>
                <w:color w:val="000000"/>
              </w:rPr>
              <w:t>严格落实（川委办[2017]20号）文件精神的要求，进一步加大驻村工作队队员激励保障工作力度。</w:t>
            </w:r>
          </w:p>
        </w:tc>
        <w:tc>
          <w:tcPr>
            <w:tcW w:w="475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textAlignment w:val="center"/>
              <w:rPr>
                <w:rFonts w:ascii="宋体"/>
                <w:color w:val="000000"/>
                <w:sz w:val="24"/>
                <w:szCs w:val="24"/>
              </w:rPr>
            </w:pPr>
            <w:r>
              <w:rPr>
                <w:rFonts w:hint="eastAsia" w:ascii="宋体" w:hAnsi="宋体" w:eastAsia="仿宋_GB2312"/>
                <w:color w:val="000000"/>
                <w:sz w:val="32"/>
                <w:szCs w:val="32"/>
              </w:rPr>
              <w:t xml:space="preserve"> </w:t>
            </w:r>
            <w:r>
              <w:rPr>
                <w:rFonts w:hint="eastAsia" w:ascii="仿宋_GB2312" w:eastAsia="仿宋_GB2312"/>
                <w:color w:val="000000"/>
              </w:rPr>
              <w:t>202</w:t>
            </w:r>
            <w:r>
              <w:rPr>
                <w:rFonts w:hint="eastAsia" w:ascii="仿宋_GB2312" w:eastAsia="仿宋_GB2312"/>
                <w:color w:val="000000"/>
                <w:lang w:val="en-US" w:eastAsia="zh-CN"/>
              </w:rPr>
              <w:t>2</w:t>
            </w:r>
            <w:r>
              <w:rPr>
                <w:rFonts w:hint="eastAsia" w:ascii="仿宋_GB2312" w:eastAsia="仿宋_GB2312"/>
                <w:color w:val="000000"/>
              </w:rPr>
              <w:t>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二级指标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三级指标</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olor w:val="000000"/>
              </w:rPr>
              <w:t>数量指标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rPr>
              <w:t>1.2</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rPr>
            </w:pPr>
            <w:r>
              <w:rPr>
                <w:rFonts w:hint="eastAsia" w:ascii="仿宋_GB2312" w:eastAsia="仿宋_GB2312"/>
                <w:color w:val="000000"/>
              </w:rPr>
              <w:t>支出驻村工作队乡镇工作和临岗补贴1.2万元</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rPr>
            </w:pPr>
            <w:r>
              <w:rPr>
                <w:rFonts w:hint="eastAsia" w:ascii="仿宋_GB2312" w:eastAsia="仿宋_GB2312"/>
                <w:color w:val="000000"/>
              </w:rPr>
              <w:t>202</w:t>
            </w:r>
            <w:r>
              <w:rPr>
                <w:rFonts w:hint="eastAsia" w:ascii="仿宋_GB2312" w:eastAsia="仿宋_GB2312"/>
                <w:color w:val="000000"/>
                <w:lang w:val="en-US" w:eastAsia="zh-CN"/>
              </w:rPr>
              <w:t>2</w:t>
            </w:r>
            <w:r>
              <w:rPr>
                <w:rFonts w:hint="eastAsia" w:ascii="仿宋_GB2312" w:eastAsia="仿宋_GB2312"/>
                <w:color w:val="000000"/>
              </w:rPr>
              <w:t>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时效指标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完成的时间</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w:t>
            </w:r>
            <w:r>
              <w:rPr>
                <w:rFonts w:hint="eastAsia" w:ascii="宋体"/>
                <w:color w:val="000000"/>
                <w:sz w:val="24"/>
                <w:szCs w:val="24"/>
                <w:lang w:val="en-US" w:eastAsia="zh-CN"/>
              </w:rPr>
              <w:t>2</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w:t>
            </w:r>
            <w:r>
              <w:rPr>
                <w:rFonts w:hint="eastAsia" w:ascii="宋体"/>
                <w:color w:val="000000"/>
                <w:sz w:val="24"/>
                <w:szCs w:val="24"/>
                <w:lang w:val="en-US" w:eastAsia="zh-CN"/>
              </w:rPr>
              <w:t>2</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社会效益指标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s="宋体"/>
                <w:color w:val="000000"/>
                <w:sz w:val="24"/>
                <w:szCs w:val="24"/>
              </w:rPr>
            </w:pPr>
            <w:r>
              <w:rPr>
                <w:rFonts w:hint="eastAsia" w:ascii="宋体" w:cs="宋体"/>
                <w:kern w:val="0"/>
                <w:sz w:val="24"/>
                <w:szCs w:val="24"/>
              </w:rPr>
              <w:t>有力提高了驻村干部在基层的工作干劲，确保驻村工作正常开展</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s="宋体"/>
                <w:color w:val="000000"/>
                <w:sz w:val="24"/>
                <w:szCs w:val="24"/>
              </w:rPr>
            </w:pPr>
            <w:r>
              <w:rPr>
                <w:rFonts w:hint="eastAsia" w:ascii="宋体" w:cs="宋体"/>
                <w:kern w:val="0"/>
                <w:sz w:val="24"/>
                <w:szCs w:val="24"/>
              </w:rPr>
              <w:t xml:space="preserve">   全面提升了乡村振兴工作效率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bl>
    <w:p>
      <w:pPr>
        <w:spacing w:line="560" w:lineRule="exact"/>
        <w:ind w:firstLine="642" w:firstLineChars="200"/>
        <w:outlineLvl w:val="1"/>
        <w:rPr>
          <w:rFonts w:ascii="楷体" w:eastAsia="楷体" w:cs="楷体"/>
          <w:b/>
          <w:bCs/>
          <w:sz w:val="32"/>
          <w:szCs w:val="32"/>
        </w:rPr>
      </w:pPr>
      <w:r>
        <w:rPr>
          <w:rFonts w:ascii="楷体" w:eastAsia="楷体" w:cs="楷体"/>
          <w:b/>
          <w:bCs/>
          <w:sz w:val="32"/>
          <w:szCs w:val="32"/>
        </w:rPr>
        <w:t>2.</w:t>
      </w:r>
      <w:bookmarkStart w:id="46" w:name="_Toc15396612"/>
      <w:bookmarkStart w:id="47" w:name="_Toc15377221"/>
      <w:r>
        <w:rPr>
          <w:rFonts w:hint="eastAsia" w:ascii="楷体" w:eastAsia="楷体" w:cs="楷体"/>
          <w:b/>
          <w:bCs/>
          <w:sz w:val="32"/>
          <w:szCs w:val="32"/>
        </w:rPr>
        <w:t>部门开展绩效评价结果</w:t>
      </w:r>
    </w:p>
    <w:p>
      <w:pPr>
        <w:spacing w:line="560" w:lineRule="exact"/>
        <w:ind w:firstLine="640" w:firstLineChars="200"/>
        <w:outlineLvl w:val="1"/>
        <w:rPr>
          <w:rFonts w:ascii="仿宋_GB2312" w:eastAsia="仿宋_GB2312" w:cs="仿宋_GB2312"/>
          <w:sz w:val="32"/>
          <w:szCs w:val="32"/>
        </w:rPr>
      </w:pPr>
      <w:r>
        <w:rPr>
          <w:rFonts w:hint="eastAsia" w:ascii="仿宋_GB2312" w:eastAsia="仿宋_GB2312" w:cs="仿宋_GB2312"/>
          <w:color w:val="000000"/>
          <w:kern w:val="0"/>
          <w:sz w:val="32"/>
          <w:szCs w:val="32"/>
        </w:rPr>
        <w:t>本部门按要求对</w:t>
      </w:r>
      <w:r>
        <w:rPr>
          <w:rFonts w:ascii="仿宋_GB2312" w:eastAsia="仿宋_GB2312" w:cs="仿宋_GB2312"/>
          <w:color w:val="000000"/>
          <w:kern w:val="0"/>
          <w:sz w:val="32"/>
          <w:szCs w:val="32"/>
        </w:rPr>
        <w:t xml:space="preserve"> 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rPr>
        <w:t>年部门整体支出绩效评价情况开展自评，《茂县县委党校</w:t>
      </w:r>
      <w:r>
        <w:rPr>
          <w:rFonts w:ascii="仿宋_GB2312" w:eastAsia="仿宋_GB2312" w:cs="仿宋_GB2312"/>
          <w:color w:val="000000"/>
          <w:kern w:val="0"/>
          <w:sz w:val="32"/>
          <w:szCs w:val="32"/>
        </w:rPr>
        <w:t>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rPr>
        <w:t>年部门整体支出绩效评价报告》见附件（附件</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w:t>
      </w:r>
    </w:p>
    <w:bookmarkEnd w:id="46"/>
    <w:bookmarkEnd w:id="47"/>
    <w:p>
      <w:pPr>
        <w:widowControl/>
        <w:spacing w:line="560" w:lineRule="exact"/>
        <w:jc w:val="center"/>
        <w:rPr>
          <w:rFonts w:hint="eastAsia" w:ascii="方正小标宋简体" w:eastAsia="方正小标宋简体" w:cs="方正小标宋简体"/>
          <w:color w:val="000000"/>
          <w:sz w:val="44"/>
          <w:szCs w:val="44"/>
        </w:rPr>
      </w:pPr>
      <w:bookmarkStart w:id="48" w:name="_Toc15396613"/>
      <w:bookmarkStart w:id="49" w:name="_Toc15377225"/>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Style w:val="19"/>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19"/>
          <w:rFonts w:hint="eastAsia" w:ascii="方正小标宋简体" w:eastAsia="方正小标宋简体" w:cs="方正小标宋简体"/>
          <w:b w:val="0"/>
          <w:bCs w:val="0"/>
        </w:rPr>
        <w:t>词解释</w:t>
      </w:r>
      <w:bookmarkEnd w:id="48"/>
      <w:bookmarkEnd w:id="49"/>
    </w:p>
    <w:p>
      <w:pPr>
        <w:widowControl/>
        <w:spacing w:line="560" w:lineRule="exact"/>
        <w:jc w:val="center"/>
        <w:rPr>
          <w:rStyle w:val="19"/>
          <w:rFonts w:ascii="方正小标宋简体" w:eastAsia="方正小标宋简体"/>
          <w:b w:val="0"/>
          <w:bCs w:val="0"/>
        </w:rPr>
      </w:pPr>
    </w:p>
    <w:p>
      <w:pPr>
        <w:pStyle w:val="21"/>
        <w:spacing w:line="560" w:lineRule="exact"/>
        <w:ind w:firstLine="640" w:firstLineChars="200"/>
        <w:rPr>
          <w:rFonts w:ascii="仿宋_GB2312" w:eastAsia="仿宋_GB2312" w:cs="仿宋_GB2312"/>
          <w:sz w:val="32"/>
          <w:szCs w:val="32"/>
        </w:rPr>
      </w:pPr>
      <w:bookmarkStart w:id="50"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p>
      <w:pPr>
        <w:spacing w:line="560" w:lineRule="exact"/>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bookmarkEnd w:id="50"/>
    <w:p>
      <w:pPr>
        <w:spacing w:line="560" w:lineRule="exact"/>
        <w:jc w:val="center"/>
        <w:outlineLvl w:val="0"/>
        <w:rPr>
          <w:rStyle w:val="19"/>
          <w:rFonts w:hint="eastAsia" w:ascii="方正小标宋简体" w:eastAsia="方正小标宋简体" w:cs="方正小标宋简体"/>
          <w:b w:val="0"/>
          <w:bCs w:val="0"/>
        </w:rPr>
      </w:pPr>
      <w:bookmarkStart w:id="51" w:name="_Toc79163635"/>
      <w:bookmarkStart w:id="52" w:name="_Toc79163885"/>
      <w:r>
        <w:rPr>
          <w:rFonts w:hint="eastAsia" w:ascii="方正小标宋简体" w:eastAsia="方正小标宋简体" w:cs="方正小标宋简体"/>
          <w:sz w:val="44"/>
          <w:szCs w:val="44"/>
        </w:rPr>
        <w:t>第四部分</w:t>
      </w:r>
      <w:r>
        <w:rPr>
          <w:rFonts w:hint="eastAsia" w:ascii="方正小标宋简体" w:eastAsia="方正小标宋简体" w:cs="方正小标宋简体"/>
          <w:sz w:val="44"/>
          <w:szCs w:val="44"/>
          <w:lang w:val="en-US" w:eastAsia="zh-CN"/>
        </w:rPr>
        <w:t xml:space="preserve"> </w:t>
      </w:r>
      <w:r>
        <w:rPr>
          <w:rStyle w:val="19"/>
          <w:rFonts w:hint="eastAsia" w:ascii="方正小标宋简体" w:eastAsia="方正小标宋简体" w:cs="方正小标宋简体"/>
          <w:b w:val="0"/>
          <w:bCs w:val="0"/>
        </w:rPr>
        <w:t>附件</w:t>
      </w:r>
      <w:bookmarkStart w:id="53" w:name="_Toc15396615"/>
    </w:p>
    <w:p>
      <w:pPr>
        <w:spacing w:line="560" w:lineRule="exact"/>
        <w:jc w:val="center"/>
        <w:outlineLvl w:val="0"/>
        <w:rPr>
          <w:rStyle w:val="19"/>
          <w:rFonts w:ascii="方正小标宋简体" w:eastAsia="方正小标宋简体" w:cs="方正小标宋简体"/>
          <w:b w:val="0"/>
          <w:bCs w:val="0"/>
        </w:rPr>
      </w:pPr>
    </w:p>
    <w:bookmarkEnd w:id="53"/>
    <w:p>
      <w:pPr>
        <w:spacing w:line="560" w:lineRule="exact"/>
        <w:outlineLvl w:val="0"/>
        <w:rPr>
          <w:rStyle w:val="19"/>
          <w:rFonts w:ascii="黑体" w:eastAsia="黑体" w:cs="黑体"/>
          <w:b w:val="0"/>
          <w:bCs w:val="0"/>
          <w:sz w:val="32"/>
          <w:szCs w:val="32"/>
        </w:rPr>
      </w:pPr>
      <w:r>
        <w:rPr>
          <w:rStyle w:val="19"/>
          <w:rFonts w:hint="eastAsia" w:ascii="黑体" w:eastAsia="黑体" w:cs="黑体"/>
          <w:b w:val="0"/>
          <w:bCs w:val="0"/>
          <w:sz w:val="32"/>
          <w:szCs w:val="32"/>
        </w:rPr>
        <w:t>附件1</w:t>
      </w:r>
    </w:p>
    <w:p>
      <w:pPr>
        <w:spacing w:line="560" w:lineRule="exact"/>
        <w:jc w:val="center"/>
        <w:outlineLvl w:val="0"/>
        <w:rPr>
          <w:rFonts w:ascii="方正小标宋简体" w:eastAsia="方正小标宋简体" w:cs="方正小标宋简体"/>
          <w:sz w:val="44"/>
          <w:szCs w:val="44"/>
        </w:rPr>
      </w:pPr>
      <w:r>
        <w:rPr>
          <w:rFonts w:ascii="方正小标宋简体" w:eastAsia="方正小标宋简体" w:cs="方正小标宋简体"/>
          <w:sz w:val="44"/>
          <w:szCs w:val="44"/>
        </w:rPr>
        <w:t>202</w:t>
      </w:r>
      <w:r>
        <w:rPr>
          <w:rFonts w:hint="eastAsia" w:ascii="方正小标宋简体" w:eastAsia="方正小标宋简体" w:cs="方正小标宋简体"/>
          <w:sz w:val="44"/>
          <w:szCs w:val="44"/>
          <w:lang w:val="en-US" w:eastAsia="zh-CN"/>
        </w:rPr>
        <w:t>2</w:t>
      </w:r>
      <w:r>
        <w:rPr>
          <w:rFonts w:hint="eastAsia" w:ascii="方正小标宋简体" w:eastAsia="方正小标宋简体" w:cs="方正小标宋简体"/>
          <w:sz w:val="44"/>
          <w:szCs w:val="44"/>
        </w:rPr>
        <w:t>年茂县县委党校整体支出</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绩效评价报告</w:t>
      </w:r>
    </w:p>
    <w:p>
      <w:pPr>
        <w:widowControl/>
        <w:spacing w:line="560" w:lineRule="exact"/>
        <w:contextualSpacing/>
        <w:jc w:val="center"/>
        <w:rPr>
          <w:rFonts w:ascii="宋体"/>
          <w:b/>
          <w:sz w:val="44"/>
          <w:szCs w:val="44"/>
          <w:shd w:val="clear" w:color="auto" w:fill="FFFFFF"/>
        </w:rPr>
      </w:pPr>
    </w:p>
    <w:p>
      <w:pPr>
        <w:spacing w:line="560" w:lineRule="exact"/>
        <w:ind w:firstLine="629" w:firstLineChars="196"/>
        <w:contextualSpacing/>
        <w:outlineLvl w:val="0"/>
        <w:rPr>
          <w:rFonts w:ascii="黑体" w:eastAsia="黑体"/>
          <w:b/>
          <w:sz w:val="32"/>
          <w:szCs w:val="32"/>
          <w:shd w:val="clear" w:color="auto" w:fill="FFFFFF"/>
        </w:rPr>
      </w:pPr>
      <w:r>
        <w:rPr>
          <w:rFonts w:hint="eastAsia" w:ascii="黑体" w:eastAsia="黑体"/>
          <w:b/>
          <w:sz w:val="32"/>
          <w:szCs w:val="32"/>
          <w:shd w:val="clear" w:color="auto" w:fill="FFFFFF"/>
        </w:rPr>
        <w:t>一、部门（单位）概况</w:t>
      </w:r>
    </w:p>
    <w:p>
      <w:pPr>
        <w:widowControl/>
        <w:spacing w:line="560" w:lineRule="exact"/>
        <w:ind w:firstLine="480" w:firstLineChars="150"/>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（一）机构组成</w:t>
      </w:r>
    </w:p>
    <w:p>
      <w:pPr>
        <w:widowControl/>
        <w:spacing w:line="560" w:lineRule="exact"/>
        <w:ind w:firstLine="636" w:firstLineChars="199"/>
        <w:contextualSpacing/>
        <w:outlineLvl w:val="0"/>
        <w:rPr>
          <w:rFonts w:hint="eastAsia" w:ascii="楷体_GB2312" w:eastAsia="楷体_GB2312"/>
          <w:b/>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60" w:lineRule="exact"/>
        <w:ind w:firstLine="640" w:firstLineChars="200"/>
        <w:contextualSpacing/>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(二）机构职能</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（三）人员概况</w:t>
      </w:r>
    </w:p>
    <w:p>
      <w:pPr>
        <w:widowControl/>
        <w:spacing w:line="560" w:lineRule="exact"/>
        <w:ind w:firstLine="470" w:firstLineChars="147"/>
        <w:contextualSpacing/>
        <w:outlineLvl w:val="0"/>
        <w:rPr>
          <w:rFonts w:hint="eastAsia" w:ascii="仿宋_GB2312" w:eastAsia="仿宋_GB2312"/>
          <w:sz w:val="32"/>
          <w:szCs w:val="32"/>
          <w:shd w:val="clear" w:color="auto" w:fill="FFFFFF"/>
          <w:lang w:eastAsia="zh-CN"/>
        </w:rPr>
      </w:pPr>
      <w:r>
        <w:rPr>
          <w:rFonts w:hint="eastAsia" w:ascii="仿宋_GB2312" w:eastAsia="仿宋_GB2312"/>
          <w:sz w:val="32"/>
          <w:szCs w:val="32"/>
          <w:shd w:val="clear" w:color="auto" w:fill="FFFFFF"/>
        </w:rPr>
        <w:t>茂县党校核定参公编制</w:t>
      </w:r>
      <w:r>
        <w:rPr>
          <w:rFonts w:ascii="仿宋_GB2312" w:eastAsia="仿宋_GB2312"/>
          <w:sz w:val="32"/>
          <w:szCs w:val="32"/>
          <w:shd w:val="clear" w:color="auto" w:fill="FFFFFF"/>
        </w:rPr>
        <w:t>8</w:t>
      </w:r>
      <w:r>
        <w:rPr>
          <w:rFonts w:hint="eastAsia" w:ascii="仿宋_GB2312" w:eastAsia="仿宋_GB2312"/>
          <w:sz w:val="32"/>
          <w:szCs w:val="32"/>
          <w:shd w:val="clear" w:color="auto" w:fill="FFFFFF"/>
        </w:rPr>
        <w:t>人。实有在职职工参公人员</w:t>
      </w:r>
      <w:r>
        <w:rPr>
          <w:rFonts w:ascii="仿宋_GB2312" w:eastAsia="仿宋_GB2312"/>
          <w:sz w:val="32"/>
          <w:szCs w:val="32"/>
          <w:shd w:val="clear" w:color="auto" w:fill="FFFFFF"/>
        </w:rPr>
        <w:t>10</w:t>
      </w:r>
      <w:r>
        <w:rPr>
          <w:rFonts w:hint="eastAsia" w:ascii="仿宋_GB2312" w:eastAsia="仿宋_GB2312"/>
          <w:sz w:val="32"/>
          <w:szCs w:val="32"/>
          <w:shd w:val="clear" w:color="auto" w:fill="FFFFFF"/>
        </w:rPr>
        <w:t>名，参公工勤</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名</w:t>
      </w:r>
      <w:r>
        <w:rPr>
          <w:rFonts w:hint="eastAsia" w:ascii="仿宋_GB2312" w:eastAsia="仿宋_GB2312"/>
          <w:sz w:val="32"/>
          <w:szCs w:val="32"/>
          <w:shd w:val="clear" w:color="auto" w:fill="FFFFFF"/>
          <w:lang w:eastAsia="zh-CN"/>
        </w:rPr>
        <w:t>。</w:t>
      </w:r>
    </w:p>
    <w:p>
      <w:pPr>
        <w:widowControl/>
        <w:spacing w:line="560" w:lineRule="exact"/>
        <w:ind w:firstLine="472" w:firstLineChars="147"/>
        <w:contextualSpacing/>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二、部门财政资金收支情况</w:t>
      </w:r>
    </w:p>
    <w:p>
      <w:pPr>
        <w:widowControl/>
        <w:spacing w:line="560" w:lineRule="exact"/>
        <w:ind w:firstLine="313" w:firstLineChars="98"/>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（一）部门财政资金收入情况</w:t>
      </w:r>
    </w:p>
    <w:p>
      <w:pPr>
        <w:widowControl/>
        <w:spacing w:line="560" w:lineRule="exact"/>
        <w:ind w:firstLine="480" w:firstLineChars="150"/>
        <w:contextualSpacing/>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年部门（单位）决算总收入</w:t>
      </w:r>
      <w:r>
        <w:rPr>
          <w:rFonts w:hint="eastAsia" w:ascii="仿宋_GB2312" w:eastAsia="仿宋_GB2312"/>
          <w:sz w:val="32"/>
          <w:szCs w:val="32"/>
          <w:shd w:val="clear" w:color="auto" w:fill="FFFFFF"/>
          <w:lang w:val="en-US" w:eastAsia="zh-CN"/>
        </w:rPr>
        <w:t>211.27</w:t>
      </w:r>
      <w:r>
        <w:rPr>
          <w:rFonts w:hint="eastAsia" w:ascii="仿宋_GB2312" w:eastAsia="仿宋_GB2312"/>
          <w:sz w:val="32"/>
          <w:szCs w:val="32"/>
          <w:shd w:val="clear" w:color="auto" w:fill="FFFFFF"/>
        </w:rPr>
        <w:t>万元。收入决算总额较202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年增加</w:t>
      </w:r>
      <w:r>
        <w:rPr>
          <w:rFonts w:hint="eastAsia" w:ascii="仿宋_GB2312" w:eastAsia="仿宋_GB2312"/>
          <w:sz w:val="32"/>
          <w:szCs w:val="32"/>
          <w:shd w:val="clear" w:color="auto" w:fill="FFFFFF"/>
          <w:lang w:val="en-US" w:eastAsia="zh-CN"/>
        </w:rPr>
        <w:t>14.15</w:t>
      </w:r>
      <w:r>
        <w:rPr>
          <w:rFonts w:hint="eastAsia" w:ascii="仿宋_GB2312" w:eastAsia="仿宋_GB2312"/>
          <w:sz w:val="32"/>
          <w:szCs w:val="32"/>
          <w:shd w:val="clear" w:color="auto" w:fill="FFFFFF"/>
        </w:rPr>
        <w:t>万元，</w:t>
      </w:r>
      <w:r>
        <w:rPr>
          <w:rFonts w:hint="eastAsia" w:ascii="仿宋_GB2312" w:eastAsia="仿宋_GB2312" w:cs="仿宋_GB2312"/>
          <w:sz w:val="32"/>
          <w:szCs w:val="32"/>
        </w:rPr>
        <w:t>主要原因是</w:t>
      </w:r>
      <w:r>
        <w:rPr>
          <w:rFonts w:hint="eastAsia" w:ascii="仿宋_GB2312" w:eastAsia="仿宋_GB2312"/>
          <w:sz w:val="32"/>
          <w:szCs w:val="32"/>
        </w:rPr>
        <w:t>单位职工工资标准上调，相应的单位缴纳的机关事业单位养老保险、职业年金、住房公积金等缴费基数增长</w:t>
      </w:r>
      <w:r>
        <w:rPr>
          <w:rFonts w:hint="eastAsia" w:ascii="仿宋_GB2312" w:eastAsia="仿宋_GB2312"/>
          <w:sz w:val="32"/>
          <w:szCs w:val="32"/>
          <w:shd w:val="clear" w:color="auto" w:fill="FFFFFF"/>
        </w:rPr>
        <w:t>。</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(二）部门财政资金支出情况</w:t>
      </w:r>
    </w:p>
    <w:p>
      <w:pPr>
        <w:widowControl/>
        <w:spacing w:line="560" w:lineRule="exact"/>
        <w:ind w:firstLine="480" w:firstLineChars="15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年本年支出合计</w:t>
      </w:r>
      <w:r>
        <w:rPr>
          <w:rFonts w:hint="eastAsia" w:ascii="仿宋_GB2312" w:eastAsia="仿宋_GB2312"/>
          <w:sz w:val="32"/>
          <w:szCs w:val="32"/>
          <w:shd w:val="clear" w:color="auto" w:fill="FFFFFF"/>
          <w:lang w:val="en-US" w:eastAsia="zh-CN"/>
        </w:rPr>
        <w:t>211.27</w:t>
      </w:r>
      <w:r>
        <w:rPr>
          <w:rFonts w:hint="eastAsia" w:ascii="仿宋_GB2312" w:eastAsia="仿宋_GB2312"/>
          <w:sz w:val="32"/>
          <w:szCs w:val="32"/>
          <w:shd w:val="clear" w:color="auto" w:fill="FFFFFF"/>
        </w:rPr>
        <w:t>万元，其中：教育支出</w:t>
      </w:r>
      <w:r>
        <w:rPr>
          <w:rFonts w:hint="eastAsia" w:ascii="仿宋_GB2312" w:eastAsia="仿宋_GB2312"/>
          <w:sz w:val="32"/>
          <w:szCs w:val="32"/>
          <w:shd w:val="clear" w:color="auto" w:fill="FFFFFF"/>
          <w:lang w:val="en-US" w:eastAsia="zh-CN"/>
        </w:rPr>
        <w:t>159.63</w:t>
      </w:r>
      <w:r>
        <w:rPr>
          <w:rFonts w:hint="eastAsia" w:ascii="仿宋_GB2312" w:eastAsia="仿宋_GB2312"/>
          <w:sz w:val="32"/>
          <w:szCs w:val="32"/>
          <w:shd w:val="clear" w:color="auto" w:fill="FFFFFF"/>
        </w:rPr>
        <w:t>万元，社会保障和就业支出</w:t>
      </w:r>
      <w:r>
        <w:rPr>
          <w:rFonts w:hint="eastAsia" w:ascii="仿宋_GB2312" w:eastAsia="仿宋_GB2312"/>
          <w:sz w:val="32"/>
          <w:szCs w:val="32"/>
          <w:shd w:val="clear" w:color="auto" w:fill="FFFFFF"/>
          <w:lang w:val="en-US" w:eastAsia="zh-CN"/>
        </w:rPr>
        <w:t>25.34</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10.62</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eastAsia="zh-CN"/>
        </w:rPr>
        <w:t>农林水支出</w:t>
      </w:r>
      <w:r>
        <w:rPr>
          <w:rFonts w:hint="eastAsia" w:ascii="仿宋_GB2312" w:eastAsia="仿宋_GB2312"/>
          <w:sz w:val="32"/>
          <w:szCs w:val="32"/>
          <w:shd w:val="clear" w:color="auto" w:fill="FFFFFF"/>
          <w:lang w:val="en-US" w:eastAsia="zh-CN"/>
        </w:rPr>
        <w:t>1.2万元，</w:t>
      </w:r>
      <w:r>
        <w:rPr>
          <w:rFonts w:hint="eastAsia" w:ascii="仿宋_GB2312" w:eastAsia="仿宋_GB2312"/>
          <w:sz w:val="32"/>
          <w:szCs w:val="32"/>
          <w:shd w:val="clear" w:color="auto" w:fill="FFFFFF"/>
        </w:rPr>
        <w:t>住房保障支出</w:t>
      </w:r>
      <w:r>
        <w:rPr>
          <w:rFonts w:hint="eastAsia" w:ascii="仿宋_GB2312" w:eastAsia="仿宋_GB2312"/>
          <w:sz w:val="32"/>
          <w:szCs w:val="32"/>
          <w:shd w:val="clear" w:color="auto" w:fill="FFFFFF"/>
          <w:lang w:val="en-US" w:eastAsia="zh-CN"/>
        </w:rPr>
        <w:t>14.48</w:t>
      </w:r>
      <w:r>
        <w:rPr>
          <w:rFonts w:hint="eastAsia" w:ascii="仿宋_GB2312" w:eastAsia="仿宋_GB2312"/>
          <w:sz w:val="32"/>
          <w:szCs w:val="32"/>
          <w:shd w:val="clear" w:color="auto" w:fill="FFFFFF"/>
        </w:rPr>
        <w:t>万元。</w:t>
      </w:r>
    </w:p>
    <w:p>
      <w:pPr>
        <w:widowControl/>
        <w:spacing w:line="560" w:lineRule="exact"/>
        <w:ind w:firstLine="629"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三、部门整体预算绩效管理情况</w:t>
      </w:r>
    </w:p>
    <w:p>
      <w:pPr>
        <w:widowControl/>
        <w:spacing w:line="560" w:lineRule="exact"/>
        <w:ind w:firstLine="627" w:firstLineChars="196"/>
        <w:contextualSpacing/>
        <w:jc w:val="left"/>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（一）部门预算管理</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ab/>
      </w:r>
      <w:r>
        <w:rPr>
          <w:rFonts w:hint="eastAsia" w:ascii="仿宋_GB2312" w:eastAsia="仿宋_GB2312"/>
          <w:sz w:val="32"/>
          <w:szCs w:val="32"/>
          <w:shd w:val="clear" w:color="auto" w:fill="FFFFFF"/>
        </w:rPr>
        <w:t xml:space="preserve"> 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480" w:firstLineChars="150"/>
        <w:contextualSpacing/>
        <w:jc w:val="left"/>
        <w:outlineLvl w:val="0"/>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（二）结果应用情况</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ascii="仿宋_GB2312" w:hAnsi="仿宋_GB2312"/>
          <w:szCs w:val="32"/>
        </w:rPr>
      </w:pPr>
      <w:r>
        <w:rPr>
          <w:rFonts w:ascii="Times New Roman" w:hAnsi="Times New Roman" w:eastAsia="仿宋_GB2312"/>
          <w:b/>
          <w:bCs/>
          <w:sz w:val="32"/>
          <w:szCs w:val="32"/>
        </w:rPr>
        <w:t>一是扎实完成干部培训工作。</w:t>
      </w:r>
      <w:r>
        <w:rPr>
          <w:rFonts w:ascii="Times New Roman" w:hAnsi="Times New Roman" w:eastAsia="仿宋_GB2312"/>
          <w:sz w:val="32"/>
          <w:szCs w:val="32"/>
        </w:rPr>
        <w:t>按照《办学规范》，根据培训计划举办各类培训班。在课程设置上，把习近平新时代中国特色社会主义思想作为中心内容和首要任务，突出理论教育和党性教育。为提升教学效果，创新培训方式方法，采取“1+N”运行模式，在全县打造1个教学基地（茂县坪头乡村振兴培训中心），4个现场教学点（中国羌城、中国羌族博物馆、叠溪新磨新村、南新镇“两山”理论），形成了以县委党校为主体、教学基地为补充、现场教学点为延伸的多层次、多渠道、立体式、宽领域、全方位的干部教育培训工作格局。在此基础上，今年加强与邻县党校之间的交流，与黑水党校、松潘党校密切合作，有效地整合利用红色教育资源和党性教育资源，实现资源共享，优势互补，共同发展。今年以来，共举办主体班12期，培训党员干部988人次；其它培训班6期，培训学员616人次；州委组织部委托培训2期，培训学员200人次；承接长征干部学院培训班的现场教学11期，培训学员448人次。</w:t>
      </w:r>
      <w:r>
        <w:rPr>
          <w:rFonts w:ascii="Times New Roman" w:hAnsi="Times New Roman" w:eastAsia="仿宋_GB2312"/>
          <w:b/>
          <w:bCs/>
          <w:sz w:val="32"/>
          <w:szCs w:val="32"/>
        </w:rPr>
        <w:t>二是出色完成宣讲任务。</w:t>
      </w:r>
      <w:r>
        <w:rPr>
          <w:rFonts w:ascii="Times New Roman" w:hAnsi="Times New Roman" w:eastAsia="仿宋_GB2312"/>
          <w:sz w:val="32"/>
          <w:szCs w:val="32"/>
        </w:rPr>
        <w:t>以基层理论宣讲志愿服务活动为载体，积极开展党课进机关、进学校、进企业、进社区、进农村的“五进”活动，截至目前，党课“五进”30场次，受众1560余人，助推党的理论在基层的普及。选派骨干力量积极参加州委、县委理论宣讲团，到汶川、茂县各乡镇对党的二十大精神、习近平总书记来川视察重要讲话精神以及省</w:t>
      </w:r>
      <w:r>
        <w:rPr>
          <w:rFonts w:hint="eastAsia" w:eastAsia="仿宋_GB2312"/>
          <w:sz w:val="32"/>
          <w:szCs w:val="32"/>
          <w:lang w:eastAsia="zh-CN"/>
        </w:rPr>
        <w:t>第</w:t>
      </w:r>
      <w:r>
        <w:rPr>
          <w:rFonts w:ascii="Times New Roman" w:hAnsi="Times New Roman" w:eastAsia="仿宋_GB2312"/>
          <w:sz w:val="32"/>
          <w:szCs w:val="32"/>
        </w:rPr>
        <w:t>十二次党代会精神进行宣讲。推动党的二十大精神、习近平新时代中国特色社会主义思想、习近平总书记来川视察重要讲话精神以及省</w:t>
      </w:r>
      <w:r>
        <w:rPr>
          <w:rFonts w:hint="eastAsia" w:eastAsia="仿宋_GB2312"/>
          <w:sz w:val="32"/>
          <w:szCs w:val="32"/>
          <w:lang w:eastAsia="zh-CN"/>
        </w:rPr>
        <w:t>第</w:t>
      </w:r>
      <w:r>
        <w:rPr>
          <w:rFonts w:ascii="Times New Roman" w:hAnsi="Times New Roman" w:eastAsia="仿宋_GB2312"/>
          <w:sz w:val="32"/>
          <w:szCs w:val="32"/>
        </w:rPr>
        <w:t>十二次党代会精神深入人心，落地生根。</w:t>
      </w:r>
      <w:r>
        <w:rPr>
          <w:rFonts w:ascii="Times New Roman" w:hAnsi="Times New Roman" w:eastAsia="仿宋_GB2312"/>
          <w:b/>
          <w:bCs/>
          <w:sz w:val="32"/>
          <w:szCs w:val="32"/>
        </w:rPr>
        <w:t>三是与部门合作完成课题调研任务。</w:t>
      </w:r>
      <w:r>
        <w:rPr>
          <w:rFonts w:ascii="Times New Roman" w:hAnsi="Times New Roman" w:eastAsia="仿宋_GB2312"/>
          <w:sz w:val="32"/>
          <w:szCs w:val="32"/>
        </w:rPr>
        <w:t>为了落实县委第十三次党代会目标任务，推进“六个茂县”建设，县委党校紧密围绕县委中心工作，聚焦当前发展中的热点难点问题，以求真务实的态度，主动与部门合作开展课题调研。省级课题《红军长征在茂县》长征精神数据库建设工作项目已结项；《关于茂县基层治理的实证研究》《做好两项改革后半篇文章，健全完善应急体系》《茂县使用红色资源开展思政教育探析》课题完成结项申报工作；与县政协合作的《关于农村生活垃圾和污水处理的考察报告》《关于茂县餐炊具集中消毒企业管理的调研报告》，与县卫生健康局、县疾控中心合作的《关于茂县疾病预防控制体系建设情况的调研报告》形成咨政稿，为县委、县政府提供决策参考。除此外，大力鼓励教师积极写作，争取内部刊物和公开刊物发表文章，提升教师教研水平。</w:t>
      </w:r>
      <w:r>
        <w:rPr>
          <w:rFonts w:ascii="Times New Roman" w:hAnsi="Times New Roman" w:eastAsia="仿宋_GB2312"/>
          <w:b/>
          <w:bCs/>
          <w:sz w:val="32"/>
          <w:szCs w:val="32"/>
        </w:rPr>
        <w:t>四是持续做好学历教育任务。</w:t>
      </w:r>
      <w:r>
        <w:rPr>
          <w:rFonts w:ascii="Times New Roman" w:hAnsi="Times New Roman" w:eastAsia="仿宋_GB2312"/>
          <w:sz w:val="32"/>
          <w:szCs w:val="32"/>
        </w:rPr>
        <w:t>借助阿坝开放大学平台，持续推动干部能力素质和学历“双提升”工作。对茂县55名村（社区）干部进行能力素质和学历“双提升”培训，全面提升村社区干部的政治素养和工作能力。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从整体情况来看，我校根据年初工作规划和重点性工作，围绕我县中心工作，积极履职，强化管理，</w:t>
      </w:r>
      <w:r>
        <w:rPr>
          <w:rFonts w:hint="eastAsia" w:ascii="Times New Roman" w:hAnsi="Times New Roman" w:eastAsia="仿宋_GB2312" w:cs="Times New Roman"/>
          <w:sz w:val="32"/>
          <w:szCs w:val="32"/>
          <w:lang w:eastAsia="zh-CN"/>
        </w:rPr>
        <w:t>充分</w:t>
      </w:r>
      <w:r>
        <w:rPr>
          <w:rFonts w:hint="eastAsia" w:ascii="Times New Roman" w:hAnsi="Times New Roman" w:eastAsia="仿宋_GB2312" w:cs="Times New Roman"/>
          <w:sz w:val="32"/>
          <w:szCs w:val="32"/>
        </w:rPr>
        <w:t>发挥了干部教育培训的主渠道作用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较好的完成了年度工作目标。履职效益高，社会公众满意度评价高。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通过加强预算收支管理，不断建立健全内部管理制度，梳理内部管理流程，部门整体支出管理情况得到提升</w:t>
      </w:r>
    </w:p>
    <w:p>
      <w:pPr>
        <w:widowControl/>
        <w:spacing w:line="560" w:lineRule="exact"/>
        <w:ind w:firstLine="629"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四、评价结论及建议</w:t>
      </w:r>
    </w:p>
    <w:p>
      <w:pPr>
        <w:widowControl/>
        <w:spacing w:line="560" w:lineRule="exact"/>
        <w:ind w:firstLine="470" w:firstLineChars="147"/>
        <w:contextualSpacing/>
        <w:jc w:val="left"/>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（一）评价结论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年我校部门整体支出绩效自评</w:t>
      </w:r>
      <w:r>
        <w:rPr>
          <w:rFonts w:hint="eastAsia" w:ascii="Times New Roman" w:hAnsi="Times New Roman" w:eastAsia="仿宋_GB2312" w:cs="Times New Roman"/>
          <w:sz w:val="32"/>
          <w:szCs w:val="32"/>
          <w:lang w:eastAsia="zh-CN"/>
        </w:rPr>
        <w:t>得分</w:t>
      </w:r>
      <w:r>
        <w:rPr>
          <w:rFonts w:hint="eastAsia" w:ascii="Times New Roman" w:hAnsi="Times New Roman" w:eastAsia="仿宋_GB2312" w:cs="Times New Roman"/>
          <w:sz w:val="32"/>
          <w:szCs w:val="32"/>
          <w:lang w:val="en-US" w:eastAsia="zh-CN"/>
        </w:rPr>
        <w:t>97分</w:t>
      </w:r>
      <w:r>
        <w:rPr>
          <w:rFonts w:hint="eastAsia" w:ascii="Times New Roman" w:hAnsi="Times New Roman" w:eastAsia="仿宋_GB2312" w:cs="Times New Roman"/>
          <w:sz w:val="32"/>
          <w:szCs w:val="32"/>
        </w:rPr>
        <w:t>，绩效管理情况较为理想，达到了年初设定的各项绩效目标。所有资金使用严格按审批程序办理，会计核算结果真实、准确，各项支出严格按照各项制度执行。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（二）存在问题。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一是预算编制工作有待细化；二是制度建设和规范化管理有待加强；三是信息化管理水平有待提高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（三）改进建议。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进一步健全和完善财务管理制度，严格执行预算法，及财务管理各项规定，加强部门整体支出绩效管理，树立正确的绩效观，提升部门履职能力，为实现党校培训任务又好又快发展做出应有的贡献。</w:t>
      </w: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bookmarkEnd w:id="51"/>
    <w:bookmarkEnd w:id="52"/>
    <w:p>
      <w:pPr>
        <w:spacing w:line="560" w:lineRule="exact"/>
        <w:jc w:val="center"/>
        <w:outlineLvl w:val="0"/>
        <w:rPr>
          <w:rFonts w:ascii="方正小标宋简体" w:eastAsia="方正小标宋简体" w:cs="方正小标宋简体"/>
          <w:bCs/>
          <w:sz w:val="44"/>
          <w:szCs w:val="44"/>
        </w:rPr>
      </w:pPr>
      <w:r>
        <w:rPr>
          <w:rFonts w:hint="eastAsia" w:ascii="方正小标宋简体" w:eastAsia="方正小标宋简体" w:cs="方正小标宋简体"/>
          <w:sz w:val="44"/>
          <w:szCs w:val="44"/>
        </w:rPr>
        <w:t>第五部</w:t>
      </w:r>
      <w:r>
        <w:rPr>
          <w:rFonts w:hint="eastAsia" w:ascii="方正小标宋简体" w:eastAsia="方正小标宋简体" w:cs="方正小标宋简体"/>
          <w:bCs/>
          <w:sz w:val="44"/>
          <w:szCs w:val="44"/>
        </w:rPr>
        <w:t>分附表</w:t>
      </w:r>
      <w:bookmarkStart w:id="54" w:name="_Toc79163886"/>
      <w:bookmarkStart w:id="55" w:name="_Toc15396619"/>
      <w:bookmarkStart w:id="56" w:name="_Toc79163636"/>
    </w:p>
    <w:p>
      <w:pPr>
        <w:spacing w:line="560" w:lineRule="exact"/>
        <w:jc w:val="center"/>
        <w:outlineLvl w:val="0"/>
        <w:rPr>
          <w:rFonts w:ascii="方正小标宋简体" w:eastAsia="方正小标宋简体" w:cs="方正小标宋简体"/>
          <w:bCs/>
          <w:sz w:val="44"/>
          <w:szCs w:val="44"/>
        </w:rPr>
      </w:pPr>
    </w:p>
    <w:p>
      <w:pPr>
        <w:numPr>
          <w:ilvl w:val="0"/>
          <w:numId w:val="5"/>
        </w:numPr>
        <w:spacing w:line="560" w:lineRule="exact"/>
        <w:outlineLvl w:val="0"/>
        <w:rPr>
          <w:rStyle w:val="20"/>
          <w:rFonts w:ascii="仿宋" w:eastAsia="仿宋"/>
          <w:b w:val="0"/>
          <w:bCs w:val="0"/>
        </w:rPr>
      </w:pPr>
      <w:r>
        <w:rPr>
          <w:rFonts w:hint="eastAsia" w:ascii="仿宋" w:eastAsia="仿宋"/>
          <w:color w:val="000000"/>
          <w:sz w:val="32"/>
          <w:szCs w:val="32"/>
        </w:rPr>
        <w:t>收</w:t>
      </w:r>
      <w:r>
        <w:rPr>
          <w:rStyle w:val="20"/>
          <w:rFonts w:hint="eastAsia" w:ascii="仿宋" w:eastAsia="仿宋"/>
          <w:b w:val="0"/>
          <w:bCs w:val="0"/>
        </w:rPr>
        <w:t>入支出决算总表</w:t>
      </w:r>
      <w:bookmarkEnd w:id="54"/>
      <w:bookmarkEnd w:id="55"/>
      <w:bookmarkEnd w:id="56"/>
      <w:bookmarkStart w:id="57" w:name="_Toc79163637"/>
      <w:bookmarkStart w:id="58" w:name="_Toc79163887"/>
      <w:bookmarkStart w:id="59" w:name="_Toc15396620"/>
    </w:p>
    <w:p>
      <w:pPr>
        <w:spacing w:line="560" w:lineRule="exact"/>
        <w:outlineLvl w:val="0"/>
        <w:rPr>
          <w:rFonts w:ascii="仿宋" w:eastAsia="仿宋" w:cs="Cambria"/>
          <w:bCs/>
          <w:color w:val="000000"/>
          <w:sz w:val="32"/>
          <w:szCs w:val="32"/>
        </w:rPr>
      </w:pPr>
      <w:r>
        <w:rPr>
          <w:rFonts w:hint="eastAsia" w:ascii="仿宋" w:eastAsia="仿宋"/>
          <w:color w:val="000000"/>
          <w:sz w:val="32"/>
          <w:szCs w:val="32"/>
        </w:rPr>
        <w:t>二、收</w:t>
      </w:r>
      <w:r>
        <w:rPr>
          <w:rFonts w:hint="eastAsia" w:ascii="仿宋" w:eastAsia="仿宋" w:cs="Cambria"/>
          <w:bCs/>
          <w:color w:val="000000"/>
          <w:sz w:val="32"/>
          <w:szCs w:val="32"/>
        </w:rPr>
        <w:t>入决算表</w:t>
      </w:r>
      <w:bookmarkEnd w:id="57"/>
      <w:bookmarkEnd w:id="58"/>
      <w:bookmarkEnd w:id="59"/>
    </w:p>
    <w:p>
      <w:pPr>
        <w:pStyle w:val="5"/>
        <w:spacing w:line="560" w:lineRule="exact"/>
        <w:rPr>
          <w:rFonts w:ascii="仿宋" w:eastAsia="仿宋"/>
          <w:color w:val="000000"/>
        </w:rPr>
      </w:pPr>
      <w:bookmarkStart w:id="60" w:name="_Toc15396621"/>
      <w:bookmarkStart w:id="61" w:name="_Toc79163638"/>
      <w:bookmarkStart w:id="62" w:name="_Toc79163888"/>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出决算表</w:t>
      </w:r>
      <w:bookmarkEnd w:id="60"/>
      <w:bookmarkEnd w:id="61"/>
      <w:bookmarkEnd w:id="62"/>
    </w:p>
    <w:p>
      <w:pPr>
        <w:pStyle w:val="5"/>
        <w:spacing w:line="560" w:lineRule="exact"/>
        <w:rPr>
          <w:rFonts w:ascii="仿宋" w:eastAsia="仿宋"/>
          <w:b w:val="0"/>
          <w:color w:val="000000"/>
        </w:rPr>
      </w:pPr>
      <w:bookmarkStart w:id="63" w:name="_Toc79163889"/>
      <w:bookmarkStart w:id="64" w:name="_Toc79163639"/>
      <w:bookmarkStart w:id="65"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3"/>
      <w:bookmarkEnd w:id="64"/>
      <w:bookmarkEnd w:id="65"/>
    </w:p>
    <w:p>
      <w:pPr>
        <w:pStyle w:val="5"/>
        <w:spacing w:line="560" w:lineRule="exact"/>
        <w:rPr>
          <w:rStyle w:val="20"/>
          <w:rFonts w:ascii="仿宋" w:eastAsia="仿宋"/>
          <w:b w:val="0"/>
          <w:bCs w:val="0"/>
        </w:rPr>
      </w:pPr>
      <w:bookmarkStart w:id="66" w:name="_Toc15396623"/>
      <w:bookmarkStart w:id="67" w:name="_Toc79163640"/>
      <w:bookmarkStart w:id="68" w:name="_Toc79163890"/>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w:t>
      </w:r>
      <w:bookmarkEnd w:id="66"/>
      <w:bookmarkEnd w:id="67"/>
      <w:bookmarkEnd w:id="68"/>
      <w:bookmarkStart w:id="69" w:name="_Toc15396624"/>
    </w:p>
    <w:p>
      <w:pPr>
        <w:pStyle w:val="5"/>
        <w:spacing w:line="560" w:lineRule="exact"/>
        <w:rPr>
          <w:rFonts w:ascii="仿宋" w:eastAsia="仿宋"/>
          <w:color w:val="000000"/>
        </w:rPr>
      </w:pPr>
      <w:bookmarkStart w:id="70" w:name="_Toc79163641"/>
      <w:bookmarkStart w:id="71" w:name="_Toc79163891"/>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9"/>
      <w:bookmarkEnd w:id="70"/>
      <w:bookmarkEnd w:id="71"/>
    </w:p>
    <w:p>
      <w:pPr>
        <w:pStyle w:val="5"/>
        <w:spacing w:line="560" w:lineRule="exact"/>
        <w:rPr>
          <w:rFonts w:ascii="仿宋" w:eastAsia="仿宋"/>
          <w:color w:val="000000"/>
        </w:rPr>
      </w:pPr>
      <w:bookmarkStart w:id="72" w:name="_Toc15396625"/>
      <w:bookmarkStart w:id="73" w:name="_Toc79163892"/>
      <w:bookmarkStart w:id="74" w:name="_Toc79163642"/>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72"/>
      <w:bookmarkEnd w:id="73"/>
      <w:bookmarkEnd w:id="74"/>
    </w:p>
    <w:p>
      <w:pPr>
        <w:pStyle w:val="5"/>
        <w:spacing w:line="560" w:lineRule="exact"/>
        <w:rPr>
          <w:rFonts w:ascii="仿宋" w:eastAsia="仿宋"/>
          <w:color w:val="000000"/>
        </w:rPr>
      </w:pPr>
      <w:bookmarkStart w:id="75" w:name="_Toc15396626"/>
      <w:bookmarkStart w:id="76" w:name="_Toc79163643"/>
      <w:bookmarkStart w:id="77" w:name="_Toc79163893"/>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5"/>
      <w:bookmarkEnd w:id="76"/>
      <w:bookmarkEnd w:id="77"/>
    </w:p>
    <w:p>
      <w:pPr>
        <w:pStyle w:val="5"/>
        <w:spacing w:line="560" w:lineRule="exact"/>
        <w:rPr>
          <w:rFonts w:ascii="仿宋" w:eastAsia="仿宋"/>
          <w:color w:val="000000"/>
        </w:rPr>
      </w:pPr>
      <w:bookmarkStart w:id="78" w:name="_Toc15396627"/>
      <w:bookmarkStart w:id="79" w:name="_Toc79163894"/>
      <w:bookmarkStart w:id="80" w:name="_Toc79163644"/>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8"/>
      <w:bookmarkEnd w:id="79"/>
      <w:bookmarkEnd w:id="80"/>
    </w:p>
    <w:p>
      <w:pPr>
        <w:pStyle w:val="5"/>
        <w:spacing w:line="560" w:lineRule="exact"/>
        <w:rPr>
          <w:rFonts w:ascii="仿宋" w:eastAsia="仿宋"/>
          <w:color w:val="000000"/>
        </w:rPr>
      </w:pPr>
      <w:bookmarkStart w:id="81" w:name="_Toc79163645"/>
      <w:bookmarkStart w:id="82" w:name="_Toc79163895"/>
      <w:bookmarkStart w:id="83" w:name="_Toc15396628"/>
      <w:r>
        <w:rPr>
          <w:rStyle w:val="20"/>
          <w:rFonts w:hint="eastAsia" w:ascii="仿宋" w:eastAsia="仿宋"/>
          <w:b w:val="0"/>
          <w:bCs w:val="0"/>
        </w:rPr>
        <w:t>十、</w:t>
      </w:r>
      <w:bookmarkEnd w:id="81"/>
      <w:bookmarkEnd w:id="82"/>
      <w:bookmarkEnd w:id="83"/>
      <w:bookmarkStart w:id="84" w:name="_Toc79163896"/>
      <w:bookmarkStart w:id="85" w:name="_Toc79163646"/>
      <w:bookmarkStart w:id="86" w:name="_Toc15396629"/>
      <w:r>
        <w:rPr>
          <w:rFonts w:hint="eastAsia" w:ascii="仿宋" w:eastAsia="仿宋"/>
          <w:b w:val="0"/>
          <w:color w:val="000000"/>
        </w:rPr>
        <w:t>政</w:t>
      </w:r>
      <w:r>
        <w:rPr>
          <w:rStyle w:val="20"/>
          <w:rFonts w:hint="eastAsia" w:ascii="仿宋" w:eastAsia="仿宋"/>
          <w:b w:val="0"/>
          <w:bCs w:val="0"/>
        </w:rPr>
        <w:t>府性基金预算财政拨款收入支出决算表</w:t>
      </w:r>
    </w:p>
    <w:p>
      <w:pPr>
        <w:pStyle w:val="5"/>
        <w:spacing w:line="560" w:lineRule="exact"/>
        <w:rPr>
          <w:rStyle w:val="20"/>
          <w:rFonts w:ascii="仿宋" w:eastAsia="仿宋"/>
          <w:b w:val="0"/>
          <w:bCs w:val="0"/>
        </w:rPr>
      </w:pPr>
      <w:r>
        <w:rPr>
          <w:rStyle w:val="20"/>
          <w:rFonts w:hint="eastAsia" w:ascii="仿宋" w:eastAsia="仿宋"/>
          <w:b w:val="0"/>
          <w:bCs w:val="0"/>
        </w:rPr>
        <w:t>十一、</w:t>
      </w:r>
      <w:bookmarkEnd w:id="84"/>
      <w:bookmarkEnd w:id="85"/>
      <w:bookmarkEnd w:id="86"/>
      <w:bookmarkStart w:id="87" w:name="_Toc79163897"/>
      <w:bookmarkStart w:id="88" w:name="_Toc15396630"/>
      <w:bookmarkStart w:id="89" w:name="_Toc79163647"/>
      <w:r>
        <w:rPr>
          <w:rFonts w:hint="eastAsia" w:ascii="仿宋" w:eastAsia="仿宋"/>
          <w:b w:val="0"/>
          <w:color w:val="000000"/>
        </w:rPr>
        <w:t>国</w:t>
      </w:r>
      <w:r>
        <w:rPr>
          <w:rStyle w:val="20"/>
          <w:rFonts w:hint="eastAsia" w:ascii="仿宋" w:eastAsia="仿宋"/>
          <w:b w:val="0"/>
          <w:bCs w:val="0"/>
        </w:rPr>
        <w:t>有资本经营预算财政拨款收入支出决算表</w:t>
      </w:r>
    </w:p>
    <w:p>
      <w:pPr>
        <w:pStyle w:val="5"/>
        <w:spacing w:line="560" w:lineRule="exact"/>
        <w:rPr>
          <w:rFonts w:ascii="仿宋" w:eastAsia="仿宋"/>
          <w:color w:val="000000"/>
        </w:rPr>
      </w:pPr>
      <w:r>
        <w:rPr>
          <w:rStyle w:val="20"/>
          <w:rFonts w:hint="eastAsia" w:ascii="仿宋" w:eastAsia="仿宋"/>
          <w:b w:val="0"/>
          <w:bCs w:val="0"/>
        </w:rPr>
        <w:t>十二、</w:t>
      </w:r>
      <w:bookmarkEnd w:id="87"/>
      <w:bookmarkEnd w:id="88"/>
      <w:bookmarkEnd w:id="89"/>
      <w:r>
        <w:rPr>
          <w:rFonts w:hint="eastAsia" w:ascii="仿宋" w:eastAsia="仿宋"/>
          <w:b w:val="0"/>
          <w:color w:val="000000"/>
        </w:rPr>
        <w:t>国</w:t>
      </w:r>
      <w:r>
        <w:rPr>
          <w:rStyle w:val="20"/>
          <w:rFonts w:hint="eastAsia" w:ascii="仿宋" w:eastAsia="仿宋"/>
          <w:b w:val="0"/>
          <w:bCs w:val="0"/>
        </w:rPr>
        <w:t>有资本经营预算财政拨款支出决算表</w:t>
      </w:r>
    </w:p>
    <w:p>
      <w:pPr>
        <w:pStyle w:val="5"/>
        <w:spacing w:line="560" w:lineRule="exact"/>
        <w:rPr>
          <w:rStyle w:val="20"/>
          <w:rFonts w:ascii="仿宋" w:eastAsia="仿宋"/>
          <w:b w:val="0"/>
          <w:bCs w:val="0"/>
        </w:rPr>
      </w:pPr>
      <w:bookmarkStart w:id="90" w:name="_Toc15396631"/>
      <w:bookmarkStart w:id="91" w:name="_Toc79163648"/>
      <w:bookmarkStart w:id="92" w:name="_Toc79163898"/>
      <w:r>
        <w:rPr>
          <w:rStyle w:val="20"/>
          <w:rFonts w:hint="eastAsia" w:ascii="仿宋" w:eastAsia="仿宋"/>
          <w:b w:val="0"/>
          <w:bCs w:val="0"/>
        </w:rPr>
        <w:t>十三、财政拨款“三公”经费支出决算表</w:t>
      </w:r>
      <w:bookmarkEnd w:id="90"/>
      <w:bookmarkEnd w:id="91"/>
      <w:bookmarkEnd w:id="92"/>
    </w:p>
    <w:p>
      <w:pPr>
        <w:widowControl/>
        <w:spacing w:line="560" w:lineRule="exact"/>
        <w:rPr>
          <w:rFonts w:ascii="方正小标宋简体" w:eastAsia="方正小标宋简体" w:cs="方正小标宋简体"/>
          <w:b/>
          <w:color w:val="000000"/>
          <w:sz w:val="44"/>
          <w:szCs w:val="44"/>
        </w:rPr>
      </w:pPr>
      <w:r>
        <w:rPr>
          <w:rStyle w:val="20"/>
          <w:rFonts w:hint="eastAsia" w:ascii="仿宋" w:eastAsia="仿宋"/>
          <w:b w:val="0"/>
        </w:rPr>
        <w:t xml:space="preserve"> </w:t>
      </w:r>
    </w:p>
    <w:sectPr>
      <w:headerReference r:id="rId3" w:type="default"/>
      <w:footerReference r:id="rId5" w:type="default"/>
      <w:headerReference r:id="rId4"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简体">
    <w:altName w:val="方正楷体_GBK"/>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-9798685</wp:posOffset>
              </wp:positionV>
              <wp:extent cx="57150" cy="285115"/>
              <wp:effectExtent l="0" t="0" r="0" b="0"/>
              <wp:wrapNone/>
              <wp:docPr id="1" name="_x0000_s2049"/>
              <wp:cNvGraphicFramePr/>
              <a:graphic xmlns:a="http://schemas.openxmlformats.org/drawingml/2006/main">
                <a:graphicData uri="http://schemas.microsoft.com/office/word/2010/wordprocessingShape">
                  <wps:wsp>
                    <wps:cNvSpPr/>
                    <wps:spPr>
                      <a:xfrm>
                        <a:off x="0" y="0"/>
                        <a:ext cx="57150" cy="285045"/>
                      </a:xfrm>
                      <a:prstGeom prst="rect">
                        <a:avLst/>
                      </a:prstGeom>
                      <a:noFill/>
                      <a:ln w="9525" cap="flat" cmpd="sng">
                        <a:noFill/>
                        <a:prstDash val="solid"/>
                        <a:miter/>
                      </a:ln>
                    </wps:spPr>
                    <wps:txbx>
                      <w:txbxContent>
                        <w:p>
                          <w:pPr>
                            <w:pStyle w:val="3"/>
                            <w:jc w:val="center"/>
                          </w:pPr>
                          <w:r>
                            <w:fldChar w:fldCharType="begin"/>
                          </w:r>
                          <w:r>
                            <w:instrText xml:space="preserve">PAGE   \* MERGEFORMAT</w:instrText>
                          </w:r>
                          <w:r>
                            <w:fldChar w:fldCharType="separate"/>
                          </w:r>
                          <w:r>
                            <w:rPr>
                              <w:lang w:val="zh-CN"/>
                            </w:rPr>
                            <w:t>23</w:t>
                          </w:r>
                          <w:r>
                            <w:rPr>
                              <w:lang w:val="zh-CN"/>
                            </w:rP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771.55pt;height:22.4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BNKQvvXAAAACgEAAA8AAAAAAAAAAQAgAAAA&#10;OAAAAGRycy9kb3ducmV2LnhtbFBLAQIUABQAAAAIAIdO4kCWpGqb9gEAAPQDAAAOAAAAAAAAAAEA&#10;IAAAADwBAABkcnMvZTJvRG9jLnhtbFBLBQYAAAAABgAGAFkBAACkBQAAAAA=&#10;">
              <v:fill on="f" focussize="0,0"/>
              <v:stroke on="f" joinstyle="miter"/>
              <v:imagedata o:title=""/>
              <o:lock v:ext="edit" aspectratio="f"/>
              <v:textbox inset="0mm,0mm,0mm,0mm" style="mso-fit-shape-to-text:t;">
                <w:txbxContent>
                  <w:p>
                    <w:pPr>
                      <w:pStyle w:val="3"/>
                      <w:jc w:val="center"/>
                    </w:pPr>
                    <w:r>
                      <w:fldChar w:fldCharType="begin"/>
                    </w:r>
                    <w:r>
                      <w:instrText xml:space="preserve">PAGE   \* MERGEFORMAT</w:instrText>
                    </w:r>
                    <w:r>
                      <w:fldChar w:fldCharType="separate"/>
                    </w:r>
                    <w:r>
                      <w:rPr>
                        <w:lang w:val="zh-CN"/>
                      </w:rPr>
                      <w:t>23</w:t>
                    </w:r>
                    <w:r>
                      <w:rPr>
                        <w:lang w:val="zh-CN"/>
                      </w:rPr>
                      <w:fldChar w:fldCharType="end"/>
                    </w:r>
                  </w:p>
                  <w:p/>
                </w:txbxContent>
              </v:textbox>
            </v:rect>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F519D"/>
    <w:multiLevelType w:val="singleLevel"/>
    <w:tmpl w:val="99EF519D"/>
    <w:lvl w:ilvl="0" w:tentative="0">
      <w:start w:val="4"/>
      <w:numFmt w:val="chineseCounting"/>
      <w:suff w:val="nothing"/>
      <w:lvlText w:val="(%1）"/>
      <w:lvlJc w:val="left"/>
      <w:pPr>
        <w:ind w:left="0" w:firstLine="0"/>
      </w:pPr>
      <w:rPr>
        <w:rFonts w:hint="eastAsia"/>
      </w:rPr>
    </w:lvl>
  </w:abstractNum>
  <w:abstractNum w:abstractNumId="1">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2">
    <w:nsid w:val="0AA26B8A"/>
    <w:multiLevelType w:val="singleLevel"/>
    <w:tmpl w:val="0AA26B8A"/>
    <w:lvl w:ilvl="0" w:tentative="0">
      <w:start w:val="1"/>
      <w:numFmt w:val="chineseCounting"/>
      <w:suff w:val="nothing"/>
      <w:lvlText w:val="（%1）"/>
      <w:lvlJc w:val="left"/>
      <w:pPr>
        <w:ind w:left="0" w:firstLine="0"/>
      </w:pPr>
      <w:rPr>
        <w:rFonts w:hint="eastAsia" w:cs="Times New Roman"/>
      </w:rPr>
    </w:lvl>
  </w:abstractNum>
  <w:abstractNum w:abstractNumId="3">
    <w:nsid w:val="3717F156"/>
    <w:multiLevelType w:val="singleLevel"/>
    <w:tmpl w:val="3717F156"/>
    <w:lvl w:ilvl="0" w:tentative="0">
      <w:start w:val="1"/>
      <w:numFmt w:val="chineseCounting"/>
      <w:suff w:val="nothing"/>
      <w:lvlText w:val="%1、"/>
      <w:lvlJc w:val="left"/>
      <w:pPr>
        <w:ind w:left="0" w:firstLine="0"/>
      </w:pPr>
      <w:rPr>
        <w:rFonts w:hint="eastAsia"/>
      </w:rPr>
    </w:lvl>
  </w:abstractNum>
  <w:abstractNum w:abstractNumId="4">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GMzZDg4Zjk1NzBhMTQzMmM2OTcwOWY1ZDY5ZWEifQ=="/>
  </w:docVars>
  <w:rsids>
    <w:rsidRoot w:val="00000000"/>
    <w:rsid w:val="3752388A"/>
    <w:rsid w:val="747A3B6E"/>
    <w:rsid w:val="7790767F"/>
    <w:rsid w:val="7FC89D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0"/>
    <w:qFormat/>
    <w:uiPriority w:val="0"/>
    <w:pPr>
      <w:keepNext/>
      <w:keepLines/>
      <w:widowControl w:val="0"/>
      <w:spacing w:before="260" w:after="260" w:line="415" w:lineRule="auto"/>
      <w:outlineLvl w:val="1"/>
    </w:pPr>
    <w:rPr>
      <w:rFonts w:ascii="Cambria" w:hAnsi="Cambria" w:cs="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Web)"/>
    <w:basedOn w:val="1"/>
    <w:next w:val="3"/>
    <w:qFormat/>
    <w:uiPriority w:val="0"/>
    <w:pPr>
      <w:widowControl/>
      <w:spacing w:before="100" w:beforeAutospacing="1" w:after="100" w:afterAutospacing="1"/>
      <w:jc w:val="left"/>
    </w:pPr>
    <w:rPr>
      <w:rFonts w:ascii="宋体"/>
      <w:kern w:val="0"/>
      <w:sz w:val="24"/>
    </w:rPr>
  </w:style>
  <w:style w:type="paragraph" w:styleId="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7">
    <w:name w:val="Document Map"/>
    <w:basedOn w:val="1"/>
    <w:qFormat/>
    <w:uiPriority w:val="0"/>
    <w:pPr>
      <w:shd w:val="clear" w:color="auto" w:fill="000080"/>
    </w:p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2">
    <w:name w:val="toc 1"/>
    <w:basedOn w:val="1"/>
    <w:next w:val="1"/>
    <w:qFormat/>
    <w:uiPriority w:val="0"/>
    <w:pPr>
      <w:tabs>
        <w:tab w:val="right" w:leader="dot" w:pos="8296"/>
      </w:tabs>
      <w:spacing w:before="93"/>
      <w:jc w:val="center"/>
    </w:pPr>
    <w:rPr>
      <w:rFonts w:ascii="??" w:hAnsi="??" w:cs="??"/>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rFonts w:cs="Times New Roman"/>
      <w:b/>
      <w:bCs/>
    </w:rPr>
  </w:style>
  <w:style w:type="character" w:styleId="17">
    <w:name w:val="FollowedHyperlink"/>
    <w:basedOn w:val="15"/>
    <w:qFormat/>
    <w:uiPriority w:val="0"/>
    <w:rPr>
      <w:color w:val="800080"/>
      <w:u w:val="single"/>
    </w:rPr>
  </w:style>
  <w:style w:type="character" w:styleId="18">
    <w:name w:val="Hyperlink"/>
    <w:basedOn w:val="15"/>
    <w:qFormat/>
    <w:uiPriority w:val="0"/>
    <w:rPr>
      <w:rFonts w:cs="Times New Roman"/>
      <w:color w:val="0000FF"/>
      <w:u w:val="single"/>
    </w:rPr>
  </w:style>
  <w:style w:type="character" w:customStyle="1" w:styleId="19">
    <w:name w:val="heading 1 Char"/>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5"/>
    <w:link w:val="5"/>
    <w:qFormat/>
    <w:uiPriority w:val="0"/>
    <w:rPr>
      <w:rFonts w:ascii="Cambria" w:hAnsi="Cambria" w:eastAsia="宋体" w:cs="Cambria"/>
      <w:b/>
      <w:bCs/>
      <w:kern w:val="2"/>
      <w:sz w:val="32"/>
      <w:szCs w:val="32"/>
      <w:lang w:val="en-US" w:eastAsia="zh-CN" w:bidi="ar-SA"/>
    </w:rPr>
  </w:style>
  <w:style w:type="paragraph" w:customStyle="1" w:styleId="21">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1"/>
    <w:basedOn w:val="4"/>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 w:type="paragraph" w:customStyle="1" w:styleId="24">
    <w:name w:val="xl63"/>
    <w:basedOn w:val="1"/>
    <w:qFormat/>
    <w:uiPriority w:val="0"/>
    <w:pPr>
      <w:widowControl/>
      <w:spacing w:before="100" w:beforeAutospacing="1" w:after="100" w:afterAutospacing="1"/>
      <w:jc w:val="right"/>
    </w:pPr>
    <w:rPr>
      <w:rFonts w:ascii="宋体" w:cs="宋体"/>
      <w:color w:val="000000"/>
      <w:kern w:val="0"/>
      <w:sz w:val="14"/>
      <w:szCs w:val="14"/>
    </w:rPr>
  </w:style>
  <w:style w:type="paragraph" w:customStyle="1" w:styleId="25">
    <w:name w:val="xl64"/>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2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27">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28">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2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0">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cs="宋体"/>
      <w:color w:val="000000"/>
      <w:kern w:val="0"/>
      <w:sz w:val="18"/>
      <w:szCs w:val="18"/>
    </w:rPr>
  </w:style>
  <w:style w:type="paragraph" w:customStyle="1" w:styleId="31">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2">
    <w:name w:val="xl71"/>
    <w:basedOn w:val="1"/>
    <w:qFormat/>
    <w:uiPriority w:val="0"/>
    <w:pPr>
      <w:widowControl/>
      <w:spacing w:before="100" w:beforeAutospacing="1" w:after="100" w:afterAutospacing="1"/>
      <w:jc w:val="left"/>
    </w:pPr>
    <w:rPr>
      <w:rFonts w:ascii="宋体" w:cs="宋体"/>
      <w:kern w:val="0"/>
      <w:sz w:val="18"/>
      <w:szCs w:val="18"/>
    </w:rPr>
  </w:style>
  <w:style w:type="paragraph" w:customStyle="1" w:styleId="33">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34">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35">
    <w:name w:val="xl74"/>
    <w:basedOn w:val="1"/>
    <w:qFormat/>
    <w:uiPriority w:val="0"/>
    <w:pPr>
      <w:widowControl/>
      <w:spacing w:before="100" w:beforeAutospacing="1" w:after="100" w:afterAutospacing="1"/>
      <w:jc w:val="center"/>
    </w:pPr>
    <w:rPr>
      <w:rFonts w:ascii="Courier New" w:hAnsi="Courier New" w:cs="Courier New"/>
      <w:b/>
      <w:bCs/>
      <w:color w:val="000000"/>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9595</Words>
  <Characters>10140</Characters>
  <Lines>689</Lines>
  <Paragraphs>236</Paragraphs>
  <TotalTime>8</TotalTime>
  <ScaleCrop>false</ScaleCrop>
  <LinksUpToDate>false</LinksUpToDate>
  <CharactersWithSpaces>10244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2023-09-08T09:41:00Z</cp:lastPrinted>
  <dcterms:modified xsi:type="dcterms:W3CDTF">2026-05-09T15:45:14Z</dcterms:modified>
  <dc:title>四川省***</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ies>
</file>