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1441"/>
        <w:jc w:val="center"/>
        <w:outlineLvl w:val="0"/>
        <w:rPr>
          <w:rFonts w:ascii="方正小标宋简体" w:hAnsi="宋体" w:eastAsia="方正小标宋简体"/>
          <w:color w:val="000000"/>
          <w:sz w:val="72"/>
          <w:szCs w:val="72"/>
        </w:rPr>
      </w:pPr>
    </w:p>
    <w:p>
      <w:pPr>
        <w:adjustRightInd w:val="0"/>
        <w:snapToGrid w:val="0"/>
        <w:spacing w:line="360" w:lineRule="auto"/>
        <w:ind w:firstLine="1446"/>
        <w:jc w:val="center"/>
        <w:outlineLvl w:val="0"/>
        <w:rPr>
          <w:rFonts w:ascii="黑体" w:hAnsi="黑体" w:eastAsia="黑体"/>
          <w:color w:val="000000"/>
          <w:sz w:val="72"/>
          <w:szCs w:val="72"/>
        </w:rPr>
      </w:pPr>
      <w:bookmarkStart w:id="0" w:name="_Toc15377425"/>
      <w:bookmarkStart w:id="1" w:name="_Toc15396475"/>
      <w:bookmarkStart w:id="2" w:name="_Toc15377193"/>
      <w:bookmarkStart w:id="3" w:name="_Toc15396597"/>
      <w:bookmarkStart w:id="4" w:name="_Toc15378441"/>
    </w:p>
    <w:p>
      <w:pPr>
        <w:adjustRightInd w:val="0"/>
        <w:snapToGrid w:val="0"/>
        <w:spacing w:line="360" w:lineRule="auto"/>
        <w:ind w:firstLine="1446"/>
        <w:jc w:val="center"/>
        <w:outlineLvl w:val="0"/>
        <w:rPr>
          <w:rFonts w:ascii="黑体" w:hAnsi="黑体" w:eastAsia="黑体"/>
          <w:color w:val="000000"/>
          <w:sz w:val="72"/>
          <w:szCs w:val="72"/>
        </w:rPr>
      </w:pPr>
    </w:p>
    <w:p>
      <w:pPr>
        <w:ind w:firstLine="0" w:firstLineChars="0"/>
        <w:jc w:val="center"/>
        <w:rPr>
          <w:rFonts w:ascii="方正小标宋简体" w:eastAsia="方正小标宋简体"/>
          <w:sz w:val="44"/>
          <w:szCs w:val="44"/>
        </w:rPr>
      </w:pPr>
      <w:r>
        <w:rPr>
          <w:rFonts w:ascii="方正小标宋简体" w:eastAsia="方正小标宋简体" w:cs="方正小标宋简体"/>
          <w:sz w:val="44"/>
          <w:szCs w:val="44"/>
        </w:rPr>
        <w:t>2018</w:t>
      </w:r>
      <w:r>
        <w:rPr>
          <w:rFonts w:hint="eastAsia" w:ascii="方正小标宋简体" w:eastAsia="方正小标宋简体" w:cs="方正小标宋简体"/>
          <w:sz w:val="44"/>
          <w:szCs w:val="44"/>
        </w:rPr>
        <w:t>年度</w:t>
      </w:r>
      <w:bookmarkEnd w:id="0"/>
      <w:bookmarkEnd w:id="1"/>
      <w:bookmarkEnd w:id="2"/>
      <w:bookmarkEnd w:id="3"/>
      <w:bookmarkEnd w:id="4"/>
    </w:p>
    <w:p>
      <w:pPr>
        <w:ind w:firstLine="0" w:firstLineChars="0"/>
        <w:jc w:val="center"/>
        <w:rPr>
          <w:rFonts w:ascii="方正小标宋简体" w:eastAsia="方正小标宋简体"/>
          <w:sz w:val="44"/>
          <w:szCs w:val="44"/>
        </w:rPr>
      </w:pPr>
      <w:bookmarkStart w:id="5" w:name="_Toc15396476"/>
      <w:bookmarkStart w:id="6" w:name="_Toc15377426"/>
      <w:bookmarkStart w:id="7" w:name="_Toc15377194"/>
      <w:bookmarkStart w:id="8" w:name="_Toc15396598"/>
      <w:bookmarkStart w:id="9" w:name="_Toc15306268"/>
      <w:bookmarkStart w:id="10" w:name="_Toc15378442"/>
      <w:r>
        <w:rPr>
          <w:rFonts w:hint="eastAsia" w:ascii="方正小标宋简体" w:eastAsia="方正小标宋简体" w:cs="方正小标宋简体"/>
          <w:sz w:val="44"/>
          <w:szCs w:val="44"/>
        </w:rPr>
        <w:t>茂县工商联合会部门决算</w:t>
      </w:r>
      <w:bookmarkEnd w:id="5"/>
      <w:bookmarkEnd w:id="6"/>
      <w:bookmarkEnd w:id="7"/>
      <w:bookmarkEnd w:id="8"/>
      <w:bookmarkEnd w:id="9"/>
      <w:bookmarkEnd w:id="10"/>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pPr>
    </w:p>
    <w:p>
      <w:pPr>
        <w:ind w:firstLine="0" w:firstLineChars="0"/>
        <w:jc w:val="center"/>
        <w:rPr>
          <w:rFonts w:ascii="方正小标宋简体" w:eastAsia="方正小标宋简体"/>
          <w:b w:val="0"/>
          <w:bCs w:val="0"/>
          <w:sz w:val="44"/>
          <w:szCs w:val="44"/>
        </w:rPr>
      </w:pPr>
      <w:r>
        <w:rPr>
          <w:rFonts w:hint="eastAsia" w:ascii="方正小标宋简体" w:eastAsia="方正小标宋简体" w:cs="方正小标宋简体"/>
          <w:b w:val="0"/>
          <w:bCs w:val="0"/>
          <w:sz w:val="44"/>
          <w:szCs w:val="44"/>
        </w:rPr>
        <w:t>目</w:t>
      </w:r>
      <w:r>
        <w:rPr>
          <w:rFonts w:ascii="方正小标宋简体" w:eastAsia="方正小标宋简体" w:cs="方正小标宋简体"/>
          <w:b w:val="0"/>
          <w:bCs w:val="0"/>
          <w:sz w:val="44"/>
          <w:szCs w:val="44"/>
        </w:rPr>
        <w:t xml:space="preserve">  </w:t>
      </w:r>
      <w:r>
        <w:rPr>
          <w:rFonts w:hint="eastAsia" w:ascii="方正小标宋简体" w:eastAsia="方正小标宋简体" w:cs="方正小标宋简体"/>
          <w:b w:val="0"/>
          <w:bCs w:val="0"/>
          <w:sz w:val="44"/>
          <w:szCs w:val="44"/>
        </w:rPr>
        <w:t>录</w:t>
      </w:r>
    </w:p>
    <w:p>
      <w:pPr>
        <w:pStyle w:val="11"/>
        <w:spacing w:line="576" w:lineRule="exact"/>
        <w:ind w:firstLine="0" w:firstLineChars="0"/>
        <w:rPr>
          <w:rFonts w:ascii="仿宋_GB2312" w:hAnsi="Calibri" w:eastAsia="仿宋_GB2312"/>
          <w:b w:val="0"/>
          <w:bCs w:val="0"/>
          <w:sz w:val="21"/>
          <w:szCs w:val="21"/>
        </w:rPr>
      </w:pPr>
      <w:r>
        <w:rPr>
          <w:rFonts w:ascii="仿宋_GB2312" w:eastAsia="仿宋_GB2312" w:cs="仿宋_GB2312"/>
          <w:b w:val="0"/>
          <w:bCs w:val="0"/>
        </w:rPr>
        <w:fldChar w:fldCharType="begin"/>
      </w:r>
      <w:r>
        <w:rPr>
          <w:rFonts w:ascii="仿宋_GB2312" w:eastAsia="仿宋_GB2312" w:cs="仿宋_GB2312"/>
          <w:b w:val="0"/>
          <w:bCs w:val="0"/>
        </w:rPr>
        <w:instrText xml:space="preserve"> TOC \o "1-3" \h \z \u </w:instrText>
      </w:r>
      <w:r>
        <w:rPr>
          <w:rFonts w:ascii="仿宋_GB2312" w:eastAsia="仿宋_GB2312" w:cs="仿宋_GB2312"/>
          <w:b w:val="0"/>
          <w:bCs w:val="0"/>
        </w:rPr>
        <w:fldChar w:fldCharType="separate"/>
      </w:r>
      <w:r>
        <w:fldChar w:fldCharType="begin"/>
      </w:r>
      <w:r>
        <w:instrText xml:space="preserve"> HYPERLINK \l "_Toc20222264" </w:instrText>
      </w:r>
      <w:r>
        <w:fldChar w:fldCharType="separate"/>
      </w:r>
      <w:r>
        <w:rPr>
          <w:rStyle w:val="16"/>
          <w:rFonts w:hint="eastAsia" w:ascii="仿宋_GB2312" w:eastAsia="仿宋_GB2312" w:cs="仿宋_GB2312"/>
          <w:b w:val="0"/>
          <w:bCs w:val="0"/>
        </w:rPr>
        <w:t>第一部分</w:t>
      </w:r>
      <w:r>
        <w:rPr>
          <w:rStyle w:val="16"/>
          <w:rFonts w:ascii="仿宋_GB2312" w:eastAsia="仿宋_GB2312" w:cs="仿宋_GB2312"/>
          <w:b w:val="0"/>
          <w:bCs w:val="0"/>
        </w:rPr>
        <w:t xml:space="preserve"> </w:t>
      </w:r>
      <w:r>
        <w:rPr>
          <w:rStyle w:val="16"/>
          <w:rFonts w:hint="eastAsia" w:ascii="仿宋_GB2312" w:eastAsia="仿宋_GB2312" w:cs="仿宋_GB2312"/>
          <w:b w:val="0"/>
          <w:bCs w:val="0"/>
        </w:rPr>
        <w:t>部门概况</w:t>
      </w:r>
      <w:r>
        <w:rPr>
          <w:rFonts w:ascii="仿宋_GB2312" w:eastAsia="仿宋_GB2312"/>
          <w:b w:val="0"/>
          <w:bCs w:val="0"/>
        </w:rPr>
        <w:tab/>
      </w:r>
      <w:r>
        <w:rPr>
          <w:rFonts w:ascii="仿宋_GB2312" w:eastAsia="仿宋_GB2312" w:cs="仿宋_GB2312"/>
          <w:b w:val="0"/>
          <w:bCs w:val="0"/>
        </w:rPr>
        <w:fldChar w:fldCharType="begin"/>
      </w:r>
      <w:r>
        <w:rPr>
          <w:rFonts w:ascii="仿宋_GB2312" w:eastAsia="仿宋_GB2312" w:cs="仿宋_GB2312"/>
          <w:b w:val="0"/>
          <w:bCs w:val="0"/>
        </w:rPr>
        <w:instrText xml:space="preserve"> PAGEREF _Toc20222264 \h </w:instrText>
      </w:r>
      <w:r>
        <w:rPr>
          <w:rFonts w:ascii="仿宋_GB2312" w:eastAsia="仿宋_GB2312" w:cs="仿宋_GB2312"/>
          <w:b w:val="0"/>
          <w:bCs w:val="0"/>
        </w:rPr>
        <w:fldChar w:fldCharType="separate"/>
      </w:r>
      <w:r>
        <w:rPr>
          <w:rFonts w:ascii="仿宋_GB2312" w:eastAsia="仿宋_GB2312" w:cs="仿宋_GB2312"/>
          <w:b w:val="0"/>
          <w:bCs w:val="0"/>
        </w:rPr>
        <w:t>4</w:t>
      </w:r>
      <w:r>
        <w:rPr>
          <w:rFonts w:ascii="仿宋_GB2312" w:eastAsia="仿宋_GB2312" w:cs="仿宋_GB2312"/>
          <w:b w:val="0"/>
          <w:bCs w:val="0"/>
        </w:rPr>
        <w:fldChar w:fldCharType="end"/>
      </w:r>
      <w:r>
        <w:rPr>
          <w:rFonts w:ascii="仿宋_GB2312" w:eastAsia="仿宋_GB2312" w:cs="仿宋_GB2312"/>
          <w:b w:val="0"/>
          <w:bCs w:val="0"/>
        </w:rPr>
        <w:fldChar w:fldCharType="end"/>
      </w:r>
    </w:p>
    <w:p>
      <w:pPr>
        <w:pStyle w:val="12"/>
        <w:spacing w:line="576" w:lineRule="exact"/>
      </w:pPr>
      <w:r>
        <w:fldChar w:fldCharType="begin"/>
      </w:r>
      <w:r>
        <w:instrText xml:space="preserve"> HYPERLINK \l "_Toc20222265" </w:instrText>
      </w:r>
      <w:r>
        <w:fldChar w:fldCharType="separate"/>
      </w:r>
      <w:r>
        <w:rPr>
          <w:rStyle w:val="16"/>
          <w:rFonts w:hint="eastAsia" w:ascii="仿宋_GB2312" w:eastAsia="仿宋_GB2312" w:cs="仿宋_GB2312"/>
          <w:b w:val="0"/>
          <w:bCs w:val="0"/>
        </w:rPr>
        <w:t>一、基本职能及主要工作</w:t>
      </w:r>
      <w:r>
        <w:rPr>
          <w:rFonts w:ascii="仿宋_GB2312" w:eastAsia="仿宋_GB2312"/>
          <w:b w:val="0"/>
          <w:bCs w:val="0"/>
        </w:rPr>
        <w:tab/>
      </w:r>
      <w:r>
        <w:rPr>
          <w:rFonts w:ascii="仿宋_GB2312" w:eastAsia="仿宋_GB2312" w:cs="仿宋_GB2312"/>
          <w:b w:val="0"/>
          <w:bCs w:val="0"/>
        </w:rPr>
        <w:fldChar w:fldCharType="begin"/>
      </w:r>
      <w:r>
        <w:rPr>
          <w:rFonts w:ascii="仿宋_GB2312" w:eastAsia="仿宋_GB2312" w:cs="仿宋_GB2312"/>
          <w:b w:val="0"/>
          <w:bCs w:val="0"/>
        </w:rPr>
        <w:instrText xml:space="preserve"> PAGEREF _Toc20222265 \h </w:instrText>
      </w:r>
      <w:r>
        <w:rPr>
          <w:rFonts w:ascii="仿宋_GB2312" w:eastAsia="仿宋_GB2312" w:cs="仿宋_GB2312"/>
          <w:b w:val="0"/>
          <w:bCs w:val="0"/>
        </w:rPr>
        <w:fldChar w:fldCharType="separate"/>
      </w:r>
      <w:r>
        <w:rPr>
          <w:rFonts w:ascii="仿宋_GB2312" w:eastAsia="仿宋_GB2312" w:cs="仿宋_GB2312"/>
          <w:b w:val="0"/>
          <w:bCs w:val="0"/>
        </w:rPr>
        <w:t>4</w:t>
      </w:r>
      <w:r>
        <w:rPr>
          <w:rFonts w:ascii="仿宋_GB2312" w:eastAsia="仿宋_GB2312" w:cs="仿宋_GB2312"/>
          <w:b w:val="0"/>
          <w:bCs w:val="0"/>
        </w:rPr>
        <w:fldChar w:fldCharType="end"/>
      </w:r>
      <w:r>
        <w:rPr>
          <w:rFonts w:ascii="仿宋_GB2312" w:eastAsia="仿宋_GB2312" w:cs="仿宋_GB2312"/>
          <w:b w:val="0"/>
          <w:bCs w:val="0"/>
        </w:rPr>
        <w:fldChar w:fldCharType="end"/>
      </w:r>
    </w:p>
    <w:p>
      <w:pPr>
        <w:pStyle w:val="11"/>
        <w:spacing w:line="576" w:lineRule="exact"/>
        <w:ind w:firstLine="0" w:firstLineChars="0"/>
        <w:rPr>
          <w:rFonts w:ascii="仿宋_GB2312" w:hAnsi="Calibri" w:eastAsia="仿宋_GB2312"/>
          <w:b w:val="0"/>
          <w:bCs w:val="0"/>
          <w:sz w:val="21"/>
          <w:szCs w:val="21"/>
        </w:rPr>
      </w:pPr>
      <w:r>
        <w:fldChar w:fldCharType="begin"/>
      </w:r>
      <w:r>
        <w:instrText xml:space="preserve"> HYPERLINK \l "_Toc20222271" </w:instrText>
      </w:r>
      <w:r>
        <w:fldChar w:fldCharType="separate"/>
      </w:r>
      <w:r>
        <w:rPr>
          <w:rStyle w:val="16"/>
          <w:rFonts w:hint="eastAsia" w:ascii="仿宋_GB2312" w:hAnsi="黑体" w:eastAsia="仿宋_GB2312" w:cs="仿宋_GB2312"/>
          <w:b w:val="0"/>
          <w:bCs w:val="0"/>
        </w:rPr>
        <w:t>二、机构设置</w:t>
      </w:r>
      <w:r>
        <w:rPr>
          <w:rFonts w:ascii="仿宋_GB2312" w:eastAsia="仿宋_GB2312"/>
          <w:b w:val="0"/>
          <w:bCs w:val="0"/>
        </w:rPr>
        <w:tab/>
      </w:r>
      <w:r>
        <w:rPr>
          <w:rFonts w:ascii="仿宋_GB2312" w:eastAsia="仿宋_GB2312" w:cs="仿宋_GB2312"/>
          <w:b w:val="0"/>
          <w:bCs w:val="0"/>
        </w:rPr>
        <w:fldChar w:fldCharType="begin"/>
      </w:r>
      <w:r>
        <w:rPr>
          <w:rFonts w:ascii="仿宋_GB2312" w:eastAsia="仿宋_GB2312" w:cs="仿宋_GB2312"/>
          <w:b w:val="0"/>
          <w:bCs w:val="0"/>
        </w:rPr>
        <w:instrText xml:space="preserve"> PAGEREF _Toc20222271 \h </w:instrText>
      </w:r>
      <w:r>
        <w:rPr>
          <w:rFonts w:ascii="仿宋_GB2312" w:eastAsia="仿宋_GB2312" w:cs="仿宋_GB2312"/>
          <w:b w:val="0"/>
          <w:bCs w:val="0"/>
        </w:rPr>
        <w:fldChar w:fldCharType="separate"/>
      </w:r>
      <w:r>
        <w:rPr>
          <w:rFonts w:ascii="仿宋_GB2312" w:eastAsia="仿宋_GB2312" w:cs="仿宋_GB2312"/>
          <w:b w:val="0"/>
          <w:bCs w:val="0"/>
        </w:rPr>
        <w:t>4</w:t>
      </w:r>
      <w:r>
        <w:rPr>
          <w:rFonts w:ascii="仿宋_GB2312" w:eastAsia="仿宋_GB2312" w:cs="仿宋_GB2312"/>
          <w:b w:val="0"/>
          <w:bCs w:val="0"/>
        </w:rPr>
        <w:fldChar w:fldCharType="end"/>
      </w:r>
      <w:r>
        <w:rPr>
          <w:rFonts w:ascii="仿宋_GB2312" w:eastAsia="仿宋_GB2312" w:cs="仿宋_GB2312"/>
          <w:b w:val="0"/>
          <w:bCs w:val="0"/>
        </w:rPr>
        <w:fldChar w:fldCharType="end"/>
      </w:r>
    </w:p>
    <w:p>
      <w:pPr>
        <w:pStyle w:val="11"/>
        <w:spacing w:line="576" w:lineRule="exact"/>
        <w:ind w:firstLine="0" w:firstLineChars="0"/>
        <w:rPr>
          <w:rFonts w:ascii="仿宋_GB2312" w:hAnsi="Calibri" w:eastAsia="仿宋_GB2312"/>
          <w:b w:val="0"/>
          <w:bCs w:val="0"/>
          <w:sz w:val="21"/>
          <w:szCs w:val="21"/>
        </w:rPr>
      </w:pPr>
      <w:r>
        <w:fldChar w:fldCharType="begin"/>
      </w:r>
      <w:r>
        <w:instrText xml:space="preserve"> HYPERLINK \l "_Toc20222272" </w:instrText>
      </w:r>
      <w:r>
        <w:fldChar w:fldCharType="separate"/>
      </w:r>
      <w:r>
        <w:rPr>
          <w:rStyle w:val="16"/>
          <w:rFonts w:hint="eastAsia" w:ascii="仿宋_GB2312" w:eastAsia="仿宋_GB2312" w:cs="仿宋_GB2312"/>
          <w:b w:val="0"/>
          <w:bCs w:val="0"/>
        </w:rPr>
        <w:t>第二部分</w:t>
      </w:r>
      <w:r>
        <w:rPr>
          <w:rStyle w:val="16"/>
          <w:rFonts w:ascii="仿宋_GB2312" w:eastAsia="仿宋_GB2312" w:cs="仿宋_GB2312"/>
          <w:b w:val="0"/>
          <w:bCs w:val="0"/>
        </w:rPr>
        <w:t xml:space="preserve"> 2018</w:t>
      </w:r>
      <w:r>
        <w:rPr>
          <w:rStyle w:val="16"/>
          <w:rFonts w:hint="eastAsia" w:ascii="仿宋_GB2312" w:eastAsia="仿宋_GB2312" w:cs="仿宋_GB2312"/>
          <w:b w:val="0"/>
          <w:bCs w:val="0"/>
        </w:rPr>
        <w:t>年度部门决算情况说明</w:t>
      </w:r>
      <w:r>
        <w:rPr>
          <w:rFonts w:ascii="仿宋_GB2312" w:eastAsia="仿宋_GB2312"/>
          <w:b w:val="0"/>
          <w:bCs w:val="0"/>
        </w:rPr>
        <w:tab/>
      </w:r>
      <w:r>
        <w:rPr>
          <w:rFonts w:ascii="仿宋_GB2312" w:eastAsia="仿宋_GB2312" w:cs="仿宋_GB2312"/>
          <w:b w:val="0"/>
          <w:bCs w:val="0"/>
        </w:rPr>
        <w:t>6</w:t>
      </w:r>
      <w:r>
        <w:rPr>
          <w:rFonts w:ascii="仿宋_GB2312" w:eastAsia="仿宋_GB2312" w:cs="仿宋_GB2312"/>
          <w:b w:val="0"/>
          <w:bCs w:val="0"/>
        </w:rPr>
        <w:fldChar w:fldCharType="end"/>
      </w:r>
    </w:p>
    <w:p>
      <w:pPr>
        <w:pStyle w:val="12"/>
        <w:spacing w:line="576" w:lineRule="exact"/>
        <w:rPr>
          <w:rFonts w:ascii="仿宋_GB2312" w:hAnsi="Calibri" w:eastAsia="仿宋_GB2312"/>
          <w:b w:val="0"/>
          <w:bCs w:val="0"/>
          <w:sz w:val="21"/>
          <w:szCs w:val="21"/>
        </w:rPr>
      </w:pPr>
      <w:r>
        <w:fldChar w:fldCharType="begin"/>
      </w:r>
      <w:r>
        <w:instrText xml:space="preserve"> HYPERLINK \l "_Toc20222273" </w:instrText>
      </w:r>
      <w:r>
        <w:fldChar w:fldCharType="separate"/>
      </w:r>
      <w:r>
        <w:rPr>
          <w:rStyle w:val="16"/>
          <w:rFonts w:hint="eastAsia" w:ascii="仿宋_GB2312" w:eastAsia="仿宋_GB2312" w:cs="仿宋_GB2312"/>
          <w:b w:val="0"/>
          <w:bCs w:val="0"/>
        </w:rPr>
        <w:t>一、收</w:t>
      </w:r>
      <w:r>
        <w:rPr>
          <w:rStyle w:val="16"/>
          <w:rFonts w:hint="eastAsia" w:ascii="仿宋_GB2312" w:hAnsi="黑体" w:eastAsia="仿宋_GB2312" w:cs="仿宋_GB2312"/>
          <w:b w:val="0"/>
          <w:bCs w:val="0"/>
        </w:rPr>
        <w:t>入支出决算总体情况说明</w:t>
      </w:r>
      <w:r>
        <w:rPr>
          <w:rFonts w:ascii="仿宋_GB2312" w:eastAsia="仿宋_GB2312"/>
          <w:b w:val="0"/>
          <w:bCs w:val="0"/>
        </w:rPr>
        <w:tab/>
      </w:r>
      <w:r>
        <w:rPr>
          <w:rFonts w:ascii="仿宋_GB2312" w:eastAsia="仿宋_GB2312" w:cs="仿宋_GB2312"/>
          <w:b w:val="0"/>
          <w:bCs w:val="0"/>
        </w:rPr>
        <w:t>6</w:t>
      </w:r>
      <w:r>
        <w:rPr>
          <w:rFonts w:ascii="仿宋_GB2312" w:eastAsia="仿宋_GB2312" w:cs="仿宋_GB2312"/>
          <w:b w:val="0"/>
          <w:bCs w:val="0"/>
        </w:rPr>
        <w:fldChar w:fldCharType="end"/>
      </w:r>
    </w:p>
    <w:p>
      <w:pPr>
        <w:pStyle w:val="12"/>
        <w:spacing w:line="576" w:lineRule="exact"/>
        <w:rPr>
          <w:rFonts w:ascii="仿宋_GB2312" w:hAnsi="Calibri" w:eastAsia="仿宋_GB2312"/>
          <w:b w:val="0"/>
          <w:bCs w:val="0"/>
          <w:sz w:val="21"/>
          <w:szCs w:val="21"/>
        </w:rPr>
      </w:pPr>
      <w:r>
        <w:fldChar w:fldCharType="begin"/>
      </w:r>
      <w:r>
        <w:instrText xml:space="preserve"> HYPERLINK \l "_Toc20222274" </w:instrText>
      </w:r>
      <w:r>
        <w:fldChar w:fldCharType="separate"/>
      </w:r>
      <w:r>
        <w:rPr>
          <w:rStyle w:val="16"/>
          <w:rFonts w:hint="eastAsia" w:ascii="仿宋_GB2312" w:eastAsia="仿宋_GB2312" w:cs="仿宋_GB2312"/>
          <w:b w:val="0"/>
          <w:bCs w:val="0"/>
        </w:rPr>
        <w:t>二、收</w:t>
      </w:r>
      <w:r>
        <w:rPr>
          <w:rStyle w:val="16"/>
          <w:rFonts w:hint="eastAsia" w:ascii="仿宋_GB2312" w:hAnsi="黑体" w:eastAsia="仿宋_GB2312" w:cs="仿宋_GB2312"/>
          <w:b w:val="0"/>
          <w:bCs w:val="0"/>
        </w:rPr>
        <w:t>入决算情况说明</w:t>
      </w:r>
      <w:r>
        <w:rPr>
          <w:rFonts w:ascii="仿宋_GB2312" w:eastAsia="仿宋_GB2312"/>
          <w:b w:val="0"/>
          <w:bCs w:val="0"/>
        </w:rPr>
        <w:tab/>
      </w:r>
      <w:r>
        <w:rPr>
          <w:rFonts w:ascii="仿宋_GB2312" w:eastAsia="仿宋_GB2312" w:cs="仿宋_GB2312"/>
          <w:b w:val="0"/>
          <w:bCs w:val="0"/>
        </w:rPr>
        <w:t>6</w:t>
      </w:r>
      <w:r>
        <w:rPr>
          <w:rFonts w:ascii="仿宋_GB2312" w:eastAsia="仿宋_GB2312" w:cs="仿宋_GB2312"/>
          <w:b w:val="0"/>
          <w:bCs w:val="0"/>
        </w:rPr>
        <w:fldChar w:fldCharType="end"/>
      </w:r>
    </w:p>
    <w:p>
      <w:pPr>
        <w:pStyle w:val="12"/>
        <w:spacing w:line="576" w:lineRule="exact"/>
        <w:rPr>
          <w:rFonts w:ascii="仿宋_GB2312" w:hAnsi="Calibri" w:eastAsia="仿宋_GB2312"/>
          <w:b w:val="0"/>
          <w:bCs w:val="0"/>
          <w:sz w:val="21"/>
          <w:szCs w:val="21"/>
        </w:rPr>
      </w:pPr>
      <w:r>
        <w:fldChar w:fldCharType="begin"/>
      </w:r>
      <w:r>
        <w:instrText xml:space="preserve"> HYPERLINK \l "_Toc20222277" </w:instrText>
      </w:r>
      <w:r>
        <w:fldChar w:fldCharType="separate"/>
      </w:r>
      <w:r>
        <w:rPr>
          <w:rStyle w:val="16"/>
          <w:rFonts w:hint="eastAsia" w:ascii="仿宋_GB2312" w:hAnsi="仿宋" w:eastAsia="仿宋_GB2312" w:cs="仿宋_GB2312"/>
          <w:b w:val="0"/>
          <w:bCs w:val="0"/>
        </w:rPr>
        <w:t>三、</w:t>
      </w:r>
      <w:r>
        <w:rPr>
          <w:rStyle w:val="16"/>
          <w:rFonts w:hint="eastAsia" w:ascii="仿宋_GB2312" w:eastAsia="仿宋_GB2312" w:cs="仿宋_GB2312"/>
          <w:b w:val="0"/>
          <w:bCs w:val="0"/>
        </w:rPr>
        <w:t>支</w:t>
      </w:r>
      <w:r>
        <w:rPr>
          <w:rStyle w:val="16"/>
          <w:rFonts w:hint="eastAsia" w:ascii="仿宋_GB2312" w:hAnsi="黑体" w:eastAsia="仿宋_GB2312" w:cs="仿宋_GB2312"/>
          <w:b w:val="0"/>
          <w:bCs w:val="0"/>
        </w:rPr>
        <w:t>出决算情况说明</w:t>
      </w:r>
      <w:r>
        <w:rPr>
          <w:rFonts w:ascii="仿宋_GB2312" w:eastAsia="仿宋_GB2312"/>
          <w:b w:val="0"/>
          <w:bCs w:val="0"/>
        </w:rPr>
        <w:tab/>
      </w:r>
      <w:r>
        <w:rPr>
          <w:rFonts w:ascii="仿宋_GB2312" w:eastAsia="仿宋_GB2312" w:cs="仿宋_GB2312"/>
          <w:b w:val="0"/>
          <w:bCs w:val="0"/>
        </w:rPr>
        <w:t>7</w:t>
      </w:r>
      <w:r>
        <w:rPr>
          <w:rFonts w:ascii="仿宋_GB2312" w:eastAsia="仿宋_GB2312" w:cs="仿宋_GB2312"/>
          <w:b w:val="0"/>
          <w:bCs w:val="0"/>
        </w:rPr>
        <w:fldChar w:fldCharType="end"/>
      </w:r>
    </w:p>
    <w:p>
      <w:pPr>
        <w:pStyle w:val="12"/>
        <w:spacing w:line="576" w:lineRule="exact"/>
        <w:rPr>
          <w:rFonts w:ascii="仿宋_GB2312" w:hAnsi="Calibri" w:eastAsia="仿宋_GB2312"/>
          <w:b w:val="0"/>
          <w:bCs w:val="0"/>
          <w:sz w:val="21"/>
          <w:szCs w:val="21"/>
        </w:rPr>
      </w:pPr>
      <w:r>
        <w:fldChar w:fldCharType="begin"/>
      </w:r>
      <w:r>
        <w:instrText xml:space="preserve"> HYPERLINK \l "_Toc20222278" </w:instrText>
      </w:r>
      <w:r>
        <w:fldChar w:fldCharType="separate"/>
      </w:r>
      <w:r>
        <w:rPr>
          <w:rStyle w:val="16"/>
          <w:rFonts w:hint="eastAsia" w:ascii="仿宋_GB2312" w:hAnsi="黑体" w:eastAsia="仿宋_GB2312" w:cs="仿宋_GB2312"/>
          <w:b w:val="0"/>
          <w:bCs w:val="0"/>
        </w:rPr>
        <w:t>四、财政拨款收入支出决算总体情况说明</w:t>
      </w:r>
      <w:r>
        <w:rPr>
          <w:rFonts w:ascii="仿宋_GB2312" w:eastAsia="仿宋_GB2312"/>
          <w:b w:val="0"/>
          <w:bCs w:val="0"/>
        </w:rPr>
        <w:tab/>
      </w:r>
      <w:r>
        <w:rPr>
          <w:rFonts w:ascii="仿宋_GB2312" w:eastAsia="仿宋_GB2312" w:cs="仿宋_GB2312"/>
          <w:b w:val="0"/>
          <w:bCs w:val="0"/>
        </w:rPr>
        <w:t>7</w:t>
      </w:r>
      <w:r>
        <w:rPr>
          <w:rFonts w:ascii="仿宋_GB2312" w:eastAsia="仿宋_GB2312" w:cs="仿宋_GB2312"/>
          <w:b w:val="0"/>
          <w:bCs w:val="0"/>
        </w:rPr>
        <w:fldChar w:fldCharType="end"/>
      </w:r>
    </w:p>
    <w:p>
      <w:pPr>
        <w:pStyle w:val="12"/>
        <w:spacing w:line="576" w:lineRule="exact"/>
        <w:rPr>
          <w:rFonts w:ascii="仿宋_GB2312" w:hAnsi="Calibri" w:eastAsia="仿宋_GB2312"/>
          <w:b w:val="0"/>
          <w:bCs w:val="0"/>
          <w:sz w:val="21"/>
          <w:szCs w:val="21"/>
        </w:rPr>
      </w:pPr>
      <w:r>
        <w:fldChar w:fldCharType="begin"/>
      </w:r>
      <w:r>
        <w:instrText xml:space="preserve"> HYPERLINK \l "_Toc20222280" </w:instrText>
      </w:r>
      <w:r>
        <w:fldChar w:fldCharType="separate"/>
      </w:r>
      <w:r>
        <w:rPr>
          <w:rStyle w:val="16"/>
          <w:rFonts w:hint="eastAsia" w:ascii="仿宋_GB2312" w:hAnsi="黑体" w:eastAsia="仿宋_GB2312" w:cs="仿宋_GB2312"/>
          <w:b w:val="0"/>
          <w:bCs w:val="0"/>
        </w:rPr>
        <w:t>五、</w:t>
      </w:r>
      <w:r>
        <w:rPr>
          <w:rStyle w:val="16"/>
          <w:rFonts w:hint="eastAsia" w:ascii="仿宋_GB2312" w:eastAsia="仿宋_GB2312" w:cs="仿宋_GB2312"/>
          <w:b w:val="0"/>
          <w:bCs w:val="0"/>
        </w:rPr>
        <w:t>一</w:t>
      </w:r>
      <w:r>
        <w:rPr>
          <w:rStyle w:val="16"/>
          <w:rFonts w:hint="eastAsia" w:ascii="仿宋_GB2312" w:hAnsi="黑体" w:eastAsia="仿宋_GB2312" w:cs="仿宋_GB2312"/>
          <w:b w:val="0"/>
          <w:bCs w:val="0"/>
        </w:rPr>
        <w:t>般公共预算财政拨款支出决算情况说明</w:t>
      </w:r>
      <w:r>
        <w:rPr>
          <w:rFonts w:ascii="仿宋_GB2312" w:eastAsia="仿宋_GB2312"/>
          <w:b w:val="0"/>
          <w:bCs w:val="0"/>
        </w:rPr>
        <w:tab/>
      </w:r>
      <w:r>
        <w:rPr>
          <w:rFonts w:ascii="仿宋_GB2312" w:eastAsia="仿宋_GB2312" w:cs="仿宋_GB2312"/>
          <w:b w:val="0"/>
          <w:bCs w:val="0"/>
        </w:rPr>
        <w:t>8</w:t>
      </w:r>
      <w:r>
        <w:rPr>
          <w:rFonts w:ascii="仿宋_GB2312" w:eastAsia="仿宋_GB2312" w:cs="仿宋_GB2312"/>
          <w:b w:val="0"/>
          <w:bCs w:val="0"/>
        </w:rPr>
        <w:fldChar w:fldCharType="end"/>
      </w:r>
    </w:p>
    <w:p>
      <w:pPr>
        <w:pStyle w:val="6"/>
        <w:rPr>
          <w:rFonts w:ascii="仿宋_GB2312" w:hAnsi="Calibri" w:eastAsia="仿宋_GB2312"/>
          <w:b w:val="0"/>
          <w:bCs w:val="0"/>
          <w:sz w:val="21"/>
          <w:szCs w:val="21"/>
        </w:rPr>
      </w:pPr>
      <w:r>
        <w:fldChar w:fldCharType="begin"/>
      </w:r>
      <w:r>
        <w:instrText xml:space="preserve"> HYPERLINK \l "_Toc20222283" </w:instrText>
      </w:r>
      <w:r>
        <w:fldChar w:fldCharType="separate"/>
      </w:r>
      <w:r>
        <w:rPr>
          <w:rStyle w:val="16"/>
          <w:rFonts w:hint="eastAsia" w:ascii="仿宋_GB2312" w:eastAsia="仿宋_GB2312" w:cs="仿宋_GB2312"/>
          <w:b w:val="0"/>
          <w:bCs w:val="0"/>
        </w:rPr>
        <w:t>六、一</w:t>
      </w:r>
      <w:r>
        <w:rPr>
          <w:rStyle w:val="16"/>
          <w:rFonts w:hint="eastAsia" w:ascii="仿宋_GB2312" w:hAnsi="黑体" w:eastAsia="仿宋_GB2312" w:cs="仿宋_GB2312"/>
          <w:b w:val="0"/>
          <w:bCs w:val="0"/>
        </w:rPr>
        <w:t>般公共预算财政拨款基本支出决算情况说明</w:t>
      </w:r>
      <w:r>
        <w:rPr>
          <w:rFonts w:ascii="仿宋_GB2312" w:eastAsia="仿宋_GB2312"/>
        </w:rPr>
        <w:tab/>
      </w:r>
      <w:r>
        <w:rPr>
          <w:rFonts w:ascii="仿宋_GB2312" w:eastAsia="仿宋_GB2312" w:cs="仿宋_GB2312"/>
          <w:b w:val="0"/>
          <w:bCs w:val="0"/>
        </w:rPr>
        <w:t>10</w:t>
      </w:r>
      <w:r>
        <w:rPr>
          <w:rFonts w:ascii="仿宋_GB2312" w:eastAsia="仿宋_GB2312" w:cs="仿宋_GB2312"/>
          <w:b w:val="0"/>
          <w:bCs w:val="0"/>
        </w:rPr>
        <w:fldChar w:fldCharType="end"/>
      </w:r>
    </w:p>
    <w:p>
      <w:pPr>
        <w:pStyle w:val="12"/>
        <w:spacing w:line="576" w:lineRule="exact"/>
        <w:rPr>
          <w:rFonts w:ascii="仿宋_GB2312" w:hAnsi="Calibri" w:eastAsia="仿宋_GB2312"/>
          <w:b w:val="0"/>
          <w:bCs w:val="0"/>
          <w:sz w:val="21"/>
          <w:szCs w:val="21"/>
        </w:rPr>
      </w:pPr>
      <w:r>
        <w:fldChar w:fldCharType="begin"/>
      </w:r>
      <w:r>
        <w:instrText xml:space="preserve"> HYPERLINK \l "_Toc20222284" </w:instrText>
      </w:r>
      <w:r>
        <w:fldChar w:fldCharType="separate"/>
      </w:r>
      <w:r>
        <w:rPr>
          <w:rStyle w:val="16"/>
          <w:rFonts w:hint="eastAsia" w:ascii="仿宋_GB2312" w:hAnsi="黑体" w:eastAsia="仿宋_GB2312" w:cs="仿宋_GB2312"/>
          <w:b w:val="0"/>
          <w:bCs w:val="0"/>
        </w:rPr>
        <w:t>七、“三公”经费财政拨款支出决算情况说明</w:t>
      </w:r>
      <w:r>
        <w:rPr>
          <w:rFonts w:ascii="仿宋_GB2312" w:eastAsia="仿宋_GB2312"/>
          <w:b w:val="0"/>
          <w:bCs w:val="0"/>
        </w:rPr>
        <w:tab/>
      </w:r>
      <w:r>
        <w:rPr>
          <w:rFonts w:ascii="仿宋_GB2312" w:eastAsia="仿宋_GB2312" w:cs="仿宋_GB2312"/>
          <w:b w:val="0"/>
          <w:bCs w:val="0"/>
        </w:rPr>
        <w:t>10</w:t>
      </w:r>
      <w:r>
        <w:rPr>
          <w:rFonts w:ascii="仿宋_GB2312" w:eastAsia="仿宋_GB2312" w:cs="仿宋_GB2312"/>
          <w:b w:val="0"/>
          <w:bCs w:val="0"/>
        </w:rPr>
        <w:fldChar w:fldCharType="end"/>
      </w:r>
    </w:p>
    <w:p>
      <w:pPr>
        <w:pStyle w:val="12"/>
        <w:spacing w:line="576" w:lineRule="exact"/>
        <w:rPr>
          <w:rFonts w:ascii="仿宋_GB2312" w:hAnsi="Calibri" w:eastAsia="仿宋_GB2312"/>
          <w:b w:val="0"/>
          <w:bCs w:val="0"/>
          <w:sz w:val="21"/>
          <w:szCs w:val="21"/>
        </w:rPr>
      </w:pPr>
      <w:r>
        <w:fldChar w:fldCharType="begin"/>
      </w:r>
      <w:r>
        <w:instrText xml:space="preserve"> HYPERLINK \l "_Toc20222286" </w:instrText>
      </w:r>
      <w:r>
        <w:fldChar w:fldCharType="separate"/>
      </w:r>
      <w:r>
        <w:rPr>
          <w:rStyle w:val="16"/>
          <w:rFonts w:hint="eastAsia" w:ascii="仿宋_GB2312" w:eastAsia="仿宋_GB2312" w:cs="仿宋_GB2312"/>
          <w:b w:val="0"/>
          <w:bCs w:val="0"/>
        </w:rPr>
        <w:t>八、政府性基金预算财政拨款支出决算情况</w:t>
      </w:r>
      <w:r>
        <w:rPr>
          <w:rFonts w:ascii="仿宋_GB2312" w:eastAsia="仿宋_GB2312"/>
          <w:b w:val="0"/>
          <w:bCs w:val="0"/>
        </w:rPr>
        <w:tab/>
      </w:r>
      <w:r>
        <w:rPr>
          <w:rFonts w:ascii="仿宋_GB2312" w:eastAsia="仿宋_GB2312" w:cs="仿宋_GB2312"/>
          <w:b w:val="0"/>
          <w:bCs w:val="0"/>
        </w:rPr>
        <w:fldChar w:fldCharType="begin"/>
      </w:r>
      <w:r>
        <w:rPr>
          <w:rFonts w:ascii="仿宋_GB2312" w:eastAsia="仿宋_GB2312" w:cs="仿宋_GB2312"/>
          <w:b w:val="0"/>
          <w:bCs w:val="0"/>
        </w:rPr>
        <w:instrText xml:space="preserve"> PAGEREF _Toc20222286 \h </w:instrText>
      </w:r>
      <w:r>
        <w:rPr>
          <w:rFonts w:ascii="仿宋_GB2312" w:eastAsia="仿宋_GB2312" w:cs="仿宋_GB2312"/>
          <w:b w:val="0"/>
          <w:bCs w:val="0"/>
        </w:rPr>
        <w:fldChar w:fldCharType="separate"/>
      </w:r>
      <w:r>
        <w:rPr>
          <w:rFonts w:ascii="仿宋_GB2312" w:eastAsia="仿宋_GB2312" w:cs="仿宋_GB2312"/>
          <w:b w:val="0"/>
          <w:bCs w:val="0"/>
        </w:rPr>
        <w:t>11</w:t>
      </w:r>
      <w:r>
        <w:rPr>
          <w:rFonts w:ascii="仿宋_GB2312" w:eastAsia="仿宋_GB2312" w:cs="仿宋_GB2312"/>
          <w:b w:val="0"/>
          <w:bCs w:val="0"/>
        </w:rPr>
        <w:fldChar w:fldCharType="end"/>
      </w:r>
      <w:r>
        <w:rPr>
          <w:rFonts w:ascii="仿宋_GB2312" w:eastAsia="仿宋_GB2312" w:cs="仿宋_GB2312"/>
          <w:b w:val="0"/>
          <w:bCs w:val="0"/>
        </w:rPr>
        <w:fldChar w:fldCharType="end"/>
      </w:r>
    </w:p>
    <w:p>
      <w:pPr>
        <w:pStyle w:val="12"/>
        <w:spacing w:line="576" w:lineRule="exact"/>
        <w:rPr>
          <w:rFonts w:ascii="仿宋_GB2312" w:hAnsi="Calibri" w:eastAsia="仿宋_GB2312"/>
          <w:b w:val="0"/>
          <w:bCs w:val="0"/>
          <w:sz w:val="21"/>
          <w:szCs w:val="21"/>
        </w:rPr>
      </w:pPr>
      <w:r>
        <w:fldChar w:fldCharType="begin"/>
      </w:r>
      <w:r>
        <w:instrText xml:space="preserve"> HYPERLINK \l "_Toc20222287" </w:instrText>
      </w:r>
      <w:r>
        <w:fldChar w:fldCharType="separate"/>
      </w:r>
      <w:r>
        <w:rPr>
          <w:rStyle w:val="16"/>
          <w:rFonts w:hint="eastAsia" w:ascii="仿宋_GB2312" w:hAnsi="黑体" w:eastAsia="仿宋_GB2312" w:cs="仿宋_GB2312"/>
          <w:b w:val="0"/>
          <w:bCs w:val="0"/>
        </w:rPr>
        <w:t>九、国有资本经营预算支出决算</w:t>
      </w:r>
      <w:r>
        <w:rPr>
          <w:rFonts w:ascii="仿宋_GB2312" w:eastAsia="仿宋_GB2312"/>
          <w:b w:val="0"/>
          <w:bCs w:val="0"/>
        </w:rPr>
        <w:tab/>
      </w:r>
      <w:r>
        <w:rPr>
          <w:rFonts w:ascii="仿宋_GB2312" w:eastAsia="仿宋_GB2312" w:cs="仿宋_GB2312"/>
          <w:b w:val="0"/>
          <w:bCs w:val="0"/>
        </w:rPr>
        <w:fldChar w:fldCharType="begin"/>
      </w:r>
      <w:r>
        <w:rPr>
          <w:rFonts w:ascii="仿宋_GB2312" w:eastAsia="仿宋_GB2312" w:cs="仿宋_GB2312"/>
          <w:b w:val="0"/>
          <w:bCs w:val="0"/>
        </w:rPr>
        <w:instrText xml:space="preserve"> PAGEREF _Toc20222287 \h </w:instrText>
      </w:r>
      <w:r>
        <w:rPr>
          <w:rFonts w:ascii="仿宋_GB2312" w:eastAsia="仿宋_GB2312" w:cs="仿宋_GB2312"/>
          <w:b w:val="0"/>
          <w:bCs w:val="0"/>
        </w:rPr>
        <w:fldChar w:fldCharType="separate"/>
      </w:r>
      <w:r>
        <w:rPr>
          <w:rFonts w:ascii="仿宋_GB2312" w:eastAsia="仿宋_GB2312" w:cs="仿宋_GB2312"/>
          <w:b w:val="0"/>
          <w:bCs w:val="0"/>
        </w:rPr>
        <w:t>11</w:t>
      </w:r>
      <w:r>
        <w:rPr>
          <w:rFonts w:ascii="仿宋_GB2312" w:eastAsia="仿宋_GB2312" w:cs="仿宋_GB2312"/>
          <w:b w:val="0"/>
          <w:bCs w:val="0"/>
        </w:rPr>
        <w:fldChar w:fldCharType="end"/>
      </w:r>
      <w:r>
        <w:rPr>
          <w:rFonts w:ascii="仿宋_GB2312" w:eastAsia="仿宋_GB2312" w:cs="仿宋_GB2312"/>
          <w:b w:val="0"/>
          <w:bCs w:val="0"/>
        </w:rPr>
        <w:fldChar w:fldCharType="end"/>
      </w:r>
    </w:p>
    <w:p>
      <w:pPr>
        <w:pStyle w:val="12"/>
        <w:spacing w:line="576" w:lineRule="exact"/>
        <w:rPr>
          <w:rFonts w:ascii="仿宋_GB2312" w:hAnsi="Calibri" w:eastAsia="仿宋_GB2312"/>
          <w:b w:val="0"/>
          <w:bCs w:val="0"/>
          <w:sz w:val="21"/>
          <w:szCs w:val="21"/>
        </w:rPr>
      </w:pPr>
      <w:r>
        <w:fldChar w:fldCharType="begin"/>
      </w:r>
      <w:r>
        <w:instrText xml:space="preserve"> HYPERLINK \l "_Toc20222288" </w:instrText>
      </w:r>
      <w:r>
        <w:fldChar w:fldCharType="separate"/>
      </w:r>
      <w:r>
        <w:rPr>
          <w:rStyle w:val="16"/>
          <w:rFonts w:hint="eastAsia" w:ascii="仿宋_GB2312" w:hAnsi="黑体" w:eastAsia="仿宋_GB2312" w:cs="仿宋_GB2312"/>
          <w:b w:val="0"/>
          <w:bCs w:val="0"/>
        </w:rPr>
        <w:t>十、预算绩效情况说明</w:t>
      </w:r>
      <w:r>
        <w:rPr>
          <w:rFonts w:ascii="仿宋_GB2312" w:eastAsia="仿宋_GB2312"/>
          <w:b w:val="0"/>
          <w:bCs w:val="0"/>
        </w:rPr>
        <w:tab/>
      </w:r>
      <w:r>
        <w:rPr>
          <w:rFonts w:ascii="仿宋_GB2312" w:eastAsia="仿宋_GB2312" w:cs="仿宋_GB2312"/>
          <w:b w:val="0"/>
          <w:bCs w:val="0"/>
        </w:rPr>
        <w:fldChar w:fldCharType="begin"/>
      </w:r>
      <w:r>
        <w:rPr>
          <w:rFonts w:ascii="仿宋_GB2312" w:eastAsia="仿宋_GB2312" w:cs="仿宋_GB2312"/>
          <w:b w:val="0"/>
          <w:bCs w:val="0"/>
        </w:rPr>
        <w:instrText xml:space="preserve"> PAGEREF _Toc20222288 \h </w:instrText>
      </w:r>
      <w:r>
        <w:rPr>
          <w:rFonts w:ascii="仿宋_GB2312" w:eastAsia="仿宋_GB2312" w:cs="仿宋_GB2312"/>
          <w:b w:val="0"/>
          <w:bCs w:val="0"/>
        </w:rPr>
        <w:fldChar w:fldCharType="separate"/>
      </w:r>
      <w:r>
        <w:rPr>
          <w:rFonts w:ascii="仿宋_GB2312" w:eastAsia="仿宋_GB2312" w:cs="仿宋_GB2312"/>
          <w:b w:val="0"/>
          <w:bCs w:val="0"/>
        </w:rPr>
        <w:t>11</w:t>
      </w:r>
      <w:r>
        <w:rPr>
          <w:rFonts w:ascii="仿宋_GB2312" w:eastAsia="仿宋_GB2312" w:cs="仿宋_GB2312"/>
          <w:b w:val="0"/>
          <w:bCs w:val="0"/>
        </w:rPr>
        <w:fldChar w:fldCharType="end"/>
      </w:r>
      <w:r>
        <w:rPr>
          <w:rFonts w:ascii="仿宋_GB2312" w:eastAsia="仿宋_GB2312" w:cs="仿宋_GB2312"/>
          <w:b w:val="0"/>
          <w:bCs w:val="0"/>
        </w:rPr>
        <w:fldChar w:fldCharType="end"/>
      </w:r>
    </w:p>
    <w:p>
      <w:pPr>
        <w:pStyle w:val="12"/>
        <w:spacing w:line="576" w:lineRule="exact"/>
        <w:rPr>
          <w:rFonts w:ascii="仿宋_GB2312" w:hAnsi="Calibri" w:eastAsia="仿宋_GB2312"/>
          <w:b w:val="0"/>
          <w:bCs w:val="0"/>
          <w:sz w:val="21"/>
          <w:szCs w:val="21"/>
        </w:rPr>
      </w:pPr>
      <w:r>
        <w:fldChar w:fldCharType="begin"/>
      </w:r>
      <w:r>
        <w:instrText xml:space="preserve"> HYPERLINK \l "_Toc20222289" </w:instrText>
      </w:r>
      <w:r>
        <w:fldChar w:fldCharType="separate"/>
      </w:r>
      <w:r>
        <w:rPr>
          <w:rStyle w:val="16"/>
          <w:rFonts w:hint="eastAsia" w:ascii="仿宋_GB2312" w:eastAsia="仿宋_GB2312" w:cs="仿宋_GB2312"/>
          <w:b w:val="0"/>
          <w:bCs w:val="0"/>
        </w:rPr>
        <w:t>十</w:t>
      </w:r>
      <w:r>
        <w:rPr>
          <w:rStyle w:val="16"/>
          <w:rFonts w:hint="eastAsia" w:ascii="仿宋_GB2312" w:hAnsi="黑体" w:eastAsia="仿宋_GB2312" w:cs="仿宋_GB2312"/>
          <w:b w:val="0"/>
          <w:bCs w:val="0"/>
        </w:rPr>
        <w:t>一、其他重要事项的情况说明</w:t>
      </w:r>
      <w:r>
        <w:rPr>
          <w:rFonts w:ascii="仿宋_GB2312" w:eastAsia="仿宋_GB2312"/>
          <w:b w:val="0"/>
          <w:bCs w:val="0"/>
        </w:rPr>
        <w:tab/>
      </w:r>
      <w:r>
        <w:rPr>
          <w:rFonts w:ascii="仿宋_GB2312" w:eastAsia="仿宋_GB2312" w:cs="仿宋_GB2312"/>
          <w:b w:val="0"/>
          <w:bCs w:val="0"/>
        </w:rPr>
        <w:t>11</w:t>
      </w:r>
      <w:r>
        <w:rPr>
          <w:rFonts w:ascii="仿宋_GB2312" w:eastAsia="仿宋_GB2312" w:cs="仿宋_GB2312"/>
          <w:b w:val="0"/>
          <w:bCs w:val="0"/>
        </w:rPr>
        <w:fldChar w:fldCharType="end"/>
      </w:r>
    </w:p>
    <w:p>
      <w:pPr>
        <w:pStyle w:val="11"/>
        <w:spacing w:line="576" w:lineRule="exact"/>
        <w:ind w:firstLine="0" w:firstLineChars="0"/>
        <w:rPr>
          <w:rFonts w:ascii="仿宋_GB2312" w:hAnsi="Calibri" w:eastAsia="仿宋_GB2312"/>
          <w:b w:val="0"/>
          <w:bCs w:val="0"/>
          <w:sz w:val="21"/>
          <w:szCs w:val="21"/>
        </w:rPr>
      </w:pPr>
      <w:r>
        <w:fldChar w:fldCharType="begin"/>
      </w:r>
      <w:r>
        <w:instrText xml:space="preserve"> HYPERLINK \l "_Toc20222291" </w:instrText>
      </w:r>
      <w:r>
        <w:fldChar w:fldCharType="separate"/>
      </w:r>
      <w:r>
        <w:rPr>
          <w:rStyle w:val="16"/>
          <w:rFonts w:hint="eastAsia" w:ascii="仿宋_GB2312" w:eastAsia="仿宋_GB2312" w:cs="仿宋_GB2312"/>
          <w:b w:val="0"/>
          <w:bCs w:val="0"/>
        </w:rPr>
        <w:t>第三部分</w:t>
      </w:r>
      <w:r>
        <w:rPr>
          <w:rStyle w:val="16"/>
          <w:rFonts w:ascii="仿宋_GB2312" w:eastAsia="仿宋_GB2312" w:cs="仿宋_GB2312"/>
          <w:b w:val="0"/>
          <w:bCs w:val="0"/>
        </w:rPr>
        <w:t xml:space="preserve">  </w:t>
      </w:r>
      <w:r>
        <w:rPr>
          <w:rStyle w:val="16"/>
          <w:rFonts w:hint="eastAsia" w:ascii="仿宋_GB2312" w:eastAsia="仿宋_GB2312" w:cs="仿宋_GB2312"/>
          <w:b w:val="0"/>
          <w:bCs w:val="0"/>
        </w:rPr>
        <w:t>名词解释</w:t>
      </w:r>
      <w:r>
        <w:rPr>
          <w:rFonts w:ascii="仿宋_GB2312" w:eastAsia="仿宋_GB2312"/>
          <w:b w:val="0"/>
          <w:bCs w:val="0"/>
        </w:rPr>
        <w:tab/>
      </w:r>
      <w:r>
        <w:rPr>
          <w:rFonts w:ascii="仿宋_GB2312" w:eastAsia="仿宋_GB2312" w:cs="仿宋_GB2312"/>
          <w:b w:val="0"/>
          <w:bCs w:val="0"/>
        </w:rPr>
        <w:t>12</w:t>
      </w:r>
      <w:r>
        <w:rPr>
          <w:rFonts w:ascii="仿宋_GB2312" w:eastAsia="仿宋_GB2312" w:cs="仿宋_GB2312"/>
          <w:b w:val="0"/>
          <w:bCs w:val="0"/>
        </w:rPr>
        <w:fldChar w:fldCharType="end"/>
      </w:r>
    </w:p>
    <w:p>
      <w:pPr>
        <w:pStyle w:val="11"/>
        <w:spacing w:line="576" w:lineRule="exact"/>
        <w:ind w:firstLine="0" w:firstLineChars="0"/>
        <w:rPr>
          <w:rFonts w:ascii="仿宋_GB2312" w:hAnsi="Calibri" w:eastAsia="仿宋_GB2312"/>
          <w:b w:val="0"/>
          <w:bCs w:val="0"/>
          <w:sz w:val="21"/>
          <w:szCs w:val="21"/>
        </w:rPr>
      </w:pPr>
      <w:r>
        <w:fldChar w:fldCharType="begin"/>
      </w:r>
      <w:r>
        <w:instrText xml:space="preserve"> HYPERLINK \l "_Toc20222292" </w:instrText>
      </w:r>
      <w:r>
        <w:fldChar w:fldCharType="separate"/>
      </w:r>
      <w:r>
        <w:rPr>
          <w:rStyle w:val="16"/>
          <w:rFonts w:hint="eastAsia" w:ascii="仿宋_GB2312" w:hAnsi="黑体" w:eastAsia="仿宋_GB2312" w:cs="仿宋_GB2312"/>
          <w:b w:val="0"/>
          <w:bCs w:val="0"/>
        </w:rPr>
        <w:t>第四部分</w:t>
      </w:r>
      <w:r>
        <w:rPr>
          <w:rStyle w:val="16"/>
          <w:rFonts w:ascii="仿宋_GB2312" w:hAnsi="黑体" w:eastAsia="仿宋_GB2312" w:cs="仿宋_GB2312"/>
          <w:b w:val="0"/>
          <w:bCs w:val="0"/>
        </w:rPr>
        <w:t xml:space="preserve">   </w:t>
      </w:r>
      <w:r>
        <w:rPr>
          <w:rStyle w:val="16"/>
          <w:rFonts w:hint="eastAsia" w:ascii="仿宋_GB2312" w:hAnsi="黑体" w:eastAsia="仿宋_GB2312" w:cs="仿宋_GB2312"/>
          <w:b w:val="0"/>
          <w:bCs w:val="0"/>
        </w:rPr>
        <w:t>附件</w:t>
      </w:r>
      <w:r>
        <w:rPr>
          <w:rFonts w:ascii="仿宋_GB2312" w:eastAsia="仿宋_GB2312"/>
          <w:b w:val="0"/>
          <w:bCs w:val="0"/>
        </w:rPr>
        <w:tab/>
      </w:r>
      <w:r>
        <w:rPr>
          <w:rFonts w:ascii="仿宋_GB2312" w:eastAsia="仿宋_GB2312" w:cs="仿宋_GB2312"/>
          <w:b w:val="0"/>
          <w:bCs w:val="0"/>
        </w:rPr>
        <w:t>14</w:t>
      </w:r>
      <w:r>
        <w:rPr>
          <w:rFonts w:ascii="仿宋_GB2312" w:eastAsia="仿宋_GB2312" w:cs="仿宋_GB2312"/>
          <w:b w:val="0"/>
          <w:bCs w:val="0"/>
        </w:rPr>
        <w:fldChar w:fldCharType="end"/>
      </w:r>
    </w:p>
    <w:p>
      <w:pPr>
        <w:pStyle w:val="11"/>
        <w:spacing w:line="576" w:lineRule="exact"/>
        <w:ind w:firstLine="0" w:firstLineChars="0"/>
        <w:rPr>
          <w:rFonts w:ascii="仿宋_GB2312" w:hAnsi="Calibri" w:eastAsia="仿宋_GB2312"/>
          <w:b w:val="0"/>
          <w:bCs w:val="0"/>
          <w:sz w:val="21"/>
          <w:szCs w:val="21"/>
        </w:rPr>
      </w:pPr>
      <w:r>
        <w:fldChar w:fldCharType="begin"/>
      </w:r>
      <w:r>
        <w:instrText xml:space="preserve"> HYPERLINK \l "_Toc20222293" </w:instrText>
      </w:r>
      <w:r>
        <w:fldChar w:fldCharType="separate"/>
      </w:r>
      <w:r>
        <w:rPr>
          <w:rStyle w:val="16"/>
          <w:rFonts w:hint="eastAsia" w:ascii="仿宋_GB2312" w:eastAsia="仿宋_GB2312" w:cs="仿宋_GB2312"/>
          <w:b w:val="0"/>
          <w:bCs w:val="0"/>
          <w:lang w:val="zh-CN"/>
        </w:rPr>
        <w:t>茂县工商业联合会</w:t>
      </w:r>
      <w:r>
        <w:rPr>
          <w:rStyle w:val="16"/>
          <w:rFonts w:ascii="仿宋_GB2312" w:eastAsia="仿宋_GB2312" w:cs="仿宋_GB2312"/>
          <w:b w:val="0"/>
          <w:bCs w:val="0"/>
          <w:lang w:val="zh-CN"/>
        </w:rPr>
        <w:t xml:space="preserve"> </w:t>
      </w:r>
      <w:r>
        <w:rPr>
          <w:rStyle w:val="16"/>
          <w:rFonts w:ascii="仿宋_GB2312" w:eastAsia="仿宋_GB2312" w:cs="仿宋_GB2312"/>
          <w:b w:val="0"/>
          <w:bCs w:val="0"/>
          <w:shd w:val="clear" w:color="auto" w:fill="FFFFFF"/>
        </w:rPr>
        <w:t>2019</w:t>
      </w:r>
      <w:r>
        <w:rPr>
          <w:rStyle w:val="16"/>
          <w:rFonts w:hint="eastAsia" w:ascii="仿宋_GB2312" w:eastAsia="仿宋_GB2312" w:cs="仿宋_GB2312"/>
          <w:b w:val="0"/>
          <w:bCs w:val="0"/>
          <w:shd w:val="clear" w:color="auto" w:fill="FFFFFF"/>
        </w:rPr>
        <w:t>年部门整体支出绩效报告</w:t>
      </w:r>
      <w:r>
        <w:rPr>
          <w:rFonts w:ascii="仿宋_GB2312" w:eastAsia="仿宋_GB2312"/>
          <w:b w:val="0"/>
          <w:bCs w:val="0"/>
        </w:rPr>
        <w:tab/>
      </w:r>
      <w:r>
        <w:rPr>
          <w:rFonts w:ascii="仿宋_GB2312" w:eastAsia="仿宋_GB2312" w:cs="仿宋_GB2312"/>
          <w:b w:val="0"/>
          <w:bCs w:val="0"/>
        </w:rPr>
        <w:t>14</w:t>
      </w:r>
      <w:r>
        <w:rPr>
          <w:rFonts w:ascii="仿宋_GB2312" w:eastAsia="仿宋_GB2312" w:cs="仿宋_GB2312"/>
          <w:b w:val="0"/>
          <w:bCs w:val="0"/>
        </w:rPr>
        <w:fldChar w:fldCharType="end"/>
      </w:r>
    </w:p>
    <w:p>
      <w:pPr>
        <w:pStyle w:val="11"/>
        <w:spacing w:line="576" w:lineRule="exact"/>
        <w:ind w:firstLine="0" w:firstLineChars="0"/>
        <w:rPr>
          <w:rFonts w:ascii="仿宋_GB2312" w:hAnsi="Calibri" w:eastAsia="仿宋_GB2312"/>
          <w:b w:val="0"/>
          <w:bCs w:val="0"/>
          <w:sz w:val="21"/>
          <w:szCs w:val="21"/>
        </w:rPr>
      </w:pPr>
      <w:r>
        <w:fldChar w:fldCharType="begin"/>
      </w:r>
      <w:r>
        <w:instrText xml:space="preserve"> HYPERLINK \l "_Toc20222297" </w:instrText>
      </w:r>
      <w:r>
        <w:fldChar w:fldCharType="separate"/>
      </w:r>
      <w:r>
        <w:rPr>
          <w:rStyle w:val="16"/>
          <w:rFonts w:hint="eastAsia" w:ascii="仿宋_GB2312" w:eastAsia="仿宋_GB2312" w:cs="仿宋_GB2312"/>
          <w:b w:val="0"/>
          <w:bCs w:val="0"/>
        </w:rPr>
        <w:t>第</w:t>
      </w:r>
      <w:r>
        <w:rPr>
          <w:rStyle w:val="16"/>
          <w:rFonts w:hint="eastAsia" w:ascii="仿宋_GB2312" w:hAnsi="黑体" w:eastAsia="仿宋_GB2312" w:cs="仿宋_GB2312"/>
          <w:b w:val="0"/>
          <w:bCs w:val="0"/>
        </w:rPr>
        <w:t>五部分</w:t>
      </w:r>
      <w:r>
        <w:rPr>
          <w:rStyle w:val="16"/>
          <w:rFonts w:ascii="仿宋_GB2312" w:hAnsi="黑体" w:eastAsia="仿宋_GB2312" w:cs="仿宋_GB2312"/>
          <w:b w:val="0"/>
          <w:bCs w:val="0"/>
        </w:rPr>
        <w:t xml:space="preserve"> </w:t>
      </w:r>
      <w:r>
        <w:rPr>
          <w:rStyle w:val="16"/>
          <w:rFonts w:hint="eastAsia" w:ascii="仿宋_GB2312" w:hAnsi="黑体" w:eastAsia="仿宋_GB2312" w:cs="仿宋_GB2312"/>
          <w:b w:val="0"/>
          <w:bCs w:val="0"/>
        </w:rPr>
        <w:t>附表</w:t>
      </w:r>
      <w:r>
        <w:rPr>
          <w:rFonts w:ascii="仿宋_GB2312" w:eastAsia="仿宋_GB2312"/>
          <w:b w:val="0"/>
          <w:bCs w:val="0"/>
        </w:rPr>
        <w:tab/>
      </w:r>
      <w:r>
        <w:rPr>
          <w:rFonts w:ascii="仿宋_GB2312" w:eastAsia="仿宋_GB2312" w:cs="仿宋_GB2312"/>
          <w:b w:val="0"/>
          <w:bCs w:val="0"/>
        </w:rPr>
        <w:t>21</w:t>
      </w:r>
      <w:r>
        <w:rPr>
          <w:rFonts w:ascii="仿宋_GB2312" w:eastAsia="仿宋_GB2312" w:cs="仿宋_GB2312"/>
          <w:b w:val="0"/>
          <w:bCs w:val="0"/>
        </w:rPr>
        <w:fldChar w:fldCharType="end"/>
      </w:r>
    </w:p>
    <w:p>
      <w:pPr>
        <w:spacing w:line="576" w:lineRule="exact"/>
        <w:ind w:firstLine="640"/>
      </w:pPr>
      <w:r>
        <w:rPr>
          <w:rFonts w:ascii="仿宋_GB2312" w:eastAsia="仿宋_GB2312" w:cs="仿宋_GB2312"/>
          <w:b w:val="0"/>
          <w:bCs w:val="0"/>
        </w:rPr>
        <w:fldChar w:fldCharType="end"/>
      </w: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pStyle w:val="11"/>
        <w:spacing w:line="576" w:lineRule="exact"/>
        <w:ind w:firstLine="0" w:firstLineChars="0"/>
        <w:rPr>
          <w:rFonts w:hint="eastAsia" w:ascii="仿宋_GB2312" w:hAnsi="仿宋_GB2312" w:eastAsia="仿宋_GB2312" w:cs="仿宋_GB2312"/>
          <w:b w:val="0"/>
        </w:rPr>
      </w:pPr>
      <w:r>
        <w:rPr>
          <w:rFonts w:hint="eastAsia" w:ascii="仿宋_GB2312" w:hAnsi="仿宋_GB2312" w:eastAsia="仿宋_GB2312" w:cs="仿宋_GB2312"/>
          <w:sz w:val="28"/>
          <w:szCs w:val="28"/>
        </w:rPr>
        <w:t>一、</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"_Toc15396619" </w:instrText>
      </w:r>
      <w:r>
        <w:rPr>
          <w:rFonts w:hint="eastAsia" w:ascii="仿宋_GB2312" w:hAnsi="仿宋_GB2312" w:eastAsia="仿宋_GB2312" w:cs="仿宋_GB2312"/>
        </w:rPr>
        <w:fldChar w:fldCharType="separate"/>
      </w:r>
      <w:r>
        <w:rPr>
          <w:rFonts w:hint="eastAsia" w:ascii="仿宋_GB2312" w:hAnsi="仿宋_GB2312" w:eastAsia="仿宋_GB2312" w:cs="仿宋_GB2312"/>
          <w:b w:val="0"/>
        </w:rPr>
        <w:t>收入支出决算总表</w:t>
      </w:r>
      <w:r>
        <w:rPr>
          <w:rFonts w:hint="eastAsia" w:ascii="仿宋_GB2312" w:hAnsi="仿宋_GB2312" w:eastAsia="仿宋_GB2312" w:cs="仿宋_GB2312"/>
          <w:b w:val="0"/>
        </w:rPr>
        <w:tab/>
      </w:r>
      <w:r>
        <w:rPr>
          <w:rFonts w:hint="eastAsia" w:ascii="仿宋_GB2312" w:hAnsi="仿宋_GB2312" w:eastAsia="仿宋_GB2312" w:cs="仿宋_GB2312"/>
          <w:b w:val="0"/>
          <w:bCs w:val="0"/>
        </w:rPr>
        <w:t>21</w:t>
      </w:r>
      <w:r>
        <w:rPr>
          <w:rFonts w:hint="eastAsia" w:ascii="仿宋_GB2312" w:hAnsi="仿宋_GB2312" w:eastAsia="仿宋_GB2312" w:cs="仿宋_GB2312"/>
          <w:b w:val="0"/>
          <w:bCs w:val="0"/>
        </w:rPr>
        <w:fldChar w:fldCharType="end"/>
      </w:r>
    </w:p>
    <w:p>
      <w:pPr>
        <w:pStyle w:val="11"/>
        <w:spacing w:line="576" w:lineRule="exact"/>
        <w:ind w:firstLine="0" w:firstLineChars="0"/>
        <w:rPr>
          <w:rFonts w:hint="eastAsia" w:ascii="仿宋_GB2312" w:hAnsi="仿宋_GB2312" w:eastAsia="仿宋_GB2312" w:cs="仿宋_GB2312"/>
          <w:b w:val="0"/>
        </w:rPr>
      </w:pPr>
      <w:r>
        <w:rPr>
          <w:rFonts w:hint="eastAsia" w:ascii="仿宋_GB2312" w:hAnsi="仿宋_GB2312" w:eastAsia="仿宋_GB2312" w:cs="仿宋_GB2312"/>
          <w:b w:val="0"/>
        </w:rPr>
        <w:t>二、</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"_Toc15396620" </w:instrText>
      </w:r>
      <w:r>
        <w:rPr>
          <w:rFonts w:hint="eastAsia" w:ascii="仿宋_GB2312" w:hAnsi="仿宋_GB2312" w:eastAsia="仿宋_GB2312" w:cs="仿宋_GB2312"/>
        </w:rPr>
        <w:fldChar w:fldCharType="separate"/>
      </w:r>
      <w:r>
        <w:rPr>
          <w:rFonts w:hint="eastAsia" w:ascii="仿宋_GB2312" w:hAnsi="仿宋_GB2312" w:eastAsia="仿宋_GB2312" w:cs="仿宋_GB2312"/>
          <w:b w:val="0"/>
        </w:rPr>
        <w:t>收入总表</w:t>
      </w:r>
      <w:r>
        <w:rPr>
          <w:rFonts w:hint="eastAsia" w:ascii="仿宋_GB2312" w:hAnsi="仿宋_GB2312" w:eastAsia="仿宋_GB2312" w:cs="仿宋_GB2312"/>
          <w:b w:val="0"/>
        </w:rPr>
        <w:tab/>
      </w:r>
      <w:r>
        <w:rPr>
          <w:rFonts w:hint="eastAsia" w:ascii="仿宋_GB2312" w:hAnsi="仿宋_GB2312" w:eastAsia="仿宋_GB2312" w:cs="仿宋_GB2312"/>
          <w:b w:val="0"/>
        </w:rPr>
        <w:t>21</w:t>
      </w:r>
      <w:r>
        <w:rPr>
          <w:rFonts w:hint="eastAsia" w:ascii="仿宋_GB2312" w:hAnsi="仿宋_GB2312" w:eastAsia="仿宋_GB2312" w:cs="仿宋_GB2312"/>
          <w:b w:val="0"/>
        </w:rPr>
        <w:fldChar w:fldCharType="end"/>
      </w:r>
    </w:p>
    <w:p>
      <w:pPr>
        <w:pStyle w:val="11"/>
        <w:spacing w:line="576" w:lineRule="exact"/>
        <w:ind w:firstLine="0" w:firstLineChars="0"/>
        <w:rPr>
          <w:rFonts w:hint="eastAsia" w:ascii="仿宋_GB2312" w:hAnsi="仿宋_GB2312" w:eastAsia="仿宋_GB2312" w:cs="仿宋_GB2312"/>
          <w:b w:val="0"/>
        </w:rPr>
      </w:pPr>
      <w:r>
        <w:rPr>
          <w:rFonts w:hint="eastAsia" w:ascii="仿宋_GB2312" w:hAnsi="仿宋_GB2312" w:eastAsia="仿宋_GB2312" w:cs="仿宋_GB2312"/>
          <w:b w:val="0"/>
        </w:rPr>
        <w:t>三、</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"_Toc15396621" </w:instrText>
      </w:r>
      <w:r>
        <w:rPr>
          <w:rFonts w:hint="eastAsia" w:ascii="仿宋_GB2312" w:hAnsi="仿宋_GB2312" w:eastAsia="仿宋_GB2312" w:cs="仿宋_GB2312"/>
        </w:rPr>
        <w:fldChar w:fldCharType="separate"/>
      </w:r>
      <w:r>
        <w:rPr>
          <w:rFonts w:hint="eastAsia" w:ascii="仿宋_GB2312" w:hAnsi="仿宋_GB2312" w:eastAsia="仿宋_GB2312" w:cs="仿宋_GB2312"/>
          <w:b w:val="0"/>
        </w:rPr>
        <w:t>支出总表</w:t>
      </w:r>
      <w:r>
        <w:rPr>
          <w:rFonts w:hint="eastAsia" w:ascii="仿宋_GB2312" w:hAnsi="仿宋_GB2312" w:eastAsia="仿宋_GB2312" w:cs="仿宋_GB2312"/>
          <w:b w:val="0"/>
        </w:rPr>
        <w:tab/>
      </w:r>
      <w:r>
        <w:rPr>
          <w:rFonts w:hint="eastAsia" w:ascii="仿宋_GB2312" w:hAnsi="仿宋_GB2312" w:eastAsia="仿宋_GB2312" w:cs="仿宋_GB2312"/>
          <w:b w:val="0"/>
        </w:rPr>
        <w:t>21</w:t>
      </w:r>
      <w:r>
        <w:rPr>
          <w:rFonts w:hint="eastAsia" w:ascii="仿宋_GB2312" w:hAnsi="仿宋_GB2312" w:eastAsia="仿宋_GB2312" w:cs="仿宋_GB2312"/>
          <w:b w:val="0"/>
        </w:rPr>
        <w:fldChar w:fldCharType="end"/>
      </w:r>
    </w:p>
    <w:p>
      <w:pPr>
        <w:pStyle w:val="11"/>
        <w:spacing w:line="576" w:lineRule="exact"/>
        <w:ind w:firstLine="0" w:firstLineChars="0"/>
        <w:rPr>
          <w:rFonts w:hint="eastAsia" w:ascii="仿宋_GB2312" w:hAnsi="仿宋_GB2312" w:eastAsia="仿宋_GB2312" w:cs="仿宋_GB2312"/>
          <w:b w:val="0"/>
        </w:rPr>
      </w:pPr>
      <w:r>
        <w:rPr>
          <w:rFonts w:hint="eastAsia" w:ascii="仿宋_GB2312" w:hAnsi="仿宋_GB2312" w:eastAsia="仿宋_GB2312" w:cs="仿宋_GB2312"/>
          <w:b w:val="0"/>
        </w:rPr>
        <w:t>四、</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"_Toc15396622" </w:instrText>
      </w:r>
      <w:r>
        <w:rPr>
          <w:rFonts w:hint="eastAsia" w:ascii="仿宋_GB2312" w:hAnsi="仿宋_GB2312" w:eastAsia="仿宋_GB2312" w:cs="仿宋_GB2312"/>
        </w:rPr>
        <w:fldChar w:fldCharType="separate"/>
      </w:r>
      <w:r>
        <w:rPr>
          <w:rFonts w:hint="eastAsia" w:ascii="仿宋_GB2312" w:hAnsi="仿宋_GB2312" w:eastAsia="仿宋_GB2312" w:cs="仿宋_GB2312"/>
          <w:b w:val="0"/>
        </w:rPr>
        <w:t>财政拨款收入支出决算总表</w:t>
      </w:r>
      <w:r>
        <w:rPr>
          <w:rFonts w:hint="eastAsia" w:ascii="仿宋_GB2312" w:hAnsi="仿宋_GB2312" w:eastAsia="仿宋_GB2312" w:cs="仿宋_GB2312"/>
          <w:b w:val="0"/>
        </w:rPr>
        <w:tab/>
      </w:r>
      <w:r>
        <w:rPr>
          <w:rFonts w:hint="eastAsia" w:ascii="仿宋_GB2312" w:hAnsi="仿宋_GB2312" w:eastAsia="仿宋_GB2312" w:cs="仿宋_GB2312"/>
          <w:b w:val="0"/>
        </w:rPr>
        <w:t>21</w:t>
      </w:r>
      <w:r>
        <w:rPr>
          <w:rFonts w:hint="eastAsia" w:ascii="仿宋_GB2312" w:hAnsi="仿宋_GB2312" w:eastAsia="仿宋_GB2312" w:cs="仿宋_GB2312"/>
          <w:b w:val="0"/>
        </w:rPr>
        <w:fldChar w:fldCharType="end"/>
      </w:r>
    </w:p>
    <w:p>
      <w:pPr>
        <w:pStyle w:val="11"/>
        <w:spacing w:line="576" w:lineRule="exact"/>
        <w:ind w:firstLine="0" w:firstLineChars="0"/>
        <w:rPr>
          <w:rFonts w:hint="eastAsia" w:ascii="仿宋_GB2312" w:hAnsi="仿宋_GB2312" w:eastAsia="仿宋_GB2312" w:cs="仿宋_GB2312"/>
          <w:b w:val="0"/>
        </w:rPr>
      </w:pPr>
      <w:r>
        <w:rPr>
          <w:rFonts w:hint="eastAsia" w:ascii="仿宋_GB2312" w:hAnsi="仿宋_GB2312" w:eastAsia="仿宋_GB2312" w:cs="仿宋_GB2312"/>
          <w:b w:val="0"/>
        </w:rPr>
        <w:t>五、</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"_Toc15396623" </w:instrText>
      </w:r>
      <w:r>
        <w:rPr>
          <w:rFonts w:hint="eastAsia" w:ascii="仿宋_GB2312" w:hAnsi="仿宋_GB2312" w:eastAsia="仿宋_GB2312" w:cs="仿宋_GB2312"/>
        </w:rPr>
        <w:fldChar w:fldCharType="separate"/>
      </w:r>
      <w:r>
        <w:rPr>
          <w:rFonts w:hint="eastAsia" w:ascii="仿宋_GB2312" w:hAnsi="仿宋_GB2312" w:eastAsia="仿宋_GB2312" w:cs="仿宋_GB2312"/>
          <w:b w:val="0"/>
        </w:rPr>
        <w:t>财政拨款支出决算明细表（政府经济分类科目）</w:t>
      </w:r>
      <w:r>
        <w:rPr>
          <w:rFonts w:hint="eastAsia" w:ascii="仿宋_GB2312" w:hAnsi="仿宋_GB2312" w:eastAsia="仿宋_GB2312" w:cs="仿宋_GB2312"/>
          <w:b w:val="0"/>
        </w:rPr>
        <w:tab/>
      </w:r>
      <w:r>
        <w:rPr>
          <w:rFonts w:hint="eastAsia" w:ascii="仿宋_GB2312" w:hAnsi="仿宋_GB2312" w:eastAsia="仿宋_GB2312" w:cs="仿宋_GB2312"/>
          <w:b w:val="0"/>
        </w:rPr>
        <w:t>21</w:t>
      </w:r>
      <w:r>
        <w:rPr>
          <w:rFonts w:hint="eastAsia" w:ascii="仿宋_GB2312" w:hAnsi="仿宋_GB2312" w:eastAsia="仿宋_GB2312" w:cs="仿宋_GB2312"/>
          <w:b w:val="0"/>
        </w:rPr>
        <w:fldChar w:fldCharType="end"/>
      </w:r>
    </w:p>
    <w:p>
      <w:pPr>
        <w:pStyle w:val="11"/>
        <w:spacing w:line="576" w:lineRule="exact"/>
        <w:ind w:firstLine="0" w:firstLineChars="0"/>
        <w:rPr>
          <w:rFonts w:hint="eastAsia" w:ascii="仿宋_GB2312" w:hAnsi="仿宋_GB2312" w:eastAsia="仿宋_GB2312" w:cs="仿宋_GB2312"/>
          <w:b w:val="0"/>
        </w:rPr>
      </w:pPr>
      <w:r>
        <w:rPr>
          <w:rFonts w:hint="eastAsia" w:ascii="仿宋_GB2312" w:hAnsi="仿宋_GB2312" w:eastAsia="仿宋_GB2312" w:cs="仿宋_GB2312"/>
          <w:b w:val="0"/>
        </w:rPr>
        <w:t>六、</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"_Toc15396624" </w:instrText>
      </w:r>
      <w:r>
        <w:rPr>
          <w:rFonts w:hint="eastAsia" w:ascii="仿宋_GB2312" w:hAnsi="仿宋_GB2312" w:eastAsia="仿宋_GB2312" w:cs="仿宋_GB2312"/>
        </w:rPr>
        <w:fldChar w:fldCharType="separate"/>
      </w:r>
      <w:r>
        <w:rPr>
          <w:rFonts w:hint="eastAsia" w:ascii="仿宋_GB2312" w:hAnsi="仿宋_GB2312" w:eastAsia="仿宋_GB2312" w:cs="仿宋_GB2312"/>
          <w:b w:val="0"/>
        </w:rPr>
        <w:t>一般公共预算财政拨款支出决算表</w:t>
      </w:r>
      <w:r>
        <w:rPr>
          <w:rFonts w:hint="eastAsia" w:ascii="仿宋_GB2312" w:hAnsi="仿宋_GB2312" w:eastAsia="仿宋_GB2312" w:cs="仿宋_GB2312"/>
          <w:b w:val="0"/>
        </w:rPr>
        <w:tab/>
      </w:r>
      <w:r>
        <w:rPr>
          <w:rFonts w:hint="eastAsia" w:ascii="仿宋_GB2312" w:hAnsi="仿宋_GB2312" w:eastAsia="仿宋_GB2312" w:cs="仿宋_GB2312"/>
          <w:b w:val="0"/>
        </w:rPr>
        <w:t>21</w:t>
      </w:r>
      <w:r>
        <w:rPr>
          <w:rFonts w:hint="eastAsia" w:ascii="仿宋_GB2312" w:hAnsi="仿宋_GB2312" w:eastAsia="仿宋_GB2312" w:cs="仿宋_GB2312"/>
          <w:b w:val="0"/>
        </w:rPr>
        <w:fldChar w:fldCharType="end"/>
      </w:r>
    </w:p>
    <w:p>
      <w:pPr>
        <w:pStyle w:val="11"/>
        <w:spacing w:line="576" w:lineRule="exact"/>
        <w:ind w:firstLine="0" w:firstLineChars="0"/>
        <w:rPr>
          <w:rFonts w:hint="eastAsia" w:ascii="仿宋_GB2312" w:hAnsi="仿宋_GB2312" w:eastAsia="仿宋_GB2312" w:cs="仿宋_GB2312"/>
          <w:b w:val="0"/>
        </w:rPr>
      </w:pPr>
      <w:r>
        <w:rPr>
          <w:rFonts w:hint="eastAsia" w:ascii="仿宋_GB2312" w:hAnsi="仿宋_GB2312" w:eastAsia="仿宋_GB2312" w:cs="仿宋_GB2312"/>
          <w:b w:val="0"/>
        </w:rPr>
        <w:t>七、</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"_Toc15396625" </w:instrText>
      </w:r>
      <w:r>
        <w:rPr>
          <w:rFonts w:hint="eastAsia" w:ascii="仿宋_GB2312" w:hAnsi="仿宋_GB2312" w:eastAsia="仿宋_GB2312" w:cs="仿宋_GB2312"/>
        </w:rPr>
        <w:fldChar w:fldCharType="separate"/>
      </w:r>
      <w:r>
        <w:rPr>
          <w:rFonts w:hint="eastAsia" w:ascii="仿宋_GB2312" w:hAnsi="仿宋_GB2312" w:eastAsia="仿宋_GB2312" w:cs="仿宋_GB2312"/>
          <w:b w:val="0"/>
        </w:rPr>
        <w:t>一般公共预算财政拨款支出决算明细表</w:t>
      </w:r>
      <w:r>
        <w:rPr>
          <w:rFonts w:hint="eastAsia" w:ascii="仿宋_GB2312" w:hAnsi="仿宋_GB2312" w:eastAsia="仿宋_GB2312" w:cs="仿宋_GB2312"/>
          <w:b w:val="0"/>
        </w:rPr>
        <w:tab/>
      </w:r>
      <w:r>
        <w:rPr>
          <w:rFonts w:hint="eastAsia" w:ascii="仿宋_GB2312" w:hAnsi="仿宋_GB2312" w:eastAsia="仿宋_GB2312" w:cs="仿宋_GB2312"/>
          <w:b w:val="0"/>
        </w:rPr>
        <w:t>21</w:t>
      </w:r>
      <w:r>
        <w:rPr>
          <w:rFonts w:hint="eastAsia" w:ascii="仿宋_GB2312" w:hAnsi="仿宋_GB2312" w:eastAsia="仿宋_GB2312" w:cs="仿宋_GB2312"/>
          <w:b w:val="0"/>
        </w:rPr>
        <w:fldChar w:fldCharType="end"/>
      </w:r>
    </w:p>
    <w:p>
      <w:pPr>
        <w:pStyle w:val="11"/>
        <w:spacing w:line="576" w:lineRule="exact"/>
        <w:ind w:firstLine="0" w:firstLineChars="0"/>
        <w:rPr>
          <w:rFonts w:hint="eastAsia" w:ascii="仿宋_GB2312" w:hAnsi="仿宋_GB2312" w:eastAsia="仿宋_GB2312" w:cs="仿宋_GB2312"/>
          <w:b w:val="0"/>
        </w:rPr>
      </w:pPr>
      <w:r>
        <w:rPr>
          <w:rFonts w:hint="eastAsia" w:ascii="仿宋_GB2312" w:hAnsi="仿宋_GB2312" w:eastAsia="仿宋_GB2312" w:cs="仿宋_GB2312"/>
          <w:b w:val="0"/>
        </w:rPr>
        <w:t>八、</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"_Toc15396626" </w:instrText>
      </w:r>
      <w:r>
        <w:rPr>
          <w:rFonts w:hint="eastAsia" w:ascii="仿宋_GB2312" w:hAnsi="仿宋_GB2312" w:eastAsia="仿宋_GB2312" w:cs="仿宋_GB2312"/>
        </w:rPr>
        <w:fldChar w:fldCharType="separate"/>
      </w:r>
      <w:r>
        <w:rPr>
          <w:rFonts w:hint="eastAsia" w:ascii="仿宋_GB2312" w:hAnsi="仿宋_GB2312" w:eastAsia="仿宋_GB2312" w:cs="仿宋_GB2312"/>
          <w:b w:val="0"/>
        </w:rPr>
        <w:t>一般公共预算财政拨款基本支出决算表</w:t>
      </w:r>
      <w:r>
        <w:rPr>
          <w:rFonts w:hint="eastAsia" w:ascii="仿宋_GB2312" w:hAnsi="仿宋_GB2312" w:eastAsia="仿宋_GB2312" w:cs="仿宋_GB2312"/>
          <w:b w:val="0"/>
        </w:rPr>
        <w:tab/>
      </w:r>
      <w:r>
        <w:rPr>
          <w:rFonts w:hint="eastAsia" w:ascii="仿宋_GB2312" w:hAnsi="仿宋_GB2312" w:eastAsia="仿宋_GB2312" w:cs="仿宋_GB2312"/>
          <w:b w:val="0"/>
        </w:rPr>
        <w:t>21</w:t>
      </w:r>
      <w:r>
        <w:rPr>
          <w:rFonts w:hint="eastAsia" w:ascii="仿宋_GB2312" w:hAnsi="仿宋_GB2312" w:eastAsia="仿宋_GB2312" w:cs="仿宋_GB2312"/>
          <w:b w:val="0"/>
        </w:rPr>
        <w:fldChar w:fldCharType="end"/>
      </w:r>
    </w:p>
    <w:p>
      <w:pPr>
        <w:pStyle w:val="11"/>
        <w:spacing w:line="576" w:lineRule="exact"/>
        <w:ind w:firstLine="0" w:firstLineChars="0"/>
        <w:rPr>
          <w:rFonts w:hint="eastAsia" w:ascii="仿宋_GB2312" w:hAnsi="仿宋_GB2312" w:eastAsia="仿宋_GB2312" w:cs="仿宋_GB2312"/>
          <w:b w:val="0"/>
        </w:rPr>
      </w:pPr>
      <w:r>
        <w:rPr>
          <w:rFonts w:hint="eastAsia" w:ascii="仿宋_GB2312" w:hAnsi="仿宋_GB2312" w:eastAsia="仿宋_GB2312" w:cs="仿宋_GB2312"/>
          <w:b w:val="0"/>
        </w:rPr>
        <w:t>九、</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"_Toc15396627" </w:instrText>
      </w:r>
      <w:r>
        <w:rPr>
          <w:rFonts w:hint="eastAsia" w:ascii="仿宋_GB2312" w:hAnsi="仿宋_GB2312" w:eastAsia="仿宋_GB2312" w:cs="仿宋_GB2312"/>
        </w:rPr>
        <w:fldChar w:fldCharType="separate"/>
      </w:r>
      <w:r>
        <w:rPr>
          <w:rFonts w:hint="eastAsia" w:ascii="仿宋_GB2312" w:hAnsi="仿宋_GB2312" w:eastAsia="仿宋_GB2312" w:cs="仿宋_GB2312"/>
          <w:b w:val="0"/>
        </w:rPr>
        <w:t>一般公共预算财政拨款项目支出决算表</w:t>
      </w:r>
      <w:r>
        <w:rPr>
          <w:rFonts w:hint="eastAsia" w:ascii="仿宋_GB2312" w:hAnsi="仿宋_GB2312" w:eastAsia="仿宋_GB2312" w:cs="仿宋_GB2312"/>
          <w:b w:val="0"/>
        </w:rPr>
        <w:tab/>
      </w:r>
      <w:r>
        <w:rPr>
          <w:rFonts w:hint="eastAsia" w:ascii="仿宋_GB2312" w:hAnsi="仿宋_GB2312" w:eastAsia="仿宋_GB2312" w:cs="仿宋_GB2312"/>
          <w:b w:val="0"/>
        </w:rPr>
        <w:t>21</w:t>
      </w:r>
      <w:r>
        <w:rPr>
          <w:rFonts w:hint="eastAsia" w:ascii="仿宋_GB2312" w:hAnsi="仿宋_GB2312" w:eastAsia="仿宋_GB2312" w:cs="仿宋_GB2312"/>
          <w:b w:val="0"/>
        </w:rPr>
        <w:fldChar w:fldCharType="end"/>
      </w:r>
    </w:p>
    <w:p>
      <w:pPr>
        <w:pStyle w:val="11"/>
        <w:spacing w:line="576" w:lineRule="exact"/>
        <w:ind w:firstLine="0" w:firstLineChars="0"/>
        <w:rPr>
          <w:rFonts w:hint="eastAsia" w:ascii="仿宋_GB2312" w:hAnsi="仿宋_GB2312" w:eastAsia="仿宋_GB2312" w:cs="仿宋_GB2312"/>
          <w:b w:val="0"/>
        </w:rPr>
      </w:pPr>
      <w:r>
        <w:rPr>
          <w:rFonts w:hint="eastAsia" w:ascii="仿宋_GB2312" w:hAnsi="仿宋_GB2312" w:eastAsia="仿宋_GB2312" w:cs="仿宋_GB2312"/>
          <w:b w:val="0"/>
        </w:rPr>
        <w:t>十、</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"_Toc15396628" </w:instrText>
      </w:r>
      <w:r>
        <w:rPr>
          <w:rFonts w:hint="eastAsia" w:ascii="仿宋_GB2312" w:hAnsi="仿宋_GB2312" w:eastAsia="仿宋_GB2312" w:cs="仿宋_GB2312"/>
        </w:rPr>
        <w:fldChar w:fldCharType="separate"/>
      </w:r>
      <w:r>
        <w:rPr>
          <w:rFonts w:hint="eastAsia" w:ascii="仿宋_GB2312" w:hAnsi="仿宋_GB2312" w:eastAsia="仿宋_GB2312" w:cs="仿宋_GB2312"/>
          <w:b w:val="0"/>
        </w:rPr>
        <w:t>一般公共预算财政拨款“三公”经费支出决算表</w:t>
      </w:r>
      <w:r>
        <w:rPr>
          <w:rFonts w:hint="eastAsia" w:ascii="仿宋_GB2312" w:hAnsi="仿宋_GB2312" w:eastAsia="仿宋_GB2312" w:cs="仿宋_GB2312"/>
          <w:b w:val="0"/>
        </w:rPr>
        <w:tab/>
      </w:r>
      <w:r>
        <w:rPr>
          <w:rFonts w:hint="eastAsia" w:ascii="仿宋_GB2312" w:hAnsi="仿宋_GB2312" w:eastAsia="仿宋_GB2312" w:cs="仿宋_GB2312"/>
          <w:b w:val="0"/>
        </w:rPr>
        <w:t>21</w:t>
      </w:r>
      <w:r>
        <w:rPr>
          <w:rFonts w:hint="eastAsia" w:ascii="仿宋_GB2312" w:hAnsi="仿宋_GB2312" w:eastAsia="仿宋_GB2312" w:cs="仿宋_GB2312"/>
          <w:b w:val="0"/>
        </w:rPr>
        <w:fldChar w:fldCharType="end"/>
      </w:r>
    </w:p>
    <w:p>
      <w:pPr>
        <w:pStyle w:val="11"/>
        <w:spacing w:line="576" w:lineRule="exact"/>
        <w:ind w:firstLine="0" w:firstLineChars="0"/>
        <w:rPr>
          <w:rFonts w:hint="eastAsia" w:ascii="仿宋_GB2312" w:hAnsi="仿宋_GB2312" w:eastAsia="仿宋_GB2312" w:cs="仿宋_GB2312"/>
          <w:b w:val="0"/>
        </w:rPr>
      </w:pPr>
      <w:r>
        <w:rPr>
          <w:rFonts w:hint="eastAsia" w:ascii="仿宋_GB2312" w:hAnsi="仿宋_GB2312" w:eastAsia="仿宋_GB2312" w:cs="仿宋_GB2312"/>
          <w:b w:val="0"/>
        </w:rPr>
        <w:t>十一、</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"_Toc15396629" </w:instrText>
      </w:r>
      <w:r>
        <w:rPr>
          <w:rFonts w:hint="eastAsia" w:ascii="仿宋_GB2312" w:hAnsi="仿宋_GB2312" w:eastAsia="仿宋_GB2312" w:cs="仿宋_GB2312"/>
        </w:rPr>
        <w:fldChar w:fldCharType="separate"/>
      </w:r>
      <w:r>
        <w:rPr>
          <w:rFonts w:hint="eastAsia" w:ascii="仿宋_GB2312" w:hAnsi="仿宋_GB2312" w:eastAsia="仿宋_GB2312" w:cs="仿宋_GB2312"/>
          <w:b w:val="0"/>
        </w:rPr>
        <w:t>政府性基金预算财政拨款收入支出决算表</w:t>
      </w:r>
      <w:r>
        <w:rPr>
          <w:rFonts w:hint="eastAsia" w:ascii="仿宋_GB2312" w:hAnsi="仿宋_GB2312" w:eastAsia="仿宋_GB2312" w:cs="仿宋_GB2312"/>
          <w:b w:val="0"/>
        </w:rPr>
        <w:tab/>
      </w:r>
      <w:r>
        <w:rPr>
          <w:rFonts w:hint="eastAsia" w:ascii="仿宋_GB2312" w:hAnsi="仿宋_GB2312" w:eastAsia="仿宋_GB2312" w:cs="仿宋_GB2312"/>
          <w:b w:val="0"/>
        </w:rPr>
        <w:t>21</w:t>
      </w:r>
      <w:r>
        <w:rPr>
          <w:rFonts w:hint="eastAsia" w:ascii="仿宋_GB2312" w:hAnsi="仿宋_GB2312" w:eastAsia="仿宋_GB2312" w:cs="仿宋_GB2312"/>
          <w:b w:val="0"/>
        </w:rPr>
        <w:fldChar w:fldCharType="end"/>
      </w:r>
    </w:p>
    <w:p>
      <w:pPr>
        <w:pStyle w:val="11"/>
        <w:spacing w:line="576" w:lineRule="exact"/>
        <w:ind w:firstLine="0" w:firstLineChars="0"/>
        <w:rPr>
          <w:rFonts w:hint="eastAsia" w:ascii="仿宋_GB2312" w:hAnsi="仿宋_GB2312" w:eastAsia="仿宋_GB2312" w:cs="仿宋_GB2312"/>
          <w:b w:val="0"/>
        </w:rPr>
      </w:pPr>
      <w:r>
        <w:rPr>
          <w:rFonts w:hint="eastAsia" w:ascii="仿宋_GB2312" w:hAnsi="仿宋_GB2312" w:eastAsia="仿宋_GB2312" w:cs="仿宋_GB2312"/>
          <w:b w:val="0"/>
        </w:rPr>
        <w:t>十二、</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"_Toc15396630" </w:instrText>
      </w:r>
      <w:r>
        <w:rPr>
          <w:rFonts w:hint="eastAsia" w:ascii="仿宋_GB2312" w:hAnsi="仿宋_GB2312" w:eastAsia="仿宋_GB2312" w:cs="仿宋_GB2312"/>
        </w:rPr>
        <w:fldChar w:fldCharType="separate"/>
      </w:r>
      <w:r>
        <w:rPr>
          <w:rFonts w:hint="eastAsia" w:ascii="仿宋_GB2312" w:hAnsi="仿宋_GB2312" w:eastAsia="仿宋_GB2312" w:cs="仿宋_GB2312"/>
          <w:b w:val="0"/>
        </w:rPr>
        <w:t>政府性基金预算财政拨款“三公”经费支出决算表</w:t>
      </w:r>
      <w:r>
        <w:rPr>
          <w:rFonts w:hint="eastAsia" w:ascii="仿宋_GB2312" w:hAnsi="仿宋_GB2312" w:eastAsia="仿宋_GB2312" w:cs="仿宋_GB2312"/>
          <w:b w:val="0"/>
        </w:rPr>
        <w:fldChar w:fldCharType="end"/>
      </w:r>
    </w:p>
    <w:p>
      <w:pPr>
        <w:pStyle w:val="11"/>
        <w:spacing w:line="576" w:lineRule="exact"/>
        <w:ind w:firstLine="0" w:firstLineChars="0"/>
        <w:rPr>
          <w:rFonts w:hint="eastAsia" w:ascii="仿宋_GB2312" w:hAnsi="仿宋_GB2312" w:eastAsia="仿宋_GB2312" w:cs="仿宋_GB2312"/>
          <w:b w:val="0"/>
        </w:rPr>
      </w:pPr>
      <w:r>
        <w:rPr>
          <w:rFonts w:hint="eastAsia" w:ascii="仿宋_GB2312" w:hAnsi="仿宋_GB2312" w:eastAsia="仿宋_GB2312" w:cs="仿宋_GB2312"/>
          <w:b w:val="0"/>
        </w:rPr>
        <w:t>十三、</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"_Toc15396631" </w:instrText>
      </w:r>
      <w:r>
        <w:rPr>
          <w:rFonts w:hint="eastAsia" w:ascii="仿宋_GB2312" w:hAnsi="仿宋_GB2312" w:eastAsia="仿宋_GB2312" w:cs="仿宋_GB2312"/>
        </w:rPr>
        <w:fldChar w:fldCharType="separate"/>
      </w:r>
      <w:r>
        <w:rPr>
          <w:rFonts w:hint="eastAsia" w:ascii="仿宋_GB2312" w:hAnsi="仿宋_GB2312" w:eastAsia="仿宋_GB2312" w:cs="仿宋_GB2312"/>
          <w:b w:val="0"/>
        </w:rPr>
        <w:t>国有资本经营预算支出决算表</w:t>
      </w:r>
      <w:r>
        <w:rPr>
          <w:rFonts w:hint="eastAsia" w:ascii="仿宋_GB2312" w:hAnsi="仿宋_GB2312" w:eastAsia="仿宋_GB2312" w:cs="仿宋_GB2312"/>
          <w:b w:val="0"/>
        </w:rPr>
        <w:tab/>
      </w:r>
      <w:r>
        <w:rPr>
          <w:rFonts w:hint="eastAsia" w:ascii="仿宋_GB2312" w:hAnsi="仿宋_GB2312" w:eastAsia="仿宋_GB2312" w:cs="仿宋_GB2312"/>
          <w:b w:val="0"/>
        </w:rPr>
        <w:t>21</w:t>
      </w:r>
      <w:r>
        <w:rPr>
          <w:rFonts w:hint="eastAsia" w:ascii="仿宋_GB2312" w:hAnsi="仿宋_GB2312" w:eastAsia="仿宋_GB2312" w:cs="仿宋_GB2312"/>
          <w:b w:val="0"/>
        </w:rPr>
        <w:fldChar w:fldCharType="end"/>
      </w:r>
    </w:p>
    <w:p>
      <w:pPr>
        <w:spacing w:line="576" w:lineRule="exact"/>
        <w:ind w:firstLine="880"/>
        <w:jc w:val="center"/>
        <w:outlineLvl w:val="0"/>
        <w:rPr>
          <w:rFonts w:hint="eastAsia" w:ascii="仿宋_GB2312" w:hAnsi="仿宋_GB2312" w:eastAsia="仿宋_GB2312" w:cs="仿宋_GB2312"/>
          <w:b w:val="0"/>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sectPr>
          <w:pgSz w:w="11906" w:h="16838"/>
          <w:pgMar w:top="1440" w:right="1800" w:bottom="1440" w:left="1800" w:header="851" w:footer="992" w:gutter="0"/>
          <w:cols w:space="720" w:num="1"/>
          <w:docGrid w:type="lines" w:linePitch="312" w:charSpace="0"/>
        </w:sectPr>
      </w:pPr>
    </w:p>
    <w:p>
      <w:pPr>
        <w:pStyle w:val="2"/>
        <w:spacing w:before="0" w:after="0" w:line="576" w:lineRule="exact"/>
        <w:ind w:firstLine="880"/>
        <w:rPr>
          <w:b w:val="0"/>
          <w:bCs w:val="0"/>
        </w:rPr>
      </w:pPr>
      <w:bookmarkStart w:id="11" w:name="_Toc20222264"/>
      <w:r>
        <w:rPr>
          <w:rFonts w:hint="eastAsia" w:cs="方正小标宋简体"/>
          <w:b w:val="0"/>
          <w:bCs w:val="0"/>
        </w:rPr>
        <w:t>第一部分</w:t>
      </w:r>
      <w:r>
        <w:rPr>
          <w:b w:val="0"/>
          <w:bCs w:val="0"/>
        </w:rPr>
        <w:t xml:space="preserve"> </w:t>
      </w:r>
      <w:r>
        <w:rPr>
          <w:rStyle w:val="17"/>
          <w:rFonts w:hint="eastAsia" w:cs="方正小标宋简体"/>
          <w:b w:val="0"/>
          <w:bCs w:val="0"/>
        </w:rPr>
        <w:t>部门概况</w:t>
      </w:r>
      <w:bookmarkEnd w:id="11"/>
    </w:p>
    <w:p>
      <w:pPr>
        <w:pStyle w:val="3"/>
        <w:ind w:firstLine="640"/>
        <w:rPr>
          <w:rFonts w:cs="Times New Roman"/>
        </w:rPr>
      </w:pPr>
      <w:bookmarkStart w:id="12" w:name="_Toc20222265"/>
      <w:r>
        <w:rPr>
          <w:rFonts w:hint="eastAsia" w:cs="黑体"/>
        </w:rPr>
        <w:t>一、基本职能及主要工作</w:t>
      </w:r>
      <w:bookmarkEnd w:id="12"/>
    </w:p>
    <w:p>
      <w:pPr>
        <w:spacing w:line="576" w:lineRule="exact"/>
        <w:ind w:firstLine="643"/>
      </w:pPr>
      <w:r>
        <w:rPr>
          <w:rFonts w:hint="eastAsia" w:cs="楷体_GB2312"/>
        </w:rPr>
        <w:t>（一）基本职能</w:t>
      </w:r>
    </w:p>
    <w:p>
      <w:pPr>
        <w:spacing w:line="576" w:lineRule="exact"/>
        <w:ind w:firstLine="800" w:firstLineChars="250"/>
        <w:rPr>
          <w:rFonts w:ascii="仿宋_GB2312" w:hAnsi="仿宋_GB2312" w:eastAsia="仿宋_GB2312"/>
          <w:b w:val="0"/>
          <w:bCs w:val="0"/>
          <w:highlight w:val="none"/>
        </w:rPr>
      </w:pPr>
      <w:r>
        <w:rPr>
          <w:rFonts w:ascii="仿宋_GB2312" w:hAnsi="仿宋_GB2312" w:eastAsia="仿宋_GB2312" w:cs="仿宋_GB2312"/>
          <w:b w:val="0"/>
          <w:bCs w:val="0"/>
          <w:highlight w:val="none"/>
        </w:rPr>
        <w:t>1.</w:t>
      </w:r>
      <w:r>
        <w:rPr>
          <w:rFonts w:hint="eastAsia" w:ascii="仿宋_GB2312" w:hAnsi="仿宋_GB2312" w:eastAsia="仿宋_GB2312" w:cs="仿宋_GB2312"/>
          <w:b w:val="0"/>
          <w:bCs w:val="0"/>
          <w:highlight w:val="none"/>
        </w:rPr>
        <w:t>参与我县大政方针及政治、</w:t>
      </w:r>
      <w:r>
        <w:rPr>
          <w:rFonts w:hint="eastAsia" w:ascii="仿宋_GB2312" w:hAnsi="仿宋_GB2312" w:eastAsia="仿宋_GB2312" w:cs="仿宋_GB2312"/>
          <w:b w:val="0"/>
          <w:bCs w:val="0"/>
          <w:highlight w:val="none"/>
          <w:lang w:eastAsia="zh-CN"/>
        </w:rPr>
        <w:t>经济</w:t>
      </w:r>
      <w:r>
        <w:rPr>
          <w:rFonts w:hint="eastAsia" w:ascii="仿宋_GB2312" w:hAnsi="仿宋_GB2312" w:eastAsia="仿宋_GB2312" w:cs="仿宋_GB2312"/>
          <w:b w:val="0"/>
          <w:bCs w:val="0"/>
          <w:highlight w:val="none"/>
        </w:rPr>
        <w:t>、社会中的重要问题的政治协商，发挥民主监督的作用，参政议政。</w:t>
      </w:r>
    </w:p>
    <w:p>
      <w:pPr>
        <w:spacing w:line="576" w:lineRule="exact"/>
        <w:ind w:firstLine="800" w:firstLineChars="250"/>
        <w:rPr>
          <w:rFonts w:ascii="仿宋_GB2312" w:hAnsi="仿宋_GB2312" w:eastAsia="仿宋_GB2312"/>
          <w:b w:val="0"/>
          <w:bCs w:val="0"/>
        </w:rPr>
      </w:pPr>
      <w:r>
        <w:rPr>
          <w:rFonts w:ascii="仿宋_GB2312" w:hAnsi="仿宋_GB2312" w:eastAsia="仿宋_GB2312" w:cs="仿宋_GB2312"/>
          <w:b w:val="0"/>
          <w:bCs w:val="0"/>
        </w:rPr>
        <w:t>2.</w:t>
      </w:r>
      <w:r>
        <w:rPr>
          <w:rFonts w:hint="eastAsia" w:ascii="仿宋_GB2312" w:hAnsi="仿宋_GB2312" w:eastAsia="仿宋_GB2312" w:cs="仿宋_GB2312"/>
          <w:b w:val="0"/>
          <w:bCs w:val="0"/>
        </w:rPr>
        <w:t>引导会员积极参加我县经济建设，推动非公有制经济健康发展。</w:t>
      </w:r>
      <w:bookmarkStart w:id="78" w:name="_GoBack"/>
      <w:bookmarkEnd w:id="78"/>
    </w:p>
    <w:p>
      <w:pPr>
        <w:spacing w:line="576" w:lineRule="exact"/>
        <w:ind w:firstLine="800" w:firstLineChars="250"/>
        <w:rPr>
          <w:rFonts w:ascii="仿宋_GB2312" w:hAnsi="仿宋_GB2312" w:eastAsia="仿宋_GB2312"/>
          <w:b w:val="0"/>
          <w:bCs w:val="0"/>
        </w:rPr>
      </w:pPr>
      <w:r>
        <w:rPr>
          <w:rFonts w:ascii="仿宋_GB2312" w:hAnsi="仿宋_GB2312" w:eastAsia="仿宋_GB2312" w:cs="仿宋_GB2312"/>
          <w:b w:val="0"/>
          <w:bCs w:val="0"/>
        </w:rPr>
        <w:t>3.</w:t>
      </w:r>
      <w:r>
        <w:rPr>
          <w:rFonts w:hint="eastAsia" w:ascii="仿宋_GB2312" w:hAnsi="仿宋_GB2312" w:eastAsia="仿宋_GB2312" w:cs="仿宋_GB2312"/>
          <w:b w:val="0"/>
          <w:bCs w:val="0"/>
        </w:rPr>
        <w:t>做好工商界代表人士政治安排的推荐工作。</w:t>
      </w:r>
    </w:p>
    <w:p>
      <w:pPr>
        <w:spacing w:line="576" w:lineRule="exact"/>
        <w:ind w:firstLine="800" w:firstLineChars="250"/>
        <w:rPr>
          <w:rFonts w:ascii="仿宋_GB2312" w:hAnsi="仿宋_GB2312" w:eastAsia="仿宋_GB2312"/>
          <w:b w:val="0"/>
          <w:bCs w:val="0"/>
        </w:rPr>
      </w:pPr>
      <w:r>
        <w:rPr>
          <w:rFonts w:ascii="仿宋_GB2312" w:hAnsi="仿宋_GB2312" w:eastAsia="仿宋_GB2312" w:cs="仿宋_GB2312"/>
          <w:b w:val="0"/>
          <w:bCs w:val="0"/>
        </w:rPr>
        <w:t>4.</w:t>
      </w:r>
      <w:r>
        <w:rPr>
          <w:rFonts w:hint="eastAsia" w:ascii="仿宋_GB2312" w:hAnsi="仿宋_GB2312" w:eastAsia="仿宋_GB2312" w:cs="仿宋_GB2312"/>
          <w:b w:val="0"/>
          <w:bCs w:val="0"/>
        </w:rPr>
        <w:t>对同级同业工会和行业协会实行业务主管，加强对个体劳动者协会、私营企业协会指导工作。</w:t>
      </w:r>
    </w:p>
    <w:p>
      <w:pPr>
        <w:spacing w:line="576" w:lineRule="exact"/>
        <w:ind w:firstLine="800" w:firstLineChars="250"/>
        <w:rPr>
          <w:rFonts w:ascii="仿宋_GB2312" w:hAnsi="仿宋_GB2312" w:eastAsia="仿宋_GB2312"/>
          <w:b w:val="0"/>
          <w:bCs w:val="0"/>
        </w:rPr>
      </w:pPr>
      <w:r>
        <w:rPr>
          <w:rFonts w:ascii="仿宋_GB2312" w:hAnsi="仿宋_GB2312" w:eastAsia="仿宋_GB2312" w:cs="仿宋_GB2312"/>
          <w:b w:val="0"/>
          <w:bCs w:val="0"/>
        </w:rPr>
        <w:t>5.</w:t>
      </w:r>
      <w:r>
        <w:rPr>
          <w:rFonts w:hint="eastAsia" w:ascii="仿宋_GB2312" w:hAnsi="仿宋_GB2312" w:eastAsia="仿宋_GB2312" w:cs="仿宋_GB2312"/>
          <w:b w:val="0"/>
          <w:bCs w:val="0"/>
        </w:rPr>
        <w:t>加强与外商、各地工商社团及工商经济界人士的联系，促进经济、技术和贸易合作的发展，协助引进资金、技术人才。</w:t>
      </w:r>
    </w:p>
    <w:p>
      <w:pPr>
        <w:spacing w:line="576" w:lineRule="exact"/>
        <w:ind w:firstLine="800" w:firstLineChars="250"/>
        <w:rPr>
          <w:rFonts w:ascii="仿宋_GB2312" w:hAnsi="仿宋_GB2312" w:eastAsia="仿宋_GB2312"/>
          <w:b w:val="0"/>
          <w:bCs w:val="0"/>
        </w:rPr>
      </w:pPr>
      <w:r>
        <w:rPr>
          <w:rFonts w:ascii="仿宋_GB2312" w:hAnsi="仿宋_GB2312" w:eastAsia="仿宋_GB2312" w:cs="仿宋_GB2312"/>
          <w:b w:val="0"/>
          <w:bCs w:val="0"/>
        </w:rPr>
        <w:t>6.</w:t>
      </w:r>
      <w:r>
        <w:rPr>
          <w:rFonts w:hint="eastAsia" w:ascii="仿宋_GB2312" w:hAnsi="仿宋_GB2312" w:eastAsia="仿宋_GB2312" w:cs="仿宋_GB2312"/>
          <w:b w:val="0"/>
          <w:bCs w:val="0"/>
        </w:rPr>
        <w:t>办好会办企业。</w:t>
      </w:r>
    </w:p>
    <w:p>
      <w:pPr>
        <w:spacing w:line="576" w:lineRule="exact"/>
        <w:ind w:firstLine="800" w:firstLineChars="250"/>
        <w:rPr>
          <w:rFonts w:ascii="仿宋_GB2312" w:eastAsia="仿宋_GB2312"/>
          <w:b w:val="0"/>
          <w:bCs w:val="0"/>
        </w:rPr>
      </w:pPr>
      <w:r>
        <w:rPr>
          <w:rFonts w:ascii="仿宋_GB2312" w:hAnsi="仿宋_GB2312" w:eastAsia="仿宋_GB2312" w:cs="仿宋_GB2312"/>
          <w:b w:val="0"/>
          <w:bCs w:val="0"/>
        </w:rPr>
        <w:t>7.</w:t>
      </w:r>
      <w:r>
        <w:rPr>
          <w:rFonts w:hint="eastAsia" w:ascii="仿宋_GB2312" w:hAnsi="仿宋_GB2312" w:eastAsia="仿宋_GB2312" w:cs="仿宋_GB2312"/>
          <w:b w:val="0"/>
          <w:bCs w:val="0"/>
        </w:rPr>
        <w:t>承办县委、县政府交办的其他工作。</w:t>
      </w:r>
    </w:p>
    <w:p>
      <w:pPr>
        <w:spacing w:line="576" w:lineRule="exact"/>
        <w:ind w:firstLine="643"/>
        <w:rPr>
          <w:rFonts w:ascii="楷体_GB2312"/>
        </w:rPr>
      </w:pPr>
      <w:r>
        <w:rPr>
          <w:rFonts w:hint="eastAsia" w:ascii="楷体_GB2312" w:hAnsi="楷体_GB2312" w:cs="楷体_GB2312"/>
        </w:rPr>
        <w:t>（二）</w:t>
      </w:r>
      <w:r>
        <w:rPr>
          <w:rFonts w:ascii="楷体_GB2312" w:hAnsi="楷体_GB2312" w:cs="楷体_GB2312"/>
        </w:rPr>
        <w:t>2018</w:t>
      </w:r>
      <w:r>
        <w:rPr>
          <w:rFonts w:hint="eastAsia" w:ascii="楷体_GB2312" w:hAnsi="楷体_GB2312" w:cs="楷体_GB2312"/>
        </w:rPr>
        <w:t>年重点工作完成情况</w:t>
      </w:r>
    </w:p>
    <w:p>
      <w:pPr>
        <w:widowControl/>
        <w:shd w:val="clear" w:color="auto" w:fill="FFFFFF"/>
        <w:spacing w:line="576" w:lineRule="exact"/>
        <w:ind w:firstLine="640"/>
        <w:jc w:val="left"/>
        <w:outlineLvl w:val="0"/>
        <w:rPr>
          <w:rFonts w:ascii="仿宋_GB2312" w:hAnsi="Verdana" w:eastAsia="仿宋_GB2312"/>
          <w:b w:val="0"/>
          <w:bCs w:val="0"/>
          <w:color w:val="333333"/>
          <w:kern w:val="0"/>
          <w:sz w:val="18"/>
          <w:szCs w:val="18"/>
        </w:rPr>
      </w:pPr>
      <w:bookmarkStart w:id="13" w:name="_Toc20222266"/>
      <w:r>
        <w:rPr>
          <w:rFonts w:ascii="仿宋_GB2312" w:hAnsi="Verdana" w:eastAsia="仿宋_GB2312" w:cs="仿宋_GB2312"/>
          <w:b w:val="0"/>
          <w:bCs w:val="0"/>
          <w:color w:val="333333"/>
          <w:kern w:val="0"/>
        </w:rPr>
        <w:t>1.</w:t>
      </w:r>
      <w:r>
        <w:rPr>
          <w:rFonts w:hint="eastAsia" w:ascii="仿宋_GB2312" w:hAnsi="Verdana" w:eastAsia="仿宋_GB2312" w:cs="仿宋_GB2312"/>
          <w:b w:val="0"/>
          <w:bCs w:val="0"/>
          <w:color w:val="333333"/>
          <w:kern w:val="0"/>
          <w:lang w:eastAsia="zh-CN"/>
        </w:rPr>
        <w:t>组织</w:t>
      </w:r>
      <w:r>
        <w:rPr>
          <w:rFonts w:hint="eastAsia" w:ascii="仿宋_GB2312" w:hAnsi="Verdana" w:eastAsia="仿宋_GB2312" w:cs="仿宋_GB2312"/>
          <w:b w:val="0"/>
          <w:bCs w:val="0"/>
          <w:color w:val="333333"/>
          <w:kern w:val="0"/>
        </w:rPr>
        <w:t>学习，提高非公有制经济人士的综合素质</w:t>
      </w:r>
      <w:bookmarkEnd w:id="13"/>
      <w:r>
        <w:rPr>
          <w:rFonts w:hint="eastAsia" w:ascii="仿宋_GB2312" w:hAnsi="Verdana" w:eastAsia="仿宋_GB2312" w:cs="仿宋_GB2312"/>
          <w:b w:val="0"/>
          <w:bCs w:val="0"/>
          <w:color w:val="333333"/>
          <w:kern w:val="0"/>
        </w:rPr>
        <w:t>。</w:t>
      </w:r>
    </w:p>
    <w:p>
      <w:pPr>
        <w:widowControl/>
        <w:shd w:val="clear" w:color="auto" w:fill="FFFFFF"/>
        <w:spacing w:line="576" w:lineRule="exact"/>
        <w:ind w:firstLine="640"/>
        <w:jc w:val="left"/>
        <w:outlineLvl w:val="0"/>
        <w:rPr>
          <w:rFonts w:ascii="仿宋_GB2312" w:hAnsi="Verdana" w:eastAsia="仿宋_GB2312"/>
          <w:color w:val="333333"/>
          <w:kern w:val="0"/>
          <w:sz w:val="18"/>
          <w:szCs w:val="18"/>
        </w:rPr>
      </w:pPr>
      <w:bookmarkStart w:id="14" w:name="_Toc20222267"/>
      <w:r>
        <w:rPr>
          <w:rFonts w:ascii="仿宋_GB2312" w:hAnsi="Verdana" w:eastAsia="仿宋_GB2312" w:cs="仿宋_GB2312"/>
          <w:b w:val="0"/>
          <w:bCs w:val="0"/>
          <w:color w:val="333333"/>
          <w:kern w:val="0"/>
        </w:rPr>
        <w:t>2.</w:t>
      </w:r>
      <w:r>
        <w:rPr>
          <w:rFonts w:hint="eastAsia" w:ascii="仿宋_GB2312" w:hAnsi="Verdana" w:eastAsia="仿宋_GB2312" w:cs="仿宋_GB2312"/>
          <w:b w:val="0"/>
          <w:bCs w:val="0"/>
          <w:color w:val="333333"/>
          <w:kern w:val="0"/>
        </w:rPr>
        <w:t>做好非公有制经济人士思想政治工作</w:t>
      </w:r>
      <w:r>
        <w:rPr>
          <w:rFonts w:hint="eastAsia" w:ascii="仿宋_GB2312" w:hAnsi="仿宋_GB2312" w:eastAsia="仿宋_GB2312" w:cs="仿宋_GB2312"/>
          <w:b w:val="0"/>
          <w:bCs w:val="0"/>
        </w:rPr>
        <w:t>。</w:t>
      </w:r>
      <w:bookmarkEnd w:id="14"/>
    </w:p>
    <w:p>
      <w:pPr>
        <w:widowControl/>
        <w:shd w:val="clear" w:color="auto" w:fill="FFFFFF"/>
        <w:spacing w:line="576" w:lineRule="exact"/>
        <w:ind w:firstLine="640"/>
        <w:jc w:val="left"/>
        <w:outlineLvl w:val="0"/>
        <w:rPr>
          <w:rFonts w:ascii="仿宋_GB2312" w:hAnsi="Verdana" w:eastAsia="仿宋_GB2312"/>
          <w:b w:val="0"/>
          <w:bCs w:val="0"/>
          <w:color w:val="333333"/>
          <w:kern w:val="0"/>
          <w:sz w:val="18"/>
          <w:szCs w:val="18"/>
        </w:rPr>
      </w:pPr>
      <w:bookmarkStart w:id="15" w:name="_Toc20222268"/>
      <w:r>
        <w:rPr>
          <w:rFonts w:ascii="仿宋_GB2312" w:hAnsi="Verdana" w:eastAsia="仿宋_GB2312" w:cs="仿宋_GB2312"/>
          <w:b w:val="0"/>
          <w:bCs w:val="0"/>
          <w:color w:val="333333"/>
          <w:kern w:val="0"/>
        </w:rPr>
        <w:t>3.</w:t>
      </w:r>
      <w:r>
        <w:rPr>
          <w:rFonts w:hint="eastAsia" w:ascii="仿宋_GB2312" w:hAnsi="Verdana" w:eastAsia="仿宋_GB2312" w:cs="仿宋_GB2312"/>
          <w:b w:val="0"/>
          <w:bCs w:val="0"/>
          <w:color w:val="333333"/>
          <w:kern w:val="0"/>
        </w:rPr>
        <w:t>搞好服务，促进非公有制经济健康发展，促进非公有制经济人士健康成长</w:t>
      </w:r>
      <w:bookmarkEnd w:id="15"/>
      <w:r>
        <w:rPr>
          <w:rFonts w:hint="eastAsia" w:ascii="仿宋_GB2312" w:hAnsi="Verdana" w:eastAsia="仿宋_GB2312" w:cs="仿宋_GB2312"/>
          <w:b w:val="0"/>
          <w:bCs w:val="0"/>
          <w:color w:val="333333"/>
          <w:kern w:val="0"/>
        </w:rPr>
        <w:t>。</w:t>
      </w:r>
    </w:p>
    <w:p>
      <w:pPr>
        <w:spacing w:line="576" w:lineRule="exact"/>
        <w:ind w:firstLine="640"/>
        <w:outlineLvl w:val="0"/>
        <w:rPr>
          <w:rFonts w:ascii="仿宋_GB2312" w:hAnsi="仿宋_GB2312" w:eastAsia="仿宋_GB2312"/>
          <w:b w:val="0"/>
          <w:bCs w:val="0"/>
        </w:rPr>
      </w:pPr>
      <w:bookmarkStart w:id="16" w:name="_Toc20222269"/>
      <w:r>
        <w:rPr>
          <w:rFonts w:ascii="仿宋_GB2312" w:hAnsi="Verdana" w:eastAsia="仿宋_GB2312" w:cs="仿宋_GB2312"/>
          <w:b w:val="0"/>
          <w:bCs w:val="0"/>
          <w:color w:val="333333"/>
          <w:kern w:val="0"/>
        </w:rPr>
        <w:t>4.</w:t>
      </w:r>
      <w:r>
        <w:rPr>
          <w:rFonts w:hint="eastAsia" w:ascii="仿宋_GB2312" w:hAnsi="Verdana" w:eastAsia="仿宋_GB2312" w:cs="仿宋_GB2312"/>
          <w:b w:val="0"/>
          <w:bCs w:val="0"/>
          <w:color w:val="333333"/>
          <w:kern w:val="0"/>
        </w:rPr>
        <w:t>积极发展会员，稳妥壮大工商联队伍</w:t>
      </w:r>
      <w:r>
        <w:rPr>
          <w:rFonts w:hint="eastAsia" w:ascii="仿宋_GB2312" w:hAnsi="仿宋_GB2312" w:eastAsia="仿宋_GB2312" w:cs="仿宋_GB2312"/>
          <w:b w:val="0"/>
          <w:bCs w:val="0"/>
        </w:rPr>
        <w:t>。</w:t>
      </w:r>
      <w:bookmarkEnd w:id="16"/>
    </w:p>
    <w:p>
      <w:pPr>
        <w:spacing w:line="576" w:lineRule="exact"/>
        <w:ind w:firstLine="640"/>
        <w:outlineLvl w:val="0"/>
        <w:rPr>
          <w:rFonts w:ascii="仿宋_GB2312" w:hAnsi="Verdana" w:eastAsia="仿宋_GB2312"/>
          <w:b w:val="0"/>
          <w:bCs w:val="0"/>
          <w:color w:val="333333"/>
          <w:kern w:val="0"/>
        </w:rPr>
      </w:pPr>
      <w:bookmarkStart w:id="17" w:name="_Toc20222270"/>
      <w:r>
        <w:rPr>
          <w:rFonts w:ascii="仿宋_GB2312" w:hAnsi="Verdana" w:eastAsia="仿宋_GB2312" w:cs="仿宋_GB2312"/>
          <w:b w:val="0"/>
          <w:bCs w:val="0"/>
          <w:color w:val="333333"/>
          <w:kern w:val="0"/>
        </w:rPr>
        <w:t>5.</w:t>
      </w:r>
      <w:r>
        <w:rPr>
          <w:rFonts w:hint="eastAsia" w:ascii="仿宋_GB2312" w:hAnsi="Verdana" w:eastAsia="仿宋_GB2312" w:cs="仿宋_GB2312"/>
          <w:b w:val="0"/>
          <w:bCs w:val="0"/>
          <w:color w:val="333333"/>
          <w:kern w:val="0"/>
        </w:rPr>
        <w:t>指导相关企业做好“万企帮万村”精准扶贫活动</w:t>
      </w:r>
      <w:bookmarkEnd w:id="17"/>
      <w:r>
        <w:rPr>
          <w:rFonts w:hint="eastAsia" w:ascii="仿宋_GB2312" w:hAnsi="Verdana" w:eastAsia="仿宋_GB2312" w:cs="仿宋_GB2312"/>
          <w:b w:val="0"/>
          <w:bCs w:val="0"/>
          <w:color w:val="333333"/>
          <w:kern w:val="0"/>
        </w:rPr>
        <w:t>。</w:t>
      </w:r>
    </w:p>
    <w:p>
      <w:pPr>
        <w:pStyle w:val="3"/>
        <w:ind w:firstLine="640"/>
        <w:rPr>
          <w:rFonts w:cs="Times New Roman"/>
        </w:rPr>
      </w:pPr>
      <w:bookmarkStart w:id="18" w:name="_Toc20222271"/>
      <w:r>
        <w:rPr>
          <w:rFonts w:hint="eastAsia" w:cs="黑体"/>
        </w:rPr>
        <w:t>二、机构设置</w:t>
      </w:r>
      <w:bookmarkEnd w:id="18"/>
    </w:p>
    <w:p>
      <w:pPr>
        <w:spacing w:line="576" w:lineRule="exact"/>
        <w:ind w:firstLine="640"/>
        <w:rPr>
          <w:rFonts w:ascii="仿宋_GB2312" w:eastAsia="仿宋_GB2312" w:cs="仿宋_GB2312"/>
          <w:b w:val="0"/>
          <w:bCs w:val="0"/>
        </w:rPr>
      </w:pPr>
      <w:r>
        <w:rPr>
          <w:rFonts w:hint="eastAsia" w:ascii="仿宋_GB2312" w:eastAsia="仿宋_GB2312" w:cs="仿宋_GB2312"/>
          <w:b w:val="0"/>
          <w:bCs w:val="0"/>
        </w:rPr>
        <w:t>本单位是行政单位，属一级预算单位，其中内设机构</w:t>
      </w:r>
      <w:r>
        <w:rPr>
          <w:rFonts w:ascii="仿宋_GB2312" w:eastAsia="仿宋_GB2312" w:cs="仿宋_GB2312"/>
          <w:b w:val="0"/>
          <w:bCs w:val="0"/>
        </w:rPr>
        <w:t>1</w:t>
      </w:r>
      <w:r>
        <w:rPr>
          <w:rFonts w:hint="eastAsia" w:ascii="仿宋_GB2312" w:eastAsia="仿宋_GB2312" w:cs="仿宋_GB2312"/>
          <w:b w:val="0"/>
          <w:bCs w:val="0"/>
        </w:rPr>
        <w:t>个。人员总编制</w:t>
      </w:r>
      <w:r>
        <w:rPr>
          <w:rFonts w:ascii="仿宋_GB2312" w:eastAsia="仿宋_GB2312" w:cs="仿宋_GB2312"/>
          <w:b w:val="0"/>
          <w:bCs w:val="0"/>
        </w:rPr>
        <w:t>2</w:t>
      </w:r>
      <w:r>
        <w:rPr>
          <w:rFonts w:hint="eastAsia" w:ascii="仿宋_GB2312" w:eastAsia="仿宋_GB2312" w:cs="仿宋_GB2312"/>
          <w:b w:val="0"/>
          <w:bCs w:val="0"/>
        </w:rPr>
        <w:t>名</w:t>
      </w:r>
      <w:r>
        <w:rPr>
          <w:rFonts w:ascii="仿宋_GB2312" w:eastAsia="仿宋_GB2312" w:cs="仿宋_GB2312"/>
          <w:b w:val="0"/>
          <w:bCs w:val="0"/>
        </w:rPr>
        <w:t>,</w:t>
      </w:r>
      <w:r>
        <w:rPr>
          <w:rFonts w:hint="eastAsia" w:ascii="仿宋_GB2312" w:eastAsia="仿宋_GB2312" w:cs="仿宋_GB2312"/>
          <w:b w:val="0"/>
          <w:bCs w:val="0"/>
        </w:rPr>
        <w:t>其中</w:t>
      </w:r>
      <w:r>
        <w:rPr>
          <w:rFonts w:ascii="仿宋_GB2312" w:eastAsia="仿宋_GB2312" w:cs="仿宋_GB2312"/>
          <w:b w:val="0"/>
          <w:bCs w:val="0"/>
        </w:rPr>
        <w:t>:</w:t>
      </w:r>
      <w:r>
        <w:rPr>
          <w:rFonts w:hint="eastAsia" w:ascii="仿宋_GB2312" w:eastAsia="仿宋_GB2312" w:cs="仿宋_GB2312"/>
          <w:b w:val="0"/>
          <w:bCs w:val="0"/>
        </w:rPr>
        <w:t>行政编制</w:t>
      </w:r>
      <w:r>
        <w:rPr>
          <w:rFonts w:ascii="仿宋_GB2312" w:eastAsia="仿宋_GB2312" w:cs="仿宋_GB2312"/>
          <w:b w:val="0"/>
          <w:bCs w:val="0"/>
        </w:rPr>
        <w:t>2</w:t>
      </w:r>
      <w:r>
        <w:rPr>
          <w:rFonts w:hint="eastAsia" w:ascii="仿宋_GB2312" w:eastAsia="仿宋_GB2312" w:cs="仿宋_GB2312"/>
          <w:b w:val="0"/>
          <w:bCs w:val="0"/>
        </w:rPr>
        <w:t>名，事业编制</w:t>
      </w:r>
      <w:r>
        <w:rPr>
          <w:rFonts w:ascii="仿宋_GB2312" w:eastAsia="仿宋_GB2312" w:cs="仿宋_GB2312"/>
          <w:b w:val="0"/>
          <w:bCs w:val="0"/>
        </w:rPr>
        <w:t xml:space="preserve"> 0</w:t>
      </w:r>
      <w:r>
        <w:rPr>
          <w:rFonts w:hint="eastAsia" w:ascii="仿宋_GB2312" w:eastAsia="仿宋_GB2312" w:cs="仿宋_GB2312"/>
          <w:b w:val="0"/>
          <w:bCs w:val="0"/>
        </w:rPr>
        <w:t>名。实有在职人员总数</w:t>
      </w:r>
      <w:r>
        <w:rPr>
          <w:rFonts w:ascii="仿宋_GB2312" w:eastAsia="仿宋_GB2312" w:cs="仿宋_GB2312"/>
          <w:b w:val="0"/>
          <w:bCs w:val="0"/>
        </w:rPr>
        <w:t>7</w:t>
      </w:r>
      <w:r>
        <w:rPr>
          <w:rFonts w:hint="eastAsia" w:ascii="仿宋_GB2312" w:eastAsia="仿宋_GB2312" w:cs="仿宋_GB2312"/>
          <w:b w:val="0"/>
          <w:bCs w:val="0"/>
        </w:rPr>
        <w:t>名，在职人员中行政人员</w:t>
      </w:r>
      <w:r>
        <w:rPr>
          <w:rFonts w:ascii="仿宋_GB2312" w:eastAsia="仿宋_GB2312" w:cs="仿宋_GB2312"/>
          <w:b w:val="0"/>
          <w:bCs w:val="0"/>
        </w:rPr>
        <w:t>7</w:t>
      </w:r>
      <w:r>
        <w:rPr>
          <w:rFonts w:hint="eastAsia" w:ascii="仿宋_GB2312" w:eastAsia="仿宋_GB2312" w:cs="仿宋_GB2312"/>
          <w:b w:val="0"/>
          <w:bCs w:val="0"/>
        </w:rPr>
        <w:t>名，事业人员</w:t>
      </w:r>
      <w:r>
        <w:rPr>
          <w:rFonts w:ascii="仿宋_GB2312" w:eastAsia="仿宋_GB2312" w:cs="仿宋_GB2312"/>
          <w:b w:val="0"/>
          <w:bCs w:val="0"/>
        </w:rPr>
        <w:t>0</w:t>
      </w:r>
      <w:r>
        <w:rPr>
          <w:rFonts w:hint="eastAsia" w:ascii="仿宋_GB2312" w:eastAsia="仿宋_GB2312" w:cs="仿宋_GB2312"/>
          <w:b w:val="0"/>
          <w:bCs w:val="0"/>
        </w:rPr>
        <w:t>名。退休人员</w:t>
      </w:r>
      <w:r>
        <w:rPr>
          <w:rFonts w:ascii="仿宋_GB2312" w:eastAsia="仿宋_GB2312" w:cs="仿宋_GB2312"/>
          <w:b w:val="0"/>
          <w:bCs w:val="0"/>
        </w:rPr>
        <w:t>0</w:t>
      </w:r>
      <w:r>
        <w:rPr>
          <w:rFonts w:hint="eastAsia" w:ascii="仿宋_GB2312" w:eastAsia="仿宋_GB2312" w:cs="仿宋_GB2312"/>
          <w:b w:val="0"/>
          <w:bCs w:val="0"/>
        </w:rPr>
        <w:t>人。</w:t>
      </w:r>
      <w:r>
        <w:rPr>
          <w:rFonts w:ascii="仿宋_GB2312" w:eastAsia="仿宋_GB2312" w:cs="仿宋_GB2312"/>
          <w:b w:val="0"/>
          <w:bCs w:val="0"/>
        </w:rPr>
        <w:t xml:space="preserve"> </w:t>
      </w: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b w:val="0"/>
          <w:bCs w:val="0"/>
        </w:rPr>
      </w:pPr>
    </w:p>
    <w:p>
      <w:pPr>
        <w:spacing w:line="576" w:lineRule="exact"/>
        <w:ind w:firstLine="640"/>
        <w:rPr>
          <w:rFonts w:ascii="仿宋_GB2312" w:eastAsia="仿宋_GB2312"/>
          <w:b w:val="0"/>
          <w:bCs w:val="0"/>
        </w:rPr>
      </w:pPr>
    </w:p>
    <w:p>
      <w:pPr>
        <w:pStyle w:val="2"/>
        <w:spacing w:before="0" w:after="0" w:line="576" w:lineRule="exact"/>
        <w:ind w:firstLine="880"/>
        <w:jc w:val="both"/>
        <w:rPr>
          <w:rStyle w:val="17"/>
          <w:rFonts w:hint="eastAsia" w:ascii="方正小标宋简体" w:hAnsi="方正小标宋简体" w:eastAsia="方正小标宋简体" w:cs="方正小标宋简体"/>
          <w:b w:val="0"/>
          <w:bCs w:val="0"/>
        </w:rPr>
      </w:pPr>
      <w:bookmarkStart w:id="19" w:name="_Toc20222272"/>
      <w:r>
        <w:rPr>
          <w:rStyle w:val="17"/>
          <w:rFonts w:hint="eastAsia" w:ascii="方正小标宋简体" w:hAnsi="方正小标宋简体" w:eastAsia="方正小标宋简体" w:cs="方正小标宋简体"/>
          <w:b w:val="0"/>
          <w:bCs w:val="0"/>
        </w:rPr>
        <w:t>第二部分 2018年度部门决算情况说明</w:t>
      </w:r>
      <w:bookmarkEnd w:id="19"/>
    </w:p>
    <w:p>
      <w:pPr>
        <w:pStyle w:val="3"/>
        <w:ind w:firstLine="643"/>
        <w:rPr>
          <w:rFonts w:cs="Times New Roman"/>
          <w:b/>
          <w:bCs/>
        </w:rPr>
      </w:pPr>
      <w:bookmarkStart w:id="20" w:name="_Toc20222273"/>
      <w:r>
        <w:rPr>
          <w:rFonts w:hint="eastAsia" w:cs="黑体"/>
          <w:b/>
          <w:bCs/>
        </w:rPr>
        <w:t>一</w:t>
      </w:r>
      <w:r>
        <w:rPr>
          <w:rFonts w:hint="eastAsia" w:cs="黑体"/>
        </w:rPr>
        <w:t>、</w:t>
      </w:r>
      <w:bookmarkStart w:id="21" w:name="_Toc15396603"/>
      <w:bookmarkStart w:id="22" w:name="_Toc15377205"/>
      <w:r>
        <w:rPr>
          <w:rFonts w:hint="eastAsia" w:cs="黑体"/>
        </w:rPr>
        <w:t>收</w:t>
      </w:r>
      <w:r>
        <w:rPr>
          <w:rFonts w:hint="eastAsia"/>
        </w:rPr>
        <w:t>入支出决算总体情况说明</w:t>
      </w:r>
      <w:bookmarkEnd w:id="20"/>
      <w:bookmarkEnd w:id="21"/>
      <w:bookmarkEnd w:id="22"/>
    </w:p>
    <w:p>
      <w:pPr>
        <w:spacing w:line="576" w:lineRule="exact"/>
        <w:ind w:firstLine="640"/>
        <w:rPr>
          <w:rFonts w:ascii="仿宋_GB2312" w:hAnsi="仿宋" w:eastAsia="仿宋_GB2312"/>
          <w:b w:val="0"/>
          <w:bCs w:val="0"/>
          <w:color w:val="000000"/>
        </w:rPr>
      </w:pPr>
      <w:r>
        <w:rPr>
          <w:rFonts w:ascii="仿宋_GB2312" w:hAnsi="仿宋" w:eastAsia="仿宋_GB2312" w:cs="仿宋_GB2312"/>
          <w:b w:val="0"/>
          <w:bCs w:val="0"/>
          <w:color w:val="000000"/>
        </w:rPr>
        <w:t>2018</w:t>
      </w:r>
      <w:r>
        <w:rPr>
          <w:rFonts w:hint="eastAsia" w:ascii="仿宋_GB2312" w:hAnsi="仿宋" w:eastAsia="仿宋_GB2312" w:cs="仿宋_GB2312"/>
          <w:b w:val="0"/>
          <w:bCs w:val="0"/>
          <w:color w:val="000000"/>
        </w:rPr>
        <w:t>年度收、支总计</w:t>
      </w:r>
      <w:r>
        <w:rPr>
          <w:rFonts w:ascii="仿宋_GB2312" w:hAnsi="仿宋" w:eastAsia="仿宋_GB2312" w:cs="仿宋_GB2312"/>
          <w:b w:val="0"/>
          <w:bCs w:val="0"/>
          <w:color w:val="000000"/>
        </w:rPr>
        <w:t>113.84</w:t>
      </w:r>
      <w:r>
        <w:rPr>
          <w:rFonts w:hint="eastAsia" w:ascii="仿宋_GB2312" w:hAnsi="仿宋" w:eastAsia="仿宋_GB2312" w:cs="仿宋_GB2312"/>
          <w:b w:val="0"/>
          <w:bCs w:val="0"/>
          <w:color w:val="000000"/>
        </w:rPr>
        <w:t>万元。与</w:t>
      </w:r>
      <w:r>
        <w:rPr>
          <w:rFonts w:ascii="仿宋_GB2312" w:hAnsi="仿宋" w:eastAsia="仿宋_GB2312" w:cs="仿宋_GB2312"/>
          <w:b w:val="0"/>
          <w:bCs w:val="0"/>
          <w:color w:val="000000"/>
        </w:rPr>
        <w:t>2017</w:t>
      </w:r>
      <w:r>
        <w:rPr>
          <w:rFonts w:hint="eastAsia" w:ascii="仿宋_GB2312" w:hAnsi="仿宋" w:eastAsia="仿宋_GB2312" w:cs="仿宋_GB2312"/>
          <w:b w:val="0"/>
          <w:bCs w:val="0"/>
          <w:color w:val="000000"/>
        </w:rPr>
        <w:t>年相比，收、支总计各增加</w:t>
      </w:r>
      <w:r>
        <w:rPr>
          <w:rFonts w:ascii="仿宋_GB2312" w:hAnsi="仿宋" w:eastAsia="仿宋_GB2312" w:cs="仿宋_GB2312"/>
          <w:b w:val="0"/>
          <w:bCs w:val="0"/>
          <w:color w:val="000000"/>
        </w:rPr>
        <w:t>16.24</w:t>
      </w:r>
      <w:r>
        <w:rPr>
          <w:rFonts w:hint="eastAsia" w:ascii="仿宋_GB2312" w:hAnsi="仿宋" w:eastAsia="仿宋_GB2312" w:cs="仿宋_GB2312"/>
          <w:b w:val="0"/>
          <w:bCs w:val="0"/>
          <w:color w:val="000000"/>
        </w:rPr>
        <w:t>万元，增长</w:t>
      </w:r>
      <w:r>
        <w:rPr>
          <w:rFonts w:ascii="仿宋_GB2312" w:hAnsi="仿宋" w:eastAsia="仿宋_GB2312" w:cs="仿宋_GB2312"/>
          <w:b w:val="0"/>
          <w:bCs w:val="0"/>
          <w:color w:val="000000"/>
        </w:rPr>
        <w:t>14.27%</w:t>
      </w:r>
      <w:r>
        <w:rPr>
          <w:rFonts w:hint="eastAsia" w:ascii="仿宋_GB2312" w:hAnsi="仿宋" w:eastAsia="仿宋_GB2312" w:cs="仿宋_GB2312"/>
          <w:b w:val="0"/>
          <w:bCs w:val="0"/>
          <w:color w:val="000000"/>
        </w:rPr>
        <w:t>。主要变动原因是工资增加。</w:t>
      </w:r>
    </w:p>
    <w:p>
      <w:pPr>
        <w:ind w:firstLine="0" w:firstLineChars="0"/>
        <w:rPr>
          <w:rFonts w:ascii="黑体" w:hAnsi="黑体" w:eastAsia="黑体"/>
          <w:b w:val="0"/>
          <w:bCs w:val="0"/>
          <w:color w:val="000000"/>
        </w:rPr>
      </w:pPr>
      <w:r>
        <w:rPr>
          <w:rFonts w:ascii="黑体" w:hAnsi="黑体" w:eastAsia="黑体"/>
          <w:color w:val="000000"/>
        </w:rPr>
        <w:object>
          <v:shape id="_x0000_i1025" o:spt="75" type="#_x0000_t75" style="height:244.5pt;width:429.75pt;" o:ole="t" filled="f" o:preferrelative="t" stroked="f" coordsize="21600,21600">
            <v:path/>
            <v:fill on="f" focussize="0,0"/>
            <v:stroke on="f" joinstyle="miter"/>
            <v:imagedata r:id="rId11" o:title=""/>
            <o:lock v:ext="edit" aspectratio="f"/>
            <w10:wrap type="none"/>
            <w10:anchorlock/>
          </v:shape>
          <o:OLEObject Type="Embed" ProgID="Excel.Chart.8" ShapeID="_x0000_i1025" DrawAspect="Content" ObjectID="_1468075725" r:id="rId10">
            <o:LockedField>false</o:LockedField>
          </o:OLEObject>
        </w:object>
      </w:r>
    </w:p>
    <w:p>
      <w:pPr>
        <w:pStyle w:val="3"/>
        <w:ind w:firstLine="640"/>
        <w:rPr>
          <w:rFonts w:cs="Times New Roman"/>
        </w:rPr>
      </w:pPr>
      <w:bookmarkStart w:id="23" w:name="_Toc15377206"/>
      <w:bookmarkStart w:id="24" w:name="_Toc20222274"/>
      <w:bookmarkStart w:id="25" w:name="_Toc15396604"/>
      <w:r>
        <w:rPr>
          <w:rFonts w:hint="eastAsia" w:cs="黑体"/>
        </w:rPr>
        <w:t>二、收</w:t>
      </w:r>
      <w:r>
        <w:rPr>
          <w:rStyle w:val="18"/>
          <w:rFonts w:hint="eastAsia" w:cs="黑体"/>
        </w:rPr>
        <w:t>入决算情况说明</w:t>
      </w:r>
      <w:bookmarkEnd w:id="23"/>
      <w:bookmarkEnd w:id="24"/>
      <w:bookmarkEnd w:id="25"/>
    </w:p>
    <w:p>
      <w:pPr>
        <w:spacing w:line="576" w:lineRule="exact"/>
        <w:ind w:firstLine="640"/>
        <w:outlineLvl w:val="1"/>
        <w:rPr>
          <w:rFonts w:ascii="仿宋_GB2312" w:hAnsi="仿宋" w:eastAsia="仿宋_GB2312"/>
          <w:b w:val="0"/>
          <w:bCs w:val="0"/>
          <w:color w:val="000000"/>
        </w:rPr>
      </w:pPr>
      <w:bookmarkStart w:id="26" w:name="_Toc20222275"/>
      <w:r>
        <w:rPr>
          <w:rFonts w:ascii="仿宋_GB2312" w:hAnsi="仿宋" w:eastAsia="仿宋_GB2312" w:cs="仿宋_GB2312"/>
          <w:b w:val="0"/>
          <w:bCs w:val="0"/>
          <w:color w:val="000000"/>
        </w:rPr>
        <w:t>2018</w:t>
      </w:r>
      <w:r>
        <w:rPr>
          <w:rFonts w:hint="eastAsia" w:ascii="仿宋_GB2312" w:hAnsi="仿宋" w:eastAsia="仿宋_GB2312" w:cs="仿宋_GB2312"/>
          <w:b w:val="0"/>
          <w:bCs w:val="0"/>
          <w:color w:val="000000"/>
        </w:rPr>
        <w:t>年本年收入合计</w:t>
      </w:r>
      <w:r>
        <w:rPr>
          <w:rFonts w:ascii="仿宋_GB2312" w:hAnsi="仿宋" w:eastAsia="仿宋_GB2312" w:cs="仿宋_GB2312"/>
          <w:b w:val="0"/>
          <w:bCs w:val="0"/>
          <w:color w:val="000000"/>
        </w:rPr>
        <w:t>113.84</w:t>
      </w:r>
      <w:r>
        <w:rPr>
          <w:rFonts w:hint="eastAsia" w:ascii="仿宋_GB2312" w:hAnsi="仿宋" w:eastAsia="仿宋_GB2312" w:cs="仿宋_GB2312"/>
          <w:b w:val="0"/>
          <w:bCs w:val="0"/>
          <w:color w:val="000000"/>
        </w:rPr>
        <w:t>万元，其中：一般公共预算财政拨款收入</w:t>
      </w:r>
      <w:r>
        <w:rPr>
          <w:rFonts w:ascii="仿宋_GB2312" w:hAnsi="仿宋" w:eastAsia="仿宋_GB2312" w:cs="仿宋_GB2312"/>
          <w:b w:val="0"/>
          <w:bCs w:val="0"/>
          <w:color w:val="000000"/>
        </w:rPr>
        <w:t>113.84</w:t>
      </w:r>
      <w:r>
        <w:rPr>
          <w:rFonts w:hint="eastAsia" w:ascii="仿宋_GB2312" w:hAnsi="仿宋" w:eastAsia="仿宋_GB2312" w:cs="仿宋_GB2312"/>
          <w:b w:val="0"/>
          <w:bCs w:val="0"/>
          <w:color w:val="000000"/>
        </w:rPr>
        <w:t>万元，占</w:t>
      </w:r>
      <w:r>
        <w:rPr>
          <w:rFonts w:ascii="仿宋_GB2312" w:hAnsi="仿宋" w:eastAsia="仿宋_GB2312" w:cs="仿宋_GB2312"/>
          <w:b w:val="0"/>
          <w:bCs w:val="0"/>
          <w:color w:val="000000"/>
        </w:rPr>
        <w:t>100%</w:t>
      </w:r>
      <w:r>
        <w:rPr>
          <w:rFonts w:hint="eastAsia" w:ascii="仿宋_GB2312" w:hAnsi="仿宋" w:eastAsia="仿宋_GB2312" w:cs="仿宋_GB2312"/>
          <w:b w:val="0"/>
          <w:bCs w:val="0"/>
          <w:color w:val="000000"/>
        </w:rPr>
        <w:t>。</w:t>
      </w:r>
      <w:bookmarkEnd w:id="26"/>
      <w:bookmarkStart w:id="27" w:name="_Toc15396605"/>
      <w:bookmarkStart w:id="28" w:name="_Toc15377207"/>
    </w:p>
    <w:p>
      <w:pPr>
        <w:ind w:firstLine="0" w:firstLineChars="0"/>
        <w:jc w:val="center"/>
        <w:outlineLvl w:val="1"/>
        <w:rPr>
          <w:rFonts w:ascii="仿宋_GB2312" w:hAnsi="仿宋" w:eastAsia="仿宋_GB2312"/>
          <w:b w:val="0"/>
          <w:bCs w:val="0"/>
          <w:color w:val="000000"/>
        </w:rPr>
      </w:pPr>
      <w:r>
        <w:rPr>
          <w:rFonts w:ascii="仿宋_GB2312" w:hAnsi="仿宋" w:eastAsia="仿宋_GB2312"/>
          <w:b w:val="0"/>
          <w:bCs w:val="0"/>
          <w:color w:val="000000"/>
        </w:rPr>
        <w:object>
          <v:shape id="_x0000_i1026" o:spt="75" type="#_x0000_t75" style="height:210pt;width:381pt;" o:ole="t" filled="f" o:preferrelative="t" stroked="f" coordsize="21600,21600">
            <v:path/>
            <v:fill on="f" focussize="0,0"/>
            <v:stroke on="f" joinstyle="miter"/>
            <v:imagedata r:id="rId13" cropbottom="-31f" o:title=""/>
            <o:lock v:ext="edit" aspectratio="f"/>
            <w10:wrap type="none"/>
            <w10:anchorlock/>
          </v:shape>
          <o:OLEObject Type="Embed" ProgID="Excel.Chart.8" ShapeID="_x0000_i1026" DrawAspect="Content" ObjectID="_1468075726" r:id="rId12">
            <o:LockedField>false</o:LockedField>
          </o:OLEObject>
        </w:object>
      </w:r>
    </w:p>
    <w:p>
      <w:pPr>
        <w:pStyle w:val="3"/>
        <w:ind w:firstLine="640"/>
        <w:rPr>
          <w:rFonts w:hint="eastAsia" w:ascii="黑体" w:hAnsi="黑体" w:eastAsia="黑体" w:cs="黑体"/>
          <w:b w:val="0"/>
          <w:bCs w:val="0"/>
          <w:color w:val="000000"/>
        </w:rPr>
      </w:pPr>
      <w:bookmarkStart w:id="29" w:name="_Toc20222277"/>
      <w:r>
        <w:rPr>
          <w:rFonts w:hint="eastAsia" w:ascii="黑体" w:hAnsi="黑体" w:eastAsia="黑体" w:cs="黑体"/>
          <w:b w:val="0"/>
          <w:bCs w:val="0"/>
          <w:color w:val="000000"/>
        </w:rPr>
        <w:t>三、支</w:t>
      </w:r>
      <w:r>
        <w:rPr>
          <w:rStyle w:val="18"/>
          <w:rFonts w:hint="eastAsia" w:ascii="黑体" w:hAnsi="黑体" w:eastAsia="黑体" w:cs="黑体"/>
          <w:b w:val="0"/>
          <w:bCs w:val="0"/>
        </w:rPr>
        <w:t>出决算情况说明</w:t>
      </w:r>
      <w:bookmarkEnd w:id="27"/>
      <w:bookmarkEnd w:id="28"/>
      <w:bookmarkEnd w:id="29"/>
    </w:p>
    <w:p>
      <w:pPr>
        <w:spacing w:line="576" w:lineRule="exact"/>
        <w:ind w:firstLine="640"/>
        <w:rPr>
          <w:rFonts w:ascii="仿宋_GB2312" w:hAnsi="仿宋" w:eastAsia="仿宋_GB2312"/>
          <w:b w:val="0"/>
          <w:bCs w:val="0"/>
          <w:color w:val="000000"/>
        </w:rPr>
      </w:pPr>
      <w:r>
        <w:rPr>
          <w:rFonts w:ascii="仿宋_GB2312" w:hAnsi="仿宋" w:eastAsia="仿宋_GB2312" w:cs="仿宋_GB2312"/>
          <w:b w:val="0"/>
          <w:bCs w:val="0"/>
          <w:color w:val="000000"/>
        </w:rPr>
        <w:t>2018</w:t>
      </w:r>
      <w:r>
        <w:rPr>
          <w:rFonts w:hint="eastAsia" w:ascii="仿宋_GB2312" w:hAnsi="仿宋" w:eastAsia="仿宋_GB2312" w:cs="仿宋_GB2312"/>
          <w:b w:val="0"/>
          <w:bCs w:val="0"/>
          <w:color w:val="000000"/>
        </w:rPr>
        <w:t>年本年支出合计</w:t>
      </w:r>
      <w:r>
        <w:rPr>
          <w:rFonts w:ascii="仿宋_GB2312" w:hAnsi="仿宋" w:eastAsia="仿宋_GB2312" w:cs="仿宋_GB2312"/>
          <w:b w:val="0"/>
          <w:bCs w:val="0"/>
          <w:color w:val="000000"/>
        </w:rPr>
        <w:t>113.84</w:t>
      </w:r>
      <w:r>
        <w:rPr>
          <w:rFonts w:hint="eastAsia" w:ascii="仿宋_GB2312" w:hAnsi="仿宋" w:eastAsia="仿宋_GB2312" w:cs="仿宋_GB2312"/>
          <w:b w:val="0"/>
          <w:bCs w:val="0"/>
          <w:color w:val="000000"/>
        </w:rPr>
        <w:t>万元，其中：基本支出</w:t>
      </w:r>
      <w:r>
        <w:rPr>
          <w:rFonts w:ascii="仿宋_GB2312" w:hAnsi="仿宋" w:eastAsia="仿宋_GB2312" w:cs="仿宋_GB2312"/>
          <w:b w:val="0"/>
          <w:bCs w:val="0"/>
          <w:color w:val="000000"/>
        </w:rPr>
        <w:t>113.84</w:t>
      </w:r>
      <w:r>
        <w:rPr>
          <w:rFonts w:hint="eastAsia" w:ascii="仿宋_GB2312" w:hAnsi="仿宋" w:eastAsia="仿宋_GB2312" w:cs="仿宋_GB2312"/>
          <w:b w:val="0"/>
          <w:bCs w:val="0"/>
          <w:color w:val="000000"/>
        </w:rPr>
        <w:t>万元，占</w:t>
      </w:r>
      <w:r>
        <w:rPr>
          <w:rFonts w:ascii="仿宋_GB2312" w:hAnsi="仿宋" w:eastAsia="仿宋_GB2312" w:cs="仿宋_GB2312"/>
          <w:b w:val="0"/>
          <w:bCs w:val="0"/>
          <w:color w:val="000000"/>
        </w:rPr>
        <w:t>100%</w:t>
      </w:r>
      <w:r>
        <w:rPr>
          <w:rFonts w:hint="eastAsia" w:ascii="仿宋_GB2312" w:hAnsi="仿宋" w:eastAsia="仿宋_GB2312" w:cs="仿宋_GB2312"/>
          <w:b w:val="0"/>
          <w:bCs w:val="0"/>
          <w:color w:val="000000"/>
        </w:rPr>
        <w:t>。</w:t>
      </w:r>
    </w:p>
    <w:p>
      <w:pPr>
        <w:ind w:firstLine="0" w:firstLineChars="0"/>
        <w:rPr>
          <w:rFonts w:ascii="仿宋_GB2312" w:hAnsi="仿宋" w:eastAsia="仿宋_GB2312"/>
          <w:b w:val="0"/>
          <w:bCs w:val="0"/>
          <w:color w:val="000000"/>
        </w:rPr>
      </w:pPr>
      <w:r>
        <w:rPr>
          <w:rFonts w:ascii="仿宋_GB2312" w:hAnsi="仿宋" w:eastAsia="仿宋_GB2312"/>
          <w:b w:val="0"/>
          <w:bCs w:val="0"/>
          <w:color w:val="000000"/>
        </w:rPr>
        <w:object>
          <v:shape id="_x0000_i1027" o:spt="75" type="#_x0000_t75" style="height:235.5pt;width:405.75pt;" o:ole="t" filled="f" o:preferrelative="t" stroked="f" coordsize="21600,21600">
            <v:path/>
            <v:fill on="f" focussize="0,0"/>
            <v:stroke on="f" joinstyle="miter"/>
            <v:imagedata r:id="rId15" o:title=""/>
            <o:lock v:ext="edit" aspectratio="f"/>
            <w10:wrap type="none"/>
            <w10:anchorlock/>
          </v:shape>
          <o:OLEObject Type="Embed" ProgID="Excel.Chart.8" ShapeID="_x0000_i1027" DrawAspect="Content" ObjectID="_1468075727" r:id="rId14">
            <o:LockedField>false</o:LockedField>
          </o:OLEObject>
        </w:object>
      </w:r>
    </w:p>
    <w:p>
      <w:pPr>
        <w:pStyle w:val="3"/>
        <w:ind w:firstLine="640"/>
        <w:rPr>
          <w:rStyle w:val="18"/>
          <w:rFonts w:cs="Times New Roman"/>
        </w:rPr>
      </w:pPr>
      <w:bookmarkStart w:id="30" w:name="_Toc20222278"/>
      <w:r>
        <w:rPr>
          <w:rStyle w:val="18"/>
          <w:rFonts w:hint="eastAsia" w:cs="黑体"/>
        </w:rPr>
        <w:t>四、财政拨款收入支出决算总体情况说明</w:t>
      </w:r>
      <w:bookmarkEnd w:id="30"/>
    </w:p>
    <w:p>
      <w:pPr>
        <w:spacing w:line="576" w:lineRule="exact"/>
        <w:ind w:firstLine="640"/>
        <w:rPr>
          <w:rStyle w:val="18"/>
          <w:rFonts w:ascii="仿宋_GB2312" w:hAnsi="黑体" w:eastAsia="仿宋_GB2312" w:cs="Times New Roman"/>
          <w:b w:val="0"/>
          <w:bCs w:val="0"/>
        </w:rPr>
      </w:pPr>
      <w:bookmarkStart w:id="31" w:name="_Toc20222279"/>
      <w:r>
        <w:rPr>
          <w:rStyle w:val="18"/>
          <w:rFonts w:ascii="仿宋_GB2312" w:hAnsi="黑体" w:eastAsia="仿宋_GB2312" w:cs="仿宋_GB2312"/>
          <w:b w:val="0"/>
          <w:bCs w:val="0"/>
        </w:rPr>
        <w:t>2</w:t>
      </w:r>
      <w:bookmarkEnd w:id="31"/>
      <w:r>
        <w:rPr>
          <w:rFonts w:ascii="仿宋_GB2312" w:hAnsi="仿宋" w:eastAsia="仿宋_GB2312" w:cs="仿宋_GB2312"/>
          <w:b w:val="0"/>
          <w:bCs w:val="0"/>
          <w:color w:val="000000"/>
        </w:rPr>
        <w:t>018</w:t>
      </w:r>
      <w:r>
        <w:rPr>
          <w:rFonts w:hint="eastAsia" w:ascii="仿宋_GB2312" w:hAnsi="仿宋" w:eastAsia="仿宋_GB2312" w:cs="仿宋_GB2312"/>
          <w:b w:val="0"/>
          <w:bCs w:val="0"/>
          <w:color w:val="000000"/>
        </w:rPr>
        <w:t>年财政拨款收、支总计</w:t>
      </w:r>
      <w:r>
        <w:rPr>
          <w:rFonts w:ascii="仿宋_GB2312" w:hAnsi="仿宋" w:eastAsia="仿宋_GB2312" w:cs="仿宋_GB2312"/>
          <w:b w:val="0"/>
          <w:bCs w:val="0"/>
          <w:color w:val="000000"/>
        </w:rPr>
        <w:t>113.84</w:t>
      </w:r>
      <w:r>
        <w:rPr>
          <w:rFonts w:hint="eastAsia" w:ascii="仿宋_GB2312" w:hAnsi="仿宋" w:eastAsia="仿宋_GB2312" w:cs="仿宋_GB2312"/>
          <w:b w:val="0"/>
          <w:bCs w:val="0"/>
          <w:color w:val="000000"/>
        </w:rPr>
        <w:t>万元。与</w:t>
      </w:r>
      <w:r>
        <w:rPr>
          <w:rFonts w:ascii="仿宋_GB2312" w:hAnsi="仿宋" w:eastAsia="仿宋_GB2312" w:cs="仿宋_GB2312"/>
          <w:b w:val="0"/>
          <w:bCs w:val="0"/>
          <w:color w:val="000000"/>
        </w:rPr>
        <w:t>2017</w:t>
      </w:r>
      <w:r>
        <w:rPr>
          <w:rFonts w:hint="eastAsia" w:ascii="仿宋_GB2312" w:hAnsi="仿宋" w:eastAsia="仿宋_GB2312" w:cs="仿宋_GB2312"/>
          <w:b w:val="0"/>
          <w:bCs w:val="0"/>
          <w:color w:val="000000"/>
        </w:rPr>
        <w:t>年相比，财政拨款收、支总计各增加</w:t>
      </w:r>
      <w:r>
        <w:rPr>
          <w:rFonts w:ascii="仿宋_GB2312" w:hAnsi="仿宋" w:eastAsia="仿宋_GB2312" w:cs="仿宋_GB2312"/>
          <w:b w:val="0"/>
          <w:bCs w:val="0"/>
          <w:color w:val="000000"/>
        </w:rPr>
        <w:t>16.24</w:t>
      </w:r>
      <w:r>
        <w:rPr>
          <w:rFonts w:hint="eastAsia" w:ascii="仿宋_GB2312" w:hAnsi="仿宋" w:eastAsia="仿宋_GB2312" w:cs="仿宋_GB2312"/>
          <w:b w:val="0"/>
          <w:bCs w:val="0"/>
          <w:color w:val="000000"/>
        </w:rPr>
        <w:t>万元，增长</w:t>
      </w:r>
      <w:r>
        <w:rPr>
          <w:rFonts w:ascii="仿宋_GB2312" w:hAnsi="仿宋" w:eastAsia="仿宋_GB2312" w:cs="仿宋_GB2312"/>
          <w:b w:val="0"/>
          <w:bCs w:val="0"/>
          <w:color w:val="000000"/>
        </w:rPr>
        <w:t>14.27%</w:t>
      </w:r>
      <w:r>
        <w:rPr>
          <w:rFonts w:hint="eastAsia" w:ascii="仿宋_GB2312" w:hAnsi="仿宋" w:eastAsia="仿宋_GB2312" w:cs="仿宋_GB2312"/>
          <w:b w:val="0"/>
          <w:bCs w:val="0"/>
          <w:color w:val="000000"/>
        </w:rPr>
        <w:t>。主要变动原因是工资增加</w:t>
      </w:r>
      <w:r>
        <w:rPr>
          <w:rStyle w:val="18"/>
          <w:rFonts w:hint="eastAsia" w:ascii="仿宋_GB2312" w:hAnsi="黑体" w:eastAsia="仿宋_GB2312" w:cs="仿宋_GB2312"/>
          <w:b w:val="0"/>
          <w:bCs w:val="0"/>
        </w:rPr>
        <w:t>。</w:t>
      </w:r>
    </w:p>
    <w:p>
      <w:pPr>
        <w:ind w:firstLine="0" w:firstLineChars="0"/>
        <w:rPr>
          <w:rStyle w:val="18"/>
          <w:rFonts w:ascii="仿宋_GB2312" w:hAnsi="黑体" w:eastAsia="仿宋_GB2312" w:cs="Times New Roman"/>
          <w:b w:val="0"/>
          <w:bCs w:val="0"/>
        </w:rPr>
      </w:pPr>
      <w:r>
        <w:rPr>
          <w:rFonts w:ascii="仿宋_GB2312" w:hAnsi="黑体" w:eastAsia="仿宋_GB2312"/>
          <w:b w:val="0"/>
          <w:bCs w:val="0"/>
        </w:rPr>
        <w:object>
          <v:shape id="_x0000_i1028" o:spt="75" type="#_x0000_t75" style="height:243pt;width:417pt;" o:ole="t" filled="f" o:preferrelative="t" stroked="f" coordsize="21600,21600">
            <v:path/>
            <v:fill on="f" focussize="0,0"/>
            <v:stroke on="f" joinstyle="miter"/>
            <v:imagedata r:id="rId17" o:title=""/>
            <o:lock v:ext="edit" aspectratio="f"/>
            <w10:wrap type="none"/>
            <w10:anchorlock/>
          </v:shape>
          <o:OLEObject Type="Embed" ProgID="Excel.Chart.8" ShapeID="_x0000_i1028" DrawAspect="Content" ObjectID="_1468075728" r:id="rId16">
            <o:LockedField>false</o:LockedField>
          </o:OLEObject>
        </w:object>
      </w:r>
    </w:p>
    <w:p>
      <w:pPr>
        <w:pStyle w:val="3"/>
        <w:ind w:firstLine="640"/>
        <w:rPr>
          <w:rFonts w:cs="Times New Roman"/>
        </w:rPr>
      </w:pPr>
      <w:bookmarkStart w:id="32" w:name="_Toc20222280"/>
      <w:r>
        <w:rPr>
          <w:rStyle w:val="18"/>
          <w:rFonts w:hint="eastAsia" w:cs="黑体"/>
        </w:rPr>
        <w:t>五、</w:t>
      </w:r>
      <w:r>
        <w:rPr>
          <w:rFonts w:hint="eastAsia" w:cs="黑体"/>
        </w:rPr>
        <w:t>一</w:t>
      </w:r>
      <w:r>
        <w:rPr>
          <w:rStyle w:val="18"/>
          <w:rFonts w:hint="eastAsia" w:cs="黑体"/>
        </w:rPr>
        <w:t>般公共预算财政拨款支出决算情况说明</w:t>
      </w:r>
      <w:bookmarkEnd w:id="32"/>
    </w:p>
    <w:p>
      <w:pPr>
        <w:spacing w:line="576" w:lineRule="exact"/>
        <w:ind w:firstLine="565" w:firstLineChars="176"/>
        <w:rPr>
          <w:rFonts w:ascii="楷体_GB2312" w:hAnsi="楷体" w:cs="楷体"/>
        </w:rPr>
      </w:pPr>
      <w:r>
        <w:rPr>
          <w:rFonts w:ascii="仿宋_GB2312" w:eastAsia="仿宋_GB2312" w:cs="仿宋_GB2312"/>
        </w:rPr>
        <w:t xml:space="preserve"> </w:t>
      </w:r>
      <w:r>
        <w:rPr>
          <w:rFonts w:hint="eastAsia" w:ascii="楷体_GB2312" w:hAnsi="楷体" w:cs="楷体"/>
        </w:rPr>
        <w:t>（一）一</w:t>
      </w:r>
      <w:r>
        <w:rPr>
          <w:rFonts w:ascii="楷体_GB2312" w:hAnsi="楷体" w:cs="楷体"/>
        </w:rPr>
        <w:t xml:space="preserve"> </w:t>
      </w:r>
      <w:r>
        <w:rPr>
          <w:rFonts w:hint="eastAsia" w:ascii="楷体_GB2312" w:hAnsi="楷体" w:cs="楷体"/>
          <w:color w:val="000000"/>
        </w:rPr>
        <w:t>般公共预算财政拨款支出决算总体情况</w:t>
      </w:r>
      <w:r>
        <w:rPr>
          <w:rFonts w:ascii="楷体_GB2312" w:hAnsi="楷体" w:cs="楷体"/>
        </w:rPr>
        <w:t xml:space="preserve">    </w:t>
      </w:r>
    </w:p>
    <w:p>
      <w:pPr>
        <w:spacing w:line="576" w:lineRule="exact"/>
        <w:ind w:firstLine="640"/>
        <w:rPr>
          <w:rFonts w:ascii="仿宋_GB2312" w:hAnsi="仿宋" w:eastAsia="仿宋_GB2312"/>
          <w:b w:val="0"/>
          <w:bCs w:val="0"/>
          <w:color w:val="000000"/>
        </w:rPr>
      </w:pPr>
      <w:r>
        <w:rPr>
          <w:rFonts w:ascii="仿宋_GB2312" w:hAnsi="仿宋" w:eastAsia="仿宋_GB2312" w:cs="仿宋_GB2312"/>
          <w:b w:val="0"/>
          <w:bCs w:val="0"/>
          <w:color w:val="000000"/>
        </w:rPr>
        <w:t>2018</w:t>
      </w:r>
      <w:r>
        <w:rPr>
          <w:rFonts w:hint="eastAsia" w:ascii="仿宋_GB2312" w:hAnsi="仿宋" w:eastAsia="仿宋_GB2312" w:cs="仿宋_GB2312"/>
          <w:b w:val="0"/>
          <w:bCs w:val="0"/>
          <w:color w:val="000000"/>
        </w:rPr>
        <w:t>年一般公共预算财政拨款支出</w:t>
      </w:r>
      <w:r>
        <w:rPr>
          <w:rFonts w:ascii="仿宋_GB2312" w:hAnsi="仿宋" w:eastAsia="仿宋_GB2312" w:cs="仿宋_GB2312"/>
          <w:b w:val="0"/>
          <w:bCs w:val="0"/>
          <w:color w:val="000000"/>
        </w:rPr>
        <w:t>113.84</w:t>
      </w:r>
      <w:r>
        <w:rPr>
          <w:rFonts w:hint="eastAsia" w:ascii="仿宋_GB2312" w:hAnsi="仿宋" w:eastAsia="仿宋_GB2312" w:cs="仿宋_GB2312"/>
          <w:b w:val="0"/>
          <w:bCs w:val="0"/>
          <w:color w:val="000000"/>
        </w:rPr>
        <w:t>万元，占本年支出合计的</w:t>
      </w:r>
      <w:r>
        <w:rPr>
          <w:rFonts w:ascii="仿宋_GB2312" w:hAnsi="仿宋" w:eastAsia="仿宋_GB2312" w:cs="仿宋_GB2312"/>
          <w:b w:val="0"/>
          <w:bCs w:val="0"/>
          <w:color w:val="000000"/>
        </w:rPr>
        <w:t>100%</w:t>
      </w:r>
      <w:r>
        <w:rPr>
          <w:rFonts w:hint="eastAsia" w:ascii="仿宋_GB2312" w:hAnsi="仿宋" w:eastAsia="仿宋_GB2312" w:cs="仿宋_GB2312"/>
          <w:b w:val="0"/>
          <w:bCs w:val="0"/>
          <w:color w:val="000000"/>
        </w:rPr>
        <w:t>。与</w:t>
      </w:r>
      <w:r>
        <w:rPr>
          <w:rFonts w:ascii="仿宋_GB2312" w:hAnsi="仿宋" w:eastAsia="仿宋_GB2312" w:cs="仿宋_GB2312"/>
          <w:b w:val="0"/>
          <w:bCs w:val="0"/>
          <w:color w:val="000000"/>
        </w:rPr>
        <w:t>2017</w:t>
      </w:r>
      <w:r>
        <w:rPr>
          <w:rFonts w:hint="eastAsia" w:ascii="仿宋_GB2312" w:hAnsi="仿宋" w:eastAsia="仿宋_GB2312" w:cs="仿宋_GB2312"/>
          <w:b w:val="0"/>
          <w:bCs w:val="0"/>
          <w:color w:val="000000"/>
        </w:rPr>
        <w:t>年相比，一般公共预算财政拨款增加</w:t>
      </w:r>
      <w:r>
        <w:rPr>
          <w:rFonts w:ascii="仿宋_GB2312" w:hAnsi="仿宋" w:eastAsia="仿宋_GB2312" w:cs="仿宋_GB2312"/>
          <w:b w:val="0"/>
          <w:bCs w:val="0"/>
          <w:color w:val="000000"/>
        </w:rPr>
        <w:t>16.24</w:t>
      </w:r>
      <w:r>
        <w:rPr>
          <w:rFonts w:hint="eastAsia" w:ascii="仿宋_GB2312" w:hAnsi="仿宋" w:eastAsia="仿宋_GB2312" w:cs="仿宋_GB2312"/>
          <w:b w:val="0"/>
          <w:bCs w:val="0"/>
          <w:color w:val="000000"/>
        </w:rPr>
        <w:t>万元，增长</w:t>
      </w:r>
      <w:r>
        <w:rPr>
          <w:rFonts w:ascii="仿宋_GB2312" w:hAnsi="仿宋" w:eastAsia="仿宋_GB2312" w:cs="仿宋_GB2312"/>
          <w:b w:val="0"/>
          <w:bCs w:val="0"/>
          <w:color w:val="000000"/>
        </w:rPr>
        <w:t>14.27%</w:t>
      </w:r>
      <w:r>
        <w:rPr>
          <w:rFonts w:hint="eastAsia" w:ascii="仿宋_GB2312" w:hAnsi="仿宋" w:eastAsia="仿宋_GB2312" w:cs="仿宋_GB2312"/>
          <w:b w:val="0"/>
          <w:bCs w:val="0"/>
          <w:color w:val="000000"/>
        </w:rPr>
        <w:t>，主要变动原因是工资增加。</w:t>
      </w:r>
    </w:p>
    <w:p>
      <w:pPr>
        <w:spacing w:line="576" w:lineRule="exact"/>
        <w:ind w:firstLine="643"/>
        <w:rPr>
          <w:rFonts w:ascii="楷体_GB2312" w:hAnsi="楷体"/>
          <w:color w:val="000000"/>
        </w:rPr>
      </w:pPr>
      <w:r>
        <w:rPr>
          <w:rFonts w:hint="eastAsia" w:ascii="楷体_GB2312" w:hAnsi="楷体" w:cs="楷体"/>
          <w:color w:val="000000"/>
        </w:rPr>
        <w:t>（二）一般公共预算财政拨款支出决算结构情况</w:t>
      </w:r>
    </w:p>
    <w:p>
      <w:pPr>
        <w:spacing w:line="576" w:lineRule="exact"/>
        <w:ind w:firstLine="480" w:firstLineChars="150"/>
        <w:rPr>
          <w:rFonts w:ascii="仿宋_GB2312" w:hAnsi="仿宋" w:eastAsia="仿宋_GB2312"/>
          <w:b w:val="0"/>
          <w:bCs w:val="0"/>
          <w:color w:val="000000"/>
        </w:rPr>
      </w:pPr>
      <w:r>
        <w:rPr>
          <w:rFonts w:ascii="仿宋_GB2312" w:hAnsi="仿宋" w:eastAsia="仿宋_GB2312" w:cs="仿宋_GB2312"/>
          <w:b w:val="0"/>
          <w:bCs w:val="0"/>
          <w:color w:val="000000"/>
        </w:rPr>
        <w:t>2018</w:t>
      </w:r>
      <w:r>
        <w:rPr>
          <w:rFonts w:hint="eastAsia" w:ascii="仿宋_GB2312" w:hAnsi="仿宋" w:eastAsia="仿宋_GB2312" w:cs="仿宋_GB2312"/>
          <w:b w:val="0"/>
          <w:bCs w:val="0"/>
          <w:color w:val="000000"/>
        </w:rPr>
        <w:t>年一般公共预算财政拨款支出</w:t>
      </w:r>
      <w:r>
        <w:rPr>
          <w:rFonts w:ascii="仿宋_GB2312" w:hAnsi="仿宋" w:eastAsia="仿宋_GB2312" w:cs="仿宋_GB2312"/>
          <w:b w:val="0"/>
          <w:bCs w:val="0"/>
          <w:color w:val="000000"/>
        </w:rPr>
        <w:t>113.84</w:t>
      </w:r>
      <w:r>
        <w:rPr>
          <w:rFonts w:hint="eastAsia" w:ascii="仿宋_GB2312" w:hAnsi="仿宋" w:eastAsia="仿宋_GB2312" w:cs="仿宋_GB2312"/>
          <w:b w:val="0"/>
          <w:bCs w:val="0"/>
          <w:color w:val="000000"/>
        </w:rPr>
        <w:t>万元，主要用于以下方面</w:t>
      </w:r>
      <w:r>
        <w:rPr>
          <w:rFonts w:ascii="仿宋_GB2312" w:hAnsi="仿宋" w:eastAsia="仿宋_GB2312" w:cs="仿宋_GB2312"/>
          <w:b w:val="0"/>
          <w:bCs w:val="0"/>
          <w:color w:val="000000"/>
        </w:rPr>
        <w:t>:</w:t>
      </w:r>
      <w:r>
        <w:rPr>
          <w:rFonts w:hint="eastAsia" w:ascii="仿宋_GB2312" w:hAnsi="仿宋" w:eastAsia="仿宋_GB2312" w:cs="仿宋_GB2312"/>
          <w:b w:val="0"/>
          <w:bCs w:val="0"/>
          <w:color w:val="000000"/>
        </w:rPr>
        <w:t>一般公共服务（类）支出</w:t>
      </w:r>
      <w:r>
        <w:rPr>
          <w:rFonts w:ascii="仿宋_GB2312" w:hAnsi="仿宋" w:eastAsia="仿宋_GB2312" w:cs="仿宋_GB2312"/>
          <w:b w:val="0"/>
          <w:bCs w:val="0"/>
          <w:color w:val="000000"/>
        </w:rPr>
        <w:t>81.62</w:t>
      </w:r>
      <w:r>
        <w:rPr>
          <w:rFonts w:hint="eastAsia" w:ascii="仿宋_GB2312" w:hAnsi="仿宋" w:eastAsia="仿宋_GB2312" w:cs="仿宋_GB2312"/>
          <w:b w:val="0"/>
          <w:bCs w:val="0"/>
          <w:color w:val="000000"/>
        </w:rPr>
        <w:t>万元，占</w:t>
      </w:r>
      <w:r>
        <w:rPr>
          <w:rFonts w:ascii="仿宋_GB2312" w:hAnsi="仿宋" w:eastAsia="仿宋_GB2312" w:cs="仿宋_GB2312"/>
          <w:b w:val="0"/>
          <w:bCs w:val="0"/>
          <w:color w:val="000000"/>
        </w:rPr>
        <w:t>71.69%</w:t>
      </w:r>
      <w:r>
        <w:rPr>
          <w:rFonts w:hint="eastAsia" w:ascii="仿宋_GB2312" w:hAnsi="仿宋" w:eastAsia="仿宋_GB2312" w:cs="仿宋_GB2312"/>
          <w:b w:val="0"/>
          <w:bCs w:val="0"/>
          <w:color w:val="000000"/>
        </w:rPr>
        <w:t>；社会保障和就业（类）支出</w:t>
      </w:r>
      <w:r>
        <w:rPr>
          <w:rFonts w:ascii="仿宋_GB2312" w:hAnsi="仿宋" w:eastAsia="仿宋_GB2312" w:cs="仿宋_GB2312"/>
          <w:b w:val="0"/>
          <w:bCs w:val="0"/>
          <w:color w:val="000000"/>
        </w:rPr>
        <w:t>17.48</w:t>
      </w:r>
      <w:r>
        <w:rPr>
          <w:rFonts w:hint="eastAsia" w:ascii="仿宋_GB2312" w:hAnsi="仿宋" w:eastAsia="仿宋_GB2312" w:cs="仿宋_GB2312"/>
          <w:b w:val="0"/>
          <w:bCs w:val="0"/>
          <w:color w:val="000000"/>
        </w:rPr>
        <w:t>万元，占</w:t>
      </w:r>
      <w:r>
        <w:rPr>
          <w:rFonts w:ascii="仿宋_GB2312" w:hAnsi="仿宋" w:eastAsia="仿宋_GB2312" w:cs="仿宋_GB2312"/>
          <w:b w:val="0"/>
          <w:bCs w:val="0"/>
          <w:color w:val="000000"/>
        </w:rPr>
        <w:t>15.35%</w:t>
      </w:r>
      <w:r>
        <w:rPr>
          <w:rFonts w:hint="eastAsia" w:ascii="仿宋_GB2312" w:hAnsi="仿宋" w:eastAsia="仿宋_GB2312" w:cs="仿宋_GB2312"/>
          <w:b w:val="0"/>
          <w:bCs w:val="0"/>
          <w:color w:val="000000"/>
        </w:rPr>
        <w:t>；医疗卫生支出（类）</w:t>
      </w:r>
      <w:r>
        <w:rPr>
          <w:rFonts w:ascii="仿宋_GB2312" w:hAnsi="仿宋" w:eastAsia="仿宋_GB2312" w:cs="仿宋_GB2312"/>
          <w:b w:val="0"/>
          <w:bCs w:val="0"/>
          <w:color w:val="000000"/>
        </w:rPr>
        <w:t>6.06</w:t>
      </w:r>
      <w:r>
        <w:rPr>
          <w:rFonts w:hint="eastAsia" w:ascii="仿宋_GB2312" w:hAnsi="仿宋" w:eastAsia="仿宋_GB2312" w:cs="仿宋_GB2312"/>
          <w:b w:val="0"/>
          <w:bCs w:val="0"/>
          <w:color w:val="000000"/>
        </w:rPr>
        <w:t>万元，占</w:t>
      </w:r>
      <w:r>
        <w:rPr>
          <w:rFonts w:ascii="仿宋_GB2312" w:hAnsi="仿宋" w:eastAsia="仿宋_GB2312" w:cs="仿宋_GB2312"/>
          <w:b w:val="0"/>
          <w:bCs w:val="0"/>
          <w:color w:val="000000"/>
        </w:rPr>
        <w:t>5.32%</w:t>
      </w:r>
      <w:r>
        <w:rPr>
          <w:rFonts w:hint="eastAsia" w:ascii="仿宋_GB2312" w:hAnsi="仿宋" w:eastAsia="仿宋_GB2312" w:cs="仿宋_GB2312"/>
          <w:b w:val="0"/>
          <w:bCs w:val="0"/>
          <w:color w:val="000000"/>
        </w:rPr>
        <w:t>；住房保障支出（类）</w:t>
      </w:r>
      <w:r>
        <w:rPr>
          <w:rFonts w:ascii="仿宋_GB2312" w:hAnsi="仿宋" w:eastAsia="仿宋_GB2312" w:cs="仿宋_GB2312"/>
          <w:b w:val="0"/>
          <w:bCs w:val="0"/>
          <w:color w:val="000000"/>
        </w:rPr>
        <w:t>8.68</w:t>
      </w:r>
      <w:r>
        <w:rPr>
          <w:rFonts w:hint="eastAsia" w:ascii="仿宋_GB2312" w:hAnsi="仿宋" w:eastAsia="仿宋_GB2312" w:cs="仿宋_GB2312"/>
          <w:b w:val="0"/>
          <w:bCs w:val="0"/>
          <w:color w:val="000000"/>
        </w:rPr>
        <w:t>万元，占</w:t>
      </w:r>
      <w:r>
        <w:rPr>
          <w:rFonts w:ascii="仿宋_GB2312" w:hAnsi="仿宋" w:eastAsia="仿宋_GB2312" w:cs="仿宋_GB2312"/>
          <w:b w:val="0"/>
          <w:bCs w:val="0"/>
          <w:color w:val="000000"/>
        </w:rPr>
        <w:t>7.62%</w:t>
      </w:r>
      <w:r>
        <w:rPr>
          <w:rFonts w:hint="eastAsia" w:ascii="仿宋_GB2312" w:hAnsi="仿宋" w:eastAsia="仿宋_GB2312" w:cs="仿宋_GB2312"/>
          <w:b w:val="0"/>
          <w:bCs w:val="0"/>
          <w:color w:val="000000"/>
        </w:rPr>
        <w:t>。</w:t>
      </w:r>
    </w:p>
    <w:p>
      <w:pPr>
        <w:ind w:firstLine="480" w:firstLineChars="150"/>
        <w:rPr>
          <w:rFonts w:ascii="仿宋_GB2312" w:hAnsi="仿宋" w:eastAsia="仿宋_GB2312"/>
          <w:b w:val="0"/>
          <w:bCs w:val="0"/>
          <w:color w:val="000000"/>
        </w:rPr>
      </w:pPr>
    </w:p>
    <w:p>
      <w:pPr>
        <w:ind w:firstLine="0" w:firstLineChars="0"/>
        <w:rPr>
          <w:rFonts w:ascii="仿宋_GB2312" w:hAnsi="仿宋" w:eastAsia="仿宋_GB2312"/>
          <w:b w:val="0"/>
          <w:bCs w:val="0"/>
          <w:color w:val="000000"/>
        </w:rPr>
      </w:pPr>
      <w:r>
        <w:rPr>
          <w:rFonts w:ascii="仿宋_GB2312" w:hAnsi="仿宋" w:eastAsia="仿宋_GB2312"/>
          <w:b w:val="0"/>
          <w:bCs w:val="0"/>
          <w:color w:val="000000"/>
        </w:rPr>
        <w:object>
          <v:shape id="_x0000_i1029" o:spt="75" type="#_x0000_t75" style="height:243pt;width:417pt;" o:ole="t" filled="f" o:preferrelative="t" stroked="f" coordsize="21600,21600">
            <v:path/>
            <v:fill on="f" focussize="0,0"/>
            <v:stroke on="f" joinstyle="miter"/>
            <v:imagedata r:id="rId19" o:title=""/>
            <o:lock v:ext="edit" aspectratio="f"/>
            <w10:wrap type="none"/>
            <w10:anchorlock/>
          </v:shape>
          <o:OLEObject Type="Embed" ProgID="Excel.Chart.8" ShapeID="_x0000_i1029" DrawAspect="Content" ObjectID="_1468075729" r:id="rId18">
            <o:LockedField>false</o:LockedField>
          </o:OLEObject>
        </w:object>
      </w:r>
    </w:p>
    <w:p>
      <w:pPr>
        <w:spacing w:line="576" w:lineRule="exact"/>
        <w:ind w:firstLine="643"/>
        <w:outlineLvl w:val="2"/>
        <w:rPr>
          <w:rFonts w:ascii="楷体_GB2312" w:hAnsi="仿宋"/>
          <w:color w:val="000000"/>
        </w:rPr>
      </w:pPr>
      <w:bookmarkStart w:id="33" w:name="_Toc20222281"/>
      <w:r>
        <w:rPr>
          <w:rFonts w:hint="eastAsia" w:ascii="楷体_GB2312" w:hAnsi="仿宋" w:cs="楷体_GB2312"/>
          <w:color w:val="000000"/>
        </w:rPr>
        <w:t>（三）一般公共预算财政拨款支出决算具体情况</w:t>
      </w:r>
      <w:bookmarkEnd w:id="33"/>
      <w:bookmarkStart w:id="34" w:name="_Toc15378460"/>
      <w:bookmarkStart w:id="35" w:name="_Toc15377213"/>
      <w:bookmarkStart w:id="36" w:name="_Toc15377444"/>
    </w:p>
    <w:p>
      <w:pPr>
        <w:spacing w:line="576" w:lineRule="exact"/>
        <w:ind w:firstLine="640"/>
        <w:outlineLvl w:val="2"/>
        <w:rPr>
          <w:rFonts w:ascii="仿宋_GB2312" w:hAnsi="仿宋" w:eastAsia="仿宋_GB2312"/>
          <w:color w:val="FF0000"/>
        </w:rPr>
      </w:pPr>
      <w:bookmarkStart w:id="37" w:name="_Toc20222282"/>
      <w:r>
        <w:rPr>
          <w:rFonts w:ascii="仿宋_GB2312" w:hAnsi="仿宋" w:eastAsia="仿宋_GB2312" w:cs="仿宋"/>
          <w:b w:val="0"/>
          <w:bCs w:val="0"/>
          <w:color w:val="000000"/>
        </w:rPr>
        <w:t>2018</w:t>
      </w:r>
      <w:r>
        <w:rPr>
          <w:rFonts w:hint="eastAsia" w:ascii="仿宋_GB2312" w:hAnsi="仿宋" w:eastAsia="仿宋_GB2312" w:cs="仿宋"/>
          <w:b w:val="0"/>
          <w:bCs w:val="0"/>
          <w:color w:val="000000"/>
        </w:rPr>
        <w:t>年一般公共预算支出决算数为</w:t>
      </w:r>
      <w:r>
        <w:rPr>
          <w:rFonts w:ascii="仿宋_GB2312" w:hAnsi="仿宋" w:eastAsia="仿宋_GB2312" w:cs="仿宋"/>
          <w:b w:val="0"/>
          <w:bCs w:val="0"/>
          <w:color w:val="000000"/>
        </w:rPr>
        <w:t>113.85</w:t>
      </w:r>
      <w:r>
        <w:rPr>
          <w:rFonts w:hint="eastAsia" w:ascii="仿宋_GB2312" w:hAnsi="仿宋" w:eastAsia="仿宋_GB2312" w:cs="仿宋"/>
          <w:color w:val="000000"/>
        </w:rPr>
        <w:t>，</w:t>
      </w:r>
      <w:r>
        <w:rPr>
          <w:rStyle w:val="15"/>
          <w:rFonts w:hint="eastAsia" w:ascii="仿宋_GB2312" w:hAnsi="仿宋" w:eastAsia="仿宋_GB2312" w:cs="仿宋"/>
          <w:b w:val="0"/>
          <w:bCs w:val="0"/>
          <w:color w:val="000000"/>
        </w:rPr>
        <w:t>完成预算</w:t>
      </w:r>
      <w:r>
        <w:rPr>
          <w:rStyle w:val="15"/>
          <w:rFonts w:ascii="仿宋_GB2312" w:hAnsi="仿宋" w:eastAsia="仿宋_GB2312" w:cs="仿宋"/>
          <w:b w:val="0"/>
          <w:bCs w:val="0"/>
          <w:color w:val="000000"/>
        </w:rPr>
        <w:t>100%</w:t>
      </w:r>
      <w:r>
        <w:rPr>
          <w:rStyle w:val="15"/>
          <w:rFonts w:hint="eastAsia" w:ascii="仿宋_GB2312" w:hAnsi="仿宋" w:eastAsia="仿宋_GB2312" w:cs="仿宋"/>
          <w:b w:val="0"/>
          <w:bCs w:val="0"/>
          <w:color w:val="000000"/>
        </w:rPr>
        <w:t>。其中：</w:t>
      </w:r>
      <w:bookmarkEnd w:id="34"/>
      <w:bookmarkEnd w:id="35"/>
      <w:bookmarkEnd w:id="36"/>
      <w:bookmarkEnd w:id="37"/>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Style w:val="15"/>
          <w:rFonts w:ascii="仿宋_GB2312" w:hAnsi="仿宋" w:eastAsia="仿宋_GB2312" w:cs="仿宋_GB2312"/>
          <w:b w:val="0"/>
          <w:bCs w:val="0"/>
          <w:color w:val="000000"/>
        </w:rPr>
      </w:pPr>
      <w:r>
        <w:rPr>
          <w:rStyle w:val="15"/>
          <w:rFonts w:ascii="仿宋_GB2312" w:hAnsi="仿宋" w:eastAsia="仿宋_GB2312" w:cs="仿宋_GB2312"/>
          <w:b w:val="0"/>
          <w:bCs w:val="0"/>
          <w:color w:val="000000"/>
        </w:rPr>
        <w:t>1.</w:t>
      </w:r>
      <w:r>
        <w:rPr>
          <w:rStyle w:val="15"/>
          <w:rFonts w:hint="eastAsia" w:ascii="仿宋_GB2312" w:hAnsi="仿宋" w:eastAsia="仿宋_GB2312" w:cs="仿宋_GB2312"/>
          <w:b w:val="0"/>
          <w:bCs w:val="0"/>
          <w:color w:val="000000"/>
        </w:rPr>
        <w:t>一般公共服务（类）民主党派及工商联事务（款）行政运行（项）</w:t>
      </w:r>
      <w:r>
        <w:rPr>
          <w:rStyle w:val="15"/>
          <w:rFonts w:ascii="仿宋_GB2312" w:hAnsi="仿宋" w:eastAsia="仿宋_GB2312" w:cs="仿宋_GB2312"/>
          <w:b w:val="0"/>
          <w:bCs w:val="0"/>
          <w:color w:val="000000"/>
        </w:rPr>
        <w:t xml:space="preserve">: </w:t>
      </w:r>
      <w:r>
        <w:rPr>
          <w:rStyle w:val="15"/>
          <w:rFonts w:hint="eastAsia" w:ascii="仿宋_GB2312" w:hAnsi="仿宋" w:eastAsia="仿宋_GB2312" w:cs="仿宋_GB2312"/>
          <w:b w:val="0"/>
          <w:bCs w:val="0"/>
          <w:color w:val="000000"/>
        </w:rPr>
        <w:t>支出决算为</w:t>
      </w:r>
      <w:r>
        <w:rPr>
          <w:rStyle w:val="15"/>
          <w:rFonts w:ascii="仿宋_GB2312" w:hAnsi="仿宋" w:eastAsia="仿宋_GB2312" w:cs="仿宋_GB2312"/>
          <w:b w:val="0"/>
          <w:bCs w:val="0"/>
          <w:color w:val="000000"/>
        </w:rPr>
        <w:t>81.62</w:t>
      </w:r>
      <w:r>
        <w:rPr>
          <w:rStyle w:val="15"/>
          <w:rFonts w:hint="eastAsia" w:ascii="仿宋_GB2312" w:hAnsi="仿宋" w:eastAsia="仿宋_GB2312" w:cs="仿宋_GB2312"/>
          <w:b w:val="0"/>
          <w:bCs w:val="0"/>
          <w:color w:val="000000"/>
        </w:rPr>
        <w:t>万元，完成预算</w:t>
      </w:r>
      <w:r>
        <w:rPr>
          <w:rStyle w:val="15"/>
          <w:rFonts w:ascii="仿宋_GB2312" w:hAnsi="仿宋" w:eastAsia="仿宋_GB2312" w:cs="仿宋_GB2312"/>
          <w:b w:val="0"/>
          <w:bCs w:val="0"/>
          <w:color w:val="000000"/>
        </w:rPr>
        <w:t>100%</w:t>
      </w:r>
      <w:r>
        <w:rPr>
          <w:rStyle w:val="15"/>
          <w:rFonts w:hint="eastAsia" w:ascii="仿宋_GB2312" w:hAnsi="仿宋" w:eastAsia="仿宋_GB2312" w:cs="仿宋_GB2312"/>
          <w:b w:val="0"/>
          <w:bCs w:val="0"/>
          <w:color w:val="000000"/>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Style w:val="15"/>
          <w:rFonts w:ascii="仿宋_GB2312" w:hAnsi="仿宋" w:eastAsia="仿宋_GB2312" w:cs="仿宋_GB2312"/>
          <w:b w:val="0"/>
          <w:bCs w:val="0"/>
          <w:color w:val="000000"/>
        </w:rPr>
      </w:pPr>
      <w:r>
        <w:rPr>
          <w:rStyle w:val="15"/>
          <w:rFonts w:ascii="仿宋_GB2312" w:hAnsi="仿宋" w:eastAsia="仿宋_GB2312" w:cs="仿宋_GB2312"/>
          <w:b w:val="0"/>
          <w:bCs w:val="0"/>
          <w:color w:val="000000"/>
        </w:rPr>
        <w:t>2.</w:t>
      </w:r>
      <w:r>
        <w:rPr>
          <w:rStyle w:val="15"/>
          <w:rFonts w:hint="eastAsia" w:ascii="仿宋_GB2312" w:hAnsi="仿宋" w:eastAsia="仿宋_GB2312" w:cs="仿宋_GB2312"/>
          <w:b w:val="0"/>
          <w:bCs w:val="0"/>
          <w:color w:val="000000"/>
        </w:rPr>
        <w:t>社会保障和就业（类）行政事业单位离退休（款）机关事业单位基本养老保险缴费支出（项）</w:t>
      </w:r>
      <w:r>
        <w:rPr>
          <w:rStyle w:val="15"/>
          <w:rFonts w:ascii="仿宋_GB2312" w:hAnsi="仿宋" w:eastAsia="仿宋_GB2312" w:cs="仿宋_GB2312"/>
          <w:b w:val="0"/>
          <w:bCs w:val="0"/>
          <w:color w:val="000000"/>
        </w:rPr>
        <w:t xml:space="preserve">: </w:t>
      </w:r>
      <w:r>
        <w:rPr>
          <w:rStyle w:val="15"/>
          <w:rFonts w:hint="eastAsia" w:ascii="仿宋_GB2312" w:hAnsi="仿宋" w:eastAsia="仿宋_GB2312" w:cs="仿宋_GB2312"/>
          <w:b w:val="0"/>
          <w:bCs w:val="0"/>
          <w:color w:val="000000"/>
        </w:rPr>
        <w:t>支出决算为</w:t>
      </w:r>
      <w:r>
        <w:rPr>
          <w:rStyle w:val="15"/>
          <w:rFonts w:ascii="仿宋_GB2312" w:hAnsi="仿宋" w:eastAsia="仿宋_GB2312" w:cs="仿宋_GB2312"/>
          <w:b w:val="0"/>
          <w:bCs w:val="0"/>
          <w:color w:val="000000"/>
        </w:rPr>
        <w:t>12.49</w:t>
      </w:r>
      <w:r>
        <w:rPr>
          <w:rStyle w:val="15"/>
          <w:rFonts w:hint="eastAsia" w:ascii="仿宋_GB2312" w:hAnsi="仿宋" w:eastAsia="仿宋_GB2312" w:cs="仿宋_GB2312"/>
          <w:b w:val="0"/>
          <w:bCs w:val="0"/>
          <w:color w:val="000000"/>
        </w:rPr>
        <w:t>万元，完成预算</w:t>
      </w:r>
      <w:r>
        <w:rPr>
          <w:rStyle w:val="15"/>
          <w:rFonts w:ascii="仿宋_GB2312" w:hAnsi="仿宋" w:eastAsia="仿宋_GB2312" w:cs="仿宋_GB2312"/>
          <w:b w:val="0"/>
          <w:bCs w:val="0"/>
          <w:color w:val="000000"/>
        </w:rPr>
        <w:t>100%</w:t>
      </w:r>
      <w:r>
        <w:rPr>
          <w:rStyle w:val="15"/>
          <w:rFonts w:hint="eastAsia" w:ascii="仿宋_GB2312" w:hAnsi="仿宋" w:eastAsia="仿宋_GB2312" w:cs="仿宋_GB2312"/>
          <w:b w:val="0"/>
          <w:bCs w:val="0"/>
          <w:color w:val="000000"/>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hAnsi="仿宋" w:eastAsia="仿宋_GB2312"/>
          <w:color w:val="000000"/>
        </w:rPr>
      </w:pPr>
      <w:r>
        <w:rPr>
          <w:rStyle w:val="15"/>
          <w:rFonts w:ascii="仿宋_GB2312" w:hAnsi="仿宋" w:eastAsia="仿宋_GB2312" w:cs="仿宋_GB2312"/>
          <w:b w:val="0"/>
          <w:bCs w:val="0"/>
          <w:color w:val="000000"/>
        </w:rPr>
        <w:t>3</w:t>
      </w:r>
      <w:r>
        <w:rPr>
          <w:rStyle w:val="15"/>
          <w:rFonts w:hint="eastAsia" w:ascii="仿宋_GB2312" w:hAnsi="仿宋" w:eastAsia="仿宋_GB2312" w:cs="仿宋_GB2312"/>
          <w:b w:val="0"/>
          <w:bCs w:val="0"/>
          <w:color w:val="000000"/>
          <w:lang w:eastAsia="zh-CN"/>
        </w:rPr>
        <w:t>.</w:t>
      </w:r>
      <w:r>
        <w:rPr>
          <w:rStyle w:val="15"/>
          <w:rFonts w:hint="eastAsia" w:ascii="仿宋_GB2312" w:hAnsi="仿宋" w:eastAsia="仿宋_GB2312" w:cs="仿宋_GB2312"/>
          <w:b w:val="0"/>
          <w:bCs w:val="0"/>
          <w:color w:val="000000"/>
        </w:rPr>
        <w:t>社会保障和就业（类）行政事业单位离退休（款）机关事业单位职业年金缴费支出（项）</w:t>
      </w:r>
      <w:r>
        <w:rPr>
          <w:rStyle w:val="15"/>
          <w:rFonts w:ascii="仿宋_GB2312" w:hAnsi="仿宋" w:eastAsia="仿宋_GB2312" w:cs="仿宋_GB2312"/>
          <w:b w:val="0"/>
          <w:bCs w:val="0"/>
          <w:color w:val="000000"/>
        </w:rPr>
        <w:t xml:space="preserve">: </w:t>
      </w:r>
      <w:r>
        <w:rPr>
          <w:rStyle w:val="15"/>
          <w:rFonts w:hint="eastAsia" w:ascii="仿宋_GB2312" w:hAnsi="仿宋" w:eastAsia="仿宋_GB2312" w:cs="仿宋_GB2312"/>
          <w:b w:val="0"/>
          <w:bCs w:val="0"/>
          <w:color w:val="000000"/>
        </w:rPr>
        <w:t>支出决算为</w:t>
      </w:r>
      <w:r>
        <w:rPr>
          <w:rStyle w:val="15"/>
          <w:rFonts w:ascii="仿宋_GB2312" w:hAnsi="仿宋" w:eastAsia="仿宋_GB2312" w:cs="仿宋_GB2312"/>
          <w:b w:val="0"/>
          <w:bCs w:val="0"/>
          <w:color w:val="000000"/>
        </w:rPr>
        <w:t>4.99</w:t>
      </w:r>
      <w:r>
        <w:rPr>
          <w:rStyle w:val="15"/>
          <w:rFonts w:hint="eastAsia" w:ascii="仿宋_GB2312" w:hAnsi="仿宋" w:eastAsia="仿宋_GB2312" w:cs="仿宋_GB2312"/>
          <w:b w:val="0"/>
          <w:bCs w:val="0"/>
          <w:color w:val="000000"/>
        </w:rPr>
        <w:t>万元，完成预算</w:t>
      </w:r>
      <w:r>
        <w:rPr>
          <w:rStyle w:val="15"/>
          <w:rFonts w:ascii="仿宋_GB2312" w:hAnsi="仿宋" w:eastAsia="仿宋_GB2312" w:cs="仿宋_GB2312"/>
          <w:b w:val="0"/>
          <w:bCs w:val="0"/>
          <w:color w:val="000000"/>
        </w:rPr>
        <w:t>100%</w:t>
      </w:r>
      <w:r>
        <w:rPr>
          <w:rStyle w:val="15"/>
          <w:rFonts w:hint="eastAsia" w:ascii="仿宋_GB2312" w:hAnsi="仿宋" w:eastAsia="仿宋_GB2312" w:cs="仿宋_GB2312"/>
          <w:b w:val="0"/>
          <w:bCs w:val="0"/>
          <w:color w:val="000000"/>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Style w:val="15"/>
          <w:rFonts w:ascii="仿宋_GB2312" w:hAnsi="仿宋" w:eastAsia="仿宋_GB2312" w:cs="仿宋_GB2312"/>
          <w:b w:val="0"/>
          <w:bCs w:val="0"/>
          <w:color w:val="000000"/>
        </w:rPr>
      </w:pPr>
      <w:r>
        <w:rPr>
          <w:rStyle w:val="15"/>
          <w:rFonts w:ascii="仿宋_GB2312" w:hAnsi="仿宋" w:eastAsia="仿宋_GB2312" w:cs="仿宋_GB2312"/>
          <w:b w:val="0"/>
          <w:bCs w:val="0"/>
          <w:color w:val="000000"/>
        </w:rPr>
        <w:t>4.</w:t>
      </w:r>
      <w:r>
        <w:rPr>
          <w:rStyle w:val="15"/>
          <w:rFonts w:hint="eastAsia" w:ascii="仿宋_GB2312" w:hAnsi="仿宋" w:eastAsia="仿宋_GB2312" w:cs="仿宋_GB2312"/>
          <w:b w:val="0"/>
          <w:bCs w:val="0"/>
          <w:color w:val="000000"/>
        </w:rPr>
        <w:t>医疗卫生与计划生育（类）行政事业单位医疗（款）行政单位医疗（项）</w:t>
      </w:r>
      <w:r>
        <w:rPr>
          <w:rStyle w:val="15"/>
          <w:rFonts w:ascii="仿宋_GB2312" w:hAnsi="仿宋" w:eastAsia="仿宋_GB2312" w:cs="仿宋_GB2312"/>
          <w:b w:val="0"/>
          <w:bCs w:val="0"/>
          <w:color w:val="000000"/>
        </w:rPr>
        <w:t>:</w:t>
      </w:r>
      <w:r>
        <w:rPr>
          <w:rStyle w:val="15"/>
          <w:rFonts w:hint="eastAsia" w:ascii="仿宋_GB2312" w:hAnsi="仿宋" w:eastAsia="仿宋_GB2312" w:cs="仿宋_GB2312"/>
          <w:b w:val="0"/>
          <w:bCs w:val="0"/>
          <w:color w:val="000000"/>
        </w:rPr>
        <w:t>支出决算为</w:t>
      </w:r>
      <w:r>
        <w:rPr>
          <w:rStyle w:val="15"/>
          <w:rFonts w:ascii="仿宋_GB2312" w:hAnsi="仿宋" w:eastAsia="仿宋_GB2312" w:cs="仿宋_GB2312"/>
          <w:b w:val="0"/>
          <w:bCs w:val="0"/>
          <w:color w:val="000000"/>
        </w:rPr>
        <w:t>6.06</w:t>
      </w:r>
      <w:r>
        <w:rPr>
          <w:rStyle w:val="15"/>
          <w:rFonts w:hint="eastAsia" w:ascii="仿宋_GB2312" w:hAnsi="仿宋" w:eastAsia="仿宋_GB2312" w:cs="仿宋_GB2312"/>
          <w:b w:val="0"/>
          <w:bCs w:val="0"/>
          <w:color w:val="000000"/>
        </w:rPr>
        <w:t>万元，完成预算</w:t>
      </w:r>
      <w:r>
        <w:rPr>
          <w:rStyle w:val="15"/>
          <w:rFonts w:ascii="仿宋_GB2312" w:hAnsi="仿宋" w:eastAsia="仿宋_GB2312" w:cs="仿宋_GB2312"/>
          <w:b w:val="0"/>
          <w:bCs w:val="0"/>
          <w:color w:val="000000"/>
        </w:rPr>
        <w:t>100%</w:t>
      </w:r>
      <w:r>
        <w:rPr>
          <w:rStyle w:val="15"/>
          <w:rFonts w:hint="eastAsia" w:ascii="仿宋_GB2312" w:hAnsi="仿宋" w:eastAsia="仿宋_GB2312" w:cs="仿宋_GB2312"/>
          <w:b w:val="0"/>
          <w:bCs w:val="0"/>
          <w:color w:val="000000"/>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hAnsi="仿宋" w:eastAsia="仿宋_GB2312"/>
          <w:color w:val="000000"/>
        </w:rPr>
      </w:pPr>
      <w:r>
        <w:rPr>
          <w:rStyle w:val="15"/>
          <w:rFonts w:ascii="仿宋_GB2312" w:hAnsi="仿宋" w:eastAsia="仿宋_GB2312" w:cs="仿宋_GB2312"/>
          <w:b w:val="0"/>
          <w:bCs w:val="0"/>
          <w:color w:val="000000"/>
        </w:rPr>
        <w:t>5.</w:t>
      </w:r>
      <w:r>
        <w:rPr>
          <w:rStyle w:val="15"/>
          <w:rFonts w:hint="eastAsia" w:ascii="仿宋_GB2312" w:hAnsi="仿宋" w:eastAsia="仿宋_GB2312" w:cs="仿宋_GB2312"/>
          <w:b w:val="0"/>
          <w:bCs w:val="0"/>
          <w:color w:val="000000"/>
        </w:rPr>
        <w:t>住房保障支出（类）住房改革支出（款）住房公积金（项）</w:t>
      </w:r>
      <w:r>
        <w:rPr>
          <w:rStyle w:val="15"/>
          <w:rFonts w:ascii="仿宋_GB2312" w:hAnsi="仿宋" w:eastAsia="仿宋_GB2312" w:cs="仿宋_GB2312"/>
          <w:b w:val="0"/>
          <w:bCs w:val="0"/>
          <w:color w:val="000000"/>
        </w:rPr>
        <w:t xml:space="preserve">: </w:t>
      </w:r>
      <w:r>
        <w:rPr>
          <w:rStyle w:val="15"/>
          <w:rFonts w:hint="eastAsia" w:ascii="仿宋_GB2312" w:hAnsi="仿宋" w:eastAsia="仿宋_GB2312" w:cs="仿宋_GB2312"/>
          <w:b w:val="0"/>
          <w:bCs w:val="0"/>
          <w:color w:val="000000"/>
        </w:rPr>
        <w:t>支出决算为</w:t>
      </w:r>
      <w:r>
        <w:rPr>
          <w:rStyle w:val="15"/>
          <w:rFonts w:ascii="仿宋_GB2312" w:hAnsi="仿宋" w:eastAsia="仿宋_GB2312" w:cs="仿宋_GB2312"/>
          <w:b w:val="0"/>
          <w:bCs w:val="0"/>
          <w:color w:val="000000"/>
        </w:rPr>
        <w:t>8.68</w:t>
      </w:r>
      <w:r>
        <w:rPr>
          <w:rStyle w:val="15"/>
          <w:rFonts w:hint="eastAsia" w:ascii="仿宋_GB2312" w:hAnsi="仿宋" w:eastAsia="仿宋_GB2312" w:cs="仿宋_GB2312"/>
          <w:b w:val="0"/>
          <w:bCs w:val="0"/>
          <w:color w:val="000000"/>
        </w:rPr>
        <w:t>万元，完成预算</w:t>
      </w:r>
      <w:r>
        <w:rPr>
          <w:rStyle w:val="15"/>
          <w:rFonts w:ascii="仿宋_GB2312" w:hAnsi="仿宋" w:eastAsia="仿宋_GB2312" w:cs="仿宋_GB2312"/>
          <w:b w:val="0"/>
          <w:bCs w:val="0"/>
          <w:color w:val="000000"/>
        </w:rPr>
        <w:t>100%</w:t>
      </w:r>
      <w:r>
        <w:rPr>
          <w:rStyle w:val="15"/>
          <w:rFonts w:hint="eastAsia" w:ascii="仿宋_GB2312" w:hAnsi="仿宋" w:eastAsia="仿宋_GB2312" w:cs="仿宋_GB2312"/>
          <w:b w:val="0"/>
          <w:bCs w:val="0"/>
          <w:color w:val="000000"/>
        </w:rPr>
        <w:t>。</w:t>
      </w:r>
    </w:p>
    <w:p>
      <w:pPr>
        <w:pStyle w:val="3"/>
        <w:ind w:firstLine="640"/>
        <w:rPr>
          <w:rFonts w:cs="Times New Roman"/>
        </w:rPr>
      </w:pPr>
      <w:bookmarkStart w:id="38" w:name="_Toc20222283"/>
      <w:r>
        <w:rPr>
          <w:rFonts w:hint="eastAsia" w:cs="黑体"/>
        </w:rPr>
        <w:t>六、一</w:t>
      </w:r>
      <w:r>
        <w:rPr>
          <w:rStyle w:val="18"/>
          <w:rFonts w:hint="eastAsia" w:cs="黑体"/>
        </w:rPr>
        <w:t>般公共预算财政拨款基本支出决算情况说明</w:t>
      </w:r>
      <w:bookmarkEnd w:id="38"/>
    </w:p>
    <w:p>
      <w:pPr>
        <w:spacing w:line="576" w:lineRule="exact"/>
        <w:ind w:firstLine="640"/>
        <w:rPr>
          <w:rFonts w:ascii="仿宋_GB2312" w:hAnsi="仿宋" w:eastAsia="仿宋_GB2312"/>
          <w:b w:val="0"/>
          <w:bCs w:val="0"/>
          <w:color w:val="000000"/>
        </w:rPr>
      </w:pPr>
      <w:r>
        <w:rPr>
          <w:rFonts w:ascii="仿宋_GB2312" w:hAnsi="仿宋" w:eastAsia="仿宋_GB2312" w:cs="仿宋_GB2312"/>
          <w:b w:val="0"/>
          <w:bCs w:val="0"/>
          <w:color w:val="000000"/>
        </w:rPr>
        <w:t>2018</w:t>
      </w:r>
      <w:r>
        <w:rPr>
          <w:rFonts w:hint="eastAsia" w:ascii="仿宋_GB2312" w:hAnsi="仿宋" w:eastAsia="仿宋_GB2312" w:cs="仿宋_GB2312"/>
          <w:b w:val="0"/>
          <w:bCs w:val="0"/>
          <w:color w:val="000000"/>
        </w:rPr>
        <w:t>年一般公共预算财政拨款基本支出</w:t>
      </w:r>
      <w:r>
        <w:rPr>
          <w:rFonts w:ascii="仿宋_GB2312" w:hAnsi="仿宋" w:eastAsia="仿宋_GB2312" w:cs="仿宋_GB2312"/>
          <w:b w:val="0"/>
          <w:bCs w:val="0"/>
          <w:color w:val="000000"/>
        </w:rPr>
        <w:t>113.84</w:t>
      </w:r>
      <w:r>
        <w:rPr>
          <w:rFonts w:hint="eastAsia" w:ascii="仿宋_GB2312" w:hAnsi="仿宋" w:eastAsia="仿宋_GB2312" w:cs="仿宋_GB2312"/>
          <w:b w:val="0"/>
          <w:bCs w:val="0"/>
          <w:color w:val="000000"/>
        </w:rPr>
        <w:t>万元，其中：</w:t>
      </w:r>
    </w:p>
    <w:p>
      <w:pPr>
        <w:spacing w:line="576" w:lineRule="exact"/>
        <w:ind w:firstLine="640"/>
        <w:rPr>
          <w:rFonts w:ascii="仿宋_GB2312" w:hAnsi="仿宋" w:eastAsia="仿宋_GB2312"/>
          <w:b w:val="0"/>
          <w:bCs w:val="0"/>
          <w:color w:val="000000"/>
        </w:rPr>
      </w:pPr>
      <w:r>
        <w:rPr>
          <w:rFonts w:hint="eastAsia" w:ascii="仿宋_GB2312" w:hAnsi="仿宋" w:eastAsia="仿宋_GB2312" w:cs="仿宋_GB2312"/>
          <w:b w:val="0"/>
          <w:bCs w:val="0"/>
          <w:color w:val="000000"/>
        </w:rPr>
        <w:t>人员经费</w:t>
      </w:r>
      <w:r>
        <w:rPr>
          <w:rFonts w:ascii="仿宋_GB2312" w:hAnsi="仿宋" w:eastAsia="仿宋_GB2312" w:cs="仿宋_GB2312"/>
          <w:b w:val="0"/>
          <w:bCs w:val="0"/>
          <w:color w:val="000000"/>
        </w:rPr>
        <w:t>109.05</w:t>
      </w:r>
      <w:r>
        <w:rPr>
          <w:rFonts w:hint="eastAsia" w:ascii="仿宋_GB2312" w:hAnsi="仿宋" w:eastAsia="仿宋_GB2312" w:cs="仿宋_GB2312"/>
          <w:b w:val="0"/>
          <w:bCs w:val="0"/>
          <w:color w:val="000000"/>
        </w:rPr>
        <w:t>万元，主要包括：基本工资、津贴补贴、奖金、伙食补助费、机关事业单位基本养老保险缴费、职业年金缴费、其他社会保障缴费、其他工资福利支出、离休费、退休费、抚恤金、生活补助、医疗费、奖励金、住房公积金、其他对个人和家庭的补助支出等。</w:t>
      </w:r>
      <w:r>
        <w:rPr>
          <w:rFonts w:ascii="仿宋_GB2312" w:hAnsi="仿宋" w:eastAsia="仿宋_GB2312"/>
          <w:b w:val="0"/>
          <w:bCs w:val="0"/>
          <w:color w:val="000000"/>
        </w:rPr>
        <w:br w:type="textWrapping"/>
      </w:r>
      <w:r>
        <w:rPr>
          <w:rFonts w:hint="eastAsia" w:ascii="仿宋_GB2312" w:hAnsi="仿宋" w:eastAsia="仿宋_GB2312" w:cs="仿宋_GB2312"/>
          <w:b w:val="0"/>
          <w:bCs w:val="0"/>
          <w:color w:val="000000"/>
        </w:rPr>
        <w:t>　　公用经费</w:t>
      </w:r>
      <w:r>
        <w:rPr>
          <w:rFonts w:ascii="仿宋_GB2312" w:hAnsi="仿宋" w:eastAsia="仿宋_GB2312" w:cs="仿宋_GB2312"/>
          <w:b w:val="0"/>
          <w:bCs w:val="0"/>
          <w:color w:val="000000"/>
        </w:rPr>
        <w:t>4.79</w:t>
      </w:r>
      <w:r>
        <w:rPr>
          <w:rFonts w:hint="eastAsia" w:ascii="仿宋_GB2312" w:hAnsi="仿宋" w:eastAsia="仿宋_GB2312" w:cs="仿宋_GB2312"/>
          <w:b w:val="0"/>
          <w:bCs w:val="0"/>
          <w:color w:val="000000"/>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3"/>
        <w:pageBreakBefore w:val="0"/>
        <w:widowControl w:val="0"/>
        <w:kinsoku/>
        <w:wordWrap/>
        <w:overflowPunct/>
        <w:topLinePunct w:val="0"/>
        <w:autoSpaceDE/>
        <w:autoSpaceDN/>
        <w:bidi w:val="0"/>
        <w:adjustRightInd/>
        <w:snapToGrid/>
        <w:ind w:left="0" w:leftChars="0" w:firstLine="640" w:firstLineChars="200"/>
        <w:textAlignment w:val="auto"/>
        <w:rPr>
          <w:rStyle w:val="18"/>
          <w:rFonts w:cs="Times New Roman"/>
        </w:rPr>
      </w:pPr>
      <w:bookmarkStart w:id="39" w:name="_Toc20222284"/>
      <w:r>
        <w:rPr>
          <w:rStyle w:val="18"/>
          <w:rFonts w:hint="eastAsia" w:cs="黑体"/>
        </w:rPr>
        <w:t>七、“三公”经费财政拨款支出决算情况说明</w:t>
      </w:r>
      <w:bookmarkEnd w:id="39"/>
      <w:bookmarkStart w:id="40" w:name="_Toc15377216"/>
    </w:p>
    <w:p>
      <w:pPr>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Style w:val="18"/>
          <w:rFonts w:ascii="楷体_GB2312" w:hAnsi="黑体" w:eastAsia="楷体_GB2312" w:cs="Times New Roman"/>
        </w:rPr>
      </w:pPr>
      <w:r>
        <w:rPr>
          <w:rFonts w:hint="eastAsia" w:cs="楷体_GB2312"/>
        </w:rPr>
        <w:t>（一）“三公”经费财政拨款支出决算总体情况说明</w:t>
      </w:r>
      <w:bookmarkEnd w:id="40"/>
    </w:p>
    <w:p>
      <w:pPr>
        <w:pageBreakBefore w:val="0"/>
        <w:widowControl w:val="0"/>
        <w:kinsoku/>
        <w:wordWrap/>
        <w:overflowPunct/>
        <w:topLinePunct w:val="0"/>
        <w:autoSpaceDE/>
        <w:autoSpaceDN/>
        <w:bidi w:val="0"/>
        <w:adjustRightInd/>
        <w:snapToGrid/>
        <w:spacing w:line="576" w:lineRule="exact"/>
        <w:ind w:left="0" w:leftChars="0" w:firstLine="640" w:firstLineChars="200"/>
        <w:textAlignment w:val="auto"/>
        <w:outlineLvl w:val="1"/>
        <w:rPr>
          <w:rFonts w:hint="eastAsia" w:ascii="仿宋_GB2312" w:eastAsia="仿宋_GB2312" w:cs="仿宋_GB2312"/>
          <w:b w:val="0"/>
          <w:bCs w:val="0"/>
          <w:color w:val="333333"/>
          <w:lang w:eastAsia="zh-CN"/>
        </w:rPr>
      </w:pPr>
      <w:bookmarkStart w:id="41" w:name="_Toc20222285"/>
      <w:r>
        <w:rPr>
          <w:rFonts w:hint="eastAsia" w:ascii="仿宋_GB2312" w:eastAsia="仿宋_GB2312" w:cs="仿宋_GB2312"/>
          <w:b w:val="0"/>
          <w:bCs w:val="0"/>
          <w:color w:val="333333"/>
        </w:rPr>
        <w:t>茂县工商联</w:t>
      </w:r>
      <w:r>
        <w:rPr>
          <w:rFonts w:ascii="仿宋_GB2312" w:eastAsia="仿宋_GB2312" w:cs="仿宋_GB2312"/>
          <w:b w:val="0"/>
          <w:bCs w:val="0"/>
          <w:color w:val="333333"/>
        </w:rPr>
        <w:t>2018</w:t>
      </w:r>
      <w:r>
        <w:rPr>
          <w:rFonts w:hint="eastAsia" w:ascii="仿宋_GB2312" w:eastAsia="仿宋_GB2312" w:cs="仿宋_GB2312"/>
          <w:b w:val="0"/>
          <w:bCs w:val="0"/>
          <w:color w:val="333333"/>
        </w:rPr>
        <w:t>年度无三公经费</w:t>
      </w:r>
      <w:bookmarkEnd w:id="41"/>
      <w:bookmarkStart w:id="42" w:name="_Toc15377217"/>
      <w:r>
        <w:rPr>
          <w:rFonts w:hint="eastAsia" w:ascii="仿宋_GB2312" w:eastAsia="仿宋_GB2312" w:cs="仿宋_GB2312"/>
          <w:b w:val="0"/>
          <w:bCs w:val="0"/>
          <w:color w:val="333333"/>
          <w:lang w:eastAsia="zh-CN"/>
        </w:rPr>
        <w:t>。</w:t>
      </w:r>
    </w:p>
    <w:p>
      <w:pPr>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cs="楷体_GB2312"/>
        </w:rPr>
      </w:pPr>
      <w:r>
        <w:rPr>
          <w:rFonts w:hint="eastAsia" w:cs="楷体_GB2312"/>
        </w:rPr>
        <w:t>（二）“三公”经费财政拨款支出决算具体情况说明</w:t>
      </w:r>
      <w:bookmarkEnd w:id="42"/>
    </w:p>
    <w:p>
      <w:pPr>
        <w:pageBreakBefore w:val="0"/>
        <w:widowControl w:val="0"/>
        <w:kinsoku/>
        <w:wordWrap/>
        <w:overflowPunct/>
        <w:topLinePunct w:val="0"/>
        <w:autoSpaceDE/>
        <w:autoSpaceDN/>
        <w:bidi w:val="0"/>
        <w:adjustRightInd/>
        <w:snapToGrid/>
        <w:spacing w:line="576" w:lineRule="exact"/>
        <w:ind w:left="0" w:leftChars="0" w:firstLine="640" w:firstLineChars="200"/>
        <w:textAlignment w:val="auto"/>
        <w:outlineLvl w:val="1"/>
        <w:rPr>
          <w:rFonts w:ascii="仿宋_GB2312" w:eastAsia="仿宋_GB2312" w:cs="仿宋_GB2312"/>
          <w:b w:val="0"/>
          <w:bCs w:val="0"/>
          <w:color w:val="333333"/>
        </w:rPr>
      </w:pPr>
      <w:r>
        <w:rPr>
          <w:rFonts w:ascii="仿宋_GB2312" w:eastAsia="仿宋_GB2312" w:cs="仿宋_GB2312"/>
          <w:b w:val="0"/>
          <w:bCs w:val="0"/>
          <w:color w:val="333333"/>
        </w:rPr>
        <w:t>2018</w:t>
      </w:r>
      <w:r>
        <w:rPr>
          <w:rFonts w:hint="eastAsia" w:ascii="仿宋_GB2312" w:eastAsia="仿宋_GB2312" w:cs="仿宋_GB2312"/>
          <w:b w:val="0"/>
          <w:bCs w:val="0"/>
          <w:color w:val="333333"/>
        </w:rPr>
        <w:t>年“三公”经费财政拨款支出决算中，因公出国（境）费支出决算</w:t>
      </w:r>
      <w:r>
        <w:rPr>
          <w:rFonts w:ascii="仿宋_GB2312" w:eastAsia="仿宋_GB2312" w:cs="仿宋_GB2312"/>
          <w:b w:val="0"/>
          <w:bCs w:val="0"/>
          <w:color w:val="333333"/>
        </w:rPr>
        <w:t>0</w:t>
      </w:r>
      <w:r>
        <w:rPr>
          <w:rFonts w:hint="eastAsia" w:ascii="仿宋_GB2312" w:eastAsia="仿宋_GB2312" w:cs="仿宋_GB2312"/>
          <w:b w:val="0"/>
          <w:bCs w:val="0"/>
          <w:color w:val="333333"/>
        </w:rPr>
        <w:t>万元；公务用车购置及运行维护费支出决算</w:t>
      </w:r>
      <w:r>
        <w:rPr>
          <w:rFonts w:ascii="仿宋_GB2312" w:eastAsia="仿宋_GB2312" w:cs="仿宋_GB2312"/>
          <w:b w:val="0"/>
          <w:bCs w:val="0"/>
          <w:color w:val="333333"/>
        </w:rPr>
        <w:t>0</w:t>
      </w:r>
      <w:r>
        <w:rPr>
          <w:rFonts w:hint="eastAsia" w:ascii="仿宋_GB2312" w:eastAsia="仿宋_GB2312" w:cs="仿宋_GB2312"/>
          <w:b w:val="0"/>
          <w:bCs w:val="0"/>
          <w:color w:val="333333"/>
        </w:rPr>
        <w:t>万元；公务接待费支出决算</w:t>
      </w:r>
      <w:r>
        <w:rPr>
          <w:rFonts w:ascii="仿宋_GB2312" w:eastAsia="仿宋_GB2312" w:cs="仿宋_GB2312"/>
          <w:b w:val="0"/>
          <w:bCs w:val="0"/>
          <w:color w:val="333333"/>
        </w:rPr>
        <w:t>0</w:t>
      </w:r>
      <w:r>
        <w:rPr>
          <w:rFonts w:hint="eastAsia" w:ascii="仿宋_GB2312" w:eastAsia="仿宋_GB2312" w:cs="仿宋_GB2312"/>
          <w:b w:val="0"/>
          <w:bCs w:val="0"/>
          <w:color w:val="333333"/>
        </w:rPr>
        <w:t>万元。</w:t>
      </w:r>
    </w:p>
    <w:p>
      <w:pPr>
        <w:spacing w:line="576" w:lineRule="exact"/>
        <w:ind w:firstLine="640"/>
        <w:outlineLvl w:val="0"/>
        <w:rPr>
          <w:rFonts w:ascii="仿宋_GB2312" w:eastAsia="仿宋_GB2312"/>
          <w:b w:val="0"/>
          <w:bCs w:val="0"/>
          <w:color w:val="333333"/>
        </w:rPr>
      </w:pPr>
    </w:p>
    <w:p>
      <w:pPr>
        <w:pStyle w:val="3"/>
        <w:ind w:firstLine="640"/>
        <w:rPr>
          <w:rFonts w:cs="Times New Roman"/>
        </w:rPr>
      </w:pPr>
      <w:bookmarkStart w:id="43" w:name="_Toc20222286"/>
      <w:r>
        <w:rPr>
          <w:rFonts w:hint="eastAsia" w:cs="黑体"/>
        </w:rPr>
        <w:t>八、政府性基金预算财政拨款支出决算情况</w:t>
      </w:r>
      <w:bookmarkEnd w:id="43"/>
    </w:p>
    <w:p>
      <w:pPr>
        <w:spacing w:line="576" w:lineRule="exact"/>
        <w:ind w:firstLine="640"/>
        <w:rPr>
          <w:rFonts w:ascii="仿宋_GB2312" w:eastAsia="仿宋_GB2312"/>
          <w:b w:val="0"/>
          <w:bCs w:val="0"/>
          <w:color w:val="333333"/>
        </w:rPr>
      </w:pPr>
      <w:r>
        <w:rPr>
          <w:rFonts w:hint="eastAsia" w:ascii="仿宋_GB2312" w:eastAsia="仿宋_GB2312" w:cs="仿宋_GB2312"/>
          <w:b w:val="0"/>
          <w:bCs w:val="0"/>
          <w:color w:val="000000"/>
        </w:rPr>
        <w:t>茂县工商联</w:t>
      </w:r>
      <w:r>
        <w:rPr>
          <w:rFonts w:ascii="仿宋_GB2312" w:eastAsia="仿宋_GB2312" w:cs="仿宋_GB2312"/>
          <w:b w:val="0"/>
          <w:bCs w:val="0"/>
          <w:color w:val="000000"/>
        </w:rPr>
        <w:t>2018</w:t>
      </w:r>
      <w:r>
        <w:rPr>
          <w:rFonts w:hint="eastAsia" w:ascii="仿宋_GB2312" w:eastAsia="仿宋_GB2312" w:cs="仿宋_GB2312"/>
          <w:b w:val="0"/>
          <w:bCs w:val="0"/>
          <w:color w:val="000000"/>
        </w:rPr>
        <w:t>年无政府性基金预算财政拨款支出</w:t>
      </w:r>
      <w:r>
        <w:rPr>
          <w:rFonts w:hint="eastAsia" w:ascii="仿宋_GB2312" w:eastAsia="仿宋_GB2312" w:cs="仿宋_GB2312"/>
          <w:b w:val="0"/>
          <w:bCs w:val="0"/>
          <w:color w:val="333333"/>
        </w:rPr>
        <w:t>经费</w:t>
      </w:r>
      <w:bookmarkStart w:id="44" w:name="_Toc15396611"/>
      <w:bookmarkStart w:id="45" w:name="_Toc15377219"/>
      <w:r>
        <w:rPr>
          <w:rFonts w:hint="eastAsia" w:ascii="仿宋_GB2312" w:eastAsia="仿宋_GB2312" w:cs="仿宋_GB2312"/>
          <w:b w:val="0"/>
          <w:bCs w:val="0"/>
          <w:color w:val="333333"/>
        </w:rPr>
        <w:t>。</w:t>
      </w:r>
    </w:p>
    <w:p>
      <w:pPr>
        <w:pStyle w:val="3"/>
        <w:ind w:firstLine="640"/>
        <w:rPr>
          <w:rStyle w:val="18"/>
          <w:rFonts w:ascii="黑体" w:cs="Times New Roman"/>
        </w:rPr>
      </w:pPr>
      <w:bookmarkStart w:id="46" w:name="_Toc20222287"/>
      <w:r>
        <w:rPr>
          <w:rStyle w:val="18"/>
          <w:rFonts w:hint="eastAsia" w:ascii="黑体" w:hAnsi="黑体" w:cs="黑体"/>
        </w:rPr>
        <w:t>九、国有资本经营预算支出决算</w:t>
      </w:r>
      <w:bookmarkEnd w:id="46"/>
    </w:p>
    <w:p>
      <w:pPr>
        <w:spacing w:line="576" w:lineRule="exact"/>
        <w:ind w:firstLine="640"/>
        <w:rPr>
          <w:rStyle w:val="18"/>
          <w:rFonts w:ascii="仿宋_GB2312" w:hAnsi="黑体" w:eastAsia="仿宋_GB2312" w:cs="Times New Roman"/>
          <w:b w:val="0"/>
          <w:bCs w:val="0"/>
        </w:rPr>
      </w:pPr>
      <w:r>
        <w:rPr>
          <w:rFonts w:hint="eastAsia" w:ascii="仿宋_GB2312" w:eastAsia="仿宋_GB2312" w:cs="仿宋_GB2312"/>
          <w:b w:val="0"/>
          <w:bCs w:val="0"/>
          <w:color w:val="000000"/>
        </w:rPr>
        <w:t>茂县工商联</w:t>
      </w:r>
      <w:r>
        <w:rPr>
          <w:rFonts w:ascii="仿宋_GB2312" w:eastAsia="仿宋_GB2312" w:cs="仿宋_GB2312"/>
          <w:b w:val="0"/>
          <w:bCs w:val="0"/>
          <w:color w:val="000000"/>
        </w:rPr>
        <w:t>2018</w:t>
      </w:r>
      <w:r>
        <w:rPr>
          <w:rFonts w:hint="eastAsia" w:ascii="仿宋_GB2312" w:eastAsia="仿宋_GB2312" w:cs="仿宋_GB2312"/>
          <w:b w:val="0"/>
          <w:bCs w:val="0"/>
          <w:color w:val="000000"/>
        </w:rPr>
        <w:t>年无</w:t>
      </w:r>
      <w:bookmarkEnd w:id="44"/>
      <w:bookmarkEnd w:id="45"/>
      <w:r>
        <w:rPr>
          <w:rStyle w:val="18"/>
          <w:rFonts w:hint="eastAsia" w:ascii="仿宋_GB2312" w:hAnsi="黑体" w:eastAsia="仿宋_GB2312" w:cs="仿宋_GB2312"/>
          <w:b w:val="0"/>
          <w:bCs w:val="0"/>
        </w:rPr>
        <w:t>国有资本经营预算支出。</w:t>
      </w:r>
    </w:p>
    <w:p>
      <w:pPr>
        <w:pStyle w:val="3"/>
        <w:ind w:firstLine="640"/>
        <w:rPr>
          <w:rStyle w:val="18"/>
          <w:rFonts w:ascii="黑体" w:cs="Times New Roman"/>
        </w:rPr>
      </w:pPr>
      <w:bookmarkStart w:id="47" w:name="_Toc20222288"/>
      <w:r>
        <w:rPr>
          <w:rStyle w:val="18"/>
          <w:rFonts w:hint="eastAsia" w:ascii="黑体" w:hAnsi="黑体" w:cs="黑体"/>
        </w:rPr>
        <w:t>十、预算绩效情况说明</w:t>
      </w:r>
      <w:bookmarkEnd w:id="47"/>
    </w:p>
    <w:p>
      <w:pPr>
        <w:spacing w:line="576" w:lineRule="exact"/>
        <w:ind w:firstLine="640"/>
        <w:rPr>
          <w:rFonts w:ascii="仿宋_GB2312" w:eastAsia="仿宋_GB2312" w:cs="仿宋_GB2312"/>
          <w:b w:val="0"/>
          <w:bCs w:val="0"/>
          <w:color w:val="000000"/>
        </w:rPr>
      </w:pPr>
      <w:r>
        <w:rPr>
          <w:rFonts w:hint="eastAsia" w:ascii="仿宋_GB2312" w:eastAsia="仿宋_GB2312" w:cs="仿宋_GB2312"/>
          <w:b w:val="0"/>
          <w:bCs w:val="0"/>
          <w:color w:val="000000"/>
        </w:rPr>
        <w:t>本部门</w:t>
      </w:r>
      <w:r>
        <w:rPr>
          <w:rFonts w:ascii="仿宋_GB2312" w:eastAsia="仿宋_GB2312" w:cs="仿宋_GB2312"/>
          <w:b w:val="0"/>
          <w:bCs w:val="0"/>
          <w:color w:val="000000"/>
        </w:rPr>
        <w:t>2018</w:t>
      </w:r>
      <w:r>
        <w:rPr>
          <w:rFonts w:hint="eastAsia" w:ascii="仿宋_GB2312" w:eastAsia="仿宋_GB2312" w:cs="仿宋_GB2312"/>
          <w:b w:val="0"/>
          <w:bCs w:val="0"/>
          <w:color w:val="000000"/>
        </w:rPr>
        <w:t>年无此项内容。</w:t>
      </w:r>
    </w:p>
    <w:p>
      <w:pPr>
        <w:pStyle w:val="3"/>
        <w:ind w:firstLine="640"/>
        <w:rPr>
          <w:rStyle w:val="18"/>
          <w:rFonts w:cs="黑体"/>
        </w:rPr>
      </w:pPr>
      <w:bookmarkStart w:id="48" w:name="_Toc20222289"/>
      <w:bookmarkStart w:id="49" w:name="_Toc15377221"/>
      <w:bookmarkStart w:id="50" w:name="_Toc15396612"/>
      <w:r>
        <w:rPr>
          <w:rStyle w:val="18"/>
          <w:rFonts w:hint="eastAsia" w:cs="黑体"/>
        </w:rPr>
        <w:t>十一、其他重要事项的情况说明</w:t>
      </w:r>
      <w:bookmarkEnd w:id="48"/>
      <w:bookmarkEnd w:id="49"/>
      <w:bookmarkEnd w:id="50"/>
      <w:bookmarkStart w:id="51" w:name="_Toc15377222"/>
    </w:p>
    <w:p>
      <w:pPr>
        <w:spacing w:line="576" w:lineRule="exact"/>
        <w:ind w:firstLine="643"/>
        <w:outlineLvl w:val="2"/>
        <w:rPr>
          <w:rFonts w:ascii="楷体_GB2312" w:hAnsi="仿宋"/>
          <w:color w:val="000000"/>
        </w:rPr>
      </w:pPr>
      <w:bookmarkStart w:id="52" w:name="_Toc20222290"/>
      <w:r>
        <w:rPr>
          <w:rFonts w:hint="eastAsia" w:ascii="楷体_GB2312" w:hAnsi="仿宋" w:cs="楷体_GB2312"/>
          <w:color w:val="000000"/>
        </w:rPr>
        <w:t>（一）机关运行经费支出情况</w:t>
      </w:r>
      <w:bookmarkEnd w:id="51"/>
      <w:bookmarkEnd w:id="52"/>
    </w:p>
    <w:p>
      <w:pPr>
        <w:spacing w:line="576" w:lineRule="exact"/>
        <w:ind w:firstLine="640"/>
        <w:rPr>
          <w:rFonts w:ascii="仿宋_GB2312" w:eastAsia="仿宋_GB2312" w:cs="仿宋_GB2312"/>
          <w:color w:val="000000"/>
        </w:rPr>
      </w:pPr>
      <w:r>
        <w:rPr>
          <w:rFonts w:ascii="仿宋_GB2312" w:eastAsia="仿宋_GB2312" w:cs="仿宋_GB2312"/>
          <w:b w:val="0"/>
          <w:bCs w:val="0"/>
          <w:color w:val="000000"/>
        </w:rPr>
        <w:t>2018</w:t>
      </w:r>
      <w:r>
        <w:rPr>
          <w:rFonts w:hint="eastAsia" w:ascii="仿宋_GB2312" w:eastAsia="仿宋_GB2312" w:cs="仿宋_GB2312"/>
          <w:b w:val="0"/>
          <w:bCs w:val="0"/>
          <w:color w:val="000000"/>
        </w:rPr>
        <w:t>年，工商联机关运行经费支出</w:t>
      </w:r>
      <w:r>
        <w:rPr>
          <w:rFonts w:ascii="仿宋_GB2312" w:eastAsia="仿宋_GB2312" w:cs="仿宋_GB2312"/>
          <w:b w:val="0"/>
          <w:bCs w:val="0"/>
          <w:color w:val="000000"/>
        </w:rPr>
        <w:t>4.79</w:t>
      </w:r>
      <w:r>
        <w:rPr>
          <w:rFonts w:hint="eastAsia" w:ascii="仿宋_GB2312" w:eastAsia="仿宋_GB2312" w:cs="仿宋_GB2312"/>
          <w:b w:val="0"/>
          <w:bCs w:val="0"/>
          <w:color w:val="000000"/>
        </w:rPr>
        <w:t>万元，比</w:t>
      </w:r>
      <w:r>
        <w:rPr>
          <w:rFonts w:ascii="仿宋_GB2312" w:eastAsia="仿宋_GB2312" w:cs="仿宋_GB2312"/>
          <w:b w:val="0"/>
          <w:bCs w:val="0"/>
          <w:color w:val="000000"/>
        </w:rPr>
        <w:t>2017</w:t>
      </w:r>
      <w:r>
        <w:rPr>
          <w:rFonts w:hint="eastAsia" w:ascii="仿宋_GB2312" w:eastAsia="仿宋_GB2312" w:cs="仿宋_GB2312"/>
          <w:b w:val="0"/>
          <w:bCs w:val="0"/>
          <w:color w:val="000000"/>
        </w:rPr>
        <w:t>年减少</w:t>
      </w:r>
      <w:r>
        <w:rPr>
          <w:rFonts w:ascii="仿宋_GB2312" w:eastAsia="仿宋_GB2312" w:cs="仿宋_GB2312"/>
          <w:b w:val="0"/>
          <w:bCs w:val="0"/>
          <w:color w:val="000000"/>
        </w:rPr>
        <w:t>0.06</w:t>
      </w:r>
      <w:r>
        <w:rPr>
          <w:rFonts w:hint="eastAsia" w:ascii="仿宋_GB2312" w:eastAsia="仿宋_GB2312" w:cs="仿宋_GB2312"/>
          <w:b w:val="0"/>
          <w:bCs w:val="0"/>
          <w:color w:val="000000"/>
        </w:rPr>
        <w:t>万元，下降</w:t>
      </w:r>
      <w:r>
        <w:rPr>
          <w:rFonts w:ascii="仿宋_GB2312" w:eastAsia="仿宋_GB2312" w:cs="仿宋_GB2312"/>
          <w:b w:val="0"/>
          <w:bCs w:val="0"/>
          <w:color w:val="000000"/>
        </w:rPr>
        <w:t>1.23%</w:t>
      </w:r>
      <w:r>
        <w:rPr>
          <w:rFonts w:hint="eastAsia" w:ascii="仿宋_GB2312" w:eastAsia="仿宋_GB2312" w:cs="仿宋_GB2312"/>
          <w:b w:val="0"/>
          <w:bCs w:val="0"/>
          <w:color w:val="000000"/>
        </w:rPr>
        <w:t>，主要原因是单位节约支出。</w:t>
      </w:r>
      <w:bookmarkStart w:id="53" w:name="_Toc15377223"/>
      <w:r>
        <w:rPr>
          <w:rFonts w:ascii="仿宋_GB2312" w:eastAsia="仿宋_GB2312" w:cs="仿宋_GB2312"/>
          <w:b w:val="0"/>
          <w:bCs w:val="0"/>
          <w:color w:val="000000"/>
        </w:rPr>
        <w:t xml:space="preserve">  </w:t>
      </w:r>
      <w:r>
        <w:rPr>
          <w:rFonts w:ascii="仿宋_GB2312" w:eastAsia="仿宋_GB2312" w:cs="仿宋_GB2312"/>
          <w:color w:val="000000"/>
        </w:rPr>
        <w:t xml:space="preserve">           </w:t>
      </w:r>
    </w:p>
    <w:p>
      <w:pPr>
        <w:spacing w:line="576" w:lineRule="exact"/>
        <w:ind w:firstLine="643"/>
        <w:rPr>
          <w:rFonts w:ascii="仿宋" w:hAnsi="仿宋" w:eastAsia="仿宋"/>
          <w:b w:val="0"/>
          <w:bCs w:val="0"/>
          <w:color w:val="000000"/>
        </w:rPr>
      </w:pPr>
      <w:r>
        <w:rPr>
          <w:rFonts w:hint="eastAsia" w:cs="楷体_GB2312"/>
        </w:rPr>
        <w:t>（二）政府采购支出情况</w:t>
      </w:r>
      <w:bookmarkEnd w:id="53"/>
    </w:p>
    <w:p>
      <w:pPr>
        <w:spacing w:line="576" w:lineRule="exact"/>
        <w:ind w:firstLine="640"/>
        <w:rPr>
          <w:rFonts w:ascii="仿宋_GB2312" w:eastAsia="仿宋_GB2312"/>
          <w:b w:val="0"/>
          <w:bCs w:val="0"/>
          <w:color w:val="000000"/>
        </w:rPr>
      </w:pPr>
      <w:r>
        <w:rPr>
          <w:rFonts w:hint="eastAsia" w:ascii="仿宋_GB2312" w:eastAsia="仿宋_GB2312" w:cs="仿宋_GB2312"/>
          <w:b w:val="0"/>
          <w:bCs w:val="0"/>
          <w:color w:val="000000"/>
        </w:rPr>
        <w:t>茂县工商联</w:t>
      </w:r>
      <w:r>
        <w:rPr>
          <w:rFonts w:ascii="仿宋_GB2312" w:eastAsia="仿宋_GB2312" w:cs="仿宋_GB2312"/>
          <w:b w:val="0"/>
          <w:bCs w:val="0"/>
          <w:color w:val="000000"/>
        </w:rPr>
        <w:t>2018</w:t>
      </w:r>
      <w:r>
        <w:rPr>
          <w:rFonts w:hint="eastAsia" w:ascii="仿宋_GB2312" w:eastAsia="仿宋_GB2312" w:cs="仿宋_GB2312"/>
          <w:b w:val="0"/>
          <w:bCs w:val="0"/>
          <w:color w:val="000000"/>
        </w:rPr>
        <w:t>年无</w:t>
      </w:r>
      <w:r>
        <w:rPr>
          <w:rFonts w:hint="eastAsia" w:ascii="仿宋_GB2312" w:hAnsi="仿宋" w:eastAsia="仿宋_GB2312" w:cs="仿宋_GB2312"/>
          <w:b w:val="0"/>
          <w:bCs w:val="0"/>
          <w:color w:val="000000"/>
        </w:rPr>
        <w:t>政府采购支出。</w:t>
      </w:r>
    </w:p>
    <w:p>
      <w:pPr>
        <w:spacing w:line="576" w:lineRule="exact"/>
        <w:ind w:firstLine="643"/>
      </w:pPr>
      <w:bookmarkStart w:id="54" w:name="_Toc15377224"/>
      <w:r>
        <w:rPr>
          <w:rFonts w:hint="eastAsia" w:cs="楷体_GB2312"/>
        </w:rPr>
        <w:t>（三）国有资产占有使用情况</w:t>
      </w:r>
      <w:bookmarkEnd w:id="54"/>
    </w:p>
    <w:p>
      <w:pPr>
        <w:autoSpaceDE w:val="0"/>
        <w:autoSpaceDN w:val="0"/>
        <w:adjustRightInd w:val="0"/>
        <w:spacing w:line="576" w:lineRule="exact"/>
        <w:ind w:firstLine="640"/>
        <w:jc w:val="left"/>
        <w:rPr>
          <w:rFonts w:ascii="仿宋_GB2312" w:eastAsia="仿宋_GB2312" w:cs="仿宋_GB2312"/>
          <w:b w:val="0"/>
          <w:bCs w:val="0"/>
          <w:color w:val="000000"/>
        </w:rPr>
      </w:pPr>
      <w:bookmarkStart w:id="55" w:name="_Toc20222291"/>
      <w:bookmarkStart w:id="56" w:name="_Toc15377225"/>
      <w:bookmarkStart w:id="57" w:name="_Toc15396613"/>
      <w:r>
        <w:rPr>
          <w:rFonts w:hint="eastAsia" w:ascii="仿宋_GB2312" w:eastAsia="仿宋_GB2312" w:cs="仿宋_GB2312"/>
          <w:b w:val="0"/>
          <w:bCs w:val="0"/>
          <w:color w:val="000000"/>
        </w:rPr>
        <w:t>截至</w:t>
      </w:r>
      <w:r>
        <w:rPr>
          <w:rFonts w:ascii="仿宋_GB2312" w:eastAsia="仿宋_GB2312" w:cs="仿宋_GB2312"/>
          <w:b w:val="0"/>
          <w:bCs w:val="0"/>
          <w:color w:val="000000"/>
        </w:rPr>
        <w:t>2018</w:t>
      </w:r>
      <w:r>
        <w:rPr>
          <w:rFonts w:hint="eastAsia" w:ascii="仿宋_GB2312" w:eastAsia="仿宋_GB2312" w:cs="仿宋_GB2312"/>
          <w:b w:val="0"/>
          <w:bCs w:val="0"/>
          <w:color w:val="000000"/>
        </w:rPr>
        <w:t>年</w:t>
      </w:r>
      <w:r>
        <w:rPr>
          <w:rFonts w:ascii="仿宋_GB2312" w:eastAsia="仿宋_GB2312" w:cs="仿宋_GB2312"/>
          <w:b w:val="0"/>
          <w:bCs w:val="0"/>
          <w:color w:val="000000"/>
        </w:rPr>
        <w:t>12</w:t>
      </w:r>
      <w:r>
        <w:rPr>
          <w:rFonts w:hint="eastAsia" w:ascii="仿宋_GB2312" w:eastAsia="仿宋_GB2312" w:cs="仿宋_GB2312"/>
          <w:b w:val="0"/>
          <w:bCs w:val="0"/>
          <w:color w:val="000000"/>
        </w:rPr>
        <w:t>月</w:t>
      </w:r>
      <w:r>
        <w:rPr>
          <w:rFonts w:ascii="仿宋_GB2312" w:eastAsia="仿宋_GB2312" w:cs="仿宋_GB2312"/>
          <w:b w:val="0"/>
          <w:bCs w:val="0"/>
          <w:color w:val="000000"/>
        </w:rPr>
        <w:t>31</w:t>
      </w:r>
      <w:r>
        <w:rPr>
          <w:rFonts w:hint="eastAsia" w:ascii="仿宋_GB2312" w:eastAsia="仿宋_GB2312" w:cs="仿宋_GB2312"/>
          <w:b w:val="0"/>
          <w:bCs w:val="0"/>
          <w:color w:val="000000"/>
        </w:rPr>
        <w:t>日，本部门共有车辆</w:t>
      </w:r>
      <w:r>
        <w:rPr>
          <w:rFonts w:ascii="仿宋_GB2312" w:eastAsia="仿宋_GB2312" w:cs="仿宋_GB2312"/>
          <w:b w:val="0"/>
          <w:bCs w:val="0"/>
          <w:color w:val="000000"/>
        </w:rPr>
        <w:t>,0</w:t>
      </w:r>
      <w:r>
        <w:rPr>
          <w:rFonts w:hint="eastAsia" w:ascii="仿宋_GB2312" w:eastAsia="仿宋_GB2312" w:cs="仿宋_GB2312"/>
          <w:b w:val="0"/>
          <w:bCs w:val="0"/>
          <w:color w:val="000000"/>
        </w:rPr>
        <w:t>辆，其中：领导干部用车</w:t>
      </w:r>
      <w:r>
        <w:rPr>
          <w:rFonts w:ascii="仿宋_GB2312" w:eastAsia="仿宋_GB2312" w:cs="仿宋_GB2312"/>
          <w:b w:val="0"/>
          <w:bCs w:val="0"/>
          <w:color w:val="000000"/>
        </w:rPr>
        <w:t>0</w:t>
      </w:r>
      <w:r>
        <w:rPr>
          <w:rFonts w:hint="eastAsia" w:ascii="仿宋_GB2312" w:eastAsia="仿宋_GB2312" w:cs="仿宋_GB2312"/>
          <w:b w:val="0"/>
          <w:bCs w:val="0"/>
          <w:color w:val="000000"/>
        </w:rPr>
        <w:t>辆、一般公务用车</w:t>
      </w:r>
      <w:r>
        <w:rPr>
          <w:rFonts w:ascii="仿宋_GB2312" w:eastAsia="仿宋_GB2312" w:cs="仿宋_GB2312"/>
          <w:b w:val="0"/>
          <w:bCs w:val="0"/>
          <w:color w:val="000000"/>
        </w:rPr>
        <w:t>0</w:t>
      </w:r>
      <w:r>
        <w:rPr>
          <w:rFonts w:hint="eastAsia" w:ascii="仿宋_GB2312" w:eastAsia="仿宋_GB2312" w:cs="仿宋_GB2312"/>
          <w:b w:val="0"/>
          <w:bCs w:val="0"/>
          <w:color w:val="000000"/>
        </w:rPr>
        <w:t>辆、一般执法执勤用车</w:t>
      </w:r>
      <w:r>
        <w:rPr>
          <w:rFonts w:ascii="仿宋_GB2312" w:eastAsia="仿宋_GB2312" w:cs="仿宋_GB2312"/>
          <w:b w:val="0"/>
          <w:bCs w:val="0"/>
          <w:color w:val="000000"/>
        </w:rPr>
        <w:t>0</w:t>
      </w:r>
      <w:r>
        <w:rPr>
          <w:rFonts w:hint="eastAsia" w:ascii="仿宋_GB2312" w:eastAsia="仿宋_GB2312" w:cs="仿宋_GB2312"/>
          <w:b w:val="0"/>
          <w:bCs w:val="0"/>
          <w:color w:val="000000"/>
        </w:rPr>
        <w:t>辆、特种专业技术用车</w:t>
      </w:r>
      <w:r>
        <w:rPr>
          <w:rFonts w:ascii="仿宋_GB2312" w:eastAsia="仿宋_GB2312" w:cs="仿宋_GB2312"/>
          <w:b w:val="0"/>
          <w:bCs w:val="0"/>
          <w:color w:val="000000"/>
        </w:rPr>
        <w:t>0</w:t>
      </w:r>
      <w:r>
        <w:rPr>
          <w:rFonts w:hint="eastAsia" w:ascii="仿宋_GB2312" w:eastAsia="仿宋_GB2312" w:cs="仿宋_GB2312"/>
          <w:b w:val="0"/>
          <w:bCs w:val="0"/>
          <w:color w:val="000000"/>
        </w:rPr>
        <w:t>辆、其他用车</w:t>
      </w:r>
      <w:r>
        <w:rPr>
          <w:rFonts w:ascii="仿宋_GB2312" w:eastAsia="仿宋_GB2312" w:cs="仿宋_GB2312"/>
          <w:b w:val="0"/>
          <w:bCs w:val="0"/>
          <w:color w:val="000000"/>
        </w:rPr>
        <w:t>0</w:t>
      </w:r>
      <w:r>
        <w:rPr>
          <w:rFonts w:hint="eastAsia" w:ascii="仿宋_GB2312" w:eastAsia="仿宋_GB2312" w:cs="仿宋_GB2312"/>
          <w:b w:val="0"/>
          <w:bCs w:val="0"/>
          <w:color w:val="000000"/>
        </w:rPr>
        <w:t>辆，其他用车单价</w:t>
      </w:r>
      <w:r>
        <w:rPr>
          <w:rFonts w:ascii="仿宋_GB2312" w:eastAsia="仿宋_GB2312" w:cs="仿宋_GB2312"/>
          <w:b w:val="0"/>
          <w:bCs w:val="0"/>
          <w:color w:val="000000"/>
        </w:rPr>
        <w:t>50</w:t>
      </w:r>
      <w:r>
        <w:rPr>
          <w:rFonts w:hint="eastAsia" w:ascii="仿宋_GB2312" w:eastAsia="仿宋_GB2312" w:cs="仿宋_GB2312"/>
          <w:b w:val="0"/>
          <w:bCs w:val="0"/>
          <w:color w:val="000000"/>
        </w:rPr>
        <w:t>万元以上通用设备</w:t>
      </w:r>
      <w:r>
        <w:rPr>
          <w:rFonts w:ascii="仿宋_GB2312" w:eastAsia="仿宋_GB2312" w:cs="仿宋_GB2312"/>
          <w:b w:val="0"/>
          <w:bCs w:val="0"/>
          <w:color w:val="000000"/>
        </w:rPr>
        <w:t>0</w:t>
      </w:r>
      <w:r>
        <w:rPr>
          <w:rFonts w:hint="eastAsia" w:ascii="仿宋_GB2312" w:eastAsia="仿宋_GB2312" w:cs="仿宋_GB2312"/>
          <w:b w:val="0"/>
          <w:bCs w:val="0"/>
          <w:color w:val="000000"/>
        </w:rPr>
        <w:t>台，单价</w:t>
      </w:r>
      <w:r>
        <w:rPr>
          <w:rFonts w:ascii="仿宋_GB2312" w:eastAsia="仿宋_GB2312" w:cs="仿宋_GB2312"/>
          <w:b w:val="0"/>
          <w:bCs w:val="0"/>
          <w:color w:val="000000"/>
        </w:rPr>
        <w:t>100</w:t>
      </w:r>
      <w:r>
        <w:rPr>
          <w:rFonts w:hint="eastAsia" w:ascii="仿宋_GB2312" w:eastAsia="仿宋_GB2312" w:cs="仿宋_GB2312"/>
          <w:b w:val="0"/>
          <w:bCs w:val="0"/>
          <w:color w:val="000000"/>
        </w:rPr>
        <w:t>万元以上专用设备</w:t>
      </w:r>
      <w:r>
        <w:rPr>
          <w:rFonts w:ascii="仿宋_GB2312" w:eastAsia="仿宋_GB2312" w:cs="仿宋_GB2312"/>
          <w:b w:val="0"/>
          <w:bCs w:val="0"/>
          <w:color w:val="000000"/>
        </w:rPr>
        <w:t>0</w:t>
      </w:r>
      <w:r>
        <w:rPr>
          <w:rFonts w:hint="eastAsia" w:ascii="仿宋_GB2312" w:eastAsia="仿宋_GB2312" w:cs="仿宋_GB2312"/>
          <w:b w:val="0"/>
          <w:bCs w:val="0"/>
          <w:color w:val="000000"/>
        </w:rPr>
        <w:t>台。</w:t>
      </w:r>
    </w:p>
    <w:p>
      <w:pPr>
        <w:autoSpaceDE w:val="0"/>
        <w:autoSpaceDN w:val="0"/>
        <w:adjustRightInd w:val="0"/>
        <w:spacing w:line="576" w:lineRule="exact"/>
        <w:ind w:firstLine="640"/>
        <w:jc w:val="left"/>
        <w:rPr>
          <w:rFonts w:ascii="仿宋_GB2312" w:eastAsia="仿宋_GB2312" w:cs="仿宋_GB2312"/>
          <w:b w:val="0"/>
          <w:bCs w:val="0"/>
          <w:color w:val="000000"/>
        </w:rPr>
      </w:pPr>
    </w:p>
    <w:p>
      <w:pPr>
        <w:autoSpaceDE w:val="0"/>
        <w:autoSpaceDN w:val="0"/>
        <w:adjustRightInd w:val="0"/>
        <w:spacing w:line="576" w:lineRule="exact"/>
        <w:ind w:firstLine="640"/>
        <w:jc w:val="left"/>
        <w:rPr>
          <w:rFonts w:ascii="仿宋_GB2312" w:eastAsia="仿宋_GB2312" w:cs="仿宋_GB2312"/>
          <w:b w:val="0"/>
          <w:bCs w:val="0"/>
          <w:color w:val="000000"/>
        </w:rPr>
      </w:pPr>
    </w:p>
    <w:p>
      <w:pPr>
        <w:autoSpaceDE w:val="0"/>
        <w:autoSpaceDN w:val="0"/>
        <w:adjustRightInd w:val="0"/>
        <w:spacing w:line="576" w:lineRule="exact"/>
        <w:ind w:firstLine="640"/>
        <w:jc w:val="left"/>
        <w:rPr>
          <w:rFonts w:ascii="仿宋_GB2312" w:eastAsia="仿宋_GB2312" w:cs="仿宋_GB2312"/>
          <w:b w:val="0"/>
          <w:bCs w:val="0"/>
          <w:color w:val="000000"/>
        </w:rPr>
      </w:pPr>
    </w:p>
    <w:p>
      <w:pPr>
        <w:pStyle w:val="2"/>
        <w:ind w:firstLine="880"/>
        <w:rPr>
          <w:rStyle w:val="17"/>
          <w:b w:val="0"/>
          <w:bCs w:val="0"/>
        </w:rPr>
      </w:pPr>
      <w:r>
        <w:rPr>
          <w:rFonts w:hint="eastAsia" w:cs="方正小标宋简体"/>
          <w:b w:val="0"/>
          <w:bCs w:val="0"/>
        </w:rPr>
        <w:t>第三部分</w:t>
      </w:r>
      <w:r>
        <w:rPr>
          <w:b w:val="0"/>
          <w:bCs w:val="0"/>
        </w:rPr>
        <w:t xml:space="preserve">  </w:t>
      </w:r>
      <w:r>
        <w:rPr>
          <w:rFonts w:hint="eastAsia" w:cs="方正小标宋简体"/>
          <w:b w:val="0"/>
          <w:bCs w:val="0"/>
        </w:rPr>
        <w:t>名</w:t>
      </w:r>
      <w:r>
        <w:rPr>
          <w:rStyle w:val="17"/>
          <w:rFonts w:hint="eastAsia" w:cs="方正小标宋简体"/>
          <w:b w:val="0"/>
          <w:bCs w:val="0"/>
        </w:rPr>
        <w:t>词解释</w:t>
      </w:r>
      <w:bookmarkEnd w:id="55"/>
      <w:bookmarkEnd w:id="56"/>
      <w:bookmarkEnd w:id="57"/>
    </w:p>
    <w:p>
      <w:pPr>
        <w:pStyle w:val="25"/>
        <w:autoSpaceDE/>
        <w:autoSpaceDN/>
        <w:adjustRightInd/>
        <w:spacing w:line="540"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5"/>
        <w:autoSpaceDE/>
        <w:autoSpaceDN/>
        <w:adjustRightInd/>
        <w:spacing w:line="540" w:lineRule="exact"/>
        <w:jc w:val="both"/>
        <w:rPr>
          <w:rFonts w:ascii="仿宋_GB2312" w:eastAsia="仿宋_GB2312" w:cs="仿宋_GB2312"/>
          <w:sz w:val="32"/>
          <w:szCs w:val="32"/>
        </w:rPr>
      </w:pPr>
      <w:r>
        <w:rPr>
          <w:rFonts w:ascii="仿宋_GB2312" w:eastAsia="仿宋_GB2312" w:cs="仿宋_GB2312"/>
          <w:sz w:val="32"/>
          <w:szCs w:val="32"/>
        </w:rPr>
        <w:t xml:space="preserve">    2.</w:t>
      </w:r>
      <w:r>
        <w:rPr>
          <w:rFonts w:hint="eastAsia" w:ascii="仿宋_GB2312" w:eastAsia="仿宋_GB2312" w:cs="仿宋_GB2312"/>
          <w:sz w:val="32"/>
          <w:szCs w:val="32"/>
        </w:rPr>
        <w:t>年初结转和结余：指以前年度尚未完成、结转到本年按有关规定继续使用的资金。</w:t>
      </w:r>
      <w:r>
        <w:rPr>
          <w:rFonts w:ascii="仿宋_GB2312" w:eastAsia="仿宋_GB2312" w:cs="仿宋_GB2312"/>
          <w:sz w:val="32"/>
          <w:szCs w:val="32"/>
        </w:rPr>
        <w:t xml:space="preserve"> </w:t>
      </w:r>
    </w:p>
    <w:p>
      <w:pPr>
        <w:pStyle w:val="25"/>
        <w:autoSpaceDE/>
        <w:autoSpaceDN/>
        <w:adjustRightInd/>
        <w:spacing w:line="540"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lang w:eastAsia="zh-CN"/>
        </w:rPr>
        <w:t>.</w:t>
      </w:r>
      <w:r>
        <w:rPr>
          <w:rFonts w:hint="eastAsia" w:ascii="仿宋_GB2312" w:eastAsia="仿宋_GB2312" w:cs="仿宋_GB2312"/>
          <w:sz w:val="32"/>
          <w:szCs w:val="32"/>
        </w:rPr>
        <w:t>年末结转和结余：指单位按有关规定结转到下年或以后年度继续使用的资金。</w:t>
      </w:r>
    </w:p>
    <w:p>
      <w:pPr>
        <w:pStyle w:val="25"/>
        <w:autoSpaceDE/>
        <w:autoSpaceDN/>
        <w:adjustRightInd/>
        <w:spacing w:line="540" w:lineRule="exact"/>
        <w:ind w:firstLine="640" w:firstLineChars="200"/>
        <w:jc w:val="both"/>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一般公共服务（类）民主党派及工商联事务（款）行政运行（项）：指机关及参公管理事业单位用于保障机构正常运行、开展日常工作的基本支出</w:t>
      </w:r>
      <w:r>
        <w:rPr>
          <w:rFonts w:ascii="仿宋_GB2312" w:eastAsia="仿宋_GB2312" w:cs="仿宋_GB2312"/>
          <w:sz w:val="32"/>
          <w:szCs w:val="32"/>
        </w:rPr>
        <w:t xml:space="preserve">. </w:t>
      </w:r>
    </w:p>
    <w:p>
      <w:pPr>
        <w:pStyle w:val="25"/>
        <w:autoSpaceDE/>
        <w:autoSpaceDN/>
        <w:adjustRightInd/>
        <w:spacing w:line="540" w:lineRule="exact"/>
        <w:ind w:firstLine="640" w:firstLineChars="200"/>
        <w:jc w:val="both"/>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医疗卫生与计划生育（类）行政事业单位医疗（款）行政单位医疗（项）：指行政单位医疗，反映用于医疗保障方面的支出，指财政部门集中安排的行政单位的公费医疗经费，按国家规定享受离休人员、红军老战士待遇人员的医疗经费。</w:t>
      </w:r>
    </w:p>
    <w:p>
      <w:pPr>
        <w:pStyle w:val="25"/>
        <w:autoSpaceDE/>
        <w:autoSpaceDN/>
        <w:adjustRightInd/>
        <w:spacing w:line="540" w:lineRule="exact"/>
        <w:ind w:firstLine="640" w:firstLineChars="200"/>
        <w:jc w:val="both"/>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社会保障和就业（类）行政事业单位离退休（款）养老保险（项）：机关事业单位基本养老保险缴费支出，反映机关事业单位实施养老保险制度由单位缴纳的基本养老保险费支出。</w:t>
      </w:r>
    </w:p>
    <w:p>
      <w:pPr>
        <w:pStyle w:val="25"/>
        <w:autoSpaceDE/>
        <w:autoSpaceDN/>
        <w:adjustRightInd/>
        <w:spacing w:line="540" w:lineRule="exact"/>
        <w:ind w:firstLine="640" w:firstLineChars="200"/>
        <w:jc w:val="both"/>
        <w:rPr>
          <w:rFonts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社会保障和就业（类）行政事业单位离退休（款）职业年金（项）：机关事业单位职业年金缴费支出，反映机关事业单位实施养老保险制度由单位实际缴纳的职业年金支出。</w:t>
      </w:r>
    </w:p>
    <w:p>
      <w:pPr>
        <w:pStyle w:val="25"/>
        <w:autoSpaceDE/>
        <w:autoSpaceDN/>
        <w:adjustRightInd/>
        <w:spacing w:line="540" w:lineRule="exact"/>
        <w:ind w:firstLine="640" w:firstLineChars="200"/>
        <w:jc w:val="both"/>
        <w:rPr>
          <w:rFonts w:ascii="仿宋_GB2312" w:eastAsia="仿宋_GB2312" w:cs="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住房保障支出（类）住房改革支出（款）住房公积金（项）：住房改革支出，反映行政事业单位按人力资源和社会保障部、财政部规定的基本工资和津贴补贴以及规定比例为职工缴纳的住房公积金。</w:t>
      </w:r>
    </w:p>
    <w:p>
      <w:pPr>
        <w:spacing w:line="540" w:lineRule="exact"/>
        <w:ind w:firstLine="640"/>
        <w:rPr>
          <w:rFonts w:ascii="仿宋_GB2312" w:eastAsia="仿宋_GB2312"/>
          <w:b w:val="0"/>
          <w:bCs w:val="0"/>
          <w:color w:val="000000"/>
        </w:rPr>
      </w:pPr>
      <w:r>
        <w:rPr>
          <w:rFonts w:ascii="仿宋_GB2312" w:eastAsia="仿宋_GB2312" w:cs="仿宋_GB2312"/>
          <w:b w:val="0"/>
          <w:bCs w:val="0"/>
          <w:color w:val="000000"/>
        </w:rPr>
        <w:t>9.</w:t>
      </w:r>
      <w:r>
        <w:rPr>
          <w:rFonts w:hint="eastAsia" w:ascii="仿宋_GB2312" w:eastAsia="仿宋_GB2312" w:cs="仿宋_GB2312"/>
          <w:b w:val="0"/>
          <w:bCs w:val="0"/>
          <w:color w:val="000000"/>
        </w:rPr>
        <w:t>基本支出：指为保障机构正常运转、完成日常工作任务而发生的人员支出和公用支出。</w:t>
      </w:r>
    </w:p>
    <w:p>
      <w:pPr>
        <w:spacing w:line="540" w:lineRule="exact"/>
        <w:ind w:firstLine="640"/>
        <w:rPr>
          <w:rFonts w:ascii="仿宋_GB2312" w:eastAsia="仿宋_GB2312" w:cs="仿宋_GB2312"/>
          <w:b w:val="0"/>
          <w:bCs w:val="0"/>
          <w:color w:val="000000"/>
        </w:rPr>
      </w:pPr>
      <w:r>
        <w:rPr>
          <w:rFonts w:ascii="仿宋_GB2312" w:eastAsia="仿宋_GB2312" w:cs="仿宋_GB2312"/>
          <w:b w:val="0"/>
          <w:bCs w:val="0"/>
          <w:color w:val="000000"/>
        </w:rPr>
        <w:t>10.</w:t>
      </w:r>
      <w:r>
        <w:rPr>
          <w:rFonts w:hint="eastAsia" w:ascii="仿宋_GB2312" w:eastAsia="仿宋_GB2312" w:cs="仿宋_GB2312"/>
          <w:b w:val="0"/>
          <w:bCs w:val="0"/>
          <w:color w:val="000000"/>
        </w:rPr>
        <w:t>项目支出：指在基本支出之外为完成特定行政任务和事业发展目标所发生的支出。</w:t>
      </w:r>
      <w:r>
        <w:rPr>
          <w:rFonts w:ascii="仿宋_GB2312" w:eastAsia="仿宋_GB2312" w:cs="仿宋_GB2312"/>
          <w:b w:val="0"/>
          <w:bCs w:val="0"/>
          <w:color w:val="000000"/>
        </w:rPr>
        <w:t xml:space="preserve"> </w:t>
      </w:r>
    </w:p>
    <w:p>
      <w:pPr>
        <w:spacing w:line="540" w:lineRule="exact"/>
        <w:ind w:firstLine="640"/>
        <w:rPr>
          <w:rFonts w:ascii="仿宋_GB2312" w:eastAsia="仿宋_GB2312"/>
          <w:b w:val="0"/>
          <w:bCs w:val="0"/>
          <w:color w:val="000000"/>
        </w:rPr>
      </w:pPr>
      <w:r>
        <w:rPr>
          <w:rFonts w:ascii="仿宋_GB2312" w:eastAsia="仿宋_GB2312" w:cs="仿宋_GB2312"/>
          <w:b w:val="0"/>
          <w:bCs w:val="0"/>
          <w:color w:val="000000"/>
        </w:rPr>
        <w:t>11.</w:t>
      </w:r>
      <w:r>
        <w:rPr>
          <w:rFonts w:hint="eastAsia" w:ascii="仿宋_GB2312" w:eastAsia="仿宋_GB2312" w:cs="仿宋_GB2312"/>
          <w:b w:val="0"/>
          <w:bCs w:val="0"/>
          <w:color w:val="000000"/>
        </w:rPr>
        <w:t>经营支出：指事业单位在专业业务活动及其辅助活动之外开展非独立核算经营活动发生的支出。</w:t>
      </w:r>
    </w:p>
    <w:p>
      <w:pPr>
        <w:pStyle w:val="25"/>
        <w:autoSpaceDE/>
        <w:autoSpaceDN/>
        <w:adjustRightInd/>
        <w:spacing w:line="540"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12.</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autoSpaceDE/>
        <w:autoSpaceDN/>
        <w:adjustRightInd/>
        <w:spacing w:line="540"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13.</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spacing w:line="560" w:lineRule="exact"/>
        <w:ind w:firstLine="640" w:firstLineChars="200"/>
        <w:rPr>
          <w:rFonts w:ascii="仿宋_GB2312" w:eastAsia="仿宋_GB2312" w:cs="Times New Roman"/>
          <w:sz w:val="32"/>
          <w:szCs w:val="32"/>
        </w:rPr>
      </w:pPr>
    </w:p>
    <w:p>
      <w:pPr>
        <w:pStyle w:val="2"/>
        <w:spacing w:before="0" w:after="0" w:line="576" w:lineRule="exact"/>
        <w:ind w:firstLine="880"/>
        <w:rPr>
          <w:rStyle w:val="17"/>
          <w:rFonts w:hint="eastAsia" w:ascii="方正小标宋简体" w:hAnsi="方正小标宋简体" w:eastAsia="方正小标宋简体" w:cs="方正小标宋简体"/>
          <w:b w:val="0"/>
          <w:bCs w:val="0"/>
        </w:rPr>
      </w:pPr>
      <w:bookmarkStart w:id="58" w:name="_Toc20222292"/>
      <w:bookmarkStart w:id="59" w:name="_Toc15396614"/>
      <w:r>
        <w:rPr>
          <w:rStyle w:val="17"/>
          <w:rFonts w:hint="eastAsia" w:ascii="方正小标宋简体" w:hAnsi="方正小标宋简体" w:eastAsia="方正小标宋简体" w:cs="方正小标宋简体"/>
          <w:b w:val="0"/>
          <w:bCs w:val="0"/>
        </w:rPr>
        <w:t>第四部分   附件</w:t>
      </w:r>
      <w:bookmarkEnd w:id="58"/>
      <w:bookmarkEnd w:id="59"/>
    </w:p>
    <w:p>
      <w:pPr>
        <w:pStyle w:val="2"/>
        <w:spacing w:before="0" w:after="0" w:line="576" w:lineRule="exact"/>
        <w:ind w:firstLine="0" w:firstLineChars="0"/>
        <w:rPr>
          <w:rFonts w:hint="eastAsia" w:ascii="方正小标宋简体" w:hAnsi="方正小标宋简体" w:eastAsia="方正小标宋简体" w:cs="方正小标宋简体"/>
          <w:b w:val="0"/>
          <w:bCs w:val="0"/>
          <w:lang w:val="zh-CN"/>
        </w:rPr>
      </w:pPr>
      <w:bookmarkStart w:id="60" w:name="_Toc20222293"/>
    </w:p>
    <w:p>
      <w:pPr>
        <w:pStyle w:val="2"/>
        <w:spacing w:before="0" w:after="0" w:line="576" w:lineRule="exact"/>
        <w:ind w:firstLine="0" w:firstLineChars="0"/>
        <w:rPr>
          <w:rFonts w:hint="eastAsia" w:ascii="方正小标宋简体" w:hAnsi="方正小标宋简体" w:eastAsia="方正小标宋简体" w:cs="方正小标宋简体"/>
          <w:b w:val="0"/>
          <w:bCs w:val="0"/>
          <w:shd w:val="clear" w:color="auto" w:fill="FFFFFF"/>
        </w:rPr>
      </w:pPr>
      <w:r>
        <w:rPr>
          <w:rFonts w:hint="eastAsia" w:ascii="方正小标宋简体" w:hAnsi="方正小标宋简体" w:eastAsia="方正小标宋简体" w:cs="方正小标宋简体"/>
          <w:b w:val="0"/>
          <w:bCs w:val="0"/>
          <w:lang w:val="zh-CN"/>
        </w:rPr>
        <w:t>茂县工商业联合会</w:t>
      </w:r>
      <w:r>
        <w:rPr>
          <w:rFonts w:hint="eastAsia" w:ascii="方正小标宋简体" w:hAnsi="方正小标宋简体" w:eastAsia="方正小标宋简体" w:cs="方正小标宋简体"/>
          <w:b w:val="0"/>
          <w:bCs w:val="0"/>
          <w:lang w:val="zh-CN"/>
        </w:rPr>
        <w:br w:type="textWrapping"/>
      </w:r>
      <w:r>
        <w:rPr>
          <w:rFonts w:hint="eastAsia" w:ascii="方正小标宋简体" w:hAnsi="方正小标宋简体" w:eastAsia="方正小标宋简体" w:cs="方正小标宋简体"/>
          <w:b w:val="0"/>
          <w:bCs w:val="0"/>
          <w:shd w:val="clear" w:color="auto" w:fill="FFFFFF"/>
        </w:rPr>
        <w:t>2018年部门整体支出绩效报告</w:t>
      </w:r>
      <w:bookmarkEnd w:id="60"/>
    </w:p>
    <w:p>
      <w:pPr>
        <w:widowControl/>
        <w:adjustRightInd w:val="0"/>
        <w:snapToGrid w:val="0"/>
        <w:spacing w:line="540" w:lineRule="exact"/>
        <w:ind w:firstLine="643"/>
        <w:jc w:val="left"/>
        <w:rPr>
          <w:rFonts w:ascii="黑体" w:hAnsi="宋体" w:eastAsia="黑体"/>
          <w:color w:val="000000"/>
          <w:kern w:val="0"/>
          <w:shd w:val="clear" w:color="auto" w:fill="FFFFFF"/>
        </w:rPr>
      </w:pPr>
    </w:p>
    <w:p>
      <w:pPr>
        <w:pStyle w:val="3"/>
        <w:ind w:firstLine="640"/>
        <w:rPr>
          <w:rFonts w:cs="Times New Roman"/>
          <w:shd w:val="clear" w:color="auto" w:fill="FFFFFF"/>
          <w:lang w:val="zh-CN"/>
        </w:rPr>
      </w:pPr>
      <w:bookmarkStart w:id="61" w:name="_Toc20222294"/>
      <w:r>
        <w:rPr>
          <w:rFonts w:hint="eastAsia" w:cs="黑体"/>
          <w:shd w:val="clear" w:color="auto" w:fill="FFFFFF"/>
        </w:rPr>
        <w:t>一、</w:t>
      </w:r>
      <w:r>
        <w:rPr>
          <w:rFonts w:hint="eastAsia" w:cs="黑体"/>
          <w:shd w:val="clear" w:color="auto" w:fill="FFFFFF"/>
          <w:lang w:val="zh-CN"/>
        </w:rPr>
        <w:t>部门（单位）概况</w:t>
      </w:r>
      <w:bookmarkEnd w:id="61"/>
    </w:p>
    <w:p>
      <w:pPr>
        <w:spacing w:line="576" w:lineRule="exact"/>
        <w:ind w:firstLine="643"/>
        <w:rPr>
          <w:rFonts w:ascii="仿宋_GB2312" w:eastAsia="仿宋_GB2312"/>
        </w:rPr>
      </w:pPr>
      <w:r>
        <w:rPr>
          <w:rFonts w:hint="eastAsia" w:ascii="仿宋_GB2312" w:hAnsi="仿宋_GB2312" w:cs="楷体_GB2312"/>
        </w:rPr>
        <w:t>（一）机构组成</w:t>
      </w:r>
    </w:p>
    <w:p>
      <w:pPr>
        <w:spacing w:line="576" w:lineRule="exact"/>
        <w:ind w:firstLine="640"/>
        <w:rPr>
          <w:rFonts w:ascii="仿宋_GB2312" w:eastAsia="仿宋_GB2312"/>
          <w:b w:val="0"/>
          <w:bCs w:val="0"/>
        </w:rPr>
      </w:pPr>
      <w:r>
        <w:rPr>
          <w:rFonts w:hint="eastAsia" w:ascii="仿宋_GB2312" w:eastAsia="仿宋_GB2312" w:cs="仿宋_GB2312"/>
          <w:b w:val="0"/>
          <w:bCs w:val="0"/>
        </w:rPr>
        <w:t>本单位是行政单位，属一级预算单位，其中内设机构</w:t>
      </w:r>
      <w:r>
        <w:rPr>
          <w:rFonts w:ascii="仿宋_GB2312" w:eastAsia="仿宋_GB2312" w:cs="仿宋_GB2312"/>
          <w:b w:val="0"/>
          <w:bCs w:val="0"/>
        </w:rPr>
        <w:t>1</w:t>
      </w:r>
      <w:r>
        <w:rPr>
          <w:rFonts w:hint="eastAsia" w:ascii="仿宋_GB2312" w:eastAsia="仿宋_GB2312" w:cs="仿宋_GB2312"/>
          <w:b w:val="0"/>
          <w:bCs w:val="0"/>
        </w:rPr>
        <w:t>个。</w:t>
      </w:r>
      <w:r>
        <w:rPr>
          <w:rFonts w:ascii="仿宋_GB2312" w:eastAsia="仿宋_GB2312" w:cs="仿宋_GB2312"/>
          <w:b w:val="0"/>
          <w:bCs w:val="0"/>
        </w:rPr>
        <w:t xml:space="preserve"> </w:t>
      </w:r>
    </w:p>
    <w:p>
      <w:pPr>
        <w:spacing w:line="576" w:lineRule="exact"/>
        <w:ind w:firstLine="645" w:firstLineChars="0"/>
        <w:rPr>
          <w:rFonts w:ascii="仿宋_GB2312" w:eastAsia="仿宋_GB2312"/>
        </w:rPr>
      </w:pPr>
      <w:r>
        <w:rPr>
          <w:rFonts w:hint="eastAsia" w:ascii="仿宋_GB2312" w:hAnsi="仿宋_GB2312" w:cs="楷体_GB2312"/>
        </w:rPr>
        <w:t>（二）机构职能</w:t>
      </w:r>
    </w:p>
    <w:p>
      <w:pPr>
        <w:spacing w:line="576" w:lineRule="exact"/>
        <w:ind w:firstLine="640"/>
        <w:rPr>
          <w:rFonts w:ascii="仿宋_GB2312" w:hAnsi="仿宋_GB2312" w:eastAsia="仿宋_GB2312"/>
          <w:b w:val="0"/>
          <w:bCs w:val="0"/>
        </w:rPr>
      </w:pPr>
      <w:r>
        <w:rPr>
          <w:rFonts w:ascii="仿宋_GB2312" w:hAnsi="仿宋_GB2312" w:eastAsia="仿宋_GB2312" w:cs="仿宋_GB2312"/>
          <w:b w:val="0"/>
          <w:bCs w:val="0"/>
        </w:rPr>
        <w:t>1.</w:t>
      </w:r>
      <w:r>
        <w:rPr>
          <w:rFonts w:hint="eastAsia" w:ascii="仿宋_GB2312" w:hAnsi="仿宋_GB2312" w:eastAsia="仿宋_GB2312" w:cs="仿宋_GB2312"/>
          <w:b w:val="0"/>
          <w:bCs w:val="0"/>
        </w:rPr>
        <w:t>参与我县大政方针及政治、解决、社会中的重要问题的政治协商，发挥民主监督的作用，参政议政。</w:t>
      </w:r>
    </w:p>
    <w:p>
      <w:pPr>
        <w:spacing w:line="576" w:lineRule="exact"/>
        <w:ind w:firstLine="800" w:firstLineChars="250"/>
        <w:rPr>
          <w:rFonts w:ascii="仿宋_GB2312" w:hAnsi="仿宋_GB2312" w:eastAsia="仿宋_GB2312"/>
          <w:b w:val="0"/>
          <w:bCs w:val="0"/>
        </w:rPr>
      </w:pPr>
      <w:r>
        <w:rPr>
          <w:rFonts w:ascii="仿宋_GB2312" w:hAnsi="仿宋_GB2312" w:eastAsia="仿宋_GB2312" w:cs="仿宋_GB2312"/>
          <w:b w:val="0"/>
          <w:bCs w:val="0"/>
        </w:rPr>
        <w:t>2.</w:t>
      </w:r>
      <w:r>
        <w:rPr>
          <w:rFonts w:hint="eastAsia" w:ascii="仿宋_GB2312" w:hAnsi="仿宋_GB2312" w:eastAsia="仿宋_GB2312" w:cs="仿宋_GB2312"/>
          <w:b w:val="0"/>
          <w:bCs w:val="0"/>
        </w:rPr>
        <w:t>引导会员积极参加我县经济建设，推动非公有制经济健康发展。</w:t>
      </w:r>
    </w:p>
    <w:p>
      <w:pPr>
        <w:spacing w:line="576" w:lineRule="exact"/>
        <w:ind w:firstLine="800" w:firstLineChars="250"/>
        <w:rPr>
          <w:rFonts w:hint="eastAsia" w:ascii="仿宋_GB2312" w:hAnsi="仿宋_GB2312" w:eastAsia="仿宋_GB2312"/>
          <w:b w:val="0"/>
          <w:bCs w:val="0"/>
          <w:lang w:eastAsia="zh-CN"/>
        </w:rPr>
      </w:pPr>
      <w:r>
        <w:rPr>
          <w:rFonts w:ascii="仿宋_GB2312" w:hAnsi="仿宋_GB2312" w:eastAsia="仿宋_GB2312" w:cs="仿宋_GB2312"/>
          <w:b w:val="0"/>
          <w:bCs w:val="0"/>
        </w:rPr>
        <w:t>3.</w:t>
      </w:r>
      <w:r>
        <w:rPr>
          <w:rFonts w:hint="eastAsia" w:ascii="仿宋_GB2312" w:hAnsi="仿宋_GB2312" w:eastAsia="仿宋_GB2312" w:cs="仿宋_GB2312"/>
          <w:b w:val="0"/>
          <w:bCs w:val="0"/>
        </w:rPr>
        <w:t>做好工商界代表人士政治安排的推荐工作</w:t>
      </w:r>
      <w:r>
        <w:rPr>
          <w:rFonts w:hint="eastAsia" w:ascii="仿宋_GB2312" w:hAnsi="仿宋_GB2312" w:eastAsia="仿宋_GB2312" w:cs="仿宋_GB2312"/>
          <w:b w:val="0"/>
          <w:bCs w:val="0"/>
          <w:lang w:eastAsia="zh-CN"/>
        </w:rPr>
        <w:t>。</w:t>
      </w:r>
    </w:p>
    <w:p>
      <w:pPr>
        <w:spacing w:line="576" w:lineRule="exact"/>
        <w:ind w:firstLine="800" w:firstLineChars="250"/>
        <w:rPr>
          <w:rFonts w:ascii="仿宋_GB2312" w:hAnsi="仿宋_GB2312" w:eastAsia="仿宋_GB2312"/>
          <w:b w:val="0"/>
          <w:bCs w:val="0"/>
        </w:rPr>
      </w:pPr>
      <w:r>
        <w:rPr>
          <w:rFonts w:ascii="仿宋_GB2312" w:hAnsi="仿宋_GB2312" w:eastAsia="仿宋_GB2312" w:cs="仿宋_GB2312"/>
          <w:b w:val="0"/>
          <w:bCs w:val="0"/>
        </w:rPr>
        <w:t>4.</w:t>
      </w:r>
      <w:r>
        <w:rPr>
          <w:rFonts w:hint="eastAsia" w:ascii="仿宋_GB2312" w:hAnsi="仿宋_GB2312" w:eastAsia="仿宋_GB2312" w:cs="仿宋_GB2312"/>
          <w:b w:val="0"/>
          <w:bCs w:val="0"/>
        </w:rPr>
        <w:t>对同级同业工会和行业协会实行业务主管，加强对个体劳动者协会、私营企业协会指导工作。</w:t>
      </w:r>
    </w:p>
    <w:p>
      <w:pPr>
        <w:spacing w:line="576" w:lineRule="exact"/>
        <w:ind w:firstLine="800" w:firstLineChars="250"/>
        <w:rPr>
          <w:rFonts w:ascii="仿宋_GB2312" w:hAnsi="仿宋_GB2312" w:eastAsia="仿宋_GB2312"/>
          <w:b w:val="0"/>
          <w:bCs w:val="0"/>
        </w:rPr>
      </w:pPr>
      <w:r>
        <w:rPr>
          <w:rFonts w:ascii="仿宋_GB2312" w:hAnsi="仿宋_GB2312" w:eastAsia="仿宋_GB2312" w:cs="仿宋_GB2312"/>
          <w:b w:val="0"/>
          <w:bCs w:val="0"/>
        </w:rPr>
        <w:t>5.</w:t>
      </w:r>
      <w:r>
        <w:rPr>
          <w:rFonts w:hint="eastAsia" w:ascii="仿宋_GB2312" w:hAnsi="仿宋_GB2312" w:eastAsia="仿宋_GB2312" w:cs="仿宋_GB2312"/>
          <w:b w:val="0"/>
          <w:bCs w:val="0"/>
        </w:rPr>
        <w:t>加强与外商、各地工商社团及工商经济界人士的联系，促进经济、技术和贸易合作的发展，协助引进资金、技术人才。</w:t>
      </w:r>
    </w:p>
    <w:p>
      <w:pPr>
        <w:spacing w:line="576" w:lineRule="exact"/>
        <w:ind w:firstLine="800" w:firstLineChars="250"/>
        <w:rPr>
          <w:rFonts w:hint="eastAsia" w:ascii="仿宋_GB2312" w:hAnsi="仿宋_GB2312" w:eastAsia="仿宋_GB2312"/>
          <w:b w:val="0"/>
          <w:bCs w:val="0"/>
          <w:lang w:eastAsia="zh-CN"/>
        </w:rPr>
      </w:pPr>
      <w:r>
        <w:rPr>
          <w:rFonts w:ascii="仿宋_GB2312" w:hAnsi="仿宋_GB2312" w:eastAsia="仿宋_GB2312" w:cs="仿宋_GB2312"/>
          <w:b w:val="0"/>
          <w:bCs w:val="0"/>
        </w:rPr>
        <w:t>6.</w:t>
      </w:r>
      <w:r>
        <w:rPr>
          <w:rFonts w:hint="eastAsia" w:ascii="仿宋_GB2312" w:hAnsi="仿宋_GB2312" w:eastAsia="仿宋_GB2312" w:cs="仿宋_GB2312"/>
          <w:b w:val="0"/>
          <w:bCs w:val="0"/>
        </w:rPr>
        <w:t>办好会办企业</w:t>
      </w:r>
      <w:r>
        <w:rPr>
          <w:rFonts w:hint="eastAsia" w:ascii="仿宋_GB2312" w:hAnsi="仿宋_GB2312" w:eastAsia="仿宋_GB2312" w:cs="仿宋_GB2312"/>
          <w:b w:val="0"/>
          <w:bCs w:val="0"/>
          <w:lang w:eastAsia="zh-CN"/>
        </w:rPr>
        <w:t>。</w:t>
      </w:r>
    </w:p>
    <w:p>
      <w:pPr>
        <w:spacing w:line="576" w:lineRule="exact"/>
        <w:ind w:firstLine="800" w:firstLineChars="250"/>
        <w:rPr>
          <w:rFonts w:ascii="仿宋_GB2312" w:eastAsia="仿宋_GB2312"/>
          <w:b w:val="0"/>
          <w:bCs w:val="0"/>
        </w:rPr>
      </w:pPr>
      <w:r>
        <w:rPr>
          <w:rFonts w:ascii="仿宋_GB2312" w:hAnsi="仿宋_GB2312" w:eastAsia="仿宋_GB2312" w:cs="仿宋_GB2312"/>
          <w:b w:val="0"/>
          <w:bCs w:val="0"/>
        </w:rPr>
        <w:t>7.</w:t>
      </w:r>
      <w:r>
        <w:rPr>
          <w:rFonts w:hint="eastAsia" w:ascii="仿宋_GB2312" w:hAnsi="仿宋_GB2312" w:eastAsia="仿宋_GB2312" w:cs="仿宋_GB2312"/>
          <w:b w:val="0"/>
          <w:bCs w:val="0"/>
        </w:rPr>
        <w:t>承办县委、县政府交办的其他工作。</w:t>
      </w:r>
    </w:p>
    <w:p>
      <w:pPr>
        <w:spacing w:line="576" w:lineRule="exact"/>
        <w:ind w:firstLine="643"/>
        <w:rPr>
          <w:rFonts w:ascii="楷体_GB2312" w:hAnsi="宋体" w:cs="楷体_GB2312"/>
          <w:color w:val="000000"/>
          <w:kern w:val="0"/>
          <w:shd w:val="clear" w:color="auto" w:fill="FFFFFF"/>
        </w:rPr>
      </w:pPr>
      <w:r>
        <w:rPr>
          <w:rFonts w:hint="eastAsia" w:ascii="楷体_GB2312" w:hAnsi="宋体" w:cs="楷体_GB2312"/>
          <w:color w:val="000000"/>
          <w:kern w:val="0"/>
          <w:shd w:val="clear" w:color="auto" w:fill="FFFFFF"/>
        </w:rPr>
        <w:t>（三）人员概况</w:t>
      </w:r>
    </w:p>
    <w:p>
      <w:pPr>
        <w:spacing w:line="576" w:lineRule="exact"/>
        <w:ind w:firstLine="640"/>
        <w:rPr>
          <w:rFonts w:ascii="仿宋_GB2312" w:eastAsia="仿宋_GB2312"/>
          <w:b w:val="0"/>
          <w:bCs w:val="0"/>
        </w:rPr>
      </w:pPr>
      <w:r>
        <w:rPr>
          <w:rFonts w:hint="eastAsia" w:ascii="仿宋_GB2312" w:eastAsia="仿宋_GB2312" w:cs="仿宋_GB2312"/>
          <w:b w:val="0"/>
          <w:bCs w:val="0"/>
        </w:rPr>
        <w:t>人员总编制</w:t>
      </w:r>
      <w:r>
        <w:rPr>
          <w:rFonts w:ascii="仿宋_GB2312" w:eastAsia="仿宋_GB2312" w:cs="仿宋_GB2312"/>
          <w:b w:val="0"/>
          <w:bCs w:val="0"/>
        </w:rPr>
        <w:t>2</w:t>
      </w:r>
      <w:r>
        <w:rPr>
          <w:rFonts w:hint="eastAsia" w:ascii="仿宋_GB2312" w:eastAsia="仿宋_GB2312" w:cs="仿宋_GB2312"/>
          <w:b w:val="0"/>
          <w:bCs w:val="0"/>
        </w:rPr>
        <w:t>名</w:t>
      </w:r>
      <w:r>
        <w:rPr>
          <w:rFonts w:ascii="仿宋_GB2312" w:eastAsia="仿宋_GB2312" w:cs="仿宋_GB2312"/>
          <w:b w:val="0"/>
          <w:bCs w:val="0"/>
        </w:rPr>
        <w:t>,</w:t>
      </w:r>
      <w:r>
        <w:rPr>
          <w:rFonts w:hint="eastAsia" w:ascii="仿宋_GB2312" w:eastAsia="仿宋_GB2312" w:cs="仿宋_GB2312"/>
          <w:b w:val="0"/>
          <w:bCs w:val="0"/>
        </w:rPr>
        <w:t>其中</w:t>
      </w:r>
      <w:r>
        <w:rPr>
          <w:rFonts w:ascii="仿宋_GB2312" w:eastAsia="仿宋_GB2312" w:cs="仿宋_GB2312"/>
          <w:b w:val="0"/>
          <w:bCs w:val="0"/>
        </w:rPr>
        <w:t>:</w:t>
      </w:r>
      <w:r>
        <w:rPr>
          <w:rFonts w:hint="eastAsia" w:ascii="仿宋_GB2312" w:eastAsia="仿宋_GB2312" w:cs="仿宋_GB2312"/>
          <w:b w:val="0"/>
          <w:bCs w:val="0"/>
        </w:rPr>
        <w:t>行政编制</w:t>
      </w:r>
      <w:r>
        <w:rPr>
          <w:rFonts w:ascii="仿宋_GB2312" w:eastAsia="仿宋_GB2312" w:cs="仿宋_GB2312"/>
          <w:b w:val="0"/>
          <w:bCs w:val="0"/>
        </w:rPr>
        <w:t>2</w:t>
      </w:r>
      <w:r>
        <w:rPr>
          <w:rFonts w:hint="eastAsia" w:ascii="仿宋_GB2312" w:eastAsia="仿宋_GB2312" w:cs="仿宋_GB2312"/>
          <w:b w:val="0"/>
          <w:bCs w:val="0"/>
        </w:rPr>
        <w:t>名，事业编制</w:t>
      </w:r>
      <w:r>
        <w:rPr>
          <w:rFonts w:ascii="仿宋_GB2312" w:eastAsia="仿宋_GB2312" w:cs="仿宋_GB2312"/>
          <w:b w:val="0"/>
          <w:bCs w:val="0"/>
        </w:rPr>
        <w:t xml:space="preserve"> 0</w:t>
      </w:r>
      <w:r>
        <w:rPr>
          <w:rFonts w:hint="eastAsia" w:ascii="仿宋_GB2312" w:eastAsia="仿宋_GB2312" w:cs="仿宋_GB2312"/>
          <w:b w:val="0"/>
          <w:bCs w:val="0"/>
        </w:rPr>
        <w:t>名。实有在职人员总数</w:t>
      </w:r>
      <w:r>
        <w:rPr>
          <w:rFonts w:ascii="仿宋_GB2312" w:eastAsia="仿宋_GB2312" w:cs="仿宋_GB2312"/>
          <w:b w:val="0"/>
          <w:bCs w:val="0"/>
        </w:rPr>
        <w:t>7</w:t>
      </w:r>
      <w:r>
        <w:rPr>
          <w:rFonts w:hint="eastAsia" w:ascii="仿宋_GB2312" w:eastAsia="仿宋_GB2312" w:cs="仿宋_GB2312"/>
          <w:b w:val="0"/>
          <w:bCs w:val="0"/>
        </w:rPr>
        <w:t>名，在职人员中行政人员</w:t>
      </w:r>
      <w:r>
        <w:rPr>
          <w:rFonts w:ascii="仿宋_GB2312" w:eastAsia="仿宋_GB2312" w:cs="仿宋_GB2312"/>
          <w:b w:val="0"/>
          <w:bCs w:val="0"/>
        </w:rPr>
        <w:t>7</w:t>
      </w:r>
      <w:r>
        <w:rPr>
          <w:rFonts w:hint="eastAsia" w:ascii="仿宋_GB2312" w:eastAsia="仿宋_GB2312" w:cs="仿宋_GB2312"/>
          <w:b w:val="0"/>
          <w:bCs w:val="0"/>
        </w:rPr>
        <w:t>名，事业人员</w:t>
      </w:r>
      <w:r>
        <w:rPr>
          <w:rFonts w:ascii="仿宋_GB2312" w:eastAsia="仿宋_GB2312" w:cs="仿宋_GB2312"/>
          <w:b w:val="0"/>
          <w:bCs w:val="0"/>
        </w:rPr>
        <w:t>0</w:t>
      </w:r>
      <w:r>
        <w:rPr>
          <w:rFonts w:hint="eastAsia" w:ascii="仿宋_GB2312" w:eastAsia="仿宋_GB2312" w:cs="仿宋_GB2312"/>
          <w:b w:val="0"/>
          <w:bCs w:val="0"/>
        </w:rPr>
        <w:t>名。退休人员</w:t>
      </w:r>
      <w:r>
        <w:rPr>
          <w:rFonts w:ascii="仿宋_GB2312" w:eastAsia="仿宋_GB2312" w:cs="仿宋_GB2312"/>
          <w:b w:val="0"/>
          <w:bCs w:val="0"/>
        </w:rPr>
        <w:t>0</w:t>
      </w:r>
      <w:r>
        <w:rPr>
          <w:rFonts w:hint="eastAsia" w:ascii="仿宋_GB2312" w:eastAsia="仿宋_GB2312" w:cs="仿宋_GB2312"/>
          <w:b w:val="0"/>
          <w:bCs w:val="0"/>
        </w:rPr>
        <w:t>人。</w:t>
      </w:r>
      <w:r>
        <w:rPr>
          <w:rFonts w:ascii="仿宋_GB2312" w:eastAsia="仿宋_GB2312" w:cs="仿宋_GB2312"/>
          <w:b w:val="0"/>
          <w:bCs w:val="0"/>
        </w:rPr>
        <w:t xml:space="preserve"> </w:t>
      </w:r>
    </w:p>
    <w:p>
      <w:pPr>
        <w:spacing w:line="576" w:lineRule="exact"/>
        <w:ind w:firstLine="643"/>
        <w:rPr>
          <w:rFonts w:hint="eastAsia" w:ascii="黑体" w:hAnsi="黑体" w:eastAsia="黑体" w:cs="黑体"/>
          <w:b w:val="0"/>
          <w:bCs w:val="0"/>
          <w:shd w:val="clear" w:color="auto" w:fill="FFFFFF"/>
        </w:rPr>
      </w:pPr>
      <w:bookmarkStart w:id="62" w:name="_Toc20222295"/>
      <w:r>
        <w:rPr>
          <w:rFonts w:hint="eastAsia" w:ascii="黑体" w:hAnsi="黑体" w:eastAsia="黑体" w:cs="黑体"/>
          <w:b w:val="0"/>
          <w:bCs w:val="0"/>
          <w:shd w:val="clear" w:color="auto" w:fill="FFFFFF"/>
        </w:rPr>
        <w:t>二、部门财政资金收支情况</w:t>
      </w:r>
      <w:bookmarkEnd w:id="62"/>
    </w:p>
    <w:p>
      <w:pPr>
        <w:widowControl/>
        <w:spacing w:line="576" w:lineRule="exact"/>
        <w:ind w:firstLine="482" w:firstLineChars="150"/>
        <w:jc w:val="left"/>
        <w:rPr>
          <w:rFonts w:ascii="楷体_GB2312" w:hAnsi="仿宋"/>
          <w:b/>
          <w:bCs/>
        </w:rPr>
      </w:pPr>
      <w:bookmarkStart w:id="63" w:name="_Toc20222296"/>
      <w:r>
        <w:rPr>
          <w:rFonts w:hint="eastAsia" w:ascii="楷体_GB2312" w:hAnsi="仿宋" w:cs="楷体_GB2312"/>
          <w:b/>
          <w:bCs/>
        </w:rPr>
        <w:t>（一）部门财政资金收入情况</w:t>
      </w:r>
    </w:p>
    <w:p>
      <w:pPr>
        <w:spacing w:line="576" w:lineRule="exact"/>
        <w:ind w:firstLine="640"/>
        <w:rPr>
          <w:rFonts w:ascii="仿宋_GB2312" w:eastAsia="仿宋_GB2312" w:cs="仿宋_GB2312"/>
          <w:b w:val="0"/>
          <w:bCs w:val="0"/>
        </w:rPr>
      </w:pPr>
      <w:r>
        <w:rPr>
          <w:rFonts w:ascii="仿宋_GB2312" w:eastAsia="仿宋_GB2312" w:cs="仿宋_GB2312"/>
          <w:b w:val="0"/>
          <w:bCs w:val="0"/>
        </w:rPr>
        <w:t>2018</w:t>
      </w:r>
      <w:r>
        <w:rPr>
          <w:rFonts w:hint="eastAsia" w:ascii="仿宋_GB2312" w:eastAsia="仿宋_GB2312" w:cs="仿宋_GB2312"/>
          <w:b w:val="0"/>
          <w:bCs w:val="0"/>
        </w:rPr>
        <w:t>年本部门财政拨款收入决算总额为</w:t>
      </w:r>
      <w:r>
        <w:rPr>
          <w:rFonts w:ascii="仿宋_GB2312" w:eastAsia="仿宋_GB2312" w:cs="仿宋_GB2312"/>
          <w:b w:val="0"/>
          <w:bCs w:val="0"/>
        </w:rPr>
        <w:t>194.41</w:t>
      </w:r>
      <w:r>
        <w:rPr>
          <w:rFonts w:hint="eastAsia" w:ascii="仿宋_GB2312" w:eastAsia="仿宋_GB2312" w:cs="仿宋_GB2312"/>
          <w:b w:val="0"/>
          <w:bCs w:val="0"/>
        </w:rPr>
        <w:t>万元，</w:t>
      </w:r>
    </w:p>
    <w:p>
      <w:pPr>
        <w:spacing w:line="576" w:lineRule="exact"/>
        <w:ind w:firstLine="640"/>
        <w:rPr>
          <w:rFonts w:ascii="仿宋_GB2312" w:eastAsia="仿宋_GB2312" w:cs="仿宋_GB2312"/>
          <w:b w:val="0"/>
          <w:bCs w:val="0"/>
        </w:rPr>
      </w:pPr>
      <w:r>
        <w:rPr>
          <w:rFonts w:hint="eastAsia" w:ascii="仿宋_GB2312" w:eastAsia="仿宋_GB2312" w:cs="仿宋_GB2312"/>
          <w:b w:val="0"/>
          <w:bCs w:val="0"/>
        </w:rPr>
        <w:t>其中：当年财政拨款收入</w:t>
      </w:r>
      <w:r>
        <w:rPr>
          <w:rFonts w:ascii="仿宋_GB2312" w:eastAsia="仿宋_GB2312" w:cs="仿宋_GB2312"/>
          <w:b w:val="0"/>
          <w:bCs w:val="0"/>
        </w:rPr>
        <w:t xml:space="preserve">194.41 </w:t>
      </w:r>
      <w:r>
        <w:rPr>
          <w:rFonts w:hint="eastAsia" w:ascii="仿宋_GB2312" w:eastAsia="仿宋_GB2312" w:cs="仿宋_GB2312"/>
          <w:b w:val="0"/>
          <w:bCs w:val="0"/>
        </w:rPr>
        <w:t>万元</w:t>
      </w:r>
      <w:r>
        <w:rPr>
          <w:rFonts w:ascii="仿宋_GB2312" w:eastAsia="仿宋_GB2312" w:cs="仿宋_GB2312"/>
          <w:b w:val="0"/>
          <w:bCs w:val="0"/>
        </w:rPr>
        <w:t>,</w:t>
      </w:r>
      <w:r>
        <w:rPr>
          <w:rFonts w:hint="eastAsia" w:ascii="仿宋_GB2312" w:eastAsia="仿宋_GB2312" w:cs="仿宋_GB2312"/>
          <w:b w:val="0"/>
          <w:bCs w:val="0"/>
        </w:rPr>
        <w:t>均为一般公共预算财政拨款。</w:t>
      </w:r>
    </w:p>
    <w:p>
      <w:pPr>
        <w:spacing w:line="576" w:lineRule="exact"/>
        <w:ind w:firstLine="640"/>
        <w:rPr>
          <w:rFonts w:hint="eastAsia" w:ascii="楷体" w:hAnsi="楷体" w:eastAsia="楷体" w:cs="楷体"/>
          <w:b/>
          <w:bCs/>
        </w:rPr>
      </w:pPr>
      <w:r>
        <w:rPr>
          <w:rFonts w:hint="eastAsia" w:ascii="楷体" w:hAnsi="楷体" w:eastAsia="楷体" w:cs="楷体"/>
          <w:b/>
          <w:bCs/>
        </w:rPr>
        <w:t>（二）部门财政资金支出情况</w:t>
      </w:r>
    </w:p>
    <w:p>
      <w:pPr>
        <w:spacing w:line="576" w:lineRule="exact"/>
        <w:ind w:firstLine="640"/>
        <w:rPr>
          <w:rFonts w:ascii="仿宋_GB2312" w:eastAsia="仿宋_GB2312" w:cs="仿宋_GB2312"/>
          <w:b w:val="0"/>
          <w:bCs w:val="0"/>
        </w:rPr>
      </w:pPr>
      <w:r>
        <w:rPr>
          <w:rFonts w:ascii="仿宋_GB2312" w:eastAsia="仿宋_GB2312" w:cs="仿宋_GB2312"/>
          <w:b w:val="0"/>
          <w:bCs w:val="0"/>
        </w:rPr>
        <w:t xml:space="preserve">2018 </w:t>
      </w:r>
      <w:r>
        <w:rPr>
          <w:rFonts w:hint="eastAsia" w:ascii="仿宋_GB2312" w:eastAsia="仿宋_GB2312" w:cs="仿宋_GB2312"/>
          <w:b w:val="0"/>
          <w:bCs w:val="0"/>
        </w:rPr>
        <w:t>年本部门财政拨款支出决算总额</w:t>
      </w:r>
      <w:r>
        <w:rPr>
          <w:rFonts w:ascii="仿宋_GB2312" w:eastAsia="仿宋_GB2312" w:cs="仿宋_GB2312"/>
          <w:b w:val="0"/>
          <w:bCs w:val="0"/>
        </w:rPr>
        <w:t xml:space="preserve"> 113.84 </w:t>
      </w:r>
      <w:r>
        <w:rPr>
          <w:rFonts w:hint="eastAsia" w:ascii="仿宋_GB2312" w:eastAsia="仿宋_GB2312" w:cs="仿宋_GB2312"/>
          <w:b w:val="0"/>
          <w:bCs w:val="0"/>
        </w:rPr>
        <w:t>万元。</w:t>
      </w:r>
    </w:p>
    <w:p>
      <w:pPr>
        <w:spacing w:line="576" w:lineRule="exact"/>
        <w:ind w:firstLine="640"/>
      </w:pPr>
      <w:r>
        <w:rPr>
          <w:rFonts w:hint="eastAsia" w:ascii="仿宋_GB2312" w:eastAsia="仿宋_GB2312" w:cs="仿宋_GB2312"/>
          <w:b w:val="0"/>
          <w:bCs w:val="0"/>
        </w:rPr>
        <w:t>其中按功能分类，民主党派及工商联事务支出</w:t>
      </w:r>
      <w:r>
        <w:rPr>
          <w:rFonts w:ascii="仿宋_GB2312" w:eastAsia="仿宋_GB2312" w:cs="仿宋_GB2312"/>
          <w:b w:val="0"/>
          <w:bCs w:val="0"/>
        </w:rPr>
        <w:t>81.62</w:t>
      </w:r>
      <w:r>
        <w:rPr>
          <w:rFonts w:hint="eastAsia" w:ascii="仿宋_GB2312" w:eastAsia="仿宋_GB2312" w:cs="仿宋_GB2312"/>
          <w:b w:val="0"/>
          <w:bCs w:val="0"/>
        </w:rPr>
        <w:t>万元、社会保障和就业支出</w:t>
      </w:r>
      <w:r>
        <w:rPr>
          <w:rFonts w:ascii="仿宋_GB2312" w:eastAsia="仿宋_GB2312" w:cs="仿宋_GB2312"/>
          <w:b w:val="0"/>
          <w:bCs w:val="0"/>
        </w:rPr>
        <w:t xml:space="preserve"> 17.48</w:t>
      </w:r>
      <w:r>
        <w:rPr>
          <w:rFonts w:hint="eastAsia" w:ascii="仿宋_GB2312" w:eastAsia="仿宋_GB2312" w:cs="仿宋_GB2312"/>
          <w:b w:val="0"/>
          <w:bCs w:val="0"/>
        </w:rPr>
        <w:t>万元、医疗卫生与计划生育支出</w:t>
      </w:r>
      <w:r>
        <w:rPr>
          <w:rFonts w:ascii="仿宋_GB2312" w:eastAsia="仿宋_GB2312" w:cs="仿宋_GB2312"/>
          <w:b w:val="0"/>
          <w:bCs w:val="0"/>
        </w:rPr>
        <w:t>6.06</w:t>
      </w:r>
      <w:r>
        <w:rPr>
          <w:rFonts w:hint="eastAsia" w:ascii="仿宋_GB2312" w:eastAsia="仿宋_GB2312" w:cs="仿宋_GB2312"/>
          <w:b w:val="0"/>
          <w:bCs w:val="0"/>
        </w:rPr>
        <w:t>万元、住房保障支出</w:t>
      </w:r>
      <w:r>
        <w:rPr>
          <w:rFonts w:ascii="仿宋_GB2312" w:eastAsia="仿宋_GB2312" w:cs="仿宋_GB2312"/>
          <w:b w:val="0"/>
          <w:bCs w:val="0"/>
        </w:rPr>
        <w:t>8.68</w:t>
      </w:r>
      <w:r>
        <w:rPr>
          <w:rFonts w:hint="eastAsia" w:ascii="仿宋_GB2312" w:eastAsia="仿宋_GB2312" w:cs="仿宋_GB2312"/>
          <w:b w:val="0"/>
          <w:bCs w:val="0"/>
        </w:rPr>
        <w:t>万元；按支出性质分类，基本支出</w:t>
      </w:r>
      <w:r>
        <w:rPr>
          <w:rFonts w:ascii="仿宋_GB2312" w:eastAsia="仿宋_GB2312" w:cs="仿宋_GB2312"/>
          <w:b w:val="0"/>
          <w:bCs w:val="0"/>
        </w:rPr>
        <w:t>113.84</w:t>
      </w:r>
      <w:r>
        <w:rPr>
          <w:rFonts w:hint="eastAsia" w:ascii="仿宋_GB2312" w:eastAsia="仿宋_GB2312" w:cs="仿宋_GB2312"/>
          <w:b w:val="0"/>
          <w:bCs w:val="0"/>
        </w:rPr>
        <w:t>万元；按经济分类，工资福利支出</w:t>
      </w:r>
      <w:r>
        <w:rPr>
          <w:rFonts w:ascii="仿宋_GB2312" w:eastAsia="仿宋_GB2312" w:cs="仿宋_GB2312"/>
          <w:b w:val="0"/>
          <w:bCs w:val="0"/>
        </w:rPr>
        <w:t xml:space="preserve"> 109.05</w:t>
      </w:r>
      <w:r>
        <w:rPr>
          <w:rFonts w:hint="eastAsia" w:ascii="仿宋_GB2312" w:eastAsia="仿宋_GB2312" w:cs="仿宋_GB2312"/>
          <w:b w:val="0"/>
          <w:bCs w:val="0"/>
        </w:rPr>
        <w:t>万元，商品服务支出</w:t>
      </w:r>
      <w:r>
        <w:rPr>
          <w:rFonts w:ascii="仿宋_GB2312" w:eastAsia="仿宋_GB2312" w:cs="仿宋_GB2312"/>
          <w:b w:val="0"/>
          <w:bCs w:val="0"/>
        </w:rPr>
        <w:t>4.79</w:t>
      </w:r>
      <w:r>
        <w:rPr>
          <w:rFonts w:hint="eastAsia" w:ascii="仿宋_GB2312" w:eastAsia="仿宋_GB2312" w:cs="仿宋_GB2312"/>
          <w:b w:val="0"/>
          <w:bCs w:val="0"/>
        </w:rPr>
        <w:t>万元。</w:t>
      </w:r>
    </w:p>
    <w:bookmarkEnd w:id="63"/>
    <w:p>
      <w:pPr>
        <w:pStyle w:val="3"/>
        <w:ind w:firstLine="704" w:firstLineChars="220"/>
        <w:rPr>
          <w:rFonts w:ascii="黑体"/>
          <w:b w:val="0"/>
          <w:bCs w:val="0"/>
        </w:rPr>
      </w:pPr>
      <w:r>
        <w:rPr>
          <w:rFonts w:hint="eastAsia" w:ascii="黑体" w:hAnsi="黑体" w:cs="黑体"/>
          <w:b w:val="0"/>
          <w:bCs w:val="0"/>
        </w:rPr>
        <w:t>三、部门整体预算绩效管理情况</w:t>
      </w:r>
    </w:p>
    <w:p>
      <w:pPr>
        <w:pStyle w:val="3"/>
        <w:ind w:firstLine="476" w:firstLineChars="149"/>
        <w:rPr>
          <w:rFonts w:ascii="仿宋" w:hAnsi="仿宋" w:eastAsia="仿宋"/>
          <w:color w:val="000000"/>
        </w:rPr>
      </w:pPr>
      <w:r>
        <w:rPr>
          <w:rFonts w:hint="eastAsia" w:ascii="楷体_GB2312" w:hAnsi="仿宋" w:eastAsia="楷体_GB2312" w:cs="楷体_GB2312"/>
        </w:rPr>
        <w:t>（一）部门预算管理</w:t>
      </w:r>
    </w:p>
    <w:p>
      <w:pPr>
        <w:widowControl/>
        <w:adjustRightInd w:val="0"/>
        <w:spacing w:line="576" w:lineRule="exact"/>
        <w:ind w:firstLine="640"/>
        <w:jc w:val="left"/>
        <w:rPr>
          <w:rFonts w:ascii="仿宋_GB2312" w:eastAsia="仿宋_GB2312" w:cs="仿宋_GB2312"/>
          <w:b w:val="0"/>
          <w:bCs w:val="0"/>
        </w:rPr>
      </w:pPr>
      <w:r>
        <w:rPr>
          <w:rFonts w:hint="eastAsia" w:ascii="仿宋_GB2312" w:eastAsia="仿宋_GB2312" w:cs="仿宋_GB2312"/>
          <w:b w:val="0"/>
          <w:bCs w:val="0"/>
        </w:rPr>
        <w:t>我单位认真学习贯彻党的十九大、省第十一次党代会和省委十一届三次、四次全会精神，以习近平新时代中国特色社会主义思想为指导，根据职能职责积极谋划，确定目标任务，积极发挥公共财政职能作用，推动落实稳增长、促改革、调结构、惠民生、防风险各项工作。</w:t>
      </w:r>
      <w:r>
        <w:rPr>
          <w:rFonts w:ascii="仿宋_GB2312" w:eastAsia="仿宋_GB2312" w:cs="仿宋_GB2312"/>
          <w:b w:val="0"/>
          <w:bCs w:val="0"/>
        </w:rPr>
        <w:t xml:space="preserve"> </w:t>
      </w:r>
    </w:p>
    <w:p>
      <w:pPr>
        <w:widowControl/>
        <w:spacing w:line="576" w:lineRule="exact"/>
        <w:ind w:firstLine="640"/>
        <w:jc w:val="left"/>
        <w:rPr>
          <w:rFonts w:ascii="仿宋_GB2312" w:eastAsia="仿宋_GB2312" w:cs="仿宋_GB2312"/>
          <w:b w:val="0"/>
          <w:bCs w:val="0"/>
        </w:rPr>
      </w:pPr>
      <w:r>
        <w:rPr>
          <w:rFonts w:hint="eastAsia" w:ascii="仿宋_GB2312" w:eastAsia="仿宋_GB2312" w:cs="仿宋_GB2312"/>
          <w:b w:val="0"/>
          <w:bCs w:val="0"/>
        </w:rPr>
        <w:t>一是按照</w:t>
      </w:r>
      <w:r>
        <w:rPr>
          <w:rFonts w:ascii="仿宋_GB2312" w:eastAsia="仿宋_GB2312" w:cs="仿宋_GB2312"/>
          <w:b w:val="0"/>
          <w:bCs w:val="0"/>
        </w:rPr>
        <w:t>2018</w:t>
      </w:r>
      <w:r>
        <w:rPr>
          <w:rFonts w:hint="eastAsia" w:ascii="仿宋_GB2312" w:eastAsia="仿宋_GB2312" w:cs="仿宋_GB2312"/>
          <w:b w:val="0"/>
          <w:bCs w:val="0"/>
        </w:rPr>
        <w:t>年部门预算编审要求，根据我单位职能职责，结合中长期规划和年度工作计划，明确了年度主要工作任务及年度内履职所要达到的总体产出和效果，认真填报了我单位整体支出绩效目标，设定了年度绩效数量指标、成本指标效益指标等。</w:t>
      </w:r>
    </w:p>
    <w:p>
      <w:pPr>
        <w:widowControl/>
        <w:spacing w:line="576" w:lineRule="exact"/>
        <w:ind w:firstLine="480" w:firstLineChars="150"/>
        <w:jc w:val="left"/>
        <w:rPr>
          <w:rFonts w:ascii="仿宋_GB2312" w:eastAsia="仿宋_GB2312" w:cs="仿宋_GB2312"/>
          <w:b w:val="0"/>
          <w:bCs w:val="0"/>
        </w:rPr>
      </w:pPr>
      <w:r>
        <w:rPr>
          <w:rFonts w:hint="eastAsia" w:ascii="仿宋_GB2312" w:eastAsia="仿宋_GB2312" w:cs="仿宋_GB2312"/>
          <w:b w:val="0"/>
          <w:bCs w:val="0"/>
        </w:rPr>
        <w:t>二是按照《四川省省级预算绩效运行监控管理暂行办法》要求，认真组织开展所属单位的绩效监控工作</w:t>
      </w:r>
      <w:r>
        <w:rPr>
          <w:rFonts w:hint="eastAsia" w:ascii="仿宋_GB2312" w:eastAsia="仿宋_GB2312" w:cs="仿宋_GB2312"/>
          <w:b w:val="0"/>
          <w:bCs w:val="0"/>
          <w:lang w:eastAsia="zh-CN"/>
        </w:rPr>
        <w:t>，</w:t>
      </w:r>
      <w:r>
        <w:rPr>
          <w:rFonts w:hint="eastAsia" w:ascii="仿宋_GB2312" w:eastAsia="仿宋_GB2312" w:cs="仿宋_GB2312"/>
          <w:b w:val="0"/>
          <w:bCs w:val="0"/>
        </w:rPr>
        <w:t>填报《项目预算绩效监控分析表》，进一步明确项成目标可能性及时间。有效使用财政资金，提高财政资金使用效益，保障了本单位工作顺利开展。</w:t>
      </w:r>
    </w:p>
    <w:p>
      <w:pPr>
        <w:widowControl/>
        <w:spacing w:line="576" w:lineRule="exact"/>
        <w:ind w:firstLine="640"/>
        <w:jc w:val="both"/>
        <w:rPr>
          <w:rFonts w:ascii="仿宋_GB2312" w:eastAsia="仿宋_GB2312" w:cs="仿宋_GB2312"/>
          <w:b w:val="0"/>
          <w:bCs w:val="0"/>
        </w:rPr>
      </w:pPr>
      <w:r>
        <w:rPr>
          <w:rFonts w:hint="eastAsia" w:ascii="仿宋_GB2312" w:eastAsia="仿宋_GB2312" w:cs="仿宋_GB2312"/>
          <w:b w:val="0"/>
          <w:bCs w:val="0"/>
        </w:rPr>
        <w:t>三是按照财政部门统一部署，本单位于</w:t>
      </w:r>
      <w:r>
        <w:rPr>
          <w:rFonts w:ascii="仿宋_GB2312" w:eastAsia="仿宋_GB2312" w:cs="仿宋_GB2312"/>
          <w:b w:val="0"/>
          <w:bCs w:val="0"/>
        </w:rPr>
        <w:t>2019</w:t>
      </w:r>
      <w:r>
        <w:rPr>
          <w:rFonts w:hint="eastAsia" w:ascii="仿宋_GB2312" w:eastAsia="仿宋_GB2312" w:cs="仿宋_GB2312"/>
          <w:b w:val="0"/>
          <w:bCs w:val="0"/>
        </w:rPr>
        <w:t>年</w:t>
      </w:r>
      <w:r>
        <w:rPr>
          <w:rFonts w:ascii="仿宋_GB2312" w:eastAsia="仿宋_GB2312" w:cs="仿宋_GB2312"/>
          <w:b w:val="0"/>
          <w:bCs w:val="0"/>
        </w:rPr>
        <w:t>9</w:t>
      </w:r>
      <w:r>
        <w:rPr>
          <w:rFonts w:hint="eastAsia" w:ascii="仿宋_GB2312" w:eastAsia="仿宋_GB2312" w:cs="仿宋_GB2312"/>
          <w:b w:val="0"/>
          <w:bCs w:val="0"/>
        </w:rPr>
        <w:t>月</w:t>
      </w:r>
      <w:r>
        <w:rPr>
          <w:rFonts w:ascii="仿宋_GB2312" w:eastAsia="仿宋_GB2312" w:cs="仿宋_GB2312"/>
          <w:b w:val="0"/>
          <w:bCs w:val="0"/>
        </w:rPr>
        <w:t>25</w:t>
      </w:r>
      <w:r>
        <w:rPr>
          <w:rFonts w:hint="eastAsia" w:ascii="仿宋_GB2312" w:eastAsia="仿宋_GB2312" w:cs="仿宋_GB2312"/>
          <w:b w:val="0"/>
          <w:bCs w:val="0"/>
        </w:rPr>
        <w:t>日按要求公开绩效目标管理情况及部门整体支出绩效自评开展情况。</w:t>
      </w:r>
    </w:p>
    <w:p>
      <w:pPr>
        <w:widowControl/>
        <w:spacing w:line="576" w:lineRule="exact"/>
        <w:ind w:firstLine="640"/>
        <w:jc w:val="left"/>
        <w:rPr>
          <w:rFonts w:ascii="楷体" w:hAnsi="楷体" w:eastAsia="楷体" w:cs="楷体"/>
          <w:b/>
          <w:bCs/>
          <w:color w:val="000000"/>
          <w:kern w:val="0"/>
        </w:rPr>
      </w:pPr>
      <w:r>
        <w:rPr>
          <w:rFonts w:hint="eastAsia" w:ascii="楷体" w:hAnsi="楷体" w:eastAsia="楷体" w:cs="楷体"/>
          <w:b/>
          <w:bCs/>
          <w:color w:val="000000"/>
          <w:kern w:val="0"/>
        </w:rPr>
        <w:t>（</w:t>
      </w:r>
      <w:r>
        <w:rPr>
          <w:rFonts w:hint="eastAsia" w:ascii="楷体_GB2312" w:hAnsi="仿宋" w:cs="楷体_GB2312"/>
          <w:b/>
          <w:bCs/>
        </w:rPr>
        <w:t>二）专项预算管理</w:t>
      </w:r>
    </w:p>
    <w:p>
      <w:pPr>
        <w:widowControl/>
        <w:spacing w:line="576" w:lineRule="exact"/>
        <w:ind w:firstLine="640"/>
        <w:jc w:val="left"/>
        <w:rPr>
          <w:rFonts w:ascii="仿宋_GB2312" w:eastAsia="仿宋_GB2312" w:cs="仿宋_GB2312"/>
          <w:b w:val="0"/>
          <w:bCs w:val="0"/>
        </w:rPr>
      </w:pPr>
      <w:r>
        <w:rPr>
          <w:rFonts w:ascii="仿宋_GB2312" w:eastAsia="仿宋_GB2312" w:cs="仿宋_GB2312"/>
          <w:b w:val="0"/>
          <w:bCs w:val="0"/>
        </w:rPr>
        <w:t>2018</w:t>
      </w:r>
      <w:r>
        <w:rPr>
          <w:rFonts w:hint="eastAsia" w:ascii="仿宋_GB2312" w:eastAsia="仿宋_GB2312" w:cs="仿宋_GB2312"/>
          <w:b w:val="0"/>
          <w:bCs w:val="0"/>
        </w:rPr>
        <w:t>年度本部门无专项预算。</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宋体" w:eastAsia="仿宋_GB2312"/>
          <w:b/>
          <w:bCs/>
        </w:rPr>
      </w:pPr>
      <w:r>
        <w:rPr>
          <w:rFonts w:hint="eastAsia" w:ascii="楷体_GB2312" w:hAnsi="仿宋" w:cs="楷体_GB2312"/>
          <w:b/>
          <w:bCs/>
        </w:rPr>
        <w:t>（三）结果应用情况</w:t>
      </w:r>
    </w:p>
    <w:p>
      <w:pPr>
        <w:widowControl/>
        <w:spacing w:line="576" w:lineRule="exact"/>
        <w:ind w:firstLine="627" w:firstLineChars="196"/>
        <w:rPr>
          <w:rFonts w:ascii="仿宋_GB2312" w:eastAsia="仿宋_GB2312" w:cs="仿宋_GB2312"/>
          <w:b w:val="0"/>
          <w:bCs w:val="0"/>
        </w:rPr>
      </w:pPr>
      <w:r>
        <w:rPr>
          <w:rFonts w:hint="eastAsia" w:ascii="仿宋_GB2312" w:eastAsia="仿宋_GB2312" w:cs="仿宋_GB2312"/>
          <w:b w:val="0"/>
          <w:bCs w:val="0"/>
        </w:rPr>
        <w:t>我单位对部门预算绩效管理工作开展情况认真进行了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本部门整体绩效管理水平不断提升。</w:t>
      </w:r>
    </w:p>
    <w:p>
      <w:pPr>
        <w:pStyle w:val="3"/>
        <w:spacing w:line="560" w:lineRule="exact"/>
        <w:ind w:firstLine="640"/>
        <w:rPr>
          <w:rFonts w:cs="Times New Roman"/>
          <w:shd w:val="clear" w:color="auto" w:fill="FFFFFF"/>
        </w:rPr>
      </w:pPr>
      <w:r>
        <w:rPr>
          <w:rFonts w:hint="eastAsia" w:cs="黑体"/>
          <w:shd w:val="clear" w:color="auto" w:fill="FFFFFF"/>
        </w:rPr>
        <w:t>四、评价结论及建议</w:t>
      </w:r>
    </w:p>
    <w:p>
      <w:pPr>
        <w:widowControl/>
        <w:spacing w:line="576" w:lineRule="exact"/>
        <w:ind w:firstLine="482" w:firstLineChars="150"/>
        <w:jc w:val="left"/>
        <w:rPr>
          <w:rFonts w:hint="eastAsia" w:ascii="楷体" w:hAnsi="楷体" w:eastAsia="楷体" w:cs="楷体"/>
          <w:b/>
          <w:bCs/>
        </w:rPr>
      </w:pPr>
      <w:r>
        <w:rPr>
          <w:rFonts w:hint="eastAsia" w:ascii="楷体" w:hAnsi="楷体" w:eastAsia="楷体" w:cs="楷体"/>
          <w:b/>
          <w:bCs/>
        </w:rPr>
        <w:t>（一）评价结论</w:t>
      </w:r>
    </w:p>
    <w:p>
      <w:pPr>
        <w:widowControl/>
        <w:spacing w:line="576" w:lineRule="exact"/>
        <w:ind w:firstLine="640"/>
        <w:jc w:val="left"/>
        <w:rPr>
          <w:rFonts w:ascii="仿宋_GB2312" w:eastAsia="仿宋_GB2312" w:cs="仿宋_GB2312"/>
          <w:b w:val="0"/>
          <w:bCs w:val="0"/>
        </w:rPr>
      </w:pPr>
      <w:r>
        <w:rPr>
          <w:rFonts w:ascii="仿宋_GB2312" w:eastAsia="仿宋_GB2312" w:cs="仿宋_GB2312"/>
          <w:b w:val="0"/>
          <w:bCs w:val="0"/>
        </w:rPr>
        <w:t>2018</w:t>
      </w:r>
      <w:r>
        <w:rPr>
          <w:rFonts w:hint="eastAsia" w:ascii="仿宋_GB2312" w:eastAsia="仿宋_GB2312" w:cs="仿宋_GB2312"/>
          <w:b w:val="0"/>
          <w:bCs w:val="0"/>
        </w:rPr>
        <w:t>年我部门整体支出绩效评价自查自评结果良好，全年基本支出保证了部门的正常运行和日常工作的正常开展，项目支出保障了重点工作的开展，达到预期绩效目标，按照</w:t>
      </w:r>
      <w:r>
        <w:rPr>
          <w:rFonts w:ascii="仿宋_GB2312" w:eastAsia="仿宋_GB2312" w:cs="仿宋_GB2312"/>
          <w:b w:val="0"/>
          <w:bCs w:val="0"/>
        </w:rPr>
        <w:t>2018</w:t>
      </w:r>
      <w:r>
        <w:rPr>
          <w:rFonts w:hint="eastAsia" w:ascii="仿宋_GB2312" w:eastAsia="仿宋_GB2312" w:cs="仿宋_GB2312"/>
          <w:b w:val="0"/>
          <w:bCs w:val="0"/>
        </w:rPr>
        <w:t>年部门整体支出绩效评价指标体系自评得分</w:t>
      </w:r>
      <w:r>
        <w:rPr>
          <w:rFonts w:ascii="仿宋_GB2312" w:eastAsia="仿宋_GB2312" w:cs="仿宋_GB2312"/>
          <w:b w:val="0"/>
          <w:bCs w:val="0"/>
        </w:rPr>
        <w:t>97</w:t>
      </w:r>
      <w:r>
        <w:rPr>
          <w:rFonts w:hint="eastAsia" w:ascii="仿宋_GB2312" w:eastAsia="仿宋_GB2312" w:cs="仿宋_GB2312"/>
          <w:b w:val="0"/>
          <w:bCs w:val="0"/>
        </w:rPr>
        <w:t>分。</w:t>
      </w:r>
      <w:r>
        <w:rPr>
          <w:rFonts w:ascii="仿宋_GB2312" w:eastAsia="仿宋_GB2312" w:cs="仿宋_GB2312"/>
          <w:b w:val="0"/>
          <w:bCs w:val="0"/>
        </w:rPr>
        <w:t xml:space="preserve"> </w:t>
      </w:r>
    </w:p>
    <w:p>
      <w:pPr>
        <w:widowControl/>
        <w:spacing w:line="576" w:lineRule="exact"/>
        <w:ind w:firstLine="640"/>
        <w:jc w:val="left"/>
        <w:rPr>
          <w:rFonts w:hint="eastAsia" w:ascii="楷体" w:hAnsi="楷体" w:eastAsia="楷体" w:cs="楷体"/>
          <w:b/>
          <w:bCs/>
        </w:rPr>
      </w:pPr>
      <w:r>
        <w:rPr>
          <w:rFonts w:hint="eastAsia" w:ascii="楷体" w:hAnsi="楷体" w:eastAsia="楷体" w:cs="楷体"/>
          <w:b/>
          <w:bCs/>
        </w:rPr>
        <w:t>（二）存在问题</w:t>
      </w:r>
    </w:p>
    <w:p>
      <w:pPr>
        <w:widowControl/>
        <w:spacing w:line="576" w:lineRule="exact"/>
        <w:ind w:left="0" w:leftChars="0" w:firstLine="640" w:firstLineChars="200"/>
        <w:jc w:val="left"/>
        <w:rPr>
          <w:rFonts w:ascii="仿宋_GB2312" w:eastAsia="仿宋_GB2312" w:cs="仿宋_GB2312"/>
          <w:b w:val="0"/>
          <w:bCs w:val="0"/>
        </w:rPr>
      </w:pPr>
      <w:r>
        <w:rPr>
          <w:rFonts w:hint="eastAsia" w:ascii="仿宋_GB2312" w:eastAsia="仿宋_GB2312" w:cs="仿宋_GB2312"/>
          <w:b w:val="0"/>
          <w:bCs w:val="0"/>
        </w:rPr>
        <w:t>绩效目标设定有待更科学更合理。</w:t>
      </w:r>
    </w:p>
    <w:p>
      <w:pPr>
        <w:widowControl/>
        <w:spacing w:line="576" w:lineRule="exact"/>
        <w:ind w:firstLine="630" w:firstLineChars="196"/>
        <w:jc w:val="left"/>
        <w:rPr>
          <w:rFonts w:hint="eastAsia" w:ascii="楷体" w:hAnsi="楷体" w:eastAsia="楷体" w:cs="楷体"/>
          <w:b/>
          <w:bCs/>
        </w:rPr>
      </w:pPr>
      <w:r>
        <w:rPr>
          <w:rFonts w:hint="eastAsia" w:ascii="楷体" w:hAnsi="楷体" w:eastAsia="楷体" w:cs="楷体"/>
          <w:b/>
          <w:bCs/>
        </w:rPr>
        <w:t>（三）改进建议</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jc w:val="left"/>
        <w:textAlignment w:val="auto"/>
        <w:rPr>
          <w:rFonts w:ascii="仿宋_GB2312" w:eastAsia="仿宋_GB2312" w:cs="仿宋_GB2312"/>
          <w:b w:val="0"/>
          <w:bCs w:val="0"/>
        </w:rPr>
      </w:pPr>
      <w:r>
        <w:rPr>
          <w:rFonts w:hint="eastAsia" w:ascii="仿宋_GB2312" w:eastAsia="仿宋_GB2312" w:cs="仿宋_GB2312"/>
          <w:b w:val="0"/>
          <w:bCs w:val="0"/>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p>
      <w:pPr>
        <w:spacing w:line="560" w:lineRule="exact"/>
        <w:ind w:firstLine="640"/>
        <w:rPr>
          <w:rFonts w:ascii="仿宋_GB2312" w:eastAsia="仿宋_GB2312" w:cs="仿宋_GB2312"/>
          <w:b w:val="0"/>
          <w:bCs w:val="0"/>
        </w:rPr>
      </w:pPr>
    </w:p>
    <w:p>
      <w:pPr>
        <w:spacing w:line="560" w:lineRule="exact"/>
        <w:ind w:firstLine="640"/>
        <w:rPr>
          <w:rFonts w:ascii="仿宋_GB2312" w:eastAsia="仿宋_GB2312"/>
          <w:b w:val="0"/>
          <w:bCs w:val="0"/>
        </w:rPr>
      </w:pPr>
    </w:p>
    <w:tbl>
      <w:tblPr>
        <w:tblStyle w:val="13"/>
        <w:tblW w:w="9645" w:type="dxa"/>
        <w:jc w:val="center"/>
        <w:tblInd w:w="2" w:type="dxa"/>
        <w:tblLayout w:type="fixed"/>
        <w:tblCellMar>
          <w:top w:w="0" w:type="dxa"/>
          <w:left w:w="0" w:type="dxa"/>
          <w:bottom w:w="0" w:type="dxa"/>
          <w:right w:w="0" w:type="dxa"/>
        </w:tblCellMar>
      </w:tblPr>
      <w:tblGrid>
        <w:gridCol w:w="645"/>
        <w:gridCol w:w="795"/>
        <w:gridCol w:w="1395"/>
        <w:gridCol w:w="3135"/>
        <w:gridCol w:w="405"/>
        <w:gridCol w:w="570"/>
        <w:gridCol w:w="2700"/>
      </w:tblGrid>
      <w:tr>
        <w:tblPrEx>
          <w:tblLayout w:type="fixed"/>
          <w:tblCellMar>
            <w:top w:w="0" w:type="dxa"/>
            <w:left w:w="0" w:type="dxa"/>
            <w:bottom w:w="0" w:type="dxa"/>
            <w:right w:w="0" w:type="dxa"/>
          </w:tblCellMar>
        </w:tblPrEx>
        <w:trPr>
          <w:trHeight w:val="600" w:hRule="atLeast"/>
          <w:jc w:val="center"/>
        </w:trPr>
        <w:tc>
          <w:tcPr>
            <w:tcW w:w="9645" w:type="dxa"/>
            <w:gridSpan w:val="7"/>
            <w:tcBorders>
              <w:top w:val="nil"/>
              <w:left w:val="nil"/>
              <w:bottom w:val="single" w:color="000000" w:sz="4" w:space="0"/>
              <w:right w:val="nil"/>
            </w:tcBorders>
            <w:noWrap/>
            <w:tcMar>
              <w:top w:w="15" w:type="dxa"/>
              <w:left w:w="15" w:type="dxa"/>
              <w:right w:w="15" w:type="dxa"/>
            </w:tcMar>
            <w:vAlign w:val="center"/>
          </w:tcPr>
          <w:p>
            <w:pPr>
              <w:widowControl/>
              <w:ind w:firstLine="640"/>
              <w:jc w:val="center"/>
              <w:textAlignment w:val="center"/>
              <w:rPr>
                <w:rFonts w:ascii="方正小标宋简体" w:hAnsi="宋体" w:eastAsia="方正小标宋简体"/>
                <w:b w:val="0"/>
                <w:bCs w:val="0"/>
                <w:color w:val="000000"/>
              </w:rPr>
            </w:pPr>
            <w:r>
              <w:rPr>
                <w:rFonts w:ascii="方正小标宋简体" w:hAnsi="宋体" w:eastAsia="方正小标宋简体" w:cs="方正小标宋简体"/>
                <w:b w:val="0"/>
                <w:bCs w:val="0"/>
                <w:color w:val="000000"/>
                <w:kern w:val="0"/>
              </w:rPr>
              <w:t>2018</w:t>
            </w:r>
            <w:r>
              <w:rPr>
                <w:rFonts w:hint="eastAsia" w:ascii="方正小标宋简体" w:hAnsi="宋体" w:eastAsia="方正小标宋简体" w:cs="方正小标宋简体"/>
                <w:b w:val="0"/>
                <w:bCs w:val="0"/>
                <w:color w:val="000000"/>
                <w:kern w:val="0"/>
              </w:rPr>
              <w:t>年本部门整体支出绩效评价自评表</w:t>
            </w:r>
          </w:p>
        </w:tc>
      </w:tr>
      <w:tr>
        <w:tblPrEx>
          <w:tblLayout w:type="fixed"/>
          <w:tblCellMar>
            <w:top w:w="0" w:type="dxa"/>
            <w:left w:w="0" w:type="dxa"/>
            <w:bottom w:w="0" w:type="dxa"/>
            <w:right w:w="0" w:type="dxa"/>
          </w:tblCellMar>
        </w:tblPrEx>
        <w:trPr>
          <w:trHeight w:val="420" w:hRule="atLeast"/>
          <w:jc w:val="center"/>
        </w:trPr>
        <w:tc>
          <w:tcPr>
            <w:tcW w:w="6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0"/>
              <w:jc w:val="center"/>
              <w:textAlignment w:val="center"/>
              <w:rPr>
                <w:rFonts w:ascii="宋体"/>
                <w:b w:val="0"/>
                <w:bCs w:val="0"/>
                <w:color w:val="000000"/>
                <w:sz w:val="20"/>
                <w:szCs w:val="20"/>
              </w:rPr>
            </w:pPr>
            <w:r>
              <w:rPr>
                <w:rFonts w:hint="eastAsia" w:ascii="宋体" w:hAnsi="宋体" w:cs="宋体"/>
                <w:b w:val="0"/>
                <w:bCs w:val="0"/>
                <w:color w:val="000000"/>
                <w:kern w:val="0"/>
                <w:sz w:val="20"/>
                <w:szCs w:val="20"/>
              </w:rPr>
              <w:t>一级指标</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0"/>
              <w:jc w:val="center"/>
              <w:textAlignment w:val="center"/>
              <w:rPr>
                <w:rFonts w:ascii="宋体"/>
                <w:b w:val="0"/>
                <w:bCs w:val="0"/>
                <w:color w:val="000000"/>
                <w:sz w:val="20"/>
                <w:szCs w:val="20"/>
              </w:rPr>
            </w:pPr>
            <w:r>
              <w:rPr>
                <w:rFonts w:hint="eastAsia" w:ascii="宋体" w:hAnsi="宋体" w:cs="宋体"/>
                <w:b w:val="0"/>
                <w:bCs w:val="0"/>
                <w:color w:val="000000"/>
                <w:kern w:val="0"/>
                <w:sz w:val="20"/>
                <w:szCs w:val="20"/>
              </w:rPr>
              <w:t>二级指标</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0"/>
              <w:jc w:val="center"/>
              <w:textAlignment w:val="center"/>
              <w:rPr>
                <w:rFonts w:ascii="宋体"/>
                <w:b w:val="0"/>
                <w:bCs w:val="0"/>
                <w:color w:val="000000"/>
                <w:sz w:val="20"/>
                <w:szCs w:val="20"/>
              </w:rPr>
            </w:pPr>
            <w:r>
              <w:rPr>
                <w:rFonts w:hint="eastAsia" w:ascii="宋体" w:hAnsi="宋体" w:cs="宋体"/>
                <w:b w:val="0"/>
                <w:bCs w:val="0"/>
                <w:color w:val="000000"/>
                <w:kern w:val="0"/>
                <w:sz w:val="20"/>
                <w:szCs w:val="20"/>
              </w:rPr>
              <w:t>三级指标</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0"/>
              <w:jc w:val="center"/>
              <w:textAlignment w:val="center"/>
              <w:rPr>
                <w:rFonts w:ascii="宋体"/>
                <w:b w:val="0"/>
                <w:bCs w:val="0"/>
                <w:color w:val="000000"/>
                <w:sz w:val="20"/>
                <w:szCs w:val="20"/>
              </w:rPr>
            </w:pPr>
            <w:r>
              <w:rPr>
                <w:rFonts w:hint="eastAsia" w:ascii="宋体" w:hAnsi="宋体" w:cs="宋体"/>
                <w:b w:val="0"/>
                <w:bCs w:val="0"/>
                <w:color w:val="000000"/>
                <w:kern w:val="0"/>
                <w:sz w:val="20"/>
                <w:szCs w:val="20"/>
              </w:rPr>
              <w:t>指标解释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400"/>
              <w:jc w:val="center"/>
              <w:textAlignment w:val="center"/>
              <w:rPr>
                <w:rFonts w:ascii="宋体"/>
                <w:b w:val="0"/>
                <w:bCs w:val="0"/>
                <w:color w:val="000000"/>
                <w:sz w:val="20"/>
                <w:szCs w:val="20"/>
              </w:rPr>
            </w:pPr>
            <w:r>
              <w:rPr>
                <w:rFonts w:hint="eastAsia" w:ascii="宋体" w:hAnsi="宋体" w:cs="宋体"/>
                <w:b w:val="0"/>
                <w:bCs w:val="0"/>
                <w:color w:val="000000"/>
                <w:kern w:val="0"/>
                <w:sz w:val="20"/>
                <w:szCs w:val="20"/>
              </w:rPr>
              <w:t>扣分</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400"/>
              <w:jc w:val="center"/>
              <w:textAlignment w:val="center"/>
              <w:rPr>
                <w:rFonts w:ascii="宋体"/>
                <w:b w:val="0"/>
                <w:bCs w:val="0"/>
                <w:color w:val="000000"/>
                <w:sz w:val="20"/>
                <w:szCs w:val="20"/>
              </w:rPr>
            </w:pPr>
            <w:r>
              <w:rPr>
                <w:rFonts w:hint="eastAsia" w:ascii="宋体" w:hAnsi="宋体" w:cs="宋体"/>
                <w:b w:val="0"/>
                <w:bCs w:val="0"/>
                <w:color w:val="000000"/>
                <w:kern w:val="0"/>
                <w:sz w:val="20"/>
                <w:szCs w:val="20"/>
              </w:rPr>
              <w:t>扣分理由</w:t>
            </w: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0"/>
              <w:jc w:val="center"/>
              <w:textAlignment w:val="center"/>
              <w:rPr>
                <w:rFonts w:ascii="宋体"/>
                <w:b w:val="0"/>
                <w:bCs w:val="0"/>
                <w:color w:val="000000"/>
                <w:sz w:val="20"/>
                <w:szCs w:val="20"/>
              </w:rPr>
            </w:pPr>
            <w:r>
              <w:rPr>
                <w:rFonts w:hint="eastAsia" w:ascii="宋体" w:hAnsi="宋体" w:cs="宋体"/>
                <w:b w:val="0"/>
                <w:bCs w:val="0"/>
                <w:color w:val="000000"/>
                <w:kern w:val="0"/>
                <w:sz w:val="20"/>
                <w:szCs w:val="20"/>
              </w:rPr>
              <w:t>计分标准（备注）</w:t>
            </w:r>
          </w:p>
        </w:tc>
      </w:tr>
      <w:tr>
        <w:tblPrEx>
          <w:tblLayout w:type="fixed"/>
          <w:tblCellMar>
            <w:top w:w="0" w:type="dxa"/>
            <w:left w:w="0" w:type="dxa"/>
            <w:bottom w:w="0" w:type="dxa"/>
            <w:right w:w="0" w:type="dxa"/>
          </w:tblCellMar>
        </w:tblPrEx>
        <w:trPr>
          <w:trHeight w:val="480" w:hRule="atLeast"/>
          <w:jc w:val="center"/>
        </w:trPr>
        <w:tc>
          <w:tcPr>
            <w:tcW w:w="645"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ind w:firstLine="402"/>
              <w:jc w:val="center"/>
              <w:textAlignment w:val="center"/>
              <w:rPr>
                <w:rFonts w:ascii="宋体"/>
                <w:color w:val="000000"/>
                <w:sz w:val="20"/>
                <w:szCs w:val="20"/>
              </w:rPr>
            </w:pPr>
            <w:r>
              <w:rPr>
                <w:rFonts w:hint="eastAsia" w:ascii="宋体" w:hAnsi="宋体" w:cs="宋体"/>
                <w:color w:val="000000"/>
                <w:kern w:val="0"/>
                <w:sz w:val="20"/>
                <w:szCs w:val="20"/>
              </w:rPr>
              <w:t>预算编制（</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报送时效（</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基础信息更新（</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部门是否按照县级部门预算编制通知和有关要求，按时完成基础库、项目库报送工作</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超过规定</w:t>
            </w:r>
            <w:r>
              <w:rPr>
                <w:rFonts w:ascii="宋体" w:hAnsi="宋体" w:cs="宋体"/>
                <w:color w:val="000000"/>
                <w:kern w:val="0"/>
                <w:sz w:val="20"/>
                <w:szCs w:val="20"/>
              </w:rPr>
              <w:t>5</w:t>
            </w:r>
            <w:r>
              <w:rPr>
                <w:rFonts w:hint="eastAsia" w:ascii="宋体" w:hAnsi="宋体" w:cs="宋体"/>
                <w:color w:val="000000"/>
                <w:kern w:val="0"/>
                <w:sz w:val="20"/>
                <w:szCs w:val="20"/>
              </w:rPr>
              <w:t>个工作日扣</w:t>
            </w:r>
            <w:r>
              <w:rPr>
                <w:rFonts w:ascii="宋体" w:hAnsi="宋体" w:cs="宋体"/>
                <w:color w:val="000000"/>
                <w:kern w:val="0"/>
                <w:sz w:val="20"/>
                <w:szCs w:val="20"/>
              </w:rPr>
              <w:t>0.5</w:t>
            </w:r>
            <w:r>
              <w:rPr>
                <w:rFonts w:hint="eastAsia" w:ascii="宋体" w:hAnsi="宋体" w:cs="宋体"/>
                <w:color w:val="000000"/>
                <w:kern w:val="0"/>
                <w:sz w:val="20"/>
                <w:szCs w:val="20"/>
              </w:rPr>
              <w:t>分，</w:t>
            </w:r>
            <w:r>
              <w:rPr>
                <w:rFonts w:ascii="宋体" w:hAnsi="宋体" w:cs="宋体"/>
                <w:color w:val="000000"/>
                <w:kern w:val="0"/>
                <w:sz w:val="20"/>
                <w:szCs w:val="20"/>
              </w:rPr>
              <w:t>10</w:t>
            </w:r>
            <w:r>
              <w:rPr>
                <w:rFonts w:hint="eastAsia" w:ascii="宋体" w:hAnsi="宋体" w:cs="宋体"/>
                <w:color w:val="000000"/>
                <w:kern w:val="0"/>
                <w:sz w:val="20"/>
                <w:szCs w:val="20"/>
              </w:rPr>
              <w:t>个工作日扣</w:t>
            </w:r>
            <w:r>
              <w:rPr>
                <w:rFonts w:ascii="宋体" w:hAnsi="宋体" w:cs="宋体"/>
                <w:color w:val="000000"/>
                <w:kern w:val="0"/>
                <w:sz w:val="20"/>
                <w:szCs w:val="20"/>
              </w:rPr>
              <w:t>1</w:t>
            </w:r>
            <w:r>
              <w:rPr>
                <w:rFonts w:hint="eastAsia" w:ascii="宋体" w:hAnsi="宋体" w:cs="宋体"/>
                <w:color w:val="000000"/>
                <w:kern w:val="0"/>
                <w:sz w:val="20"/>
                <w:szCs w:val="20"/>
              </w:rPr>
              <w:t>分，以此类推，直至扣完</w:t>
            </w:r>
          </w:p>
        </w:tc>
      </w:tr>
      <w:tr>
        <w:tblPrEx>
          <w:tblLayout w:type="fixed"/>
          <w:tblCellMar>
            <w:top w:w="0" w:type="dxa"/>
            <w:left w:w="0" w:type="dxa"/>
            <w:bottom w:w="0" w:type="dxa"/>
            <w:right w:w="0" w:type="dxa"/>
          </w:tblCellMar>
        </w:tblPrEx>
        <w:trPr>
          <w:trHeight w:val="480" w:hRule="atLeast"/>
          <w:jc w:val="center"/>
        </w:trPr>
        <w:tc>
          <w:tcPr>
            <w:tcW w:w="64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编制质量（</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预算编制准确（</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（预算资金总来源</w:t>
            </w:r>
            <w:r>
              <w:rPr>
                <w:rFonts w:ascii="宋体" w:cs="宋体"/>
                <w:color w:val="000000"/>
                <w:kern w:val="0"/>
                <w:sz w:val="20"/>
                <w:szCs w:val="20"/>
              </w:rPr>
              <w:t>-</w:t>
            </w:r>
            <w:r>
              <w:rPr>
                <w:rFonts w:hint="eastAsia" w:ascii="宋体" w:hAnsi="宋体" w:cs="宋体"/>
                <w:color w:val="000000"/>
                <w:kern w:val="0"/>
                <w:sz w:val="20"/>
                <w:szCs w:val="20"/>
              </w:rPr>
              <w:t>中期评估调整取消资金</w:t>
            </w:r>
            <w:r>
              <w:rPr>
                <w:rFonts w:ascii="宋体" w:cs="宋体"/>
                <w:color w:val="000000"/>
                <w:kern w:val="0"/>
                <w:sz w:val="20"/>
                <w:szCs w:val="20"/>
              </w:rPr>
              <w:t>-</w:t>
            </w:r>
            <w:r>
              <w:rPr>
                <w:rFonts w:hint="eastAsia" w:ascii="宋体" w:hAnsi="宋体" w:cs="宋体"/>
                <w:color w:val="000000"/>
                <w:kern w:val="0"/>
                <w:sz w:val="20"/>
                <w:szCs w:val="20"/>
              </w:rPr>
              <w:t>预算结余注销资金）÷预算资金总来源</w:t>
            </w:r>
            <w:r>
              <w:rPr>
                <w:rFonts w:ascii="宋体" w:hAnsi="宋体" w:cs="宋体"/>
                <w:color w:val="000000"/>
                <w:kern w:val="0"/>
                <w:sz w:val="20"/>
                <w:szCs w:val="20"/>
              </w:rPr>
              <w:t>*</w:t>
            </w:r>
            <w:r>
              <w:rPr>
                <w:rFonts w:hint="eastAsia" w:ascii="宋体" w:hAnsi="宋体" w:cs="宋体"/>
                <w:color w:val="000000"/>
                <w:kern w:val="0"/>
                <w:sz w:val="20"/>
                <w:szCs w:val="20"/>
              </w:rPr>
              <w:t>指标分值</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其中：预算资金总来源是指县级年初预算与执行中追加预算（不含当年专款）总和</w:t>
            </w:r>
          </w:p>
        </w:tc>
      </w:tr>
      <w:tr>
        <w:tblPrEx>
          <w:tblLayout w:type="fixed"/>
          <w:tblCellMar>
            <w:top w:w="0" w:type="dxa"/>
            <w:left w:w="0" w:type="dxa"/>
            <w:bottom w:w="0" w:type="dxa"/>
            <w:right w:w="0" w:type="dxa"/>
          </w:tblCellMar>
        </w:tblPrEx>
        <w:trPr>
          <w:trHeight w:val="480" w:hRule="atLeast"/>
          <w:jc w:val="center"/>
        </w:trPr>
        <w:tc>
          <w:tcPr>
            <w:tcW w:w="64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部门预算审查（</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根据县人大财经委对预算草案审查结果进行考核</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对财经委审查后提出并确需修改的问题，每个问题扣</w:t>
            </w:r>
            <w:r>
              <w:rPr>
                <w:rFonts w:ascii="宋体" w:hAnsi="宋体" w:cs="宋体"/>
                <w:color w:val="000000"/>
                <w:kern w:val="0"/>
                <w:sz w:val="20"/>
                <w:szCs w:val="20"/>
              </w:rPr>
              <w:t>0.02</w:t>
            </w:r>
            <w:r>
              <w:rPr>
                <w:rFonts w:hint="eastAsia" w:ascii="宋体" w:hAnsi="宋体" w:cs="宋体"/>
                <w:color w:val="000000"/>
                <w:kern w:val="0"/>
                <w:sz w:val="20"/>
                <w:szCs w:val="20"/>
              </w:rPr>
              <w:t>分，直至扣完</w:t>
            </w:r>
          </w:p>
        </w:tc>
      </w:tr>
      <w:tr>
        <w:tblPrEx>
          <w:tblLayout w:type="fixed"/>
          <w:tblCellMar>
            <w:top w:w="0" w:type="dxa"/>
            <w:left w:w="0" w:type="dxa"/>
            <w:bottom w:w="0" w:type="dxa"/>
            <w:right w:w="0" w:type="dxa"/>
          </w:tblCellMar>
        </w:tblPrEx>
        <w:trPr>
          <w:trHeight w:val="480" w:hRule="atLeast"/>
          <w:jc w:val="center"/>
        </w:trPr>
        <w:tc>
          <w:tcPr>
            <w:tcW w:w="64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绩效目标（</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部门整体绩效目标（</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部门整体绩效目标编制完整、合理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部门整体绩效目标能完整、合理反映部门年度职责履行情况的得分，否则不得分</w:t>
            </w:r>
          </w:p>
        </w:tc>
      </w:tr>
      <w:tr>
        <w:tblPrEx>
          <w:tblLayout w:type="fixed"/>
          <w:tblCellMar>
            <w:top w:w="0" w:type="dxa"/>
            <w:left w:w="0" w:type="dxa"/>
            <w:bottom w:w="0" w:type="dxa"/>
            <w:right w:w="0" w:type="dxa"/>
          </w:tblCellMar>
        </w:tblPrEx>
        <w:trPr>
          <w:trHeight w:val="420" w:hRule="atLeast"/>
          <w:jc w:val="center"/>
        </w:trPr>
        <w:tc>
          <w:tcPr>
            <w:tcW w:w="64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重点项目绩效目标（</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项目绩效目标编制明确、量化</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项目支出绩效目标编制不明确和量化的发现一个扣</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Layout w:type="fixed"/>
          <w:tblCellMar>
            <w:top w:w="0" w:type="dxa"/>
            <w:left w:w="0" w:type="dxa"/>
            <w:bottom w:w="0" w:type="dxa"/>
            <w:right w:w="0" w:type="dxa"/>
          </w:tblCellMar>
        </w:tblPrEx>
        <w:trPr>
          <w:trHeight w:val="420" w:hRule="atLeast"/>
          <w:jc w:val="center"/>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center"/>
              <w:textAlignment w:val="center"/>
              <w:rPr>
                <w:rFonts w:ascii="宋体"/>
                <w:color w:val="000000"/>
                <w:sz w:val="20"/>
                <w:szCs w:val="20"/>
              </w:rPr>
            </w:pPr>
            <w:r>
              <w:rPr>
                <w:rFonts w:hint="eastAsia" w:ascii="宋体" w:hAnsi="宋体" w:cs="宋体"/>
                <w:color w:val="000000"/>
                <w:kern w:val="0"/>
                <w:sz w:val="20"/>
                <w:szCs w:val="20"/>
              </w:rPr>
              <w:t>预算执行（</w:t>
            </w:r>
            <w:r>
              <w:rPr>
                <w:rFonts w:ascii="宋体" w:hAnsi="宋体" w:cs="宋体"/>
                <w:color w:val="000000"/>
                <w:kern w:val="0"/>
                <w:sz w:val="20"/>
                <w:szCs w:val="20"/>
              </w:rPr>
              <w:t>20</w:t>
            </w:r>
            <w:r>
              <w:rPr>
                <w:rFonts w:hint="eastAsia" w:ascii="宋体" w:hAnsi="宋体" w:cs="宋体"/>
                <w:color w:val="000000"/>
                <w:kern w:val="0"/>
                <w:sz w:val="20"/>
                <w:szCs w:val="20"/>
              </w:rPr>
              <w:t>分）</w:t>
            </w:r>
          </w:p>
        </w:tc>
        <w:tc>
          <w:tcPr>
            <w:tcW w:w="7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执行进度（</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财力专项预算分配时限（</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按规定及时分配财力专项预算</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按《预算法》规定时限完成分配的考核得分，否则不得分</w:t>
            </w:r>
          </w:p>
        </w:tc>
      </w:tr>
      <w:tr>
        <w:tblPrEx>
          <w:tblLayout w:type="fixed"/>
          <w:tblCellMar>
            <w:top w:w="0" w:type="dxa"/>
            <w:left w:w="0" w:type="dxa"/>
            <w:bottom w:w="0" w:type="dxa"/>
            <w:right w:w="0" w:type="dxa"/>
          </w:tblCellMar>
        </w:tblPrEx>
        <w:trPr>
          <w:trHeight w:val="42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部门预算执行进度（</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部门按要求严格预算执行管理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部门预算实际列支数÷部门预算总额</w:t>
            </w:r>
            <w:r>
              <w:rPr>
                <w:rFonts w:ascii="宋体" w:hAnsi="宋体" w:cs="宋体"/>
                <w:color w:val="000000"/>
                <w:kern w:val="0"/>
                <w:sz w:val="20"/>
                <w:szCs w:val="20"/>
              </w:rPr>
              <w:t>*</w:t>
            </w:r>
            <w:r>
              <w:rPr>
                <w:rFonts w:hint="eastAsia" w:ascii="宋体" w:hAnsi="宋体" w:cs="宋体"/>
                <w:color w:val="000000"/>
                <w:kern w:val="0"/>
                <w:sz w:val="20"/>
                <w:szCs w:val="20"/>
              </w:rPr>
              <w:t>指标分值</w:t>
            </w:r>
          </w:p>
        </w:tc>
      </w:tr>
      <w:tr>
        <w:tblPrEx>
          <w:tblLayout w:type="fixed"/>
          <w:tblCellMar>
            <w:top w:w="0" w:type="dxa"/>
            <w:left w:w="0" w:type="dxa"/>
            <w:bottom w:w="0" w:type="dxa"/>
            <w:right w:w="0" w:type="dxa"/>
          </w:tblCellMar>
        </w:tblPrEx>
        <w:trPr>
          <w:trHeight w:val="42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预算调整（</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执行中期评估（</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部门中期评估调整取消资金÷</w:t>
            </w:r>
            <w:r>
              <w:rPr>
                <w:rFonts w:ascii="宋体" w:hAnsi="宋体" w:cs="宋体"/>
                <w:color w:val="000000"/>
                <w:kern w:val="0"/>
                <w:sz w:val="20"/>
                <w:szCs w:val="20"/>
              </w:rPr>
              <w:t>(</w:t>
            </w:r>
            <w:r>
              <w:rPr>
                <w:rFonts w:hint="eastAsia" w:ascii="宋体" w:hAnsi="宋体" w:cs="宋体"/>
                <w:color w:val="000000"/>
                <w:kern w:val="0"/>
                <w:sz w:val="20"/>
                <w:szCs w:val="20"/>
              </w:rPr>
              <w:t>中期评估调整取消资金</w:t>
            </w:r>
            <w:r>
              <w:rPr>
                <w:rFonts w:ascii="宋体" w:hAnsi="宋体" w:cs="宋体"/>
                <w:color w:val="000000"/>
                <w:kern w:val="0"/>
                <w:sz w:val="20"/>
                <w:szCs w:val="20"/>
              </w:rPr>
              <w:t>+</w:t>
            </w:r>
            <w:r>
              <w:rPr>
                <w:rFonts w:hint="eastAsia" w:ascii="宋体" w:hAnsi="宋体" w:cs="宋体"/>
                <w:color w:val="000000"/>
                <w:kern w:val="0"/>
                <w:sz w:val="20"/>
                <w:szCs w:val="20"/>
              </w:rPr>
              <w:t>预算结余注销资金）</w:t>
            </w:r>
            <w:r>
              <w:rPr>
                <w:rFonts w:ascii="宋体" w:hAnsi="宋体" w:cs="宋体"/>
                <w:color w:val="000000"/>
                <w:kern w:val="0"/>
                <w:sz w:val="20"/>
                <w:szCs w:val="20"/>
              </w:rPr>
              <w:t>*</w:t>
            </w:r>
            <w:r>
              <w:rPr>
                <w:rFonts w:hint="eastAsia" w:ascii="宋体" w:hAnsi="宋体" w:cs="宋体"/>
                <w:color w:val="000000"/>
                <w:kern w:val="0"/>
                <w:sz w:val="20"/>
                <w:szCs w:val="20"/>
              </w:rPr>
              <w:t>指标分值</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当中期评估调整取消资金与结余注销资金之和为零时，得满分</w:t>
            </w:r>
          </w:p>
        </w:tc>
      </w:tr>
      <w:tr>
        <w:tblPrEx>
          <w:tblLayout w:type="fixed"/>
          <w:tblCellMar>
            <w:top w:w="0" w:type="dxa"/>
            <w:left w:w="0" w:type="dxa"/>
            <w:bottom w:w="0" w:type="dxa"/>
            <w:right w:w="0" w:type="dxa"/>
          </w:tblCellMar>
        </w:tblPrEx>
        <w:trPr>
          <w:trHeight w:val="48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行政成本（</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三公经费（</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严格执行“三公经费”预算</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部门“三公”经费决算数一项超预算扣</w:t>
            </w:r>
            <w:r>
              <w:rPr>
                <w:rFonts w:ascii="宋体" w:hAnsi="宋体" w:cs="宋体"/>
                <w:color w:val="000000"/>
                <w:kern w:val="0"/>
                <w:sz w:val="20"/>
                <w:szCs w:val="20"/>
              </w:rPr>
              <w:t>1</w:t>
            </w:r>
            <w:r>
              <w:rPr>
                <w:rFonts w:hint="eastAsia" w:ascii="宋体" w:hAnsi="宋体" w:cs="宋体"/>
                <w:color w:val="000000"/>
                <w:kern w:val="0"/>
                <w:sz w:val="20"/>
                <w:szCs w:val="20"/>
              </w:rPr>
              <w:t>分，两项超预算扣</w:t>
            </w:r>
            <w:r>
              <w:rPr>
                <w:rFonts w:ascii="宋体" w:hAnsi="宋体" w:cs="宋体"/>
                <w:color w:val="000000"/>
                <w:kern w:val="0"/>
                <w:sz w:val="20"/>
                <w:szCs w:val="20"/>
              </w:rPr>
              <w:t>2</w:t>
            </w:r>
            <w:r>
              <w:rPr>
                <w:rFonts w:hint="eastAsia" w:ascii="宋体" w:hAnsi="宋体" w:cs="宋体"/>
                <w:color w:val="000000"/>
                <w:kern w:val="0"/>
                <w:sz w:val="20"/>
                <w:szCs w:val="20"/>
              </w:rPr>
              <w:t>分，以此类推，直至扣完</w:t>
            </w:r>
          </w:p>
        </w:tc>
      </w:tr>
      <w:tr>
        <w:tblPrEx>
          <w:tblLayout w:type="fixed"/>
          <w:tblCellMar>
            <w:top w:w="0" w:type="dxa"/>
            <w:left w:w="0" w:type="dxa"/>
            <w:bottom w:w="0" w:type="dxa"/>
            <w:right w:w="0" w:type="dxa"/>
          </w:tblCellMar>
        </w:tblPrEx>
        <w:trPr>
          <w:trHeight w:val="420" w:hRule="atLeast"/>
          <w:jc w:val="center"/>
        </w:trPr>
        <w:tc>
          <w:tcPr>
            <w:tcW w:w="645" w:type="dxa"/>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center"/>
              <w:textAlignment w:val="center"/>
              <w:rPr>
                <w:rFonts w:ascii="宋体"/>
                <w:color w:val="000000"/>
                <w:sz w:val="20"/>
                <w:szCs w:val="20"/>
              </w:rPr>
            </w:pPr>
            <w:r>
              <w:rPr>
                <w:rFonts w:hint="eastAsia" w:ascii="宋体" w:hAnsi="宋体" w:cs="宋体"/>
                <w:color w:val="000000"/>
                <w:kern w:val="0"/>
                <w:sz w:val="20"/>
                <w:szCs w:val="20"/>
              </w:rPr>
              <w:t>综合管理（</w:t>
            </w:r>
            <w:r>
              <w:rPr>
                <w:rFonts w:ascii="宋体" w:hAnsi="宋体" w:cs="宋体"/>
                <w:color w:val="000000"/>
                <w:kern w:val="0"/>
                <w:sz w:val="20"/>
                <w:szCs w:val="20"/>
              </w:rPr>
              <w:t>40</w:t>
            </w:r>
            <w:r>
              <w:rPr>
                <w:rFonts w:hint="eastAsia" w:ascii="宋体" w:hAnsi="宋体" w:cs="宋体"/>
                <w:color w:val="000000"/>
                <w:kern w:val="0"/>
                <w:sz w:val="20"/>
                <w:szCs w:val="20"/>
              </w:rPr>
              <w:t>分）</w:t>
            </w:r>
          </w:p>
        </w:tc>
        <w:tc>
          <w:tcPr>
            <w:tcW w:w="7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政府采购实施计划（</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政府采购实施计划编制（</w:t>
            </w:r>
            <w:r>
              <w:rPr>
                <w:rFonts w:ascii="宋体" w:hAnsi="宋体" w:cs="宋体"/>
                <w:color w:val="000000"/>
                <w:kern w:val="0"/>
                <w:sz w:val="20"/>
                <w:szCs w:val="20"/>
              </w:rPr>
              <w:t>2</w:t>
            </w:r>
            <w:r>
              <w:rPr>
                <w:rFonts w:hint="eastAsia" w:ascii="宋体" w:hAnsi="宋体" w:cs="宋体"/>
                <w:color w:val="000000"/>
                <w:kern w:val="0"/>
                <w:sz w:val="20"/>
                <w:szCs w:val="20"/>
              </w:rPr>
              <w:t>）</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实施计划与政府采购预算的一致性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w:t>
            </w:r>
            <w:r>
              <w:rPr>
                <w:rFonts w:hint="eastAsia" w:ascii="宋体" w:hAnsi="宋体" w:cs="宋体"/>
                <w:color w:val="000000"/>
                <w:kern w:val="0"/>
                <w:sz w:val="20"/>
                <w:szCs w:val="20"/>
              </w:rPr>
              <w:t>调整或细化资金</w:t>
            </w:r>
            <w:r>
              <w:rPr>
                <w:rFonts w:ascii="宋体" w:hAnsi="宋体" w:cs="宋体"/>
                <w:color w:val="000000"/>
                <w:kern w:val="0"/>
                <w:sz w:val="20"/>
                <w:szCs w:val="20"/>
              </w:rPr>
              <w:t>/</w:t>
            </w:r>
            <w:r>
              <w:rPr>
                <w:rFonts w:hint="eastAsia" w:ascii="宋体" w:hAnsi="宋体" w:cs="宋体"/>
                <w:color w:val="000000"/>
                <w:kern w:val="0"/>
                <w:sz w:val="20"/>
                <w:szCs w:val="20"/>
              </w:rPr>
              <w:t>政府采购预算资金）</w:t>
            </w:r>
            <w:r>
              <w:rPr>
                <w:rFonts w:ascii="宋体" w:hAnsi="宋体" w:cs="宋体"/>
                <w:color w:val="000000"/>
                <w:kern w:val="0"/>
                <w:sz w:val="20"/>
                <w:szCs w:val="20"/>
              </w:rPr>
              <w:t>*</w:t>
            </w:r>
            <w:r>
              <w:rPr>
                <w:rFonts w:hint="eastAsia" w:ascii="宋体" w:hAnsi="宋体" w:cs="宋体"/>
                <w:color w:val="000000"/>
                <w:kern w:val="0"/>
                <w:sz w:val="20"/>
                <w:szCs w:val="20"/>
              </w:rPr>
              <w:t>分值</w:t>
            </w:r>
          </w:p>
        </w:tc>
      </w:tr>
      <w:tr>
        <w:tblPrEx>
          <w:tblLayout w:type="fixed"/>
          <w:tblCellMar>
            <w:top w:w="0" w:type="dxa"/>
            <w:left w:w="0" w:type="dxa"/>
            <w:bottom w:w="0" w:type="dxa"/>
            <w:right w:w="0" w:type="dxa"/>
          </w:tblCellMar>
        </w:tblPrEx>
        <w:trPr>
          <w:trHeight w:val="48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政府采购实施计划的执行（</w:t>
            </w:r>
            <w:r>
              <w:rPr>
                <w:rFonts w:ascii="宋体" w:hAnsi="宋体" w:cs="宋体"/>
                <w:color w:val="000000"/>
                <w:kern w:val="0"/>
                <w:sz w:val="20"/>
                <w:szCs w:val="20"/>
              </w:rPr>
              <w:t>2</w:t>
            </w:r>
            <w:r>
              <w:rPr>
                <w:rFonts w:hint="eastAsia" w:ascii="宋体" w:hAnsi="宋体" w:cs="宋体"/>
                <w:color w:val="000000"/>
                <w:kern w:val="0"/>
                <w:sz w:val="20"/>
                <w:szCs w:val="20"/>
              </w:rPr>
              <w:t>）</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执行的实施计划与备案的实施计划的一致性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w:t>
            </w:r>
            <w:r>
              <w:rPr>
                <w:rFonts w:hint="eastAsia" w:ascii="宋体" w:hAnsi="宋体" w:cs="宋体"/>
                <w:color w:val="000000"/>
                <w:kern w:val="0"/>
                <w:sz w:val="20"/>
                <w:szCs w:val="20"/>
              </w:rPr>
              <w:t>实施计划备案后的调整或细化资金</w:t>
            </w:r>
            <w:r>
              <w:rPr>
                <w:rFonts w:ascii="宋体" w:hAnsi="宋体" w:cs="宋体"/>
                <w:color w:val="000000"/>
                <w:kern w:val="0"/>
                <w:sz w:val="20"/>
                <w:szCs w:val="20"/>
              </w:rPr>
              <w:t>/</w:t>
            </w:r>
            <w:r>
              <w:rPr>
                <w:rFonts w:hint="eastAsia" w:ascii="宋体" w:hAnsi="宋体" w:cs="宋体"/>
                <w:color w:val="000000"/>
                <w:kern w:val="0"/>
                <w:sz w:val="20"/>
                <w:szCs w:val="20"/>
              </w:rPr>
              <w:t>实施计划备案后的资金）</w:t>
            </w:r>
            <w:r>
              <w:rPr>
                <w:rFonts w:ascii="宋体" w:hAnsi="宋体" w:cs="宋体"/>
                <w:color w:val="000000"/>
                <w:kern w:val="0"/>
                <w:sz w:val="20"/>
                <w:szCs w:val="20"/>
              </w:rPr>
              <w:t>*</w:t>
            </w:r>
            <w:r>
              <w:rPr>
                <w:rFonts w:hint="eastAsia" w:ascii="宋体" w:hAnsi="宋体" w:cs="宋体"/>
                <w:color w:val="000000"/>
                <w:kern w:val="0"/>
                <w:sz w:val="20"/>
                <w:szCs w:val="20"/>
              </w:rPr>
              <w:t>分值</w:t>
            </w:r>
          </w:p>
        </w:tc>
      </w:tr>
      <w:tr>
        <w:tblPrEx>
          <w:tblLayout w:type="fixed"/>
          <w:tblCellMar>
            <w:top w:w="0" w:type="dxa"/>
            <w:left w:w="0" w:type="dxa"/>
            <w:bottom w:w="0" w:type="dxa"/>
            <w:right w:w="0" w:type="dxa"/>
          </w:tblCellMar>
        </w:tblPrEx>
        <w:trPr>
          <w:trHeight w:val="72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资产管理（</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资产管理信息系统建设情况（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考核部门和单位将国有资产纳入资产信息系统管理情况</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①未将所属单位国有资产纳入系统管理，每少一个单位扣</w:t>
            </w:r>
            <w:r>
              <w:rPr>
                <w:rFonts w:ascii="宋体" w:hAnsi="宋体" w:cs="宋体"/>
                <w:color w:val="000000"/>
                <w:kern w:val="0"/>
                <w:sz w:val="20"/>
                <w:szCs w:val="20"/>
              </w:rPr>
              <w:t>1</w:t>
            </w:r>
            <w:r>
              <w:rPr>
                <w:rFonts w:hint="eastAsia" w:ascii="宋体" w:hAnsi="宋体" w:cs="宋体"/>
                <w:color w:val="000000"/>
                <w:kern w:val="0"/>
                <w:sz w:val="20"/>
                <w:szCs w:val="20"/>
              </w:rPr>
              <w:t>分。②未将资产变动情况及时录入系统，每次扣</w:t>
            </w:r>
            <w:r>
              <w:rPr>
                <w:rFonts w:ascii="宋体" w:hAnsi="宋体" w:cs="宋体"/>
                <w:color w:val="000000"/>
                <w:kern w:val="0"/>
                <w:sz w:val="20"/>
                <w:szCs w:val="20"/>
              </w:rPr>
              <w:t>0.5</w:t>
            </w:r>
            <w:r>
              <w:rPr>
                <w:rFonts w:hint="eastAsia" w:ascii="宋体" w:hAnsi="宋体" w:cs="宋体"/>
                <w:color w:val="000000"/>
                <w:kern w:val="0"/>
                <w:sz w:val="20"/>
                <w:szCs w:val="20"/>
              </w:rPr>
              <w:t>分。③未落实人员负责管理系统，扣</w:t>
            </w:r>
            <w:r>
              <w:rPr>
                <w:rFonts w:ascii="宋体" w:hAnsi="宋体" w:cs="宋体"/>
                <w:color w:val="000000"/>
                <w:kern w:val="0"/>
                <w:sz w:val="20"/>
                <w:szCs w:val="20"/>
              </w:rPr>
              <w:t>1</w:t>
            </w:r>
            <w:r>
              <w:rPr>
                <w:rFonts w:hint="eastAsia" w:ascii="宋体" w:hAnsi="宋体" w:cs="宋体"/>
                <w:color w:val="000000"/>
                <w:kern w:val="0"/>
                <w:sz w:val="20"/>
                <w:szCs w:val="20"/>
              </w:rPr>
              <w:t>分。</w:t>
            </w:r>
          </w:p>
        </w:tc>
      </w:tr>
      <w:tr>
        <w:tblPrEx>
          <w:tblLayout w:type="fixed"/>
          <w:tblCellMar>
            <w:top w:w="0" w:type="dxa"/>
            <w:left w:w="0" w:type="dxa"/>
            <w:bottom w:w="0" w:type="dxa"/>
            <w:right w:w="0" w:type="dxa"/>
          </w:tblCellMar>
        </w:tblPrEx>
        <w:trPr>
          <w:trHeight w:val="120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jc w:val="left"/>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行政事业单位资产清查开展情况（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考核行政事业单位按要求及时、准确、全面开展资产清查工作情况</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①未在规定时间内完成资产清查任务扣</w:t>
            </w:r>
            <w:r>
              <w:rPr>
                <w:rFonts w:ascii="宋体" w:hAnsi="宋体" w:cs="宋体"/>
                <w:color w:val="000000"/>
                <w:kern w:val="0"/>
                <w:sz w:val="20"/>
                <w:szCs w:val="20"/>
              </w:rPr>
              <w:t>1</w:t>
            </w:r>
            <w:r>
              <w:rPr>
                <w:rFonts w:hint="eastAsia" w:ascii="宋体" w:hAnsi="宋体" w:cs="宋体"/>
                <w:color w:val="000000"/>
                <w:kern w:val="0"/>
                <w:sz w:val="20"/>
                <w:szCs w:val="20"/>
              </w:rPr>
              <w:t>分。②资产清查结果与财政组织复核的结果误差超过</w:t>
            </w:r>
            <w:r>
              <w:rPr>
                <w:rFonts w:ascii="宋体" w:hAnsi="宋体" w:cs="宋体"/>
                <w:color w:val="000000"/>
                <w:kern w:val="0"/>
                <w:sz w:val="20"/>
                <w:szCs w:val="20"/>
              </w:rPr>
              <w:t>10%</w:t>
            </w:r>
            <w:r>
              <w:rPr>
                <w:rFonts w:hint="eastAsia" w:ascii="宋体" w:hAnsi="宋体" w:cs="宋体"/>
                <w:color w:val="000000"/>
                <w:kern w:val="0"/>
                <w:sz w:val="20"/>
                <w:szCs w:val="20"/>
              </w:rPr>
              <w:t>的扣</w:t>
            </w:r>
            <w:r>
              <w:rPr>
                <w:rFonts w:ascii="宋体" w:hAnsi="宋体" w:cs="宋体"/>
                <w:color w:val="000000"/>
                <w:kern w:val="0"/>
                <w:sz w:val="20"/>
                <w:szCs w:val="20"/>
              </w:rPr>
              <w:t>1</w:t>
            </w:r>
            <w:r>
              <w:rPr>
                <w:rFonts w:hint="eastAsia" w:ascii="宋体" w:hAnsi="宋体" w:cs="宋体"/>
                <w:color w:val="000000"/>
                <w:kern w:val="0"/>
                <w:sz w:val="20"/>
                <w:szCs w:val="20"/>
              </w:rPr>
              <w:t>分。③未及时按批复的清查结果进行账务调整扣</w:t>
            </w:r>
            <w:r>
              <w:rPr>
                <w:rFonts w:ascii="宋体" w:hAnsi="宋体" w:cs="宋体"/>
                <w:color w:val="000000"/>
                <w:kern w:val="0"/>
                <w:sz w:val="20"/>
                <w:szCs w:val="20"/>
              </w:rPr>
              <w:t>1</w:t>
            </w:r>
            <w:r>
              <w:rPr>
                <w:rFonts w:hint="eastAsia" w:ascii="宋体" w:hAnsi="宋体" w:cs="宋体"/>
                <w:color w:val="000000"/>
                <w:kern w:val="0"/>
                <w:sz w:val="20"/>
                <w:szCs w:val="20"/>
              </w:rPr>
              <w:t>分。④未及时更新资产管理信息系统，导致系统资产数据与上报财政的资产清查结果不一致扣</w:t>
            </w:r>
            <w:r>
              <w:rPr>
                <w:rFonts w:ascii="宋体" w:hAnsi="宋体" w:cs="宋体"/>
                <w:color w:val="000000"/>
                <w:kern w:val="0"/>
                <w:sz w:val="20"/>
                <w:szCs w:val="20"/>
              </w:rPr>
              <w:t>1</w:t>
            </w:r>
            <w:r>
              <w:rPr>
                <w:rFonts w:hint="eastAsia" w:ascii="宋体" w:hAnsi="宋体" w:cs="宋体"/>
                <w:color w:val="000000"/>
                <w:kern w:val="0"/>
                <w:sz w:val="20"/>
                <w:szCs w:val="20"/>
              </w:rPr>
              <w:t>分。</w:t>
            </w:r>
          </w:p>
        </w:tc>
      </w:tr>
      <w:tr>
        <w:tblPrEx>
          <w:tblLayout w:type="fixed"/>
          <w:tblCellMar>
            <w:top w:w="0" w:type="dxa"/>
            <w:left w:w="0" w:type="dxa"/>
            <w:bottom w:w="0" w:type="dxa"/>
            <w:right w:w="0" w:type="dxa"/>
          </w:tblCellMar>
        </w:tblPrEx>
        <w:trPr>
          <w:trHeight w:val="72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jc w:val="left"/>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行政事业单位资产报表上报情况（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考核行政事业单位上报国有资产报表数据的真实性、准确性、全面性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①未落实专人负责资产报表，未及时上报资产报表扣</w:t>
            </w:r>
            <w:r>
              <w:rPr>
                <w:rFonts w:ascii="宋体" w:hAnsi="宋体" w:cs="宋体"/>
                <w:color w:val="000000"/>
                <w:kern w:val="0"/>
                <w:sz w:val="20"/>
                <w:szCs w:val="20"/>
              </w:rPr>
              <w:t>1</w:t>
            </w:r>
            <w:r>
              <w:rPr>
                <w:rFonts w:hint="eastAsia" w:ascii="宋体" w:hAnsi="宋体" w:cs="宋体"/>
                <w:color w:val="000000"/>
                <w:kern w:val="0"/>
                <w:sz w:val="20"/>
                <w:szCs w:val="20"/>
              </w:rPr>
              <w:t>分。②报表填报不规范，内容不完整，数据不真实，扣</w:t>
            </w:r>
            <w:r>
              <w:rPr>
                <w:rFonts w:ascii="宋体" w:hAnsi="宋体" w:cs="宋体"/>
                <w:color w:val="000000"/>
                <w:kern w:val="0"/>
                <w:sz w:val="20"/>
                <w:szCs w:val="20"/>
              </w:rPr>
              <w:t>1</w:t>
            </w:r>
            <w:r>
              <w:rPr>
                <w:rFonts w:hint="eastAsia" w:ascii="宋体" w:hAnsi="宋体" w:cs="宋体"/>
                <w:color w:val="000000"/>
                <w:kern w:val="0"/>
                <w:sz w:val="20"/>
                <w:szCs w:val="20"/>
              </w:rPr>
              <w:t>分。③未提交分析报告，对资产变动情况未作分析说明，扣</w:t>
            </w:r>
            <w:r>
              <w:rPr>
                <w:rFonts w:ascii="宋体" w:hAnsi="宋体" w:cs="宋体"/>
                <w:color w:val="000000"/>
                <w:kern w:val="0"/>
                <w:sz w:val="20"/>
                <w:szCs w:val="20"/>
              </w:rPr>
              <w:t>1</w:t>
            </w:r>
            <w:r>
              <w:rPr>
                <w:rFonts w:hint="eastAsia" w:ascii="宋体" w:hAnsi="宋体" w:cs="宋体"/>
                <w:color w:val="000000"/>
                <w:kern w:val="0"/>
                <w:sz w:val="20"/>
                <w:szCs w:val="20"/>
              </w:rPr>
              <w:t>分。</w:t>
            </w:r>
          </w:p>
        </w:tc>
      </w:tr>
      <w:tr>
        <w:tblPrEx>
          <w:tblLayout w:type="fixed"/>
          <w:tblCellMar>
            <w:top w:w="0" w:type="dxa"/>
            <w:left w:w="0" w:type="dxa"/>
            <w:bottom w:w="0" w:type="dxa"/>
            <w:right w:w="0" w:type="dxa"/>
          </w:tblCellMar>
        </w:tblPrEx>
        <w:trPr>
          <w:trHeight w:val="72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内控制度管理（</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内部控制度健全完整（</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考核部门内部控制制度的设置和执行情况</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内部控制制度健全完整并执行良好的得分，否则不得分。在本年度内因内控制度不健全或执行不到位，造成单位出现廉政风险或发生重大责任事故的不得分。</w:t>
            </w:r>
          </w:p>
        </w:tc>
      </w:tr>
      <w:tr>
        <w:tblPrEx>
          <w:tblLayout w:type="fixed"/>
          <w:tblCellMar>
            <w:top w:w="0" w:type="dxa"/>
            <w:left w:w="0" w:type="dxa"/>
            <w:bottom w:w="0" w:type="dxa"/>
            <w:right w:w="0" w:type="dxa"/>
          </w:tblCellMar>
        </w:tblPrEx>
        <w:trPr>
          <w:trHeight w:val="72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信息公开（</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预算公开（</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除涉密信息外，各部门要在财政部门批复后二十日内向社会公开本部门预算（含所有财政资金安排的“三公”经费、机关运行经费的安排、使用情况等）</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按县财政通知要求公开预算，未按要求公开的，发现一处扣</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Layout w:type="fixed"/>
          <w:tblCellMar>
            <w:top w:w="0" w:type="dxa"/>
            <w:left w:w="0" w:type="dxa"/>
            <w:bottom w:w="0" w:type="dxa"/>
            <w:right w:w="0" w:type="dxa"/>
          </w:tblCellMar>
        </w:tblPrEx>
        <w:trPr>
          <w:trHeight w:val="96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决算公开（</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除涉密信息外，各部门要在财政部门批复二十日内向社会公开本部门决算（含所有财政资金安排的“三公”经费、机关运行经费的安排、使用情况等）</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未按要求公开的，发现一处问题</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Layout w:type="fixed"/>
          <w:tblCellMar>
            <w:top w:w="0" w:type="dxa"/>
            <w:left w:w="0" w:type="dxa"/>
            <w:bottom w:w="0" w:type="dxa"/>
            <w:right w:w="0" w:type="dxa"/>
          </w:tblCellMar>
        </w:tblPrEx>
        <w:trPr>
          <w:trHeight w:val="30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绩效信息公开（</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按要求公开部门整体支出绩效自评报告及其他按要求应公开的绩效信息</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未按要求公开的，发现一处问题</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Layout w:type="fixed"/>
          <w:tblCellMar>
            <w:top w:w="0" w:type="dxa"/>
            <w:left w:w="0" w:type="dxa"/>
            <w:bottom w:w="0" w:type="dxa"/>
            <w:right w:w="0" w:type="dxa"/>
          </w:tblCellMar>
        </w:tblPrEx>
        <w:trPr>
          <w:trHeight w:val="96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绩效评价（</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评价项目覆盖率（</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部门实施绩效评价项目数量占部门管理专项预算项目数量的比重，部门申报绩效目标项目数量的比重，用以反映和考核部门实施绩效评价项目资金覆盖情况</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评价覆盖率</w:t>
            </w:r>
            <w:r>
              <w:rPr>
                <w:rFonts w:ascii="宋体" w:hAnsi="宋体" w:cs="宋体"/>
                <w:color w:val="000000"/>
                <w:kern w:val="0"/>
                <w:sz w:val="20"/>
                <w:szCs w:val="20"/>
              </w:rPr>
              <w:t>=</w:t>
            </w:r>
            <w:r>
              <w:rPr>
                <w:rFonts w:hint="eastAsia" w:ascii="宋体" w:hAnsi="宋体" w:cs="宋体"/>
                <w:color w:val="000000"/>
                <w:kern w:val="0"/>
                <w:sz w:val="20"/>
                <w:szCs w:val="20"/>
              </w:rPr>
              <w:t>实施绩效评价项目数量</w:t>
            </w:r>
            <w:r>
              <w:rPr>
                <w:rFonts w:ascii="宋体" w:hAnsi="宋体" w:cs="宋体"/>
                <w:color w:val="000000"/>
                <w:kern w:val="0"/>
                <w:sz w:val="20"/>
                <w:szCs w:val="20"/>
              </w:rPr>
              <w:t>/</w:t>
            </w:r>
            <w:r>
              <w:rPr>
                <w:rFonts w:hint="eastAsia" w:ascii="宋体" w:hAnsi="宋体" w:cs="宋体"/>
                <w:color w:val="000000"/>
                <w:kern w:val="0"/>
                <w:sz w:val="20"/>
                <w:szCs w:val="20"/>
              </w:rPr>
              <w:t>部门管理专项预算项目数量×</w:t>
            </w:r>
            <w:r>
              <w:rPr>
                <w:rFonts w:ascii="宋体" w:hAnsi="宋体" w:cs="宋体"/>
                <w:color w:val="000000"/>
                <w:kern w:val="0"/>
                <w:sz w:val="20"/>
                <w:szCs w:val="20"/>
              </w:rPr>
              <w:t>100%</w:t>
            </w:r>
          </w:p>
        </w:tc>
      </w:tr>
      <w:tr>
        <w:tblPrEx>
          <w:tblLayout w:type="fixed"/>
          <w:tblCellMar>
            <w:top w:w="0" w:type="dxa"/>
            <w:left w:w="0" w:type="dxa"/>
            <w:bottom w:w="0" w:type="dxa"/>
            <w:right w:w="0" w:type="dxa"/>
          </w:tblCellMar>
        </w:tblPrEx>
        <w:trPr>
          <w:trHeight w:val="48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评价层次（</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部门（单位）是否对单位内部股室开展整体绩效评价</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402"/>
              <w:jc w:val="left"/>
              <w:textAlignment w:val="center"/>
              <w:rPr>
                <w:rFonts w:ascii="宋体"/>
                <w:color w:val="000000"/>
                <w:sz w:val="20"/>
                <w:szCs w:val="20"/>
              </w:rPr>
            </w:pPr>
            <w:r>
              <w:rPr>
                <w:rFonts w:ascii="宋体" w:hAnsi="宋体" w:cs="宋体"/>
                <w:color w:val="000000"/>
                <w:kern w:val="0"/>
                <w:sz w:val="20"/>
                <w:szCs w:val="20"/>
              </w:rPr>
              <w:t>33</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未对单位内部实施评价</w:t>
            </w: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对单位内部实施评价的得分，否则不得分</w:t>
            </w:r>
          </w:p>
        </w:tc>
      </w:tr>
      <w:tr>
        <w:tblPrEx>
          <w:tblLayout w:type="fixed"/>
          <w:tblCellMar>
            <w:top w:w="0" w:type="dxa"/>
            <w:left w:w="0" w:type="dxa"/>
            <w:bottom w:w="0" w:type="dxa"/>
            <w:right w:w="0" w:type="dxa"/>
          </w:tblCellMar>
        </w:tblPrEx>
        <w:trPr>
          <w:trHeight w:val="42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评价结果报告（</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部门是否按要求向财政部门报告自评报告等相关绩效信息</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未按要求报送的，发现一处扣</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Layout w:type="fixed"/>
          <w:tblCellMar>
            <w:top w:w="0" w:type="dxa"/>
            <w:left w:w="0" w:type="dxa"/>
            <w:bottom w:w="0" w:type="dxa"/>
            <w:right w:w="0" w:type="dxa"/>
          </w:tblCellMar>
        </w:tblPrEx>
        <w:trPr>
          <w:trHeight w:val="48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整改完成率（</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部门是否按要求针对绩效评价发现问题制定整改措施，并整改落实到位</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完成率</w:t>
            </w:r>
            <w:r>
              <w:rPr>
                <w:rFonts w:ascii="宋体" w:hAnsi="宋体" w:cs="宋体"/>
                <w:color w:val="000000"/>
                <w:kern w:val="0"/>
                <w:sz w:val="20"/>
                <w:szCs w:val="20"/>
              </w:rPr>
              <w:t>=</w:t>
            </w:r>
            <w:r>
              <w:rPr>
                <w:rFonts w:hint="eastAsia" w:ascii="宋体" w:hAnsi="宋体" w:cs="宋体"/>
                <w:color w:val="000000"/>
                <w:kern w:val="0"/>
                <w:sz w:val="20"/>
                <w:szCs w:val="20"/>
              </w:rPr>
              <w:t>应制定整改措施的项目数量</w:t>
            </w:r>
            <w:r>
              <w:rPr>
                <w:rFonts w:ascii="宋体" w:hAnsi="宋体" w:cs="宋体"/>
                <w:color w:val="000000"/>
                <w:kern w:val="0"/>
                <w:sz w:val="20"/>
                <w:szCs w:val="20"/>
              </w:rPr>
              <w:t>/</w:t>
            </w:r>
            <w:r>
              <w:rPr>
                <w:rFonts w:hint="eastAsia" w:ascii="宋体" w:hAnsi="宋体" w:cs="宋体"/>
                <w:color w:val="000000"/>
                <w:kern w:val="0"/>
                <w:sz w:val="20"/>
                <w:szCs w:val="20"/>
              </w:rPr>
              <w:t>部门实际制定整改措施项目数量×</w:t>
            </w:r>
            <w:r>
              <w:rPr>
                <w:rFonts w:ascii="宋体" w:hAnsi="宋体" w:cs="宋体"/>
                <w:color w:val="000000"/>
                <w:kern w:val="0"/>
                <w:sz w:val="20"/>
                <w:szCs w:val="20"/>
              </w:rPr>
              <w:t>100%</w:t>
            </w:r>
            <w:r>
              <w:rPr>
                <w:rFonts w:hint="eastAsia" w:ascii="宋体" w:hAnsi="宋体" w:cs="宋体"/>
                <w:color w:val="000000"/>
                <w:kern w:val="0"/>
                <w:sz w:val="20"/>
                <w:szCs w:val="20"/>
              </w:rPr>
              <w:t>。</w:t>
            </w:r>
          </w:p>
        </w:tc>
      </w:tr>
      <w:tr>
        <w:tblPrEx>
          <w:tblLayout w:type="fixed"/>
          <w:tblCellMar>
            <w:top w:w="0" w:type="dxa"/>
            <w:left w:w="0" w:type="dxa"/>
            <w:bottom w:w="0" w:type="dxa"/>
            <w:right w:w="0" w:type="dxa"/>
          </w:tblCellMar>
        </w:tblPrEx>
        <w:trPr>
          <w:trHeight w:val="72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依法接受财政监督（</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是否按要求开展自查自纠（</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根据相关自查自纠报告、报表报送时效和质量进行考核</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未在规定时间内报送自查自纠相关材料（包括：纸质和电子版）的，扣</w:t>
            </w:r>
            <w:r>
              <w:rPr>
                <w:rFonts w:ascii="宋体" w:hAnsi="宋体" w:cs="宋体"/>
                <w:color w:val="000000"/>
                <w:kern w:val="0"/>
                <w:sz w:val="20"/>
                <w:szCs w:val="20"/>
              </w:rPr>
              <w:t>0.5</w:t>
            </w:r>
            <w:r>
              <w:rPr>
                <w:rFonts w:hint="eastAsia" w:ascii="宋体" w:hAnsi="宋体" w:cs="宋体"/>
                <w:color w:val="000000"/>
                <w:kern w:val="0"/>
                <w:sz w:val="20"/>
                <w:szCs w:val="20"/>
              </w:rPr>
              <w:t>分；报告内容不完整，扣</w:t>
            </w:r>
            <w:r>
              <w:rPr>
                <w:rFonts w:ascii="宋体" w:hAnsi="宋体" w:cs="宋体"/>
                <w:color w:val="000000"/>
                <w:kern w:val="0"/>
                <w:sz w:val="20"/>
                <w:szCs w:val="20"/>
              </w:rPr>
              <w:t>1</w:t>
            </w:r>
            <w:r>
              <w:rPr>
                <w:rFonts w:hint="eastAsia" w:ascii="宋体" w:hAnsi="宋体" w:cs="宋体"/>
                <w:color w:val="000000"/>
                <w:kern w:val="0"/>
                <w:sz w:val="20"/>
                <w:szCs w:val="20"/>
              </w:rPr>
              <w:t>分；报表质量差（如：数据、逻辑、勾稽关系错误）等扣</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Layout w:type="fixed"/>
          <w:tblCellMar>
            <w:top w:w="0" w:type="dxa"/>
            <w:left w:w="0" w:type="dxa"/>
            <w:bottom w:w="0" w:type="dxa"/>
            <w:right w:w="0" w:type="dxa"/>
          </w:tblCellMar>
        </w:tblPrEx>
        <w:trPr>
          <w:trHeight w:val="285"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重点检查发现违规违纪问题（</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根据检查组提供的工作底稿、检查报告等资料进行考核</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专项检查发现的违纪违规问题，每个问题扣</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Layout w:type="fixed"/>
          <w:tblCellMar>
            <w:top w:w="0" w:type="dxa"/>
            <w:left w:w="0" w:type="dxa"/>
            <w:bottom w:w="0" w:type="dxa"/>
            <w:right w:w="0" w:type="dxa"/>
          </w:tblCellMar>
        </w:tblPrEx>
        <w:trPr>
          <w:trHeight w:val="555"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存在问题整改是否到位（</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根据相关整改报告、凭证依据等相关证明材料进行考核</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未在规定时间内完成整改，并提供相关证明材料的，每个问题</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Layout w:type="fixed"/>
          <w:tblCellMar>
            <w:top w:w="0" w:type="dxa"/>
            <w:left w:w="0" w:type="dxa"/>
            <w:bottom w:w="0" w:type="dxa"/>
            <w:right w:w="0" w:type="dxa"/>
          </w:tblCellMar>
        </w:tblPrEx>
        <w:trPr>
          <w:trHeight w:val="420" w:hRule="atLeast"/>
          <w:jc w:val="center"/>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center"/>
              <w:textAlignment w:val="center"/>
              <w:rPr>
                <w:rFonts w:ascii="宋体"/>
                <w:color w:val="000000"/>
                <w:sz w:val="20"/>
                <w:szCs w:val="20"/>
              </w:rPr>
            </w:pPr>
            <w:r>
              <w:rPr>
                <w:rFonts w:hint="eastAsia" w:ascii="宋体" w:hAnsi="宋体" w:cs="宋体"/>
                <w:color w:val="000000"/>
                <w:kern w:val="0"/>
                <w:sz w:val="20"/>
                <w:szCs w:val="20"/>
              </w:rPr>
              <w:t>整体效益（</w:t>
            </w:r>
            <w:r>
              <w:rPr>
                <w:rFonts w:ascii="宋体" w:hAnsi="宋体" w:cs="宋体"/>
                <w:color w:val="000000"/>
                <w:kern w:val="0"/>
                <w:sz w:val="20"/>
                <w:szCs w:val="20"/>
              </w:rPr>
              <w:t>30</w:t>
            </w:r>
            <w:r>
              <w:rPr>
                <w:rFonts w:hint="eastAsia" w:ascii="宋体" w:hAnsi="宋体" w:cs="宋体"/>
                <w:color w:val="000000"/>
                <w:kern w:val="0"/>
                <w:sz w:val="20"/>
                <w:szCs w:val="20"/>
              </w:rPr>
              <w:t>分）</w:t>
            </w:r>
          </w:p>
        </w:tc>
        <w:tc>
          <w:tcPr>
            <w:tcW w:w="7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部门整体绩效（</w:t>
            </w:r>
            <w:r>
              <w:rPr>
                <w:rFonts w:ascii="宋体" w:hAnsi="宋体" w:cs="宋体"/>
                <w:color w:val="000000"/>
                <w:kern w:val="0"/>
                <w:sz w:val="20"/>
                <w:szCs w:val="20"/>
              </w:rPr>
              <w:t>30</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重点项目绩效评价结果（</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部门实施重大项目的经济、社会效益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根据县财政组织实施项目绩效评价结果换算</w:t>
            </w:r>
          </w:p>
        </w:tc>
      </w:tr>
      <w:tr>
        <w:tblPrEx>
          <w:tblLayout w:type="fixed"/>
          <w:tblCellMar>
            <w:top w:w="0" w:type="dxa"/>
            <w:left w:w="0" w:type="dxa"/>
            <w:bottom w:w="0" w:type="dxa"/>
            <w:right w:w="0" w:type="dxa"/>
          </w:tblCellMar>
        </w:tblPrEx>
        <w:trPr>
          <w:trHeight w:val="42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rPr>
                <w:rFonts w:ascii="宋体"/>
                <w:color w:val="000000"/>
                <w:sz w:val="20"/>
                <w:szCs w:val="20"/>
              </w:rPr>
            </w:pPr>
          </w:p>
        </w:tc>
        <w:tc>
          <w:tcPr>
            <w:tcW w:w="13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部门职能完成情况特性指标（</w:t>
            </w:r>
            <w:r>
              <w:rPr>
                <w:rFonts w:ascii="宋体" w:hAnsi="宋体" w:cs="宋体"/>
                <w:color w:val="000000"/>
                <w:kern w:val="0"/>
                <w:sz w:val="20"/>
                <w:szCs w:val="20"/>
              </w:rPr>
              <w:t>20</w:t>
            </w:r>
            <w:r>
              <w:rPr>
                <w:rFonts w:hint="eastAsia" w:ascii="宋体" w:hAnsi="宋体" w:cs="宋体"/>
                <w:color w:val="000000"/>
                <w:kern w:val="0"/>
                <w:sz w:val="20"/>
                <w:szCs w:val="20"/>
              </w:rPr>
              <w:t>分）</w:t>
            </w:r>
          </w:p>
        </w:tc>
        <w:tc>
          <w:tcPr>
            <w:tcW w:w="313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根据部门职能职责、州级主管部门和县委县政府安排的各项专项工作任务及其他年度重点工作任务等，汇总梳理形成能够量化衡量且全面反映部门职能工作完成情况的若干指标。</w:t>
            </w:r>
          </w:p>
        </w:tc>
        <w:tc>
          <w:tcPr>
            <w:tcW w:w="40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center"/>
              <w:rPr>
                <w:rFonts w:ascii="宋体"/>
                <w:color w:val="000000"/>
                <w:sz w:val="20"/>
                <w:szCs w:val="20"/>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center"/>
              <w:rPr>
                <w:rFonts w:ascii="宋体"/>
                <w:color w:val="000000"/>
                <w:sz w:val="20"/>
                <w:szCs w:val="20"/>
              </w:rPr>
            </w:pPr>
          </w:p>
        </w:tc>
        <w:tc>
          <w:tcPr>
            <w:tcW w:w="27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02"/>
              <w:jc w:val="left"/>
              <w:textAlignment w:val="center"/>
              <w:rPr>
                <w:rFonts w:ascii="宋体"/>
                <w:color w:val="000000"/>
                <w:sz w:val="20"/>
                <w:szCs w:val="20"/>
              </w:rPr>
            </w:pPr>
            <w:r>
              <w:rPr>
                <w:rFonts w:hint="eastAsia" w:ascii="宋体" w:hAnsi="宋体" w:cs="宋体"/>
                <w:color w:val="000000"/>
                <w:kern w:val="0"/>
                <w:sz w:val="20"/>
                <w:szCs w:val="20"/>
              </w:rPr>
              <w:t>部门和评价组根据部门实际设置</w:t>
            </w:r>
          </w:p>
        </w:tc>
      </w:tr>
      <w:tr>
        <w:tblPrEx>
          <w:tblLayout w:type="fixed"/>
          <w:tblCellMar>
            <w:top w:w="0" w:type="dxa"/>
            <w:left w:w="0" w:type="dxa"/>
            <w:bottom w:w="0" w:type="dxa"/>
            <w:right w:w="0" w:type="dxa"/>
          </w:tblCellMar>
        </w:tblPrEx>
        <w:trPr>
          <w:trHeight w:val="42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rPr>
                <w:rFonts w:ascii="宋体"/>
                <w:color w:val="000000"/>
                <w:sz w:val="20"/>
                <w:szCs w:val="20"/>
              </w:rPr>
            </w:pPr>
          </w:p>
        </w:tc>
        <w:tc>
          <w:tcPr>
            <w:tcW w:w="13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jc w:val="left"/>
              <w:rPr>
                <w:rFonts w:ascii="宋体"/>
                <w:color w:val="000000"/>
                <w:sz w:val="20"/>
                <w:szCs w:val="20"/>
              </w:rPr>
            </w:pPr>
          </w:p>
        </w:tc>
        <w:tc>
          <w:tcPr>
            <w:tcW w:w="313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jc w:val="left"/>
              <w:rPr>
                <w:rFonts w:ascii="宋体"/>
                <w:color w:val="000000"/>
                <w:sz w:val="20"/>
                <w:szCs w:val="20"/>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center"/>
              <w:rPr>
                <w:rFonts w:ascii="宋体"/>
                <w:color w:val="000000"/>
                <w:sz w:val="20"/>
                <w:szCs w:val="20"/>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2"/>
              <w:jc w:val="center"/>
              <w:rPr>
                <w:rFonts w:ascii="宋体"/>
                <w:color w:val="000000"/>
                <w:sz w:val="20"/>
                <w:szCs w:val="20"/>
              </w:rPr>
            </w:pPr>
          </w:p>
        </w:tc>
        <w:tc>
          <w:tcPr>
            <w:tcW w:w="27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ind w:firstLine="402"/>
              <w:jc w:val="left"/>
              <w:rPr>
                <w:rFonts w:ascii="宋体"/>
                <w:color w:val="000000"/>
                <w:sz w:val="20"/>
                <w:szCs w:val="20"/>
              </w:rPr>
            </w:pPr>
          </w:p>
        </w:tc>
      </w:tr>
      <w:tr>
        <w:tblPrEx>
          <w:tblLayout w:type="fixed"/>
          <w:tblCellMar>
            <w:top w:w="0" w:type="dxa"/>
            <w:left w:w="0" w:type="dxa"/>
            <w:bottom w:w="0" w:type="dxa"/>
            <w:right w:w="0" w:type="dxa"/>
          </w:tblCellMar>
        </w:tblPrEx>
        <w:trPr>
          <w:trHeight w:val="420" w:hRule="atLeast"/>
          <w:jc w:val="center"/>
        </w:trPr>
        <w:tc>
          <w:tcPr>
            <w:tcW w:w="9645" w:type="dxa"/>
            <w:gridSpan w:val="7"/>
            <w:tcBorders>
              <w:top w:val="single" w:color="000000" w:sz="4" w:space="0"/>
              <w:left w:val="nil"/>
              <w:bottom w:val="nil"/>
              <w:right w:val="nil"/>
            </w:tcBorders>
            <w:tcMar>
              <w:top w:w="15" w:type="dxa"/>
              <w:left w:w="15" w:type="dxa"/>
              <w:right w:w="15" w:type="dxa"/>
            </w:tcMar>
            <w:vAlign w:val="center"/>
          </w:tcPr>
          <w:p>
            <w:pPr>
              <w:widowControl/>
              <w:ind w:firstLine="400"/>
              <w:jc w:val="left"/>
              <w:textAlignment w:val="center"/>
              <w:rPr>
                <w:rFonts w:ascii="宋体"/>
                <w:b w:val="0"/>
                <w:bCs w:val="0"/>
                <w:color w:val="000000"/>
                <w:sz w:val="20"/>
                <w:szCs w:val="20"/>
              </w:rPr>
            </w:pPr>
          </w:p>
        </w:tc>
      </w:tr>
    </w:tbl>
    <w:p>
      <w:pPr>
        <w:spacing w:line="560" w:lineRule="exact"/>
        <w:ind w:firstLine="640"/>
        <w:rPr>
          <w:rFonts w:ascii="仿宋_GB2312" w:eastAsia="仿宋_GB2312"/>
          <w:b w:val="0"/>
          <w:bCs w:val="0"/>
        </w:rPr>
      </w:pPr>
    </w:p>
    <w:p>
      <w:pPr>
        <w:spacing w:line="576" w:lineRule="exact"/>
        <w:ind w:firstLine="643"/>
      </w:pPr>
    </w:p>
    <w:p>
      <w:pPr>
        <w:spacing w:line="576" w:lineRule="exact"/>
        <w:ind w:firstLine="4800" w:firstLineChars="1500"/>
        <w:rPr>
          <w:rFonts w:ascii="仿宋_GB2312" w:eastAsia="仿宋_GB2312"/>
          <w:b w:val="0"/>
          <w:bCs w:val="0"/>
        </w:rPr>
      </w:pPr>
    </w:p>
    <w:p>
      <w:pPr>
        <w:spacing w:line="576" w:lineRule="exact"/>
        <w:ind w:firstLine="4800" w:firstLineChars="1500"/>
        <w:rPr>
          <w:rFonts w:ascii="仿宋_GB2312" w:eastAsia="仿宋_GB2312"/>
          <w:b w:val="0"/>
          <w:bCs w:val="0"/>
        </w:rPr>
      </w:pPr>
    </w:p>
    <w:p>
      <w:pPr>
        <w:spacing w:line="576" w:lineRule="exact"/>
        <w:ind w:firstLine="4800" w:firstLineChars="1500"/>
        <w:rPr>
          <w:rFonts w:ascii="仿宋_GB2312" w:eastAsia="仿宋_GB2312"/>
          <w:b w:val="0"/>
          <w:bCs w:val="0"/>
        </w:rPr>
      </w:pPr>
    </w:p>
    <w:p>
      <w:pPr>
        <w:spacing w:line="576" w:lineRule="exact"/>
        <w:ind w:firstLine="4800" w:firstLineChars="1500"/>
        <w:rPr>
          <w:rFonts w:ascii="仿宋_GB2312" w:eastAsia="仿宋_GB2312"/>
          <w:b w:val="0"/>
          <w:bCs w:val="0"/>
        </w:rPr>
      </w:pPr>
    </w:p>
    <w:p>
      <w:pPr>
        <w:spacing w:line="576" w:lineRule="exact"/>
        <w:ind w:firstLine="4800" w:firstLineChars="1500"/>
        <w:rPr>
          <w:rFonts w:ascii="仿宋_GB2312" w:eastAsia="仿宋_GB2312"/>
          <w:b w:val="0"/>
          <w:bCs w:val="0"/>
        </w:rPr>
      </w:pPr>
    </w:p>
    <w:p>
      <w:pPr>
        <w:spacing w:line="576" w:lineRule="exact"/>
        <w:ind w:firstLine="4800" w:firstLineChars="1500"/>
        <w:rPr>
          <w:rFonts w:ascii="仿宋_GB2312" w:eastAsia="仿宋_GB2312"/>
          <w:b w:val="0"/>
          <w:bCs w:val="0"/>
        </w:rPr>
      </w:pPr>
    </w:p>
    <w:p>
      <w:pPr>
        <w:spacing w:line="576" w:lineRule="exact"/>
        <w:ind w:firstLine="4800" w:firstLineChars="1500"/>
        <w:rPr>
          <w:rFonts w:ascii="仿宋_GB2312" w:eastAsia="仿宋_GB2312"/>
          <w:b w:val="0"/>
          <w:bCs w:val="0"/>
        </w:rPr>
      </w:pPr>
    </w:p>
    <w:p>
      <w:pPr>
        <w:spacing w:line="576" w:lineRule="exact"/>
        <w:ind w:firstLine="4800" w:firstLineChars="1500"/>
        <w:rPr>
          <w:rFonts w:ascii="仿宋_GB2312" w:eastAsia="仿宋_GB2312"/>
          <w:b w:val="0"/>
          <w:bCs w:val="0"/>
        </w:rPr>
      </w:pPr>
    </w:p>
    <w:p>
      <w:pPr>
        <w:spacing w:line="576" w:lineRule="exact"/>
        <w:ind w:firstLine="4800" w:firstLineChars="1500"/>
        <w:rPr>
          <w:rFonts w:ascii="仿宋_GB2312" w:eastAsia="仿宋_GB2312"/>
          <w:b w:val="0"/>
          <w:bCs w:val="0"/>
        </w:rPr>
      </w:pPr>
    </w:p>
    <w:p>
      <w:pPr>
        <w:spacing w:line="576" w:lineRule="exact"/>
        <w:ind w:firstLine="4800" w:firstLineChars="1500"/>
        <w:rPr>
          <w:rFonts w:ascii="仿宋_GB2312" w:eastAsia="仿宋_GB2312"/>
          <w:b w:val="0"/>
          <w:bCs w:val="0"/>
        </w:rPr>
      </w:pPr>
    </w:p>
    <w:p>
      <w:pPr>
        <w:spacing w:line="576" w:lineRule="exact"/>
        <w:ind w:firstLine="4800" w:firstLineChars="1500"/>
        <w:rPr>
          <w:rFonts w:ascii="仿宋_GB2312" w:eastAsia="仿宋_GB2312"/>
          <w:b w:val="0"/>
          <w:bCs w:val="0"/>
        </w:rPr>
      </w:pPr>
    </w:p>
    <w:p>
      <w:pPr>
        <w:spacing w:line="576" w:lineRule="exact"/>
        <w:ind w:firstLine="4800" w:firstLineChars="1500"/>
        <w:rPr>
          <w:rFonts w:ascii="仿宋_GB2312" w:eastAsia="仿宋_GB2312"/>
          <w:b w:val="0"/>
          <w:bCs w:val="0"/>
        </w:rPr>
      </w:pPr>
    </w:p>
    <w:p>
      <w:pPr>
        <w:pStyle w:val="2"/>
        <w:ind w:firstLine="0" w:firstLineChars="0"/>
        <w:rPr>
          <w:rStyle w:val="17"/>
          <w:b w:val="0"/>
          <w:bCs w:val="0"/>
        </w:rPr>
      </w:pPr>
      <w:bookmarkStart w:id="64" w:name="_Toc20222297"/>
      <w:r>
        <w:rPr>
          <w:rFonts w:hint="eastAsia" w:cs="方正小标宋简体"/>
          <w:b w:val="0"/>
          <w:bCs w:val="0"/>
        </w:rPr>
        <w:t>第</w:t>
      </w:r>
      <w:r>
        <w:rPr>
          <w:rStyle w:val="17"/>
          <w:rFonts w:hint="eastAsia" w:cs="方正小标宋简体"/>
          <w:b w:val="0"/>
          <w:bCs w:val="0"/>
        </w:rPr>
        <w:t>五部分</w:t>
      </w:r>
      <w:r>
        <w:rPr>
          <w:rStyle w:val="17"/>
          <w:b w:val="0"/>
          <w:bCs w:val="0"/>
        </w:rPr>
        <w:t xml:space="preserve"> </w:t>
      </w:r>
      <w:r>
        <w:rPr>
          <w:rStyle w:val="17"/>
          <w:rFonts w:hint="eastAsia" w:cs="方正小标宋简体"/>
          <w:b w:val="0"/>
          <w:bCs w:val="0"/>
        </w:rPr>
        <w:t>附表</w:t>
      </w:r>
      <w:bookmarkEnd w:id="64"/>
    </w:p>
    <w:p>
      <w:pPr>
        <w:spacing w:line="576" w:lineRule="exact"/>
        <w:ind w:firstLine="0" w:firstLineChars="0"/>
        <w:rPr>
          <w:rFonts w:ascii="仿宋_GB2312" w:eastAsia="仿宋_GB2312"/>
          <w:b w:val="0"/>
          <w:bCs w:val="0"/>
        </w:rPr>
      </w:pPr>
      <w:bookmarkStart w:id="65" w:name="_Toc15396619"/>
    </w:p>
    <w:p>
      <w:pPr>
        <w:spacing w:line="576" w:lineRule="exact"/>
        <w:ind w:firstLine="0" w:firstLineChars="0"/>
        <w:rPr>
          <w:rFonts w:ascii="仿宋_GB2312" w:eastAsia="仿宋_GB2312"/>
          <w:b w:val="0"/>
          <w:bCs w:val="0"/>
        </w:rPr>
      </w:pPr>
      <w:r>
        <w:rPr>
          <w:rFonts w:hint="eastAsia" w:ascii="仿宋_GB2312" w:eastAsia="仿宋_GB2312" w:cs="仿宋_GB2312"/>
          <w:b w:val="0"/>
          <w:bCs w:val="0"/>
        </w:rPr>
        <w:t>一、收入支出决算总表</w:t>
      </w:r>
      <w:bookmarkEnd w:id="65"/>
    </w:p>
    <w:p>
      <w:pPr>
        <w:spacing w:line="576" w:lineRule="exact"/>
        <w:ind w:firstLine="0" w:firstLineChars="0"/>
        <w:rPr>
          <w:rFonts w:ascii="仿宋_GB2312" w:eastAsia="仿宋_GB2312"/>
          <w:b w:val="0"/>
          <w:bCs w:val="0"/>
        </w:rPr>
      </w:pPr>
      <w:bookmarkStart w:id="66" w:name="_Toc15396620"/>
      <w:r>
        <w:rPr>
          <w:rFonts w:hint="eastAsia" w:ascii="仿宋_GB2312" w:eastAsia="仿宋_GB2312" w:cs="仿宋_GB2312"/>
          <w:b w:val="0"/>
          <w:bCs w:val="0"/>
        </w:rPr>
        <w:t>二、收入总表</w:t>
      </w:r>
      <w:bookmarkEnd w:id="66"/>
    </w:p>
    <w:p>
      <w:pPr>
        <w:spacing w:line="576" w:lineRule="exact"/>
        <w:ind w:firstLine="0" w:firstLineChars="0"/>
        <w:rPr>
          <w:rFonts w:ascii="仿宋_GB2312" w:eastAsia="仿宋_GB2312"/>
          <w:b w:val="0"/>
          <w:bCs w:val="0"/>
        </w:rPr>
      </w:pPr>
      <w:bookmarkStart w:id="67" w:name="_Toc15396621"/>
      <w:r>
        <w:rPr>
          <w:rFonts w:hint="eastAsia" w:ascii="仿宋_GB2312" w:eastAsia="仿宋_GB2312" w:cs="仿宋_GB2312"/>
          <w:b w:val="0"/>
          <w:bCs w:val="0"/>
        </w:rPr>
        <w:t>三、支出总表</w:t>
      </w:r>
      <w:bookmarkEnd w:id="67"/>
    </w:p>
    <w:p>
      <w:pPr>
        <w:spacing w:line="576" w:lineRule="exact"/>
        <w:ind w:firstLine="0" w:firstLineChars="0"/>
        <w:rPr>
          <w:rFonts w:ascii="仿宋_GB2312" w:eastAsia="仿宋_GB2312"/>
          <w:b w:val="0"/>
          <w:bCs w:val="0"/>
        </w:rPr>
      </w:pPr>
      <w:bookmarkStart w:id="68" w:name="_Toc15396622"/>
      <w:r>
        <w:rPr>
          <w:rFonts w:hint="eastAsia" w:ascii="仿宋_GB2312" w:eastAsia="仿宋_GB2312" w:cs="仿宋_GB2312"/>
          <w:b w:val="0"/>
          <w:bCs w:val="0"/>
        </w:rPr>
        <w:t>四、财政拨款收入支出决算总表</w:t>
      </w:r>
      <w:bookmarkEnd w:id="68"/>
    </w:p>
    <w:p>
      <w:pPr>
        <w:spacing w:line="576" w:lineRule="exact"/>
        <w:ind w:firstLine="0" w:firstLineChars="0"/>
        <w:rPr>
          <w:rFonts w:ascii="仿宋_GB2312" w:eastAsia="仿宋_GB2312"/>
          <w:b w:val="0"/>
          <w:bCs w:val="0"/>
        </w:rPr>
      </w:pPr>
      <w:bookmarkStart w:id="69" w:name="_Toc15396623"/>
      <w:r>
        <w:rPr>
          <w:rFonts w:hint="eastAsia" w:ascii="仿宋_GB2312" w:eastAsia="仿宋_GB2312" w:cs="仿宋_GB2312"/>
          <w:b w:val="0"/>
          <w:bCs w:val="0"/>
        </w:rPr>
        <w:t>五、财政拨款支出决算明细表（政府经济分类科目）</w:t>
      </w:r>
      <w:bookmarkEnd w:id="69"/>
    </w:p>
    <w:p>
      <w:pPr>
        <w:spacing w:line="576" w:lineRule="exact"/>
        <w:ind w:firstLine="0" w:firstLineChars="0"/>
        <w:rPr>
          <w:rFonts w:ascii="仿宋_GB2312" w:eastAsia="仿宋_GB2312"/>
          <w:b w:val="0"/>
          <w:bCs w:val="0"/>
        </w:rPr>
      </w:pPr>
      <w:bookmarkStart w:id="70" w:name="_Toc15396624"/>
      <w:r>
        <w:rPr>
          <w:rFonts w:hint="eastAsia" w:ascii="仿宋_GB2312" w:eastAsia="仿宋_GB2312" w:cs="仿宋_GB2312"/>
          <w:b w:val="0"/>
          <w:bCs w:val="0"/>
        </w:rPr>
        <w:t>六、一般公共预算财政拨款支出决算表</w:t>
      </w:r>
      <w:bookmarkEnd w:id="70"/>
    </w:p>
    <w:p>
      <w:pPr>
        <w:spacing w:line="576" w:lineRule="exact"/>
        <w:ind w:firstLine="0" w:firstLineChars="0"/>
        <w:rPr>
          <w:rFonts w:ascii="仿宋_GB2312" w:eastAsia="仿宋_GB2312"/>
          <w:b w:val="0"/>
          <w:bCs w:val="0"/>
        </w:rPr>
      </w:pPr>
      <w:bookmarkStart w:id="71" w:name="_Toc15396625"/>
      <w:r>
        <w:rPr>
          <w:rFonts w:hint="eastAsia" w:ascii="仿宋_GB2312" w:eastAsia="仿宋_GB2312" w:cs="仿宋_GB2312"/>
          <w:b w:val="0"/>
          <w:bCs w:val="0"/>
        </w:rPr>
        <w:t>七、一般公共预算财政拨款支出决算明细表</w:t>
      </w:r>
      <w:bookmarkEnd w:id="71"/>
    </w:p>
    <w:p>
      <w:pPr>
        <w:spacing w:line="576" w:lineRule="exact"/>
        <w:ind w:firstLine="0" w:firstLineChars="0"/>
        <w:rPr>
          <w:rFonts w:ascii="仿宋_GB2312" w:eastAsia="仿宋_GB2312"/>
          <w:b w:val="0"/>
          <w:bCs w:val="0"/>
        </w:rPr>
      </w:pPr>
      <w:bookmarkStart w:id="72" w:name="_Toc15396626"/>
      <w:r>
        <w:rPr>
          <w:rFonts w:hint="eastAsia" w:ascii="仿宋_GB2312" w:eastAsia="仿宋_GB2312" w:cs="仿宋_GB2312"/>
          <w:b w:val="0"/>
          <w:bCs w:val="0"/>
        </w:rPr>
        <w:t>八、一般公共预算财政拨款基本支出决算表</w:t>
      </w:r>
      <w:bookmarkEnd w:id="72"/>
    </w:p>
    <w:p>
      <w:pPr>
        <w:spacing w:line="576" w:lineRule="exact"/>
        <w:ind w:firstLine="0" w:firstLineChars="0"/>
        <w:rPr>
          <w:rFonts w:ascii="仿宋_GB2312" w:eastAsia="仿宋_GB2312"/>
          <w:b w:val="0"/>
          <w:bCs w:val="0"/>
        </w:rPr>
      </w:pPr>
      <w:bookmarkStart w:id="73" w:name="_Toc15396627"/>
      <w:r>
        <w:rPr>
          <w:rFonts w:hint="eastAsia" w:ascii="仿宋_GB2312" w:eastAsia="仿宋_GB2312" w:cs="仿宋_GB2312"/>
          <w:b w:val="0"/>
          <w:bCs w:val="0"/>
        </w:rPr>
        <w:t>九、一般公共预算财政拨款项目支出决算表</w:t>
      </w:r>
      <w:bookmarkEnd w:id="73"/>
    </w:p>
    <w:p>
      <w:pPr>
        <w:spacing w:line="576" w:lineRule="exact"/>
        <w:ind w:firstLine="0" w:firstLineChars="0"/>
        <w:rPr>
          <w:rFonts w:ascii="仿宋_GB2312" w:eastAsia="仿宋_GB2312"/>
          <w:b w:val="0"/>
          <w:bCs w:val="0"/>
        </w:rPr>
      </w:pPr>
      <w:bookmarkStart w:id="74" w:name="_Toc15396628"/>
      <w:r>
        <w:rPr>
          <w:rFonts w:hint="eastAsia" w:ascii="仿宋_GB2312" w:eastAsia="仿宋_GB2312" w:cs="仿宋_GB2312"/>
          <w:b w:val="0"/>
          <w:bCs w:val="0"/>
        </w:rPr>
        <w:t>十、一般公共预算财政拨款“三公”经费支出决算表</w:t>
      </w:r>
      <w:bookmarkEnd w:id="74"/>
    </w:p>
    <w:p>
      <w:pPr>
        <w:spacing w:line="576" w:lineRule="exact"/>
        <w:ind w:firstLine="0" w:firstLineChars="0"/>
        <w:rPr>
          <w:rFonts w:ascii="仿宋_GB2312" w:eastAsia="仿宋_GB2312"/>
          <w:b w:val="0"/>
          <w:bCs w:val="0"/>
        </w:rPr>
      </w:pPr>
      <w:bookmarkStart w:id="75" w:name="_Toc15396629"/>
      <w:r>
        <w:rPr>
          <w:rFonts w:hint="eastAsia" w:ascii="仿宋_GB2312" w:eastAsia="仿宋_GB2312" w:cs="仿宋_GB2312"/>
          <w:b w:val="0"/>
          <w:bCs w:val="0"/>
        </w:rPr>
        <w:t>十一、政府性基金预算财政拨款收入支出决算表</w:t>
      </w:r>
      <w:bookmarkEnd w:id="75"/>
    </w:p>
    <w:p>
      <w:pPr>
        <w:spacing w:line="576" w:lineRule="exact"/>
        <w:ind w:firstLine="0" w:firstLineChars="0"/>
        <w:rPr>
          <w:rFonts w:ascii="仿宋_GB2312" w:eastAsia="仿宋_GB2312"/>
          <w:b w:val="0"/>
          <w:bCs w:val="0"/>
        </w:rPr>
      </w:pPr>
      <w:bookmarkStart w:id="76" w:name="_Toc15396630"/>
      <w:r>
        <w:rPr>
          <w:rFonts w:hint="eastAsia" w:ascii="仿宋_GB2312" w:eastAsia="仿宋_GB2312" w:cs="仿宋_GB2312"/>
          <w:b w:val="0"/>
          <w:bCs w:val="0"/>
        </w:rPr>
        <w:t>十二、政府性基金预算财政拨款“三公”经费支出决算表</w:t>
      </w:r>
      <w:bookmarkEnd w:id="76"/>
    </w:p>
    <w:p>
      <w:pPr>
        <w:spacing w:line="576" w:lineRule="exact"/>
        <w:ind w:firstLine="0" w:firstLineChars="0"/>
        <w:rPr>
          <w:rFonts w:ascii="仿宋_GB2312" w:eastAsia="仿宋_GB2312"/>
          <w:b w:val="0"/>
          <w:bCs w:val="0"/>
        </w:rPr>
      </w:pPr>
      <w:bookmarkStart w:id="77" w:name="_Toc15396631"/>
      <w:r>
        <w:rPr>
          <w:rFonts w:hint="eastAsia" w:ascii="仿宋_GB2312" w:eastAsia="仿宋_GB2312" w:cs="仿宋_GB2312"/>
          <w:b w:val="0"/>
          <w:bCs w:val="0"/>
        </w:rPr>
        <w:t>十三、国有资本经营预算支出决算表</w:t>
      </w:r>
      <w:bookmarkEnd w:id="77"/>
    </w:p>
    <w:p>
      <w:pPr>
        <w:spacing w:line="576" w:lineRule="exact"/>
        <w:ind w:firstLine="1600" w:firstLineChars="500"/>
        <w:rPr>
          <w:rFonts w:ascii="黑体" w:hAnsi="黑体" w:eastAsia="黑体"/>
          <w:b w:val="0"/>
          <w:bCs w:val="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jc w:val="center"/>
    </w:pPr>
    <w:r>
      <w:fldChar w:fldCharType="begin"/>
    </w:r>
    <w:r>
      <w:instrText xml:space="preserve"> PAGE   \* MERGEFORMAT </w:instrText>
    </w:r>
    <w:r>
      <w:fldChar w:fldCharType="separate"/>
    </w:r>
    <w:r>
      <w:rPr>
        <w:lang w:val="zh-CN"/>
      </w:rPr>
      <w:t>3</w:t>
    </w:r>
    <w:r>
      <w:rPr>
        <w:lang w:val="zh-CN"/>
      </w:rPr>
      <w:fldChar w:fldCharType="end"/>
    </w:r>
  </w:p>
  <w:p>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46BE"/>
    <w:rsid w:val="00023CF0"/>
    <w:rsid w:val="0002425A"/>
    <w:rsid w:val="00025338"/>
    <w:rsid w:val="00035C31"/>
    <w:rsid w:val="000366E8"/>
    <w:rsid w:val="00040454"/>
    <w:rsid w:val="000474F8"/>
    <w:rsid w:val="000650BE"/>
    <w:rsid w:val="00072AF9"/>
    <w:rsid w:val="0009566D"/>
    <w:rsid w:val="000B047F"/>
    <w:rsid w:val="000B50C5"/>
    <w:rsid w:val="000B5A48"/>
    <w:rsid w:val="000C3CA6"/>
    <w:rsid w:val="000C755A"/>
    <w:rsid w:val="000D5782"/>
    <w:rsid w:val="000E1059"/>
    <w:rsid w:val="000F1149"/>
    <w:rsid w:val="000F2E5D"/>
    <w:rsid w:val="000F79DE"/>
    <w:rsid w:val="00106FF4"/>
    <w:rsid w:val="00117544"/>
    <w:rsid w:val="0014729F"/>
    <w:rsid w:val="001509C4"/>
    <w:rsid w:val="001545C4"/>
    <w:rsid w:val="00181785"/>
    <w:rsid w:val="00191536"/>
    <w:rsid w:val="001C2EA8"/>
    <w:rsid w:val="00202EFA"/>
    <w:rsid w:val="00216508"/>
    <w:rsid w:val="002200BA"/>
    <w:rsid w:val="00220F34"/>
    <w:rsid w:val="00221B1F"/>
    <w:rsid w:val="00222FA4"/>
    <w:rsid w:val="002445AE"/>
    <w:rsid w:val="002449E3"/>
    <w:rsid w:val="00251450"/>
    <w:rsid w:val="00260C38"/>
    <w:rsid w:val="002735A7"/>
    <w:rsid w:val="002B6550"/>
    <w:rsid w:val="002C136A"/>
    <w:rsid w:val="002C4C17"/>
    <w:rsid w:val="002D43A4"/>
    <w:rsid w:val="002F200B"/>
    <w:rsid w:val="00300D30"/>
    <w:rsid w:val="00323748"/>
    <w:rsid w:val="00351A3A"/>
    <w:rsid w:val="003521C7"/>
    <w:rsid w:val="0037013F"/>
    <w:rsid w:val="00386753"/>
    <w:rsid w:val="00394048"/>
    <w:rsid w:val="003A484F"/>
    <w:rsid w:val="003B0C1B"/>
    <w:rsid w:val="003E2D3E"/>
    <w:rsid w:val="003F2EFD"/>
    <w:rsid w:val="00406487"/>
    <w:rsid w:val="00411853"/>
    <w:rsid w:val="004162B9"/>
    <w:rsid w:val="00441846"/>
    <w:rsid w:val="004638F5"/>
    <w:rsid w:val="00471CC0"/>
    <w:rsid w:val="00471D4B"/>
    <w:rsid w:val="00472428"/>
    <w:rsid w:val="004743E7"/>
    <w:rsid w:val="00481A6C"/>
    <w:rsid w:val="00482E3F"/>
    <w:rsid w:val="00482F00"/>
    <w:rsid w:val="00483993"/>
    <w:rsid w:val="0049757E"/>
    <w:rsid w:val="004B1DB0"/>
    <w:rsid w:val="004C7B29"/>
    <w:rsid w:val="004D0C3B"/>
    <w:rsid w:val="004D5A0E"/>
    <w:rsid w:val="004F2727"/>
    <w:rsid w:val="00534131"/>
    <w:rsid w:val="005450E5"/>
    <w:rsid w:val="00550124"/>
    <w:rsid w:val="00551FF7"/>
    <w:rsid w:val="00552BA3"/>
    <w:rsid w:val="00553AB1"/>
    <w:rsid w:val="0058486E"/>
    <w:rsid w:val="0059226B"/>
    <w:rsid w:val="005972D8"/>
    <w:rsid w:val="005A72A5"/>
    <w:rsid w:val="005B3CF6"/>
    <w:rsid w:val="005B6F43"/>
    <w:rsid w:val="005B7901"/>
    <w:rsid w:val="005C35E2"/>
    <w:rsid w:val="005D5CED"/>
    <w:rsid w:val="00607E6C"/>
    <w:rsid w:val="006118E1"/>
    <w:rsid w:val="00615DBA"/>
    <w:rsid w:val="00616264"/>
    <w:rsid w:val="00635E9E"/>
    <w:rsid w:val="00637D02"/>
    <w:rsid w:val="00652BA9"/>
    <w:rsid w:val="00654D98"/>
    <w:rsid w:val="0066343B"/>
    <w:rsid w:val="0068457C"/>
    <w:rsid w:val="006875EA"/>
    <w:rsid w:val="006934AD"/>
    <w:rsid w:val="00694D0E"/>
    <w:rsid w:val="006A3FC3"/>
    <w:rsid w:val="006A62E6"/>
    <w:rsid w:val="006A66CD"/>
    <w:rsid w:val="006B08E3"/>
    <w:rsid w:val="006B0D73"/>
    <w:rsid w:val="006D5E61"/>
    <w:rsid w:val="006E0F92"/>
    <w:rsid w:val="006E4F5A"/>
    <w:rsid w:val="006F08AE"/>
    <w:rsid w:val="006F7332"/>
    <w:rsid w:val="00700F9A"/>
    <w:rsid w:val="007156BB"/>
    <w:rsid w:val="00740398"/>
    <w:rsid w:val="007457C7"/>
    <w:rsid w:val="0076182A"/>
    <w:rsid w:val="00763A78"/>
    <w:rsid w:val="00767181"/>
    <w:rsid w:val="00767B7E"/>
    <w:rsid w:val="00773842"/>
    <w:rsid w:val="007770C3"/>
    <w:rsid w:val="0078757D"/>
    <w:rsid w:val="00793277"/>
    <w:rsid w:val="007962C8"/>
    <w:rsid w:val="007A7619"/>
    <w:rsid w:val="007B110C"/>
    <w:rsid w:val="007B30A6"/>
    <w:rsid w:val="007C0B68"/>
    <w:rsid w:val="007C59A4"/>
    <w:rsid w:val="007D692D"/>
    <w:rsid w:val="007F786C"/>
    <w:rsid w:val="00800112"/>
    <w:rsid w:val="00805107"/>
    <w:rsid w:val="00806365"/>
    <w:rsid w:val="008115E0"/>
    <w:rsid w:val="00812079"/>
    <w:rsid w:val="008128E7"/>
    <w:rsid w:val="00814178"/>
    <w:rsid w:val="00815458"/>
    <w:rsid w:val="00835860"/>
    <w:rsid w:val="00843C22"/>
    <w:rsid w:val="00845A9A"/>
    <w:rsid w:val="0086380F"/>
    <w:rsid w:val="00871F71"/>
    <w:rsid w:val="00887A3E"/>
    <w:rsid w:val="00890F0E"/>
    <w:rsid w:val="00892A81"/>
    <w:rsid w:val="008A7BA5"/>
    <w:rsid w:val="008B2A51"/>
    <w:rsid w:val="008C455B"/>
    <w:rsid w:val="008D6404"/>
    <w:rsid w:val="008F4617"/>
    <w:rsid w:val="009001CA"/>
    <w:rsid w:val="00902179"/>
    <w:rsid w:val="00920626"/>
    <w:rsid w:val="00923029"/>
    <w:rsid w:val="00932239"/>
    <w:rsid w:val="00935962"/>
    <w:rsid w:val="009479FD"/>
    <w:rsid w:val="00951248"/>
    <w:rsid w:val="0095152F"/>
    <w:rsid w:val="0096743B"/>
    <w:rsid w:val="00967EAF"/>
    <w:rsid w:val="00971FFC"/>
    <w:rsid w:val="009A1712"/>
    <w:rsid w:val="009B4EAE"/>
    <w:rsid w:val="009B690A"/>
    <w:rsid w:val="009B7573"/>
    <w:rsid w:val="009D3447"/>
    <w:rsid w:val="009D73FF"/>
    <w:rsid w:val="009F0DF0"/>
    <w:rsid w:val="009F0F19"/>
    <w:rsid w:val="009F4317"/>
    <w:rsid w:val="00A0070A"/>
    <w:rsid w:val="00A157FC"/>
    <w:rsid w:val="00A17777"/>
    <w:rsid w:val="00A307CD"/>
    <w:rsid w:val="00A4409B"/>
    <w:rsid w:val="00A464F3"/>
    <w:rsid w:val="00A530FB"/>
    <w:rsid w:val="00A57F5D"/>
    <w:rsid w:val="00A64F7E"/>
    <w:rsid w:val="00A8594D"/>
    <w:rsid w:val="00AC7D5B"/>
    <w:rsid w:val="00AF0597"/>
    <w:rsid w:val="00B027EE"/>
    <w:rsid w:val="00B03C9D"/>
    <w:rsid w:val="00B10517"/>
    <w:rsid w:val="00B15181"/>
    <w:rsid w:val="00B22680"/>
    <w:rsid w:val="00B26AD8"/>
    <w:rsid w:val="00B310B9"/>
    <w:rsid w:val="00B31437"/>
    <w:rsid w:val="00B358CF"/>
    <w:rsid w:val="00B462E4"/>
    <w:rsid w:val="00B729FF"/>
    <w:rsid w:val="00B906A9"/>
    <w:rsid w:val="00BB694C"/>
    <w:rsid w:val="00BD15DC"/>
    <w:rsid w:val="00BD4D61"/>
    <w:rsid w:val="00BE1042"/>
    <w:rsid w:val="00C005C5"/>
    <w:rsid w:val="00C00C15"/>
    <w:rsid w:val="00C038C7"/>
    <w:rsid w:val="00C03E31"/>
    <w:rsid w:val="00C0474B"/>
    <w:rsid w:val="00C200AA"/>
    <w:rsid w:val="00C20D0C"/>
    <w:rsid w:val="00C35554"/>
    <w:rsid w:val="00C475E3"/>
    <w:rsid w:val="00C533CC"/>
    <w:rsid w:val="00C62B85"/>
    <w:rsid w:val="00CB045D"/>
    <w:rsid w:val="00CB68CC"/>
    <w:rsid w:val="00CC09B6"/>
    <w:rsid w:val="00CD59F4"/>
    <w:rsid w:val="00CD5B36"/>
    <w:rsid w:val="00CE7B61"/>
    <w:rsid w:val="00CF5C9E"/>
    <w:rsid w:val="00CF6332"/>
    <w:rsid w:val="00D16D46"/>
    <w:rsid w:val="00D16E64"/>
    <w:rsid w:val="00D459D1"/>
    <w:rsid w:val="00D650EF"/>
    <w:rsid w:val="00D727D3"/>
    <w:rsid w:val="00D96EAC"/>
    <w:rsid w:val="00DB176E"/>
    <w:rsid w:val="00DC0733"/>
    <w:rsid w:val="00DC410D"/>
    <w:rsid w:val="00DC5FB2"/>
    <w:rsid w:val="00DE1F47"/>
    <w:rsid w:val="00DF7EF8"/>
    <w:rsid w:val="00E21E0A"/>
    <w:rsid w:val="00E244AE"/>
    <w:rsid w:val="00E27B9E"/>
    <w:rsid w:val="00E34066"/>
    <w:rsid w:val="00E503FC"/>
    <w:rsid w:val="00E82267"/>
    <w:rsid w:val="00EC0A1B"/>
    <w:rsid w:val="00EC6C27"/>
    <w:rsid w:val="00ED1B63"/>
    <w:rsid w:val="00EF09A8"/>
    <w:rsid w:val="00EF4256"/>
    <w:rsid w:val="00EF4C34"/>
    <w:rsid w:val="00F03413"/>
    <w:rsid w:val="00F1351B"/>
    <w:rsid w:val="00F1361C"/>
    <w:rsid w:val="00F160C7"/>
    <w:rsid w:val="00F207D1"/>
    <w:rsid w:val="00F331E4"/>
    <w:rsid w:val="00F80AB0"/>
    <w:rsid w:val="00FD48A1"/>
    <w:rsid w:val="00FF1E02"/>
    <w:rsid w:val="01CF4E3A"/>
    <w:rsid w:val="02CB2B30"/>
    <w:rsid w:val="03DA327C"/>
    <w:rsid w:val="046D4590"/>
    <w:rsid w:val="053013D3"/>
    <w:rsid w:val="05C863C8"/>
    <w:rsid w:val="06CB1254"/>
    <w:rsid w:val="06EB179B"/>
    <w:rsid w:val="07A32095"/>
    <w:rsid w:val="08CA07F1"/>
    <w:rsid w:val="0A7372D0"/>
    <w:rsid w:val="0CA144DB"/>
    <w:rsid w:val="0E323CB7"/>
    <w:rsid w:val="0E5A5320"/>
    <w:rsid w:val="0FC26648"/>
    <w:rsid w:val="10CB3054"/>
    <w:rsid w:val="10E53026"/>
    <w:rsid w:val="14C03E22"/>
    <w:rsid w:val="14F83AA4"/>
    <w:rsid w:val="155E0F5C"/>
    <w:rsid w:val="16190A64"/>
    <w:rsid w:val="16F51D89"/>
    <w:rsid w:val="187970F7"/>
    <w:rsid w:val="19326F72"/>
    <w:rsid w:val="1B983A9B"/>
    <w:rsid w:val="1BF55ACC"/>
    <w:rsid w:val="1DA418D8"/>
    <w:rsid w:val="1F6648F6"/>
    <w:rsid w:val="20CA0013"/>
    <w:rsid w:val="211F7BD7"/>
    <w:rsid w:val="22C04A23"/>
    <w:rsid w:val="23340E8A"/>
    <w:rsid w:val="24017502"/>
    <w:rsid w:val="240C72E0"/>
    <w:rsid w:val="24804B2F"/>
    <w:rsid w:val="25560872"/>
    <w:rsid w:val="270A0B66"/>
    <w:rsid w:val="28AF4FD3"/>
    <w:rsid w:val="294239B8"/>
    <w:rsid w:val="29CD7503"/>
    <w:rsid w:val="2A41379F"/>
    <w:rsid w:val="2B0A5283"/>
    <w:rsid w:val="2B436A1E"/>
    <w:rsid w:val="2BAE4FD7"/>
    <w:rsid w:val="2BBF0DE1"/>
    <w:rsid w:val="2C75449A"/>
    <w:rsid w:val="2D7C3014"/>
    <w:rsid w:val="2E8B6925"/>
    <w:rsid w:val="30635604"/>
    <w:rsid w:val="334352D4"/>
    <w:rsid w:val="36C87CD4"/>
    <w:rsid w:val="3C905662"/>
    <w:rsid w:val="3E266030"/>
    <w:rsid w:val="402D3C2E"/>
    <w:rsid w:val="416F5417"/>
    <w:rsid w:val="45733199"/>
    <w:rsid w:val="45F22201"/>
    <w:rsid w:val="49C6290E"/>
    <w:rsid w:val="4C270453"/>
    <w:rsid w:val="4C563D62"/>
    <w:rsid w:val="4E2144E6"/>
    <w:rsid w:val="4F740C5A"/>
    <w:rsid w:val="507005FB"/>
    <w:rsid w:val="511846A0"/>
    <w:rsid w:val="52177854"/>
    <w:rsid w:val="540C4ABB"/>
    <w:rsid w:val="55AD2D16"/>
    <w:rsid w:val="55DD0032"/>
    <w:rsid w:val="56337F48"/>
    <w:rsid w:val="56FF6A73"/>
    <w:rsid w:val="57C8158A"/>
    <w:rsid w:val="598132E3"/>
    <w:rsid w:val="59C746AE"/>
    <w:rsid w:val="5AF75668"/>
    <w:rsid w:val="5DBD3532"/>
    <w:rsid w:val="5E6D4F7F"/>
    <w:rsid w:val="5FAC5ADA"/>
    <w:rsid w:val="690D6C9D"/>
    <w:rsid w:val="6A0C3755"/>
    <w:rsid w:val="6AE3650C"/>
    <w:rsid w:val="6C476FEC"/>
    <w:rsid w:val="6DB407F1"/>
    <w:rsid w:val="6EFA2BB9"/>
    <w:rsid w:val="73385A5B"/>
    <w:rsid w:val="74725BE2"/>
    <w:rsid w:val="74BE35D9"/>
    <w:rsid w:val="75F258FD"/>
    <w:rsid w:val="789C6DBF"/>
    <w:rsid w:val="7B7F0446"/>
    <w:rsid w:val="7EC41304"/>
    <w:rsid w:val="7F72750F"/>
    <w:rsid w:val="7F944951"/>
    <w:rsid w:val="7FBD197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qFormat="1" w:unhideWhenUsed="0"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楷体_GB2312" w:cs="Times New Roman"/>
      <w:b/>
      <w:bCs/>
      <w:kern w:val="2"/>
      <w:sz w:val="32"/>
      <w:szCs w:val="32"/>
      <w:lang w:val="en-US" w:eastAsia="zh-CN" w:bidi="ar-SA"/>
    </w:rPr>
  </w:style>
  <w:style w:type="paragraph" w:styleId="2">
    <w:name w:val="heading 1"/>
    <w:basedOn w:val="1"/>
    <w:next w:val="1"/>
    <w:link w:val="17"/>
    <w:qFormat/>
    <w:uiPriority w:val="99"/>
    <w:pPr>
      <w:keepNext/>
      <w:keepLines/>
      <w:spacing w:before="340" w:after="330" w:line="578" w:lineRule="auto"/>
      <w:jc w:val="center"/>
      <w:outlineLvl w:val="0"/>
    </w:pPr>
    <w:rPr>
      <w:rFonts w:eastAsia="方正小标宋简体"/>
      <w:kern w:val="44"/>
      <w:sz w:val="44"/>
      <w:szCs w:val="44"/>
    </w:rPr>
  </w:style>
  <w:style w:type="paragraph" w:styleId="3">
    <w:name w:val="heading 2"/>
    <w:basedOn w:val="1"/>
    <w:next w:val="1"/>
    <w:link w:val="18"/>
    <w:qFormat/>
    <w:uiPriority w:val="99"/>
    <w:pPr>
      <w:keepNext/>
      <w:keepLines/>
      <w:spacing w:line="576" w:lineRule="exact"/>
      <w:outlineLvl w:val="1"/>
    </w:pPr>
    <w:rPr>
      <w:rFonts w:ascii="Cambria" w:hAnsi="Cambria" w:eastAsia="黑体" w:cs="Cambria"/>
      <w:b w:val="0"/>
      <w:bCs w:val="0"/>
    </w:rPr>
  </w:style>
  <w:style w:type="character" w:default="1" w:styleId="14">
    <w:name w:val="Default Paragraph Font"/>
    <w:semiHidden/>
    <w:qFormat/>
    <w:uiPriority w:val="99"/>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4">
    <w:name w:val="Document Map"/>
    <w:basedOn w:val="1"/>
    <w:link w:val="27"/>
    <w:semiHidden/>
    <w:qFormat/>
    <w:uiPriority w:val="99"/>
    <w:pPr>
      <w:shd w:val="clear" w:color="auto" w:fill="000080"/>
    </w:pPr>
  </w:style>
  <w:style w:type="paragraph" w:styleId="5">
    <w:name w:val="Body Text"/>
    <w:basedOn w:val="1"/>
    <w:link w:val="24"/>
    <w:qFormat/>
    <w:uiPriority w:val="99"/>
    <w:pPr>
      <w:spacing w:beforeLines="30"/>
    </w:pPr>
    <w:rPr>
      <w:rFonts w:ascii="仿宋_GB2312" w:eastAsia="仿宋_GB2312"/>
      <w:b w:val="0"/>
      <w:bCs w:val="0"/>
      <w:kern w:val="0"/>
      <w:sz w:val="24"/>
      <w:szCs w:val="20"/>
    </w:rPr>
  </w:style>
  <w:style w:type="paragraph" w:styleId="6">
    <w:name w:val="toc 3"/>
    <w:basedOn w:val="1"/>
    <w:next w:val="1"/>
    <w:semiHidden/>
    <w:uiPriority w:val="99"/>
    <w:pPr>
      <w:tabs>
        <w:tab w:val="right" w:leader="dot" w:pos="8296"/>
      </w:tabs>
      <w:spacing w:line="576" w:lineRule="exact"/>
      <w:ind w:left="1" w:firstLine="0" w:firstLineChars="0"/>
    </w:pPr>
  </w:style>
  <w:style w:type="paragraph" w:styleId="7">
    <w:name w:val="Date"/>
    <w:basedOn w:val="1"/>
    <w:next w:val="1"/>
    <w:link w:val="29"/>
    <w:semiHidden/>
    <w:qFormat/>
    <w:uiPriority w:val="99"/>
    <w:pPr>
      <w:ind w:left="100" w:leftChars="2500"/>
    </w:pPr>
  </w:style>
  <w:style w:type="paragraph" w:styleId="8">
    <w:name w:val="Balloon Text"/>
    <w:basedOn w:val="1"/>
    <w:link w:val="26"/>
    <w:semiHidden/>
    <w:uiPriority w:val="99"/>
    <w:rPr>
      <w:rFonts w:eastAsia="宋体"/>
      <w:b w:val="0"/>
      <w:bCs w:val="0"/>
      <w:sz w:val="18"/>
      <w:szCs w:val="18"/>
    </w:rPr>
  </w:style>
  <w:style w:type="paragraph" w:styleId="9">
    <w:name w:val="footer"/>
    <w:basedOn w:val="1"/>
    <w:link w:val="23"/>
    <w:qFormat/>
    <w:uiPriority w:val="99"/>
    <w:pPr>
      <w:tabs>
        <w:tab w:val="center" w:pos="4153"/>
        <w:tab w:val="right" w:pos="8306"/>
      </w:tabs>
      <w:snapToGrid w:val="0"/>
      <w:jc w:val="left"/>
    </w:pPr>
    <w:rPr>
      <w:rFonts w:ascii="Calibri" w:hAnsi="Calibri" w:eastAsia="宋体"/>
      <w:b w:val="0"/>
      <w:bCs w:val="0"/>
      <w:kern w:val="0"/>
      <w:sz w:val="18"/>
      <w:szCs w:val="20"/>
    </w:rPr>
  </w:style>
  <w:style w:type="paragraph" w:styleId="10">
    <w:name w:val="header"/>
    <w:basedOn w:val="1"/>
    <w:link w:val="22"/>
    <w:qFormat/>
    <w:uiPriority w:val="99"/>
    <w:pPr>
      <w:pBdr>
        <w:bottom w:val="single" w:color="auto" w:sz="6" w:space="1"/>
      </w:pBdr>
      <w:tabs>
        <w:tab w:val="center" w:pos="4153"/>
        <w:tab w:val="right" w:pos="8306"/>
      </w:tabs>
      <w:snapToGrid w:val="0"/>
      <w:jc w:val="center"/>
    </w:pPr>
    <w:rPr>
      <w:rFonts w:ascii="Calibri" w:hAnsi="Calibri" w:eastAsia="宋体"/>
      <w:b w:val="0"/>
      <w:bCs w:val="0"/>
      <w:kern w:val="0"/>
      <w:sz w:val="18"/>
      <w:szCs w:val="20"/>
    </w:rPr>
  </w:style>
  <w:style w:type="paragraph" w:styleId="11">
    <w:name w:val="toc 1"/>
    <w:basedOn w:val="1"/>
    <w:next w:val="1"/>
    <w:semiHidden/>
    <w:qFormat/>
    <w:uiPriority w:val="99"/>
    <w:pPr>
      <w:tabs>
        <w:tab w:val="right" w:leader="dot" w:pos="8296"/>
      </w:tabs>
      <w:ind w:firstLine="643"/>
    </w:pPr>
  </w:style>
  <w:style w:type="paragraph" w:styleId="12">
    <w:name w:val="toc 2"/>
    <w:basedOn w:val="1"/>
    <w:next w:val="1"/>
    <w:semiHidden/>
    <w:qFormat/>
    <w:uiPriority w:val="99"/>
    <w:pPr>
      <w:tabs>
        <w:tab w:val="right" w:leader="dot" w:pos="8296"/>
      </w:tabs>
      <w:ind w:firstLine="0" w:firstLineChars="0"/>
    </w:pPr>
  </w:style>
  <w:style w:type="character" w:styleId="15">
    <w:name w:val="Strong"/>
    <w:basedOn w:val="14"/>
    <w:qFormat/>
    <w:uiPriority w:val="99"/>
    <w:rPr>
      <w:rFonts w:cs="Times New Roman"/>
      <w:b/>
      <w:bCs/>
    </w:rPr>
  </w:style>
  <w:style w:type="character" w:styleId="16">
    <w:name w:val="Hyperlink"/>
    <w:basedOn w:val="14"/>
    <w:qFormat/>
    <w:uiPriority w:val="99"/>
    <w:rPr>
      <w:rFonts w:cs="Times New Roman"/>
      <w:color w:val="0000FF"/>
      <w:u w:val="single"/>
    </w:rPr>
  </w:style>
  <w:style w:type="character" w:customStyle="1" w:styleId="17">
    <w:name w:val="Heading 1 Char"/>
    <w:basedOn w:val="14"/>
    <w:link w:val="2"/>
    <w:locked/>
    <w:uiPriority w:val="99"/>
    <w:rPr>
      <w:rFonts w:ascii="Times New Roman" w:hAnsi="Times New Roman" w:eastAsia="方正小标宋简体" w:cs="Times New Roman"/>
      <w:b/>
      <w:bCs/>
      <w:kern w:val="44"/>
      <w:sz w:val="44"/>
      <w:szCs w:val="44"/>
    </w:rPr>
  </w:style>
  <w:style w:type="character" w:customStyle="1" w:styleId="18">
    <w:name w:val="Heading 2 Char"/>
    <w:basedOn w:val="14"/>
    <w:link w:val="3"/>
    <w:qFormat/>
    <w:locked/>
    <w:uiPriority w:val="99"/>
    <w:rPr>
      <w:rFonts w:ascii="Cambria" w:hAnsi="Cambria" w:eastAsia="黑体" w:cs="Cambria"/>
      <w:kern w:val="2"/>
      <w:sz w:val="32"/>
      <w:szCs w:val="32"/>
    </w:rPr>
  </w:style>
  <w:style w:type="character" w:customStyle="1" w:styleId="19">
    <w:name w:val="Header Char"/>
    <w:semiHidden/>
    <w:qFormat/>
    <w:locked/>
    <w:uiPriority w:val="99"/>
    <w:rPr>
      <w:sz w:val="18"/>
    </w:rPr>
  </w:style>
  <w:style w:type="character" w:customStyle="1" w:styleId="20">
    <w:name w:val="Body Text Char"/>
    <w:qFormat/>
    <w:locked/>
    <w:uiPriority w:val="99"/>
    <w:rPr>
      <w:rFonts w:ascii="仿宋_GB2312" w:hAnsi="Times New Roman" w:eastAsia="仿宋_GB2312"/>
      <w:sz w:val="24"/>
    </w:rPr>
  </w:style>
  <w:style w:type="character" w:customStyle="1" w:styleId="21">
    <w:name w:val="Footer Char"/>
    <w:locked/>
    <w:uiPriority w:val="99"/>
    <w:rPr>
      <w:sz w:val="18"/>
    </w:rPr>
  </w:style>
  <w:style w:type="character" w:customStyle="1" w:styleId="22">
    <w:name w:val="Header Char1"/>
    <w:basedOn w:val="14"/>
    <w:link w:val="10"/>
    <w:semiHidden/>
    <w:qFormat/>
    <w:locked/>
    <w:uiPriority w:val="99"/>
    <w:rPr>
      <w:rFonts w:ascii="Times New Roman" w:hAnsi="Times New Roman" w:eastAsia="楷体_GB2312" w:cs="Times New Roman"/>
      <w:b/>
      <w:bCs/>
      <w:sz w:val="18"/>
      <w:szCs w:val="18"/>
    </w:rPr>
  </w:style>
  <w:style w:type="character" w:customStyle="1" w:styleId="23">
    <w:name w:val="Footer Char1"/>
    <w:basedOn w:val="14"/>
    <w:link w:val="9"/>
    <w:semiHidden/>
    <w:locked/>
    <w:uiPriority w:val="99"/>
    <w:rPr>
      <w:rFonts w:ascii="Times New Roman" w:hAnsi="Times New Roman" w:eastAsia="楷体_GB2312" w:cs="Times New Roman"/>
      <w:b/>
      <w:bCs/>
      <w:sz w:val="18"/>
      <w:szCs w:val="18"/>
    </w:rPr>
  </w:style>
  <w:style w:type="character" w:customStyle="1" w:styleId="24">
    <w:name w:val="Body Text Char1"/>
    <w:basedOn w:val="14"/>
    <w:link w:val="5"/>
    <w:semiHidden/>
    <w:locked/>
    <w:uiPriority w:val="99"/>
    <w:rPr>
      <w:rFonts w:ascii="Times New Roman" w:hAnsi="Times New Roman" w:eastAsia="楷体_GB2312" w:cs="Times New Roman"/>
      <w:b/>
      <w:bCs/>
      <w:sz w:val="24"/>
      <w:szCs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character" w:customStyle="1" w:styleId="26">
    <w:name w:val="Balloon Text Char"/>
    <w:basedOn w:val="14"/>
    <w:link w:val="8"/>
    <w:semiHidden/>
    <w:locked/>
    <w:uiPriority w:val="99"/>
    <w:rPr>
      <w:rFonts w:ascii="Times New Roman" w:hAnsi="Times New Roman" w:cs="Times New Roman"/>
      <w:kern w:val="2"/>
      <w:sz w:val="18"/>
      <w:szCs w:val="18"/>
    </w:rPr>
  </w:style>
  <w:style w:type="character" w:customStyle="1" w:styleId="27">
    <w:name w:val="Document Map Char"/>
    <w:basedOn w:val="14"/>
    <w:link w:val="4"/>
    <w:semiHidden/>
    <w:qFormat/>
    <w:locked/>
    <w:uiPriority w:val="99"/>
    <w:rPr>
      <w:rFonts w:ascii="Times New Roman" w:hAnsi="Times New Roman" w:eastAsia="楷体_GB2312" w:cs="Times New Roman"/>
      <w:b/>
      <w:bCs/>
      <w:sz w:val="2"/>
      <w:szCs w:val="2"/>
    </w:rPr>
  </w:style>
  <w:style w:type="paragraph" w:customStyle="1" w:styleId="28">
    <w:name w:val="TOC Heading"/>
    <w:basedOn w:val="2"/>
    <w:next w:val="1"/>
    <w:qFormat/>
    <w:uiPriority w:val="99"/>
    <w:pPr>
      <w:widowControl/>
      <w:spacing w:before="480" w:after="0" w:line="276" w:lineRule="auto"/>
      <w:ind w:firstLine="0" w:firstLineChars="0"/>
      <w:jc w:val="left"/>
      <w:outlineLvl w:val="9"/>
    </w:pPr>
    <w:rPr>
      <w:rFonts w:ascii="Cambria" w:hAnsi="Cambria" w:eastAsia="宋体" w:cs="Cambria"/>
      <w:color w:val="365F91"/>
      <w:kern w:val="0"/>
      <w:sz w:val="28"/>
      <w:szCs w:val="28"/>
    </w:rPr>
  </w:style>
  <w:style w:type="character" w:customStyle="1" w:styleId="29">
    <w:name w:val="Date Char"/>
    <w:basedOn w:val="14"/>
    <w:link w:val="7"/>
    <w:semiHidden/>
    <w:qFormat/>
    <w:locked/>
    <w:uiPriority w:val="99"/>
    <w:rPr>
      <w:rFonts w:ascii="Times New Roman" w:hAnsi="Times New Roman" w:eastAsia="楷体_GB2312" w:cs="Times New Roman"/>
      <w:b/>
      <w:bCs/>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oleObject" Target="embeddings/oleObject5.bin"/><Relationship Id="rId17" Type="http://schemas.openxmlformats.org/officeDocument/2006/relationships/image" Target="media/image4.png"/><Relationship Id="rId16" Type="http://schemas.openxmlformats.org/officeDocument/2006/relationships/oleObject" Target="embeddings/oleObject4.bin"/><Relationship Id="rId15" Type="http://schemas.openxmlformats.org/officeDocument/2006/relationships/image" Target="media/image3.png"/><Relationship Id="rId14" Type="http://schemas.openxmlformats.org/officeDocument/2006/relationships/oleObject" Target="embeddings/oleObject3.bin"/><Relationship Id="rId13" Type="http://schemas.openxmlformats.org/officeDocument/2006/relationships/image" Target="media/image2.png"/><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444444"/>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四川省财政厅</Company>
  <Pages>21</Pages>
  <Words>1466</Words>
  <Characters>8360</Characters>
  <Lines>0</Lines>
  <Paragraphs>0</Paragraphs>
  <TotalTime>166</TotalTime>
  <ScaleCrop>false</ScaleCrop>
  <LinksUpToDate>false</LinksUpToDate>
  <CharactersWithSpaces>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2019-09-24T10:49:00Z</dcterms:created>
  <dc:creator>张彬茜</dc:creator>
  <cp:lastModifiedBy>胖纸小舒新</cp:lastModifiedBy>
  <cp:lastPrinted>2019-09-25T03:37:00Z</cp:lastPrinted>
  <dcterms:modified xsi:type="dcterms:W3CDTF">2019-09-25T09:37:51Z</dcterms:modified>
  <dc:title>茂县工商业联合会</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