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EFB"/>
        <w:spacing w:line="576" w:lineRule="exact"/>
        <w:ind w:firstLine="880" w:firstLineChars="200"/>
        <w:jc w:val="center"/>
        <w:outlineLvl w:val="1"/>
        <w:rPr>
          <w:rFonts w:ascii="方正小标宋_GBK" w:hAnsi="方正小标宋简体" w:eastAsia="方正小标宋_GBK" w:cs="方正小标宋简体"/>
          <w:bCs/>
          <w:kern w:val="36"/>
          <w:sz w:val="44"/>
          <w:szCs w:val="44"/>
          <w:lang w:eastAsia="zh-CN"/>
        </w:rPr>
      </w:pPr>
      <w:r>
        <w:rPr>
          <w:rFonts w:hint="eastAsia" w:ascii="方正小标宋_GBK" w:hAnsi="方正小标宋简体" w:eastAsia="方正小标宋_GBK" w:cs="方正小标宋简体"/>
          <w:bCs/>
          <w:kern w:val="36"/>
          <w:sz w:val="44"/>
          <w:szCs w:val="44"/>
          <w:lang w:eastAsia="zh-CN"/>
        </w:rPr>
        <w:t>茂县工商业联合会</w:t>
      </w:r>
    </w:p>
    <w:p>
      <w:pPr>
        <w:shd w:val="clear" w:color="auto" w:fill="FFFEFB"/>
        <w:spacing w:line="576" w:lineRule="exact"/>
        <w:ind w:firstLine="880" w:firstLineChars="200"/>
        <w:jc w:val="center"/>
        <w:outlineLvl w:val="1"/>
        <w:rPr>
          <w:rFonts w:ascii="方正小标宋_GBK" w:hAnsi="方正小标宋简体" w:eastAsia="方正小标宋_GBK" w:cs="方正小标宋简体"/>
          <w:bCs/>
          <w:kern w:val="36"/>
          <w:sz w:val="44"/>
          <w:szCs w:val="44"/>
          <w:lang w:eastAsia="zh-CN"/>
        </w:rPr>
      </w:pPr>
      <w:r>
        <w:rPr>
          <w:rFonts w:ascii="方正小标宋_GBK" w:hAnsi="方正小标宋简体" w:eastAsia="方正小标宋_GBK" w:cs="方正小标宋简体"/>
          <w:bCs/>
          <w:kern w:val="36"/>
          <w:sz w:val="44"/>
          <w:szCs w:val="44"/>
          <w:lang w:eastAsia="zh-CN"/>
        </w:rPr>
        <w:t>2020</w:t>
      </w:r>
      <w:r>
        <w:rPr>
          <w:rFonts w:hint="eastAsia" w:ascii="方正小标宋_GBK" w:hAnsi="方正小标宋简体" w:eastAsia="方正小标宋_GBK" w:cs="方正小标宋简体"/>
          <w:bCs/>
          <w:kern w:val="36"/>
          <w:sz w:val="44"/>
          <w:szCs w:val="44"/>
          <w:lang w:eastAsia="zh-CN"/>
        </w:rPr>
        <w:t>年部门预算情况说明</w:t>
      </w:r>
    </w:p>
    <w:p>
      <w:pPr>
        <w:shd w:val="clear" w:color="auto" w:fill="FFFEFB"/>
        <w:spacing w:line="576" w:lineRule="exact"/>
        <w:ind w:firstLine="0"/>
        <w:jc w:val="both"/>
        <w:outlineLvl w:val="1"/>
        <w:rPr>
          <w:rFonts w:ascii="仿宋_GB2312" w:hAnsi="仿宋_GB2312" w:eastAsia="仿宋_GB2312" w:cs="仿宋_GB2312"/>
          <w:sz w:val="32"/>
          <w:szCs w:val="32"/>
          <w:lang w:eastAsia="zh-CN"/>
        </w:rPr>
      </w:pPr>
    </w:p>
    <w:p>
      <w:pPr>
        <w:shd w:val="clear" w:color="auto" w:fill="FFFEFB"/>
        <w:spacing w:line="576" w:lineRule="exact"/>
        <w:ind w:firstLine="0"/>
        <w:jc w:val="both"/>
        <w:outlineLvl w:val="1"/>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目录</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一、基本职能及主要工作</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（一）部门职能简介</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（二）</w:t>
      </w:r>
      <w:r>
        <w:rPr>
          <w:rFonts w:ascii="楷体" w:hAnsi="楷体" w:eastAsia="楷体" w:cs="仿宋_GB2312"/>
          <w:b/>
          <w:sz w:val="32"/>
          <w:szCs w:val="32"/>
          <w:lang w:eastAsia="zh-CN"/>
        </w:rPr>
        <w:t>2020</w:t>
      </w:r>
      <w:r>
        <w:rPr>
          <w:rFonts w:hint="eastAsia" w:ascii="楷体" w:hAnsi="楷体" w:eastAsia="楷体" w:cs="仿宋_GB2312"/>
          <w:b/>
          <w:sz w:val="32"/>
          <w:szCs w:val="32"/>
          <w:lang w:eastAsia="zh-CN"/>
        </w:rPr>
        <w:t>年重点工作</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二、部门预算单位构成</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三、收支总预算情况说明</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（一）收入预算情况</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（二）支出预算情况</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四、财政拨款收支预算情况说明</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五、一般公共预算当年拨款情况说明</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（一）一般公共预算当年拨款规模变化情况</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（二）一般公共预算当年拨款结构情况</w:t>
      </w:r>
    </w:p>
    <w:p>
      <w:pPr>
        <w:spacing w:line="576" w:lineRule="exact"/>
        <w:ind w:firstLine="643" w:firstLineChars="200"/>
        <w:jc w:val="both"/>
        <w:rPr>
          <w:rFonts w:ascii="楷体" w:hAnsi="楷体" w:eastAsia="楷体" w:cs="仿宋_GB2312"/>
          <w:b/>
          <w:sz w:val="32"/>
          <w:szCs w:val="32"/>
          <w:lang w:eastAsia="zh-CN"/>
        </w:rPr>
      </w:pPr>
      <w:r>
        <w:rPr>
          <w:rFonts w:hint="eastAsia" w:ascii="楷体" w:hAnsi="楷体" w:eastAsia="楷体" w:cs="仿宋_GB2312"/>
          <w:b/>
          <w:sz w:val="32"/>
          <w:szCs w:val="32"/>
          <w:lang w:eastAsia="zh-CN"/>
        </w:rPr>
        <w:t>（三）一般公共预算当年拨款具体使用情况</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六、一般公共预算基本支出情况说明</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七、“三公”经费财政拨款预算安排情况说明</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八、政府性基金预算支出情况说明</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九、其他重要事项的情况说明</w:t>
      </w:r>
    </w:p>
    <w:p>
      <w:pPr>
        <w:spacing w:line="576" w:lineRule="exact"/>
        <w:ind w:firstLine="640" w:firstLineChars="200"/>
        <w:jc w:val="both"/>
        <w:rPr>
          <w:rFonts w:ascii="黑体" w:hAnsi="黑体" w:eastAsia="黑体" w:cs="仿宋_GB2312"/>
          <w:sz w:val="32"/>
          <w:szCs w:val="32"/>
          <w:lang w:eastAsia="zh-CN"/>
        </w:rPr>
      </w:pPr>
      <w:r>
        <w:rPr>
          <w:rFonts w:hint="eastAsia" w:ascii="黑体" w:hAnsi="黑体" w:eastAsia="黑体" w:cs="仿宋_GB2312"/>
          <w:sz w:val="32"/>
          <w:szCs w:val="32"/>
          <w:lang w:eastAsia="zh-CN"/>
        </w:rPr>
        <w:t>十、名称解释</w:t>
      </w:r>
    </w:p>
    <w:p>
      <w:pPr>
        <w:spacing w:line="576" w:lineRule="exact"/>
        <w:ind w:firstLine="0"/>
        <w:rPr>
          <w:rFonts w:ascii="宋体"/>
          <w:sz w:val="24"/>
          <w:szCs w:val="24"/>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spacing w:line="576" w:lineRule="exact"/>
        <w:ind w:firstLine="643" w:firstLineChars="200"/>
        <w:rPr>
          <w:lang w:eastAsia="zh-CN"/>
        </w:rPr>
      </w:pPr>
      <w:r>
        <w:rPr>
          <w:rFonts w:hint="eastAsia" w:ascii="楷体_GB2312" w:hAnsi="楷体_GB2312" w:eastAsia="楷体_GB2312" w:cs="楷体_GB2312"/>
          <w:b/>
          <w:bCs/>
          <w:kern w:val="2"/>
          <w:sz w:val="32"/>
          <w:szCs w:val="32"/>
          <w:lang w:eastAsia="zh-CN"/>
        </w:rPr>
        <w:t>（一）部门职能简介</w:t>
      </w:r>
    </w:p>
    <w:p>
      <w:pPr>
        <w:spacing w:line="576" w:lineRule="exact"/>
        <w:ind w:firstLine="440" w:firstLineChars="200"/>
        <w:rPr>
          <w:rFonts w:ascii="仿宋_GB2312" w:hAnsi="仿宋_GB2312" w:eastAsia="仿宋_GB2312" w:cs="仿宋_GB2312"/>
          <w:sz w:val="32"/>
          <w:szCs w:val="32"/>
          <w:lang w:eastAsia="zh-CN"/>
        </w:rPr>
      </w:pPr>
      <w:r>
        <w:rPr>
          <w:rFonts w:hint="eastAsia"/>
          <w:lang w:eastAsia="zh-CN"/>
        </w:rPr>
        <w:t>　　</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参与我县大政方针及政治、解决、社会中的重要问题的政治协商，发挥民主监督的作用，参政议政。</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引导会员积极参加我县经济建设，推动非公有制经济健康发展。</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做好工商界代表人士政治安排的推荐工作。</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对同级同业工会和行业协会实行业务主管，加强对个体劳动者协会、私营企业协会指导工作。</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加强与外商、各地工商社团及工商经济界人士的联系，促进经济、技术和贸易合作的发展，协助引进资金、技术人才。</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办好会办企业。</w:t>
      </w:r>
    </w:p>
    <w:p>
      <w:pPr>
        <w:widowControl w:val="0"/>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承办县委、县政府交办的其他工作。</w:t>
      </w:r>
    </w:p>
    <w:p>
      <w:pPr>
        <w:widowControl w:val="0"/>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2020</w:t>
      </w:r>
      <w:r>
        <w:rPr>
          <w:rFonts w:hint="eastAsia" w:ascii="楷体_GB2312" w:hAnsi="楷体_GB2312" w:eastAsia="楷体_GB2312" w:cs="楷体_GB2312"/>
          <w:b/>
          <w:bCs/>
          <w:kern w:val="2"/>
          <w:sz w:val="32"/>
          <w:szCs w:val="32"/>
          <w:lang w:eastAsia="zh-CN"/>
        </w:rPr>
        <w:t>年重点工作</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参与我县大政方针及政治、解决、社会中的重要问题的政治协商，发挥民主监督的作用，参政议政。</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引导会员积极参加我县经济建设，推动非公有制经济健康发展。</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做好工商界代表人士政治安排的推荐工作。</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对同级同业工会和行业协会实行业务主管，加强对个体劳动者协会、私营企业协会指导工作。</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加强与外商、各地工商社团及工商经济界人士的联系，促进经济、技术和贸易合作的发展，协助引进资金、技术人才。</w:t>
      </w:r>
    </w:p>
    <w:p>
      <w:pPr>
        <w:spacing w:line="576"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承办县委、县政府交办的其他工作。</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二、部门预算单位构成</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工商联属一级预算单位，下属二级预算单位</w:t>
      </w:r>
      <w:r>
        <w:rPr>
          <w:rFonts w:ascii="仿宋_GB2312" w:eastAsia="仿宋_GB2312"/>
          <w:sz w:val="32"/>
          <w:szCs w:val="32"/>
          <w:lang w:eastAsia="zh-CN"/>
        </w:rPr>
        <w:t xml:space="preserve"> 0 </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 xml:space="preserve"> 0</w:t>
      </w:r>
      <w:r>
        <w:rPr>
          <w:rFonts w:hint="eastAsia" w:ascii="仿宋_GB2312" w:eastAsia="仿宋_GB2312"/>
          <w:sz w:val="32"/>
          <w:szCs w:val="32"/>
          <w:lang w:eastAsia="zh-CN"/>
        </w:rPr>
        <w:t>个，其他事业单位</w:t>
      </w:r>
      <w:r>
        <w:rPr>
          <w:rFonts w:ascii="仿宋_GB2312" w:eastAsia="仿宋_GB2312"/>
          <w:sz w:val="32"/>
          <w:szCs w:val="32"/>
          <w:lang w:eastAsia="zh-CN"/>
        </w:rPr>
        <w:t xml:space="preserve">0 </w:t>
      </w:r>
      <w:r>
        <w:rPr>
          <w:rFonts w:hint="eastAsia" w:ascii="仿宋_GB2312" w:eastAsia="仿宋_GB2312"/>
          <w:sz w:val="32"/>
          <w:szCs w:val="32"/>
          <w:lang w:eastAsia="zh-CN"/>
        </w:rPr>
        <w:t>个。</w:t>
      </w:r>
    </w:p>
    <w:p>
      <w:pPr>
        <w:spacing w:line="576"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按照综合预算的原则，工商联部门所有收入和支出均纳入部门预算管理。收入包括：一般公共预算拨款收入</w:t>
      </w:r>
      <w:r>
        <w:rPr>
          <w:rFonts w:ascii="仿宋_GB2312" w:eastAsia="仿宋_GB2312"/>
          <w:sz w:val="32"/>
          <w:szCs w:val="32"/>
          <w:lang w:eastAsia="zh-CN"/>
        </w:rPr>
        <w:t>1057342</w:t>
      </w:r>
      <w:r>
        <w:rPr>
          <w:rFonts w:hint="eastAsia" w:ascii="仿宋_GB2312" w:eastAsia="仿宋_GB2312"/>
          <w:sz w:val="32"/>
          <w:szCs w:val="32"/>
          <w:lang w:eastAsia="zh-CN"/>
        </w:rPr>
        <w:t>元；支出包括：一般公共服务支出</w:t>
      </w:r>
      <w:r>
        <w:rPr>
          <w:rFonts w:ascii="仿宋_GB2312" w:eastAsia="仿宋_GB2312"/>
          <w:sz w:val="32"/>
          <w:szCs w:val="32"/>
          <w:lang w:eastAsia="zh-CN"/>
        </w:rPr>
        <w:t>731981</w:t>
      </w:r>
      <w:r>
        <w:rPr>
          <w:rFonts w:hint="eastAsia" w:ascii="仿宋_GB2312" w:eastAsia="仿宋_GB2312"/>
          <w:sz w:val="32"/>
          <w:szCs w:val="32"/>
          <w:lang w:eastAsia="zh-CN"/>
        </w:rPr>
        <w:t>元，社会保障和就业支出</w:t>
      </w:r>
      <w:r>
        <w:rPr>
          <w:rFonts w:ascii="仿宋_GB2312" w:eastAsia="仿宋_GB2312"/>
          <w:sz w:val="32"/>
          <w:szCs w:val="32"/>
          <w:lang w:eastAsia="zh-CN"/>
        </w:rPr>
        <w:t>161637</w:t>
      </w:r>
      <w:r>
        <w:rPr>
          <w:rFonts w:hint="eastAsia" w:ascii="仿宋_GB2312" w:eastAsia="仿宋_GB2312"/>
          <w:sz w:val="32"/>
          <w:szCs w:val="32"/>
          <w:lang w:eastAsia="zh-CN"/>
        </w:rPr>
        <w:t>元，卫生健康支出</w:t>
      </w:r>
      <w:r>
        <w:rPr>
          <w:rFonts w:ascii="仿宋_GB2312" w:eastAsia="仿宋_GB2312"/>
          <w:sz w:val="32"/>
          <w:szCs w:val="32"/>
          <w:lang w:eastAsia="zh-CN"/>
        </w:rPr>
        <w:t>56204</w:t>
      </w:r>
      <w:r>
        <w:rPr>
          <w:rFonts w:hint="eastAsia" w:ascii="仿宋_GB2312" w:eastAsia="仿宋_GB2312"/>
          <w:sz w:val="32"/>
          <w:szCs w:val="32"/>
          <w:lang w:eastAsia="zh-CN"/>
        </w:rPr>
        <w:t>元，住房保障支出</w:t>
      </w:r>
      <w:r>
        <w:rPr>
          <w:rFonts w:ascii="仿宋_GB2312" w:eastAsia="仿宋_GB2312"/>
          <w:sz w:val="32"/>
          <w:szCs w:val="32"/>
          <w:lang w:eastAsia="zh-CN"/>
        </w:rPr>
        <w:t>107520</w:t>
      </w:r>
      <w:r>
        <w:rPr>
          <w:rFonts w:hint="eastAsia"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spacing w:line="576" w:lineRule="exact"/>
        <w:ind w:firstLine="320" w:firstLineChars="10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年收入预算</w:t>
      </w:r>
      <w:r>
        <w:rPr>
          <w:rFonts w:ascii="仿宋_GB2312" w:eastAsia="仿宋_GB2312"/>
          <w:sz w:val="32"/>
          <w:szCs w:val="32"/>
          <w:lang w:eastAsia="zh-CN"/>
        </w:rPr>
        <w:t>1057342</w:t>
      </w:r>
      <w:r>
        <w:rPr>
          <w:rFonts w:hint="eastAsia" w:ascii="仿宋_GB2312" w:eastAsia="仿宋_GB2312"/>
          <w:sz w:val="32"/>
          <w:szCs w:val="32"/>
          <w:lang w:eastAsia="zh-CN"/>
        </w:rPr>
        <w:t>元；一般公共预算拨款收入</w:t>
      </w:r>
      <w:r>
        <w:rPr>
          <w:rFonts w:ascii="仿宋_GB2312" w:eastAsia="仿宋_GB2312"/>
          <w:sz w:val="32"/>
          <w:szCs w:val="32"/>
          <w:lang w:eastAsia="zh-CN"/>
        </w:rPr>
        <w:t>1057342</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76" w:lineRule="exact"/>
        <w:ind w:firstLine="321" w:firstLineChars="1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spacing w:line="576" w:lineRule="exact"/>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年支出预算</w:t>
      </w:r>
      <w:r>
        <w:rPr>
          <w:rFonts w:ascii="仿宋_GB2312" w:eastAsia="仿宋_GB2312"/>
          <w:sz w:val="32"/>
          <w:szCs w:val="32"/>
          <w:lang w:eastAsia="zh-CN"/>
        </w:rPr>
        <w:t>1057342</w:t>
      </w:r>
      <w:r>
        <w:rPr>
          <w:rFonts w:hint="eastAsia" w:ascii="仿宋_GB2312" w:eastAsia="仿宋_GB2312"/>
          <w:sz w:val="32"/>
          <w:szCs w:val="32"/>
          <w:lang w:eastAsia="zh-CN"/>
        </w:rPr>
        <w:t>元，其中：基本支出</w:t>
      </w:r>
      <w:r>
        <w:rPr>
          <w:rFonts w:ascii="仿宋_GB2312" w:eastAsia="仿宋_GB2312"/>
          <w:sz w:val="32"/>
          <w:szCs w:val="32"/>
          <w:lang w:eastAsia="zh-CN"/>
        </w:rPr>
        <w:t>1057342</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，项目支出</w:t>
      </w:r>
      <w:r>
        <w:rPr>
          <w:rFonts w:ascii="仿宋_GB2312" w:eastAsia="仿宋_GB2312"/>
          <w:sz w:val="32"/>
          <w:szCs w:val="32"/>
          <w:lang w:eastAsia="zh-CN"/>
        </w:rPr>
        <w:t>0</w:t>
      </w:r>
      <w:r>
        <w:rPr>
          <w:rFonts w:hint="eastAsia" w:ascii="仿宋_GB2312" w:eastAsia="仿宋_GB2312"/>
          <w:sz w:val="32"/>
          <w:szCs w:val="32"/>
          <w:lang w:eastAsia="zh-CN"/>
        </w:rPr>
        <w:t>元。</w:t>
      </w:r>
    </w:p>
    <w:p>
      <w:pPr>
        <w:spacing w:line="576" w:lineRule="exact"/>
        <w:ind w:firstLine="643" w:firstLineChars="200"/>
        <w:rPr>
          <w:rFonts w:ascii="黑体" w:eastAsia="黑体"/>
          <w:b/>
          <w:sz w:val="32"/>
          <w:szCs w:val="32"/>
          <w:lang w:eastAsia="zh-CN"/>
        </w:rPr>
      </w:pP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napToGrid w:val="0"/>
        <w:spacing w:line="576" w:lineRule="exact"/>
        <w:ind w:firstLine="640" w:firstLineChars="200"/>
        <w:jc w:val="both"/>
        <w:rPr>
          <w:rFonts w:ascii="仿宋_GB2312" w:eastAsia="仿宋_GB2312"/>
          <w:sz w:val="32"/>
          <w:szCs w:val="32"/>
          <w:lang w:eastAsia="zh-CN"/>
        </w:rPr>
      </w:pPr>
      <w:r>
        <w:rPr>
          <w:rFonts w:hint="eastAsia" w:ascii="仿宋_GB2312" w:hAnsi="仿宋_GB2312" w:eastAsia="仿宋_GB2312" w:cs="仿宋_GB2312"/>
          <w:sz w:val="32"/>
          <w:szCs w:val="32"/>
          <w:lang w:eastAsia="zh-CN"/>
        </w:rPr>
        <w:t>工商联</w:t>
      </w:r>
      <w:r>
        <w:rPr>
          <w:rFonts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年财政拨款收支总预算</w:t>
      </w:r>
      <w:r>
        <w:rPr>
          <w:rFonts w:ascii="仿宋_GB2312" w:hAnsi="仿宋_GB2312" w:eastAsia="仿宋_GB2312" w:cs="仿宋_GB2312"/>
          <w:sz w:val="32"/>
          <w:szCs w:val="32"/>
          <w:lang w:eastAsia="zh-CN"/>
        </w:rPr>
        <w:t>1057342</w:t>
      </w:r>
      <w:r>
        <w:rPr>
          <w:rFonts w:hint="eastAsia" w:ascii="仿宋_GB2312" w:hAnsi="仿宋_GB2312" w:eastAsia="仿宋_GB2312" w:cs="仿宋_GB2312"/>
          <w:sz w:val="32"/>
          <w:szCs w:val="32"/>
          <w:lang w:eastAsia="zh-CN"/>
        </w:rPr>
        <w:t>元</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年收支预算总数增加</w:t>
      </w:r>
      <w:r>
        <w:rPr>
          <w:rFonts w:ascii="仿宋_GB2312" w:hAnsi="仿宋_GB2312" w:eastAsia="仿宋_GB2312" w:cs="仿宋_GB2312"/>
          <w:sz w:val="32"/>
          <w:szCs w:val="32"/>
          <w:lang w:eastAsia="zh-CN"/>
        </w:rPr>
        <w:t>41993</w:t>
      </w:r>
      <w:r>
        <w:rPr>
          <w:rFonts w:hint="eastAsia" w:ascii="仿宋_GB2312" w:hAnsi="仿宋_GB2312" w:eastAsia="仿宋_GB2312" w:cs="仿宋_GB2312"/>
          <w:sz w:val="32"/>
          <w:szCs w:val="32"/>
          <w:lang w:eastAsia="zh-CN"/>
        </w:rPr>
        <w:t>元，主要原因</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保险</w:t>
      </w:r>
      <w:r>
        <w:rPr>
          <w:rFonts w:hint="eastAsia" w:ascii="仿宋_GB2312" w:eastAsia="仿宋_GB2312"/>
          <w:sz w:val="32"/>
          <w:szCs w:val="32"/>
          <w:lang w:eastAsia="zh-CN"/>
        </w:rPr>
        <w:t>公积金缴费及人员增加。</w:t>
      </w:r>
    </w:p>
    <w:p>
      <w:pPr>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收入包括：本年一般公共预算拨款收入</w:t>
      </w:r>
      <w:r>
        <w:rPr>
          <w:rFonts w:ascii="仿宋_GB2312" w:hAnsi="仿宋_GB2312" w:eastAsia="仿宋_GB2312" w:cs="仿宋_GB2312"/>
          <w:sz w:val="32"/>
          <w:szCs w:val="32"/>
          <w:lang w:eastAsia="zh-CN"/>
        </w:rPr>
        <w:t>1057342</w:t>
      </w:r>
      <w:r>
        <w:rPr>
          <w:rFonts w:hint="eastAsia" w:ascii="仿宋_GB2312" w:hAnsi="仿宋_GB2312" w:eastAsia="仿宋_GB2312" w:cs="仿宋_GB2312"/>
          <w:sz w:val="32"/>
          <w:szCs w:val="32"/>
          <w:lang w:eastAsia="zh-CN"/>
        </w:rPr>
        <w:t>元。支出包括：</w:t>
      </w:r>
      <w:r>
        <w:rPr>
          <w:rFonts w:hint="eastAsia" w:ascii="仿宋_GB2312" w:eastAsia="仿宋_GB2312"/>
          <w:sz w:val="32"/>
          <w:szCs w:val="32"/>
          <w:lang w:eastAsia="zh-CN"/>
        </w:rPr>
        <w:t>一般公共服务支出</w:t>
      </w:r>
      <w:r>
        <w:rPr>
          <w:rFonts w:ascii="仿宋_GB2312" w:eastAsia="仿宋_GB2312"/>
          <w:sz w:val="32"/>
          <w:szCs w:val="32"/>
          <w:lang w:eastAsia="zh-CN"/>
        </w:rPr>
        <w:t>731981</w:t>
      </w:r>
      <w:r>
        <w:rPr>
          <w:rFonts w:hint="eastAsia" w:ascii="仿宋_GB2312" w:hAnsi="仿宋_GB2312" w:eastAsia="仿宋_GB2312" w:cs="仿宋_GB2312"/>
          <w:sz w:val="32"/>
          <w:szCs w:val="32"/>
          <w:lang w:eastAsia="zh-CN"/>
        </w:rPr>
        <w:t>元，社会保障和就业支出</w:t>
      </w:r>
      <w:r>
        <w:rPr>
          <w:rFonts w:ascii="仿宋_GB2312" w:hAnsi="仿宋_GB2312" w:eastAsia="仿宋_GB2312" w:cs="仿宋_GB2312"/>
          <w:sz w:val="32"/>
          <w:szCs w:val="32"/>
          <w:lang w:eastAsia="zh-CN"/>
        </w:rPr>
        <w:t>161637</w:t>
      </w:r>
      <w:r>
        <w:rPr>
          <w:rFonts w:hint="eastAsia" w:ascii="仿宋_GB2312" w:hAnsi="仿宋_GB2312" w:eastAsia="仿宋_GB2312" w:cs="仿宋_GB2312"/>
          <w:sz w:val="32"/>
          <w:szCs w:val="32"/>
          <w:lang w:eastAsia="zh-CN"/>
        </w:rPr>
        <w:t>元，卫生健康支出</w:t>
      </w:r>
      <w:r>
        <w:rPr>
          <w:rFonts w:ascii="仿宋_GB2312" w:hAnsi="仿宋_GB2312" w:eastAsia="仿宋_GB2312" w:cs="仿宋_GB2312"/>
          <w:sz w:val="32"/>
          <w:szCs w:val="32"/>
          <w:lang w:eastAsia="zh-CN"/>
        </w:rPr>
        <w:t>56204</w:t>
      </w:r>
      <w:r>
        <w:rPr>
          <w:rFonts w:hint="eastAsia" w:ascii="仿宋_GB2312" w:hAnsi="仿宋_GB2312" w:eastAsia="仿宋_GB2312" w:cs="仿宋_GB2312"/>
          <w:sz w:val="32"/>
          <w:szCs w:val="32"/>
          <w:lang w:eastAsia="zh-CN"/>
        </w:rPr>
        <w:t>元，住房保障支出</w:t>
      </w:r>
      <w:r>
        <w:rPr>
          <w:rFonts w:ascii="仿宋_GB2312" w:hAnsi="仿宋_GB2312" w:eastAsia="仿宋_GB2312" w:cs="仿宋_GB2312"/>
          <w:sz w:val="32"/>
          <w:szCs w:val="32"/>
          <w:lang w:eastAsia="zh-CN"/>
        </w:rPr>
        <w:t>107520</w:t>
      </w:r>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napToGrid w:val="0"/>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茂县工商联</w:t>
      </w:r>
      <w:r>
        <w:rPr>
          <w:rFonts w:ascii="仿宋_GB2312" w:eastAsia="仿宋_GB2312"/>
          <w:sz w:val="32"/>
          <w:szCs w:val="32"/>
          <w:lang w:eastAsia="zh-CN"/>
        </w:rPr>
        <w:t>2020</w:t>
      </w:r>
      <w:r>
        <w:rPr>
          <w:rFonts w:hint="eastAsia" w:ascii="仿宋_GB2312" w:eastAsia="仿宋_GB2312"/>
          <w:sz w:val="32"/>
          <w:szCs w:val="32"/>
          <w:lang w:eastAsia="zh-CN"/>
        </w:rPr>
        <w:t>年一般公共预算当年拨款</w:t>
      </w:r>
      <w:r>
        <w:rPr>
          <w:rFonts w:ascii="仿宋_GB2312" w:eastAsia="仿宋_GB2312"/>
          <w:sz w:val="32"/>
          <w:szCs w:val="32"/>
          <w:lang w:eastAsia="zh-CN"/>
        </w:rPr>
        <w:t>1057342</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2019</w:t>
      </w:r>
      <w:r>
        <w:rPr>
          <w:rFonts w:hint="eastAsia" w:ascii="仿宋_GB2312" w:eastAsia="仿宋_GB2312"/>
          <w:sz w:val="32"/>
          <w:szCs w:val="32"/>
          <w:lang w:eastAsia="zh-CN"/>
        </w:rPr>
        <w:t>年预算总数增加</w:t>
      </w:r>
      <w:r>
        <w:rPr>
          <w:rFonts w:ascii="仿宋_GB2312" w:hAnsi="仿宋_GB2312" w:eastAsia="仿宋_GB2312" w:cs="仿宋_GB2312"/>
          <w:sz w:val="32"/>
          <w:szCs w:val="32"/>
          <w:lang w:eastAsia="zh-CN"/>
        </w:rPr>
        <w:t>41993</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保险</w:t>
      </w:r>
      <w:r>
        <w:rPr>
          <w:rFonts w:hint="eastAsia" w:ascii="仿宋_GB2312" w:eastAsia="仿宋_GB2312"/>
          <w:sz w:val="32"/>
          <w:szCs w:val="32"/>
          <w:lang w:eastAsia="zh-CN"/>
        </w:rPr>
        <w:t>公积金缴费及人员增加。</w:t>
      </w:r>
    </w:p>
    <w:p>
      <w:pPr>
        <w:spacing w:line="576" w:lineRule="exact"/>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731981</w:t>
      </w:r>
      <w:r>
        <w:rPr>
          <w:rFonts w:hint="eastAsia" w:ascii="仿宋_GB2312" w:eastAsia="仿宋_GB2312"/>
          <w:sz w:val="32"/>
          <w:szCs w:val="32"/>
          <w:lang w:eastAsia="zh-CN"/>
        </w:rPr>
        <w:t>元，占</w:t>
      </w:r>
      <w:r>
        <w:rPr>
          <w:rFonts w:ascii="仿宋_GB2312" w:eastAsia="仿宋_GB2312"/>
          <w:sz w:val="32"/>
          <w:szCs w:val="32"/>
          <w:lang w:eastAsia="zh-CN"/>
        </w:rPr>
        <w:t>69.2%</w:t>
      </w:r>
      <w:r>
        <w:rPr>
          <w:rFonts w:hint="eastAsia" w:ascii="仿宋_GB2312" w:eastAsia="仿宋_GB2312"/>
          <w:sz w:val="32"/>
          <w:szCs w:val="32"/>
          <w:lang w:eastAsia="zh-CN"/>
        </w:rPr>
        <w:t>；社会保障和就业支出</w:t>
      </w:r>
      <w:r>
        <w:rPr>
          <w:rFonts w:ascii="仿宋_GB2312" w:eastAsia="仿宋_GB2312"/>
          <w:sz w:val="32"/>
          <w:szCs w:val="32"/>
          <w:lang w:eastAsia="zh-CN"/>
        </w:rPr>
        <w:t>161637</w:t>
      </w:r>
      <w:r>
        <w:rPr>
          <w:rFonts w:hint="eastAsia" w:ascii="仿宋_GB2312" w:eastAsia="仿宋_GB2312"/>
          <w:sz w:val="32"/>
          <w:szCs w:val="32"/>
          <w:lang w:eastAsia="zh-CN"/>
        </w:rPr>
        <w:t>元，占</w:t>
      </w:r>
      <w:r>
        <w:rPr>
          <w:rFonts w:ascii="仿宋_GB2312" w:eastAsia="仿宋_GB2312"/>
          <w:sz w:val="32"/>
          <w:szCs w:val="32"/>
          <w:lang w:eastAsia="zh-CN"/>
        </w:rPr>
        <w:t>15.3%</w:t>
      </w:r>
      <w:r>
        <w:rPr>
          <w:rFonts w:hint="eastAsia" w:ascii="仿宋_GB2312" w:eastAsia="仿宋_GB2312"/>
          <w:sz w:val="32"/>
          <w:szCs w:val="32"/>
          <w:lang w:eastAsia="zh-CN"/>
        </w:rPr>
        <w:t>；卫生健康支出</w:t>
      </w:r>
      <w:r>
        <w:rPr>
          <w:rFonts w:ascii="仿宋_GB2312" w:eastAsia="仿宋_GB2312"/>
          <w:sz w:val="32"/>
          <w:szCs w:val="32"/>
          <w:lang w:eastAsia="zh-CN"/>
        </w:rPr>
        <w:t>56204</w:t>
      </w:r>
      <w:r>
        <w:rPr>
          <w:rFonts w:hint="eastAsia" w:ascii="仿宋_GB2312" w:eastAsia="仿宋_GB2312"/>
          <w:sz w:val="32"/>
          <w:szCs w:val="32"/>
          <w:lang w:eastAsia="zh-CN"/>
        </w:rPr>
        <w:t>元，占</w:t>
      </w:r>
      <w:r>
        <w:rPr>
          <w:rFonts w:ascii="仿宋_GB2312" w:eastAsia="仿宋_GB2312"/>
          <w:sz w:val="32"/>
          <w:szCs w:val="32"/>
          <w:lang w:eastAsia="zh-CN"/>
        </w:rPr>
        <w:t>5.3%</w:t>
      </w:r>
      <w:r>
        <w:rPr>
          <w:rFonts w:hint="eastAsia" w:ascii="仿宋_GB2312" w:eastAsia="仿宋_GB2312"/>
          <w:sz w:val="32"/>
          <w:szCs w:val="32"/>
          <w:lang w:eastAsia="zh-CN"/>
        </w:rPr>
        <w:t>；住房保障支出</w:t>
      </w:r>
      <w:r>
        <w:rPr>
          <w:rFonts w:ascii="仿宋_GB2312" w:eastAsia="仿宋_GB2312"/>
          <w:sz w:val="32"/>
          <w:szCs w:val="32"/>
          <w:lang w:eastAsia="zh-CN"/>
        </w:rPr>
        <w:t>152724</w:t>
      </w:r>
      <w:r>
        <w:rPr>
          <w:rFonts w:hint="eastAsia" w:ascii="仿宋_GB2312" w:eastAsia="仿宋_GB2312"/>
          <w:sz w:val="32"/>
          <w:szCs w:val="32"/>
          <w:lang w:eastAsia="zh-CN"/>
        </w:rPr>
        <w:t>元，占</w:t>
      </w:r>
      <w:r>
        <w:rPr>
          <w:rFonts w:ascii="仿宋_GB2312" w:eastAsia="仿宋_GB2312"/>
          <w:sz w:val="32"/>
          <w:szCs w:val="32"/>
          <w:lang w:eastAsia="zh-CN"/>
        </w:rPr>
        <w:t>10.2%</w:t>
      </w:r>
      <w:r>
        <w:rPr>
          <w:rFonts w:hint="eastAsia" w:ascii="仿宋_GB2312" w:eastAsia="仿宋_GB2312"/>
          <w:sz w:val="32"/>
          <w:szCs w:val="32"/>
          <w:lang w:eastAsia="zh-CN"/>
        </w:rPr>
        <w:t>。</w:t>
      </w:r>
    </w:p>
    <w:p>
      <w:pPr>
        <w:spacing w:line="576" w:lineRule="exact"/>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）民主党派及工商联事务（</w:t>
      </w:r>
      <w:r>
        <w:rPr>
          <w:rFonts w:ascii="仿宋_GB2312" w:eastAsia="仿宋_GB2312"/>
          <w:sz w:val="32"/>
          <w:szCs w:val="32"/>
          <w:lang w:eastAsia="zh-CN"/>
        </w:rPr>
        <w:t>28</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731981</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本单位行政人员</w:t>
      </w:r>
      <w:r>
        <w:rPr>
          <w:rFonts w:ascii="仿宋_GB2312" w:eastAsia="仿宋_GB2312"/>
          <w:sz w:val="32"/>
          <w:szCs w:val="32"/>
          <w:lang w:eastAsia="zh-CN"/>
        </w:rPr>
        <w:t>2020</w:t>
      </w:r>
      <w:r>
        <w:rPr>
          <w:rFonts w:hint="eastAsia" w:ascii="仿宋_GB2312" w:eastAsia="仿宋_GB2312"/>
          <w:sz w:val="32"/>
          <w:szCs w:val="32"/>
          <w:lang w:eastAsia="zh-CN"/>
        </w:rPr>
        <w:t>年的人员经费和日常公用经费等基本支出。</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107758</w:t>
      </w:r>
      <w:r>
        <w:rPr>
          <w:rFonts w:hint="eastAsia" w:ascii="仿宋_GB2312" w:eastAsia="仿宋_GB2312"/>
          <w:sz w:val="32"/>
          <w:szCs w:val="32"/>
          <w:lang w:eastAsia="zh-CN"/>
        </w:rPr>
        <w:t>元，主要用于单位缴纳基本养老保险费。</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53879</w:t>
      </w:r>
      <w:r>
        <w:rPr>
          <w:rFonts w:hint="eastAsia" w:ascii="仿宋_GB2312" w:eastAsia="仿宋_GB2312"/>
          <w:sz w:val="32"/>
          <w:szCs w:val="32"/>
          <w:lang w:eastAsia="zh-CN"/>
        </w:rPr>
        <w:t>元，主要用于单位缴纳职业年金。</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56204</w:t>
      </w:r>
      <w:r>
        <w:rPr>
          <w:rFonts w:hint="eastAsia" w:ascii="仿宋_GB2312" w:eastAsia="仿宋_GB2312"/>
          <w:sz w:val="32"/>
          <w:szCs w:val="32"/>
          <w:lang w:eastAsia="zh-CN"/>
        </w:rPr>
        <w:t>元，主要用于行政单位缴纳基本医疗保险。</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107520</w:t>
      </w:r>
      <w:r>
        <w:rPr>
          <w:rFonts w:hint="eastAsia" w:ascii="仿宋_GB2312" w:eastAsia="仿宋_GB2312"/>
          <w:sz w:val="32"/>
          <w:szCs w:val="32"/>
          <w:lang w:eastAsia="zh-CN"/>
        </w:rPr>
        <w:t>元，主要用于单位为职工缴纳住房公积金。</w:t>
      </w:r>
    </w:p>
    <w:p>
      <w:pPr>
        <w:spacing w:line="576" w:lineRule="exact"/>
        <w:ind w:firstLine="640" w:firstLineChars="200"/>
        <w:jc w:val="both"/>
        <w:rPr>
          <w:sz w:val="32"/>
          <w:szCs w:val="32"/>
          <w:lang w:eastAsia="zh-CN"/>
        </w:rPr>
      </w:pPr>
      <w:r>
        <w:rPr>
          <w:rFonts w:hint="eastAsia" w:ascii="黑体" w:eastAsia="黑体"/>
          <w:sz w:val="32"/>
          <w:szCs w:val="32"/>
          <w:lang w:eastAsia="zh-CN"/>
        </w:rPr>
        <w:t>六、一般公共预算基本支出情况说明</w:t>
      </w:r>
    </w:p>
    <w:p>
      <w:pPr>
        <w:spacing w:line="576" w:lineRule="exact"/>
        <w:ind w:firstLine="640" w:firstLineChars="200"/>
        <w:jc w:val="both"/>
        <w:rPr>
          <w:sz w:val="32"/>
          <w:szCs w:val="32"/>
          <w:lang w:eastAsia="zh-CN"/>
        </w:rPr>
      </w:pPr>
      <w:r>
        <w:rPr>
          <w:rFonts w:hint="eastAsia" w:ascii="仿宋_GB2312" w:eastAsia="仿宋_GB2312"/>
          <w:sz w:val="32"/>
          <w:szCs w:val="32"/>
          <w:lang w:eastAsia="zh-CN"/>
        </w:rPr>
        <w:t>茂县工商联</w:t>
      </w:r>
      <w:r>
        <w:rPr>
          <w:rFonts w:ascii="仿宋_GB2312" w:eastAsia="仿宋_GB2312"/>
          <w:sz w:val="32"/>
          <w:szCs w:val="32"/>
          <w:lang w:eastAsia="zh-CN"/>
        </w:rPr>
        <w:t>2020</w:t>
      </w:r>
      <w:r>
        <w:rPr>
          <w:rFonts w:hint="eastAsia" w:ascii="仿宋_GB2312" w:eastAsia="仿宋_GB2312"/>
          <w:sz w:val="32"/>
          <w:szCs w:val="32"/>
          <w:lang w:eastAsia="zh-CN"/>
        </w:rPr>
        <w:t>年一般公共预算基本支出</w:t>
      </w:r>
      <w:r>
        <w:rPr>
          <w:rFonts w:ascii="仿宋_GB2312" w:eastAsia="仿宋_GB2312"/>
          <w:sz w:val="32"/>
          <w:szCs w:val="32"/>
          <w:lang w:eastAsia="zh-CN"/>
        </w:rPr>
        <w:t>1057342</w:t>
      </w:r>
      <w:r>
        <w:rPr>
          <w:rFonts w:hint="eastAsia" w:ascii="仿宋_GB2312" w:eastAsia="仿宋_GB2312"/>
          <w:sz w:val="32"/>
          <w:szCs w:val="32"/>
          <w:lang w:eastAsia="zh-CN"/>
        </w:rPr>
        <w:t>元，其中人员经费</w:t>
      </w:r>
      <w:r>
        <w:rPr>
          <w:rFonts w:ascii="仿宋_GB2312" w:eastAsia="仿宋_GB2312"/>
          <w:sz w:val="32"/>
          <w:szCs w:val="32"/>
          <w:lang w:eastAsia="zh-CN"/>
        </w:rPr>
        <w:t>1006872</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对个人和家庭的补助支出。公用经费</w:t>
      </w:r>
      <w:r>
        <w:rPr>
          <w:rFonts w:ascii="仿宋_GB2312" w:eastAsia="仿宋_GB2312"/>
          <w:sz w:val="32"/>
          <w:szCs w:val="32"/>
          <w:lang w:eastAsia="zh-CN"/>
        </w:rPr>
        <w:t>50470</w:t>
      </w:r>
      <w:r>
        <w:rPr>
          <w:rFonts w:hint="eastAsia"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eastAsia="仿宋_GB2312"/>
          <w:sz w:val="32"/>
          <w:szCs w:val="32"/>
          <w:lang w:eastAsia="zh-CN"/>
        </w:rPr>
        <w:t>茂县工商联</w:t>
      </w:r>
      <w:r>
        <w:rPr>
          <w:rFonts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年“三公”经费财政拨款预算数</w:t>
      </w:r>
      <w:r>
        <w:rPr>
          <w:rFonts w:ascii="仿宋_GB2312" w:hAnsi="仿宋_GB2312" w:eastAsia="仿宋_GB2312" w:cs="仿宋_GB2312"/>
          <w:sz w:val="32"/>
          <w:szCs w:val="32"/>
          <w:lang w:eastAsia="zh-CN"/>
        </w:rPr>
        <w:t>1120</w:t>
      </w:r>
      <w:r>
        <w:rPr>
          <w:rFonts w:hint="eastAsia" w:ascii="仿宋_GB2312" w:hAnsi="仿宋_GB2312" w:eastAsia="仿宋_GB2312" w:cs="仿宋_GB2312"/>
          <w:sz w:val="32"/>
          <w:szCs w:val="32"/>
          <w:lang w:eastAsia="zh-CN"/>
        </w:rPr>
        <w:t>元，其中：无因公出国（境）经费，公务接待费</w:t>
      </w:r>
      <w:r>
        <w:rPr>
          <w:rFonts w:ascii="仿宋_GB2312" w:hAnsi="仿宋_GB2312" w:eastAsia="仿宋_GB2312" w:cs="仿宋_GB2312"/>
          <w:sz w:val="32"/>
          <w:szCs w:val="32"/>
          <w:lang w:eastAsia="zh-CN"/>
        </w:rPr>
        <w:t>1120</w:t>
      </w:r>
      <w:r>
        <w:rPr>
          <w:rFonts w:hint="eastAsia" w:ascii="仿宋_GB2312" w:hAnsi="仿宋_GB2312" w:eastAsia="仿宋_GB2312" w:cs="仿宋_GB2312"/>
          <w:sz w:val="32"/>
          <w:szCs w:val="32"/>
          <w:lang w:eastAsia="zh-CN"/>
        </w:rPr>
        <w:t>元，公务用车购置及运行维护费</w:t>
      </w:r>
      <w:r>
        <w:rPr>
          <w:rFonts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w:t>
      </w:r>
    </w:p>
    <w:p>
      <w:pPr>
        <w:spacing w:line="576"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年无因公出国（境）经费。</w:t>
      </w:r>
    </w:p>
    <w:p>
      <w:pPr>
        <w:snapToGrid w:val="0"/>
        <w:spacing w:line="576" w:lineRule="exact"/>
        <w:ind w:firstLine="640" w:firstLineChars="200"/>
        <w:jc w:val="both"/>
        <w:rPr>
          <w:lang w:eastAsia="zh-CN"/>
        </w:rPr>
      </w:pP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年公务接待费</w:t>
      </w:r>
      <w:r>
        <w:rPr>
          <w:rFonts w:ascii="仿宋_GB2312" w:hAnsi="仿宋_GB2312" w:eastAsia="仿宋_GB2312" w:cs="仿宋_GB2312"/>
          <w:sz w:val="32"/>
          <w:szCs w:val="32"/>
          <w:lang w:eastAsia="zh-CN"/>
        </w:rPr>
        <w:t>1120</w:t>
      </w:r>
      <w:r>
        <w:rPr>
          <w:rFonts w:hint="eastAsia" w:ascii="仿宋_GB2312" w:hAnsi="仿宋_GB2312" w:eastAsia="仿宋_GB2312" w:cs="仿宋_GB2312"/>
          <w:sz w:val="32"/>
          <w:szCs w:val="32"/>
          <w:lang w:eastAsia="zh-CN"/>
        </w:rPr>
        <w:t>元。</w:t>
      </w:r>
      <w:r>
        <w:rPr>
          <w:rFonts w:hint="eastAsia" w:ascii="仿宋_GB2312" w:eastAsia="仿宋_GB2312"/>
          <w:sz w:val="32"/>
          <w:szCs w:val="32"/>
          <w:lang w:eastAsia="zh-CN"/>
        </w:rPr>
        <w:t>较</w:t>
      </w:r>
      <w:r>
        <w:rPr>
          <w:rFonts w:ascii="仿宋_GB2312" w:eastAsia="仿宋_GB2312"/>
          <w:sz w:val="32"/>
          <w:szCs w:val="32"/>
          <w:lang w:eastAsia="zh-CN"/>
        </w:rPr>
        <w:t>2019</w:t>
      </w:r>
      <w:r>
        <w:rPr>
          <w:rFonts w:hint="eastAsia" w:ascii="仿宋_GB2312" w:eastAsia="仿宋_GB2312"/>
          <w:sz w:val="32"/>
          <w:szCs w:val="32"/>
          <w:lang w:eastAsia="zh-CN"/>
        </w:rPr>
        <w:t>年预算增加</w:t>
      </w:r>
      <w:r>
        <w:rPr>
          <w:rFonts w:ascii="仿宋_GB2312" w:eastAsia="仿宋_GB2312"/>
          <w:sz w:val="32"/>
          <w:szCs w:val="32"/>
          <w:lang w:eastAsia="zh-CN"/>
        </w:rPr>
        <w:t>14.7%</w:t>
      </w:r>
      <w:r>
        <w:rPr>
          <w:rFonts w:hint="eastAsia" w:ascii="仿宋_GB2312" w:eastAsia="仿宋_GB2312"/>
          <w:sz w:val="32"/>
          <w:szCs w:val="32"/>
          <w:lang w:eastAsia="zh-CN"/>
        </w:rPr>
        <w:t>，主要原因是：人员增加。</w:t>
      </w:r>
      <w:r>
        <w:rPr>
          <w:rFonts w:hint="eastAsia"/>
          <w:lang w:eastAsia="zh-CN"/>
        </w:rPr>
        <w:t>　</w:t>
      </w:r>
    </w:p>
    <w:p>
      <w:pPr>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年公务用车购置及运行维护费</w:t>
      </w:r>
      <w:r>
        <w:rPr>
          <w:rFonts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eastAsia="zh-CN"/>
        </w:rPr>
        <w:t>元。较</w:t>
      </w:r>
      <w:r>
        <w:rPr>
          <w:rFonts w:ascii="仿宋_GB2312" w:hAnsi="仿宋_GB2312" w:eastAsia="仿宋_GB2312" w:cs="仿宋_GB2312"/>
          <w:sz w:val="32"/>
          <w:szCs w:val="32"/>
          <w:lang w:eastAsia="zh-CN"/>
        </w:rPr>
        <w:t>2019</w:t>
      </w:r>
      <w:r>
        <w:rPr>
          <w:rFonts w:hint="eastAsia" w:ascii="仿宋_GB2312" w:hAnsi="仿宋_GB2312" w:eastAsia="仿宋_GB2312" w:cs="仿宋_GB2312"/>
          <w:sz w:val="32"/>
          <w:szCs w:val="32"/>
          <w:lang w:eastAsia="zh-CN"/>
        </w:rPr>
        <w:t>年预算持平。</w:t>
      </w:r>
    </w:p>
    <w:p>
      <w:pPr>
        <w:spacing w:line="576" w:lineRule="exact"/>
        <w:ind w:firstLine="640" w:firstLineChars="200"/>
        <w:jc w:val="both"/>
        <w:rPr>
          <w:rFonts w:ascii="黑体" w:eastAsia="黑体"/>
          <w:sz w:val="32"/>
          <w:szCs w:val="32"/>
          <w:lang w:eastAsia="zh-CN"/>
        </w:rPr>
      </w:pPr>
      <w:r>
        <w:rPr>
          <w:rFonts w:hint="eastAsia" w:ascii="黑体" w:eastAsia="黑体"/>
          <w:sz w:val="32"/>
          <w:szCs w:val="32"/>
          <w:lang w:eastAsia="zh-CN"/>
        </w:rPr>
        <w:t>八、政府性基金预算支出情况说明</w:t>
      </w:r>
    </w:p>
    <w:p>
      <w:pPr>
        <w:spacing w:line="576" w:lineRule="exact"/>
        <w:ind w:left="638" w:leftChars="290" w:firstLine="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茂县工商联</w:t>
      </w:r>
      <w:r>
        <w:rPr>
          <w:rFonts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eastAsia="zh-CN"/>
        </w:rPr>
        <w:t>年无政府性基金预算拨款安排的支出。</w:t>
      </w:r>
    </w:p>
    <w:p>
      <w:pPr>
        <w:spacing w:line="576" w:lineRule="exact"/>
        <w:ind w:left="638" w:leftChars="290" w:firstLine="0"/>
        <w:rPr>
          <w:rFonts w:ascii="黑体" w:eastAsia="黑体"/>
          <w:sz w:val="32"/>
          <w:szCs w:val="32"/>
          <w:lang w:eastAsia="zh-CN"/>
        </w:rPr>
      </w:pPr>
      <w:r>
        <w:rPr>
          <w:rFonts w:hint="eastAsia" w:ascii="黑体" w:eastAsia="黑体"/>
          <w:sz w:val="32"/>
          <w:szCs w:val="32"/>
          <w:lang w:eastAsia="zh-CN"/>
        </w:rPr>
        <w:t>九、其他重要事项的情况说明</w:t>
      </w:r>
    </w:p>
    <w:p>
      <w:pPr>
        <w:numPr>
          <w:ilvl w:val="0"/>
          <w:numId w:val="1"/>
        </w:numPr>
        <w:spacing w:line="576" w:lineRule="exact"/>
        <w:ind w:firstLine="643" w:firstLineChars="200"/>
        <w:jc w:val="both"/>
        <w:rPr>
          <w:lang w:eastAsia="zh-CN"/>
        </w:rPr>
      </w:pPr>
      <w:r>
        <w:rPr>
          <w:rFonts w:hint="eastAsia" w:ascii="楷体_GB2312" w:hAnsi="楷体_GB2312" w:eastAsia="楷体_GB2312" w:cs="楷体_GB2312"/>
          <w:b/>
          <w:bCs/>
          <w:kern w:val="2"/>
          <w:sz w:val="32"/>
          <w:szCs w:val="32"/>
          <w:lang w:eastAsia="zh-CN"/>
        </w:rPr>
        <w:t>机关运行经费</w:t>
      </w:r>
    </w:p>
    <w:p>
      <w:pPr>
        <w:snapToGrid w:val="0"/>
        <w:spacing w:line="576" w:lineRule="exact"/>
        <w:ind w:firstLine="640" w:firstLineChars="200"/>
        <w:jc w:val="both"/>
        <w:rPr>
          <w:lang w:eastAsia="zh-CN"/>
        </w:rPr>
      </w:pPr>
      <w:r>
        <w:rPr>
          <w:rFonts w:hint="eastAsia" w:ascii="仿宋_GB2312" w:eastAsia="仿宋_GB2312"/>
          <w:sz w:val="32"/>
          <w:szCs w:val="32"/>
          <w:lang w:eastAsia="zh-CN"/>
        </w:rPr>
        <w:t>茂县工商联</w:t>
      </w:r>
      <w:r>
        <w:rPr>
          <w:rFonts w:ascii="仿宋_GB2312" w:eastAsia="仿宋_GB2312"/>
          <w:sz w:val="32"/>
          <w:szCs w:val="32"/>
          <w:lang w:eastAsia="zh-CN"/>
        </w:rPr>
        <w:t>2020</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50470</w:t>
      </w:r>
      <w:r>
        <w:rPr>
          <w:rFonts w:hint="eastAsia" w:ascii="仿宋_GB2312" w:eastAsia="仿宋_GB2312"/>
          <w:sz w:val="32"/>
          <w:szCs w:val="32"/>
          <w:lang w:eastAsia="zh-CN"/>
        </w:rPr>
        <w:t>元，比</w:t>
      </w:r>
      <w:r>
        <w:rPr>
          <w:rFonts w:ascii="仿宋_GB2312" w:eastAsia="仿宋_GB2312"/>
          <w:sz w:val="32"/>
          <w:szCs w:val="32"/>
          <w:lang w:eastAsia="zh-CN"/>
        </w:rPr>
        <w:t>2019</w:t>
      </w:r>
      <w:r>
        <w:rPr>
          <w:rFonts w:hint="eastAsia" w:ascii="仿宋_GB2312" w:eastAsia="仿宋_GB2312"/>
          <w:sz w:val="32"/>
          <w:szCs w:val="32"/>
          <w:lang w:eastAsia="zh-CN"/>
        </w:rPr>
        <w:t>年预算增加</w:t>
      </w:r>
      <w:r>
        <w:rPr>
          <w:rFonts w:ascii="仿宋_GB2312" w:hAnsi="仿宋_GB2312" w:eastAsia="仿宋_GB2312" w:cs="仿宋_GB2312"/>
          <w:sz w:val="32"/>
          <w:szCs w:val="32"/>
          <w:lang w:eastAsia="zh-CN"/>
        </w:rPr>
        <w:t>690</w:t>
      </w:r>
      <w:r>
        <w:rPr>
          <w:rFonts w:hint="eastAsia" w:ascii="仿宋_GB2312" w:eastAsia="仿宋_GB2312"/>
          <w:sz w:val="32"/>
          <w:szCs w:val="32"/>
          <w:lang w:eastAsia="zh-CN"/>
        </w:rPr>
        <w:t>元，增长</w:t>
      </w:r>
      <w:r>
        <w:rPr>
          <w:rFonts w:ascii="仿宋_GB2312" w:eastAsia="仿宋_GB2312"/>
          <w:sz w:val="32"/>
          <w:szCs w:val="32"/>
          <w:lang w:eastAsia="zh-CN"/>
        </w:rPr>
        <w:t>1.38%</w:t>
      </w:r>
      <w:r>
        <w:rPr>
          <w:rFonts w:hint="eastAsia" w:ascii="仿宋_GB2312" w:eastAsia="仿宋_GB2312"/>
          <w:sz w:val="32"/>
          <w:szCs w:val="32"/>
          <w:lang w:eastAsia="zh-CN"/>
        </w:rPr>
        <w:t>。主要原因</w:t>
      </w:r>
      <w:r>
        <w:rPr>
          <w:rFonts w:ascii="仿宋_GB2312" w:eastAsia="仿宋_GB2312"/>
          <w:sz w:val="32"/>
          <w:szCs w:val="32"/>
          <w:lang w:eastAsia="zh-CN"/>
        </w:rPr>
        <w:t>:</w:t>
      </w:r>
      <w:r>
        <w:rPr>
          <w:rFonts w:hint="eastAsia" w:ascii="仿宋_GB2312" w:eastAsia="仿宋_GB2312"/>
          <w:sz w:val="32"/>
          <w:szCs w:val="32"/>
          <w:lang w:eastAsia="zh-CN"/>
        </w:rPr>
        <w:t>人员增加。</w:t>
      </w:r>
      <w:r>
        <w:rPr>
          <w:rFonts w:hint="eastAsia"/>
          <w:lang w:eastAsia="zh-CN"/>
        </w:rPr>
        <w:t>　</w:t>
      </w:r>
    </w:p>
    <w:p>
      <w:pPr>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（二）政府采购情况</w:t>
      </w:r>
    </w:p>
    <w:p>
      <w:pPr>
        <w:spacing w:line="576" w:lineRule="exact"/>
        <w:ind w:firstLine="640" w:firstLineChars="200"/>
        <w:jc w:val="both"/>
        <w:rPr>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年茂县工商联未安排政府采购预算。</w:t>
      </w:r>
    </w:p>
    <w:p>
      <w:pPr>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茂县工商联截止</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 xml:space="preserve">66780 </w:t>
      </w:r>
      <w:r>
        <w:rPr>
          <w:rFonts w:hint="eastAsia" w:ascii="仿宋_GB2312" w:eastAsia="仿宋_GB2312"/>
          <w:sz w:val="32"/>
          <w:szCs w:val="32"/>
          <w:lang w:eastAsia="zh-CN"/>
        </w:rPr>
        <w:t>元，其中：房屋</w:t>
      </w:r>
      <w:r>
        <w:rPr>
          <w:rFonts w:ascii="仿宋_GB2312" w:eastAsia="仿宋_GB2312"/>
          <w:sz w:val="32"/>
          <w:szCs w:val="32"/>
          <w:lang w:eastAsia="zh-CN"/>
        </w:rPr>
        <w:t>0</w:t>
      </w:r>
      <w:r>
        <w:rPr>
          <w:rFonts w:hint="eastAsia" w:ascii="仿宋_GB2312" w:eastAsia="仿宋_GB2312"/>
          <w:sz w:val="32"/>
          <w:szCs w:val="32"/>
          <w:lang w:eastAsia="zh-CN"/>
        </w:rPr>
        <w:t>平方米，价值</w:t>
      </w:r>
      <w:r>
        <w:rPr>
          <w:rFonts w:ascii="仿宋_GB2312" w:eastAsia="仿宋_GB2312"/>
          <w:sz w:val="32"/>
          <w:szCs w:val="32"/>
          <w:lang w:eastAsia="zh-CN"/>
        </w:rPr>
        <w:t>0</w:t>
      </w:r>
      <w:r>
        <w:rPr>
          <w:rFonts w:hint="eastAsia" w:ascii="仿宋_GB2312" w:eastAsia="仿宋_GB2312"/>
          <w:sz w:val="32"/>
          <w:szCs w:val="32"/>
          <w:lang w:eastAsia="zh-CN"/>
        </w:rPr>
        <w:t>元；公务用车</w:t>
      </w:r>
      <w:r>
        <w:rPr>
          <w:rFonts w:ascii="仿宋_GB2312" w:eastAsia="仿宋_GB2312"/>
          <w:sz w:val="32"/>
          <w:szCs w:val="32"/>
          <w:lang w:eastAsia="zh-CN"/>
        </w:rPr>
        <w:t>0</w:t>
      </w:r>
      <w:r>
        <w:rPr>
          <w:rFonts w:hint="eastAsia" w:ascii="仿宋_GB2312" w:eastAsia="仿宋_GB2312"/>
          <w:sz w:val="32"/>
          <w:szCs w:val="32"/>
          <w:lang w:eastAsia="zh-CN"/>
        </w:rPr>
        <w:t>辆，价值</w:t>
      </w:r>
      <w:r>
        <w:rPr>
          <w:rFonts w:ascii="仿宋_GB2312" w:eastAsia="仿宋_GB2312"/>
          <w:sz w:val="32"/>
          <w:szCs w:val="32"/>
          <w:lang w:eastAsia="zh-CN"/>
        </w:rPr>
        <w:t>0</w:t>
      </w:r>
      <w:r>
        <w:rPr>
          <w:rFonts w:hint="eastAsia" w:ascii="仿宋_GB2312" w:eastAsia="仿宋_GB2312"/>
          <w:sz w:val="32"/>
          <w:szCs w:val="32"/>
          <w:lang w:eastAsia="zh-CN"/>
        </w:rPr>
        <w:t>元；其他固定资产</w:t>
      </w:r>
      <w:r>
        <w:rPr>
          <w:rFonts w:ascii="仿宋_GB2312" w:eastAsia="仿宋_GB2312"/>
          <w:sz w:val="32"/>
          <w:szCs w:val="32"/>
          <w:lang w:eastAsia="zh-CN"/>
        </w:rPr>
        <w:t xml:space="preserve">66780 </w:t>
      </w:r>
      <w:r>
        <w:rPr>
          <w:rFonts w:hint="eastAsia"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76" w:lineRule="exact"/>
        <w:ind w:firstLine="640" w:firstLineChars="200"/>
        <w:jc w:val="both"/>
        <w:rPr>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年茂县工商联通用项目和专用项目均按要求实行绩效目标管理，涉及项目</w:t>
      </w:r>
      <w:r>
        <w:rPr>
          <w:rFonts w:ascii="仿宋_GB2312" w:eastAsia="仿宋_GB2312"/>
          <w:sz w:val="32"/>
          <w:szCs w:val="32"/>
          <w:lang w:eastAsia="zh-CN"/>
        </w:rPr>
        <w:t>0</w:t>
      </w:r>
      <w:r>
        <w:rPr>
          <w:rFonts w:hint="eastAsia" w:ascii="仿宋_GB2312" w:eastAsia="仿宋_GB2312"/>
          <w:sz w:val="32"/>
          <w:szCs w:val="32"/>
          <w:lang w:eastAsia="zh-CN"/>
        </w:rPr>
        <w:t>个，一般公共预算当年拨款</w:t>
      </w:r>
      <w:r>
        <w:rPr>
          <w:rFonts w:ascii="仿宋_GB2312" w:eastAsia="仿宋_GB2312"/>
          <w:sz w:val="32"/>
          <w:szCs w:val="32"/>
          <w:lang w:eastAsia="zh-CN"/>
        </w:rPr>
        <w:t>0</w:t>
      </w:r>
      <w:r>
        <w:rPr>
          <w:rFonts w:hint="eastAsia" w:ascii="仿宋_GB2312" w:eastAsia="仿宋_GB2312"/>
          <w:sz w:val="32"/>
          <w:szCs w:val="32"/>
          <w:lang w:eastAsia="zh-CN"/>
        </w:rPr>
        <w:t>元。</w:t>
      </w:r>
    </w:p>
    <w:p>
      <w:pPr>
        <w:spacing w:line="576" w:lineRule="exact"/>
        <w:ind w:firstLine="640" w:firstLineChars="200"/>
        <w:rPr>
          <w:lang w:eastAsia="zh-CN"/>
        </w:rPr>
      </w:pPr>
      <w:r>
        <w:rPr>
          <w:rFonts w:hint="eastAsia" w:ascii="黑体" w:eastAsia="黑体"/>
          <w:sz w:val="32"/>
          <w:szCs w:val="32"/>
          <w:lang w:eastAsia="zh-CN"/>
        </w:rPr>
        <w:t>十、名词解释</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hint="eastAsia"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bookmarkStart w:id="0" w:name="_GoBack"/>
      <w:bookmarkEnd w:id="0"/>
      <w:r>
        <w:rPr>
          <w:rFonts w:hint="eastAsia" w:ascii="仿宋_GB2312" w:eastAsia="仿宋_GB2312"/>
          <w:sz w:val="32"/>
          <w:szCs w:val="32"/>
          <w:lang w:eastAsia="zh-CN"/>
        </w:rPr>
        <w:t>附件：茂县</w:t>
      </w:r>
      <w:r>
        <w:rPr>
          <w:rFonts w:ascii="仿宋_GB2312" w:eastAsia="仿宋_GB2312"/>
          <w:sz w:val="32"/>
          <w:szCs w:val="32"/>
          <w:lang w:eastAsia="zh-CN"/>
        </w:rPr>
        <w:t>2020</w:t>
      </w:r>
      <w:r>
        <w:rPr>
          <w:rFonts w:hint="eastAsia" w:ascii="仿宋_GB2312" w:eastAsia="仿宋_GB2312"/>
          <w:sz w:val="32"/>
          <w:szCs w:val="32"/>
          <w:lang w:eastAsia="zh-CN"/>
        </w:rPr>
        <w:t>年工商业联合会部门预算公开表</w:t>
      </w:r>
    </w:p>
    <w:p>
      <w:pPr>
        <w:spacing w:line="576" w:lineRule="exact"/>
        <w:ind w:firstLine="0"/>
        <w:rPr>
          <w:rFonts w:ascii="仿宋_GB2312" w:eastAsia="仿宋_GB2312"/>
          <w:sz w:val="32"/>
          <w:szCs w:val="32"/>
          <w:lang w:eastAsia="zh-CN"/>
        </w:rPr>
      </w:pPr>
    </w:p>
    <w:p>
      <w:pPr>
        <w:spacing w:line="576" w:lineRule="exact"/>
        <w:ind w:firstLine="0"/>
        <w:rPr>
          <w:rFonts w:ascii="仿宋_GB2312" w:eastAsia="仿宋_GB2312"/>
          <w:sz w:val="32"/>
          <w:szCs w:val="32"/>
          <w:lang w:eastAsia="zh-CN"/>
        </w:rPr>
      </w:pPr>
    </w:p>
    <w:p>
      <w:pPr>
        <w:spacing w:line="576" w:lineRule="exact"/>
        <w:ind w:firstLine="0"/>
        <w:rPr>
          <w:rFonts w:ascii="仿宋_GB2312" w:eastAsia="仿宋_GB2312"/>
          <w:sz w:val="32"/>
          <w:szCs w:val="32"/>
          <w:lang w:eastAsia="zh-CN"/>
        </w:rPr>
      </w:pPr>
    </w:p>
    <w:p>
      <w:pPr>
        <w:spacing w:line="576" w:lineRule="exact"/>
        <w:ind w:firstLine="4960" w:firstLineChars="1550"/>
        <w:rPr>
          <w:rFonts w:ascii="仿宋_GB2312" w:eastAsia="仿宋_GB2312"/>
          <w:sz w:val="32"/>
          <w:szCs w:val="32"/>
          <w:lang w:eastAsia="zh-CN"/>
        </w:rPr>
      </w:pPr>
      <w:r>
        <w:rPr>
          <w:rFonts w:hint="eastAsia" w:ascii="仿宋_GB2312" w:eastAsia="仿宋_GB2312"/>
          <w:sz w:val="32"/>
          <w:szCs w:val="32"/>
          <w:lang w:eastAsia="zh-CN"/>
        </w:rPr>
        <w:t>茂县工商业联合会</w:t>
      </w:r>
    </w:p>
    <w:p>
      <w:pPr>
        <w:spacing w:line="576" w:lineRule="exact"/>
        <w:ind w:firstLine="5120" w:firstLineChars="160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6</w:t>
      </w:r>
      <w:r>
        <w:rPr>
          <w:rFonts w:hint="eastAsia" w:ascii="仿宋_GB2312" w:eastAsia="仿宋_GB2312"/>
          <w:sz w:val="32"/>
          <w:szCs w:val="32"/>
          <w:lang w:eastAsia="zh-CN"/>
        </w:rPr>
        <w:t>月</w:t>
      </w:r>
      <w:r>
        <w:rPr>
          <w:rFonts w:ascii="仿宋_GB2312" w:eastAsia="仿宋_GB2312"/>
          <w:sz w:val="32"/>
          <w:szCs w:val="32"/>
          <w:lang w:eastAsia="zh-CN"/>
        </w:rPr>
        <w:t>18</w:t>
      </w:r>
      <w:r>
        <w:rPr>
          <w:rFonts w:hint="eastAsia" w:ascii="仿宋_GB2312" w:eastAsia="仿宋_GB2312"/>
          <w:sz w:val="32"/>
          <w:szCs w:val="32"/>
          <w:lang w:eastAsia="zh-CN"/>
        </w:rPr>
        <w:t>日</w:t>
      </w:r>
    </w:p>
    <w:p>
      <w:pPr>
        <w:spacing w:line="576" w:lineRule="exact"/>
        <w:ind w:firstLine="0"/>
        <w:rPr>
          <w:lang w:eastAsia="zh-CN"/>
        </w:rPr>
      </w:pPr>
      <w:r>
        <w:rPr>
          <w:rFonts w:hint="eastAsia"/>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2</w:t>
    </w:r>
    <w:r>
      <w:rPr>
        <w:lang w:val="zh-CN"/>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D8220"/>
    <w:multiLevelType w:val="singleLevel"/>
    <w:tmpl w:val="382D8220"/>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10"/>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614F1"/>
    <w:rsid w:val="000658DA"/>
    <w:rsid w:val="00070CBC"/>
    <w:rsid w:val="000A4ECA"/>
    <w:rsid w:val="000B3750"/>
    <w:rsid w:val="000C6D5C"/>
    <w:rsid w:val="000D301C"/>
    <w:rsid w:val="000D50D6"/>
    <w:rsid w:val="000E77CC"/>
    <w:rsid w:val="00123FD0"/>
    <w:rsid w:val="00127C2B"/>
    <w:rsid w:val="00145198"/>
    <w:rsid w:val="00167A12"/>
    <w:rsid w:val="0018075B"/>
    <w:rsid w:val="00182F98"/>
    <w:rsid w:val="00186E1A"/>
    <w:rsid w:val="001A7A95"/>
    <w:rsid w:val="00227962"/>
    <w:rsid w:val="00227B77"/>
    <w:rsid w:val="00240F83"/>
    <w:rsid w:val="00242E59"/>
    <w:rsid w:val="00262727"/>
    <w:rsid w:val="00280DA8"/>
    <w:rsid w:val="00284ED3"/>
    <w:rsid w:val="002A3ADC"/>
    <w:rsid w:val="002C319A"/>
    <w:rsid w:val="002F0499"/>
    <w:rsid w:val="00316688"/>
    <w:rsid w:val="00326341"/>
    <w:rsid w:val="003271F5"/>
    <w:rsid w:val="003537EA"/>
    <w:rsid w:val="00356216"/>
    <w:rsid w:val="00360941"/>
    <w:rsid w:val="00382B7A"/>
    <w:rsid w:val="0038433F"/>
    <w:rsid w:val="003C15AF"/>
    <w:rsid w:val="003F181D"/>
    <w:rsid w:val="003F20F6"/>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6971"/>
    <w:rsid w:val="005E7711"/>
    <w:rsid w:val="00610894"/>
    <w:rsid w:val="00633765"/>
    <w:rsid w:val="00657114"/>
    <w:rsid w:val="00666ECA"/>
    <w:rsid w:val="006752BC"/>
    <w:rsid w:val="006919DA"/>
    <w:rsid w:val="00696576"/>
    <w:rsid w:val="006C0D8A"/>
    <w:rsid w:val="00705A03"/>
    <w:rsid w:val="00716A52"/>
    <w:rsid w:val="0074461B"/>
    <w:rsid w:val="00751B62"/>
    <w:rsid w:val="00757787"/>
    <w:rsid w:val="00783B7A"/>
    <w:rsid w:val="0078700D"/>
    <w:rsid w:val="00790255"/>
    <w:rsid w:val="007959FB"/>
    <w:rsid w:val="00795C76"/>
    <w:rsid w:val="007A6168"/>
    <w:rsid w:val="007B41F3"/>
    <w:rsid w:val="007C2369"/>
    <w:rsid w:val="007F131A"/>
    <w:rsid w:val="007F295F"/>
    <w:rsid w:val="008048BC"/>
    <w:rsid w:val="008079ED"/>
    <w:rsid w:val="008144B8"/>
    <w:rsid w:val="008202CD"/>
    <w:rsid w:val="00834ADE"/>
    <w:rsid w:val="00843529"/>
    <w:rsid w:val="008500BE"/>
    <w:rsid w:val="0085536F"/>
    <w:rsid w:val="0087682A"/>
    <w:rsid w:val="008B2711"/>
    <w:rsid w:val="008C71A7"/>
    <w:rsid w:val="008D2C10"/>
    <w:rsid w:val="008D61B8"/>
    <w:rsid w:val="008E6AA6"/>
    <w:rsid w:val="008F1AEB"/>
    <w:rsid w:val="008F6102"/>
    <w:rsid w:val="00927C5E"/>
    <w:rsid w:val="0097466F"/>
    <w:rsid w:val="00992E2D"/>
    <w:rsid w:val="009F6C59"/>
    <w:rsid w:val="00A062A9"/>
    <w:rsid w:val="00A12D72"/>
    <w:rsid w:val="00A22DA4"/>
    <w:rsid w:val="00A33390"/>
    <w:rsid w:val="00A53F54"/>
    <w:rsid w:val="00A543F7"/>
    <w:rsid w:val="00A71277"/>
    <w:rsid w:val="00AA4C94"/>
    <w:rsid w:val="00AE009D"/>
    <w:rsid w:val="00B00764"/>
    <w:rsid w:val="00B619A8"/>
    <w:rsid w:val="00B75BD0"/>
    <w:rsid w:val="00B906A9"/>
    <w:rsid w:val="00BD4A85"/>
    <w:rsid w:val="00C22407"/>
    <w:rsid w:val="00C646E6"/>
    <w:rsid w:val="00CC5EE7"/>
    <w:rsid w:val="00CC75B4"/>
    <w:rsid w:val="00D45F4D"/>
    <w:rsid w:val="00D62C31"/>
    <w:rsid w:val="00D74F97"/>
    <w:rsid w:val="00D94A56"/>
    <w:rsid w:val="00DA76FF"/>
    <w:rsid w:val="00DB5A44"/>
    <w:rsid w:val="00DB7A6E"/>
    <w:rsid w:val="00DC345A"/>
    <w:rsid w:val="00DC5054"/>
    <w:rsid w:val="00E0755E"/>
    <w:rsid w:val="00E23AC0"/>
    <w:rsid w:val="00E27CDC"/>
    <w:rsid w:val="00E64491"/>
    <w:rsid w:val="00E70D78"/>
    <w:rsid w:val="00E7248E"/>
    <w:rsid w:val="00EB65E3"/>
    <w:rsid w:val="00EF6703"/>
    <w:rsid w:val="00F13630"/>
    <w:rsid w:val="00FC1C09"/>
    <w:rsid w:val="06036FC4"/>
    <w:rsid w:val="07A57A21"/>
    <w:rsid w:val="0E182263"/>
    <w:rsid w:val="0E3577AE"/>
    <w:rsid w:val="0F1B0313"/>
    <w:rsid w:val="10124CE6"/>
    <w:rsid w:val="10321553"/>
    <w:rsid w:val="12182EC2"/>
    <w:rsid w:val="12E17E42"/>
    <w:rsid w:val="13D96D0B"/>
    <w:rsid w:val="153C5E8C"/>
    <w:rsid w:val="1C5F3336"/>
    <w:rsid w:val="241F365E"/>
    <w:rsid w:val="2CFC38F9"/>
    <w:rsid w:val="2D3878FE"/>
    <w:rsid w:val="2F125086"/>
    <w:rsid w:val="2F745C7C"/>
    <w:rsid w:val="300B4388"/>
    <w:rsid w:val="32556CE1"/>
    <w:rsid w:val="38A25216"/>
    <w:rsid w:val="38A67EE8"/>
    <w:rsid w:val="38A7286F"/>
    <w:rsid w:val="3C19500F"/>
    <w:rsid w:val="3D5505A9"/>
    <w:rsid w:val="3D8F3052"/>
    <w:rsid w:val="3EF31E82"/>
    <w:rsid w:val="42D24CBB"/>
    <w:rsid w:val="44834D29"/>
    <w:rsid w:val="44D12911"/>
    <w:rsid w:val="4AB825AE"/>
    <w:rsid w:val="4C6D34EC"/>
    <w:rsid w:val="4E552A82"/>
    <w:rsid w:val="4E972CDD"/>
    <w:rsid w:val="5BBF26B6"/>
    <w:rsid w:val="5BE30019"/>
    <w:rsid w:val="5E231470"/>
    <w:rsid w:val="5EEB3416"/>
    <w:rsid w:val="5FA84EFC"/>
    <w:rsid w:val="62C75C09"/>
    <w:rsid w:val="64001CE0"/>
    <w:rsid w:val="646E7D5F"/>
    <w:rsid w:val="659A7BAE"/>
    <w:rsid w:val="67470A61"/>
    <w:rsid w:val="685516FA"/>
    <w:rsid w:val="69B560DD"/>
    <w:rsid w:val="6D010C72"/>
    <w:rsid w:val="6F4C6418"/>
    <w:rsid w:val="6F715E23"/>
    <w:rsid w:val="72C3264A"/>
    <w:rsid w:val="79FB75BA"/>
    <w:rsid w:val="7CD421E8"/>
    <w:rsid w:val="7CF27764"/>
    <w:rsid w:val="7E87490C"/>
    <w:rsid w:val="7ECA74F3"/>
    <w:rsid w:val="7F307CBE"/>
    <w:rsid w:val="7F32486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kern w:val="0"/>
      <w:sz w:val="22"/>
      <w:szCs w:val="22"/>
      <w:lang w:val="en-US" w:eastAsia="en-US" w:bidi="ar-SA"/>
    </w:rPr>
  </w:style>
  <w:style w:type="paragraph" w:styleId="4">
    <w:name w:val="heading 1"/>
    <w:basedOn w:val="1"/>
    <w:next w:val="1"/>
    <w:link w:val="16"/>
    <w:qFormat/>
    <w:uiPriority w:val="99"/>
    <w:pPr>
      <w:keepNext/>
      <w:keepLines/>
      <w:spacing w:line="576" w:lineRule="auto"/>
      <w:outlineLvl w:val="0"/>
    </w:pPr>
    <w:rPr>
      <w:b/>
      <w:kern w:val="44"/>
      <w:sz w:val="44"/>
    </w:rPr>
  </w:style>
  <w:style w:type="paragraph" w:styleId="5">
    <w:name w:val="heading 2"/>
    <w:basedOn w:val="1"/>
    <w:next w:val="1"/>
    <w:link w:val="17"/>
    <w:qFormat/>
    <w:uiPriority w:val="99"/>
    <w:pPr>
      <w:keepNext/>
      <w:keepLines/>
      <w:spacing w:line="413" w:lineRule="auto"/>
      <w:outlineLvl w:val="1"/>
    </w:pPr>
    <w:rPr>
      <w:rFonts w:ascii="Arial" w:hAnsi="Arial" w:eastAsia="黑体"/>
      <w:b/>
      <w:sz w:val="32"/>
    </w:rPr>
  </w:style>
  <w:style w:type="paragraph" w:styleId="6">
    <w:name w:val="heading 3"/>
    <w:basedOn w:val="1"/>
    <w:next w:val="1"/>
    <w:link w:val="18"/>
    <w:qFormat/>
    <w:uiPriority w:val="99"/>
    <w:pPr>
      <w:keepNext/>
      <w:keepLines/>
      <w:spacing w:line="413" w:lineRule="auto"/>
      <w:outlineLvl w:val="2"/>
    </w:pPr>
    <w:rPr>
      <w:b/>
      <w:sz w:val="32"/>
    </w:rPr>
  </w:style>
  <w:style w:type="character" w:default="1" w:styleId="12">
    <w:name w:val="Default Paragraph Font"/>
    <w:semiHidden/>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0"/>
    <w:uiPriority w:val="99"/>
    <w:pPr>
      <w:widowControl w:val="0"/>
      <w:spacing w:after="120"/>
      <w:ind w:left="420" w:leftChars="200" w:firstLine="420" w:firstLineChars="200"/>
      <w:jc w:val="both"/>
    </w:pPr>
    <w:rPr>
      <w:rFonts w:ascii="Times New Roman" w:hAnsi="Times New Roman" w:cs="Times New Roman"/>
      <w:kern w:val="2"/>
      <w:sz w:val="21"/>
      <w:lang w:eastAsia="zh-CN"/>
    </w:rPr>
  </w:style>
  <w:style w:type="paragraph" w:styleId="3">
    <w:name w:val="Body Text Indent"/>
    <w:basedOn w:val="1"/>
    <w:link w:val="19"/>
    <w:uiPriority w:val="99"/>
    <w:pPr>
      <w:spacing w:line="500" w:lineRule="exact"/>
      <w:ind w:firstLine="720" w:firstLineChars="240"/>
    </w:pPr>
    <w:rPr>
      <w:rFonts w:ascii="仿宋_GB2312"/>
      <w:b/>
      <w:sz w:val="30"/>
      <w:szCs w:val="24"/>
    </w:rPr>
  </w:style>
  <w:style w:type="paragraph" w:styleId="7">
    <w:name w:val="Balloon Text"/>
    <w:basedOn w:val="1"/>
    <w:link w:val="24"/>
    <w:qFormat/>
    <w:uiPriority w:val="99"/>
    <w:rPr>
      <w:sz w:val="18"/>
      <w:szCs w:val="18"/>
    </w:rPr>
  </w:style>
  <w:style w:type="paragraph" w:styleId="8">
    <w:name w:val="footer"/>
    <w:basedOn w:val="1"/>
    <w:link w:val="21"/>
    <w:uiPriority w:val="99"/>
    <w:pPr>
      <w:tabs>
        <w:tab w:val="center" w:pos="4153"/>
        <w:tab w:val="right" w:pos="8306"/>
      </w:tabs>
      <w:snapToGrid w:val="0"/>
    </w:pPr>
    <w:rPr>
      <w:sz w:val="18"/>
      <w:szCs w:val="18"/>
    </w:rPr>
  </w:style>
  <w:style w:type="paragraph" w:styleId="9">
    <w:name w:val="header"/>
    <w:basedOn w:val="1"/>
    <w:link w:val="22"/>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beforeAutospacing="1" w:afterAutospacing="1"/>
    </w:pPr>
    <w:rPr>
      <w:rFonts w:cs="Times New Roman"/>
      <w:sz w:val="24"/>
      <w:lang w:eastAsia="zh-CN"/>
    </w:rPr>
  </w:style>
  <w:style w:type="character" w:styleId="13">
    <w:name w:val="Strong"/>
    <w:basedOn w:val="12"/>
    <w:qFormat/>
    <w:uiPriority w:val="99"/>
    <w:rPr>
      <w:rFonts w:cs="Times New Roman"/>
      <w:b/>
    </w:rPr>
  </w:style>
  <w:style w:type="character" w:styleId="14">
    <w:name w:val="FollowedHyperlink"/>
    <w:basedOn w:val="12"/>
    <w:qFormat/>
    <w:uiPriority w:val="99"/>
    <w:rPr>
      <w:rFonts w:cs="Times New Roman"/>
      <w:color w:val="323232"/>
      <w:u w:val="none"/>
    </w:rPr>
  </w:style>
  <w:style w:type="character" w:styleId="15">
    <w:name w:val="Hyperlink"/>
    <w:basedOn w:val="12"/>
    <w:qFormat/>
    <w:uiPriority w:val="99"/>
    <w:rPr>
      <w:rFonts w:cs="Times New Roman"/>
      <w:color w:val="323232"/>
      <w:u w:val="none"/>
    </w:rPr>
  </w:style>
  <w:style w:type="character" w:customStyle="1" w:styleId="16">
    <w:name w:val="Heading 1 Char"/>
    <w:basedOn w:val="12"/>
    <w:link w:val="4"/>
    <w:locked/>
    <w:uiPriority w:val="99"/>
    <w:rPr>
      <w:rFonts w:ascii="Calibri" w:hAnsi="Calibri" w:cs="Arial"/>
      <w:b/>
      <w:bCs/>
      <w:kern w:val="44"/>
      <w:sz w:val="44"/>
      <w:szCs w:val="44"/>
      <w:lang w:eastAsia="en-US"/>
    </w:rPr>
  </w:style>
  <w:style w:type="character" w:customStyle="1" w:styleId="17">
    <w:name w:val="Heading 2 Char"/>
    <w:basedOn w:val="12"/>
    <w:link w:val="5"/>
    <w:semiHidden/>
    <w:locked/>
    <w:uiPriority w:val="99"/>
    <w:rPr>
      <w:rFonts w:ascii="Cambria" w:hAnsi="Cambria" w:eastAsia="宋体" w:cs="Times New Roman"/>
      <w:b/>
      <w:bCs/>
      <w:kern w:val="0"/>
      <w:sz w:val="32"/>
      <w:szCs w:val="32"/>
      <w:lang w:eastAsia="en-US"/>
    </w:rPr>
  </w:style>
  <w:style w:type="character" w:customStyle="1" w:styleId="18">
    <w:name w:val="Heading 3 Char"/>
    <w:basedOn w:val="12"/>
    <w:link w:val="6"/>
    <w:semiHidden/>
    <w:locked/>
    <w:uiPriority w:val="99"/>
    <w:rPr>
      <w:rFonts w:ascii="Calibri" w:hAnsi="Calibri" w:cs="Arial"/>
      <w:b/>
      <w:bCs/>
      <w:kern w:val="0"/>
      <w:sz w:val="32"/>
      <w:szCs w:val="32"/>
      <w:lang w:eastAsia="en-US"/>
    </w:rPr>
  </w:style>
  <w:style w:type="character" w:customStyle="1" w:styleId="19">
    <w:name w:val="Body Text Indent Char"/>
    <w:basedOn w:val="12"/>
    <w:link w:val="3"/>
    <w:semiHidden/>
    <w:locked/>
    <w:uiPriority w:val="99"/>
    <w:rPr>
      <w:rFonts w:ascii="Calibri" w:hAnsi="Calibri" w:cs="Arial"/>
      <w:kern w:val="0"/>
      <w:sz w:val="22"/>
      <w:lang w:eastAsia="en-US"/>
    </w:rPr>
  </w:style>
  <w:style w:type="character" w:customStyle="1" w:styleId="20">
    <w:name w:val="Body Text First Indent 2 Char"/>
    <w:basedOn w:val="19"/>
    <w:link w:val="2"/>
    <w:semiHidden/>
    <w:locked/>
    <w:uiPriority w:val="99"/>
  </w:style>
  <w:style w:type="character" w:customStyle="1" w:styleId="21">
    <w:name w:val="Footer Char"/>
    <w:basedOn w:val="12"/>
    <w:link w:val="8"/>
    <w:locked/>
    <w:uiPriority w:val="99"/>
    <w:rPr>
      <w:rFonts w:ascii="Calibri" w:hAnsi="Calibri" w:cs="Arial"/>
      <w:sz w:val="18"/>
      <w:szCs w:val="18"/>
      <w:lang w:eastAsia="en-US"/>
    </w:rPr>
  </w:style>
  <w:style w:type="character" w:customStyle="1" w:styleId="22">
    <w:name w:val="Header Char"/>
    <w:basedOn w:val="12"/>
    <w:link w:val="9"/>
    <w:locked/>
    <w:uiPriority w:val="99"/>
    <w:rPr>
      <w:rFonts w:ascii="Calibri" w:hAnsi="Calibri" w:cs="Arial"/>
      <w:sz w:val="18"/>
      <w:szCs w:val="18"/>
      <w:lang w:eastAsia="en-US"/>
    </w:rPr>
  </w:style>
  <w:style w:type="character" w:customStyle="1" w:styleId="23">
    <w:name w:val="bsharetext"/>
    <w:basedOn w:val="12"/>
    <w:qFormat/>
    <w:uiPriority w:val="99"/>
    <w:rPr>
      <w:rFonts w:cs="Times New Roman"/>
    </w:rPr>
  </w:style>
  <w:style w:type="character" w:customStyle="1" w:styleId="24">
    <w:name w:val="Balloon Text Char"/>
    <w:basedOn w:val="12"/>
    <w:link w:val="7"/>
    <w:qFormat/>
    <w:locked/>
    <w:uiPriority w:val="99"/>
    <w:rPr>
      <w:rFonts w:ascii="Calibri" w:hAnsi="Calibri" w:cs="Arial"/>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8</Pages>
  <Words>508</Words>
  <Characters>2897</Characters>
  <Lines>0</Lines>
  <Paragraphs>0</Paragraphs>
  <TotalTime>78</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2020-06-19T03:17:00Z</cp:lastPrinted>
  <dcterms:modified xsi:type="dcterms:W3CDTF">2020-06-19T03:43:56Z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