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1446"/>
        <w:jc w:val="center"/>
        <w:outlineLvl w:val="0"/>
        <w:rPr>
          <w:rFonts w:ascii="方正小标宋简体" w:hAnsi="宋体" w:eastAsia="方正小标宋简体"/>
          <w:color w:val="000000"/>
          <w:sz w:val="72"/>
          <w:szCs w:val="72"/>
        </w:rPr>
      </w:pPr>
    </w:p>
    <w:p>
      <w:pPr>
        <w:adjustRightInd w:val="0"/>
        <w:snapToGrid w:val="0"/>
        <w:spacing w:line="360" w:lineRule="auto"/>
        <w:ind w:left="0" w:leftChars="0" w:firstLine="0" w:firstLineChars="0"/>
        <w:jc w:val="both"/>
        <w:outlineLvl w:val="0"/>
        <w:rPr>
          <w:rFonts w:ascii="黑体" w:hAnsi="黑体" w:eastAsia="黑体"/>
          <w:color w:val="000000"/>
          <w:sz w:val="72"/>
          <w:szCs w:val="72"/>
        </w:rPr>
      </w:pPr>
      <w:bookmarkStart w:id="0" w:name="_Toc15378441"/>
      <w:bookmarkStart w:id="1" w:name="_Toc15396475"/>
      <w:bookmarkStart w:id="2" w:name="_Toc15377425"/>
      <w:bookmarkStart w:id="3" w:name="_Toc15396597"/>
      <w:bookmarkStart w:id="4" w:name="_Toc15377193"/>
    </w:p>
    <w:p>
      <w:pPr>
        <w:ind w:firstLine="0" w:firstLineChars="0"/>
        <w:jc w:val="center"/>
        <w:rPr>
          <w:rFonts w:ascii="方正小标宋简体" w:eastAsia="方正小标宋简体"/>
          <w:b w:val="0"/>
          <w:bCs w:val="0"/>
          <w:sz w:val="44"/>
          <w:szCs w:val="44"/>
        </w:rPr>
      </w:pPr>
      <w:r>
        <w:rPr>
          <w:rFonts w:ascii="方正小标宋简体" w:eastAsia="方正小标宋简体" w:cs="方正小标宋简体"/>
          <w:b w:val="0"/>
          <w:bCs w:val="0"/>
          <w:sz w:val="44"/>
          <w:szCs w:val="44"/>
        </w:rPr>
        <w:t>2019</w:t>
      </w:r>
      <w:r>
        <w:rPr>
          <w:rFonts w:hint="eastAsia" w:ascii="方正小标宋简体" w:eastAsia="方正小标宋简体" w:cs="方正小标宋简体"/>
          <w:b w:val="0"/>
          <w:bCs w:val="0"/>
          <w:sz w:val="44"/>
          <w:szCs w:val="44"/>
        </w:rPr>
        <w:t>年度</w:t>
      </w:r>
      <w:bookmarkEnd w:id="0"/>
      <w:bookmarkEnd w:id="1"/>
      <w:bookmarkEnd w:id="2"/>
      <w:bookmarkEnd w:id="3"/>
      <w:bookmarkEnd w:id="4"/>
    </w:p>
    <w:p>
      <w:pPr>
        <w:ind w:firstLine="0" w:firstLineChars="0"/>
        <w:jc w:val="center"/>
        <w:rPr>
          <w:rFonts w:hint="eastAsia" w:ascii="方正小标宋简体" w:eastAsia="方正小标宋简体" w:cs="方正小标宋简体"/>
          <w:b w:val="0"/>
          <w:bCs w:val="0"/>
          <w:sz w:val="44"/>
          <w:szCs w:val="44"/>
        </w:rPr>
      </w:pPr>
      <w:bookmarkStart w:id="5" w:name="_Toc15396476"/>
      <w:bookmarkStart w:id="6" w:name="_Toc15306268"/>
      <w:bookmarkStart w:id="7" w:name="_Toc15378442"/>
      <w:bookmarkStart w:id="8" w:name="_Toc15377426"/>
      <w:bookmarkStart w:id="9" w:name="_Toc15396598"/>
      <w:bookmarkStart w:id="10" w:name="_Toc15377194"/>
      <w:r>
        <w:rPr>
          <w:rFonts w:hint="eastAsia" w:ascii="方正小标宋简体" w:eastAsia="方正小标宋简体" w:cs="方正小标宋简体"/>
          <w:b w:val="0"/>
          <w:bCs w:val="0"/>
          <w:sz w:val="44"/>
          <w:szCs w:val="44"/>
        </w:rPr>
        <w:t>四川省阿坝州茂县工商业联合会</w:t>
      </w:r>
    </w:p>
    <w:p>
      <w:pPr>
        <w:ind w:firstLine="0" w:firstLineChars="0"/>
        <w:jc w:val="center"/>
        <w:rPr>
          <w:rFonts w:ascii="方正小标宋简体" w:eastAsia="方正小标宋简体"/>
          <w:b w:val="0"/>
          <w:bCs w:val="0"/>
          <w:sz w:val="44"/>
          <w:szCs w:val="44"/>
        </w:rPr>
      </w:pPr>
      <w:r>
        <w:rPr>
          <w:rFonts w:hint="eastAsia" w:ascii="方正小标宋简体" w:eastAsia="方正小标宋简体" w:cs="方正小标宋简体"/>
          <w:b w:val="0"/>
          <w:bCs w:val="0"/>
          <w:sz w:val="44"/>
          <w:szCs w:val="44"/>
        </w:rPr>
        <w:t>部门决算</w:t>
      </w:r>
      <w:bookmarkEnd w:id="5"/>
      <w:bookmarkEnd w:id="6"/>
      <w:bookmarkEnd w:id="7"/>
      <w:bookmarkEnd w:id="8"/>
      <w:bookmarkEnd w:id="9"/>
      <w:bookmarkEnd w:id="10"/>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autoSpaceDE w:val="0"/>
        <w:autoSpaceDN w:val="0"/>
        <w:adjustRightInd w:val="0"/>
        <w:ind w:firstLine="64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rPr>
        <w:t>保密审查情况：</w:t>
      </w:r>
    </w:p>
    <w:p>
      <w:pPr>
        <w:autoSpaceDE w:val="0"/>
        <w:autoSpaceDN w:val="0"/>
        <w:adjustRightInd w:val="0"/>
        <w:ind w:firstLine="640"/>
        <w:jc w:val="left"/>
        <w:rPr>
          <w:rFonts w:ascii="仿宋_GB2312" w:hAnsi="仿宋_GB2312" w:eastAsia="仿宋_GB2312" w:cs="仿宋_GB2312"/>
          <w:b w:val="0"/>
          <w:bCs w:val="0"/>
        </w:rPr>
      </w:pPr>
      <w:r>
        <w:rPr>
          <w:rFonts w:hint="eastAsia" w:ascii="仿宋_GB2312" w:hAnsi="仿宋_GB2312" w:eastAsia="仿宋_GB2312" w:cs="仿宋_GB2312"/>
          <w:b w:val="0"/>
          <w:bCs w:val="0"/>
        </w:rPr>
        <w:t>部门主要负责人审签情况：</w:t>
      </w: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p>
      <w:pPr>
        <w:ind w:firstLine="0" w:firstLineChars="0"/>
        <w:jc w:val="center"/>
        <w:rPr>
          <w:rFonts w:hint="eastAsia" w:ascii="方正小标宋简体" w:eastAsia="方正小标宋简体" w:cs="方正小标宋简体"/>
          <w:b w:val="0"/>
          <w:bCs w:val="0"/>
          <w:sz w:val="44"/>
          <w:szCs w:val="44"/>
        </w:rPr>
      </w:pPr>
      <w:r>
        <w:rPr>
          <w:rFonts w:hint="eastAsia" w:ascii="方正小标宋简体" w:eastAsia="方正小标宋简体" w:cs="方正小标宋简体"/>
          <w:b w:val="0"/>
          <w:bCs w:val="0"/>
          <w:sz w:val="44"/>
          <w:szCs w:val="44"/>
        </w:rPr>
        <w:t>目</w:t>
      </w:r>
      <w:r>
        <w:rPr>
          <w:rFonts w:ascii="方正小标宋简体" w:eastAsia="方正小标宋简体" w:cs="方正小标宋简体"/>
          <w:b w:val="0"/>
          <w:bCs w:val="0"/>
          <w:sz w:val="44"/>
          <w:szCs w:val="44"/>
        </w:rPr>
        <w:t xml:space="preserve">  </w:t>
      </w:r>
      <w:r>
        <w:rPr>
          <w:rFonts w:hint="eastAsia" w:ascii="方正小标宋简体" w:eastAsia="方正小标宋简体" w:cs="方正小标宋简体"/>
          <w:b w:val="0"/>
          <w:bCs w:val="0"/>
          <w:sz w:val="44"/>
          <w:szCs w:val="44"/>
        </w:rPr>
        <w:t>录</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仿宋_GB2312" w:hAnsi="仿宋_GB2312" w:eastAsia="仿宋_GB2312" w:cs="仿宋_GB2312"/>
          <w:b w:val="0"/>
          <w:bCs w:val="0"/>
          <w:sz w:val="32"/>
          <w:szCs w:val="32"/>
          <w:lang w:val="en-US" w:eastAsia="zh-CN"/>
        </w:rPr>
      </w:pPr>
    </w:p>
    <w:p>
      <w:pPr>
        <w:pStyle w:val="11"/>
        <w:spacing w:line="576" w:lineRule="exact"/>
        <w:ind w:firstLine="0" w:firstLineChars="0"/>
        <w:rPr>
          <w:rFonts w:ascii="仿宋_GB2312" w:hAnsi="Calibri" w:eastAsia="仿宋_GB2312"/>
          <w:b w:val="0"/>
          <w:bCs w:val="0"/>
          <w:sz w:val="21"/>
          <w:szCs w:val="21"/>
        </w:rPr>
      </w:pPr>
      <w:r>
        <w:rPr>
          <w:rFonts w:ascii="仿宋_GB2312" w:eastAsia="仿宋_GB2312" w:cs="仿宋_GB2312"/>
          <w:b w:val="0"/>
          <w:bCs w:val="0"/>
        </w:rPr>
        <w:fldChar w:fldCharType="begin"/>
      </w:r>
      <w:r>
        <w:rPr>
          <w:rFonts w:ascii="仿宋_GB2312" w:eastAsia="仿宋_GB2312" w:cs="仿宋_GB2312"/>
          <w:b w:val="0"/>
          <w:bCs w:val="0"/>
        </w:rPr>
        <w:instrText xml:space="preserve"> TOC \o "1-3" \h \z \u </w:instrText>
      </w:r>
      <w:r>
        <w:rPr>
          <w:rFonts w:ascii="仿宋_GB2312" w:eastAsia="仿宋_GB2312" w:cs="仿宋_GB2312"/>
          <w:b w:val="0"/>
          <w:bCs w:val="0"/>
        </w:rPr>
        <w:fldChar w:fldCharType="separate"/>
      </w:r>
      <w:r>
        <w:fldChar w:fldCharType="begin"/>
      </w:r>
      <w:r>
        <w:instrText xml:space="preserve"> HYPERLINK \l "_Toc20222264" </w:instrText>
      </w:r>
      <w:r>
        <w:fldChar w:fldCharType="separate"/>
      </w:r>
      <w:r>
        <w:rPr>
          <w:rStyle w:val="16"/>
          <w:rFonts w:hint="eastAsia" w:ascii="仿宋_GB2312" w:eastAsia="仿宋_GB2312" w:cs="仿宋_GB2312"/>
          <w:b w:val="0"/>
          <w:bCs w:val="0"/>
        </w:rPr>
        <w:t>第一部分</w:t>
      </w:r>
      <w:r>
        <w:rPr>
          <w:rStyle w:val="16"/>
          <w:rFonts w:ascii="仿宋_GB2312" w:eastAsia="仿宋_GB2312" w:cs="仿宋_GB2312"/>
          <w:b w:val="0"/>
          <w:bCs w:val="0"/>
        </w:rPr>
        <w:t xml:space="preserve"> </w:t>
      </w:r>
      <w:r>
        <w:rPr>
          <w:rStyle w:val="16"/>
          <w:rFonts w:hint="eastAsia" w:ascii="仿宋_GB2312" w:eastAsia="仿宋_GB2312" w:cs="仿宋_GB2312"/>
          <w:b w:val="0"/>
          <w:bCs w:val="0"/>
        </w:rPr>
        <w:t>部门概况</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_Toc20222264 \h </w:instrText>
      </w:r>
      <w:r>
        <w:rPr>
          <w:rFonts w:ascii="仿宋_GB2312" w:eastAsia="仿宋_GB2312" w:cs="仿宋_GB2312"/>
          <w:b w:val="0"/>
          <w:bCs w:val="0"/>
        </w:rPr>
        <w:fldChar w:fldCharType="separate"/>
      </w:r>
      <w:r>
        <w:rPr>
          <w:rFonts w:ascii="仿宋_GB2312" w:eastAsia="仿宋_GB2312" w:cs="仿宋_GB2312"/>
          <w:b w:val="0"/>
          <w:bCs w:val="0"/>
        </w:rPr>
        <w:t>4</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2"/>
        <w:spacing w:line="576" w:lineRule="exact"/>
      </w:pPr>
      <w:r>
        <w:fldChar w:fldCharType="begin"/>
      </w:r>
      <w:r>
        <w:instrText xml:space="preserve"> HYPERLINK \l "_Toc20222265" </w:instrText>
      </w:r>
      <w:r>
        <w:fldChar w:fldCharType="separate"/>
      </w:r>
      <w:r>
        <w:rPr>
          <w:rStyle w:val="16"/>
          <w:rFonts w:hint="eastAsia" w:ascii="仿宋_GB2312" w:eastAsia="仿宋_GB2312" w:cs="仿宋_GB2312"/>
          <w:b w:val="0"/>
          <w:bCs w:val="0"/>
        </w:rPr>
        <w:t>一、基本职能及主要工作</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_Toc20222265 \h </w:instrText>
      </w:r>
      <w:r>
        <w:rPr>
          <w:rFonts w:ascii="仿宋_GB2312" w:eastAsia="仿宋_GB2312" w:cs="仿宋_GB2312"/>
          <w:b w:val="0"/>
          <w:bCs w:val="0"/>
        </w:rPr>
        <w:fldChar w:fldCharType="separate"/>
      </w:r>
      <w:r>
        <w:rPr>
          <w:rFonts w:ascii="仿宋_GB2312" w:eastAsia="仿宋_GB2312" w:cs="仿宋_GB2312"/>
          <w:b w:val="0"/>
          <w:bCs w:val="0"/>
        </w:rPr>
        <w:t>4</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"_Toc20222271" </w:instrText>
      </w:r>
      <w:r>
        <w:fldChar w:fldCharType="separate"/>
      </w:r>
      <w:r>
        <w:rPr>
          <w:rStyle w:val="16"/>
          <w:rFonts w:hint="eastAsia" w:ascii="仿宋_GB2312" w:hAnsi="黑体" w:eastAsia="仿宋_GB2312" w:cs="仿宋_GB2312"/>
          <w:b w:val="0"/>
          <w:bCs w:val="0"/>
        </w:rPr>
        <w:t>二、机构设置</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_Toc20222271 \h </w:instrText>
      </w:r>
      <w:r>
        <w:rPr>
          <w:rFonts w:ascii="仿宋_GB2312" w:eastAsia="仿宋_GB2312" w:cs="仿宋_GB2312"/>
          <w:b w:val="0"/>
          <w:bCs w:val="0"/>
        </w:rPr>
        <w:fldChar w:fldCharType="separate"/>
      </w:r>
      <w:r>
        <w:rPr>
          <w:rFonts w:ascii="仿宋_GB2312" w:eastAsia="仿宋_GB2312" w:cs="仿宋_GB2312"/>
          <w:b w:val="0"/>
          <w:bCs w:val="0"/>
        </w:rPr>
        <w:t>5</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"_Toc20222272" </w:instrText>
      </w:r>
      <w:r>
        <w:fldChar w:fldCharType="separate"/>
      </w:r>
      <w:r>
        <w:rPr>
          <w:rStyle w:val="16"/>
          <w:rFonts w:hint="eastAsia" w:ascii="仿宋_GB2312" w:eastAsia="仿宋_GB2312" w:cs="仿宋_GB2312"/>
          <w:b w:val="0"/>
          <w:bCs w:val="0"/>
        </w:rPr>
        <w:t>第二部分</w:t>
      </w:r>
      <w:r>
        <w:rPr>
          <w:rStyle w:val="16"/>
          <w:rFonts w:ascii="仿宋_GB2312" w:eastAsia="仿宋_GB2312" w:cs="仿宋_GB2312"/>
          <w:b w:val="0"/>
          <w:bCs w:val="0"/>
        </w:rPr>
        <w:t xml:space="preserve"> 2019</w:t>
      </w:r>
      <w:r>
        <w:rPr>
          <w:rStyle w:val="16"/>
          <w:rFonts w:hint="eastAsia" w:ascii="仿宋_GB2312" w:eastAsia="仿宋_GB2312" w:cs="仿宋_GB2312"/>
          <w:b w:val="0"/>
          <w:bCs w:val="0"/>
        </w:rPr>
        <w:t>年度部门决算情况说明</w:t>
      </w:r>
      <w:r>
        <w:rPr>
          <w:rFonts w:ascii="仿宋_GB2312" w:eastAsia="仿宋_GB2312"/>
          <w:b w:val="0"/>
          <w:bCs w:val="0"/>
        </w:rPr>
        <w:tab/>
      </w:r>
      <w:r>
        <w:rPr>
          <w:rFonts w:ascii="仿宋_GB2312" w:eastAsia="仿宋_GB2312" w:cs="仿宋_GB2312"/>
          <w:b w:val="0"/>
          <w:bCs w:val="0"/>
        </w:rPr>
        <w:t>6</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"_Toc20222273" </w:instrText>
      </w:r>
      <w:r>
        <w:fldChar w:fldCharType="separate"/>
      </w:r>
      <w:r>
        <w:rPr>
          <w:rStyle w:val="16"/>
          <w:rFonts w:hint="eastAsia" w:ascii="仿宋_GB2312" w:eastAsia="仿宋_GB2312" w:cs="仿宋_GB2312"/>
          <w:b w:val="0"/>
          <w:bCs w:val="0"/>
        </w:rPr>
        <w:t>一、收</w:t>
      </w:r>
      <w:r>
        <w:rPr>
          <w:rStyle w:val="16"/>
          <w:rFonts w:hint="eastAsia" w:ascii="仿宋_GB2312" w:hAnsi="黑体" w:eastAsia="仿宋_GB2312" w:cs="仿宋_GB2312"/>
          <w:b w:val="0"/>
          <w:bCs w:val="0"/>
        </w:rPr>
        <w:t>入支出决算总体情况说明</w:t>
      </w:r>
      <w:r>
        <w:rPr>
          <w:rFonts w:ascii="仿宋_GB2312" w:eastAsia="仿宋_GB2312"/>
          <w:b w:val="0"/>
          <w:bCs w:val="0"/>
        </w:rPr>
        <w:tab/>
      </w:r>
      <w:r>
        <w:rPr>
          <w:rFonts w:ascii="仿宋_GB2312" w:eastAsia="仿宋_GB2312" w:cs="仿宋_GB2312"/>
          <w:b w:val="0"/>
          <w:bCs w:val="0"/>
        </w:rPr>
        <w:t>6</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"_Toc20222274" </w:instrText>
      </w:r>
      <w:r>
        <w:fldChar w:fldCharType="separate"/>
      </w:r>
      <w:r>
        <w:rPr>
          <w:rStyle w:val="16"/>
          <w:rFonts w:hint="eastAsia" w:ascii="仿宋_GB2312" w:eastAsia="仿宋_GB2312" w:cs="仿宋_GB2312"/>
          <w:b w:val="0"/>
          <w:bCs w:val="0"/>
        </w:rPr>
        <w:t>二、收</w:t>
      </w:r>
      <w:r>
        <w:rPr>
          <w:rStyle w:val="16"/>
          <w:rFonts w:hint="eastAsia" w:ascii="仿宋_GB2312" w:hAnsi="黑体" w:eastAsia="仿宋_GB2312" w:cs="仿宋_GB2312"/>
          <w:b w:val="0"/>
          <w:bCs w:val="0"/>
        </w:rPr>
        <w:t>入决算情况说明</w:t>
      </w:r>
      <w:r>
        <w:rPr>
          <w:rFonts w:ascii="仿宋_GB2312" w:eastAsia="仿宋_GB2312"/>
          <w:b w:val="0"/>
          <w:bCs w:val="0"/>
        </w:rPr>
        <w:tab/>
      </w:r>
      <w:r>
        <w:rPr>
          <w:rFonts w:ascii="仿宋_GB2312" w:eastAsia="仿宋_GB2312" w:cs="仿宋_GB2312"/>
          <w:b w:val="0"/>
          <w:bCs w:val="0"/>
        </w:rPr>
        <w:t>6</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"_Toc20222277" </w:instrText>
      </w:r>
      <w:r>
        <w:fldChar w:fldCharType="separate"/>
      </w:r>
      <w:r>
        <w:rPr>
          <w:rStyle w:val="16"/>
          <w:rFonts w:hint="eastAsia" w:ascii="仿宋_GB2312" w:hAnsi="仿宋" w:eastAsia="仿宋_GB2312" w:cs="仿宋_GB2312"/>
          <w:b w:val="0"/>
          <w:bCs w:val="0"/>
        </w:rPr>
        <w:t>三、</w:t>
      </w:r>
      <w:r>
        <w:rPr>
          <w:rStyle w:val="16"/>
          <w:rFonts w:hint="eastAsia" w:ascii="仿宋_GB2312" w:eastAsia="仿宋_GB2312" w:cs="仿宋_GB2312"/>
          <w:b w:val="0"/>
          <w:bCs w:val="0"/>
        </w:rPr>
        <w:t>支</w:t>
      </w:r>
      <w:r>
        <w:rPr>
          <w:rStyle w:val="16"/>
          <w:rFonts w:hint="eastAsia" w:ascii="仿宋_GB2312" w:hAnsi="黑体" w:eastAsia="仿宋_GB2312" w:cs="仿宋_GB2312"/>
          <w:b w:val="0"/>
          <w:bCs w:val="0"/>
        </w:rPr>
        <w:t>出决算情况说明</w:t>
      </w:r>
      <w:r>
        <w:rPr>
          <w:rFonts w:ascii="仿宋_GB2312" w:eastAsia="仿宋_GB2312"/>
          <w:b w:val="0"/>
          <w:bCs w:val="0"/>
        </w:rPr>
        <w:tab/>
      </w:r>
      <w:r>
        <w:rPr>
          <w:rFonts w:ascii="仿宋_GB2312" w:eastAsia="仿宋_GB2312" w:cs="仿宋_GB2312"/>
          <w:b w:val="0"/>
          <w:bCs w:val="0"/>
        </w:rPr>
        <w:t>7</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"_Toc20222278" </w:instrText>
      </w:r>
      <w:r>
        <w:fldChar w:fldCharType="separate"/>
      </w:r>
      <w:r>
        <w:rPr>
          <w:rStyle w:val="16"/>
          <w:rFonts w:hint="eastAsia" w:ascii="仿宋_GB2312" w:hAnsi="黑体" w:eastAsia="仿宋_GB2312" w:cs="仿宋_GB2312"/>
          <w:b w:val="0"/>
          <w:bCs w:val="0"/>
        </w:rPr>
        <w:t>四、财政拨款收入支出决算总体情况说明</w:t>
      </w:r>
      <w:r>
        <w:rPr>
          <w:rFonts w:ascii="仿宋_GB2312" w:eastAsia="仿宋_GB2312"/>
          <w:b w:val="0"/>
          <w:bCs w:val="0"/>
        </w:rPr>
        <w:tab/>
      </w:r>
      <w:r>
        <w:rPr>
          <w:rFonts w:ascii="仿宋_GB2312" w:eastAsia="仿宋_GB2312" w:cs="仿宋_GB2312"/>
          <w:b w:val="0"/>
          <w:bCs w:val="0"/>
        </w:rPr>
        <w:t>7</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"_Toc20222280" </w:instrText>
      </w:r>
      <w:r>
        <w:fldChar w:fldCharType="separate"/>
      </w:r>
      <w:r>
        <w:rPr>
          <w:rStyle w:val="16"/>
          <w:rFonts w:hint="eastAsia" w:ascii="仿宋_GB2312" w:hAnsi="黑体" w:eastAsia="仿宋_GB2312" w:cs="仿宋_GB2312"/>
          <w:b w:val="0"/>
          <w:bCs w:val="0"/>
        </w:rPr>
        <w:t>五、</w:t>
      </w:r>
      <w:r>
        <w:rPr>
          <w:rStyle w:val="16"/>
          <w:rFonts w:hint="eastAsia" w:ascii="仿宋_GB2312" w:eastAsia="仿宋_GB2312" w:cs="仿宋_GB2312"/>
          <w:b w:val="0"/>
          <w:bCs w:val="0"/>
        </w:rPr>
        <w:t>一</w:t>
      </w:r>
      <w:r>
        <w:rPr>
          <w:rStyle w:val="16"/>
          <w:rFonts w:hint="eastAsia" w:ascii="仿宋_GB2312" w:hAnsi="黑体" w:eastAsia="仿宋_GB2312" w:cs="仿宋_GB2312"/>
          <w:b w:val="0"/>
          <w:bCs w:val="0"/>
        </w:rPr>
        <w:t>般公共预算财政拨款支出决算情况说明</w:t>
      </w:r>
      <w:r>
        <w:rPr>
          <w:rFonts w:ascii="仿宋_GB2312" w:eastAsia="仿宋_GB2312"/>
          <w:b w:val="0"/>
          <w:bCs w:val="0"/>
        </w:rPr>
        <w:tab/>
      </w:r>
      <w:r>
        <w:rPr>
          <w:rFonts w:ascii="仿宋_GB2312" w:eastAsia="仿宋_GB2312" w:cs="仿宋_GB2312"/>
          <w:b w:val="0"/>
          <w:bCs w:val="0"/>
        </w:rPr>
        <w:t>8</w:t>
      </w:r>
      <w:r>
        <w:rPr>
          <w:rFonts w:ascii="仿宋_GB2312" w:eastAsia="仿宋_GB2312" w:cs="仿宋_GB2312"/>
          <w:b w:val="0"/>
          <w:bCs w:val="0"/>
        </w:rPr>
        <w:fldChar w:fldCharType="end"/>
      </w:r>
    </w:p>
    <w:p>
      <w:pPr>
        <w:pStyle w:val="6"/>
        <w:rPr>
          <w:rFonts w:ascii="仿宋_GB2312" w:hAnsi="Calibri" w:eastAsia="仿宋_GB2312"/>
          <w:b w:val="0"/>
          <w:bCs w:val="0"/>
          <w:sz w:val="21"/>
          <w:szCs w:val="21"/>
        </w:rPr>
      </w:pPr>
      <w:r>
        <w:fldChar w:fldCharType="begin"/>
      </w:r>
      <w:r>
        <w:instrText xml:space="preserve"> HYPERLINK \l "_Toc20222283" </w:instrText>
      </w:r>
      <w:r>
        <w:fldChar w:fldCharType="separate"/>
      </w:r>
      <w:r>
        <w:rPr>
          <w:rStyle w:val="16"/>
          <w:rFonts w:hint="eastAsia" w:ascii="仿宋_GB2312" w:eastAsia="仿宋_GB2312" w:cs="仿宋_GB2312"/>
          <w:b w:val="0"/>
          <w:bCs w:val="0"/>
        </w:rPr>
        <w:t>六、一</w:t>
      </w:r>
      <w:r>
        <w:rPr>
          <w:rStyle w:val="16"/>
          <w:rFonts w:hint="eastAsia" w:ascii="仿宋_GB2312" w:hAnsi="黑体" w:eastAsia="仿宋_GB2312" w:cs="仿宋_GB2312"/>
          <w:b w:val="0"/>
          <w:bCs w:val="0"/>
        </w:rPr>
        <w:t>般公共预算财政拨款基本支出决算情况说明</w:t>
      </w:r>
      <w:r>
        <w:rPr>
          <w:rFonts w:ascii="仿宋_GB2312" w:eastAsia="仿宋_GB2312"/>
        </w:rPr>
        <w:tab/>
      </w:r>
      <w:r>
        <w:rPr>
          <w:rFonts w:ascii="仿宋_GB2312" w:eastAsia="仿宋_GB2312" w:cs="仿宋_GB2312"/>
          <w:b w:val="0"/>
          <w:bCs w:val="0"/>
        </w:rPr>
        <w:t>10</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"_Toc20222284" </w:instrText>
      </w:r>
      <w:r>
        <w:fldChar w:fldCharType="separate"/>
      </w:r>
      <w:r>
        <w:rPr>
          <w:rStyle w:val="16"/>
          <w:rFonts w:hint="eastAsia" w:ascii="仿宋_GB2312" w:hAnsi="黑体" w:eastAsia="仿宋_GB2312" w:cs="仿宋_GB2312"/>
          <w:b w:val="0"/>
          <w:bCs w:val="0"/>
        </w:rPr>
        <w:t>七、“三公”经费财政拨款支出决算情况说明</w:t>
      </w:r>
      <w:r>
        <w:rPr>
          <w:rFonts w:ascii="仿宋_GB2312" w:eastAsia="仿宋_GB2312"/>
          <w:b w:val="0"/>
          <w:bCs w:val="0"/>
        </w:rPr>
        <w:tab/>
      </w:r>
      <w:r>
        <w:rPr>
          <w:rFonts w:ascii="仿宋_GB2312" w:eastAsia="仿宋_GB2312" w:cs="仿宋_GB2312"/>
          <w:b w:val="0"/>
          <w:bCs w:val="0"/>
        </w:rPr>
        <w:t>10</w:t>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"_Toc20222286" </w:instrText>
      </w:r>
      <w:r>
        <w:fldChar w:fldCharType="separate"/>
      </w:r>
      <w:r>
        <w:rPr>
          <w:rStyle w:val="16"/>
          <w:rFonts w:hint="eastAsia" w:ascii="仿宋_GB2312" w:eastAsia="仿宋_GB2312" w:cs="仿宋_GB2312"/>
          <w:b w:val="0"/>
          <w:bCs w:val="0"/>
        </w:rPr>
        <w:t>八、政府性基金预算财政拨款支出决算情况说明</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_Toc20222286 \h </w:instrText>
      </w:r>
      <w:r>
        <w:rPr>
          <w:rFonts w:ascii="仿宋_GB2312" w:eastAsia="仿宋_GB2312" w:cs="仿宋_GB2312"/>
          <w:b w:val="0"/>
          <w:bCs w:val="0"/>
        </w:rPr>
        <w:fldChar w:fldCharType="separate"/>
      </w:r>
      <w:r>
        <w:rPr>
          <w:rFonts w:ascii="仿宋_GB2312" w:eastAsia="仿宋_GB2312" w:cs="仿宋_GB2312"/>
          <w:b w:val="0"/>
          <w:bCs w:val="0"/>
        </w:rPr>
        <w:t>11</w:t>
      </w:r>
      <w:r>
        <w:rPr>
          <w:rFonts w:ascii="仿宋_GB2312" w:eastAsia="仿宋_GB2312" w:cs="仿宋_GB2312"/>
          <w:b w:val="0"/>
          <w:bCs w:val="0"/>
        </w:rPr>
        <w:fldChar w:fldCharType="end"/>
      </w:r>
      <w:r>
        <w:rPr>
          <w:rFonts w:ascii="仿宋_GB2312" w:eastAsia="仿宋_GB2312" w:cs="仿宋_GB2312"/>
          <w:b w:val="0"/>
          <w:bCs w:val="0"/>
        </w:rPr>
        <w:fldChar w:fldCharType="end"/>
      </w:r>
    </w:p>
    <w:p>
      <w:pPr>
        <w:pStyle w:val="12"/>
        <w:spacing w:line="576" w:lineRule="exact"/>
        <w:rPr>
          <w:rFonts w:ascii="仿宋_GB2312" w:hAnsi="Calibri" w:eastAsia="仿宋_GB2312"/>
          <w:b w:val="0"/>
          <w:bCs w:val="0"/>
          <w:sz w:val="21"/>
          <w:szCs w:val="21"/>
        </w:rPr>
      </w:pPr>
      <w:r>
        <w:fldChar w:fldCharType="begin"/>
      </w:r>
      <w:r>
        <w:instrText xml:space="preserve"> HYPERLINK \l "_Toc20222287" </w:instrText>
      </w:r>
      <w:r>
        <w:fldChar w:fldCharType="separate"/>
      </w:r>
      <w:r>
        <w:rPr>
          <w:rStyle w:val="16"/>
          <w:rFonts w:hint="eastAsia" w:ascii="仿宋_GB2312" w:hAnsi="黑体" w:eastAsia="仿宋_GB2312" w:cs="仿宋_GB2312"/>
          <w:b w:val="0"/>
          <w:bCs w:val="0"/>
        </w:rPr>
        <w:t>九、国有资本经营预算支出决算</w:t>
      </w:r>
      <w:r>
        <w:rPr>
          <w:rFonts w:ascii="仿宋_GB2312" w:eastAsia="仿宋_GB2312"/>
          <w:b w:val="0"/>
          <w:bCs w:val="0"/>
        </w:rPr>
        <w:tab/>
      </w:r>
      <w:r>
        <w:rPr>
          <w:rFonts w:ascii="仿宋_GB2312" w:eastAsia="仿宋_GB2312" w:cs="仿宋_GB2312"/>
          <w:b w:val="0"/>
          <w:bCs w:val="0"/>
        </w:rPr>
        <w:fldChar w:fldCharType="begin"/>
      </w:r>
      <w:r>
        <w:rPr>
          <w:rFonts w:ascii="仿宋_GB2312" w:eastAsia="仿宋_GB2312" w:cs="仿宋_GB2312"/>
          <w:b w:val="0"/>
          <w:bCs w:val="0"/>
        </w:rPr>
        <w:instrText xml:space="preserve"> PAGEREF _Toc20222287 \h </w:instrText>
      </w:r>
      <w:r>
        <w:rPr>
          <w:rFonts w:ascii="仿宋_GB2312" w:eastAsia="仿宋_GB2312" w:cs="仿宋_GB2312"/>
          <w:b w:val="0"/>
          <w:bCs w:val="0"/>
        </w:rPr>
        <w:fldChar w:fldCharType="separate"/>
      </w:r>
      <w:r>
        <w:rPr>
          <w:rFonts w:ascii="仿宋_GB2312" w:eastAsia="仿宋_GB2312" w:cs="仿宋_GB2312"/>
          <w:b w:val="0"/>
          <w:bCs w:val="0"/>
        </w:rPr>
        <w:t>11</w:t>
      </w:r>
      <w:r>
        <w:rPr>
          <w:rFonts w:ascii="仿宋_GB2312" w:eastAsia="仿宋_GB2312" w:cs="仿宋_GB2312"/>
          <w:b w:val="0"/>
          <w:bCs w:val="0"/>
        </w:rPr>
        <w:fldChar w:fldCharType="end"/>
      </w:r>
      <w:r>
        <w:rPr>
          <w:rFonts w:ascii="仿宋_GB2312" w:eastAsia="仿宋_GB2312" w:cs="仿宋_GB2312"/>
          <w:b w:val="0"/>
          <w:bCs w:val="0"/>
        </w:rPr>
        <w:fldChar w:fldCharType="end"/>
      </w:r>
      <w:r>
        <w:rPr>
          <w:rFonts w:ascii="仿宋_GB2312" w:hAnsi="Calibri" w:eastAsia="仿宋_GB2312"/>
          <w:b w:val="0"/>
          <w:bCs w:val="0"/>
          <w:sz w:val="21"/>
          <w:szCs w:val="21"/>
        </w:rPr>
        <w:t xml:space="preserve"> </w:t>
      </w:r>
    </w:p>
    <w:p>
      <w:pPr>
        <w:pStyle w:val="12"/>
        <w:spacing w:line="576" w:lineRule="exact"/>
        <w:rPr>
          <w:rFonts w:ascii="仿宋_GB2312" w:hAnsi="Calibri" w:eastAsia="仿宋_GB2312"/>
          <w:b w:val="0"/>
          <w:bCs w:val="0"/>
          <w:sz w:val="21"/>
          <w:szCs w:val="21"/>
        </w:rPr>
      </w:pPr>
      <w:r>
        <w:fldChar w:fldCharType="begin"/>
      </w:r>
      <w:r>
        <w:instrText xml:space="preserve"> HYPERLINK \l "_Toc20222289" </w:instrText>
      </w:r>
      <w:r>
        <w:fldChar w:fldCharType="separate"/>
      </w:r>
      <w:r>
        <w:rPr>
          <w:rStyle w:val="16"/>
          <w:rFonts w:hint="eastAsia" w:ascii="仿宋_GB2312" w:eastAsia="仿宋_GB2312" w:cs="仿宋_GB2312"/>
          <w:b w:val="0"/>
          <w:bCs w:val="0"/>
        </w:rPr>
        <w:t>十</w:t>
      </w:r>
      <w:r>
        <w:rPr>
          <w:rStyle w:val="16"/>
          <w:rFonts w:hint="eastAsia" w:ascii="仿宋_GB2312" w:hAnsi="黑体" w:eastAsia="仿宋_GB2312" w:cs="仿宋_GB2312"/>
          <w:b w:val="0"/>
          <w:bCs w:val="0"/>
        </w:rPr>
        <w:t>、其他重要事项的情况说明</w:t>
      </w:r>
      <w:r>
        <w:rPr>
          <w:rFonts w:ascii="仿宋_GB2312" w:eastAsia="仿宋_GB2312"/>
          <w:b w:val="0"/>
          <w:bCs w:val="0"/>
        </w:rPr>
        <w:tab/>
      </w:r>
      <w:r>
        <w:rPr>
          <w:rFonts w:ascii="仿宋_GB2312" w:eastAsia="仿宋_GB2312" w:cs="仿宋_GB2312"/>
          <w:b w:val="0"/>
          <w:bCs w:val="0"/>
        </w:rPr>
        <w:t>11</w:t>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"_Toc20222291" </w:instrText>
      </w:r>
      <w:r>
        <w:fldChar w:fldCharType="separate"/>
      </w:r>
      <w:r>
        <w:rPr>
          <w:rStyle w:val="16"/>
          <w:rFonts w:hint="eastAsia" w:ascii="仿宋_GB2312" w:eastAsia="仿宋_GB2312" w:cs="仿宋_GB2312"/>
          <w:b w:val="0"/>
          <w:bCs w:val="0"/>
        </w:rPr>
        <w:t>第三部分</w:t>
      </w:r>
      <w:r>
        <w:rPr>
          <w:rStyle w:val="16"/>
          <w:rFonts w:ascii="仿宋_GB2312" w:eastAsia="仿宋_GB2312" w:cs="仿宋_GB2312"/>
          <w:b w:val="0"/>
          <w:bCs w:val="0"/>
        </w:rPr>
        <w:t xml:space="preserve"> </w:t>
      </w:r>
      <w:r>
        <w:rPr>
          <w:rStyle w:val="16"/>
          <w:rFonts w:hint="eastAsia" w:ascii="仿宋_GB2312" w:eastAsia="仿宋_GB2312" w:cs="仿宋_GB2312"/>
          <w:b w:val="0"/>
          <w:bCs w:val="0"/>
        </w:rPr>
        <w:t>名词解释</w:t>
      </w:r>
      <w:r>
        <w:rPr>
          <w:rFonts w:ascii="仿宋_GB2312" w:eastAsia="仿宋_GB2312"/>
          <w:b w:val="0"/>
          <w:bCs w:val="0"/>
        </w:rPr>
        <w:tab/>
      </w:r>
      <w:r>
        <w:rPr>
          <w:rFonts w:ascii="仿宋_GB2312" w:eastAsia="仿宋_GB2312" w:cs="仿宋_GB2312"/>
          <w:b w:val="0"/>
          <w:bCs w:val="0"/>
        </w:rPr>
        <w:t>13</w:t>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"_Toc20222292" </w:instrText>
      </w:r>
      <w:r>
        <w:fldChar w:fldCharType="separate"/>
      </w:r>
      <w:r>
        <w:rPr>
          <w:rStyle w:val="16"/>
          <w:rFonts w:hint="eastAsia" w:ascii="仿宋_GB2312" w:hAnsi="黑体" w:eastAsia="仿宋_GB2312" w:cs="仿宋_GB2312"/>
          <w:b w:val="0"/>
          <w:bCs w:val="0"/>
        </w:rPr>
        <w:t>第四部分</w:t>
      </w:r>
      <w:r>
        <w:rPr>
          <w:rStyle w:val="16"/>
          <w:rFonts w:ascii="仿宋_GB2312" w:hAnsi="黑体" w:eastAsia="仿宋_GB2312" w:cs="仿宋_GB2312"/>
          <w:b w:val="0"/>
          <w:bCs w:val="0"/>
        </w:rPr>
        <w:t xml:space="preserve"> </w:t>
      </w:r>
      <w:r>
        <w:rPr>
          <w:rStyle w:val="16"/>
          <w:rFonts w:hint="eastAsia" w:ascii="仿宋_GB2312" w:hAnsi="黑体" w:eastAsia="仿宋_GB2312" w:cs="仿宋_GB2312"/>
          <w:b w:val="0"/>
          <w:bCs w:val="0"/>
        </w:rPr>
        <w:t>附件</w:t>
      </w:r>
      <w:r>
        <w:rPr>
          <w:rFonts w:ascii="仿宋_GB2312" w:eastAsia="仿宋_GB2312"/>
          <w:b w:val="0"/>
          <w:bCs w:val="0"/>
        </w:rPr>
        <w:tab/>
      </w:r>
      <w:r>
        <w:rPr>
          <w:rFonts w:ascii="仿宋_GB2312" w:eastAsia="仿宋_GB2312" w:cs="仿宋_GB2312"/>
          <w:b w:val="0"/>
          <w:bCs w:val="0"/>
        </w:rPr>
        <w:t>15</w:t>
      </w:r>
      <w:r>
        <w:rPr>
          <w:rFonts w:ascii="仿宋_GB2312" w:eastAsia="仿宋_GB2312" w:cs="仿宋_GB2312"/>
          <w:b w:val="0"/>
          <w:bCs w:val="0"/>
        </w:rPr>
        <w:fldChar w:fldCharType="end"/>
      </w:r>
    </w:p>
    <w:p>
      <w:pPr>
        <w:pStyle w:val="11"/>
        <w:spacing w:line="576" w:lineRule="exact"/>
        <w:ind w:firstLine="0" w:firstLineChars="0"/>
      </w:pPr>
      <w:r>
        <w:fldChar w:fldCharType="begin"/>
      </w:r>
      <w:r>
        <w:instrText xml:space="preserve"> HYPERLINK \l "_Toc20222293" </w:instrText>
      </w:r>
      <w:r>
        <w:fldChar w:fldCharType="separate"/>
      </w:r>
      <w:r>
        <w:rPr>
          <w:rStyle w:val="16"/>
          <w:rFonts w:hint="eastAsia" w:ascii="仿宋_GB2312" w:eastAsia="仿宋_GB2312" w:cs="仿宋_GB2312"/>
          <w:b w:val="0"/>
          <w:bCs w:val="0"/>
          <w:lang w:val="zh-CN"/>
        </w:rPr>
        <w:t>茂县工商业联合会</w:t>
      </w:r>
      <w:r>
        <w:rPr>
          <w:rStyle w:val="16"/>
          <w:rFonts w:ascii="仿宋_GB2312" w:eastAsia="仿宋_GB2312" w:cs="仿宋_GB2312"/>
          <w:b w:val="0"/>
          <w:bCs w:val="0"/>
          <w:lang w:val="zh-CN"/>
        </w:rPr>
        <w:t xml:space="preserve"> </w:t>
      </w:r>
      <w:r>
        <w:rPr>
          <w:rStyle w:val="16"/>
          <w:rFonts w:ascii="仿宋_GB2312" w:eastAsia="仿宋_GB2312" w:cs="仿宋_GB2312"/>
          <w:b w:val="0"/>
          <w:bCs w:val="0"/>
          <w:shd w:val="clear" w:color="auto" w:fill="FFFFFF"/>
        </w:rPr>
        <w:t>2019</w:t>
      </w:r>
      <w:r>
        <w:rPr>
          <w:rStyle w:val="16"/>
          <w:rFonts w:hint="eastAsia" w:ascii="仿宋_GB2312" w:eastAsia="仿宋_GB2312" w:cs="仿宋_GB2312"/>
          <w:b w:val="0"/>
          <w:bCs w:val="0"/>
          <w:shd w:val="clear" w:color="auto" w:fill="FFFFFF"/>
        </w:rPr>
        <w:t>年部门整体支出绩效报告</w:t>
      </w:r>
      <w:r>
        <w:rPr>
          <w:rFonts w:ascii="仿宋_GB2312" w:eastAsia="仿宋_GB2312"/>
          <w:b w:val="0"/>
          <w:bCs w:val="0"/>
        </w:rPr>
        <w:tab/>
      </w:r>
      <w:r>
        <w:rPr>
          <w:rFonts w:ascii="仿宋_GB2312" w:eastAsia="仿宋_GB2312" w:cs="仿宋_GB2312"/>
          <w:b w:val="0"/>
          <w:bCs w:val="0"/>
        </w:rPr>
        <w:t>15</w:t>
      </w:r>
      <w:r>
        <w:rPr>
          <w:rFonts w:ascii="仿宋_GB2312" w:eastAsia="仿宋_GB2312" w:cs="仿宋_GB2312"/>
          <w:b w:val="0"/>
          <w:bCs w:val="0"/>
        </w:rPr>
        <w:fldChar w:fldCharType="end"/>
      </w:r>
    </w:p>
    <w:p>
      <w:pPr>
        <w:pStyle w:val="11"/>
        <w:spacing w:line="576" w:lineRule="exact"/>
        <w:ind w:firstLine="0" w:firstLineChars="0"/>
        <w:rPr>
          <w:rFonts w:ascii="仿宋_GB2312" w:hAnsi="Calibri" w:eastAsia="仿宋_GB2312"/>
          <w:b w:val="0"/>
          <w:bCs w:val="0"/>
          <w:sz w:val="21"/>
          <w:szCs w:val="21"/>
        </w:rPr>
      </w:pPr>
      <w:r>
        <w:fldChar w:fldCharType="begin"/>
      </w:r>
      <w:r>
        <w:instrText xml:space="preserve"> HYPERLINK \l "_Toc20222297" </w:instrText>
      </w:r>
      <w:r>
        <w:fldChar w:fldCharType="separate"/>
      </w:r>
      <w:r>
        <w:rPr>
          <w:rStyle w:val="16"/>
          <w:rFonts w:hint="eastAsia" w:ascii="仿宋_GB2312" w:eastAsia="仿宋_GB2312" w:cs="仿宋_GB2312"/>
          <w:b w:val="0"/>
          <w:bCs w:val="0"/>
        </w:rPr>
        <w:t>第</w:t>
      </w:r>
      <w:r>
        <w:rPr>
          <w:rStyle w:val="16"/>
          <w:rFonts w:hint="eastAsia" w:ascii="仿宋_GB2312" w:hAnsi="黑体" w:eastAsia="仿宋_GB2312" w:cs="仿宋_GB2312"/>
          <w:b w:val="0"/>
          <w:bCs w:val="0"/>
        </w:rPr>
        <w:t>五部分</w:t>
      </w:r>
      <w:r>
        <w:rPr>
          <w:rStyle w:val="16"/>
          <w:rFonts w:ascii="仿宋_GB2312" w:hAnsi="黑体" w:eastAsia="仿宋_GB2312" w:cs="仿宋_GB2312"/>
          <w:b w:val="0"/>
          <w:bCs w:val="0"/>
        </w:rPr>
        <w:t xml:space="preserve"> </w:t>
      </w:r>
      <w:r>
        <w:rPr>
          <w:rStyle w:val="16"/>
          <w:rFonts w:hint="eastAsia" w:ascii="仿宋_GB2312" w:hAnsi="黑体" w:eastAsia="仿宋_GB2312" w:cs="仿宋_GB2312"/>
          <w:b w:val="0"/>
          <w:bCs w:val="0"/>
        </w:rPr>
        <w:t>附表</w:t>
      </w:r>
      <w:r>
        <w:rPr>
          <w:rFonts w:ascii="仿宋_GB2312" w:eastAsia="仿宋_GB2312"/>
          <w:b w:val="0"/>
          <w:bCs w:val="0"/>
        </w:rPr>
        <w:tab/>
      </w:r>
      <w:r>
        <w:rPr>
          <w:rFonts w:ascii="仿宋_GB2312" w:eastAsia="仿宋_GB2312" w:cs="仿宋_GB2312"/>
          <w:b w:val="0"/>
          <w:bCs w:val="0"/>
        </w:rPr>
        <w:t>20</w:t>
      </w:r>
      <w:r>
        <w:rPr>
          <w:rFonts w:ascii="仿宋_GB2312" w:eastAsia="仿宋_GB2312" w:cs="仿宋_GB2312"/>
          <w:b w:val="0"/>
          <w:bCs w:val="0"/>
        </w:rPr>
        <w:fldChar w:fldCharType="end"/>
      </w:r>
    </w:p>
    <w:p>
      <w:pPr>
        <w:spacing w:line="576" w:lineRule="exact"/>
        <w:ind w:firstLine="640"/>
      </w:pPr>
      <w:r>
        <w:rPr>
          <w:rFonts w:ascii="仿宋_GB2312" w:eastAsia="仿宋_GB2312" w:cs="仿宋_GB2312"/>
          <w:b w:val="0"/>
          <w:bCs w:val="0"/>
        </w:rPr>
        <w:fldChar w:fldCharType="end"/>
      </w: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sz w:val="28"/>
          <w:szCs w:val="28"/>
        </w:rPr>
        <w:t>一、</w:t>
      </w:r>
      <w:r>
        <w:fldChar w:fldCharType="begin"/>
      </w:r>
      <w:r>
        <w:instrText xml:space="preserve"> HYPERLINK \l "_Toc15396619" </w:instrText>
      </w:r>
      <w:r>
        <w:fldChar w:fldCharType="separate"/>
      </w:r>
      <w:r>
        <w:rPr>
          <w:rFonts w:hint="eastAsia" w:ascii="仿宋_GB2312" w:hAnsi="仿宋_GB2312" w:eastAsia="仿宋_GB2312" w:cs="仿宋_GB2312"/>
          <w:b w:val="0"/>
        </w:rPr>
        <w:t>收入支出决算总表</w:t>
      </w:r>
      <w:r>
        <w:rPr>
          <w:rFonts w:ascii="仿宋_GB2312" w:hAnsi="仿宋_GB2312" w:eastAsia="仿宋_GB2312" w:cs="仿宋_GB2312"/>
          <w:b w:val="0"/>
        </w:rPr>
        <w:tab/>
      </w:r>
      <w:r>
        <w:rPr>
          <w:rFonts w:ascii="仿宋_GB2312" w:hAnsi="仿宋_GB2312" w:eastAsia="仿宋_GB2312" w:cs="仿宋_GB2312"/>
          <w:b w:val="0"/>
          <w:bCs w:val="0"/>
        </w:rPr>
        <w:t>20</w:t>
      </w:r>
      <w:r>
        <w:rPr>
          <w:rFonts w:ascii="仿宋_GB2312" w:hAnsi="仿宋_GB2312" w:eastAsia="仿宋_GB2312" w:cs="仿宋_GB2312"/>
          <w:b w:val="0"/>
          <w:bCs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二、</w:t>
      </w:r>
      <w:r>
        <w:fldChar w:fldCharType="begin"/>
      </w:r>
      <w:r>
        <w:instrText xml:space="preserve"> HYPERLINK \l "_Toc15396620" </w:instrText>
      </w:r>
      <w:r>
        <w:fldChar w:fldCharType="separate"/>
      </w:r>
      <w:r>
        <w:rPr>
          <w:rFonts w:hint="eastAsia" w:ascii="仿宋_GB2312" w:hAnsi="仿宋_GB2312" w:eastAsia="仿宋_GB2312" w:cs="仿宋_GB2312"/>
          <w:b w:val="0"/>
        </w:rPr>
        <w:t>收入决算表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三、</w:t>
      </w:r>
      <w:r>
        <w:fldChar w:fldCharType="begin"/>
      </w:r>
      <w:r>
        <w:instrText xml:space="preserve"> HYPERLINK \l "_Toc15396621" </w:instrText>
      </w:r>
      <w:r>
        <w:fldChar w:fldCharType="separate"/>
      </w:r>
      <w:r>
        <w:rPr>
          <w:rFonts w:hint="eastAsia" w:ascii="仿宋_GB2312" w:hAnsi="仿宋_GB2312" w:eastAsia="仿宋_GB2312" w:cs="仿宋_GB2312"/>
          <w:b w:val="0"/>
        </w:rPr>
        <w:t>支出决算表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四、</w:t>
      </w:r>
      <w:r>
        <w:fldChar w:fldCharType="begin"/>
      </w:r>
      <w:r>
        <w:instrText xml:space="preserve"> HYPERLINK \l "_Toc15396622" </w:instrText>
      </w:r>
      <w:r>
        <w:fldChar w:fldCharType="separate"/>
      </w:r>
      <w:r>
        <w:rPr>
          <w:rFonts w:hint="eastAsia" w:ascii="仿宋_GB2312" w:hAnsi="仿宋_GB2312" w:eastAsia="仿宋_GB2312" w:cs="仿宋_GB2312"/>
          <w:b w:val="0"/>
        </w:rPr>
        <w:t>财政拨款收入支出决算总表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五、</w:t>
      </w:r>
      <w:r>
        <w:fldChar w:fldCharType="begin"/>
      </w:r>
      <w:r>
        <w:instrText xml:space="preserve"> HYPERLINK \l "_Toc15396623" </w:instrText>
      </w:r>
      <w:r>
        <w:fldChar w:fldCharType="separate"/>
      </w:r>
      <w:r>
        <w:rPr>
          <w:rFonts w:hint="eastAsia" w:ascii="仿宋_GB2312" w:hAnsi="仿宋_GB2312" w:eastAsia="仿宋_GB2312" w:cs="仿宋_GB2312"/>
          <w:b w:val="0"/>
        </w:rPr>
        <w:t>财政拨款支出决算明细表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六、</w:t>
      </w:r>
      <w:r>
        <w:fldChar w:fldCharType="begin"/>
      </w:r>
      <w:r>
        <w:instrText xml:space="preserve"> HYPERLINK \l "_Toc15396624" </w:instrText>
      </w:r>
      <w:r>
        <w:fldChar w:fldCharType="separate"/>
      </w:r>
      <w:r>
        <w:rPr>
          <w:rFonts w:hint="eastAsia" w:ascii="仿宋_GB2312" w:hAnsi="仿宋_GB2312" w:eastAsia="仿宋_GB2312" w:cs="仿宋_GB2312"/>
          <w:b w:val="0"/>
        </w:rPr>
        <w:t>一般公共预算财政拨款支出决算表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七、</w:t>
      </w:r>
      <w:r>
        <w:fldChar w:fldCharType="begin"/>
      </w:r>
      <w:r>
        <w:instrText xml:space="preserve"> HYPERLINK \l "_Toc15396625" </w:instrText>
      </w:r>
      <w:r>
        <w:fldChar w:fldCharType="separate"/>
      </w:r>
      <w:r>
        <w:rPr>
          <w:rFonts w:hint="eastAsia" w:ascii="仿宋_GB2312" w:hAnsi="仿宋_GB2312" w:eastAsia="仿宋_GB2312" w:cs="仿宋_GB2312"/>
          <w:b w:val="0"/>
        </w:rPr>
        <w:t>一般公共预算财政拨款支出决算明细表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八、</w:t>
      </w:r>
      <w:r>
        <w:fldChar w:fldCharType="begin"/>
      </w:r>
      <w:r>
        <w:instrText xml:space="preserve"> HYPERLINK \l "_Toc15396626" </w:instrText>
      </w:r>
      <w:r>
        <w:fldChar w:fldCharType="separate"/>
      </w:r>
      <w:r>
        <w:rPr>
          <w:rFonts w:hint="eastAsia" w:ascii="仿宋_GB2312" w:hAnsi="仿宋_GB2312" w:eastAsia="仿宋_GB2312" w:cs="仿宋_GB2312"/>
          <w:b w:val="0"/>
        </w:rPr>
        <w:t>一般公共预算财政拨款基本支出决算表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九、</w:t>
      </w:r>
      <w:r>
        <w:fldChar w:fldCharType="begin"/>
      </w:r>
      <w:r>
        <w:instrText xml:space="preserve"> HYPERLINK \l "_Toc15396627" </w:instrText>
      </w:r>
      <w:r>
        <w:fldChar w:fldCharType="separate"/>
      </w:r>
      <w:r>
        <w:rPr>
          <w:rFonts w:hint="eastAsia" w:ascii="仿宋_GB2312" w:hAnsi="仿宋_GB2312" w:eastAsia="仿宋_GB2312" w:cs="仿宋_GB2312"/>
          <w:b w:val="0"/>
        </w:rPr>
        <w:t>一般公共预算财政拨款项目支出决算表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十、</w:t>
      </w:r>
      <w:r>
        <w:fldChar w:fldCharType="begin"/>
      </w:r>
      <w:r>
        <w:instrText xml:space="preserve"> HYPERLINK \l "_Toc15396628" </w:instrText>
      </w:r>
      <w:r>
        <w:fldChar w:fldCharType="separate"/>
      </w:r>
      <w:r>
        <w:rPr>
          <w:rFonts w:hint="eastAsia" w:ascii="仿宋_GB2312" w:hAnsi="仿宋_GB2312" w:eastAsia="仿宋_GB2312" w:cs="仿宋_GB2312"/>
          <w:b w:val="0"/>
        </w:rPr>
        <w:t>一般公共预算财政拨款“三公”经费支出决算表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十一、</w:t>
      </w:r>
      <w:r>
        <w:fldChar w:fldCharType="begin"/>
      </w:r>
      <w:r>
        <w:instrText xml:space="preserve"> HYPERLINK \l "_Toc15396629" </w:instrText>
      </w:r>
      <w:r>
        <w:fldChar w:fldCharType="separate"/>
      </w:r>
      <w:r>
        <w:rPr>
          <w:rFonts w:hint="eastAsia" w:ascii="仿宋_GB2312" w:hAnsi="仿宋_GB2312" w:eastAsia="仿宋_GB2312" w:cs="仿宋_GB2312"/>
          <w:b w:val="0"/>
        </w:rPr>
        <w:t>政府性基金预算财政拨款收入支出决算表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pStyle w:val="11"/>
        <w:spacing w:line="576" w:lineRule="exact"/>
        <w:ind w:firstLine="0" w:firstLineChars="0"/>
        <w:rPr>
          <w:rFonts w:ascii="仿宋_GB2312" w:hAnsi="仿宋_GB2312" w:eastAsia="仿宋_GB2312" w:cs="仿宋_GB2312"/>
          <w:b w:val="0"/>
        </w:rPr>
      </w:pPr>
      <w:r>
        <w:rPr>
          <w:rFonts w:hint="eastAsia" w:ascii="仿宋_GB2312" w:hAnsi="仿宋_GB2312" w:eastAsia="仿宋_GB2312" w:cs="仿宋_GB2312"/>
          <w:b w:val="0"/>
        </w:rPr>
        <w:t>十二、</w:t>
      </w:r>
      <w:r>
        <w:fldChar w:fldCharType="begin"/>
      </w:r>
      <w:r>
        <w:instrText xml:space="preserve"> HYPERLINK \l "_Toc15396630" </w:instrText>
      </w:r>
      <w:r>
        <w:fldChar w:fldCharType="separate"/>
      </w:r>
      <w:r>
        <w:rPr>
          <w:rFonts w:hint="eastAsia" w:ascii="仿宋_GB2312" w:hAnsi="仿宋_GB2312" w:eastAsia="仿宋_GB2312" w:cs="仿宋_GB2312"/>
          <w:b w:val="0"/>
        </w:rPr>
        <w:t>政府性基金预算财政拨款“三公”经费支出决算表</w:t>
      </w:r>
      <w:r>
        <w:rPr>
          <w:rFonts w:hint="eastAsia" w:ascii="仿宋_GB2312" w:hAnsi="仿宋_GB2312" w:eastAsia="仿宋_GB2312" w:cs="仿宋_GB2312"/>
          <w:b w:val="0"/>
        </w:rPr>
        <w:fldChar w:fldCharType="end"/>
      </w:r>
      <w:r>
        <w:rPr>
          <w:rFonts w:ascii="仿宋_GB2312" w:hAnsi="仿宋_GB2312" w:eastAsia="仿宋_GB2312" w:cs="仿宋_GB2312"/>
          <w:b w:val="0"/>
        </w:rPr>
        <w:t>20</w:t>
      </w:r>
      <w:r>
        <w:rPr>
          <w:rFonts w:hint="eastAsia" w:ascii="仿宋_GB2312" w:hAnsi="仿宋_GB2312" w:eastAsia="仿宋_GB2312" w:cs="仿宋_GB2312"/>
          <w:b w:val="0"/>
        </w:rPr>
        <w:t>十三、</w:t>
      </w:r>
      <w:r>
        <w:fldChar w:fldCharType="begin"/>
      </w:r>
      <w:r>
        <w:instrText xml:space="preserve"> HYPERLINK \l "_Toc15396631" </w:instrText>
      </w:r>
      <w:r>
        <w:fldChar w:fldCharType="separate"/>
      </w:r>
      <w:r>
        <w:rPr>
          <w:rFonts w:hint="eastAsia" w:ascii="仿宋_GB2312" w:hAnsi="仿宋_GB2312" w:eastAsia="仿宋_GB2312" w:cs="仿宋_GB2312"/>
          <w:b w:val="0"/>
        </w:rPr>
        <w:t>国有资本经营预算支出决算表</w:t>
      </w:r>
      <w:r>
        <w:rPr>
          <w:rFonts w:ascii="仿宋_GB2312" w:hAnsi="仿宋_GB2312" w:eastAsia="仿宋_GB2312" w:cs="仿宋_GB2312"/>
          <w:b w:val="0"/>
        </w:rPr>
        <w:tab/>
      </w:r>
      <w:r>
        <w:rPr>
          <w:rFonts w:ascii="仿宋_GB2312" w:hAnsi="仿宋_GB2312" w:eastAsia="仿宋_GB2312" w:cs="仿宋_GB2312"/>
          <w:b w:val="0"/>
        </w:rPr>
        <w:t>20</w:t>
      </w:r>
      <w:r>
        <w:rPr>
          <w:rFonts w:ascii="仿宋_GB2312" w:hAnsi="仿宋_GB2312" w:eastAsia="仿宋_GB2312" w:cs="仿宋_GB2312"/>
          <w:b w:val="0"/>
        </w:rPr>
        <w:fldChar w:fldCharType="end"/>
      </w:r>
    </w:p>
    <w:p>
      <w:pPr>
        <w:spacing w:line="576" w:lineRule="exact"/>
        <w:ind w:firstLine="880"/>
        <w:jc w:val="center"/>
        <w:outlineLvl w:val="0"/>
        <w:rPr>
          <w:rFonts w:ascii="仿宋_GB2312" w:hAnsi="仿宋_GB2312" w:eastAsia="仿宋_GB2312" w:cs="仿宋_GB2312"/>
          <w:b w:val="0"/>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0" w:firstLineChars="0"/>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pPr>
    </w:p>
    <w:p>
      <w:pPr>
        <w:spacing w:line="576" w:lineRule="exact"/>
        <w:ind w:firstLine="883"/>
        <w:jc w:val="center"/>
        <w:outlineLvl w:val="0"/>
        <w:rPr>
          <w:rFonts w:ascii="黑体" w:hAnsi="宋体" w:eastAsia="黑体"/>
          <w:sz w:val="44"/>
          <w:szCs w:val="44"/>
        </w:rPr>
        <w:sectPr>
          <w:pgSz w:w="11906" w:h="16838"/>
          <w:pgMar w:top="1440" w:right="1800" w:bottom="1440" w:left="1800" w:header="851" w:footer="992" w:gutter="0"/>
          <w:cols w:space="720" w:num="1"/>
          <w:docGrid w:type="lines" w:linePitch="312" w:charSpace="0"/>
        </w:sectPr>
      </w:pPr>
    </w:p>
    <w:p>
      <w:pPr>
        <w:pStyle w:val="2"/>
        <w:numPr>
          <w:ilvl w:val="0"/>
          <w:numId w:val="1"/>
        </w:numPr>
        <w:spacing w:before="0" w:after="0" w:line="576" w:lineRule="exact"/>
        <w:ind w:firstLine="880"/>
        <w:rPr>
          <w:rStyle w:val="17"/>
          <w:rFonts w:hint="eastAsia" w:cs="方正小标宋简体"/>
          <w:b w:val="0"/>
          <w:bCs w:val="0"/>
        </w:rPr>
      </w:pPr>
      <w:bookmarkStart w:id="11" w:name="_Toc20222264"/>
      <w:r>
        <w:rPr>
          <w:rStyle w:val="17"/>
          <w:rFonts w:hint="eastAsia" w:cs="方正小标宋简体"/>
          <w:b w:val="0"/>
          <w:bCs w:val="0"/>
        </w:rPr>
        <w:t>部门概况</w:t>
      </w:r>
      <w:bookmarkEnd w:id="11"/>
    </w:p>
    <w:p>
      <w:pPr>
        <w:numPr>
          <w:numId w:val="0"/>
        </w:numPr>
      </w:pPr>
    </w:p>
    <w:p>
      <w:pPr>
        <w:pStyle w:val="3"/>
        <w:ind w:firstLine="640"/>
        <w:rPr>
          <w:rFonts w:cs="Times New Roman"/>
        </w:rPr>
      </w:pPr>
      <w:bookmarkStart w:id="12" w:name="_Toc20222265"/>
      <w:r>
        <w:rPr>
          <w:rFonts w:hint="eastAsia" w:cs="黑体"/>
        </w:rPr>
        <w:t>一、基本职能及主要工作</w:t>
      </w:r>
      <w:bookmarkEnd w:id="12"/>
    </w:p>
    <w:p>
      <w:pPr>
        <w:spacing w:line="576" w:lineRule="exact"/>
        <w:ind w:firstLine="643"/>
      </w:pPr>
      <w:r>
        <w:rPr>
          <w:rFonts w:hint="eastAsia" w:cs="楷体_GB2312"/>
        </w:rPr>
        <w:t>（一）主要职能</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1.</w:t>
      </w:r>
      <w:r>
        <w:rPr>
          <w:rFonts w:hint="eastAsia" w:ascii="仿宋_GB2312" w:hAnsi="仿宋_GB2312" w:eastAsia="仿宋_GB2312" w:cs="仿宋_GB2312"/>
          <w:b w:val="0"/>
          <w:bCs w:val="0"/>
        </w:rPr>
        <w:t>参与我县大政方针及政治、经济、社会中的重要问题的政治协商，发挥民主监督的作用，参政议政。</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2.</w:t>
      </w:r>
      <w:r>
        <w:rPr>
          <w:rFonts w:hint="eastAsia" w:ascii="仿宋_GB2312" w:hAnsi="仿宋_GB2312" w:eastAsia="仿宋_GB2312" w:cs="仿宋_GB2312"/>
          <w:b w:val="0"/>
          <w:bCs w:val="0"/>
        </w:rPr>
        <w:t>引导会员积极参加我县经济建设，推动非公有制经济健康发展。</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3.</w:t>
      </w:r>
      <w:r>
        <w:rPr>
          <w:rFonts w:hint="eastAsia" w:ascii="仿宋_GB2312" w:hAnsi="仿宋_GB2312" w:eastAsia="仿宋_GB2312" w:cs="仿宋_GB2312"/>
          <w:b w:val="0"/>
          <w:bCs w:val="0"/>
        </w:rPr>
        <w:t>做好工商界代表人士政治安排的推荐工作。</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4.</w:t>
      </w:r>
      <w:r>
        <w:rPr>
          <w:rFonts w:hint="eastAsia" w:ascii="仿宋_GB2312" w:hAnsi="仿宋_GB2312" w:eastAsia="仿宋_GB2312" w:cs="仿宋_GB2312"/>
          <w:b w:val="0"/>
          <w:bCs w:val="0"/>
        </w:rPr>
        <w:t>对同级同业工会和行业协会实行业务主管，加强对个体劳动者协会、私营企业协会指导工作。</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5.</w:t>
      </w:r>
      <w:r>
        <w:rPr>
          <w:rFonts w:hint="eastAsia" w:ascii="仿宋_GB2312" w:hAnsi="仿宋_GB2312" w:eastAsia="仿宋_GB2312" w:cs="仿宋_GB2312"/>
          <w:b w:val="0"/>
          <w:bCs w:val="0"/>
        </w:rPr>
        <w:t>加强与外商、各地工商社团及工商经济界人士的联系，促进经济、技术和贸易合作的发展，协助引进资金、技术人才。</w:t>
      </w:r>
    </w:p>
    <w:p>
      <w:pPr>
        <w:spacing w:line="576" w:lineRule="exact"/>
        <w:ind w:firstLine="800" w:firstLineChars="250"/>
        <w:rPr>
          <w:rFonts w:ascii="仿宋_GB2312" w:hAnsi="仿宋_GB2312" w:eastAsia="仿宋_GB2312"/>
          <w:b w:val="0"/>
          <w:bCs w:val="0"/>
        </w:rPr>
      </w:pPr>
      <w:bookmarkStart w:id="13" w:name="OLE_LINK1"/>
      <w:bookmarkStart w:id="14" w:name="OLE_LINK2"/>
      <w:r>
        <w:rPr>
          <w:rFonts w:ascii="仿宋_GB2312" w:hAnsi="仿宋_GB2312" w:eastAsia="仿宋_GB2312" w:cs="仿宋_GB2312"/>
          <w:b w:val="0"/>
          <w:bCs w:val="0"/>
        </w:rPr>
        <w:t>6.</w:t>
      </w:r>
      <w:bookmarkEnd w:id="13"/>
      <w:bookmarkEnd w:id="14"/>
      <w:r>
        <w:rPr>
          <w:rFonts w:hint="eastAsia" w:ascii="仿宋_GB2312" w:hAnsi="仿宋_GB2312" w:eastAsia="仿宋_GB2312" w:cs="仿宋_GB2312"/>
          <w:b w:val="0"/>
          <w:bCs w:val="0"/>
        </w:rPr>
        <w:t>办好会办企业。</w:t>
      </w:r>
    </w:p>
    <w:p>
      <w:pPr>
        <w:spacing w:line="576" w:lineRule="exact"/>
        <w:ind w:firstLine="800" w:firstLineChars="250"/>
        <w:rPr>
          <w:rFonts w:ascii="仿宋_GB2312" w:eastAsia="仿宋_GB2312"/>
          <w:b w:val="0"/>
          <w:bCs w:val="0"/>
        </w:rPr>
      </w:pPr>
      <w:r>
        <w:rPr>
          <w:rFonts w:ascii="仿宋_GB2312" w:hAnsi="仿宋_GB2312" w:eastAsia="仿宋_GB2312" w:cs="仿宋_GB2312"/>
          <w:b w:val="0"/>
          <w:bCs w:val="0"/>
        </w:rPr>
        <w:t>7.</w:t>
      </w:r>
      <w:r>
        <w:rPr>
          <w:rFonts w:hint="eastAsia" w:ascii="仿宋_GB2312" w:hAnsi="仿宋_GB2312" w:eastAsia="仿宋_GB2312" w:cs="仿宋_GB2312"/>
          <w:b w:val="0"/>
          <w:bCs w:val="0"/>
        </w:rPr>
        <w:t>承办县委、县政府交办的其他工作。</w:t>
      </w:r>
    </w:p>
    <w:p>
      <w:pPr>
        <w:spacing w:line="576" w:lineRule="exact"/>
        <w:ind w:firstLine="643"/>
        <w:rPr>
          <w:rFonts w:ascii="楷体_GB2312"/>
        </w:rPr>
      </w:pPr>
      <w:r>
        <w:rPr>
          <w:rFonts w:hint="eastAsia" w:ascii="楷体_GB2312" w:hAnsi="楷体_GB2312" w:cs="楷体_GB2312"/>
        </w:rPr>
        <w:t>（二）</w:t>
      </w:r>
      <w:r>
        <w:rPr>
          <w:rFonts w:ascii="楷体_GB2312" w:hAnsi="楷体_GB2312" w:cs="楷体_GB2312"/>
        </w:rPr>
        <w:t>2019</w:t>
      </w:r>
      <w:r>
        <w:rPr>
          <w:rFonts w:hint="eastAsia" w:ascii="楷体_GB2312" w:hAnsi="楷体_GB2312" w:cs="楷体_GB2312"/>
        </w:rPr>
        <w:t>年重点工作完成情况</w:t>
      </w:r>
    </w:p>
    <w:p>
      <w:pPr>
        <w:widowControl/>
        <w:shd w:val="clear" w:color="auto" w:fill="FFFFFF"/>
        <w:spacing w:line="580" w:lineRule="atLeast"/>
        <w:ind w:firstLine="960" w:firstLineChars="300"/>
        <w:jc w:val="left"/>
        <w:rPr>
          <w:rFonts w:ascii="仿宋_GB2312" w:hAnsi="仿宋_GB2312" w:eastAsia="仿宋_GB2312" w:cs="仿宋_GB2312"/>
          <w:b w:val="0"/>
          <w:bCs w:val="0"/>
        </w:rPr>
      </w:pPr>
      <w:bookmarkStart w:id="15" w:name="_Toc20222266"/>
      <w:r>
        <w:rPr>
          <w:rFonts w:ascii="仿宋_GB2312" w:hAnsi="仿宋_GB2312" w:eastAsia="仿宋_GB2312" w:cs="仿宋_GB2312"/>
          <w:b w:val="0"/>
          <w:bCs w:val="0"/>
        </w:rPr>
        <w:t>1.</w:t>
      </w:r>
      <w:r>
        <w:rPr>
          <w:rFonts w:hint="eastAsia" w:ascii="仿宋_GB2312" w:hAnsi="仿宋_GB2312" w:eastAsia="仿宋_GB2312" w:cs="仿宋_GB2312"/>
          <w:b w:val="0"/>
          <w:bCs w:val="0"/>
        </w:rPr>
        <w:t>聚焦全县中心工作，全力投入脱贫攻坚暨“两联一进”帮扶工作。</w:t>
      </w:r>
    </w:p>
    <w:p>
      <w:pPr>
        <w:widowControl/>
        <w:shd w:val="clear" w:color="auto" w:fill="FFFFFF"/>
        <w:spacing w:line="580" w:lineRule="atLeast"/>
        <w:ind w:firstLine="960" w:firstLineChars="300"/>
        <w:jc w:val="left"/>
        <w:rPr>
          <w:rFonts w:ascii="仿宋_GB2312" w:hAnsi="仿宋_GB2312" w:eastAsia="仿宋_GB2312" w:cs="仿宋_GB2312"/>
          <w:b w:val="0"/>
          <w:bCs w:val="0"/>
        </w:rPr>
      </w:pPr>
      <w:r>
        <w:rPr>
          <w:rFonts w:ascii="仿宋_GB2312" w:hAnsi="仿宋_GB2312" w:eastAsia="仿宋_GB2312" w:cs="仿宋_GB2312"/>
          <w:b w:val="0"/>
          <w:bCs w:val="0"/>
        </w:rPr>
        <w:t>2.</w:t>
      </w:r>
      <w:r>
        <w:rPr>
          <w:rFonts w:hint="eastAsia" w:ascii="仿宋_GB2312" w:hAnsi="仿宋_GB2312" w:eastAsia="仿宋_GB2312" w:cs="仿宋_GB2312"/>
          <w:b w:val="0"/>
          <w:bCs w:val="0"/>
        </w:rPr>
        <w:t>加强同非公有制经济人士的联系，提高非公有制经济人士的发展信心。</w:t>
      </w:r>
    </w:p>
    <w:p>
      <w:pPr>
        <w:widowControl/>
        <w:shd w:val="clear" w:color="auto" w:fill="FFFFFF"/>
        <w:spacing w:line="580" w:lineRule="atLeast"/>
        <w:ind w:firstLine="960" w:firstLineChars="300"/>
        <w:jc w:val="left"/>
        <w:rPr>
          <w:rFonts w:ascii="仿宋_GB2312" w:hAnsi="仿宋_GB2312" w:eastAsia="仿宋_GB2312" w:cs="仿宋_GB2312"/>
          <w:b w:val="0"/>
          <w:bCs w:val="0"/>
        </w:rPr>
      </w:pPr>
      <w:r>
        <w:rPr>
          <w:rFonts w:ascii="仿宋_GB2312" w:hAnsi="仿宋_GB2312" w:eastAsia="仿宋_GB2312" w:cs="仿宋_GB2312"/>
          <w:b w:val="0"/>
          <w:bCs w:val="0"/>
        </w:rPr>
        <w:t>3.</w:t>
      </w:r>
      <w:r>
        <w:rPr>
          <w:rFonts w:hint="eastAsia" w:ascii="仿宋_GB2312" w:hAnsi="仿宋_GB2312" w:eastAsia="仿宋_GB2312" w:cs="仿宋_GB2312"/>
          <w:b w:val="0"/>
          <w:bCs w:val="0"/>
        </w:rPr>
        <w:t>搞好服务，促进非公有制经济健康发展，促进非公有制经济健康成长。</w:t>
      </w:r>
    </w:p>
    <w:p>
      <w:pPr>
        <w:widowControl/>
        <w:shd w:val="clear" w:color="auto" w:fill="FFFFFF"/>
        <w:spacing w:line="580" w:lineRule="atLeast"/>
        <w:ind w:firstLine="960" w:firstLineChars="300"/>
        <w:jc w:val="left"/>
        <w:rPr>
          <w:rFonts w:ascii="仿宋_GB2312" w:hAnsi="仿宋_GB2312" w:eastAsia="仿宋_GB2312" w:cs="仿宋_GB2312"/>
          <w:b w:val="0"/>
          <w:bCs w:val="0"/>
        </w:rPr>
      </w:pPr>
      <w:r>
        <w:rPr>
          <w:rFonts w:ascii="仿宋_GB2312" w:hAnsi="仿宋_GB2312" w:eastAsia="仿宋_GB2312" w:cs="仿宋_GB2312"/>
          <w:b w:val="0"/>
          <w:bCs w:val="0"/>
        </w:rPr>
        <w:t>4.</w:t>
      </w:r>
      <w:r>
        <w:rPr>
          <w:rFonts w:hint="eastAsia" w:ascii="仿宋_GB2312" w:hAnsi="仿宋_GB2312" w:eastAsia="仿宋_GB2312" w:cs="仿宋_GB2312"/>
          <w:b w:val="0"/>
          <w:bCs w:val="0"/>
        </w:rPr>
        <w:t>积极发展会员，稳妥壮大工商联队伍。</w:t>
      </w:r>
    </w:p>
    <w:p>
      <w:pPr>
        <w:widowControl/>
        <w:shd w:val="clear" w:color="auto" w:fill="FFFFFF"/>
        <w:spacing w:line="580" w:lineRule="atLeast"/>
        <w:ind w:firstLine="960" w:firstLineChars="300"/>
        <w:jc w:val="left"/>
        <w:rPr>
          <w:rFonts w:ascii="仿宋_GB2312" w:hAnsi="仿宋_GB2312" w:eastAsia="仿宋_GB2312" w:cs="仿宋_GB2312"/>
          <w:b w:val="0"/>
          <w:bCs w:val="0"/>
        </w:rPr>
      </w:pPr>
      <w:r>
        <w:rPr>
          <w:rFonts w:ascii="仿宋_GB2312" w:hAnsi="仿宋_GB2312" w:eastAsia="仿宋_GB2312" w:cs="仿宋_GB2312"/>
          <w:b w:val="0"/>
          <w:bCs w:val="0"/>
        </w:rPr>
        <w:t>5.</w:t>
      </w:r>
      <w:r>
        <w:rPr>
          <w:rFonts w:hint="eastAsia" w:ascii="仿宋_GB2312" w:hAnsi="仿宋_GB2312" w:eastAsia="仿宋_GB2312" w:cs="仿宋_GB2312"/>
          <w:b w:val="0"/>
          <w:bCs w:val="0"/>
        </w:rPr>
        <w:t>继续推动民营企业投入“万企帮万村”精准扶贫活动。</w:t>
      </w:r>
    </w:p>
    <w:p>
      <w:pPr>
        <w:ind w:firstLine="960" w:firstLineChars="300"/>
        <w:rPr>
          <w:rFonts w:ascii="仿宋_GB2312" w:hAnsi="仿宋_GB2312" w:eastAsia="仿宋_GB2312" w:cs="仿宋_GB2312"/>
          <w:b w:val="0"/>
          <w:bCs w:val="0"/>
        </w:rPr>
      </w:pPr>
      <w:r>
        <w:rPr>
          <w:rFonts w:ascii="仿宋_GB2312" w:hAnsi="仿宋_GB2312" w:eastAsia="仿宋_GB2312" w:cs="仿宋_GB2312"/>
          <w:b w:val="0"/>
          <w:bCs w:val="0"/>
        </w:rPr>
        <w:t>6.</w:t>
      </w:r>
      <w:r>
        <w:rPr>
          <w:rFonts w:hint="eastAsia" w:ascii="仿宋_GB2312" w:hAnsi="仿宋_GB2312" w:eastAsia="仿宋_GB2312" w:cs="仿宋_GB2312"/>
          <w:b w:val="0"/>
          <w:bCs w:val="0"/>
        </w:rPr>
        <w:t>积极推动非公企业党的建设</w:t>
      </w:r>
      <w:r>
        <w:rPr>
          <w:rFonts w:hint="eastAsia" w:ascii="仿宋_GB2312" w:hAnsi="仿宋_GB2312" w:eastAsia="仿宋_GB2312" w:cs="仿宋_GB2312"/>
          <w:b w:val="0"/>
          <w:bCs w:val="0"/>
          <w:lang w:eastAsia="zh-CN"/>
        </w:rPr>
        <w:t>工作</w:t>
      </w:r>
      <w:r>
        <w:rPr>
          <w:rFonts w:hint="eastAsia" w:ascii="仿宋_GB2312" w:hAnsi="仿宋_GB2312" w:eastAsia="仿宋_GB2312" w:cs="仿宋_GB2312"/>
          <w:b w:val="0"/>
          <w:bCs w:val="0"/>
        </w:rPr>
        <w:t>。</w:t>
      </w:r>
    </w:p>
    <w:bookmarkEnd w:id="15"/>
    <w:p>
      <w:pPr>
        <w:pStyle w:val="3"/>
        <w:ind w:firstLine="835" w:firstLineChars="261"/>
        <w:rPr>
          <w:rFonts w:cs="Times New Roman"/>
        </w:rPr>
      </w:pPr>
      <w:bookmarkStart w:id="16" w:name="_Toc20222271"/>
      <w:r>
        <w:rPr>
          <w:rFonts w:hint="eastAsia" w:cs="黑体"/>
        </w:rPr>
        <w:t>二、机构设置</w:t>
      </w:r>
      <w:bookmarkEnd w:id="16"/>
    </w:p>
    <w:p>
      <w:pPr>
        <w:spacing w:line="576" w:lineRule="exact"/>
        <w:ind w:firstLine="640"/>
        <w:rPr>
          <w:rFonts w:ascii="仿宋_GB2312" w:eastAsia="仿宋_GB2312" w:cs="仿宋_GB2312"/>
          <w:b w:val="0"/>
          <w:bCs w:val="0"/>
        </w:rPr>
      </w:pPr>
      <w:r>
        <w:rPr>
          <w:rFonts w:hint="eastAsia" w:ascii="仿宋_GB2312" w:eastAsia="仿宋_GB2312" w:cs="仿宋_GB2312"/>
          <w:b w:val="0"/>
          <w:bCs w:val="0"/>
        </w:rPr>
        <w:t>本单位是行政单位，属一级预算单位，其中内设机构</w:t>
      </w:r>
      <w:r>
        <w:rPr>
          <w:rFonts w:ascii="仿宋_GB2312" w:eastAsia="仿宋_GB2312" w:cs="仿宋_GB2312"/>
          <w:b w:val="0"/>
          <w:bCs w:val="0"/>
        </w:rPr>
        <w:t>1</w:t>
      </w:r>
      <w:r>
        <w:rPr>
          <w:rFonts w:hint="eastAsia" w:ascii="仿宋_GB2312" w:eastAsia="仿宋_GB2312" w:cs="仿宋_GB2312"/>
          <w:b w:val="0"/>
          <w:bCs w:val="0"/>
        </w:rPr>
        <w:t>个。人员总编制</w:t>
      </w:r>
      <w:r>
        <w:rPr>
          <w:rFonts w:ascii="仿宋_GB2312" w:eastAsia="仿宋_GB2312" w:cs="仿宋_GB2312"/>
          <w:b w:val="0"/>
          <w:bCs w:val="0"/>
        </w:rPr>
        <w:t>2</w:t>
      </w:r>
      <w:r>
        <w:rPr>
          <w:rFonts w:hint="eastAsia" w:ascii="仿宋_GB2312" w:eastAsia="仿宋_GB2312" w:cs="仿宋_GB2312"/>
          <w:b w:val="0"/>
          <w:bCs w:val="0"/>
        </w:rPr>
        <w:t>名</w:t>
      </w:r>
      <w:r>
        <w:rPr>
          <w:rFonts w:ascii="仿宋_GB2312" w:eastAsia="仿宋_GB2312" w:cs="仿宋_GB2312"/>
          <w:b w:val="0"/>
          <w:bCs w:val="0"/>
        </w:rPr>
        <w:t>,</w:t>
      </w:r>
      <w:r>
        <w:rPr>
          <w:rFonts w:hint="eastAsia" w:ascii="仿宋_GB2312" w:eastAsia="仿宋_GB2312" w:cs="仿宋_GB2312"/>
          <w:b w:val="0"/>
          <w:bCs w:val="0"/>
        </w:rPr>
        <w:t>其中</w:t>
      </w:r>
      <w:r>
        <w:rPr>
          <w:rFonts w:ascii="仿宋_GB2312" w:eastAsia="仿宋_GB2312" w:cs="仿宋_GB2312"/>
          <w:b w:val="0"/>
          <w:bCs w:val="0"/>
        </w:rPr>
        <w:t>:</w:t>
      </w:r>
      <w:r>
        <w:rPr>
          <w:rFonts w:hint="eastAsia" w:ascii="仿宋_GB2312" w:eastAsia="仿宋_GB2312" w:cs="仿宋_GB2312"/>
          <w:b w:val="0"/>
          <w:bCs w:val="0"/>
        </w:rPr>
        <w:t>行政编制</w:t>
      </w:r>
      <w:r>
        <w:rPr>
          <w:rFonts w:ascii="仿宋_GB2312" w:eastAsia="仿宋_GB2312" w:cs="仿宋_GB2312"/>
          <w:b w:val="0"/>
          <w:bCs w:val="0"/>
        </w:rPr>
        <w:t>2</w:t>
      </w:r>
      <w:r>
        <w:rPr>
          <w:rFonts w:hint="eastAsia" w:ascii="仿宋_GB2312" w:eastAsia="仿宋_GB2312" w:cs="仿宋_GB2312"/>
          <w:b w:val="0"/>
          <w:bCs w:val="0"/>
        </w:rPr>
        <w:t>名，事业编制</w:t>
      </w:r>
      <w:r>
        <w:rPr>
          <w:rFonts w:ascii="仿宋_GB2312" w:eastAsia="仿宋_GB2312" w:cs="仿宋_GB2312"/>
          <w:b w:val="0"/>
          <w:bCs w:val="0"/>
        </w:rPr>
        <w:t xml:space="preserve"> 0</w:t>
      </w:r>
      <w:r>
        <w:rPr>
          <w:rFonts w:hint="eastAsia" w:ascii="仿宋_GB2312" w:eastAsia="仿宋_GB2312" w:cs="仿宋_GB2312"/>
          <w:b w:val="0"/>
          <w:bCs w:val="0"/>
        </w:rPr>
        <w:t>名。实有在职人员总数</w:t>
      </w:r>
      <w:r>
        <w:rPr>
          <w:rFonts w:ascii="仿宋_GB2312" w:eastAsia="仿宋_GB2312" w:cs="仿宋_GB2312"/>
          <w:b w:val="0"/>
          <w:bCs w:val="0"/>
        </w:rPr>
        <w:t>7</w:t>
      </w:r>
      <w:r>
        <w:rPr>
          <w:rFonts w:hint="eastAsia" w:ascii="仿宋_GB2312" w:eastAsia="仿宋_GB2312" w:cs="仿宋_GB2312"/>
          <w:b w:val="0"/>
          <w:bCs w:val="0"/>
        </w:rPr>
        <w:t>名，在职人员中行政人员</w:t>
      </w:r>
      <w:r>
        <w:rPr>
          <w:rFonts w:ascii="仿宋_GB2312" w:eastAsia="仿宋_GB2312" w:cs="仿宋_GB2312"/>
          <w:b w:val="0"/>
          <w:bCs w:val="0"/>
        </w:rPr>
        <w:t>7</w:t>
      </w:r>
      <w:r>
        <w:rPr>
          <w:rFonts w:hint="eastAsia" w:ascii="仿宋_GB2312" w:eastAsia="仿宋_GB2312" w:cs="仿宋_GB2312"/>
          <w:b w:val="0"/>
          <w:bCs w:val="0"/>
        </w:rPr>
        <w:t>名，事业人员</w:t>
      </w:r>
      <w:r>
        <w:rPr>
          <w:rFonts w:ascii="仿宋_GB2312" w:eastAsia="仿宋_GB2312" w:cs="仿宋_GB2312"/>
          <w:b w:val="0"/>
          <w:bCs w:val="0"/>
        </w:rPr>
        <w:t>0</w:t>
      </w:r>
      <w:r>
        <w:rPr>
          <w:rFonts w:hint="eastAsia" w:ascii="仿宋_GB2312" w:eastAsia="仿宋_GB2312" w:cs="仿宋_GB2312"/>
          <w:b w:val="0"/>
          <w:bCs w:val="0"/>
        </w:rPr>
        <w:t>名</w:t>
      </w:r>
      <w:r>
        <w:rPr>
          <w:rFonts w:hint="eastAsia" w:ascii="仿宋_GB2312" w:eastAsia="仿宋_GB2312" w:cs="仿宋_GB2312"/>
          <w:b w:val="0"/>
          <w:bCs w:val="0"/>
          <w:lang w:eastAsia="zh-CN"/>
        </w:rPr>
        <w:t>，</w:t>
      </w:r>
      <w:r>
        <w:rPr>
          <w:rFonts w:hint="eastAsia" w:ascii="仿宋_GB2312" w:eastAsia="仿宋_GB2312" w:cs="仿宋_GB2312"/>
          <w:b w:val="0"/>
          <w:bCs w:val="0"/>
        </w:rPr>
        <w:t>退休人员</w:t>
      </w:r>
      <w:r>
        <w:rPr>
          <w:rFonts w:ascii="仿宋_GB2312" w:eastAsia="仿宋_GB2312" w:cs="仿宋_GB2312"/>
          <w:b w:val="0"/>
          <w:bCs w:val="0"/>
        </w:rPr>
        <w:t>0</w:t>
      </w:r>
      <w:r>
        <w:rPr>
          <w:rFonts w:hint="eastAsia" w:ascii="仿宋_GB2312" w:eastAsia="仿宋_GB2312" w:cs="仿宋_GB2312"/>
          <w:b w:val="0"/>
          <w:bCs w:val="0"/>
        </w:rPr>
        <w:t>人。</w:t>
      </w:r>
      <w:r>
        <w:rPr>
          <w:rFonts w:ascii="仿宋_GB2312" w:eastAsia="仿宋_GB2312" w:cs="仿宋_GB2312"/>
          <w:b w:val="0"/>
          <w:bCs w:val="0"/>
        </w:rPr>
        <w:t xml:space="preserve"> </w:t>
      </w: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640"/>
        <w:rPr>
          <w:rFonts w:ascii="仿宋_GB2312" w:eastAsia="仿宋_GB2312" w:cs="仿宋_GB2312"/>
          <w:b w:val="0"/>
          <w:bCs w:val="0"/>
        </w:rPr>
      </w:pPr>
    </w:p>
    <w:p>
      <w:pPr>
        <w:spacing w:line="576" w:lineRule="exact"/>
        <w:ind w:firstLine="0" w:firstLineChars="0"/>
        <w:rPr>
          <w:rFonts w:ascii="仿宋_GB2312" w:eastAsia="仿宋_GB2312"/>
          <w:b w:val="0"/>
          <w:bCs w:val="0"/>
        </w:rPr>
      </w:pPr>
    </w:p>
    <w:p>
      <w:pPr>
        <w:pStyle w:val="2"/>
        <w:numPr>
          <w:ilvl w:val="0"/>
          <w:numId w:val="1"/>
        </w:numPr>
        <w:spacing w:before="0" w:after="0" w:line="576" w:lineRule="exact"/>
        <w:ind w:left="0" w:leftChars="0" w:firstLine="880" w:firstLineChars="200"/>
        <w:jc w:val="both"/>
        <w:rPr>
          <w:rStyle w:val="17"/>
          <w:rFonts w:hint="eastAsia" w:ascii="方正小标宋简体" w:hAnsi="方正小标宋简体" w:cs="方正小标宋简体"/>
          <w:b w:val="0"/>
          <w:bCs w:val="0"/>
        </w:rPr>
      </w:pPr>
      <w:bookmarkStart w:id="17" w:name="_Toc20222272"/>
      <w:r>
        <w:rPr>
          <w:rStyle w:val="17"/>
          <w:rFonts w:ascii="方正小标宋简体" w:hAnsi="方正小标宋简体" w:cs="方正小标宋简体"/>
          <w:b w:val="0"/>
          <w:bCs w:val="0"/>
        </w:rPr>
        <w:t>2019</w:t>
      </w:r>
      <w:r>
        <w:rPr>
          <w:rStyle w:val="17"/>
          <w:rFonts w:hint="eastAsia" w:ascii="方正小标宋简体" w:hAnsi="方正小标宋简体" w:cs="方正小标宋简体"/>
          <w:b w:val="0"/>
          <w:bCs w:val="0"/>
        </w:rPr>
        <w:t>年度部门决算情况说明</w:t>
      </w:r>
      <w:bookmarkEnd w:id="17"/>
    </w:p>
    <w:p>
      <w:pPr>
        <w:numPr>
          <w:numId w:val="0"/>
        </w:numPr>
        <w:ind w:leftChars="200"/>
      </w:pPr>
    </w:p>
    <w:p>
      <w:pPr>
        <w:pStyle w:val="3"/>
        <w:ind w:firstLine="643"/>
        <w:rPr>
          <w:rFonts w:cs="Times New Roman"/>
          <w:b/>
          <w:bCs/>
        </w:rPr>
      </w:pPr>
      <w:bookmarkStart w:id="18" w:name="_Toc20222273"/>
      <w:r>
        <w:rPr>
          <w:rFonts w:hint="eastAsia" w:cs="黑体"/>
          <w:b/>
          <w:bCs/>
        </w:rPr>
        <w:t>一</w:t>
      </w:r>
      <w:r>
        <w:rPr>
          <w:rFonts w:hint="eastAsia" w:cs="黑体"/>
        </w:rPr>
        <w:t>、</w:t>
      </w:r>
      <w:bookmarkStart w:id="19" w:name="_Toc15377205"/>
      <w:bookmarkStart w:id="20" w:name="_Toc15396603"/>
      <w:r>
        <w:rPr>
          <w:rFonts w:hint="eastAsia" w:cs="黑体"/>
        </w:rPr>
        <w:t>收</w:t>
      </w:r>
      <w:r>
        <w:rPr>
          <w:rFonts w:hint="eastAsia"/>
        </w:rPr>
        <w:t>入支出决算总体情况说明</w:t>
      </w:r>
      <w:bookmarkEnd w:id="18"/>
      <w:bookmarkEnd w:id="19"/>
      <w:bookmarkEnd w:id="20"/>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2019</w:t>
      </w:r>
      <w:r>
        <w:rPr>
          <w:rFonts w:hint="eastAsia" w:ascii="仿宋_GB2312" w:hAnsi="仿宋" w:eastAsia="仿宋_GB2312" w:cs="仿宋_GB2312"/>
          <w:b w:val="0"/>
          <w:bCs w:val="0"/>
          <w:color w:val="000000"/>
        </w:rPr>
        <w:t>年度收、支总计</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万元。与</w:t>
      </w: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年相比，收、支总计各增加</w:t>
      </w:r>
      <w:r>
        <w:rPr>
          <w:rFonts w:ascii="仿宋_GB2312" w:hAnsi="仿宋" w:eastAsia="仿宋_GB2312" w:cs="仿宋_GB2312"/>
          <w:b w:val="0"/>
          <w:bCs w:val="0"/>
          <w:color w:val="000000"/>
        </w:rPr>
        <w:t>9.19</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8.07%</w:t>
      </w:r>
      <w:r>
        <w:rPr>
          <w:rFonts w:hint="eastAsia" w:ascii="仿宋_GB2312" w:hAnsi="仿宋" w:eastAsia="仿宋_GB2312" w:cs="仿宋_GB2312"/>
          <w:b w:val="0"/>
          <w:bCs w:val="0"/>
          <w:color w:val="000000"/>
        </w:rPr>
        <w:t>。主要变动原因是工资增加。</w:t>
      </w:r>
    </w:p>
    <w:p>
      <w:pPr>
        <w:ind w:firstLine="0" w:firstLineChars="0"/>
        <w:rPr>
          <w:rFonts w:ascii="黑体" w:hAnsi="黑体" w:eastAsia="黑体"/>
          <w:b w:val="0"/>
          <w:bCs w:val="0"/>
          <w:color w:val="000000"/>
        </w:rPr>
      </w:pPr>
      <w:r>
        <w:rPr>
          <w:rFonts w:ascii="黑体" w:hAnsi="黑体" w:eastAsia="黑体"/>
          <w:color w:val="000000"/>
        </w:rPr>
        <w:object>
          <v:shape id="_x0000_i1025" o:spt="75" type="#_x0000_t75" style="height:249.75pt;width:411.75pt;" o:ole="t" filled="f" o:preferrelative="t" stroked="f" coordsize="21600,21600">
            <v:path/>
            <v:fill on="f" focussize="0,0"/>
            <v:stroke on="f" joinstyle="miter"/>
            <v:imagedata r:id="rId11" o:title=""/>
            <o:lock v:ext="edit" aspectratio="f"/>
            <w10:wrap type="none"/>
            <w10:anchorlock/>
          </v:shape>
          <o:OLEObject Type="Embed" ProgID="Excel.Chart.8" ShapeID="_x0000_i1025" DrawAspect="Content" ObjectID="_1468075725" r:id="rId10">
            <o:LockedField>false</o:LockedField>
          </o:OLEObject>
        </w:object>
      </w:r>
    </w:p>
    <w:p>
      <w:pPr>
        <w:pStyle w:val="3"/>
        <w:ind w:firstLine="640"/>
        <w:rPr>
          <w:rFonts w:cs="Times New Roman"/>
        </w:rPr>
      </w:pPr>
      <w:bookmarkStart w:id="21" w:name="_Toc20222274"/>
      <w:bookmarkStart w:id="22" w:name="_Toc15377206"/>
      <w:bookmarkStart w:id="23" w:name="_Toc15396604"/>
      <w:r>
        <w:rPr>
          <w:rFonts w:hint="eastAsia" w:cs="黑体"/>
        </w:rPr>
        <w:t>二、收</w:t>
      </w:r>
      <w:r>
        <w:rPr>
          <w:rStyle w:val="18"/>
          <w:rFonts w:hint="eastAsia" w:cs="黑体"/>
        </w:rPr>
        <w:t>入决算情况说明</w:t>
      </w:r>
      <w:bookmarkEnd w:id="21"/>
      <w:bookmarkEnd w:id="22"/>
      <w:bookmarkEnd w:id="23"/>
    </w:p>
    <w:p>
      <w:pPr>
        <w:spacing w:line="576" w:lineRule="exact"/>
        <w:ind w:firstLine="640"/>
        <w:outlineLvl w:val="1"/>
        <w:rPr>
          <w:rFonts w:ascii="仿宋_GB2312" w:hAnsi="仿宋" w:eastAsia="仿宋_GB2312"/>
          <w:b w:val="0"/>
          <w:bCs w:val="0"/>
          <w:color w:val="000000"/>
        </w:rPr>
      </w:pPr>
      <w:bookmarkStart w:id="24" w:name="_Toc20222275"/>
      <w:r>
        <w:rPr>
          <w:rFonts w:ascii="仿宋_GB2312" w:hAnsi="仿宋" w:eastAsia="仿宋_GB2312" w:cs="仿宋_GB2312"/>
          <w:b w:val="0"/>
          <w:bCs w:val="0"/>
          <w:color w:val="000000"/>
        </w:rPr>
        <w:t>2019</w:t>
      </w:r>
      <w:r>
        <w:rPr>
          <w:rFonts w:hint="eastAsia" w:ascii="仿宋_GB2312" w:hAnsi="仿宋" w:eastAsia="仿宋_GB2312" w:cs="仿宋_GB2312"/>
          <w:b w:val="0"/>
          <w:bCs w:val="0"/>
          <w:color w:val="000000"/>
        </w:rPr>
        <w:t>年本年收入合计</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万元，其中：一般公共预算财政拨款收入</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100%</w:t>
      </w:r>
      <w:r>
        <w:rPr>
          <w:rFonts w:hint="eastAsia" w:ascii="仿宋_GB2312" w:hAnsi="仿宋" w:eastAsia="仿宋_GB2312" w:cs="仿宋_GB2312"/>
          <w:b w:val="0"/>
          <w:bCs w:val="0"/>
          <w:color w:val="000000"/>
        </w:rPr>
        <w:t>。</w:t>
      </w:r>
      <w:bookmarkEnd w:id="24"/>
      <w:bookmarkStart w:id="25" w:name="_Toc15396605"/>
      <w:bookmarkStart w:id="26" w:name="_Toc15377207"/>
    </w:p>
    <w:p>
      <w:pPr>
        <w:ind w:firstLine="0" w:firstLineChars="0"/>
        <w:jc w:val="center"/>
        <w:outlineLvl w:val="1"/>
        <w:rPr>
          <w:rFonts w:ascii="仿宋_GB2312" w:hAnsi="仿宋" w:eastAsia="仿宋_GB2312"/>
          <w:b w:val="0"/>
          <w:bCs w:val="0"/>
          <w:color w:val="000000"/>
        </w:rPr>
      </w:pPr>
      <w:r>
        <w:rPr>
          <w:rFonts w:ascii="仿宋_GB2312" w:hAnsi="仿宋" w:eastAsia="仿宋_GB2312"/>
          <w:b w:val="0"/>
          <w:bCs w:val="0"/>
          <w:color w:val="000000"/>
        </w:rPr>
        <w:object>
          <v:shape id="_x0000_i1026" o:spt="75" type="#_x0000_t75" style="height:226.5pt;width:410.25pt;" o:ole="t" filled="f" o:preferrelative="t" stroked="f" coordsize="21600,21600">
            <v:path/>
            <v:fill on="f" focussize="0,0"/>
            <v:stroke on="f" joinstyle="miter"/>
            <v:imagedata r:id="rId13" cropbottom="-31f" o:title=""/>
            <o:lock v:ext="edit" aspectratio="f"/>
            <w10:wrap type="none"/>
            <w10:anchorlock/>
          </v:shape>
          <o:OLEObject Type="Embed" ProgID="Excel.Chart.8" ShapeID="_x0000_i1026" DrawAspect="Content" ObjectID="_1468075726" r:id="rId12">
            <o:LockedField>false</o:LockedField>
          </o:OLEObject>
        </w:object>
      </w:r>
    </w:p>
    <w:p>
      <w:pPr>
        <w:pStyle w:val="3"/>
        <w:ind w:firstLine="640"/>
        <w:rPr>
          <w:rFonts w:ascii="黑体" w:cs="黑体"/>
          <w:color w:val="000000"/>
        </w:rPr>
      </w:pPr>
      <w:bookmarkStart w:id="27" w:name="_Toc20222277"/>
      <w:r>
        <w:rPr>
          <w:rFonts w:hint="eastAsia" w:ascii="黑体" w:hAnsi="黑体" w:cs="黑体"/>
          <w:color w:val="000000"/>
        </w:rPr>
        <w:t>三、支</w:t>
      </w:r>
      <w:r>
        <w:rPr>
          <w:rStyle w:val="18"/>
          <w:rFonts w:hint="eastAsia" w:ascii="黑体" w:hAnsi="黑体" w:cs="黑体"/>
        </w:rPr>
        <w:t>出决算情况说明</w:t>
      </w:r>
      <w:bookmarkEnd w:id="25"/>
      <w:bookmarkEnd w:id="26"/>
      <w:bookmarkEnd w:id="27"/>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2019</w:t>
      </w:r>
      <w:r>
        <w:rPr>
          <w:rFonts w:hint="eastAsia" w:ascii="仿宋_GB2312" w:hAnsi="仿宋" w:eastAsia="仿宋_GB2312" w:cs="仿宋_GB2312"/>
          <w:b w:val="0"/>
          <w:bCs w:val="0"/>
          <w:color w:val="000000"/>
        </w:rPr>
        <w:t>年本年支出合计</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万元，其中：基本支出</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100%</w:t>
      </w:r>
      <w:r>
        <w:rPr>
          <w:rFonts w:hint="eastAsia" w:ascii="仿宋_GB2312" w:hAnsi="仿宋" w:eastAsia="仿宋_GB2312" w:cs="仿宋_GB2312"/>
          <w:b w:val="0"/>
          <w:bCs w:val="0"/>
          <w:color w:val="000000"/>
        </w:rPr>
        <w:t>。</w:t>
      </w:r>
    </w:p>
    <w:p>
      <w:pPr>
        <w:ind w:firstLine="0" w:firstLineChars="0"/>
        <w:rPr>
          <w:rFonts w:ascii="仿宋_GB2312" w:hAnsi="仿宋" w:eastAsia="仿宋_GB2312"/>
          <w:b w:val="0"/>
          <w:bCs w:val="0"/>
          <w:color w:val="000000"/>
        </w:rPr>
      </w:pPr>
      <w:r>
        <w:rPr>
          <w:rFonts w:ascii="仿宋_GB2312" w:hAnsi="仿宋" w:eastAsia="仿宋_GB2312"/>
          <w:b w:val="0"/>
          <w:bCs w:val="0"/>
          <w:color w:val="000000"/>
        </w:rPr>
        <w:object>
          <v:shape id="_x0000_i1027" o:spt="75" type="#_x0000_t75" style="height:245.25pt;width:400.5pt;" o:ole="t" filled="f" o:preferrelative="t" stroked="f" coordsize="21600,21600">
            <v:path/>
            <v:fill on="f" focussize="0,0"/>
            <v:stroke on="f" joinstyle="miter"/>
            <v:imagedata r:id="rId15" o:title=""/>
            <o:lock v:ext="edit" aspectratio="f"/>
            <w10:wrap type="none"/>
            <w10:anchorlock/>
          </v:shape>
          <o:OLEObject Type="Embed" ProgID="Excel.Chart.8" ShapeID="_x0000_i1027" DrawAspect="Content" ObjectID="_1468075727" r:id="rId14">
            <o:LockedField>false</o:LockedField>
          </o:OLEObject>
        </w:object>
      </w:r>
    </w:p>
    <w:p>
      <w:pPr>
        <w:pStyle w:val="3"/>
        <w:ind w:firstLine="640"/>
        <w:rPr>
          <w:rStyle w:val="18"/>
          <w:rFonts w:cs="Times New Roman"/>
        </w:rPr>
      </w:pPr>
      <w:bookmarkStart w:id="28" w:name="_Toc20222278"/>
      <w:r>
        <w:rPr>
          <w:rStyle w:val="18"/>
          <w:rFonts w:hint="eastAsia" w:cs="黑体"/>
        </w:rPr>
        <w:t>四、财政拨款收入支出决算总体情况说明</w:t>
      </w:r>
      <w:bookmarkEnd w:id="28"/>
    </w:p>
    <w:p>
      <w:pPr>
        <w:spacing w:line="576" w:lineRule="exact"/>
        <w:ind w:firstLine="640"/>
        <w:rPr>
          <w:rStyle w:val="18"/>
          <w:rFonts w:ascii="仿宋_GB2312" w:hAnsi="黑体" w:eastAsia="仿宋_GB2312" w:cs="Times New Roman"/>
          <w:b w:val="0"/>
          <w:bCs w:val="0"/>
        </w:rPr>
      </w:pPr>
      <w:bookmarkStart w:id="29" w:name="_Toc20222279"/>
      <w:r>
        <w:rPr>
          <w:rStyle w:val="18"/>
          <w:rFonts w:ascii="仿宋_GB2312" w:hAnsi="黑体" w:eastAsia="仿宋_GB2312" w:cs="仿宋_GB2312"/>
          <w:b w:val="0"/>
          <w:bCs w:val="0"/>
        </w:rPr>
        <w:t>2</w:t>
      </w:r>
      <w:bookmarkEnd w:id="29"/>
      <w:r>
        <w:rPr>
          <w:rFonts w:ascii="仿宋_GB2312" w:hAnsi="仿宋" w:eastAsia="仿宋_GB2312" w:cs="仿宋_GB2312"/>
          <w:b w:val="0"/>
          <w:bCs w:val="0"/>
          <w:color w:val="000000"/>
        </w:rPr>
        <w:t>019</w:t>
      </w:r>
      <w:r>
        <w:rPr>
          <w:rFonts w:hint="eastAsia" w:ascii="仿宋_GB2312" w:hAnsi="仿宋" w:eastAsia="仿宋_GB2312" w:cs="仿宋_GB2312"/>
          <w:b w:val="0"/>
          <w:bCs w:val="0"/>
          <w:color w:val="000000"/>
        </w:rPr>
        <w:t>年财政拨款收、支总计</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万元。与</w:t>
      </w: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年相比，财政拨款收、支总计各增加</w:t>
      </w:r>
      <w:r>
        <w:rPr>
          <w:rFonts w:ascii="仿宋_GB2312" w:hAnsi="仿宋" w:eastAsia="仿宋_GB2312" w:cs="仿宋_GB2312"/>
          <w:b w:val="0"/>
          <w:bCs w:val="0"/>
          <w:color w:val="000000"/>
        </w:rPr>
        <w:t>9.19</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8.07%</w:t>
      </w:r>
      <w:r>
        <w:rPr>
          <w:rFonts w:hint="eastAsia" w:ascii="仿宋_GB2312" w:hAnsi="仿宋" w:eastAsia="仿宋_GB2312" w:cs="仿宋_GB2312"/>
          <w:b w:val="0"/>
          <w:bCs w:val="0"/>
          <w:color w:val="000000"/>
        </w:rPr>
        <w:t>。主要变动原因是工资增加</w:t>
      </w:r>
      <w:r>
        <w:rPr>
          <w:rStyle w:val="18"/>
          <w:rFonts w:hint="eastAsia" w:ascii="仿宋_GB2312" w:hAnsi="黑体" w:eastAsia="仿宋_GB2312" w:cs="仿宋_GB2312"/>
          <w:b w:val="0"/>
          <w:bCs w:val="0"/>
        </w:rPr>
        <w:t>。</w:t>
      </w:r>
    </w:p>
    <w:p>
      <w:pPr>
        <w:ind w:firstLine="0" w:firstLineChars="0"/>
        <w:rPr>
          <w:rStyle w:val="18"/>
          <w:rFonts w:ascii="仿宋_GB2312" w:hAnsi="黑体" w:eastAsia="仿宋_GB2312" w:cs="Times New Roman"/>
          <w:b w:val="0"/>
          <w:bCs w:val="0"/>
        </w:rPr>
      </w:pPr>
      <w:r>
        <w:rPr>
          <w:rFonts w:ascii="仿宋_GB2312" w:hAnsi="黑体" w:eastAsia="仿宋_GB2312"/>
          <w:b w:val="0"/>
          <w:bCs w:val="0"/>
        </w:rPr>
        <w:object>
          <v:shape id="_x0000_i1028" o:spt="75" type="#_x0000_t75" style="height:240.75pt;width:412.5pt;" o:ole="t" filled="f" o:preferrelative="t" stroked="f" coordsize="21600,21600">
            <v:path/>
            <v:fill on="f" focussize="0,0"/>
            <v:stroke on="f" joinstyle="miter"/>
            <v:imagedata r:id="rId17" o:title=""/>
            <o:lock v:ext="edit" aspectratio="f"/>
            <w10:wrap type="none"/>
            <w10:anchorlock/>
          </v:shape>
          <o:OLEObject Type="Embed" ProgID="Excel.Chart.8" ShapeID="_x0000_i1028" DrawAspect="Content" ObjectID="_1468075728" r:id="rId16">
            <o:LockedField>false</o:LockedField>
          </o:OLEObject>
        </w:object>
      </w:r>
    </w:p>
    <w:p>
      <w:pPr>
        <w:pStyle w:val="3"/>
        <w:ind w:firstLine="640"/>
        <w:rPr>
          <w:rFonts w:cs="Times New Roman"/>
        </w:rPr>
      </w:pPr>
      <w:bookmarkStart w:id="30" w:name="_Toc20222280"/>
      <w:r>
        <w:rPr>
          <w:rStyle w:val="18"/>
          <w:rFonts w:hint="eastAsia" w:cs="黑体"/>
        </w:rPr>
        <w:t>五、</w:t>
      </w:r>
      <w:r>
        <w:rPr>
          <w:rFonts w:hint="eastAsia" w:cs="黑体"/>
        </w:rPr>
        <w:t>一</w:t>
      </w:r>
      <w:r>
        <w:rPr>
          <w:rStyle w:val="18"/>
          <w:rFonts w:hint="eastAsia" w:cs="黑体"/>
        </w:rPr>
        <w:t>般公共预算财政拨款支出决算情况说明</w:t>
      </w:r>
      <w:bookmarkEnd w:id="30"/>
    </w:p>
    <w:p>
      <w:pPr>
        <w:spacing w:line="576" w:lineRule="exact"/>
        <w:ind w:firstLine="565" w:firstLineChars="176"/>
        <w:rPr>
          <w:rFonts w:ascii="楷体_GB2312" w:hAnsi="楷体" w:cs="楷体"/>
        </w:rPr>
      </w:pPr>
      <w:r>
        <w:rPr>
          <w:rFonts w:ascii="仿宋_GB2312" w:eastAsia="仿宋_GB2312" w:cs="仿宋_GB2312"/>
        </w:rPr>
        <w:t xml:space="preserve"> </w:t>
      </w:r>
      <w:r>
        <w:rPr>
          <w:rFonts w:hint="eastAsia" w:ascii="楷体_GB2312" w:hAnsi="楷体" w:cs="楷体"/>
        </w:rPr>
        <w:t>（一）一</w:t>
      </w:r>
      <w:r>
        <w:rPr>
          <w:rFonts w:ascii="楷体_GB2312" w:hAnsi="楷体" w:cs="楷体"/>
        </w:rPr>
        <w:t xml:space="preserve"> </w:t>
      </w:r>
      <w:r>
        <w:rPr>
          <w:rFonts w:hint="eastAsia" w:ascii="楷体_GB2312" w:hAnsi="楷体" w:cs="楷体"/>
          <w:color w:val="000000"/>
        </w:rPr>
        <w:t>般公共预算财政拨款支出决算总体情况</w:t>
      </w:r>
      <w:r>
        <w:rPr>
          <w:rFonts w:ascii="楷体_GB2312" w:hAnsi="楷体" w:cs="楷体"/>
        </w:rPr>
        <w:t xml:space="preserve">    </w:t>
      </w:r>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2019</w:t>
      </w:r>
      <w:r>
        <w:rPr>
          <w:rFonts w:hint="eastAsia" w:ascii="仿宋_GB2312" w:hAnsi="仿宋" w:eastAsia="仿宋_GB2312" w:cs="仿宋_GB2312"/>
          <w:b w:val="0"/>
          <w:bCs w:val="0"/>
          <w:color w:val="000000"/>
        </w:rPr>
        <w:t>年一般公共预算财政拨款支出</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万元，占本年支出合计的</w:t>
      </w:r>
      <w:r>
        <w:rPr>
          <w:rFonts w:ascii="仿宋_GB2312" w:hAnsi="仿宋" w:eastAsia="仿宋_GB2312" w:cs="仿宋_GB2312"/>
          <w:b w:val="0"/>
          <w:bCs w:val="0"/>
          <w:color w:val="000000"/>
        </w:rPr>
        <w:t>100%</w:t>
      </w:r>
      <w:r>
        <w:rPr>
          <w:rFonts w:hint="eastAsia" w:ascii="仿宋_GB2312" w:hAnsi="仿宋" w:eastAsia="仿宋_GB2312" w:cs="仿宋_GB2312"/>
          <w:b w:val="0"/>
          <w:bCs w:val="0"/>
          <w:color w:val="000000"/>
        </w:rPr>
        <w:t>。与</w:t>
      </w: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年相比，一般公共预算财政拨款增加</w:t>
      </w:r>
      <w:r>
        <w:rPr>
          <w:rFonts w:ascii="仿宋_GB2312" w:hAnsi="仿宋" w:eastAsia="仿宋_GB2312" w:cs="仿宋_GB2312"/>
          <w:b w:val="0"/>
          <w:bCs w:val="0"/>
          <w:color w:val="000000"/>
        </w:rPr>
        <w:t>9.19</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8.07%</w:t>
      </w:r>
      <w:r>
        <w:rPr>
          <w:rFonts w:hint="eastAsia" w:ascii="仿宋_GB2312" w:hAnsi="仿宋" w:eastAsia="仿宋_GB2312" w:cs="仿宋_GB2312"/>
          <w:b w:val="0"/>
          <w:bCs w:val="0"/>
          <w:color w:val="000000"/>
        </w:rPr>
        <w:t>，主要变动原因是工资增加。</w:t>
      </w:r>
    </w:p>
    <w:p>
      <w:pPr>
        <w:spacing w:line="576" w:lineRule="exact"/>
        <w:ind w:firstLine="643"/>
        <w:rPr>
          <w:rFonts w:ascii="楷体_GB2312" w:hAnsi="楷体"/>
          <w:color w:val="000000"/>
        </w:rPr>
      </w:pPr>
      <w:r>
        <w:rPr>
          <w:rFonts w:hint="eastAsia" w:ascii="楷体_GB2312" w:hAnsi="楷体" w:cs="楷体"/>
          <w:color w:val="000000"/>
        </w:rPr>
        <w:t>（二）一般公共预算财政拨款支出决算结构情况</w:t>
      </w:r>
    </w:p>
    <w:p>
      <w:pPr>
        <w:spacing w:line="576" w:lineRule="exact"/>
        <w:ind w:firstLine="480" w:firstLineChars="150"/>
        <w:rPr>
          <w:rFonts w:ascii="仿宋_GB2312" w:hAnsi="仿宋" w:eastAsia="仿宋_GB2312"/>
          <w:b w:val="0"/>
          <w:bCs w:val="0"/>
          <w:color w:val="000000"/>
        </w:rPr>
      </w:pPr>
      <w:r>
        <w:rPr>
          <w:rFonts w:ascii="仿宋_GB2312" w:hAnsi="仿宋" w:eastAsia="仿宋_GB2312" w:cs="仿宋_GB2312"/>
          <w:b w:val="0"/>
          <w:bCs w:val="0"/>
          <w:color w:val="000000"/>
        </w:rPr>
        <w:t>2019</w:t>
      </w:r>
      <w:r>
        <w:rPr>
          <w:rFonts w:hint="eastAsia" w:ascii="仿宋_GB2312" w:hAnsi="仿宋" w:eastAsia="仿宋_GB2312" w:cs="仿宋_GB2312"/>
          <w:b w:val="0"/>
          <w:bCs w:val="0"/>
          <w:color w:val="000000"/>
        </w:rPr>
        <w:t>年一般公共预算财政拨款支出</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万元，主要用于以下方面</w:t>
      </w:r>
      <w:r>
        <w:rPr>
          <w:rFonts w:ascii="仿宋_GB2312" w:hAnsi="仿宋" w:eastAsia="仿宋_GB2312" w:cs="仿宋_GB2312"/>
          <w:b w:val="0"/>
          <w:bCs w:val="0"/>
          <w:color w:val="000000"/>
        </w:rPr>
        <w:t>:</w:t>
      </w:r>
      <w:r>
        <w:rPr>
          <w:rFonts w:hint="eastAsia" w:ascii="仿宋_GB2312" w:hAnsi="仿宋" w:eastAsia="仿宋_GB2312" w:cs="仿宋_GB2312"/>
          <w:b w:val="0"/>
          <w:bCs w:val="0"/>
          <w:color w:val="000000"/>
        </w:rPr>
        <w:t>一般公共服务（类）支出</w:t>
      </w:r>
      <w:r>
        <w:rPr>
          <w:rFonts w:ascii="仿宋_GB2312" w:hAnsi="仿宋" w:eastAsia="仿宋_GB2312" w:cs="仿宋_GB2312"/>
          <w:b w:val="0"/>
          <w:bCs w:val="0"/>
          <w:color w:val="000000"/>
        </w:rPr>
        <w:t>90.98</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73.95%</w:t>
      </w:r>
      <w:r>
        <w:rPr>
          <w:rFonts w:hint="eastAsia" w:ascii="仿宋_GB2312" w:hAnsi="仿宋" w:eastAsia="仿宋_GB2312" w:cs="仿宋_GB2312"/>
          <w:b w:val="0"/>
          <w:bCs w:val="0"/>
          <w:color w:val="000000"/>
        </w:rPr>
        <w:t>；社会保障和就业（类）支出</w:t>
      </w:r>
      <w:r>
        <w:rPr>
          <w:rFonts w:ascii="仿宋_GB2312" w:hAnsi="仿宋" w:eastAsia="仿宋_GB2312" w:cs="仿宋_GB2312"/>
          <w:b w:val="0"/>
          <w:bCs w:val="0"/>
          <w:color w:val="000000"/>
        </w:rPr>
        <w:t>15.93</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12.95%</w:t>
      </w:r>
      <w:r>
        <w:rPr>
          <w:rFonts w:hint="eastAsia" w:ascii="仿宋_GB2312" w:hAnsi="仿宋" w:eastAsia="仿宋_GB2312" w:cs="仿宋_GB2312"/>
          <w:b w:val="0"/>
          <w:bCs w:val="0"/>
          <w:color w:val="000000"/>
        </w:rPr>
        <w:t>；</w:t>
      </w:r>
      <w:r>
        <w:rPr>
          <w:rFonts w:hint="eastAsia" w:ascii="仿宋_GB2312" w:eastAsia="仿宋_GB2312" w:cs="仿宋_GB2312"/>
          <w:b w:val="0"/>
          <w:bCs w:val="0"/>
        </w:rPr>
        <w:t>卫生健康</w:t>
      </w:r>
      <w:r>
        <w:rPr>
          <w:rFonts w:hint="eastAsia" w:ascii="仿宋_GB2312" w:hAnsi="仿宋" w:eastAsia="仿宋_GB2312" w:cs="仿宋_GB2312"/>
          <w:b w:val="0"/>
          <w:bCs w:val="0"/>
          <w:color w:val="000000"/>
        </w:rPr>
        <w:t>支出（类）</w:t>
      </w:r>
      <w:r>
        <w:rPr>
          <w:rFonts w:ascii="仿宋_GB2312" w:hAnsi="仿宋" w:eastAsia="仿宋_GB2312" w:cs="仿宋_GB2312"/>
          <w:b w:val="0"/>
          <w:bCs w:val="0"/>
          <w:color w:val="000000"/>
        </w:rPr>
        <w:t>6.44</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5.23%</w:t>
      </w:r>
      <w:r>
        <w:rPr>
          <w:rFonts w:hint="eastAsia" w:ascii="仿宋_GB2312" w:hAnsi="仿宋" w:eastAsia="仿宋_GB2312" w:cs="仿宋_GB2312"/>
          <w:b w:val="0"/>
          <w:bCs w:val="0"/>
          <w:color w:val="000000"/>
        </w:rPr>
        <w:t>；住房保障支出（类）</w:t>
      </w:r>
      <w:r>
        <w:rPr>
          <w:rFonts w:ascii="仿宋_GB2312" w:hAnsi="仿宋" w:eastAsia="仿宋_GB2312" w:cs="仿宋_GB2312"/>
          <w:b w:val="0"/>
          <w:bCs w:val="0"/>
          <w:color w:val="000000"/>
        </w:rPr>
        <w:t>9.68</w:t>
      </w:r>
      <w:r>
        <w:rPr>
          <w:rFonts w:hint="eastAsia" w:ascii="仿宋_GB2312" w:hAnsi="仿宋" w:eastAsia="仿宋_GB2312" w:cs="仿宋_GB2312"/>
          <w:b w:val="0"/>
          <w:bCs w:val="0"/>
          <w:color w:val="000000"/>
        </w:rPr>
        <w:t>万元，占</w:t>
      </w:r>
      <w:r>
        <w:rPr>
          <w:rFonts w:ascii="仿宋_GB2312" w:hAnsi="仿宋" w:eastAsia="仿宋_GB2312" w:cs="仿宋_GB2312"/>
          <w:b w:val="0"/>
          <w:bCs w:val="0"/>
          <w:color w:val="000000"/>
        </w:rPr>
        <w:t>7.87%</w:t>
      </w:r>
      <w:r>
        <w:rPr>
          <w:rFonts w:hint="eastAsia" w:ascii="仿宋_GB2312" w:hAnsi="仿宋" w:eastAsia="仿宋_GB2312" w:cs="仿宋_GB2312"/>
          <w:b w:val="0"/>
          <w:bCs w:val="0"/>
          <w:color w:val="000000"/>
        </w:rPr>
        <w:t>。</w:t>
      </w:r>
    </w:p>
    <w:p>
      <w:pPr>
        <w:ind w:firstLine="480" w:firstLineChars="150"/>
        <w:rPr>
          <w:rFonts w:ascii="仿宋_GB2312" w:hAnsi="仿宋" w:eastAsia="仿宋_GB2312"/>
          <w:b w:val="0"/>
          <w:bCs w:val="0"/>
          <w:color w:val="000000"/>
        </w:rPr>
      </w:pPr>
    </w:p>
    <w:p>
      <w:pPr>
        <w:ind w:firstLine="0" w:firstLineChars="0"/>
        <w:rPr>
          <w:rFonts w:ascii="仿宋_GB2312" w:hAnsi="仿宋" w:eastAsia="仿宋_GB2312"/>
          <w:b w:val="0"/>
          <w:bCs w:val="0"/>
          <w:color w:val="000000"/>
        </w:rPr>
      </w:pPr>
      <w:r>
        <w:rPr>
          <w:rFonts w:ascii="仿宋_GB2312" w:hAnsi="仿宋" w:eastAsia="仿宋_GB2312"/>
          <w:b w:val="0"/>
          <w:bCs w:val="0"/>
          <w:color w:val="000000"/>
        </w:rPr>
        <w:object>
          <v:shape id="_x0000_i1029" o:spt="75" type="#_x0000_t75" style="height:204.75pt;width:443.25pt;" o:ole="t" filled="f" o:preferrelative="t" stroked="f" coordsize="21600,21600">
            <v:path/>
            <v:fill on="f" focussize="0,0"/>
            <v:stroke on="f" joinstyle="miter"/>
            <v:imagedata r:id="rId19" o:title=""/>
            <o:lock v:ext="edit" aspectratio="f"/>
            <w10:wrap type="none"/>
            <w10:anchorlock/>
          </v:shape>
          <o:OLEObject Type="Embed" ProgID="Excel.Chart.8" ShapeID="_x0000_i1029" DrawAspect="Content" ObjectID="_1468075729" r:id="rId18">
            <o:LockedField>false</o:LockedField>
          </o:OLEObject>
        </w:object>
      </w:r>
    </w:p>
    <w:p>
      <w:pPr>
        <w:spacing w:line="576" w:lineRule="exact"/>
        <w:ind w:firstLine="643"/>
        <w:outlineLvl w:val="2"/>
        <w:rPr>
          <w:rFonts w:ascii="楷体_GB2312" w:hAnsi="仿宋"/>
          <w:color w:val="000000"/>
        </w:rPr>
      </w:pPr>
      <w:bookmarkStart w:id="31" w:name="_Toc20222281"/>
      <w:r>
        <w:rPr>
          <w:rFonts w:hint="eastAsia" w:ascii="楷体_GB2312" w:hAnsi="仿宋" w:cs="楷体_GB2312"/>
          <w:color w:val="000000"/>
        </w:rPr>
        <w:t>（三）一般公共预算财政拨款支出决算具体情况</w:t>
      </w:r>
      <w:bookmarkEnd w:id="31"/>
      <w:bookmarkStart w:id="32" w:name="_Toc15378460"/>
      <w:bookmarkStart w:id="33" w:name="_Toc15377213"/>
      <w:bookmarkStart w:id="34" w:name="_Toc15377444"/>
    </w:p>
    <w:p>
      <w:pPr>
        <w:spacing w:line="576" w:lineRule="exact"/>
        <w:ind w:firstLine="640"/>
        <w:outlineLvl w:val="2"/>
        <w:rPr>
          <w:rFonts w:ascii="仿宋_GB2312" w:hAnsi="仿宋" w:eastAsia="仿宋_GB2312"/>
          <w:color w:val="FF0000"/>
        </w:rPr>
      </w:pPr>
      <w:bookmarkStart w:id="35" w:name="_Toc20222282"/>
      <w:r>
        <w:rPr>
          <w:rFonts w:ascii="仿宋_GB2312" w:hAnsi="仿宋" w:eastAsia="仿宋_GB2312" w:cs="仿宋"/>
          <w:b w:val="0"/>
          <w:bCs w:val="0"/>
          <w:color w:val="000000"/>
        </w:rPr>
        <w:t>2019</w:t>
      </w:r>
      <w:r>
        <w:rPr>
          <w:rFonts w:hint="eastAsia" w:ascii="仿宋_GB2312" w:hAnsi="仿宋" w:eastAsia="仿宋_GB2312" w:cs="仿宋"/>
          <w:b w:val="0"/>
          <w:bCs w:val="0"/>
          <w:color w:val="000000"/>
        </w:rPr>
        <w:t>年一般公共预算支出决算数为</w:t>
      </w:r>
      <w:r>
        <w:rPr>
          <w:rFonts w:ascii="仿宋_GB2312" w:hAnsi="仿宋" w:eastAsia="仿宋_GB2312" w:cs="仿宋"/>
          <w:b w:val="0"/>
          <w:bCs w:val="0"/>
          <w:color w:val="000000"/>
        </w:rPr>
        <w:t>123.03</w:t>
      </w:r>
      <w:r>
        <w:rPr>
          <w:rFonts w:hint="eastAsia" w:ascii="仿宋_GB2312" w:hAnsi="仿宋" w:eastAsia="仿宋_GB2312" w:cs="仿宋"/>
          <w:b w:val="0"/>
          <w:bCs w:val="0"/>
          <w:color w:val="000000"/>
        </w:rPr>
        <w:t>万元</w:t>
      </w:r>
      <w:r>
        <w:rPr>
          <w:rFonts w:hint="eastAsia" w:ascii="仿宋_GB2312" w:hAnsi="仿宋" w:eastAsia="仿宋_GB2312" w:cs="仿宋"/>
          <w:color w:val="000000"/>
        </w:rPr>
        <w:t>，</w:t>
      </w:r>
      <w:r>
        <w:rPr>
          <w:rStyle w:val="15"/>
          <w:rFonts w:hint="eastAsia" w:ascii="仿宋_GB2312" w:hAnsi="仿宋" w:eastAsia="仿宋_GB2312" w:cs="仿宋"/>
          <w:b w:val="0"/>
          <w:bCs w:val="0"/>
          <w:color w:val="000000"/>
        </w:rPr>
        <w:t>完成预算</w:t>
      </w:r>
      <w:r>
        <w:rPr>
          <w:rStyle w:val="15"/>
          <w:rFonts w:ascii="仿宋_GB2312" w:hAnsi="仿宋" w:eastAsia="仿宋_GB2312" w:cs="仿宋"/>
          <w:b w:val="0"/>
          <w:bCs w:val="0"/>
          <w:color w:val="000000"/>
        </w:rPr>
        <w:t>100%</w:t>
      </w:r>
      <w:r>
        <w:rPr>
          <w:rStyle w:val="15"/>
          <w:rFonts w:hint="eastAsia" w:ascii="仿宋_GB2312" w:hAnsi="仿宋" w:eastAsia="仿宋_GB2312" w:cs="仿宋"/>
          <w:b w:val="0"/>
          <w:bCs w:val="0"/>
          <w:color w:val="000000"/>
        </w:rPr>
        <w:t>。其中：</w:t>
      </w:r>
      <w:bookmarkEnd w:id="32"/>
      <w:bookmarkEnd w:id="33"/>
      <w:bookmarkEnd w:id="34"/>
      <w:bookmarkEnd w:id="35"/>
    </w:p>
    <w:p>
      <w:pPr>
        <w:spacing w:line="576" w:lineRule="exact"/>
        <w:ind w:firstLine="640"/>
        <w:rPr>
          <w:rStyle w:val="15"/>
          <w:rFonts w:ascii="仿宋_GB2312" w:hAnsi="仿宋" w:eastAsia="仿宋_GB2312" w:cs="仿宋_GB2312"/>
          <w:b w:val="0"/>
          <w:bCs w:val="0"/>
          <w:color w:val="000000"/>
        </w:rPr>
      </w:pPr>
      <w:r>
        <w:rPr>
          <w:rStyle w:val="15"/>
          <w:rFonts w:ascii="仿宋_GB2312" w:hAnsi="仿宋" w:eastAsia="仿宋_GB2312" w:cs="仿宋_GB2312"/>
          <w:b w:val="0"/>
          <w:bCs w:val="0"/>
          <w:color w:val="000000"/>
        </w:rPr>
        <w:t>1.</w:t>
      </w:r>
      <w:r>
        <w:rPr>
          <w:rStyle w:val="15"/>
          <w:rFonts w:hint="eastAsia" w:ascii="仿宋_GB2312" w:hAnsi="仿宋" w:eastAsia="仿宋_GB2312" w:cs="仿宋_GB2312"/>
          <w:b w:val="0"/>
          <w:bCs w:val="0"/>
          <w:color w:val="000000"/>
        </w:rPr>
        <w:t>一般公共服务（类）民主党派及工商联事务（款）行政运行（项）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90.98</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spacing w:line="576" w:lineRule="exact"/>
        <w:ind w:firstLine="640"/>
        <w:rPr>
          <w:rStyle w:val="15"/>
          <w:rFonts w:ascii="仿宋_GB2312" w:hAnsi="仿宋" w:eastAsia="仿宋_GB2312" w:cs="仿宋_GB2312"/>
          <w:b w:val="0"/>
          <w:bCs w:val="0"/>
          <w:color w:val="000000"/>
        </w:rPr>
      </w:pPr>
      <w:r>
        <w:rPr>
          <w:rStyle w:val="15"/>
          <w:rFonts w:ascii="仿宋_GB2312" w:hAnsi="仿宋" w:eastAsia="仿宋_GB2312" w:cs="仿宋_GB2312"/>
          <w:b w:val="0"/>
          <w:bCs w:val="0"/>
          <w:color w:val="000000"/>
        </w:rPr>
        <w:t>2.</w:t>
      </w:r>
      <w:r>
        <w:rPr>
          <w:rStyle w:val="15"/>
          <w:rFonts w:hint="eastAsia" w:ascii="仿宋_GB2312" w:hAnsi="仿宋" w:eastAsia="仿宋_GB2312" w:cs="仿宋_GB2312"/>
          <w:b w:val="0"/>
          <w:bCs w:val="0"/>
          <w:color w:val="000000"/>
        </w:rPr>
        <w:t>社会保障和就业（类）行政事业单位离退休（款）机关事业单位基本养老保险缴费支出（项）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10.82</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spacing w:line="576" w:lineRule="exact"/>
        <w:ind w:firstLine="640"/>
        <w:rPr>
          <w:rFonts w:ascii="仿宋_GB2312" w:hAnsi="仿宋" w:eastAsia="仿宋_GB2312"/>
          <w:color w:val="000000"/>
        </w:rPr>
      </w:pPr>
      <w:r>
        <w:rPr>
          <w:rStyle w:val="15"/>
          <w:rFonts w:ascii="仿宋_GB2312" w:hAnsi="仿宋" w:eastAsia="仿宋_GB2312" w:cs="仿宋_GB2312"/>
          <w:b w:val="0"/>
          <w:bCs w:val="0"/>
          <w:color w:val="000000"/>
        </w:rPr>
        <w:t>3.</w:t>
      </w:r>
      <w:r>
        <w:rPr>
          <w:rStyle w:val="15"/>
          <w:rFonts w:hint="eastAsia" w:ascii="仿宋_GB2312" w:hAnsi="仿宋" w:eastAsia="仿宋_GB2312" w:cs="仿宋_GB2312"/>
          <w:b w:val="0"/>
          <w:bCs w:val="0"/>
          <w:color w:val="000000"/>
        </w:rPr>
        <w:t>社会保障和就业（类）行政事业单位离退休（款）机关事业单位职业年金缴费支出（项）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5.11</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spacing w:line="576" w:lineRule="exact"/>
        <w:ind w:firstLine="640"/>
        <w:rPr>
          <w:rStyle w:val="15"/>
          <w:rFonts w:ascii="仿宋_GB2312" w:hAnsi="仿宋" w:eastAsia="仿宋_GB2312" w:cs="仿宋_GB2312"/>
          <w:b w:val="0"/>
          <w:bCs w:val="0"/>
          <w:color w:val="000000"/>
        </w:rPr>
      </w:pPr>
      <w:r>
        <w:rPr>
          <w:rStyle w:val="15"/>
          <w:rFonts w:ascii="仿宋_GB2312" w:hAnsi="仿宋" w:eastAsia="仿宋_GB2312" w:cs="仿宋_GB2312"/>
          <w:b w:val="0"/>
          <w:bCs w:val="0"/>
          <w:color w:val="000000"/>
        </w:rPr>
        <w:t>4</w:t>
      </w:r>
      <w:r>
        <w:rPr>
          <w:rStyle w:val="15"/>
          <w:rFonts w:hint="eastAsia" w:ascii="仿宋_GB2312" w:hAnsi="仿宋" w:eastAsia="仿宋_GB2312" w:cs="仿宋_GB2312"/>
          <w:b w:val="0"/>
          <w:bCs w:val="0"/>
          <w:color w:val="000000"/>
          <w:lang w:val="en-US" w:eastAsia="zh-CN"/>
        </w:rPr>
        <w:t>.</w:t>
      </w:r>
      <w:r>
        <w:rPr>
          <w:rFonts w:hint="eastAsia" w:ascii="仿宋_GB2312" w:eastAsia="仿宋_GB2312" w:cs="仿宋_GB2312"/>
          <w:b w:val="0"/>
          <w:bCs w:val="0"/>
        </w:rPr>
        <w:t>卫生健康支出</w:t>
      </w:r>
      <w:r>
        <w:rPr>
          <w:rStyle w:val="15"/>
          <w:rFonts w:hint="eastAsia" w:ascii="仿宋_GB2312" w:hAnsi="仿宋" w:eastAsia="仿宋_GB2312" w:cs="仿宋_GB2312"/>
          <w:b w:val="0"/>
          <w:bCs w:val="0"/>
          <w:color w:val="000000"/>
        </w:rPr>
        <w:t>（类）行政事业单位医疗（款）行政单位医疗（项）</w:t>
      </w:r>
      <w:r>
        <w:rPr>
          <w:rStyle w:val="15"/>
          <w:rFonts w:ascii="仿宋_GB2312" w:hAnsi="仿宋" w:eastAsia="仿宋_GB2312" w:cs="仿宋_GB2312"/>
          <w:b w:val="0"/>
          <w:bCs w:val="0"/>
          <w:color w:val="000000"/>
        </w:rPr>
        <w:t>:</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6.44</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spacing w:line="576" w:lineRule="exact"/>
        <w:ind w:firstLine="640"/>
        <w:rPr>
          <w:rFonts w:ascii="仿宋_GB2312" w:hAnsi="仿宋" w:eastAsia="仿宋_GB2312"/>
          <w:color w:val="000000"/>
        </w:rPr>
      </w:pPr>
      <w:r>
        <w:rPr>
          <w:rStyle w:val="15"/>
          <w:rFonts w:ascii="仿宋_GB2312" w:hAnsi="仿宋" w:eastAsia="仿宋_GB2312" w:cs="仿宋_GB2312"/>
          <w:b w:val="0"/>
          <w:bCs w:val="0"/>
          <w:color w:val="000000"/>
        </w:rPr>
        <w:t>5.</w:t>
      </w:r>
      <w:r>
        <w:rPr>
          <w:rStyle w:val="15"/>
          <w:rFonts w:hint="eastAsia" w:ascii="仿宋_GB2312" w:hAnsi="仿宋" w:eastAsia="仿宋_GB2312" w:cs="仿宋_GB2312"/>
          <w:b w:val="0"/>
          <w:bCs w:val="0"/>
          <w:color w:val="000000"/>
        </w:rPr>
        <w:t>住房保障支出（类）住房改革支出（款）住房公积金（项）</w:t>
      </w:r>
      <w:r>
        <w:rPr>
          <w:rStyle w:val="15"/>
          <w:rFonts w:ascii="仿宋_GB2312" w:hAnsi="仿宋" w:eastAsia="仿宋_GB2312" w:cs="仿宋_GB2312"/>
          <w:b w:val="0"/>
          <w:bCs w:val="0"/>
          <w:color w:val="000000"/>
        </w:rPr>
        <w:t xml:space="preserve">: </w:t>
      </w:r>
      <w:r>
        <w:rPr>
          <w:rStyle w:val="15"/>
          <w:rFonts w:hint="eastAsia" w:ascii="仿宋_GB2312" w:hAnsi="仿宋" w:eastAsia="仿宋_GB2312" w:cs="仿宋_GB2312"/>
          <w:b w:val="0"/>
          <w:bCs w:val="0"/>
          <w:color w:val="000000"/>
        </w:rPr>
        <w:t>支出决算为</w:t>
      </w:r>
      <w:r>
        <w:rPr>
          <w:rStyle w:val="15"/>
          <w:rFonts w:ascii="仿宋_GB2312" w:hAnsi="仿宋" w:eastAsia="仿宋_GB2312" w:cs="仿宋_GB2312"/>
          <w:b w:val="0"/>
          <w:bCs w:val="0"/>
          <w:color w:val="000000"/>
        </w:rPr>
        <w:t>9.68</w:t>
      </w:r>
      <w:r>
        <w:rPr>
          <w:rStyle w:val="15"/>
          <w:rFonts w:hint="eastAsia" w:ascii="仿宋_GB2312" w:hAnsi="仿宋" w:eastAsia="仿宋_GB2312" w:cs="仿宋_GB2312"/>
          <w:b w:val="0"/>
          <w:bCs w:val="0"/>
          <w:color w:val="000000"/>
        </w:rPr>
        <w:t>万元，完成预算</w:t>
      </w:r>
      <w:r>
        <w:rPr>
          <w:rStyle w:val="15"/>
          <w:rFonts w:ascii="仿宋_GB2312" w:hAnsi="仿宋" w:eastAsia="仿宋_GB2312" w:cs="仿宋_GB2312"/>
          <w:b w:val="0"/>
          <w:bCs w:val="0"/>
          <w:color w:val="000000"/>
        </w:rPr>
        <w:t>100%</w:t>
      </w:r>
      <w:r>
        <w:rPr>
          <w:rStyle w:val="15"/>
          <w:rFonts w:hint="eastAsia" w:ascii="仿宋_GB2312" w:hAnsi="仿宋" w:eastAsia="仿宋_GB2312" w:cs="仿宋_GB2312"/>
          <w:b w:val="0"/>
          <w:bCs w:val="0"/>
          <w:color w:val="000000"/>
        </w:rPr>
        <w:t>。</w:t>
      </w:r>
    </w:p>
    <w:p>
      <w:pPr>
        <w:pStyle w:val="3"/>
        <w:ind w:firstLine="640"/>
        <w:rPr>
          <w:rFonts w:cs="Times New Roman"/>
        </w:rPr>
      </w:pPr>
      <w:bookmarkStart w:id="36" w:name="_Toc20222283"/>
      <w:r>
        <w:rPr>
          <w:rFonts w:hint="eastAsia" w:cs="黑体"/>
        </w:rPr>
        <w:t>六、一</w:t>
      </w:r>
      <w:r>
        <w:rPr>
          <w:rStyle w:val="18"/>
          <w:rFonts w:hint="eastAsia" w:cs="黑体"/>
        </w:rPr>
        <w:t>般公共预算财政拨款基本支出决算情况说明</w:t>
      </w:r>
      <w:bookmarkEnd w:id="36"/>
    </w:p>
    <w:p>
      <w:pPr>
        <w:spacing w:line="576" w:lineRule="exact"/>
        <w:ind w:firstLine="640"/>
        <w:rPr>
          <w:rFonts w:ascii="仿宋_GB2312" w:hAnsi="仿宋" w:eastAsia="仿宋_GB2312"/>
          <w:b w:val="0"/>
          <w:bCs w:val="0"/>
          <w:color w:val="000000"/>
        </w:rPr>
      </w:pPr>
      <w:r>
        <w:rPr>
          <w:rFonts w:ascii="仿宋_GB2312" w:hAnsi="仿宋" w:eastAsia="仿宋_GB2312" w:cs="仿宋_GB2312"/>
          <w:b w:val="0"/>
          <w:bCs w:val="0"/>
          <w:color w:val="000000"/>
        </w:rPr>
        <w:t>2019</w:t>
      </w:r>
      <w:r>
        <w:rPr>
          <w:rFonts w:hint="eastAsia" w:ascii="仿宋_GB2312" w:hAnsi="仿宋" w:eastAsia="仿宋_GB2312" w:cs="仿宋_GB2312"/>
          <w:b w:val="0"/>
          <w:bCs w:val="0"/>
          <w:color w:val="000000"/>
        </w:rPr>
        <w:t>年一般公共预算财政拨款基本支出</w:t>
      </w:r>
      <w:r>
        <w:rPr>
          <w:rFonts w:ascii="仿宋_GB2312" w:hAnsi="仿宋" w:eastAsia="仿宋_GB2312" w:cs="仿宋_GB2312"/>
          <w:b w:val="0"/>
          <w:bCs w:val="0"/>
          <w:color w:val="000000"/>
        </w:rPr>
        <w:t>123.03</w:t>
      </w:r>
      <w:r>
        <w:rPr>
          <w:rFonts w:hint="eastAsia" w:ascii="仿宋_GB2312" w:hAnsi="仿宋" w:eastAsia="仿宋_GB2312" w:cs="仿宋_GB2312"/>
          <w:b w:val="0"/>
          <w:bCs w:val="0"/>
          <w:color w:val="000000"/>
        </w:rPr>
        <w:t>万元，其中：</w:t>
      </w:r>
    </w:p>
    <w:p>
      <w:pPr>
        <w:spacing w:line="576" w:lineRule="exact"/>
        <w:ind w:firstLine="640"/>
        <w:rPr>
          <w:rFonts w:ascii="仿宋_GB2312" w:hAnsi="仿宋" w:eastAsia="仿宋_GB2312"/>
          <w:b w:val="0"/>
          <w:bCs w:val="0"/>
          <w:color w:val="000000"/>
        </w:rPr>
      </w:pPr>
      <w:r>
        <w:rPr>
          <w:rFonts w:hint="eastAsia" w:ascii="仿宋_GB2312" w:hAnsi="仿宋" w:eastAsia="仿宋_GB2312" w:cs="仿宋_GB2312"/>
          <w:b w:val="0"/>
          <w:bCs w:val="0"/>
          <w:color w:val="000000"/>
        </w:rPr>
        <w:t>人员经费</w:t>
      </w:r>
      <w:r>
        <w:rPr>
          <w:rFonts w:ascii="仿宋_GB2312" w:hAnsi="仿宋" w:eastAsia="仿宋_GB2312" w:cs="仿宋_GB2312"/>
          <w:b w:val="0"/>
          <w:bCs w:val="0"/>
          <w:color w:val="000000"/>
        </w:rPr>
        <w:t>118.51</w:t>
      </w:r>
      <w:r>
        <w:rPr>
          <w:rFonts w:hint="eastAsia" w:ascii="仿宋_GB2312" w:hAnsi="仿宋" w:eastAsia="仿宋_GB2312" w:cs="仿宋_GB2312"/>
          <w:b w:val="0"/>
          <w:bCs w:val="0"/>
          <w:color w:val="000000"/>
        </w:rPr>
        <w:t>万元，主要包括：基本工资、津贴补贴、奖金、机关事业单位基本养老保险缴费、职业年金缴费、其他社会保障缴费、医疗费、奖励金、住房公积金等。</w:t>
      </w:r>
      <w:r>
        <w:rPr>
          <w:rFonts w:ascii="仿宋_GB2312" w:hAnsi="仿宋" w:eastAsia="仿宋_GB2312"/>
          <w:b w:val="0"/>
          <w:bCs w:val="0"/>
          <w:color w:val="000000"/>
        </w:rPr>
        <w:br w:type="textWrapping"/>
      </w:r>
      <w:r>
        <w:rPr>
          <w:rFonts w:hint="eastAsia" w:ascii="仿宋_GB2312" w:hAnsi="仿宋" w:eastAsia="仿宋_GB2312" w:cs="仿宋_GB2312"/>
          <w:b w:val="0"/>
          <w:bCs w:val="0"/>
          <w:color w:val="000000"/>
        </w:rPr>
        <w:t>　　公用经费</w:t>
      </w:r>
      <w:r>
        <w:rPr>
          <w:rFonts w:ascii="仿宋_GB2312" w:hAnsi="仿宋" w:eastAsia="仿宋_GB2312" w:cs="仿宋_GB2312"/>
          <w:b w:val="0"/>
          <w:bCs w:val="0"/>
          <w:color w:val="000000"/>
        </w:rPr>
        <w:t>4.52</w:t>
      </w:r>
      <w:r>
        <w:rPr>
          <w:rFonts w:hint="eastAsia" w:ascii="仿宋_GB2312" w:hAnsi="仿宋" w:eastAsia="仿宋_GB2312" w:cs="仿宋_GB2312"/>
          <w:b w:val="0"/>
          <w:bCs w:val="0"/>
          <w:color w:val="000000"/>
        </w:rPr>
        <w:t>万元，主要包括：办公费、邮电费、差旅费、公务接待费等。</w:t>
      </w:r>
    </w:p>
    <w:p>
      <w:pPr>
        <w:pStyle w:val="3"/>
        <w:ind w:firstLine="640"/>
        <w:rPr>
          <w:rStyle w:val="18"/>
          <w:rFonts w:cs="Times New Roman"/>
        </w:rPr>
      </w:pPr>
      <w:bookmarkStart w:id="37" w:name="_Toc20222284"/>
      <w:r>
        <w:rPr>
          <w:rStyle w:val="18"/>
          <w:rFonts w:hint="eastAsia" w:cs="黑体"/>
        </w:rPr>
        <w:t>七、“三公”经费财政拨款支出决算情况说明</w:t>
      </w:r>
      <w:bookmarkEnd w:id="37"/>
      <w:bookmarkStart w:id="38" w:name="_Toc15377216"/>
    </w:p>
    <w:p>
      <w:pPr>
        <w:spacing w:line="576" w:lineRule="exact"/>
        <w:ind w:firstLine="643"/>
        <w:rPr>
          <w:rStyle w:val="18"/>
          <w:rFonts w:ascii="楷体_GB2312" w:hAnsi="黑体" w:eastAsia="楷体_GB2312" w:cs="Times New Roman"/>
        </w:rPr>
      </w:pPr>
      <w:r>
        <w:rPr>
          <w:rFonts w:hint="eastAsia" w:cs="楷体_GB2312"/>
        </w:rPr>
        <w:t>（一）“三公”经费财政拨款支出决算总体情况说明</w:t>
      </w:r>
      <w:bookmarkEnd w:id="38"/>
    </w:p>
    <w:p>
      <w:pPr>
        <w:spacing w:line="576" w:lineRule="exact"/>
        <w:ind w:firstLine="640"/>
        <w:outlineLvl w:val="1"/>
        <w:rPr>
          <w:rFonts w:ascii="仿宋_GB2312" w:eastAsia="仿宋_GB2312" w:cs="仿宋_GB2312"/>
          <w:b w:val="0"/>
          <w:bCs w:val="0"/>
          <w:color w:val="333333"/>
        </w:rPr>
      </w:pPr>
      <w:bookmarkStart w:id="39" w:name="_Toc15377217"/>
      <w:r>
        <w:rPr>
          <w:rFonts w:ascii="仿宋_GB2312" w:eastAsia="仿宋_GB2312" w:cs="仿宋_GB2312"/>
          <w:b w:val="0"/>
          <w:bCs w:val="0"/>
          <w:color w:val="333333"/>
        </w:rPr>
        <w:t>2019</w:t>
      </w:r>
      <w:r>
        <w:rPr>
          <w:rFonts w:hint="eastAsia" w:ascii="仿宋_GB2312" w:eastAsia="仿宋_GB2312" w:cs="仿宋_GB2312"/>
          <w:b w:val="0"/>
          <w:bCs w:val="0"/>
          <w:color w:val="333333"/>
        </w:rPr>
        <w:t>年“三公”经费财政拨款支出决算为</w:t>
      </w:r>
      <w:r>
        <w:rPr>
          <w:rFonts w:ascii="仿宋_GB2312" w:eastAsia="仿宋_GB2312" w:cs="仿宋_GB2312"/>
          <w:b w:val="0"/>
          <w:bCs w:val="0"/>
          <w:color w:val="333333"/>
        </w:rPr>
        <w:t>0.12</w:t>
      </w:r>
      <w:r>
        <w:rPr>
          <w:rFonts w:hint="eastAsia" w:ascii="仿宋_GB2312" w:eastAsia="仿宋_GB2312" w:cs="仿宋_GB2312"/>
          <w:b w:val="0"/>
          <w:bCs w:val="0"/>
          <w:color w:val="333333"/>
        </w:rPr>
        <w:t>万元，</w:t>
      </w:r>
      <w:r>
        <w:rPr>
          <w:rStyle w:val="15"/>
          <w:rFonts w:hint="eastAsia" w:ascii="仿宋_GB2312" w:hAnsi="仿宋" w:eastAsia="仿宋_GB2312" w:cs="仿宋"/>
          <w:b w:val="0"/>
          <w:bCs w:val="0"/>
          <w:color w:val="000000"/>
        </w:rPr>
        <w:t>完成预算</w:t>
      </w:r>
      <w:r>
        <w:rPr>
          <w:rStyle w:val="15"/>
          <w:rFonts w:ascii="仿宋_GB2312" w:hAnsi="仿宋" w:eastAsia="仿宋_GB2312" w:cs="仿宋"/>
          <w:b w:val="0"/>
          <w:bCs w:val="0"/>
          <w:color w:val="000000"/>
        </w:rPr>
        <w:t>100%</w:t>
      </w:r>
      <w:r>
        <w:rPr>
          <w:rFonts w:hint="eastAsia" w:ascii="仿宋_GB2312" w:eastAsia="仿宋_GB2312" w:cs="仿宋_GB2312"/>
          <w:b w:val="0"/>
          <w:bCs w:val="0"/>
          <w:color w:val="333333"/>
        </w:rPr>
        <w:t>。</w:t>
      </w:r>
    </w:p>
    <w:p>
      <w:pPr>
        <w:spacing w:line="576" w:lineRule="exact"/>
        <w:ind w:firstLine="643"/>
        <w:rPr>
          <w:rFonts w:cs="楷体_GB2312"/>
        </w:rPr>
      </w:pPr>
      <w:r>
        <w:rPr>
          <w:rFonts w:hint="eastAsia" w:cs="楷体_GB2312"/>
        </w:rPr>
        <w:t>（二）“三公”经费财政拨款支出决算具体情况说明</w:t>
      </w:r>
      <w:bookmarkEnd w:id="39"/>
    </w:p>
    <w:p>
      <w:pPr>
        <w:spacing w:line="576" w:lineRule="exact"/>
        <w:ind w:firstLine="640"/>
        <w:outlineLvl w:val="1"/>
        <w:rPr>
          <w:rFonts w:ascii="仿宋_GB2312" w:eastAsia="仿宋_GB2312" w:cs="仿宋_GB2312"/>
          <w:b w:val="0"/>
          <w:bCs w:val="0"/>
          <w:color w:val="333333"/>
        </w:rPr>
      </w:pPr>
      <w:r>
        <w:rPr>
          <w:rFonts w:ascii="仿宋_GB2312" w:eastAsia="仿宋_GB2312" w:cs="仿宋_GB2312"/>
          <w:b w:val="0"/>
          <w:bCs w:val="0"/>
          <w:color w:val="333333"/>
        </w:rPr>
        <w:t>2019</w:t>
      </w:r>
      <w:r>
        <w:rPr>
          <w:rFonts w:hint="eastAsia" w:ascii="仿宋_GB2312" w:eastAsia="仿宋_GB2312" w:cs="仿宋_GB2312"/>
          <w:b w:val="0"/>
          <w:bCs w:val="0"/>
          <w:color w:val="333333"/>
        </w:rPr>
        <w:t>年“三公”经费财政拨款支出决算中，因公出国（境）费支出决算</w:t>
      </w:r>
      <w:r>
        <w:rPr>
          <w:rFonts w:ascii="仿宋_GB2312" w:eastAsia="仿宋_GB2312" w:cs="仿宋_GB2312"/>
          <w:b w:val="0"/>
          <w:bCs w:val="0"/>
          <w:color w:val="333333"/>
        </w:rPr>
        <w:t>0</w:t>
      </w:r>
      <w:r>
        <w:rPr>
          <w:rFonts w:hint="eastAsia" w:ascii="仿宋_GB2312" w:eastAsia="仿宋_GB2312" w:cs="仿宋_GB2312"/>
          <w:b w:val="0"/>
          <w:bCs w:val="0"/>
          <w:color w:val="333333"/>
        </w:rPr>
        <w:t>万元；公务用车购置及运行维护费支出决算</w:t>
      </w:r>
      <w:r>
        <w:rPr>
          <w:rFonts w:ascii="仿宋_GB2312" w:eastAsia="仿宋_GB2312" w:cs="仿宋_GB2312"/>
          <w:b w:val="0"/>
          <w:bCs w:val="0"/>
          <w:color w:val="333333"/>
        </w:rPr>
        <w:t>0</w:t>
      </w:r>
      <w:r>
        <w:rPr>
          <w:rFonts w:hint="eastAsia" w:ascii="仿宋_GB2312" w:eastAsia="仿宋_GB2312" w:cs="仿宋_GB2312"/>
          <w:b w:val="0"/>
          <w:bCs w:val="0"/>
          <w:color w:val="333333"/>
        </w:rPr>
        <w:t>万元；公务接待费支出决算</w:t>
      </w:r>
      <w:r>
        <w:rPr>
          <w:rFonts w:ascii="仿宋_GB2312" w:eastAsia="仿宋_GB2312" w:cs="仿宋_GB2312"/>
          <w:b w:val="0"/>
          <w:bCs w:val="0"/>
          <w:color w:val="333333"/>
        </w:rPr>
        <w:t>0.12</w:t>
      </w:r>
      <w:r>
        <w:rPr>
          <w:rFonts w:hint="eastAsia" w:ascii="仿宋_GB2312" w:eastAsia="仿宋_GB2312" w:cs="仿宋_GB2312"/>
          <w:b w:val="0"/>
          <w:bCs w:val="0"/>
          <w:color w:val="333333"/>
        </w:rPr>
        <w:t>万元，占</w:t>
      </w:r>
      <w:r>
        <w:rPr>
          <w:rFonts w:ascii="仿宋_GB2312" w:eastAsia="仿宋_GB2312" w:cs="仿宋_GB2312"/>
          <w:b w:val="0"/>
          <w:bCs w:val="0"/>
          <w:color w:val="333333"/>
        </w:rPr>
        <w:t>100%</w:t>
      </w:r>
      <w:r>
        <w:rPr>
          <w:rFonts w:hint="eastAsia" w:ascii="仿宋_GB2312" w:eastAsia="仿宋_GB2312" w:cs="仿宋_GB2312"/>
          <w:b w:val="0"/>
          <w:bCs w:val="0"/>
          <w:color w:val="333333"/>
        </w:rPr>
        <w:t>。具体情况如下：</w:t>
      </w:r>
    </w:p>
    <w:p>
      <w:pPr>
        <w:spacing w:line="576" w:lineRule="exact"/>
        <w:ind w:firstLine="640"/>
        <w:rPr>
          <w:rFonts w:ascii="宋体" w:cs="宋体"/>
          <w:color w:val="000000"/>
          <w:kern w:val="0"/>
          <w:sz w:val="28"/>
          <w:szCs w:val="28"/>
        </w:rPr>
      </w:pPr>
      <w:r>
        <w:rPr>
          <w:rFonts w:ascii="仿宋" w:hAnsi="仿宋" w:eastAsia="仿宋" w:cs="仿宋"/>
          <w:color w:val="000000"/>
        </w:rPr>
        <w:t xml:space="preserve"> </w:t>
      </w:r>
      <w:r>
        <w:rPr>
          <w:rFonts w:hint="eastAsia" w:ascii="仿宋" w:hAnsi="仿宋" w:eastAsia="仿宋" w:cs="仿宋"/>
          <w:color w:val="000000"/>
        </w:rPr>
        <w:t>“</w:t>
      </w:r>
      <w:r>
        <w:rPr>
          <w:rFonts w:hint="eastAsia" w:cs="楷体_GB2312"/>
        </w:rPr>
        <w:t>三公”经费财政拨款支出结构图（单位：万元）</w:t>
      </w:r>
    </w:p>
    <w:p>
      <w:pPr>
        <w:ind w:firstLine="0" w:firstLineChars="0"/>
        <w:rPr>
          <w:rFonts w:ascii="仿宋" w:hAnsi="仿宋" w:eastAsia="仿宋"/>
          <w:color w:val="000000"/>
        </w:rPr>
      </w:pPr>
      <w:r>
        <w:rPr>
          <w:rFonts w:ascii="仿宋_GB2312" w:hAnsi="仿宋" w:eastAsia="仿宋_GB2312"/>
          <w:b w:val="0"/>
          <w:bCs w:val="0"/>
          <w:color w:val="000000"/>
        </w:rPr>
        <w:object>
          <v:shape id="_x0000_i1030" o:spt="75" type="#_x0000_t75" style="height:246pt;width:402pt;" o:ole="t" filled="f" o:preferrelative="t" stroked="f" coordsize="21600,21600">
            <v:path/>
            <v:fill on="f" focussize="0,0"/>
            <v:stroke on="f" joinstyle="miter"/>
            <v:imagedata r:id="rId21" o:title=""/>
            <o:lock v:ext="edit" aspectratio="f"/>
            <w10:wrap type="none"/>
            <w10:anchorlock/>
          </v:shape>
          <o:OLEObject Type="Embed" ProgID="Excel.Chart.8" ShapeID="_x0000_i1030" DrawAspect="Content" ObjectID="_1468075730" r:id="rId20">
            <o:LockedField>false</o:LockedField>
          </o:OLEObject>
        </w:object>
      </w:r>
    </w:p>
    <w:p>
      <w:pPr>
        <w:numPr>
          <w:ilvl w:val="0"/>
          <w:numId w:val="2"/>
        </w:numPr>
        <w:spacing w:line="576" w:lineRule="exact"/>
        <w:ind w:firstLine="640" w:firstLineChars="0"/>
        <w:rPr>
          <w:rFonts w:ascii="仿宋_GB2312" w:eastAsia="仿宋_GB2312" w:cs="仿宋_GB2312"/>
          <w:b w:val="0"/>
          <w:bCs w:val="0"/>
          <w:color w:val="333333"/>
        </w:rPr>
      </w:pPr>
      <w:r>
        <w:rPr>
          <w:rFonts w:hint="eastAsia" w:ascii="仿宋_GB2312" w:eastAsia="仿宋_GB2312" w:cs="仿宋_GB2312"/>
          <w:b w:val="0"/>
          <w:bCs w:val="0"/>
          <w:color w:val="333333"/>
        </w:rPr>
        <w:t>因公出国（境）经费支出</w:t>
      </w:r>
      <w:r>
        <w:rPr>
          <w:rFonts w:ascii="仿宋_GB2312" w:eastAsia="仿宋_GB2312" w:cs="仿宋_GB2312"/>
          <w:b w:val="0"/>
          <w:bCs w:val="0"/>
          <w:color w:val="333333"/>
        </w:rPr>
        <w:t>0</w:t>
      </w:r>
      <w:r>
        <w:rPr>
          <w:rFonts w:hint="eastAsia" w:ascii="仿宋_GB2312" w:eastAsia="仿宋_GB2312" w:cs="仿宋_GB2312"/>
          <w:b w:val="0"/>
          <w:bCs w:val="0"/>
          <w:color w:val="333333"/>
        </w:rPr>
        <w:t>万元</w:t>
      </w:r>
      <w:r>
        <w:rPr>
          <w:rFonts w:hint="eastAsia" w:ascii="仿宋_GB2312" w:eastAsia="仿宋_GB2312" w:cs="仿宋_GB2312"/>
          <w:color w:val="333333"/>
        </w:rPr>
        <w:t>。</w:t>
      </w:r>
      <w:r>
        <w:rPr>
          <w:rFonts w:hint="eastAsia" w:ascii="仿宋_GB2312" w:eastAsia="仿宋_GB2312" w:cs="仿宋_GB2312"/>
          <w:b w:val="0"/>
          <w:bCs w:val="0"/>
          <w:color w:val="333333"/>
        </w:rPr>
        <w:t>全年安排因公出国（境）团组</w:t>
      </w:r>
      <w:r>
        <w:rPr>
          <w:rFonts w:ascii="仿宋_GB2312" w:eastAsia="仿宋_GB2312" w:cs="仿宋_GB2312"/>
          <w:b w:val="0"/>
          <w:bCs w:val="0"/>
          <w:color w:val="333333"/>
        </w:rPr>
        <w:t>0</w:t>
      </w:r>
      <w:r>
        <w:rPr>
          <w:rFonts w:hint="eastAsia" w:ascii="仿宋_GB2312" w:eastAsia="仿宋_GB2312" w:cs="仿宋_GB2312"/>
          <w:b w:val="0"/>
          <w:bCs w:val="0"/>
          <w:color w:val="333333"/>
        </w:rPr>
        <w:t>次，出国（境）</w:t>
      </w:r>
      <w:r>
        <w:rPr>
          <w:rFonts w:ascii="仿宋_GB2312" w:eastAsia="仿宋_GB2312" w:cs="仿宋_GB2312"/>
          <w:b w:val="0"/>
          <w:bCs w:val="0"/>
          <w:color w:val="333333"/>
        </w:rPr>
        <w:t>0</w:t>
      </w:r>
      <w:r>
        <w:rPr>
          <w:rFonts w:hint="eastAsia" w:ascii="仿宋_GB2312" w:eastAsia="仿宋_GB2312" w:cs="仿宋_GB2312"/>
          <w:b w:val="0"/>
          <w:bCs w:val="0"/>
          <w:color w:val="333333"/>
        </w:rPr>
        <w:t>人。</w:t>
      </w:r>
    </w:p>
    <w:p>
      <w:pPr>
        <w:numPr>
          <w:ilvl w:val="0"/>
          <w:numId w:val="2"/>
        </w:numPr>
        <w:spacing w:line="576" w:lineRule="exact"/>
        <w:ind w:firstLine="640" w:firstLineChars="0"/>
        <w:rPr>
          <w:rFonts w:ascii="仿宋_GB2312" w:eastAsia="仿宋_GB2312" w:cs="仿宋_GB2312"/>
          <w:b w:val="0"/>
          <w:bCs w:val="0"/>
          <w:color w:val="333333"/>
        </w:rPr>
      </w:pPr>
      <w:r>
        <w:rPr>
          <w:rFonts w:hint="eastAsia" w:ascii="仿宋_GB2312" w:eastAsia="仿宋_GB2312" w:cs="仿宋_GB2312"/>
          <w:b w:val="0"/>
          <w:bCs w:val="0"/>
          <w:color w:val="333333"/>
        </w:rPr>
        <w:t>公务用车购置及运行维护费支出</w:t>
      </w:r>
      <w:r>
        <w:rPr>
          <w:rFonts w:ascii="仿宋_GB2312" w:eastAsia="仿宋_GB2312" w:cs="仿宋_GB2312"/>
          <w:b w:val="0"/>
          <w:bCs w:val="0"/>
          <w:color w:val="333333"/>
        </w:rPr>
        <w:t>0</w:t>
      </w:r>
      <w:r>
        <w:rPr>
          <w:rFonts w:hint="eastAsia" w:ascii="仿宋_GB2312" w:eastAsia="仿宋_GB2312" w:cs="仿宋_GB2312"/>
          <w:b w:val="0"/>
          <w:bCs w:val="0"/>
          <w:color w:val="333333"/>
        </w:rPr>
        <w:t>万元。</w:t>
      </w:r>
    </w:p>
    <w:p>
      <w:pPr>
        <w:numPr>
          <w:ilvl w:val="0"/>
          <w:numId w:val="2"/>
        </w:numPr>
        <w:spacing w:line="576" w:lineRule="exact"/>
        <w:ind w:firstLine="640" w:firstLineChars="0"/>
        <w:rPr>
          <w:rFonts w:ascii="仿宋_GB2312" w:eastAsia="仿宋_GB2312" w:cs="仿宋_GB2312"/>
          <w:b w:val="0"/>
          <w:bCs w:val="0"/>
          <w:color w:val="333333"/>
        </w:rPr>
      </w:pPr>
      <w:r>
        <w:rPr>
          <w:rFonts w:hint="eastAsia" w:ascii="仿宋_GB2312" w:eastAsia="仿宋_GB2312" w:cs="仿宋_GB2312"/>
          <w:b w:val="0"/>
          <w:bCs w:val="0"/>
          <w:color w:val="333333"/>
        </w:rPr>
        <w:t>公务接待费支出</w:t>
      </w:r>
      <w:r>
        <w:rPr>
          <w:rFonts w:ascii="仿宋_GB2312" w:eastAsia="仿宋_GB2312" w:cs="仿宋_GB2312"/>
          <w:b w:val="0"/>
          <w:bCs w:val="0"/>
          <w:color w:val="333333"/>
        </w:rPr>
        <w:t>0.12</w:t>
      </w:r>
      <w:r>
        <w:rPr>
          <w:rFonts w:hint="eastAsia" w:ascii="仿宋_GB2312" w:eastAsia="仿宋_GB2312" w:cs="仿宋_GB2312"/>
          <w:b w:val="0"/>
          <w:bCs w:val="0"/>
          <w:color w:val="333333"/>
        </w:rPr>
        <w:t>万元，</w:t>
      </w:r>
      <w:r>
        <w:rPr>
          <w:rFonts w:hint="eastAsia" w:ascii="仿宋_GB2312" w:eastAsia="仿宋_GB2312" w:cs="仿宋_GB2312"/>
          <w:b w:val="0"/>
          <w:color w:val="333333"/>
        </w:rPr>
        <w:t>完成预算</w:t>
      </w:r>
      <w:r>
        <w:rPr>
          <w:rFonts w:ascii="仿宋_GB2312" w:eastAsia="仿宋_GB2312" w:cs="仿宋_GB2312"/>
          <w:b w:val="0"/>
          <w:color w:val="333333"/>
        </w:rPr>
        <w:t>100%</w:t>
      </w:r>
      <w:r>
        <w:rPr>
          <w:rFonts w:hint="eastAsia" w:ascii="仿宋_GB2312" w:eastAsia="仿宋_GB2312" w:cs="仿宋_GB2312"/>
          <w:color w:val="333333"/>
        </w:rPr>
        <w:t>。</w:t>
      </w:r>
      <w:r>
        <w:rPr>
          <w:rFonts w:hint="eastAsia" w:ascii="仿宋_GB2312" w:eastAsia="仿宋_GB2312" w:cs="仿宋_GB2312"/>
          <w:b w:val="0"/>
          <w:bCs w:val="0"/>
          <w:color w:val="333333"/>
        </w:rPr>
        <w:t>公务接待费支出决算比</w:t>
      </w:r>
      <w:r>
        <w:rPr>
          <w:rFonts w:ascii="仿宋_GB2312" w:eastAsia="仿宋_GB2312" w:cs="仿宋_GB2312"/>
          <w:b w:val="0"/>
          <w:bCs w:val="0"/>
          <w:color w:val="333333"/>
        </w:rPr>
        <w:t>2018</w:t>
      </w:r>
      <w:r>
        <w:rPr>
          <w:rFonts w:hint="eastAsia" w:ascii="仿宋_GB2312" w:eastAsia="仿宋_GB2312" w:cs="仿宋_GB2312"/>
          <w:b w:val="0"/>
          <w:bCs w:val="0"/>
          <w:color w:val="333333"/>
        </w:rPr>
        <w:t>年增加</w:t>
      </w:r>
      <w:r>
        <w:rPr>
          <w:rFonts w:ascii="仿宋_GB2312" w:eastAsia="仿宋_GB2312" w:cs="仿宋_GB2312"/>
          <w:b w:val="0"/>
          <w:bCs w:val="0"/>
          <w:color w:val="333333"/>
        </w:rPr>
        <w:t>0.12</w:t>
      </w:r>
      <w:r>
        <w:rPr>
          <w:rFonts w:hint="eastAsia" w:ascii="仿宋_GB2312" w:eastAsia="仿宋_GB2312" w:cs="仿宋_GB2312"/>
          <w:b w:val="0"/>
          <w:bCs w:val="0"/>
          <w:color w:val="333333"/>
        </w:rPr>
        <w:t>万元，主要原因是接待人员增加。</w:t>
      </w:r>
    </w:p>
    <w:p>
      <w:pPr>
        <w:spacing w:line="576" w:lineRule="exact"/>
        <w:ind w:firstLine="640"/>
        <w:rPr>
          <w:rFonts w:ascii="仿宋_GB2312" w:eastAsia="仿宋_GB2312" w:cs="仿宋_GB2312"/>
          <w:b w:val="0"/>
          <w:bCs w:val="0"/>
          <w:color w:val="333333"/>
        </w:rPr>
      </w:pPr>
      <w:r>
        <w:rPr>
          <w:rFonts w:hint="eastAsia" w:ascii="仿宋_GB2312" w:eastAsia="仿宋_GB2312" w:cs="仿宋_GB2312"/>
          <w:b w:val="0"/>
          <w:bCs w:val="0"/>
          <w:color w:val="333333"/>
        </w:rPr>
        <w:t>主要用于本单位接待阿坝州成都商会餐费。国内公务接待</w:t>
      </w:r>
      <w:r>
        <w:rPr>
          <w:rFonts w:ascii="仿宋_GB2312" w:eastAsia="仿宋_GB2312" w:cs="仿宋_GB2312"/>
          <w:b w:val="0"/>
          <w:bCs w:val="0"/>
          <w:color w:val="333333"/>
        </w:rPr>
        <w:t>1</w:t>
      </w:r>
      <w:r>
        <w:rPr>
          <w:rFonts w:hint="eastAsia" w:ascii="仿宋_GB2312" w:eastAsia="仿宋_GB2312" w:cs="仿宋_GB2312"/>
          <w:b w:val="0"/>
          <w:bCs w:val="0"/>
          <w:color w:val="333333"/>
        </w:rPr>
        <w:t>批次，</w:t>
      </w:r>
      <w:r>
        <w:rPr>
          <w:rFonts w:ascii="仿宋_GB2312" w:eastAsia="仿宋_GB2312" w:cs="仿宋_GB2312"/>
          <w:b w:val="0"/>
          <w:bCs w:val="0"/>
          <w:color w:val="333333"/>
        </w:rPr>
        <w:t>15</w:t>
      </w:r>
      <w:r>
        <w:rPr>
          <w:rFonts w:hint="eastAsia" w:ascii="仿宋_GB2312" w:eastAsia="仿宋_GB2312" w:cs="仿宋_GB2312"/>
          <w:b w:val="0"/>
          <w:bCs w:val="0"/>
          <w:color w:val="333333"/>
        </w:rPr>
        <w:t>人次（不包括陪同人员），共计支出</w:t>
      </w:r>
      <w:r>
        <w:rPr>
          <w:rFonts w:ascii="仿宋_GB2312" w:eastAsia="仿宋_GB2312" w:cs="仿宋_GB2312"/>
          <w:b w:val="0"/>
          <w:bCs w:val="0"/>
          <w:color w:val="333333"/>
        </w:rPr>
        <w:t>0.12</w:t>
      </w:r>
      <w:r>
        <w:rPr>
          <w:rFonts w:hint="eastAsia" w:ascii="仿宋_GB2312" w:eastAsia="仿宋_GB2312" w:cs="仿宋_GB2312"/>
          <w:b w:val="0"/>
          <w:bCs w:val="0"/>
          <w:color w:val="333333"/>
        </w:rPr>
        <w:t>万元。</w:t>
      </w:r>
    </w:p>
    <w:p>
      <w:pPr>
        <w:spacing w:line="576" w:lineRule="exact"/>
        <w:ind w:firstLine="640"/>
        <w:rPr>
          <w:rFonts w:ascii="仿宋_GB2312" w:eastAsia="仿宋_GB2312" w:cs="仿宋_GB2312"/>
          <w:b w:val="0"/>
          <w:bCs w:val="0"/>
          <w:color w:val="333333"/>
        </w:rPr>
      </w:pPr>
      <w:r>
        <w:rPr>
          <w:rFonts w:hint="eastAsia" w:ascii="仿宋_GB2312" w:eastAsia="仿宋_GB2312" w:cs="仿宋_GB2312"/>
          <w:b w:val="0"/>
          <w:bCs w:val="0"/>
          <w:color w:val="333333"/>
        </w:rPr>
        <w:t>其他国内公务接待支出</w:t>
      </w:r>
      <w:r>
        <w:rPr>
          <w:rFonts w:ascii="仿宋_GB2312" w:eastAsia="仿宋_GB2312" w:cs="仿宋_GB2312"/>
          <w:b w:val="0"/>
          <w:bCs w:val="0"/>
          <w:color w:val="333333"/>
        </w:rPr>
        <w:t>0</w:t>
      </w:r>
      <w:r>
        <w:rPr>
          <w:rFonts w:hint="eastAsia" w:ascii="仿宋_GB2312" w:eastAsia="仿宋_GB2312" w:cs="仿宋_GB2312"/>
          <w:b w:val="0"/>
          <w:bCs w:val="0"/>
          <w:color w:val="333333"/>
        </w:rPr>
        <w:t>万元。</w:t>
      </w:r>
    </w:p>
    <w:p>
      <w:pPr>
        <w:pStyle w:val="3"/>
        <w:ind w:firstLine="640"/>
        <w:rPr>
          <w:rFonts w:cs="Times New Roman"/>
        </w:rPr>
      </w:pPr>
      <w:bookmarkStart w:id="40" w:name="_Toc20222286"/>
      <w:r>
        <w:rPr>
          <w:rFonts w:hint="eastAsia" w:cs="黑体"/>
        </w:rPr>
        <w:t>八、政府性基金预算财政拨款支出决算情况</w:t>
      </w:r>
      <w:bookmarkEnd w:id="40"/>
    </w:p>
    <w:p>
      <w:pPr>
        <w:spacing w:line="576" w:lineRule="exact"/>
        <w:ind w:firstLine="640"/>
        <w:rPr>
          <w:rFonts w:ascii="仿宋_GB2312" w:eastAsia="仿宋_GB2312"/>
          <w:b w:val="0"/>
          <w:bCs w:val="0"/>
          <w:color w:val="333333"/>
        </w:rPr>
      </w:pPr>
      <w:r>
        <w:rPr>
          <w:rFonts w:hint="eastAsia" w:ascii="仿宋_GB2312" w:eastAsia="仿宋_GB2312" w:cs="仿宋_GB2312"/>
          <w:b w:val="0"/>
          <w:bCs w:val="0"/>
          <w:color w:val="000000"/>
        </w:rPr>
        <w:t>茂县工商联</w:t>
      </w:r>
      <w:r>
        <w:rPr>
          <w:rFonts w:ascii="仿宋_GB2312" w:eastAsia="仿宋_GB2312" w:cs="仿宋_GB2312"/>
          <w:b w:val="0"/>
          <w:bCs w:val="0"/>
          <w:color w:val="000000"/>
        </w:rPr>
        <w:t>2019</w:t>
      </w:r>
      <w:r>
        <w:rPr>
          <w:rFonts w:hint="eastAsia" w:ascii="仿宋_GB2312" w:eastAsia="仿宋_GB2312" w:cs="仿宋_GB2312"/>
          <w:b w:val="0"/>
          <w:bCs w:val="0"/>
          <w:color w:val="000000"/>
        </w:rPr>
        <w:t>年无政府性基金预算财政拨款支出</w:t>
      </w:r>
      <w:r>
        <w:rPr>
          <w:rFonts w:hint="eastAsia" w:ascii="仿宋_GB2312" w:eastAsia="仿宋_GB2312" w:cs="仿宋_GB2312"/>
          <w:b w:val="0"/>
          <w:bCs w:val="0"/>
          <w:color w:val="333333"/>
        </w:rPr>
        <w:t>经费</w:t>
      </w:r>
      <w:bookmarkStart w:id="41" w:name="_Toc15396611"/>
      <w:bookmarkStart w:id="42" w:name="_Toc15377219"/>
      <w:r>
        <w:rPr>
          <w:rFonts w:hint="eastAsia" w:ascii="仿宋_GB2312" w:eastAsia="仿宋_GB2312" w:cs="仿宋_GB2312"/>
          <w:b w:val="0"/>
          <w:bCs w:val="0"/>
          <w:color w:val="333333"/>
        </w:rPr>
        <w:t>。</w:t>
      </w:r>
    </w:p>
    <w:p>
      <w:pPr>
        <w:pStyle w:val="3"/>
        <w:ind w:firstLine="640"/>
        <w:rPr>
          <w:rStyle w:val="18"/>
          <w:rFonts w:ascii="黑体" w:cs="Times New Roman"/>
        </w:rPr>
      </w:pPr>
      <w:bookmarkStart w:id="43" w:name="_Toc20222287"/>
      <w:r>
        <w:rPr>
          <w:rStyle w:val="18"/>
          <w:rFonts w:hint="eastAsia" w:ascii="黑体" w:hAnsi="黑体" w:cs="黑体"/>
        </w:rPr>
        <w:t>九、国有资本经营预算支出决算</w:t>
      </w:r>
      <w:bookmarkEnd w:id="43"/>
    </w:p>
    <w:p>
      <w:pPr>
        <w:spacing w:line="576" w:lineRule="exact"/>
        <w:ind w:firstLine="640"/>
        <w:rPr>
          <w:rStyle w:val="18"/>
          <w:rFonts w:ascii="仿宋_GB2312" w:hAnsi="黑体" w:eastAsia="仿宋_GB2312" w:cs="Times New Roman"/>
          <w:b w:val="0"/>
          <w:bCs w:val="0"/>
        </w:rPr>
      </w:pPr>
      <w:r>
        <w:rPr>
          <w:rFonts w:hint="eastAsia" w:ascii="仿宋_GB2312" w:eastAsia="仿宋_GB2312" w:cs="仿宋_GB2312"/>
          <w:b w:val="0"/>
          <w:bCs w:val="0"/>
          <w:color w:val="000000"/>
        </w:rPr>
        <w:t>茂县工商联</w:t>
      </w:r>
      <w:r>
        <w:rPr>
          <w:rFonts w:ascii="仿宋_GB2312" w:eastAsia="仿宋_GB2312" w:cs="仿宋_GB2312"/>
          <w:b w:val="0"/>
          <w:bCs w:val="0"/>
          <w:color w:val="000000"/>
        </w:rPr>
        <w:t>2019</w:t>
      </w:r>
      <w:r>
        <w:rPr>
          <w:rFonts w:hint="eastAsia" w:ascii="仿宋_GB2312" w:eastAsia="仿宋_GB2312" w:cs="仿宋_GB2312"/>
          <w:b w:val="0"/>
          <w:bCs w:val="0"/>
          <w:color w:val="000000"/>
        </w:rPr>
        <w:t>年无</w:t>
      </w:r>
      <w:bookmarkEnd w:id="41"/>
      <w:bookmarkEnd w:id="42"/>
      <w:r>
        <w:rPr>
          <w:rStyle w:val="18"/>
          <w:rFonts w:hint="eastAsia" w:ascii="仿宋_GB2312" w:hAnsi="黑体" w:eastAsia="仿宋_GB2312" w:cs="仿宋_GB2312"/>
          <w:b w:val="0"/>
          <w:bCs w:val="0"/>
        </w:rPr>
        <w:t>国有资本经营预算支出。</w:t>
      </w:r>
    </w:p>
    <w:p>
      <w:pPr>
        <w:pStyle w:val="3"/>
        <w:ind w:firstLine="640"/>
        <w:rPr>
          <w:rStyle w:val="18"/>
          <w:rFonts w:cs="黑体"/>
        </w:rPr>
      </w:pPr>
      <w:bookmarkStart w:id="44" w:name="_Toc20222289"/>
      <w:bookmarkStart w:id="45" w:name="_Toc15377221"/>
      <w:bookmarkStart w:id="46" w:name="_Toc15396612"/>
      <w:r>
        <w:rPr>
          <w:rStyle w:val="18"/>
          <w:rFonts w:hint="eastAsia" w:ascii="黑体" w:hAnsi="黑体" w:cs="黑体"/>
        </w:rPr>
        <w:t>十</w:t>
      </w:r>
      <w:r>
        <w:rPr>
          <w:rStyle w:val="18"/>
          <w:rFonts w:hint="eastAsia" w:cs="黑体"/>
        </w:rPr>
        <w:t>、其他重要事项的情况说明</w:t>
      </w:r>
      <w:bookmarkEnd w:id="44"/>
      <w:bookmarkEnd w:id="45"/>
      <w:bookmarkEnd w:id="46"/>
      <w:bookmarkStart w:id="47" w:name="_Toc15377222"/>
    </w:p>
    <w:p>
      <w:pPr>
        <w:spacing w:line="576" w:lineRule="exact"/>
        <w:ind w:firstLine="643"/>
        <w:outlineLvl w:val="2"/>
        <w:rPr>
          <w:rFonts w:ascii="楷体_GB2312" w:hAnsi="仿宋"/>
          <w:color w:val="000000"/>
        </w:rPr>
      </w:pPr>
      <w:bookmarkStart w:id="48" w:name="_Toc20222290"/>
      <w:r>
        <w:rPr>
          <w:rFonts w:hint="eastAsia" w:ascii="楷体_GB2312" w:hAnsi="仿宋" w:cs="楷体_GB2312"/>
          <w:color w:val="000000"/>
        </w:rPr>
        <w:t>（一）机关运行经费支出情况</w:t>
      </w:r>
      <w:bookmarkEnd w:id="47"/>
      <w:bookmarkEnd w:id="48"/>
    </w:p>
    <w:p>
      <w:pPr>
        <w:spacing w:line="576" w:lineRule="exact"/>
        <w:ind w:firstLine="640"/>
        <w:rPr>
          <w:rFonts w:ascii="仿宋_GB2312" w:eastAsia="仿宋_GB2312" w:cs="仿宋_GB2312"/>
          <w:color w:val="000000"/>
        </w:rPr>
      </w:pPr>
      <w:r>
        <w:rPr>
          <w:rFonts w:ascii="仿宋_GB2312" w:eastAsia="仿宋_GB2312" w:cs="仿宋_GB2312"/>
          <w:b w:val="0"/>
          <w:bCs w:val="0"/>
          <w:color w:val="000000"/>
        </w:rPr>
        <w:t>2019</w:t>
      </w:r>
      <w:r>
        <w:rPr>
          <w:rFonts w:hint="eastAsia" w:ascii="仿宋_GB2312" w:eastAsia="仿宋_GB2312" w:cs="仿宋_GB2312"/>
          <w:b w:val="0"/>
          <w:bCs w:val="0"/>
          <w:color w:val="000000"/>
        </w:rPr>
        <w:t>年，工商联机关运行经费支出</w:t>
      </w:r>
      <w:r>
        <w:rPr>
          <w:rFonts w:ascii="仿宋_GB2312" w:eastAsia="仿宋_GB2312" w:cs="仿宋_GB2312"/>
          <w:b w:val="0"/>
          <w:bCs w:val="0"/>
          <w:color w:val="000000"/>
        </w:rPr>
        <w:t>4.52</w:t>
      </w:r>
      <w:r>
        <w:rPr>
          <w:rFonts w:hint="eastAsia" w:ascii="仿宋_GB2312" w:eastAsia="仿宋_GB2312" w:cs="仿宋_GB2312"/>
          <w:b w:val="0"/>
          <w:bCs w:val="0"/>
          <w:color w:val="000000"/>
        </w:rPr>
        <w:t>万元，比</w:t>
      </w:r>
      <w:r>
        <w:rPr>
          <w:rFonts w:ascii="仿宋_GB2312" w:eastAsia="仿宋_GB2312" w:cs="仿宋_GB2312"/>
          <w:b w:val="0"/>
          <w:bCs w:val="0"/>
          <w:color w:val="000000"/>
        </w:rPr>
        <w:t>2018</w:t>
      </w:r>
      <w:r>
        <w:rPr>
          <w:rFonts w:hint="eastAsia" w:ascii="仿宋_GB2312" w:eastAsia="仿宋_GB2312" w:cs="仿宋_GB2312"/>
          <w:b w:val="0"/>
          <w:bCs w:val="0"/>
          <w:color w:val="000000"/>
        </w:rPr>
        <w:t>年减少</w:t>
      </w:r>
      <w:r>
        <w:rPr>
          <w:rFonts w:ascii="仿宋_GB2312" w:eastAsia="仿宋_GB2312" w:cs="仿宋_GB2312"/>
          <w:b w:val="0"/>
          <w:bCs w:val="0"/>
          <w:color w:val="000000"/>
        </w:rPr>
        <w:t>0.27</w:t>
      </w:r>
      <w:r>
        <w:rPr>
          <w:rFonts w:hint="eastAsia" w:ascii="仿宋_GB2312" w:eastAsia="仿宋_GB2312" w:cs="仿宋_GB2312"/>
          <w:b w:val="0"/>
          <w:bCs w:val="0"/>
          <w:color w:val="000000"/>
        </w:rPr>
        <w:t>万元，下降</w:t>
      </w:r>
      <w:r>
        <w:rPr>
          <w:rFonts w:ascii="仿宋_GB2312" w:eastAsia="仿宋_GB2312" w:cs="仿宋_GB2312"/>
          <w:b w:val="0"/>
          <w:bCs w:val="0"/>
          <w:color w:val="000000"/>
        </w:rPr>
        <w:t>5.64%</w:t>
      </w:r>
      <w:r>
        <w:rPr>
          <w:rFonts w:hint="eastAsia" w:ascii="仿宋_GB2312" w:eastAsia="仿宋_GB2312" w:cs="仿宋_GB2312"/>
          <w:b w:val="0"/>
          <w:bCs w:val="0"/>
          <w:color w:val="000000"/>
        </w:rPr>
        <w:t>，主要原因是单位节约支出。</w:t>
      </w:r>
      <w:bookmarkStart w:id="49" w:name="_Toc15377223"/>
      <w:r>
        <w:rPr>
          <w:rFonts w:ascii="仿宋_GB2312" w:eastAsia="仿宋_GB2312" w:cs="仿宋_GB2312"/>
          <w:b w:val="0"/>
          <w:bCs w:val="0"/>
          <w:color w:val="000000"/>
        </w:rPr>
        <w:t xml:space="preserve">  </w:t>
      </w:r>
      <w:r>
        <w:rPr>
          <w:rFonts w:ascii="仿宋_GB2312" w:eastAsia="仿宋_GB2312" w:cs="仿宋_GB2312"/>
          <w:color w:val="000000"/>
        </w:rPr>
        <w:t xml:space="preserve">           </w:t>
      </w:r>
    </w:p>
    <w:p>
      <w:pPr>
        <w:spacing w:line="576" w:lineRule="exact"/>
        <w:ind w:firstLine="643"/>
        <w:rPr>
          <w:rFonts w:ascii="仿宋" w:hAnsi="仿宋" w:eastAsia="仿宋"/>
          <w:b w:val="0"/>
          <w:bCs w:val="0"/>
          <w:color w:val="000000"/>
        </w:rPr>
      </w:pPr>
      <w:r>
        <w:rPr>
          <w:rFonts w:hint="eastAsia" w:cs="楷体_GB2312"/>
        </w:rPr>
        <w:t>（二）政府采购支出情况</w:t>
      </w:r>
      <w:bookmarkEnd w:id="49"/>
    </w:p>
    <w:p>
      <w:pPr>
        <w:spacing w:line="576" w:lineRule="exact"/>
        <w:ind w:firstLine="640"/>
        <w:rPr>
          <w:rFonts w:ascii="仿宋_GB2312" w:eastAsia="仿宋_GB2312"/>
          <w:b w:val="0"/>
          <w:bCs w:val="0"/>
          <w:color w:val="000000"/>
        </w:rPr>
      </w:pPr>
      <w:r>
        <w:rPr>
          <w:rFonts w:hint="eastAsia" w:ascii="仿宋_GB2312" w:eastAsia="仿宋_GB2312" w:cs="仿宋_GB2312"/>
          <w:b w:val="0"/>
          <w:bCs w:val="0"/>
          <w:color w:val="000000"/>
        </w:rPr>
        <w:t>茂县工商联</w:t>
      </w:r>
      <w:r>
        <w:rPr>
          <w:rFonts w:ascii="仿宋_GB2312" w:eastAsia="仿宋_GB2312" w:cs="仿宋_GB2312"/>
          <w:b w:val="0"/>
          <w:bCs w:val="0"/>
          <w:color w:val="000000"/>
        </w:rPr>
        <w:t>2019</w:t>
      </w:r>
      <w:r>
        <w:rPr>
          <w:rFonts w:hint="eastAsia" w:ascii="仿宋_GB2312" w:eastAsia="仿宋_GB2312" w:cs="仿宋_GB2312"/>
          <w:b w:val="0"/>
          <w:bCs w:val="0"/>
          <w:color w:val="000000"/>
        </w:rPr>
        <w:t>年无</w:t>
      </w:r>
      <w:r>
        <w:rPr>
          <w:rFonts w:hint="eastAsia" w:ascii="仿宋_GB2312" w:hAnsi="仿宋" w:eastAsia="仿宋_GB2312" w:cs="仿宋_GB2312"/>
          <w:b w:val="0"/>
          <w:bCs w:val="0"/>
          <w:color w:val="000000"/>
        </w:rPr>
        <w:t>政府采购支出。</w:t>
      </w:r>
    </w:p>
    <w:p>
      <w:pPr>
        <w:spacing w:line="576" w:lineRule="exact"/>
        <w:ind w:firstLine="643"/>
      </w:pPr>
      <w:bookmarkStart w:id="50" w:name="_Toc15377224"/>
      <w:r>
        <w:rPr>
          <w:rFonts w:hint="eastAsia" w:cs="楷体_GB2312"/>
        </w:rPr>
        <w:t>（三）国有资产占有使用情况</w:t>
      </w:r>
      <w:bookmarkEnd w:id="50"/>
    </w:p>
    <w:p>
      <w:pPr>
        <w:autoSpaceDE w:val="0"/>
        <w:autoSpaceDN w:val="0"/>
        <w:adjustRightInd w:val="0"/>
        <w:spacing w:line="576" w:lineRule="exact"/>
        <w:ind w:firstLine="640"/>
        <w:jc w:val="left"/>
        <w:rPr>
          <w:rFonts w:ascii="仿宋_GB2312" w:eastAsia="仿宋_GB2312" w:cs="仿宋_GB2312"/>
          <w:b w:val="0"/>
          <w:bCs w:val="0"/>
          <w:color w:val="000000"/>
        </w:rPr>
      </w:pPr>
      <w:bookmarkStart w:id="51" w:name="_Toc20222291"/>
      <w:bookmarkStart w:id="52" w:name="_Toc15377225"/>
      <w:bookmarkStart w:id="53" w:name="_Toc15396613"/>
      <w:r>
        <w:rPr>
          <w:rFonts w:hint="eastAsia" w:ascii="仿宋_GB2312" w:eastAsia="仿宋_GB2312" w:cs="仿宋_GB2312"/>
          <w:b w:val="0"/>
          <w:bCs w:val="0"/>
          <w:color w:val="000000"/>
        </w:rPr>
        <w:t>截至</w:t>
      </w:r>
      <w:r>
        <w:rPr>
          <w:rFonts w:ascii="仿宋_GB2312" w:eastAsia="仿宋_GB2312" w:cs="仿宋_GB2312"/>
          <w:b w:val="0"/>
          <w:bCs w:val="0"/>
          <w:color w:val="000000"/>
        </w:rPr>
        <w:t>2019</w:t>
      </w:r>
      <w:r>
        <w:rPr>
          <w:rFonts w:hint="eastAsia" w:ascii="仿宋_GB2312" w:eastAsia="仿宋_GB2312" w:cs="仿宋_GB2312"/>
          <w:b w:val="0"/>
          <w:bCs w:val="0"/>
          <w:color w:val="000000"/>
        </w:rPr>
        <w:t>年</w:t>
      </w:r>
      <w:r>
        <w:rPr>
          <w:rFonts w:ascii="仿宋_GB2312" w:eastAsia="仿宋_GB2312" w:cs="仿宋_GB2312"/>
          <w:b w:val="0"/>
          <w:bCs w:val="0"/>
          <w:color w:val="000000"/>
        </w:rPr>
        <w:t>12</w:t>
      </w:r>
      <w:r>
        <w:rPr>
          <w:rFonts w:hint="eastAsia" w:ascii="仿宋_GB2312" w:eastAsia="仿宋_GB2312" w:cs="仿宋_GB2312"/>
          <w:b w:val="0"/>
          <w:bCs w:val="0"/>
          <w:color w:val="000000"/>
        </w:rPr>
        <w:t>月</w:t>
      </w:r>
      <w:r>
        <w:rPr>
          <w:rFonts w:ascii="仿宋_GB2312" w:eastAsia="仿宋_GB2312" w:cs="仿宋_GB2312"/>
          <w:b w:val="0"/>
          <w:bCs w:val="0"/>
          <w:color w:val="000000"/>
        </w:rPr>
        <w:t>31</w:t>
      </w:r>
      <w:r>
        <w:rPr>
          <w:rFonts w:hint="eastAsia" w:ascii="仿宋_GB2312" w:eastAsia="仿宋_GB2312" w:cs="仿宋_GB2312"/>
          <w:b w:val="0"/>
          <w:bCs w:val="0"/>
          <w:color w:val="000000"/>
        </w:rPr>
        <w:t>日，本部门共有车辆</w:t>
      </w:r>
      <w:r>
        <w:rPr>
          <w:rFonts w:ascii="仿宋_GB2312" w:eastAsia="仿宋_GB2312" w:cs="仿宋_GB2312"/>
          <w:b w:val="0"/>
          <w:bCs w:val="0"/>
          <w:color w:val="000000"/>
        </w:rPr>
        <w:t>0</w:t>
      </w:r>
      <w:r>
        <w:rPr>
          <w:rFonts w:hint="eastAsia" w:ascii="仿宋_GB2312" w:eastAsia="仿宋_GB2312" w:cs="仿宋_GB2312"/>
          <w:b w:val="0"/>
          <w:bCs w:val="0"/>
          <w:color w:val="000000"/>
        </w:rPr>
        <w:t>辆，其中：领导干部用车</w:t>
      </w:r>
      <w:r>
        <w:rPr>
          <w:rFonts w:ascii="仿宋_GB2312" w:eastAsia="仿宋_GB2312" w:cs="仿宋_GB2312"/>
          <w:b w:val="0"/>
          <w:bCs w:val="0"/>
          <w:color w:val="000000"/>
        </w:rPr>
        <w:t>0</w:t>
      </w:r>
      <w:r>
        <w:rPr>
          <w:rFonts w:hint="eastAsia" w:ascii="仿宋_GB2312" w:eastAsia="仿宋_GB2312" w:cs="仿宋_GB2312"/>
          <w:b w:val="0"/>
          <w:bCs w:val="0"/>
          <w:color w:val="000000"/>
        </w:rPr>
        <w:t>辆、一般公务用车</w:t>
      </w:r>
      <w:r>
        <w:rPr>
          <w:rFonts w:ascii="仿宋_GB2312" w:eastAsia="仿宋_GB2312" w:cs="仿宋_GB2312"/>
          <w:b w:val="0"/>
          <w:bCs w:val="0"/>
          <w:color w:val="000000"/>
        </w:rPr>
        <w:t>0</w:t>
      </w:r>
      <w:r>
        <w:rPr>
          <w:rFonts w:hint="eastAsia" w:ascii="仿宋_GB2312" w:eastAsia="仿宋_GB2312" w:cs="仿宋_GB2312"/>
          <w:b w:val="0"/>
          <w:bCs w:val="0"/>
          <w:color w:val="000000"/>
        </w:rPr>
        <w:t>辆、一般执法执勤用车</w:t>
      </w:r>
      <w:r>
        <w:rPr>
          <w:rFonts w:ascii="仿宋_GB2312" w:eastAsia="仿宋_GB2312" w:cs="仿宋_GB2312"/>
          <w:b w:val="0"/>
          <w:bCs w:val="0"/>
          <w:color w:val="000000"/>
        </w:rPr>
        <w:t>0</w:t>
      </w:r>
      <w:r>
        <w:rPr>
          <w:rFonts w:hint="eastAsia" w:ascii="仿宋_GB2312" w:eastAsia="仿宋_GB2312" w:cs="仿宋_GB2312"/>
          <w:b w:val="0"/>
          <w:bCs w:val="0"/>
          <w:color w:val="000000"/>
        </w:rPr>
        <w:t>辆、特种专业技术用车</w:t>
      </w:r>
      <w:r>
        <w:rPr>
          <w:rFonts w:ascii="仿宋_GB2312" w:eastAsia="仿宋_GB2312" w:cs="仿宋_GB2312"/>
          <w:b w:val="0"/>
          <w:bCs w:val="0"/>
          <w:color w:val="000000"/>
        </w:rPr>
        <w:t>0</w:t>
      </w:r>
      <w:r>
        <w:rPr>
          <w:rFonts w:hint="eastAsia" w:ascii="仿宋_GB2312" w:eastAsia="仿宋_GB2312" w:cs="仿宋_GB2312"/>
          <w:b w:val="0"/>
          <w:bCs w:val="0"/>
          <w:color w:val="000000"/>
        </w:rPr>
        <w:t>辆、其他用车</w:t>
      </w:r>
      <w:r>
        <w:rPr>
          <w:rFonts w:ascii="仿宋_GB2312" w:eastAsia="仿宋_GB2312" w:cs="仿宋_GB2312"/>
          <w:b w:val="0"/>
          <w:bCs w:val="0"/>
          <w:color w:val="000000"/>
        </w:rPr>
        <w:t>0</w:t>
      </w:r>
      <w:r>
        <w:rPr>
          <w:rFonts w:hint="eastAsia" w:ascii="仿宋_GB2312" w:eastAsia="仿宋_GB2312" w:cs="仿宋_GB2312"/>
          <w:b w:val="0"/>
          <w:bCs w:val="0"/>
          <w:color w:val="000000"/>
        </w:rPr>
        <w:t>辆，其他用车单价</w:t>
      </w:r>
      <w:r>
        <w:rPr>
          <w:rFonts w:ascii="仿宋_GB2312" w:eastAsia="仿宋_GB2312" w:cs="仿宋_GB2312"/>
          <w:b w:val="0"/>
          <w:bCs w:val="0"/>
          <w:color w:val="000000"/>
        </w:rPr>
        <w:t>50</w:t>
      </w:r>
      <w:r>
        <w:rPr>
          <w:rFonts w:hint="eastAsia" w:ascii="仿宋_GB2312" w:eastAsia="仿宋_GB2312" w:cs="仿宋_GB2312"/>
          <w:b w:val="0"/>
          <w:bCs w:val="0"/>
          <w:color w:val="000000"/>
        </w:rPr>
        <w:t>万元以上通用设备</w:t>
      </w:r>
      <w:r>
        <w:rPr>
          <w:rFonts w:ascii="仿宋_GB2312" w:eastAsia="仿宋_GB2312" w:cs="仿宋_GB2312"/>
          <w:b w:val="0"/>
          <w:bCs w:val="0"/>
          <w:color w:val="000000"/>
        </w:rPr>
        <w:t>0</w:t>
      </w:r>
      <w:r>
        <w:rPr>
          <w:rFonts w:hint="eastAsia" w:ascii="仿宋_GB2312" w:eastAsia="仿宋_GB2312" w:cs="仿宋_GB2312"/>
          <w:b w:val="0"/>
          <w:bCs w:val="0"/>
          <w:color w:val="000000"/>
        </w:rPr>
        <w:t>台，单价</w:t>
      </w:r>
      <w:r>
        <w:rPr>
          <w:rFonts w:ascii="仿宋_GB2312" w:eastAsia="仿宋_GB2312" w:cs="仿宋_GB2312"/>
          <w:b w:val="0"/>
          <w:bCs w:val="0"/>
          <w:color w:val="000000"/>
        </w:rPr>
        <w:t>100</w:t>
      </w:r>
      <w:r>
        <w:rPr>
          <w:rFonts w:hint="eastAsia" w:ascii="仿宋_GB2312" w:eastAsia="仿宋_GB2312" w:cs="仿宋_GB2312"/>
          <w:b w:val="0"/>
          <w:bCs w:val="0"/>
          <w:color w:val="000000"/>
        </w:rPr>
        <w:t>万元以上专用设备</w:t>
      </w:r>
      <w:r>
        <w:rPr>
          <w:rFonts w:ascii="仿宋_GB2312" w:eastAsia="仿宋_GB2312" w:cs="仿宋_GB2312"/>
          <w:b w:val="0"/>
          <w:bCs w:val="0"/>
          <w:color w:val="000000"/>
        </w:rPr>
        <w:t>0</w:t>
      </w:r>
      <w:r>
        <w:rPr>
          <w:rFonts w:hint="eastAsia" w:ascii="仿宋_GB2312" w:eastAsia="仿宋_GB2312" w:cs="仿宋_GB2312"/>
          <w:b w:val="0"/>
          <w:bCs w:val="0"/>
          <w:color w:val="000000"/>
        </w:rPr>
        <w:t>台。</w:t>
      </w:r>
    </w:p>
    <w:p>
      <w:pPr>
        <w:spacing w:line="576" w:lineRule="exact"/>
        <w:ind w:firstLine="643"/>
        <w:rPr>
          <w:rFonts w:cs="楷体_GB2312"/>
        </w:rPr>
      </w:pPr>
      <w:r>
        <w:rPr>
          <w:rFonts w:hint="eastAsia" w:cs="楷体_GB2312"/>
        </w:rPr>
        <w:t>（四）预算绩效管理情况</w:t>
      </w:r>
    </w:p>
    <w:p>
      <w:pPr>
        <w:widowControl/>
        <w:adjustRightInd w:val="0"/>
        <w:spacing w:line="576" w:lineRule="exact"/>
        <w:ind w:firstLine="640"/>
        <w:jc w:val="left"/>
        <w:rPr>
          <w:rFonts w:ascii="仿宋_GB2312" w:eastAsia="仿宋_GB2312" w:cs="仿宋_GB2312"/>
          <w:b w:val="0"/>
          <w:bCs w:val="0"/>
        </w:rPr>
      </w:pPr>
      <w:r>
        <w:rPr>
          <w:rFonts w:hint="eastAsia" w:ascii="仿宋_GB2312" w:eastAsia="仿宋_GB2312" w:cs="仿宋_GB2312"/>
          <w:b w:val="0"/>
          <w:bCs w:val="0"/>
          <w:color w:val="000000"/>
        </w:rPr>
        <w:t>本部门按要求对</w:t>
      </w:r>
      <w:r>
        <w:rPr>
          <w:rFonts w:ascii="仿宋_GB2312" w:eastAsia="仿宋_GB2312" w:cs="仿宋_GB2312"/>
          <w:b w:val="0"/>
          <w:bCs w:val="0"/>
          <w:color w:val="000000"/>
        </w:rPr>
        <w:t>2019</w:t>
      </w:r>
      <w:r>
        <w:rPr>
          <w:rFonts w:hint="eastAsia" w:ascii="仿宋_GB2312" w:eastAsia="仿宋_GB2312" w:cs="仿宋_GB2312"/>
          <w:b w:val="0"/>
          <w:bCs w:val="0"/>
          <w:color w:val="000000"/>
        </w:rPr>
        <w:t>年部门整体支出开展绩效自评，从评价情况来看</w:t>
      </w:r>
      <w:r>
        <w:rPr>
          <w:rFonts w:hint="eastAsia" w:ascii="仿宋_GB2312" w:eastAsia="仿宋_GB2312" w:cs="仿宋_GB2312"/>
          <w:b w:val="0"/>
          <w:bCs w:val="0"/>
        </w:rPr>
        <w:t>，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根据职能职责积极谋划，确定目标任务，积极发挥公共财政职能作用，推动落实稳增长、促改革、调结构、惠民生、防风险各项工作。按照</w:t>
      </w:r>
      <w:r>
        <w:rPr>
          <w:rFonts w:ascii="仿宋_GB2312" w:eastAsia="仿宋_GB2312" w:cs="仿宋_GB2312"/>
          <w:b w:val="0"/>
          <w:bCs w:val="0"/>
        </w:rPr>
        <w:t>2019</w:t>
      </w:r>
      <w:r>
        <w:rPr>
          <w:rFonts w:hint="eastAsia" w:ascii="仿宋_GB2312" w:eastAsia="仿宋_GB2312" w:cs="仿宋_GB2312"/>
          <w:b w:val="0"/>
          <w:bCs w:val="0"/>
        </w:rPr>
        <w:t>年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pPr>
        <w:spacing w:line="580" w:lineRule="exact"/>
        <w:ind w:firstLine="640"/>
        <w:rPr>
          <w:rFonts w:ascii="仿宋_GB2312" w:eastAsia="仿宋_GB2312" w:cs="仿宋_GB2312"/>
          <w:b w:val="0"/>
          <w:bCs w:val="0"/>
          <w:color w:val="000000"/>
        </w:rPr>
      </w:pPr>
      <w:r>
        <w:rPr>
          <w:rFonts w:hint="eastAsia" w:ascii="仿宋_GB2312" w:eastAsia="仿宋_GB2312" w:cs="仿宋_GB2312"/>
          <w:b w:val="0"/>
          <w:bCs w:val="0"/>
          <w:color w:val="000000"/>
        </w:rPr>
        <w:t>本部门无专项预算项目，因此本部门未组织开展项目支出绩效评价。</w:t>
      </w:r>
    </w:p>
    <w:p>
      <w:pPr>
        <w:spacing w:line="580" w:lineRule="exact"/>
        <w:ind w:firstLine="512" w:firstLineChars="160"/>
        <w:rPr>
          <w:rFonts w:ascii="仿宋_GB2312" w:eastAsia="仿宋_GB2312" w:cs="仿宋_GB2312"/>
          <w:b w:val="0"/>
          <w:bCs w:val="0"/>
          <w:color w:val="000000"/>
        </w:rPr>
      </w:pPr>
      <w:r>
        <w:rPr>
          <w:rFonts w:hint="eastAsia" w:ascii="仿宋_GB2312" w:eastAsia="仿宋_GB2312" w:cs="仿宋_GB2312"/>
          <w:b w:val="0"/>
          <w:bCs w:val="0"/>
          <w:color w:val="000000"/>
        </w:rPr>
        <w:t>部门绩效评价结果。</w:t>
      </w:r>
    </w:p>
    <w:p>
      <w:pPr>
        <w:widowControl/>
        <w:spacing w:line="576" w:lineRule="exact"/>
        <w:ind w:firstLine="640"/>
        <w:jc w:val="left"/>
        <w:rPr>
          <w:rFonts w:ascii="仿宋_GB2312" w:eastAsia="仿宋_GB2312" w:cs="仿宋_GB2312"/>
          <w:b w:val="0"/>
          <w:bCs w:val="0"/>
        </w:rPr>
      </w:pPr>
      <w:r>
        <w:rPr>
          <w:rFonts w:hint="eastAsia" w:ascii="仿宋_GB2312" w:eastAsia="仿宋_GB2312" w:cs="仿宋_GB2312"/>
          <w:b w:val="0"/>
          <w:bCs w:val="0"/>
          <w:color w:val="000000"/>
        </w:rPr>
        <w:t>本部门按要求对</w:t>
      </w:r>
      <w:r>
        <w:rPr>
          <w:rFonts w:ascii="仿宋_GB2312" w:eastAsia="仿宋_GB2312" w:cs="仿宋_GB2312"/>
          <w:b w:val="0"/>
          <w:bCs w:val="0"/>
          <w:color w:val="000000"/>
        </w:rPr>
        <w:t>2019</w:t>
      </w:r>
      <w:r>
        <w:rPr>
          <w:rFonts w:hint="eastAsia" w:ascii="仿宋_GB2312" w:eastAsia="仿宋_GB2312" w:cs="仿宋_GB2312"/>
          <w:b w:val="0"/>
          <w:bCs w:val="0"/>
          <w:color w:val="000000"/>
        </w:rPr>
        <w:t>年部门整体支出绩效评价情况开展自评，</w:t>
      </w:r>
      <w:r>
        <w:rPr>
          <w:rFonts w:hint="eastAsia" w:ascii="仿宋_GB2312" w:eastAsia="仿宋_GB2312" w:cs="仿宋_GB2312"/>
          <w:b w:val="0"/>
          <w:bCs w:val="0"/>
        </w:rPr>
        <w:t>我部门整体支出绩效评价自查自评结果良好，全年基本支出保证了部门的正常运行和日常工作的正常开展，达到预期绩效目标，按照</w:t>
      </w:r>
      <w:r>
        <w:rPr>
          <w:rFonts w:ascii="仿宋_GB2312" w:eastAsia="仿宋_GB2312" w:cs="仿宋_GB2312"/>
          <w:b w:val="0"/>
          <w:bCs w:val="0"/>
        </w:rPr>
        <w:t>2019</w:t>
      </w:r>
      <w:r>
        <w:rPr>
          <w:rFonts w:hint="eastAsia" w:ascii="仿宋_GB2312" w:eastAsia="仿宋_GB2312" w:cs="仿宋_GB2312"/>
          <w:b w:val="0"/>
          <w:bCs w:val="0"/>
        </w:rPr>
        <w:t>年部门整体支出绩效评价指标体系自评得分</w:t>
      </w:r>
      <w:r>
        <w:rPr>
          <w:rFonts w:ascii="仿宋_GB2312" w:eastAsia="仿宋_GB2312" w:cs="仿宋_GB2312"/>
          <w:b w:val="0"/>
          <w:bCs w:val="0"/>
        </w:rPr>
        <w:t>97</w:t>
      </w:r>
      <w:r>
        <w:rPr>
          <w:rFonts w:hint="eastAsia" w:ascii="仿宋_GB2312" w:eastAsia="仿宋_GB2312" w:cs="仿宋_GB2312"/>
          <w:b w:val="0"/>
          <w:bCs w:val="0"/>
        </w:rPr>
        <w:t>分。</w:t>
      </w:r>
      <w:r>
        <w:rPr>
          <w:rFonts w:hint="eastAsia" w:ascii="仿宋_GB2312" w:eastAsia="仿宋_GB2312" w:cs="仿宋_GB2312"/>
          <w:b w:val="0"/>
          <w:bCs w:val="0"/>
          <w:color w:val="000000"/>
        </w:rPr>
        <w:t>《茂县工商业联合会</w:t>
      </w:r>
      <w:r>
        <w:rPr>
          <w:rFonts w:ascii="仿宋_GB2312" w:eastAsia="仿宋_GB2312" w:cs="仿宋_GB2312"/>
          <w:b w:val="0"/>
          <w:bCs w:val="0"/>
          <w:color w:val="000000"/>
        </w:rPr>
        <w:t>2019</w:t>
      </w:r>
      <w:r>
        <w:rPr>
          <w:rFonts w:hint="eastAsia" w:ascii="仿宋_GB2312" w:eastAsia="仿宋_GB2312" w:cs="仿宋_GB2312"/>
          <w:b w:val="0"/>
          <w:bCs w:val="0"/>
          <w:color w:val="000000"/>
        </w:rPr>
        <w:t>年部门整体支出绩效评价报告》见附件。</w:t>
      </w:r>
    </w:p>
    <w:p>
      <w:pPr>
        <w:autoSpaceDE w:val="0"/>
        <w:autoSpaceDN w:val="0"/>
        <w:adjustRightInd w:val="0"/>
        <w:spacing w:line="576" w:lineRule="exact"/>
        <w:ind w:firstLine="0" w:firstLineChars="0"/>
        <w:jc w:val="left"/>
        <w:rPr>
          <w:rFonts w:ascii="仿宋_GB2312" w:eastAsia="仿宋_GB2312" w:cs="仿宋_GB2312"/>
          <w:b w:val="0"/>
          <w:bCs w:val="0"/>
          <w:color w:val="000000"/>
        </w:rPr>
      </w:pPr>
    </w:p>
    <w:p>
      <w:pPr>
        <w:autoSpaceDE w:val="0"/>
        <w:autoSpaceDN w:val="0"/>
        <w:adjustRightInd w:val="0"/>
        <w:spacing w:line="576" w:lineRule="exact"/>
        <w:ind w:firstLine="640"/>
        <w:jc w:val="left"/>
        <w:rPr>
          <w:rFonts w:ascii="仿宋_GB2312" w:eastAsia="仿宋_GB2312" w:cs="仿宋_GB2312"/>
          <w:b w:val="0"/>
          <w:bCs w:val="0"/>
          <w:color w:val="000000"/>
        </w:rPr>
      </w:pPr>
    </w:p>
    <w:p>
      <w:pPr>
        <w:pStyle w:val="2"/>
        <w:ind w:firstLine="880"/>
        <w:rPr>
          <w:rFonts w:cs="方正小标宋简体"/>
          <w:b w:val="0"/>
          <w:bCs w:val="0"/>
        </w:rPr>
      </w:pPr>
    </w:p>
    <w:p>
      <w:pPr>
        <w:ind w:firstLine="643"/>
      </w:pPr>
    </w:p>
    <w:p>
      <w:pPr>
        <w:ind w:firstLine="643"/>
      </w:pPr>
    </w:p>
    <w:p>
      <w:pPr>
        <w:ind w:firstLine="643"/>
      </w:pPr>
    </w:p>
    <w:p>
      <w:pPr>
        <w:pStyle w:val="2"/>
        <w:ind w:firstLine="643"/>
        <w:rPr>
          <w:rFonts w:eastAsia="楷体_GB2312"/>
          <w:kern w:val="2"/>
          <w:sz w:val="32"/>
          <w:szCs w:val="32"/>
        </w:rPr>
      </w:pPr>
    </w:p>
    <w:p>
      <w:pPr>
        <w:ind w:firstLine="643"/>
      </w:pPr>
    </w:p>
    <w:p>
      <w:pPr>
        <w:pStyle w:val="2"/>
        <w:ind w:firstLine="880"/>
        <w:rPr>
          <w:rStyle w:val="17"/>
          <w:b w:val="0"/>
          <w:bCs w:val="0"/>
        </w:rPr>
      </w:pPr>
      <w:r>
        <w:rPr>
          <w:rFonts w:hint="eastAsia" w:cs="方正小标宋简体"/>
          <w:b w:val="0"/>
          <w:bCs w:val="0"/>
        </w:rPr>
        <w:t>第三部分</w:t>
      </w:r>
      <w:r>
        <w:rPr>
          <w:b w:val="0"/>
          <w:bCs w:val="0"/>
        </w:rPr>
        <w:t xml:space="preserve">  </w:t>
      </w:r>
      <w:r>
        <w:rPr>
          <w:rFonts w:hint="eastAsia" w:cs="方正小标宋简体"/>
          <w:b w:val="0"/>
          <w:bCs w:val="0"/>
        </w:rPr>
        <w:t>名</w:t>
      </w:r>
      <w:r>
        <w:rPr>
          <w:rStyle w:val="17"/>
          <w:rFonts w:hint="eastAsia" w:cs="方正小标宋简体"/>
          <w:b w:val="0"/>
          <w:bCs w:val="0"/>
        </w:rPr>
        <w:t>词解释</w:t>
      </w:r>
      <w:bookmarkEnd w:id="51"/>
      <w:bookmarkEnd w:id="52"/>
      <w:bookmarkEnd w:id="53"/>
    </w:p>
    <w:p>
      <w:pPr>
        <w:pStyle w:val="28"/>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8"/>
        <w:autoSpaceDE/>
        <w:autoSpaceDN/>
        <w:adjustRightInd/>
        <w:spacing w:line="540" w:lineRule="exact"/>
        <w:jc w:val="both"/>
        <w:rPr>
          <w:rFonts w:ascii="仿宋_GB2312" w:eastAsia="仿宋_GB2312" w:cs="仿宋_GB2312"/>
          <w:sz w:val="32"/>
          <w:szCs w:val="32"/>
        </w:rPr>
      </w:pPr>
      <w:r>
        <w:rPr>
          <w:rFonts w:ascii="仿宋_GB2312" w:eastAsia="仿宋_GB2312" w:cs="仿宋_GB2312"/>
          <w:sz w:val="32"/>
          <w:szCs w:val="32"/>
        </w:rPr>
        <w:t xml:space="preserve">    2.</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8"/>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年末结转和结余：指单位按有关规定结转到下年或以后年度继续使用的资金。</w:t>
      </w:r>
    </w:p>
    <w:p>
      <w:pPr>
        <w:pStyle w:val="28"/>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一般公共服务（类）民主党派及工商联事务（款）行政运行（项）：指机关及参公管理事业单位用于保障机构正常运行、开展日常工作的基本支出</w:t>
      </w:r>
      <w:r>
        <w:rPr>
          <w:rFonts w:ascii="仿宋_GB2312" w:eastAsia="仿宋_GB2312" w:cs="仿宋_GB2312"/>
          <w:sz w:val="32"/>
          <w:szCs w:val="32"/>
        </w:rPr>
        <w:t xml:space="preserve">. </w:t>
      </w:r>
    </w:p>
    <w:p>
      <w:pPr>
        <w:pStyle w:val="28"/>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卫生健康支出（类）行政事业单位医疗（款）行政单位医疗（项）：指行政单位医疗，反映用于医疗保障方面的支出，指财政部门集中安排的行政单位的公费医疗经费，按国家规定享受离休人员、红军老战士待遇人员的医疗经费。</w:t>
      </w:r>
    </w:p>
    <w:p>
      <w:pPr>
        <w:pStyle w:val="28"/>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社会保障和就业（类）行政事业单位离退休（款）养老保险（项）：机关事业单位基本养老保险缴费支出，反映机关事业单位实施养老保险制度由单位缴纳的基本养老保险费支出。</w:t>
      </w:r>
    </w:p>
    <w:p>
      <w:pPr>
        <w:pStyle w:val="28"/>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社会保障和就业（类）行政事业单位离退休（款）职业年金（项）：机关事业单位职业年金缴费支出，反映机关事业单位实施养老保险制度由单位实际缴纳的职业年金支出。</w:t>
      </w:r>
    </w:p>
    <w:p>
      <w:pPr>
        <w:pStyle w:val="28"/>
        <w:autoSpaceDE/>
        <w:autoSpaceDN/>
        <w:adjustRightInd/>
        <w:spacing w:line="540"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住房保障支出（类）住房改革支出（款）住房公积金（项）：住房改革支出，反映行政事业单位按人力资源和社会保障部、财政部规定的基本工资和津贴补贴以及规定比例为职工缴纳的住房公积金。</w:t>
      </w:r>
    </w:p>
    <w:p>
      <w:pPr>
        <w:spacing w:line="540" w:lineRule="exact"/>
        <w:ind w:firstLine="640"/>
        <w:rPr>
          <w:rFonts w:ascii="仿宋_GB2312" w:eastAsia="仿宋_GB2312"/>
          <w:b w:val="0"/>
          <w:bCs w:val="0"/>
          <w:color w:val="000000"/>
        </w:rPr>
      </w:pPr>
      <w:r>
        <w:rPr>
          <w:rFonts w:ascii="仿宋_GB2312" w:eastAsia="仿宋_GB2312" w:cs="仿宋_GB2312"/>
          <w:b w:val="0"/>
          <w:bCs w:val="0"/>
          <w:color w:val="000000"/>
        </w:rPr>
        <w:t>9.</w:t>
      </w:r>
      <w:r>
        <w:rPr>
          <w:rFonts w:hint="eastAsia" w:ascii="仿宋_GB2312" w:eastAsia="仿宋_GB2312" w:cs="仿宋_GB2312"/>
          <w:b w:val="0"/>
          <w:bCs w:val="0"/>
          <w:color w:val="000000"/>
        </w:rPr>
        <w:t>基本支出：指为保障机构正常运转、完成日常工作任务而发生的人员支出和公用支出。</w:t>
      </w:r>
    </w:p>
    <w:p>
      <w:pPr>
        <w:spacing w:line="540" w:lineRule="exact"/>
        <w:ind w:firstLine="640"/>
        <w:rPr>
          <w:rFonts w:ascii="仿宋_GB2312" w:eastAsia="仿宋_GB2312" w:cs="仿宋_GB2312"/>
          <w:b w:val="0"/>
          <w:bCs w:val="0"/>
          <w:color w:val="000000"/>
        </w:rPr>
      </w:pPr>
      <w:r>
        <w:rPr>
          <w:rFonts w:ascii="仿宋_GB2312" w:eastAsia="仿宋_GB2312" w:cs="仿宋_GB2312"/>
          <w:b w:val="0"/>
          <w:bCs w:val="0"/>
          <w:color w:val="000000"/>
        </w:rPr>
        <w:t>10.</w:t>
      </w:r>
      <w:r>
        <w:rPr>
          <w:rFonts w:hint="eastAsia" w:ascii="仿宋_GB2312" w:eastAsia="仿宋_GB2312" w:cs="仿宋_GB2312"/>
          <w:b w:val="0"/>
          <w:bCs w:val="0"/>
          <w:color w:val="000000"/>
        </w:rPr>
        <w:t>项目支出：指在基本支出之外为完成特定行政任务和事业发展目标所发生的支出。</w:t>
      </w:r>
      <w:r>
        <w:rPr>
          <w:rFonts w:ascii="仿宋_GB2312" w:eastAsia="仿宋_GB2312" w:cs="仿宋_GB2312"/>
          <w:b w:val="0"/>
          <w:bCs w:val="0"/>
          <w:color w:val="000000"/>
        </w:rPr>
        <w:t xml:space="preserve"> </w:t>
      </w:r>
    </w:p>
    <w:p>
      <w:pPr>
        <w:spacing w:line="540" w:lineRule="exact"/>
        <w:ind w:firstLine="640"/>
        <w:rPr>
          <w:rFonts w:ascii="仿宋_GB2312" w:eastAsia="仿宋_GB2312"/>
          <w:b w:val="0"/>
          <w:bCs w:val="0"/>
          <w:color w:val="000000"/>
        </w:rPr>
      </w:pPr>
      <w:r>
        <w:rPr>
          <w:rFonts w:ascii="仿宋_GB2312" w:eastAsia="仿宋_GB2312" w:cs="仿宋_GB2312"/>
          <w:b w:val="0"/>
          <w:bCs w:val="0"/>
          <w:color w:val="000000"/>
        </w:rPr>
        <w:t>11.</w:t>
      </w:r>
      <w:r>
        <w:rPr>
          <w:rFonts w:hint="eastAsia" w:ascii="仿宋_GB2312" w:eastAsia="仿宋_GB2312" w:cs="仿宋_GB2312"/>
          <w:b w:val="0"/>
          <w:bCs w:val="0"/>
          <w:color w:val="000000"/>
        </w:rPr>
        <w:t>经营支出：指事业单位在专业业务活动及其辅助活动之外开展非独立核算经营活动发生的支出。</w:t>
      </w:r>
    </w:p>
    <w:p>
      <w:pPr>
        <w:pStyle w:val="28"/>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12.</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autoSpaceDE/>
        <w:autoSpaceDN/>
        <w:adjustRightInd/>
        <w:spacing w:line="540"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13.</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40" w:firstLineChars="200"/>
        <w:rPr>
          <w:rFonts w:ascii="仿宋_GB2312" w:eastAsia="仿宋_GB2312" w:cs="Times New Roman"/>
          <w:sz w:val="32"/>
          <w:szCs w:val="32"/>
        </w:rPr>
      </w:pPr>
    </w:p>
    <w:p>
      <w:pPr>
        <w:pStyle w:val="2"/>
        <w:spacing w:before="0" w:after="0" w:line="576" w:lineRule="exact"/>
        <w:ind w:firstLine="880"/>
        <w:rPr>
          <w:rStyle w:val="17"/>
          <w:rFonts w:ascii="方正小标宋简体" w:cs="方正小标宋简体"/>
          <w:b w:val="0"/>
          <w:bCs w:val="0"/>
        </w:rPr>
      </w:pPr>
      <w:bookmarkStart w:id="54" w:name="_Toc15396614"/>
      <w:bookmarkStart w:id="55" w:name="_Toc20222292"/>
      <w:r>
        <w:rPr>
          <w:rStyle w:val="17"/>
          <w:rFonts w:hint="eastAsia" w:ascii="方正小标宋简体" w:hAnsi="方正小标宋简体" w:cs="方正小标宋简体"/>
          <w:b w:val="0"/>
          <w:bCs w:val="0"/>
        </w:rPr>
        <w:t>第四部分</w:t>
      </w:r>
      <w:r>
        <w:rPr>
          <w:rStyle w:val="17"/>
          <w:rFonts w:ascii="方正小标宋简体" w:hAnsi="方正小标宋简体" w:cs="方正小标宋简体"/>
          <w:b w:val="0"/>
          <w:bCs w:val="0"/>
        </w:rPr>
        <w:t xml:space="preserve">   </w:t>
      </w:r>
      <w:r>
        <w:rPr>
          <w:rStyle w:val="17"/>
          <w:rFonts w:hint="eastAsia" w:ascii="方正小标宋简体" w:hAnsi="方正小标宋简体" w:cs="方正小标宋简体"/>
          <w:b w:val="0"/>
          <w:bCs w:val="0"/>
        </w:rPr>
        <w:t>附件</w:t>
      </w:r>
      <w:bookmarkEnd w:id="54"/>
      <w:bookmarkEnd w:id="55"/>
    </w:p>
    <w:p>
      <w:pPr>
        <w:pStyle w:val="2"/>
        <w:spacing w:before="0" w:after="0" w:line="576" w:lineRule="exact"/>
        <w:ind w:firstLine="0" w:firstLineChars="0"/>
        <w:rPr>
          <w:rFonts w:ascii="方正小标宋简体" w:cs="方正小标宋简体"/>
          <w:b w:val="0"/>
          <w:bCs w:val="0"/>
          <w:lang w:val="zh-CN"/>
        </w:rPr>
      </w:pPr>
      <w:bookmarkStart w:id="56" w:name="_Toc20222293"/>
    </w:p>
    <w:p>
      <w:pPr>
        <w:pStyle w:val="2"/>
        <w:spacing w:before="0" w:after="0" w:line="576" w:lineRule="exact"/>
        <w:ind w:firstLine="0" w:firstLineChars="0"/>
        <w:rPr>
          <w:rFonts w:ascii="方正小标宋简体" w:cs="方正小标宋简体"/>
          <w:b w:val="0"/>
          <w:bCs w:val="0"/>
          <w:shd w:val="clear" w:color="auto" w:fill="FFFFFF"/>
        </w:rPr>
      </w:pPr>
      <w:r>
        <w:rPr>
          <w:rFonts w:hint="eastAsia" w:ascii="方正小标宋简体" w:hAnsi="方正小标宋简体" w:cs="方正小标宋简体"/>
          <w:b w:val="0"/>
          <w:bCs w:val="0"/>
          <w:lang w:val="zh-CN"/>
        </w:rPr>
        <w:t>茂县工商业联合会</w:t>
      </w:r>
      <w:r>
        <w:rPr>
          <w:rFonts w:ascii="方正小标宋简体" w:cs="方正小标宋简体"/>
          <w:b w:val="0"/>
          <w:bCs w:val="0"/>
          <w:lang w:val="zh-CN"/>
        </w:rPr>
        <w:br w:type="textWrapping"/>
      </w:r>
      <w:r>
        <w:rPr>
          <w:rFonts w:ascii="方正小标宋简体" w:hAnsi="方正小标宋简体" w:cs="方正小标宋简体"/>
          <w:b w:val="0"/>
          <w:bCs w:val="0"/>
          <w:shd w:val="clear" w:color="auto" w:fill="FFFFFF"/>
        </w:rPr>
        <w:t>2019</w:t>
      </w:r>
      <w:r>
        <w:rPr>
          <w:rFonts w:hint="eastAsia" w:ascii="方正小标宋简体" w:hAnsi="方正小标宋简体" w:cs="方正小标宋简体"/>
          <w:b w:val="0"/>
          <w:bCs w:val="0"/>
          <w:shd w:val="clear" w:color="auto" w:fill="FFFFFF"/>
        </w:rPr>
        <w:t>年部门整体支出绩效报告</w:t>
      </w:r>
      <w:bookmarkEnd w:id="56"/>
    </w:p>
    <w:p>
      <w:pPr>
        <w:widowControl/>
        <w:adjustRightInd w:val="0"/>
        <w:snapToGrid w:val="0"/>
        <w:spacing w:line="540" w:lineRule="exact"/>
        <w:ind w:firstLine="643"/>
        <w:jc w:val="left"/>
        <w:rPr>
          <w:rFonts w:ascii="黑体" w:hAnsi="宋体" w:eastAsia="黑体"/>
          <w:color w:val="000000"/>
          <w:kern w:val="0"/>
          <w:shd w:val="clear" w:color="auto" w:fill="FFFFFF"/>
        </w:rPr>
      </w:pPr>
    </w:p>
    <w:p>
      <w:pPr>
        <w:pStyle w:val="3"/>
        <w:ind w:firstLine="640"/>
        <w:rPr>
          <w:rFonts w:cs="Times New Roman"/>
          <w:shd w:val="clear" w:color="auto" w:fill="FFFFFF"/>
          <w:lang w:val="zh-CN"/>
        </w:rPr>
      </w:pPr>
      <w:bookmarkStart w:id="57" w:name="_Toc20222294"/>
      <w:r>
        <w:rPr>
          <w:rFonts w:hint="eastAsia" w:cs="黑体"/>
          <w:shd w:val="clear" w:color="auto" w:fill="FFFFFF"/>
        </w:rPr>
        <w:t>一、</w:t>
      </w:r>
      <w:r>
        <w:rPr>
          <w:rFonts w:hint="eastAsia" w:cs="黑体"/>
          <w:shd w:val="clear" w:color="auto" w:fill="FFFFFF"/>
          <w:lang w:val="zh-CN"/>
        </w:rPr>
        <w:t>部门（单位）概况</w:t>
      </w:r>
      <w:bookmarkEnd w:id="57"/>
    </w:p>
    <w:p>
      <w:pPr>
        <w:spacing w:line="576" w:lineRule="exact"/>
        <w:ind w:firstLine="643"/>
        <w:rPr>
          <w:rFonts w:ascii="仿宋_GB2312" w:eastAsia="仿宋_GB2312"/>
        </w:rPr>
      </w:pPr>
      <w:r>
        <w:rPr>
          <w:rFonts w:hint="eastAsia" w:ascii="仿宋_GB2312" w:hAnsi="仿宋_GB2312" w:cs="楷体_GB2312"/>
        </w:rPr>
        <w:t>（一）机构组成</w:t>
      </w:r>
    </w:p>
    <w:p>
      <w:pPr>
        <w:spacing w:line="576" w:lineRule="exact"/>
        <w:ind w:firstLine="640"/>
        <w:rPr>
          <w:rFonts w:ascii="仿宋_GB2312" w:eastAsia="仿宋_GB2312"/>
          <w:b w:val="0"/>
          <w:bCs w:val="0"/>
        </w:rPr>
      </w:pPr>
      <w:r>
        <w:rPr>
          <w:rFonts w:hint="eastAsia" w:ascii="仿宋_GB2312" w:eastAsia="仿宋_GB2312" w:cs="仿宋_GB2312"/>
          <w:b w:val="0"/>
          <w:bCs w:val="0"/>
        </w:rPr>
        <w:t>本单位是行政单位，属一级预算单位，其中内设机构</w:t>
      </w:r>
      <w:r>
        <w:rPr>
          <w:rFonts w:ascii="仿宋_GB2312" w:eastAsia="仿宋_GB2312" w:cs="仿宋_GB2312"/>
          <w:b w:val="0"/>
          <w:bCs w:val="0"/>
        </w:rPr>
        <w:t>1</w:t>
      </w:r>
      <w:r>
        <w:rPr>
          <w:rFonts w:hint="eastAsia" w:ascii="仿宋_GB2312" w:eastAsia="仿宋_GB2312" w:cs="仿宋_GB2312"/>
          <w:b w:val="0"/>
          <w:bCs w:val="0"/>
        </w:rPr>
        <w:t>个。</w:t>
      </w:r>
      <w:r>
        <w:rPr>
          <w:rFonts w:ascii="仿宋_GB2312" w:eastAsia="仿宋_GB2312" w:cs="仿宋_GB2312"/>
          <w:b w:val="0"/>
          <w:bCs w:val="0"/>
        </w:rPr>
        <w:t xml:space="preserve"> </w:t>
      </w:r>
    </w:p>
    <w:p>
      <w:pPr>
        <w:spacing w:line="576" w:lineRule="exact"/>
        <w:ind w:firstLine="645" w:firstLineChars="0"/>
        <w:rPr>
          <w:rFonts w:ascii="仿宋_GB2312" w:eastAsia="仿宋_GB2312"/>
        </w:rPr>
      </w:pPr>
      <w:r>
        <w:rPr>
          <w:rFonts w:hint="eastAsia" w:ascii="仿宋_GB2312" w:hAnsi="仿宋_GB2312" w:cs="楷体_GB2312"/>
        </w:rPr>
        <w:t>（二）机构职能</w:t>
      </w:r>
    </w:p>
    <w:p>
      <w:pPr>
        <w:spacing w:line="576" w:lineRule="exact"/>
        <w:ind w:firstLine="640"/>
        <w:rPr>
          <w:rFonts w:ascii="仿宋_GB2312" w:hAnsi="仿宋_GB2312" w:eastAsia="仿宋_GB2312"/>
          <w:b w:val="0"/>
          <w:bCs w:val="0"/>
        </w:rPr>
      </w:pPr>
      <w:r>
        <w:rPr>
          <w:rFonts w:ascii="仿宋_GB2312" w:hAnsi="仿宋_GB2312" w:eastAsia="仿宋_GB2312" w:cs="仿宋_GB2312"/>
          <w:b w:val="0"/>
          <w:bCs w:val="0"/>
        </w:rPr>
        <w:t>1.</w:t>
      </w:r>
      <w:r>
        <w:rPr>
          <w:rFonts w:hint="eastAsia" w:ascii="仿宋_GB2312" w:hAnsi="仿宋_GB2312" w:eastAsia="仿宋_GB2312" w:cs="仿宋_GB2312"/>
          <w:b w:val="0"/>
          <w:bCs w:val="0"/>
        </w:rPr>
        <w:t>参与我县大政方针及政治、解决、社会中的重要问题的政治协商，发挥民主监督的作用，参政议政。</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2.</w:t>
      </w:r>
      <w:r>
        <w:rPr>
          <w:rFonts w:hint="eastAsia" w:ascii="仿宋_GB2312" w:hAnsi="仿宋_GB2312" w:eastAsia="仿宋_GB2312" w:cs="仿宋_GB2312"/>
          <w:b w:val="0"/>
          <w:bCs w:val="0"/>
        </w:rPr>
        <w:t>引导会员积极参加我县经济建设，推动非公有制经济健康发展。</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3.</w:t>
      </w:r>
      <w:r>
        <w:rPr>
          <w:rFonts w:hint="eastAsia" w:ascii="仿宋_GB2312" w:hAnsi="仿宋_GB2312" w:eastAsia="仿宋_GB2312" w:cs="仿宋_GB2312"/>
          <w:b w:val="0"/>
          <w:bCs w:val="0"/>
        </w:rPr>
        <w:t>做好工商界代表人士政治安排的推荐工作。</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4.</w:t>
      </w:r>
      <w:r>
        <w:rPr>
          <w:rFonts w:hint="eastAsia" w:ascii="仿宋_GB2312" w:hAnsi="仿宋_GB2312" w:eastAsia="仿宋_GB2312" w:cs="仿宋_GB2312"/>
          <w:b w:val="0"/>
          <w:bCs w:val="0"/>
        </w:rPr>
        <w:t>对同级同业工会和行业协会实行业务主管，加强对个体劳动者协会、私营企业协会指导工作。</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5.</w:t>
      </w:r>
      <w:r>
        <w:rPr>
          <w:rFonts w:hint="eastAsia" w:ascii="仿宋_GB2312" w:hAnsi="仿宋_GB2312" w:eastAsia="仿宋_GB2312" w:cs="仿宋_GB2312"/>
          <w:b w:val="0"/>
          <w:bCs w:val="0"/>
        </w:rPr>
        <w:t>加强与外商、各地工商社团及工商经济界人士的联系，促进经济、技术和贸易合作的发展，协助引进资金、技术人才。</w:t>
      </w:r>
    </w:p>
    <w:p>
      <w:pPr>
        <w:spacing w:line="576" w:lineRule="exact"/>
        <w:ind w:firstLine="800" w:firstLineChars="250"/>
        <w:rPr>
          <w:rFonts w:ascii="仿宋_GB2312" w:hAnsi="仿宋_GB2312" w:eastAsia="仿宋_GB2312"/>
          <w:b w:val="0"/>
          <w:bCs w:val="0"/>
        </w:rPr>
      </w:pPr>
      <w:r>
        <w:rPr>
          <w:rFonts w:ascii="仿宋_GB2312" w:hAnsi="仿宋_GB2312" w:eastAsia="仿宋_GB2312" w:cs="仿宋_GB2312"/>
          <w:b w:val="0"/>
          <w:bCs w:val="0"/>
        </w:rPr>
        <w:t>6.</w:t>
      </w:r>
      <w:r>
        <w:rPr>
          <w:rFonts w:hint="eastAsia" w:ascii="仿宋_GB2312" w:hAnsi="仿宋_GB2312" w:eastAsia="仿宋_GB2312" w:cs="仿宋_GB2312"/>
          <w:b w:val="0"/>
          <w:bCs w:val="0"/>
        </w:rPr>
        <w:t>办好会办企业。</w:t>
      </w:r>
    </w:p>
    <w:p>
      <w:pPr>
        <w:spacing w:line="576" w:lineRule="exact"/>
        <w:ind w:firstLine="800" w:firstLineChars="250"/>
        <w:rPr>
          <w:rFonts w:ascii="仿宋_GB2312" w:eastAsia="仿宋_GB2312"/>
          <w:b w:val="0"/>
          <w:bCs w:val="0"/>
        </w:rPr>
      </w:pPr>
      <w:r>
        <w:rPr>
          <w:rFonts w:ascii="仿宋_GB2312" w:hAnsi="仿宋_GB2312" w:eastAsia="仿宋_GB2312" w:cs="仿宋_GB2312"/>
          <w:b w:val="0"/>
          <w:bCs w:val="0"/>
        </w:rPr>
        <w:t>7.</w:t>
      </w:r>
      <w:r>
        <w:rPr>
          <w:rFonts w:hint="eastAsia" w:ascii="仿宋_GB2312" w:hAnsi="仿宋_GB2312" w:eastAsia="仿宋_GB2312" w:cs="仿宋_GB2312"/>
          <w:b w:val="0"/>
          <w:bCs w:val="0"/>
        </w:rPr>
        <w:t>承办县委、县政府交办的其他工作。</w:t>
      </w:r>
    </w:p>
    <w:p>
      <w:pPr>
        <w:spacing w:line="576" w:lineRule="exact"/>
        <w:ind w:firstLine="643"/>
        <w:rPr>
          <w:rFonts w:ascii="楷体_GB2312" w:hAnsi="宋体" w:cs="楷体_GB2312"/>
          <w:color w:val="000000"/>
          <w:kern w:val="0"/>
          <w:shd w:val="clear" w:color="auto" w:fill="FFFFFF"/>
        </w:rPr>
      </w:pPr>
      <w:r>
        <w:rPr>
          <w:rFonts w:hint="eastAsia" w:ascii="楷体_GB2312" w:hAnsi="宋体" w:cs="楷体_GB2312"/>
          <w:color w:val="000000"/>
          <w:kern w:val="0"/>
          <w:shd w:val="clear" w:color="auto" w:fill="FFFFFF"/>
        </w:rPr>
        <w:t>（三）人员概况</w:t>
      </w:r>
    </w:p>
    <w:p>
      <w:pPr>
        <w:spacing w:line="576" w:lineRule="exact"/>
        <w:ind w:firstLine="640"/>
        <w:rPr>
          <w:rFonts w:ascii="仿宋_GB2312" w:eastAsia="仿宋_GB2312"/>
          <w:b w:val="0"/>
          <w:bCs w:val="0"/>
        </w:rPr>
      </w:pPr>
      <w:r>
        <w:rPr>
          <w:rFonts w:hint="eastAsia" w:ascii="仿宋_GB2312" w:eastAsia="仿宋_GB2312" w:cs="仿宋_GB2312"/>
          <w:b w:val="0"/>
          <w:bCs w:val="0"/>
        </w:rPr>
        <w:t>人员总编制</w:t>
      </w:r>
      <w:r>
        <w:rPr>
          <w:rFonts w:ascii="仿宋_GB2312" w:eastAsia="仿宋_GB2312" w:cs="仿宋_GB2312"/>
          <w:b w:val="0"/>
          <w:bCs w:val="0"/>
        </w:rPr>
        <w:t>2</w:t>
      </w:r>
      <w:r>
        <w:rPr>
          <w:rFonts w:hint="eastAsia" w:ascii="仿宋_GB2312" w:eastAsia="仿宋_GB2312" w:cs="仿宋_GB2312"/>
          <w:b w:val="0"/>
          <w:bCs w:val="0"/>
        </w:rPr>
        <w:t>名</w:t>
      </w:r>
      <w:r>
        <w:rPr>
          <w:rFonts w:ascii="仿宋_GB2312" w:eastAsia="仿宋_GB2312" w:cs="仿宋_GB2312"/>
          <w:b w:val="0"/>
          <w:bCs w:val="0"/>
        </w:rPr>
        <w:t>,</w:t>
      </w:r>
      <w:r>
        <w:rPr>
          <w:rFonts w:hint="eastAsia" w:ascii="仿宋_GB2312" w:eastAsia="仿宋_GB2312" w:cs="仿宋_GB2312"/>
          <w:b w:val="0"/>
          <w:bCs w:val="0"/>
        </w:rPr>
        <w:t>其中</w:t>
      </w:r>
      <w:r>
        <w:rPr>
          <w:rFonts w:ascii="仿宋_GB2312" w:eastAsia="仿宋_GB2312" w:cs="仿宋_GB2312"/>
          <w:b w:val="0"/>
          <w:bCs w:val="0"/>
        </w:rPr>
        <w:t>:</w:t>
      </w:r>
      <w:r>
        <w:rPr>
          <w:rFonts w:hint="eastAsia" w:ascii="仿宋_GB2312" w:eastAsia="仿宋_GB2312" w:cs="仿宋_GB2312"/>
          <w:b w:val="0"/>
          <w:bCs w:val="0"/>
        </w:rPr>
        <w:t>行政编制</w:t>
      </w:r>
      <w:r>
        <w:rPr>
          <w:rFonts w:ascii="仿宋_GB2312" w:eastAsia="仿宋_GB2312" w:cs="仿宋_GB2312"/>
          <w:b w:val="0"/>
          <w:bCs w:val="0"/>
        </w:rPr>
        <w:t>2</w:t>
      </w:r>
      <w:r>
        <w:rPr>
          <w:rFonts w:hint="eastAsia" w:ascii="仿宋_GB2312" w:eastAsia="仿宋_GB2312" w:cs="仿宋_GB2312"/>
          <w:b w:val="0"/>
          <w:bCs w:val="0"/>
        </w:rPr>
        <w:t>名，事业编制</w:t>
      </w:r>
      <w:r>
        <w:rPr>
          <w:rFonts w:ascii="仿宋_GB2312" w:eastAsia="仿宋_GB2312" w:cs="仿宋_GB2312"/>
          <w:b w:val="0"/>
          <w:bCs w:val="0"/>
        </w:rPr>
        <w:t xml:space="preserve"> 0</w:t>
      </w:r>
      <w:r>
        <w:rPr>
          <w:rFonts w:hint="eastAsia" w:ascii="仿宋_GB2312" w:eastAsia="仿宋_GB2312" w:cs="仿宋_GB2312"/>
          <w:b w:val="0"/>
          <w:bCs w:val="0"/>
        </w:rPr>
        <w:t>名。实有在职人员总数</w:t>
      </w:r>
      <w:r>
        <w:rPr>
          <w:rFonts w:ascii="仿宋_GB2312" w:eastAsia="仿宋_GB2312" w:cs="仿宋_GB2312"/>
          <w:b w:val="0"/>
          <w:bCs w:val="0"/>
        </w:rPr>
        <w:t>7</w:t>
      </w:r>
      <w:r>
        <w:rPr>
          <w:rFonts w:hint="eastAsia" w:ascii="仿宋_GB2312" w:eastAsia="仿宋_GB2312" w:cs="仿宋_GB2312"/>
          <w:b w:val="0"/>
          <w:bCs w:val="0"/>
        </w:rPr>
        <w:t>名，在职人员中行政人员</w:t>
      </w:r>
      <w:r>
        <w:rPr>
          <w:rFonts w:ascii="仿宋_GB2312" w:eastAsia="仿宋_GB2312" w:cs="仿宋_GB2312"/>
          <w:b w:val="0"/>
          <w:bCs w:val="0"/>
        </w:rPr>
        <w:t>7</w:t>
      </w:r>
      <w:r>
        <w:rPr>
          <w:rFonts w:hint="eastAsia" w:ascii="仿宋_GB2312" w:eastAsia="仿宋_GB2312" w:cs="仿宋_GB2312"/>
          <w:b w:val="0"/>
          <w:bCs w:val="0"/>
        </w:rPr>
        <w:t>名，事业人员</w:t>
      </w:r>
      <w:r>
        <w:rPr>
          <w:rFonts w:ascii="仿宋_GB2312" w:eastAsia="仿宋_GB2312" w:cs="仿宋_GB2312"/>
          <w:b w:val="0"/>
          <w:bCs w:val="0"/>
        </w:rPr>
        <w:t>0</w:t>
      </w:r>
      <w:r>
        <w:rPr>
          <w:rFonts w:hint="eastAsia" w:ascii="仿宋_GB2312" w:eastAsia="仿宋_GB2312" w:cs="仿宋_GB2312"/>
          <w:b w:val="0"/>
          <w:bCs w:val="0"/>
        </w:rPr>
        <w:t>名。退休人员</w:t>
      </w:r>
      <w:r>
        <w:rPr>
          <w:rFonts w:ascii="仿宋_GB2312" w:eastAsia="仿宋_GB2312" w:cs="仿宋_GB2312"/>
          <w:b w:val="0"/>
          <w:bCs w:val="0"/>
        </w:rPr>
        <w:t>0</w:t>
      </w:r>
      <w:r>
        <w:rPr>
          <w:rFonts w:hint="eastAsia" w:ascii="仿宋_GB2312" w:eastAsia="仿宋_GB2312" w:cs="仿宋_GB2312"/>
          <w:b w:val="0"/>
          <w:bCs w:val="0"/>
        </w:rPr>
        <w:t>人。</w:t>
      </w:r>
      <w:r>
        <w:rPr>
          <w:rFonts w:ascii="仿宋_GB2312" w:eastAsia="仿宋_GB2312" w:cs="仿宋_GB2312"/>
          <w:b w:val="0"/>
          <w:bCs w:val="0"/>
        </w:rPr>
        <w:t xml:space="preserve"> </w:t>
      </w:r>
    </w:p>
    <w:p>
      <w:pPr>
        <w:spacing w:line="576" w:lineRule="exact"/>
        <w:ind w:firstLine="640"/>
        <w:rPr>
          <w:rFonts w:ascii="黑体" w:hAnsi="黑体" w:eastAsia="黑体" w:cs="黑体"/>
          <w:b w:val="0"/>
          <w:bCs w:val="0"/>
          <w:shd w:val="clear" w:color="auto" w:fill="FFFFFF"/>
        </w:rPr>
      </w:pPr>
      <w:bookmarkStart w:id="58" w:name="_Toc20222295"/>
      <w:r>
        <w:rPr>
          <w:rFonts w:hint="eastAsia" w:ascii="黑体" w:hAnsi="黑体" w:eastAsia="黑体" w:cs="黑体"/>
          <w:b w:val="0"/>
          <w:bCs w:val="0"/>
          <w:shd w:val="clear" w:color="auto" w:fill="FFFFFF"/>
        </w:rPr>
        <w:t>二、部门财政资金收支情况</w:t>
      </w:r>
      <w:bookmarkEnd w:id="58"/>
    </w:p>
    <w:p>
      <w:pPr>
        <w:widowControl/>
        <w:spacing w:line="576" w:lineRule="exact"/>
        <w:ind w:firstLine="482" w:firstLineChars="150"/>
        <w:jc w:val="left"/>
        <w:rPr>
          <w:rFonts w:ascii="楷体_GB2312" w:hAnsi="仿宋"/>
        </w:rPr>
      </w:pPr>
      <w:bookmarkStart w:id="59" w:name="_Toc20222296"/>
      <w:r>
        <w:rPr>
          <w:rFonts w:hint="eastAsia" w:ascii="楷体_GB2312" w:hAnsi="仿宋" w:cs="楷体_GB2312"/>
        </w:rPr>
        <w:t>（一）部门财政资金收入情况</w:t>
      </w:r>
    </w:p>
    <w:p>
      <w:pPr>
        <w:spacing w:line="576" w:lineRule="exact"/>
        <w:ind w:firstLine="640"/>
        <w:rPr>
          <w:rFonts w:ascii="仿宋_GB2312" w:eastAsia="仿宋_GB2312" w:cs="仿宋_GB2312"/>
          <w:b w:val="0"/>
          <w:bCs w:val="0"/>
        </w:rPr>
      </w:pPr>
      <w:r>
        <w:rPr>
          <w:rFonts w:ascii="仿宋_GB2312" w:eastAsia="仿宋_GB2312" w:cs="仿宋_GB2312"/>
          <w:b w:val="0"/>
          <w:bCs w:val="0"/>
        </w:rPr>
        <w:t>2019</w:t>
      </w:r>
      <w:r>
        <w:rPr>
          <w:rFonts w:hint="eastAsia" w:ascii="仿宋_GB2312" w:eastAsia="仿宋_GB2312" w:cs="仿宋_GB2312"/>
          <w:b w:val="0"/>
          <w:bCs w:val="0"/>
        </w:rPr>
        <w:t>年本部门财政拨款收入决算总额为</w:t>
      </w:r>
      <w:r>
        <w:rPr>
          <w:rFonts w:ascii="仿宋_GB2312" w:eastAsia="仿宋_GB2312" w:cs="仿宋_GB2312"/>
          <w:b w:val="0"/>
          <w:bCs w:val="0"/>
        </w:rPr>
        <w:t>123.03</w:t>
      </w:r>
      <w:r>
        <w:rPr>
          <w:rFonts w:hint="eastAsia" w:ascii="仿宋_GB2312" w:eastAsia="仿宋_GB2312" w:cs="仿宋_GB2312"/>
          <w:b w:val="0"/>
          <w:bCs w:val="0"/>
        </w:rPr>
        <w:t>万元，</w:t>
      </w:r>
    </w:p>
    <w:p>
      <w:pPr>
        <w:spacing w:line="576" w:lineRule="exact"/>
        <w:ind w:firstLine="640"/>
        <w:rPr>
          <w:rFonts w:ascii="仿宋_GB2312" w:eastAsia="仿宋_GB2312" w:cs="仿宋_GB2312"/>
          <w:b w:val="0"/>
          <w:bCs w:val="0"/>
        </w:rPr>
      </w:pPr>
      <w:r>
        <w:rPr>
          <w:rFonts w:hint="eastAsia" w:ascii="仿宋_GB2312" w:eastAsia="仿宋_GB2312" w:cs="仿宋_GB2312"/>
          <w:b w:val="0"/>
          <w:bCs w:val="0"/>
        </w:rPr>
        <w:t>其中：当年财政拨款收入</w:t>
      </w:r>
      <w:r>
        <w:rPr>
          <w:rFonts w:ascii="仿宋_GB2312" w:eastAsia="仿宋_GB2312" w:cs="仿宋_GB2312"/>
          <w:b w:val="0"/>
          <w:bCs w:val="0"/>
        </w:rPr>
        <w:t xml:space="preserve">123.03 </w:t>
      </w:r>
      <w:r>
        <w:rPr>
          <w:rFonts w:hint="eastAsia" w:ascii="仿宋_GB2312" w:eastAsia="仿宋_GB2312" w:cs="仿宋_GB2312"/>
          <w:b w:val="0"/>
          <w:bCs w:val="0"/>
        </w:rPr>
        <w:t>万元</w:t>
      </w:r>
      <w:r>
        <w:rPr>
          <w:rFonts w:ascii="仿宋_GB2312" w:eastAsia="仿宋_GB2312" w:cs="仿宋_GB2312"/>
          <w:b w:val="0"/>
          <w:bCs w:val="0"/>
        </w:rPr>
        <w:t>,</w:t>
      </w:r>
      <w:r>
        <w:rPr>
          <w:rFonts w:hint="eastAsia" w:ascii="仿宋_GB2312" w:eastAsia="仿宋_GB2312" w:cs="仿宋_GB2312"/>
          <w:b w:val="0"/>
          <w:bCs w:val="0"/>
        </w:rPr>
        <w:t>均为一般公共预算财政拨款。</w:t>
      </w:r>
    </w:p>
    <w:p>
      <w:pPr>
        <w:spacing w:line="576" w:lineRule="exact"/>
        <w:ind w:firstLine="640"/>
        <w:rPr>
          <w:rFonts w:ascii="楷体" w:hAnsi="楷体" w:eastAsia="楷体" w:cs="楷体"/>
        </w:rPr>
      </w:pPr>
      <w:r>
        <w:rPr>
          <w:rFonts w:hint="eastAsia" w:ascii="楷体" w:hAnsi="楷体" w:eastAsia="楷体" w:cs="楷体"/>
        </w:rPr>
        <w:t>（二）部门财政资金支出情况</w:t>
      </w:r>
    </w:p>
    <w:p>
      <w:pPr>
        <w:spacing w:line="576" w:lineRule="exact"/>
        <w:ind w:firstLine="640"/>
        <w:rPr>
          <w:rFonts w:ascii="仿宋_GB2312" w:eastAsia="仿宋_GB2312" w:cs="仿宋_GB2312"/>
          <w:b w:val="0"/>
          <w:bCs w:val="0"/>
        </w:rPr>
      </w:pPr>
      <w:r>
        <w:rPr>
          <w:rFonts w:ascii="仿宋_GB2312" w:eastAsia="仿宋_GB2312" w:cs="仿宋_GB2312"/>
          <w:b w:val="0"/>
          <w:bCs w:val="0"/>
        </w:rPr>
        <w:t>2019</w:t>
      </w:r>
      <w:r>
        <w:rPr>
          <w:rFonts w:hint="eastAsia" w:ascii="仿宋_GB2312" w:eastAsia="仿宋_GB2312" w:cs="仿宋_GB2312"/>
          <w:b w:val="0"/>
          <w:bCs w:val="0"/>
        </w:rPr>
        <w:t>年本部门财政拨款支出决算总额</w:t>
      </w:r>
      <w:r>
        <w:rPr>
          <w:rFonts w:ascii="仿宋_GB2312" w:eastAsia="仿宋_GB2312" w:cs="仿宋_GB2312"/>
          <w:b w:val="0"/>
          <w:bCs w:val="0"/>
        </w:rPr>
        <w:t xml:space="preserve">123.03 </w:t>
      </w:r>
      <w:r>
        <w:rPr>
          <w:rFonts w:hint="eastAsia" w:ascii="仿宋_GB2312" w:eastAsia="仿宋_GB2312" w:cs="仿宋_GB2312"/>
          <w:b w:val="0"/>
          <w:bCs w:val="0"/>
        </w:rPr>
        <w:t>万元。</w:t>
      </w:r>
    </w:p>
    <w:p>
      <w:pPr>
        <w:spacing w:line="576" w:lineRule="exact"/>
        <w:ind w:firstLine="640"/>
      </w:pPr>
      <w:r>
        <w:rPr>
          <w:rFonts w:hint="eastAsia" w:ascii="仿宋_GB2312" w:eastAsia="仿宋_GB2312" w:cs="仿宋_GB2312"/>
          <w:b w:val="0"/>
          <w:bCs w:val="0"/>
        </w:rPr>
        <w:t>其中按功能分类，民主党派及工商联事务支出</w:t>
      </w:r>
      <w:r>
        <w:rPr>
          <w:rFonts w:ascii="仿宋_GB2312" w:eastAsia="仿宋_GB2312" w:cs="仿宋_GB2312"/>
          <w:b w:val="0"/>
          <w:bCs w:val="0"/>
        </w:rPr>
        <w:t>90.98</w:t>
      </w:r>
      <w:r>
        <w:rPr>
          <w:rFonts w:hint="eastAsia" w:ascii="仿宋_GB2312" w:eastAsia="仿宋_GB2312" w:cs="仿宋_GB2312"/>
          <w:b w:val="0"/>
          <w:bCs w:val="0"/>
        </w:rPr>
        <w:t>万元、社会保障和就业支出</w:t>
      </w:r>
      <w:r>
        <w:rPr>
          <w:rFonts w:ascii="仿宋_GB2312" w:eastAsia="仿宋_GB2312" w:cs="仿宋_GB2312"/>
          <w:b w:val="0"/>
          <w:bCs w:val="0"/>
        </w:rPr>
        <w:t>15.93</w:t>
      </w:r>
      <w:r>
        <w:rPr>
          <w:rFonts w:hint="eastAsia" w:ascii="仿宋_GB2312" w:eastAsia="仿宋_GB2312" w:cs="仿宋_GB2312"/>
          <w:b w:val="0"/>
          <w:bCs w:val="0"/>
        </w:rPr>
        <w:t>万元、卫生健康支出</w:t>
      </w:r>
      <w:r>
        <w:rPr>
          <w:rFonts w:ascii="仿宋_GB2312" w:eastAsia="仿宋_GB2312" w:cs="仿宋_GB2312"/>
          <w:b w:val="0"/>
          <w:bCs w:val="0"/>
        </w:rPr>
        <w:t>6.44</w:t>
      </w:r>
      <w:r>
        <w:rPr>
          <w:rFonts w:hint="eastAsia" w:ascii="仿宋_GB2312" w:eastAsia="仿宋_GB2312" w:cs="仿宋_GB2312"/>
          <w:b w:val="0"/>
          <w:bCs w:val="0"/>
        </w:rPr>
        <w:t>万元、住房保障支出</w:t>
      </w:r>
      <w:r>
        <w:rPr>
          <w:rFonts w:ascii="仿宋_GB2312" w:eastAsia="仿宋_GB2312" w:cs="仿宋_GB2312"/>
          <w:b w:val="0"/>
          <w:bCs w:val="0"/>
        </w:rPr>
        <w:t>9.68</w:t>
      </w:r>
      <w:r>
        <w:rPr>
          <w:rFonts w:hint="eastAsia" w:ascii="仿宋_GB2312" w:eastAsia="仿宋_GB2312" w:cs="仿宋_GB2312"/>
          <w:b w:val="0"/>
          <w:bCs w:val="0"/>
        </w:rPr>
        <w:t>万元；按支出性质分类，基本支出</w:t>
      </w:r>
      <w:r>
        <w:rPr>
          <w:rFonts w:ascii="仿宋_GB2312" w:eastAsia="仿宋_GB2312" w:cs="仿宋_GB2312"/>
          <w:b w:val="0"/>
          <w:bCs w:val="0"/>
        </w:rPr>
        <w:t>123.03</w:t>
      </w:r>
      <w:r>
        <w:rPr>
          <w:rFonts w:hint="eastAsia" w:ascii="仿宋_GB2312" w:eastAsia="仿宋_GB2312" w:cs="仿宋_GB2312"/>
          <w:b w:val="0"/>
          <w:bCs w:val="0"/>
        </w:rPr>
        <w:t>万元；按经济分类，工资福利支出</w:t>
      </w:r>
      <w:r>
        <w:rPr>
          <w:rFonts w:ascii="仿宋_GB2312" w:eastAsia="仿宋_GB2312" w:cs="仿宋_GB2312"/>
          <w:b w:val="0"/>
          <w:bCs w:val="0"/>
        </w:rPr>
        <w:t>118.10</w:t>
      </w:r>
      <w:r>
        <w:rPr>
          <w:rFonts w:hint="eastAsia" w:ascii="仿宋_GB2312" w:eastAsia="仿宋_GB2312" w:cs="仿宋_GB2312"/>
          <w:b w:val="0"/>
          <w:bCs w:val="0"/>
        </w:rPr>
        <w:t>万元，商品和服务支出</w:t>
      </w:r>
      <w:r>
        <w:rPr>
          <w:rFonts w:ascii="仿宋_GB2312" w:eastAsia="仿宋_GB2312" w:cs="仿宋_GB2312"/>
          <w:b w:val="0"/>
          <w:bCs w:val="0"/>
        </w:rPr>
        <w:t>4.52</w:t>
      </w:r>
      <w:r>
        <w:rPr>
          <w:rFonts w:hint="eastAsia" w:ascii="仿宋_GB2312" w:eastAsia="仿宋_GB2312" w:cs="仿宋_GB2312"/>
          <w:b w:val="0"/>
          <w:bCs w:val="0"/>
        </w:rPr>
        <w:t>万元，对个人和家庭的补助支出</w:t>
      </w:r>
      <w:r>
        <w:rPr>
          <w:rFonts w:ascii="仿宋_GB2312" w:eastAsia="仿宋_GB2312" w:cs="仿宋_GB2312"/>
          <w:b w:val="0"/>
          <w:bCs w:val="0"/>
        </w:rPr>
        <w:t>0.41</w:t>
      </w:r>
      <w:r>
        <w:rPr>
          <w:rFonts w:hint="eastAsia" w:ascii="仿宋_GB2312" w:eastAsia="仿宋_GB2312" w:cs="仿宋_GB2312"/>
          <w:b w:val="0"/>
          <w:bCs w:val="0"/>
        </w:rPr>
        <w:t>万元。</w:t>
      </w:r>
    </w:p>
    <w:bookmarkEnd w:id="59"/>
    <w:p>
      <w:pPr>
        <w:pStyle w:val="3"/>
        <w:ind w:firstLine="704" w:firstLineChars="220"/>
        <w:rPr>
          <w:rFonts w:ascii="黑体"/>
        </w:rPr>
      </w:pPr>
      <w:r>
        <w:rPr>
          <w:rFonts w:hint="eastAsia" w:ascii="黑体" w:hAnsi="黑体" w:cs="黑体"/>
        </w:rPr>
        <w:t>三、部门整体预算绩效管理情况</w:t>
      </w:r>
    </w:p>
    <w:p>
      <w:pPr>
        <w:pStyle w:val="3"/>
        <w:ind w:firstLine="479" w:firstLineChars="149"/>
        <w:rPr>
          <w:rFonts w:ascii="仿宋" w:hAnsi="仿宋" w:eastAsia="仿宋"/>
          <w:b/>
          <w:bCs/>
          <w:color w:val="000000"/>
        </w:rPr>
      </w:pPr>
      <w:bookmarkStart w:id="74" w:name="_GoBack"/>
      <w:r>
        <w:rPr>
          <w:rFonts w:hint="eastAsia" w:ascii="楷体_GB2312" w:hAnsi="仿宋" w:eastAsia="楷体_GB2312" w:cs="楷体_GB2312"/>
          <w:b/>
          <w:bCs/>
        </w:rPr>
        <w:t>（一）部门预算管理</w:t>
      </w:r>
    </w:p>
    <w:bookmarkEnd w:id="74"/>
    <w:p>
      <w:pPr>
        <w:widowControl/>
        <w:adjustRightInd w:val="0"/>
        <w:spacing w:line="576" w:lineRule="exact"/>
        <w:ind w:firstLine="640"/>
        <w:jc w:val="left"/>
        <w:rPr>
          <w:rFonts w:ascii="仿宋_GB2312" w:eastAsia="仿宋_GB2312" w:cs="仿宋_GB2312"/>
          <w:b w:val="0"/>
          <w:bCs w:val="0"/>
        </w:rPr>
      </w:pPr>
      <w:r>
        <w:rPr>
          <w:rFonts w:hint="eastAsia" w:ascii="仿宋_GB2312" w:eastAsia="仿宋_GB2312" w:cs="仿宋_GB2312"/>
          <w:b w:val="0"/>
          <w:bCs w:val="0"/>
        </w:rPr>
        <w:t>我单位认真学习贯彻党代会全会精神，以习近平新时代中国特色社会主义思想为指导，根据职能职责积极谋划，确定目标任务，积极发挥公共财政职能作用，推动落实稳增长、促改革、调结构、惠民生、防风险各项工作。</w:t>
      </w:r>
      <w:r>
        <w:rPr>
          <w:rFonts w:ascii="仿宋_GB2312" w:eastAsia="仿宋_GB2312" w:cs="仿宋_GB2312"/>
          <w:b w:val="0"/>
          <w:bCs w:val="0"/>
        </w:rPr>
        <w:t xml:space="preserve"> </w:t>
      </w:r>
    </w:p>
    <w:p>
      <w:pPr>
        <w:widowControl/>
        <w:spacing w:line="576" w:lineRule="exact"/>
        <w:ind w:firstLine="480" w:firstLineChars="150"/>
        <w:jc w:val="left"/>
        <w:rPr>
          <w:rFonts w:ascii="仿宋_GB2312" w:eastAsia="仿宋_GB2312" w:cs="仿宋_GB2312"/>
          <w:b w:val="0"/>
          <w:bCs w:val="0"/>
        </w:rPr>
      </w:pPr>
      <w:r>
        <w:rPr>
          <w:rFonts w:hint="eastAsia" w:ascii="仿宋_GB2312" w:eastAsia="仿宋_GB2312" w:cs="仿宋_GB2312"/>
          <w:b w:val="0"/>
          <w:bCs w:val="0"/>
        </w:rPr>
        <w:t>一是按照《四川省省级预算绩效运行监控管理暂行办法》要求，认真组织开展所属单位的绩效监控工作，填报《项目预算绩效监控分析表》，进一步明确项成目标可能性及时间。有效使用财政资金，提高财政资金使用效益，保障了本单位工作顺利开展。</w:t>
      </w:r>
    </w:p>
    <w:p>
      <w:pPr>
        <w:widowControl/>
        <w:spacing w:line="576" w:lineRule="exact"/>
        <w:ind w:firstLine="640"/>
        <w:jc w:val="left"/>
        <w:rPr>
          <w:rFonts w:ascii="仿宋_GB2312" w:eastAsia="仿宋_GB2312" w:cs="仿宋_GB2312"/>
          <w:b w:val="0"/>
          <w:bCs w:val="0"/>
        </w:rPr>
      </w:pPr>
      <w:r>
        <w:rPr>
          <w:rFonts w:hint="eastAsia" w:ascii="仿宋_GB2312" w:eastAsia="仿宋_GB2312" w:cs="仿宋_GB2312"/>
          <w:b w:val="0"/>
          <w:bCs w:val="0"/>
        </w:rPr>
        <w:t>二是按照</w:t>
      </w:r>
      <w:r>
        <w:rPr>
          <w:rFonts w:ascii="仿宋_GB2312" w:eastAsia="仿宋_GB2312" w:cs="仿宋_GB2312"/>
          <w:b w:val="0"/>
          <w:bCs w:val="0"/>
        </w:rPr>
        <w:t>2019</w:t>
      </w:r>
      <w:r>
        <w:rPr>
          <w:rFonts w:hint="eastAsia" w:ascii="仿宋_GB2312" w:eastAsia="仿宋_GB2312" w:cs="仿宋_GB2312"/>
          <w:b w:val="0"/>
          <w:bCs w:val="0"/>
        </w:rPr>
        <w:t>年部门预算编审要求，根据我单位职能职责，结合中长期规划和年度工作计划，明确了年度主要工作任务及年度内履职所要达到的总体产出和效果，认真填报了我单位整体支出绩效目标，设定了年度绩效数量指标、成本指标效益指标等。</w:t>
      </w:r>
    </w:p>
    <w:p>
      <w:pPr>
        <w:widowControl/>
        <w:spacing w:line="576" w:lineRule="exact"/>
        <w:ind w:firstLine="640"/>
        <w:rPr>
          <w:rFonts w:ascii="仿宋_GB2312" w:eastAsia="仿宋_GB2312" w:cs="仿宋_GB2312"/>
          <w:b w:val="0"/>
          <w:bCs w:val="0"/>
        </w:rPr>
      </w:pPr>
      <w:r>
        <w:rPr>
          <w:rFonts w:hint="eastAsia" w:ascii="仿宋_GB2312" w:eastAsia="仿宋_GB2312" w:cs="仿宋_GB2312"/>
          <w:b w:val="0"/>
          <w:bCs w:val="0"/>
        </w:rPr>
        <w:t>三是按照财政部门统一部署，本单位于按要求公开绩效目标管理情况及部门整体支出绩效自评开展情况。</w:t>
      </w:r>
    </w:p>
    <w:p>
      <w:pPr>
        <w:spacing w:line="576" w:lineRule="exact"/>
        <w:ind w:firstLine="643"/>
        <w:rPr>
          <w:rFonts w:ascii="仿宋_GB2312" w:hAnsi="宋体" w:eastAsia="仿宋_GB2312"/>
        </w:rPr>
      </w:pPr>
      <w:r>
        <w:rPr>
          <w:rFonts w:hint="eastAsia" w:ascii="楷体_GB2312" w:hAnsi="仿宋" w:cs="楷体_GB2312"/>
        </w:rPr>
        <w:t>（二）结果应用情况</w:t>
      </w:r>
    </w:p>
    <w:p>
      <w:pPr>
        <w:widowControl/>
        <w:spacing w:line="576" w:lineRule="exact"/>
        <w:ind w:firstLine="627" w:firstLineChars="196"/>
        <w:rPr>
          <w:rFonts w:ascii="仿宋_GB2312" w:eastAsia="仿宋_GB2312" w:cs="仿宋_GB2312"/>
          <w:b w:val="0"/>
          <w:bCs w:val="0"/>
        </w:rPr>
      </w:pPr>
      <w:r>
        <w:rPr>
          <w:rFonts w:hint="eastAsia" w:ascii="仿宋_GB2312" w:eastAsia="仿宋_GB2312" w:cs="仿宋_GB2312"/>
          <w:b w:val="0"/>
          <w:bCs w:val="0"/>
        </w:rPr>
        <w:t>我单位对部门预算绩效管理工作开展情况进行了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pStyle w:val="3"/>
        <w:spacing w:line="560" w:lineRule="exact"/>
        <w:ind w:firstLine="640"/>
        <w:rPr>
          <w:rFonts w:cs="Times New Roman"/>
          <w:shd w:val="clear" w:color="auto" w:fill="FFFFFF"/>
        </w:rPr>
      </w:pPr>
      <w:r>
        <w:rPr>
          <w:rFonts w:hint="eastAsia" w:cs="黑体"/>
          <w:shd w:val="clear" w:color="auto" w:fill="FFFFFF"/>
        </w:rPr>
        <w:t>四、评价结论及建议</w:t>
      </w:r>
    </w:p>
    <w:p>
      <w:pPr>
        <w:widowControl/>
        <w:spacing w:line="576" w:lineRule="exact"/>
        <w:ind w:firstLine="482" w:firstLineChars="150"/>
        <w:jc w:val="left"/>
        <w:rPr>
          <w:rFonts w:ascii="楷体" w:hAnsi="楷体" w:eastAsia="楷体" w:cs="楷体"/>
        </w:rPr>
      </w:pPr>
      <w:r>
        <w:rPr>
          <w:rFonts w:hint="eastAsia" w:ascii="楷体" w:hAnsi="楷体" w:eastAsia="楷体" w:cs="楷体"/>
        </w:rPr>
        <w:t>（一）评价结论</w:t>
      </w:r>
    </w:p>
    <w:p>
      <w:pPr>
        <w:widowControl/>
        <w:spacing w:line="576" w:lineRule="exact"/>
        <w:ind w:firstLine="640"/>
        <w:jc w:val="left"/>
        <w:rPr>
          <w:rFonts w:ascii="仿宋_GB2312" w:eastAsia="仿宋_GB2312" w:cs="仿宋_GB2312"/>
          <w:b w:val="0"/>
          <w:bCs w:val="0"/>
        </w:rPr>
      </w:pPr>
      <w:r>
        <w:rPr>
          <w:rFonts w:ascii="仿宋_GB2312" w:eastAsia="仿宋_GB2312" w:cs="仿宋_GB2312"/>
          <w:b w:val="0"/>
          <w:bCs w:val="0"/>
        </w:rPr>
        <w:t>2019</w:t>
      </w:r>
      <w:r>
        <w:rPr>
          <w:rFonts w:hint="eastAsia" w:ascii="仿宋_GB2312" w:eastAsia="仿宋_GB2312" w:cs="仿宋_GB2312"/>
          <w:b w:val="0"/>
          <w:bCs w:val="0"/>
        </w:rPr>
        <w:t>年我部门整体支出绩效评价自查自评结果良好，全年基本支出保证了部门的正常运行和日常工作的正常开展，达到预期绩效目标，按照</w:t>
      </w:r>
      <w:r>
        <w:rPr>
          <w:rFonts w:ascii="仿宋_GB2312" w:eastAsia="仿宋_GB2312" w:cs="仿宋_GB2312"/>
          <w:b w:val="0"/>
          <w:bCs w:val="0"/>
        </w:rPr>
        <w:t>2019</w:t>
      </w:r>
      <w:r>
        <w:rPr>
          <w:rFonts w:hint="eastAsia" w:ascii="仿宋_GB2312" w:eastAsia="仿宋_GB2312" w:cs="仿宋_GB2312"/>
          <w:b w:val="0"/>
          <w:bCs w:val="0"/>
        </w:rPr>
        <w:t>年部门整体支出绩效评价指标体系自评得分</w:t>
      </w:r>
      <w:r>
        <w:rPr>
          <w:rFonts w:ascii="仿宋_GB2312" w:eastAsia="仿宋_GB2312" w:cs="仿宋_GB2312"/>
          <w:b w:val="0"/>
          <w:bCs w:val="0"/>
        </w:rPr>
        <w:t>97</w:t>
      </w:r>
      <w:r>
        <w:rPr>
          <w:rFonts w:hint="eastAsia" w:ascii="仿宋_GB2312" w:eastAsia="仿宋_GB2312" w:cs="仿宋_GB2312"/>
          <w:b w:val="0"/>
          <w:bCs w:val="0"/>
        </w:rPr>
        <w:t>分。</w:t>
      </w:r>
      <w:r>
        <w:rPr>
          <w:rFonts w:ascii="仿宋_GB2312" w:eastAsia="仿宋_GB2312" w:cs="仿宋_GB2312"/>
          <w:b w:val="0"/>
          <w:bCs w:val="0"/>
        </w:rPr>
        <w:t xml:space="preserve"> </w:t>
      </w:r>
    </w:p>
    <w:p>
      <w:pPr>
        <w:widowControl/>
        <w:spacing w:line="576" w:lineRule="exact"/>
        <w:ind w:firstLine="640"/>
        <w:jc w:val="left"/>
        <w:rPr>
          <w:rFonts w:ascii="楷体" w:hAnsi="楷体" w:eastAsia="楷体" w:cs="楷体"/>
        </w:rPr>
      </w:pPr>
      <w:r>
        <w:rPr>
          <w:rFonts w:hint="eastAsia" w:ascii="楷体" w:hAnsi="楷体" w:eastAsia="楷体" w:cs="楷体"/>
        </w:rPr>
        <w:t>（二）存在问题</w:t>
      </w:r>
    </w:p>
    <w:p>
      <w:pPr>
        <w:widowControl/>
        <w:spacing w:line="576" w:lineRule="exact"/>
        <w:ind w:firstLine="640"/>
        <w:rPr>
          <w:rFonts w:ascii="仿宋_GB2312" w:eastAsia="仿宋_GB2312" w:cs="仿宋_GB2312"/>
          <w:b w:val="0"/>
          <w:bCs w:val="0"/>
        </w:rPr>
      </w:pPr>
      <w:r>
        <w:rPr>
          <w:rFonts w:ascii="仿宋_GB2312" w:eastAsia="仿宋_GB2312" w:cs="仿宋_GB2312"/>
          <w:b w:val="0"/>
          <w:bCs w:val="0"/>
        </w:rPr>
        <w:t>1.</w:t>
      </w:r>
      <w:r>
        <w:rPr>
          <w:rFonts w:hint="eastAsia" w:ascii="仿宋_GB2312" w:eastAsia="仿宋_GB2312" w:cs="仿宋_GB2312"/>
          <w:b w:val="0"/>
          <w:bCs w:val="0"/>
        </w:rPr>
        <w:t>需更进一步规范财务报账资料。</w:t>
      </w:r>
    </w:p>
    <w:p>
      <w:pPr>
        <w:widowControl/>
        <w:spacing w:line="576" w:lineRule="exact"/>
        <w:ind w:firstLine="640"/>
        <w:rPr>
          <w:rFonts w:ascii="仿宋_GB2312" w:eastAsia="仿宋_GB2312" w:cs="仿宋_GB2312"/>
          <w:b w:val="0"/>
          <w:bCs w:val="0"/>
        </w:rPr>
      </w:pPr>
      <w:r>
        <w:rPr>
          <w:rFonts w:ascii="仿宋_GB2312" w:eastAsia="仿宋_GB2312" w:cs="仿宋_GB2312"/>
          <w:b w:val="0"/>
          <w:bCs w:val="0"/>
        </w:rPr>
        <w:t>2.</w:t>
      </w:r>
      <w:r>
        <w:rPr>
          <w:rFonts w:hint="eastAsia" w:ascii="仿宋_GB2312" w:eastAsia="仿宋_GB2312" w:cs="仿宋_GB2312"/>
          <w:b w:val="0"/>
          <w:bCs w:val="0"/>
        </w:rPr>
        <w:t>属于公务卡结算目录内的费用</w:t>
      </w:r>
      <w:r>
        <w:rPr>
          <w:rFonts w:ascii="仿宋_GB2312" w:eastAsia="仿宋_GB2312" w:cs="仿宋_GB2312"/>
          <w:b w:val="0"/>
          <w:bCs w:val="0"/>
        </w:rPr>
        <w:t>,</w:t>
      </w:r>
      <w:r>
        <w:rPr>
          <w:rFonts w:hint="eastAsia" w:ascii="仿宋_GB2312" w:eastAsia="仿宋_GB2312" w:cs="仿宋_GB2312"/>
          <w:b w:val="0"/>
          <w:bCs w:val="0"/>
        </w:rPr>
        <w:t>应加大使用公务卡结算比例。</w:t>
      </w:r>
    </w:p>
    <w:p>
      <w:pPr>
        <w:widowControl/>
        <w:spacing w:line="576" w:lineRule="exact"/>
        <w:ind w:firstLine="640"/>
        <w:rPr>
          <w:rFonts w:ascii="仿宋_GB2312" w:eastAsia="仿宋_GB2312" w:cs="仿宋_GB2312"/>
          <w:b w:val="0"/>
          <w:bCs w:val="0"/>
        </w:rPr>
      </w:pPr>
      <w:r>
        <w:rPr>
          <w:rFonts w:ascii="仿宋_GB2312" w:eastAsia="仿宋_GB2312" w:cs="仿宋_GB2312"/>
          <w:b w:val="0"/>
          <w:bCs w:val="0"/>
        </w:rPr>
        <w:t>3.</w:t>
      </w:r>
      <w:r>
        <w:rPr>
          <w:rFonts w:hint="eastAsia" w:ascii="仿宋_GB2312" w:eastAsia="仿宋_GB2312" w:cs="仿宋_GB2312"/>
          <w:b w:val="0"/>
          <w:bCs w:val="0"/>
        </w:rPr>
        <w:t>需严格报账审批，切实履行各自职能职责，保障会计资料的真实性、完整性。</w:t>
      </w:r>
    </w:p>
    <w:p>
      <w:pPr>
        <w:widowControl/>
        <w:spacing w:line="576" w:lineRule="exact"/>
        <w:ind w:firstLine="640"/>
        <w:rPr>
          <w:rFonts w:ascii="仿宋_GB2312" w:eastAsia="仿宋_GB2312" w:cs="仿宋_GB2312"/>
          <w:b w:val="0"/>
          <w:bCs w:val="0"/>
        </w:rPr>
      </w:pPr>
      <w:r>
        <w:rPr>
          <w:rFonts w:ascii="仿宋_GB2312" w:eastAsia="仿宋_GB2312" w:cs="仿宋_GB2312"/>
          <w:b w:val="0"/>
          <w:bCs w:val="0"/>
        </w:rPr>
        <w:t>4.</w:t>
      </w:r>
      <w:r>
        <w:rPr>
          <w:rFonts w:hint="eastAsia" w:ascii="仿宋_GB2312" w:eastAsia="仿宋_GB2312" w:cs="仿宋_GB2312"/>
          <w:b w:val="0"/>
          <w:bCs w:val="0"/>
        </w:rPr>
        <w:t>财务核算和档案管理需进一步规范。</w:t>
      </w:r>
    </w:p>
    <w:p>
      <w:pPr>
        <w:widowControl/>
        <w:spacing w:line="576" w:lineRule="exact"/>
        <w:ind w:firstLine="630" w:firstLineChars="196"/>
        <w:jc w:val="left"/>
        <w:rPr>
          <w:rFonts w:ascii="楷体" w:hAnsi="楷体" w:eastAsia="楷体" w:cs="楷体"/>
        </w:rPr>
      </w:pPr>
      <w:r>
        <w:rPr>
          <w:rFonts w:hint="eastAsia" w:ascii="楷体" w:hAnsi="楷体" w:eastAsia="楷体" w:cs="楷体"/>
        </w:rPr>
        <w:t>（三）改进建议</w:t>
      </w:r>
    </w:p>
    <w:p>
      <w:pPr>
        <w:widowControl/>
        <w:spacing w:line="576" w:lineRule="exact"/>
        <w:ind w:firstLine="640"/>
        <w:rPr>
          <w:rFonts w:ascii="仿宋_GB2312" w:eastAsia="仿宋_GB2312" w:cs="仿宋_GB2312"/>
          <w:b w:val="0"/>
          <w:bCs w:val="0"/>
        </w:rPr>
      </w:pPr>
      <w:r>
        <w:rPr>
          <w:rFonts w:ascii="仿宋_GB2312" w:eastAsia="仿宋_GB2312" w:cs="仿宋_GB2312"/>
          <w:b w:val="0"/>
          <w:bCs w:val="0"/>
        </w:rPr>
        <w:t>1.</w:t>
      </w:r>
      <w:r>
        <w:rPr>
          <w:rFonts w:hint="eastAsia" w:ascii="仿宋_GB2312" w:eastAsia="仿宋_GB2312" w:cs="仿宋_GB2312"/>
          <w:b w:val="0"/>
          <w:bCs w:val="0"/>
        </w:rPr>
        <w:t>进一步加强单位预算编制、支出执行、决算编制等工作的管理，特别是应加快专项资金的预算执行进度。</w:t>
      </w:r>
    </w:p>
    <w:p>
      <w:pPr>
        <w:widowControl/>
        <w:spacing w:line="576" w:lineRule="exact"/>
        <w:ind w:firstLine="640"/>
        <w:rPr>
          <w:rFonts w:ascii="仿宋_GB2312" w:eastAsia="仿宋_GB2312" w:cs="仿宋_GB2312"/>
          <w:b w:val="0"/>
          <w:bCs w:val="0"/>
        </w:rPr>
      </w:pPr>
      <w:r>
        <w:rPr>
          <w:rFonts w:ascii="仿宋_GB2312" w:eastAsia="仿宋_GB2312" w:cs="仿宋_GB2312"/>
          <w:b w:val="0"/>
          <w:bCs w:val="0"/>
        </w:rPr>
        <w:t>2.</w:t>
      </w:r>
      <w:r>
        <w:rPr>
          <w:rFonts w:hint="eastAsia" w:ascii="仿宋_GB2312" w:eastAsia="仿宋_GB2312" w:cs="仿宋_GB2312"/>
          <w:b w:val="0"/>
          <w:bCs w:val="0"/>
        </w:rPr>
        <w:t>在会计核算过程中，严格按照单位内控制度、财务管理制度，加强票据审核，报销凭证应为真实、合法、有效的票据；严禁超范围、超标准、进行报销。</w:t>
      </w:r>
      <w:r>
        <w:rPr>
          <w:rFonts w:ascii="仿宋_GB2312" w:eastAsia="仿宋_GB2312" w:cs="仿宋_GB2312"/>
          <w:b w:val="0"/>
          <w:bCs w:val="0"/>
        </w:rPr>
        <w:tab/>
      </w:r>
    </w:p>
    <w:p>
      <w:pPr>
        <w:widowControl/>
        <w:spacing w:line="576" w:lineRule="exact"/>
        <w:ind w:firstLine="640"/>
        <w:rPr>
          <w:rFonts w:ascii="仿宋_GB2312" w:eastAsia="仿宋_GB2312" w:cs="仿宋_GB2312"/>
          <w:b w:val="0"/>
          <w:bCs w:val="0"/>
        </w:rPr>
      </w:pPr>
      <w:r>
        <w:rPr>
          <w:rFonts w:ascii="仿宋_GB2312" w:eastAsia="仿宋_GB2312" w:cs="仿宋_GB2312"/>
          <w:b w:val="0"/>
          <w:bCs w:val="0"/>
        </w:rPr>
        <w:t>3.</w:t>
      </w:r>
      <w:r>
        <w:rPr>
          <w:rFonts w:hint="eastAsia" w:ascii="仿宋_GB2312" w:eastAsia="仿宋_GB2312" w:cs="仿宋_GB2312"/>
          <w:b w:val="0"/>
          <w:bCs w:val="0"/>
        </w:rPr>
        <w:t>针对存在的问题，我们将进一步科学设定绩效目标，加强预算执行管理。改进部门收支预算编制，务实预算基础工作，提高预算编制质量。</w:t>
      </w:r>
    </w:p>
    <w:p>
      <w:pPr>
        <w:widowControl/>
        <w:spacing w:line="576" w:lineRule="exact"/>
        <w:ind w:firstLine="640"/>
        <w:rPr>
          <w:rFonts w:ascii="仿宋_GB2312" w:eastAsia="仿宋_GB2312" w:cs="仿宋_GB2312"/>
          <w:b w:val="0"/>
          <w:bCs w:val="0"/>
        </w:rPr>
      </w:pPr>
    </w:p>
    <w:p>
      <w:pPr>
        <w:pStyle w:val="2"/>
        <w:ind w:firstLine="0" w:firstLineChars="0"/>
        <w:rPr>
          <w:rFonts w:cs="方正小标宋简体"/>
          <w:b w:val="0"/>
          <w:bCs w:val="0"/>
        </w:rPr>
      </w:pPr>
      <w:bookmarkStart w:id="60" w:name="_Toc20222297"/>
    </w:p>
    <w:p>
      <w:pPr>
        <w:pStyle w:val="2"/>
        <w:ind w:firstLine="0" w:firstLineChars="0"/>
        <w:rPr>
          <w:rFonts w:cs="方正小标宋简体"/>
          <w:b w:val="0"/>
          <w:bCs w:val="0"/>
        </w:rPr>
      </w:pPr>
    </w:p>
    <w:p>
      <w:pPr>
        <w:pStyle w:val="2"/>
        <w:ind w:firstLine="0" w:firstLineChars="0"/>
        <w:rPr>
          <w:rFonts w:cs="方正小标宋简体"/>
          <w:b w:val="0"/>
          <w:bCs w:val="0"/>
        </w:rPr>
      </w:pPr>
    </w:p>
    <w:p>
      <w:pPr>
        <w:ind w:firstLine="643"/>
      </w:pPr>
    </w:p>
    <w:p>
      <w:pPr>
        <w:pStyle w:val="2"/>
        <w:ind w:firstLine="0" w:firstLineChars="0"/>
        <w:rPr>
          <w:rStyle w:val="17"/>
          <w:b w:val="0"/>
          <w:bCs w:val="0"/>
        </w:rPr>
      </w:pPr>
      <w:r>
        <w:rPr>
          <w:rFonts w:hint="eastAsia" w:cs="方正小标宋简体"/>
          <w:b w:val="0"/>
          <w:bCs w:val="0"/>
        </w:rPr>
        <w:t>第</w:t>
      </w:r>
      <w:r>
        <w:rPr>
          <w:rStyle w:val="17"/>
          <w:rFonts w:hint="eastAsia" w:cs="方正小标宋简体"/>
          <w:b w:val="0"/>
          <w:bCs w:val="0"/>
        </w:rPr>
        <w:t>五部分</w:t>
      </w:r>
      <w:r>
        <w:rPr>
          <w:rStyle w:val="17"/>
          <w:b w:val="0"/>
          <w:bCs w:val="0"/>
        </w:rPr>
        <w:t xml:space="preserve"> </w:t>
      </w:r>
      <w:r>
        <w:rPr>
          <w:rStyle w:val="17"/>
          <w:rFonts w:hint="eastAsia" w:cs="方正小标宋简体"/>
          <w:b w:val="0"/>
          <w:bCs w:val="0"/>
        </w:rPr>
        <w:t>附表</w:t>
      </w:r>
      <w:bookmarkEnd w:id="60"/>
    </w:p>
    <w:p>
      <w:pPr>
        <w:spacing w:line="576" w:lineRule="exact"/>
        <w:ind w:firstLine="0" w:firstLineChars="0"/>
        <w:rPr>
          <w:rFonts w:ascii="仿宋_GB2312" w:eastAsia="仿宋_GB2312"/>
          <w:b w:val="0"/>
          <w:bCs w:val="0"/>
        </w:rPr>
      </w:pPr>
      <w:bookmarkStart w:id="61" w:name="_Toc15396619"/>
    </w:p>
    <w:p>
      <w:pPr>
        <w:spacing w:line="576" w:lineRule="exact"/>
        <w:ind w:firstLine="0" w:firstLineChars="0"/>
        <w:rPr>
          <w:rFonts w:ascii="仿宋_GB2312" w:eastAsia="仿宋_GB2312"/>
          <w:b w:val="0"/>
          <w:bCs w:val="0"/>
        </w:rPr>
      </w:pPr>
      <w:r>
        <w:rPr>
          <w:rFonts w:hint="eastAsia" w:ascii="仿宋_GB2312" w:eastAsia="仿宋_GB2312" w:cs="仿宋_GB2312"/>
          <w:b w:val="0"/>
          <w:bCs w:val="0"/>
        </w:rPr>
        <w:t>一、收入支出决算总表</w:t>
      </w:r>
      <w:bookmarkEnd w:id="61"/>
    </w:p>
    <w:p>
      <w:pPr>
        <w:spacing w:line="576" w:lineRule="exact"/>
        <w:ind w:firstLine="0" w:firstLineChars="0"/>
        <w:rPr>
          <w:rFonts w:ascii="仿宋_GB2312" w:eastAsia="仿宋_GB2312"/>
          <w:b w:val="0"/>
          <w:bCs w:val="0"/>
        </w:rPr>
      </w:pPr>
      <w:bookmarkStart w:id="62" w:name="_Toc15396620"/>
      <w:r>
        <w:rPr>
          <w:rFonts w:hint="eastAsia" w:ascii="仿宋_GB2312" w:eastAsia="仿宋_GB2312" w:cs="仿宋_GB2312"/>
          <w:b w:val="0"/>
          <w:bCs w:val="0"/>
        </w:rPr>
        <w:t>二、收入</w:t>
      </w:r>
      <w:bookmarkEnd w:id="62"/>
      <w:r>
        <w:rPr>
          <w:rFonts w:hint="eastAsia" w:ascii="仿宋_GB2312" w:eastAsia="仿宋_GB2312" w:cs="仿宋_GB2312"/>
          <w:b w:val="0"/>
          <w:bCs w:val="0"/>
        </w:rPr>
        <w:t>决算表</w:t>
      </w:r>
    </w:p>
    <w:p>
      <w:pPr>
        <w:spacing w:line="576" w:lineRule="exact"/>
        <w:ind w:firstLine="0" w:firstLineChars="0"/>
        <w:rPr>
          <w:rFonts w:ascii="仿宋_GB2312" w:eastAsia="仿宋_GB2312"/>
          <w:b w:val="0"/>
          <w:bCs w:val="0"/>
        </w:rPr>
      </w:pPr>
      <w:bookmarkStart w:id="63" w:name="_Toc15396621"/>
      <w:r>
        <w:rPr>
          <w:rFonts w:hint="eastAsia" w:ascii="仿宋_GB2312" w:eastAsia="仿宋_GB2312" w:cs="仿宋_GB2312"/>
          <w:b w:val="0"/>
          <w:bCs w:val="0"/>
        </w:rPr>
        <w:t>三、支出决算表</w:t>
      </w:r>
      <w:bookmarkEnd w:id="63"/>
    </w:p>
    <w:p>
      <w:pPr>
        <w:spacing w:line="576" w:lineRule="exact"/>
        <w:ind w:firstLine="0" w:firstLineChars="0"/>
        <w:rPr>
          <w:rFonts w:ascii="仿宋_GB2312" w:eastAsia="仿宋_GB2312"/>
          <w:b w:val="0"/>
          <w:bCs w:val="0"/>
        </w:rPr>
      </w:pPr>
      <w:bookmarkStart w:id="64" w:name="_Toc15396622"/>
      <w:r>
        <w:rPr>
          <w:rFonts w:hint="eastAsia" w:ascii="仿宋_GB2312" w:eastAsia="仿宋_GB2312" w:cs="仿宋_GB2312"/>
          <w:b w:val="0"/>
          <w:bCs w:val="0"/>
        </w:rPr>
        <w:t>四、财政拨款收入支出决算总表</w:t>
      </w:r>
      <w:bookmarkEnd w:id="64"/>
    </w:p>
    <w:p>
      <w:pPr>
        <w:spacing w:line="576" w:lineRule="exact"/>
        <w:ind w:firstLine="0" w:firstLineChars="0"/>
        <w:rPr>
          <w:rFonts w:ascii="仿宋_GB2312" w:eastAsia="仿宋_GB2312"/>
          <w:b w:val="0"/>
          <w:bCs w:val="0"/>
        </w:rPr>
      </w:pPr>
      <w:bookmarkStart w:id="65" w:name="_Toc15396623"/>
      <w:r>
        <w:rPr>
          <w:rFonts w:hint="eastAsia" w:ascii="仿宋_GB2312" w:eastAsia="仿宋_GB2312" w:cs="仿宋_GB2312"/>
          <w:b w:val="0"/>
          <w:bCs w:val="0"/>
        </w:rPr>
        <w:t>五、财政拨款支出决算明细表</w:t>
      </w:r>
      <w:bookmarkEnd w:id="65"/>
    </w:p>
    <w:p>
      <w:pPr>
        <w:spacing w:line="576" w:lineRule="exact"/>
        <w:ind w:firstLine="0" w:firstLineChars="0"/>
        <w:rPr>
          <w:rFonts w:ascii="仿宋_GB2312" w:eastAsia="仿宋_GB2312"/>
          <w:b w:val="0"/>
          <w:bCs w:val="0"/>
        </w:rPr>
      </w:pPr>
      <w:bookmarkStart w:id="66" w:name="_Toc15396624"/>
      <w:r>
        <w:rPr>
          <w:rFonts w:hint="eastAsia" w:ascii="仿宋_GB2312" w:eastAsia="仿宋_GB2312" w:cs="仿宋_GB2312"/>
          <w:b w:val="0"/>
          <w:bCs w:val="0"/>
        </w:rPr>
        <w:t>六、一般公共预算财政拨款支出决算表</w:t>
      </w:r>
      <w:bookmarkEnd w:id="66"/>
    </w:p>
    <w:p>
      <w:pPr>
        <w:spacing w:line="576" w:lineRule="exact"/>
        <w:ind w:firstLine="0" w:firstLineChars="0"/>
        <w:rPr>
          <w:rFonts w:ascii="仿宋_GB2312" w:eastAsia="仿宋_GB2312"/>
          <w:b w:val="0"/>
          <w:bCs w:val="0"/>
        </w:rPr>
      </w:pPr>
      <w:bookmarkStart w:id="67" w:name="_Toc15396625"/>
      <w:r>
        <w:rPr>
          <w:rFonts w:hint="eastAsia" w:ascii="仿宋_GB2312" w:eastAsia="仿宋_GB2312" w:cs="仿宋_GB2312"/>
          <w:b w:val="0"/>
          <w:bCs w:val="0"/>
        </w:rPr>
        <w:t>七、一般公共预算财政拨款支出决算明细表</w:t>
      </w:r>
      <w:bookmarkEnd w:id="67"/>
    </w:p>
    <w:p>
      <w:pPr>
        <w:spacing w:line="576" w:lineRule="exact"/>
        <w:ind w:firstLine="0" w:firstLineChars="0"/>
        <w:rPr>
          <w:rFonts w:ascii="仿宋_GB2312" w:eastAsia="仿宋_GB2312"/>
          <w:b w:val="0"/>
          <w:bCs w:val="0"/>
        </w:rPr>
      </w:pPr>
      <w:bookmarkStart w:id="68" w:name="_Toc15396626"/>
      <w:r>
        <w:rPr>
          <w:rFonts w:hint="eastAsia" w:ascii="仿宋_GB2312" w:eastAsia="仿宋_GB2312" w:cs="仿宋_GB2312"/>
          <w:b w:val="0"/>
          <w:bCs w:val="0"/>
        </w:rPr>
        <w:t>八、一般公共预算财政拨款基本支出决算表</w:t>
      </w:r>
      <w:bookmarkEnd w:id="68"/>
    </w:p>
    <w:p>
      <w:pPr>
        <w:spacing w:line="576" w:lineRule="exact"/>
        <w:ind w:firstLine="0" w:firstLineChars="0"/>
        <w:rPr>
          <w:rFonts w:ascii="仿宋_GB2312" w:eastAsia="仿宋_GB2312"/>
          <w:b w:val="0"/>
          <w:bCs w:val="0"/>
        </w:rPr>
      </w:pPr>
      <w:bookmarkStart w:id="69" w:name="_Toc15396627"/>
      <w:r>
        <w:rPr>
          <w:rFonts w:hint="eastAsia" w:ascii="仿宋_GB2312" w:eastAsia="仿宋_GB2312" w:cs="仿宋_GB2312"/>
          <w:b w:val="0"/>
          <w:bCs w:val="0"/>
        </w:rPr>
        <w:t>九、一般公共预算财政拨款项目支出决算表</w:t>
      </w:r>
      <w:bookmarkEnd w:id="69"/>
    </w:p>
    <w:p>
      <w:pPr>
        <w:spacing w:line="576" w:lineRule="exact"/>
        <w:ind w:firstLine="0" w:firstLineChars="0"/>
        <w:rPr>
          <w:rFonts w:ascii="仿宋_GB2312" w:eastAsia="仿宋_GB2312"/>
          <w:b w:val="0"/>
          <w:bCs w:val="0"/>
        </w:rPr>
      </w:pPr>
      <w:bookmarkStart w:id="70" w:name="_Toc15396628"/>
      <w:r>
        <w:rPr>
          <w:rFonts w:hint="eastAsia" w:ascii="仿宋_GB2312" w:eastAsia="仿宋_GB2312" w:cs="仿宋_GB2312"/>
          <w:b w:val="0"/>
          <w:bCs w:val="0"/>
        </w:rPr>
        <w:t>十、一般公共预算财政拨款“三公”经费支出决算表</w:t>
      </w:r>
      <w:bookmarkEnd w:id="70"/>
    </w:p>
    <w:p>
      <w:pPr>
        <w:spacing w:line="576" w:lineRule="exact"/>
        <w:ind w:firstLine="0" w:firstLineChars="0"/>
        <w:rPr>
          <w:rFonts w:ascii="仿宋_GB2312" w:eastAsia="仿宋_GB2312"/>
          <w:b w:val="0"/>
          <w:bCs w:val="0"/>
        </w:rPr>
      </w:pPr>
      <w:bookmarkStart w:id="71" w:name="_Toc15396629"/>
      <w:r>
        <w:rPr>
          <w:rFonts w:hint="eastAsia" w:ascii="仿宋_GB2312" w:eastAsia="仿宋_GB2312" w:cs="仿宋_GB2312"/>
          <w:b w:val="0"/>
          <w:bCs w:val="0"/>
        </w:rPr>
        <w:t>十一、政府性基金预算财政拨款收入支出决算表</w:t>
      </w:r>
      <w:bookmarkEnd w:id="71"/>
    </w:p>
    <w:p>
      <w:pPr>
        <w:spacing w:line="576" w:lineRule="exact"/>
        <w:ind w:firstLine="0" w:firstLineChars="0"/>
        <w:rPr>
          <w:rFonts w:ascii="仿宋_GB2312" w:eastAsia="仿宋_GB2312"/>
          <w:b w:val="0"/>
          <w:bCs w:val="0"/>
        </w:rPr>
      </w:pPr>
      <w:bookmarkStart w:id="72" w:name="_Toc15396630"/>
      <w:r>
        <w:rPr>
          <w:rFonts w:hint="eastAsia" w:ascii="仿宋_GB2312" w:eastAsia="仿宋_GB2312" w:cs="仿宋_GB2312"/>
          <w:b w:val="0"/>
          <w:bCs w:val="0"/>
        </w:rPr>
        <w:t>十二、政府性基金预算财政拨款“三公”经费支出决算表</w:t>
      </w:r>
      <w:bookmarkEnd w:id="72"/>
    </w:p>
    <w:p>
      <w:pPr>
        <w:spacing w:line="576" w:lineRule="exact"/>
        <w:ind w:firstLine="0" w:firstLineChars="0"/>
        <w:rPr>
          <w:rFonts w:ascii="仿宋_GB2312" w:eastAsia="仿宋_GB2312"/>
          <w:b w:val="0"/>
          <w:bCs w:val="0"/>
        </w:rPr>
      </w:pPr>
      <w:bookmarkStart w:id="73" w:name="_Toc15396631"/>
      <w:r>
        <w:rPr>
          <w:rFonts w:hint="eastAsia" w:ascii="仿宋_GB2312" w:eastAsia="仿宋_GB2312" w:cs="仿宋_GB2312"/>
          <w:b w:val="0"/>
          <w:bCs w:val="0"/>
        </w:rPr>
        <w:t>十三、国有资本经营预算支出决算表</w:t>
      </w:r>
      <w:bookmarkEnd w:id="73"/>
    </w:p>
    <w:p>
      <w:pPr>
        <w:spacing w:line="576" w:lineRule="exact"/>
        <w:ind w:firstLine="1600" w:firstLineChars="500"/>
        <w:rPr>
          <w:rFonts w:ascii="黑体" w:hAnsi="黑体" w:eastAsia="黑体"/>
          <w:b w:val="0"/>
          <w:bCs w:val="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jc w:val="center"/>
    </w:pPr>
    <w:r>
      <w:fldChar w:fldCharType="begin"/>
    </w:r>
    <w:r>
      <w:instrText xml:space="preserve"> PAGE   \* MERGEFORMAT </w:instrText>
    </w:r>
    <w:r>
      <w:fldChar w:fldCharType="separate"/>
    </w:r>
    <w:r>
      <w:rPr>
        <w:lang w:val="zh-CN"/>
      </w:rPr>
      <w:t>1</w:t>
    </w:r>
    <w:r>
      <w:rPr>
        <w:lang w:val="zh-CN"/>
      </w:rPr>
      <w:fldChar w:fldCharType="end"/>
    </w:r>
  </w:p>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35C7CB"/>
    <w:multiLevelType w:val="singleLevel"/>
    <w:tmpl w:val="B035C7CB"/>
    <w:lvl w:ilvl="0" w:tentative="0">
      <w:start w:val="1"/>
      <w:numFmt w:val="decimal"/>
      <w:lvlText w:val="%1."/>
      <w:lvlJc w:val="left"/>
      <w:pPr>
        <w:tabs>
          <w:tab w:val="left" w:pos="312"/>
        </w:tabs>
      </w:pPr>
      <w:rPr>
        <w:rFonts w:cs="Times New Roman"/>
      </w:rPr>
    </w:lvl>
  </w:abstractNum>
  <w:abstractNum w:abstractNumId="1">
    <w:nsid w:val="DB211318"/>
    <w:multiLevelType w:val="singleLevel"/>
    <w:tmpl w:val="DB211318"/>
    <w:lvl w:ilvl="0" w:tentative="0">
      <w:start w:val="1"/>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3E89"/>
    <w:rsid w:val="000046BE"/>
    <w:rsid w:val="00014A66"/>
    <w:rsid w:val="00015493"/>
    <w:rsid w:val="00023CF0"/>
    <w:rsid w:val="0002425A"/>
    <w:rsid w:val="00025338"/>
    <w:rsid w:val="00035C31"/>
    <w:rsid w:val="000366E8"/>
    <w:rsid w:val="00040454"/>
    <w:rsid w:val="00043376"/>
    <w:rsid w:val="000474F8"/>
    <w:rsid w:val="000650BE"/>
    <w:rsid w:val="00072AF9"/>
    <w:rsid w:val="000879C6"/>
    <w:rsid w:val="0009566D"/>
    <w:rsid w:val="000B047F"/>
    <w:rsid w:val="000B50C5"/>
    <w:rsid w:val="000B5A48"/>
    <w:rsid w:val="000C3CA6"/>
    <w:rsid w:val="000C755A"/>
    <w:rsid w:val="000D5782"/>
    <w:rsid w:val="000E0C91"/>
    <w:rsid w:val="000E1059"/>
    <w:rsid w:val="000F1149"/>
    <w:rsid w:val="000F2E5D"/>
    <w:rsid w:val="000F79DE"/>
    <w:rsid w:val="00106FF4"/>
    <w:rsid w:val="00117544"/>
    <w:rsid w:val="0014729F"/>
    <w:rsid w:val="00147A47"/>
    <w:rsid w:val="001509C4"/>
    <w:rsid w:val="001545C4"/>
    <w:rsid w:val="00181785"/>
    <w:rsid w:val="00191536"/>
    <w:rsid w:val="001C2EA8"/>
    <w:rsid w:val="00202EFA"/>
    <w:rsid w:val="00206259"/>
    <w:rsid w:val="0021099D"/>
    <w:rsid w:val="002138D5"/>
    <w:rsid w:val="00216508"/>
    <w:rsid w:val="002200BA"/>
    <w:rsid w:val="00220F34"/>
    <w:rsid w:val="00221B1F"/>
    <w:rsid w:val="00222FA4"/>
    <w:rsid w:val="00242EF5"/>
    <w:rsid w:val="002445AE"/>
    <w:rsid w:val="002449E3"/>
    <w:rsid w:val="00251450"/>
    <w:rsid w:val="00260C38"/>
    <w:rsid w:val="002735A7"/>
    <w:rsid w:val="002749C6"/>
    <w:rsid w:val="002B6550"/>
    <w:rsid w:val="002C136A"/>
    <w:rsid w:val="002C4C17"/>
    <w:rsid w:val="002D224A"/>
    <w:rsid w:val="002D43A4"/>
    <w:rsid w:val="002F200B"/>
    <w:rsid w:val="00300D30"/>
    <w:rsid w:val="00323748"/>
    <w:rsid w:val="00351A3A"/>
    <w:rsid w:val="003521C7"/>
    <w:rsid w:val="0037013F"/>
    <w:rsid w:val="00386753"/>
    <w:rsid w:val="00394048"/>
    <w:rsid w:val="00396441"/>
    <w:rsid w:val="003A484F"/>
    <w:rsid w:val="003B0C1B"/>
    <w:rsid w:val="003E2D3E"/>
    <w:rsid w:val="003F2EFD"/>
    <w:rsid w:val="003F521E"/>
    <w:rsid w:val="00406487"/>
    <w:rsid w:val="00411853"/>
    <w:rsid w:val="004162B9"/>
    <w:rsid w:val="00441846"/>
    <w:rsid w:val="00460ECD"/>
    <w:rsid w:val="004638F5"/>
    <w:rsid w:val="004671CC"/>
    <w:rsid w:val="004716FE"/>
    <w:rsid w:val="00471CC0"/>
    <w:rsid w:val="00471D4B"/>
    <w:rsid w:val="00472428"/>
    <w:rsid w:val="004743E7"/>
    <w:rsid w:val="00481A6C"/>
    <w:rsid w:val="00482E3F"/>
    <w:rsid w:val="00482F00"/>
    <w:rsid w:val="004836FC"/>
    <w:rsid w:val="00483993"/>
    <w:rsid w:val="0049757E"/>
    <w:rsid w:val="004B1DB0"/>
    <w:rsid w:val="004B5715"/>
    <w:rsid w:val="004C7B29"/>
    <w:rsid w:val="004D0C3B"/>
    <w:rsid w:val="004D5A0E"/>
    <w:rsid w:val="004F2727"/>
    <w:rsid w:val="00505668"/>
    <w:rsid w:val="00512ABA"/>
    <w:rsid w:val="00534131"/>
    <w:rsid w:val="0053474B"/>
    <w:rsid w:val="005450E5"/>
    <w:rsid w:val="00550124"/>
    <w:rsid w:val="00551321"/>
    <w:rsid w:val="00551FF7"/>
    <w:rsid w:val="00552BA3"/>
    <w:rsid w:val="00553AB1"/>
    <w:rsid w:val="005621BC"/>
    <w:rsid w:val="00566250"/>
    <w:rsid w:val="0058486E"/>
    <w:rsid w:val="0059226B"/>
    <w:rsid w:val="005972D8"/>
    <w:rsid w:val="005A026F"/>
    <w:rsid w:val="005A72A5"/>
    <w:rsid w:val="005B3CF6"/>
    <w:rsid w:val="005B6F43"/>
    <w:rsid w:val="005B7901"/>
    <w:rsid w:val="005C35E2"/>
    <w:rsid w:val="005D5CED"/>
    <w:rsid w:val="00601B51"/>
    <w:rsid w:val="00607E6C"/>
    <w:rsid w:val="006118E1"/>
    <w:rsid w:val="00615DBA"/>
    <w:rsid w:val="00616264"/>
    <w:rsid w:val="00635E9E"/>
    <w:rsid w:val="00637D02"/>
    <w:rsid w:val="0064638F"/>
    <w:rsid w:val="00652BA9"/>
    <w:rsid w:val="00654D98"/>
    <w:rsid w:val="0066343B"/>
    <w:rsid w:val="0068457C"/>
    <w:rsid w:val="006875EA"/>
    <w:rsid w:val="006934AD"/>
    <w:rsid w:val="00694D0E"/>
    <w:rsid w:val="00694F35"/>
    <w:rsid w:val="006A3FC3"/>
    <w:rsid w:val="006A62E6"/>
    <w:rsid w:val="006A66CD"/>
    <w:rsid w:val="006B08E3"/>
    <w:rsid w:val="006B0D73"/>
    <w:rsid w:val="006D01A1"/>
    <w:rsid w:val="006D12B5"/>
    <w:rsid w:val="006D5E61"/>
    <w:rsid w:val="006D7099"/>
    <w:rsid w:val="006E0F92"/>
    <w:rsid w:val="006E4F5A"/>
    <w:rsid w:val="006F08AE"/>
    <w:rsid w:val="006F7332"/>
    <w:rsid w:val="00700F9A"/>
    <w:rsid w:val="00704AA8"/>
    <w:rsid w:val="007156BB"/>
    <w:rsid w:val="00740398"/>
    <w:rsid w:val="007457C7"/>
    <w:rsid w:val="0076182A"/>
    <w:rsid w:val="00763A78"/>
    <w:rsid w:val="00767181"/>
    <w:rsid w:val="00767B7E"/>
    <w:rsid w:val="00773842"/>
    <w:rsid w:val="007770C3"/>
    <w:rsid w:val="0078757D"/>
    <w:rsid w:val="00792794"/>
    <w:rsid w:val="00793277"/>
    <w:rsid w:val="007962C8"/>
    <w:rsid w:val="007A7619"/>
    <w:rsid w:val="007B110C"/>
    <w:rsid w:val="007B30A6"/>
    <w:rsid w:val="007C0B68"/>
    <w:rsid w:val="007C59A4"/>
    <w:rsid w:val="007D692D"/>
    <w:rsid w:val="007F786C"/>
    <w:rsid w:val="00800112"/>
    <w:rsid w:val="00805107"/>
    <w:rsid w:val="00806365"/>
    <w:rsid w:val="008115E0"/>
    <w:rsid w:val="00812079"/>
    <w:rsid w:val="008128E7"/>
    <w:rsid w:val="00814178"/>
    <w:rsid w:val="00815458"/>
    <w:rsid w:val="00835860"/>
    <w:rsid w:val="00843C22"/>
    <w:rsid w:val="00845A9A"/>
    <w:rsid w:val="008470DD"/>
    <w:rsid w:val="00855D59"/>
    <w:rsid w:val="008578C6"/>
    <w:rsid w:val="0086380F"/>
    <w:rsid w:val="00866159"/>
    <w:rsid w:val="00871F71"/>
    <w:rsid w:val="00887A3E"/>
    <w:rsid w:val="00890F0E"/>
    <w:rsid w:val="0089151B"/>
    <w:rsid w:val="00892A81"/>
    <w:rsid w:val="008A7BA5"/>
    <w:rsid w:val="008B2A51"/>
    <w:rsid w:val="008C455B"/>
    <w:rsid w:val="008D6404"/>
    <w:rsid w:val="008E72BB"/>
    <w:rsid w:val="008F4617"/>
    <w:rsid w:val="009001CA"/>
    <w:rsid w:val="00902179"/>
    <w:rsid w:val="00920626"/>
    <w:rsid w:val="00923029"/>
    <w:rsid w:val="00932239"/>
    <w:rsid w:val="00935962"/>
    <w:rsid w:val="009359D2"/>
    <w:rsid w:val="009479FD"/>
    <w:rsid w:val="00951248"/>
    <w:rsid w:val="0095152F"/>
    <w:rsid w:val="00954C96"/>
    <w:rsid w:val="0096743B"/>
    <w:rsid w:val="00967EAF"/>
    <w:rsid w:val="00971FFC"/>
    <w:rsid w:val="00987F96"/>
    <w:rsid w:val="00995958"/>
    <w:rsid w:val="009A1712"/>
    <w:rsid w:val="009B4EAE"/>
    <w:rsid w:val="009B690A"/>
    <w:rsid w:val="009B7573"/>
    <w:rsid w:val="009D3447"/>
    <w:rsid w:val="009D73FF"/>
    <w:rsid w:val="009F0DF0"/>
    <w:rsid w:val="009F0F19"/>
    <w:rsid w:val="009F4317"/>
    <w:rsid w:val="00A0070A"/>
    <w:rsid w:val="00A157FC"/>
    <w:rsid w:val="00A17777"/>
    <w:rsid w:val="00A307CD"/>
    <w:rsid w:val="00A4409B"/>
    <w:rsid w:val="00A464F3"/>
    <w:rsid w:val="00A530FB"/>
    <w:rsid w:val="00A57F5D"/>
    <w:rsid w:val="00A64F7E"/>
    <w:rsid w:val="00A8594D"/>
    <w:rsid w:val="00AC7D5B"/>
    <w:rsid w:val="00AE5F71"/>
    <w:rsid w:val="00AF0597"/>
    <w:rsid w:val="00AF0827"/>
    <w:rsid w:val="00B027EE"/>
    <w:rsid w:val="00B03C9D"/>
    <w:rsid w:val="00B10517"/>
    <w:rsid w:val="00B11A1B"/>
    <w:rsid w:val="00B15181"/>
    <w:rsid w:val="00B22680"/>
    <w:rsid w:val="00B26AD8"/>
    <w:rsid w:val="00B310B9"/>
    <w:rsid w:val="00B31437"/>
    <w:rsid w:val="00B358CF"/>
    <w:rsid w:val="00B462E4"/>
    <w:rsid w:val="00B729FF"/>
    <w:rsid w:val="00B76112"/>
    <w:rsid w:val="00B906A9"/>
    <w:rsid w:val="00BA0DE6"/>
    <w:rsid w:val="00BB694C"/>
    <w:rsid w:val="00BD15DC"/>
    <w:rsid w:val="00BD4D61"/>
    <w:rsid w:val="00BE1042"/>
    <w:rsid w:val="00C005C5"/>
    <w:rsid w:val="00C00C15"/>
    <w:rsid w:val="00C038C7"/>
    <w:rsid w:val="00C03E31"/>
    <w:rsid w:val="00C0474B"/>
    <w:rsid w:val="00C200AA"/>
    <w:rsid w:val="00C20D0C"/>
    <w:rsid w:val="00C35554"/>
    <w:rsid w:val="00C475E3"/>
    <w:rsid w:val="00C533CC"/>
    <w:rsid w:val="00C62B85"/>
    <w:rsid w:val="00CB045D"/>
    <w:rsid w:val="00CB68CC"/>
    <w:rsid w:val="00CC09B6"/>
    <w:rsid w:val="00CD3840"/>
    <w:rsid w:val="00CD59F4"/>
    <w:rsid w:val="00CD5B36"/>
    <w:rsid w:val="00CD7628"/>
    <w:rsid w:val="00CE7B61"/>
    <w:rsid w:val="00CF5C9E"/>
    <w:rsid w:val="00CF6332"/>
    <w:rsid w:val="00D16D46"/>
    <w:rsid w:val="00D16E64"/>
    <w:rsid w:val="00D26982"/>
    <w:rsid w:val="00D26C36"/>
    <w:rsid w:val="00D3488E"/>
    <w:rsid w:val="00D35FBF"/>
    <w:rsid w:val="00D459D1"/>
    <w:rsid w:val="00D56315"/>
    <w:rsid w:val="00D650EF"/>
    <w:rsid w:val="00D727D3"/>
    <w:rsid w:val="00D83CAD"/>
    <w:rsid w:val="00D96EAC"/>
    <w:rsid w:val="00DB176E"/>
    <w:rsid w:val="00DC0733"/>
    <w:rsid w:val="00DC410D"/>
    <w:rsid w:val="00DC5FB2"/>
    <w:rsid w:val="00DE1F47"/>
    <w:rsid w:val="00DF7EF8"/>
    <w:rsid w:val="00E21E0A"/>
    <w:rsid w:val="00E244AE"/>
    <w:rsid w:val="00E27B9E"/>
    <w:rsid w:val="00E34066"/>
    <w:rsid w:val="00E4536A"/>
    <w:rsid w:val="00E503FC"/>
    <w:rsid w:val="00E7018D"/>
    <w:rsid w:val="00E82267"/>
    <w:rsid w:val="00EA1076"/>
    <w:rsid w:val="00EB7550"/>
    <w:rsid w:val="00EC0A1B"/>
    <w:rsid w:val="00EC6C27"/>
    <w:rsid w:val="00ED1B63"/>
    <w:rsid w:val="00EF09A8"/>
    <w:rsid w:val="00EF4256"/>
    <w:rsid w:val="00EF4C34"/>
    <w:rsid w:val="00F03413"/>
    <w:rsid w:val="00F05F84"/>
    <w:rsid w:val="00F1351B"/>
    <w:rsid w:val="00F1361C"/>
    <w:rsid w:val="00F160C7"/>
    <w:rsid w:val="00F207D1"/>
    <w:rsid w:val="00F331E4"/>
    <w:rsid w:val="00F721D9"/>
    <w:rsid w:val="00F80AB0"/>
    <w:rsid w:val="00FD48A1"/>
    <w:rsid w:val="00FE2541"/>
    <w:rsid w:val="00FF1E02"/>
    <w:rsid w:val="01CF4E3A"/>
    <w:rsid w:val="02CB2B30"/>
    <w:rsid w:val="03DA327C"/>
    <w:rsid w:val="046D4590"/>
    <w:rsid w:val="053013D3"/>
    <w:rsid w:val="05C863C8"/>
    <w:rsid w:val="06CB1254"/>
    <w:rsid w:val="06EB179B"/>
    <w:rsid w:val="07A32095"/>
    <w:rsid w:val="08CA07F1"/>
    <w:rsid w:val="0A7372D0"/>
    <w:rsid w:val="0CA144DB"/>
    <w:rsid w:val="0E323CB7"/>
    <w:rsid w:val="0E5A5320"/>
    <w:rsid w:val="0FC26648"/>
    <w:rsid w:val="10CB3054"/>
    <w:rsid w:val="10E53026"/>
    <w:rsid w:val="14C03E22"/>
    <w:rsid w:val="14F83AA4"/>
    <w:rsid w:val="155E0F5C"/>
    <w:rsid w:val="16190A64"/>
    <w:rsid w:val="16F51D89"/>
    <w:rsid w:val="187970F7"/>
    <w:rsid w:val="19326F72"/>
    <w:rsid w:val="1B983A9B"/>
    <w:rsid w:val="1BF55ACC"/>
    <w:rsid w:val="1DA418D8"/>
    <w:rsid w:val="1F6648F6"/>
    <w:rsid w:val="201517AC"/>
    <w:rsid w:val="20CA0013"/>
    <w:rsid w:val="211F7BD7"/>
    <w:rsid w:val="22C04A23"/>
    <w:rsid w:val="23340E8A"/>
    <w:rsid w:val="24017502"/>
    <w:rsid w:val="240C72E0"/>
    <w:rsid w:val="24804B2F"/>
    <w:rsid w:val="25560872"/>
    <w:rsid w:val="270A0B66"/>
    <w:rsid w:val="28AF4FD3"/>
    <w:rsid w:val="294239B8"/>
    <w:rsid w:val="29CD7503"/>
    <w:rsid w:val="2A41379F"/>
    <w:rsid w:val="2B0A5283"/>
    <w:rsid w:val="2B436A1E"/>
    <w:rsid w:val="2BAE4FD7"/>
    <w:rsid w:val="2BBF0DE1"/>
    <w:rsid w:val="2C75449A"/>
    <w:rsid w:val="2D7C3014"/>
    <w:rsid w:val="2E8B6925"/>
    <w:rsid w:val="30635604"/>
    <w:rsid w:val="334352D4"/>
    <w:rsid w:val="36C87CD4"/>
    <w:rsid w:val="3C905662"/>
    <w:rsid w:val="3E266030"/>
    <w:rsid w:val="402D3C2E"/>
    <w:rsid w:val="416F5417"/>
    <w:rsid w:val="45733199"/>
    <w:rsid w:val="45F22201"/>
    <w:rsid w:val="49C6290E"/>
    <w:rsid w:val="4C270453"/>
    <w:rsid w:val="4C563D62"/>
    <w:rsid w:val="4E2144E6"/>
    <w:rsid w:val="4F740C5A"/>
    <w:rsid w:val="507005FB"/>
    <w:rsid w:val="511846A0"/>
    <w:rsid w:val="52177854"/>
    <w:rsid w:val="540C4ABB"/>
    <w:rsid w:val="55AD2D16"/>
    <w:rsid w:val="55DD0032"/>
    <w:rsid w:val="56337F48"/>
    <w:rsid w:val="56FF6A73"/>
    <w:rsid w:val="57C8158A"/>
    <w:rsid w:val="598132E3"/>
    <w:rsid w:val="59C746AE"/>
    <w:rsid w:val="5AF75668"/>
    <w:rsid w:val="5DBD3532"/>
    <w:rsid w:val="5E6D4F7F"/>
    <w:rsid w:val="5FAC5ADA"/>
    <w:rsid w:val="61F87E03"/>
    <w:rsid w:val="690D6C9D"/>
    <w:rsid w:val="6A0C3755"/>
    <w:rsid w:val="6AE3650C"/>
    <w:rsid w:val="6C476FEC"/>
    <w:rsid w:val="6DB407F1"/>
    <w:rsid w:val="6EFA2BB9"/>
    <w:rsid w:val="73385A5B"/>
    <w:rsid w:val="74725BE2"/>
    <w:rsid w:val="74BE35D9"/>
    <w:rsid w:val="75F258FD"/>
    <w:rsid w:val="789C6DBF"/>
    <w:rsid w:val="7B7F0446"/>
    <w:rsid w:val="7EC41304"/>
    <w:rsid w:val="7F72750F"/>
    <w:rsid w:val="7F944951"/>
    <w:rsid w:val="7FBD197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qFormat="1"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楷体_GB2312" w:cs="Times New Roman"/>
      <w:b/>
      <w:bCs/>
      <w:kern w:val="2"/>
      <w:sz w:val="32"/>
      <w:szCs w:val="32"/>
      <w:lang w:val="en-US" w:eastAsia="zh-CN" w:bidi="ar-SA"/>
    </w:rPr>
  </w:style>
  <w:style w:type="paragraph" w:styleId="2">
    <w:name w:val="heading 1"/>
    <w:basedOn w:val="1"/>
    <w:next w:val="1"/>
    <w:link w:val="17"/>
    <w:qFormat/>
    <w:uiPriority w:val="99"/>
    <w:pPr>
      <w:keepNext/>
      <w:keepLines/>
      <w:spacing w:before="340" w:after="330" w:line="578" w:lineRule="auto"/>
      <w:jc w:val="center"/>
      <w:outlineLvl w:val="0"/>
    </w:pPr>
    <w:rPr>
      <w:rFonts w:eastAsia="方正小标宋简体"/>
      <w:kern w:val="44"/>
      <w:sz w:val="44"/>
      <w:szCs w:val="44"/>
    </w:rPr>
  </w:style>
  <w:style w:type="paragraph" w:styleId="3">
    <w:name w:val="heading 2"/>
    <w:basedOn w:val="1"/>
    <w:next w:val="1"/>
    <w:link w:val="18"/>
    <w:qFormat/>
    <w:uiPriority w:val="99"/>
    <w:pPr>
      <w:keepNext/>
      <w:keepLines/>
      <w:spacing w:line="576" w:lineRule="exact"/>
      <w:outlineLvl w:val="1"/>
    </w:pPr>
    <w:rPr>
      <w:rFonts w:ascii="Cambria" w:hAnsi="Cambria" w:eastAsia="黑体" w:cs="Cambria"/>
      <w:b w:val="0"/>
      <w:bCs w:val="0"/>
    </w:rPr>
  </w:style>
  <w:style w:type="character" w:default="1" w:styleId="14">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9"/>
    <w:semiHidden/>
    <w:qFormat/>
    <w:uiPriority w:val="99"/>
    <w:pPr>
      <w:shd w:val="clear" w:color="auto" w:fill="000080"/>
    </w:pPr>
  </w:style>
  <w:style w:type="paragraph" w:styleId="5">
    <w:name w:val="Body Text"/>
    <w:basedOn w:val="1"/>
    <w:link w:val="27"/>
    <w:qFormat/>
    <w:uiPriority w:val="99"/>
    <w:pPr>
      <w:spacing w:beforeLines="30"/>
    </w:pPr>
    <w:rPr>
      <w:rFonts w:ascii="仿宋_GB2312" w:eastAsia="仿宋_GB2312"/>
      <w:b w:val="0"/>
      <w:bCs w:val="0"/>
      <w:kern w:val="0"/>
      <w:sz w:val="24"/>
      <w:szCs w:val="20"/>
    </w:rPr>
  </w:style>
  <w:style w:type="paragraph" w:styleId="6">
    <w:name w:val="toc 3"/>
    <w:basedOn w:val="1"/>
    <w:next w:val="1"/>
    <w:semiHidden/>
    <w:qFormat/>
    <w:uiPriority w:val="99"/>
    <w:pPr>
      <w:tabs>
        <w:tab w:val="right" w:leader="dot" w:pos="8296"/>
      </w:tabs>
      <w:spacing w:line="576" w:lineRule="exact"/>
      <w:ind w:left="1" w:firstLine="0" w:firstLineChars="0"/>
    </w:pPr>
  </w:style>
  <w:style w:type="paragraph" w:styleId="7">
    <w:name w:val="Date"/>
    <w:basedOn w:val="1"/>
    <w:next w:val="1"/>
    <w:link w:val="21"/>
    <w:semiHidden/>
    <w:qFormat/>
    <w:uiPriority w:val="99"/>
    <w:pPr>
      <w:ind w:left="100" w:leftChars="2500"/>
    </w:pPr>
  </w:style>
  <w:style w:type="paragraph" w:styleId="8">
    <w:name w:val="Balloon Text"/>
    <w:basedOn w:val="1"/>
    <w:link w:val="22"/>
    <w:semiHidden/>
    <w:uiPriority w:val="99"/>
    <w:rPr>
      <w:rFonts w:eastAsia="宋体"/>
      <w:b w:val="0"/>
      <w:bCs w:val="0"/>
      <w:sz w:val="18"/>
      <w:szCs w:val="18"/>
    </w:rPr>
  </w:style>
  <w:style w:type="paragraph" w:styleId="9">
    <w:name w:val="footer"/>
    <w:basedOn w:val="1"/>
    <w:link w:val="26"/>
    <w:qFormat/>
    <w:uiPriority w:val="99"/>
    <w:pPr>
      <w:tabs>
        <w:tab w:val="center" w:pos="4153"/>
        <w:tab w:val="right" w:pos="8306"/>
      </w:tabs>
      <w:snapToGrid w:val="0"/>
      <w:jc w:val="left"/>
    </w:pPr>
    <w:rPr>
      <w:rFonts w:ascii="Calibri" w:hAnsi="Calibri" w:eastAsia="宋体"/>
      <w:b w:val="0"/>
      <w:bCs w:val="0"/>
      <w:kern w:val="0"/>
      <w:sz w:val="18"/>
      <w:szCs w:val="20"/>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rFonts w:ascii="Calibri" w:hAnsi="Calibri" w:eastAsia="宋体"/>
      <w:b w:val="0"/>
      <w:bCs w:val="0"/>
      <w:kern w:val="0"/>
      <w:sz w:val="18"/>
      <w:szCs w:val="20"/>
    </w:rPr>
  </w:style>
  <w:style w:type="paragraph" w:styleId="11">
    <w:name w:val="toc 1"/>
    <w:basedOn w:val="1"/>
    <w:next w:val="1"/>
    <w:semiHidden/>
    <w:qFormat/>
    <w:uiPriority w:val="99"/>
    <w:pPr>
      <w:tabs>
        <w:tab w:val="right" w:leader="dot" w:pos="8296"/>
      </w:tabs>
      <w:ind w:firstLine="643"/>
    </w:pPr>
  </w:style>
  <w:style w:type="paragraph" w:styleId="12">
    <w:name w:val="toc 2"/>
    <w:basedOn w:val="1"/>
    <w:next w:val="1"/>
    <w:semiHidden/>
    <w:qFormat/>
    <w:uiPriority w:val="99"/>
    <w:pPr>
      <w:tabs>
        <w:tab w:val="right" w:leader="dot" w:pos="8296"/>
      </w:tabs>
      <w:ind w:firstLine="0" w:firstLineChars="0"/>
    </w:pPr>
  </w:style>
  <w:style w:type="character" w:styleId="15">
    <w:name w:val="Strong"/>
    <w:basedOn w:val="14"/>
    <w:qFormat/>
    <w:uiPriority w:val="99"/>
    <w:rPr>
      <w:rFonts w:cs="Times New Roman"/>
      <w:b/>
      <w:bCs/>
    </w:rPr>
  </w:style>
  <w:style w:type="character" w:styleId="16">
    <w:name w:val="Hyperlink"/>
    <w:basedOn w:val="14"/>
    <w:qFormat/>
    <w:uiPriority w:val="99"/>
    <w:rPr>
      <w:rFonts w:cs="Times New Roman"/>
      <w:color w:val="0000FF"/>
      <w:u w:val="single"/>
    </w:rPr>
  </w:style>
  <w:style w:type="character" w:customStyle="1" w:styleId="17">
    <w:name w:val="Heading 1 Char"/>
    <w:basedOn w:val="14"/>
    <w:link w:val="2"/>
    <w:qFormat/>
    <w:locked/>
    <w:uiPriority w:val="99"/>
    <w:rPr>
      <w:rFonts w:ascii="Times New Roman" w:hAnsi="Times New Roman" w:eastAsia="方正小标宋简体" w:cs="Times New Roman"/>
      <w:b/>
      <w:bCs/>
      <w:kern w:val="44"/>
      <w:sz w:val="44"/>
      <w:szCs w:val="44"/>
    </w:rPr>
  </w:style>
  <w:style w:type="character" w:customStyle="1" w:styleId="18">
    <w:name w:val="Heading 2 Char"/>
    <w:basedOn w:val="14"/>
    <w:link w:val="3"/>
    <w:qFormat/>
    <w:locked/>
    <w:uiPriority w:val="99"/>
    <w:rPr>
      <w:rFonts w:ascii="Cambria" w:hAnsi="Cambria" w:eastAsia="黑体" w:cs="Cambria"/>
      <w:kern w:val="2"/>
      <w:sz w:val="32"/>
      <w:szCs w:val="32"/>
    </w:rPr>
  </w:style>
  <w:style w:type="character" w:customStyle="1" w:styleId="19">
    <w:name w:val="Document Map Char"/>
    <w:basedOn w:val="14"/>
    <w:link w:val="4"/>
    <w:semiHidden/>
    <w:qFormat/>
    <w:locked/>
    <w:uiPriority w:val="99"/>
    <w:rPr>
      <w:rFonts w:ascii="Times New Roman" w:hAnsi="Times New Roman" w:eastAsia="楷体_GB2312" w:cs="Times New Roman"/>
      <w:b/>
      <w:bCs/>
      <w:sz w:val="2"/>
      <w:szCs w:val="2"/>
    </w:rPr>
  </w:style>
  <w:style w:type="character" w:customStyle="1" w:styleId="20">
    <w:name w:val="Body Text Char"/>
    <w:basedOn w:val="14"/>
    <w:link w:val="5"/>
    <w:locked/>
    <w:uiPriority w:val="99"/>
    <w:rPr>
      <w:rFonts w:ascii="仿宋_GB2312" w:hAnsi="Times New Roman" w:eastAsia="仿宋_GB2312" w:cs="Times New Roman"/>
      <w:sz w:val="24"/>
    </w:rPr>
  </w:style>
  <w:style w:type="character" w:customStyle="1" w:styleId="21">
    <w:name w:val="Date Char"/>
    <w:basedOn w:val="14"/>
    <w:link w:val="7"/>
    <w:semiHidden/>
    <w:qFormat/>
    <w:locked/>
    <w:uiPriority w:val="99"/>
    <w:rPr>
      <w:rFonts w:ascii="Times New Roman" w:hAnsi="Times New Roman" w:eastAsia="楷体_GB2312" w:cs="Times New Roman"/>
      <w:b/>
      <w:bCs/>
      <w:kern w:val="2"/>
      <w:sz w:val="24"/>
      <w:szCs w:val="24"/>
    </w:rPr>
  </w:style>
  <w:style w:type="character" w:customStyle="1" w:styleId="22">
    <w:name w:val="Balloon Text Char"/>
    <w:basedOn w:val="14"/>
    <w:link w:val="8"/>
    <w:semiHidden/>
    <w:qFormat/>
    <w:locked/>
    <w:uiPriority w:val="99"/>
    <w:rPr>
      <w:rFonts w:ascii="Times New Roman" w:hAnsi="Times New Roman" w:cs="Times New Roman"/>
      <w:kern w:val="2"/>
      <w:sz w:val="18"/>
      <w:szCs w:val="18"/>
    </w:rPr>
  </w:style>
  <w:style w:type="character" w:customStyle="1" w:styleId="23">
    <w:name w:val="Footer Char"/>
    <w:basedOn w:val="14"/>
    <w:link w:val="9"/>
    <w:qFormat/>
    <w:locked/>
    <w:uiPriority w:val="99"/>
    <w:rPr>
      <w:rFonts w:cs="Times New Roman"/>
      <w:sz w:val="18"/>
    </w:rPr>
  </w:style>
  <w:style w:type="character" w:customStyle="1" w:styleId="24">
    <w:name w:val="Header Char"/>
    <w:basedOn w:val="14"/>
    <w:link w:val="10"/>
    <w:semiHidden/>
    <w:qFormat/>
    <w:locked/>
    <w:uiPriority w:val="99"/>
    <w:rPr>
      <w:rFonts w:cs="Times New Roman"/>
      <w:sz w:val="18"/>
    </w:rPr>
  </w:style>
  <w:style w:type="character" w:customStyle="1" w:styleId="25">
    <w:name w:val="Header Char1"/>
    <w:basedOn w:val="14"/>
    <w:link w:val="10"/>
    <w:semiHidden/>
    <w:qFormat/>
    <w:locked/>
    <w:uiPriority w:val="99"/>
    <w:rPr>
      <w:rFonts w:ascii="Times New Roman" w:hAnsi="Times New Roman" w:eastAsia="楷体_GB2312" w:cs="Times New Roman"/>
      <w:b/>
      <w:bCs/>
      <w:sz w:val="18"/>
      <w:szCs w:val="18"/>
    </w:rPr>
  </w:style>
  <w:style w:type="character" w:customStyle="1" w:styleId="26">
    <w:name w:val="Footer Char1"/>
    <w:basedOn w:val="14"/>
    <w:link w:val="9"/>
    <w:semiHidden/>
    <w:qFormat/>
    <w:locked/>
    <w:uiPriority w:val="99"/>
    <w:rPr>
      <w:rFonts w:ascii="Times New Roman" w:hAnsi="Times New Roman" w:eastAsia="楷体_GB2312" w:cs="Times New Roman"/>
      <w:b/>
      <w:bCs/>
      <w:sz w:val="18"/>
      <w:szCs w:val="18"/>
    </w:rPr>
  </w:style>
  <w:style w:type="character" w:customStyle="1" w:styleId="27">
    <w:name w:val="Body Text Char1"/>
    <w:basedOn w:val="14"/>
    <w:link w:val="5"/>
    <w:semiHidden/>
    <w:locked/>
    <w:uiPriority w:val="99"/>
    <w:rPr>
      <w:rFonts w:ascii="Times New Roman" w:hAnsi="Times New Roman" w:eastAsia="楷体_GB2312" w:cs="Times New Roman"/>
      <w:b/>
      <w:bCs/>
      <w:sz w:val="24"/>
      <w:szCs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9">
    <w:name w:val="TOC Heading1"/>
    <w:basedOn w:val="2"/>
    <w:next w:val="1"/>
    <w:qFormat/>
    <w:uiPriority w:val="99"/>
    <w:pPr>
      <w:widowControl/>
      <w:spacing w:before="480" w:after="0" w:line="276" w:lineRule="auto"/>
      <w:ind w:firstLine="0" w:firstLineChars="0"/>
      <w:jc w:val="left"/>
      <w:outlineLvl w:val="9"/>
    </w:pPr>
    <w:rPr>
      <w:rFonts w:ascii="Cambria" w:hAnsi="Cambria" w:eastAsia="宋体"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20</Pages>
  <Words>1167</Words>
  <Characters>6652</Characters>
  <Lines>0</Lines>
  <Paragraphs>0</Paragraphs>
  <TotalTime>819</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2019-09-24T10:49:00Z</dcterms:created>
  <dc:creator>张彬茜</dc:creator>
  <cp:lastModifiedBy>袁永前</cp:lastModifiedBy>
  <cp:lastPrinted>2020-09-22T01:56:00Z</cp:lastPrinted>
  <dcterms:modified xsi:type="dcterms:W3CDTF">2020-09-28T01:23:17Z</dcterms:modified>
  <dc:title>茂县工商业联合会</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