
<file path=[Content_Types].xml><?xml version="1.0" encoding="utf-8"?>
<Types xmlns="http://schemas.openxmlformats.org/package/2006/content-types">
  <Default Extension="xml" ContentType="application/xml"/>
  <Default Extension="xls" ContentType="application/vnd.ms-exce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425"/>
      <w:bookmarkStart w:id="3" w:name="_Toc15378441"/>
      <w:bookmarkStart w:id="4" w:name="_Toc15396475"/>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77194"/>
      <w:bookmarkStart w:id="8" w:name="_Toc15396598"/>
      <w:bookmarkStart w:id="9" w:name="_Toc15377426"/>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工商业联合会部门决算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w:t>
      </w:r>
      <w:r>
        <w:rPr>
          <w:rFonts w:hint="eastAsia" w:eastAsia="宋体" w:hAnsiTheme="minorHAnsi"/>
          <w:b w:val="0"/>
          <w:bCs w:val="0"/>
          <w:sz w:val="24"/>
          <w:szCs w:val="24"/>
        </w:rPr>
        <w:t>9</w:t>
      </w:r>
      <w:r>
        <w:rPr>
          <w:rFonts w:hint="eastAsia" w:hAnsiTheme="minorHAnsi"/>
          <w:b w:val="0"/>
          <w:bCs w:val="0"/>
          <w:sz w:val="24"/>
          <w:szCs w:val="24"/>
        </w:rPr>
        <w:t>月</w:t>
      </w:r>
      <w:r>
        <w:rPr>
          <w:rFonts w:hint="eastAsia" w:eastAsia="宋体" w:hAnsiTheme="minorHAnsi"/>
          <w:b w:val="0"/>
          <w:bCs w:val="0"/>
          <w:sz w:val="24"/>
          <w:szCs w:val="24"/>
        </w:rPr>
        <w:t>27</w:t>
      </w:r>
      <w:r>
        <w:rPr>
          <w:rFonts w:hint="eastAsia" w:hAnsiTheme="minorHAnsi"/>
          <w:b w:val="0"/>
          <w:bCs w:val="0"/>
          <w:sz w:val="24"/>
          <w:szCs w:val="24"/>
        </w:rPr>
        <w:t>日</w:t>
      </w:r>
    </w:p>
    <w:p>
      <w:pPr>
        <w:pStyle w:val="14"/>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fldChar w:fldCharType="begin"/>
      </w:r>
      <w:r>
        <w:rPr>
          <w:rFonts w:ascii="仿宋" w:hAnsi="仿宋" w:eastAsia="仿宋"/>
          <w:b w:val="0"/>
          <w:bCs w:val="0"/>
          <w:caps w:val="0"/>
          <w:smallCaps/>
          <w:sz w:val="24"/>
          <w:szCs w:val="24"/>
        </w:rPr>
        <w:instrText xml:space="preserve"> TOC \o \u </w:instrText>
      </w:r>
      <w:r>
        <w:rPr>
          <w:rFonts w:ascii="仿宋" w:hAnsi="仿宋" w:eastAsia="仿宋"/>
          <w:b w:val="0"/>
          <w:bCs w:val="0"/>
          <w:caps w:val="0"/>
          <w:smallCaps/>
          <w:sz w:val="24"/>
          <w:szCs w:val="24"/>
        </w:rPr>
        <w:fldChar w:fldCharType="separate"/>
      </w:r>
      <w:r>
        <w:rPr>
          <w:rFonts w:ascii="仿宋" w:hAnsi="仿宋" w:eastAsia="仿宋"/>
          <w:b w:val="0"/>
          <w:bCs w:val="0"/>
          <w:caps w:val="0"/>
          <w:smallCaps/>
          <w:sz w:val="24"/>
          <w:szCs w:val="24"/>
        </w:rPr>
        <w:t>第一部分 部门概况</w:t>
      </w:r>
      <w:r>
        <w:rPr>
          <w:rFonts w:ascii="仿宋" w:hAnsi="仿宋" w:eastAsia="仿宋"/>
          <w:b w:val="0"/>
          <w:bCs w:val="0"/>
          <w:caps w:val="0"/>
          <w:smallCaps/>
          <w:sz w:val="24"/>
          <w:szCs w:val="24"/>
        </w:rPr>
        <w:tab/>
      </w:r>
      <w:r>
        <w:rPr>
          <w:rFonts w:ascii="仿宋" w:hAnsi="仿宋" w:eastAsia="仿宋"/>
          <w:b w:val="0"/>
          <w:bCs w:val="0"/>
          <w:caps w:val="0"/>
          <w:smallCaps/>
          <w:sz w:val="24"/>
          <w:szCs w:val="24"/>
        </w:rPr>
        <w:fldChar w:fldCharType="begin"/>
      </w:r>
      <w:r>
        <w:rPr>
          <w:rFonts w:ascii="仿宋" w:hAnsi="仿宋" w:eastAsia="仿宋"/>
          <w:b w:val="0"/>
          <w:bCs w:val="0"/>
          <w:caps w:val="0"/>
          <w:smallCaps/>
          <w:sz w:val="24"/>
          <w:szCs w:val="24"/>
        </w:rPr>
        <w:instrText xml:space="preserve"> PAGEREF _Toc79163851 \h </w:instrText>
      </w:r>
      <w:r>
        <w:rPr>
          <w:rFonts w:ascii="仿宋" w:hAnsi="仿宋" w:eastAsia="仿宋"/>
          <w:b w:val="0"/>
          <w:bCs w:val="0"/>
          <w:caps w:val="0"/>
          <w:smallCaps/>
          <w:sz w:val="24"/>
          <w:szCs w:val="24"/>
        </w:rPr>
        <w:fldChar w:fldCharType="separate"/>
      </w:r>
      <w:r>
        <w:rPr>
          <w:rFonts w:ascii="仿宋" w:hAnsi="仿宋" w:eastAsia="仿宋"/>
          <w:b w:val="0"/>
          <w:bCs w:val="0"/>
          <w:caps w:val="0"/>
          <w:smallCaps/>
          <w:sz w:val="24"/>
          <w:szCs w:val="24"/>
        </w:rPr>
        <w:t>4</w:t>
      </w:r>
      <w:r>
        <w:rPr>
          <w:rFonts w:ascii="仿宋" w:hAnsi="仿宋" w:eastAsia="仿宋"/>
          <w:b w:val="0"/>
          <w:bCs w:val="0"/>
          <w:caps w:val="0"/>
          <w:smallCaps/>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一、基本职能及主要工作</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_Toc79163852 \h </w:instrText>
      </w:r>
      <w:r>
        <w:rPr>
          <w:rFonts w:ascii="仿宋" w:hAnsi="仿宋" w:eastAsia="仿宋"/>
          <w:sz w:val="24"/>
          <w:szCs w:val="24"/>
        </w:rPr>
        <w:fldChar w:fldCharType="separate"/>
      </w:r>
      <w:r>
        <w:rPr>
          <w:rFonts w:ascii="仿宋" w:hAnsi="仿宋" w:eastAsia="仿宋"/>
          <w:sz w:val="24"/>
          <w:szCs w:val="24"/>
        </w:rPr>
        <w:t>4</w:t>
      </w:r>
      <w:r>
        <w:rPr>
          <w:rFonts w:ascii="仿宋" w:hAnsi="仿宋" w:eastAsia="仿宋"/>
          <w:sz w:val="24"/>
          <w:szCs w:val="24"/>
        </w:rPr>
        <w:fldChar w:fldCharType="end"/>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（一）主要职能。</w:t>
      </w:r>
      <w:r>
        <w:rPr>
          <w:rFonts w:ascii="仿宋" w:hAnsi="仿宋" w:eastAsia="仿宋"/>
          <w:i w:val="0"/>
          <w:iCs w:val="0"/>
          <w:smallCaps/>
          <w:sz w:val="24"/>
          <w:szCs w:val="24"/>
        </w:rPr>
        <w:tab/>
      </w:r>
      <w:r>
        <w:rPr>
          <w:rFonts w:hint="eastAsia" w:ascii="仿宋" w:hAnsi="仿宋" w:eastAsia="仿宋"/>
          <w:i w:val="0"/>
          <w:iCs w:val="0"/>
          <w:smallCaps/>
          <w:sz w:val="24"/>
          <w:szCs w:val="24"/>
        </w:rPr>
        <w:t>4</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（二）2020年重点工作完成情况。</w:t>
      </w:r>
      <w:r>
        <w:rPr>
          <w:rFonts w:ascii="仿宋" w:hAnsi="仿宋" w:eastAsia="仿宋"/>
          <w:i w:val="0"/>
          <w:iCs w:val="0"/>
          <w:smallCaps/>
          <w:sz w:val="24"/>
          <w:szCs w:val="24"/>
        </w:rPr>
        <w:tab/>
      </w:r>
      <w:r>
        <w:rPr>
          <w:rFonts w:hint="eastAsia" w:ascii="仿宋" w:hAnsi="仿宋" w:eastAsia="仿宋"/>
          <w:i w:val="0"/>
          <w:iCs w:val="0"/>
          <w:smallCaps/>
          <w:sz w:val="24"/>
          <w:szCs w:val="24"/>
        </w:rPr>
        <w:t>4</w:t>
      </w:r>
    </w:p>
    <w:p>
      <w:pPr>
        <w:pStyle w:val="17"/>
        <w:tabs>
          <w:tab w:val="right" w:leader="dot" w:pos="8296"/>
        </w:tabs>
        <w:rPr>
          <w:rFonts w:ascii="仿宋" w:hAnsi="仿宋" w:eastAsia="仿宋"/>
          <w:sz w:val="24"/>
          <w:szCs w:val="24"/>
        </w:rPr>
      </w:pPr>
      <w:r>
        <w:rPr>
          <w:rFonts w:ascii="仿宋" w:hAnsi="仿宋" w:eastAsia="仿宋"/>
          <w:sz w:val="24"/>
          <w:szCs w:val="24"/>
        </w:rPr>
        <w:t>二、机构设置</w:t>
      </w:r>
      <w:r>
        <w:rPr>
          <w:rFonts w:ascii="仿宋" w:hAnsi="仿宋" w:eastAsia="仿宋"/>
          <w:sz w:val="24"/>
          <w:szCs w:val="24"/>
        </w:rPr>
        <w:tab/>
      </w:r>
      <w:r>
        <w:rPr>
          <w:rFonts w:hint="eastAsia" w:ascii="仿宋" w:hAnsi="仿宋" w:eastAsia="仿宋"/>
          <w:sz w:val="24"/>
          <w:szCs w:val="24"/>
        </w:rPr>
        <w:t>5</w:t>
      </w:r>
    </w:p>
    <w:p>
      <w:pPr>
        <w:pStyle w:val="14"/>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t>第二部分 2020年度部门决算情况说明</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rPr>
        <w:t>6</w:t>
      </w:r>
    </w:p>
    <w:p>
      <w:pPr>
        <w:pStyle w:val="17"/>
        <w:tabs>
          <w:tab w:val="left" w:pos="840"/>
          <w:tab w:val="right" w:leader="dot" w:pos="8296"/>
        </w:tabs>
        <w:rPr>
          <w:rFonts w:ascii="仿宋" w:hAnsi="仿宋" w:eastAsia="仿宋"/>
          <w:sz w:val="24"/>
          <w:szCs w:val="24"/>
        </w:rPr>
      </w:pPr>
      <w:r>
        <w:rPr>
          <w:rFonts w:ascii="仿宋" w:hAnsi="仿宋" w:eastAsia="仿宋"/>
          <w:sz w:val="24"/>
          <w:szCs w:val="24"/>
        </w:rPr>
        <w:t>一、</w:t>
      </w:r>
      <w:r>
        <w:rPr>
          <w:rFonts w:ascii="仿宋" w:hAnsi="仿宋" w:eastAsia="仿宋"/>
          <w:sz w:val="24"/>
          <w:szCs w:val="24"/>
        </w:rPr>
        <w:tab/>
      </w:r>
      <w:r>
        <w:rPr>
          <w:rFonts w:ascii="仿宋" w:hAnsi="仿宋" w:eastAsia="仿宋"/>
          <w:sz w:val="24"/>
          <w:szCs w:val="24"/>
        </w:rPr>
        <w:t>收入支出决算总体情况说明</w:t>
      </w:r>
      <w:r>
        <w:rPr>
          <w:rFonts w:ascii="仿宋" w:hAnsi="仿宋" w:eastAsia="仿宋"/>
          <w:sz w:val="24"/>
          <w:szCs w:val="24"/>
        </w:rPr>
        <w:tab/>
      </w:r>
      <w:r>
        <w:rPr>
          <w:rFonts w:hint="eastAsia" w:ascii="仿宋" w:hAnsi="仿宋" w:eastAsia="仿宋"/>
          <w:sz w:val="24"/>
          <w:szCs w:val="24"/>
        </w:rPr>
        <w:t>6</w:t>
      </w:r>
    </w:p>
    <w:p>
      <w:pPr>
        <w:pStyle w:val="17"/>
        <w:tabs>
          <w:tab w:val="left" w:pos="840"/>
          <w:tab w:val="right" w:leader="dot" w:pos="8296"/>
        </w:tabs>
        <w:rPr>
          <w:rFonts w:ascii="仿宋" w:hAnsi="仿宋" w:eastAsia="仿宋"/>
          <w:sz w:val="24"/>
          <w:szCs w:val="24"/>
        </w:rPr>
      </w:pPr>
      <w:r>
        <w:rPr>
          <w:rFonts w:ascii="仿宋" w:hAnsi="仿宋" w:eastAsia="仿宋"/>
          <w:sz w:val="24"/>
          <w:szCs w:val="24"/>
        </w:rPr>
        <w:t>二、</w:t>
      </w:r>
      <w:r>
        <w:rPr>
          <w:rFonts w:ascii="仿宋" w:hAnsi="仿宋" w:eastAsia="仿宋"/>
          <w:sz w:val="24"/>
          <w:szCs w:val="24"/>
        </w:rPr>
        <w:tab/>
      </w:r>
      <w:r>
        <w:rPr>
          <w:rFonts w:ascii="仿宋" w:hAnsi="仿宋" w:eastAsia="仿宋"/>
          <w:sz w:val="24"/>
          <w:szCs w:val="24"/>
        </w:rPr>
        <w:t>收入决算情况说明</w:t>
      </w:r>
      <w:r>
        <w:rPr>
          <w:rFonts w:ascii="仿宋" w:hAnsi="仿宋" w:eastAsia="仿宋"/>
          <w:sz w:val="24"/>
          <w:szCs w:val="24"/>
        </w:rPr>
        <w:tab/>
      </w:r>
      <w:r>
        <w:rPr>
          <w:rFonts w:hint="eastAsia" w:ascii="仿宋" w:hAnsi="仿宋" w:eastAsia="仿宋"/>
          <w:sz w:val="24"/>
          <w:szCs w:val="24"/>
        </w:rPr>
        <w:t>7</w:t>
      </w:r>
    </w:p>
    <w:p>
      <w:pPr>
        <w:pStyle w:val="17"/>
        <w:tabs>
          <w:tab w:val="left" w:pos="840"/>
          <w:tab w:val="right" w:leader="dot" w:pos="8296"/>
        </w:tabs>
        <w:rPr>
          <w:rFonts w:ascii="仿宋" w:hAnsi="仿宋" w:eastAsia="仿宋"/>
          <w:sz w:val="24"/>
          <w:szCs w:val="24"/>
        </w:rPr>
      </w:pPr>
      <w:r>
        <w:rPr>
          <w:rFonts w:ascii="仿宋" w:hAnsi="仿宋" w:eastAsia="仿宋"/>
          <w:sz w:val="24"/>
          <w:szCs w:val="24"/>
        </w:rPr>
        <w:t>三、</w:t>
      </w:r>
      <w:r>
        <w:rPr>
          <w:rFonts w:ascii="仿宋" w:hAnsi="仿宋" w:eastAsia="仿宋"/>
          <w:sz w:val="24"/>
          <w:szCs w:val="24"/>
        </w:rPr>
        <w:tab/>
      </w:r>
      <w:r>
        <w:rPr>
          <w:rFonts w:ascii="仿宋" w:hAnsi="仿宋" w:eastAsia="仿宋"/>
          <w:sz w:val="24"/>
          <w:szCs w:val="24"/>
        </w:rPr>
        <w:t>支出决算情况说明</w:t>
      </w:r>
      <w:r>
        <w:rPr>
          <w:rFonts w:ascii="仿宋" w:hAnsi="仿宋" w:eastAsia="仿宋"/>
          <w:sz w:val="24"/>
          <w:szCs w:val="24"/>
        </w:rPr>
        <w:tab/>
      </w:r>
      <w:r>
        <w:rPr>
          <w:rFonts w:hint="eastAsia" w:ascii="仿宋" w:hAnsi="仿宋" w:eastAsia="仿宋"/>
          <w:sz w:val="24"/>
          <w:szCs w:val="24"/>
        </w:rPr>
        <w:t>7</w:t>
      </w:r>
      <w:r>
        <w:rPr>
          <w:rFonts w:hint="eastAsia" w:ascii="仿宋" w:hAnsi="仿宋" w:eastAsia="仿宋"/>
          <w:sz w:val="24"/>
          <w:szCs w:val="24"/>
        </w:rPr>
        <w:tab/>
      </w:r>
    </w:p>
    <w:p>
      <w:pPr>
        <w:pStyle w:val="17"/>
        <w:tabs>
          <w:tab w:val="right" w:leader="dot" w:pos="8296"/>
        </w:tabs>
        <w:rPr>
          <w:rFonts w:ascii="仿宋" w:hAnsi="仿宋" w:eastAsia="仿宋"/>
          <w:sz w:val="24"/>
          <w:szCs w:val="24"/>
        </w:rPr>
      </w:pPr>
      <w:r>
        <w:rPr>
          <w:rFonts w:ascii="仿宋" w:hAnsi="仿宋" w:eastAsia="仿宋"/>
          <w:sz w:val="24"/>
          <w:szCs w:val="24"/>
        </w:rPr>
        <w:t>四、财政拨款收入支出决算总体情况说明</w:t>
      </w:r>
      <w:r>
        <w:rPr>
          <w:rFonts w:ascii="仿宋" w:hAnsi="仿宋" w:eastAsia="仿宋"/>
          <w:sz w:val="24"/>
          <w:szCs w:val="24"/>
        </w:rPr>
        <w:tab/>
      </w:r>
      <w:r>
        <w:rPr>
          <w:rFonts w:hint="eastAsia" w:ascii="仿宋" w:hAnsi="仿宋" w:eastAsia="仿宋"/>
          <w:sz w:val="24"/>
          <w:szCs w:val="24"/>
        </w:rPr>
        <w:t>8</w:t>
      </w:r>
    </w:p>
    <w:p>
      <w:pPr>
        <w:pStyle w:val="17"/>
        <w:tabs>
          <w:tab w:val="right" w:leader="dot" w:pos="8296"/>
        </w:tabs>
        <w:rPr>
          <w:rFonts w:ascii="仿宋" w:hAnsi="仿宋" w:eastAsia="仿宋"/>
          <w:sz w:val="24"/>
          <w:szCs w:val="24"/>
        </w:rPr>
      </w:pPr>
      <w:r>
        <w:rPr>
          <w:rFonts w:ascii="仿宋" w:hAnsi="仿宋" w:eastAsia="仿宋"/>
          <w:sz w:val="24"/>
          <w:szCs w:val="24"/>
        </w:rPr>
        <w:t>五、一般公共预算财政拨款支出决算情况说明</w:t>
      </w:r>
      <w:r>
        <w:rPr>
          <w:rFonts w:ascii="仿宋" w:hAnsi="仿宋" w:eastAsia="仿宋"/>
          <w:sz w:val="24"/>
          <w:szCs w:val="24"/>
        </w:rPr>
        <w:tab/>
      </w:r>
      <w:r>
        <w:rPr>
          <w:rFonts w:hint="eastAsia" w:ascii="仿宋" w:hAnsi="仿宋" w:eastAsia="仿宋"/>
          <w:sz w:val="24"/>
          <w:szCs w:val="24"/>
        </w:rPr>
        <w:t>8</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（一）一般公共预算财政拨款支出决算总体情况</w:t>
      </w:r>
      <w:r>
        <w:rPr>
          <w:rFonts w:ascii="仿宋" w:hAnsi="仿宋" w:eastAsia="仿宋"/>
          <w:i w:val="0"/>
          <w:iCs w:val="0"/>
          <w:smallCaps/>
          <w:sz w:val="24"/>
          <w:szCs w:val="24"/>
        </w:rPr>
        <w:tab/>
      </w:r>
      <w:r>
        <w:rPr>
          <w:rFonts w:hint="eastAsia" w:ascii="仿宋" w:hAnsi="仿宋" w:eastAsia="仿宋"/>
          <w:i w:val="0"/>
          <w:iCs w:val="0"/>
          <w:smallCaps/>
          <w:sz w:val="24"/>
          <w:szCs w:val="24"/>
        </w:rPr>
        <w:t>8</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（二）一般公共预算财政拨款支出决算结构情况</w:t>
      </w:r>
      <w:r>
        <w:rPr>
          <w:rFonts w:ascii="仿宋" w:hAnsi="仿宋" w:eastAsia="仿宋"/>
          <w:i w:val="0"/>
          <w:iCs w:val="0"/>
          <w:smallCaps/>
          <w:sz w:val="24"/>
          <w:szCs w:val="24"/>
        </w:rPr>
        <w:tab/>
      </w:r>
      <w:r>
        <w:rPr>
          <w:rFonts w:hint="eastAsia" w:ascii="仿宋" w:hAnsi="仿宋" w:eastAsia="仿宋"/>
          <w:i w:val="0"/>
          <w:iCs w:val="0"/>
          <w:smallCaps/>
          <w:sz w:val="24"/>
          <w:szCs w:val="24"/>
        </w:rPr>
        <w:t>9</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（三）一般公共预算财政拨款支出决算具体情况</w:t>
      </w:r>
      <w:r>
        <w:rPr>
          <w:rFonts w:ascii="仿宋" w:hAnsi="仿宋" w:eastAsia="仿宋"/>
          <w:i w:val="0"/>
          <w:iCs w:val="0"/>
          <w:smallCaps/>
          <w:sz w:val="24"/>
          <w:szCs w:val="24"/>
        </w:rPr>
        <w:tab/>
      </w:r>
      <w:r>
        <w:rPr>
          <w:rFonts w:hint="eastAsia" w:ascii="仿宋" w:hAnsi="仿宋" w:eastAsia="仿宋"/>
          <w:i w:val="0"/>
          <w:iCs w:val="0"/>
          <w:smallCaps/>
          <w:sz w:val="24"/>
          <w:szCs w:val="24"/>
        </w:rPr>
        <w:t>10</w:t>
      </w:r>
    </w:p>
    <w:p>
      <w:pPr>
        <w:pStyle w:val="17"/>
        <w:tabs>
          <w:tab w:val="right" w:leader="dot" w:pos="8296"/>
        </w:tabs>
        <w:rPr>
          <w:rFonts w:ascii="仿宋" w:hAnsi="仿宋" w:eastAsia="仿宋"/>
          <w:sz w:val="24"/>
          <w:szCs w:val="24"/>
        </w:rPr>
      </w:pPr>
      <w:r>
        <w:rPr>
          <w:rFonts w:ascii="仿宋" w:hAnsi="仿宋" w:eastAsia="仿宋"/>
          <w:sz w:val="24"/>
          <w:szCs w:val="24"/>
        </w:rPr>
        <w:t>六、一般公共预算财政拨款基本支出决算情况说明</w:t>
      </w:r>
      <w:r>
        <w:rPr>
          <w:rFonts w:ascii="仿宋" w:hAnsi="仿宋" w:eastAsia="仿宋"/>
          <w:sz w:val="24"/>
          <w:szCs w:val="24"/>
        </w:rPr>
        <w:tab/>
      </w:r>
      <w:r>
        <w:rPr>
          <w:rFonts w:hint="eastAsia" w:ascii="仿宋" w:hAnsi="仿宋" w:eastAsia="仿宋"/>
          <w:sz w:val="24"/>
          <w:szCs w:val="24"/>
        </w:rPr>
        <w:t>11</w:t>
      </w:r>
    </w:p>
    <w:p>
      <w:pPr>
        <w:pStyle w:val="17"/>
        <w:tabs>
          <w:tab w:val="right" w:leader="dot" w:pos="8296"/>
        </w:tabs>
        <w:rPr>
          <w:rFonts w:ascii="仿宋" w:hAnsi="仿宋" w:eastAsia="仿宋"/>
          <w:sz w:val="24"/>
          <w:szCs w:val="24"/>
        </w:rPr>
      </w:pPr>
      <w:r>
        <w:rPr>
          <w:rFonts w:ascii="仿宋" w:hAnsi="仿宋" w:eastAsia="仿宋"/>
          <w:sz w:val="24"/>
          <w:szCs w:val="24"/>
        </w:rPr>
        <w:t>七、“三公”经费财政拨款支出决算情况说明</w:t>
      </w:r>
      <w:r>
        <w:rPr>
          <w:rFonts w:ascii="仿宋" w:hAnsi="仿宋" w:eastAsia="仿宋"/>
          <w:sz w:val="24"/>
          <w:szCs w:val="24"/>
        </w:rPr>
        <w:tab/>
      </w:r>
      <w:r>
        <w:rPr>
          <w:rFonts w:hint="eastAsia" w:ascii="仿宋" w:hAnsi="仿宋" w:eastAsia="仿宋"/>
          <w:sz w:val="24"/>
          <w:szCs w:val="24"/>
        </w:rPr>
        <w:t>11</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（一）“三公”经费财政拨款支出决算总体情况说明</w:t>
      </w:r>
      <w:r>
        <w:rPr>
          <w:rFonts w:ascii="仿宋" w:hAnsi="仿宋" w:eastAsia="仿宋"/>
          <w:i w:val="0"/>
          <w:iCs w:val="0"/>
          <w:smallCaps/>
          <w:sz w:val="24"/>
          <w:szCs w:val="24"/>
        </w:rPr>
        <w:tab/>
      </w:r>
      <w:r>
        <w:rPr>
          <w:rFonts w:hint="eastAsia" w:ascii="仿宋" w:hAnsi="仿宋" w:eastAsia="仿宋"/>
          <w:i w:val="0"/>
          <w:iCs w:val="0"/>
          <w:smallCaps/>
          <w:sz w:val="24"/>
          <w:szCs w:val="24"/>
        </w:rPr>
        <w:t>11</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（二）“三公”经费财政拨款支出决算具体情况说明</w:t>
      </w:r>
      <w:r>
        <w:rPr>
          <w:rFonts w:ascii="仿宋" w:hAnsi="仿宋" w:eastAsia="仿宋"/>
          <w:i w:val="0"/>
          <w:iCs w:val="0"/>
          <w:smallCaps/>
          <w:sz w:val="24"/>
          <w:szCs w:val="24"/>
        </w:rPr>
        <w:tab/>
      </w:r>
      <w:r>
        <w:rPr>
          <w:rFonts w:hint="eastAsia" w:ascii="仿宋" w:hAnsi="仿宋" w:eastAsia="仿宋"/>
          <w:i w:val="0"/>
          <w:iCs w:val="0"/>
          <w:smallCaps/>
          <w:sz w:val="24"/>
          <w:szCs w:val="24"/>
        </w:rPr>
        <w:t>12</w:t>
      </w:r>
    </w:p>
    <w:p>
      <w:pPr>
        <w:pStyle w:val="17"/>
        <w:tabs>
          <w:tab w:val="right" w:leader="dot" w:pos="8296"/>
        </w:tabs>
        <w:rPr>
          <w:rFonts w:ascii="仿宋" w:hAnsi="仿宋" w:eastAsia="仿宋"/>
          <w:sz w:val="24"/>
          <w:szCs w:val="24"/>
        </w:rPr>
      </w:pPr>
      <w:r>
        <w:rPr>
          <w:rFonts w:ascii="仿宋" w:hAnsi="仿宋" w:eastAsia="仿宋"/>
          <w:sz w:val="24"/>
          <w:szCs w:val="24"/>
        </w:rPr>
        <w:t>八、政府性基金预算支出决算情况说明</w:t>
      </w:r>
      <w:r>
        <w:rPr>
          <w:rFonts w:ascii="仿宋" w:hAnsi="仿宋" w:eastAsia="仿宋"/>
          <w:sz w:val="24"/>
          <w:szCs w:val="24"/>
        </w:rPr>
        <w:tab/>
      </w:r>
      <w:r>
        <w:rPr>
          <w:rFonts w:hint="eastAsia" w:ascii="仿宋" w:hAnsi="仿宋" w:eastAsia="仿宋"/>
          <w:sz w:val="24"/>
          <w:szCs w:val="24"/>
        </w:rPr>
        <w:t>13</w:t>
      </w:r>
    </w:p>
    <w:p>
      <w:pPr>
        <w:pStyle w:val="17"/>
        <w:tabs>
          <w:tab w:val="right" w:leader="dot" w:pos="8296"/>
        </w:tabs>
        <w:rPr>
          <w:rFonts w:ascii="仿宋" w:hAnsi="仿宋" w:eastAsia="仿宋"/>
          <w:sz w:val="24"/>
          <w:szCs w:val="24"/>
        </w:rPr>
      </w:pPr>
      <w:r>
        <w:rPr>
          <w:rFonts w:ascii="仿宋" w:hAnsi="仿宋" w:eastAsia="仿宋"/>
          <w:sz w:val="24"/>
          <w:szCs w:val="24"/>
        </w:rPr>
        <w:t>九、 国有资本经营预算支出决算情况说明</w:t>
      </w:r>
      <w:r>
        <w:rPr>
          <w:rFonts w:ascii="仿宋" w:hAnsi="仿宋" w:eastAsia="仿宋"/>
          <w:sz w:val="24"/>
          <w:szCs w:val="24"/>
        </w:rPr>
        <w:tab/>
      </w:r>
      <w:r>
        <w:rPr>
          <w:rFonts w:hint="eastAsia" w:ascii="仿宋" w:hAnsi="仿宋" w:eastAsia="仿宋"/>
          <w:sz w:val="24"/>
          <w:szCs w:val="24"/>
        </w:rPr>
        <w:t>13</w:t>
      </w:r>
    </w:p>
    <w:p>
      <w:pPr>
        <w:pStyle w:val="17"/>
        <w:tabs>
          <w:tab w:val="right" w:leader="dot" w:pos="8296"/>
        </w:tabs>
        <w:rPr>
          <w:rFonts w:ascii="仿宋" w:hAnsi="仿宋" w:eastAsia="仿宋"/>
          <w:sz w:val="24"/>
          <w:szCs w:val="24"/>
        </w:rPr>
      </w:pPr>
      <w:r>
        <w:rPr>
          <w:rFonts w:ascii="仿宋" w:hAnsi="仿宋" w:eastAsia="仿宋"/>
          <w:sz w:val="24"/>
          <w:szCs w:val="24"/>
        </w:rPr>
        <w:t>十、其他重要事项的情况说明</w:t>
      </w:r>
      <w:r>
        <w:rPr>
          <w:rFonts w:ascii="仿宋" w:hAnsi="仿宋" w:eastAsia="仿宋"/>
          <w:sz w:val="24"/>
          <w:szCs w:val="24"/>
        </w:rPr>
        <w:tab/>
      </w:r>
      <w:r>
        <w:rPr>
          <w:rFonts w:hint="eastAsia" w:ascii="仿宋" w:hAnsi="仿宋" w:eastAsia="仿宋"/>
          <w:sz w:val="24"/>
          <w:szCs w:val="24"/>
        </w:rPr>
        <w:t>13</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（一）机关运行经费支出情况</w:t>
      </w:r>
      <w:r>
        <w:rPr>
          <w:rFonts w:ascii="仿宋" w:hAnsi="仿宋" w:eastAsia="仿宋"/>
          <w:i w:val="0"/>
          <w:iCs w:val="0"/>
          <w:smallCaps/>
          <w:sz w:val="24"/>
          <w:szCs w:val="24"/>
        </w:rPr>
        <w:tab/>
      </w:r>
      <w:r>
        <w:rPr>
          <w:rFonts w:hint="eastAsia" w:ascii="仿宋" w:hAnsi="仿宋" w:eastAsia="仿宋"/>
          <w:i w:val="0"/>
          <w:iCs w:val="0"/>
          <w:smallCaps/>
          <w:sz w:val="24"/>
          <w:szCs w:val="24"/>
        </w:rPr>
        <w:t>13</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（二）政府采购支出情况</w:t>
      </w:r>
      <w:r>
        <w:rPr>
          <w:rFonts w:ascii="仿宋" w:hAnsi="仿宋" w:eastAsia="仿宋"/>
          <w:i w:val="0"/>
          <w:iCs w:val="0"/>
          <w:smallCaps/>
          <w:sz w:val="24"/>
          <w:szCs w:val="24"/>
        </w:rPr>
        <w:tab/>
      </w:r>
      <w:r>
        <w:rPr>
          <w:rFonts w:hint="eastAsia" w:ascii="仿宋" w:hAnsi="仿宋" w:eastAsia="仿宋"/>
          <w:i w:val="0"/>
          <w:iCs w:val="0"/>
          <w:smallCaps/>
          <w:sz w:val="24"/>
          <w:szCs w:val="24"/>
        </w:rPr>
        <w:t>14</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（三）国有资产占有使用情况</w:t>
      </w:r>
      <w:r>
        <w:rPr>
          <w:rFonts w:ascii="仿宋" w:hAnsi="仿宋" w:eastAsia="仿宋"/>
          <w:i w:val="0"/>
          <w:iCs w:val="0"/>
          <w:smallCaps/>
          <w:sz w:val="24"/>
          <w:szCs w:val="24"/>
        </w:rPr>
        <w:tab/>
      </w:r>
      <w:r>
        <w:rPr>
          <w:rFonts w:hint="eastAsia" w:ascii="仿宋" w:hAnsi="仿宋" w:eastAsia="仿宋"/>
          <w:i w:val="0"/>
          <w:iCs w:val="0"/>
          <w:smallCaps/>
          <w:sz w:val="24"/>
          <w:szCs w:val="24"/>
        </w:rPr>
        <w:t>14</w:t>
      </w:r>
    </w:p>
    <w:p>
      <w:pPr>
        <w:pStyle w:val="9"/>
        <w:tabs>
          <w:tab w:val="right" w:leader="dot" w:pos="8296"/>
        </w:tabs>
        <w:rPr>
          <w:rFonts w:ascii="仿宋" w:hAnsi="仿宋" w:eastAsia="仿宋"/>
          <w:i w:val="0"/>
          <w:iCs w:val="0"/>
          <w:smallCaps/>
          <w:sz w:val="24"/>
          <w:szCs w:val="24"/>
        </w:rPr>
      </w:pPr>
      <w:r>
        <w:rPr>
          <w:rFonts w:ascii="仿宋" w:hAnsi="仿宋" w:eastAsia="仿宋"/>
          <w:i w:val="0"/>
          <w:iCs w:val="0"/>
          <w:smallCaps/>
          <w:sz w:val="24"/>
          <w:szCs w:val="24"/>
        </w:rPr>
        <w:t>（四）预算绩效管理情况。</w:t>
      </w:r>
      <w:r>
        <w:rPr>
          <w:rFonts w:ascii="仿宋" w:hAnsi="仿宋" w:eastAsia="仿宋"/>
          <w:i w:val="0"/>
          <w:iCs w:val="0"/>
          <w:smallCaps/>
          <w:sz w:val="24"/>
          <w:szCs w:val="24"/>
        </w:rPr>
        <w:tab/>
      </w:r>
      <w:r>
        <w:rPr>
          <w:rFonts w:hint="eastAsia" w:ascii="仿宋" w:hAnsi="仿宋" w:eastAsia="仿宋"/>
          <w:i w:val="0"/>
          <w:iCs w:val="0"/>
          <w:smallCaps/>
          <w:sz w:val="24"/>
          <w:szCs w:val="24"/>
        </w:rPr>
        <w:t>14</w:t>
      </w:r>
    </w:p>
    <w:p>
      <w:pPr>
        <w:pStyle w:val="14"/>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t>第三部分 名词解释</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rPr>
        <w:t>16</w:t>
      </w:r>
    </w:p>
    <w:p>
      <w:pPr>
        <w:pStyle w:val="14"/>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t>第四部分 附件</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rPr>
        <w:t>19</w:t>
      </w:r>
    </w:p>
    <w:p>
      <w:pPr>
        <w:pStyle w:val="14"/>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t>附件1</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rPr>
        <w:t>19</w:t>
      </w:r>
    </w:p>
    <w:p>
      <w:pPr>
        <w:pStyle w:val="14"/>
        <w:tabs>
          <w:tab w:val="right" w:leader="dot" w:pos="8296"/>
        </w:tabs>
        <w:rPr>
          <w:rFonts w:ascii="仿宋" w:hAnsi="仿宋" w:eastAsia="仿宋"/>
          <w:b w:val="0"/>
          <w:bCs w:val="0"/>
          <w:caps w:val="0"/>
          <w:smallCaps/>
          <w:sz w:val="24"/>
          <w:szCs w:val="24"/>
        </w:rPr>
      </w:pPr>
      <w:r>
        <w:rPr>
          <w:rFonts w:hint="eastAsia" w:ascii="仿宋" w:hAnsi="仿宋" w:eastAsia="仿宋"/>
          <w:b w:val="0"/>
          <w:bCs w:val="0"/>
          <w:caps w:val="0"/>
          <w:smallCaps/>
          <w:sz w:val="24"/>
          <w:szCs w:val="24"/>
        </w:rPr>
        <w:t>茂县工商业联合会</w:t>
      </w:r>
      <w:r>
        <w:rPr>
          <w:rFonts w:ascii="仿宋" w:hAnsi="仿宋" w:eastAsia="仿宋"/>
          <w:b w:val="0"/>
          <w:bCs w:val="0"/>
          <w:caps w:val="0"/>
          <w:smallCaps/>
          <w:sz w:val="24"/>
          <w:szCs w:val="24"/>
        </w:rPr>
        <w:t>部门2020年部门整体支出绩效评价报告</w:t>
      </w:r>
      <w:r>
        <w:rPr>
          <w:rFonts w:ascii="仿宋" w:hAnsi="仿宋" w:eastAsia="仿宋"/>
          <w:b w:val="0"/>
          <w:bCs w:val="0"/>
          <w:caps w:val="0"/>
          <w:smallCaps/>
          <w:sz w:val="24"/>
          <w:szCs w:val="24"/>
        </w:rPr>
        <w:tab/>
      </w:r>
      <w:r>
        <w:rPr>
          <w:rFonts w:hint="eastAsia" w:ascii="仿宋" w:hAnsi="仿宋" w:eastAsia="仿宋"/>
          <w:b w:val="0"/>
          <w:bCs w:val="0"/>
          <w:caps w:val="0"/>
          <w:smallCaps/>
          <w:sz w:val="24"/>
          <w:szCs w:val="24"/>
        </w:rPr>
        <w:t>19</w:t>
      </w:r>
    </w:p>
    <w:p>
      <w:pPr>
        <w:pStyle w:val="14"/>
        <w:tabs>
          <w:tab w:val="right" w:leader="dot" w:pos="8296"/>
        </w:tabs>
        <w:rPr>
          <w:rFonts w:ascii="仿宋" w:hAnsi="仿宋" w:eastAsia="仿宋"/>
          <w:b w:val="0"/>
          <w:bCs w:val="0"/>
          <w:caps w:val="0"/>
          <w:smallCaps/>
          <w:sz w:val="24"/>
          <w:szCs w:val="24"/>
        </w:rPr>
      </w:pPr>
      <w:r>
        <w:rPr>
          <w:rFonts w:ascii="仿宋" w:hAnsi="仿宋" w:eastAsia="仿宋"/>
          <w:b w:val="0"/>
          <w:bCs w:val="0"/>
          <w:caps w:val="0"/>
          <w:smallCaps/>
          <w:sz w:val="24"/>
          <w:szCs w:val="24"/>
        </w:rPr>
        <w:t>第五部分 附表</w:t>
      </w:r>
      <w:r>
        <w:rPr>
          <w:rFonts w:ascii="仿宋" w:hAnsi="仿宋" w:eastAsia="仿宋"/>
          <w:b w:val="0"/>
          <w:bCs w:val="0"/>
          <w:caps w:val="0"/>
          <w:smallCaps/>
          <w:sz w:val="24"/>
          <w:szCs w:val="24"/>
        </w:rPr>
        <w:tab/>
      </w:r>
      <w:r>
        <w:rPr>
          <w:rFonts w:ascii="仿宋" w:hAnsi="仿宋" w:eastAsia="仿宋"/>
          <w:b w:val="0"/>
          <w:bCs w:val="0"/>
          <w:caps w:val="0"/>
          <w:smallCaps/>
          <w:sz w:val="24"/>
          <w:szCs w:val="24"/>
        </w:rPr>
        <w:fldChar w:fldCharType="begin"/>
      </w:r>
      <w:r>
        <w:rPr>
          <w:rFonts w:ascii="仿宋" w:hAnsi="仿宋" w:eastAsia="仿宋"/>
          <w:b w:val="0"/>
          <w:bCs w:val="0"/>
          <w:caps w:val="0"/>
          <w:smallCaps/>
          <w:sz w:val="24"/>
          <w:szCs w:val="24"/>
        </w:rPr>
        <w:instrText xml:space="preserve"> PAGEREF _Toc79163885 \h </w:instrText>
      </w:r>
      <w:r>
        <w:rPr>
          <w:rFonts w:ascii="仿宋" w:hAnsi="仿宋" w:eastAsia="仿宋"/>
          <w:b w:val="0"/>
          <w:bCs w:val="0"/>
          <w:caps w:val="0"/>
          <w:smallCaps/>
          <w:sz w:val="24"/>
          <w:szCs w:val="24"/>
        </w:rPr>
        <w:fldChar w:fldCharType="separate"/>
      </w:r>
      <w:r>
        <w:rPr>
          <w:rFonts w:ascii="仿宋" w:hAnsi="仿宋" w:eastAsia="仿宋"/>
          <w:b w:val="0"/>
          <w:bCs w:val="0"/>
          <w:caps w:val="0"/>
          <w:smallCaps/>
          <w:sz w:val="24"/>
          <w:szCs w:val="24"/>
        </w:rPr>
        <w:t>23</w:t>
      </w:r>
      <w:r>
        <w:rPr>
          <w:rFonts w:ascii="仿宋" w:hAnsi="仿宋" w:eastAsia="仿宋"/>
          <w:b w:val="0"/>
          <w:bCs w:val="0"/>
          <w:caps w:val="0"/>
          <w:smallCaps/>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一、收入支出决算总表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_Toc79163886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二、收入决算表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_Toc79163887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三、支出决算表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_Toc79163888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四、财政拨款收入支出决算总表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_Toc79163889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五、财政拨款支出决算明细表</w:t>
      </w:r>
      <w:r>
        <w:rPr>
          <w:rFonts w:ascii="仿宋" w:hAnsi="仿宋" w:eastAsia="仿宋"/>
          <w:sz w:val="24"/>
          <w:szCs w:val="24"/>
        </w:rPr>
        <w:tab/>
      </w:r>
      <w:r>
        <w:rPr>
          <w:rFonts w:hint="eastAsia" w:ascii="仿宋" w:hAnsi="仿宋" w:eastAsia="仿宋"/>
          <w:sz w:val="24"/>
          <w:szCs w:val="24"/>
        </w:rPr>
        <w:t>23</w:t>
      </w:r>
    </w:p>
    <w:p>
      <w:pPr>
        <w:pStyle w:val="17"/>
        <w:tabs>
          <w:tab w:val="right" w:leader="dot" w:pos="8296"/>
        </w:tabs>
        <w:rPr>
          <w:rFonts w:ascii="仿宋" w:hAnsi="仿宋" w:eastAsia="仿宋"/>
          <w:sz w:val="24"/>
          <w:szCs w:val="24"/>
        </w:rPr>
      </w:pPr>
      <w:r>
        <w:rPr>
          <w:rFonts w:ascii="仿宋" w:hAnsi="仿宋" w:eastAsia="仿宋"/>
          <w:sz w:val="24"/>
          <w:szCs w:val="24"/>
        </w:rPr>
        <w:t>六、一般公共预算财政拨款支出决算表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_Toc79163891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七、一般公共预算财政拨款支出决算明细表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_Toc79163892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八、一般公共预算财政拨款基本支出决算表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_Toc79163893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九、一般公共预算财政拨款项目支出决算表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_Toc79163894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十、一般公共预算财政拨款“三公”经费支出决算表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_Toc79163895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十一、政府性基金预算财政拨款收入支出决算表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_Toc79163896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十二、政府性基金预算财政拨款“三公”经费支出决算表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_Toc79163897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十三、国有资本经营预算财政拨款支出决算表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_Toc79163898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pPr>
        <w:pStyle w:val="17"/>
        <w:tabs>
          <w:tab w:val="right" w:leader="dot" w:pos="8296"/>
        </w:tabs>
        <w:rPr>
          <w:rFonts w:ascii="仿宋" w:hAnsi="仿宋" w:eastAsia="仿宋"/>
          <w:sz w:val="24"/>
          <w:szCs w:val="24"/>
        </w:rPr>
      </w:pPr>
      <w:r>
        <w:rPr>
          <w:rFonts w:ascii="仿宋" w:hAnsi="仿宋" w:eastAsia="仿宋"/>
          <w:sz w:val="24"/>
          <w:szCs w:val="24"/>
        </w:rPr>
        <w:t>十四、国有资本经营预算财政拨款支出决算表</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_Toc79163899 \h </w:instrText>
      </w:r>
      <w:r>
        <w:rPr>
          <w:rFonts w:ascii="仿宋" w:hAnsi="仿宋" w:eastAsia="仿宋"/>
          <w:sz w:val="24"/>
          <w:szCs w:val="24"/>
        </w:rPr>
        <w:fldChar w:fldCharType="separate"/>
      </w:r>
      <w:r>
        <w:rPr>
          <w:rFonts w:ascii="仿宋" w:hAnsi="仿宋" w:eastAsia="仿宋"/>
          <w:sz w:val="24"/>
          <w:szCs w:val="24"/>
        </w:rPr>
        <w:t>23</w:t>
      </w:r>
      <w:r>
        <w:rPr>
          <w:rFonts w:ascii="仿宋" w:hAnsi="仿宋" w:eastAsia="仿宋"/>
          <w:sz w:val="24"/>
          <w:szCs w:val="24"/>
        </w:rPr>
        <w:fldChar w:fldCharType="end"/>
      </w:r>
    </w:p>
    <w:p>
      <w:r>
        <w:rPr>
          <w:rFonts w:ascii="仿宋" w:hAnsi="仿宋" w:eastAsia="仿宋"/>
          <w:smallCaps/>
          <w:sz w:val="24"/>
        </w:rPr>
        <w:fldChar w:fldCharType="end"/>
      </w:r>
    </w:p>
    <w:p>
      <w:pPr>
        <w:widowControl/>
        <w:spacing w:line="440" w:lineRule="exact"/>
        <w:jc w:val="left"/>
      </w:pP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numPr>
          <w:ilvl w:val="0"/>
          <w:numId w:val="1"/>
        </w:numPr>
        <w:jc w:val="center"/>
        <w:rPr>
          <w:rStyle w:val="23"/>
          <w:rFonts w:ascii="黑体" w:hAnsi="黑体" w:eastAsia="黑体"/>
          <w:b w:val="0"/>
          <w:bCs w:val="0"/>
        </w:rPr>
      </w:pPr>
      <w:bookmarkStart w:id="14" w:name="_Toc79163851"/>
      <w:bookmarkStart w:id="15" w:name="_Toc79163601"/>
      <w:r>
        <w:rPr>
          <w:rStyle w:val="23"/>
          <w:rFonts w:hint="eastAsia" w:ascii="黑体" w:hAnsi="黑体" w:eastAsia="黑体"/>
          <w:b w:val="0"/>
          <w:bCs w:val="0"/>
        </w:rPr>
        <w:t>部门概况</w:t>
      </w:r>
      <w:bookmarkEnd w:id="12"/>
      <w:bookmarkEnd w:id="13"/>
      <w:bookmarkEnd w:id="14"/>
      <w:bookmarkEnd w:id="15"/>
    </w:p>
    <w:p/>
    <w:p>
      <w:pPr>
        <w:pStyle w:val="3"/>
        <w:numPr>
          <w:ilvl w:val="0"/>
          <w:numId w:val="2"/>
        </w:numPr>
        <w:ind w:firstLine="640" w:firstLineChars="200"/>
        <w:rPr>
          <w:rFonts w:ascii="仿宋" w:hAnsi="仿宋" w:eastAsia="仿宋"/>
          <w:color w:val="000000"/>
        </w:rPr>
      </w:pPr>
      <w:bookmarkStart w:id="16" w:name="_Toc15377197"/>
      <w:bookmarkStart w:id="17" w:name="_Toc15396600"/>
      <w:bookmarkStart w:id="18" w:name="_Toc79163852"/>
      <w:bookmarkStart w:id="19" w:name="_Toc79163602"/>
      <w:r>
        <w:rPr>
          <w:rFonts w:hint="eastAsia" w:ascii="黑体" w:hAnsi="黑体" w:eastAsia="黑体"/>
          <w:b w:val="0"/>
          <w:color w:val="000000"/>
        </w:rPr>
        <w:t>基</w:t>
      </w:r>
      <w:r>
        <w:rPr>
          <w:rStyle w:val="24"/>
          <w:rFonts w:hint="eastAsia" w:ascii="黑体" w:hAnsi="黑体" w:eastAsia="黑体"/>
          <w:b w:val="0"/>
          <w:bCs w:val="0"/>
        </w:rPr>
        <w:t>本职能及主要工作</w:t>
      </w:r>
      <w:bookmarkEnd w:id="16"/>
      <w:bookmarkEnd w:id="17"/>
      <w:bookmarkEnd w:id="18"/>
      <w:bookmarkEnd w:id="19"/>
      <w:bookmarkStart w:id="20" w:name="_Toc79163603"/>
      <w:bookmarkStart w:id="21" w:name="_Toc79163853"/>
      <w:bookmarkStart w:id="22" w:name="_Toc15378445"/>
      <w:bookmarkStart w:id="23" w:name="_Toc15377198"/>
    </w:p>
    <w:p>
      <w:pPr>
        <w:pStyle w:val="3"/>
        <w:ind w:firstLine="642" w:firstLineChars="200"/>
        <w:rPr>
          <w:rFonts w:ascii="仿宋" w:hAnsi="仿宋" w:eastAsia="仿宋"/>
          <w:color w:val="000000"/>
        </w:rPr>
      </w:pPr>
      <w:r>
        <w:rPr>
          <w:rFonts w:hint="eastAsia" w:ascii="仿宋" w:hAnsi="仿宋" w:eastAsia="仿宋"/>
          <w:color w:val="000000"/>
        </w:rPr>
        <w:t>（一）主要职能</w:t>
      </w:r>
      <w:bookmarkEnd w:id="20"/>
      <w:bookmarkEnd w:id="21"/>
    </w:p>
    <w:bookmarkEnd w:id="22"/>
    <w:bookmarkEnd w:id="23"/>
    <w:p>
      <w:pPr>
        <w:widowControl/>
        <w:spacing w:line="600" w:lineRule="exact"/>
        <w:ind w:firstLine="640" w:firstLineChars="200"/>
        <w:jc w:val="left"/>
        <w:rPr>
          <w:rFonts w:ascii="仿宋_GB2312" w:hAnsi="华文楷体" w:eastAsia="仿宋_GB2312"/>
          <w:color w:val="000000" w:themeColor="text1"/>
          <w:sz w:val="32"/>
          <w:szCs w:val="32"/>
        </w:rPr>
      </w:pPr>
      <w:bookmarkStart w:id="24" w:name="_Toc15377199"/>
      <w:bookmarkStart w:id="25" w:name="_Toc15378446"/>
      <w:bookmarkStart w:id="26" w:name="_Toc79163854"/>
      <w:bookmarkStart w:id="27" w:name="_Toc79163604"/>
      <w:r>
        <w:rPr>
          <w:rFonts w:ascii="仿宋_GB2312" w:hAnsi="华文楷体" w:eastAsia="仿宋_GB2312"/>
          <w:color w:val="000000" w:themeColor="text1"/>
          <w:sz w:val="32"/>
          <w:szCs w:val="32"/>
        </w:rPr>
        <w:t>1.</w:t>
      </w:r>
      <w:r>
        <w:rPr>
          <w:rFonts w:hint="eastAsia" w:ascii="仿宋_GB2312" w:hAnsi="华文楷体" w:eastAsia="仿宋_GB2312"/>
          <w:color w:val="000000" w:themeColor="text1"/>
          <w:sz w:val="32"/>
          <w:szCs w:val="32"/>
        </w:rPr>
        <w:t>参与我县大政方针及政治、解决、社会中的重要问题的政治协商，发挥民主监督的作用，参政议政。</w:t>
      </w:r>
    </w:p>
    <w:p>
      <w:pPr>
        <w:widowControl/>
        <w:spacing w:line="600" w:lineRule="exact"/>
        <w:ind w:firstLine="640" w:firstLineChars="200"/>
        <w:jc w:val="left"/>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2.</w:t>
      </w:r>
      <w:r>
        <w:rPr>
          <w:rFonts w:hint="eastAsia" w:ascii="仿宋_GB2312" w:hAnsi="华文楷体" w:eastAsia="仿宋_GB2312"/>
          <w:color w:val="000000" w:themeColor="text1"/>
          <w:sz w:val="32"/>
          <w:szCs w:val="32"/>
        </w:rPr>
        <w:t>引导会员积极参加我县经济建设，推动非公有制经济健康发展。</w:t>
      </w:r>
    </w:p>
    <w:p>
      <w:pPr>
        <w:widowControl/>
        <w:spacing w:line="600" w:lineRule="exact"/>
        <w:ind w:firstLine="640" w:firstLineChars="200"/>
        <w:jc w:val="left"/>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3.</w:t>
      </w:r>
      <w:r>
        <w:rPr>
          <w:rFonts w:hint="eastAsia" w:ascii="仿宋_GB2312" w:hAnsi="华文楷体" w:eastAsia="仿宋_GB2312"/>
          <w:color w:val="000000" w:themeColor="text1"/>
          <w:sz w:val="32"/>
          <w:szCs w:val="32"/>
        </w:rPr>
        <w:t>做好工商界代表人士政治安排的推荐工作。</w:t>
      </w:r>
    </w:p>
    <w:p>
      <w:pPr>
        <w:widowControl/>
        <w:spacing w:line="600" w:lineRule="exact"/>
        <w:ind w:firstLine="640" w:firstLineChars="200"/>
        <w:jc w:val="left"/>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4.</w:t>
      </w:r>
      <w:r>
        <w:rPr>
          <w:rFonts w:hint="eastAsia" w:ascii="仿宋_GB2312" w:hAnsi="华文楷体" w:eastAsia="仿宋_GB2312"/>
          <w:color w:val="000000" w:themeColor="text1"/>
          <w:sz w:val="32"/>
          <w:szCs w:val="32"/>
        </w:rPr>
        <w:t>对同级同业工会和行业协会实行业务主管，加强对个体劳动者协会、私营企业协会指导工作。</w:t>
      </w:r>
    </w:p>
    <w:p>
      <w:pPr>
        <w:widowControl/>
        <w:spacing w:line="600" w:lineRule="exact"/>
        <w:ind w:firstLine="640" w:firstLineChars="200"/>
        <w:jc w:val="left"/>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5.</w:t>
      </w:r>
      <w:r>
        <w:rPr>
          <w:rFonts w:hint="eastAsia" w:ascii="仿宋_GB2312" w:hAnsi="华文楷体" w:eastAsia="仿宋_GB2312"/>
          <w:color w:val="000000" w:themeColor="text1"/>
          <w:sz w:val="32"/>
          <w:szCs w:val="32"/>
        </w:rPr>
        <w:t>加强与外商、各地工商社团及工商经济界人士的联系，促进经济、技术和贸易合作的发展，协助引进资金、技术人才。</w:t>
      </w:r>
    </w:p>
    <w:p>
      <w:pPr>
        <w:widowControl/>
        <w:spacing w:line="600" w:lineRule="exact"/>
        <w:ind w:firstLine="640" w:firstLineChars="200"/>
        <w:jc w:val="left"/>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6.</w:t>
      </w:r>
      <w:r>
        <w:rPr>
          <w:rFonts w:hint="eastAsia" w:ascii="仿宋_GB2312" w:hAnsi="华文楷体" w:eastAsia="仿宋_GB2312"/>
          <w:color w:val="000000" w:themeColor="text1"/>
          <w:sz w:val="32"/>
          <w:szCs w:val="32"/>
        </w:rPr>
        <w:t>办好会办企业。</w:t>
      </w:r>
    </w:p>
    <w:p>
      <w:pPr>
        <w:widowControl/>
        <w:spacing w:line="600" w:lineRule="exact"/>
        <w:ind w:firstLine="640" w:firstLineChars="200"/>
        <w:jc w:val="left"/>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7.</w:t>
      </w:r>
      <w:r>
        <w:rPr>
          <w:rFonts w:hint="eastAsia" w:ascii="仿宋_GB2312" w:hAnsi="华文楷体" w:eastAsia="仿宋_GB2312"/>
          <w:color w:val="000000" w:themeColor="text1"/>
          <w:sz w:val="32"/>
          <w:szCs w:val="32"/>
        </w:rPr>
        <w:t>承办县委、县政府交办的其他工作。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widowControl/>
        <w:shd w:val="clear" w:color="auto" w:fill="FFFFFF"/>
        <w:spacing w:line="580" w:lineRule="atLeast"/>
        <w:ind w:firstLine="640" w:firstLineChars="200"/>
        <w:jc w:val="left"/>
        <w:rPr>
          <w:rFonts w:ascii="仿宋_GB2312" w:hAnsi="宋体" w:eastAsia="仿宋_GB2312" w:cs="宋体"/>
          <w:kern w:val="0"/>
          <w:sz w:val="32"/>
          <w:szCs w:val="32"/>
        </w:rPr>
      </w:pPr>
      <w:bookmarkStart w:id="28" w:name="_Toc79163605"/>
      <w:bookmarkStart w:id="29" w:name="_Toc79163855"/>
      <w:bookmarkStart w:id="30" w:name="_Toc15396601"/>
      <w:bookmarkStart w:id="31" w:name="_Toc15377200"/>
      <w:r>
        <w:rPr>
          <w:rFonts w:ascii="仿宋_GB2312" w:hAnsi="宋体" w:eastAsia="仿宋_GB2312" w:cs="宋体"/>
          <w:kern w:val="0"/>
          <w:sz w:val="32"/>
          <w:szCs w:val="32"/>
        </w:rPr>
        <w:t>1</w:t>
      </w:r>
      <w:r>
        <w:rPr>
          <w:rFonts w:hint="eastAsia" w:ascii="仿宋_GB2312" w:hAnsi="宋体" w:eastAsia="仿宋_GB2312" w:cs="宋体"/>
          <w:kern w:val="0"/>
          <w:sz w:val="32"/>
          <w:szCs w:val="32"/>
        </w:rPr>
        <w:t>、认真学习贯彻中央“加强新时代民营经济统战工作”精神。</w:t>
      </w:r>
    </w:p>
    <w:p>
      <w:pPr>
        <w:widowControl/>
        <w:shd w:val="clear" w:color="auto" w:fill="FFFFFF"/>
        <w:spacing w:line="580" w:lineRule="atLeas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、聚焦全县中心工作，全力投入脱贫攻坚行动暨“两联一进”帮扶工作</w:t>
      </w:r>
    </w:p>
    <w:p>
      <w:pPr>
        <w:widowControl/>
        <w:shd w:val="clear" w:color="auto" w:fill="FFFFFF"/>
        <w:spacing w:line="580" w:lineRule="atLeas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、加强同非公有制经济人士的联系，提高非公有制经济人士的发展信心</w:t>
      </w:r>
    </w:p>
    <w:p>
      <w:pPr>
        <w:widowControl/>
        <w:shd w:val="clear" w:color="auto" w:fill="FFFFFF"/>
        <w:spacing w:line="580" w:lineRule="atLeas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、搞好服务，促进非公有制经济健康发展，促进非公有制经济人士健康成长</w:t>
      </w:r>
    </w:p>
    <w:p>
      <w:pPr>
        <w:widowControl/>
        <w:shd w:val="clear" w:color="auto" w:fill="FFFFFF"/>
        <w:spacing w:line="580" w:lineRule="atLeas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、积极发展会员，稳妥壮大工商联队伍</w:t>
      </w:r>
    </w:p>
    <w:p>
      <w:pPr>
        <w:widowControl/>
        <w:shd w:val="clear" w:color="auto" w:fill="FFFFFF"/>
        <w:spacing w:line="580" w:lineRule="atLeas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、继续推动民营企业投入“万企帮万村”精准扶贫活动</w:t>
      </w:r>
    </w:p>
    <w:p>
      <w:pPr>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7</w:t>
      </w:r>
      <w:r>
        <w:rPr>
          <w:rFonts w:hint="eastAsia" w:ascii="仿宋_GB2312" w:hAnsi="宋体" w:eastAsia="仿宋_GB2312" w:cs="宋体"/>
          <w:kern w:val="0"/>
          <w:sz w:val="32"/>
          <w:szCs w:val="32"/>
        </w:rPr>
        <w:t>、认真开展“不忘初心、牢记使命”主题教育</w:t>
      </w:r>
      <w:bookmarkStart w:id="163" w:name="_GoBack"/>
      <w:bookmarkEnd w:id="163"/>
      <w:r>
        <w:rPr>
          <w:rFonts w:hint="eastAsia" w:ascii="仿宋_GB2312" w:hAnsi="宋体" w:eastAsia="仿宋_GB2312" w:cs="宋体"/>
          <w:kern w:val="0"/>
          <w:sz w:val="32"/>
          <w:szCs w:val="32"/>
        </w:rPr>
        <w:t>，积极推动非公企业党的建设。</w:t>
      </w:r>
    </w:p>
    <w:p>
      <w:pPr>
        <w:spacing w:line="540" w:lineRule="exact"/>
        <w:ind w:firstLine="640" w:firstLineChars="200"/>
        <w:rPr>
          <w:rStyle w:val="24"/>
          <w:b w:val="0"/>
          <w:bCs w:val="0"/>
        </w:rPr>
      </w:pPr>
      <w:r>
        <w:rPr>
          <w:rStyle w:val="24"/>
          <w:rFonts w:hint="eastAsia" w:ascii="黑体" w:hAnsi="黑体" w:eastAsia="黑体"/>
          <w:b w:val="0"/>
          <w:bCs w:val="0"/>
        </w:rPr>
        <w:t>二、机构设置</w:t>
      </w:r>
      <w:bookmarkEnd w:id="28"/>
      <w:bookmarkEnd w:id="29"/>
      <w:bookmarkEnd w:id="30"/>
      <w:bookmarkEnd w:id="31"/>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总编制</w:t>
      </w:r>
      <w:r>
        <w:rPr>
          <w:rFonts w:ascii="仿宋_GB2312" w:hAnsi="宋体" w:eastAsia="仿宋_GB2312" w:cs="宋体"/>
          <w:kern w:val="0"/>
          <w:sz w:val="32"/>
          <w:szCs w:val="32"/>
        </w:rPr>
        <w:t xml:space="preserve"> 5 </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行政编制</w:t>
      </w:r>
      <w:r>
        <w:rPr>
          <w:rFonts w:ascii="仿宋_GB2312" w:hAnsi="宋体" w:eastAsia="仿宋_GB2312" w:cs="宋体"/>
          <w:kern w:val="0"/>
          <w:sz w:val="32"/>
          <w:szCs w:val="32"/>
        </w:rPr>
        <w:t xml:space="preserve"> 2 </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参照公务员法管理的事业编制</w:t>
      </w:r>
      <w:r>
        <w:rPr>
          <w:rFonts w:ascii="仿宋_GB2312" w:hAnsi="宋体" w:eastAsia="仿宋_GB2312" w:cs="宋体"/>
          <w:kern w:val="0"/>
          <w:sz w:val="32"/>
          <w:szCs w:val="32"/>
        </w:rPr>
        <w:t>3</w:t>
      </w:r>
      <w:r>
        <w:rPr>
          <w:rFonts w:hint="eastAsia" w:ascii="仿宋_GB2312" w:hAnsi="宋体" w:eastAsia="仿宋_GB2312" w:cs="宋体"/>
          <w:kern w:val="0"/>
          <w:sz w:val="32"/>
          <w:szCs w:val="32"/>
        </w:rPr>
        <w:t>名，行政工勤编制</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名，事业编制</w:t>
      </w:r>
      <w:r>
        <w:rPr>
          <w:rFonts w:ascii="仿宋_GB2312" w:hAnsi="宋体" w:eastAsia="仿宋_GB2312" w:cs="宋体"/>
          <w:kern w:val="0"/>
          <w:sz w:val="32"/>
          <w:szCs w:val="32"/>
        </w:rPr>
        <w:t>0</w:t>
      </w:r>
      <w:r>
        <w:rPr>
          <w:rFonts w:hint="eastAsia" w:ascii="仿宋_GB2312" w:hAnsi="宋体" w:eastAsia="仿宋_GB2312" w:cs="宋体"/>
          <w:kern w:val="0"/>
          <w:sz w:val="32"/>
          <w:szCs w:val="32"/>
        </w:rPr>
        <w:t>名，事业工勤编制</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名。在职人员总数</w:t>
      </w:r>
      <w:r>
        <w:rPr>
          <w:rFonts w:ascii="仿宋_GB2312" w:hAnsi="宋体" w:eastAsia="仿宋_GB2312" w:cs="宋体"/>
          <w:kern w:val="0"/>
          <w:sz w:val="32"/>
          <w:szCs w:val="32"/>
        </w:rPr>
        <w:t xml:space="preserve"> 2 </w:t>
      </w:r>
      <w:r>
        <w:rPr>
          <w:rFonts w:hint="eastAsia" w:ascii="仿宋_GB2312" w:hAnsi="宋体" w:eastAsia="仿宋_GB2312" w:cs="宋体"/>
          <w:kern w:val="0"/>
          <w:sz w:val="32"/>
          <w:szCs w:val="32"/>
        </w:rPr>
        <w:t>名，其中：行政人员</w:t>
      </w:r>
      <w:r>
        <w:rPr>
          <w:rFonts w:ascii="仿宋_GB2312" w:hAnsi="宋体" w:eastAsia="仿宋_GB2312" w:cs="宋体"/>
          <w:kern w:val="0"/>
          <w:sz w:val="32"/>
          <w:szCs w:val="32"/>
        </w:rPr>
        <w:t xml:space="preserve"> 2 </w:t>
      </w:r>
      <w:r>
        <w:rPr>
          <w:rFonts w:hint="eastAsia" w:ascii="仿宋_GB2312" w:hAnsi="宋体" w:eastAsia="仿宋_GB2312" w:cs="宋体"/>
          <w:kern w:val="0"/>
          <w:sz w:val="32"/>
          <w:szCs w:val="32"/>
        </w:rPr>
        <w:t>名，参照公务员法管理的事业人员</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名，行政工勤人员</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名；事业人员</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名，事业工勤人员</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名。离休人员</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人，退休人员</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人；编外长期聘用人员</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名。</w:t>
      </w:r>
    </w:p>
    <w:p>
      <w:pPr>
        <w:pStyle w:val="7"/>
        <w:adjustRightInd w:val="0"/>
        <w:snapToGrid w:val="0"/>
        <w:spacing w:before="93" w:line="576" w:lineRule="exact"/>
        <w:ind w:firstLine="640" w:firstLineChars="200"/>
        <w:rPr>
          <w:rFonts w:ascii="仿宋" w:hAnsi="仿宋" w:eastAsia="仿宋"/>
          <w:color w:val="000000"/>
          <w:sz w:val="32"/>
          <w:szCs w:val="32"/>
        </w:rPr>
      </w:pPr>
    </w:p>
    <w:p>
      <w:pPr>
        <w:pStyle w:val="7"/>
        <w:adjustRightInd w:val="0"/>
        <w:snapToGrid w:val="0"/>
        <w:spacing w:before="93" w:line="576" w:lineRule="exact"/>
        <w:ind w:firstLine="640" w:firstLineChars="200"/>
        <w:rPr>
          <w:rFonts w:ascii="仿宋" w:hAnsi="仿宋" w:eastAsia="仿宋"/>
          <w:color w:val="000000"/>
          <w:sz w:val="32"/>
          <w:szCs w:val="32"/>
        </w:rPr>
      </w:pPr>
    </w:p>
    <w:p>
      <w:pPr>
        <w:pStyle w:val="7"/>
        <w:adjustRightInd w:val="0"/>
        <w:snapToGrid w:val="0"/>
        <w:spacing w:before="93" w:line="576" w:lineRule="exact"/>
        <w:ind w:firstLine="640" w:firstLineChars="200"/>
        <w:rPr>
          <w:rFonts w:ascii="仿宋" w:hAnsi="仿宋" w:eastAsia="仿宋"/>
          <w:color w:val="000000"/>
          <w:sz w:val="32"/>
          <w:szCs w:val="32"/>
        </w:rPr>
      </w:pPr>
    </w:p>
    <w:p>
      <w:pPr>
        <w:pStyle w:val="7"/>
        <w:adjustRightInd w:val="0"/>
        <w:snapToGrid w:val="0"/>
        <w:spacing w:before="93" w:line="576" w:lineRule="exact"/>
        <w:ind w:firstLine="640" w:firstLineChars="200"/>
        <w:rPr>
          <w:rFonts w:ascii="仿宋" w:hAnsi="仿宋" w:eastAsia="仿宋"/>
          <w:color w:val="000000"/>
          <w:sz w:val="32"/>
          <w:szCs w:val="32"/>
        </w:rPr>
      </w:pPr>
    </w:p>
    <w:p>
      <w:pPr>
        <w:pStyle w:val="2"/>
        <w:ind w:right="440" w:firstLine="440" w:firstLineChars="100"/>
        <w:rPr>
          <w:rFonts w:ascii="黑体" w:hAnsi="黑体" w:eastAsia="黑体"/>
          <w:b w:val="0"/>
          <w:color w:val="000000"/>
        </w:rPr>
      </w:pPr>
      <w:bookmarkStart w:id="32" w:name="_Toc79163859"/>
      <w:bookmarkStart w:id="33" w:name="_Toc15396602"/>
      <w:bookmarkStart w:id="34" w:name="_Toc15377204"/>
      <w:bookmarkStart w:id="35" w:name="_Toc79163609"/>
    </w:p>
    <w:p>
      <w:pPr>
        <w:pStyle w:val="2"/>
        <w:ind w:right="440" w:firstLine="440" w:firstLineChars="100"/>
      </w:pPr>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Pr>
        <w:pStyle w:val="34"/>
        <w:numPr>
          <w:ilvl w:val="0"/>
          <w:numId w:val="3"/>
        </w:numPr>
        <w:spacing w:line="600" w:lineRule="exact"/>
        <w:ind w:firstLineChars="0"/>
        <w:outlineLvl w:val="1"/>
        <w:rPr>
          <w:rStyle w:val="24"/>
          <w:rFonts w:ascii="黑体" w:hAnsi="黑体" w:eastAsia="黑体"/>
          <w:b w:val="0"/>
        </w:rPr>
      </w:pPr>
      <w:bookmarkStart w:id="36" w:name="_Toc15396603"/>
      <w:bookmarkStart w:id="37" w:name="_Toc79163860"/>
      <w:bookmarkStart w:id="38" w:name="_Toc15377205"/>
      <w:bookmarkStart w:id="39" w:name="_Toc7916361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576" w:lineRule="exact"/>
        <w:ind w:firstLine="960" w:firstLineChars="300"/>
        <w:rPr>
          <w:rFonts w:ascii="仿宋_GB2312" w:hAnsi="仿宋" w:eastAsia="仿宋_GB2312"/>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年度收、支总计105.73万元。与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年相比，收、支总计各减少4.2万元，下降4.14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仿宋" w:eastAsia="仿宋_GB2312"/>
          <w:color w:val="000000"/>
          <w:sz w:val="32"/>
          <w:szCs w:val="32"/>
        </w:rPr>
        <w:t>主要变动原因是</w:t>
      </w:r>
      <w:r>
        <w:rPr>
          <w:rFonts w:hint="eastAsia" w:ascii="仿宋_GB2312" w:eastAsia="仿宋_GB2312"/>
          <w:sz w:val="32"/>
          <w:szCs w:val="32"/>
        </w:rPr>
        <w:t>工资、保险增加，</w:t>
      </w:r>
      <w:r>
        <w:rPr>
          <w:rFonts w:hint="eastAsia" w:ascii="仿宋_GB2312" w:hAnsi="仿宋" w:eastAsia="仿宋_GB2312"/>
          <w:sz w:val="32"/>
          <w:szCs w:val="32"/>
        </w:rPr>
        <w:t xml:space="preserve">预算额度相应增加。  </w:t>
      </w:r>
    </w:p>
    <w:p>
      <w:r>
        <w:rPr>
          <w:rFonts w:ascii="黑体" w:hAnsi="黑体" w:eastAsia="黑体"/>
          <w:color w:val="000000"/>
        </w:rPr>
        <w:object>
          <v:shape id="_x0000_i1025" o:spt="75" type="#_x0000_t75" style="height:255.75pt;width:408.75pt;" o:ole="t" filled="f" o:preferrelative="t" stroked="f" coordsize="21600,21600">
            <v:path/>
            <v:fill on="f" focussize="0,0"/>
            <v:stroke on="f" joinstyle="miter"/>
            <v:imagedata r:id="rId7" o:title=""/>
            <o:lock v:ext="edit" aspectratio="f"/>
            <w10:wrap type="none"/>
            <w10:anchorlock/>
          </v:shape>
          <o:OLEObject Type="Embed" ProgID="Excel.Sheet.8" ShapeID="_x0000_i1025" DrawAspect="Content" ObjectID="_1468075725" r:id="rId6">
            <o:LockedField>false</o:LockedField>
          </o:OLEObject>
        </w:object>
      </w:r>
    </w:p>
    <w:p>
      <w:pPr>
        <w:spacing w:line="600" w:lineRule="exact"/>
        <w:ind w:firstLine="640" w:firstLineChars="200"/>
        <w:jc w:val="left"/>
        <w:rPr>
          <w:rFonts w:ascii="仿宋_GB2312" w:eastAsia="仿宋_GB2312"/>
          <w:color w:val="000000"/>
          <w:sz w:val="32"/>
          <w:szCs w:val="32"/>
        </w:rPr>
      </w:pPr>
    </w:p>
    <w:p>
      <w:pPr>
        <w:pStyle w:val="34"/>
        <w:numPr>
          <w:ilvl w:val="0"/>
          <w:numId w:val="3"/>
        </w:numPr>
        <w:spacing w:line="600" w:lineRule="exact"/>
        <w:ind w:firstLineChars="0"/>
        <w:outlineLvl w:val="1"/>
        <w:rPr>
          <w:rStyle w:val="24"/>
          <w:rFonts w:ascii="黑体" w:hAnsi="黑体" w:eastAsia="黑体"/>
          <w:b w:val="0"/>
        </w:rPr>
      </w:pPr>
      <w:bookmarkStart w:id="40" w:name="_Toc79163611"/>
      <w:bookmarkStart w:id="41" w:name="_Toc15396604"/>
      <w:bookmarkStart w:id="42" w:name="_Toc79163861"/>
      <w:bookmarkStart w:id="43" w:name="_Toc15377206"/>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576"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年本年收入合计61.52万元，其中：一般公共预算财政拨款收入61.52万元，占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_GB2312" w:hAnsi="仿宋" w:eastAsia="仿宋_GB2312"/>
          <w:color w:val="000000"/>
          <w:sz w:val="32"/>
          <w:szCs w:val="32"/>
        </w:rPr>
        <w:t>。</w:t>
      </w:r>
    </w:p>
    <w:p>
      <w:pPr>
        <w:spacing w:line="576" w:lineRule="exact"/>
        <w:ind w:firstLine="640" w:firstLineChars="200"/>
        <w:outlineLvl w:val="1"/>
        <w:rPr>
          <w:rFonts w:ascii="仿宋" w:hAnsi="仿宋" w:eastAsia="仿宋"/>
          <w:color w:val="000000"/>
          <w:sz w:val="32"/>
          <w:szCs w:val="32"/>
        </w:rPr>
      </w:pPr>
    </w:p>
    <w:p>
      <w:pPr>
        <w:pStyle w:val="6"/>
      </w:pPr>
      <w:r>
        <w:rPr>
          <w:rFonts w:ascii="仿宋_GB2312" w:hAnsi="仿宋" w:eastAsia="仿宋_GB2312"/>
          <w:b/>
          <w:bCs/>
          <w:color w:val="000000"/>
        </w:rPr>
        <w:object>
          <v:shape id="_x0000_i1026" o:spt="75" type="#_x0000_t75" style="height:175.5pt;width:323.25pt;" o:ole="t" filled="f" o:preferrelative="t" stroked="f" coordsize="21600,21600">
            <v:path/>
            <v:fill on="f" focussize="0,0"/>
            <v:stroke on="f" joinstyle="miter"/>
            <v:imagedata r:id="rId9" o:title=""/>
            <o:lock v:ext="edit" aspectratio="f"/>
            <w10:wrap type="none"/>
            <w10:anchorlock/>
          </v:shape>
          <o:OLEObject Type="Embed" ProgID="Excel.Sheet.8" ShapeID="_x0000_i1026" DrawAspect="Content" ObjectID="_1468075726" r:id="rId8">
            <o:LockedField>false</o:LockedField>
          </o:OLEObject>
        </w:objec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4"/>
        <w:numPr>
          <w:ilvl w:val="0"/>
          <w:numId w:val="3"/>
        </w:numPr>
        <w:spacing w:line="600" w:lineRule="exact"/>
        <w:ind w:firstLineChars="0"/>
        <w:outlineLvl w:val="1"/>
        <w:rPr>
          <w:rStyle w:val="24"/>
          <w:rFonts w:ascii="黑体" w:hAnsi="黑体" w:eastAsia="黑体"/>
          <w:b w:val="0"/>
        </w:rPr>
      </w:pPr>
      <w:bookmarkStart w:id="44" w:name="_Toc79163862"/>
      <w:bookmarkStart w:id="45" w:name="_Toc15396605"/>
      <w:bookmarkStart w:id="46" w:name="_Toc79163612"/>
      <w:bookmarkStart w:id="47" w:name="_Toc15377207"/>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left="740" w:leftChars="200" w:hanging="320" w:hangingChars="1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年本年支出合计61.52万元，其中：基本支出61.52</w:t>
      </w:r>
    </w:p>
    <w:p>
      <w:pPr>
        <w:spacing w:line="600" w:lineRule="exact"/>
        <w:ind w:left="630" w:leftChars="200" w:hanging="210" w:hangingChars="100"/>
        <w:rPr>
          <w:rFonts w:ascii="仿宋" w:hAnsi="仿宋" w:eastAsia="仿宋"/>
          <w:color w:val="000000"/>
          <w:sz w:val="32"/>
          <w:szCs w:val="32"/>
          <w:shd w:val="pct10" w:color="auto" w:fill="FFFFFF"/>
        </w:rPr>
      </w:pPr>
      <w:r>
        <w:pict>
          <v:shape id="_x0000_s1028" o:spid="_x0000_s1028" o:spt="75" type="#_x0000_t75" style="position:absolute;left:0pt;margin-left:63pt;margin-top:87.35pt;height:132.65pt;width:229.4pt;mso-wrap-distance-bottom:0.15pt;mso-wrap-distance-left:9pt;mso-wrap-distance-right:9pt;mso-wrap-distance-top:0pt;z-index:251659264;mso-width-relative:page;mso-height-relative:page;" o:ole="t" filled="f" o:preferrelative="t" stroked="f" coordsize="21600,21600">
            <v:path/>
            <v:fill on="f" focussize="0,0"/>
            <v:stroke on="f" joinstyle="miter"/>
            <v:imagedata r:id="rId11" o:title=""/>
            <o:lock v:ext="edit" aspectratio="t"/>
            <w10:wrap type="square"/>
          </v:shape>
          <o:OLEObject Type="Embed" ProgID="Excel.Sheet.8" ShapeID="_x0000_s1028" DrawAspect="Content" ObjectID="_1468075727" r:id="rId10">
            <o:LockedField>false</o:LockedField>
          </o:OLEObject>
        </w:pict>
      </w:r>
      <w:r>
        <w:rPr>
          <w:rFonts w:hint="eastAsia" w:ascii="仿宋_GB2312" w:eastAsia="仿宋_GB2312"/>
          <w:sz w:val="32"/>
          <w:szCs w:val="32"/>
        </w:rPr>
        <w:t>万元，占100</w:t>
      </w:r>
      <w:r>
        <w:rPr>
          <w:rFonts w:ascii="仿宋_GB2312" w:eastAsia="仿宋_GB2312"/>
          <w:sz w:val="32"/>
          <w:szCs w:val="32"/>
        </w:rPr>
        <w:t>%</w:t>
      </w:r>
      <w:r>
        <w:rPr>
          <w:rFonts w:hint="eastAsia" w:ascii="仿宋_GB2312" w:eastAsia="仿宋_GB2312"/>
          <w:sz w:val="32"/>
          <w:szCs w:val="32"/>
        </w:rPr>
        <w:t>；项目支出0万元；上缴上级支出</w:t>
      </w:r>
      <w:r>
        <w:rPr>
          <w:rFonts w:ascii="仿宋_GB2312" w:eastAsia="仿宋_GB2312"/>
          <w:sz w:val="32"/>
          <w:szCs w:val="32"/>
        </w:rPr>
        <w:t>0</w:t>
      </w:r>
      <w:r>
        <w:rPr>
          <w:rFonts w:hint="eastAsia" w:ascii="仿宋_GB2312" w:eastAsia="仿宋_GB2312"/>
          <w:sz w:val="32"/>
          <w:szCs w:val="32"/>
        </w:rPr>
        <w:t>万；经营支出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1760" w:firstLineChars="55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outlineLvl w:val="1"/>
        <w:rPr>
          <w:rStyle w:val="24"/>
          <w:rFonts w:ascii="黑体" w:hAnsi="黑体" w:eastAsia="黑体"/>
          <w:b w:val="0"/>
        </w:rPr>
      </w:pPr>
      <w:bookmarkStart w:id="48" w:name="_Toc79163613"/>
      <w:bookmarkStart w:id="49" w:name="_Toc15396606"/>
      <w:bookmarkStart w:id="50" w:name="_Toc15377208"/>
      <w:bookmarkStart w:id="51"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576" w:lineRule="exact"/>
        <w:ind w:firstLine="640" w:firstLineChars="200"/>
        <w:rPr>
          <w:rFonts w:ascii="仿宋_GB2312" w:hAnsi="仿宋" w:eastAsia="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年财政拨款收、支总计61.52万元。与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年相比，财政拨款收、支总计各减少61.51万元。</w:t>
      </w:r>
      <w:r>
        <w:rPr>
          <w:rFonts w:hint="eastAsia" w:ascii="仿宋_GB2312" w:hAnsi="仿宋" w:eastAsia="仿宋_GB2312"/>
          <w:color w:val="000000"/>
          <w:sz w:val="32"/>
          <w:szCs w:val="32"/>
        </w:rPr>
        <w:t>主要变动原因是人员减少。</w:t>
      </w:r>
    </w:p>
    <w:p>
      <w:pPr>
        <w:pStyle w:val="6"/>
      </w:pPr>
      <w:bookmarkStart w:id="52" w:name="OLE_LINK9"/>
      <w:bookmarkStart w:id="53" w:name="OLE_LINK8"/>
      <w:r>
        <w:rPr>
          <w:rFonts w:ascii="黑体" w:hAnsi="黑体" w:eastAsia="黑体"/>
          <w:color w:val="000000"/>
        </w:rPr>
        <w:object>
          <v:shape id="_x0000_i1027" o:spt="75" type="#_x0000_t75" style="height:255.75pt;width:408.75pt;" o:ole="t" filled="f" o:preferrelative="t" stroked="f" coordsize="21600,21600">
            <v:path/>
            <v:fill on="f" focussize="0,0"/>
            <v:stroke on="f" joinstyle="miter"/>
            <v:imagedata r:id="rId13" o:title=""/>
            <o:lock v:ext="edit" aspectratio="f"/>
            <w10:wrap type="none"/>
            <w10:anchorlock/>
          </v:shape>
          <o:OLEObject Type="Embed" ProgID="Excel.Sheet.8" ShapeID="_x0000_i1027" DrawAspect="Content" ObjectID="_1468075728" r:id="rId12">
            <o:LockedField>false</o:LockedField>
          </o:OLEObject>
        </w:object>
      </w:r>
      <w:bookmarkEnd w:id="52"/>
      <w:bookmarkEnd w:id="53"/>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4</w:t>
      </w:r>
      <w:r>
        <w:rPr>
          <w:rFonts w:hint="eastAsia" w:ascii="仿宋" w:hAnsi="仿宋" w:eastAsia="仿宋"/>
          <w:color w:val="000000" w:themeColor="text1"/>
          <w:sz w:val="32"/>
          <w:szCs w:val="32"/>
        </w:rPr>
        <w:t>：财政拨款收、支决算总计变动情况）（柱状图）</w:t>
      </w:r>
    </w:p>
    <w:p>
      <w:pPr>
        <w:spacing w:line="600" w:lineRule="exact"/>
        <w:ind w:firstLine="480" w:firstLineChars="150"/>
        <w:outlineLvl w:val="1"/>
        <w:rPr>
          <w:rStyle w:val="24"/>
          <w:rFonts w:ascii="黑体" w:hAnsi="黑体" w:eastAsia="黑体"/>
          <w:b w:val="0"/>
        </w:rPr>
      </w:pPr>
      <w:bookmarkStart w:id="54" w:name="_Toc79163864"/>
      <w:bookmarkStart w:id="55" w:name="_Toc79163614"/>
      <w:bookmarkStart w:id="56" w:name="_Toc15396607"/>
      <w:bookmarkStart w:id="5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4"/>
      <w:bookmarkEnd w:id="55"/>
      <w:bookmarkEnd w:id="56"/>
      <w:bookmarkEnd w:id="57"/>
    </w:p>
    <w:p>
      <w:pPr>
        <w:spacing w:line="600" w:lineRule="exact"/>
        <w:ind w:firstLine="642" w:firstLineChars="200"/>
        <w:outlineLvl w:val="2"/>
        <w:rPr>
          <w:rFonts w:ascii="仿宋" w:hAnsi="仿宋" w:eastAsia="仿宋"/>
          <w:b/>
          <w:color w:val="000000"/>
          <w:sz w:val="32"/>
          <w:szCs w:val="32"/>
        </w:rPr>
      </w:pPr>
      <w:bookmarkStart w:id="58" w:name="_Toc79163615"/>
      <w:bookmarkStart w:id="59" w:name="_Toc79163865"/>
      <w:bookmarkStart w:id="60" w:name="_Toc15377210"/>
      <w:r>
        <w:rPr>
          <w:rFonts w:hint="eastAsia" w:ascii="仿宋" w:hAnsi="仿宋" w:eastAsia="仿宋"/>
          <w:b/>
          <w:color w:val="000000"/>
          <w:sz w:val="32"/>
          <w:szCs w:val="32"/>
        </w:rPr>
        <w:t>（一）一般公共预算财政拨款支出决算总体情况</w:t>
      </w:r>
      <w:bookmarkEnd w:id="58"/>
      <w:bookmarkEnd w:id="59"/>
      <w:bookmarkEnd w:id="60"/>
    </w:p>
    <w:p>
      <w:pPr>
        <w:spacing w:line="600" w:lineRule="exact"/>
        <w:ind w:firstLine="640" w:firstLineChars="200"/>
        <w:rPr>
          <w:rFonts w:ascii="仿宋" w:hAnsi="仿宋" w:eastAsia="仿宋"/>
          <w:color w:val="000000"/>
          <w:sz w:val="32"/>
          <w:szCs w:val="32"/>
        </w:rPr>
      </w:pPr>
      <w:r>
        <w:rPr>
          <w:rFonts w:ascii="仿宋" w:hAnsi="仿宋" w:eastAsia="仿宋"/>
          <w:color w:val="000000" w:themeColor="text1"/>
          <w:sz w:val="32"/>
          <w:szCs w:val="32"/>
        </w:rPr>
        <w:t>2020</w:t>
      </w:r>
      <w:r>
        <w:rPr>
          <w:rFonts w:hint="eastAsia" w:ascii="仿宋" w:hAnsi="仿宋" w:eastAsia="仿宋"/>
          <w:color w:val="000000" w:themeColor="text1"/>
          <w:sz w:val="32"/>
          <w:szCs w:val="32"/>
        </w:rPr>
        <w:t>年一般公共预算财政拨款支出61.52万元，占本年支出合计的</w:t>
      </w:r>
      <w:r>
        <w:rPr>
          <w:rFonts w:ascii="仿宋" w:hAnsi="仿宋" w:eastAsia="仿宋"/>
          <w:color w:val="000000" w:themeColor="text1"/>
          <w:sz w:val="32"/>
          <w:szCs w:val="32"/>
        </w:rPr>
        <w:t>100%</w:t>
      </w:r>
      <w:r>
        <w:rPr>
          <w:rFonts w:hint="eastAsia" w:ascii="仿宋" w:hAnsi="仿宋" w:eastAsia="仿宋"/>
          <w:color w:val="000000" w:themeColor="text1"/>
          <w:sz w:val="32"/>
          <w:szCs w:val="32"/>
        </w:rPr>
        <w:t>。与</w:t>
      </w:r>
      <w:r>
        <w:rPr>
          <w:rFonts w:ascii="仿宋" w:hAnsi="仿宋" w:eastAsia="仿宋"/>
          <w:color w:val="000000" w:themeColor="text1"/>
          <w:sz w:val="32"/>
          <w:szCs w:val="32"/>
        </w:rPr>
        <w:t>2019</w:t>
      </w:r>
      <w:r>
        <w:rPr>
          <w:rFonts w:hint="eastAsia" w:ascii="仿宋" w:hAnsi="仿宋" w:eastAsia="仿宋"/>
          <w:color w:val="000000" w:themeColor="text1"/>
          <w:sz w:val="32"/>
          <w:szCs w:val="32"/>
        </w:rPr>
        <w:t>年相比，一般公共预算财政拨款增加61.52万元，下降50</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。主要变动原因是人员减少</w:t>
      </w:r>
      <w:r>
        <w:rPr>
          <w:rFonts w:hint="eastAsia" w:ascii="仿宋" w:hAnsi="仿宋" w:eastAsia="仿宋"/>
          <w:color w:val="000000"/>
          <w:sz w:val="32"/>
          <w:szCs w:val="32"/>
        </w:rPr>
        <w:t>。</w:t>
      </w:r>
    </w:p>
    <w:p>
      <w:pPr>
        <w:pStyle w:val="6"/>
      </w:pPr>
      <w:r>
        <w:rPr>
          <w:rFonts w:ascii="黑体" w:hAnsi="黑体" w:eastAsia="黑体"/>
          <w:color w:val="000000"/>
        </w:rPr>
        <w:object>
          <v:shape id="_x0000_i1028" o:spt="75" type="#_x0000_t75" style="height:255.75pt;width:408.75pt;" o:ole="t" filled="f" o:preferrelative="t" stroked="f" coordsize="21600,21600">
            <v:path/>
            <v:fill on="f" focussize="0,0"/>
            <v:stroke on="f" joinstyle="miter"/>
            <v:imagedata r:id="rId13" o:title=""/>
            <o:lock v:ext="edit" aspectratio="f"/>
            <w10:wrap type="none"/>
            <w10:anchorlock/>
          </v:shape>
          <o:OLEObject Type="Embed" ProgID="Excel.Sheet.8" ShapeID="_x0000_i1028" DrawAspect="Content" ObjectID="_1468075729" r:id="rId14">
            <o:LockedField>false</o:LockedField>
          </o:OLEObject>
        </w:obje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1" w:name="_Toc79163616"/>
      <w:bookmarkStart w:id="62" w:name="_Toc15377211"/>
      <w:bookmarkStart w:id="63" w:name="_Toc79163866"/>
      <w:r>
        <w:rPr>
          <w:rFonts w:hint="eastAsia" w:ascii="仿宋" w:hAnsi="仿宋" w:eastAsia="仿宋"/>
          <w:b/>
          <w:color w:val="000000"/>
          <w:sz w:val="32"/>
          <w:szCs w:val="32"/>
        </w:rPr>
        <w:t>（二）一般公共预算财政拨款支出决算结构情况</w:t>
      </w:r>
      <w:bookmarkEnd w:id="61"/>
      <w:bookmarkEnd w:id="62"/>
      <w:bookmarkEnd w:id="63"/>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2020</w:t>
      </w:r>
      <w:r>
        <w:rPr>
          <w:rFonts w:hint="eastAsia" w:ascii="仿宋_GB2312" w:hAnsi="仿宋" w:eastAsia="仿宋_GB2312"/>
          <w:color w:val="000000"/>
          <w:sz w:val="32"/>
          <w:szCs w:val="32"/>
        </w:rPr>
        <w:t>年一般公共预算财政拨款支出61.52万元，主要用于以下方面</w:t>
      </w:r>
      <w:r>
        <w:rPr>
          <w:rFonts w:ascii="仿宋_GB2312" w:hAnsi="仿宋" w:eastAsia="仿宋_GB2312"/>
          <w:color w:val="000000"/>
          <w:sz w:val="32"/>
          <w:szCs w:val="32"/>
        </w:rPr>
        <w:t>:</w:t>
      </w:r>
      <w:r>
        <w:rPr>
          <w:rFonts w:hint="eastAsia" w:ascii="仿宋_GB2312" w:hAnsi="仿宋" w:eastAsia="仿宋_GB2312"/>
          <w:color w:val="000000"/>
          <w:sz w:val="32"/>
          <w:szCs w:val="32"/>
        </w:rPr>
        <w:t>一般公共服务支出（类）支出48.31万元，占78.53</w:t>
      </w:r>
      <w:r>
        <w:rPr>
          <w:rFonts w:ascii="仿宋_GB2312" w:hAnsi="仿宋" w:eastAsia="仿宋_GB2312"/>
          <w:color w:val="000000"/>
          <w:sz w:val="32"/>
          <w:szCs w:val="32"/>
        </w:rPr>
        <w:t>%</w:t>
      </w:r>
      <w:r>
        <w:rPr>
          <w:rFonts w:hint="eastAsia" w:ascii="仿宋_GB2312" w:hAnsi="仿宋" w:eastAsia="仿宋_GB2312"/>
          <w:color w:val="000000"/>
          <w:sz w:val="32"/>
          <w:szCs w:val="32"/>
        </w:rPr>
        <w:t>；社会保障和就业（类）支出6.19万元，占10.06</w:t>
      </w:r>
      <w:r>
        <w:rPr>
          <w:rFonts w:ascii="仿宋_GB2312" w:hAnsi="仿宋" w:eastAsia="仿宋_GB2312"/>
          <w:color w:val="000000"/>
          <w:sz w:val="32"/>
          <w:szCs w:val="32"/>
        </w:rPr>
        <w:t>%</w:t>
      </w:r>
      <w:r>
        <w:rPr>
          <w:rFonts w:hint="eastAsia" w:ascii="仿宋_GB2312" w:hAnsi="仿宋" w:eastAsia="仿宋_GB2312"/>
          <w:color w:val="000000"/>
          <w:sz w:val="32"/>
          <w:szCs w:val="32"/>
        </w:rPr>
        <w:t>；卫生健康（类）支出2.77万元，占4.5</w:t>
      </w:r>
      <w:r>
        <w:rPr>
          <w:rFonts w:ascii="仿宋_GB2312" w:hAnsi="仿宋" w:eastAsia="仿宋_GB2312"/>
          <w:color w:val="000000"/>
          <w:sz w:val="32"/>
          <w:szCs w:val="32"/>
        </w:rPr>
        <w:t>%</w:t>
      </w:r>
      <w:r>
        <w:rPr>
          <w:rFonts w:hint="eastAsia" w:ascii="仿宋_GB2312" w:hAnsi="仿宋" w:eastAsia="仿宋_GB2312"/>
          <w:color w:val="000000"/>
          <w:sz w:val="32"/>
          <w:szCs w:val="32"/>
        </w:rPr>
        <w:t>；住房保障（类）支出4.25万元，占6.91</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pPr>
        <w:pStyle w:val="6"/>
      </w:pPr>
      <w:r>
        <w:rPr>
          <w:rFonts w:ascii="仿宋_GB2312" w:hAnsi="仿宋" w:eastAsia="仿宋_GB2312"/>
          <w:b/>
          <w:bCs/>
          <w:color w:val="000000"/>
        </w:rPr>
        <w:object>
          <v:shape id="_x0000_i1029" o:spt="75" type="#_x0000_t75" style="height:203.25pt;width:468.75pt;" o:ole="t" filled="f" o:preferrelative="t" stroked="f" coordsize="21600,21600">
            <v:path/>
            <v:fill on="f" focussize="0,0"/>
            <v:stroke on="f" joinstyle="miter"/>
            <v:imagedata r:id="rId16" o:title=""/>
            <o:lock v:ext="edit" aspectratio="f"/>
            <w10:wrap type="none"/>
            <w10:anchorlock/>
          </v:shape>
          <o:OLEObject Type="Embed" ProgID="Excel.Sheet.8" ShapeID="_x0000_i1029" DrawAspect="Content" ObjectID="_1468075730" r:id="rId15">
            <o:LockedField>false</o:LockedField>
          </o:OLEObject>
        </w:obje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2" w:firstLineChars="200"/>
        <w:outlineLvl w:val="2"/>
        <w:rPr>
          <w:rFonts w:ascii="仿宋" w:hAnsi="仿宋" w:eastAsia="仿宋"/>
          <w:b/>
          <w:color w:val="000000"/>
          <w:sz w:val="32"/>
          <w:szCs w:val="32"/>
        </w:rPr>
      </w:pPr>
      <w:bookmarkStart w:id="64" w:name="_Toc79163867"/>
      <w:bookmarkStart w:id="65" w:name="_Toc79163617"/>
      <w:bookmarkStart w:id="66" w:name="_Toc15377212"/>
      <w:r>
        <w:rPr>
          <w:rFonts w:hint="eastAsia" w:ascii="仿宋" w:hAnsi="仿宋" w:eastAsia="仿宋"/>
          <w:b/>
          <w:color w:val="000000"/>
          <w:sz w:val="32"/>
          <w:szCs w:val="32"/>
        </w:rPr>
        <w:t>（三）一般公共预算财政拨款支出决算具体情况</w:t>
      </w:r>
      <w:bookmarkEnd w:id="64"/>
      <w:bookmarkEnd w:id="65"/>
      <w:bookmarkEnd w:id="66"/>
    </w:p>
    <w:p>
      <w:pPr>
        <w:spacing w:line="600" w:lineRule="exact"/>
        <w:ind w:firstLine="642" w:firstLineChars="200"/>
        <w:rPr>
          <w:rFonts w:ascii="仿宋_GB2312" w:eastAsia="仿宋_GB2312"/>
          <w:b/>
          <w:bCs/>
          <w:sz w:val="32"/>
          <w:szCs w:val="32"/>
        </w:rPr>
      </w:pPr>
      <w:bookmarkStart w:id="67" w:name="_Toc15377213"/>
      <w:bookmarkStart w:id="68" w:name="_Toc15378460"/>
      <w:bookmarkStart w:id="69" w:name="_Toc15377444"/>
      <w:r>
        <w:rPr>
          <w:rFonts w:ascii="仿宋_GB2312" w:eastAsia="仿宋_GB2312"/>
          <w:b/>
          <w:bCs/>
          <w:sz w:val="32"/>
          <w:szCs w:val="32"/>
        </w:rPr>
        <w:t>2020</w:t>
      </w:r>
      <w:r>
        <w:rPr>
          <w:rFonts w:hint="eastAsia" w:ascii="仿宋_GB2312" w:eastAsia="仿宋_GB2312"/>
          <w:b/>
          <w:bCs/>
          <w:sz w:val="32"/>
          <w:szCs w:val="32"/>
        </w:rPr>
        <w:t>年一般公共预算支出决算数为61.52万元，完成预算</w:t>
      </w:r>
      <w:r>
        <w:rPr>
          <w:rFonts w:ascii="仿宋_GB2312" w:eastAsia="仿宋_GB2312"/>
          <w:b/>
          <w:bCs/>
          <w:sz w:val="32"/>
          <w:szCs w:val="32"/>
        </w:rPr>
        <w:t>100%</w:t>
      </w:r>
      <w:r>
        <w:rPr>
          <w:rFonts w:hint="eastAsia" w:ascii="仿宋_GB2312" w:eastAsia="仿宋_GB2312"/>
          <w:b/>
          <w:bCs/>
          <w:sz w:val="32"/>
          <w:szCs w:val="32"/>
        </w:rPr>
        <w:t>。其中：</w:t>
      </w:r>
      <w:bookmarkEnd w:id="67"/>
      <w:bookmarkEnd w:id="68"/>
      <w:bookmarkEnd w:id="69"/>
    </w:p>
    <w:p>
      <w:pPr>
        <w:spacing w:line="576" w:lineRule="exact"/>
        <w:ind w:firstLine="640"/>
        <w:rPr>
          <w:bCs/>
          <w:sz w:val="32"/>
          <w:szCs w:val="32"/>
        </w:rPr>
      </w:pPr>
      <w:bookmarkStart w:id="70" w:name="_Toc15377214"/>
      <w:bookmarkStart w:id="71" w:name="_Toc79163618"/>
      <w:bookmarkStart w:id="72" w:name="_Toc79163868"/>
      <w:bookmarkStart w:id="73" w:name="_Toc15396608"/>
      <w:r>
        <w:rPr>
          <w:bCs/>
          <w:sz w:val="32"/>
          <w:szCs w:val="32"/>
        </w:rPr>
        <w:t>1.</w:t>
      </w:r>
      <w:r>
        <w:rPr>
          <w:rFonts w:hint="eastAsia"/>
          <w:bCs/>
          <w:sz w:val="32"/>
          <w:szCs w:val="32"/>
        </w:rPr>
        <w:t>一般公共服务（类）民主党派及工商联事务（款）行政运行（项）</w:t>
      </w:r>
      <w:r>
        <w:rPr>
          <w:bCs/>
          <w:sz w:val="32"/>
          <w:szCs w:val="32"/>
        </w:rPr>
        <w:t xml:space="preserve">: </w:t>
      </w:r>
      <w:r>
        <w:rPr>
          <w:rFonts w:hint="eastAsia"/>
          <w:bCs/>
          <w:sz w:val="32"/>
          <w:szCs w:val="32"/>
        </w:rPr>
        <w:t>支出决算为48.31万元，完成预算</w:t>
      </w:r>
      <w:r>
        <w:rPr>
          <w:bCs/>
          <w:sz w:val="32"/>
          <w:szCs w:val="32"/>
        </w:rPr>
        <w:t>100%</w:t>
      </w:r>
      <w:r>
        <w:rPr>
          <w:rFonts w:hint="eastAsia"/>
          <w:bCs/>
          <w:sz w:val="32"/>
          <w:szCs w:val="32"/>
        </w:rPr>
        <w:t>。</w:t>
      </w:r>
    </w:p>
    <w:p>
      <w:pPr>
        <w:spacing w:line="576" w:lineRule="exact"/>
        <w:ind w:firstLine="640"/>
        <w:rPr>
          <w:bCs/>
          <w:sz w:val="32"/>
          <w:szCs w:val="32"/>
        </w:rPr>
      </w:pPr>
      <w:r>
        <w:rPr>
          <w:bCs/>
          <w:sz w:val="32"/>
          <w:szCs w:val="32"/>
        </w:rPr>
        <w:t>2.</w:t>
      </w:r>
      <w:r>
        <w:rPr>
          <w:rFonts w:hint="eastAsia"/>
          <w:bCs/>
          <w:sz w:val="32"/>
          <w:szCs w:val="32"/>
        </w:rPr>
        <w:t>社会保障和就业（类）行政事业单位离退休（款）机关事业单位基本养老保险缴费支出（项）</w:t>
      </w:r>
      <w:r>
        <w:rPr>
          <w:bCs/>
          <w:sz w:val="32"/>
          <w:szCs w:val="32"/>
        </w:rPr>
        <w:t xml:space="preserve">: </w:t>
      </w:r>
      <w:r>
        <w:rPr>
          <w:rFonts w:hint="eastAsia"/>
          <w:bCs/>
          <w:sz w:val="32"/>
          <w:szCs w:val="32"/>
        </w:rPr>
        <w:t>支出决算为4.21万元，完成预算</w:t>
      </w:r>
      <w:r>
        <w:rPr>
          <w:bCs/>
          <w:sz w:val="32"/>
          <w:szCs w:val="32"/>
        </w:rPr>
        <w:t>100%</w:t>
      </w:r>
      <w:r>
        <w:rPr>
          <w:rFonts w:hint="eastAsia"/>
          <w:bCs/>
          <w:sz w:val="32"/>
          <w:szCs w:val="32"/>
        </w:rPr>
        <w:t>。</w:t>
      </w:r>
    </w:p>
    <w:p>
      <w:pPr>
        <w:spacing w:line="576" w:lineRule="exact"/>
        <w:ind w:firstLine="640"/>
        <w:rPr>
          <w:rFonts w:ascii="仿宋_GB2312" w:eastAsia="仿宋_GB2312"/>
          <w:b/>
          <w:bCs/>
          <w:sz w:val="32"/>
          <w:szCs w:val="32"/>
        </w:rPr>
      </w:pPr>
      <w:r>
        <w:rPr>
          <w:bCs/>
          <w:sz w:val="32"/>
          <w:szCs w:val="32"/>
        </w:rPr>
        <w:t>3.</w:t>
      </w:r>
      <w:r>
        <w:rPr>
          <w:rFonts w:hint="eastAsia"/>
          <w:bCs/>
          <w:sz w:val="32"/>
          <w:szCs w:val="32"/>
        </w:rPr>
        <w:t>社会保障和就业（类）行政事业单位离退休（款）机关事业单位职业年金缴费支出（项）</w:t>
      </w:r>
      <w:r>
        <w:rPr>
          <w:bCs/>
          <w:sz w:val="32"/>
          <w:szCs w:val="32"/>
        </w:rPr>
        <w:t xml:space="preserve">: </w:t>
      </w:r>
      <w:r>
        <w:rPr>
          <w:rFonts w:hint="eastAsia"/>
          <w:bCs/>
          <w:sz w:val="32"/>
          <w:szCs w:val="32"/>
        </w:rPr>
        <w:t>支出决算为1.98万元，完成预算</w:t>
      </w:r>
      <w:r>
        <w:rPr>
          <w:bCs/>
          <w:sz w:val="32"/>
          <w:szCs w:val="32"/>
        </w:rPr>
        <w:t>100%</w:t>
      </w:r>
      <w:r>
        <w:rPr>
          <w:rFonts w:hint="eastAsia"/>
          <w:bCs/>
          <w:sz w:val="32"/>
          <w:szCs w:val="32"/>
        </w:rPr>
        <w:t>。</w:t>
      </w:r>
    </w:p>
    <w:p>
      <w:pPr>
        <w:spacing w:line="576" w:lineRule="exact"/>
        <w:ind w:firstLine="640"/>
        <w:rPr>
          <w:bCs/>
          <w:sz w:val="32"/>
          <w:szCs w:val="32"/>
        </w:rPr>
      </w:pPr>
      <w:r>
        <w:rPr>
          <w:bCs/>
          <w:sz w:val="32"/>
          <w:szCs w:val="32"/>
        </w:rPr>
        <w:t>4.</w:t>
      </w:r>
      <w:r>
        <w:rPr>
          <w:rFonts w:ascii="仿宋_GB2312" w:eastAsia="仿宋_GB2312"/>
          <w:b/>
          <w:bCs/>
          <w:sz w:val="32"/>
          <w:szCs w:val="32"/>
        </w:rPr>
        <w:t xml:space="preserve"> </w:t>
      </w:r>
      <w:r>
        <w:rPr>
          <w:rFonts w:hint="eastAsia" w:ascii="仿宋_GB2312" w:eastAsia="仿宋_GB2312"/>
          <w:b/>
          <w:bCs/>
          <w:sz w:val="32"/>
          <w:szCs w:val="32"/>
        </w:rPr>
        <w:t>卫生健康支出</w:t>
      </w:r>
      <w:r>
        <w:rPr>
          <w:rFonts w:hint="eastAsia"/>
          <w:bCs/>
          <w:sz w:val="32"/>
          <w:szCs w:val="32"/>
        </w:rPr>
        <w:t>（类）行政事业单位医疗（款）行政单位医疗（项）</w:t>
      </w:r>
      <w:r>
        <w:rPr>
          <w:bCs/>
          <w:sz w:val="32"/>
          <w:szCs w:val="32"/>
        </w:rPr>
        <w:t>:</w:t>
      </w:r>
      <w:r>
        <w:rPr>
          <w:rFonts w:hint="eastAsia"/>
          <w:bCs/>
          <w:sz w:val="32"/>
          <w:szCs w:val="32"/>
        </w:rPr>
        <w:t>支出决算为2.77万元，完成预算</w:t>
      </w:r>
      <w:r>
        <w:rPr>
          <w:bCs/>
          <w:sz w:val="32"/>
          <w:szCs w:val="32"/>
        </w:rPr>
        <w:t>100%</w:t>
      </w:r>
      <w:r>
        <w:rPr>
          <w:rFonts w:hint="eastAsia"/>
          <w:bCs/>
          <w:sz w:val="32"/>
          <w:szCs w:val="32"/>
        </w:rPr>
        <w:t>。</w:t>
      </w:r>
    </w:p>
    <w:p>
      <w:pPr>
        <w:spacing w:line="576" w:lineRule="exact"/>
        <w:ind w:firstLine="640"/>
        <w:rPr>
          <w:rFonts w:ascii="仿宋_GB2312" w:eastAsia="仿宋_GB2312"/>
          <w:b/>
          <w:bCs/>
          <w:sz w:val="32"/>
          <w:szCs w:val="32"/>
        </w:rPr>
      </w:pPr>
      <w:r>
        <w:rPr>
          <w:bCs/>
          <w:sz w:val="32"/>
          <w:szCs w:val="32"/>
        </w:rPr>
        <w:t>5.</w:t>
      </w:r>
      <w:r>
        <w:rPr>
          <w:rFonts w:hint="eastAsia"/>
          <w:bCs/>
          <w:sz w:val="32"/>
          <w:szCs w:val="32"/>
        </w:rPr>
        <w:t>住房保障支出（类）住房改革支出（款）住房公积金（项）</w:t>
      </w:r>
      <w:r>
        <w:rPr>
          <w:bCs/>
          <w:sz w:val="32"/>
          <w:szCs w:val="32"/>
        </w:rPr>
        <w:t xml:space="preserve">: </w:t>
      </w:r>
      <w:r>
        <w:rPr>
          <w:rFonts w:hint="eastAsia"/>
          <w:bCs/>
          <w:sz w:val="32"/>
          <w:szCs w:val="32"/>
        </w:rPr>
        <w:t>支出决算为4.25万元，完成预算</w:t>
      </w:r>
      <w:r>
        <w:rPr>
          <w:bCs/>
          <w:sz w:val="32"/>
          <w:szCs w:val="32"/>
        </w:rPr>
        <w:t>100%</w:t>
      </w:r>
      <w:r>
        <w:rPr>
          <w:rFonts w:hint="eastAsia"/>
          <w:bCs/>
          <w:sz w:val="32"/>
          <w:szCs w:val="32"/>
        </w:rPr>
        <w:t>。</w:t>
      </w:r>
    </w:p>
    <w:p>
      <w:pPr>
        <w:tabs>
          <w:tab w:val="right" w:pos="8306"/>
        </w:tabs>
        <w:spacing w:line="600" w:lineRule="exact"/>
        <w:ind w:firstLine="640"/>
        <w:outlineLvl w:val="1"/>
        <w:rPr>
          <w:rStyle w:val="24"/>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70"/>
      <w:bookmarkEnd w:id="71"/>
      <w:bookmarkEnd w:id="72"/>
      <w:bookmarkEnd w:id="73"/>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年一般公共预算财政拨款基本支出61.52万元，其中：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人员经费57.93万元，主要包括：基本工资、津贴补贴、绩效工资、机关事业单位基本养老保险缴费、职业年金缴费、其他社会保障缴费、职工基本医疗保险缴费、医疗费补助、奖励金、住房公积金支出等。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日常公用经费3.59万元，主要包括：办公费、电费、邮电费、差旅费、维修（护）费、劳务费、公务用车运行维护费等。</w:t>
      </w:r>
    </w:p>
    <w:p>
      <w:pPr>
        <w:spacing w:line="600" w:lineRule="exact"/>
        <w:ind w:firstLine="640"/>
        <w:outlineLvl w:val="1"/>
        <w:rPr>
          <w:rStyle w:val="24"/>
          <w:rFonts w:ascii="黑体" w:hAnsi="黑体" w:eastAsia="黑体"/>
          <w:b w:val="0"/>
        </w:rPr>
      </w:pPr>
      <w:bookmarkStart w:id="74" w:name="_Toc15396609"/>
      <w:bookmarkStart w:id="75" w:name="_Toc15377215"/>
      <w:bookmarkStart w:id="76" w:name="_Toc79163869"/>
      <w:bookmarkStart w:id="77" w:name="_Toc7916361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4"/>
      <w:bookmarkEnd w:id="75"/>
      <w:bookmarkEnd w:id="76"/>
      <w:bookmarkEnd w:id="77"/>
    </w:p>
    <w:p>
      <w:pPr>
        <w:spacing w:line="600" w:lineRule="exact"/>
        <w:ind w:firstLine="640"/>
        <w:outlineLvl w:val="2"/>
        <w:rPr>
          <w:rFonts w:ascii="仿宋" w:hAnsi="仿宋" w:eastAsia="仿宋"/>
          <w:b/>
          <w:color w:val="000000"/>
          <w:sz w:val="32"/>
          <w:szCs w:val="32"/>
        </w:rPr>
      </w:pPr>
      <w:bookmarkStart w:id="78" w:name="_Toc79163620"/>
      <w:bookmarkStart w:id="79" w:name="_Toc15377216"/>
      <w:bookmarkStart w:id="80" w:name="_Toc79163870"/>
      <w:r>
        <w:rPr>
          <w:rFonts w:hint="eastAsia" w:ascii="仿宋" w:hAnsi="仿宋" w:eastAsia="仿宋"/>
          <w:b/>
          <w:color w:val="000000"/>
          <w:sz w:val="32"/>
          <w:szCs w:val="32"/>
        </w:rPr>
        <w:t>（一）“三公”经费财政拨款支出决算总体情况说明</w:t>
      </w:r>
      <w:bookmarkEnd w:id="78"/>
      <w:bookmarkEnd w:id="79"/>
      <w:bookmarkEnd w:id="80"/>
    </w:p>
    <w:p>
      <w:pPr>
        <w:snapToGrid w:val="0"/>
        <w:spacing w:line="520" w:lineRule="exact"/>
        <w:ind w:firstLine="640" w:firstLineChars="200"/>
        <w:rPr>
          <w:rFonts w:ascii="仿宋_GB2312" w:hAnsi="仿宋" w:eastAsia="仿宋_GB2312"/>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w:t>
      </w:r>
      <w:bookmarkStart w:id="81" w:name="_Toc79163871"/>
      <w:bookmarkStart w:id="82" w:name="_Toc79163621"/>
      <w:bookmarkStart w:id="83" w:name="_Toc15377217"/>
      <w:r>
        <w:rPr>
          <w:rFonts w:hint="eastAsia" w:ascii="仿宋_GB2312" w:hAnsi="仿宋" w:eastAsia="仿宋_GB2312"/>
          <w:sz w:val="32"/>
          <w:szCs w:val="32"/>
        </w:rPr>
        <w:t>今年支出比去年减少</w:t>
      </w:r>
      <w:r>
        <w:rPr>
          <w:rFonts w:ascii="仿宋_GB2312" w:hAnsi="仿宋" w:eastAsia="仿宋_GB2312"/>
          <w:sz w:val="32"/>
          <w:szCs w:val="32"/>
        </w:rPr>
        <w:t>0.12</w:t>
      </w:r>
      <w:r>
        <w:rPr>
          <w:rFonts w:hint="eastAsia" w:ascii="仿宋_GB2312" w:hAnsi="仿宋" w:eastAsia="仿宋_GB2312"/>
          <w:sz w:val="32"/>
          <w:szCs w:val="32"/>
        </w:rPr>
        <w:t>万元，主要原因是厉行节约。</w:t>
      </w:r>
    </w:p>
    <w:p>
      <w:pPr>
        <w:pStyle w:val="6"/>
      </w:pPr>
      <w:r>
        <w:rPr>
          <w:rFonts w:ascii="仿宋_GB2312" w:hAnsi="仿宋" w:eastAsia="仿宋_GB2312"/>
          <w:b/>
          <w:bCs/>
          <w:color w:val="000000"/>
        </w:rPr>
        <w:object>
          <v:shape id="_x0000_i1030" o:spt="75" type="#_x0000_t75" style="height:262.5pt;width:447.75pt;" o:ole="t" filled="f" o:preferrelative="t" stroked="f" coordsize="21600,21600">
            <v:path/>
            <v:fill on="f" focussize="0,0"/>
            <v:stroke on="f" joinstyle="miter"/>
            <v:imagedata r:id="rId18" o:title=""/>
            <o:lock v:ext="edit" aspectratio="f"/>
            <w10:wrap type="none"/>
            <w10:anchorlock/>
          </v:shape>
          <o:OLEObject Type="Embed" ProgID="Excel.Sheet.8" ShapeID="_x0000_i1030" DrawAspect="Content" ObjectID="_1468075731" r:id="rId17">
            <o:LockedField>false</o:LockedField>
          </o:OLEObject>
        </w:object>
      </w:r>
    </w:p>
    <w:p>
      <w:pPr>
        <w:snapToGrid w:val="0"/>
        <w:spacing w:line="520" w:lineRule="exact"/>
        <w:ind w:firstLine="640" w:firstLineChars="200"/>
        <w:rPr>
          <w:rFonts w:ascii="仿宋_GB2312" w:hAnsi="仿宋" w:eastAsia="仿宋_GB2312"/>
          <w:sz w:val="32"/>
          <w:szCs w:val="32"/>
        </w:rPr>
      </w:pP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81"/>
      <w:bookmarkEnd w:id="82"/>
      <w:bookmarkEnd w:id="8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万元；公务用车购置及运行维护费支出决算0万元，占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万元。具体情况如下：</w:t>
      </w:r>
      <w:r>
        <w:pict>
          <v:shape id="_x0000_s1032" o:spid="_x0000_s1032" o:spt="75" type="#_x0000_t75" style="position:absolute;left:0pt;margin-left:1.3pt;margin-top:23.65pt;height:196.95pt;width:425.7pt;mso-wrap-distance-bottom:0.15pt;mso-wrap-distance-left:9pt;mso-wrap-distance-right:9pt;mso-wrap-distance-top:0pt;z-index:251660288;mso-width-relative:page;mso-height-relative:page;" o:ole="t" filled="f" o:preferrelative="t" stroked="f" coordsize="21600,21600">
            <v:path/>
            <v:fill on="f" focussize="0,0"/>
            <v:stroke on="f" joinstyle="miter"/>
            <v:imagedata r:id="rId20" o:title=""/>
            <o:lock v:ext="edit" aspectratio="t"/>
            <w10:wrap type="square"/>
          </v:shape>
          <o:OLEObject Type="Embed" ProgID="Excel.Sheet.8" ShapeID="_x0000_s1032" DrawAspect="Content" ObjectID="_1468075732" r:id="rId19">
            <o:LockedField>false</o:LockedField>
          </o:OLEObject>
        </w:pict>
      </w:r>
    </w:p>
    <w:p>
      <w:pPr>
        <w:numPr>
          <w:ilvl w:val="0"/>
          <w:numId w:val="4"/>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b/>
          <w:color w:val="000000"/>
          <w:sz w:val="32"/>
          <w:szCs w:val="32"/>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公务用车购置及运行维护费支出决算0万元。主要原因是厉行节约，减少不必要开支。</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0万元。主要用于工业园区管理等所需的公务用车燃料费、维修费、过路过桥费、保险费等支出。</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201</w:t>
      </w:r>
      <w:r>
        <w:rPr>
          <w:rFonts w:hint="eastAsia" w:ascii="仿宋_GB2312" w:eastAsia="仿宋_GB2312"/>
          <w:color w:val="000000"/>
          <w:sz w:val="32"/>
          <w:szCs w:val="32"/>
        </w:rPr>
        <w:t>9年无增减。</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4"/>
          <w:rFonts w:ascii="黑体" w:hAnsi="黑体" w:eastAsia="黑体"/>
        </w:rPr>
      </w:pPr>
      <w:bookmarkStart w:id="84" w:name="_Toc15396610"/>
      <w:bookmarkStart w:id="85" w:name="_Toc79163622"/>
      <w:bookmarkStart w:id="86" w:name="_Toc79163872"/>
      <w:bookmarkStart w:id="87" w:name="_Toc15377218"/>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5"/>
        </w:numPr>
        <w:spacing w:line="600" w:lineRule="exact"/>
        <w:ind w:firstLine="640"/>
        <w:outlineLvl w:val="1"/>
        <w:rPr>
          <w:rStyle w:val="24"/>
          <w:rFonts w:ascii="黑体" w:hAnsi="黑体" w:eastAsia="黑体"/>
          <w:b w:val="0"/>
        </w:rPr>
      </w:pPr>
      <w:bookmarkStart w:id="88" w:name="_Toc79163623"/>
      <w:bookmarkStart w:id="89" w:name="_Toc79163873"/>
      <w:bookmarkStart w:id="90" w:name="_Toc15396611"/>
      <w:bookmarkStart w:id="91" w:name="_Toc15377219"/>
      <w:r>
        <w:rPr>
          <w:rStyle w:val="24"/>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92" w:name="_Toc79163624"/>
      <w:bookmarkStart w:id="93" w:name="_Toc15377221"/>
      <w:bookmarkStart w:id="94" w:name="_Toc79163874"/>
      <w:bookmarkStart w:id="95"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2"/>
      <w:bookmarkEnd w:id="93"/>
      <w:bookmarkEnd w:id="94"/>
      <w:bookmarkEnd w:id="95"/>
    </w:p>
    <w:p>
      <w:pPr>
        <w:spacing w:line="600" w:lineRule="exact"/>
        <w:ind w:firstLine="642" w:firstLineChars="200"/>
        <w:outlineLvl w:val="2"/>
        <w:rPr>
          <w:rFonts w:ascii="仿宋" w:hAnsi="仿宋" w:eastAsia="仿宋"/>
          <w:color w:val="000000"/>
          <w:sz w:val="32"/>
          <w:szCs w:val="32"/>
        </w:rPr>
      </w:pPr>
      <w:bookmarkStart w:id="96" w:name="_Toc15377222"/>
      <w:bookmarkStart w:id="97" w:name="_Toc79163875"/>
      <w:bookmarkStart w:id="98" w:name="_Toc79163625"/>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ascii="仿宋" w:hAnsi="仿宋" w:eastAsia="仿宋_GB2312"/>
          <w:b/>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年，茂县工商业联合会机关运行经费3.59万元。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9" w:name="_Toc79163626"/>
      <w:bookmarkStart w:id="100" w:name="_Toc79163876"/>
      <w:bookmarkStart w:id="101" w:name="_Toc15377223"/>
      <w:r>
        <w:rPr>
          <w:rFonts w:hint="eastAsia" w:ascii="仿宋" w:hAnsi="仿宋" w:eastAsia="仿宋"/>
          <w:b/>
          <w:color w:val="000000"/>
          <w:sz w:val="32"/>
          <w:szCs w:val="32"/>
        </w:rPr>
        <w:t>（二）政府采购支出情况</w:t>
      </w:r>
      <w:bookmarkEnd w:id="99"/>
      <w:bookmarkEnd w:id="100"/>
      <w:bookmarkEnd w:id="10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年，茂县工商业联合会政府采购支出总额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2" w:name="_Toc79163877"/>
      <w:bookmarkStart w:id="103" w:name="_Toc79163627"/>
      <w:bookmarkStart w:id="104" w:name="_Toc15377224"/>
      <w:r>
        <w:rPr>
          <w:rFonts w:hint="eastAsia" w:ascii="仿宋" w:hAnsi="仿宋" w:eastAsia="仿宋"/>
          <w:b/>
          <w:color w:val="000000"/>
          <w:sz w:val="32"/>
          <w:szCs w:val="32"/>
        </w:rPr>
        <w:t>（三）国有资产占有使用情况</w:t>
      </w:r>
      <w:bookmarkEnd w:id="102"/>
      <w:bookmarkEnd w:id="103"/>
      <w:bookmarkEnd w:id="10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日，茂县工商业联合会共有车辆0辆，其中：主要领导干部用车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3</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5" w:name="_Toc79163878"/>
      <w:bookmarkStart w:id="106" w:name="_Toc79163628"/>
      <w:r>
        <w:rPr>
          <w:rFonts w:hint="eastAsia" w:ascii="仿宋" w:hAnsi="仿宋" w:eastAsia="仿宋"/>
          <w:b/>
          <w:color w:val="000000"/>
          <w:sz w:val="32"/>
          <w:szCs w:val="32"/>
        </w:rPr>
        <w:t>（四）预算绩效管理情况</w:t>
      </w:r>
      <w:bookmarkEnd w:id="105"/>
      <w:bookmarkEnd w:id="106"/>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本单位按要求对</w:t>
      </w:r>
      <w:r>
        <w:rPr>
          <w:rFonts w:ascii="仿宋_GB2312" w:eastAsia="仿宋_GB2312"/>
          <w:color w:val="000000"/>
          <w:sz w:val="32"/>
          <w:szCs w:val="32"/>
        </w:rPr>
        <w:t>2020</w:t>
      </w:r>
      <w:r>
        <w:rPr>
          <w:rFonts w:hint="eastAsia" w:ascii="仿宋_GB2312" w:eastAsia="仿宋_GB2312"/>
          <w:color w:val="000000"/>
          <w:sz w:val="32"/>
          <w:szCs w:val="32"/>
        </w:rPr>
        <w:t>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2020</w:t>
      </w:r>
      <w:r>
        <w:rPr>
          <w:rFonts w:hint="eastAsia" w:ascii="仿宋_GB2312" w:eastAsia="仿宋_GB2312"/>
          <w:color w:val="000000"/>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本单位无专项预算项目，因此本单位未组织开展项目支出绩效评价。</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themeColor="text1"/>
          <w:sz w:val="32"/>
          <w:szCs w:val="32"/>
        </w:rPr>
        <w:t>部门绩效评价结果:</w:t>
      </w:r>
      <w:r>
        <w:rPr>
          <w:rFonts w:hint="eastAsia" w:ascii="仿宋_GB2312" w:eastAsia="仿宋_GB2312"/>
          <w:color w:val="000000"/>
          <w:sz w:val="32"/>
          <w:szCs w:val="32"/>
        </w:rPr>
        <w:t>本单位按要求对</w:t>
      </w:r>
      <w:r>
        <w:rPr>
          <w:rFonts w:ascii="仿宋_GB2312" w:eastAsia="仿宋_GB2312"/>
          <w:color w:val="000000"/>
          <w:sz w:val="32"/>
          <w:szCs w:val="32"/>
        </w:rPr>
        <w:t>2020</w:t>
      </w:r>
      <w:r>
        <w:rPr>
          <w:rFonts w:hint="eastAsia" w:ascii="仿宋_GB2312" w:eastAsia="仿宋_GB2312"/>
          <w:color w:val="000000"/>
          <w:sz w:val="32"/>
          <w:szCs w:val="32"/>
        </w:rPr>
        <w:t>年部门整体支出绩效评价情况开展自评，我单位整体支出绩效评价自查自评结果良好，全年基本支出保证了部门的正常运行和日常工作的正常开展，达到预期绩效目标，按照</w:t>
      </w:r>
      <w:r>
        <w:rPr>
          <w:rFonts w:ascii="仿宋_GB2312" w:eastAsia="仿宋_GB2312"/>
          <w:color w:val="000000"/>
          <w:sz w:val="32"/>
          <w:szCs w:val="32"/>
        </w:rPr>
        <w:t>2020</w:t>
      </w:r>
      <w:r>
        <w:rPr>
          <w:rFonts w:hint="eastAsia" w:ascii="仿宋_GB2312" w:eastAsia="仿宋_GB2312"/>
          <w:color w:val="000000"/>
          <w:sz w:val="32"/>
          <w:szCs w:val="32"/>
        </w:rPr>
        <w:t>年单位整体支出绩效评价指标体系自评得分87分。《茂县工商业联合会</w:t>
      </w:r>
      <w:r>
        <w:rPr>
          <w:rFonts w:ascii="仿宋_GB2312" w:eastAsia="仿宋_GB2312"/>
          <w:color w:val="000000"/>
          <w:sz w:val="32"/>
          <w:szCs w:val="32"/>
        </w:rPr>
        <w:t>2020</w:t>
      </w:r>
      <w:r>
        <w:rPr>
          <w:rFonts w:hint="eastAsia" w:ascii="仿宋_GB2312" w:eastAsia="仿宋_GB2312"/>
          <w:color w:val="000000"/>
          <w:sz w:val="32"/>
          <w:szCs w:val="32"/>
        </w:rPr>
        <w:t>年部门整体支出绩效评价报告》见附件。</w:t>
      </w: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numPr>
          <w:ilvl w:val="0"/>
          <w:numId w:val="6"/>
        </w:numPr>
        <w:spacing w:line="600" w:lineRule="exact"/>
        <w:ind w:firstLine="660" w:firstLineChars="150"/>
        <w:jc w:val="center"/>
        <w:outlineLvl w:val="0"/>
        <w:rPr>
          <w:rStyle w:val="23"/>
          <w:rFonts w:ascii="黑体" w:hAnsi="黑体" w:eastAsia="黑体"/>
          <w:b w:val="0"/>
        </w:rPr>
      </w:pPr>
      <w:bookmarkStart w:id="107" w:name="_Toc79163629"/>
      <w:bookmarkStart w:id="108" w:name="_Toc15377225"/>
      <w:bookmarkStart w:id="109" w:name="_Toc15396613"/>
      <w:bookmarkStart w:id="110" w:name="_Toc79163879"/>
      <w:r>
        <w:rPr>
          <w:rFonts w:hint="eastAsia" w:ascii="黑体" w:hAnsi="黑体" w:eastAsia="黑体"/>
          <w:color w:val="000000"/>
          <w:sz w:val="44"/>
          <w:szCs w:val="44"/>
        </w:rPr>
        <w:t>名</w:t>
      </w:r>
      <w:r>
        <w:rPr>
          <w:rStyle w:val="23"/>
          <w:rFonts w:hint="eastAsia" w:ascii="黑体" w:hAnsi="黑体" w:eastAsia="黑体"/>
          <w:b w:val="0"/>
        </w:rPr>
        <w:t>词解释</w:t>
      </w:r>
      <w:bookmarkEnd w:id="107"/>
      <w:bookmarkEnd w:id="108"/>
      <w:bookmarkEnd w:id="109"/>
      <w:bookmarkEnd w:id="110"/>
    </w:p>
    <w:p>
      <w:pPr>
        <w:spacing w:line="600" w:lineRule="exact"/>
        <w:jc w:val="left"/>
        <w:rPr>
          <w:rFonts w:ascii="宋体"/>
          <w:b/>
          <w:color w:val="000000"/>
          <w:sz w:val="44"/>
          <w:szCs w:val="44"/>
        </w:rPr>
      </w:pPr>
    </w:p>
    <w:p>
      <w:pPr>
        <w:pStyle w:val="33"/>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76"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3"/>
        <w:spacing w:line="560" w:lineRule="exact"/>
        <w:ind w:firstLine="640" w:firstLineChars="200"/>
        <w:rPr>
          <w:rFonts w:ascii="仿宋_GB2312" w:eastAsia="仿宋_GB2312" w:cs="黑体"/>
          <w:sz w:val="32"/>
          <w:szCs w:val="32"/>
        </w:rPr>
      </w:pPr>
    </w:p>
    <w:p>
      <w:pPr>
        <w:spacing w:line="600" w:lineRule="exact"/>
        <w:outlineLvl w:val="0"/>
        <w:rPr>
          <w:rFonts w:ascii="宋体"/>
          <w:b/>
          <w:color w:val="000000"/>
          <w:sz w:val="44"/>
          <w:szCs w:val="44"/>
        </w:rPr>
      </w:pPr>
      <w:bookmarkStart w:id="111" w:name="_Toc79163630"/>
      <w:bookmarkStart w:id="112" w:name="_Toc15396614"/>
      <w:bookmarkStart w:id="113" w:name="_Toc79163880"/>
      <w:bookmarkStart w:id="114" w:name="_Toc15377226"/>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bookmarkEnd w:id="111"/>
    <w:bookmarkEnd w:id="112"/>
    <w:bookmarkEnd w:id="113"/>
    <w:p>
      <w:pPr>
        <w:spacing w:line="600" w:lineRule="exact"/>
        <w:jc w:val="center"/>
        <w:outlineLvl w:val="0"/>
        <w:rPr>
          <w:rFonts w:ascii="黑体" w:hAnsi="黑体" w:eastAsia="黑体"/>
          <w:color w:val="000000"/>
          <w:sz w:val="44"/>
          <w:szCs w:val="44"/>
        </w:rPr>
      </w:pPr>
    </w:p>
    <w:p>
      <w:pPr>
        <w:spacing w:line="600" w:lineRule="exact"/>
        <w:jc w:val="center"/>
        <w:outlineLvl w:val="0"/>
        <w:rPr>
          <w:rStyle w:val="38"/>
          <w:rFonts w:ascii="黑体" w:hAnsi="黑体" w:eastAsia="黑体"/>
          <w:b w:val="0"/>
        </w:rPr>
      </w:pPr>
      <w:r>
        <w:rPr>
          <w:rFonts w:hint="eastAsia" w:ascii="黑体" w:hAnsi="黑体" w:eastAsia="黑体"/>
          <w:sz w:val="44"/>
          <w:szCs w:val="44"/>
        </w:rPr>
        <w:t>第</w:t>
      </w:r>
      <w:r>
        <w:rPr>
          <w:rStyle w:val="38"/>
          <w:rFonts w:hint="eastAsia" w:ascii="黑体" w:hAnsi="黑体" w:eastAsia="黑体"/>
          <w:b w:val="0"/>
        </w:rPr>
        <w:t>四部分</w:t>
      </w:r>
      <w:r>
        <w:rPr>
          <w:rStyle w:val="38"/>
          <w:rFonts w:ascii="黑体" w:hAnsi="黑体" w:eastAsia="黑体"/>
          <w:b w:val="0"/>
        </w:rPr>
        <w:t xml:space="preserve"> </w:t>
      </w:r>
      <w:r>
        <w:rPr>
          <w:rStyle w:val="38"/>
          <w:rFonts w:hint="eastAsia" w:ascii="黑体" w:hAnsi="黑体" w:eastAsia="黑体"/>
          <w:b w:val="0"/>
        </w:rPr>
        <w:t>附件</w:t>
      </w:r>
    </w:p>
    <w:p>
      <w:pPr>
        <w:spacing w:line="600" w:lineRule="exact"/>
        <w:ind w:firstLine="420"/>
        <w:jc w:val="left"/>
        <w:outlineLvl w:val="0"/>
        <w:rPr>
          <w:rFonts w:ascii="方正小标宋简体" w:hAnsi="方正小标宋简体" w:eastAsia="方正小标宋简体" w:cs="方正小标宋简体"/>
          <w:sz w:val="32"/>
          <w:szCs w:val="32"/>
        </w:rPr>
      </w:pPr>
      <w:bookmarkStart w:id="115" w:name="_Toc79163631"/>
      <w:bookmarkStart w:id="116" w:name="_Toc79163881"/>
      <w:r>
        <w:rPr>
          <w:rFonts w:hint="eastAsia" w:ascii="黑体" w:hAnsi="黑体" w:eastAsia="黑体" w:cs="黑体"/>
          <w:sz w:val="32"/>
          <w:szCs w:val="32"/>
        </w:rPr>
        <w:t>附件</w:t>
      </w:r>
      <w:r>
        <w:rPr>
          <w:rFonts w:ascii="黑体" w:hAnsi="黑体" w:eastAsia="黑体" w:cs="黑体"/>
          <w:sz w:val="32"/>
          <w:szCs w:val="32"/>
        </w:rPr>
        <w:t>1</w:t>
      </w:r>
      <w:bookmarkEnd w:id="115"/>
      <w:bookmarkEnd w:id="116"/>
    </w:p>
    <w:p>
      <w:pPr>
        <w:spacing w:line="580" w:lineRule="exact"/>
        <w:jc w:val="center"/>
        <w:rPr>
          <w:rFonts w:ascii="方正小标宋简体" w:hAnsi="方正小标宋简体" w:eastAsia="方正小标宋简体" w:cs="方正小标宋简体"/>
          <w:color w:val="FF0000"/>
          <w:sz w:val="44"/>
          <w:szCs w:val="44"/>
        </w:rPr>
      </w:pPr>
    </w:p>
    <w:p>
      <w:pPr>
        <w:widowControl/>
        <w:spacing w:line="580" w:lineRule="exact"/>
        <w:contextualSpacing/>
        <w:jc w:val="center"/>
        <w:rPr>
          <w:rFonts w:ascii="宋体"/>
          <w:b/>
          <w:sz w:val="44"/>
          <w:szCs w:val="44"/>
          <w:shd w:val="clear" w:color="auto" w:fill="FFFFFF"/>
        </w:rPr>
      </w:pPr>
      <w:r>
        <w:rPr>
          <w:rFonts w:ascii="宋体"/>
          <w:b/>
          <w:sz w:val="44"/>
          <w:szCs w:val="44"/>
          <w:shd w:val="clear" w:color="auto" w:fill="FFFFFF"/>
        </w:rPr>
        <w:t>202</w:t>
      </w:r>
      <w:r>
        <w:rPr>
          <w:rFonts w:hint="eastAsia" w:ascii="宋体"/>
          <w:b/>
          <w:sz w:val="44"/>
          <w:szCs w:val="44"/>
          <w:shd w:val="clear" w:color="auto" w:fill="FFFFFF"/>
        </w:rPr>
        <w:t>0年茂县工商业联合会整体支出</w:t>
      </w:r>
    </w:p>
    <w:p>
      <w:pPr>
        <w:widowControl/>
        <w:spacing w:line="480" w:lineRule="exact"/>
        <w:jc w:val="center"/>
        <w:rPr>
          <w:rFonts w:ascii="方正小标宋简体" w:hAnsi="宋体" w:eastAsia="方正小标宋简体"/>
          <w:sz w:val="44"/>
          <w:szCs w:val="44"/>
        </w:rPr>
      </w:pPr>
      <w:r>
        <w:rPr>
          <w:rFonts w:hint="eastAsia" w:ascii="宋体"/>
          <w:b/>
          <w:sz w:val="44"/>
          <w:szCs w:val="44"/>
          <w:shd w:val="clear" w:color="auto" w:fill="FFFFFF"/>
        </w:rPr>
        <w:t>绩效评价报告</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一、部门（单位）概况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（一）机构组成。</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本单位是行政单位，属一级预算单位，其中内设机构</w:t>
      </w:r>
      <w:r>
        <w:rPr>
          <w:rFonts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rPr>
        <w:t>个。</w:t>
      </w:r>
    </w:p>
    <w:p>
      <w:pPr>
        <w:widowControl/>
        <w:numPr>
          <w:ilvl w:val="0"/>
          <w:numId w:val="7"/>
        </w:numPr>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机构职能。</w:t>
      </w:r>
    </w:p>
    <w:p>
      <w:pPr>
        <w:spacing w:line="576" w:lineRule="exact"/>
        <w:ind w:firstLine="800" w:firstLineChars="25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rPr>
        <w:t>参与我县大政方针及政治、经济、社会中的重要问题的政治协商，发挥民主监督的作用，参政议政。</w:t>
      </w:r>
    </w:p>
    <w:p>
      <w:pPr>
        <w:spacing w:line="576" w:lineRule="exact"/>
        <w:ind w:firstLine="800" w:firstLineChars="25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rPr>
        <w:t>引导会员积极参加我县经济建设，推动非公有制经济健康发展。</w:t>
      </w:r>
    </w:p>
    <w:p>
      <w:pPr>
        <w:spacing w:line="576" w:lineRule="exact"/>
        <w:ind w:firstLine="800" w:firstLineChars="25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3.</w:t>
      </w:r>
      <w:r>
        <w:rPr>
          <w:rFonts w:hint="eastAsia" w:ascii="仿宋_GB2312" w:hAnsi="Calibri" w:eastAsia="仿宋_GB2312" w:cs="仿宋"/>
          <w:color w:val="000000"/>
          <w:kern w:val="0"/>
          <w:sz w:val="32"/>
          <w:szCs w:val="32"/>
        </w:rPr>
        <w:t>做好工商界代表人士政治安排的推荐工作。</w:t>
      </w:r>
    </w:p>
    <w:p>
      <w:pPr>
        <w:spacing w:line="576" w:lineRule="exact"/>
        <w:ind w:firstLine="800" w:firstLineChars="25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4.</w:t>
      </w:r>
      <w:r>
        <w:rPr>
          <w:rFonts w:hint="eastAsia" w:ascii="仿宋_GB2312" w:hAnsi="Calibri" w:eastAsia="仿宋_GB2312" w:cs="仿宋"/>
          <w:color w:val="000000"/>
          <w:kern w:val="0"/>
          <w:sz w:val="32"/>
          <w:szCs w:val="32"/>
        </w:rPr>
        <w:t>对同级同业工会和行业协会实行业务主管，加强对个体劳动者协会、私营企业协会指导工作。</w:t>
      </w:r>
    </w:p>
    <w:p>
      <w:pPr>
        <w:spacing w:line="576" w:lineRule="exact"/>
        <w:ind w:firstLine="800" w:firstLineChars="25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5.</w:t>
      </w:r>
      <w:r>
        <w:rPr>
          <w:rFonts w:hint="eastAsia" w:ascii="仿宋_GB2312" w:hAnsi="Calibri" w:eastAsia="仿宋_GB2312" w:cs="仿宋"/>
          <w:color w:val="000000"/>
          <w:kern w:val="0"/>
          <w:sz w:val="32"/>
          <w:szCs w:val="32"/>
        </w:rPr>
        <w:t>加强与外商、各地工商社团及工商经济界人士的联系，促进经济、技术和贸易合作的发展，协助引进资金、技术人才。</w:t>
      </w:r>
    </w:p>
    <w:p>
      <w:pPr>
        <w:spacing w:line="576" w:lineRule="exact"/>
        <w:ind w:firstLine="800" w:firstLineChars="250"/>
        <w:rPr>
          <w:rFonts w:ascii="仿宋_GB2312" w:hAnsi="Calibri" w:eastAsia="仿宋_GB2312" w:cs="仿宋"/>
          <w:color w:val="000000"/>
          <w:kern w:val="0"/>
          <w:sz w:val="32"/>
          <w:szCs w:val="32"/>
        </w:rPr>
      </w:pPr>
      <w:bookmarkStart w:id="117" w:name="OLE_LINK1"/>
      <w:bookmarkStart w:id="118" w:name="OLE_LINK2"/>
      <w:r>
        <w:rPr>
          <w:rFonts w:ascii="仿宋_GB2312" w:hAnsi="Calibri" w:eastAsia="仿宋_GB2312" w:cs="仿宋"/>
          <w:color w:val="000000"/>
          <w:kern w:val="0"/>
          <w:sz w:val="32"/>
          <w:szCs w:val="32"/>
        </w:rPr>
        <w:t>6.</w:t>
      </w:r>
      <w:bookmarkEnd w:id="117"/>
      <w:bookmarkEnd w:id="118"/>
      <w:r>
        <w:rPr>
          <w:rFonts w:hint="eastAsia" w:ascii="仿宋_GB2312" w:hAnsi="Calibri" w:eastAsia="仿宋_GB2312" w:cs="仿宋"/>
          <w:color w:val="000000"/>
          <w:kern w:val="0"/>
          <w:sz w:val="32"/>
          <w:szCs w:val="32"/>
        </w:rPr>
        <w:t>办好会办企业。</w:t>
      </w:r>
    </w:p>
    <w:p>
      <w:pPr>
        <w:spacing w:line="576" w:lineRule="exact"/>
        <w:ind w:firstLine="800" w:firstLineChars="25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7.</w:t>
      </w:r>
      <w:r>
        <w:rPr>
          <w:rFonts w:hint="eastAsia" w:ascii="仿宋_GB2312" w:hAnsi="Calibri" w:eastAsia="仿宋_GB2312" w:cs="仿宋"/>
          <w:color w:val="000000"/>
          <w:kern w:val="0"/>
          <w:sz w:val="32"/>
          <w:szCs w:val="32"/>
        </w:rPr>
        <w:t>承办县委、县政府交办的其他工作。</w:t>
      </w:r>
    </w:p>
    <w:p>
      <w:pPr>
        <w:widowControl/>
        <w:numPr>
          <w:ilvl w:val="0"/>
          <w:numId w:val="7"/>
        </w:numPr>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人员概况。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人员总编制</w:t>
      </w:r>
      <w:r>
        <w:rPr>
          <w:rFonts w:ascii="仿宋_GB2312" w:hAnsi="Calibri" w:eastAsia="仿宋_GB2312" w:cs="仿宋"/>
          <w:color w:val="000000"/>
          <w:kern w:val="0"/>
          <w:sz w:val="32"/>
          <w:szCs w:val="32"/>
        </w:rPr>
        <w:t>5</w:t>
      </w:r>
      <w:r>
        <w:rPr>
          <w:rFonts w:hint="eastAsia" w:ascii="仿宋_GB2312" w:hAnsi="Calibri" w:eastAsia="仿宋_GB2312" w:cs="仿宋"/>
          <w:color w:val="000000"/>
          <w:kern w:val="0"/>
          <w:sz w:val="32"/>
          <w:szCs w:val="32"/>
        </w:rPr>
        <w:t>名</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其中</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行政编制</w:t>
      </w:r>
      <w:r>
        <w:rPr>
          <w:rFonts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rPr>
        <w:t>名，参公事业编制</w:t>
      </w:r>
      <w:r>
        <w:rPr>
          <w:rFonts w:ascii="仿宋_GB2312" w:hAnsi="Calibri" w:eastAsia="仿宋_GB2312" w:cs="仿宋"/>
          <w:color w:val="000000"/>
          <w:kern w:val="0"/>
          <w:sz w:val="32"/>
          <w:szCs w:val="32"/>
        </w:rPr>
        <w:t xml:space="preserve"> 3</w:t>
      </w:r>
      <w:r>
        <w:rPr>
          <w:rFonts w:hint="eastAsia" w:ascii="仿宋_GB2312" w:hAnsi="Calibri" w:eastAsia="仿宋_GB2312" w:cs="仿宋"/>
          <w:color w:val="000000"/>
          <w:kern w:val="0"/>
          <w:sz w:val="32"/>
          <w:szCs w:val="32"/>
        </w:rPr>
        <w:t>名。实有在职人员总数</w:t>
      </w:r>
      <w:r>
        <w:rPr>
          <w:rFonts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rPr>
        <w:t>名，在职人员中行政人员</w:t>
      </w:r>
      <w:r>
        <w:rPr>
          <w:rFonts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rPr>
        <w:t>名，事业人员</w:t>
      </w:r>
      <w:r>
        <w:rPr>
          <w:rFonts w:ascii="仿宋_GB2312" w:hAnsi="Calibri" w:eastAsia="仿宋_GB2312" w:cs="仿宋"/>
          <w:color w:val="000000"/>
          <w:kern w:val="0"/>
          <w:sz w:val="32"/>
          <w:szCs w:val="32"/>
        </w:rPr>
        <w:t>0</w:t>
      </w:r>
      <w:r>
        <w:rPr>
          <w:rFonts w:hint="eastAsia" w:ascii="仿宋_GB2312" w:hAnsi="Calibri" w:eastAsia="仿宋_GB2312" w:cs="仿宋"/>
          <w:color w:val="000000"/>
          <w:kern w:val="0"/>
          <w:sz w:val="32"/>
          <w:szCs w:val="32"/>
        </w:rPr>
        <w:t>名。退休人员</w:t>
      </w:r>
      <w:r>
        <w:rPr>
          <w:rFonts w:ascii="仿宋_GB2312" w:hAnsi="Calibri" w:eastAsia="仿宋_GB2312" w:cs="仿宋"/>
          <w:color w:val="000000"/>
          <w:kern w:val="0"/>
          <w:sz w:val="32"/>
          <w:szCs w:val="32"/>
        </w:rPr>
        <w:t>0</w:t>
      </w:r>
      <w:r>
        <w:rPr>
          <w:rFonts w:hint="eastAsia" w:ascii="仿宋_GB2312" w:hAnsi="Calibri" w:eastAsia="仿宋_GB2312" w:cs="仿宋"/>
          <w:color w:val="000000"/>
          <w:kern w:val="0"/>
          <w:sz w:val="32"/>
          <w:szCs w:val="32"/>
        </w:rPr>
        <w:t>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二、部门财政资金收支情况</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（一）部门财政资金收入情况。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2020</w:t>
      </w:r>
      <w:r>
        <w:rPr>
          <w:rFonts w:hint="eastAsia" w:ascii="仿宋_GB2312" w:hAnsi="Calibri" w:eastAsia="仿宋_GB2312" w:cs="仿宋"/>
          <w:color w:val="000000"/>
          <w:kern w:val="0"/>
          <w:sz w:val="32"/>
          <w:szCs w:val="32"/>
        </w:rPr>
        <w:t>年本中心财政拨款收入决算总额为</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万元，其中：当年财政拨款收入</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均为一般公共预算财政拨款。</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（二）部门财政资金支出情况。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2020</w:t>
      </w:r>
      <w:r>
        <w:rPr>
          <w:rFonts w:hint="eastAsia" w:ascii="仿宋_GB2312" w:hAnsi="Calibri" w:eastAsia="仿宋_GB2312" w:cs="仿宋"/>
          <w:color w:val="000000"/>
          <w:kern w:val="0"/>
          <w:sz w:val="32"/>
          <w:szCs w:val="32"/>
        </w:rPr>
        <w:t>年本部门财政拨款支出决算总额</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万元。其中：当年财政拨款支出</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均为一般公共预算财政拨款。</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三、部门整体预算绩效管理情况</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（一）部门预算管理。</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2020</w:t>
      </w:r>
      <w:r>
        <w:rPr>
          <w:rFonts w:hint="eastAsia" w:ascii="仿宋_GB2312" w:hAnsi="Calibri" w:eastAsia="仿宋_GB2312" w:cs="仿宋"/>
          <w:color w:val="000000"/>
          <w:kern w:val="0"/>
          <w:sz w:val="32"/>
          <w:szCs w:val="32"/>
        </w:rPr>
        <w:t>年本单位预算收入合计</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万元，其中：当年财政拨款收入</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均为一般公共预算财政拨款。</w:t>
      </w:r>
    </w:p>
    <w:p>
      <w:pPr>
        <w:widowControl/>
        <w:spacing w:line="576"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按功能分类支出情况，民主党派及工商联事务支出</w:t>
      </w:r>
      <w:r>
        <w:rPr>
          <w:rFonts w:ascii="仿宋_GB2312" w:hAnsi="Calibri" w:eastAsia="仿宋_GB2312" w:cs="仿宋"/>
          <w:color w:val="000000"/>
          <w:kern w:val="0"/>
          <w:sz w:val="32"/>
          <w:szCs w:val="32"/>
        </w:rPr>
        <w:t>48.31</w:t>
      </w:r>
      <w:r>
        <w:rPr>
          <w:rFonts w:hint="eastAsia" w:ascii="仿宋_GB2312" w:hAnsi="Calibri" w:eastAsia="仿宋_GB2312" w:cs="仿宋"/>
          <w:color w:val="000000"/>
          <w:kern w:val="0"/>
          <w:sz w:val="32"/>
          <w:szCs w:val="32"/>
        </w:rPr>
        <w:t>万元、社会保障和就业支出</w:t>
      </w:r>
      <w:r>
        <w:rPr>
          <w:rFonts w:ascii="仿宋_GB2312" w:hAnsi="Calibri" w:eastAsia="仿宋_GB2312" w:cs="仿宋"/>
          <w:color w:val="000000"/>
          <w:kern w:val="0"/>
          <w:sz w:val="32"/>
          <w:szCs w:val="32"/>
        </w:rPr>
        <w:t>6.19</w:t>
      </w:r>
      <w:r>
        <w:rPr>
          <w:rFonts w:hint="eastAsia" w:ascii="仿宋_GB2312" w:hAnsi="Calibri" w:eastAsia="仿宋_GB2312" w:cs="仿宋"/>
          <w:color w:val="000000"/>
          <w:kern w:val="0"/>
          <w:sz w:val="32"/>
          <w:szCs w:val="32"/>
        </w:rPr>
        <w:t>万元、卫生健康支出</w:t>
      </w:r>
      <w:r>
        <w:rPr>
          <w:rFonts w:ascii="仿宋_GB2312" w:hAnsi="Calibri" w:eastAsia="仿宋_GB2312" w:cs="仿宋"/>
          <w:color w:val="000000"/>
          <w:kern w:val="0"/>
          <w:sz w:val="32"/>
          <w:szCs w:val="32"/>
        </w:rPr>
        <w:t>2.77</w:t>
      </w:r>
      <w:r>
        <w:rPr>
          <w:rFonts w:hint="eastAsia" w:ascii="仿宋_GB2312" w:hAnsi="Calibri" w:eastAsia="仿宋_GB2312" w:cs="仿宋"/>
          <w:color w:val="000000"/>
          <w:kern w:val="0"/>
          <w:sz w:val="32"/>
          <w:szCs w:val="32"/>
        </w:rPr>
        <w:t>万元、住房保障支出</w:t>
      </w:r>
      <w:r>
        <w:rPr>
          <w:rFonts w:ascii="仿宋_GB2312" w:hAnsi="Calibri" w:eastAsia="仿宋_GB2312" w:cs="仿宋"/>
          <w:color w:val="000000"/>
          <w:kern w:val="0"/>
          <w:sz w:val="32"/>
          <w:szCs w:val="32"/>
        </w:rPr>
        <w:t>4.25</w:t>
      </w:r>
      <w:r>
        <w:rPr>
          <w:rFonts w:hint="eastAsia" w:ascii="仿宋_GB2312" w:hAnsi="Calibri" w:eastAsia="仿宋_GB2312" w:cs="仿宋"/>
          <w:color w:val="000000"/>
          <w:kern w:val="0"/>
          <w:sz w:val="32"/>
          <w:szCs w:val="32"/>
        </w:rPr>
        <w:t>万元；按支出性质分类，基本支出</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w:t>
      </w:r>
    </w:p>
    <w:p>
      <w:pPr>
        <w:widowControl/>
        <w:spacing w:line="576"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按经济分类支出情况，工资福利支出57.90万元，商品和服务支出3.58万元，对个人和家庭的补助支出0.04万元。</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2020</w:t>
      </w:r>
      <w:r>
        <w:rPr>
          <w:rFonts w:hint="eastAsia" w:ascii="仿宋_GB2312" w:hAnsi="Calibri" w:eastAsia="仿宋_GB2312" w:cs="仿宋"/>
          <w:color w:val="000000"/>
          <w:kern w:val="0"/>
          <w:sz w:val="32"/>
          <w:szCs w:val="32"/>
        </w:rPr>
        <w:t>年我单位当年财政拨款收入决算总额为</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万元，当年财政拨款支出决算总额</w:t>
      </w:r>
      <w:r>
        <w:rPr>
          <w:rFonts w:ascii="仿宋_GB2312" w:hAnsi="Calibri" w:eastAsia="仿宋_GB2312" w:cs="仿宋"/>
          <w:color w:val="000000"/>
          <w:kern w:val="0"/>
          <w:sz w:val="32"/>
          <w:szCs w:val="32"/>
        </w:rPr>
        <w:t>61.52</w:t>
      </w:r>
      <w:r>
        <w:rPr>
          <w:rFonts w:hint="eastAsia" w:ascii="仿宋_GB2312" w:hAnsi="Calibri" w:eastAsia="仿宋_GB2312" w:cs="仿宋"/>
          <w:color w:val="000000"/>
          <w:kern w:val="0"/>
          <w:sz w:val="32"/>
          <w:szCs w:val="32"/>
        </w:rPr>
        <w:t>万元，均为一般公共预算财政拨款，执行进度为</w:t>
      </w:r>
      <w:r>
        <w:rPr>
          <w:rFonts w:ascii="仿宋_GB2312" w:hAnsi="Calibri" w:eastAsia="仿宋_GB2312" w:cs="仿宋"/>
          <w:color w:val="000000"/>
          <w:kern w:val="0"/>
          <w:sz w:val="32"/>
          <w:szCs w:val="32"/>
        </w:rPr>
        <w:t>100%</w:t>
      </w:r>
      <w:r>
        <w:rPr>
          <w:rFonts w:hint="eastAsia" w:ascii="仿宋_GB2312" w:hAnsi="Calibri" w:eastAsia="仿宋_GB2312" w:cs="仿宋"/>
          <w:color w:val="000000"/>
          <w:kern w:val="0"/>
          <w:sz w:val="32"/>
          <w:szCs w:val="32"/>
        </w:rPr>
        <w:t>。</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（二）结果应用情况。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单位认真学习贯彻党代会全会精神，以习近平新时代中国特色社会主义思想为指导，根据职能职责积极谋划，确定目标任务，积极发挥公共财政职能作用，推动落实稳增长、促改革、调结构、惠民生、防风险各项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是按照《四川省省级预算绩效运行监控管理暂行办法》要求，认真组织开展所属单位的绩效监控工作，填报《项目预算绩效监控分析表》，进一步明确项成目标可能性及时间。有效使用财政资金，提高财政资金使用效益，保障了本单位工作顺利开展。</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二是按照</w:t>
      </w:r>
      <w:r>
        <w:rPr>
          <w:rFonts w:ascii="仿宋_GB2312" w:hAnsi="Calibri" w:eastAsia="仿宋_GB2312" w:cs="仿宋"/>
          <w:color w:val="000000"/>
          <w:kern w:val="0"/>
          <w:sz w:val="32"/>
          <w:szCs w:val="32"/>
        </w:rPr>
        <w:t>2019</w:t>
      </w:r>
      <w:r>
        <w:rPr>
          <w:rFonts w:hint="eastAsia" w:ascii="仿宋_GB2312" w:hAnsi="Calibri" w:eastAsia="仿宋_GB2312" w:cs="仿宋"/>
          <w:color w:val="000000"/>
          <w:kern w:val="0"/>
          <w:sz w:val="32"/>
          <w:szCs w:val="32"/>
        </w:rPr>
        <w:t>年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三是按照财政部门统一部署，本单位按要求公开绩效目标管理情况及部门整体支出绩效自评开展情况并依法接受财政监督。</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单位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四、评价结论及建议</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（一）评价结论。</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2020</w:t>
      </w:r>
      <w:r>
        <w:rPr>
          <w:rFonts w:hint="eastAsia" w:ascii="仿宋_GB2312" w:hAnsi="Calibri" w:eastAsia="仿宋_GB2312" w:cs="仿宋"/>
          <w:color w:val="000000"/>
          <w:kern w:val="0"/>
          <w:sz w:val="32"/>
          <w:szCs w:val="32"/>
        </w:rPr>
        <w:t>年我单位部门整体支出绩效评价自查自评结果良好，全年基本支出保证了部门的正常运行和日常工作的正常开展，达到预期绩效目标，按照</w:t>
      </w:r>
      <w:r>
        <w:rPr>
          <w:rFonts w:ascii="仿宋_GB2312" w:hAnsi="Calibri" w:eastAsia="仿宋_GB2312" w:cs="仿宋"/>
          <w:color w:val="000000"/>
          <w:kern w:val="0"/>
          <w:sz w:val="32"/>
          <w:szCs w:val="32"/>
        </w:rPr>
        <w:t>2020</w:t>
      </w:r>
      <w:r>
        <w:rPr>
          <w:rFonts w:hint="eastAsia" w:ascii="仿宋_GB2312" w:hAnsi="Calibri" w:eastAsia="仿宋_GB2312" w:cs="仿宋"/>
          <w:color w:val="000000"/>
          <w:kern w:val="0"/>
          <w:sz w:val="32"/>
          <w:szCs w:val="32"/>
        </w:rPr>
        <w:t>年部门整体支出绩效评价指标体系自评得分</w:t>
      </w:r>
      <w:r>
        <w:rPr>
          <w:rFonts w:ascii="仿宋_GB2312" w:hAnsi="Calibri" w:eastAsia="仿宋_GB2312" w:cs="仿宋"/>
          <w:color w:val="000000"/>
          <w:kern w:val="0"/>
          <w:sz w:val="32"/>
          <w:szCs w:val="32"/>
        </w:rPr>
        <w:t>87</w:t>
      </w:r>
      <w:r>
        <w:rPr>
          <w:rFonts w:hint="eastAsia" w:ascii="仿宋_GB2312" w:hAnsi="Calibri" w:eastAsia="仿宋_GB2312" w:cs="仿宋"/>
          <w:color w:val="000000"/>
          <w:kern w:val="0"/>
          <w:sz w:val="32"/>
          <w:szCs w:val="32"/>
        </w:rPr>
        <w:t>分。</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（二）存在问题。</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 </w:t>
      </w:r>
      <w:r>
        <w:rPr>
          <w:rFonts w:hint="eastAsia" w:ascii="仿宋_GB2312" w:hAnsi="Calibri" w:eastAsia="仿宋_GB2312" w:cs="仿宋"/>
          <w:color w:val="000000"/>
          <w:kern w:val="0"/>
          <w:sz w:val="32"/>
          <w:szCs w:val="32"/>
        </w:rPr>
        <w:t>对绩效管理认识不清，需更进一步规范财务报账资料。</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rPr>
        <w:t>属于公务卡结算目录内的费用</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应加大使用公务卡结算比例。</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3. </w:t>
      </w:r>
      <w:r>
        <w:rPr>
          <w:rFonts w:hint="eastAsia" w:ascii="仿宋_GB2312" w:hAnsi="Calibri" w:eastAsia="仿宋_GB2312" w:cs="仿宋"/>
          <w:color w:val="000000"/>
          <w:kern w:val="0"/>
          <w:sz w:val="32"/>
          <w:szCs w:val="32"/>
        </w:rPr>
        <w:t>绩效管理申诉与评估系统不健全，财务核算和档案管理需进一步规范。</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4.</w:t>
      </w:r>
      <w:r>
        <w:rPr>
          <w:rFonts w:hint="eastAsia" w:ascii="仿宋_GB2312" w:hAnsi="Calibri" w:eastAsia="仿宋_GB2312" w:cs="仿宋"/>
          <w:color w:val="000000"/>
          <w:kern w:val="0"/>
          <w:sz w:val="32"/>
          <w:szCs w:val="32"/>
        </w:rPr>
        <w:t>绩效管理的跟踪反馈不足</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（三）改进建议。</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rPr>
        <w:t>针对绩效管理存在的问题，我单位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rPr>
        <w:t>进一步加强单位预算编制、支出执行、决算编制等工作的管理，特别是应加快专项资金的预算执行进度。</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3.</w:t>
      </w:r>
      <w:r>
        <w:rPr>
          <w:rFonts w:hint="eastAsia" w:ascii="仿宋_GB2312" w:hAnsi="Calibri" w:eastAsia="仿宋_GB2312" w:cs="仿宋"/>
          <w:color w:val="000000"/>
          <w:kern w:val="0"/>
          <w:sz w:val="32"/>
          <w:szCs w:val="32"/>
        </w:rPr>
        <w:t>在会计核算过程中，严格按照单位内控制度、财务管理制度，加强票据审核，报销凭证应为真实、合法、有效的票据；严禁超范围、超标准、进行报销。</w:t>
      </w:r>
      <w:r>
        <w:rPr>
          <w:rFonts w:ascii="仿宋_GB2312" w:hAnsi="Calibri" w:eastAsia="仿宋_GB2312" w:cs="仿宋"/>
          <w:color w:val="000000"/>
          <w:kern w:val="0"/>
          <w:sz w:val="32"/>
          <w:szCs w:val="32"/>
        </w:rPr>
        <w:tab/>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4.</w:t>
      </w:r>
      <w:r>
        <w:rPr>
          <w:rFonts w:hint="eastAsia" w:ascii="仿宋_GB2312" w:hAnsi="Calibri" w:eastAsia="仿宋_GB2312" w:cs="仿宋"/>
          <w:color w:val="000000"/>
          <w:kern w:val="0"/>
          <w:sz w:val="32"/>
          <w:szCs w:val="32"/>
        </w:rPr>
        <w:t>针对存在的问题，我们将进一步科学设定绩效目标，加强预算执行管理。改进部门收支预算编制，务实预算基础工作，提高预算编制质量。</w:t>
      </w:r>
    </w:p>
    <w:p>
      <w:pPr>
        <w:spacing w:line="600" w:lineRule="exact"/>
        <w:jc w:val="center"/>
        <w:outlineLvl w:val="0"/>
        <w:rPr>
          <w:rStyle w:val="23"/>
          <w:rFonts w:ascii="黑体" w:hAnsi="黑体" w:eastAsia="黑体"/>
          <w:b w:val="0"/>
        </w:rPr>
      </w:pPr>
      <w:bookmarkStart w:id="119" w:name="_Toc15396618"/>
      <w:bookmarkStart w:id="120" w:name="_Toc79163885"/>
      <w:bookmarkStart w:id="121" w:name="_Toc79163635"/>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14"/>
      <w:bookmarkEnd w:id="119"/>
      <w:bookmarkEnd w:id="120"/>
      <w:bookmarkEnd w:id="121"/>
    </w:p>
    <w:p>
      <w:pPr>
        <w:pStyle w:val="3"/>
        <w:rPr>
          <w:rFonts w:ascii="仿宋" w:hAnsi="仿宋" w:eastAsia="仿宋"/>
          <w:color w:val="000000"/>
        </w:rPr>
      </w:pPr>
      <w:bookmarkStart w:id="122" w:name="_Toc15396619"/>
      <w:bookmarkStart w:id="123" w:name="_Toc79163636"/>
      <w:bookmarkStart w:id="124"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22"/>
      <w:bookmarkEnd w:id="123"/>
      <w:bookmarkEnd w:id="124"/>
    </w:p>
    <w:p>
      <w:pPr>
        <w:pStyle w:val="3"/>
        <w:rPr>
          <w:rFonts w:ascii="仿宋" w:hAnsi="仿宋" w:eastAsia="仿宋"/>
          <w:color w:val="000000"/>
        </w:rPr>
      </w:pPr>
      <w:bookmarkStart w:id="125" w:name="_Toc79163887"/>
      <w:bookmarkStart w:id="126" w:name="_Toc15396620"/>
      <w:bookmarkStart w:id="127" w:name="_Toc79163637"/>
      <w:r>
        <w:rPr>
          <w:rFonts w:hint="eastAsia" w:ascii="仿宋" w:hAnsi="仿宋" w:eastAsia="仿宋"/>
          <w:b w:val="0"/>
          <w:color w:val="000000"/>
        </w:rPr>
        <w:t>二、收</w:t>
      </w:r>
      <w:r>
        <w:rPr>
          <w:rStyle w:val="24"/>
          <w:rFonts w:hint="eastAsia" w:ascii="仿宋" w:hAnsi="仿宋" w:eastAsia="仿宋"/>
          <w:b w:val="0"/>
          <w:bCs w:val="0"/>
        </w:rPr>
        <w:t>入决算表</w:t>
      </w:r>
      <w:bookmarkEnd w:id="125"/>
      <w:bookmarkEnd w:id="126"/>
      <w:bookmarkEnd w:id="127"/>
    </w:p>
    <w:p>
      <w:pPr>
        <w:pStyle w:val="3"/>
        <w:rPr>
          <w:rFonts w:ascii="仿宋" w:hAnsi="仿宋" w:eastAsia="仿宋"/>
          <w:color w:val="000000"/>
        </w:rPr>
      </w:pPr>
      <w:bookmarkStart w:id="128" w:name="_Toc15396621"/>
      <w:bookmarkStart w:id="129" w:name="_Toc79163638"/>
      <w:bookmarkStart w:id="130" w:name="_Toc7916388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8"/>
      <w:bookmarkEnd w:id="129"/>
      <w:bookmarkEnd w:id="130"/>
    </w:p>
    <w:p>
      <w:pPr>
        <w:pStyle w:val="3"/>
        <w:rPr>
          <w:rFonts w:ascii="仿宋" w:hAnsi="仿宋" w:eastAsia="仿宋"/>
          <w:b w:val="0"/>
          <w:color w:val="000000"/>
        </w:rPr>
      </w:pPr>
      <w:bookmarkStart w:id="131" w:name="_Toc15396622"/>
      <w:bookmarkStart w:id="132" w:name="_Toc79163889"/>
      <w:bookmarkStart w:id="133" w:name="_Toc7916363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1"/>
      <w:bookmarkEnd w:id="132"/>
      <w:bookmarkEnd w:id="133"/>
    </w:p>
    <w:p>
      <w:pPr>
        <w:pStyle w:val="3"/>
        <w:rPr>
          <w:rStyle w:val="24"/>
          <w:rFonts w:ascii="仿宋" w:hAnsi="仿宋" w:eastAsia="仿宋"/>
          <w:b w:val="0"/>
          <w:bCs w:val="0"/>
        </w:rPr>
      </w:pPr>
      <w:bookmarkStart w:id="134" w:name="_Toc15396623"/>
      <w:bookmarkStart w:id="135" w:name="_Toc79163640"/>
      <w:bookmarkStart w:id="136"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4"/>
      <w:bookmarkEnd w:id="135"/>
      <w:bookmarkEnd w:id="136"/>
      <w:bookmarkStart w:id="137" w:name="_Toc15396624"/>
    </w:p>
    <w:p>
      <w:pPr>
        <w:pStyle w:val="3"/>
        <w:rPr>
          <w:rFonts w:ascii="仿宋" w:hAnsi="仿宋" w:eastAsia="仿宋"/>
          <w:color w:val="000000"/>
        </w:rPr>
      </w:pPr>
      <w:bookmarkStart w:id="138" w:name="_Toc79163891"/>
      <w:bookmarkStart w:id="139"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7"/>
      <w:bookmarkEnd w:id="138"/>
      <w:bookmarkEnd w:id="139"/>
    </w:p>
    <w:p>
      <w:pPr>
        <w:pStyle w:val="3"/>
        <w:rPr>
          <w:rFonts w:ascii="仿宋" w:hAnsi="仿宋" w:eastAsia="仿宋"/>
          <w:color w:val="000000"/>
        </w:rPr>
      </w:pPr>
      <w:bookmarkStart w:id="140" w:name="_Toc15396625"/>
      <w:bookmarkStart w:id="141" w:name="_Toc79163892"/>
      <w:bookmarkStart w:id="142" w:name="_Toc7916364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40"/>
      <w:bookmarkEnd w:id="141"/>
      <w:bookmarkEnd w:id="142"/>
    </w:p>
    <w:p>
      <w:pPr>
        <w:pStyle w:val="3"/>
        <w:rPr>
          <w:rFonts w:ascii="仿宋" w:hAnsi="仿宋" w:eastAsia="仿宋"/>
          <w:color w:val="000000"/>
        </w:rPr>
      </w:pPr>
      <w:bookmarkStart w:id="143" w:name="_Toc15396626"/>
      <w:bookmarkStart w:id="144" w:name="_Toc79163893"/>
      <w:bookmarkStart w:id="145" w:name="_Toc7916364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3"/>
      <w:bookmarkEnd w:id="144"/>
      <w:bookmarkEnd w:id="145"/>
    </w:p>
    <w:p>
      <w:pPr>
        <w:pStyle w:val="3"/>
        <w:rPr>
          <w:rFonts w:ascii="仿宋" w:hAnsi="仿宋" w:eastAsia="仿宋"/>
          <w:color w:val="000000"/>
        </w:rPr>
      </w:pPr>
      <w:bookmarkStart w:id="146" w:name="_Toc79163894"/>
      <w:bookmarkStart w:id="147" w:name="_Toc15396627"/>
      <w:bookmarkStart w:id="148" w:name="_Toc7916364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6"/>
      <w:bookmarkEnd w:id="147"/>
      <w:bookmarkEnd w:id="148"/>
    </w:p>
    <w:p>
      <w:pPr>
        <w:pStyle w:val="3"/>
        <w:rPr>
          <w:rStyle w:val="24"/>
          <w:rFonts w:ascii="仿宋" w:hAnsi="仿宋" w:eastAsia="仿宋"/>
          <w:b w:val="0"/>
          <w:bCs w:val="0"/>
        </w:rPr>
      </w:pPr>
      <w:bookmarkStart w:id="149" w:name="_Toc79163645"/>
      <w:bookmarkStart w:id="150" w:name="_Toc15396628"/>
      <w:bookmarkStart w:id="151"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9"/>
      <w:bookmarkEnd w:id="150"/>
      <w:bookmarkEnd w:id="151"/>
    </w:p>
    <w:p>
      <w:pPr>
        <w:pStyle w:val="3"/>
        <w:rPr>
          <w:rFonts w:ascii="仿宋" w:hAnsi="仿宋" w:eastAsia="仿宋"/>
          <w:color w:val="000000"/>
        </w:rPr>
      </w:pPr>
      <w:bookmarkStart w:id="152" w:name="_Toc79163646"/>
      <w:bookmarkStart w:id="153" w:name="_Toc15396629"/>
      <w:bookmarkStart w:id="154" w:name="_Toc79163896"/>
      <w:r>
        <w:rPr>
          <w:rStyle w:val="39"/>
          <w:rFonts w:hint="eastAsia" w:ascii="仿宋" w:hAnsi="仿宋" w:eastAsia="仿宋"/>
          <w:b w:val="0"/>
          <w:bCs w:val="0"/>
        </w:rPr>
        <w:t>十一、</w:t>
      </w:r>
      <w:r>
        <w:rPr>
          <w:rFonts w:hint="eastAsia" w:ascii="仿宋" w:hAnsi="仿宋" w:eastAsia="仿宋"/>
          <w:b w:val="0"/>
          <w:color w:val="000000"/>
        </w:rPr>
        <w:t>政</w:t>
      </w:r>
      <w:r>
        <w:rPr>
          <w:rStyle w:val="39"/>
          <w:rFonts w:hint="eastAsia" w:ascii="仿宋" w:hAnsi="仿宋" w:eastAsia="仿宋"/>
          <w:b w:val="0"/>
          <w:bCs w:val="0"/>
        </w:rPr>
        <w:t>府性基金预算财政拨款收入支出决算表</w:t>
      </w:r>
      <w:bookmarkEnd w:id="152"/>
      <w:bookmarkEnd w:id="153"/>
      <w:bookmarkEnd w:id="154"/>
    </w:p>
    <w:p>
      <w:pPr>
        <w:pStyle w:val="3"/>
        <w:rPr>
          <w:rFonts w:ascii="仿宋" w:hAnsi="仿宋" w:eastAsia="仿宋"/>
          <w:color w:val="000000"/>
        </w:rPr>
      </w:pPr>
      <w:bookmarkStart w:id="155" w:name="_Toc79163647"/>
      <w:bookmarkStart w:id="156" w:name="_Toc15396630"/>
      <w:bookmarkStart w:id="157" w:name="_Toc79163897"/>
      <w:r>
        <w:rPr>
          <w:rStyle w:val="39"/>
          <w:rFonts w:hint="eastAsia" w:ascii="仿宋" w:hAnsi="仿宋" w:eastAsia="仿宋"/>
          <w:b w:val="0"/>
          <w:bCs w:val="0"/>
        </w:rPr>
        <w:t>十二、</w:t>
      </w:r>
      <w:r>
        <w:rPr>
          <w:rFonts w:hint="eastAsia" w:ascii="仿宋" w:hAnsi="仿宋" w:eastAsia="仿宋"/>
          <w:b w:val="0"/>
          <w:color w:val="000000"/>
        </w:rPr>
        <w:t>政</w:t>
      </w:r>
      <w:r>
        <w:rPr>
          <w:rStyle w:val="39"/>
          <w:rFonts w:hint="eastAsia" w:ascii="仿宋" w:hAnsi="仿宋" w:eastAsia="仿宋"/>
          <w:b w:val="0"/>
          <w:bCs w:val="0"/>
        </w:rPr>
        <w:t>府性基金预算财政拨款“三公”经费支出决算表</w:t>
      </w:r>
      <w:bookmarkEnd w:id="155"/>
      <w:bookmarkEnd w:id="156"/>
      <w:bookmarkEnd w:id="157"/>
    </w:p>
    <w:p>
      <w:pPr>
        <w:pStyle w:val="3"/>
        <w:rPr>
          <w:rStyle w:val="39"/>
          <w:rFonts w:ascii="仿宋" w:hAnsi="仿宋" w:eastAsia="仿宋"/>
          <w:b w:val="0"/>
          <w:bCs w:val="0"/>
        </w:rPr>
      </w:pPr>
      <w:bookmarkStart w:id="158" w:name="_Toc79163898"/>
      <w:bookmarkStart w:id="159" w:name="_Toc15396631"/>
      <w:bookmarkStart w:id="160" w:name="_Toc79163648"/>
      <w:r>
        <w:rPr>
          <w:rStyle w:val="39"/>
          <w:rFonts w:hint="eastAsia" w:ascii="仿宋" w:hAnsi="仿宋" w:eastAsia="仿宋"/>
          <w:b w:val="0"/>
          <w:bCs w:val="0"/>
        </w:rPr>
        <w:t>十三、</w:t>
      </w:r>
      <w:r>
        <w:rPr>
          <w:rFonts w:hint="eastAsia" w:ascii="仿宋" w:hAnsi="仿宋" w:eastAsia="仿宋"/>
          <w:b w:val="0"/>
          <w:color w:val="000000"/>
        </w:rPr>
        <w:t>国</w:t>
      </w:r>
      <w:r>
        <w:rPr>
          <w:rStyle w:val="39"/>
          <w:rFonts w:hint="eastAsia" w:ascii="仿宋" w:hAnsi="仿宋" w:eastAsia="仿宋"/>
          <w:b w:val="0"/>
          <w:bCs w:val="0"/>
        </w:rPr>
        <w:t>有资本经营预算财政拨款支出决算表</w:t>
      </w:r>
      <w:bookmarkEnd w:id="158"/>
      <w:bookmarkEnd w:id="159"/>
      <w:bookmarkEnd w:id="160"/>
    </w:p>
    <w:p>
      <w:pPr>
        <w:pStyle w:val="3"/>
        <w:rPr>
          <w:rStyle w:val="39"/>
          <w:rFonts w:ascii="仿宋" w:hAnsi="仿宋" w:eastAsia="仿宋"/>
          <w:b w:val="0"/>
          <w:bCs w:val="0"/>
        </w:rPr>
      </w:pPr>
      <w:bookmarkStart w:id="161" w:name="_Toc79163649"/>
      <w:bookmarkStart w:id="162" w:name="_Toc79163899"/>
      <w:r>
        <w:rPr>
          <w:rStyle w:val="39"/>
          <w:rFonts w:hint="eastAsia" w:ascii="仿宋" w:hAnsi="仿宋" w:eastAsia="仿宋"/>
          <w:b w:val="0"/>
          <w:bCs w:val="0"/>
        </w:rPr>
        <w:t>十四、国有资本经营预算财政拨款支出决算表</w:t>
      </w:r>
      <w:bookmarkEnd w:id="161"/>
      <w:bookmarkEnd w:id="162"/>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华文楷体">
    <w:altName w:val="方正楷体_GBK"/>
    <w:panose1 w:val="02010600040101010101"/>
    <w:charset w:val="86"/>
    <w:family w:val="auto"/>
    <w:pitch w:val="default"/>
    <w:sig w:usb0="00000000" w:usb1="00000000" w:usb2="00000010" w:usb3="00000000" w:csb0="0004009F"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F1DB3"/>
    <w:multiLevelType w:val="singleLevel"/>
    <w:tmpl w:val="A19F1DB3"/>
    <w:lvl w:ilvl="0" w:tentative="0">
      <w:start w:val="2"/>
      <w:numFmt w:val="chineseCounting"/>
      <w:suff w:val="nothing"/>
      <w:lvlText w:val="（%1）"/>
      <w:lvlJc w:val="left"/>
      <w:rPr>
        <w:rFonts w:hint="eastAsia" w:cs="Times New Roman"/>
      </w:rPr>
    </w:lvl>
  </w:abstractNum>
  <w:abstractNum w:abstractNumId="1">
    <w:nsid w:val="A8629923"/>
    <w:multiLevelType w:val="singleLevel"/>
    <w:tmpl w:val="A8629923"/>
    <w:lvl w:ilvl="0" w:tentative="0">
      <w:start w:val="1"/>
      <w:numFmt w:val="chineseCounting"/>
      <w:suff w:val="space"/>
      <w:lvlText w:val="第%1部分"/>
      <w:lvlJc w:val="left"/>
      <w:rPr>
        <w:rFonts w:hint="eastAsia"/>
      </w:rPr>
    </w:lvl>
  </w:abstractNum>
  <w:abstractNum w:abstractNumId="2">
    <w:nsid w:val="B1581F23"/>
    <w:multiLevelType w:val="singleLevel"/>
    <w:tmpl w:val="B1581F23"/>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0D548048"/>
    <w:multiLevelType w:val="singleLevel"/>
    <w:tmpl w:val="0D548048"/>
    <w:lvl w:ilvl="0" w:tentative="0">
      <w:start w:val="1"/>
      <w:numFmt w:val="decimal"/>
      <w:lvlText w:val="%1."/>
      <w:lvlJc w:val="left"/>
      <w:pPr>
        <w:tabs>
          <w:tab w:val="left" w:pos="312"/>
        </w:tabs>
      </w:pPr>
      <w:rPr>
        <w:rFonts w:cs="Times New Roman"/>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1"/>
  </w:num>
  <w:num w:numId="2">
    <w:abstractNumId w:val="2"/>
  </w:num>
  <w:num w:numId="3">
    <w:abstractNumId w:val="6"/>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B7D56"/>
    <w:rsid w:val="000C0F49"/>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49BD"/>
    <w:rsid w:val="001877A7"/>
    <w:rsid w:val="00191536"/>
    <w:rsid w:val="00196687"/>
    <w:rsid w:val="001C0962"/>
    <w:rsid w:val="001D7531"/>
    <w:rsid w:val="001E737D"/>
    <w:rsid w:val="001F0592"/>
    <w:rsid w:val="001F7506"/>
    <w:rsid w:val="002006CD"/>
    <w:rsid w:val="002020C9"/>
    <w:rsid w:val="00202B36"/>
    <w:rsid w:val="00204B7A"/>
    <w:rsid w:val="00204CDE"/>
    <w:rsid w:val="0021101A"/>
    <w:rsid w:val="00217E36"/>
    <w:rsid w:val="00220536"/>
    <w:rsid w:val="00235629"/>
    <w:rsid w:val="00253F64"/>
    <w:rsid w:val="00256262"/>
    <w:rsid w:val="00260C38"/>
    <w:rsid w:val="002616C0"/>
    <w:rsid w:val="00262FE8"/>
    <w:rsid w:val="00265372"/>
    <w:rsid w:val="002662AA"/>
    <w:rsid w:val="0027224D"/>
    <w:rsid w:val="002738F5"/>
    <w:rsid w:val="0027487C"/>
    <w:rsid w:val="00280496"/>
    <w:rsid w:val="00294DC9"/>
    <w:rsid w:val="00295495"/>
    <w:rsid w:val="002A31DE"/>
    <w:rsid w:val="002B2613"/>
    <w:rsid w:val="002D62CF"/>
    <w:rsid w:val="002D6D05"/>
    <w:rsid w:val="002D7CBF"/>
    <w:rsid w:val="002F1818"/>
    <w:rsid w:val="002F567B"/>
    <w:rsid w:val="003216A9"/>
    <w:rsid w:val="00335A74"/>
    <w:rsid w:val="0035384B"/>
    <w:rsid w:val="0036561B"/>
    <w:rsid w:val="0037013F"/>
    <w:rsid w:val="00380C92"/>
    <w:rsid w:val="0038468C"/>
    <w:rsid w:val="00391FB4"/>
    <w:rsid w:val="003A484F"/>
    <w:rsid w:val="003A4883"/>
    <w:rsid w:val="003B0BE0"/>
    <w:rsid w:val="003B0C1B"/>
    <w:rsid w:val="003B688C"/>
    <w:rsid w:val="003C0291"/>
    <w:rsid w:val="003C39AE"/>
    <w:rsid w:val="003C75BB"/>
    <w:rsid w:val="003C7B60"/>
    <w:rsid w:val="003D0C0F"/>
    <w:rsid w:val="003D1FB2"/>
    <w:rsid w:val="003D66DA"/>
    <w:rsid w:val="003E1310"/>
    <w:rsid w:val="003E2031"/>
    <w:rsid w:val="003E6F55"/>
    <w:rsid w:val="003E6FE4"/>
    <w:rsid w:val="00401ABE"/>
    <w:rsid w:val="00406254"/>
    <w:rsid w:val="004223DE"/>
    <w:rsid w:val="00434489"/>
    <w:rsid w:val="00437085"/>
    <w:rsid w:val="00443880"/>
    <w:rsid w:val="00445607"/>
    <w:rsid w:val="004464F4"/>
    <w:rsid w:val="00471401"/>
    <w:rsid w:val="00473F31"/>
    <w:rsid w:val="0048263A"/>
    <w:rsid w:val="00487E5D"/>
    <w:rsid w:val="004A711F"/>
    <w:rsid w:val="004B07F9"/>
    <w:rsid w:val="004B199D"/>
    <w:rsid w:val="004B4690"/>
    <w:rsid w:val="004C5226"/>
    <w:rsid w:val="004D5479"/>
    <w:rsid w:val="004E0A2D"/>
    <w:rsid w:val="004E206B"/>
    <w:rsid w:val="004E6DF7"/>
    <w:rsid w:val="004F0FBD"/>
    <w:rsid w:val="00505A47"/>
    <w:rsid w:val="00512FDA"/>
    <w:rsid w:val="00520DA0"/>
    <w:rsid w:val="005269A7"/>
    <w:rsid w:val="005269D7"/>
    <w:rsid w:val="00550FA8"/>
    <w:rsid w:val="005664BB"/>
    <w:rsid w:val="00566FFA"/>
    <w:rsid w:val="0057481D"/>
    <w:rsid w:val="0058486E"/>
    <w:rsid w:val="00585B33"/>
    <w:rsid w:val="0059014D"/>
    <w:rsid w:val="005A599E"/>
    <w:rsid w:val="005B5C64"/>
    <w:rsid w:val="005C5337"/>
    <w:rsid w:val="005C6BD0"/>
    <w:rsid w:val="005D1C8B"/>
    <w:rsid w:val="005D468D"/>
    <w:rsid w:val="005D5CED"/>
    <w:rsid w:val="005E6B3F"/>
    <w:rsid w:val="005F1A4C"/>
    <w:rsid w:val="00600BDE"/>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3A7"/>
    <w:rsid w:val="006C1937"/>
    <w:rsid w:val="006E3841"/>
    <w:rsid w:val="006E5044"/>
    <w:rsid w:val="006F020C"/>
    <w:rsid w:val="007127B7"/>
    <w:rsid w:val="0071798E"/>
    <w:rsid w:val="007416B6"/>
    <w:rsid w:val="00746F48"/>
    <w:rsid w:val="0075404D"/>
    <w:rsid w:val="00757519"/>
    <w:rsid w:val="0076182A"/>
    <w:rsid w:val="00767B7E"/>
    <w:rsid w:val="007770C3"/>
    <w:rsid w:val="00784D24"/>
    <w:rsid w:val="00785FBA"/>
    <w:rsid w:val="00786E4A"/>
    <w:rsid w:val="007875EB"/>
    <w:rsid w:val="0079426B"/>
    <w:rsid w:val="007B5473"/>
    <w:rsid w:val="007B6E12"/>
    <w:rsid w:val="007D1682"/>
    <w:rsid w:val="007D312A"/>
    <w:rsid w:val="007D3F19"/>
    <w:rsid w:val="007E23B0"/>
    <w:rsid w:val="007E23E5"/>
    <w:rsid w:val="007F1991"/>
    <w:rsid w:val="007F2C2F"/>
    <w:rsid w:val="007F55FC"/>
    <w:rsid w:val="007F5665"/>
    <w:rsid w:val="00800112"/>
    <w:rsid w:val="00802F63"/>
    <w:rsid w:val="00813348"/>
    <w:rsid w:val="008253BB"/>
    <w:rsid w:val="00827772"/>
    <w:rsid w:val="0083706E"/>
    <w:rsid w:val="008408F6"/>
    <w:rsid w:val="008423A5"/>
    <w:rsid w:val="00850625"/>
    <w:rsid w:val="00853718"/>
    <w:rsid w:val="00855221"/>
    <w:rsid w:val="00860645"/>
    <w:rsid w:val="00871F71"/>
    <w:rsid w:val="00872FD8"/>
    <w:rsid w:val="00885AF4"/>
    <w:rsid w:val="00890503"/>
    <w:rsid w:val="00892977"/>
    <w:rsid w:val="008939CD"/>
    <w:rsid w:val="008B768C"/>
    <w:rsid w:val="008C4DB1"/>
    <w:rsid w:val="008C4EAF"/>
    <w:rsid w:val="008C5176"/>
    <w:rsid w:val="008C7FD0"/>
    <w:rsid w:val="008E1DE7"/>
    <w:rsid w:val="008E707C"/>
    <w:rsid w:val="008F3294"/>
    <w:rsid w:val="008F533B"/>
    <w:rsid w:val="00900B08"/>
    <w:rsid w:val="00902155"/>
    <w:rsid w:val="00902FA3"/>
    <w:rsid w:val="00923564"/>
    <w:rsid w:val="0092392E"/>
    <w:rsid w:val="0092583A"/>
    <w:rsid w:val="009315F9"/>
    <w:rsid w:val="00933499"/>
    <w:rsid w:val="009334D8"/>
    <w:rsid w:val="00935C98"/>
    <w:rsid w:val="00946945"/>
    <w:rsid w:val="00951248"/>
    <w:rsid w:val="0095152F"/>
    <w:rsid w:val="00954C49"/>
    <w:rsid w:val="00955E37"/>
    <w:rsid w:val="00962656"/>
    <w:rsid w:val="009677F8"/>
    <w:rsid w:val="0097099F"/>
    <w:rsid w:val="00971997"/>
    <w:rsid w:val="00971FFC"/>
    <w:rsid w:val="0098660A"/>
    <w:rsid w:val="00987709"/>
    <w:rsid w:val="009931C3"/>
    <w:rsid w:val="009B2C43"/>
    <w:rsid w:val="009B4EAE"/>
    <w:rsid w:val="009B7573"/>
    <w:rsid w:val="009C22F4"/>
    <w:rsid w:val="009C2A4B"/>
    <w:rsid w:val="009C2CB2"/>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A53F0"/>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10D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BF7C0B"/>
    <w:rsid w:val="00C03E31"/>
    <w:rsid w:val="00C33E72"/>
    <w:rsid w:val="00C354B2"/>
    <w:rsid w:val="00C35554"/>
    <w:rsid w:val="00C42709"/>
    <w:rsid w:val="00C50B72"/>
    <w:rsid w:val="00C533CC"/>
    <w:rsid w:val="00C5751C"/>
    <w:rsid w:val="00C61BFC"/>
    <w:rsid w:val="00C62B85"/>
    <w:rsid w:val="00C64FA5"/>
    <w:rsid w:val="00C65438"/>
    <w:rsid w:val="00C87FD8"/>
    <w:rsid w:val="00C91381"/>
    <w:rsid w:val="00C91CBB"/>
    <w:rsid w:val="00CA5BFB"/>
    <w:rsid w:val="00CB4E70"/>
    <w:rsid w:val="00CC0168"/>
    <w:rsid w:val="00CC09B6"/>
    <w:rsid w:val="00CC666F"/>
    <w:rsid w:val="00CD1E3F"/>
    <w:rsid w:val="00CE44F6"/>
    <w:rsid w:val="00CE49DA"/>
    <w:rsid w:val="00CE7B61"/>
    <w:rsid w:val="00D00095"/>
    <w:rsid w:val="00D114F0"/>
    <w:rsid w:val="00D20620"/>
    <w:rsid w:val="00D25462"/>
    <w:rsid w:val="00D254F7"/>
    <w:rsid w:val="00D26091"/>
    <w:rsid w:val="00D2685C"/>
    <w:rsid w:val="00D34E7C"/>
    <w:rsid w:val="00D35489"/>
    <w:rsid w:val="00D36AFE"/>
    <w:rsid w:val="00D51276"/>
    <w:rsid w:val="00D7035F"/>
    <w:rsid w:val="00D73F1D"/>
    <w:rsid w:val="00D81A47"/>
    <w:rsid w:val="00D93A2C"/>
    <w:rsid w:val="00DA5AF1"/>
    <w:rsid w:val="00DA634F"/>
    <w:rsid w:val="00DA65AC"/>
    <w:rsid w:val="00DB1913"/>
    <w:rsid w:val="00DC410D"/>
    <w:rsid w:val="00DC5A81"/>
    <w:rsid w:val="00DC68CA"/>
    <w:rsid w:val="00DC74B0"/>
    <w:rsid w:val="00DC7CBA"/>
    <w:rsid w:val="00DD73B7"/>
    <w:rsid w:val="00DF28BC"/>
    <w:rsid w:val="00DF34B9"/>
    <w:rsid w:val="00E01053"/>
    <w:rsid w:val="00E01395"/>
    <w:rsid w:val="00E07ACF"/>
    <w:rsid w:val="00E32CAD"/>
    <w:rsid w:val="00E331A1"/>
    <w:rsid w:val="00E33202"/>
    <w:rsid w:val="00E336A9"/>
    <w:rsid w:val="00E472B1"/>
    <w:rsid w:val="00E50624"/>
    <w:rsid w:val="00E568DF"/>
    <w:rsid w:val="00E64269"/>
    <w:rsid w:val="00E70975"/>
    <w:rsid w:val="00E82267"/>
    <w:rsid w:val="00E853CE"/>
    <w:rsid w:val="00E867B6"/>
    <w:rsid w:val="00E91CF8"/>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473FD"/>
    <w:rsid w:val="00F54C51"/>
    <w:rsid w:val="00F602DF"/>
    <w:rsid w:val="00F60628"/>
    <w:rsid w:val="00F754A1"/>
    <w:rsid w:val="00F81FD9"/>
    <w:rsid w:val="00F841AA"/>
    <w:rsid w:val="00F84A94"/>
    <w:rsid w:val="00F87E96"/>
    <w:rsid w:val="00FA23E8"/>
    <w:rsid w:val="00FC2607"/>
    <w:rsid w:val="00FD3CC1"/>
    <w:rsid w:val="00FF1E02"/>
    <w:rsid w:val="00FF30B4"/>
    <w:rsid w:val="03186D1F"/>
    <w:rsid w:val="045145AE"/>
    <w:rsid w:val="048473FC"/>
    <w:rsid w:val="055878C9"/>
    <w:rsid w:val="06DE24C9"/>
    <w:rsid w:val="071E2B37"/>
    <w:rsid w:val="08544F3E"/>
    <w:rsid w:val="087D60B7"/>
    <w:rsid w:val="09E87976"/>
    <w:rsid w:val="0A0E6016"/>
    <w:rsid w:val="0A2032A3"/>
    <w:rsid w:val="0A23707D"/>
    <w:rsid w:val="0AD15602"/>
    <w:rsid w:val="0BEC5A36"/>
    <w:rsid w:val="0CE1600F"/>
    <w:rsid w:val="0DB73D8D"/>
    <w:rsid w:val="0E956EB2"/>
    <w:rsid w:val="0EDF70F7"/>
    <w:rsid w:val="0FD32602"/>
    <w:rsid w:val="0FF036E4"/>
    <w:rsid w:val="10C055FF"/>
    <w:rsid w:val="10E07D07"/>
    <w:rsid w:val="118107EC"/>
    <w:rsid w:val="11CC5D8D"/>
    <w:rsid w:val="12AC4799"/>
    <w:rsid w:val="12F738B1"/>
    <w:rsid w:val="131E19A6"/>
    <w:rsid w:val="13C475DD"/>
    <w:rsid w:val="150A3AE4"/>
    <w:rsid w:val="15631FD8"/>
    <w:rsid w:val="159760BB"/>
    <w:rsid w:val="16BB723D"/>
    <w:rsid w:val="180B17A1"/>
    <w:rsid w:val="18D70AA6"/>
    <w:rsid w:val="1AB17412"/>
    <w:rsid w:val="1AF850E1"/>
    <w:rsid w:val="1C4D35B0"/>
    <w:rsid w:val="1CC04AD4"/>
    <w:rsid w:val="1D155CEE"/>
    <w:rsid w:val="1EFA0A68"/>
    <w:rsid w:val="1F044B17"/>
    <w:rsid w:val="202060B7"/>
    <w:rsid w:val="20DD16C0"/>
    <w:rsid w:val="210840B3"/>
    <w:rsid w:val="21F7750D"/>
    <w:rsid w:val="22D4390D"/>
    <w:rsid w:val="23F64BB3"/>
    <w:rsid w:val="240371BF"/>
    <w:rsid w:val="24DB5D8E"/>
    <w:rsid w:val="260F6923"/>
    <w:rsid w:val="26CB15D6"/>
    <w:rsid w:val="27615C79"/>
    <w:rsid w:val="276F3C69"/>
    <w:rsid w:val="28641829"/>
    <w:rsid w:val="29D62ED4"/>
    <w:rsid w:val="29FD04D3"/>
    <w:rsid w:val="2C54501C"/>
    <w:rsid w:val="2CB85F71"/>
    <w:rsid w:val="2CF53CC9"/>
    <w:rsid w:val="2D287F13"/>
    <w:rsid w:val="2E724924"/>
    <w:rsid w:val="300248C1"/>
    <w:rsid w:val="319F7F4E"/>
    <w:rsid w:val="32045C55"/>
    <w:rsid w:val="325A7781"/>
    <w:rsid w:val="32A04303"/>
    <w:rsid w:val="33CF5D48"/>
    <w:rsid w:val="33E90318"/>
    <w:rsid w:val="33F9657F"/>
    <w:rsid w:val="34024484"/>
    <w:rsid w:val="34C006CA"/>
    <w:rsid w:val="366A73C1"/>
    <w:rsid w:val="36C737A6"/>
    <w:rsid w:val="39E72C3A"/>
    <w:rsid w:val="3A7D3620"/>
    <w:rsid w:val="3B8C5BF9"/>
    <w:rsid w:val="3BB34272"/>
    <w:rsid w:val="3C3252E3"/>
    <w:rsid w:val="3C365C50"/>
    <w:rsid w:val="3C8505CB"/>
    <w:rsid w:val="3D06386D"/>
    <w:rsid w:val="3DD939D1"/>
    <w:rsid w:val="3E1D0E67"/>
    <w:rsid w:val="404641F2"/>
    <w:rsid w:val="41247613"/>
    <w:rsid w:val="41771E1B"/>
    <w:rsid w:val="4310428B"/>
    <w:rsid w:val="442103CE"/>
    <w:rsid w:val="45960C4D"/>
    <w:rsid w:val="461E175D"/>
    <w:rsid w:val="46CE21A1"/>
    <w:rsid w:val="4A095B40"/>
    <w:rsid w:val="4AE9442B"/>
    <w:rsid w:val="4B91766D"/>
    <w:rsid w:val="4BE36C36"/>
    <w:rsid w:val="4CFD64F1"/>
    <w:rsid w:val="4D350847"/>
    <w:rsid w:val="4E044EA4"/>
    <w:rsid w:val="4ECE2238"/>
    <w:rsid w:val="4F020E96"/>
    <w:rsid w:val="4FC724C3"/>
    <w:rsid w:val="4FFA7AE6"/>
    <w:rsid w:val="51155863"/>
    <w:rsid w:val="51424159"/>
    <w:rsid w:val="514920DE"/>
    <w:rsid w:val="5169751B"/>
    <w:rsid w:val="52C700D6"/>
    <w:rsid w:val="536E0CFC"/>
    <w:rsid w:val="53DF416D"/>
    <w:rsid w:val="56F7049B"/>
    <w:rsid w:val="57FD3BE4"/>
    <w:rsid w:val="582C6992"/>
    <w:rsid w:val="58D1485C"/>
    <w:rsid w:val="595226B2"/>
    <w:rsid w:val="5A15682D"/>
    <w:rsid w:val="5AA644EE"/>
    <w:rsid w:val="5B410850"/>
    <w:rsid w:val="5DF159EF"/>
    <w:rsid w:val="5E1075E2"/>
    <w:rsid w:val="5E3517AA"/>
    <w:rsid w:val="5FAA71E8"/>
    <w:rsid w:val="5FFC5D42"/>
    <w:rsid w:val="60135ABB"/>
    <w:rsid w:val="60DE7F98"/>
    <w:rsid w:val="610604CA"/>
    <w:rsid w:val="62101A97"/>
    <w:rsid w:val="627408CD"/>
    <w:rsid w:val="636C56A9"/>
    <w:rsid w:val="637D41E2"/>
    <w:rsid w:val="63CF761A"/>
    <w:rsid w:val="641E3165"/>
    <w:rsid w:val="643358B9"/>
    <w:rsid w:val="64B95F1E"/>
    <w:rsid w:val="668B5068"/>
    <w:rsid w:val="680E66E9"/>
    <w:rsid w:val="682038A0"/>
    <w:rsid w:val="6B5E5878"/>
    <w:rsid w:val="6BA76E2C"/>
    <w:rsid w:val="6C3D4A02"/>
    <w:rsid w:val="6C4A05C8"/>
    <w:rsid w:val="6CC5693E"/>
    <w:rsid w:val="6D071CB3"/>
    <w:rsid w:val="6E652FE5"/>
    <w:rsid w:val="6EB81AEA"/>
    <w:rsid w:val="6F2E3FC3"/>
    <w:rsid w:val="725C519B"/>
    <w:rsid w:val="72734D90"/>
    <w:rsid w:val="72957E27"/>
    <w:rsid w:val="73CC2644"/>
    <w:rsid w:val="750F7003"/>
    <w:rsid w:val="750F750F"/>
    <w:rsid w:val="76246E4A"/>
    <w:rsid w:val="763B0A2D"/>
    <w:rsid w:val="77A333F8"/>
    <w:rsid w:val="77B55299"/>
    <w:rsid w:val="77EB563C"/>
    <w:rsid w:val="795E774F"/>
    <w:rsid w:val="79A65263"/>
    <w:rsid w:val="7A496ECD"/>
    <w:rsid w:val="7AD96861"/>
    <w:rsid w:val="7D513935"/>
    <w:rsid w:val="7D622771"/>
    <w:rsid w:val="7DC312CF"/>
    <w:rsid w:val="7EF447E2"/>
    <w:rsid w:val="7F012BF4"/>
    <w:rsid w:val="B7AF13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1260"/>
      <w:jc w:val="left"/>
    </w:pPr>
    <w:rPr>
      <w:rFonts w:ascii="??" w:eastAsia="Times New Roman"/>
      <w:sz w:val="18"/>
      <w:szCs w:val="18"/>
    </w:rPr>
  </w:style>
  <w:style w:type="paragraph" w:styleId="6">
    <w:name w:val="toa heading"/>
    <w:basedOn w:val="1"/>
    <w:next w:val="1"/>
    <w:qFormat/>
    <w:uiPriority w:val="99"/>
    <w:rPr>
      <w:rFonts w:ascii="Arial" w:hAnsi="Arial"/>
      <w:sz w:val="24"/>
    </w:rPr>
  </w:style>
  <w:style w:type="paragraph" w:styleId="7">
    <w:name w:val="Body Text"/>
    <w:basedOn w:val="1"/>
    <w:link w:val="32"/>
    <w:qFormat/>
    <w:uiPriority w:val="99"/>
    <w:pPr>
      <w:spacing w:beforeLines="30"/>
    </w:pPr>
    <w:rPr>
      <w:rFonts w:ascii="仿宋_GB2312" w:eastAsia="仿宋_GB2312"/>
      <w:kern w:val="0"/>
      <w:sz w:val="24"/>
      <w:szCs w:val="20"/>
    </w:rPr>
  </w:style>
  <w:style w:type="paragraph" w:styleId="8">
    <w:name w:val="toc 5"/>
    <w:basedOn w:val="1"/>
    <w:next w:val="1"/>
    <w:qFormat/>
    <w:uiPriority w:val="99"/>
    <w:pPr>
      <w:ind w:left="840"/>
      <w:jc w:val="left"/>
    </w:pPr>
    <w:rPr>
      <w:rFonts w:ascii="??" w:eastAsia="Times New Roman"/>
      <w:sz w:val="18"/>
      <w:szCs w:val="18"/>
    </w:rPr>
  </w:style>
  <w:style w:type="paragraph" w:styleId="9">
    <w:name w:val="toc 3"/>
    <w:basedOn w:val="1"/>
    <w:next w:val="1"/>
    <w:qFormat/>
    <w:uiPriority w:val="99"/>
    <w:pPr>
      <w:ind w:left="420"/>
      <w:jc w:val="left"/>
    </w:pPr>
    <w:rPr>
      <w:rFonts w:ascii="??" w:eastAsia="Times New Roman"/>
      <w:i/>
      <w:iCs/>
      <w:sz w:val="20"/>
      <w:szCs w:val="20"/>
    </w:rPr>
  </w:style>
  <w:style w:type="paragraph" w:styleId="10">
    <w:name w:val="toc 8"/>
    <w:basedOn w:val="1"/>
    <w:next w:val="1"/>
    <w:qFormat/>
    <w:uiPriority w:val="99"/>
    <w:pPr>
      <w:ind w:left="1470"/>
      <w:jc w:val="left"/>
    </w:pPr>
    <w:rPr>
      <w:rFonts w:ascii="??" w:eastAsia="Times New Roman"/>
      <w:sz w:val="18"/>
      <w:szCs w:val="18"/>
    </w:rPr>
  </w:style>
  <w:style w:type="paragraph" w:styleId="11">
    <w:name w:val="Balloon Text"/>
    <w:basedOn w:val="1"/>
    <w:link w:val="27"/>
    <w:semiHidden/>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99"/>
    <w:pPr>
      <w:spacing w:before="120" w:after="120"/>
      <w:jc w:val="left"/>
    </w:pPr>
    <w:rPr>
      <w:rFonts w:ascii="??" w:eastAsia="Times New Roman"/>
      <w:b/>
      <w:bCs/>
      <w:caps/>
      <w:sz w:val="20"/>
      <w:szCs w:val="20"/>
    </w:rPr>
  </w:style>
  <w:style w:type="paragraph" w:styleId="15">
    <w:name w:val="toc 4"/>
    <w:basedOn w:val="1"/>
    <w:next w:val="1"/>
    <w:qFormat/>
    <w:uiPriority w:val="99"/>
    <w:pPr>
      <w:ind w:left="630"/>
      <w:jc w:val="left"/>
    </w:pPr>
    <w:rPr>
      <w:rFonts w:ascii="??" w:eastAsia="Times New Roman"/>
      <w:sz w:val="18"/>
      <w:szCs w:val="18"/>
    </w:rPr>
  </w:style>
  <w:style w:type="paragraph" w:styleId="16">
    <w:name w:val="toc 6"/>
    <w:basedOn w:val="1"/>
    <w:next w:val="1"/>
    <w:qFormat/>
    <w:uiPriority w:val="99"/>
    <w:pPr>
      <w:ind w:left="1050"/>
      <w:jc w:val="left"/>
    </w:pPr>
    <w:rPr>
      <w:rFonts w:ascii="??" w:eastAsia="Times New Roman"/>
      <w:sz w:val="18"/>
      <w:szCs w:val="18"/>
    </w:rPr>
  </w:style>
  <w:style w:type="paragraph" w:styleId="17">
    <w:name w:val="toc 2"/>
    <w:basedOn w:val="1"/>
    <w:next w:val="1"/>
    <w:qFormat/>
    <w:uiPriority w:val="99"/>
    <w:pPr>
      <w:ind w:left="210"/>
      <w:jc w:val="left"/>
    </w:pPr>
    <w:rPr>
      <w:rFonts w:ascii="??" w:eastAsia="Times New Roman"/>
      <w:smallCaps/>
      <w:sz w:val="20"/>
      <w:szCs w:val="20"/>
    </w:rPr>
  </w:style>
  <w:style w:type="paragraph" w:styleId="18">
    <w:name w:val="toc 9"/>
    <w:basedOn w:val="1"/>
    <w:next w:val="1"/>
    <w:qFormat/>
    <w:uiPriority w:val="99"/>
    <w:pPr>
      <w:ind w:left="1680"/>
      <w:jc w:val="left"/>
    </w:pPr>
    <w:rPr>
      <w:rFonts w:ascii="??" w:eastAsia="Times New Roman"/>
      <w:sz w:val="18"/>
      <w:szCs w:val="18"/>
    </w:rPr>
  </w:style>
  <w:style w:type="character" w:styleId="21">
    <w:name w:val="Strong"/>
    <w:basedOn w:val="20"/>
    <w:qFormat/>
    <w:uiPriority w:val="99"/>
    <w:rPr>
      <w:rFonts w:cs="Times New Roman"/>
      <w:b/>
    </w:rPr>
  </w:style>
  <w:style w:type="character" w:styleId="22">
    <w:name w:val="Hyperlink"/>
    <w:basedOn w:val="20"/>
    <w:qFormat/>
    <w:uiPriority w:val="99"/>
    <w:rPr>
      <w:rFonts w:cs="Times New Roman"/>
      <w:color w:val="0000FF"/>
      <w:u w:val="single"/>
    </w:rPr>
  </w:style>
  <w:style w:type="character" w:customStyle="1" w:styleId="23">
    <w:name w:val="Heading 1 Char"/>
    <w:basedOn w:val="20"/>
    <w:link w:val="2"/>
    <w:qFormat/>
    <w:locked/>
    <w:uiPriority w:val="99"/>
    <w:rPr>
      <w:rFonts w:ascii="Times New Roman" w:hAnsi="Times New Roman" w:cs="Times New Roman"/>
      <w:b/>
      <w:bCs/>
      <w:kern w:val="44"/>
      <w:sz w:val="44"/>
      <w:szCs w:val="44"/>
    </w:rPr>
  </w:style>
  <w:style w:type="character" w:customStyle="1" w:styleId="24">
    <w:name w:val="Heading 2 Char"/>
    <w:basedOn w:val="20"/>
    <w:link w:val="3"/>
    <w:qFormat/>
    <w:locked/>
    <w:uiPriority w:val="99"/>
    <w:rPr>
      <w:rFonts w:ascii="Cambria" w:hAnsi="Cambria" w:eastAsia="宋体" w:cs="Times New Roman"/>
      <w:b/>
      <w:bCs/>
      <w:kern w:val="2"/>
      <w:sz w:val="32"/>
      <w:szCs w:val="32"/>
    </w:rPr>
  </w:style>
  <w:style w:type="character" w:customStyle="1" w:styleId="25">
    <w:name w:val="标题 3 Char"/>
    <w:basedOn w:val="20"/>
    <w:link w:val="4"/>
    <w:qFormat/>
    <w:locked/>
    <w:uiPriority w:val="99"/>
    <w:rPr>
      <w:rFonts w:ascii="Times New Roman" w:hAnsi="Times New Roman" w:cs="Times New Roman"/>
      <w:b/>
      <w:bCs/>
      <w:kern w:val="2"/>
      <w:sz w:val="32"/>
      <w:szCs w:val="32"/>
    </w:rPr>
  </w:style>
  <w:style w:type="character" w:customStyle="1" w:styleId="26">
    <w:name w:val="Body Text Char"/>
    <w:basedOn w:val="20"/>
    <w:link w:val="7"/>
    <w:semiHidden/>
    <w:qFormat/>
    <w:uiPriority w:val="99"/>
    <w:rPr>
      <w:rFonts w:ascii="Times New Roman" w:hAnsi="Times New Roman" w:cs="Times New Roman"/>
      <w:sz w:val="24"/>
      <w:szCs w:val="24"/>
    </w:rPr>
  </w:style>
  <w:style w:type="character" w:customStyle="1" w:styleId="27">
    <w:name w:val="批注框文本 Char"/>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link w:val="12"/>
    <w:semiHidden/>
    <w:qFormat/>
    <w:uiPriority w:val="99"/>
    <w:rPr>
      <w:rFonts w:ascii="Times New Roman" w:hAnsi="Times New Roman" w:cs="Times New Roman"/>
      <w:sz w:val="18"/>
      <w:szCs w:val="18"/>
    </w:rPr>
  </w:style>
  <w:style w:type="character" w:customStyle="1" w:styleId="29">
    <w:name w:val="Header Char"/>
    <w:basedOn w:val="20"/>
    <w:link w:val="13"/>
    <w:semiHidden/>
    <w:qFormat/>
    <w:uiPriority w:val="99"/>
    <w:rPr>
      <w:rFonts w:ascii="Times New Roman" w:hAnsi="Times New Roman" w:cs="Times New Roman"/>
      <w:sz w:val="18"/>
      <w:szCs w:val="18"/>
    </w:rPr>
  </w:style>
  <w:style w:type="character" w:customStyle="1" w:styleId="30">
    <w:name w:val="页眉 Char"/>
    <w:link w:val="13"/>
    <w:semiHidden/>
    <w:qFormat/>
    <w:locked/>
    <w:uiPriority w:val="99"/>
    <w:rPr>
      <w:sz w:val="18"/>
    </w:rPr>
  </w:style>
  <w:style w:type="character" w:customStyle="1" w:styleId="31">
    <w:name w:val="页脚 Char"/>
    <w:link w:val="12"/>
    <w:qFormat/>
    <w:locked/>
    <w:uiPriority w:val="99"/>
    <w:rPr>
      <w:sz w:val="18"/>
    </w:rPr>
  </w:style>
  <w:style w:type="character" w:customStyle="1" w:styleId="32">
    <w:name w:val="正文文本 Char"/>
    <w:link w:val="7"/>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99"/>
    <w:pPr>
      <w:ind w:firstLine="420" w:firstLineChars="200"/>
    </w:pPr>
  </w:style>
  <w:style w:type="paragraph" w:customStyle="1" w:styleId="35">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2"/>
    <w:basedOn w:val="2"/>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8">
    <w:name w:val="标题 1 Char"/>
    <w:basedOn w:val="20"/>
    <w:link w:val="2"/>
    <w:qFormat/>
    <w:locked/>
    <w:uiPriority w:val="9"/>
    <w:rPr>
      <w:rFonts w:ascii="Times New Roman" w:hAnsi="Times New Roman" w:cs="Times New Roman"/>
      <w:b/>
      <w:bCs/>
      <w:kern w:val="44"/>
      <w:sz w:val="44"/>
      <w:szCs w:val="44"/>
    </w:rPr>
  </w:style>
  <w:style w:type="character" w:customStyle="1" w:styleId="39">
    <w:name w:val="标题 2 Char"/>
    <w:basedOn w:val="20"/>
    <w:link w:val="3"/>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Workbook2.xls"/><Relationship Id="rId7" Type="http://schemas.openxmlformats.org/officeDocument/2006/relationships/image" Target="media/image1.emf"/><Relationship Id="rId6" Type="http://schemas.openxmlformats.org/officeDocument/2006/relationships/oleObject" Target="embeddings/Workbook1.xls"/><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Workbook8.xls"/><Relationship Id="rId18" Type="http://schemas.openxmlformats.org/officeDocument/2006/relationships/image" Target="media/image6.emf"/><Relationship Id="rId17" Type="http://schemas.openxmlformats.org/officeDocument/2006/relationships/oleObject" Target="embeddings/Workbook7.xls"/><Relationship Id="rId16" Type="http://schemas.openxmlformats.org/officeDocument/2006/relationships/image" Target="media/image5.emf"/><Relationship Id="rId15" Type="http://schemas.openxmlformats.org/officeDocument/2006/relationships/oleObject" Target="embeddings/Workbook6.xls"/><Relationship Id="rId14" Type="http://schemas.openxmlformats.org/officeDocument/2006/relationships/oleObject" Target="embeddings/Workbook5.xls"/><Relationship Id="rId13" Type="http://schemas.openxmlformats.org/officeDocument/2006/relationships/image" Target="media/image4.emf"/><Relationship Id="rId12" Type="http://schemas.openxmlformats.org/officeDocument/2006/relationships/oleObject" Target="embeddings/Workbook4.xls"/><Relationship Id="rId11" Type="http://schemas.openxmlformats.org/officeDocument/2006/relationships/image" Target="media/image3.emf"/><Relationship Id="rId10" Type="http://schemas.openxmlformats.org/officeDocument/2006/relationships/oleObject" Target="embeddings/Workbook3.xls"/><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6977</Words>
  <Characters>1408</Characters>
  <Lines>11</Lines>
  <Paragraphs>16</Paragraphs>
  <TotalTime>143</TotalTime>
  <ScaleCrop>false</ScaleCrop>
  <LinksUpToDate>false</LinksUpToDate>
  <CharactersWithSpaces>8369</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2022-07-14T23:28:00Z</cp:lastPrinted>
  <dcterms:modified xsi:type="dcterms:W3CDTF">2023-10-16T16:52:09Z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CCA93DB771964D8393BB2E25DEA87622</vt:lpwstr>
  </property>
</Properties>
</file>