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89980">
      <w:pPr>
        <w:spacing w:line="600" w:lineRule="exact"/>
        <w:jc w:val="center"/>
        <w:outlineLvl w:val="0"/>
        <w:rPr>
          <w:rFonts w:ascii="方正小标宋简体" w:eastAsia="方正小标宋简体"/>
          <w:color w:val="000000"/>
          <w:sz w:val="72"/>
          <w:szCs w:val="72"/>
        </w:rPr>
      </w:pPr>
      <w:bookmarkStart w:id="0" w:name="_Toc15306267"/>
    </w:p>
    <w:p w14:paraId="7243E764">
      <w:pPr>
        <w:spacing w:line="600" w:lineRule="exact"/>
        <w:jc w:val="center"/>
        <w:outlineLvl w:val="0"/>
        <w:rPr>
          <w:rFonts w:ascii="方正小标宋简体" w:eastAsia="方正小标宋简体"/>
          <w:color w:val="000000"/>
          <w:sz w:val="72"/>
          <w:szCs w:val="72"/>
        </w:rPr>
      </w:pPr>
    </w:p>
    <w:p w14:paraId="3CE58772">
      <w:pPr>
        <w:spacing w:line="600" w:lineRule="exact"/>
        <w:jc w:val="center"/>
        <w:outlineLvl w:val="0"/>
        <w:rPr>
          <w:rFonts w:ascii="方正小标宋简体" w:eastAsia="方正小标宋简体"/>
          <w:color w:val="000000"/>
          <w:sz w:val="72"/>
          <w:szCs w:val="72"/>
        </w:rPr>
      </w:pPr>
    </w:p>
    <w:bookmarkEnd w:id="0"/>
    <w:p w14:paraId="3955BA0D">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2022年度</w:t>
      </w:r>
    </w:p>
    <w:p w14:paraId="1BC2748C">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四川省阿坝州茂县残联2022年度部门决算事业部门决算</w:t>
      </w:r>
    </w:p>
    <w:p w14:paraId="6C8FD413">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(部门公开)</w:t>
      </w:r>
    </w:p>
    <w:p w14:paraId="5AFDEF30">
      <w:pPr>
        <w:spacing w:line="576" w:lineRule="exact"/>
        <w:jc w:val="center"/>
        <w:rPr>
          <w:rFonts w:ascii="黑体" w:eastAsia="黑体"/>
          <w:sz w:val="72"/>
          <w:szCs w:val="72"/>
        </w:rPr>
      </w:pPr>
      <w:r>
        <w:rPr>
          <w:rFonts w:ascii="黑体" w:eastAsia="黑体"/>
          <w:sz w:val="72"/>
          <w:szCs w:val="72"/>
        </w:rPr>
        <w:t> </w:t>
      </w:r>
    </w:p>
    <w:p w14:paraId="48D52ED6">
      <w:pPr>
        <w:pStyle w:val="2"/>
      </w:pPr>
    </w:p>
    <w:p w14:paraId="17B907C2">
      <w:pPr>
        <w:spacing w:line="576" w:lineRule="exact"/>
        <w:jc w:val="center"/>
        <w:rPr>
          <w:rFonts w:ascii="黑体" w:eastAsia="黑体"/>
          <w:sz w:val="72"/>
          <w:szCs w:val="72"/>
        </w:rPr>
      </w:pPr>
    </w:p>
    <w:p w14:paraId="18734F69">
      <w:pPr>
        <w:spacing w:line="576" w:lineRule="exact"/>
        <w:jc w:val="center"/>
        <w:rPr>
          <w:rFonts w:ascii="黑体" w:eastAsia="黑体"/>
          <w:sz w:val="72"/>
          <w:szCs w:val="72"/>
        </w:rPr>
      </w:pPr>
      <w:r>
        <w:rPr>
          <w:rFonts w:ascii="黑体" w:eastAsia="黑体"/>
          <w:sz w:val="72"/>
          <w:szCs w:val="72"/>
        </w:rPr>
        <w:t> </w:t>
      </w:r>
    </w:p>
    <w:p w14:paraId="352B5D32">
      <w:pPr>
        <w:autoSpaceDE w:val="0"/>
        <w:autoSpaceDN w:val="0"/>
        <w:adjustRightInd w:val="0"/>
        <w:spacing w:line="576" w:lineRule="exact"/>
        <w:ind w:left="420" w:leftChars="200"/>
        <w:jc w:val="left"/>
        <w:rPr>
          <w:rFonts w:ascii="宋体" w:cs="仿宋_GB2312"/>
          <w:sz w:val="32"/>
          <w:szCs w:val="32"/>
        </w:rPr>
      </w:pPr>
      <w:r>
        <w:rPr>
          <w:rFonts w:hint="eastAsia" w:ascii="宋体" w:cs="仿宋_GB2312"/>
          <w:sz w:val="32"/>
          <w:szCs w:val="32"/>
        </w:rPr>
        <w:t>已经保密审查、内容审定，同意对外公开</w:t>
      </w:r>
    </w:p>
    <w:p w14:paraId="0F999C80"/>
    <w:p w14:paraId="56E2F5CC">
      <w:pPr>
        <w:spacing w:line="576" w:lineRule="exact"/>
        <w:jc w:val="center"/>
        <w:rPr>
          <w:rFonts w:ascii="黑体" w:eastAsia="黑体"/>
          <w:sz w:val="72"/>
          <w:szCs w:val="72"/>
        </w:rPr>
      </w:pPr>
      <w:r>
        <w:rPr>
          <w:rFonts w:ascii="黑体" w:eastAsia="黑体"/>
          <w:sz w:val="72"/>
          <w:szCs w:val="72"/>
        </w:rPr>
        <w:t> </w:t>
      </w:r>
    </w:p>
    <w:p w14:paraId="017E9E3D">
      <w:pPr>
        <w:widowControl/>
        <w:jc w:val="center"/>
        <w:rPr>
          <w:rFonts w:hint="eastAsia" w:ascii="方正小标宋简体" w:eastAsia="方正小标宋简体"/>
          <w:color w:val="000000"/>
          <w:sz w:val="36"/>
          <w:szCs w:val="36"/>
        </w:rPr>
      </w:pPr>
    </w:p>
    <w:p w14:paraId="53B25A58">
      <w:pPr>
        <w:pStyle w:val="2"/>
        <w:rPr>
          <w:rFonts w:hint="eastAsia"/>
        </w:rPr>
      </w:pPr>
    </w:p>
    <w:p w14:paraId="024F1A1B">
      <w:pPr>
        <w:rPr>
          <w:rFonts w:hint="eastAsia"/>
        </w:rPr>
      </w:pPr>
    </w:p>
    <w:p w14:paraId="396C0CF3">
      <w:pPr>
        <w:pStyle w:val="2"/>
        <w:rPr>
          <w:rFonts w:hint="eastAsia"/>
        </w:rPr>
      </w:pPr>
    </w:p>
    <w:p w14:paraId="3DC073F8">
      <w:pPr>
        <w:rPr>
          <w:rFonts w:hint="eastAsia"/>
        </w:rPr>
      </w:pPr>
    </w:p>
    <w:p w14:paraId="19ACB6D3">
      <w:pPr>
        <w:pStyle w:val="2"/>
        <w:rPr>
          <w:rFonts w:hint="eastAsia"/>
        </w:rPr>
      </w:pPr>
    </w:p>
    <w:p w14:paraId="014D9D40">
      <w:pPr>
        <w:rPr>
          <w:rFonts w:hint="eastAsia"/>
        </w:rPr>
      </w:pPr>
    </w:p>
    <w:p w14:paraId="075BA17E">
      <w:pPr>
        <w:pStyle w:val="2"/>
        <w:rPr>
          <w:rFonts w:hint="eastAsia"/>
        </w:rPr>
      </w:pPr>
    </w:p>
    <w:p w14:paraId="319E6070">
      <w:pPr>
        <w:rPr>
          <w:rFonts w:hint="eastAsia"/>
        </w:rPr>
      </w:pPr>
    </w:p>
    <w:p w14:paraId="333093DA">
      <w:pPr>
        <w:pStyle w:val="2"/>
        <w:rPr>
          <w:rFonts w:hint="eastAsia"/>
        </w:rPr>
      </w:pPr>
    </w:p>
    <w:p w14:paraId="41FF9D93">
      <w:pPr>
        <w:rPr>
          <w:rFonts w:hint="eastAsia"/>
        </w:rPr>
      </w:pPr>
    </w:p>
    <w:p w14:paraId="5B47927E">
      <w:pPr>
        <w:pStyle w:val="2"/>
        <w:rPr>
          <w:rFonts w:hint="eastAsia"/>
        </w:rPr>
      </w:pPr>
    </w:p>
    <w:p w14:paraId="0E10FA6C">
      <w:pPr>
        <w:rPr>
          <w:rFonts w:hint="eastAsia"/>
        </w:rPr>
      </w:pPr>
    </w:p>
    <w:p w14:paraId="0F38E147">
      <w:pPr>
        <w:pStyle w:val="2"/>
        <w:rPr>
          <w:rFonts w:hint="eastAsia"/>
        </w:rPr>
      </w:pPr>
    </w:p>
    <w:p w14:paraId="15DEDF5C">
      <w:pPr>
        <w:rPr>
          <w:rFonts w:hint="eastAsia"/>
        </w:rPr>
      </w:pPr>
    </w:p>
    <w:p w14:paraId="1A86F216">
      <w:pPr>
        <w:pStyle w:val="2"/>
        <w:rPr>
          <w:rFonts w:hint="eastAsia"/>
        </w:rPr>
      </w:pPr>
    </w:p>
    <w:p w14:paraId="76518710">
      <w:pPr>
        <w:rPr>
          <w:rFonts w:hint="eastAsia"/>
        </w:rPr>
      </w:pPr>
    </w:p>
    <w:p w14:paraId="0C865EC2">
      <w:pPr>
        <w:pStyle w:val="2"/>
      </w:pPr>
    </w:p>
    <w:p w14:paraId="61E8F338">
      <w:pPr>
        <w:widowControl/>
        <w:ind w:firstLine="3360" w:firstLineChars="700"/>
        <w:rPr>
          <w:rFonts w:ascii="黑体" w:eastAsia="黑体"/>
          <w:color w:val="000000"/>
          <w:sz w:val="48"/>
          <w:szCs w:val="48"/>
        </w:rPr>
      </w:pPr>
      <w:r>
        <w:rPr>
          <w:rFonts w:hint="eastAsia" w:ascii="黑体" w:eastAsia="黑体"/>
          <w:color w:val="000000"/>
          <w:sz w:val="48"/>
          <w:szCs w:val="48"/>
        </w:rPr>
        <w:t xml:space="preserve"> 目录</w:t>
      </w:r>
    </w:p>
    <w:p w14:paraId="6F64279C">
      <w:pPr>
        <w:pStyle w:val="15"/>
        <w:jc w:val="center"/>
        <w:rPr>
          <w:b w:val="0"/>
          <w:bCs w:val="0"/>
          <w:sz w:val="24"/>
          <w:szCs w:val="24"/>
        </w:rPr>
      </w:pPr>
      <w:r>
        <w:rPr>
          <w:rFonts w:hint="eastAsia"/>
          <w:b w:val="0"/>
          <w:bCs w:val="0"/>
          <w:sz w:val="24"/>
          <w:szCs w:val="24"/>
        </w:rPr>
        <w:t>公开时间：2023年</w:t>
      </w:r>
      <w:r>
        <w:rPr>
          <w:b w:val="0"/>
          <w:bCs w:val="0"/>
          <w:sz w:val="24"/>
          <w:szCs w:val="24"/>
        </w:rPr>
        <w:t>9</w:t>
      </w:r>
      <w:r>
        <w:rPr>
          <w:rFonts w:hint="eastAsia"/>
          <w:b w:val="0"/>
          <w:bCs w:val="0"/>
          <w:sz w:val="24"/>
          <w:szCs w:val="24"/>
        </w:rPr>
        <w:t>月12日</w:t>
      </w:r>
    </w:p>
    <w:p w14:paraId="49879DAF">
      <w:pPr>
        <w:pStyle w:val="1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Cs w:val="0"/>
          <w:caps w:val="0"/>
          <w:smallCaps/>
        </w:rPr>
        <w:t>第一部分 部门概况</w:t>
      </w:r>
      <w:r>
        <w:rPr>
          <w:rFonts w:ascii="仿宋" w:eastAsia="仿宋"/>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3</w:t>
      </w:r>
      <w:r>
        <w:rPr>
          <w:rFonts w:ascii="仿宋" w:eastAsia="仿宋"/>
          <w:b w:val="0"/>
          <w:bCs w:val="0"/>
          <w:caps w:val="0"/>
          <w:smallCaps/>
        </w:rPr>
        <w:fldChar w:fldCharType="end"/>
      </w:r>
    </w:p>
    <w:p w14:paraId="587B81F6">
      <w:pPr>
        <w:pStyle w:val="18"/>
        <w:tabs>
          <w:tab w:val="right" w:leader="dot" w:pos="8296"/>
        </w:tabs>
        <w:rPr>
          <w:rFonts w:ascii="仿宋" w:eastAsia="仿宋"/>
        </w:rPr>
      </w:pPr>
      <w:r>
        <w:rPr>
          <w:rFonts w:ascii="仿宋" w:eastAsia="仿宋"/>
          <w:b/>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14:paraId="32742FC3">
      <w:pPr>
        <w:pStyle w:val="10"/>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14:paraId="76307F25">
      <w:pPr>
        <w:pStyle w:val="10"/>
        <w:tabs>
          <w:tab w:val="right" w:leader="dot" w:pos="8296"/>
        </w:tabs>
        <w:rPr>
          <w:rFonts w:ascii="仿宋" w:eastAsia="仿宋"/>
          <w:i w:val="0"/>
          <w:iCs w:val="0"/>
          <w:caps w:val="0"/>
          <w:smallCaps/>
        </w:rPr>
      </w:pPr>
      <w:r>
        <w:rPr>
          <w:rFonts w:ascii="仿宋" w:eastAsia="仿宋"/>
          <w:i w:val="0"/>
          <w:iCs w:val="0"/>
          <w:caps w:val="0"/>
          <w:smallCaps/>
        </w:rPr>
        <w:t>（二）202</w:t>
      </w:r>
      <w:r>
        <w:rPr>
          <w:rFonts w:hint="eastAsia" w:ascii="仿宋" w:eastAsia="仿宋"/>
          <w:i w:val="0"/>
          <w:iCs w:val="0"/>
          <w:caps w:val="0"/>
          <w:smallCaps/>
        </w:rPr>
        <w:t>2</w:t>
      </w:r>
      <w:r>
        <w:rPr>
          <w:rFonts w:ascii="仿宋" w:eastAsia="仿宋"/>
          <w:i w:val="0"/>
          <w:iCs w:val="0"/>
          <w:caps w:val="0"/>
          <w:smallCaps/>
        </w:rPr>
        <w:t>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14:paraId="1C83523E">
      <w:pPr>
        <w:pStyle w:val="18"/>
        <w:tabs>
          <w:tab w:val="right" w:leader="dot" w:pos="8296"/>
        </w:tabs>
        <w:rPr>
          <w:rFonts w:ascii="仿宋" w:eastAsia="仿宋"/>
        </w:rPr>
      </w:pPr>
      <w:r>
        <w:rPr>
          <w:rFonts w:ascii="仿宋" w:eastAsia="仿宋"/>
          <w:b/>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5</w:t>
      </w:r>
      <w:r>
        <w:rPr>
          <w:rFonts w:ascii="仿宋" w:eastAsia="仿宋"/>
        </w:rPr>
        <w:fldChar w:fldCharType="end"/>
      </w:r>
    </w:p>
    <w:p w14:paraId="1A78E87A">
      <w:pPr>
        <w:pStyle w:val="15"/>
        <w:tabs>
          <w:tab w:val="right" w:leader="dot" w:pos="8296"/>
        </w:tabs>
        <w:rPr>
          <w:rFonts w:ascii="仿宋" w:eastAsia="仿宋"/>
          <w:b w:val="0"/>
          <w:bCs w:val="0"/>
          <w:caps w:val="0"/>
          <w:smallCaps/>
        </w:rPr>
      </w:pPr>
      <w:r>
        <w:rPr>
          <w:rFonts w:ascii="仿宋" w:eastAsia="仿宋"/>
          <w:b w:val="0"/>
          <w:bCs w:val="0"/>
          <w:caps w:val="0"/>
          <w:smallCaps/>
        </w:rPr>
        <w:t>第二部分 202</w:t>
      </w:r>
      <w:r>
        <w:rPr>
          <w:rFonts w:hint="eastAsia" w:ascii="仿宋" w:eastAsia="仿宋"/>
          <w:b w:val="0"/>
          <w:bCs w:val="0"/>
          <w:caps w:val="0"/>
          <w:smallCaps/>
        </w:rPr>
        <w:t>2</w:t>
      </w:r>
      <w:r>
        <w:rPr>
          <w:rFonts w:ascii="仿宋" w:eastAsia="仿宋"/>
          <w:b w:val="0"/>
          <w:bCs w:val="0"/>
          <w:caps w:val="0"/>
          <w:smallCaps/>
        </w:rPr>
        <w:t>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14:paraId="1C5F8424">
      <w:pPr>
        <w:pStyle w:val="18"/>
        <w:tabs>
          <w:tab w:val="left" w:pos="840"/>
          <w:tab w:val="right" w:leader="dot" w:pos="8296"/>
        </w:tabs>
        <w:rPr>
          <w:rFonts w:ascii="仿宋" w:eastAsia="仿宋"/>
          <w:b/>
        </w:rPr>
      </w:pPr>
      <w:r>
        <w:rPr>
          <w:rFonts w:ascii="仿宋" w:eastAsia="仿宋"/>
          <w:b/>
        </w:rPr>
        <w:t>一、</w:t>
      </w:r>
      <w:r>
        <w:rPr>
          <w:rFonts w:ascii="仿宋" w:eastAsia="仿宋"/>
          <w:b/>
        </w:rPr>
        <w:tab/>
      </w:r>
      <w:r>
        <w:rPr>
          <w:rFonts w:ascii="仿宋" w:eastAsia="仿宋"/>
          <w:b/>
        </w:rPr>
        <w:t>收入支出决算总体情况说明</w:t>
      </w:r>
      <w:r>
        <w:rPr>
          <w:rFonts w:ascii="仿宋" w:eastAsia="仿宋"/>
          <w:b/>
        </w:rPr>
        <w:tab/>
      </w:r>
      <w:r>
        <w:rPr>
          <w:rFonts w:ascii="仿宋" w:eastAsia="仿宋"/>
          <w:b/>
        </w:rPr>
        <w:fldChar w:fldCharType="begin"/>
      </w:r>
      <w:r>
        <w:rPr>
          <w:rFonts w:ascii="仿宋" w:eastAsia="仿宋"/>
          <w:b/>
        </w:rPr>
        <w:instrText xml:space="preserve"> PAGEREF _Toc79163860 \h </w:instrText>
      </w:r>
      <w:r>
        <w:rPr>
          <w:rFonts w:ascii="仿宋" w:eastAsia="仿宋"/>
          <w:b/>
        </w:rPr>
        <w:fldChar w:fldCharType="separate"/>
      </w:r>
      <w:r>
        <w:rPr>
          <w:rFonts w:ascii="仿宋" w:eastAsia="仿宋"/>
          <w:b/>
        </w:rPr>
        <w:t>5</w:t>
      </w:r>
      <w:r>
        <w:rPr>
          <w:rFonts w:ascii="仿宋" w:eastAsia="仿宋"/>
          <w:b/>
        </w:rPr>
        <w:fldChar w:fldCharType="end"/>
      </w:r>
    </w:p>
    <w:p w14:paraId="074FE6F5">
      <w:pPr>
        <w:pStyle w:val="18"/>
        <w:tabs>
          <w:tab w:val="left" w:pos="840"/>
          <w:tab w:val="right" w:leader="dot" w:pos="8296"/>
        </w:tabs>
        <w:rPr>
          <w:rFonts w:ascii="仿宋" w:eastAsia="仿宋"/>
          <w:b/>
        </w:rPr>
      </w:pPr>
      <w:r>
        <w:rPr>
          <w:rFonts w:ascii="仿宋" w:eastAsia="仿宋"/>
          <w:b/>
        </w:rPr>
        <w:t>二、</w:t>
      </w:r>
      <w:r>
        <w:rPr>
          <w:rFonts w:ascii="仿宋" w:eastAsia="仿宋"/>
          <w:b/>
        </w:rPr>
        <w:tab/>
      </w:r>
      <w:r>
        <w:rPr>
          <w:rFonts w:ascii="仿宋" w:eastAsia="仿宋"/>
          <w:b/>
        </w:rPr>
        <w:t>收入决算情况说明</w:t>
      </w:r>
      <w:r>
        <w:rPr>
          <w:rFonts w:ascii="仿宋" w:eastAsia="仿宋"/>
          <w:b/>
        </w:rPr>
        <w:tab/>
      </w:r>
      <w:r>
        <w:rPr>
          <w:rFonts w:ascii="仿宋" w:eastAsia="仿宋"/>
          <w:b/>
        </w:rPr>
        <w:fldChar w:fldCharType="begin"/>
      </w:r>
      <w:r>
        <w:rPr>
          <w:rFonts w:ascii="仿宋" w:eastAsia="仿宋"/>
          <w:b/>
        </w:rPr>
        <w:instrText xml:space="preserve"> PAGEREF _Toc79163861 \h </w:instrText>
      </w:r>
      <w:r>
        <w:rPr>
          <w:rFonts w:ascii="仿宋" w:eastAsia="仿宋"/>
          <w:b/>
        </w:rPr>
        <w:fldChar w:fldCharType="separate"/>
      </w:r>
      <w:r>
        <w:rPr>
          <w:rFonts w:ascii="仿宋" w:eastAsia="仿宋"/>
          <w:b/>
        </w:rPr>
        <w:t>5</w:t>
      </w:r>
      <w:r>
        <w:rPr>
          <w:rFonts w:ascii="仿宋" w:eastAsia="仿宋"/>
          <w:b/>
        </w:rPr>
        <w:fldChar w:fldCharType="end"/>
      </w:r>
    </w:p>
    <w:p w14:paraId="72CC1185">
      <w:pPr>
        <w:pStyle w:val="18"/>
        <w:tabs>
          <w:tab w:val="left" w:pos="840"/>
          <w:tab w:val="right" w:leader="dot" w:pos="8296"/>
        </w:tabs>
        <w:rPr>
          <w:rFonts w:ascii="仿宋" w:eastAsia="仿宋"/>
          <w:b/>
        </w:rPr>
      </w:pPr>
      <w:r>
        <w:rPr>
          <w:rFonts w:ascii="仿宋" w:eastAsia="仿宋"/>
          <w:b/>
        </w:rPr>
        <w:t>三、</w:t>
      </w:r>
      <w:r>
        <w:rPr>
          <w:rFonts w:ascii="仿宋" w:eastAsia="仿宋"/>
          <w:b/>
        </w:rPr>
        <w:tab/>
      </w:r>
      <w:r>
        <w:rPr>
          <w:rFonts w:ascii="仿宋" w:eastAsia="仿宋"/>
          <w:b/>
        </w:rPr>
        <w:t>支出决算情况说明</w:t>
      </w:r>
      <w:r>
        <w:rPr>
          <w:rFonts w:ascii="仿宋" w:eastAsia="仿宋"/>
          <w:b/>
        </w:rPr>
        <w:tab/>
      </w:r>
      <w:r>
        <w:rPr>
          <w:rFonts w:ascii="仿宋" w:eastAsia="仿宋"/>
          <w:b/>
        </w:rPr>
        <w:fldChar w:fldCharType="begin"/>
      </w:r>
      <w:r>
        <w:rPr>
          <w:rFonts w:ascii="仿宋" w:eastAsia="仿宋"/>
          <w:b/>
        </w:rPr>
        <w:instrText xml:space="preserve"> PAGEREF _Toc79163862 \h </w:instrText>
      </w:r>
      <w:r>
        <w:rPr>
          <w:rFonts w:ascii="仿宋" w:eastAsia="仿宋"/>
          <w:b/>
        </w:rPr>
        <w:fldChar w:fldCharType="separate"/>
      </w:r>
      <w:r>
        <w:rPr>
          <w:rFonts w:ascii="仿宋" w:eastAsia="仿宋"/>
          <w:b/>
        </w:rPr>
        <w:t>6</w:t>
      </w:r>
      <w:r>
        <w:rPr>
          <w:rFonts w:ascii="仿宋" w:eastAsia="仿宋"/>
          <w:b/>
        </w:rPr>
        <w:fldChar w:fldCharType="end"/>
      </w:r>
    </w:p>
    <w:p w14:paraId="4E43D117">
      <w:pPr>
        <w:pStyle w:val="18"/>
        <w:tabs>
          <w:tab w:val="right" w:leader="dot" w:pos="8296"/>
        </w:tabs>
        <w:rPr>
          <w:rFonts w:ascii="仿宋" w:eastAsia="仿宋"/>
          <w:b/>
        </w:rPr>
      </w:pPr>
      <w:r>
        <w:rPr>
          <w:rFonts w:ascii="仿宋" w:eastAsia="仿宋"/>
          <w:b/>
        </w:rPr>
        <w:t>四、财政拨款收入支出决算总体情况说明</w:t>
      </w:r>
      <w:r>
        <w:rPr>
          <w:rFonts w:ascii="仿宋" w:eastAsia="仿宋"/>
          <w:b/>
        </w:rPr>
        <w:tab/>
      </w:r>
      <w:r>
        <w:rPr>
          <w:rFonts w:hint="eastAsia" w:ascii="仿宋" w:eastAsia="仿宋"/>
          <w:b/>
        </w:rPr>
        <w:t>7</w:t>
      </w:r>
    </w:p>
    <w:p w14:paraId="44D3BCE1">
      <w:pPr>
        <w:pStyle w:val="18"/>
        <w:tabs>
          <w:tab w:val="right" w:leader="dot" w:pos="8296"/>
        </w:tabs>
        <w:rPr>
          <w:rFonts w:ascii="仿宋" w:eastAsia="仿宋"/>
          <w:b/>
        </w:rPr>
      </w:pPr>
      <w:r>
        <w:rPr>
          <w:rFonts w:ascii="仿宋" w:eastAsia="仿宋"/>
          <w:b/>
        </w:rPr>
        <w:t>五、一般公共预算财政拨款支出决算情况说明</w:t>
      </w:r>
      <w:r>
        <w:rPr>
          <w:rFonts w:ascii="仿宋" w:eastAsia="仿宋"/>
          <w:b/>
        </w:rPr>
        <w:tab/>
      </w:r>
      <w:r>
        <w:rPr>
          <w:rFonts w:ascii="仿宋" w:eastAsia="仿宋"/>
          <w:b/>
        </w:rPr>
        <w:fldChar w:fldCharType="begin"/>
      </w:r>
      <w:r>
        <w:rPr>
          <w:rFonts w:ascii="仿宋" w:eastAsia="仿宋"/>
          <w:b/>
        </w:rPr>
        <w:instrText xml:space="preserve"> PAGEREF _Toc79163864 \h </w:instrText>
      </w:r>
      <w:r>
        <w:rPr>
          <w:rFonts w:ascii="仿宋" w:eastAsia="仿宋"/>
          <w:b/>
        </w:rPr>
        <w:fldChar w:fldCharType="separate"/>
      </w:r>
      <w:r>
        <w:rPr>
          <w:rFonts w:ascii="仿宋" w:eastAsia="仿宋"/>
          <w:b/>
        </w:rPr>
        <w:t>7</w:t>
      </w:r>
      <w:r>
        <w:rPr>
          <w:rFonts w:ascii="仿宋" w:eastAsia="仿宋"/>
          <w:b/>
        </w:rPr>
        <w:fldChar w:fldCharType="end"/>
      </w:r>
    </w:p>
    <w:p w14:paraId="67609D38">
      <w:pPr>
        <w:pStyle w:val="10"/>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rPr>
        <w:t>8</w:t>
      </w:r>
    </w:p>
    <w:p w14:paraId="126D6361">
      <w:pPr>
        <w:pStyle w:val="10"/>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rPr>
        <w:t>8</w:t>
      </w:r>
    </w:p>
    <w:p w14:paraId="2D68E6F5">
      <w:pPr>
        <w:pStyle w:val="10"/>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rPr>
        <w:t>9</w:t>
      </w:r>
    </w:p>
    <w:p w14:paraId="193B22A4">
      <w:pPr>
        <w:pStyle w:val="18"/>
        <w:tabs>
          <w:tab w:val="right" w:leader="dot" w:pos="8296"/>
        </w:tabs>
        <w:rPr>
          <w:rFonts w:ascii="仿宋" w:eastAsia="仿宋"/>
          <w:b/>
        </w:rPr>
      </w:pPr>
      <w:r>
        <w:rPr>
          <w:rFonts w:ascii="仿宋" w:eastAsia="仿宋"/>
          <w:b/>
        </w:rPr>
        <w:t>六、一般公共预算财政拨款基本支出决算情况说明</w:t>
      </w:r>
      <w:r>
        <w:rPr>
          <w:rFonts w:ascii="仿宋" w:eastAsia="仿宋"/>
          <w:b/>
        </w:rPr>
        <w:tab/>
      </w:r>
      <w:r>
        <w:rPr>
          <w:rFonts w:ascii="仿宋" w:eastAsia="仿宋"/>
          <w:b/>
        </w:rPr>
        <w:fldChar w:fldCharType="begin"/>
      </w:r>
      <w:r>
        <w:rPr>
          <w:rFonts w:ascii="仿宋" w:eastAsia="仿宋"/>
          <w:b/>
        </w:rPr>
        <w:instrText xml:space="preserve"> PAGEREF _Toc79163868 \h </w:instrText>
      </w:r>
      <w:r>
        <w:rPr>
          <w:rFonts w:ascii="仿宋" w:eastAsia="仿宋"/>
          <w:b/>
        </w:rPr>
        <w:fldChar w:fldCharType="separate"/>
      </w:r>
      <w:r>
        <w:rPr>
          <w:rFonts w:ascii="仿宋" w:eastAsia="仿宋"/>
          <w:b/>
        </w:rPr>
        <w:t>9</w:t>
      </w:r>
      <w:r>
        <w:rPr>
          <w:rFonts w:ascii="仿宋" w:eastAsia="仿宋"/>
          <w:b/>
        </w:rPr>
        <w:fldChar w:fldCharType="end"/>
      </w:r>
    </w:p>
    <w:p w14:paraId="7C91F382">
      <w:pPr>
        <w:pStyle w:val="18"/>
        <w:tabs>
          <w:tab w:val="right" w:leader="dot" w:pos="8296"/>
        </w:tabs>
        <w:rPr>
          <w:rFonts w:ascii="仿宋" w:eastAsia="仿宋"/>
          <w:b/>
        </w:rPr>
      </w:pPr>
      <w:r>
        <w:rPr>
          <w:rFonts w:ascii="仿宋" w:eastAsia="仿宋"/>
          <w:b/>
        </w:rPr>
        <w:t>七、“三公”经费财政拨款支出决算情况说明</w:t>
      </w:r>
      <w:r>
        <w:rPr>
          <w:rFonts w:ascii="仿宋" w:eastAsia="仿宋"/>
          <w:b/>
        </w:rPr>
        <w:tab/>
      </w:r>
      <w:r>
        <w:rPr>
          <w:rFonts w:ascii="仿宋" w:eastAsia="仿宋"/>
          <w:b/>
        </w:rPr>
        <w:fldChar w:fldCharType="begin"/>
      </w:r>
      <w:r>
        <w:rPr>
          <w:rFonts w:ascii="仿宋" w:eastAsia="仿宋"/>
          <w:b/>
        </w:rPr>
        <w:instrText xml:space="preserve"> PAGEREF _Toc79163869 \h </w:instrText>
      </w:r>
      <w:r>
        <w:rPr>
          <w:rFonts w:ascii="仿宋" w:eastAsia="仿宋"/>
          <w:b/>
        </w:rPr>
        <w:fldChar w:fldCharType="separate"/>
      </w:r>
      <w:r>
        <w:rPr>
          <w:rFonts w:ascii="仿宋" w:eastAsia="仿宋"/>
          <w:b/>
        </w:rPr>
        <w:t>9</w:t>
      </w:r>
      <w:r>
        <w:rPr>
          <w:rFonts w:ascii="仿宋" w:eastAsia="仿宋"/>
          <w:b/>
        </w:rPr>
        <w:fldChar w:fldCharType="end"/>
      </w:r>
    </w:p>
    <w:p w14:paraId="5C8507DA">
      <w:pPr>
        <w:pStyle w:val="10"/>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14:paraId="5C8EAE4C">
      <w:pPr>
        <w:pStyle w:val="10"/>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14:paraId="1E0A76A5">
      <w:pPr>
        <w:pStyle w:val="18"/>
        <w:tabs>
          <w:tab w:val="right" w:leader="dot" w:pos="8296"/>
        </w:tabs>
        <w:rPr>
          <w:rFonts w:ascii="仿宋" w:eastAsia="仿宋"/>
          <w:b/>
        </w:rPr>
      </w:pPr>
      <w:r>
        <w:rPr>
          <w:rFonts w:ascii="仿宋" w:eastAsia="仿宋"/>
          <w:b/>
        </w:rPr>
        <w:t>八、政府性基金预算支出决算情况说明</w:t>
      </w:r>
      <w:r>
        <w:rPr>
          <w:rFonts w:ascii="仿宋" w:eastAsia="仿宋"/>
          <w:b/>
        </w:rPr>
        <w:tab/>
      </w:r>
      <w:r>
        <w:rPr>
          <w:rFonts w:ascii="仿宋" w:eastAsia="仿宋"/>
          <w:b/>
        </w:rPr>
        <w:fldChar w:fldCharType="begin"/>
      </w:r>
      <w:r>
        <w:rPr>
          <w:rFonts w:ascii="仿宋" w:eastAsia="仿宋"/>
          <w:b/>
        </w:rPr>
        <w:instrText xml:space="preserve"> PAGEREF _Toc79163872 \h </w:instrText>
      </w:r>
      <w:r>
        <w:rPr>
          <w:rFonts w:ascii="仿宋" w:eastAsia="仿宋"/>
          <w:b/>
        </w:rPr>
        <w:fldChar w:fldCharType="separate"/>
      </w:r>
      <w:r>
        <w:rPr>
          <w:rFonts w:ascii="仿宋" w:eastAsia="仿宋"/>
          <w:b/>
        </w:rPr>
        <w:t>10</w:t>
      </w:r>
      <w:r>
        <w:rPr>
          <w:rFonts w:ascii="仿宋" w:eastAsia="仿宋"/>
          <w:b/>
        </w:rPr>
        <w:fldChar w:fldCharType="end"/>
      </w:r>
    </w:p>
    <w:p w14:paraId="4ADC8382">
      <w:pPr>
        <w:pStyle w:val="18"/>
        <w:tabs>
          <w:tab w:val="right" w:leader="dot" w:pos="8296"/>
        </w:tabs>
        <w:rPr>
          <w:rFonts w:ascii="仿宋" w:eastAsia="仿宋"/>
          <w:b/>
        </w:rPr>
      </w:pPr>
      <w:r>
        <w:rPr>
          <w:rFonts w:ascii="仿宋" w:eastAsia="仿宋"/>
          <w:b/>
        </w:rPr>
        <w:t>九、 国有资本经营预算支出决算情况说明</w:t>
      </w:r>
      <w:r>
        <w:rPr>
          <w:rFonts w:ascii="仿宋" w:eastAsia="仿宋"/>
          <w:b/>
        </w:rPr>
        <w:tab/>
      </w:r>
      <w:r>
        <w:rPr>
          <w:rFonts w:ascii="仿宋" w:eastAsia="仿宋"/>
          <w:b/>
        </w:rPr>
        <w:fldChar w:fldCharType="begin"/>
      </w:r>
      <w:r>
        <w:rPr>
          <w:rFonts w:ascii="仿宋" w:eastAsia="仿宋"/>
          <w:b/>
        </w:rPr>
        <w:instrText xml:space="preserve"> PAGEREF _Toc79163873 \h </w:instrText>
      </w:r>
      <w:r>
        <w:rPr>
          <w:rFonts w:ascii="仿宋" w:eastAsia="仿宋"/>
          <w:b/>
        </w:rPr>
        <w:fldChar w:fldCharType="separate"/>
      </w:r>
      <w:r>
        <w:rPr>
          <w:rFonts w:ascii="仿宋" w:eastAsia="仿宋"/>
          <w:b/>
        </w:rPr>
        <w:t>10</w:t>
      </w:r>
      <w:r>
        <w:rPr>
          <w:rFonts w:ascii="仿宋" w:eastAsia="仿宋"/>
          <w:b/>
        </w:rPr>
        <w:fldChar w:fldCharType="end"/>
      </w:r>
    </w:p>
    <w:p w14:paraId="61D33B88">
      <w:pPr>
        <w:pStyle w:val="18"/>
        <w:tabs>
          <w:tab w:val="right" w:leader="dot" w:pos="8296"/>
        </w:tabs>
        <w:rPr>
          <w:rFonts w:ascii="仿宋" w:eastAsia="仿宋"/>
          <w:b/>
        </w:rPr>
      </w:pPr>
      <w:r>
        <w:rPr>
          <w:rFonts w:ascii="仿宋" w:eastAsia="仿宋"/>
          <w:b/>
        </w:rPr>
        <w:t>十、其他重要事项的情况说明</w:t>
      </w:r>
      <w:r>
        <w:rPr>
          <w:rFonts w:ascii="仿宋" w:eastAsia="仿宋"/>
          <w:b/>
        </w:rPr>
        <w:tab/>
      </w:r>
      <w:r>
        <w:rPr>
          <w:rFonts w:ascii="仿宋" w:eastAsia="仿宋"/>
          <w:b/>
        </w:rPr>
        <w:fldChar w:fldCharType="begin"/>
      </w:r>
      <w:r>
        <w:rPr>
          <w:rFonts w:ascii="仿宋" w:eastAsia="仿宋"/>
          <w:b/>
        </w:rPr>
        <w:instrText xml:space="preserve"> PAGEREF _Toc79163874 \h </w:instrText>
      </w:r>
      <w:r>
        <w:rPr>
          <w:rFonts w:ascii="仿宋" w:eastAsia="仿宋"/>
          <w:b/>
        </w:rPr>
        <w:fldChar w:fldCharType="separate"/>
      </w:r>
      <w:r>
        <w:rPr>
          <w:rFonts w:ascii="仿宋" w:eastAsia="仿宋"/>
          <w:b/>
        </w:rPr>
        <w:t>10</w:t>
      </w:r>
      <w:r>
        <w:rPr>
          <w:rFonts w:ascii="仿宋" w:eastAsia="仿宋"/>
          <w:b/>
        </w:rPr>
        <w:fldChar w:fldCharType="end"/>
      </w:r>
    </w:p>
    <w:p w14:paraId="72EC8BEE">
      <w:pPr>
        <w:pStyle w:val="10"/>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14:paraId="2E20CCC2">
      <w:pPr>
        <w:pStyle w:val="10"/>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14:paraId="0B6842B6">
      <w:pPr>
        <w:pStyle w:val="10"/>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14:paraId="12B134AC">
      <w:pPr>
        <w:pStyle w:val="15"/>
        <w:tabs>
          <w:tab w:val="right" w:leader="dot" w:pos="8296"/>
        </w:tabs>
        <w:rPr>
          <w:rFonts w:ascii="仿宋" w:eastAsia="仿宋"/>
          <w:bCs w:val="0"/>
          <w:caps w:val="0"/>
          <w:smallCaps/>
        </w:rPr>
      </w:pPr>
      <w:r>
        <w:rPr>
          <w:rFonts w:ascii="仿宋" w:eastAsia="仿宋"/>
          <w:bCs w:val="0"/>
          <w:caps w:val="0"/>
          <w:smallCaps/>
        </w:rPr>
        <w:t>第三部分 名词解释</w:t>
      </w:r>
      <w:r>
        <w:rPr>
          <w:rFonts w:ascii="仿宋" w:eastAsia="仿宋"/>
          <w:bCs w:val="0"/>
          <w:caps w:val="0"/>
          <w:smallCaps/>
        </w:rPr>
        <w:tab/>
      </w:r>
      <w:r>
        <w:rPr>
          <w:rFonts w:ascii="仿宋" w:eastAsia="仿宋"/>
          <w:bCs w:val="0"/>
          <w:caps w:val="0"/>
          <w:smallCaps/>
        </w:rPr>
        <w:fldChar w:fldCharType="begin"/>
      </w:r>
      <w:r>
        <w:rPr>
          <w:rFonts w:ascii="仿宋" w:eastAsia="仿宋"/>
          <w:bCs w:val="0"/>
          <w:caps w:val="0"/>
          <w:smallCaps/>
        </w:rPr>
        <w:instrText xml:space="preserve"> PAGEREF _Toc79163879 \h </w:instrText>
      </w:r>
      <w:r>
        <w:rPr>
          <w:rFonts w:ascii="仿宋" w:eastAsia="仿宋"/>
          <w:bCs w:val="0"/>
          <w:caps w:val="0"/>
          <w:smallCaps/>
        </w:rPr>
        <w:fldChar w:fldCharType="separate"/>
      </w:r>
      <w:r>
        <w:rPr>
          <w:rFonts w:ascii="仿宋" w:eastAsia="仿宋"/>
          <w:bCs w:val="0"/>
          <w:caps w:val="0"/>
          <w:smallCaps/>
        </w:rPr>
        <w:t>11</w:t>
      </w:r>
      <w:r>
        <w:rPr>
          <w:rFonts w:ascii="仿宋" w:eastAsia="仿宋"/>
          <w:bCs w:val="0"/>
          <w:caps w:val="0"/>
          <w:smallCaps/>
        </w:rPr>
        <w:fldChar w:fldCharType="end"/>
      </w:r>
    </w:p>
    <w:p w14:paraId="63672CC4">
      <w:pPr>
        <w:rPr>
          <w:rFonts w:ascii="仿宋" w:eastAsia="仿宋"/>
          <w:b/>
          <w:caps w:val="0"/>
          <w:smallCaps/>
        </w:rPr>
      </w:pPr>
      <w:r>
        <w:rPr>
          <w:rFonts w:hint="eastAsia" w:ascii="仿宋" w:eastAsia="仿宋"/>
          <w:b/>
          <w:caps w:val="0"/>
          <w:smallCaps/>
        </w:rPr>
        <w:t>第四部分附件............................................</w:t>
      </w:r>
      <w:r>
        <w:rPr>
          <w:rFonts w:ascii="仿宋" w:eastAsia="仿宋"/>
          <w:b/>
          <w:caps w:val="0"/>
          <w:smallCaps/>
        </w:rPr>
        <w:t>　　　　　　　</w:t>
      </w:r>
      <w:r>
        <w:rPr>
          <w:rFonts w:hint="eastAsia" w:ascii="仿宋" w:eastAsia="仿宋"/>
          <w:b/>
          <w:caps w:val="0"/>
          <w:smallCaps/>
        </w:rPr>
        <w:t>.....12</w:t>
      </w:r>
    </w:p>
    <w:p w14:paraId="0371885D">
      <w:pPr>
        <w:pStyle w:val="10"/>
        <w:tabs>
          <w:tab w:val="right" w:leader="dot" w:pos="8296"/>
        </w:tabs>
        <w:ind w:left="0"/>
        <w:rPr>
          <w:rFonts w:ascii="仿宋" w:eastAsia="仿宋"/>
          <w:caps w:val="0"/>
          <w:smallCaps/>
        </w:rPr>
      </w:pPr>
      <w:r>
        <w:rPr>
          <w:rFonts w:hint="eastAsia" w:ascii="仿宋" w:eastAsia="仿宋"/>
          <w:i w:val="0"/>
          <w:iCs w:val="0"/>
          <w:caps w:val="0"/>
          <w:smallCaps/>
        </w:rPr>
        <w:t>残疾人康复中心部门整体支出绩效评价报告...........................................16</w:t>
      </w:r>
    </w:p>
    <w:p w14:paraId="6D3B73D4">
      <w:pPr>
        <w:rPr>
          <w:rFonts w:ascii="仿宋" w:eastAsia="仿宋"/>
          <w:b/>
          <w:caps w:val="0"/>
          <w:smallCaps/>
        </w:rPr>
      </w:pPr>
      <w:r>
        <w:rPr>
          <w:rFonts w:ascii="仿宋" w:eastAsia="仿宋"/>
          <w:b/>
          <w:caps w:val="0"/>
          <w:smallCaps/>
        </w:rPr>
        <w:t>第</w:t>
      </w:r>
      <w:r>
        <w:rPr>
          <w:rFonts w:hint="eastAsia" w:ascii="仿宋" w:eastAsia="仿宋"/>
          <w:b/>
          <w:caps w:val="0"/>
          <w:smallCaps/>
        </w:rPr>
        <w:t>五</w:t>
      </w:r>
      <w:r>
        <w:rPr>
          <w:rFonts w:ascii="仿宋" w:eastAsia="仿宋"/>
          <w:b/>
          <w:caps w:val="0"/>
          <w:smallCaps/>
        </w:rPr>
        <w:t>部分 附表</w:t>
      </w:r>
      <w:r>
        <w:rPr>
          <w:rFonts w:hint="eastAsia" w:ascii="仿宋" w:eastAsia="仿宋"/>
          <w:b/>
          <w:caps w:val="0"/>
          <w:smallCaps/>
        </w:rPr>
        <w:t>............................................. ...........</w:t>
      </w:r>
      <w:r>
        <w:rPr>
          <w:rFonts w:ascii="仿宋" w:eastAsia="仿宋"/>
          <w:b/>
          <w:caps w:val="0"/>
          <w:smallCaps/>
        </w:rPr>
        <w:t>　　　</w:t>
      </w:r>
      <w:r>
        <w:rPr>
          <w:rFonts w:hint="eastAsia" w:ascii="仿宋" w:eastAsia="仿宋"/>
          <w:b/>
          <w:caps w:val="0"/>
          <w:smallCaps/>
        </w:rPr>
        <w:t>16</w:t>
      </w:r>
    </w:p>
    <w:p w14:paraId="494636DF">
      <w:pPr>
        <w:pStyle w:val="18"/>
        <w:tabs>
          <w:tab w:val="right" w:leader="dot" w:pos="8296"/>
        </w:tabs>
        <w:rPr>
          <w:rFonts w:ascii="仿宋" w:eastAsia="仿宋"/>
        </w:rPr>
      </w:pPr>
      <w:r>
        <w:rPr>
          <w:rFonts w:ascii="仿宋" w:eastAsia="仿宋"/>
        </w:rPr>
        <w:t>一、收入支出决算总表</w:t>
      </w:r>
      <w:r>
        <w:rPr>
          <w:rFonts w:ascii="仿宋" w:eastAsia="仿宋"/>
        </w:rPr>
        <w:tab/>
      </w:r>
      <w:r>
        <w:rPr>
          <w:rFonts w:hint="eastAsia" w:ascii="仿宋" w:eastAsia="仿宋"/>
        </w:rPr>
        <w:t>16</w:t>
      </w:r>
    </w:p>
    <w:p w14:paraId="3D4B3B95">
      <w:pPr>
        <w:pStyle w:val="18"/>
        <w:tabs>
          <w:tab w:val="right" w:leader="dot" w:pos="8296"/>
        </w:tabs>
        <w:rPr>
          <w:rFonts w:ascii="仿宋" w:eastAsia="仿宋"/>
        </w:rPr>
      </w:pPr>
      <w:r>
        <w:rPr>
          <w:rFonts w:ascii="仿宋" w:eastAsia="仿宋"/>
        </w:rPr>
        <w:t>二、收入决算表</w:t>
      </w:r>
      <w:r>
        <w:rPr>
          <w:rFonts w:ascii="仿宋" w:eastAsia="仿宋"/>
        </w:rPr>
        <w:tab/>
      </w:r>
      <w:r>
        <w:rPr>
          <w:rFonts w:hint="eastAsia" w:ascii="仿宋" w:eastAsia="仿宋"/>
        </w:rPr>
        <w:t>16</w:t>
      </w:r>
    </w:p>
    <w:p w14:paraId="36EFFCD7">
      <w:pPr>
        <w:pStyle w:val="18"/>
        <w:tabs>
          <w:tab w:val="right" w:leader="dot" w:pos="8296"/>
        </w:tabs>
        <w:rPr>
          <w:rFonts w:ascii="仿宋" w:eastAsia="仿宋"/>
        </w:rPr>
      </w:pPr>
      <w:r>
        <w:rPr>
          <w:rFonts w:ascii="仿宋" w:eastAsia="仿宋"/>
        </w:rPr>
        <w:t>三、支出决算表</w:t>
      </w:r>
      <w:r>
        <w:rPr>
          <w:rFonts w:ascii="仿宋" w:eastAsia="仿宋"/>
        </w:rPr>
        <w:tab/>
      </w:r>
      <w:r>
        <w:rPr>
          <w:rFonts w:hint="eastAsia" w:ascii="仿宋" w:eastAsia="仿宋"/>
        </w:rPr>
        <w:t>16</w:t>
      </w:r>
    </w:p>
    <w:p w14:paraId="2A89CA25">
      <w:pPr>
        <w:pStyle w:val="18"/>
        <w:tabs>
          <w:tab w:val="right" w:leader="dot" w:pos="8296"/>
        </w:tabs>
        <w:rPr>
          <w:rFonts w:ascii="仿宋" w:eastAsia="仿宋"/>
        </w:rPr>
      </w:pPr>
      <w:r>
        <w:rPr>
          <w:rFonts w:ascii="仿宋" w:eastAsia="仿宋"/>
        </w:rPr>
        <w:t>四、财政拨款收入支出决算总表</w:t>
      </w:r>
      <w:r>
        <w:rPr>
          <w:rFonts w:ascii="仿宋" w:eastAsia="仿宋"/>
        </w:rPr>
        <w:tab/>
      </w:r>
      <w:r>
        <w:rPr>
          <w:rFonts w:hint="eastAsia" w:ascii="仿宋" w:eastAsia="仿宋"/>
        </w:rPr>
        <w:t>16</w:t>
      </w:r>
    </w:p>
    <w:p w14:paraId="0A80EC17">
      <w:pPr>
        <w:pStyle w:val="18"/>
        <w:tabs>
          <w:tab w:val="right" w:leader="dot" w:pos="8296"/>
        </w:tabs>
        <w:rPr>
          <w:rFonts w:ascii="仿宋" w:eastAsia="仿宋"/>
        </w:rPr>
      </w:pPr>
      <w:r>
        <w:rPr>
          <w:rFonts w:ascii="仿宋" w:eastAsia="仿宋"/>
        </w:rPr>
        <w:t>五、财政拨款支出决算明细表</w:t>
      </w:r>
      <w:r>
        <w:rPr>
          <w:rFonts w:ascii="仿宋" w:eastAsia="仿宋"/>
        </w:rPr>
        <w:tab/>
      </w:r>
      <w:r>
        <w:rPr>
          <w:rFonts w:hint="eastAsia" w:ascii="仿宋" w:eastAsia="仿宋"/>
        </w:rPr>
        <w:t>16</w:t>
      </w:r>
    </w:p>
    <w:p w14:paraId="27C22424">
      <w:pPr>
        <w:pStyle w:val="18"/>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hint="eastAsia" w:ascii="仿宋" w:eastAsia="仿宋"/>
        </w:rPr>
        <w:t>16</w:t>
      </w:r>
    </w:p>
    <w:p w14:paraId="0C9132F7">
      <w:pPr>
        <w:pStyle w:val="18"/>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hint="eastAsia" w:ascii="仿宋" w:eastAsia="仿宋"/>
        </w:rPr>
        <w:t>16</w:t>
      </w:r>
    </w:p>
    <w:p w14:paraId="09FA35CE">
      <w:pPr>
        <w:pStyle w:val="18"/>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hint="eastAsia" w:ascii="仿宋" w:eastAsia="仿宋"/>
        </w:rPr>
        <w:t>16</w:t>
      </w:r>
    </w:p>
    <w:p w14:paraId="506D137D">
      <w:pPr>
        <w:pStyle w:val="18"/>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hint="eastAsia" w:ascii="仿宋" w:eastAsia="仿宋"/>
        </w:rPr>
        <w:t>16</w:t>
      </w:r>
    </w:p>
    <w:p w14:paraId="7361CB8D">
      <w:pPr>
        <w:pStyle w:val="18"/>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hint="eastAsia" w:ascii="仿宋" w:eastAsia="仿宋"/>
        </w:rPr>
        <w:t>17</w:t>
      </w:r>
    </w:p>
    <w:p w14:paraId="0443023C">
      <w:pPr>
        <w:pStyle w:val="18"/>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hint="eastAsia" w:ascii="仿宋" w:eastAsia="仿宋"/>
        </w:rPr>
        <w:t>17</w:t>
      </w:r>
    </w:p>
    <w:p w14:paraId="436A217B">
      <w:pPr>
        <w:pStyle w:val="18"/>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hint="eastAsia" w:ascii="仿宋" w:eastAsia="仿宋"/>
        </w:rPr>
        <w:t>17</w:t>
      </w:r>
    </w:p>
    <w:p w14:paraId="3B6FDD13">
      <w:pPr>
        <w:pStyle w:val="18"/>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hint="eastAsia" w:ascii="仿宋" w:eastAsia="仿宋"/>
        </w:rPr>
        <w:t>17</w:t>
      </w:r>
    </w:p>
    <w:p w14:paraId="59FE8E4C">
      <w:pPr>
        <w:pStyle w:val="18"/>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hint="eastAsia" w:ascii="仿宋" w:eastAsia="仿宋"/>
        </w:rPr>
        <w:t>17</w:t>
      </w:r>
    </w:p>
    <w:p w14:paraId="5B2063F5">
      <w:r>
        <w:rPr>
          <w:rFonts w:ascii="仿宋" w:eastAsia="仿宋"/>
          <w:caps w:val="0"/>
          <w:smallCaps/>
          <w:sz w:val="20"/>
          <w:szCs w:val="20"/>
        </w:rPr>
        <w:fldChar w:fldCharType="end"/>
      </w:r>
    </w:p>
    <w:p w14:paraId="67C7462E">
      <w:pPr>
        <w:pStyle w:val="3"/>
        <w:jc w:val="center"/>
        <w:rPr>
          <w:rFonts w:ascii="黑体" w:eastAsia="黑体"/>
          <w:b w:val="0"/>
        </w:rPr>
      </w:pPr>
      <w:bookmarkStart w:id="1" w:name="_Toc15377196"/>
      <w:bookmarkStart w:id="2" w:name="_Toc15396599"/>
      <w:bookmarkStart w:id="3" w:name="_Toc79163601"/>
      <w:bookmarkStart w:id="4" w:name="_Toc79163851"/>
    </w:p>
    <w:p w14:paraId="463C969F"/>
    <w:bookmarkEnd w:id="1"/>
    <w:bookmarkEnd w:id="2"/>
    <w:bookmarkEnd w:id="3"/>
    <w:bookmarkEnd w:id="4"/>
    <w:p w14:paraId="00C4A437">
      <w:pPr>
        <w:pStyle w:val="3"/>
        <w:jc w:val="center"/>
        <w:rPr>
          <w:rStyle w:val="24"/>
          <w:rFonts w:ascii="黑体" w:eastAsia="黑体"/>
          <w:b/>
          <w:bCs w:val="0"/>
        </w:rPr>
      </w:pPr>
      <w:bookmarkStart w:id="5" w:name="_Toc15378445"/>
      <w:bookmarkStart w:id="6" w:name="_Toc79163853"/>
      <w:bookmarkStart w:id="7" w:name="_Toc79163603"/>
      <w:bookmarkStart w:id="8" w:name="_Toc15377198"/>
      <w:r>
        <w:rPr>
          <w:rFonts w:hint="eastAsia" w:ascii="黑体" w:eastAsia="黑体"/>
          <w:b w:val="0"/>
        </w:rPr>
        <w:t>第一部分</w:t>
      </w:r>
      <w:r>
        <w:rPr>
          <w:rStyle w:val="24"/>
          <w:rFonts w:hint="eastAsia" w:ascii="黑体" w:eastAsia="黑体"/>
          <w:b w:val="0"/>
          <w:bCs w:val="0"/>
        </w:rPr>
        <w:t>部门概况</w:t>
      </w:r>
    </w:p>
    <w:p w14:paraId="7BD1B7E2">
      <w:pPr>
        <w:pStyle w:val="4"/>
        <w:ind w:firstLine="640" w:firstLineChars="200"/>
        <w:rPr>
          <w:rStyle w:val="25"/>
          <w:rFonts w:ascii="黑体" w:eastAsia="黑体"/>
          <w:b w:val="0"/>
          <w:bCs w:val="0"/>
        </w:rPr>
      </w:pPr>
      <w:bookmarkStart w:id="9" w:name="_Toc79163852"/>
      <w:bookmarkStart w:id="10" w:name="_Toc79163602"/>
      <w:bookmarkStart w:id="11" w:name="_Toc15396600"/>
      <w:bookmarkStart w:id="12" w:name="_Toc15377197"/>
      <w:r>
        <w:rPr>
          <w:rFonts w:hint="eastAsia" w:ascii="黑体" w:eastAsia="黑体"/>
          <w:b w:val="0"/>
          <w:color w:val="000000"/>
        </w:rPr>
        <w:t>一、基</w:t>
      </w:r>
      <w:r>
        <w:rPr>
          <w:rStyle w:val="25"/>
          <w:rFonts w:hint="eastAsia" w:ascii="黑体" w:eastAsia="黑体"/>
          <w:b w:val="0"/>
          <w:bCs w:val="0"/>
        </w:rPr>
        <w:t>本职能及主要工作</w:t>
      </w:r>
      <w:bookmarkEnd w:id="9"/>
      <w:bookmarkEnd w:id="10"/>
      <w:bookmarkEnd w:id="11"/>
      <w:bookmarkEnd w:id="12"/>
    </w:p>
    <w:p w14:paraId="7F826D16">
      <w:pPr>
        <w:pStyle w:val="4"/>
        <w:ind w:firstLine="482" w:firstLineChars="150"/>
        <w:rPr>
          <w:rFonts w:ascii="仿宋" w:eastAsia="仿宋"/>
          <w:color w:val="000000"/>
        </w:rPr>
      </w:pPr>
      <w:r>
        <w:rPr>
          <w:rFonts w:hint="eastAsia" w:ascii="仿宋" w:eastAsia="仿宋"/>
          <w:color w:val="000000"/>
        </w:rPr>
        <w:t>（一）主要职能</w:t>
      </w:r>
      <w:bookmarkEnd w:id="5"/>
      <w:bookmarkEnd w:id="6"/>
      <w:bookmarkEnd w:id="7"/>
      <w:bookmarkEnd w:id="8"/>
      <w:bookmarkStart w:id="13" w:name="_Toc79163854"/>
      <w:bookmarkStart w:id="14" w:name="_Toc79163604"/>
      <w:bookmarkStart w:id="15" w:name="_Toc15377199"/>
      <w:bookmarkStart w:id="16" w:name="_Toc15378446"/>
    </w:p>
    <w:p w14:paraId="066C77EC">
      <w:pPr>
        <w:pStyle w:val="4"/>
        <w:ind w:firstLine="640" w:firstLineChars="200"/>
        <w:rPr>
          <w:rFonts w:ascii="仿宋_GB2312" w:eastAsia="仿宋_GB2312" w:cs="仿宋_GB2312"/>
          <w:b w:val="0"/>
          <w:bCs w:val="0"/>
          <w:color w:val="000000"/>
        </w:rPr>
      </w:pPr>
      <w:r>
        <w:rPr>
          <w:rFonts w:hint="eastAsia" w:ascii="仿宋_GB2312" w:eastAsia="仿宋_GB2312" w:cs="仿宋_GB2312"/>
          <w:b w:val="0"/>
          <w:bCs w:val="0"/>
          <w:color w:val="000000"/>
        </w:rPr>
        <w:t>听取残疾人意见，反映残疾人需求，维护残疾人权益，为残疾人服务；调查掌握残疾人状况，向县政府提出决策建议；团结、教育残疾人遵守</w:t>
      </w:r>
      <w:r>
        <w:rPr>
          <w:rFonts w:hint="eastAsia" w:ascii="仿宋_GB2312" w:eastAsia="仿宋_GB2312" w:cs="仿宋_GB2312"/>
          <w:b w:val="0"/>
          <w:bCs w:val="0"/>
          <w:color w:val="000000"/>
        </w:rPr>
        <w:fldChar w:fldCharType="begin"/>
      </w:r>
      <w:r>
        <w:instrText xml:space="preserve">HYPERLINK "http://www.110.com/fagui/"</w:instrText>
      </w:r>
      <w:r>
        <w:rPr>
          <w:rFonts w:hint="eastAsia" w:ascii="仿宋_GB2312" w:eastAsia="仿宋_GB2312" w:cs="仿宋_GB2312"/>
          <w:b w:val="0"/>
          <w:bCs w:val="0"/>
          <w:color w:val="000000"/>
        </w:rPr>
        <w:fldChar w:fldCharType="separate"/>
      </w:r>
      <w:r>
        <w:rPr>
          <w:rFonts w:hint="eastAsia" w:ascii="仿宋_GB2312" w:eastAsia="仿宋_GB2312" w:cs="仿宋_GB2312"/>
          <w:b w:val="0"/>
          <w:bCs w:val="0"/>
          <w:color w:val="000000"/>
        </w:rPr>
        <w:t>法律</w:t>
      </w:r>
      <w:r>
        <w:rPr>
          <w:rFonts w:hint="eastAsia" w:ascii="仿宋_GB2312" w:eastAsia="仿宋_GB2312" w:cs="仿宋_GB2312"/>
          <w:b w:val="0"/>
          <w:bCs w:val="0"/>
          <w:color w:val="000000"/>
        </w:rPr>
        <w:fldChar w:fldCharType="end"/>
      </w:r>
      <w:r>
        <w:rPr>
          <w:rFonts w:hint="eastAsia" w:ascii="仿宋_GB2312" w:eastAsia="仿宋_GB2312" w:cs="仿宋_GB2312"/>
          <w:b w:val="0"/>
          <w:bCs w:val="0"/>
          <w:color w:val="000000"/>
        </w:rPr>
        <w:t>、履行应尽的义务；弘扬人道主义，宣传残疾人事业；开展残疾人康复、教育、就业、职业培训、扶贫、文化、体育等工作；承担县政府残疾人工作协调委员会的日常工作；对各类残疾人社会团体组织和</w:t>
      </w:r>
      <w:r>
        <w:rPr>
          <w:rFonts w:hint="eastAsia" w:ascii="仿宋_GB2312" w:eastAsia="仿宋_GB2312" w:cs="仿宋_GB2312"/>
          <w:b w:val="0"/>
          <w:bCs w:val="0"/>
          <w:color w:val="000000"/>
        </w:rPr>
        <w:fldChar w:fldCharType="begin"/>
      </w:r>
      <w:r>
        <w:instrText xml:space="preserve">HYPERLINK "http://www.110.com/ask/browse-c72.html"</w:instrText>
      </w:r>
      <w:r>
        <w:rPr>
          <w:rFonts w:hint="eastAsia" w:ascii="仿宋_GB2312" w:eastAsia="仿宋_GB2312" w:cs="仿宋_GB2312"/>
          <w:b w:val="0"/>
          <w:bCs w:val="0"/>
          <w:color w:val="000000"/>
        </w:rPr>
        <w:fldChar w:fldCharType="separate"/>
      </w:r>
      <w:r>
        <w:rPr>
          <w:rFonts w:hint="eastAsia" w:ascii="仿宋_GB2312" w:eastAsia="仿宋_GB2312" w:cs="仿宋_GB2312"/>
          <w:b w:val="0"/>
          <w:bCs w:val="0"/>
          <w:color w:val="000000"/>
        </w:rPr>
        <w:t>经济</w:t>
      </w:r>
      <w:r>
        <w:rPr>
          <w:rFonts w:hint="eastAsia" w:ascii="仿宋_GB2312" w:eastAsia="仿宋_GB2312" w:cs="仿宋_GB2312"/>
          <w:b w:val="0"/>
          <w:bCs w:val="0"/>
          <w:color w:val="000000"/>
        </w:rPr>
        <w:fldChar w:fldCharType="end"/>
      </w:r>
      <w:r>
        <w:rPr>
          <w:rFonts w:hint="eastAsia" w:ascii="仿宋_GB2312" w:eastAsia="仿宋_GB2312" w:cs="仿宋_GB2312"/>
          <w:b w:val="0"/>
          <w:bCs w:val="0"/>
          <w:color w:val="000000"/>
        </w:rPr>
        <w:t>组织进行监督管理；统筹开展为残疾人事业募捐活动，加强对残疾人事业经费和残疾人福利基金的管理；开展残疾人事业的对外交流与合作；承办县政府和州残联交办的其他工作。</w:t>
      </w:r>
    </w:p>
    <w:p w14:paraId="228F8BE5">
      <w:pPr>
        <w:pStyle w:val="4"/>
        <w:ind w:firstLine="482" w:firstLineChars="150"/>
        <w:rPr>
          <w:rFonts w:ascii="仿宋" w:eastAsia="仿宋"/>
          <w:color w:val="000000"/>
        </w:rPr>
      </w:pPr>
      <w:r>
        <w:rPr>
          <w:rFonts w:hint="eastAsia" w:ascii="仿宋" w:eastAsia="仿宋"/>
          <w:color w:val="000000"/>
        </w:rPr>
        <w:t>（二）</w:t>
      </w:r>
      <w:r>
        <w:rPr>
          <w:rFonts w:ascii="仿宋" w:eastAsia="仿宋"/>
          <w:color w:val="000000"/>
        </w:rPr>
        <w:t>202</w:t>
      </w:r>
      <w:r>
        <w:rPr>
          <w:rFonts w:hint="eastAsia" w:ascii="仿宋" w:eastAsia="仿宋"/>
          <w:color w:val="000000"/>
        </w:rPr>
        <w:t>2年重点工作完成情况</w:t>
      </w:r>
      <w:bookmarkEnd w:id="13"/>
      <w:bookmarkEnd w:id="14"/>
      <w:bookmarkEnd w:id="15"/>
      <w:bookmarkEnd w:id="16"/>
    </w:p>
    <w:p w14:paraId="2EB32A82">
      <w:pPr>
        <w:spacing w:line="600" w:lineRule="exact"/>
        <w:ind w:firstLine="800" w:firstLineChars="250"/>
        <w:rPr>
          <w:rFonts w:ascii="仿宋_GB2312" w:eastAsia="仿宋_GB2312" w:cs="仿宋_GB2312"/>
          <w:color w:val="000000"/>
          <w:sz w:val="32"/>
          <w:szCs w:val="32"/>
        </w:rPr>
      </w:pPr>
      <w:r>
        <w:rPr>
          <w:rFonts w:hint="eastAsia" w:ascii="??_GB2312" w:hAnsi="??_GB2312" w:eastAsia="仿宋_GB2312"/>
          <w:sz w:val="32"/>
        </w:rPr>
        <w:t>在县委县政府的正确领导下和州残联业务指导下，县残联紧扣县委中心工作和州残联主要工作部署，开展新时代“量体裁衣”式残疾人服务，认真落实各项工作，</w:t>
      </w:r>
      <w:r>
        <w:rPr>
          <w:rFonts w:hint="eastAsia" w:ascii="仿宋_GB2312" w:eastAsia="仿宋_GB2312" w:cs="仿宋_GB2312"/>
          <w:color w:val="000000"/>
          <w:sz w:val="32"/>
          <w:szCs w:val="32"/>
        </w:rPr>
        <w:t>围绕全县经济社会发展大局和中心工作，认真落实全县残疾人的基本需求，立足基层，面向农村，切实加强残疾人组织建设、康复、就业培训、扶贫帮困和社会保障工作。</w:t>
      </w:r>
    </w:p>
    <w:p w14:paraId="31570699">
      <w:pPr>
        <w:pStyle w:val="4"/>
        <w:ind w:firstLine="640" w:firstLineChars="200"/>
        <w:rPr>
          <w:rStyle w:val="25"/>
          <w:b w:val="0"/>
          <w:bCs w:val="0"/>
        </w:rPr>
      </w:pPr>
      <w:bookmarkStart w:id="17" w:name="_Toc15396601"/>
      <w:bookmarkStart w:id="18" w:name="_Toc15377200"/>
      <w:bookmarkStart w:id="19" w:name="_Toc79163605"/>
      <w:bookmarkStart w:id="20" w:name="_Toc79163855"/>
      <w:r>
        <w:rPr>
          <w:rFonts w:hint="eastAsia" w:ascii="黑体" w:eastAsia="黑体"/>
          <w:b w:val="0"/>
          <w:color w:val="000000"/>
        </w:rPr>
        <w:t>二、机</w:t>
      </w:r>
      <w:r>
        <w:rPr>
          <w:rStyle w:val="25"/>
          <w:rFonts w:hint="eastAsia" w:ascii="黑体" w:eastAsia="黑体"/>
          <w:b w:val="0"/>
          <w:bCs w:val="0"/>
        </w:rPr>
        <w:t>构设置</w:t>
      </w:r>
      <w:bookmarkEnd w:id="17"/>
      <w:bookmarkEnd w:id="18"/>
      <w:bookmarkEnd w:id="19"/>
      <w:bookmarkEnd w:id="20"/>
    </w:p>
    <w:p w14:paraId="2B1E8897">
      <w:pPr>
        <w:spacing w:line="576" w:lineRule="atLeast"/>
        <w:ind w:firstLine="640" w:firstLineChars="200"/>
        <w:rPr>
          <w:rFonts w:ascii="仿宋_GB2312" w:eastAsia="仿宋_GB2312"/>
          <w:sz w:val="32"/>
          <w:szCs w:val="32"/>
        </w:rPr>
      </w:pPr>
      <w:r>
        <w:rPr>
          <w:rFonts w:hint="eastAsia" w:ascii="仿宋_GB2312" w:eastAsia="仿宋_GB2312"/>
          <w:sz w:val="32"/>
          <w:szCs w:val="32"/>
        </w:rPr>
        <w:t>茂县残疾人康复中心为二级预算单位。人员情况：单位事业总编制数2名，其中：事业编制2名。财政供养人员2人。其中：在职2人，离休0人，退休0人。实有人数2人。</w:t>
      </w:r>
    </w:p>
    <w:p w14:paraId="100989F6">
      <w:pPr>
        <w:pStyle w:val="8"/>
        <w:adjustRightInd w:val="0"/>
        <w:snapToGrid w:val="0"/>
        <w:spacing w:before="30" w:beforeLines="0" w:line="600" w:lineRule="exact"/>
        <w:ind w:firstLine="883" w:firstLineChars="200"/>
        <w:outlineLvl w:val="2"/>
        <w:rPr>
          <w:rFonts w:ascii="仿宋" w:eastAsia="仿宋"/>
          <w:color w:val="000000"/>
          <w:sz w:val="32"/>
          <w:szCs w:val="32"/>
        </w:rPr>
      </w:pPr>
      <w:bookmarkStart w:id="21" w:name="_Toc79163609"/>
      <w:bookmarkStart w:id="22" w:name="_Toc79163859"/>
      <w:bookmarkStart w:id="23" w:name="_Toc15396602"/>
      <w:bookmarkStart w:id="24" w:name="_Toc15377204"/>
      <w:r>
        <w:rPr>
          <w:rStyle w:val="24"/>
          <w:rFonts w:hint="eastAsia" w:ascii="黑体" w:eastAsia="黑体"/>
        </w:rPr>
        <w:t xml:space="preserve">第二部分 </w:t>
      </w:r>
      <w:r>
        <w:rPr>
          <w:rStyle w:val="24"/>
          <w:rFonts w:ascii="黑体" w:eastAsia="黑体"/>
        </w:rPr>
        <w:t>202</w:t>
      </w:r>
      <w:r>
        <w:rPr>
          <w:rStyle w:val="24"/>
          <w:rFonts w:hint="eastAsia" w:ascii="黑体" w:eastAsia="黑体"/>
        </w:rPr>
        <w:t>2年度部门决算情况说明</w:t>
      </w:r>
      <w:bookmarkEnd w:id="21"/>
      <w:bookmarkEnd w:id="22"/>
      <w:bookmarkEnd w:id="23"/>
      <w:bookmarkEnd w:id="24"/>
    </w:p>
    <w:p w14:paraId="2F2A31D0"/>
    <w:p w14:paraId="71E7EA01">
      <w:pPr>
        <w:pStyle w:val="30"/>
        <w:numPr>
          <w:ilvl w:val="0"/>
          <w:numId w:val="1"/>
        </w:numPr>
        <w:spacing w:line="600" w:lineRule="exact"/>
        <w:ind w:firstLineChars="0"/>
        <w:outlineLvl w:val="1"/>
        <w:rPr>
          <w:rStyle w:val="25"/>
          <w:rFonts w:ascii="黑体" w:eastAsia="黑体"/>
          <w:b w:val="0"/>
        </w:rPr>
      </w:pPr>
      <w:bookmarkStart w:id="25" w:name="_Toc15377205"/>
      <w:bookmarkStart w:id="26" w:name="_Toc79163860"/>
      <w:bookmarkStart w:id="27" w:name="_Toc15396603"/>
      <w:bookmarkStart w:id="28" w:name="_Toc79163610"/>
      <w:r>
        <w:rPr>
          <w:rFonts w:hint="eastAsia" w:ascii="黑体" w:eastAsia="黑体"/>
          <w:color w:val="000000"/>
          <w:sz w:val="32"/>
          <w:szCs w:val="32"/>
        </w:rPr>
        <w:t>收</w:t>
      </w:r>
      <w:r>
        <w:rPr>
          <w:rStyle w:val="25"/>
          <w:rFonts w:hint="eastAsia" w:ascii="黑体" w:eastAsia="黑体"/>
          <w:b w:val="0"/>
        </w:rPr>
        <w:t>入支出决算总体情况说明</w:t>
      </w:r>
      <w:bookmarkEnd w:id="25"/>
      <w:bookmarkEnd w:id="26"/>
      <w:bookmarkEnd w:id="27"/>
      <w:bookmarkEnd w:id="28"/>
    </w:p>
    <w:p w14:paraId="1DE6B9A6">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2年度收入总计30.26万元。与</w:t>
      </w:r>
      <w:r>
        <w:rPr>
          <w:rFonts w:ascii="仿宋" w:eastAsia="仿宋"/>
          <w:color w:val="000000"/>
          <w:sz w:val="32"/>
          <w:szCs w:val="32"/>
        </w:rPr>
        <w:t>202</w:t>
      </w:r>
      <w:r>
        <w:rPr>
          <w:rFonts w:hint="eastAsia" w:ascii="仿宋" w:eastAsia="仿宋"/>
          <w:color w:val="000000"/>
          <w:sz w:val="32"/>
          <w:szCs w:val="32"/>
        </w:rPr>
        <w:t>1年相比，收入总计增加0.25万元，增长9%。主要变动原因是工资、办公费、保险</w:t>
      </w:r>
      <w:r>
        <w:rPr>
          <w:rFonts w:ascii="仿宋" w:eastAsia="仿宋"/>
          <w:color w:val="000000"/>
          <w:sz w:val="32"/>
          <w:szCs w:val="32"/>
        </w:rPr>
        <w:t>增加。</w:t>
      </w:r>
    </w:p>
    <w:p w14:paraId="5A7D049B">
      <w:pPr>
        <w:spacing w:line="600" w:lineRule="exact"/>
        <w:ind w:firstLine="640" w:firstLineChars="200"/>
        <w:jc w:val="left"/>
        <w:rPr>
          <w:rFonts w:ascii="仿宋_GB2312" w:eastAsia="仿宋_GB2312"/>
          <w:color w:val="000000"/>
          <w:sz w:val="32"/>
          <w:szCs w:val="32"/>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658495</wp:posOffset>
            </wp:positionH>
            <wp:positionV relativeFrom="paragraph">
              <wp:posOffset>321310</wp:posOffset>
            </wp:positionV>
            <wp:extent cx="3956685" cy="1499235"/>
            <wp:effectExtent l="0" t="0" r="37" b="24"/>
            <wp:wrapSquare wrapText="bothSides"/>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D723787">
      <w:pPr>
        <w:spacing w:line="600" w:lineRule="exact"/>
        <w:ind w:firstLine="640" w:firstLineChars="200"/>
        <w:jc w:val="left"/>
        <w:rPr>
          <w:rFonts w:ascii="仿宋_GB2312" w:eastAsia="仿宋_GB2312"/>
          <w:color w:val="000000"/>
          <w:sz w:val="32"/>
          <w:szCs w:val="32"/>
        </w:rPr>
      </w:pPr>
    </w:p>
    <w:p w14:paraId="275D4D3F">
      <w:pPr>
        <w:spacing w:line="600" w:lineRule="exact"/>
        <w:ind w:firstLine="640" w:firstLineChars="200"/>
        <w:jc w:val="left"/>
        <w:rPr>
          <w:rFonts w:ascii="仿宋_GB2312" w:eastAsia="仿宋_GB2312"/>
          <w:color w:val="000000"/>
          <w:sz w:val="32"/>
          <w:szCs w:val="32"/>
        </w:rPr>
      </w:pPr>
    </w:p>
    <w:p w14:paraId="54EE9E3F">
      <w:pPr>
        <w:spacing w:line="600" w:lineRule="exact"/>
        <w:ind w:firstLine="640" w:firstLineChars="200"/>
        <w:jc w:val="left"/>
        <w:rPr>
          <w:rFonts w:ascii="仿宋_GB2312" w:eastAsia="仿宋_GB2312"/>
          <w:color w:val="000000"/>
          <w:sz w:val="32"/>
          <w:szCs w:val="32"/>
        </w:rPr>
      </w:pPr>
    </w:p>
    <w:p w14:paraId="6DD766FC">
      <w:pPr>
        <w:spacing w:line="600" w:lineRule="exact"/>
        <w:jc w:val="left"/>
        <w:rPr>
          <w:rFonts w:ascii="仿宋_GB2312" w:eastAsia="仿宋_GB2312"/>
          <w:color w:val="000000"/>
          <w:sz w:val="32"/>
          <w:szCs w:val="32"/>
        </w:rPr>
      </w:pPr>
    </w:p>
    <w:p w14:paraId="5DE9D77A">
      <w:pPr>
        <w:pStyle w:val="30"/>
        <w:numPr>
          <w:ilvl w:val="0"/>
          <w:numId w:val="1"/>
        </w:numPr>
        <w:spacing w:line="600" w:lineRule="exact"/>
        <w:ind w:firstLineChars="0"/>
        <w:outlineLvl w:val="1"/>
        <w:rPr>
          <w:rStyle w:val="25"/>
          <w:rFonts w:ascii="黑体" w:eastAsia="黑体"/>
          <w:b w:val="0"/>
        </w:rPr>
      </w:pPr>
      <w:bookmarkStart w:id="29" w:name="_Toc79163611"/>
      <w:bookmarkStart w:id="30" w:name="_Toc15396604"/>
      <w:bookmarkStart w:id="31" w:name="_Toc79163861"/>
      <w:bookmarkStart w:id="32" w:name="_Toc15377206"/>
      <w:r>
        <w:rPr>
          <w:rFonts w:hint="eastAsia" w:ascii="黑体" w:eastAsia="黑体"/>
          <w:color w:val="000000"/>
          <w:sz w:val="32"/>
          <w:szCs w:val="32"/>
        </w:rPr>
        <w:t>收</w:t>
      </w:r>
      <w:r>
        <w:rPr>
          <w:rStyle w:val="25"/>
          <w:rFonts w:hint="eastAsia" w:ascii="黑体" w:eastAsia="黑体"/>
          <w:b w:val="0"/>
        </w:rPr>
        <w:t>入决算情况说明</w:t>
      </w:r>
      <w:bookmarkEnd w:id="29"/>
      <w:bookmarkEnd w:id="30"/>
      <w:bookmarkEnd w:id="31"/>
      <w:bookmarkEnd w:id="32"/>
    </w:p>
    <w:p w14:paraId="77F61CE5">
      <w:pPr>
        <w:spacing w:line="600" w:lineRule="exact"/>
        <w:ind w:firstLine="640" w:firstLineChars="200"/>
        <w:rPr>
          <w:rFonts w:ascii="仿宋_GB2312" w:eastAsia="仿宋_GB2312"/>
          <w:color w:val="FF0000"/>
          <w:sz w:val="32"/>
          <w:szCs w:val="32"/>
        </w:rPr>
      </w:pPr>
      <w:r>
        <w:rPr>
          <w:rFonts w:ascii="仿宋" w:eastAsia="仿宋"/>
          <w:color w:val="000000"/>
          <w:sz w:val="32"/>
          <w:szCs w:val="32"/>
        </w:rPr>
        <w:t>202</w:t>
      </w:r>
      <w:r>
        <w:rPr>
          <w:rFonts w:hint="eastAsia" w:ascii="仿宋" w:eastAsia="仿宋"/>
          <w:color w:val="000000"/>
          <w:sz w:val="32"/>
          <w:szCs w:val="32"/>
        </w:rPr>
        <w:t>2年本年收入合计30.26万元，其中：一般公共预算财政拨款收入30.26万元，占100%；政府性基金预算财政拨款收入0万元；上级补助收入0万元；事业收入0万元；经营收入0万元；附属单位上缴收入0万元；其他收入0万元。</w:t>
      </w:r>
    </w:p>
    <w:p w14:paraId="20475B8B">
      <w:pPr>
        <w:spacing w:line="600" w:lineRule="exact"/>
        <w:rPr>
          <w:rFonts w:ascii="仿宋_GB2312" w:eastAsia="仿宋_GB2312"/>
          <w:color w:val="FF0000"/>
          <w:sz w:val="32"/>
          <w:szCs w:val="32"/>
        </w:rPr>
      </w:pPr>
    </w:p>
    <w:p w14:paraId="10EF2FB9">
      <w:pPr>
        <w:pStyle w:val="2"/>
      </w:pPr>
    </w:p>
    <w:p w14:paraId="22EB9555">
      <w:pPr>
        <w:pStyle w:val="2"/>
      </w:pPr>
    </w:p>
    <w:p w14:paraId="72B57DD9">
      <w:pPr>
        <w:pStyle w:val="2"/>
      </w:pPr>
    </w:p>
    <w:p w14:paraId="55F8338A">
      <w:pPr>
        <w:pStyle w:val="2"/>
      </w:pPr>
    </w:p>
    <w:p w14:paraId="7B566E53">
      <w:pPr>
        <w:pStyle w:val="2"/>
      </w:pPr>
      <w:r>
        <w:rPr>
          <w:rFonts w:hint="eastAsia"/>
        </w:rPr>
        <w:drawing>
          <wp:anchor distT="0" distB="0" distL="114300" distR="114300" simplePos="0" relativeHeight="251659264" behindDoc="0" locked="0" layoutInCell="1" allowOverlap="1">
            <wp:simplePos x="0" y="0"/>
            <wp:positionH relativeFrom="column">
              <wp:posOffset>759460</wp:posOffset>
            </wp:positionH>
            <wp:positionV relativeFrom="paragraph">
              <wp:posOffset>-278130</wp:posOffset>
            </wp:positionV>
            <wp:extent cx="3526155" cy="2609850"/>
            <wp:effectExtent l="0" t="1" r="41" b="40"/>
            <wp:wrapSquare wrapText="bothSides"/>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319600E5">
      <w:pPr>
        <w:pStyle w:val="2"/>
      </w:pPr>
    </w:p>
    <w:p w14:paraId="1F19B081">
      <w:pPr>
        <w:pStyle w:val="2"/>
        <w:rPr>
          <w:rFonts w:ascii="仿宋_GB2312" w:eastAsia="仿宋_GB2312"/>
          <w:color w:val="FF0000"/>
          <w:sz w:val="32"/>
          <w:szCs w:val="32"/>
        </w:rPr>
      </w:pPr>
    </w:p>
    <w:p w14:paraId="17F9E1C5">
      <w:pPr>
        <w:pStyle w:val="30"/>
        <w:spacing w:line="600" w:lineRule="exact"/>
        <w:ind w:left="1360"/>
        <w:outlineLvl w:val="1"/>
        <w:rPr>
          <w:rStyle w:val="25"/>
          <w:rFonts w:ascii="黑体" w:eastAsia="黑体"/>
          <w:b w:val="0"/>
        </w:rPr>
      </w:pPr>
      <w:bookmarkStart w:id="33" w:name="_Toc79163862"/>
      <w:bookmarkStart w:id="34" w:name="_Toc79163612"/>
      <w:bookmarkStart w:id="35" w:name="_Toc15396605"/>
      <w:bookmarkStart w:id="36" w:name="_Toc15377207"/>
    </w:p>
    <w:p w14:paraId="48FD30EE">
      <w:pPr>
        <w:pStyle w:val="30"/>
        <w:spacing w:line="600" w:lineRule="exact"/>
        <w:ind w:firstLine="0" w:firstLineChars="0"/>
        <w:outlineLvl w:val="1"/>
        <w:rPr>
          <w:rStyle w:val="25"/>
          <w:rFonts w:ascii="黑体" w:eastAsia="黑体"/>
          <w:b w:val="0"/>
        </w:rPr>
      </w:pPr>
    </w:p>
    <w:p w14:paraId="77E4F49B">
      <w:pPr>
        <w:pStyle w:val="30"/>
        <w:spacing w:line="600" w:lineRule="exact"/>
        <w:ind w:firstLine="0" w:firstLineChars="0"/>
        <w:outlineLvl w:val="1"/>
        <w:rPr>
          <w:rStyle w:val="25"/>
          <w:rFonts w:ascii="黑体" w:eastAsia="黑体"/>
          <w:b w:val="0"/>
        </w:rPr>
      </w:pPr>
    </w:p>
    <w:p w14:paraId="6A4D8F65">
      <w:pPr>
        <w:pStyle w:val="30"/>
        <w:spacing w:line="600" w:lineRule="exact"/>
        <w:ind w:left="1360"/>
        <w:outlineLvl w:val="1"/>
        <w:rPr>
          <w:rFonts w:ascii="黑体" w:eastAsia="黑体"/>
          <w:color w:val="000000"/>
          <w:sz w:val="32"/>
          <w:szCs w:val="32"/>
        </w:rPr>
      </w:pPr>
    </w:p>
    <w:p w14:paraId="415EDB3E">
      <w:pPr>
        <w:pStyle w:val="30"/>
        <w:spacing w:line="600" w:lineRule="exact"/>
        <w:ind w:left="1360"/>
        <w:outlineLvl w:val="1"/>
        <w:rPr>
          <w:rFonts w:ascii="黑体" w:eastAsia="黑体"/>
          <w:color w:val="000000"/>
          <w:sz w:val="32"/>
          <w:szCs w:val="32"/>
        </w:rPr>
      </w:pPr>
    </w:p>
    <w:p w14:paraId="6A816E42">
      <w:pPr>
        <w:pStyle w:val="30"/>
        <w:spacing w:line="600" w:lineRule="exact"/>
        <w:ind w:firstLine="640" w:firstLineChars="200"/>
        <w:outlineLvl w:val="1"/>
        <w:rPr>
          <w:rStyle w:val="25"/>
          <w:rFonts w:ascii="黑体" w:eastAsia="黑体"/>
          <w:b w:val="0"/>
        </w:rPr>
      </w:pPr>
      <w:r>
        <w:rPr>
          <w:rFonts w:ascii="黑体" w:eastAsia="黑体"/>
          <w:color w:val="000000"/>
          <w:sz w:val="32"/>
          <w:szCs w:val="32"/>
        </w:rPr>
        <w:t>三、</w:t>
      </w:r>
      <w:r>
        <w:rPr>
          <w:rFonts w:hint="eastAsia" w:ascii="黑体" w:eastAsia="黑体"/>
          <w:color w:val="000000"/>
          <w:sz w:val="32"/>
          <w:szCs w:val="32"/>
        </w:rPr>
        <w:t>支</w:t>
      </w:r>
      <w:r>
        <w:rPr>
          <w:rStyle w:val="25"/>
          <w:rFonts w:hint="eastAsia" w:ascii="黑体" w:eastAsia="黑体"/>
          <w:b w:val="0"/>
        </w:rPr>
        <w:t>出决算情况说明</w:t>
      </w:r>
      <w:bookmarkEnd w:id="33"/>
      <w:bookmarkEnd w:id="34"/>
      <w:bookmarkEnd w:id="35"/>
      <w:bookmarkEnd w:id="36"/>
    </w:p>
    <w:p w14:paraId="5D47835D">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2年本年支出合计30.26万元，其中：基本支出30.26万元，占100</w:t>
      </w:r>
      <w:r>
        <w:rPr>
          <w:rFonts w:ascii="仿宋_GB2312" w:eastAsia="仿宋_GB2312"/>
          <w:sz w:val="32"/>
          <w:szCs w:val="32"/>
        </w:rPr>
        <w:t>%</w:t>
      </w:r>
      <w:r>
        <w:rPr>
          <w:rFonts w:hint="eastAsia" w:ascii="仿宋_GB2312" w:eastAsia="仿宋_GB2312"/>
          <w:sz w:val="32"/>
          <w:szCs w:val="32"/>
        </w:rPr>
        <w:t>；项目支出0万元；上缴上级支出0万元；经营支出0万元；对附属单位补助支出0万元。</w:t>
      </w:r>
    </w:p>
    <w:p w14:paraId="2DDF0CEF">
      <w:pPr>
        <w:spacing w:line="600" w:lineRule="exact"/>
        <w:ind w:firstLine="640"/>
        <w:rPr>
          <w:rFonts w:ascii="仿宋" w:eastAsia="仿宋"/>
          <w:color w:val="000000"/>
          <w:sz w:val="32"/>
          <w:szCs w:val="32"/>
          <w:shd w:val="pct10" w:color="auto" w:fill="FFFFFF"/>
        </w:rPr>
      </w:pPr>
      <w:r>
        <w:rPr>
          <w:rFonts w:hint="eastAsia" w:eastAsia="等线"/>
        </w:rPr>
        <w:drawing>
          <wp:anchor distT="0" distB="0" distL="114300" distR="114300" simplePos="0" relativeHeight="251659264" behindDoc="0" locked="0" layoutInCell="1"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D1710C3">
      <w:pPr>
        <w:spacing w:line="600" w:lineRule="exact"/>
        <w:ind w:firstLine="640" w:firstLineChars="200"/>
        <w:rPr>
          <w:rFonts w:ascii="仿宋_GB2312" w:eastAsia="仿宋_GB2312"/>
          <w:color w:val="FF0000"/>
          <w:sz w:val="32"/>
          <w:szCs w:val="32"/>
        </w:rPr>
      </w:pPr>
    </w:p>
    <w:p w14:paraId="4B2DB94D">
      <w:pPr>
        <w:spacing w:line="600" w:lineRule="exact"/>
        <w:ind w:firstLine="640" w:firstLineChars="200"/>
        <w:rPr>
          <w:rFonts w:ascii="仿宋_GB2312" w:eastAsia="仿宋_GB2312"/>
          <w:color w:val="FF0000"/>
          <w:sz w:val="32"/>
          <w:szCs w:val="32"/>
        </w:rPr>
      </w:pPr>
    </w:p>
    <w:p w14:paraId="5E6D3981">
      <w:pPr>
        <w:spacing w:line="600" w:lineRule="exact"/>
        <w:ind w:firstLine="640" w:firstLineChars="200"/>
        <w:rPr>
          <w:rFonts w:ascii="仿宋_GB2312" w:eastAsia="仿宋_GB2312"/>
          <w:color w:val="FF0000"/>
          <w:sz w:val="32"/>
          <w:szCs w:val="32"/>
        </w:rPr>
      </w:pPr>
    </w:p>
    <w:p w14:paraId="017AC158">
      <w:pPr>
        <w:spacing w:line="600" w:lineRule="exact"/>
        <w:ind w:firstLine="640" w:firstLineChars="200"/>
        <w:rPr>
          <w:rFonts w:ascii="仿宋_GB2312" w:eastAsia="仿宋_GB2312"/>
          <w:color w:val="FF0000"/>
          <w:sz w:val="32"/>
          <w:szCs w:val="32"/>
        </w:rPr>
      </w:pPr>
    </w:p>
    <w:p w14:paraId="06F3DE79">
      <w:pPr>
        <w:spacing w:line="600" w:lineRule="exact"/>
        <w:ind w:firstLine="640" w:firstLineChars="200"/>
        <w:rPr>
          <w:rFonts w:ascii="仿宋_GB2312" w:eastAsia="仿宋_GB2312"/>
          <w:color w:val="FF0000"/>
          <w:sz w:val="32"/>
          <w:szCs w:val="32"/>
        </w:rPr>
      </w:pPr>
    </w:p>
    <w:p w14:paraId="4130E489">
      <w:pPr>
        <w:spacing w:line="600" w:lineRule="exact"/>
        <w:ind w:firstLine="640" w:firstLineChars="200"/>
        <w:rPr>
          <w:rFonts w:ascii="仿宋_GB2312" w:eastAsia="仿宋_GB2312"/>
          <w:color w:val="FF0000"/>
          <w:sz w:val="32"/>
          <w:szCs w:val="32"/>
        </w:rPr>
      </w:pPr>
    </w:p>
    <w:p w14:paraId="67EB9C5D">
      <w:pPr>
        <w:spacing w:line="600" w:lineRule="exact"/>
        <w:ind w:firstLine="640" w:firstLineChars="200"/>
        <w:outlineLvl w:val="1"/>
        <w:rPr>
          <w:rStyle w:val="25"/>
          <w:rFonts w:ascii="黑体" w:eastAsia="黑体"/>
          <w:b w:val="0"/>
        </w:rPr>
      </w:pPr>
      <w:bookmarkStart w:id="37" w:name="_Toc15396606"/>
      <w:bookmarkStart w:id="38" w:name="_Toc79163863"/>
      <w:bookmarkStart w:id="39" w:name="_Toc15377208"/>
      <w:bookmarkStart w:id="40" w:name="_Toc79163613"/>
      <w:r>
        <w:rPr>
          <w:rFonts w:hint="eastAsia" w:ascii="黑体" w:eastAsia="黑体"/>
          <w:color w:val="000000"/>
          <w:sz w:val="32"/>
          <w:szCs w:val="32"/>
        </w:rPr>
        <w:t>四、财</w:t>
      </w:r>
      <w:r>
        <w:rPr>
          <w:rStyle w:val="25"/>
          <w:rFonts w:hint="eastAsia" w:ascii="黑体" w:eastAsia="黑体"/>
          <w:b w:val="0"/>
        </w:rPr>
        <w:t>政拨款收入支出决算总体情况说明</w:t>
      </w:r>
      <w:bookmarkEnd w:id="37"/>
      <w:bookmarkEnd w:id="38"/>
      <w:bookmarkEnd w:id="39"/>
      <w:bookmarkEnd w:id="40"/>
    </w:p>
    <w:p w14:paraId="6DCE2B58">
      <w:pPr>
        <w:spacing w:line="600" w:lineRule="exact"/>
        <w:ind w:firstLine="640"/>
        <w:rPr>
          <w:rFonts w:ascii="仿宋" w:eastAsia="仿宋"/>
          <w:sz w:val="32"/>
          <w:szCs w:val="32"/>
        </w:rPr>
      </w:pPr>
      <w:r>
        <w:rPr>
          <w:rFonts w:ascii="仿宋" w:eastAsia="仿宋"/>
          <w:sz w:val="32"/>
          <w:szCs w:val="32"/>
        </w:rPr>
        <w:t>202</w:t>
      </w:r>
      <w:r>
        <w:rPr>
          <w:rFonts w:hint="eastAsia" w:ascii="仿宋" w:eastAsia="仿宋"/>
          <w:sz w:val="32"/>
          <w:szCs w:val="32"/>
        </w:rPr>
        <w:t>2年财政拨款收、支总计30.26万元。与</w:t>
      </w:r>
      <w:r>
        <w:rPr>
          <w:rFonts w:ascii="仿宋" w:eastAsia="仿宋"/>
          <w:sz w:val="32"/>
          <w:szCs w:val="32"/>
        </w:rPr>
        <w:t>202</w:t>
      </w:r>
      <w:r>
        <w:rPr>
          <w:rFonts w:hint="eastAsia" w:ascii="仿宋" w:eastAsia="仿宋"/>
          <w:sz w:val="32"/>
          <w:szCs w:val="32"/>
        </w:rPr>
        <w:t>1年相比，财政拨款收、支总计各增加0.25万元，增长9</w:t>
      </w:r>
      <w:r>
        <w:rPr>
          <w:rFonts w:ascii="仿宋" w:eastAsia="仿宋"/>
          <w:sz w:val="32"/>
          <w:szCs w:val="32"/>
        </w:rPr>
        <w:t>%</w:t>
      </w:r>
      <w:r>
        <w:rPr>
          <w:rFonts w:hint="eastAsia" w:ascii="仿宋" w:eastAsia="仿宋"/>
          <w:sz w:val="32"/>
          <w:szCs w:val="32"/>
        </w:rPr>
        <w:t>。主要变动原因是</w:t>
      </w:r>
      <w:r>
        <w:rPr>
          <w:rFonts w:ascii="仿宋" w:eastAsia="仿宋"/>
          <w:sz w:val="32"/>
          <w:szCs w:val="32"/>
        </w:rPr>
        <w:t>人员工资、</w:t>
      </w:r>
      <w:r>
        <w:rPr>
          <w:rFonts w:hint="eastAsia" w:ascii="仿宋" w:eastAsia="仿宋"/>
          <w:sz w:val="32"/>
          <w:szCs w:val="32"/>
        </w:rPr>
        <w:t>办公费、</w:t>
      </w:r>
      <w:r>
        <w:rPr>
          <w:rFonts w:ascii="仿宋" w:eastAsia="仿宋"/>
          <w:sz w:val="32"/>
          <w:szCs w:val="32"/>
        </w:rPr>
        <w:t>保险的</w:t>
      </w:r>
      <w:r>
        <w:rPr>
          <w:rFonts w:hint="eastAsia" w:ascii="仿宋" w:eastAsia="仿宋"/>
          <w:sz w:val="32"/>
          <w:szCs w:val="32"/>
        </w:rPr>
        <w:t>增加。</w:t>
      </w:r>
    </w:p>
    <w:p w14:paraId="69107E33">
      <w:pPr>
        <w:spacing w:line="600" w:lineRule="exact"/>
        <w:ind w:firstLine="640"/>
        <w:rPr>
          <w:rFonts w:ascii="仿宋" w:eastAsia="仿宋"/>
          <w:b/>
          <w:color w:val="00B050"/>
          <w:sz w:val="32"/>
          <w:szCs w:val="32"/>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721995</wp:posOffset>
            </wp:positionH>
            <wp:positionV relativeFrom="paragraph">
              <wp:posOffset>252095</wp:posOffset>
            </wp:positionV>
            <wp:extent cx="3655695" cy="2234565"/>
            <wp:effectExtent l="0" t="1" r="39" b="33"/>
            <wp:wrapSquare wrapText="bothSides"/>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1AC1EFD4">
      <w:pPr>
        <w:spacing w:line="600" w:lineRule="exact"/>
        <w:ind w:firstLine="640" w:firstLineChars="200"/>
        <w:outlineLvl w:val="1"/>
        <w:rPr>
          <w:rFonts w:ascii="黑体" w:eastAsia="黑体"/>
          <w:color w:val="000000"/>
          <w:sz w:val="32"/>
          <w:szCs w:val="32"/>
        </w:rPr>
      </w:pPr>
      <w:bookmarkStart w:id="41" w:name="_Toc79163614"/>
      <w:bookmarkStart w:id="42" w:name="_Toc79163864"/>
      <w:bookmarkStart w:id="43" w:name="_Toc15396607"/>
      <w:bookmarkStart w:id="44" w:name="_Toc15377209"/>
    </w:p>
    <w:p w14:paraId="0192B27D">
      <w:pPr>
        <w:spacing w:line="600" w:lineRule="exact"/>
        <w:ind w:firstLine="640" w:firstLineChars="200"/>
        <w:outlineLvl w:val="1"/>
        <w:rPr>
          <w:rFonts w:ascii="黑体" w:eastAsia="黑体"/>
          <w:color w:val="000000"/>
          <w:sz w:val="32"/>
          <w:szCs w:val="32"/>
        </w:rPr>
      </w:pPr>
    </w:p>
    <w:p w14:paraId="38016F30">
      <w:pPr>
        <w:spacing w:line="600" w:lineRule="exact"/>
        <w:ind w:firstLine="640" w:firstLineChars="200"/>
        <w:outlineLvl w:val="1"/>
        <w:rPr>
          <w:rFonts w:ascii="黑体" w:eastAsia="黑体"/>
          <w:color w:val="000000"/>
          <w:sz w:val="32"/>
          <w:szCs w:val="32"/>
        </w:rPr>
      </w:pPr>
    </w:p>
    <w:p w14:paraId="2848ADEB">
      <w:pPr>
        <w:spacing w:line="600" w:lineRule="exact"/>
        <w:ind w:firstLine="640" w:firstLineChars="200"/>
        <w:outlineLvl w:val="1"/>
        <w:rPr>
          <w:rFonts w:ascii="黑体" w:eastAsia="黑体"/>
          <w:color w:val="000000"/>
          <w:sz w:val="32"/>
          <w:szCs w:val="32"/>
        </w:rPr>
      </w:pPr>
    </w:p>
    <w:p w14:paraId="03FDD2DD">
      <w:pPr>
        <w:spacing w:line="600" w:lineRule="exact"/>
        <w:ind w:firstLine="640" w:firstLineChars="200"/>
        <w:outlineLvl w:val="1"/>
        <w:rPr>
          <w:rFonts w:ascii="黑体" w:eastAsia="黑体"/>
          <w:color w:val="000000"/>
          <w:sz w:val="32"/>
          <w:szCs w:val="32"/>
        </w:rPr>
      </w:pPr>
    </w:p>
    <w:p w14:paraId="59B6A338">
      <w:pPr>
        <w:spacing w:line="600" w:lineRule="exact"/>
        <w:outlineLvl w:val="1"/>
        <w:rPr>
          <w:rFonts w:ascii="黑体" w:eastAsia="黑体"/>
          <w:color w:val="000000"/>
          <w:sz w:val="32"/>
          <w:szCs w:val="32"/>
        </w:rPr>
      </w:pPr>
    </w:p>
    <w:p w14:paraId="49E38099">
      <w:pPr>
        <w:spacing w:line="600" w:lineRule="exact"/>
        <w:ind w:firstLine="640" w:firstLineChars="200"/>
        <w:outlineLvl w:val="1"/>
        <w:rPr>
          <w:rStyle w:val="25"/>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41"/>
      <w:bookmarkEnd w:id="42"/>
      <w:bookmarkEnd w:id="43"/>
      <w:bookmarkEnd w:id="44"/>
    </w:p>
    <w:p w14:paraId="2E9FB456">
      <w:pPr>
        <w:spacing w:line="600" w:lineRule="exact"/>
        <w:ind w:firstLine="643" w:firstLineChars="200"/>
        <w:outlineLvl w:val="2"/>
        <w:rPr>
          <w:rFonts w:ascii="仿宋" w:eastAsia="仿宋"/>
          <w:b/>
          <w:color w:val="000000"/>
          <w:sz w:val="32"/>
          <w:szCs w:val="32"/>
        </w:rPr>
      </w:pPr>
      <w:bookmarkStart w:id="45" w:name="_Toc79163865"/>
      <w:bookmarkStart w:id="46" w:name="_Toc79163615"/>
      <w:bookmarkStart w:id="47" w:name="_Toc15377210"/>
      <w:r>
        <w:rPr>
          <w:rFonts w:hint="eastAsia" w:ascii="仿宋" w:eastAsia="仿宋"/>
          <w:b/>
          <w:color w:val="000000"/>
          <w:sz w:val="32"/>
          <w:szCs w:val="32"/>
        </w:rPr>
        <w:t>（一）一般公共预算财政拨款支出决算总体情况</w:t>
      </w:r>
      <w:bookmarkEnd w:id="45"/>
      <w:bookmarkEnd w:id="46"/>
      <w:bookmarkEnd w:id="47"/>
    </w:p>
    <w:p w14:paraId="121AD495">
      <w:pPr>
        <w:spacing w:line="600" w:lineRule="exact"/>
        <w:ind w:firstLine="640" w:firstLineChars="200"/>
        <w:rPr>
          <w:rFonts w:ascii="仿宋" w:eastAsia="仿宋"/>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2年一般公共预算财政拨款支出30.26万元，占本年支出合计的100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w:t>
      </w:r>
      <w:r>
        <w:rPr>
          <w:rFonts w:hint="eastAsia" w:ascii="仿宋" w:eastAsia="仿宋"/>
          <w:color w:val="000000"/>
          <w:sz w:val="32"/>
          <w:szCs w:val="32"/>
        </w:rPr>
        <w:t>1年相比，</w:t>
      </w:r>
      <w:r>
        <w:rPr>
          <w:rFonts w:hint="eastAsia" w:ascii="仿宋" w:eastAsia="仿宋"/>
          <w:sz w:val="32"/>
          <w:szCs w:val="32"/>
        </w:rPr>
        <w:t>一般公共预算财政拨款增加0.25万元，增加9</w:t>
      </w:r>
      <w:r>
        <w:rPr>
          <w:rFonts w:ascii="仿宋" w:eastAsia="仿宋"/>
          <w:sz w:val="32"/>
          <w:szCs w:val="32"/>
        </w:rPr>
        <w:t>%</w:t>
      </w:r>
      <w:r>
        <w:rPr>
          <w:rFonts w:hint="eastAsia" w:ascii="仿宋" w:eastAsia="仿宋"/>
          <w:sz w:val="32"/>
          <w:szCs w:val="32"/>
        </w:rPr>
        <w:t>。主要变动原因是人员工资、办公费的增加。</w:t>
      </w:r>
    </w:p>
    <w:p w14:paraId="74194B5A">
      <w:pPr>
        <w:spacing w:line="600" w:lineRule="exact"/>
        <w:ind w:firstLine="420" w:firstLineChars="200"/>
        <w:rPr>
          <w:rFonts w:ascii="仿宋" w:eastAsia="仿宋"/>
          <w:color w:val="000000"/>
          <w:sz w:val="32"/>
          <w:szCs w:val="32"/>
        </w:rPr>
      </w:pPr>
      <w:r>
        <w:rPr>
          <w:rFonts w:hint="eastAsia" w:eastAsia="等线"/>
        </w:rPr>
        <w:drawing>
          <wp:anchor distT="0" distB="0" distL="114300" distR="114300" simplePos="0" relativeHeight="251659264" behindDoc="0" locked="0" layoutInCell="1" allowOverlap="1">
            <wp:simplePos x="0" y="0"/>
            <wp:positionH relativeFrom="column">
              <wp:posOffset>519430</wp:posOffset>
            </wp:positionH>
            <wp:positionV relativeFrom="paragraph">
              <wp:posOffset>92710</wp:posOffset>
            </wp:positionV>
            <wp:extent cx="3927475" cy="2260600"/>
            <wp:effectExtent l="0" t="0" r="3" b="29"/>
            <wp:wrapSquare wrapText="bothSides"/>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11C1A14">
      <w:pPr>
        <w:spacing w:line="600" w:lineRule="exact"/>
        <w:ind w:firstLine="640" w:firstLineChars="200"/>
        <w:rPr>
          <w:rFonts w:ascii="仿宋" w:eastAsia="仿宋"/>
          <w:color w:val="000000"/>
          <w:sz w:val="32"/>
          <w:szCs w:val="32"/>
        </w:rPr>
      </w:pPr>
    </w:p>
    <w:p w14:paraId="0D03BFE5">
      <w:pPr>
        <w:spacing w:line="600" w:lineRule="exact"/>
        <w:ind w:firstLine="640" w:firstLineChars="200"/>
        <w:rPr>
          <w:rFonts w:ascii="仿宋" w:eastAsia="仿宋"/>
          <w:color w:val="000000"/>
          <w:sz w:val="32"/>
          <w:szCs w:val="32"/>
        </w:rPr>
      </w:pPr>
    </w:p>
    <w:p w14:paraId="61F9820F">
      <w:pPr>
        <w:spacing w:line="600" w:lineRule="exact"/>
        <w:ind w:firstLine="640" w:firstLineChars="200"/>
        <w:rPr>
          <w:rFonts w:ascii="仿宋" w:eastAsia="仿宋"/>
          <w:color w:val="000000"/>
          <w:sz w:val="32"/>
          <w:szCs w:val="32"/>
        </w:rPr>
      </w:pPr>
    </w:p>
    <w:p w14:paraId="6505BAAD">
      <w:pPr>
        <w:spacing w:line="600" w:lineRule="exact"/>
        <w:ind w:firstLine="640" w:firstLineChars="200"/>
        <w:rPr>
          <w:rFonts w:ascii="仿宋" w:eastAsia="仿宋"/>
          <w:color w:val="000000"/>
          <w:sz w:val="32"/>
          <w:szCs w:val="32"/>
        </w:rPr>
      </w:pPr>
    </w:p>
    <w:p w14:paraId="60A75D05">
      <w:pPr>
        <w:spacing w:line="600" w:lineRule="exact"/>
        <w:ind w:firstLine="643" w:firstLineChars="200"/>
        <w:outlineLvl w:val="2"/>
        <w:rPr>
          <w:rFonts w:ascii="仿宋" w:eastAsia="仿宋"/>
          <w:b/>
          <w:color w:val="000000"/>
          <w:sz w:val="32"/>
          <w:szCs w:val="32"/>
        </w:rPr>
      </w:pPr>
      <w:bookmarkStart w:id="48" w:name="_Toc79163866"/>
      <w:bookmarkStart w:id="49" w:name="_Toc79163616"/>
      <w:bookmarkStart w:id="50" w:name="_Toc15377211"/>
      <w:r>
        <w:rPr>
          <w:rFonts w:hint="eastAsia" w:ascii="仿宋" w:eastAsia="仿宋"/>
          <w:b/>
          <w:color w:val="000000"/>
          <w:sz w:val="32"/>
          <w:szCs w:val="32"/>
        </w:rPr>
        <w:t>（二）一般公共预算财政拨款支出决算结构情况</w:t>
      </w:r>
      <w:bookmarkEnd w:id="48"/>
      <w:bookmarkEnd w:id="49"/>
      <w:bookmarkEnd w:id="50"/>
    </w:p>
    <w:p w14:paraId="5BBFE806">
      <w:pPr>
        <w:spacing w:line="600" w:lineRule="exact"/>
        <w:ind w:firstLine="640"/>
        <w:rPr>
          <w:rFonts w:ascii="仿宋_GB2312" w:eastAsia="仿宋_GB2312" w:cs="宋体"/>
          <w:kern w:val="0"/>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2年一般公共预算财政拨款支出30.26万元，</w:t>
      </w:r>
      <w:r>
        <w:rPr>
          <w:rFonts w:hint="eastAsia" w:ascii="仿宋" w:eastAsia="仿宋"/>
          <w:sz w:val="32"/>
          <w:szCs w:val="32"/>
        </w:rPr>
        <w:t>主要用于以下方面</w:t>
      </w:r>
      <w:r>
        <w:rPr>
          <w:rFonts w:ascii="仿宋" w:eastAsia="仿宋"/>
          <w:sz w:val="32"/>
          <w:szCs w:val="32"/>
        </w:rPr>
        <w:t>:</w:t>
      </w:r>
      <w:r>
        <w:rPr>
          <w:rFonts w:hint="eastAsia" w:ascii="仿宋_GB2312" w:eastAsia="仿宋_GB2312"/>
          <w:sz w:val="32"/>
          <w:szCs w:val="32"/>
        </w:rPr>
        <w:t>社会保障和就业（2080505）支出</w:t>
      </w:r>
      <w:r>
        <w:rPr>
          <w:rFonts w:hint="eastAsia" w:ascii="仿宋_GB2312" w:eastAsia="仿宋_GB2312" w:cs="宋体"/>
          <w:kern w:val="0"/>
          <w:sz w:val="32"/>
          <w:szCs w:val="32"/>
        </w:rPr>
        <w:t>26.04</w:t>
      </w:r>
      <w:r>
        <w:rPr>
          <w:rFonts w:hint="eastAsia" w:ascii="仿宋_GB2312" w:eastAsia="仿宋_GB2312"/>
          <w:sz w:val="32"/>
          <w:szCs w:val="32"/>
        </w:rPr>
        <w:t>万元，占86%；卫生健康（2101101）支出</w:t>
      </w:r>
      <w:r>
        <w:rPr>
          <w:rFonts w:hint="eastAsia" w:ascii="仿宋_GB2312" w:eastAsia="仿宋_GB2312" w:cs="宋体"/>
          <w:kern w:val="0"/>
          <w:sz w:val="32"/>
          <w:szCs w:val="32"/>
        </w:rPr>
        <w:t>1.69万</w:t>
      </w:r>
      <w:r>
        <w:rPr>
          <w:rFonts w:hint="eastAsia" w:ascii="仿宋_GB2312" w:eastAsia="仿宋_GB2312"/>
          <w:sz w:val="32"/>
          <w:szCs w:val="32"/>
        </w:rPr>
        <w:t>元，占6%；住房保障（2210201）支出</w:t>
      </w:r>
      <w:r>
        <w:rPr>
          <w:rFonts w:hint="eastAsia" w:ascii="仿宋_GB2312" w:eastAsia="仿宋_GB2312" w:cs="宋体"/>
          <w:kern w:val="0"/>
          <w:sz w:val="32"/>
          <w:szCs w:val="32"/>
        </w:rPr>
        <w:t>2.53</w:t>
      </w:r>
      <w:r>
        <w:rPr>
          <w:rFonts w:hint="eastAsia" w:ascii="仿宋_GB2312" w:eastAsia="仿宋_GB2312"/>
          <w:sz w:val="32"/>
          <w:szCs w:val="32"/>
        </w:rPr>
        <w:t>万元，占8%</w:t>
      </w:r>
      <w:r>
        <w:rPr>
          <w:rFonts w:hint="eastAsia" w:ascii="仿宋_GB2312" w:eastAsia="仿宋_GB2312" w:cs="宋体"/>
          <w:kern w:val="0"/>
          <w:sz w:val="32"/>
          <w:szCs w:val="32"/>
        </w:rPr>
        <w:t>。</w:t>
      </w:r>
    </w:p>
    <w:p w14:paraId="41EA6EBD">
      <w:pPr>
        <w:pStyle w:val="2"/>
        <w:jc w:val="center"/>
        <w:rPr>
          <w:sz w:val="32"/>
          <w:szCs w:val="32"/>
        </w:rPr>
      </w:pPr>
      <w:r>
        <w:rPr>
          <w:b/>
          <w:bCs/>
          <w:sz w:val="32"/>
          <w:szCs w:val="32"/>
        </w:rPr>
        <w:t>图6：一般公共预算财政拨款支出结构图</w:t>
      </w:r>
    </w:p>
    <w:p w14:paraId="1FD725BD">
      <w:pPr>
        <w:spacing w:line="600" w:lineRule="exact"/>
        <w:rPr>
          <w:rFonts w:ascii="仿宋" w:eastAsia="仿宋"/>
          <w:color w:val="000000"/>
          <w:sz w:val="32"/>
          <w:szCs w:val="32"/>
        </w:rPr>
      </w:pPr>
      <w:r>
        <w:rPr>
          <w:rFonts w:hint="eastAsia" w:eastAsia="等线"/>
        </w:rPr>
        <w:drawing>
          <wp:anchor distT="0" distB="0" distL="114300" distR="114300" simplePos="0" relativeHeight="251659264" behindDoc="0" locked="0" layoutInCell="1" allowOverlap="1">
            <wp:simplePos x="0" y="0"/>
            <wp:positionH relativeFrom="column">
              <wp:posOffset>857885</wp:posOffset>
            </wp:positionH>
            <wp:positionV relativeFrom="paragraph">
              <wp:posOffset>138430</wp:posOffset>
            </wp:positionV>
            <wp:extent cx="3526155" cy="2609850"/>
            <wp:effectExtent l="0" t="0" r="41" b="38"/>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902039E">
      <w:pPr>
        <w:spacing w:line="600" w:lineRule="exact"/>
        <w:ind w:firstLine="643" w:firstLineChars="200"/>
        <w:outlineLvl w:val="2"/>
        <w:rPr>
          <w:rFonts w:ascii="仿宋" w:eastAsia="仿宋"/>
          <w:b/>
          <w:color w:val="000000"/>
          <w:sz w:val="32"/>
          <w:szCs w:val="32"/>
        </w:rPr>
      </w:pPr>
      <w:bookmarkStart w:id="51" w:name="_Toc79163617"/>
      <w:bookmarkStart w:id="52" w:name="_Toc15377212"/>
      <w:bookmarkStart w:id="53" w:name="_Toc79163867"/>
    </w:p>
    <w:p w14:paraId="6FD77FBF">
      <w:pPr>
        <w:spacing w:line="600" w:lineRule="exact"/>
        <w:ind w:firstLine="643" w:firstLineChars="200"/>
        <w:outlineLvl w:val="2"/>
        <w:rPr>
          <w:rFonts w:ascii="仿宋" w:eastAsia="仿宋"/>
          <w:b/>
          <w:color w:val="000000"/>
          <w:sz w:val="32"/>
          <w:szCs w:val="32"/>
        </w:rPr>
      </w:pPr>
    </w:p>
    <w:p w14:paraId="5CB26F23">
      <w:pPr>
        <w:spacing w:line="600" w:lineRule="exact"/>
        <w:ind w:firstLine="643" w:firstLineChars="200"/>
        <w:outlineLvl w:val="2"/>
        <w:rPr>
          <w:rFonts w:ascii="仿宋" w:eastAsia="仿宋"/>
          <w:b/>
          <w:color w:val="000000"/>
          <w:sz w:val="32"/>
          <w:szCs w:val="32"/>
        </w:rPr>
      </w:pPr>
    </w:p>
    <w:p w14:paraId="3AD494D7">
      <w:pPr>
        <w:spacing w:line="600" w:lineRule="exact"/>
        <w:ind w:firstLine="643" w:firstLineChars="200"/>
        <w:outlineLvl w:val="2"/>
        <w:rPr>
          <w:rFonts w:ascii="仿宋" w:eastAsia="仿宋"/>
          <w:b/>
          <w:color w:val="000000"/>
          <w:sz w:val="32"/>
          <w:szCs w:val="32"/>
        </w:rPr>
      </w:pPr>
    </w:p>
    <w:p w14:paraId="2AEB470E">
      <w:pPr>
        <w:spacing w:line="600" w:lineRule="exact"/>
        <w:ind w:firstLine="643" w:firstLineChars="200"/>
        <w:outlineLvl w:val="2"/>
        <w:rPr>
          <w:rFonts w:ascii="仿宋" w:eastAsia="仿宋"/>
          <w:b/>
          <w:color w:val="000000"/>
          <w:sz w:val="32"/>
          <w:szCs w:val="32"/>
        </w:rPr>
      </w:pPr>
    </w:p>
    <w:p w14:paraId="1CF7D61B">
      <w:pPr>
        <w:spacing w:line="600" w:lineRule="exact"/>
        <w:ind w:firstLine="643" w:firstLineChars="200"/>
        <w:outlineLvl w:val="2"/>
        <w:rPr>
          <w:rFonts w:ascii="仿宋" w:eastAsia="仿宋"/>
          <w:b/>
          <w:color w:val="000000"/>
          <w:sz w:val="32"/>
          <w:szCs w:val="32"/>
        </w:rPr>
      </w:pPr>
    </w:p>
    <w:p w14:paraId="18A89C31">
      <w:pPr>
        <w:spacing w:line="600" w:lineRule="exact"/>
        <w:ind w:firstLine="643" w:firstLineChars="200"/>
        <w:outlineLvl w:val="2"/>
        <w:rPr>
          <w:rFonts w:ascii="仿宋" w:eastAsia="仿宋"/>
          <w:b/>
          <w:color w:val="000000"/>
          <w:sz w:val="32"/>
          <w:szCs w:val="32"/>
        </w:rPr>
      </w:pPr>
    </w:p>
    <w:p w14:paraId="753D011A">
      <w:pPr>
        <w:spacing w:line="600"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51"/>
      <w:bookmarkEnd w:id="52"/>
      <w:bookmarkEnd w:id="53"/>
    </w:p>
    <w:p w14:paraId="205E1E7D">
      <w:pPr>
        <w:spacing w:line="600" w:lineRule="exact"/>
        <w:ind w:firstLine="643" w:firstLineChars="200"/>
        <w:rPr>
          <w:rFonts w:ascii="仿宋_GB2312" w:eastAsia="仿宋_GB2312"/>
          <w:b/>
          <w:bCs/>
          <w:sz w:val="32"/>
          <w:szCs w:val="32"/>
        </w:rPr>
      </w:pPr>
      <w:bookmarkStart w:id="54" w:name="_Toc15377444"/>
      <w:bookmarkStart w:id="55" w:name="_Toc15377213"/>
      <w:bookmarkStart w:id="56" w:name="_Toc15378460"/>
      <w:r>
        <w:rPr>
          <w:rFonts w:ascii="仿宋_GB2312" w:eastAsia="仿宋_GB2312"/>
          <w:b/>
          <w:bCs/>
          <w:sz w:val="32"/>
          <w:szCs w:val="32"/>
        </w:rPr>
        <w:t>2021</w:t>
      </w:r>
      <w:r>
        <w:rPr>
          <w:rFonts w:hint="eastAsia" w:ascii="仿宋_GB2312" w:eastAsia="仿宋_GB2312"/>
          <w:b/>
          <w:bCs/>
          <w:sz w:val="32"/>
          <w:szCs w:val="32"/>
        </w:rPr>
        <w:t>年一般公共预算支出决算数为30.26万元，完成预算100</w:t>
      </w:r>
      <w:r>
        <w:rPr>
          <w:rFonts w:ascii="仿宋_GB2312" w:eastAsia="仿宋_GB2312"/>
          <w:b/>
          <w:bCs/>
          <w:sz w:val="32"/>
          <w:szCs w:val="32"/>
        </w:rPr>
        <w:t>%</w:t>
      </w:r>
      <w:r>
        <w:rPr>
          <w:rFonts w:hint="eastAsia" w:ascii="仿宋_GB2312" w:eastAsia="仿宋_GB2312"/>
          <w:b/>
          <w:bCs/>
          <w:sz w:val="32"/>
          <w:szCs w:val="32"/>
        </w:rPr>
        <w:t>。其中：</w:t>
      </w:r>
      <w:bookmarkEnd w:id="54"/>
      <w:bookmarkEnd w:id="55"/>
      <w:bookmarkEnd w:id="56"/>
    </w:p>
    <w:p w14:paraId="09F0E3E4">
      <w:pPr>
        <w:spacing w:line="576" w:lineRule="exact"/>
        <w:ind w:firstLine="643" w:firstLineChars="200"/>
        <w:rPr>
          <w:rFonts w:ascii="仿宋_GB2312" w:eastAsia="仿宋_GB2312"/>
          <w:sz w:val="32"/>
          <w:szCs w:val="32"/>
        </w:rPr>
      </w:pPr>
      <w:r>
        <w:rPr>
          <w:rStyle w:val="22"/>
          <w:rFonts w:hint="eastAsia" w:ascii="仿宋_GB2312" w:eastAsia="仿宋_GB2312"/>
          <w:bCs/>
          <w:sz w:val="32"/>
          <w:szCs w:val="32"/>
        </w:rPr>
        <w:t>1.社会保障和就业（208）行政事业单位离退休（05）</w:t>
      </w:r>
      <w:r>
        <w:rPr>
          <w:rFonts w:hint="eastAsia" w:ascii="仿宋_GB2312" w:eastAsia="仿宋_GB2312"/>
          <w:b/>
          <w:bCs/>
          <w:sz w:val="32"/>
          <w:szCs w:val="32"/>
        </w:rPr>
        <w:t>机关事业单位基本养老保险缴费支出（05）</w:t>
      </w:r>
      <w:r>
        <w:rPr>
          <w:rFonts w:hint="eastAsia" w:ascii="仿宋_GB2312" w:eastAsia="仿宋_GB2312"/>
          <w:sz w:val="32"/>
          <w:szCs w:val="32"/>
        </w:rPr>
        <w:t>：支出决算2.5万元，完成预算100%。</w:t>
      </w:r>
    </w:p>
    <w:p w14:paraId="4DDCC985">
      <w:pPr>
        <w:spacing w:line="576" w:lineRule="exact"/>
        <w:ind w:firstLine="643" w:firstLineChars="200"/>
        <w:rPr>
          <w:rFonts w:ascii="仿宋_GB2312" w:eastAsia="仿宋_GB2312"/>
          <w:sz w:val="32"/>
          <w:szCs w:val="32"/>
        </w:rPr>
      </w:pPr>
      <w:r>
        <w:rPr>
          <w:rStyle w:val="22"/>
          <w:rFonts w:hint="eastAsia" w:ascii="仿宋_GB2312" w:eastAsia="仿宋_GB2312"/>
          <w:bCs/>
          <w:sz w:val="32"/>
          <w:szCs w:val="32"/>
        </w:rPr>
        <w:t>2.社会保障和就业（208）行政事业单位离退休（05）</w:t>
      </w:r>
      <w:r>
        <w:rPr>
          <w:rFonts w:hint="eastAsia" w:ascii="仿宋_GB2312" w:eastAsia="仿宋_GB2312"/>
          <w:b/>
          <w:bCs/>
          <w:sz w:val="32"/>
          <w:szCs w:val="32"/>
        </w:rPr>
        <w:t>机关事业单位职业年金缴费支出（06）：</w:t>
      </w:r>
      <w:r>
        <w:rPr>
          <w:rFonts w:hint="eastAsia" w:ascii="仿宋_GB2312" w:eastAsia="仿宋_GB2312"/>
          <w:sz w:val="32"/>
          <w:szCs w:val="32"/>
        </w:rPr>
        <w:t>支出决算1.26万元，完成预算100%。</w:t>
      </w:r>
    </w:p>
    <w:p w14:paraId="37A0FD5A">
      <w:pPr>
        <w:spacing w:line="576" w:lineRule="exact"/>
        <w:ind w:firstLine="643" w:firstLineChars="200"/>
        <w:rPr>
          <w:rFonts w:ascii="仿宋_GB2312" w:eastAsia="仿宋_GB2312"/>
          <w:sz w:val="32"/>
          <w:szCs w:val="32"/>
        </w:rPr>
      </w:pPr>
      <w:r>
        <w:rPr>
          <w:rFonts w:hint="eastAsia" w:ascii="仿宋_GB2312" w:eastAsia="仿宋_GB2312"/>
          <w:b/>
          <w:bCs/>
          <w:sz w:val="32"/>
          <w:szCs w:val="32"/>
        </w:rPr>
        <w:t>3</w:t>
      </w:r>
      <w:r>
        <w:rPr>
          <w:rFonts w:hint="eastAsia" w:ascii="仿宋_GB2312" w:eastAsia="仿宋_GB2312"/>
          <w:sz w:val="32"/>
          <w:szCs w:val="32"/>
        </w:rPr>
        <w:t>.</w:t>
      </w:r>
      <w:r>
        <w:rPr>
          <w:rStyle w:val="22"/>
          <w:rFonts w:hint="eastAsia" w:ascii="仿宋_GB2312" w:eastAsia="仿宋_GB2312"/>
          <w:bCs/>
          <w:sz w:val="32"/>
          <w:szCs w:val="32"/>
        </w:rPr>
        <w:t>社会保障和就业（208）</w:t>
      </w:r>
      <w:r>
        <w:rPr>
          <w:rFonts w:hint="eastAsia" w:ascii="仿宋_GB2312" w:eastAsia="仿宋_GB2312"/>
          <w:b/>
          <w:sz w:val="32"/>
          <w:szCs w:val="32"/>
        </w:rPr>
        <w:t>残疾人事业（</w:t>
      </w:r>
      <w:r>
        <w:rPr>
          <w:rStyle w:val="22"/>
          <w:rFonts w:hint="eastAsia" w:ascii="仿宋_GB2312" w:eastAsia="仿宋_GB2312"/>
          <w:bCs/>
          <w:sz w:val="32"/>
          <w:szCs w:val="32"/>
        </w:rPr>
        <w:t>11</w:t>
      </w:r>
      <w:r>
        <w:rPr>
          <w:rFonts w:hint="eastAsia" w:ascii="仿宋_GB2312" w:eastAsia="仿宋_GB2312"/>
          <w:b/>
          <w:sz w:val="32"/>
          <w:szCs w:val="32"/>
        </w:rPr>
        <w:t>）其他残疾人支出（</w:t>
      </w:r>
      <w:r>
        <w:rPr>
          <w:rFonts w:hint="eastAsia" w:ascii="仿宋_GB2312" w:eastAsia="仿宋_GB2312"/>
          <w:b/>
          <w:bCs/>
          <w:sz w:val="32"/>
          <w:szCs w:val="32"/>
        </w:rPr>
        <w:t>99</w:t>
      </w:r>
      <w:r>
        <w:rPr>
          <w:rFonts w:hint="eastAsia" w:ascii="仿宋_GB2312" w:eastAsia="仿宋_GB2312"/>
          <w:b/>
          <w:sz w:val="32"/>
          <w:szCs w:val="32"/>
        </w:rPr>
        <w:t>）:</w:t>
      </w:r>
      <w:r>
        <w:rPr>
          <w:rFonts w:hint="eastAsia" w:ascii="仿宋_GB2312" w:eastAsia="仿宋_GB2312"/>
          <w:sz w:val="32"/>
          <w:szCs w:val="32"/>
        </w:rPr>
        <w:t>支出决算22.28万元，完成预算100%。</w:t>
      </w:r>
    </w:p>
    <w:p w14:paraId="1CED516B">
      <w:pPr>
        <w:spacing w:line="576" w:lineRule="exact"/>
        <w:ind w:firstLine="643" w:firstLineChars="200"/>
        <w:rPr>
          <w:rFonts w:ascii="仿宋_GB2312" w:eastAsia="仿宋_GB2312"/>
          <w:b/>
          <w:sz w:val="32"/>
          <w:szCs w:val="32"/>
        </w:rPr>
      </w:pPr>
      <w:r>
        <w:rPr>
          <w:rStyle w:val="22"/>
          <w:rFonts w:hint="eastAsia" w:ascii="仿宋_GB2312" w:eastAsia="仿宋_GB2312"/>
          <w:bCs/>
          <w:sz w:val="32"/>
          <w:szCs w:val="32"/>
        </w:rPr>
        <w:t>4.卫生健康（210）行政事业单位医疗（11）行政单位医疗（</w:t>
      </w:r>
      <w:r>
        <w:rPr>
          <w:rFonts w:hint="eastAsia" w:ascii="仿宋_GB2312" w:eastAsia="仿宋_GB2312"/>
          <w:b/>
          <w:bCs/>
          <w:sz w:val="32"/>
          <w:szCs w:val="32"/>
        </w:rPr>
        <w:t>02</w:t>
      </w:r>
      <w:r>
        <w:rPr>
          <w:rStyle w:val="22"/>
          <w:rFonts w:hint="eastAsia" w:ascii="仿宋_GB2312" w:eastAsia="仿宋_GB2312"/>
          <w:bCs/>
          <w:sz w:val="32"/>
          <w:szCs w:val="32"/>
        </w:rPr>
        <w:t>）:</w:t>
      </w:r>
      <w:r>
        <w:rPr>
          <w:rStyle w:val="22"/>
          <w:rFonts w:hint="eastAsia" w:ascii="仿宋_GB2312" w:eastAsia="仿宋_GB2312"/>
          <w:b w:val="0"/>
          <w:bCs/>
          <w:sz w:val="32"/>
          <w:szCs w:val="32"/>
        </w:rPr>
        <w:t>支出决算为1.69万元，完成预算100%。</w:t>
      </w:r>
    </w:p>
    <w:p w14:paraId="56E3FB1C">
      <w:pPr>
        <w:pStyle w:val="2"/>
        <w:ind w:left="0" w:leftChars="0" w:firstLine="643" w:firstLineChars="200"/>
        <w:rPr>
          <w:rFonts w:ascii="仿宋" w:eastAsia="仿宋"/>
          <w:b/>
          <w:color w:val="000000"/>
          <w:sz w:val="32"/>
          <w:szCs w:val="32"/>
        </w:rPr>
      </w:pPr>
      <w:r>
        <w:rPr>
          <w:rStyle w:val="22"/>
          <w:rFonts w:hint="eastAsia" w:ascii="仿宋_GB2312" w:eastAsia="仿宋_GB2312"/>
          <w:bCs/>
          <w:sz w:val="32"/>
          <w:szCs w:val="32"/>
        </w:rPr>
        <w:t>5.住房保障支出（221）住房改革支出（02）住房公积金（</w:t>
      </w:r>
      <w:r>
        <w:rPr>
          <w:rFonts w:hint="eastAsia" w:ascii="仿宋_GB2312" w:eastAsia="仿宋_GB2312"/>
          <w:b/>
          <w:bCs/>
          <w:sz w:val="32"/>
          <w:szCs w:val="32"/>
        </w:rPr>
        <w:t>01</w:t>
      </w:r>
      <w:r>
        <w:rPr>
          <w:rStyle w:val="22"/>
          <w:rFonts w:hint="eastAsia" w:ascii="仿宋_GB2312" w:eastAsia="仿宋_GB2312"/>
          <w:bCs/>
          <w:sz w:val="32"/>
          <w:szCs w:val="32"/>
        </w:rPr>
        <w:t>）:</w:t>
      </w:r>
      <w:r>
        <w:rPr>
          <w:rStyle w:val="22"/>
          <w:rFonts w:hint="eastAsia" w:ascii="仿宋_GB2312" w:eastAsia="仿宋_GB2312"/>
          <w:b w:val="0"/>
          <w:bCs/>
          <w:sz w:val="32"/>
          <w:szCs w:val="32"/>
        </w:rPr>
        <w:t>支出决算为2.53万元，完成预算100%。</w:t>
      </w:r>
    </w:p>
    <w:p w14:paraId="324F43C6">
      <w:pPr>
        <w:tabs>
          <w:tab w:val="right" w:pos="8306"/>
        </w:tabs>
        <w:spacing w:line="600" w:lineRule="exact"/>
        <w:ind w:firstLine="640"/>
        <w:outlineLvl w:val="1"/>
        <w:rPr>
          <w:rStyle w:val="25"/>
        </w:rPr>
      </w:pPr>
      <w:bookmarkStart w:id="57" w:name="_Toc15396608"/>
      <w:bookmarkStart w:id="58" w:name="_Toc15377214"/>
      <w:bookmarkStart w:id="59" w:name="_Toc79163618"/>
      <w:bookmarkStart w:id="60" w:name="_Toc79163868"/>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57"/>
      <w:bookmarkEnd w:id="58"/>
      <w:bookmarkEnd w:id="59"/>
      <w:bookmarkEnd w:id="60"/>
      <w:r>
        <w:rPr>
          <w:rStyle w:val="25"/>
          <w:rFonts w:ascii="黑体" w:eastAsia="黑体"/>
          <w:b w:val="0"/>
        </w:rPr>
        <w:tab/>
      </w:r>
    </w:p>
    <w:p w14:paraId="67924DAB">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2年一般公共预算财政拨款基本支出30.26万元，其中：</w:t>
      </w:r>
    </w:p>
    <w:p w14:paraId="13BA32C6">
      <w:pPr>
        <w:spacing w:line="600" w:lineRule="exact"/>
        <w:ind w:firstLine="645"/>
        <w:rPr>
          <w:rFonts w:ascii="仿宋" w:eastAsia="仿宋"/>
          <w:color w:val="000000"/>
          <w:sz w:val="32"/>
          <w:szCs w:val="32"/>
        </w:rPr>
      </w:pPr>
      <w:r>
        <w:rPr>
          <w:rFonts w:hint="eastAsia" w:ascii="仿宋" w:eastAsia="仿宋"/>
          <w:color w:val="000000"/>
          <w:sz w:val="32"/>
          <w:szCs w:val="32"/>
        </w:rPr>
        <w:t>人员经费29.67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3B642FA3">
      <w:pPr>
        <w:spacing w:line="600" w:lineRule="exact"/>
        <w:ind w:firstLine="645"/>
        <w:rPr>
          <w:rFonts w:ascii="仿宋" w:eastAsia="仿宋"/>
          <w:b/>
          <w:color w:val="FF0000"/>
          <w:sz w:val="32"/>
          <w:szCs w:val="32"/>
        </w:rPr>
      </w:pPr>
      <w:r>
        <w:rPr>
          <w:rFonts w:hint="eastAsia" w:ascii="仿宋" w:eastAsia="仿宋"/>
          <w:color w:val="000000"/>
          <w:sz w:val="32"/>
          <w:szCs w:val="32"/>
        </w:rPr>
        <w:t>日常公用经费0.59万元，主要包括：办公费、印刷费、咨询费、手续费、水费、电费、邮电费、取暖费、差旅费、租赁费、会议费、培训费、公务接待费、劳务费、委托业务费、其他交通费、税金及附加费用、其他商品和服务支出、办公设备购置、其他资本性支出等。</w:t>
      </w:r>
    </w:p>
    <w:p w14:paraId="30157A67">
      <w:pPr>
        <w:spacing w:line="600" w:lineRule="exact"/>
        <w:outlineLvl w:val="1"/>
        <w:rPr>
          <w:rStyle w:val="25"/>
          <w:rFonts w:ascii="黑体" w:eastAsia="黑体"/>
          <w:b w:val="0"/>
        </w:rPr>
      </w:pPr>
      <w:bookmarkStart w:id="61" w:name="_Toc15396609"/>
      <w:bookmarkStart w:id="62" w:name="_Toc79163869"/>
      <w:bookmarkStart w:id="63" w:name="_Toc15377215"/>
      <w:bookmarkStart w:id="64" w:name="_Toc79163619"/>
      <w:r>
        <w:rPr>
          <w:rFonts w:hint="eastAsia" w:ascii="黑体" w:eastAsia="黑体"/>
          <w:color w:val="000000"/>
          <w:sz w:val="32"/>
          <w:szCs w:val="32"/>
        </w:rPr>
        <w:t xml:space="preserve">   七、</w:t>
      </w:r>
      <w:r>
        <w:rPr>
          <w:rStyle w:val="25"/>
          <w:rFonts w:hint="eastAsia" w:ascii="黑体" w:eastAsia="黑体"/>
        </w:rPr>
        <w:t>“</w:t>
      </w:r>
      <w:r>
        <w:rPr>
          <w:rStyle w:val="25"/>
          <w:rFonts w:hint="eastAsia" w:ascii="黑体" w:eastAsia="黑体"/>
          <w:b w:val="0"/>
        </w:rPr>
        <w:t>三公”经费财政拨款支出决算情况说明</w:t>
      </w:r>
      <w:bookmarkEnd w:id="61"/>
      <w:bookmarkEnd w:id="62"/>
      <w:bookmarkEnd w:id="63"/>
      <w:bookmarkEnd w:id="64"/>
    </w:p>
    <w:p w14:paraId="2B639F2B">
      <w:pPr>
        <w:spacing w:line="600" w:lineRule="exact"/>
        <w:outlineLvl w:val="2"/>
        <w:rPr>
          <w:rFonts w:ascii="仿宋" w:eastAsia="仿宋"/>
          <w:b/>
          <w:color w:val="000000"/>
          <w:sz w:val="32"/>
          <w:szCs w:val="32"/>
        </w:rPr>
      </w:pPr>
      <w:bookmarkStart w:id="65" w:name="_Toc79163870"/>
      <w:bookmarkStart w:id="66" w:name="_Toc79163620"/>
      <w:bookmarkStart w:id="67" w:name="_Toc15377216"/>
      <w:r>
        <w:rPr>
          <w:rFonts w:hint="eastAsia" w:ascii="仿宋" w:eastAsia="仿宋"/>
          <w:b/>
          <w:color w:val="000000"/>
          <w:sz w:val="32"/>
          <w:szCs w:val="32"/>
        </w:rPr>
        <w:t xml:space="preserve">  （一）“三公”经费财政拨款支出决算总体情况说明</w:t>
      </w:r>
      <w:bookmarkEnd w:id="65"/>
      <w:bookmarkEnd w:id="66"/>
      <w:bookmarkEnd w:id="67"/>
    </w:p>
    <w:p w14:paraId="38A40188">
      <w:pPr>
        <w:spacing w:line="600" w:lineRule="exact"/>
        <w:outlineLvl w:val="2"/>
        <w:rPr>
          <w:rFonts w:ascii="仿宋" w:eastAsia="仿宋"/>
          <w:b/>
          <w:color w:val="000000"/>
          <w:sz w:val="32"/>
          <w:szCs w:val="32"/>
        </w:rPr>
      </w:pPr>
      <w:r>
        <w:rPr>
          <w:rFonts w:hint="eastAsia" w:ascii="仿宋" w:eastAsia="仿宋"/>
          <w:b/>
          <w:color w:val="000000"/>
          <w:sz w:val="32"/>
          <w:szCs w:val="32"/>
        </w:rPr>
        <w:t xml:space="preserve">    </w:t>
      </w:r>
      <w:r>
        <w:rPr>
          <w:rFonts w:ascii="仿宋" w:eastAsia="仿宋"/>
          <w:color w:val="000000"/>
          <w:sz w:val="32"/>
          <w:szCs w:val="32"/>
        </w:rPr>
        <w:t>202</w:t>
      </w:r>
      <w:r>
        <w:rPr>
          <w:rFonts w:hint="eastAsia" w:ascii="仿宋" w:eastAsia="仿宋"/>
          <w:color w:val="000000"/>
          <w:sz w:val="32"/>
          <w:szCs w:val="32"/>
        </w:rPr>
        <w:t>2年“三公”经费财政拨款支出决算为0万元</w:t>
      </w:r>
      <w:r>
        <w:rPr>
          <w:rFonts w:hint="eastAsia" w:ascii="仿宋" w:eastAsia="仿宋"/>
          <w:color w:val="000000"/>
          <w:sz w:val="32"/>
          <w:szCs w:val="32"/>
          <w:lang w:eastAsia="zh-CN"/>
        </w:rPr>
        <w:t>，与上年比较无变化</w:t>
      </w:r>
      <w:r>
        <w:rPr>
          <w:rFonts w:hint="eastAsia" w:ascii="仿宋" w:eastAsia="仿宋"/>
          <w:color w:val="000000"/>
          <w:sz w:val="32"/>
          <w:szCs w:val="32"/>
        </w:rPr>
        <w:t>。</w:t>
      </w:r>
    </w:p>
    <w:p w14:paraId="5B0A3E52">
      <w:pPr>
        <w:spacing w:line="600" w:lineRule="exact"/>
        <w:outlineLvl w:val="2"/>
        <w:rPr>
          <w:rFonts w:ascii="仿宋" w:eastAsia="仿宋"/>
          <w:b/>
          <w:color w:val="000000"/>
          <w:sz w:val="32"/>
          <w:szCs w:val="32"/>
        </w:rPr>
      </w:pPr>
      <w:bookmarkStart w:id="68" w:name="_Toc15377217"/>
      <w:bookmarkStart w:id="69" w:name="_Toc79163621"/>
      <w:bookmarkStart w:id="70" w:name="_Toc79163871"/>
      <w:r>
        <w:rPr>
          <w:rFonts w:hint="eastAsia" w:ascii="仿宋" w:eastAsia="仿宋"/>
          <w:b/>
          <w:color w:val="000000"/>
          <w:sz w:val="32"/>
          <w:szCs w:val="32"/>
        </w:rPr>
        <w:t xml:space="preserve">  （二）“三公”经费财政拨款支出决算具体情况说明</w:t>
      </w:r>
      <w:bookmarkEnd w:id="68"/>
      <w:bookmarkEnd w:id="69"/>
      <w:bookmarkEnd w:id="70"/>
    </w:p>
    <w:p w14:paraId="147B5B5C">
      <w:pPr>
        <w:spacing w:line="600" w:lineRule="exact"/>
        <w:outlineLvl w:val="2"/>
        <w:rPr>
          <w:rFonts w:ascii="仿宋" w:eastAsia="仿宋"/>
          <w:b/>
          <w:color w:val="000000"/>
          <w:sz w:val="32"/>
          <w:szCs w:val="32"/>
        </w:rPr>
      </w:pPr>
      <w:r>
        <w:rPr>
          <w:rFonts w:hint="eastAsia" w:ascii="仿宋" w:eastAsia="仿宋"/>
          <w:b/>
          <w:color w:val="000000"/>
          <w:sz w:val="32"/>
          <w:szCs w:val="32"/>
        </w:rPr>
        <w:t xml:space="preserve">    </w:t>
      </w:r>
      <w:r>
        <w:rPr>
          <w:rFonts w:ascii="仿宋" w:eastAsia="仿宋"/>
          <w:color w:val="000000"/>
          <w:sz w:val="32"/>
          <w:szCs w:val="32"/>
        </w:rPr>
        <w:t>202</w:t>
      </w:r>
      <w:r>
        <w:rPr>
          <w:rFonts w:hint="eastAsia" w:ascii="仿宋" w:eastAsia="仿宋"/>
          <w:color w:val="000000"/>
          <w:sz w:val="32"/>
          <w:szCs w:val="32"/>
        </w:rPr>
        <w:t>2年“三公”经费财政拨款支出决算中，因公出国（境）费支出决算0万元，；公务用车购置及运行维护费支出决算0万元；公务接待费支出决算0万元</w:t>
      </w:r>
      <w:r>
        <w:rPr>
          <w:rFonts w:hint="eastAsia" w:ascii="仿宋" w:eastAsia="仿宋"/>
          <w:color w:val="000000"/>
          <w:sz w:val="32"/>
          <w:szCs w:val="32"/>
          <w:lang w:eastAsia="zh-CN"/>
        </w:rPr>
        <w:t>，与上年比较无变化</w:t>
      </w:r>
      <w:bookmarkStart w:id="148" w:name="_GoBack"/>
      <w:bookmarkEnd w:id="148"/>
      <w:r>
        <w:rPr>
          <w:rFonts w:hint="eastAsia" w:ascii="仿宋" w:eastAsia="仿宋"/>
          <w:color w:val="000000"/>
          <w:sz w:val="32"/>
          <w:szCs w:val="32"/>
        </w:rPr>
        <w:t>。</w:t>
      </w:r>
    </w:p>
    <w:p w14:paraId="01483BF2">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2"/>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w:t>
      </w:r>
      <w:r>
        <w:rPr>
          <w:rFonts w:hint="eastAsia" w:ascii="仿宋_GB2312" w:eastAsia="仿宋_GB2312"/>
          <w:color w:val="000000"/>
          <w:sz w:val="32"/>
          <w:szCs w:val="32"/>
          <w:lang w:eastAsia="zh-CN"/>
        </w:rPr>
        <w:t>，与上年比较无变化</w:t>
      </w:r>
      <w:r>
        <w:rPr>
          <w:rFonts w:hint="eastAsia" w:ascii="仿宋_GB2312" w:eastAsia="仿宋_GB2312"/>
          <w:color w:val="000000"/>
          <w:sz w:val="32"/>
          <w:szCs w:val="32"/>
        </w:rPr>
        <w:t>。</w:t>
      </w:r>
    </w:p>
    <w:p w14:paraId="4D169262">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p>
    <w:p w14:paraId="01D3B5FA">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月底，单位共有公务用车1辆，其中：轿车0辆、越野车0辆、载客汽车0辆、</w:t>
      </w:r>
      <w:r>
        <w:rPr>
          <w:rFonts w:hint="eastAsia" w:ascii="仿宋" w:eastAsia="仿宋"/>
          <w:color w:val="000000"/>
          <w:sz w:val="32"/>
          <w:szCs w:val="32"/>
        </w:rPr>
        <w:t>应急保障用车1辆</w:t>
      </w:r>
      <w:r>
        <w:rPr>
          <w:rFonts w:hint="eastAsia" w:ascii="仿宋" w:eastAsia="仿宋"/>
          <w:color w:val="000000"/>
          <w:sz w:val="32"/>
          <w:szCs w:val="32"/>
          <w:lang w:eastAsia="zh-CN"/>
        </w:rPr>
        <w:t>，与上年比较无变化</w:t>
      </w:r>
      <w:r>
        <w:rPr>
          <w:rFonts w:hint="eastAsia" w:ascii="仿宋_GB2312" w:eastAsia="仿宋_GB2312"/>
          <w:color w:val="000000"/>
          <w:sz w:val="32"/>
          <w:szCs w:val="32"/>
        </w:rPr>
        <w:t>。</w:t>
      </w:r>
    </w:p>
    <w:p w14:paraId="1953DEAC">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r>
        <w:rPr>
          <w:rFonts w:hint="eastAsia" w:ascii="仿宋_GB2312" w:eastAsia="仿宋_GB2312"/>
          <w:color w:val="000000"/>
          <w:sz w:val="32"/>
          <w:szCs w:val="32"/>
          <w:lang w:eastAsia="zh-CN"/>
        </w:rPr>
        <w:t>，与上年比较无变化</w:t>
      </w:r>
      <w:r>
        <w:rPr>
          <w:rFonts w:hint="eastAsia" w:ascii="仿宋_GB2312" w:eastAsia="仿宋_GB2312"/>
          <w:color w:val="000000"/>
          <w:sz w:val="32"/>
          <w:szCs w:val="32"/>
        </w:rPr>
        <w:t>。</w:t>
      </w:r>
    </w:p>
    <w:p w14:paraId="795C1B57">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Fonts w:hint="eastAsia" w:ascii="仿宋_GB2312" w:eastAsia="仿宋_GB2312"/>
          <w:color w:val="000000"/>
          <w:sz w:val="32"/>
          <w:szCs w:val="32"/>
          <w:lang w:eastAsia="zh-CN"/>
        </w:rPr>
        <w:t>，与上年比较无变化</w:t>
      </w:r>
      <w:r>
        <w:rPr>
          <w:rStyle w:val="22"/>
          <w:rFonts w:hint="eastAsia" w:ascii="仿宋" w:eastAsia="仿宋"/>
          <w:b w:val="0"/>
          <w:bCs/>
          <w:color w:val="000000"/>
          <w:sz w:val="32"/>
          <w:szCs w:val="32"/>
        </w:rPr>
        <w:t>。</w:t>
      </w:r>
    </w:p>
    <w:p w14:paraId="5036C0AA">
      <w:pPr>
        <w:spacing w:line="600" w:lineRule="exact"/>
        <w:ind w:firstLine="640" w:firstLineChars="200"/>
        <w:outlineLvl w:val="1"/>
        <w:rPr>
          <w:rStyle w:val="25"/>
          <w:rFonts w:ascii="黑体" w:eastAsia="黑体"/>
        </w:rPr>
      </w:pPr>
      <w:bookmarkStart w:id="71" w:name="_Toc15396610"/>
      <w:bookmarkStart w:id="72" w:name="_Toc15377218"/>
      <w:bookmarkStart w:id="73" w:name="_Toc79163622"/>
      <w:bookmarkStart w:id="74" w:name="_Toc79163872"/>
      <w:r>
        <w:rPr>
          <w:rFonts w:hint="eastAsia" w:ascii="黑体" w:eastAsia="黑体"/>
          <w:color w:val="000000"/>
          <w:sz w:val="32"/>
          <w:szCs w:val="32"/>
        </w:rPr>
        <w:t>八、</w:t>
      </w:r>
      <w:r>
        <w:rPr>
          <w:rStyle w:val="25"/>
          <w:rFonts w:hint="eastAsia" w:ascii="黑体" w:eastAsia="黑体"/>
          <w:b w:val="0"/>
        </w:rPr>
        <w:t>政府性基金预算支出决算情况说明</w:t>
      </w:r>
      <w:bookmarkEnd w:id="71"/>
      <w:bookmarkEnd w:id="72"/>
      <w:bookmarkEnd w:id="73"/>
      <w:bookmarkEnd w:id="74"/>
    </w:p>
    <w:p w14:paraId="73272AE4">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2年政府性基金预算拨款支出0万元。</w:t>
      </w:r>
    </w:p>
    <w:p w14:paraId="31FF0B42">
      <w:pPr>
        <w:numPr>
          <w:ilvl w:val="0"/>
          <w:numId w:val="2"/>
        </w:numPr>
        <w:spacing w:line="600" w:lineRule="exact"/>
        <w:ind w:left="0" w:firstLine="640"/>
        <w:outlineLvl w:val="1"/>
        <w:rPr>
          <w:rStyle w:val="25"/>
          <w:rFonts w:ascii="黑体" w:eastAsia="黑体"/>
          <w:b w:val="0"/>
        </w:rPr>
      </w:pPr>
      <w:bookmarkStart w:id="75" w:name="_Toc79163873"/>
      <w:bookmarkStart w:id="76" w:name="_Toc79163623"/>
      <w:bookmarkStart w:id="77" w:name="_Toc15396611"/>
      <w:bookmarkStart w:id="78" w:name="_Toc15377219"/>
      <w:r>
        <w:rPr>
          <w:rStyle w:val="25"/>
          <w:rFonts w:hint="eastAsia" w:ascii="黑体" w:eastAsia="黑体"/>
          <w:b w:val="0"/>
        </w:rPr>
        <w:t>国有资本经营预算支出决算情况说明</w:t>
      </w:r>
      <w:bookmarkEnd w:id="75"/>
      <w:bookmarkEnd w:id="76"/>
      <w:bookmarkEnd w:id="77"/>
      <w:bookmarkEnd w:id="78"/>
    </w:p>
    <w:p w14:paraId="5C70717B">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2年国有资本经营预算拨款支出0万元。</w:t>
      </w:r>
    </w:p>
    <w:p w14:paraId="00A580DA">
      <w:pPr>
        <w:spacing w:line="600" w:lineRule="exact"/>
        <w:ind w:firstLine="800" w:firstLineChars="250"/>
        <w:outlineLvl w:val="1"/>
        <w:rPr>
          <w:rStyle w:val="25"/>
          <w:rFonts w:ascii="黑体" w:eastAsia="黑体"/>
        </w:rPr>
      </w:pPr>
      <w:bookmarkStart w:id="79" w:name="_Toc15396612"/>
      <w:bookmarkStart w:id="80" w:name="_Toc79163624"/>
      <w:bookmarkStart w:id="81" w:name="_Toc15377221"/>
      <w:bookmarkStart w:id="82" w:name="_Toc79163874"/>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79"/>
      <w:bookmarkEnd w:id="80"/>
      <w:bookmarkEnd w:id="81"/>
      <w:bookmarkEnd w:id="82"/>
    </w:p>
    <w:p w14:paraId="225E3916">
      <w:pPr>
        <w:spacing w:line="600" w:lineRule="exact"/>
        <w:ind w:firstLine="643" w:firstLineChars="200"/>
        <w:outlineLvl w:val="2"/>
        <w:rPr>
          <w:rFonts w:ascii="仿宋" w:eastAsia="仿宋"/>
          <w:color w:val="000000"/>
          <w:sz w:val="32"/>
          <w:szCs w:val="32"/>
        </w:rPr>
      </w:pPr>
      <w:bookmarkStart w:id="83" w:name="_Toc15377222"/>
      <w:bookmarkStart w:id="84" w:name="_Toc79163625"/>
      <w:bookmarkStart w:id="85" w:name="_Toc79163875"/>
      <w:r>
        <w:rPr>
          <w:rFonts w:hint="eastAsia" w:ascii="仿宋" w:eastAsia="仿宋"/>
          <w:b/>
          <w:color w:val="000000"/>
          <w:sz w:val="32"/>
          <w:szCs w:val="32"/>
        </w:rPr>
        <w:t>（一）机关运行经费支出情况</w:t>
      </w:r>
      <w:bookmarkEnd w:id="83"/>
      <w:bookmarkEnd w:id="84"/>
      <w:bookmarkEnd w:id="85"/>
    </w:p>
    <w:p w14:paraId="2B18EB3A">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2年，残联康复中心机关运行经费支出0.59万元。</w:t>
      </w:r>
    </w:p>
    <w:p w14:paraId="575358B9">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86" w:name="_Toc15377223"/>
      <w:bookmarkStart w:id="87" w:name="_Toc79163626"/>
      <w:bookmarkStart w:id="88" w:name="_Toc79163876"/>
      <w:r>
        <w:rPr>
          <w:rFonts w:hint="eastAsia" w:ascii="仿宋" w:eastAsia="仿宋"/>
          <w:b/>
          <w:color w:val="000000"/>
          <w:sz w:val="32"/>
          <w:szCs w:val="32"/>
        </w:rPr>
        <w:t>（二）政府采购支出情况</w:t>
      </w:r>
      <w:bookmarkEnd w:id="86"/>
      <w:bookmarkEnd w:id="87"/>
      <w:bookmarkEnd w:id="88"/>
    </w:p>
    <w:p w14:paraId="12553B89">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2年，残联康复中心政府采购支出总额0万元。</w:t>
      </w:r>
    </w:p>
    <w:p w14:paraId="27B30DB5">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89" w:name="_Toc15377224"/>
      <w:bookmarkStart w:id="90" w:name="_Toc79163877"/>
      <w:bookmarkStart w:id="91" w:name="_Toc79163627"/>
      <w:r>
        <w:rPr>
          <w:rFonts w:hint="eastAsia" w:ascii="仿宋" w:eastAsia="仿宋"/>
          <w:b/>
          <w:color w:val="000000"/>
          <w:sz w:val="32"/>
          <w:szCs w:val="32"/>
        </w:rPr>
        <w:t>（三）国有资产占有使用情况</w:t>
      </w:r>
      <w:bookmarkEnd w:id="89"/>
      <w:bookmarkEnd w:id="90"/>
      <w:bookmarkEnd w:id="91"/>
    </w:p>
    <w:p w14:paraId="352DA21D">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日，本单位共有车辆1辆（为本级），其中：主要领导干部用车0辆、机要通信用车0辆、应急保障用车1辆、其他用车0辆，单价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614FE32F">
      <w:pPr>
        <w:autoSpaceDE w:val="0"/>
        <w:autoSpaceDN w:val="0"/>
        <w:adjustRightInd w:val="0"/>
        <w:spacing w:line="600" w:lineRule="exact"/>
        <w:jc w:val="left"/>
        <w:outlineLvl w:val="2"/>
      </w:pPr>
    </w:p>
    <w:p w14:paraId="4C51C4CA">
      <w:pPr>
        <w:numPr>
          <w:ilvl w:val="0"/>
          <w:numId w:val="3"/>
        </w:numPr>
        <w:spacing w:line="600" w:lineRule="exact"/>
        <w:ind w:left="0" w:firstLine="660" w:firstLineChars="150"/>
        <w:jc w:val="center"/>
        <w:outlineLvl w:val="0"/>
        <w:rPr>
          <w:rFonts w:ascii="宋体"/>
          <w:b/>
          <w:color w:val="000000"/>
          <w:sz w:val="44"/>
          <w:szCs w:val="44"/>
        </w:rPr>
      </w:pPr>
      <w:bookmarkStart w:id="92" w:name="_Toc79163879"/>
      <w:bookmarkStart w:id="93" w:name="_Toc15396613"/>
      <w:bookmarkStart w:id="94" w:name="_Toc79163629"/>
      <w:bookmarkStart w:id="95" w:name="_Toc15377225"/>
      <w:r>
        <w:rPr>
          <w:rFonts w:hint="eastAsia" w:ascii="黑体" w:eastAsia="黑体"/>
          <w:color w:val="000000"/>
          <w:sz w:val="44"/>
          <w:szCs w:val="44"/>
        </w:rPr>
        <w:t>名</w:t>
      </w:r>
      <w:r>
        <w:rPr>
          <w:rStyle w:val="24"/>
          <w:rFonts w:hint="eastAsia" w:ascii="黑体" w:eastAsia="黑体"/>
          <w:b w:val="0"/>
        </w:rPr>
        <w:t>词解释</w:t>
      </w:r>
      <w:bookmarkEnd w:id="92"/>
      <w:bookmarkEnd w:id="93"/>
      <w:bookmarkEnd w:id="94"/>
      <w:bookmarkEnd w:id="95"/>
    </w:p>
    <w:p w14:paraId="452321FD">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E4A1910">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E19964D">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1B1911A8">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3343B60A">
      <w:pPr>
        <w:pStyle w:val="2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021311FC">
      <w:pPr>
        <w:pStyle w:val="2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455A0628">
      <w:pPr>
        <w:pStyle w:val="2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6CE8FB83">
      <w:pPr>
        <w:pStyle w:val="29"/>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D8004AF">
      <w:pPr>
        <w:spacing w:line="576" w:lineRule="exact"/>
        <w:ind w:firstLine="640" w:firstLineChars="200"/>
        <w:rPr>
          <w:rFonts w:ascii="仿宋_GB2312" w:eastAsia="仿宋_GB2312"/>
          <w:sz w:val="32"/>
          <w:szCs w:val="32"/>
        </w:rPr>
      </w:pPr>
      <w:r>
        <w:rPr>
          <w:rFonts w:hint="eastAsia" w:ascii="仿宋_GB2312" w:eastAsia="仿宋_GB2312"/>
          <w:sz w:val="32"/>
          <w:szCs w:val="32"/>
        </w:rPr>
        <w:t>9.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14:paraId="0D9FB0FC">
      <w:pPr>
        <w:spacing w:line="576" w:lineRule="exact"/>
        <w:ind w:firstLine="640" w:firstLineChars="200"/>
        <w:rPr>
          <w:rFonts w:ascii="仿宋_GB2312" w:eastAsia="仿宋_GB2312"/>
          <w:sz w:val="32"/>
          <w:szCs w:val="32"/>
        </w:rPr>
      </w:pPr>
      <w:r>
        <w:rPr>
          <w:rFonts w:hint="eastAsia" w:ascii="仿宋_GB2312" w:eastAsia="仿宋_GB2312"/>
          <w:sz w:val="32"/>
          <w:szCs w:val="32"/>
        </w:rPr>
        <w:t>10.社会保障和就业支出：指用于本单位职工基本养老保险缴费支出、职工职业年金缴费支出、</w:t>
      </w:r>
    </w:p>
    <w:p w14:paraId="69F6495B">
      <w:pPr>
        <w:spacing w:line="576" w:lineRule="exact"/>
        <w:ind w:firstLine="640" w:firstLineChars="200"/>
        <w:rPr>
          <w:rFonts w:ascii="仿宋_GB2312" w:eastAsia="仿宋_GB2312"/>
          <w:sz w:val="32"/>
          <w:szCs w:val="32"/>
        </w:rPr>
      </w:pPr>
      <w:r>
        <w:rPr>
          <w:rFonts w:hint="eastAsia" w:ascii="仿宋_GB2312" w:eastAsia="仿宋_GB2312"/>
          <w:sz w:val="32"/>
          <w:szCs w:val="32"/>
        </w:rPr>
        <w:t>11.医疗卫生与计划生育支出：指用于本单位职工医疗保险支出。</w:t>
      </w:r>
    </w:p>
    <w:p w14:paraId="74189E0D">
      <w:pPr>
        <w:spacing w:line="576" w:lineRule="exact"/>
        <w:ind w:firstLine="640" w:firstLineChars="200"/>
        <w:rPr>
          <w:rFonts w:ascii="仿宋_GB2312" w:eastAsia="仿宋_GB2312"/>
          <w:sz w:val="32"/>
          <w:szCs w:val="32"/>
        </w:rPr>
      </w:pPr>
      <w:r>
        <w:rPr>
          <w:rFonts w:hint="eastAsia" w:ascii="仿宋_GB2312" w:eastAsia="仿宋_GB2312"/>
          <w:sz w:val="32"/>
          <w:szCs w:val="32"/>
        </w:rPr>
        <w:t>12.住房保障支出：指用于本单位职工住房公积金支出</w:t>
      </w:r>
    </w:p>
    <w:p w14:paraId="3B71AA88">
      <w:pPr>
        <w:spacing w:line="600" w:lineRule="exact"/>
        <w:ind w:firstLine="640"/>
        <w:rPr>
          <w:rFonts w:ascii="仿宋_GB2312" w:eastAsia="仿宋_GB2312"/>
          <w:sz w:val="32"/>
          <w:szCs w:val="32"/>
        </w:rPr>
      </w:pPr>
      <w:r>
        <w:rPr>
          <w:rFonts w:hint="eastAsia" w:ascii="仿宋_GB2312" w:eastAsia="仿宋_GB2312"/>
          <w:sz w:val="32"/>
          <w:szCs w:val="32"/>
        </w:rPr>
        <w:t>13.基本支出：指为保障机构正常运转、完成日常工作任务而发生的人员支出和公用支出</w:t>
      </w:r>
    </w:p>
    <w:p w14:paraId="7FFD162E">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0380963">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6BFDAEB2">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60DCB4DA">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89593B0">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156A51A">
      <w:pPr>
        <w:spacing w:line="600" w:lineRule="exact"/>
        <w:jc w:val="center"/>
        <w:outlineLvl w:val="0"/>
        <w:rPr>
          <w:rStyle w:val="24"/>
          <w:rFonts w:ascii="黑体" w:eastAsia="黑体"/>
          <w:b w:val="0"/>
        </w:rPr>
      </w:pPr>
      <w:bookmarkStart w:id="96" w:name="_Toc15396614"/>
      <w:bookmarkStart w:id="97" w:name="_Toc79163630"/>
      <w:bookmarkStart w:id="98" w:name="_Toc79163880"/>
      <w:r>
        <w:rPr>
          <w:rFonts w:hint="eastAsia" w:ascii="黑体" w:eastAsia="黑体"/>
          <w:color w:val="000000"/>
          <w:sz w:val="44"/>
          <w:szCs w:val="44"/>
        </w:rPr>
        <w:t>第</w:t>
      </w:r>
      <w:r>
        <w:rPr>
          <w:rStyle w:val="24"/>
          <w:rFonts w:hint="eastAsia" w:ascii="黑体" w:eastAsia="黑体"/>
          <w:b w:val="0"/>
        </w:rPr>
        <w:t>四部分附件</w:t>
      </w:r>
      <w:bookmarkEnd w:id="96"/>
      <w:bookmarkEnd w:id="97"/>
      <w:bookmarkEnd w:id="98"/>
    </w:p>
    <w:p w14:paraId="67D0C7DE">
      <w:pPr>
        <w:spacing w:line="600" w:lineRule="exact"/>
        <w:jc w:val="left"/>
        <w:outlineLvl w:val="0"/>
        <w:rPr>
          <w:rFonts w:ascii="方正小标宋简体" w:eastAsia="方正小标宋简体" w:cs="方正小标宋简体"/>
          <w:sz w:val="44"/>
          <w:szCs w:val="44"/>
        </w:rPr>
      </w:pPr>
      <w:bookmarkStart w:id="99" w:name="_Toc79163631"/>
      <w:bookmarkStart w:id="100" w:name="_Toc79163881"/>
      <w:r>
        <w:rPr>
          <w:rFonts w:hint="eastAsia" w:ascii="黑体" w:eastAsia="黑体" w:cs="黑体"/>
          <w:sz w:val="32"/>
          <w:szCs w:val="32"/>
        </w:rPr>
        <w:t>附件</w:t>
      </w:r>
      <w:r>
        <w:rPr>
          <w:rFonts w:ascii="黑体" w:eastAsia="黑体" w:cs="黑体"/>
          <w:sz w:val="32"/>
          <w:szCs w:val="32"/>
        </w:rPr>
        <w:t>1</w:t>
      </w:r>
      <w:bookmarkEnd w:id="99"/>
      <w:bookmarkEnd w:id="100"/>
    </w:p>
    <w:p w14:paraId="1E5928B7">
      <w:pPr>
        <w:spacing w:line="600" w:lineRule="exact"/>
        <w:jc w:val="center"/>
        <w:outlineLvl w:val="0"/>
        <w:rPr>
          <w:rFonts w:ascii="方正小标宋简体" w:eastAsia="方正小标宋简体" w:cs="黑体"/>
          <w:sz w:val="44"/>
          <w:szCs w:val="44"/>
        </w:rPr>
      </w:pPr>
      <w:bookmarkStart w:id="101" w:name="_Toc79163632"/>
      <w:bookmarkStart w:id="102" w:name="_Toc79163882"/>
      <w:r>
        <w:rPr>
          <w:rFonts w:hint="eastAsia" w:ascii="方正小标宋简体" w:eastAsia="方正小标宋简体" w:cs="黑体"/>
          <w:sz w:val="44"/>
          <w:szCs w:val="44"/>
        </w:rPr>
        <w:t>茂县残疾人联合会</w:t>
      </w:r>
    </w:p>
    <w:p w14:paraId="500B04DE">
      <w:pPr>
        <w:spacing w:line="600" w:lineRule="exact"/>
        <w:jc w:val="center"/>
        <w:outlineLvl w:val="0"/>
        <w:rPr>
          <w:rFonts w:ascii="黑体" w:eastAsia="黑体" w:cs="宋体"/>
          <w:color w:val="000000"/>
          <w:kern w:val="0"/>
          <w:sz w:val="24"/>
          <w:szCs w:val="32"/>
          <w:shd w:val="clear" w:color="auto" w:fill="FFFFFF"/>
        </w:rPr>
      </w:pPr>
      <w:r>
        <w:rPr>
          <w:rFonts w:ascii="方正小标宋简体" w:eastAsia="方正小标宋简体" w:cs="黑体"/>
          <w:sz w:val="44"/>
          <w:szCs w:val="44"/>
        </w:rPr>
        <w:t>202</w:t>
      </w:r>
      <w:r>
        <w:rPr>
          <w:rFonts w:hint="eastAsia" w:ascii="方正小标宋简体" w:eastAsia="方正小标宋简体" w:cs="黑体"/>
          <w:sz w:val="44"/>
          <w:szCs w:val="44"/>
        </w:rPr>
        <w:t>2年部门整体支出绩效评价报告</w:t>
      </w:r>
      <w:bookmarkEnd w:id="101"/>
      <w:bookmarkEnd w:id="102"/>
    </w:p>
    <w:p w14:paraId="6C4A1FE4">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14:paraId="42EF8174">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14:paraId="4E1765EB">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14:paraId="389C8457">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14:paraId="0B6FA6F4">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14:paraId="10A20C6E">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14:paraId="1EE89537">
      <w:pPr>
        <w:pStyle w:val="2"/>
        <w:ind w:left="0" w:leftChars="0" w:firstLine="640" w:firstLineChars="200"/>
        <w:rPr>
          <w:lang w:val="zh-CN"/>
        </w:rPr>
      </w:pPr>
      <w:r>
        <w:rPr>
          <w:rFonts w:hint="eastAsia" w:ascii="仿宋_GB2312" w:eastAsia="仿宋_GB2312"/>
          <w:sz w:val="32"/>
          <w:szCs w:val="32"/>
        </w:rPr>
        <w:t>茂县残疾人康复中心属行政机构一级预算单位。人员情况：单位事业编制数</w:t>
      </w:r>
      <w:r>
        <w:rPr>
          <w:rFonts w:hint="eastAsia" w:ascii="仿宋_GB2312" w:hAnsi="仿宋_GB2312"/>
          <w:sz w:val="32"/>
          <w:szCs w:val="32"/>
        </w:rPr>
        <w:t>2</w:t>
      </w:r>
      <w:r>
        <w:rPr>
          <w:rFonts w:hint="eastAsia" w:ascii="仿宋_GB2312" w:eastAsia="仿宋_GB2312"/>
          <w:sz w:val="32"/>
          <w:szCs w:val="32"/>
        </w:rPr>
        <w:t>名，其中：事业编制</w:t>
      </w:r>
      <w:r>
        <w:rPr>
          <w:rFonts w:hint="eastAsia" w:ascii="仿宋_GB2312" w:hAnsi="仿宋_GB2312"/>
          <w:sz w:val="32"/>
          <w:szCs w:val="32"/>
        </w:rPr>
        <w:t>2</w:t>
      </w:r>
      <w:r>
        <w:rPr>
          <w:rFonts w:hint="eastAsia" w:ascii="仿宋_GB2312" w:eastAsia="仿宋_GB2312"/>
          <w:sz w:val="32"/>
          <w:szCs w:val="32"/>
        </w:rPr>
        <w:t>名</w:t>
      </w:r>
      <w:r>
        <w:rPr>
          <w:rFonts w:hint="eastAsia" w:ascii="仿宋_GB2312" w:hAnsi="仿宋_GB2312"/>
          <w:sz w:val="32"/>
          <w:szCs w:val="32"/>
        </w:rPr>
        <w:t>、</w:t>
      </w:r>
      <w:r>
        <w:rPr>
          <w:rFonts w:hint="eastAsia" w:ascii="仿宋_GB2312" w:eastAsia="仿宋_GB2312"/>
          <w:sz w:val="32"/>
          <w:szCs w:val="32"/>
        </w:rPr>
        <w:t>财政供养人员2人。其中：在职</w:t>
      </w:r>
      <w:r>
        <w:rPr>
          <w:rFonts w:hint="eastAsia" w:ascii="仿宋_GB2312" w:hAnsi="仿宋_GB2312"/>
          <w:sz w:val="32"/>
          <w:szCs w:val="32"/>
        </w:rPr>
        <w:t>2</w:t>
      </w:r>
      <w:r>
        <w:rPr>
          <w:rFonts w:hint="eastAsia" w:ascii="仿宋_GB2312" w:eastAsia="仿宋_GB2312"/>
          <w:sz w:val="32"/>
          <w:szCs w:val="32"/>
        </w:rPr>
        <w:t>人，离休0人，退休0人。实有人数</w:t>
      </w:r>
      <w:r>
        <w:rPr>
          <w:rFonts w:hint="eastAsia" w:ascii="仿宋_GB2312" w:hAnsi="仿宋_GB2312"/>
          <w:sz w:val="32"/>
          <w:szCs w:val="32"/>
        </w:rPr>
        <w:t>2</w:t>
      </w:r>
      <w:r>
        <w:rPr>
          <w:rFonts w:hint="eastAsia" w:ascii="仿宋_GB2312" w:eastAsia="仿宋_GB2312"/>
          <w:sz w:val="32"/>
          <w:szCs w:val="32"/>
        </w:rPr>
        <w:t>人。</w:t>
      </w:r>
    </w:p>
    <w:p w14:paraId="6268CD25">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14:paraId="3362E6E2">
      <w:pPr>
        <w:widowControl/>
        <w:adjustRightInd w:val="0"/>
        <w:snapToGrid w:val="0"/>
        <w:spacing w:line="580" w:lineRule="exact"/>
        <w:ind w:firstLine="640" w:firstLineChars="200"/>
        <w:contextualSpacing/>
        <w:jc w:val="left"/>
        <w:rPr>
          <w:rFonts w:ascii="仿宋_GB2312" w:eastAsia="仿宋_GB2312" w:cs="宋体"/>
          <w:color w:val="000000"/>
          <w:sz w:val="32"/>
          <w:szCs w:val="32"/>
          <w:shd w:val="clear" w:color="auto" w:fill="FFFFFF"/>
        </w:rPr>
      </w:pPr>
      <w:r>
        <w:rPr>
          <w:rFonts w:hint="eastAsia" w:ascii="仿宋_GB2312" w:eastAsia="仿宋_GB2312" w:cs="宋体"/>
          <w:color w:val="000000"/>
          <w:sz w:val="32"/>
          <w:szCs w:val="32"/>
          <w:shd w:val="clear" w:color="auto" w:fill="FFFFFF"/>
          <w:lang w:val="zh-CN"/>
        </w:rPr>
        <w:t>（一）部门财政资金收入情况</w:t>
      </w:r>
    </w:p>
    <w:p w14:paraId="43C7AE8F">
      <w:pPr>
        <w:widowControl/>
        <w:adjustRightInd w:val="0"/>
        <w:snapToGrid w:val="0"/>
        <w:spacing w:line="580" w:lineRule="exact"/>
        <w:ind w:firstLine="960" w:firstLineChars="300"/>
        <w:contextualSpacing/>
        <w:jc w:val="left"/>
        <w:rPr>
          <w:rFonts w:ascii="仿宋_GB2312" w:eastAsia="仿宋_GB2312" w:cs="宋体"/>
          <w:color w:val="000000"/>
          <w:sz w:val="32"/>
          <w:szCs w:val="32"/>
          <w:shd w:val="clear" w:color="auto" w:fill="FFFFFF"/>
          <w:lang w:val="zh-CN"/>
        </w:rPr>
      </w:pPr>
      <w:r>
        <w:rPr>
          <w:rFonts w:hint="eastAsia" w:ascii="仿宋_GB2312" w:eastAsia="仿宋_GB2312" w:cs="宋体"/>
          <w:color w:val="000000"/>
          <w:sz w:val="32"/>
          <w:szCs w:val="32"/>
          <w:shd w:val="clear" w:color="auto" w:fill="FFFFFF"/>
        </w:rPr>
        <w:t>2022年本部门财政拨款收入总额30.26万元，其中：当年财政拨款收入30.26万元。</w:t>
      </w:r>
    </w:p>
    <w:p w14:paraId="14B68347">
      <w:pPr>
        <w:widowControl/>
        <w:adjustRightInd w:val="0"/>
        <w:snapToGrid w:val="0"/>
        <w:spacing w:line="580" w:lineRule="exact"/>
        <w:ind w:firstLine="640" w:firstLineChars="200"/>
        <w:contextualSpacing/>
        <w:jc w:val="left"/>
        <w:rPr>
          <w:rFonts w:ascii="仿宋_GB2312" w:eastAsia="仿宋_GB2312" w:cs="宋体"/>
          <w:color w:val="000000"/>
          <w:sz w:val="32"/>
          <w:szCs w:val="32"/>
          <w:shd w:val="clear" w:color="auto" w:fill="FFFFFF"/>
          <w:lang w:val="zh-CN"/>
        </w:rPr>
      </w:pPr>
      <w:r>
        <w:rPr>
          <w:rFonts w:hint="eastAsia" w:ascii="仿宋_GB2312" w:eastAsia="仿宋_GB2312" w:cs="宋体"/>
          <w:color w:val="000000"/>
          <w:sz w:val="32"/>
          <w:szCs w:val="32"/>
          <w:shd w:val="clear" w:color="auto" w:fill="FFFFFF"/>
          <w:lang w:val="zh-CN"/>
        </w:rPr>
        <w:t>（二）部门财政资金支出情况</w:t>
      </w:r>
    </w:p>
    <w:p w14:paraId="79B1C9F0">
      <w:pPr>
        <w:pStyle w:val="2"/>
        <w:ind w:left="0" w:leftChars="0" w:firstLine="640" w:firstLineChars="200"/>
        <w:rPr>
          <w:rFonts w:ascii="仿宋_GB2312" w:eastAsia="仿宋_GB2312"/>
          <w:sz w:val="32"/>
          <w:szCs w:val="32"/>
        </w:rPr>
      </w:pPr>
      <w:r>
        <w:rPr>
          <w:rFonts w:hint="eastAsia" w:ascii="仿宋_GB2312" w:eastAsia="仿宋_GB2312"/>
          <w:sz w:val="32"/>
          <w:szCs w:val="32"/>
        </w:rPr>
        <w:t xml:space="preserve">  202</w:t>
      </w:r>
      <w:r>
        <w:rPr>
          <w:rFonts w:hint="eastAsia" w:ascii="仿宋_GB2312" w:hAnsi="仿宋_GB2312"/>
          <w:sz w:val="32"/>
          <w:szCs w:val="32"/>
        </w:rPr>
        <w:t>2</w:t>
      </w:r>
      <w:r>
        <w:rPr>
          <w:rFonts w:hint="eastAsia" w:ascii="仿宋_GB2312" w:eastAsia="仿宋_GB2312"/>
          <w:sz w:val="32"/>
          <w:szCs w:val="32"/>
        </w:rPr>
        <w:t>年本部门财政拨款支出决算总额</w:t>
      </w:r>
      <w:r>
        <w:rPr>
          <w:rFonts w:hint="eastAsia" w:ascii="仿宋_GB2312" w:hAnsi="仿宋_GB2312"/>
          <w:sz w:val="32"/>
          <w:szCs w:val="32"/>
        </w:rPr>
        <w:t>30.26</w:t>
      </w:r>
      <w:r>
        <w:rPr>
          <w:rFonts w:hint="eastAsia" w:ascii="仿宋_GB2312" w:eastAsia="仿宋_GB2312"/>
          <w:sz w:val="32"/>
          <w:szCs w:val="32"/>
        </w:rPr>
        <w:t>万元，其中按功能分类，社会保障和就业支出</w:t>
      </w:r>
      <w:r>
        <w:rPr>
          <w:rFonts w:hint="eastAsia" w:ascii="仿宋_GB2312" w:hAnsi="仿宋_GB2312"/>
          <w:sz w:val="32"/>
          <w:szCs w:val="32"/>
        </w:rPr>
        <w:t>26.04</w:t>
      </w:r>
      <w:r>
        <w:rPr>
          <w:rFonts w:hint="eastAsia" w:ascii="仿宋_GB2312" w:eastAsia="仿宋_GB2312"/>
          <w:sz w:val="32"/>
          <w:szCs w:val="32"/>
        </w:rPr>
        <w:t>万元，卫生健康支出</w:t>
      </w:r>
      <w:r>
        <w:rPr>
          <w:rFonts w:hint="eastAsia" w:ascii="仿宋_GB2312" w:hAnsi="仿宋_GB2312"/>
          <w:sz w:val="32"/>
          <w:szCs w:val="32"/>
        </w:rPr>
        <w:t>1.69</w:t>
      </w:r>
      <w:r>
        <w:rPr>
          <w:rFonts w:hint="eastAsia" w:ascii="仿宋_GB2312" w:eastAsia="仿宋_GB2312"/>
          <w:sz w:val="32"/>
          <w:szCs w:val="32"/>
        </w:rPr>
        <w:t>万元，住房保障支出</w:t>
      </w:r>
      <w:r>
        <w:rPr>
          <w:rFonts w:hint="eastAsia" w:ascii="仿宋_GB2312" w:hAnsi="仿宋_GB2312"/>
          <w:sz w:val="32"/>
          <w:szCs w:val="32"/>
        </w:rPr>
        <w:t>2.53</w:t>
      </w:r>
      <w:r>
        <w:rPr>
          <w:rFonts w:hint="eastAsia" w:ascii="仿宋_GB2312" w:eastAsia="仿宋_GB2312"/>
          <w:sz w:val="32"/>
          <w:szCs w:val="32"/>
        </w:rPr>
        <w:t>万元，按支出性质分类，基本支出30.26万元。</w:t>
      </w:r>
    </w:p>
    <w:p w14:paraId="3B6018B3">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14:paraId="12EE0CD4">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（一）部门预算项目绩效管理</w:t>
      </w:r>
    </w:p>
    <w:p w14:paraId="0A2BB056">
      <w:pPr>
        <w:spacing w:line="576" w:lineRule="exact"/>
        <w:ind w:firstLine="640" w:firstLineChars="200"/>
        <w:rPr>
          <w:rFonts w:ascii="仿宋_GB2312" w:eastAsia="仿宋_GB2312"/>
          <w:sz w:val="32"/>
          <w:szCs w:val="32"/>
        </w:rPr>
      </w:pPr>
      <w:r>
        <w:rPr>
          <w:rFonts w:hint="eastAsia" w:ascii="仿宋_GB2312" w:eastAsia="仿宋_GB2312"/>
          <w:sz w:val="32"/>
          <w:szCs w:val="32"/>
        </w:rPr>
        <w:t>我会认真学习贯彻习近平新时代中国特色社会主义思想为指导，自觉践行新发展理念，根据职能职责积极谋划，确定目标任务。</w:t>
      </w:r>
    </w:p>
    <w:p w14:paraId="3DDF631D">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按照202</w:t>
      </w:r>
      <w:r>
        <w:rPr>
          <w:rFonts w:hint="eastAsia" w:ascii="仿宋_GB2312" w:hAnsi="仿宋_GB2312"/>
          <w:sz w:val="32"/>
          <w:szCs w:val="32"/>
        </w:rPr>
        <w:t>2</w:t>
      </w:r>
      <w:r>
        <w:rPr>
          <w:rFonts w:hint="eastAsia" w:ascii="仿宋_GB2312" w:eastAsia="仿宋_GB2312"/>
          <w:sz w:val="32"/>
          <w:szCs w:val="32"/>
        </w:rPr>
        <w:t>年部门预算编审要求，根据我会职能职责，结合中长期规划和年度工作计划，明确了年度主要工作任务及年度内履职所要达到的总体产出和效果，认真填报了我会整体支出绩效目标及</w:t>
      </w:r>
      <w:r>
        <w:rPr>
          <w:rFonts w:hint="eastAsia" w:ascii="仿宋_GB2312" w:eastAsia="仿宋_GB2312" w:cs="仿宋_GB2312"/>
          <w:sz w:val="32"/>
          <w:szCs w:val="32"/>
        </w:rPr>
        <w:t>残疾人联络员务工补贴、残疾人灵活就业补贴、残疾人机动车燃油补贴、7岁以上</w:t>
      </w:r>
      <w:r>
        <w:rPr>
          <w:rFonts w:hint="eastAsia" w:ascii="仿宋_GB2312" w:eastAsia="仿宋_GB2312" w:cs="仿宋_GB2312"/>
          <w:color w:val="000000"/>
          <w:sz w:val="32"/>
          <w:szCs w:val="32"/>
        </w:rPr>
        <w:t>残疾人康复救助</w:t>
      </w:r>
      <w:r>
        <w:rPr>
          <w:rFonts w:hint="eastAsia" w:ascii="仿宋_GB2312" w:eastAsia="仿宋_GB2312" w:cs="仿宋_GB2312"/>
          <w:sz w:val="32"/>
          <w:szCs w:val="32"/>
        </w:rPr>
        <w:t>、残疾人居家托养等项目</w:t>
      </w:r>
      <w:r>
        <w:rPr>
          <w:rFonts w:hint="eastAsia" w:ascii="仿宋_GB2312" w:eastAsia="仿宋_GB2312"/>
          <w:sz w:val="32"/>
          <w:szCs w:val="32"/>
        </w:rPr>
        <w:t xml:space="preserve">具体说明了项目概况，设定了年度绩效数量指标、成本指标、效益指标等，详细反映了相应项目工作任务、达成的效果。 </w:t>
      </w:r>
    </w:p>
    <w:p w14:paraId="75259AA1">
      <w:pPr>
        <w:widowControl/>
        <w:adjustRightInd w:val="0"/>
        <w:snapToGrid w:val="0"/>
        <w:spacing w:line="580" w:lineRule="exact"/>
        <w:ind w:firstLine="640" w:firstLineChars="200"/>
        <w:contextualSpacing/>
        <w:jc w:val="left"/>
        <w:rPr>
          <w:rFonts w:ascii="仿宋_GB2312" w:hAnsi="仿宋_GB2312" w:cs="宋体"/>
          <w:color w:val="000000"/>
          <w:kern w:val="0"/>
          <w:szCs w:val="32"/>
          <w:shd w:val="clear" w:color="auto" w:fill="FFFFFF"/>
          <w:lang w:val="zh-CN"/>
        </w:rPr>
      </w:pPr>
      <w:r>
        <w:rPr>
          <w:rFonts w:hint="eastAsia" w:ascii="仿宋_GB2312" w:eastAsia="仿宋_GB2312"/>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14:paraId="6325AFEA">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（二）结果应用情况</w:t>
      </w:r>
    </w:p>
    <w:p w14:paraId="1F1439CA">
      <w:pPr>
        <w:widowControl/>
        <w:adjustRightInd w:val="0"/>
        <w:snapToGrid w:val="0"/>
        <w:spacing w:line="580" w:lineRule="exact"/>
        <w:ind w:firstLine="640" w:firstLineChars="200"/>
        <w:contextualSpacing/>
        <w:jc w:val="left"/>
        <w:rPr>
          <w:rFonts w:ascii="仿宋_GB2312" w:hAnsi="仿宋_GB2312" w:cs="宋体"/>
          <w:color w:val="000000"/>
          <w:kern w:val="0"/>
          <w:szCs w:val="32"/>
          <w:shd w:val="clear" w:color="auto" w:fill="FFFFFF"/>
          <w:lang w:val="zh-CN"/>
        </w:rPr>
      </w:pPr>
      <w:r>
        <w:rPr>
          <w:rFonts w:hint="eastAsia" w:ascii="仿宋_GB2312" w:eastAsia="仿宋_GB2312"/>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14:paraId="77CD5D54">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（三）自评质量</w:t>
      </w:r>
    </w:p>
    <w:p w14:paraId="0CFFDCC2">
      <w:pPr>
        <w:widowControl/>
        <w:adjustRightInd w:val="0"/>
        <w:snapToGrid w:val="0"/>
        <w:spacing w:line="580" w:lineRule="exact"/>
        <w:contextualSpacing/>
        <w:jc w:val="left"/>
        <w:rPr>
          <w:rFonts w:ascii="仿宋_GB2312" w:eastAsia="仿宋_GB2312"/>
          <w:sz w:val="32"/>
          <w:szCs w:val="32"/>
        </w:rPr>
      </w:pPr>
      <w:r>
        <w:rPr>
          <w:rFonts w:hint="eastAsia" w:ascii="仿宋_GB2312" w:eastAsia="仿宋_GB2312"/>
          <w:sz w:val="32"/>
          <w:szCs w:val="32"/>
        </w:rPr>
        <w:t>单位对照《县级部门整体支出绩效评价指标体系表》中各项具体指标认真开展自评工作，经自评，单位部门整体支出均按照相应的规章制度和要求执行办理，不存在扣分事项。</w:t>
      </w:r>
    </w:p>
    <w:p w14:paraId="216BBC5B">
      <w:pPr>
        <w:widowControl/>
        <w:adjustRightInd w:val="0"/>
        <w:snapToGrid w:val="0"/>
        <w:spacing w:line="580" w:lineRule="exact"/>
        <w:ind w:firstLine="643" w:firstLineChars="200"/>
        <w:contextualSpacing/>
        <w:jc w:val="left"/>
        <w:rPr>
          <w:rFonts w:ascii="仿宋_GB2312" w:eastAsia="仿宋_GB2312"/>
          <w:b/>
          <w:bCs/>
          <w:sz w:val="32"/>
          <w:szCs w:val="32"/>
        </w:rPr>
      </w:pPr>
      <w:r>
        <w:rPr>
          <w:rFonts w:hint="eastAsia" w:ascii="仿宋_GB2312" w:eastAsia="仿宋_GB2312"/>
          <w:b/>
          <w:bCs/>
          <w:sz w:val="32"/>
          <w:szCs w:val="32"/>
        </w:rPr>
        <w:t>四、评价结论及建议</w:t>
      </w:r>
    </w:p>
    <w:p w14:paraId="7154B60B">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（一）评价结论</w:t>
      </w:r>
    </w:p>
    <w:p w14:paraId="2B1AEF10">
      <w:pPr>
        <w:pStyle w:val="2"/>
        <w:ind w:left="0" w:leftChars="0" w:firstLine="640" w:firstLineChars="200"/>
        <w:rPr>
          <w:lang w:val="zh-CN"/>
        </w:rPr>
      </w:pPr>
      <w:r>
        <w:rPr>
          <w:rFonts w:hint="eastAsia" w:ascii="仿宋_GB2312" w:eastAsia="仿宋_GB2312"/>
          <w:sz w:val="32"/>
          <w:szCs w:val="32"/>
        </w:rPr>
        <w:t>202</w:t>
      </w:r>
      <w:r>
        <w:rPr>
          <w:rFonts w:hint="eastAsia" w:ascii="仿宋_GB2312" w:hAnsi="仿宋_GB2312"/>
          <w:sz w:val="32"/>
          <w:szCs w:val="32"/>
        </w:rPr>
        <w:t>2</w:t>
      </w:r>
      <w:r>
        <w:rPr>
          <w:rFonts w:hint="eastAsia" w:ascii="仿宋_GB2312" w:eastAsia="仿宋_GB2312"/>
          <w:sz w:val="32"/>
          <w:szCs w:val="32"/>
        </w:rPr>
        <w:t>年我会部门整体支出绩效评价自查自评结果良好， 全年基本支出保证了部门的正常运行和日常工作的正常开展，项目支出保障了重点工作的开展，达到预期绩效目标。</w:t>
      </w:r>
    </w:p>
    <w:p w14:paraId="2D3D5A25">
      <w:pPr>
        <w:widowControl/>
        <w:adjustRightInd w:val="0"/>
        <w:snapToGrid w:val="0"/>
        <w:spacing w:line="580" w:lineRule="exact"/>
        <w:ind w:left="420" w:leftChars="200"/>
        <w:contextualSpacing/>
        <w:jc w:val="left"/>
        <w:rPr>
          <w:rFonts w:ascii="仿宋_GB2312" w:eastAsia="仿宋_GB2312"/>
          <w:sz w:val="32"/>
          <w:szCs w:val="32"/>
          <w:lang w:val="zh-CN"/>
        </w:rPr>
      </w:pPr>
      <w:r>
        <w:rPr>
          <w:rFonts w:hint="eastAsia" w:ascii="仿宋_GB2312" w:eastAsia="仿宋_GB2312"/>
          <w:sz w:val="32"/>
          <w:szCs w:val="32"/>
          <w:lang w:val="zh-CN"/>
        </w:rPr>
        <w:t>（二）存在问题</w:t>
      </w:r>
    </w:p>
    <w:p w14:paraId="72A9187F">
      <w:pPr>
        <w:pStyle w:val="2"/>
        <w:rPr>
          <w:rFonts w:ascii="仿宋_GB2312" w:eastAsia="仿宋_GB2312"/>
          <w:sz w:val="32"/>
          <w:szCs w:val="32"/>
        </w:rPr>
      </w:pPr>
      <w:r>
        <w:rPr>
          <w:rFonts w:hint="eastAsia" w:ascii="仿宋_GB2312" w:eastAsia="仿宋_GB2312"/>
          <w:sz w:val="32"/>
          <w:szCs w:val="32"/>
        </w:rPr>
        <w:t>绩效目标设定应当更科学更合理。</w:t>
      </w:r>
    </w:p>
    <w:p w14:paraId="4D23720F">
      <w:pPr>
        <w:pStyle w:val="2"/>
        <w:rPr>
          <w:rFonts w:ascii="仿宋_GB2312" w:eastAsia="仿宋_GB2312"/>
          <w:sz w:val="32"/>
          <w:szCs w:val="32"/>
          <w:lang w:val="zh-CN"/>
        </w:rPr>
      </w:pPr>
      <w:r>
        <w:rPr>
          <w:rFonts w:hint="eastAsia" w:ascii="仿宋_GB2312" w:eastAsia="仿宋_GB2312"/>
          <w:sz w:val="32"/>
          <w:szCs w:val="32"/>
        </w:rPr>
        <w:t>（三）</w:t>
      </w:r>
      <w:r>
        <w:rPr>
          <w:rFonts w:hint="eastAsia" w:ascii="仿宋_GB2312" w:eastAsia="仿宋_GB2312"/>
          <w:sz w:val="32"/>
          <w:szCs w:val="32"/>
          <w:lang w:val="zh-CN"/>
        </w:rPr>
        <w:t>改进建议</w:t>
      </w:r>
    </w:p>
    <w:p w14:paraId="3EA55A46">
      <w:pPr>
        <w:ind w:firstLine="640" w:firstLineChars="200"/>
        <w:rPr>
          <w:rFonts w:ascii="仿宋_GB2312" w:eastAsia="仿宋_GB2312" w:cs="仿宋_GB2312"/>
          <w:sz w:val="32"/>
          <w:szCs w:val="32"/>
        </w:rPr>
      </w:pP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14:paraId="0FF89C31">
      <w:pPr>
        <w:pStyle w:val="2"/>
      </w:pPr>
    </w:p>
    <w:p w14:paraId="10FC37EF">
      <w:pPr>
        <w:spacing w:line="600" w:lineRule="exact"/>
        <w:ind w:left="315" w:leftChars="150"/>
        <w:jc w:val="center"/>
        <w:outlineLvl w:val="0"/>
        <w:rPr>
          <w:rStyle w:val="24"/>
          <w:rFonts w:ascii="黑体" w:eastAsia="黑体"/>
          <w:b w:val="0"/>
        </w:rPr>
      </w:pPr>
      <w:bookmarkStart w:id="103" w:name="_Toc15377226"/>
      <w:bookmarkStart w:id="104" w:name="_Toc15396618"/>
      <w:bookmarkStart w:id="105" w:name="_Toc79163635"/>
      <w:bookmarkStart w:id="106" w:name="_Toc79163885"/>
      <w:r>
        <w:rPr>
          <w:rStyle w:val="24"/>
          <w:rFonts w:hint="eastAsia" w:ascii="黑体" w:eastAsia="黑体"/>
          <w:b w:val="0"/>
        </w:rPr>
        <w:t>第五部分附表</w:t>
      </w:r>
      <w:bookmarkEnd w:id="103"/>
      <w:bookmarkEnd w:id="104"/>
      <w:bookmarkEnd w:id="105"/>
      <w:bookmarkEnd w:id="106"/>
      <w:bookmarkStart w:id="107" w:name="_Toc15396619"/>
      <w:bookmarkStart w:id="108" w:name="_Toc79163636"/>
      <w:bookmarkStart w:id="109" w:name="_Toc79163886"/>
    </w:p>
    <w:p w14:paraId="78E122B6">
      <w:pPr>
        <w:numPr>
          <w:ilvl w:val="0"/>
          <w:numId w:val="4"/>
        </w:numPr>
        <w:spacing w:line="600" w:lineRule="exact"/>
        <w:outlineLvl w:val="0"/>
        <w:rPr>
          <w:rStyle w:val="25"/>
          <w:rFonts w:ascii="仿宋" w:eastAsia="仿宋"/>
          <w:b w:val="0"/>
          <w:bCs w:val="0"/>
        </w:rPr>
      </w:pPr>
      <w:r>
        <w:rPr>
          <w:rFonts w:hint="eastAsia" w:ascii="仿宋_GB2312" w:eastAsia="仿宋_GB2312"/>
          <w:sz w:val="32"/>
          <w:szCs w:val="32"/>
          <w:lang w:val="zh-CN"/>
        </w:rPr>
        <w:t>收入支</w:t>
      </w:r>
      <w:r>
        <w:rPr>
          <w:rStyle w:val="25"/>
          <w:rFonts w:hint="eastAsia" w:ascii="仿宋" w:eastAsia="仿宋"/>
          <w:b w:val="0"/>
          <w:bCs w:val="0"/>
        </w:rPr>
        <w:t>出决算总表</w:t>
      </w:r>
      <w:bookmarkEnd w:id="107"/>
      <w:bookmarkEnd w:id="108"/>
      <w:bookmarkEnd w:id="109"/>
      <w:bookmarkStart w:id="110" w:name="_Toc15396620"/>
      <w:bookmarkStart w:id="111" w:name="_Toc79163637"/>
      <w:bookmarkStart w:id="112" w:name="_Toc79163887"/>
    </w:p>
    <w:p w14:paraId="3D370E19">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收入决算表</w:t>
      </w:r>
      <w:bookmarkEnd w:id="110"/>
      <w:bookmarkEnd w:id="111"/>
      <w:bookmarkEnd w:id="112"/>
      <w:bookmarkStart w:id="113" w:name="_Toc15396621"/>
      <w:bookmarkStart w:id="114" w:name="_Toc79163888"/>
      <w:bookmarkStart w:id="115" w:name="_Toc79163638"/>
    </w:p>
    <w:p w14:paraId="5DB18DCC">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支出决算表</w:t>
      </w:r>
      <w:bookmarkEnd w:id="113"/>
      <w:bookmarkEnd w:id="114"/>
      <w:bookmarkEnd w:id="115"/>
      <w:bookmarkStart w:id="116" w:name="_Toc15396622"/>
      <w:bookmarkStart w:id="117" w:name="_Toc79163639"/>
      <w:bookmarkStart w:id="118" w:name="_Toc79163889"/>
    </w:p>
    <w:p w14:paraId="4E272584">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财政拨款收入支出决算总表</w:t>
      </w:r>
      <w:bookmarkEnd w:id="116"/>
      <w:bookmarkEnd w:id="117"/>
      <w:bookmarkEnd w:id="118"/>
      <w:bookmarkStart w:id="119" w:name="_Toc15396623"/>
      <w:bookmarkStart w:id="120" w:name="_Toc79163640"/>
      <w:bookmarkStart w:id="121" w:name="_Toc79163890"/>
    </w:p>
    <w:p w14:paraId="7DADD5D3">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五、财政拨款支出决算明细表</w:t>
      </w:r>
      <w:bookmarkEnd w:id="119"/>
      <w:bookmarkEnd w:id="120"/>
      <w:bookmarkEnd w:id="121"/>
      <w:bookmarkStart w:id="122" w:name="_Toc15396624"/>
      <w:bookmarkStart w:id="123" w:name="_Toc79163641"/>
      <w:bookmarkStart w:id="124" w:name="_Toc79163891"/>
    </w:p>
    <w:p w14:paraId="05E79032">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一般公共预算财政拨款支出决算表</w:t>
      </w:r>
      <w:bookmarkEnd w:id="122"/>
      <w:bookmarkEnd w:id="123"/>
      <w:bookmarkEnd w:id="124"/>
      <w:bookmarkStart w:id="125" w:name="_Toc15396625"/>
      <w:bookmarkStart w:id="126" w:name="_Toc79163642"/>
      <w:bookmarkStart w:id="127" w:name="_Toc79163892"/>
    </w:p>
    <w:p w14:paraId="3B33B008">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一般公共预算财政拨款支出决算明细表</w:t>
      </w:r>
      <w:bookmarkEnd w:id="125"/>
      <w:bookmarkEnd w:id="126"/>
      <w:bookmarkEnd w:id="127"/>
      <w:bookmarkStart w:id="128" w:name="_Toc15396626"/>
      <w:bookmarkStart w:id="129" w:name="_Toc79163643"/>
      <w:bookmarkStart w:id="130" w:name="_Toc79163893"/>
    </w:p>
    <w:p w14:paraId="54F238F6">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一般公共预算财政拨款基本支出决算</w:t>
      </w:r>
      <w:bookmarkEnd w:id="128"/>
      <w:bookmarkEnd w:id="129"/>
      <w:bookmarkEnd w:id="130"/>
      <w:bookmarkStart w:id="131" w:name="_Toc15396627"/>
      <w:bookmarkStart w:id="132" w:name="_Toc79163894"/>
      <w:bookmarkStart w:id="133" w:name="_Toc79163644"/>
    </w:p>
    <w:p w14:paraId="1BB8AABE">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一般公共预算财政拨款项目支出决算表</w:t>
      </w:r>
      <w:bookmarkEnd w:id="131"/>
      <w:bookmarkEnd w:id="132"/>
      <w:bookmarkEnd w:id="133"/>
      <w:bookmarkStart w:id="134" w:name="_Toc15396628"/>
      <w:bookmarkStart w:id="135" w:name="_Toc79163645"/>
      <w:bookmarkStart w:id="136" w:name="_Toc79163895"/>
    </w:p>
    <w:p w14:paraId="6326164A">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一般公共预算财政拨款“三公”经费支出决算表</w:t>
      </w:r>
      <w:bookmarkEnd w:id="134"/>
      <w:bookmarkEnd w:id="135"/>
      <w:bookmarkEnd w:id="136"/>
      <w:bookmarkStart w:id="137" w:name="_Toc15396629"/>
      <w:bookmarkStart w:id="138" w:name="_Toc79163646"/>
      <w:bookmarkStart w:id="139" w:name="_Toc79163896"/>
    </w:p>
    <w:p w14:paraId="5CAA6B95">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政府性基金预算财政拨款收入支出决算表</w:t>
      </w:r>
      <w:bookmarkEnd w:id="137"/>
      <w:bookmarkEnd w:id="138"/>
      <w:bookmarkEnd w:id="139"/>
      <w:bookmarkStart w:id="140" w:name="_Toc79163647"/>
      <w:bookmarkStart w:id="141" w:name="_Toc15396630"/>
      <w:bookmarkStart w:id="142" w:name="_Toc79163897"/>
    </w:p>
    <w:p w14:paraId="3A2B1054">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政府性基金预算财政拨款“三公”经费支出决算表</w:t>
      </w:r>
      <w:bookmarkEnd w:id="140"/>
      <w:bookmarkEnd w:id="141"/>
      <w:bookmarkEnd w:id="142"/>
      <w:bookmarkStart w:id="143" w:name="_Toc15396631"/>
      <w:bookmarkStart w:id="144" w:name="_Toc79163648"/>
      <w:bookmarkStart w:id="145" w:name="_Toc79163898"/>
    </w:p>
    <w:p w14:paraId="2DE7A9FF">
      <w:pPr>
        <w:numPr>
          <w:ilvl w:val="0"/>
          <w:numId w:val="4"/>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国有资本经营预算财政拨款支出决算表</w:t>
      </w:r>
      <w:bookmarkEnd w:id="143"/>
      <w:bookmarkEnd w:id="144"/>
      <w:bookmarkEnd w:id="145"/>
      <w:bookmarkStart w:id="146" w:name="_Toc79163899"/>
      <w:bookmarkStart w:id="147" w:name="_Toc79163649"/>
    </w:p>
    <w:p w14:paraId="0E3D6C70">
      <w:pPr>
        <w:spacing w:line="600" w:lineRule="exact"/>
        <w:outlineLvl w:val="0"/>
        <w:rPr>
          <w:rFonts w:ascii="仿宋_GB2312" w:eastAsia="仿宋_GB2312"/>
          <w:sz w:val="32"/>
          <w:szCs w:val="32"/>
          <w:lang w:val="zh-CN"/>
        </w:rPr>
      </w:pPr>
      <w:r>
        <w:rPr>
          <w:rFonts w:hint="eastAsia" w:ascii="仿宋_GB2312" w:eastAsia="仿宋_GB2312"/>
          <w:sz w:val="32"/>
          <w:szCs w:val="32"/>
          <w:lang w:val="zh-CN"/>
        </w:rPr>
        <w:t>十四、国有资本经营预算财政拨款支出决算表</w:t>
      </w:r>
      <w:bookmarkEnd w:id="146"/>
      <w:bookmarkEnd w:id="14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Lucida Sans">
    <w:altName w:val="Lucida Sans Unicode"/>
    <w:panose1 w:val="00000000000000000000"/>
    <w:charset w:val="01"/>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6DA71">
    <w:pPr>
      <w:pStyle w:val="13"/>
      <w:jc w:val="center"/>
    </w:pPr>
    <w:r>
      <w:fldChar w:fldCharType="begin"/>
    </w:r>
    <w:r>
      <w:instrText xml:space="preserve">PAGE   \* MERGEFORMAT</w:instrText>
    </w:r>
    <w:r>
      <w:fldChar w:fldCharType="separate"/>
    </w:r>
    <w:r>
      <w:rPr>
        <w:lang w:val="zh-CN"/>
      </w:rPr>
      <w:t>17</w:t>
    </w:r>
    <w:r>
      <w:fldChar w:fldCharType="end"/>
    </w:r>
  </w:p>
  <w:p w14:paraId="44454CA5">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6981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18C2AB"/>
    <w:multiLevelType w:val="singleLevel"/>
    <w:tmpl w:val="CB18C2AB"/>
    <w:lvl w:ilvl="0" w:tentative="0">
      <w:start w:val="1"/>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WUwNWQ1NWFmMDE2ZjNmY2RkYTlkOTI4ZDY4M2Q2MDUifQ=="/>
  </w:docVars>
  <w:rsids>
    <w:rsidRoot w:val="00000000"/>
    <w:rsid w:val="12576DF7"/>
    <w:rsid w:val="4E5F69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paragraph" w:styleId="6">
    <w:name w:val="heading 4"/>
    <w:basedOn w:val="1"/>
    <w:next w:val="1"/>
    <w:uiPriority w:val="0"/>
    <w:pPr>
      <w:keepNext/>
      <w:keepLines/>
      <w:widowControl w:val="0"/>
      <w:spacing w:before="280" w:after="290" w:line="377" w:lineRule="auto"/>
      <w:outlineLvl w:val="3"/>
    </w:pPr>
    <w:rPr>
      <w:rFonts w:ascii="等线 Light" w:eastAsia="等线 Light"/>
      <w:b/>
      <w:bCs/>
      <w:sz w:val="28"/>
      <w:szCs w:val="28"/>
    </w:rPr>
  </w:style>
  <w:style w:type="character" w:default="1" w:styleId="21">
    <w:name w:val="Default Paragraph Font"/>
    <w:qFormat/>
    <w:uiPriority w:val="0"/>
  </w:style>
  <w:style w:type="table" w:default="1" w:styleId="20">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7">
    <w:name w:val="toc 7"/>
    <w:basedOn w:val="1"/>
    <w:next w:val="1"/>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uiPriority w:val="0"/>
    <w:pPr>
      <w:ind w:left="1680"/>
      <w:jc w:val="left"/>
    </w:pPr>
    <w:rPr>
      <w:rFonts w:ascii="等线" w:eastAsia="等线"/>
      <w:sz w:val="18"/>
      <w:szCs w:val="18"/>
    </w:rPr>
  </w:style>
  <w:style w:type="character" w:styleId="22">
    <w:name w:val="Strong"/>
    <w:basedOn w:val="21"/>
    <w:qFormat/>
    <w:uiPriority w:val="0"/>
    <w:rPr>
      <w:rFonts w:cs="Times New Roman"/>
      <w:b/>
    </w:rPr>
  </w:style>
  <w:style w:type="character" w:styleId="23">
    <w:name w:val="Hyperlink"/>
    <w:basedOn w:val="21"/>
    <w:uiPriority w:val="0"/>
    <w:rPr>
      <w:rFonts w:cs="Times New Roman"/>
      <w:color w:val="0000FF"/>
      <w:u w:val="single"/>
    </w:rPr>
  </w:style>
  <w:style w:type="character" w:customStyle="1" w:styleId="24">
    <w:name w:val="heading 1 Char"/>
    <w:basedOn w:val="21"/>
    <w:link w:val="3"/>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4"/>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标题2"/>
    <w:basedOn w:val="3"/>
    <w:next w:val="1"/>
    <w:uiPriority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图1:收、支决算总计变动情况图
（单位：万元）</a:t>
            </a:r>
            <a:endParaRPr lang="zh-CN"/>
          </a:p>
        </c:rich>
      </c:tx>
      <c:layout>
        <c:manualLayout>
          <c:xMode val="edge"/>
          <c:yMode val="edge"/>
          <c:x val="0.2323126"/>
          <c:y val="0.014091123"/>
        </c:manualLayout>
      </c:layout>
      <c:overlay val="0"/>
      <c:spPr>
        <a:noFill/>
        <a:ln>
          <a:noFill/>
        </a:ln>
      </c:spPr>
    </c:title>
    <c:autoTitleDeleted val="0"/>
    <c:plotArea>
      <c:layout/>
      <c:barChart>
        <c:barDir val="col"/>
        <c:grouping val="percentStacked"/>
        <c:varyColors val="0"/>
        <c:ser>
          <c:idx val="0"/>
          <c:order val="0"/>
          <c:tx>
            <c:strRef>
              <c:f>'Sheet1'!$B$1</c:f>
              <c:strCache>
                <c:ptCount val="1"/>
                <c:pt idx="0">
                  <c:v>收入</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30.01</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30.26</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ctr"/>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2021</c:v>
                </c:pt>
                <c:pt idx="1">
                  <c:v>2022</c:v>
                </c:pt>
              </c:numCache>
            </c:numRef>
          </c:cat>
          <c:val>
            <c:numRef>
              <c:f>'Sheet1'!$B$2:$B$3</c:f>
              <c:numCache>
                <c:formatCode>General</c:formatCode>
                <c:ptCount val="2"/>
                <c:pt idx="0">
                  <c:v>30.01</c:v>
                </c:pt>
                <c:pt idx="1">
                  <c:v>30.26</c:v>
                </c:pt>
              </c:numCache>
            </c:numRef>
          </c:val>
        </c:ser>
        <c:dLbls>
          <c:showLegendKey val="0"/>
          <c:showVal val="1"/>
          <c:showCatName val="0"/>
          <c:showSerName val="0"/>
          <c:showPercent val="0"/>
          <c:showBubbleSize val="0"/>
        </c:dLbls>
        <c:gapWidth val="219"/>
        <c:overlap val="100"/>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0" i="0" u="none" strike="noStrike" kern="1200" cap="all" baseline="0">
                <a:solidFill>
                  <a:srgbClr val="595959"/>
                </a:solidFill>
                <a:latin typeface="Times New Roman" panose="02020603050405020304"/>
                <a:ea typeface="宋体" panose="02010600030101010101" charset="-122"/>
                <a:cs typeface="Lucida Sans"/>
              </a:defRPr>
            </a:pPr>
            <a:r>
              <a:rPr lang="zh-CN"/>
              <a:t>图2：收决算结构图</a:t>
            </a:r>
            <a:endParaRPr lang="zh-CN"/>
          </a:p>
        </c:rich>
      </c:tx>
      <c:layout>
        <c:manualLayout>
          <c:xMode val="edge"/>
          <c:yMode val="edge"/>
          <c:x val="0.21042679"/>
          <c:y val="0.00729927"/>
        </c:manualLayout>
      </c:layout>
      <c:overlay val="0"/>
      <c:spPr>
        <a:noFill/>
        <a:ln>
          <a:noFill/>
        </a:ln>
      </c:spPr>
    </c:title>
    <c:autoTitleDeleted val="0"/>
    <c:plotArea>
      <c:layout/>
      <c:pieChart>
        <c:varyColors val="1"/>
        <c:ser>
          <c:idx val="0"/>
          <c:order val="0"/>
          <c:tx>
            <c:strRef>
              <c:f>'Sheet1 (2)'!$B$1</c:f>
              <c:strCache>
                <c:ptCount val="1"/>
                <c:pt idx="0">
                  <c:v>销售额</c:v>
                </c:pt>
              </c:strCache>
            </c:strRef>
          </c:tx>
          <c:spPr>
            <a:solidFill>
              <a:srgbClr val="4F81BD"/>
            </a:solidFill>
            <a:ln>
              <a:noFill/>
            </a:ln>
          </c:spPr>
          <c:explosion val="0"/>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dLbl>
              <c:idx val="0"/>
              <c:layout>
                <c:manualLayout>
                  <c:x val="0.29821718"/>
                  <c:y val="-0.0810219"/>
                </c:manualLayout>
              </c:layout>
              <c:tx>
                <c:rich>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r>
                      <a:rPr lang="zh-CN"/>
                      <a:t>一般公共预算收入100%</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delete val="1"/>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100</c:v>
                </c:pt>
                <c:pt idx="1">
                  <c:v>0</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0" i="0" u="none" strike="noStrike" kern="1200" cap="all" baseline="0">
                <a:solidFill>
                  <a:srgbClr val="595959"/>
                </a:solidFill>
                <a:latin typeface="Times New Roman" panose="02020603050405020304"/>
                <a:ea typeface="宋体" panose="02010600030101010101" charset="-122"/>
                <a:cs typeface="Lucida Sans"/>
              </a:defRPr>
            </a:pPr>
            <a:r>
              <a:rPr lang="zh-CN"/>
              <a:t>图3：支出决算结构图</a:t>
            </a:r>
            <a:endParaRPr lang="zh-CN"/>
          </a:p>
        </c:rich>
      </c:tx>
      <c:layout>
        <c:manualLayout>
          <c:xMode val="edge"/>
          <c:yMode val="edge"/>
          <c:x val="0.21042679"/>
          <c:y val="0.00729927"/>
        </c:manualLayout>
      </c:layout>
      <c:overlay val="0"/>
      <c:spPr>
        <a:noFill/>
        <a:ln>
          <a:noFill/>
        </a:ln>
      </c:spPr>
    </c:title>
    <c:autoTitleDeleted val="0"/>
    <c:plotArea>
      <c:layout/>
      <c:pieChart>
        <c:varyColors val="1"/>
        <c:ser>
          <c:idx val="0"/>
          <c:order val="0"/>
          <c:tx>
            <c:strRef>
              <c:f>'Sheet1 (3)'!$B$1</c:f>
              <c:strCache>
                <c:ptCount val="1"/>
                <c:pt idx="0">
                  <c:v>销售额</c:v>
                </c:pt>
              </c:strCache>
            </c:strRef>
          </c:tx>
          <c:spPr>
            <a:solidFill>
              <a:srgbClr val="4F81BD"/>
            </a:solidFill>
            <a:ln>
              <a:noFill/>
            </a:ln>
          </c:spPr>
          <c:explosion val="0"/>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dLbl>
              <c:idx val="0"/>
              <c:layout>
                <c:manualLayout>
                  <c:x val="0.27156493"/>
                  <c:y val="-0.017274939"/>
                </c:manualLayout>
              </c:layout>
              <c:tx>
                <c:rich>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r>
                      <a:rPr lang="zh-CN"/>
                      <a:t>基本支出
100%</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delete val="1"/>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100</c:v>
                </c:pt>
                <c:pt idx="1">
                  <c:v>0</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all" baseline="0">
                <a:solidFill>
                  <a:srgbClr val="595959"/>
                </a:solidFill>
                <a:latin typeface="Times New Roman" panose="02020603050405020304"/>
                <a:ea typeface="宋体" panose="02010600030101010101" charset="-122"/>
                <a:cs typeface="Lucida Sans"/>
              </a:defRPr>
            </a:pPr>
            <a:r>
              <a:rPr lang="zh-CN"/>
              <a:t>图4:收、支决算总计变动情况图
（单位：万元）</a:t>
            </a:r>
            <a:endParaRPr lang="zh-CN"/>
          </a:p>
        </c:rich>
      </c:tx>
      <c:layout>
        <c:manualLayout>
          <c:xMode val="edge"/>
          <c:yMode val="edge"/>
          <c:x val="0.099617854"/>
          <c:y val="0.008525149"/>
        </c:manualLayout>
      </c:layout>
      <c:overlay val="0"/>
      <c:spPr>
        <a:noFill/>
        <a:ln>
          <a:noFill/>
        </a:ln>
      </c:spPr>
    </c:title>
    <c:autoTitleDeleted val="0"/>
    <c:plotArea>
      <c:layout>
        <c:manualLayout>
          <c:layoutTarget val="inner"/>
          <c:xMode val="edge"/>
          <c:yMode val="edge"/>
          <c:x val="0.05450678"/>
          <c:y val="0.29524788"/>
          <c:w val="0.8893945"/>
          <c:h val="0.5707559"/>
        </c:manualLayout>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dLbl>
              <c:idx val="0"/>
              <c:layout/>
              <c:tx>
                <c:rich>
                  <a:bodyPr rot="0" spcFirstLastPara="0" vertOverflow="ellipsis" vert="horz" wrap="square" lIns="38100" tIns="19050" rIns="38100" bIns="19050" anchor="ctr" anchorCtr="1"/>
                  <a:lstStyle/>
                  <a:p>
                    <a:pPr>
                      <a:defRPr lang="zh-CN" sz="800" b="0" i="0" u="none" strike="noStrike" kern="1200" baseline="0">
                        <a:solidFill>
                          <a:srgbClr val="808080"/>
                        </a:solidFill>
                        <a:latin typeface="Times New Roman" panose="02020603050405020304"/>
                        <a:ea typeface="宋体" panose="02010600030101010101" charset="-122"/>
                        <a:cs typeface="Lucida Sans"/>
                      </a:defRPr>
                    </a:pPr>
                    <a:r>
                      <a:rPr lang="zh-CN"/>
                      <a:t>30.01</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80808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rgbClr val="808080"/>
                        </a:solidFill>
                        <a:latin typeface="Times New Roman" panose="02020603050405020304"/>
                        <a:ea typeface="宋体" panose="02010600030101010101" charset="-122"/>
                        <a:cs typeface="Lucida Sans"/>
                      </a:defRPr>
                    </a:pPr>
                    <a:r>
                      <a:rPr lang="zh-CN" sz="800" b="0" i="0" u="none" strike="noStrike" baseline="0">
                        <a:solidFill>
                          <a:srgbClr val="808080"/>
                        </a:solidFill>
                        <a:latin typeface="Times New Roman" panose="02020603050405020304"/>
                        <a:ea typeface="宋体" panose="02010600030101010101" charset="-122"/>
                        <a:cs typeface="Lucida Sans"/>
                      </a:rPr>
                      <a:t>30.26</a:t>
                    </a:r>
                    <a:endParaRPr lang="zh-CN" sz="800" b="0" i="0" u="none" strike="noStrike" baseline="0">
                      <a:solidFill>
                        <a:srgbClr val="80808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80808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80808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2021</c:v>
                </c:pt>
                <c:pt idx="1">
                  <c:v>2022</c:v>
                </c:pt>
              </c:numCache>
            </c:numRef>
          </c:cat>
          <c:val>
            <c:numRef>
              <c:f>'Sheet1 (4)'!$B$2:$B$3</c:f>
              <c:numCache>
                <c:formatCode>General</c:formatCode>
                <c:ptCount val="2"/>
                <c:pt idx="0">
                  <c:v>30.01</c:v>
                </c:pt>
                <c:pt idx="1">
                  <c:v>30.26</c:v>
                </c:pt>
              </c:numCache>
            </c:numRef>
          </c:val>
        </c:ser>
        <c:dLbls>
          <c:showLegendKey val="0"/>
          <c:showVal val="1"/>
          <c:showCatName val="0"/>
          <c:showSerName val="0"/>
          <c:showPercent val="0"/>
          <c:showBubbleSize val="0"/>
        </c:dLbls>
        <c:gapWidth val="444"/>
        <c:overlap val="-90"/>
        <c:axId val="0"/>
        <c:axId val="1"/>
      </c:barChart>
      <c:catAx>
        <c:axId val="0"/>
        <c:scaling>
          <c:orientation val="minMax"/>
        </c:scaling>
        <c:delete val="0"/>
        <c:axPos val="b"/>
        <c:majorGridlines>
          <c:spPr>
            <a:ln w="6350" cap="flat" cmpd="sng" algn="ctr">
              <a:solidFill>
                <a:srgbClr val="D9D9D9"/>
              </a:solidFill>
              <a:prstDash val="solid"/>
              <a:round/>
            </a:ln>
          </c:spPr>
        </c:majorGridlines>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800" b="0" i="0" u="none" strike="noStrike" kern="1200" cap="all"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图5：一般公共预算财政拨款支出决算变动情况表（单位：万元）</a:t>
            </a:r>
            <a:endParaRPr lang="zh-CN"/>
          </a:p>
        </c:rich>
      </c:tx>
      <c:layout>
        <c:manualLayout>
          <c:xMode val="edge"/>
          <c:yMode val="edge"/>
          <c:x val="0.12546484"/>
          <c:y val="0.023876404"/>
        </c:manualLayout>
      </c:layout>
      <c:overlay val="0"/>
      <c:spPr>
        <a:noFill/>
        <a:ln>
          <a:noFill/>
        </a:ln>
      </c:spPr>
    </c:title>
    <c:autoTitleDeleted val="0"/>
    <c:plotArea>
      <c:layout>
        <c:manualLayout>
          <c:layoutTarget val="inner"/>
          <c:xMode val="edge"/>
          <c:yMode val="edge"/>
          <c:x val="0.0800719"/>
          <c:y val="0.31611317"/>
          <c:w val="0.80439204"/>
          <c:h val="0.51750153"/>
        </c:manualLayout>
      </c:layout>
      <c:barChart>
        <c:barDir val="col"/>
        <c:grouping val="clustered"/>
        <c:varyColors val="0"/>
        <c:ser>
          <c:idx val="0"/>
          <c:order val="0"/>
          <c:tx>
            <c:strRef>
              <c:f>'Sheet1 (5)'!$C$1</c:f>
              <c:strCache>
                <c:ptCount val="1"/>
                <c:pt idx="0">
                  <c:v>系列 2</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30.01
</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30.26</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'Sheet1 (5)'!$C$2:$C$3</c:f>
              <c:numCache>
                <c:formatCode>General</c:formatCode>
                <c:ptCount val="2"/>
                <c:pt idx="0">
                  <c:v>30.01</c:v>
                </c:pt>
                <c:pt idx="1">
                  <c:v>30.26</c:v>
                </c:pt>
              </c:numCache>
            </c:numRef>
          </c:val>
        </c:ser>
        <c:ser>
          <c:idx val="1"/>
          <c:order val="1"/>
          <c:tx>
            <c:strRef>
              <c:f>'Sheet1 (5)'!$D$1</c:f>
              <c:strCache>
                <c:ptCount val="1"/>
                <c:pt idx="0">
                  <c:v/>
                </c:pt>
              </c:strCache>
            </c:strRef>
          </c:tx>
          <c:spPr>
            <a:solidFill>
              <a:srgbClr val="ED7D31"/>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'Sheet1 (5)'!$D$2:$D$3</c:f>
              <c:numCache>
                <c:formatCode>General</c:formatCode>
                <c:ptCount val="2"/>
              </c:numCache>
            </c:numRef>
          </c:val>
        </c:ser>
        <c:ser>
          <c:idx val="2"/>
          <c:order val="2"/>
          <c:tx>
            <c:strRef>
              <c:f>'Sheet1 (5)'!$E$1</c:f>
              <c:strCache>
                <c:ptCount val="1"/>
                <c:pt idx="0">
                  <c:v/>
                </c:pt>
              </c:strCache>
            </c:strRef>
          </c:tx>
          <c:spPr>
            <a:solidFill>
              <a:srgbClr val="A5A5A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'Sheet1 (5)'!$E$2:$E$3</c:f>
              <c:numCache>
                <c:formatCode>General</c:formatCode>
                <c:ptCount val="2"/>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销售额</c:v>
                </c:pt>
              </c:strCache>
            </c:strRef>
          </c:tx>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Lbls>
            <c:dLbl>
              <c:idx val="0"/>
              <c:layout>
                <c:manualLayout>
                  <c:x val="0.16045381"/>
                  <c:y val="-0.1979483"/>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sz="1000" b="0" i="0" u="none" strike="noStrike" baseline="0">
                        <a:solidFill>
                          <a:srgbClr val="000000"/>
                        </a:solidFill>
                        <a:latin typeface="Times New Roman" panose="02020603050405020304"/>
                        <a:ea typeface="宋体" panose="02010600030101010101" charset="-122"/>
                        <a:cs typeface="Lucida Sans"/>
                      </a:rPr>
                      <a:t>社会保障就业支出
86%</a:t>
                    </a:r>
                    <a:endParaRPr lang="zh-CN" sz="1000" b="0" i="0" u="none" strike="noStrike" baseline="0">
                      <a:solidFill>
                        <a:srgbClr val="00000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9466954"/>
                  <c:y val="-0.14209245"/>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sz="1000" b="0" i="0" u="none" strike="noStrike" baseline="0">
                        <a:solidFill>
                          <a:srgbClr val="000000"/>
                        </a:solidFill>
                        <a:latin typeface="Times New Roman" panose="02020603050405020304"/>
                        <a:ea typeface="宋体" panose="02010600030101010101" charset="-122"/>
                        <a:cs typeface="Lucida Sans"/>
                      </a:rPr>
                      <a:t>住房保障支出
8%</a:t>
                    </a:r>
                    <a:endParaRPr lang="zh-CN" sz="1000" b="0" i="0" u="none" strike="noStrike" baseline="0">
                      <a:solidFill>
                        <a:srgbClr val="00000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7305961"/>
                  <c:y val="0.24379581"/>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delete val="1"/>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社会保障和就业</c:v>
                </c:pt>
                <c:pt idx="1">
                  <c:v>住房保障支出</c:v>
                </c:pt>
                <c:pt idx="2">
                  <c:v>卫生健康支出</c:v>
                </c:pt>
              </c:strCache>
            </c:strRef>
          </c:cat>
          <c:val>
            <c:numRef>
              <c:f>'Sheet1 (6)'!$B$2:$B$5</c:f>
              <c:numCache>
                <c:formatCode>General</c:formatCode>
                <c:ptCount val="4"/>
                <c:pt idx="0">
                  <c:v>86</c:v>
                </c:pt>
                <c:pt idx="1">
                  <c:v>6</c:v>
                </c:pt>
                <c:pt idx="2">
                  <c:v>8</c:v>
                </c:pt>
              </c:numCache>
            </c:numRef>
          </c:val>
        </c:ser>
        <c:dLbls>
          <c:showLegendKey val="0"/>
          <c:showVal val="0"/>
          <c:showCatName val="1"/>
          <c:showSerName val="0"/>
          <c:showPercent val="1"/>
          <c:showBubbleSize val="0"/>
          <c:showLeaderLines val="1"/>
        </c:dLbls>
        <c:firstSliceAng val="0"/>
      </c:pieChart>
      <c:spPr>
        <a:noFill/>
      </c:spPr>
    </c:plotArea>
    <c:legend>
      <c:legendPos val="b"/>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17</Pages>
  <Words>5788</Words>
  <Characters>6273</Characters>
  <Lines>382</Lines>
  <Paragraphs>169</Paragraphs>
  <TotalTime>48</TotalTime>
  <ScaleCrop>false</ScaleCrop>
  <LinksUpToDate>false</LinksUpToDate>
  <CharactersWithSpaces>6358</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2023-09-11T09:34:00Z</cp:lastPrinted>
  <dcterms:modified xsi:type="dcterms:W3CDTF">2024-08-14T01:10:56Z</dcterms:modified>
  <dc:title>阿坝州部门决算说明</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845DFE58569348BC93B44DBC4F48388C</vt:lpwstr>
  </property>
</Properties>
</file>