
<file path=[Content_Types].xml><?xml version="1.0" encoding="utf-8"?>
<Types xmlns="http://schemas.openxmlformats.org/package/2006/content-types">
  <Default Extension="xml" ContentType="application/xml"/>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44"/>
          <w:szCs w:val="44"/>
        </w:rPr>
      </w:pPr>
      <w:bookmarkStart w:id="1" w:name="_Toc15396475"/>
      <w:bookmarkStart w:id="2" w:name="_Toc15377193"/>
      <w:bookmarkStart w:id="3" w:name="_Toc15377425"/>
      <w:bookmarkStart w:id="4" w:name="_Toc15378441"/>
      <w:bookmarkStart w:id="5" w:name="_Toc15396597"/>
      <w:r>
        <w:rPr>
          <w:rFonts w:ascii="黑体" w:hAnsi="黑体" w:eastAsia="黑体"/>
          <w:color w:val="000000"/>
          <w:sz w:val="44"/>
          <w:szCs w:val="44"/>
        </w:rPr>
        <w:t>201</w:t>
      </w:r>
      <w:r>
        <w:rPr>
          <w:rFonts w:hint="eastAsia" w:ascii="黑体" w:hAnsi="黑体" w:eastAsia="黑体"/>
          <w:color w:val="000000"/>
          <w:sz w:val="44"/>
          <w:szCs w:val="44"/>
        </w:rPr>
        <w:t>9</w:t>
      </w:r>
      <w:r>
        <w:rPr>
          <w:rFonts w:hint="eastAsia" w:ascii="方正小标宋简体" w:hAnsi="宋体" w:eastAsia="方正小标宋简体"/>
          <w:color w:val="000000"/>
          <w:sz w:val="44"/>
          <w:szCs w:val="44"/>
        </w:rPr>
        <w:t>年度</w:t>
      </w:r>
      <w:bookmarkEnd w:id="1"/>
      <w:bookmarkEnd w:id="2"/>
      <w:bookmarkEnd w:id="3"/>
      <w:bookmarkEnd w:id="4"/>
      <w:bookmarkEnd w:id="5"/>
    </w:p>
    <w:p>
      <w:pPr>
        <w:adjustRightInd w:val="0"/>
        <w:snapToGrid w:val="0"/>
        <w:spacing w:line="360" w:lineRule="auto"/>
        <w:jc w:val="center"/>
        <w:outlineLvl w:val="0"/>
        <w:rPr>
          <w:rFonts w:hint="eastAsia" w:ascii="方正小标宋简体" w:hAnsi="宋体" w:eastAsia="方正小标宋简体"/>
          <w:color w:val="000000"/>
          <w:sz w:val="44"/>
          <w:szCs w:val="44"/>
        </w:rPr>
      </w:pPr>
      <w:bookmarkStart w:id="6" w:name="_Toc15377194"/>
      <w:bookmarkStart w:id="7" w:name="_Toc15396598"/>
      <w:bookmarkStart w:id="8" w:name="_Toc15378442"/>
      <w:bookmarkStart w:id="9" w:name="_Toc15377426"/>
      <w:bookmarkStart w:id="10" w:name="_Toc15396476"/>
      <w:r>
        <w:rPr>
          <w:rFonts w:hint="eastAsia" w:ascii="方正小标宋简体" w:hAnsi="宋体" w:eastAsia="方正小标宋简体"/>
          <w:color w:val="000000"/>
          <w:sz w:val="44"/>
          <w:szCs w:val="44"/>
        </w:rPr>
        <w:t>四川省阿坝州</w:t>
      </w:r>
      <w:bookmarkEnd w:id="0"/>
      <w:bookmarkStart w:id="11" w:name="_Toc15306268"/>
      <w:r>
        <w:rPr>
          <w:rFonts w:hint="eastAsia" w:ascii="方正小标宋简体" w:hAnsi="宋体" w:eastAsia="方正小标宋简体"/>
          <w:color w:val="000000"/>
          <w:sz w:val="44"/>
          <w:szCs w:val="44"/>
        </w:rPr>
        <w:t>茂县文学艺术界联合会</w:t>
      </w:r>
    </w:p>
    <w:p>
      <w:pPr>
        <w:adjustRightInd w:val="0"/>
        <w:snapToGrid w:val="0"/>
        <w:spacing w:line="360" w:lineRule="auto"/>
        <w:jc w:val="center"/>
        <w:outlineLvl w:val="0"/>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ascii="仿宋_GB2312" w:hAnsi="Calibri" w:eastAsia="仿宋_GB2312" w:cs="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w:t>
      </w:r>
      <w:r>
        <w:rPr>
          <w:rFonts w:hint="eastAsia" w:ascii="黑体" w:hAnsi="黑体" w:eastAsia="黑体"/>
          <w:color w:val="000000"/>
          <w:sz w:val="48"/>
          <w:szCs w:val="48"/>
          <w:lang w:val="en-US" w:eastAsia="zh-CN"/>
        </w:rPr>
        <w:t xml:space="preserve"> </w:t>
      </w:r>
      <w:r>
        <w:rPr>
          <w:rFonts w:hint="eastAsia" w:ascii="黑体" w:hAnsi="黑体" w:eastAsia="黑体"/>
          <w:color w:val="000000"/>
          <w:sz w:val="48"/>
          <w:szCs w:val="48"/>
        </w:rPr>
        <w:t>录</w:t>
      </w:r>
    </w:p>
    <w:p/>
    <w:p>
      <w:pPr>
        <w:pStyle w:val="12"/>
        <w:keepNext w:val="0"/>
        <w:keepLines w:val="0"/>
        <w:widowControl w:val="0"/>
        <w:suppressLineNumbers w:val="0"/>
        <w:tabs>
          <w:tab w:val="right" w:leader="dot" w:pos="8296"/>
        </w:tabs>
        <w:spacing w:before="93" w:beforeAutospacing="0" w:after="0" w:afterAutospacing="0"/>
        <w:ind w:right="0"/>
        <w:jc w:val="both"/>
        <w:rPr>
          <w:rFonts w:cs="Times New Roman"/>
          <w:lang w:val="en-US"/>
        </w:rPr>
      </w:pPr>
      <w:r>
        <w:rPr>
          <w:rFonts w:hint="eastAsia" w:ascii="仿宋_GB2312" w:hAnsi="仿宋_GB2312" w:eastAsia="仿宋_GB2312" w:cs="仿宋_GB2312"/>
          <w:sz w:val="32"/>
          <w:szCs w:val="32"/>
        </w:rPr>
        <w:t>第一部分 部门概况</w:t>
      </w:r>
      <w:r>
        <w:rPr>
          <w:rFonts w:hint="eastAsia" w:ascii="仿宋" w:hAnsi="仿宋" w:eastAsia="仿宋" w:cs="Times New Roman"/>
          <w:kern w:val="2"/>
          <w:sz w:val="28"/>
          <w:szCs w:val="28"/>
          <w:lang w:val="en-US" w:eastAsia="zh-CN" w:bidi="ar"/>
        </w:rPr>
        <w:fldChar w:fldCharType="begin"/>
      </w:r>
      <w:r>
        <w:rPr>
          <w:rFonts w:hint="eastAsia" w:ascii="仿宋" w:hAnsi="仿宋" w:eastAsia="仿宋" w:cs="Times New Roman"/>
          <w:kern w:val="2"/>
          <w:sz w:val="28"/>
          <w:szCs w:val="28"/>
          <w:lang w:val="en-US" w:eastAsia="zh-CN" w:bidi="ar"/>
        </w:rPr>
        <w:instrText xml:space="preserve"> HYPERLINK "file:///C:\\Users\\Administrator\\Desktop\\茂县扶贫开发局2019年部门决算编制说明.docx" \l "_Toc15396599" </w:instrText>
      </w:r>
      <w:r>
        <w:rPr>
          <w:rFonts w:hint="eastAsia" w:ascii="仿宋" w:hAnsi="仿宋" w:eastAsia="仿宋" w:cs="Times New Roman"/>
          <w:kern w:val="2"/>
          <w:sz w:val="28"/>
          <w:szCs w:val="28"/>
          <w:lang w:val="en-US" w:eastAsia="zh-CN" w:bidi="ar"/>
        </w:rPr>
        <w:fldChar w:fldCharType="separate"/>
      </w:r>
      <w:r>
        <w:rPr>
          <w:rStyle w:val="17"/>
          <w:color w:val="auto"/>
          <w:u w:val="none"/>
          <w:lang w:val="en-US"/>
        </w:rPr>
        <w:tab/>
      </w:r>
      <w:r>
        <w:rPr>
          <w:rStyle w:val="17"/>
          <w:color w:val="auto"/>
          <w:u w:val="none"/>
          <w:lang w:val="en-US"/>
        </w:rPr>
        <w:t>4</w:t>
      </w:r>
      <w:r>
        <w:rPr>
          <w:rFonts w:hint="eastAsia" w:ascii="仿宋" w:hAnsi="仿宋" w:eastAsia="仿宋" w:cs="Times New Roman"/>
          <w:kern w:val="2"/>
          <w:sz w:val="28"/>
          <w:szCs w:val="28"/>
          <w:lang w:val="en-US" w:eastAsia="zh-CN" w:bidi="ar"/>
        </w:rPr>
        <w:fldChar w:fldCharType="end"/>
      </w:r>
    </w:p>
    <w:p>
      <w:pPr>
        <w:pStyle w:val="11"/>
        <w:adjustRightInd w:val="0"/>
        <w:snapToGrid w:val="0"/>
        <w:spacing w:line="440" w:lineRule="exact"/>
        <w:ind w:left="0" w:leftChars="0" w:firstLine="640" w:firstLineChars="200"/>
        <w:jc w:val="left"/>
        <w:rPr>
          <w:rFonts w:hint="eastAsia" w:ascii="仿宋_GB2312" w:hAnsi="仿宋_GB2312" w:eastAsia="宋体" w:cs="仿宋_GB2312"/>
          <w:sz w:val="32"/>
          <w:szCs w:val="32"/>
          <w:lang w:val="en-US" w:eastAsia="zh-CN"/>
        </w:rPr>
      </w:pPr>
      <w:r>
        <w:rPr>
          <w:rFonts w:hint="eastAsia" w:ascii="仿宋_GB2312" w:hAnsi="仿宋_GB2312" w:eastAsia="仿宋_GB2312" w:cs="仿宋_GB2312"/>
          <w:sz w:val="32"/>
          <w:szCs w:val="32"/>
        </w:rPr>
        <w:t>一、基本职能及主要工作</w:t>
      </w:r>
      <w:r>
        <w:rPr>
          <w:rStyle w:val="17"/>
          <w:color w:val="auto"/>
          <w:u w:val="none"/>
          <w:lang w:val="en-US"/>
        </w:rPr>
        <w:tab/>
      </w:r>
      <w:r>
        <w:rPr>
          <w:rStyle w:val="17"/>
          <w:rFonts w:hint="eastAsia"/>
          <w:color w:val="auto"/>
          <w:u w:val="none"/>
          <w:lang w:val="en-US" w:eastAsia="zh-CN"/>
        </w:rPr>
        <w:t>4</w:t>
      </w:r>
    </w:p>
    <w:p>
      <w:pPr>
        <w:pStyle w:val="11"/>
        <w:adjustRightInd w:val="0"/>
        <w:snapToGrid w:val="0"/>
        <w:spacing w:line="440" w:lineRule="exact"/>
        <w:ind w:left="0" w:leftChars="0" w:firstLine="640" w:firstLineChars="200"/>
        <w:jc w:val="left"/>
        <w:rPr>
          <w:rFonts w:hint="eastAsia" w:ascii="仿宋_GB2312" w:hAnsi="仿宋_GB2312" w:eastAsia="宋体" w:cs="仿宋_GB2312"/>
          <w:sz w:val="32"/>
          <w:szCs w:val="32"/>
          <w:lang w:val="en-US" w:eastAsia="zh-CN"/>
        </w:rPr>
      </w:pPr>
      <w:r>
        <w:rPr>
          <w:rFonts w:hint="eastAsia" w:ascii="仿宋_GB2312" w:hAnsi="仿宋_GB2312" w:eastAsia="仿宋_GB2312" w:cs="仿宋_GB2312"/>
          <w:sz w:val="32"/>
          <w:szCs w:val="32"/>
        </w:rPr>
        <w:t>二、机构设置</w:t>
      </w:r>
      <w:r>
        <w:rPr>
          <w:rStyle w:val="17"/>
          <w:color w:val="auto"/>
          <w:u w:val="none"/>
          <w:lang w:val="en-US"/>
        </w:rPr>
        <w:tab/>
      </w:r>
      <w:r>
        <w:rPr>
          <w:rStyle w:val="17"/>
          <w:rFonts w:hint="eastAsia"/>
          <w:color w:val="auto"/>
          <w:u w:val="none"/>
          <w:lang w:val="en-US" w:eastAsia="zh-CN"/>
        </w:rPr>
        <w:t>4</w:t>
      </w:r>
    </w:p>
    <w:p>
      <w:pPr>
        <w:pStyle w:val="11"/>
        <w:adjustRightInd w:val="0"/>
        <w:snapToGrid w:val="0"/>
        <w:spacing w:line="440" w:lineRule="exact"/>
        <w:ind w:left="0" w:leftChars="0" w:firstLine="0" w:firstLineChars="0"/>
        <w:jc w:val="left"/>
        <w:rPr>
          <w:rFonts w:hint="eastAsia" w:ascii="仿宋_GB2312" w:hAnsi="仿宋_GB2312" w:eastAsia="宋体" w:cs="仿宋_GB2312"/>
          <w:sz w:val="32"/>
          <w:szCs w:val="32"/>
          <w:lang w:val="en-US" w:eastAsia="zh-CN"/>
        </w:rPr>
      </w:pPr>
      <w:r>
        <w:rPr>
          <w:rFonts w:hint="eastAsia" w:ascii="仿宋_GB2312" w:hAnsi="仿宋_GB2312" w:eastAsia="仿宋_GB2312" w:cs="仿宋_GB2312"/>
          <w:sz w:val="32"/>
          <w:szCs w:val="32"/>
        </w:rPr>
        <w:t>第二部分</w:t>
      </w:r>
      <w:r>
        <w:rPr>
          <w:rFonts w:hint="eastAsia" w:ascii="仿宋_GB2312" w:hAnsi="仿宋_GB2312" w:eastAsia="仿宋_GB2312" w:cs="仿宋_GB2312"/>
          <w:sz w:val="32"/>
          <w:szCs w:val="32"/>
          <w:lang w:val="en-US" w:eastAsia="zh-CN"/>
        </w:rPr>
        <w:t xml:space="preserve"> 2019年</w:t>
      </w:r>
      <w:r>
        <w:rPr>
          <w:rFonts w:hint="eastAsia" w:ascii="仿宋_GB2312" w:hAnsi="仿宋_GB2312" w:eastAsia="仿宋_GB2312" w:cs="仿宋_GB2312"/>
          <w:sz w:val="32"/>
          <w:szCs w:val="32"/>
        </w:rPr>
        <w:t>度部门决算情况说明</w:t>
      </w:r>
      <w:r>
        <w:rPr>
          <w:rStyle w:val="17"/>
          <w:color w:val="auto"/>
          <w:u w:val="none"/>
          <w:lang w:val="en-US"/>
        </w:rPr>
        <w:tab/>
      </w:r>
      <w:r>
        <w:rPr>
          <w:rStyle w:val="17"/>
          <w:rFonts w:hint="eastAsia"/>
          <w:color w:val="auto"/>
          <w:u w:val="none"/>
          <w:lang w:val="en-US" w:eastAsia="zh-CN"/>
        </w:rPr>
        <w:t>5</w:t>
      </w:r>
    </w:p>
    <w:p>
      <w:pPr>
        <w:pStyle w:val="11"/>
        <w:adjustRightInd w:val="0"/>
        <w:snapToGrid w:val="0"/>
        <w:spacing w:line="440" w:lineRule="exact"/>
        <w:jc w:val="left"/>
        <w:rPr>
          <w:rFonts w:hint="eastAsia" w:ascii="仿宋_GB2312" w:hAnsi="仿宋_GB2312" w:eastAsia="宋体" w:cs="仿宋_GB2312"/>
          <w:sz w:val="32"/>
          <w:szCs w:val="32"/>
          <w:lang w:val="en-US" w:eastAsia="zh-CN"/>
        </w:rPr>
      </w:pPr>
      <w:r>
        <w:rPr>
          <w:rFonts w:hint="eastAsia" w:ascii="仿宋_GB2312" w:hAnsi="仿宋_GB2312" w:eastAsia="仿宋_GB2312" w:cs="仿宋_GB2312"/>
          <w:sz w:val="32"/>
          <w:szCs w:val="32"/>
        </w:rPr>
        <w:t>一、收入支出决算总体情况说明</w:t>
      </w:r>
      <w:r>
        <w:rPr>
          <w:rStyle w:val="17"/>
          <w:color w:val="auto"/>
          <w:u w:val="none"/>
          <w:lang w:val="en-US"/>
        </w:rPr>
        <w:tab/>
      </w:r>
      <w:r>
        <w:rPr>
          <w:rStyle w:val="17"/>
          <w:rFonts w:hint="eastAsia"/>
          <w:color w:val="auto"/>
          <w:u w:val="none"/>
          <w:lang w:val="en-US" w:eastAsia="zh-CN"/>
        </w:rPr>
        <w:t>5</w:t>
      </w:r>
    </w:p>
    <w:p>
      <w:pPr>
        <w:pStyle w:val="11"/>
        <w:adjustRightInd w:val="0"/>
        <w:snapToGrid w:val="0"/>
        <w:spacing w:line="440" w:lineRule="exact"/>
        <w:jc w:val="left"/>
        <w:rPr>
          <w:rFonts w:hint="eastAsia" w:ascii="仿宋_GB2312" w:hAnsi="仿宋_GB2312" w:eastAsia="宋体" w:cs="仿宋_GB2312"/>
          <w:sz w:val="32"/>
          <w:szCs w:val="32"/>
          <w:lang w:val="en-US" w:eastAsia="zh-CN"/>
        </w:rPr>
      </w:pPr>
      <w:r>
        <w:rPr>
          <w:rFonts w:hint="eastAsia" w:ascii="仿宋_GB2312" w:hAnsi="仿宋_GB2312" w:eastAsia="仿宋_GB2312" w:cs="仿宋_GB2312"/>
          <w:sz w:val="32"/>
          <w:szCs w:val="32"/>
        </w:rPr>
        <w:t>二、收入决算情况说明</w:t>
      </w:r>
      <w:r>
        <w:rPr>
          <w:rStyle w:val="17"/>
          <w:color w:val="auto"/>
          <w:u w:val="none"/>
          <w:lang w:val="en-US"/>
        </w:rPr>
        <w:tab/>
      </w:r>
      <w:r>
        <w:rPr>
          <w:rStyle w:val="17"/>
          <w:rFonts w:hint="eastAsia"/>
          <w:color w:val="auto"/>
          <w:u w:val="none"/>
          <w:lang w:val="en-US" w:eastAsia="zh-CN"/>
        </w:rPr>
        <w:t>5</w:t>
      </w:r>
    </w:p>
    <w:p>
      <w:pPr>
        <w:pStyle w:val="11"/>
        <w:adjustRightInd w:val="0"/>
        <w:snapToGrid w:val="0"/>
        <w:spacing w:line="440" w:lineRule="exact"/>
        <w:jc w:val="left"/>
        <w:rPr>
          <w:rFonts w:hint="eastAsia" w:ascii="仿宋_GB2312" w:hAnsi="仿宋_GB2312" w:eastAsia="宋体" w:cs="仿宋_GB2312"/>
          <w:sz w:val="32"/>
          <w:szCs w:val="32"/>
          <w:lang w:val="en-US" w:eastAsia="zh-CN"/>
        </w:rPr>
      </w:pPr>
      <w:r>
        <w:rPr>
          <w:rFonts w:hint="eastAsia" w:ascii="仿宋_GB2312" w:hAnsi="仿宋_GB2312" w:eastAsia="仿宋_GB2312" w:cs="仿宋_GB2312"/>
          <w:sz w:val="32"/>
          <w:szCs w:val="32"/>
        </w:rPr>
        <w:t>三、支出决算情况说明</w:t>
      </w:r>
      <w:r>
        <w:rPr>
          <w:rStyle w:val="17"/>
          <w:color w:val="auto"/>
          <w:u w:val="none"/>
          <w:lang w:val="en-US"/>
        </w:rPr>
        <w:tab/>
      </w:r>
      <w:r>
        <w:rPr>
          <w:rStyle w:val="17"/>
          <w:rFonts w:hint="eastAsia"/>
          <w:color w:val="auto"/>
          <w:u w:val="none"/>
          <w:lang w:val="en-US" w:eastAsia="zh-CN"/>
        </w:rPr>
        <w:t>5</w:t>
      </w:r>
    </w:p>
    <w:p>
      <w:pPr>
        <w:pStyle w:val="11"/>
        <w:adjustRightInd w:val="0"/>
        <w:snapToGrid w:val="0"/>
        <w:spacing w:line="440" w:lineRule="exact"/>
        <w:jc w:val="left"/>
        <w:rPr>
          <w:rFonts w:hint="eastAsia" w:ascii="仿宋_GB2312" w:hAnsi="仿宋_GB2312" w:eastAsia="宋体" w:cs="仿宋_GB2312"/>
          <w:sz w:val="32"/>
          <w:szCs w:val="32"/>
          <w:lang w:val="en-US" w:eastAsia="zh-CN"/>
        </w:rPr>
      </w:pPr>
      <w:r>
        <w:rPr>
          <w:rFonts w:hint="eastAsia" w:ascii="仿宋_GB2312" w:hAnsi="仿宋_GB2312" w:eastAsia="仿宋_GB2312" w:cs="仿宋_GB2312"/>
          <w:sz w:val="32"/>
          <w:szCs w:val="32"/>
        </w:rPr>
        <w:t>四、财政拨款收入支出决算总体情况说明</w:t>
      </w:r>
      <w:r>
        <w:rPr>
          <w:rStyle w:val="17"/>
          <w:color w:val="auto"/>
          <w:u w:val="none"/>
          <w:lang w:val="en-US"/>
        </w:rPr>
        <w:tab/>
      </w:r>
      <w:r>
        <w:rPr>
          <w:rStyle w:val="17"/>
          <w:rFonts w:hint="eastAsia"/>
          <w:color w:val="auto"/>
          <w:u w:val="none"/>
          <w:lang w:val="en-US" w:eastAsia="zh-CN"/>
        </w:rPr>
        <w:t>6</w:t>
      </w:r>
    </w:p>
    <w:p>
      <w:pPr>
        <w:pStyle w:val="11"/>
        <w:adjustRightInd w:val="0"/>
        <w:snapToGrid w:val="0"/>
        <w:spacing w:line="440" w:lineRule="exact"/>
        <w:jc w:val="left"/>
        <w:rPr>
          <w:rFonts w:hint="eastAsia" w:ascii="仿宋_GB2312" w:hAnsi="仿宋_GB2312" w:eastAsia="宋体" w:cs="仿宋_GB2312"/>
          <w:sz w:val="32"/>
          <w:szCs w:val="32"/>
          <w:lang w:val="en-US" w:eastAsia="zh-CN"/>
        </w:rPr>
      </w:pPr>
      <w:r>
        <w:rPr>
          <w:rFonts w:hint="eastAsia" w:ascii="仿宋_GB2312" w:hAnsi="仿宋_GB2312" w:eastAsia="仿宋_GB2312" w:cs="仿宋_GB2312"/>
          <w:sz w:val="32"/>
          <w:szCs w:val="32"/>
        </w:rPr>
        <w:t>五、一般公共预算财政拨款支出决算情况说明</w:t>
      </w:r>
      <w:r>
        <w:rPr>
          <w:rStyle w:val="17"/>
          <w:color w:val="auto"/>
          <w:u w:val="none"/>
          <w:lang w:val="en-US"/>
        </w:rPr>
        <w:tab/>
      </w:r>
      <w:r>
        <w:rPr>
          <w:rStyle w:val="17"/>
          <w:rFonts w:hint="eastAsia"/>
          <w:color w:val="auto"/>
          <w:u w:val="none"/>
          <w:lang w:val="en-US" w:eastAsia="zh-CN"/>
        </w:rPr>
        <w:t>6</w:t>
      </w:r>
    </w:p>
    <w:p>
      <w:pPr>
        <w:pStyle w:val="11"/>
        <w:adjustRightInd w:val="0"/>
        <w:snapToGrid w:val="0"/>
        <w:spacing w:line="440" w:lineRule="exact"/>
        <w:jc w:val="left"/>
        <w:rPr>
          <w:rFonts w:hint="eastAsia" w:ascii="仿宋_GB2312" w:hAnsi="仿宋_GB2312" w:eastAsia="宋体" w:cs="仿宋_GB2312"/>
          <w:sz w:val="32"/>
          <w:szCs w:val="32"/>
          <w:lang w:val="en-US" w:eastAsia="zh-CN"/>
        </w:rPr>
      </w:pPr>
      <w:r>
        <w:rPr>
          <w:rFonts w:hint="eastAsia" w:ascii="仿宋_GB2312" w:hAnsi="仿宋_GB2312" w:eastAsia="仿宋_GB2312" w:cs="仿宋_GB2312"/>
          <w:sz w:val="32"/>
          <w:szCs w:val="32"/>
        </w:rPr>
        <w:t>六、一般公共预算财政拨款基本支出决算情况说明</w:t>
      </w:r>
      <w:r>
        <w:rPr>
          <w:rStyle w:val="17"/>
          <w:color w:val="auto"/>
          <w:u w:val="none"/>
          <w:lang w:val="en-US"/>
        </w:rPr>
        <w:tab/>
      </w:r>
      <w:r>
        <w:rPr>
          <w:rStyle w:val="17"/>
          <w:rFonts w:hint="eastAsia"/>
          <w:color w:val="auto"/>
          <w:u w:val="none"/>
          <w:lang w:val="en-US" w:eastAsia="zh-CN"/>
        </w:rPr>
        <w:t>7</w:t>
      </w:r>
    </w:p>
    <w:p>
      <w:pPr>
        <w:pStyle w:val="11"/>
        <w:adjustRightInd w:val="0"/>
        <w:snapToGrid w:val="0"/>
        <w:spacing w:line="440" w:lineRule="exact"/>
        <w:jc w:val="left"/>
        <w:rPr>
          <w:rFonts w:hint="eastAsia" w:ascii="仿宋_GB2312" w:hAnsi="仿宋_GB2312" w:eastAsia="宋体" w:cs="仿宋_GB2312"/>
          <w:sz w:val="32"/>
          <w:szCs w:val="32"/>
          <w:lang w:val="en-US" w:eastAsia="zh-CN"/>
        </w:rPr>
      </w:pPr>
      <w:r>
        <w:rPr>
          <w:rFonts w:hint="eastAsia" w:ascii="仿宋_GB2312" w:hAnsi="仿宋_GB2312" w:eastAsia="仿宋_GB2312" w:cs="仿宋_GB2312"/>
          <w:sz w:val="32"/>
          <w:szCs w:val="32"/>
        </w:rPr>
        <w:t>七、“三公”经费财政拨款支出决算情况说明</w:t>
      </w:r>
      <w:r>
        <w:rPr>
          <w:rStyle w:val="17"/>
          <w:color w:val="auto"/>
          <w:u w:val="none"/>
          <w:lang w:val="en-US"/>
        </w:rPr>
        <w:tab/>
      </w:r>
      <w:r>
        <w:rPr>
          <w:rStyle w:val="17"/>
          <w:rFonts w:hint="eastAsia"/>
          <w:color w:val="auto"/>
          <w:u w:val="none"/>
          <w:lang w:val="en-US" w:eastAsia="zh-CN"/>
        </w:rPr>
        <w:t>8</w:t>
      </w:r>
    </w:p>
    <w:p>
      <w:pPr>
        <w:pStyle w:val="11"/>
        <w:adjustRightInd w:val="0"/>
        <w:snapToGrid w:val="0"/>
        <w:spacing w:line="440" w:lineRule="exact"/>
        <w:jc w:val="left"/>
        <w:rPr>
          <w:rFonts w:hint="eastAsia" w:ascii="仿宋_GB2312" w:hAnsi="仿宋_GB2312" w:eastAsia="宋体" w:cs="仿宋_GB2312"/>
          <w:sz w:val="32"/>
          <w:szCs w:val="32"/>
          <w:lang w:val="en-US" w:eastAsia="zh-CN"/>
        </w:rPr>
      </w:pPr>
      <w:r>
        <w:rPr>
          <w:rFonts w:hint="eastAsia" w:ascii="仿宋_GB2312" w:hAnsi="仿宋_GB2312" w:eastAsia="仿宋_GB2312" w:cs="仿宋_GB2312"/>
          <w:sz w:val="32"/>
          <w:szCs w:val="32"/>
        </w:rPr>
        <w:t>八、政府性基金预算支出决算情况说明</w:t>
      </w:r>
      <w:r>
        <w:rPr>
          <w:rStyle w:val="17"/>
          <w:color w:val="auto"/>
          <w:u w:val="none"/>
          <w:lang w:val="en-US"/>
        </w:rPr>
        <w:tab/>
      </w:r>
      <w:r>
        <w:rPr>
          <w:rStyle w:val="17"/>
          <w:rFonts w:hint="eastAsia"/>
          <w:color w:val="auto"/>
          <w:u w:val="none"/>
          <w:lang w:val="en-US" w:eastAsia="zh-CN"/>
        </w:rPr>
        <w:t>8</w:t>
      </w:r>
    </w:p>
    <w:p>
      <w:pPr>
        <w:pStyle w:val="11"/>
        <w:adjustRightInd w:val="0"/>
        <w:snapToGrid w:val="0"/>
        <w:spacing w:line="440" w:lineRule="exact"/>
        <w:ind w:leftChars="0"/>
        <w:jc w:val="left"/>
        <w:rPr>
          <w:rFonts w:hint="eastAsia" w:ascii="仿宋_GB2312" w:hAnsi="仿宋_GB2312" w:eastAsia="宋体" w:cs="仿宋_GB2312"/>
          <w:sz w:val="32"/>
          <w:szCs w:val="32"/>
          <w:lang w:val="en-US" w:eastAsia="zh-CN"/>
        </w:rPr>
      </w:pPr>
      <w:r>
        <w:rPr>
          <w:rFonts w:hint="eastAsia" w:ascii="仿宋_GB2312" w:hAnsi="仿宋_GB2312" w:eastAsia="仿宋_GB2312" w:cs="仿宋_GB2312"/>
          <w:sz w:val="32"/>
          <w:szCs w:val="32"/>
        </w:rPr>
        <w:t>九、国有资本经营预算支出决算情况说明</w:t>
      </w:r>
      <w:r>
        <w:rPr>
          <w:rStyle w:val="17"/>
          <w:color w:val="auto"/>
          <w:u w:val="none"/>
          <w:lang w:val="en-US"/>
        </w:rPr>
        <w:tab/>
      </w:r>
      <w:r>
        <w:rPr>
          <w:rStyle w:val="17"/>
          <w:rFonts w:hint="eastAsia"/>
          <w:color w:val="auto"/>
          <w:u w:val="none"/>
          <w:lang w:val="en-US" w:eastAsia="zh-CN"/>
        </w:rPr>
        <w:t>8</w:t>
      </w:r>
    </w:p>
    <w:p>
      <w:pPr>
        <w:adjustRightInd w:val="0"/>
        <w:snapToGrid w:val="0"/>
        <w:spacing w:line="440" w:lineRule="exact"/>
        <w:ind w:firstLine="320" w:firstLineChars="100"/>
        <w:jc w:val="left"/>
        <w:rPr>
          <w:rFonts w:hint="eastAsia" w:ascii="仿宋_GB2312" w:hAnsi="仿宋_GB2312" w:eastAsia="仿宋_GB2312" w:cs="仿宋_GB2312"/>
          <w:sz w:val="32"/>
          <w:szCs w:val="32"/>
        </w:rPr>
      </w:pPr>
      <w:r>
        <w:rPr>
          <w:rStyle w:val="17"/>
          <w:rFonts w:hint="eastAsia" w:ascii="仿宋_GB2312" w:hAnsi="仿宋_GB2312" w:eastAsia="仿宋_GB2312" w:cs="仿宋_GB2312"/>
          <w:color w:val="000000" w:themeColor="text1"/>
          <w:sz w:val="32"/>
          <w:szCs w:val="32"/>
          <w:u w:val="none"/>
        </w:rPr>
        <w:t>十、</w:t>
      </w:r>
      <w:r>
        <w:rPr>
          <w:rFonts w:hint="eastAsia" w:ascii="仿宋_GB2312" w:hAnsi="仿宋_GB2312" w:eastAsia="仿宋_GB2312" w:cs="仿宋_GB2312"/>
          <w:sz w:val="32"/>
          <w:szCs w:val="32"/>
        </w:rPr>
        <w:t>其他重要事项的情况说明</w:t>
      </w:r>
      <w:r>
        <w:rPr>
          <w:rStyle w:val="17"/>
          <w:color w:val="auto"/>
          <w:u w:val="none"/>
          <w:lang w:val="en-US"/>
        </w:rPr>
        <w:tab/>
      </w:r>
    </w:p>
    <w:p>
      <w:pPr>
        <w:pStyle w:val="10"/>
        <w:adjustRightInd w:val="0"/>
        <w:snapToGrid w:val="0"/>
        <w:spacing w:before="0" w:line="440" w:lineRule="exact"/>
        <w:jc w:val="left"/>
        <w:rPr>
          <w:rFonts w:hint="default" w:ascii="仿宋_GB2312" w:hAnsi="仿宋_GB2312" w:eastAsia="仿宋" w:cs="仿宋_GB2312"/>
          <w:sz w:val="32"/>
          <w:szCs w:val="32"/>
          <w:lang w:val="en-US" w:eastAsia="zh-CN"/>
        </w:rPr>
      </w:pPr>
      <w:r>
        <w:rPr>
          <w:rFonts w:hint="eastAsia" w:ascii="仿宋_GB2312" w:hAnsi="仿宋_GB2312" w:eastAsia="仿宋_GB2312" w:cs="仿宋_GB2312"/>
          <w:sz w:val="32"/>
          <w:szCs w:val="32"/>
        </w:rPr>
        <w:t>第三部分 名词解释</w:t>
      </w:r>
      <w:r>
        <w:rPr>
          <w:rStyle w:val="17"/>
          <w:color w:val="auto"/>
          <w:sz w:val="21"/>
          <w:szCs w:val="21"/>
          <w:u w:val="none"/>
          <w:lang w:val="en-US"/>
        </w:rPr>
        <w:tab/>
      </w:r>
      <w:r>
        <w:rPr>
          <w:rStyle w:val="17"/>
          <w:rFonts w:hint="eastAsia"/>
          <w:color w:val="auto"/>
          <w:sz w:val="21"/>
          <w:szCs w:val="21"/>
          <w:u w:val="none"/>
          <w:lang w:val="en-US" w:eastAsia="zh-CN"/>
        </w:rPr>
        <w:t>11</w:t>
      </w:r>
    </w:p>
    <w:p>
      <w:pPr>
        <w:pStyle w:val="10"/>
        <w:adjustRightInd w:val="0"/>
        <w:snapToGrid w:val="0"/>
        <w:spacing w:before="0" w:line="440" w:lineRule="exact"/>
        <w:jc w:val="left"/>
        <w:rPr>
          <w:rFonts w:hint="default" w:ascii="仿宋_GB2312" w:hAnsi="仿宋_GB2312" w:eastAsia="仿宋" w:cs="仿宋_GB2312"/>
          <w:kern w:val="2"/>
          <w:sz w:val="21"/>
          <w:szCs w:val="21"/>
          <w:lang w:val="en-US" w:eastAsia="zh-CN" w:bidi="ar-SA"/>
        </w:rPr>
      </w:pPr>
      <w:r>
        <w:rPr>
          <w:rFonts w:hint="eastAsia" w:ascii="仿宋_GB2312" w:hAnsi="仿宋_GB2312" w:eastAsia="仿宋_GB2312" w:cs="仿宋_GB2312"/>
          <w:sz w:val="32"/>
          <w:szCs w:val="32"/>
        </w:rPr>
        <w:t>第四</w:t>
      </w:r>
      <w:r>
        <w:rPr>
          <w:rFonts w:hint="eastAsia" w:ascii="仿宋_GB2312" w:hAnsi="仿宋_GB2312" w:eastAsia="仿宋_GB2312" w:cs="仿宋_GB2312"/>
          <w:kern w:val="2"/>
          <w:sz w:val="32"/>
          <w:szCs w:val="32"/>
          <w:lang w:val="en-US" w:eastAsia="zh-CN" w:bidi="ar-SA"/>
        </w:rPr>
        <w:t>部分 附件</w:t>
      </w:r>
      <w:r>
        <w:rPr>
          <w:rStyle w:val="17"/>
          <w:color w:val="auto"/>
          <w:sz w:val="21"/>
          <w:szCs w:val="21"/>
          <w:u w:val="none"/>
          <w:lang w:val="en-US"/>
        </w:rPr>
        <w:tab/>
      </w:r>
      <w:r>
        <w:rPr>
          <w:rStyle w:val="17"/>
          <w:rFonts w:hint="eastAsia"/>
          <w:color w:val="auto"/>
          <w:sz w:val="21"/>
          <w:szCs w:val="21"/>
          <w:u w:val="none"/>
          <w:lang w:val="en-US" w:eastAsia="zh-CN"/>
        </w:rPr>
        <w:t>12</w:t>
      </w:r>
    </w:p>
    <w:p>
      <w:pPr>
        <w:pStyle w:val="10"/>
        <w:adjustRightInd w:val="0"/>
        <w:snapToGrid w:val="0"/>
        <w:spacing w:before="0" w:line="440" w:lineRule="exact"/>
        <w:ind w:firstLine="320" w:firstLineChars="100"/>
        <w:jc w:val="left"/>
        <w:rPr>
          <w:rFonts w:hint="default" w:ascii="仿宋_GB2312" w:hAnsi="仿宋_GB2312" w:eastAsia="仿宋"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茂县文学艺术界联合会2019年部门</w:t>
      </w:r>
      <w:r>
        <w:rPr>
          <w:rFonts w:hint="eastAsia" w:ascii="仿宋_GB2312" w:hAnsi="仿宋_GB2312" w:eastAsia="仿宋_GB2312" w:cs="仿宋_GB2312"/>
          <w:kern w:val="2"/>
          <w:sz w:val="32"/>
          <w:szCs w:val="32"/>
          <w:lang w:val="zh-CN" w:eastAsia="zh-CN" w:bidi="ar-SA"/>
        </w:rPr>
        <w:t>整体支出绩效评价报告</w:t>
      </w:r>
      <w:r>
        <w:rPr>
          <w:rStyle w:val="17"/>
          <w:color w:val="auto"/>
          <w:sz w:val="21"/>
          <w:szCs w:val="21"/>
          <w:u w:val="none"/>
          <w:lang w:val="en-US"/>
        </w:rPr>
        <w:tab/>
      </w:r>
      <w:r>
        <w:rPr>
          <w:rStyle w:val="17"/>
          <w:rFonts w:hint="eastAsia"/>
          <w:color w:val="auto"/>
          <w:sz w:val="21"/>
          <w:szCs w:val="21"/>
          <w:u w:val="none"/>
          <w:lang w:val="en-US" w:eastAsia="zh-CN"/>
        </w:rPr>
        <w:t>12</w:t>
      </w:r>
    </w:p>
    <w:p>
      <w:pPr>
        <w:pStyle w:val="10"/>
        <w:adjustRightInd w:val="0"/>
        <w:snapToGrid w:val="0"/>
        <w:spacing w:before="0" w:line="440" w:lineRule="exact"/>
        <w:jc w:val="left"/>
        <w:rPr>
          <w:rFonts w:hint="default" w:ascii="仿宋_GB2312" w:hAnsi="仿宋_GB2312" w:eastAsia="仿宋" w:cs="仿宋_GB2312"/>
          <w:kern w:val="2"/>
          <w:sz w:val="21"/>
          <w:szCs w:val="21"/>
          <w:lang w:val="en-US" w:eastAsia="zh-CN" w:bidi="ar-SA"/>
        </w:rPr>
      </w:pPr>
      <w:r>
        <w:rPr>
          <w:rFonts w:hint="eastAsia" w:ascii="仿宋_GB2312" w:hAnsi="仿宋_GB2312" w:eastAsia="仿宋_GB2312" w:cs="仿宋_GB2312"/>
          <w:kern w:val="2"/>
          <w:sz w:val="32"/>
          <w:szCs w:val="32"/>
          <w:lang w:val="en-US" w:eastAsia="zh-CN" w:bidi="ar-SA"/>
        </w:rPr>
        <w:t>第五部分 附表</w:t>
      </w:r>
      <w:r>
        <w:rPr>
          <w:rStyle w:val="17"/>
          <w:color w:val="auto"/>
          <w:sz w:val="21"/>
          <w:szCs w:val="21"/>
          <w:u w:val="none"/>
          <w:lang w:val="en-US"/>
        </w:rPr>
        <w:tab/>
      </w:r>
      <w:r>
        <w:rPr>
          <w:rStyle w:val="17"/>
          <w:rFonts w:hint="eastAsia"/>
          <w:color w:val="auto"/>
          <w:sz w:val="21"/>
          <w:szCs w:val="21"/>
          <w:u w:val="none"/>
          <w:lang w:val="en-US" w:eastAsia="zh-CN"/>
        </w:rPr>
        <w:t>16</w:t>
      </w:r>
    </w:p>
    <w:p>
      <w:pPr>
        <w:pStyle w:val="11"/>
        <w:adjustRightInd w:val="0"/>
        <w:snapToGrid w:val="0"/>
        <w:spacing w:line="440" w:lineRule="exact"/>
        <w:jc w:val="left"/>
        <w:rPr>
          <w:rFonts w:hint="default" w:ascii="仿宋_GB2312" w:hAnsi="仿宋_GB2312" w:eastAsia="宋体" w:cs="仿宋_GB2312"/>
          <w:sz w:val="32"/>
          <w:szCs w:val="32"/>
          <w:lang w:val="en-US" w:eastAsia="zh-CN"/>
        </w:rPr>
      </w:pPr>
      <w:r>
        <w:rPr>
          <w:rFonts w:hint="eastAsia" w:ascii="仿宋_GB2312" w:hAnsi="仿宋_GB2312" w:eastAsia="仿宋_GB2312" w:cs="仿宋_GB2312"/>
          <w:sz w:val="32"/>
          <w:szCs w:val="32"/>
        </w:rPr>
        <w:t>一、收入支出决算总表</w:t>
      </w:r>
      <w:r>
        <w:rPr>
          <w:rStyle w:val="17"/>
          <w:color w:val="auto"/>
          <w:u w:val="none"/>
          <w:lang w:val="en-US"/>
        </w:rPr>
        <w:tab/>
      </w:r>
      <w:r>
        <w:rPr>
          <w:rStyle w:val="17"/>
          <w:rFonts w:hint="eastAsia"/>
          <w:color w:val="auto"/>
          <w:u w:val="none"/>
          <w:lang w:val="en-US" w:eastAsia="zh-CN"/>
        </w:rPr>
        <w:t>16</w:t>
      </w:r>
    </w:p>
    <w:p>
      <w:pPr>
        <w:pStyle w:val="11"/>
        <w:adjustRightInd w:val="0"/>
        <w:snapToGrid w:val="0"/>
        <w:spacing w:line="440" w:lineRule="exact"/>
        <w:jc w:val="left"/>
        <w:rPr>
          <w:rFonts w:hint="default" w:ascii="仿宋_GB2312" w:hAnsi="仿宋_GB2312" w:eastAsia="宋体" w:cs="仿宋_GB2312"/>
          <w:sz w:val="32"/>
          <w:szCs w:val="32"/>
          <w:lang w:val="en-US" w:eastAsia="zh-CN"/>
        </w:rPr>
      </w:pPr>
      <w:r>
        <w:rPr>
          <w:rFonts w:hint="eastAsia" w:ascii="仿宋_GB2312" w:hAnsi="仿宋_GB2312" w:eastAsia="仿宋_GB2312" w:cs="仿宋_GB2312"/>
          <w:sz w:val="32"/>
          <w:szCs w:val="32"/>
        </w:rPr>
        <w:t>二、收入决算表</w:t>
      </w:r>
      <w:r>
        <w:rPr>
          <w:rStyle w:val="17"/>
          <w:color w:val="auto"/>
          <w:u w:val="none"/>
          <w:lang w:val="en-US"/>
        </w:rPr>
        <w:tab/>
      </w:r>
      <w:r>
        <w:rPr>
          <w:rStyle w:val="17"/>
          <w:rFonts w:hint="eastAsia"/>
          <w:color w:val="auto"/>
          <w:u w:val="none"/>
          <w:lang w:val="en-US" w:eastAsia="zh-CN"/>
        </w:rPr>
        <w:t>16</w:t>
      </w:r>
    </w:p>
    <w:p>
      <w:pPr>
        <w:pStyle w:val="11"/>
        <w:adjustRightInd w:val="0"/>
        <w:snapToGrid w:val="0"/>
        <w:spacing w:line="440" w:lineRule="exact"/>
        <w:jc w:val="left"/>
        <w:rPr>
          <w:rFonts w:hint="default" w:ascii="仿宋_GB2312" w:hAnsi="仿宋_GB2312" w:eastAsia="宋体" w:cs="仿宋_GB2312"/>
          <w:sz w:val="32"/>
          <w:szCs w:val="32"/>
          <w:lang w:val="en-US" w:eastAsia="zh-CN"/>
        </w:rPr>
      </w:pPr>
      <w:r>
        <w:rPr>
          <w:rFonts w:hint="eastAsia" w:ascii="仿宋_GB2312" w:hAnsi="仿宋_GB2312" w:eastAsia="仿宋_GB2312" w:cs="仿宋_GB2312"/>
          <w:sz w:val="32"/>
          <w:szCs w:val="32"/>
        </w:rPr>
        <w:t>三、支出决算表</w:t>
      </w:r>
      <w:r>
        <w:rPr>
          <w:rStyle w:val="17"/>
          <w:color w:val="auto"/>
          <w:u w:val="none"/>
          <w:lang w:val="en-US"/>
        </w:rPr>
        <w:tab/>
      </w:r>
      <w:r>
        <w:rPr>
          <w:rStyle w:val="17"/>
          <w:rFonts w:hint="eastAsia"/>
          <w:color w:val="auto"/>
          <w:u w:val="none"/>
          <w:lang w:val="en-US" w:eastAsia="zh-CN"/>
        </w:rPr>
        <w:t>16</w:t>
      </w:r>
    </w:p>
    <w:p>
      <w:pPr>
        <w:pStyle w:val="11"/>
        <w:adjustRightInd w:val="0"/>
        <w:snapToGrid w:val="0"/>
        <w:spacing w:line="440" w:lineRule="exact"/>
        <w:jc w:val="left"/>
        <w:rPr>
          <w:rFonts w:hint="default" w:ascii="仿宋_GB2312" w:hAnsi="仿宋_GB2312" w:eastAsia="宋体" w:cs="仿宋_GB2312"/>
          <w:sz w:val="32"/>
          <w:szCs w:val="32"/>
          <w:lang w:val="en-US" w:eastAsia="zh-CN"/>
        </w:rPr>
      </w:pPr>
      <w:r>
        <w:rPr>
          <w:rFonts w:hint="eastAsia" w:ascii="仿宋_GB2312" w:hAnsi="仿宋_GB2312" w:eastAsia="仿宋_GB2312" w:cs="仿宋_GB2312"/>
          <w:sz w:val="32"/>
          <w:szCs w:val="32"/>
        </w:rPr>
        <w:t>四、财政拨款收入支出决算总表</w:t>
      </w:r>
      <w:r>
        <w:rPr>
          <w:rStyle w:val="17"/>
          <w:color w:val="auto"/>
          <w:u w:val="none"/>
          <w:lang w:val="en-US"/>
        </w:rPr>
        <w:tab/>
      </w:r>
      <w:r>
        <w:rPr>
          <w:rStyle w:val="17"/>
          <w:rFonts w:hint="eastAsia"/>
          <w:color w:val="auto"/>
          <w:u w:val="none"/>
          <w:lang w:val="en-US" w:eastAsia="zh-CN"/>
        </w:rPr>
        <w:t>16</w:t>
      </w:r>
    </w:p>
    <w:p>
      <w:pPr>
        <w:pStyle w:val="11"/>
        <w:adjustRightInd w:val="0"/>
        <w:snapToGrid w:val="0"/>
        <w:spacing w:line="440" w:lineRule="exact"/>
        <w:jc w:val="left"/>
        <w:rPr>
          <w:rFonts w:hint="default" w:ascii="仿宋_GB2312" w:hAnsi="仿宋_GB2312" w:eastAsia="宋体" w:cs="仿宋_GB2312"/>
          <w:sz w:val="32"/>
          <w:szCs w:val="32"/>
          <w:lang w:val="en-US" w:eastAsia="zh-CN"/>
        </w:rPr>
      </w:pPr>
      <w:r>
        <w:rPr>
          <w:rFonts w:hint="eastAsia" w:ascii="仿宋_GB2312" w:hAnsi="仿宋_GB2312" w:eastAsia="仿宋_GB2312" w:cs="仿宋_GB2312"/>
          <w:sz w:val="32"/>
          <w:szCs w:val="32"/>
        </w:rPr>
        <w:t>五、财政拨款支出决算明细表</w:t>
      </w:r>
      <w:r>
        <w:rPr>
          <w:rStyle w:val="17"/>
          <w:color w:val="auto"/>
          <w:u w:val="none"/>
          <w:lang w:val="en-US"/>
        </w:rPr>
        <w:tab/>
      </w:r>
      <w:r>
        <w:rPr>
          <w:rStyle w:val="17"/>
          <w:rFonts w:hint="eastAsia"/>
          <w:color w:val="auto"/>
          <w:u w:val="none"/>
          <w:lang w:val="en-US" w:eastAsia="zh-CN"/>
        </w:rPr>
        <w:t>16</w:t>
      </w:r>
    </w:p>
    <w:p>
      <w:pPr>
        <w:pStyle w:val="11"/>
        <w:adjustRightInd w:val="0"/>
        <w:snapToGrid w:val="0"/>
        <w:spacing w:line="440" w:lineRule="exact"/>
        <w:jc w:val="left"/>
        <w:rPr>
          <w:rFonts w:hint="default" w:ascii="仿宋_GB2312" w:hAnsi="仿宋_GB2312" w:eastAsia="宋体" w:cs="仿宋_GB2312"/>
          <w:sz w:val="32"/>
          <w:szCs w:val="32"/>
          <w:lang w:val="en-US" w:eastAsia="zh-CN"/>
        </w:rPr>
      </w:pPr>
      <w:r>
        <w:rPr>
          <w:rFonts w:hint="eastAsia" w:ascii="仿宋_GB2312" w:hAnsi="仿宋_GB2312" w:eastAsia="仿宋_GB2312" w:cs="仿宋_GB2312"/>
          <w:sz w:val="32"/>
          <w:szCs w:val="32"/>
        </w:rPr>
        <w:t>六、一般公共预算财政拨款支出决算表</w:t>
      </w:r>
      <w:r>
        <w:rPr>
          <w:rStyle w:val="17"/>
          <w:color w:val="auto"/>
          <w:u w:val="none"/>
          <w:lang w:val="en-US"/>
        </w:rPr>
        <w:tab/>
      </w:r>
      <w:r>
        <w:rPr>
          <w:rStyle w:val="17"/>
          <w:rFonts w:hint="eastAsia"/>
          <w:color w:val="auto"/>
          <w:u w:val="none"/>
          <w:lang w:val="en-US" w:eastAsia="zh-CN"/>
        </w:rPr>
        <w:t>16</w:t>
      </w:r>
    </w:p>
    <w:p>
      <w:pPr>
        <w:pStyle w:val="11"/>
        <w:adjustRightInd w:val="0"/>
        <w:snapToGrid w:val="0"/>
        <w:spacing w:line="440" w:lineRule="exact"/>
        <w:jc w:val="left"/>
        <w:rPr>
          <w:rFonts w:hint="default" w:ascii="仿宋_GB2312" w:hAnsi="仿宋_GB2312" w:eastAsia="宋体" w:cs="仿宋_GB2312"/>
          <w:sz w:val="32"/>
          <w:szCs w:val="32"/>
          <w:lang w:val="en-US" w:eastAsia="zh-CN"/>
        </w:rPr>
      </w:pPr>
      <w:r>
        <w:rPr>
          <w:rFonts w:hint="eastAsia" w:ascii="仿宋_GB2312" w:hAnsi="仿宋_GB2312" w:eastAsia="仿宋_GB2312" w:cs="仿宋_GB2312"/>
          <w:sz w:val="32"/>
          <w:szCs w:val="32"/>
        </w:rPr>
        <w:t>七、一般公共预算财政拨款支出决算明细表</w:t>
      </w:r>
      <w:r>
        <w:rPr>
          <w:rStyle w:val="17"/>
          <w:color w:val="auto"/>
          <w:u w:val="none"/>
          <w:lang w:val="en-US"/>
        </w:rPr>
        <w:tab/>
      </w:r>
      <w:r>
        <w:rPr>
          <w:rStyle w:val="17"/>
          <w:rFonts w:hint="eastAsia"/>
          <w:color w:val="auto"/>
          <w:u w:val="none"/>
          <w:lang w:val="en-US" w:eastAsia="zh-CN"/>
        </w:rPr>
        <w:t>16</w:t>
      </w:r>
    </w:p>
    <w:p>
      <w:pPr>
        <w:pStyle w:val="11"/>
        <w:adjustRightInd w:val="0"/>
        <w:snapToGrid w:val="0"/>
        <w:spacing w:line="440" w:lineRule="exact"/>
        <w:jc w:val="left"/>
        <w:rPr>
          <w:rFonts w:hint="default" w:ascii="仿宋_GB2312" w:hAnsi="仿宋_GB2312" w:eastAsia="宋体" w:cs="仿宋_GB2312"/>
          <w:sz w:val="32"/>
          <w:szCs w:val="32"/>
          <w:lang w:val="en-US" w:eastAsia="zh-CN"/>
        </w:rPr>
      </w:pPr>
      <w:r>
        <w:rPr>
          <w:rFonts w:hint="eastAsia" w:ascii="仿宋_GB2312" w:hAnsi="仿宋_GB2312" w:eastAsia="仿宋_GB2312" w:cs="仿宋_GB2312"/>
          <w:sz w:val="32"/>
          <w:szCs w:val="32"/>
        </w:rPr>
        <w:t>八、一般公共预算财政拨款基本支出决算表</w:t>
      </w:r>
      <w:r>
        <w:rPr>
          <w:rStyle w:val="17"/>
          <w:color w:val="auto"/>
          <w:u w:val="none"/>
          <w:lang w:val="en-US"/>
        </w:rPr>
        <w:tab/>
      </w:r>
      <w:r>
        <w:rPr>
          <w:rStyle w:val="17"/>
          <w:rFonts w:hint="eastAsia"/>
          <w:color w:val="auto"/>
          <w:u w:val="none"/>
          <w:lang w:val="en-US" w:eastAsia="zh-CN"/>
        </w:rPr>
        <w:t>16</w:t>
      </w:r>
    </w:p>
    <w:p>
      <w:pPr>
        <w:pStyle w:val="11"/>
        <w:adjustRightInd w:val="0"/>
        <w:snapToGrid w:val="0"/>
        <w:spacing w:line="440" w:lineRule="exact"/>
        <w:jc w:val="left"/>
        <w:rPr>
          <w:rFonts w:hint="default" w:ascii="仿宋_GB2312" w:hAnsi="仿宋_GB2312" w:eastAsia="宋体" w:cs="仿宋_GB2312"/>
          <w:sz w:val="32"/>
          <w:szCs w:val="32"/>
          <w:lang w:val="en-US" w:eastAsia="zh-CN"/>
        </w:rPr>
      </w:pPr>
      <w:r>
        <w:rPr>
          <w:rFonts w:hint="eastAsia" w:ascii="仿宋_GB2312" w:hAnsi="仿宋_GB2312" w:eastAsia="仿宋_GB2312" w:cs="仿宋_GB2312"/>
          <w:sz w:val="32"/>
          <w:szCs w:val="32"/>
        </w:rPr>
        <w:t>九、一般公共预算财政拨款项目支出决算表</w:t>
      </w:r>
      <w:r>
        <w:rPr>
          <w:rStyle w:val="17"/>
          <w:color w:val="auto"/>
          <w:u w:val="none"/>
          <w:lang w:val="en-US"/>
        </w:rPr>
        <w:tab/>
      </w:r>
      <w:r>
        <w:rPr>
          <w:rStyle w:val="17"/>
          <w:rFonts w:hint="eastAsia"/>
          <w:color w:val="auto"/>
          <w:u w:val="none"/>
          <w:lang w:val="en-US" w:eastAsia="zh-CN"/>
        </w:rPr>
        <w:t>16</w:t>
      </w:r>
    </w:p>
    <w:p>
      <w:pPr>
        <w:pStyle w:val="11"/>
        <w:adjustRightInd w:val="0"/>
        <w:snapToGrid w:val="0"/>
        <w:spacing w:line="440" w:lineRule="exact"/>
        <w:jc w:val="left"/>
        <w:rPr>
          <w:rFonts w:hint="default" w:ascii="仿宋_GB2312" w:hAnsi="仿宋_GB2312" w:eastAsia="宋体" w:cs="仿宋_GB2312"/>
          <w:sz w:val="32"/>
          <w:szCs w:val="32"/>
          <w:lang w:val="en-US" w:eastAsia="zh-CN"/>
        </w:rPr>
      </w:pPr>
      <w:r>
        <w:rPr>
          <w:rFonts w:hint="eastAsia" w:ascii="仿宋_GB2312" w:hAnsi="仿宋_GB2312" w:eastAsia="仿宋_GB2312" w:cs="仿宋_GB2312"/>
          <w:sz w:val="32"/>
          <w:szCs w:val="32"/>
        </w:rPr>
        <w:t>十、一般公共预算财政拨款“三公”经费支出决算表</w:t>
      </w:r>
      <w:r>
        <w:rPr>
          <w:rStyle w:val="17"/>
          <w:color w:val="auto"/>
          <w:u w:val="none"/>
          <w:lang w:val="en-US"/>
        </w:rPr>
        <w:tab/>
      </w:r>
      <w:r>
        <w:rPr>
          <w:rStyle w:val="17"/>
          <w:rFonts w:hint="eastAsia"/>
          <w:color w:val="auto"/>
          <w:u w:val="none"/>
          <w:lang w:val="en-US" w:eastAsia="zh-CN"/>
        </w:rPr>
        <w:t>16</w:t>
      </w:r>
    </w:p>
    <w:p>
      <w:pPr>
        <w:pStyle w:val="11"/>
        <w:adjustRightInd w:val="0"/>
        <w:snapToGrid w:val="0"/>
        <w:spacing w:line="440" w:lineRule="exact"/>
        <w:jc w:val="left"/>
        <w:rPr>
          <w:rFonts w:hint="default" w:ascii="仿宋_GB2312" w:hAnsi="仿宋_GB2312" w:eastAsia="宋体" w:cs="仿宋_GB2312"/>
          <w:sz w:val="32"/>
          <w:szCs w:val="32"/>
          <w:lang w:val="en-US" w:eastAsia="zh-CN"/>
        </w:rPr>
      </w:pPr>
      <w:r>
        <w:rPr>
          <w:rFonts w:hint="eastAsia" w:ascii="仿宋_GB2312" w:hAnsi="仿宋_GB2312" w:eastAsia="仿宋_GB2312" w:cs="仿宋_GB2312"/>
          <w:sz w:val="32"/>
          <w:szCs w:val="32"/>
        </w:rPr>
        <w:t>十一、政府性基金预算财政拨款收入支出决算表</w:t>
      </w:r>
      <w:r>
        <w:rPr>
          <w:rStyle w:val="17"/>
          <w:color w:val="auto"/>
          <w:u w:val="none"/>
          <w:lang w:val="en-US"/>
        </w:rPr>
        <w:tab/>
      </w:r>
      <w:r>
        <w:rPr>
          <w:rStyle w:val="17"/>
          <w:rFonts w:hint="eastAsia"/>
          <w:color w:val="auto"/>
          <w:u w:val="none"/>
          <w:lang w:val="en-US" w:eastAsia="zh-CN"/>
        </w:rPr>
        <w:t>16</w:t>
      </w:r>
    </w:p>
    <w:p>
      <w:pPr>
        <w:pStyle w:val="11"/>
        <w:adjustRightInd w:val="0"/>
        <w:snapToGrid w:val="0"/>
        <w:spacing w:line="440" w:lineRule="exact"/>
        <w:jc w:val="left"/>
        <w:rPr>
          <w:rFonts w:hint="default" w:ascii="仿宋_GB2312" w:hAnsi="仿宋_GB2312" w:eastAsia="宋体" w:cs="仿宋_GB2312"/>
          <w:sz w:val="32"/>
          <w:szCs w:val="32"/>
          <w:lang w:val="en-US" w:eastAsia="zh-CN"/>
        </w:rPr>
      </w:pPr>
      <w:r>
        <w:rPr>
          <w:rFonts w:hint="eastAsia" w:ascii="仿宋_GB2312" w:hAnsi="仿宋_GB2312" w:eastAsia="仿宋_GB2312" w:cs="仿宋_GB2312"/>
          <w:sz w:val="32"/>
          <w:szCs w:val="32"/>
        </w:rPr>
        <w:t>十二、政府性基金预算财政拨款“三公”经费支出决算</w:t>
      </w:r>
      <w:r>
        <w:rPr>
          <w:rStyle w:val="17"/>
          <w:color w:val="auto"/>
          <w:u w:val="none"/>
          <w:lang w:val="en-US"/>
        </w:rPr>
        <w:tab/>
      </w:r>
      <w:r>
        <w:rPr>
          <w:rStyle w:val="17"/>
          <w:rFonts w:hint="eastAsia"/>
          <w:color w:val="auto"/>
          <w:u w:val="none"/>
          <w:lang w:val="en-US" w:eastAsia="zh-CN"/>
        </w:rPr>
        <w:t>16</w:t>
      </w:r>
    </w:p>
    <w:p>
      <w:pPr>
        <w:pStyle w:val="11"/>
        <w:adjustRightInd w:val="0"/>
        <w:snapToGrid w:val="0"/>
        <w:spacing w:line="440" w:lineRule="exact"/>
        <w:jc w:val="left"/>
        <w:rPr>
          <w:rFonts w:hint="default" w:ascii="仿宋_GB2312" w:hAnsi="仿宋_GB2312" w:eastAsia="宋体" w:cs="仿宋_GB2312"/>
          <w:sz w:val="32"/>
          <w:szCs w:val="32"/>
          <w:lang w:val="en-US" w:eastAsia="zh-CN"/>
        </w:rPr>
      </w:pPr>
      <w:r>
        <w:rPr>
          <w:rFonts w:hint="eastAsia" w:ascii="仿宋_GB2312" w:hAnsi="仿宋_GB2312" w:eastAsia="仿宋_GB2312" w:cs="仿宋_GB2312"/>
          <w:sz w:val="32"/>
          <w:szCs w:val="32"/>
        </w:rPr>
        <w:t>十三、国有资本经营预算支出决算表</w:t>
      </w:r>
      <w:r>
        <w:rPr>
          <w:rStyle w:val="17"/>
          <w:color w:val="auto"/>
          <w:u w:val="none"/>
          <w:lang w:val="en-US"/>
        </w:rPr>
        <w:tab/>
      </w:r>
      <w:r>
        <w:rPr>
          <w:rStyle w:val="17"/>
          <w:rFonts w:hint="eastAsia"/>
          <w:color w:val="auto"/>
          <w:u w:val="none"/>
          <w:lang w:val="en-US" w:eastAsia="zh-CN"/>
        </w:rPr>
        <w:t>16</w:t>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2"/>
        <w:jc w:val="center"/>
        <w:rPr>
          <w:rFonts w:ascii="黑体" w:eastAsia="黑体"/>
          <w:color w:val="000000"/>
          <w:sz w:val="32"/>
          <w:szCs w:val="32"/>
        </w:rPr>
      </w:pPr>
      <w:r>
        <w:rPr>
          <w:rFonts w:hint="eastAsia" w:ascii="黑体" w:hAnsi="黑体" w:eastAsia="黑体"/>
          <w:b w:val="0"/>
        </w:rPr>
        <w:t xml:space="preserve">第一部分 </w:t>
      </w:r>
      <w:r>
        <w:rPr>
          <w:rStyle w:val="26"/>
          <w:rFonts w:hint="eastAsia" w:ascii="黑体" w:hAnsi="黑体" w:eastAsia="黑体"/>
          <w:b w:val="0"/>
          <w:bCs w:val="0"/>
        </w:rPr>
        <w:t>部门概况</w:t>
      </w:r>
      <w:bookmarkEnd w:id="12"/>
      <w:bookmarkEnd w:id="13"/>
    </w:p>
    <w:p>
      <w:pPr>
        <w:pStyle w:val="3"/>
        <w:ind w:firstLine="640" w:firstLineChars="200"/>
        <w:rPr>
          <w:rStyle w:val="27"/>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4"/>
      <w:bookmarkEnd w:id="15"/>
    </w:p>
    <w:p>
      <w:pPr>
        <w:pStyle w:val="5"/>
        <w:adjustRightInd w:val="0"/>
        <w:snapToGrid w:val="0"/>
        <w:spacing w:before="93" w:line="600" w:lineRule="exact"/>
        <w:ind w:firstLine="675" w:firstLineChars="210"/>
        <w:outlineLvl w:val="2"/>
        <w:rPr>
          <w:rFonts w:hint="eastAsia" w:ascii="楷体" w:hAnsi="楷体" w:eastAsia="楷体" w:cs="楷体"/>
          <w:b/>
          <w:bCs w:val="0"/>
          <w:color w:val="000000"/>
          <w:sz w:val="32"/>
          <w:szCs w:val="32"/>
        </w:rPr>
      </w:pPr>
      <w:bookmarkStart w:id="16" w:name="_Toc15378445"/>
      <w:bookmarkStart w:id="17" w:name="_Toc15377198"/>
      <w:r>
        <w:rPr>
          <w:rFonts w:hint="eastAsia" w:ascii="楷体" w:hAnsi="楷体" w:eastAsia="楷体" w:cs="楷体"/>
          <w:b/>
          <w:bCs w:val="0"/>
          <w:color w:val="000000"/>
          <w:sz w:val="32"/>
          <w:szCs w:val="32"/>
        </w:rPr>
        <w:t>（一）</w:t>
      </w:r>
      <w:bookmarkEnd w:id="16"/>
      <w:bookmarkEnd w:id="17"/>
      <w:bookmarkStart w:id="18" w:name="_Toc15378446"/>
      <w:bookmarkStart w:id="19" w:name="_Toc15377199"/>
      <w:r>
        <w:rPr>
          <w:rFonts w:hint="eastAsia" w:ascii="楷体" w:hAnsi="楷体" w:eastAsia="楷体" w:cs="楷体"/>
          <w:b/>
          <w:bCs w:val="0"/>
          <w:color w:val="000000"/>
          <w:sz w:val="32"/>
          <w:szCs w:val="32"/>
        </w:rPr>
        <w:t>主要职能</w:t>
      </w:r>
    </w:p>
    <w:p>
      <w:pPr>
        <w:pStyle w:val="5"/>
        <w:adjustRightInd w:val="0"/>
        <w:snapToGrid w:val="0"/>
        <w:spacing w:before="93" w:line="600" w:lineRule="exact"/>
        <w:ind w:firstLine="672" w:firstLineChars="210"/>
        <w:outlineLvl w:val="2"/>
        <w:rPr>
          <w:rFonts w:hAnsi="宋体" w:cs="宋体"/>
          <w:color w:val="000000"/>
          <w:sz w:val="32"/>
          <w:szCs w:val="32"/>
        </w:rPr>
      </w:pPr>
      <w:r>
        <w:rPr>
          <w:rFonts w:hint="eastAsia" w:hAnsi="宋体" w:cs="宋体"/>
          <w:sz w:val="32"/>
          <w:szCs w:val="32"/>
        </w:rPr>
        <w:t>主要职能是：</w:t>
      </w:r>
      <w:r>
        <w:rPr>
          <w:rFonts w:hint="eastAsia" w:hAnsi="宋体" w:cs="宋体"/>
          <w:color w:val="000000"/>
          <w:sz w:val="32"/>
          <w:szCs w:val="32"/>
        </w:rPr>
        <w:t>茂县文联对各团体会员开展联络、协调、服务、指导工作，通过组织学习、文艺采风、学术研讨、理论研究、展览演出、文艺评奖、书刊出版、人才培训、对外交流和权益保障等各项工作，指导团体会员开展业务活动。</w:t>
      </w:r>
    </w:p>
    <w:p>
      <w:pPr>
        <w:pStyle w:val="5"/>
        <w:adjustRightInd w:val="0"/>
        <w:snapToGrid w:val="0"/>
        <w:spacing w:before="93" w:line="600" w:lineRule="exact"/>
        <w:ind w:firstLine="675" w:firstLineChars="210"/>
        <w:outlineLvl w:val="2"/>
        <w:rPr>
          <w:rFonts w:hint="eastAsia" w:ascii="楷体" w:hAnsi="楷体" w:eastAsia="楷体" w:cs="楷体"/>
          <w:b/>
          <w:bCs w:val="0"/>
          <w:color w:val="000000"/>
          <w:sz w:val="32"/>
          <w:szCs w:val="32"/>
        </w:rPr>
      </w:pPr>
      <w:r>
        <w:rPr>
          <w:rFonts w:hint="eastAsia" w:ascii="楷体" w:hAnsi="楷体" w:eastAsia="楷体" w:cs="楷体"/>
          <w:b/>
          <w:bCs w:val="0"/>
          <w:color w:val="000000"/>
          <w:sz w:val="32"/>
          <w:szCs w:val="32"/>
        </w:rPr>
        <w:t>（二）2019年重点</w:t>
      </w:r>
      <w:r>
        <w:rPr>
          <w:rFonts w:hint="eastAsia" w:ascii="楷体" w:hAnsi="楷体" w:eastAsia="楷体" w:cs="楷体"/>
          <w:b/>
          <w:bCs w:val="0"/>
          <w:color w:val="000000"/>
          <w:sz w:val="32"/>
          <w:szCs w:val="32"/>
          <w:lang w:eastAsia="zh-CN"/>
        </w:rPr>
        <w:t>茂县</w:t>
      </w:r>
      <w:r>
        <w:rPr>
          <w:rFonts w:hint="eastAsia" w:ascii="楷体" w:hAnsi="楷体" w:eastAsia="楷体" w:cs="楷体"/>
          <w:b/>
          <w:bCs w:val="0"/>
          <w:color w:val="000000"/>
          <w:sz w:val="32"/>
          <w:szCs w:val="32"/>
        </w:rPr>
        <w:t>工作完成情况</w:t>
      </w:r>
      <w:bookmarkEnd w:id="18"/>
      <w:bookmarkEnd w:id="19"/>
    </w:p>
    <w:p>
      <w:pPr>
        <w:spacing w:line="600" w:lineRule="exact"/>
        <w:ind w:firstLine="841" w:firstLineChars="263"/>
        <w:rPr>
          <w:rFonts w:ascii="仿宋_GB2312" w:hAnsi="宋体" w:eastAsia="仿宋_GB2312" w:cs="宋体"/>
          <w:color w:val="000000"/>
          <w:sz w:val="32"/>
          <w:szCs w:val="32"/>
        </w:rPr>
      </w:pPr>
      <w:r>
        <w:rPr>
          <w:rFonts w:hint="eastAsia" w:ascii="仿宋_GB2312" w:hAnsi="宋体" w:eastAsia="仿宋_GB2312" w:cs="宋体"/>
          <w:color w:val="000000"/>
          <w:sz w:val="32"/>
          <w:szCs w:val="32"/>
        </w:rPr>
        <w:t>1.完成了2019年《九鼎山》杂志第5期编审出版工作。</w:t>
      </w:r>
    </w:p>
    <w:p>
      <w:pPr>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2.通过多种多样的方式，积极参与省州县和本协会组织的各类活动，并取得了很好的成绩。</w:t>
      </w:r>
    </w:p>
    <w:p>
      <w:pPr>
        <w:ind w:firstLine="800" w:firstLineChars="250"/>
        <w:rPr>
          <w:rFonts w:ascii="仿宋_GB2312" w:hAnsi="仿宋_GB2312" w:eastAsia="仿宋_GB2312" w:cs="仿宋_GB2312"/>
          <w:sz w:val="32"/>
          <w:szCs w:val="32"/>
        </w:rPr>
      </w:pPr>
      <w:r>
        <w:rPr>
          <w:rFonts w:hint="eastAsia" w:ascii="仿宋_GB2312" w:hAnsi="宋体" w:eastAsia="仿宋_GB2312"/>
          <w:sz w:val="32"/>
          <w:szCs w:val="32"/>
        </w:rPr>
        <w:t>3</w:t>
      </w:r>
      <w:r>
        <w:rPr>
          <w:rFonts w:hint="eastAsia" w:ascii="仿宋_GB2312" w:hAnsi="宋体" w:eastAsia="仿宋_GB2312" w:cs="宋体"/>
          <w:color w:val="000000"/>
          <w:sz w:val="32"/>
          <w:szCs w:val="32"/>
        </w:rPr>
        <w:t>.抓阵地，抓协会合作，充分开展各项活动聚人心。</w:t>
      </w:r>
    </w:p>
    <w:p>
      <w:pPr>
        <w:pStyle w:val="3"/>
        <w:ind w:firstLine="640" w:firstLineChars="200"/>
        <w:rPr>
          <w:rFonts w:hint="eastAsia" w:ascii="黑体" w:hAnsi="黑体" w:eastAsia="黑体"/>
          <w:b w:val="0"/>
          <w:color w:val="000000"/>
        </w:rPr>
      </w:pPr>
      <w:bookmarkStart w:id="20" w:name="_Toc15377200"/>
      <w:bookmarkStart w:id="21" w:name="_Toc15396601"/>
      <w:r>
        <w:rPr>
          <w:rFonts w:hint="eastAsia" w:ascii="黑体" w:hAnsi="黑体" w:eastAsia="黑体"/>
          <w:b w:val="0"/>
          <w:color w:val="000000"/>
        </w:rPr>
        <w:t>二、机构设置</w:t>
      </w:r>
      <w:bookmarkEnd w:id="20"/>
      <w:bookmarkEnd w:id="21"/>
    </w:p>
    <w:p>
      <w:pPr>
        <w:ind w:firstLine="640" w:firstLineChars="200"/>
        <w:rPr>
          <w:rFonts w:hint="eastAsia" w:ascii="仿宋_GB2312" w:hAnsi="仿宋_GB2312" w:eastAsia="仿宋_GB2312" w:cs="仿宋_GB2312"/>
          <w:sz w:val="32"/>
          <w:szCs w:val="32"/>
        </w:rPr>
      </w:pPr>
      <w:bookmarkStart w:id="22" w:name="_Toc15396602"/>
      <w:bookmarkStart w:id="23" w:name="_Toc15377204"/>
      <w:r>
        <w:rPr>
          <w:rFonts w:hint="eastAsia" w:ascii="仿宋_GB2312" w:hAnsi="仿宋_GB2312" w:eastAsia="仿宋_GB2312" w:cs="仿宋_GB2312"/>
          <w:sz w:val="32"/>
          <w:szCs w:val="32"/>
        </w:rPr>
        <w:t>文联属一级预算单位，下属二级单位0个，其中行政单位0个，参照公务员法管理的事业单位0个，其他事业单位0个。</w:t>
      </w:r>
    </w:p>
    <w:p>
      <w:pPr>
        <w:ind w:firstLine="640" w:firstLineChars="200"/>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p>
    <w:p>
      <w:pPr>
        <w:pStyle w:val="2"/>
        <w:ind w:right="440"/>
        <w:jc w:val="right"/>
        <w:rPr>
          <w:rStyle w:val="26"/>
          <w:rFonts w:ascii="黑体" w:hAnsi="黑体" w:eastAsia="黑体"/>
          <w:b w:val="0"/>
          <w:bCs w:val="0"/>
        </w:rPr>
      </w:pPr>
      <w:r>
        <w:rPr>
          <w:rFonts w:hint="eastAsia" w:ascii="黑体" w:hAnsi="黑体" w:eastAsia="黑体"/>
          <w:b w:val="0"/>
          <w:color w:val="000000"/>
        </w:rPr>
        <w:t>第二部分</w:t>
      </w:r>
      <w:r>
        <w:rPr>
          <w:rFonts w:hint="eastAsia" w:ascii="黑体" w:hAnsi="黑体" w:eastAsia="黑体"/>
          <w:color w:val="000000"/>
        </w:rPr>
        <w:t xml:space="preserve"> </w:t>
      </w:r>
      <w:r>
        <w:rPr>
          <w:rStyle w:val="26"/>
          <w:rFonts w:hint="eastAsia" w:ascii="黑体" w:hAnsi="黑体" w:eastAsia="黑体"/>
          <w:b w:val="0"/>
          <w:bCs w:val="0"/>
        </w:rPr>
        <w:t>2019年度部门决算情况说明</w:t>
      </w:r>
      <w:bookmarkEnd w:id="22"/>
      <w:bookmarkEnd w:id="23"/>
    </w:p>
    <w:p/>
    <w:p>
      <w:pPr>
        <w:pStyle w:val="3"/>
        <w:ind w:firstLine="640" w:firstLineChars="200"/>
        <w:rPr>
          <w:rFonts w:hint="eastAsia" w:ascii="黑体" w:hAnsi="黑体" w:eastAsia="黑体"/>
          <w:b w:val="0"/>
          <w:color w:val="000000"/>
        </w:rPr>
      </w:pPr>
      <w:bookmarkStart w:id="24" w:name="_Toc15377205"/>
      <w:bookmarkStart w:id="25" w:name="_Toc15396603"/>
      <w:r>
        <w:rPr>
          <w:rFonts w:hint="eastAsia" w:ascii="黑体" w:hAnsi="黑体" w:eastAsia="黑体"/>
          <w:b w:val="0"/>
          <w:color w:val="000000"/>
          <w:lang w:eastAsia="zh-CN"/>
        </w:rPr>
        <w:t>一、</w:t>
      </w:r>
      <w:r>
        <w:rPr>
          <w:rFonts w:hint="eastAsia" w:ascii="黑体" w:hAnsi="黑体" w:eastAsia="黑体"/>
          <w:b w:val="0"/>
          <w:color w:val="000000"/>
        </w:rPr>
        <w:t>收入支出决算总体情况说明</w:t>
      </w:r>
      <w:bookmarkEnd w:id="24"/>
      <w:bookmarkEnd w:id="25"/>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2336" behindDoc="1" locked="0" layoutInCell="1" allowOverlap="1">
            <wp:simplePos x="0" y="0"/>
            <wp:positionH relativeFrom="column">
              <wp:posOffset>609600</wp:posOffset>
            </wp:positionH>
            <wp:positionV relativeFrom="paragraph">
              <wp:posOffset>1249045</wp:posOffset>
            </wp:positionV>
            <wp:extent cx="4248150" cy="2381250"/>
            <wp:effectExtent l="19050" t="0" r="19050" b="0"/>
            <wp:wrapTight wrapText="bothSides">
              <wp:wrapPolygon>
                <wp:start x="-97" y="0"/>
                <wp:lineTo x="-97" y="21600"/>
                <wp:lineTo x="21697" y="21600"/>
                <wp:lineTo x="21697" y="0"/>
                <wp:lineTo x="-97" y="0"/>
              </wp:wrapPolygon>
            </wp:wrapTight>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 w:hAnsi="仿宋" w:eastAsia="仿宋"/>
          <w:color w:val="000000"/>
          <w:sz w:val="32"/>
          <w:szCs w:val="32"/>
        </w:rPr>
        <w:t>2019年度收、支总计72.68万元。与2018年相比，收、支总计各增加15.83万元，增长7.8</w:t>
      </w:r>
      <w:r>
        <w:rPr>
          <w:rFonts w:ascii="仿宋" w:hAnsi="仿宋" w:eastAsia="仿宋"/>
          <w:color w:val="000000"/>
          <w:sz w:val="32"/>
          <w:szCs w:val="32"/>
        </w:rPr>
        <w:t>%</w:t>
      </w:r>
      <w:r>
        <w:rPr>
          <w:rFonts w:hint="eastAsia" w:ascii="仿宋" w:hAnsi="仿宋" w:eastAsia="仿宋"/>
          <w:color w:val="000000"/>
          <w:sz w:val="32"/>
          <w:szCs w:val="32"/>
        </w:rPr>
        <w:t>。主要变动原因是日常运转。</w:t>
      </w:r>
    </w:p>
    <w:p>
      <w:pPr>
        <w:pStyle w:val="25"/>
        <w:numPr>
          <w:numId w:val="0"/>
        </w:numPr>
        <w:spacing w:line="600" w:lineRule="exact"/>
        <w:ind w:left="640" w:leftChars="0"/>
        <w:outlineLvl w:val="1"/>
        <w:rPr>
          <w:rStyle w:val="27"/>
          <w:rFonts w:hint="eastAsia" w:ascii="楷体" w:hAnsi="楷体" w:eastAsia="楷体" w:cs="楷体"/>
          <w:b/>
          <w:bCs/>
        </w:rPr>
      </w:pPr>
      <w:bookmarkStart w:id="26" w:name="_Toc15377206"/>
      <w:bookmarkStart w:id="27" w:name="_Toc15396604"/>
      <w:r>
        <w:rPr>
          <w:rFonts w:hint="eastAsia" w:ascii="楷体" w:hAnsi="楷体" w:eastAsia="楷体" w:cs="楷体"/>
          <w:b/>
          <w:bCs/>
          <w:color w:val="000000"/>
          <w:sz w:val="32"/>
          <w:szCs w:val="32"/>
          <w:lang w:eastAsia="zh-CN"/>
        </w:rPr>
        <w:t>（一）</w:t>
      </w:r>
      <w:r>
        <w:rPr>
          <w:rFonts w:hint="eastAsia" w:ascii="楷体" w:hAnsi="楷体" w:eastAsia="楷体" w:cs="楷体"/>
          <w:b/>
          <w:bCs/>
          <w:color w:val="000000"/>
          <w:sz w:val="32"/>
          <w:szCs w:val="32"/>
        </w:rPr>
        <w:t>收</w:t>
      </w:r>
      <w:r>
        <w:rPr>
          <w:rStyle w:val="27"/>
          <w:rFonts w:hint="eastAsia" w:ascii="楷体" w:hAnsi="楷体" w:eastAsia="楷体" w:cs="楷体"/>
          <w:b/>
          <w:bCs/>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9年本年收入合计72.68万元，其中：一般公共预算财政拨款收入72.68万元，占100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59264" behindDoc="0" locked="0" layoutInCell="1" allowOverlap="1">
            <wp:simplePos x="0" y="0"/>
            <wp:positionH relativeFrom="column">
              <wp:posOffset>588010</wp:posOffset>
            </wp:positionH>
            <wp:positionV relativeFrom="paragraph">
              <wp:posOffset>106045</wp:posOffset>
            </wp:positionV>
            <wp:extent cx="3800475" cy="1771650"/>
            <wp:effectExtent l="19050" t="0" r="9525" b="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_GB2312" w:eastAsia="仿宋_GB2312"/>
          <w:color w:val="FF0000"/>
          <w:sz w:val="32"/>
          <w:szCs w:val="32"/>
        </w:rPr>
      </w:pPr>
    </w:p>
    <w:p>
      <w:pPr>
        <w:pStyle w:val="25"/>
        <w:numPr>
          <w:numId w:val="0"/>
        </w:numPr>
        <w:spacing w:line="600" w:lineRule="exact"/>
        <w:ind w:left="640" w:leftChars="0"/>
        <w:outlineLvl w:val="1"/>
        <w:rPr>
          <w:rFonts w:hint="eastAsia" w:ascii="黑体" w:hAnsi="黑体" w:eastAsia="黑体"/>
          <w:color w:val="000000"/>
          <w:sz w:val="32"/>
          <w:szCs w:val="32"/>
          <w:lang w:eastAsia="zh-CN"/>
        </w:rPr>
      </w:pPr>
      <w:bookmarkStart w:id="28" w:name="_Toc15377207"/>
      <w:bookmarkStart w:id="29" w:name="_Toc15396605"/>
    </w:p>
    <w:p>
      <w:pPr>
        <w:pStyle w:val="25"/>
        <w:numPr>
          <w:numId w:val="0"/>
        </w:numPr>
        <w:spacing w:line="600" w:lineRule="exact"/>
        <w:ind w:left="640" w:leftChars="0"/>
        <w:outlineLvl w:val="1"/>
        <w:rPr>
          <w:rFonts w:hint="eastAsia" w:ascii="黑体" w:hAnsi="黑体" w:eastAsia="黑体"/>
          <w:color w:val="000000"/>
          <w:sz w:val="32"/>
          <w:szCs w:val="32"/>
          <w:lang w:eastAsia="zh-CN"/>
        </w:rPr>
      </w:pPr>
    </w:p>
    <w:p>
      <w:pPr>
        <w:pStyle w:val="25"/>
        <w:numPr>
          <w:numId w:val="0"/>
        </w:numPr>
        <w:spacing w:line="600" w:lineRule="exact"/>
        <w:ind w:left="640" w:leftChars="0"/>
        <w:outlineLvl w:val="1"/>
        <w:rPr>
          <w:rFonts w:hint="eastAsia" w:ascii="黑体" w:hAnsi="黑体" w:eastAsia="黑体"/>
          <w:color w:val="000000"/>
          <w:sz w:val="32"/>
          <w:szCs w:val="32"/>
          <w:lang w:eastAsia="zh-CN"/>
        </w:rPr>
      </w:pPr>
    </w:p>
    <w:p>
      <w:pPr>
        <w:pStyle w:val="25"/>
        <w:numPr>
          <w:ilvl w:val="0"/>
          <w:numId w:val="0"/>
        </w:numPr>
        <w:spacing w:line="600" w:lineRule="exact"/>
        <w:ind w:left="640" w:leftChars="0"/>
        <w:outlineLvl w:val="1"/>
        <w:rPr>
          <w:rFonts w:hint="eastAsia" w:ascii="楷体" w:hAnsi="楷体" w:eastAsia="楷体" w:cs="楷体"/>
          <w:b/>
          <w:bCs/>
          <w:color w:val="000000"/>
          <w:sz w:val="32"/>
          <w:szCs w:val="32"/>
          <w:lang w:eastAsia="zh-CN"/>
        </w:rPr>
      </w:pPr>
      <w:r>
        <w:rPr>
          <w:rFonts w:hint="eastAsia" w:ascii="楷体" w:hAnsi="楷体" w:eastAsia="楷体" w:cs="楷体"/>
          <w:b/>
          <w:bCs/>
          <w:color w:val="000000"/>
          <w:sz w:val="32"/>
          <w:szCs w:val="32"/>
          <w:lang w:eastAsia="zh-CN"/>
        </w:rPr>
        <w:t>（二）支出决算情况说明</w:t>
      </w:r>
      <w:bookmarkEnd w:id="28"/>
      <w:bookmarkEnd w:id="29"/>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9年本年支出合计71.80万元，其中：基本支出64.74万元，占90.16</w:t>
      </w:r>
      <w:r>
        <w:rPr>
          <w:rFonts w:ascii="仿宋" w:hAnsi="仿宋" w:eastAsia="仿宋"/>
          <w:color w:val="000000"/>
          <w:sz w:val="32"/>
          <w:szCs w:val="32"/>
        </w:rPr>
        <w:t>%</w:t>
      </w:r>
      <w:r>
        <w:rPr>
          <w:rFonts w:hint="eastAsia" w:ascii="仿宋" w:hAnsi="仿宋" w:eastAsia="仿宋"/>
          <w:color w:val="000000"/>
          <w:sz w:val="32"/>
          <w:szCs w:val="32"/>
        </w:rPr>
        <w:t>。项目支出7.06万元，占9.8%。</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drawing>
          <wp:anchor distT="0" distB="0" distL="114300" distR="114300" simplePos="0" relativeHeight="251661312" behindDoc="0" locked="0" layoutInCell="1" allowOverlap="1">
            <wp:simplePos x="0" y="0"/>
            <wp:positionH relativeFrom="column">
              <wp:posOffset>485775</wp:posOffset>
            </wp:positionH>
            <wp:positionV relativeFrom="paragraph">
              <wp:posOffset>114300</wp:posOffset>
            </wp:positionV>
            <wp:extent cx="4076700" cy="2057400"/>
            <wp:effectExtent l="19050" t="0" r="19050" b="0"/>
            <wp:wrapSquare wrapText="bothSides"/>
            <wp:docPr id="6"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color w:val="000000" w:themeColor="text1"/>
          <w:sz w:val="32"/>
          <w:szCs w:val="32"/>
        </w:rPr>
        <w:t>（</w:t>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outlineLvl w:val="1"/>
        <w:rPr>
          <w:rStyle w:val="27"/>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30"/>
      <w:bookmarkEnd w:id="3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9年财政拨款收、支总计72.68万元。与</w:t>
      </w:r>
      <w:r>
        <w:rPr>
          <w:rFonts w:ascii="仿宋" w:hAnsi="仿宋" w:eastAsia="仿宋"/>
          <w:color w:val="000000"/>
          <w:sz w:val="32"/>
          <w:szCs w:val="32"/>
        </w:rPr>
        <w:t>201</w:t>
      </w:r>
      <w:r>
        <w:rPr>
          <w:rFonts w:hint="eastAsia" w:ascii="仿宋" w:hAnsi="仿宋" w:eastAsia="仿宋"/>
          <w:color w:val="000000"/>
          <w:sz w:val="32"/>
          <w:szCs w:val="32"/>
        </w:rPr>
        <w:t>8年相比，财政拨款收、支总计各增加15.83万元，增长7.8</w:t>
      </w:r>
      <w:r>
        <w:rPr>
          <w:rFonts w:ascii="仿宋" w:hAnsi="仿宋" w:eastAsia="仿宋"/>
          <w:color w:val="000000"/>
          <w:sz w:val="32"/>
          <w:szCs w:val="32"/>
        </w:rPr>
        <w:t>%</w:t>
      </w:r>
      <w:r>
        <w:rPr>
          <w:rFonts w:hint="eastAsia" w:ascii="仿宋" w:hAnsi="仿宋" w:eastAsia="仿宋"/>
          <w:color w:val="000000"/>
          <w:sz w:val="32"/>
          <w:szCs w:val="32"/>
        </w:rPr>
        <w:t>。主要变动原因是日常运转。</w:t>
      </w:r>
    </w:p>
    <w:p>
      <w:pPr>
        <w:spacing w:line="600" w:lineRule="exact"/>
        <w:ind w:firstLine="640" w:firstLineChars="200"/>
        <w:outlineLvl w:val="1"/>
        <w:rPr>
          <w:rStyle w:val="27"/>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hint="eastAsia" w:ascii="楷体" w:hAnsi="楷体" w:eastAsia="楷体" w:cs="楷体"/>
          <w:b/>
          <w:color w:val="000000"/>
          <w:sz w:val="32"/>
          <w:szCs w:val="32"/>
        </w:rPr>
      </w:pPr>
      <w:bookmarkStart w:id="34" w:name="_Toc15377210"/>
      <w:r>
        <w:rPr>
          <w:rFonts w:hint="eastAsia" w:ascii="楷体" w:hAnsi="楷体" w:eastAsia="楷体" w:cs="楷体"/>
          <w:b/>
          <w:color w:val="000000"/>
          <w:sz w:val="32"/>
          <w:szCs w:val="32"/>
        </w:rPr>
        <w:t>（一）一般公共预算财政拨款支出决算总体情况</w:t>
      </w:r>
      <w:bookmarkEnd w:id="3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9年一般公共预算财政拨款支出71.80万元，占本年支出合计的100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8年相比，一般公共预算财政拨款增加15.83万元，增长7.9</w:t>
      </w:r>
      <w:r>
        <w:rPr>
          <w:rFonts w:ascii="仿宋" w:hAnsi="仿宋" w:eastAsia="仿宋"/>
          <w:color w:val="000000"/>
          <w:sz w:val="32"/>
          <w:szCs w:val="32"/>
        </w:rPr>
        <w:t>%</w:t>
      </w:r>
      <w:r>
        <w:rPr>
          <w:rFonts w:hint="eastAsia" w:ascii="仿宋" w:hAnsi="仿宋" w:eastAsia="仿宋"/>
          <w:color w:val="000000"/>
          <w:sz w:val="32"/>
          <w:szCs w:val="32"/>
        </w:rPr>
        <w:t>。主要变动原因是日常运转。</w:t>
      </w:r>
    </w:p>
    <w:p>
      <w:pPr>
        <w:spacing w:line="600" w:lineRule="exact"/>
        <w:ind w:firstLine="643" w:firstLineChars="200"/>
        <w:outlineLvl w:val="2"/>
        <w:rPr>
          <w:rFonts w:hint="eastAsia" w:ascii="楷体" w:hAnsi="楷体" w:eastAsia="楷体" w:cs="楷体"/>
          <w:b/>
          <w:color w:val="000000"/>
          <w:sz w:val="32"/>
          <w:szCs w:val="32"/>
        </w:rPr>
      </w:pPr>
      <w:bookmarkStart w:id="35" w:name="_Toc15377211"/>
      <w:r>
        <w:rPr>
          <w:rFonts w:hint="eastAsia" w:ascii="楷体" w:hAnsi="楷体" w:eastAsia="楷体" w:cs="楷体"/>
          <w:b/>
          <w:color w:val="000000"/>
          <w:sz w:val="32"/>
          <w:szCs w:val="32"/>
        </w:rPr>
        <w:t>（二）一般公共预算财政拨款支出决算结构情况</w:t>
      </w:r>
      <w:bookmarkEnd w:id="35"/>
    </w:p>
    <w:p>
      <w:pPr>
        <w:spacing w:line="600" w:lineRule="exact"/>
        <w:ind w:firstLine="64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政拨款支出71.8万元，主要用于以下方面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一般公共服务（类）</w:t>
      </w:r>
      <w:r>
        <w:rPr>
          <w:rFonts w:hint="eastAsia" w:ascii="仿宋" w:hAnsi="仿宋" w:eastAsia="仿宋"/>
          <w:color w:val="000000" w:themeColor="text1"/>
          <w:sz w:val="32"/>
          <w:szCs w:val="32"/>
        </w:rPr>
        <w:t>支出50.17万元，占70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农林水（类）</w:t>
      </w:r>
      <w:r>
        <w:rPr>
          <w:rFonts w:hint="eastAsia" w:ascii="仿宋" w:hAnsi="仿宋" w:eastAsia="仿宋"/>
          <w:color w:val="000000" w:themeColor="text1"/>
          <w:sz w:val="32"/>
          <w:szCs w:val="32"/>
        </w:rPr>
        <w:t>支出3.03万元，占4</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支出8.74万元，占12</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w:t>
      </w:r>
      <w:r>
        <w:rPr>
          <w:rFonts w:hint="eastAsia" w:ascii="仿宋" w:hAnsi="仿宋" w:eastAsia="仿宋"/>
          <w:color w:val="000000" w:themeColor="text1"/>
          <w:sz w:val="32"/>
          <w:szCs w:val="32"/>
        </w:rPr>
        <w:t>4.09万元，占6</w:t>
      </w:r>
      <w:r>
        <w:rPr>
          <w:rFonts w:ascii="仿宋" w:hAnsi="仿宋" w:eastAsia="仿宋"/>
          <w:color w:val="000000" w:themeColor="text1"/>
          <w:sz w:val="32"/>
          <w:szCs w:val="32"/>
        </w:rPr>
        <w:t>%</w:t>
      </w:r>
      <w:r>
        <w:rPr>
          <w:rFonts w:hint="eastAsia" w:ascii="仿宋" w:hAnsi="仿宋" w:eastAsia="仿宋"/>
          <w:color w:val="000000" w:themeColor="text1"/>
          <w:sz w:val="32"/>
          <w:szCs w:val="32"/>
        </w:rPr>
        <w:t>；住房保障支出5.77万元，占8</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pPr>
        <w:spacing w:line="600" w:lineRule="exact"/>
        <w:ind w:firstLine="643" w:firstLineChars="200"/>
        <w:outlineLvl w:val="2"/>
        <w:rPr>
          <w:rFonts w:hint="eastAsia" w:ascii="楷体" w:hAnsi="楷体" w:eastAsia="楷体" w:cs="楷体"/>
          <w:b/>
          <w:color w:val="000000"/>
          <w:sz w:val="32"/>
          <w:szCs w:val="32"/>
        </w:rPr>
      </w:pPr>
      <w:bookmarkStart w:id="36" w:name="_Toc15377212"/>
      <w:r>
        <w:rPr>
          <w:rFonts w:hint="eastAsia" w:ascii="楷体" w:hAnsi="楷体" w:eastAsia="楷体" w:cs="楷体"/>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bookmarkStart w:id="37" w:name="_Toc15377213"/>
      <w:bookmarkStart w:id="38" w:name="_Toc15378460"/>
      <w:bookmarkStart w:id="39" w:name="_Toc15377444"/>
      <w:r>
        <w:rPr>
          <w:rFonts w:hint="eastAsia" w:ascii="仿宋" w:hAnsi="仿宋" w:eastAsia="仿宋"/>
          <w:b/>
          <w:color w:val="000000" w:themeColor="text1"/>
          <w:sz w:val="32"/>
          <w:szCs w:val="32"/>
        </w:rPr>
        <w:t>2019年一般公共预算支出决算数为71.80</w:t>
      </w:r>
      <w:r>
        <w:rPr>
          <w:rFonts w:hint="eastAsia" w:ascii="仿宋" w:hAnsi="仿宋" w:eastAsia="仿宋"/>
          <w:color w:val="000000" w:themeColor="text1"/>
          <w:sz w:val="32"/>
          <w:szCs w:val="32"/>
        </w:rPr>
        <w:t>，</w:t>
      </w:r>
      <w:r>
        <w:rPr>
          <w:rStyle w:val="15"/>
          <w:rFonts w:hint="eastAsia" w:ascii="仿宋" w:hAnsi="仿宋" w:eastAsia="仿宋"/>
          <w:bCs/>
          <w:color w:val="000000" w:themeColor="text1"/>
          <w:sz w:val="32"/>
          <w:szCs w:val="32"/>
        </w:rPr>
        <w:t>完成</w:t>
      </w:r>
      <w:r>
        <w:rPr>
          <w:rStyle w:val="15"/>
          <w:rFonts w:hint="eastAsia" w:ascii="仿宋" w:hAnsi="仿宋" w:eastAsia="仿宋"/>
          <w:bCs/>
          <w:color w:val="000000"/>
          <w:sz w:val="32"/>
          <w:szCs w:val="32"/>
        </w:rPr>
        <w:t>预算98.79</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37"/>
      <w:bookmarkEnd w:id="38"/>
      <w:bookmarkEnd w:id="39"/>
    </w:p>
    <w:p>
      <w:pPr>
        <w:spacing w:line="600" w:lineRule="exact"/>
        <w:ind w:firstLine="643" w:firstLineChars="200"/>
        <w:rPr>
          <w:rStyle w:val="15"/>
          <w:rFonts w:ascii="仿宋" w:hAnsi="仿宋" w:eastAsia="仿宋"/>
          <w:b w:val="0"/>
          <w:bCs/>
          <w:color w:val="000000"/>
          <w:sz w:val="32"/>
          <w:szCs w:val="32"/>
        </w:rPr>
      </w:pPr>
      <w:r>
        <w:rPr>
          <w:rStyle w:val="15"/>
          <w:rFonts w:ascii="仿宋" w:hAnsi="仿宋" w:eastAsia="仿宋"/>
          <w:bCs/>
          <w:color w:val="000000"/>
          <w:sz w:val="32"/>
          <w:szCs w:val="32"/>
        </w:rPr>
        <w:t>1.</w:t>
      </w:r>
      <w:r>
        <w:rPr>
          <w:rStyle w:val="15"/>
          <w:rFonts w:hint="eastAsia" w:ascii="仿宋" w:hAnsi="仿宋" w:eastAsia="仿宋"/>
          <w:bCs/>
          <w:color w:val="000000"/>
          <w:sz w:val="32"/>
          <w:szCs w:val="32"/>
        </w:rPr>
        <w:t>一般公共服务</w:t>
      </w:r>
      <w:r>
        <w:rPr>
          <w:rStyle w:val="15"/>
          <w:rFonts w:hint="eastAsia" w:ascii="楷体" w:hAnsi="楷体" w:eastAsia="楷体" w:cs="楷体"/>
          <w:bCs/>
          <w:color w:val="000000"/>
          <w:sz w:val="32"/>
          <w:szCs w:val="32"/>
        </w:rPr>
        <w:t>（类）群众团体事物（款）事业运行（项）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支出决算为46.14万元，完成预算100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5"/>
          <w:rFonts w:hint="eastAsia" w:ascii="仿宋" w:hAnsi="仿宋" w:eastAsia="仿宋"/>
          <w:bCs/>
          <w:color w:val="000000"/>
          <w:sz w:val="32"/>
          <w:szCs w:val="32"/>
        </w:rPr>
        <w:t>2.一般公共服务</w:t>
      </w:r>
      <w:r>
        <w:rPr>
          <w:rStyle w:val="15"/>
          <w:rFonts w:hint="eastAsia" w:ascii="楷体" w:hAnsi="楷体" w:eastAsia="楷体" w:cs="楷体"/>
          <w:bCs/>
          <w:color w:val="000000"/>
          <w:sz w:val="32"/>
          <w:szCs w:val="32"/>
        </w:rPr>
        <w:t>（类）群众团体事物（款）其他群众团体事务支出（项）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支出决算为4.03万元，完成预算83</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。决算数小于预算数，原因是资金结转到下年继续使用。</w:t>
      </w:r>
    </w:p>
    <w:p>
      <w:pPr>
        <w:spacing w:line="600" w:lineRule="exact"/>
        <w:ind w:firstLine="643" w:firstLineChars="200"/>
        <w:rPr>
          <w:rStyle w:val="15"/>
          <w:rFonts w:ascii="仿宋" w:hAnsi="仿宋" w:eastAsia="仿宋"/>
          <w:b w:val="0"/>
          <w:bCs/>
          <w:color w:val="000000"/>
          <w:sz w:val="32"/>
          <w:szCs w:val="32"/>
        </w:rPr>
      </w:pPr>
      <w:r>
        <w:rPr>
          <w:rStyle w:val="15"/>
          <w:rFonts w:hint="eastAsia" w:ascii="仿宋" w:hAnsi="仿宋" w:eastAsia="仿宋"/>
          <w:bCs/>
          <w:color w:val="000000"/>
          <w:sz w:val="32"/>
          <w:szCs w:val="32"/>
        </w:rPr>
        <w:t>3</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农林水（</w:t>
      </w:r>
      <w:r>
        <w:rPr>
          <w:rStyle w:val="15"/>
          <w:rFonts w:hint="eastAsia" w:ascii="楷体" w:hAnsi="楷体" w:eastAsia="楷体" w:cs="楷体"/>
          <w:bCs/>
          <w:color w:val="000000"/>
          <w:sz w:val="32"/>
          <w:szCs w:val="32"/>
        </w:rPr>
        <w:t>类</w:t>
      </w:r>
      <w:r>
        <w:rPr>
          <w:rStyle w:val="15"/>
          <w:rFonts w:hint="eastAsia" w:ascii="仿宋" w:hAnsi="仿宋" w:eastAsia="仿宋"/>
          <w:bCs/>
          <w:color w:val="000000"/>
          <w:sz w:val="32"/>
          <w:szCs w:val="32"/>
        </w:rPr>
        <w:t>）扶贫（</w:t>
      </w:r>
      <w:r>
        <w:rPr>
          <w:rStyle w:val="15"/>
          <w:rFonts w:hint="eastAsia" w:ascii="楷体" w:hAnsi="楷体" w:eastAsia="楷体" w:cs="楷体"/>
          <w:bCs/>
          <w:color w:val="000000"/>
          <w:sz w:val="32"/>
          <w:szCs w:val="32"/>
        </w:rPr>
        <w:t>款</w:t>
      </w:r>
      <w:r>
        <w:rPr>
          <w:rStyle w:val="15"/>
          <w:rFonts w:hint="eastAsia" w:ascii="仿宋" w:hAnsi="仿宋" w:eastAsia="仿宋"/>
          <w:bCs/>
          <w:color w:val="000000"/>
          <w:sz w:val="32"/>
          <w:szCs w:val="32"/>
        </w:rPr>
        <w:t>）其他扶贫支出（</w:t>
      </w:r>
      <w:r>
        <w:rPr>
          <w:rStyle w:val="15"/>
          <w:rFonts w:hint="eastAsia" w:ascii="楷体" w:hAnsi="楷体" w:eastAsia="楷体" w:cs="楷体"/>
          <w:bCs/>
          <w:color w:val="000000"/>
          <w:sz w:val="32"/>
          <w:szCs w:val="32"/>
        </w:rPr>
        <w:t>项</w:t>
      </w:r>
      <w:r>
        <w:rPr>
          <w:rStyle w:val="15"/>
          <w:rFonts w:hint="eastAsia" w:ascii="仿宋" w:hAnsi="仿宋" w:eastAsia="仿宋"/>
          <w:bCs/>
          <w:color w:val="000000"/>
          <w:sz w:val="32"/>
          <w:szCs w:val="32"/>
        </w:rPr>
        <w:t>）</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支出决算为3.03万元，完成预算100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Style w:val="15"/>
          <w:rFonts w:ascii="仿宋" w:hAnsi="仿宋" w:eastAsia="仿宋"/>
          <w:color w:val="000000"/>
          <w:sz w:val="32"/>
          <w:szCs w:val="32"/>
        </w:rPr>
      </w:pPr>
      <w:r>
        <w:rPr>
          <w:rStyle w:val="15"/>
          <w:rFonts w:hint="eastAsia" w:ascii="仿宋" w:hAnsi="仿宋" w:eastAsia="仿宋"/>
          <w:bCs/>
          <w:color w:val="000000"/>
          <w:sz w:val="32"/>
          <w:szCs w:val="32"/>
        </w:rPr>
        <w:t>4</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住房保障支出（类）住房改革支出（款）住房公积金（项）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支出决算为5.77万元，完成预算100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5"/>
          <w:rFonts w:hint="eastAsia" w:ascii="仿宋" w:hAnsi="仿宋" w:eastAsia="仿宋"/>
          <w:bCs/>
          <w:color w:val="000000"/>
          <w:sz w:val="32"/>
          <w:szCs w:val="32"/>
        </w:rPr>
        <w:t>5</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社会保障和就业（类）行政事业单位离退休（款）机关事业单位基本养老保险缴费支出（项）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支出决算为5.98万元，完成预算100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5"/>
          <w:rFonts w:hint="eastAsia" w:ascii="仿宋" w:hAnsi="仿宋" w:eastAsia="仿宋"/>
          <w:bCs/>
          <w:color w:val="000000"/>
          <w:sz w:val="32"/>
          <w:szCs w:val="32"/>
        </w:rPr>
        <w:t>6</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社会保障和就业（类）行政事业单位离退休（款）机关事业单位基本养老保险缴费支出（项）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支出决算为2.76`万元，完成预算100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5"/>
          <w:rFonts w:hint="eastAsia" w:ascii="仿宋" w:hAnsi="仿宋" w:eastAsia="仿宋"/>
          <w:bCs/>
          <w:color w:val="000000"/>
          <w:sz w:val="32"/>
          <w:szCs w:val="32"/>
        </w:rPr>
        <w:t>7</w:t>
      </w:r>
      <w:r>
        <w:rPr>
          <w:rStyle w:val="15"/>
          <w:rFonts w:ascii="仿宋" w:hAnsi="仿宋" w:eastAsia="仿宋"/>
          <w:bCs/>
          <w:color w:val="000000"/>
          <w:sz w:val="32"/>
          <w:szCs w:val="32"/>
        </w:rPr>
        <w:t>.</w:t>
      </w:r>
      <w:r>
        <w:rPr>
          <w:rFonts w:hint="eastAsia" w:ascii="仿宋" w:hAnsi="仿宋" w:eastAsia="仿宋"/>
          <w:b/>
          <w:bCs/>
          <w:color w:val="000000" w:themeColor="text1"/>
          <w:sz w:val="32"/>
          <w:szCs w:val="32"/>
        </w:rPr>
        <w:t>卫生健康</w:t>
      </w:r>
      <w:r>
        <w:rPr>
          <w:rStyle w:val="15"/>
          <w:rFonts w:hint="eastAsia" w:ascii="仿宋" w:hAnsi="仿宋" w:eastAsia="仿宋"/>
          <w:bCs/>
          <w:color w:val="000000"/>
          <w:sz w:val="32"/>
          <w:szCs w:val="32"/>
        </w:rPr>
        <w:t>（类）行政事业单位医疗（款）事业单位医疗（项）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支出决算为4.09万元，完成预算100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tabs>
          <w:tab w:val="right" w:pos="8306"/>
        </w:tabs>
        <w:spacing w:line="600" w:lineRule="exact"/>
        <w:ind w:firstLine="640"/>
        <w:outlineLvl w:val="1"/>
        <w:rPr>
          <w:rStyle w:val="27"/>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40"/>
      <w:bookmarkEnd w:id="41"/>
      <w:r>
        <w:rPr>
          <w:rStyle w:val="27"/>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9年一般公共预算财政拨款基本支出64.74万元，其中：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人员经费55.41万元，主要包括：基本工资、津贴补贴、绩效工资、机关事业单位基本养老保险缴费、职业年金缴费、其他社会保障缴费、奖励金、住房公积金。</w:t>
      </w:r>
      <w:r>
        <w:rPr>
          <w:rFonts w:ascii="仿宋" w:hAnsi="仿宋" w:eastAsia="仿宋"/>
          <w:color w:val="000000"/>
          <w:sz w:val="32"/>
          <w:szCs w:val="32"/>
        </w:rPr>
        <w:br w:type="textWrapping"/>
      </w:r>
      <w:r>
        <w:rPr>
          <w:rFonts w:hint="eastAsia" w:ascii="仿宋" w:hAnsi="仿宋" w:eastAsia="仿宋"/>
          <w:color w:val="000000"/>
          <w:sz w:val="32"/>
          <w:szCs w:val="32"/>
        </w:rPr>
        <w:t>　　日常公用经费9.33万元，主要包括：办公费、差旅费。</w:t>
      </w:r>
    </w:p>
    <w:p>
      <w:pPr>
        <w:spacing w:line="600" w:lineRule="exact"/>
        <w:ind w:firstLine="640"/>
        <w:outlineLvl w:val="1"/>
        <w:rPr>
          <w:rStyle w:val="27"/>
          <w:rFonts w:ascii="黑体" w:hAnsi="黑体" w:eastAsia="黑体"/>
          <w:b w:val="0"/>
        </w:rPr>
      </w:pPr>
      <w:bookmarkStart w:id="42" w:name="_Toc15396609"/>
      <w:bookmarkStart w:id="43" w:name="_Toc15377215"/>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42"/>
      <w:bookmarkEnd w:id="43"/>
    </w:p>
    <w:p>
      <w:pPr>
        <w:spacing w:line="600" w:lineRule="exact"/>
        <w:ind w:firstLine="640"/>
        <w:outlineLvl w:val="2"/>
        <w:rPr>
          <w:rFonts w:hint="eastAsia" w:ascii="楷体" w:hAnsi="楷体" w:eastAsia="楷体" w:cs="楷体"/>
          <w:b/>
          <w:color w:val="000000"/>
          <w:sz w:val="32"/>
          <w:szCs w:val="32"/>
        </w:rPr>
      </w:pPr>
      <w:bookmarkStart w:id="44" w:name="_Toc15377216"/>
      <w:r>
        <w:rPr>
          <w:rFonts w:hint="eastAsia" w:ascii="楷体" w:hAnsi="楷体" w:eastAsia="楷体" w:cs="楷体"/>
          <w:b/>
          <w:color w:val="000000"/>
          <w:sz w:val="32"/>
          <w:szCs w:val="32"/>
        </w:rPr>
        <w:t>（一）“三公”经费财政拨款支出决算总体情况说明</w:t>
      </w:r>
      <w:bookmarkEnd w:id="44"/>
    </w:p>
    <w:p>
      <w:pPr>
        <w:spacing w:line="600" w:lineRule="exact"/>
        <w:ind w:firstLine="640"/>
        <w:rPr>
          <w:rFonts w:ascii="仿宋" w:hAnsi="仿宋" w:eastAsia="仿宋"/>
          <w:b/>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9年“三公”经费财政拨款支出决算为0万元。</w:t>
      </w:r>
    </w:p>
    <w:p>
      <w:pPr>
        <w:spacing w:line="600" w:lineRule="exact"/>
        <w:ind w:firstLine="640"/>
        <w:outlineLvl w:val="2"/>
        <w:rPr>
          <w:rFonts w:hint="eastAsia" w:ascii="楷体" w:hAnsi="楷体" w:eastAsia="楷体" w:cs="楷体"/>
          <w:b/>
          <w:color w:val="000000"/>
          <w:sz w:val="32"/>
          <w:szCs w:val="32"/>
        </w:rPr>
      </w:pPr>
      <w:bookmarkStart w:id="45" w:name="_Toc15377217"/>
      <w:r>
        <w:rPr>
          <w:rFonts w:hint="eastAsia" w:ascii="楷体" w:hAnsi="楷体" w:eastAsia="楷体" w:cs="楷体"/>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9年“三公”经费财政拨款支出决算中，因公出国（境）费支出决算0万元；公务用车购置及运行维护费支出决算0万元，占0</w:t>
      </w:r>
      <w:r>
        <w:rPr>
          <w:rFonts w:ascii="仿宋" w:hAnsi="仿宋" w:eastAsia="仿宋"/>
          <w:color w:val="000000"/>
          <w:sz w:val="32"/>
          <w:szCs w:val="32"/>
        </w:rPr>
        <w:t>%</w:t>
      </w:r>
      <w:r>
        <w:rPr>
          <w:rFonts w:hint="eastAsia" w:ascii="仿宋" w:hAnsi="仿宋" w:eastAsia="仿宋"/>
          <w:color w:val="000000"/>
          <w:sz w:val="32"/>
          <w:szCs w:val="32"/>
        </w:rPr>
        <w:t>；公务接待费支出决算0万元。</w:t>
      </w:r>
    </w:p>
    <w:p>
      <w:pPr>
        <w:spacing w:line="600" w:lineRule="exact"/>
        <w:ind w:firstLine="640"/>
        <w:outlineLvl w:val="1"/>
        <w:rPr>
          <w:rStyle w:val="27"/>
          <w:rFonts w:ascii="黑体" w:hAnsi="黑体" w:eastAsia="黑体"/>
        </w:rPr>
      </w:pPr>
      <w:bookmarkStart w:id="46" w:name="_Toc15377218"/>
      <w:bookmarkStart w:id="47" w:name="_Toc15396610"/>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9年政府性基金预算拨款支出0万元。</w:t>
      </w:r>
    </w:p>
    <w:p>
      <w:pPr>
        <w:numPr>
          <w:ilvl w:val="0"/>
          <w:numId w:val="1"/>
        </w:numPr>
        <w:spacing w:line="600" w:lineRule="exact"/>
        <w:ind w:firstLine="640"/>
        <w:outlineLvl w:val="1"/>
        <w:rPr>
          <w:rStyle w:val="27"/>
          <w:rFonts w:ascii="黑体" w:hAnsi="黑体" w:eastAsia="黑体"/>
          <w:b w:val="0"/>
        </w:rPr>
      </w:pPr>
      <w:bookmarkStart w:id="48" w:name="_Toc15377219"/>
      <w:bookmarkStart w:id="49" w:name="_Toc15396611"/>
      <w:r>
        <w:rPr>
          <w:rStyle w:val="27"/>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9年国有资本经营预算拨款支出0万元。</w:t>
      </w:r>
    </w:p>
    <w:p>
      <w:pPr>
        <w:spacing w:line="600" w:lineRule="exact"/>
        <w:ind w:firstLine="800" w:firstLineChars="250"/>
        <w:outlineLvl w:val="1"/>
        <w:rPr>
          <w:rStyle w:val="27"/>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50"/>
      <w:bookmarkEnd w:id="51"/>
    </w:p>
    <w:p>
      <w:pPr>
        <w:spacing w:line="600" w:lineRule="exact"/>
        <w:ind w:firstLine="643" w:firstLineChars="200"/>
        <w:outlineLvl w:val="2"/>
        <w:rPr>
          <w:rFonts w:hint="eastAsia" w:ascii="楷体" w:hAnsi="楷体" w:eastAsia="楷体" w:cs="楷体"/>
          <w:color w:val="000000"/>
          <w:sz w:val="32"/>
          <w:szCs w:val="32"/>
        </w:rPr>
      </w:pPr>
      <w:bookmarkStart w:id="52" w:name="_Toc15377222"/>
      <w:r>
        <w:rPr>
          <w:rFonts w:hint="eastAsia" w:ascii="楷体" w:hAnsi="楷体" w:eastAsia="楷体" w:cs="楷体"/>
          <w:b/>
          <w:color w:val="000000"/>
          <w:sz w:val="32"/>
          <w:szCs w:val="32"/>
        </w:rPr>
        <w:t>（一）机关运行经费支出情况</w:t>
      </w:r>
      <w:bookmarkEnd w:id="52"/>
    </w:p>
    <w:p>
      <w:pPr>
        <w:spacing w:line="600"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rPr>
        <w:t>9年，文联机关运行经费支出9.33万元，比</w:t>
      </w:r>
      <w:r>
        <w:rPr>
          <w:rFonts w:ascii="仿宋_GB2312" w:eastAsia="仿宋_GB2312"/>
          <w:color w:val="000000"/>
          <w:sz w:val="32"/>
          <w:szCs w:val="32"/>
        </w:rPr>
        <w:t>201</w:t>
      </w:r>
      <w:r>
        <w:rPr>
          <w:rFonts w:hint="eastAsia" w:ascii="仿宋_GB2312" w:eastAsia="仿宋_GB2312"/>
          <w:color w:val="000000"/>
          <w:sz w:val="32"/>
          <w:szCs w:val="32"/>
        </w:rPr>
        <w:t>8年增加5.77万元，增长0.61</w:t>
      </w:r>
      <w:r>
        <w:rPr>
          <w:rFonts w:ascii="仿宋_GB2312" w:eastAsia="仿宋_GB2312"/>
          <w:color w:val="000000"/>
          <w:sz w:val="32"/>
          <w:szCs w:val="32"/>
        </w:rPr>
        <w:t>%</w:t>
      </w:r>
      <w:r>
        <w:rPr>
          <w:rFonts w:hint="eastAsia" w:ascii="仿宋_GB2312" w:eastAsia="仿宋_GB2312"/>
          <w:color w:val="000000"/>
          <w:sz w:val="32"/>
          <w:szCs w:val="32"/>
        </w:rPr>
        <w:t>。增长原因是用于文联举办文艺活动费。</w:t>
      </w:r>
    </w:p>
    <w:p>
      <w:pPr>
        <w:autoSpaceDE w:val="0"/>
        <w:autoSpaceDN w:val="0"/>
        <w:adjustRightInd w:val="0"/>
        <w:spacing w:line="600" w:lineRule="exact"/>
        <w:ind w:firstLine="643" w:firstLineChars="200"/>
        <w:jc w:val="left"/>
        <w:outlineLvl w:val="2"/>
        <w:rPr>
          <w:rFonts w:hint="eastAsia" w:ascii="楷体" w:hAnsi="楷体" w:eastAsia="楷体" w:cs="楷体"/>
          <w:b/>
          <w:color w:val="000000"/>
          <w:sz w:val="32"/>
          <w:szCs w:val="32"/>
        </w:rPr>
      </w:pPr>
      <w:bookmarkStart w:id="53" w:name="_Toc15377223"/>
      <w:r>
        <w:rPr>
          <w:rFonts w:hint="eastAsia" w:ascii="楷体" w:hAnsi="楷体" w:eastAsia="楷体" w:cs="楷体"/>
          <w:b/>
          <w:color w:val="000000"/>
          <w:sz w:val="32"/>
          <w:szCs w:val="32"/>
        </w:rPr>
        <w:t>（二）政府采购支出情况</w:t>
      </w:r>
      <w:bookmarkEnd w:id="53"/>
    </w:p>
    <w:p>
      <w:pPr>
        <w:spacing w:line="600" w:lineRule="exact"/>
        <w:ind w:firstLine="640" w:firstLineChars="200"/>
        <w:rPr>
          <w:rFonts w:ascii="仿宋" w:hAnsi="仿宋" w:eastAsia="仿宋"/>
          <w:b/>
          <w:color w:val="FF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9年，文联政府采购支出总额0万元</w:t>
      </w:r>
    </w:p>
    <w:p>
      <w:pPr>
        <w:autoSpaceDE w:val="0"/>
        <w:autoSpaceDN w:val="0"/>
        <w:adjustRightInd w:val="0"/>
        <w:spacing w:line="600" w:lineRule="exact"/>
        <w:ind w:firstLine="643" w:firstLineChars="200"/>
        <w:jc w:val="left"/>
        <w:outlineLvl w:val="2"/>
        <w:rPr>
          <w:rFonts w:hint="eastAsia" w:ascii="楷体" w:hAnsi="楷体" w:eastAsia="楷体" w:cs="楷体"/>
          <w:b/>
          <w:color w:val="000000"/>
          <w:sz w:val="32"/>
          <w:szCs w:val="32"/>
        </w:rPr>
      </w:pPr>
      <w:bookmarkStart w:id="54" w:name="_Toc15377224"/>
      <w:r>
        <w:rPr>
          <w:rFonts w:hint="eastAsia" w:ascii="楷体" w:hAnsi="楷体" w:eastAsia="楷体" w:cs="楷体"/>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日，文联共有车辆0辆。</w:t>
      </w:r>
    </w:p>
    <w:p>
      <w:pPr>
        <w:spacing w:line="580" w:lineRule="exact"/>
        <w:ind w:firstLine="643" w:firstLineChars="200"/>
        <w:rPr>
          <w:rFonts w:hint="eastAsia" w:ascii="楷体" w:hAnsi="楷体" w:eastAsia="楷体" w:cs="楷体"/>
          <w:b/>
          <w:color w:val="000000"/>
          <w:sz w:val="32"/>
          <w:szCs w:val="32"/>
        </w:rPr>
      </w:pPr>
      <w:r>
        <w:rPr>
          <w:rFonts w:hint="eastAsia" w:ascii="楷体" w:hAnsi="楷体" w:eastAsia="楷体" w:cs="楷体"/>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年初预算编制阶段，组织对1个项目开展了预算事前绩效评估，对1个项目编制了绩效目标，预算执行过程中，选取1个项目开展绩效监控，年终执行完毕后，对1个项目开展了绩效目标完成情况自评。</w:t>
      </w:r>
    </w:p>
    <w:p>
      <w:pPr>
        <w:spacing w:line="600" w:lineRule="exact"/>
        <w:jc w:val="left"/>
        <w:rPr>
          <w:rFonts w:ascii="宋体"/>
          <w:b/>
          <w:color w:val="000000"/>
          <w:sz w:val="44"/>
          <w:szCs w:val="44"/>
        </w:rPr>
      </w:pPr>
    </w:p>
    <w:p>
      <w:pPr>
        <w:spacing w:line="600" w:lineRule="exact"/>
        <w:jc w:val="left"/>
        <w:rPr>
          <w:rFonts w:ascii="宋体"/>
          <w:b/>
          <w:color w:val="000000"/>
          <w:sz w:val="44"/>
          <w:szCs w:val="44"/>
        </w:rPr>
      </w:pPr>
    </w:p>
    <w:p>
      <w:pPr>
        <w:spacing w:line="600" w:lineRule="exact"/>
        <w:jc w:val="left"/>
        <w:rPr>
          <w:rFonts w:ascii="宋体"/>
          <w:b/>
          <w:color w:val="000000"/>
          <w:sz w:val="44"/>
          <w:szCs w:val="44"/>
        </w:rPr>
      </w:pPr>
    </w:p>
    <w:p>
      <w:pPr>
        <w:spacing w:line="600" w:lineRule="exact"/>
        <w:jc w:val="left"/>
        <w:rPr>
          <w:rFonts w:ascii="宋体"/>
          <w:b/>
          <w:color w:val="000000"/>
          <w:sz w:val="44"/>
          <w:szCs w:val="44"/>
        </w:rPr>
      </w:pPr>
    </w:p>
    <w:p>
      <w:pPr>
        <w:spacing w:line="600" w:lineRule="exact"/>
        <w:jc w:val="left"/>
        <w:rPr>
          <w:rFonts w:ascii="宋体"/>
          <w:b/>
          <w:color w:val="000000"/>
          <w:sz w:val="44"/>
          <w:szCs w:val="44"/>
        </w:rPr>
      </w:pPr>
    </w:p>
    <w:p>
      <w:pPr>
        <w:spacing w:line="600" w:lineRule="exact"/>
        <w:jc w:val="left"/>
        <w:rPr>
          <w:rFonts w:ascii="宋体"/>
          <w:b/>
          <w:color w:val="000000"/>
          <w:sz w:val="44"/>
          <w:szCs w:val="44"/>
        </w:rPr>
      </w:pPr>
    </w:p>
    <w:p>
      <w:pPr>
        <w:spacing w:line="600" w:lineRule="exact"/>
        <w:jc w:val="left"/>
        <w:rPr>
          <w:rFonts w:ascii="宋体"/>
          <w:b/>
          <w:color w:val="000000"/>
          <w:sz w:val="44"/>
          <w:szCs w:val="44"/>
        </w:rPr>
      </w:pPr>
    </w:p>
    <w:p>
      <w:pPr>
        <w:spacing w:line="600" w:lineRule="exact"/>
        <w:jc w:val="left"/>
        <w:rPr>
          <w:rFonts w:ascii="宋体"/>
          <w:b/>
          <w:color w:val="000000"/>
          <w:sz w:val="44"/>
          <w:szCs w:val="44"/>
        </w:rPr>
      </w:pPr>
    </w:p>
    <w:p>
      <w:pPr>
        <w:spacing w:line="600" w:lineRule="exact"/>
        <w:jc w:val="left"/>
        <w:rPr>
          <w:rFonts w:ascii="宋体"/>
          <w:b/>
          <w:color w:val="000000"/>
          <w:sz w:val="44"/>
          <w:szCs w:val="44"/>
        </w:rPr>
      </w:pPr>
    </w:p>
    <w:p>
      <w:pPr>
        <w:spacing w:line="600" w:lineRule="exact"/>
        <w:jc w:val="left"/>
        <w:rPr>
          <w:rFonts w:ascii="宋体"/>
          <w:b/>
          <w:color w:val="000000"/>
          <w:sz w:val="44"/>
          <w:szCs w:val="44"/>
        </w:rPr>
      </w:pPr>
    </w:p>
    <w:p>
      <w:pPr>
        <w:spacing w:line="600" w:lineRule="exact"/>
        <w:jc w:val="left"/>
        <w:rPr>
          <w:rFonts w:ascii="宋体"/>
          <w:b/>
          <w:color w:val="000000"/>
          <w:sz w:val="44"/>
          <w:szCs w:val="44"/>
        </w:rPr>
      </w:pPr>
    </w:p>
    <w:p>
      <w:pPr>
        <w:spacing w:line="600" w:lineRule="exact"/>
        <w:jc w:val="left"/>
        <w:rPr>
          <w:rFonts w:ascii="宋体"/>
          <w:b/>
          <w:color w:val="000000"/>
          <w:sz w:val="44"/>
          <w:szCs w:val="44"/>
        </w:rPr>
      </w:pPr>
    </w:p>
    <w:p>
      <w:pPr>
        <w:pStyle w:val="25"/>
        <w:spacing w:line="600" w:lineRule="exact"/>
        <w:ind w:left="2460" w:firstLine="0" w:firstLineChars="0"/>
        <w:outlineLvl w:val="0"/>
        <w:rPr>
          <w:rFonts w:ascii="黑体" w:hAnsi="黑体" w:eastAsia="黑体"/>
          <w:color w:val="000000"/>
          <w:sz w:val="44"/>
          <w:szCs w:val="44"/>
        </w:rPr>
      </w:pPr>
      <w:bookmarkStart w:id="55" w:name="_Toc15377225"/>
      <w:bookmarkStart w:id="56" w:name="_Toc15396613"/>
    </w:p>
    <w:p>
      <w:pPr>
        <w:pStyle w:val="25"/>
        <w:spacing w:line="600" w:lineRule="exact"/>
        <w:ind w:left="2460" w:firstLine="0" w:firstLineChars="0"/>
        <w:outlineLvl w:val="0"/>
        <w:rPr>
          <w:rFonts w:ascii="黑体" w:hAnsi="黑体" w:eastAsia="黑体"/>
          <w:color w:val="000000"/>
          <w:sz w:val="44"/>
          <w:szCs w:val="44"/>
        </w:rPr>
      </w:pPr>
    </w:p>
    <w:p>
      <w:pPr>
        <w:pStyle w:val="25"/>
        <w:spacing w:line="600" w:lineRule="exact"/>
        <w:ind w:left="2460" w:firstLine="0" w:firstLineChars="0"/>
        <w:outlineLvl w:val="0"/>
        <w:rPr>
          <w:rFonts w:ascii="黑体" w:hAnsi="黑体" w:eastAsia="黑体"/>
          <w:color w:val="000000"/>
          <w:sz w:val="44"/>
          <w:szCs w:val="44"/>
        </w:rPr>
      </w:pPr>
    </w:p>
    <w:p>
      <w:pPr>
        <w:pStyle w:val="25"/>
        <w:spacing w:line="600" w:lineRule="exact"/>
        <w:ind w:left="2460" w:firstLine="0" w:firstLineChars="0"/>
        <w:outlineLvl w:val="0"/>
        <w:rPr>
          <w:rFonts w:ascii="黑体" w:hAnsi="黑体" w:eastAsia="黑体"/>
          <w:color w:val="000000"/>
          <w:sz w:val="44"/>
          <w:szCs w:val="44"/>
        </w:rPr>
      </w:pPr>
    </w:p>
    <w:p>
      <w:pPr>
        <w:pStyle w:val="25"/>
        <w:spacing w:line="600" w:lineRule="exact"/>
        <w:ind w:left="2460" w:firstLine="0" w:firstLineChars="0"/>
        <w:outlineLvl w:val="0"/>
        <w:rPr>
          <w:rFonts w:ascii="黑体" w:hAnsi="黑体" w:eastAsia="黑体"/>
          <w:color w:val="000000"/>
          <w:sz w:val="44"/>
          <w:szCs w:val="44"/>
        </w:rPr>
      </w:pPr>
    </w:p>
    <w:p>
      <w:pPr>
        <w:pStyle w:val="25"/>
        <w:spacing w:line="600" w:lineRule="exact"/>
        <w:ind w:left="2460" w:firstLine="0" w:firstLineChars="0"/>
        <w:outlineLvl w:val="0"/>
        <w:rPr>
          <w:rFonts w:ascii="黑体" w:hAnsi="黑体" w:eastAsia="黑体"/>
          <w:color w:val="000000"/>
          <w:sz w:val="44"/>
          <w:szCs w:val="44"/>
        </w:rPr>
      </w:pPr>
    </w:p>
    <w:p>
      <w:pPr>
        <w:pStyle w:val="25"/>
        <w:spacing w:line="600" w:lineRule="exact"/>
        <w:ind w:left="2460" w:firstLine="0" w:firstLineChars="0"/>
        <w:outlineLvl w:val="0"/>
        <w:rPr>
          <w:rFonts w:hint="eastAsia" w:ascii="黑体" w:hAnsi="黑体" w:eastAsia="黑体"/>
          <w:color w:val="000000"/>
          <w:sz w:val="44"/>
          <w:szCs w:val="44"/>
        </w:rPr>
      </w:pPr>
    </w:p>
    <w:p>
      <w:pPr>
        <w:pStyle w:val="25"/>
        <w:spacing w:line="600" w:lineRule="exact"/>
        <w:ind w:left="2460" w:firstLine="0" w:firstLineChars="0"/>
        <w:outlineLvl w:val="0"/>
        <w:rPr>
          <w:rStyle w:val="26"/>
          <w:rFonts w:ascii="黑体" w:hAnsi="黑体" w:eastAsia="黑体"/>
          <w:b w:val="0"/>
        </w:rPr>
      </w:pPr>
      <w:r>
        <w:rPr>
          <w:rFonts w:hint="eastAsia" w:ascii="黑体" w:hAnsi="黑体" w:eastAsia="黑体"/>
          <w:color w:val="000000"/>
          <w:sz w:val="44"/>
          <w:szCs w:val="44"/>
        </w:rPr>
        <w:t>第三部分 名</w:t>
      </w:r>
      <w:r>
        <w:rPr>
          <w:rStyle w:val="26"/>
          <w:rFonts w:hint="eastAsia" w:ascii="黑体" w:hAnsi="黑体" w:eastAsia="黑体"/>
          <w:b w:val="0"/>
        </w:rPr>
        <w:t>词解释</w:t>
      </w:r>
      <w:bookmarkEnd w:id="55"/>
      <w:bookmarkEnd w:id="56"/>
    </w:p>
    <w:p>
      <w:pPr>
        <w:pStyle w:val="2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5</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olor w:val="000000"/>
          <w:sz w:val="32"/>
          <w:szCs w:val="32"/>
        </w:rPr>
        <w:t>一般公共服务（类）群众团体事物（款）事业运行（项）：指单位内的基本支出。</w:t>
      </w:r>
    </w:p>
    <w:p>
      <w:pPr>
        <w:ind w:firstLine="480" w:firstLineChars="150"/>
      </w:pPr>
      <w:r>
        <w:rPr>
          <w:rFonts w:hint="eastAsia" w:ascii="仿宋_GB2312" w:eastAsia="仿宋_GB2312"/>
          <w:color w:val="000000"/>
          <w:sz w:val="32"/>
          <w:szCs w:val="32"/>
        </w:rPr>
        <w:t>9.社会保障和就业（类）行政事业单位离退休（款）机关事业单位基本养老保险缴费支出（项）：</w:t>
      </w:r>
      <w:r>
        <w:rPr>
          <w:rStyle w:val="33"/>
          <w:rFonts w:hint="eastAsia" w:ascii="仿宋_GB2312" w:eastAsia="仿宋_GB2312"/>
          <w:b w:val="0"/>
          <w:bCs w:val="0"/>
          <w:color w:val="000000"/>
          <w:sz w:val="32"/>
          <w:szCs w:val="32"/>
        </w:rPr>
        <w:t>指</w:t>
      </w:r>
      <w:r>
        <w:rPr>
          <w:rFonts w:hint="eastAsia" w:ascii="仿宋_GB2312" w:eastAsia="仿宋_GB2312"/>
          <w:color w:val="000000"/>
          <w:kern w:val="0"/>
          <w:sz w:val="32"/>
          <w:szCs w:val="32"/>
        </w:rPr>
        <w:t>单位实施养老保险制度由单位缴纳的养老保险费的支出</w:t>
      </w:r>
      <w:r>
        <w:rPr>
          <w:rFonts w:hint="eastAsia" w:ascii="仿宋_GB2312" w:eastAsia="仿宋_GB2312"/>
          <w:color w:val="000000"/>
          <w:sz w:val="32"/>
          <w:szCs w:val="32"/>
        </w:rPr>
        <w:t>。</w:t>
      </w:r>
    </w:p>
    <w:p>
      <w:pPr>
        <w:ind w:firstLine="480" w:firstLineChars="150"/>
      </w:pPr>
      <w:r>
        <w:rPr>
          <w:rFonts w:hint="eastAsia" w:ascii="仿宋_GB2312" w:eastAsia="仿宋_GB2312"/>
          <w:color w:val="000000"/>
          <w:sz w:val="32"/>
          <w:szCs w:val="32"/>
        </w:rPr>
        <w:t>10.医疗卫生与计划生育（类）行政事业单位医疗（款）事业单位医疗（项）：</w:t>
      </w:r>
      <w:r>
        <w:rPr>
          <w:rStyle w:val="33"/>
          <w:rFonts w:hint="eastAsia" w:ascii="仿宋_GB2312" w:eastAsia="仿宋_GB2312"/>
          <w:b w:val="0"/>
          <w:bCs w:val="0"/>
          <w:color w:val="000000"/>
          <w:sz w:val="32"/>
          <w:szCs w:val="32"/>
        </w:rPr>
        <w:t>指</w:t>
      </w:r>
      <w:r>
        <w:rPr>
          <w:rFonts w:hint="eastAsia" w:ascii="仿宋_GB2312" w:eastAsia="仿宋_GB2312"/>
          <w:color w:val="000000"/>
          <w:kern w:val="0"/>
          <w:sz w:val="32"/>
          <w:szCs w:val="32"/>
        </w:rPr>
        <w:t>行政单位用于缴纳单位基本医疗保险支出</w:t>
      </w:r>
      <w:r>
        <w:rPr>
          <w:rFonts w:hint="eastAsia" w:ascii="仿宋_GB2312" w:eastAsia="仿宋_GB2312"/>
          <w:color w:val="000000"/>
          <w:sz w:val="32"/>
          <w:szCs w:val="32"/>
        </w:rPr>
        <w:t>。</w:t>
      </w:r>
    </w:p>
    <w:p>
      <w:pPr>
        <w:spacing w:line="576" w:lineRule="exact"/>
        <w:ind w:firstLine="640" w:firstLineChars="200"/>
        <w:rPr>
          <w:rStyle w:val="33"/>
          <w:rFonts w:ascii="仿宋_GB2312" w:eastAsia="仿宋_GB2312"/>
          <w:b w:val="0"/>
          <w:bCs w:val="0"/>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Style w:val="33"/>
          <w:rFonts w:hint="eastAsia" w:ascii="仿宋_GB2312" w:eastAsia="仿宋_GB2312"/>
          <w:b w:val="0"/>
          <w:bCs w:val="0"/>
          <w:color w:val="000000"/>
          <w:sz w:val="32"/>
          <w:szCs w:val="32"/>
        </w:rPr>
        <w:t>住房保障支出（类）住房改革支出（款）住房公积金（项）: 指</w:t>
      </w:r>
      <w:r>
        <w:rPr>
          <w:rFonts w:hint="eastAsia" w:ascii="仿宋_GB2312" w:eastAsia="仿宋_GB2312"/>
          <w:color w:val="000000"/>
          <w:kern w:val="0"/>
          <w:sz w:val="32"/>
          <w:szCs w:val="32"/>
        </w:rPr>
        <w:t>反映行政事业单位按规定为职工缴纳的住房公积金</w:t>
      </w:r>
      <w:r>
        <w:rPr>
          <w:rStyle w:val="33"/>
          <w:rFonts w:hint="eastAsia" w:ascii="仿宋_GB2312" w:eastAsia="仿宋_GB2312"/>
          <w:b w:val="0"/>
          <w:bCs w:val="0"/>
          <w:color w:val="000000"/>
          <w:sz w:val="32"/>
          <w:szCs w:val="32"/>
        </w:rPr>
        <w:t>。</w:t>
      </w:r>
    </w:p>
    <w:p>
      <w:pPr>
        <w:spacing w:line="576" w:lineRule="exact"/>
        <w:ind w:firstLine="640" w:firstLineChars="200"/>
        <w:rPr>
          <w:rFonts w:ascii="仿宋_GB2312" w:eastAsia="仿宋_GB2312"/>
          <w:color w:val="000000"/>
          <w:sz w:val="32"/>
          <w:szCs w:val="32"/>
        </w:rPr>
      </w:pPr>
      <w:r>
        <w:rPr>
          <w:rStyle w:val="33"/>
          <w:rFonts w:hint="eastAsia" w:ascii="仿宋_GB2312" w:eastAsia="仿宋_GB2312"/>
          <w:b w:val="0"/>
          <w:bCs w:val="0"/>
          <w:color w:val="000000"/>
          <w:sz w:val="32"/>
          <w:szCs w:val="32"/>
        </w:rPr>
        <w:t>12.社会保障和就业（类）行政事业单位离退休（款）机关事业单位职业年金缴费支出（项）: 指</w:t>
      </w:r>
      <w:r>
        <w:rPr>
          <w:rFonts w:hint="eastAsia" w:ascii="仿宋_GB2312" w:eastAsia="仿宋_GB2312"/>
          <w:color w:val="000000"/>
          <w:kern w:val="0"/>
          <w:sz w:val="32"/>
          <w:szCs w:val="32"/>
        </w:rPr>
        <w:t>单位实施养老保险制度由单位缴纳的职业年金的支出</w:t>
      </w:r>
      <w:r>
        <w:rPr>
          <w:rStyle w:val="33"/>
          <w:rFonts w:hint="eastAsia" w:ascii="仿宋_GB2312" w:eastAsia="仿宋_GB2312"/>
          <w:b w:val="0"/>
          <w:bCs w:val="0"/>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15</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16</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4"/>
        <w:spacing w:line="560" w:lineRule="exact"/>
        <w:ind w:firstLine="640" w:firstLineChars="200"/>
        <w:rPr>
          <w:rFonts w:ascii="仿宋_GB2312" w:eastAsia="仿宋_GB2312" w:cs="黑体"/>
          <w:sz w:val="32"/>
          <w:szCs w:val="32"/>
        </w:rPr>
      </w:pPr>
    </w:p>
    <w:p>
      <w:pPr>
        <w:spacing w:line="600" w:lineRule="exact"/>
        <w:outlineLvl w:val="0"/>
        <w:rPr>
          <w:rFonts w:ascii="黑体" w:hAnsi="黑体" w:eastAsia="黑体"/>
          <w:color w:val="000000"/>
          <w:sz w:val="44"/>
          <w:szCs w:val="44"/>
        </w:rPr>
      </w:pPr>
      <w:bookmarkStart w:id="57" w:name="_Toc15396614"/>
      <w:bookmarkStart w:id="58" w:name="_Toc15377226"/>
    </w:p>
    <w:p>
      <w:pPr>
        <w:spacing w:line="600" w:lineRule="exact"/>
        <w:outlineLvl w:val="0"/>
        <w:rPr>
          <w:rFonts w:ascii="黑体" w:hAnsi="黑体" w:eastAsia="黑体"/>
          <w:color w:val="000000"/>
          <w:sz w:val="44"/>
          <w:szCs w:val="44"/>
        </w:rPr>
      </w:pPr>
    </w:p>
    <w:p>
      <w:pPr>
        <w:spacing w:line="600" w:lineRule="exact"/>
        <w:jc w:val="center"/>
        <w:outlineLvl w:val="0"/>
        <w:rPr>
          <w:rStyle w:val="26"/>
          <w:rFonts w:ascii="黑体" w:hAnsi="黑体" w:eastAsia="黑体"/>
          <w:b w:val="0"/>
        </w:rPr>
      </w:pPr>
      <w:r>
        <w:rPr>
          <w:rFonts w:hint="eastAsia" w:ascii="黑体" w:hAnsi="黑体" w:eastAsia="黑体"/>
          <w:color w:val="000000"/>
          <w:sz w:val="44"/>
          <w:szCs w:val="44"/>
        </w:rPr>
        <w:t>第</w:t>
      </w:r>
      <w:r>
        <w:rPr>
          <w:rStyle w:val="26"/>
          <w:rFonts w:hint="eastAsia" w:ascii="黑体" w:hAnsi="黑体" w:eastAsia="黑体"/>
          <w:b w:val="0"/>
        </w:rPr>
        <w:t>四部分 附件</w:t>
      </w:r>
      <w:bookmarkEnd w:id="57"/>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rPr>
        <w:t>茂县文学艺术界联合会</w:t>
      </w:r>
      <w:r>
        <w:rPr>
          <w:rFonts w:hint="eastAsia" w:ascii="方正小标宋简体" w:hAnsi="宋体" w:eastAsia="方正小标宋简体"/>
          <w:color w:val="000000"/>
          <w:kern w:val="0"/>
          <w:sz w:val="40"/>
          <w:szCs w:val="44"/>
          <w:lang w:val="zh-CN"/>
        </w:rPr>
        <w:t>、</w:t>
      </w:r>
    </w:p>
    <w:p>
      <w:pPr>
        <w:spacing w:line="600" w:lineRule="exact"/>
        <w:jc w:val="center"/>
        <w:rPr>
          <w:rFonts w:ascii="方正小标宋简体" w:hAnsi="宋体" w:eastAsia="方正小标宋简体"/>
          <w:color w:val="000000"/>
          <w:kern w:val="0"/>
          <w:sz w:val="40"/>
          <w:szCs w:val="44"/>
          <w:lang w:val="zh-CN"/>
        </w:rPr>
      </w:pP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部门概况</w:t>
      </w:r>
    </w:p>
    <w:p>
      <w:pPr>
        <w:spacing w:line="576" w:lineRule="exact"/>
        <w:ind w:firstLine="643" w:firstLineChars="200"/>
        <w:rPr>
          <w:rFonts w:ascii="仿宋_GB2312" w:hAnsi="宋体" w:eastAsia="仿宋_GB2312" w:cs="宋体"/>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（一）机构组成。</w:t>
      </w:r>
      <w:r>
        <w:rPr>
          <w:rFonts w:hint="eastAsia" w:ascii="仿宋_GB2312" w:hAnsi="宋体" w:eastAsia="仿宋_GB2312" w:cs="宋体"/>
          <w:color w:val="000000"/>
          <w:kern w:val="0"/>
          <w:sz w:val="32"/>
          <w:szCs w:val="32"/>
          <w:shd w:val="clear" w:color="auto" w:fill="FFFFFF"/>
          <w:lang w:val="zh-CN"/>
        </w:rPr>
        <w:t>茂县文学艺术界联合会目前仅内设办公室和财务室。</w:t>
      </w:r>
    </w:p>
    <w:p>
      <w:pPr>
        <w:spacing w:line="576" w:lineRule="exact"/>
        <w:ind w:firstLine="643" w:firstLineChars="200"/>
        <w:rPr>
          <w:rFonts w:ascii="仿宋_GB2312" w:hAnsi="宋体" w:eastAsia="仿宋_GB2312" w:cs="宋体"/>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（二）机构职能。</w:t>
      </w:r>
      <w:r>
        <w:rPr>
          <w:rFonts w:hint="eastAsia" w:ascii="仿宋_GB2312" w:hAnsi="宋体" w:eastAsia="仿宋_GB2312" w:cs="宋体"/>
          <w:color w:val="000000"/>
          <w:kern w:val="0"/>
          <w:sz w:val="32"/>
          <w:szCs w:val="32"/>
          <w:shd w:val="clear" w:color="auto" w:fill="FFFFFF"/>
          <w:lang w:val="zh-CN"/>
        </w:rPr>
        <w:t>茂县文学艺术界联合会是县委领导、县委宣传部代管的正科级群团机构，主要职能是繁荣发展社会主义文艺事业，满足人民群众日益增长的文化发展需要，对团体会员开展联络、协调、服务、指导工作。通过文艺采风、学术研讨、展览演出等工作，指导团体会员开展业务活动。</w:t>
      </w:r>
    </w:p>
    <w:p>
      <w:pPr>
        <w:widowControl/>
        <w:spacing w:line="600" w:lineRule="exact"/>
        <w:ind w:left="210" w:leftChars="100" w:firstLine="321" w:firstLineChars="100"/>
        <w:jc w:val="left"/>
        <w:rPr>
          <w:rFonts w:ascii="仿宋_GB2312" w:hAnsi="宋体" w:eastAsia="仿宋_GB2312" w:cs="宋体"/>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（三）人员概况。</w:t>
      </w:r>
      <w:r>
        <w:rPr>
          <w:rFonts w:hint="eastAsia" w:ascii="仿宋_GB2312" w:hAnsi="宋体" w:eastAsia="仿宋_GB2312" w:cs="宋体"/>
          <w:color w:val="000000"/>
          <w:kern w:val="0"/>
          <w:sz w:val="32"/>
          <w:szCs w:val="32"/>
          <w:shd w:val="clear" w:color="auto" w:fill="FFFFFF"/>
          <w:lang w:val="zh-CN"/>
        </w:rPr>
        <w:t>总编制</w:t>
      </w:r>
      <w:r>
        <w:rPr>
          <w:rFonts w:ascii="仿宋_GB2312" w:hAnsi="宋体" w:eastAsia="仿宋_GB2312" w:cs="宋体"/>
          <w:color w:val="000000"/>
          <w:kern w:val="0"/>
          <w:sz w:val="32"/>
          <w:szCs w:val="32"/>
          <w:shd w:val="clear" w:color="auto" w:fill="FFFFFF"/>
          <w:lang w:val="zh-CN"/>
        </w:rPr>
        <w:t xml:space="preserve"> 4</w:t>
      </w:r>
      <w:r>
        <w:rPr>
          <w:rFonts w:hint="eastAsia" w:ascii="仿宋_GB2312" w:hAnsi="宋体" w:eastAsia="仿宋_GB2312" w:cs="宋体"/>
          <w:color w:val="000000"/>
          <w:kern w:val="0"/>
          <w:sz w:val="32"/>
          <w:szCs w:val="32"/>
          <w:shd w:val="clear" w:color="auto" w:fill="FFFFFF"/>
          <w:lang w:val="zh-CN"/>
        </w:rPr>
        <w:t>名</w:t>
      </w:r>
      <w:r>
        <w:rPr>
          <w:rFonts w:ascii="仿宋_GB2312" w:hAnsi="宋体" w:eastAsia="仿宋_GB2312" w:cs="宋体"/>
          <w:color w:val="000000"/>
          <w:kern w:val="0"/>
          <w:sz w:val="32"/>
          <w:szCs w:val="32"/>
          <w:shd w:val="clear" w:color="auto" w:fill="FFFFFF"/>
          <w:lang w:val="zh-CN"/>
        </w:rPr>
        <w:t>,</w:t>
      </w:r>
      <w:r>
        <w:rPr>
          <w:rFonts w:hint="eastAsia" w:ascii="仿宋_GB2312" w:hAnsi="宋体" w:eastAsia="仿宋_GB2312" w:cs="宋体"/>
          <w:color w:val="000000"/>
          <w:kern w:val="0"/>
          <w:sz w:val="32"/>
          <w:szCs w:val="32"/>
          <w:shd w:val="clear" w:color="auto" w:fill="FFFFFF"/>
          <w:lang w:val="zh-CN"/>
        </w:rPr>
        <w:t>其中</w:t>
      </w:r>
      <w:r>
        <w:rPr>
          <w:rFonts w:ascii="仿宋_GB2312" w:hAnsi="宋体" w:eastAsia="仿宋_GB2312" w:cs="宋体"/>
          <w:color w:val="000000"/>
          <w:kern w:val="0"/>
          <w:sz w:val="32"/>
          <w:szCs w:val="32"/>
          <w:shd w:val="clear" w:color="auto" w:fill="FFFFFF"/>
          <w:lang w:val="zh-CN"/>
        </w:rPr>
        <w:t>:</w:t>
      </w:r>
      <w:r>
        <w:rPr>
          <w:rFonts w:hint="eastAsia" w:ascii="仿宋_GB2312" w:hAnsi="宋体" w:eastAsia="仿宋_GB2312" w:cs="宋体"/>
          <w:color w:val="000000"/>
          <w:kern w:val="0"/>
          <w:sz w:val="32"/>
          <w:szCs w:val="32"/>
          <w:shd w:val="clear" w:color="auto" w:fill="FFFFFF"/>
          <w:lang w:val="zh-CN"/>
        </w:rPr>
        <w:t>事业编制</w:t>
      </w:r>
      <w:r>
        <w:rPr>
          <w:rFonts w:ascii="仿宋_GB2312" w:hAnsi="宋体" w:eastAsia="仿宋_GB2312" w:cs="宋体"/>
          <w:color w:val="000000"/>
          <w:kern w:val="0"/>
          <w:sz w:val="32"/>
          <w:szCs w:val="32"/>
          <w:shd w:val="clear" w:color="auto" w:fill="FFFFFF"/>
          <w:lang w:val="zh-CN"/>
        </w:rPr>
        <w:t xml:space="preserve"> 4 </w:t>
      </w:r>
      <w:r>
        <w:rPr>
          <w:rFonts w:hint="eastAsia" w:ascii="仿宋_GB2312" w:hAnsi="宋体" w:eastAsia="仿宋_GB2312" w:cs="宋体"/>
          <w:color w:val="000000"/>
          <w:kern w:val="0"/>
          <w:sz w:val="32"/>
          <w:szCs w:val="32"/>
          <w:shd w:val="clear" w:color="auto" w:fill="FFFFFF"/>
          <w:lang w:val="zh-CN"/>
        </w:rPr>
        <w:t>名。在职人员总数5名。 </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40" w:lineRule="exact"/>
        <w:ind w:firstLine="643" w:firstLineChars="200"/>
        <w:jc w:val="left"/>
        <w:rPr>
          <w:rFonts w:ascii="仿宋_GB2312" w:hAnsi="仿宋_GB2312" w:eastAsia="仿宋_GB2312" w:cs="仿宋_GB2312"/>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（一）部门财政资金收入情况。</w:t>
      </w:r>
      <w:r>
        <w:rPr>
          <w:rFonts w:hint="eastAsia" w:ascii="仿宋_GB2312" w:hAnsi="仿宋_GB2312" w:eastAsia="仿宋_GB2312" w:cs="仿宋_GB2312"/>
          <w:color w:val="000000"/>
          <w:kern w:val="0"/>
          <w:sz w:val="32"/>
          <w:szCs w:val="32"/>
          <w:shd w:val="clear" w:color="auto" w:fill="FFFFFF"/>
          <w:lang w:val="zh-CN"/>
        </w:rPr>
        <w:t>县文学艺术界联合会201</w:t>
      </w:r>
      <w:r>
        <w:rPr>
          <w:rFonts w:hint="eastAsia" w:ascii="仿宋_GB2312" w:hAnsi="仿宋_GB2312" w:eastAsia="仿宋_GB2312" w:cs="仿宋_GB2312"/>
          <w:color w:val="000000"/>
          <w:kern w:val="0"/>
          <w:sz w:val="32"/>
          <w:szCs w:val="32"/>
          <w:shd w:val="clear" w:color="auto" w:fill="FFFFFF"/>
        </w:rPr>
        <w:t>9</w:t>
      </w:r>
      <w:r>
        <w:rPr>
          <w:rFonts w:hint="eastAsia" w:ascii="仿宋_GB2312" w:hAnsi="仿宋_GB2312" w:eastAsia="仿宋_GB2312" w:cs="仿宋_GB2312"/>
          <w:color w:val="000000"/>
          <w:kern w:val="0"/>
          <w:sz w:val="32"/>
          <w:szCs w:val="32"/>
          <w:shd w:val="clear" w:color="auto" w:fill="FFFFFF"/>
          <w:lang w:val="zh-CN"/>
        </w:rPr>
        <w:t>年部门预算收入总额</w:t>
      </w:r>
      <w:r>
        <w:rPr>
          <w:rFonts w:hint="eastAsia" w:ascii="仿宋_GB2312" w:hAnsi="仿宋_GB2312" w:eastAsia="仿宋_GB2312" w:cs="仿宋_GB2312"/>
          <w:sz w:val="32"/>
          <w:szCs w:val="32"/>
        </w:rPr>
        <w:t>72.68万元</w:t>
      </w:r>
      <w:r>
        <w:rPr>
          <w:rFonts w:hint="eastAsia" w:ascii="仿宋_GB2312" w:hAnsi="仿宋_GB2312" w:eastAsia="仿宋_GB2312" w:cs="仿宋_GB2312"/>
          <w:color w:val="000000"/>
          <w:kern w:val="0"/>
          <w:sz w:val="32"/>
          <w:szCs w:val="32"/>
          <w:shd w:val="clear" w:color="auto" w:fill="FFFFFF"/>
          <w:lang w:val="zh-CN"/>
        </w:rPr>
        <w:t>。</w:t>
      </w:r>
    </w:p>
    <w:p>
      <w:pPr>
        <w:spacing w:line="600" w:lineRule="exact"/>
        <w:ind w:firstLine="640"/>
        <w:rPr>
          <w:rFonts w:ascii="仿宋" w:hAnsi="仿宋" w:eastAsia="仿宋"/>
          <w:color w:val="000000" w:themeColor="text1"/>
          <w:sz w:val="32"/>
          <w:szCs w:val="32"/>
        </w:rPr>
      </w:pPr>
      <w:r>
        <w:rPr>
          <w:rFonts w:hint="eastAsia" w:ascii="楷体" w:hAnsi="楷体" w:eastAsia="楷体" w:cs="楷体"/>
          <w:b/>
          <w:bCs/>
          <w:color w:val="000000"/>
          <w:kern w:val="0"/>
          <w:sz w:val="32"/>
          <w:szCs w:val="32"/>
          <w:shd w:val="clear" w:color="auto" w:fill="FFFFFF"/>
          <w:lang w:val="zh-CN"/>
        </w:rPr>
        <w:t>（二）部门财政资金支出情况。</w:t>
      </w:r>
      <w:r>
        <w:rPr>
          <w:rFonts w:hint="eastAsia" w:ascii="仿宋_GB2312" w:hAnsi="仿宋_GB2312" w:eastAsia="仿宋_GB2312" w:cs="仿宋_GB2312"/>
          <w:color w:val="000000"/>
          <w:kern w:val="0"/>
          <w:sz w:val="32"/>
          <w:szCs w:val="32"/>
          <w:shd w:val="clear" w:color="auto" w:fill="FFFFFF"/>
          <w:lang w:val="zh-CN"/>
        </w:rPr>
        <w:t>201</w:t>
      </w:r>
      <w:r>
        <w:rPr>
          <w:rFonts w:hint="eastAsia" w:ascii="仿宋_GB2312" w:hAnsi="仿宋_GB2312" w:eastAsia="仿宋_GB2312" w:cs="仿宋_GB2312"/>
          <w:color w:val="000000"/>
          <w:kern w:val="0"/>
          <w:sz w:val="32"/>
          <w:szCs w:val="32"/>
          <w:shd w:val="clear" w:color="auto" w:fill="FFFFFF"/>
        </w:rPr>
        <w:t>9</w:t>
      </w:r>
      <w:r>
        <w:rPr>
          <w:rFonts w:hint="eastAsia" w:ascii="仿宋_GB2312" w:hAnsi="仿宋_GB2312" w:eastAsia="仿宋_GB2312" w:cs="仿宋_GB2312"/>
          <w:color w:val="000000"/>
          <w:kern w:val="0"/>
          <w:sz w:val="32"/>
          <w:szCs w:val="32"/>
          <w:shd w:val="clear" w:color="auto" w:fill="FFFFFF"/>
          <w:lang w:val="zh-CN"/>
        </w:rPr>
        <w:t>年部门预算支出总额</w:t>
      </w:r>
      <w:r>
        <w:rPr>
          <w:rFonts w:hint="eastAsia" w:ascii="仿宋_GB2312" w:hAnsi="仿宋_GB2312" w:eastAsia="仿宋_GB2312" w:cs="仿宋_GB2312"/>
          <w:color w:val="000000"/>
          <w:kern w:val="0"/>
          <w:sz w:val="32"/>
          <w:szCs w:val="32"/>
          <w:shd w:val="clear" w:color="auto" w:fill="FFFFFF"/>
        </w:rPr>
        <w:t>71.8万</w:t>
      </w:r>
      <w:r>
        <w:rPr>
          <w:rFonts w:hint="eastAsia" w:ascii="仿宋_GB2312" w:hAnsi="仿宋_GB2312" w:eastAsia="仿宋_GB2312" w:cs="仿宋_GB2312"/>
          <w:color w:val="000000"/>
          <w:kern w:val="0"/>
          <w:sz w:val="32"/>
          <w:szCs w:val="32"/>
          <w:shd w:val="clear" w:color="auto" w:fill="FFFFFF"/>
          <w:lang w:val="zh-CN"/>
        </w:rPr>
        <w:t>元。其中</w:t>
      </w:r>
      <w:r>
        <w:rPr>
          <w:rFonts w:hint="eastAsia" w:ascii="仿宋" w:hAnsi="仿宋" w:eastAsia="仿宋"/>
          <w:b/>
          <w:color w:val="000000" w:themeColor="text1"/>
          <w:sz w:val="32"/>
          <w:szCs w:val="32"/>
        </w:rPr>
        <w:t>一般公共服务（类）</w:t>
      </w:r>
      <w:r>
        <w:rPr>
          <w:rFonts w:hint="eastAsia" w:ascii="仿宋" w:hAnsi="仿宋" w:eastAsia="仿宋"/>
          <w:color w:val="000000" w:themeColor="text1"/>
          <w:sz w:val="32"/>
          <w:szCs w:val="32"/>
        </w:rPr>
        <w:t>支出50.17万元，占70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农林水（类）</w:t>
      </w:r>
      <w:r>
        <w:rPr>
          <w:rFonts w:hint="eastAsia" w:ascii="仿宋" w:hAnsi="仿宋" w:eastAsia="仿宋"/>
          <w:color w:val="000000" w:themeColor="text1"/>
          <w:sz w:val="32"/>
          <w:szCs w:val="32"/>
        </w:rPr>
        <w:t>支出3.03万元，占4</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支出8.74万元，占12</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w:t>
      </w:r>
      <w:r>
        <w:rPr>
          <w:rFonts w:hint="eastAsia" w:ascii="仿宋" w:hAnsi="仿宋" w:eastAsia="仿宋"/>
          <w:color w:val="000000" w:themeColor="text1"/>
          <w:sz w:val="32"/>
          <w:szCs w:val="32"/>
        </w:rPr>
        <w:t>4.09万元，占6</w:t>
      </w:r>
      <w:r>
        <w:rPr>
          <w:rFonts w:ascii="仿宋" w:hAnsi="仿宋" w:eastAsia="仿宋"/>
          <w:color w:val="000000" w:themeColor="text1"/>
          <w:sz w:val="32"/>
          <w:szCs w:val="32"/>
        </w:rPr>
        <w:t>%</w:t>
      </w:r>
      <w:r>
        <w:rPr>
          <w:rFonts w:hint="eastAsia" w:ascii="仿宋" w:hAnsi="仿宋" w:eastAsia="仿宋"/>
          <w:color w:val="000000" w:themeColor="text1"/>
          <w:sz w:val="32"/>
          <w:szCs w:val="32"/>
        </w:rPr>
        <w:t>；住房保障支出5.77万元，占8</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（一）部门预算管理</w:t>
      </w:r>
    </w:p>
    <w:p>
      <w:pPr>
        <w:widowControl/>
        <w:adjustRightInd w:val="0"/>
        <w:snapToGrid w:val="0"/>
        <w:spacing w:line="540" w:lineRule="exact"/>
        <w:ind w:firstLine="72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在预决算编制过程中，我会严格按照财政部门量入为出</w:t>
      </w:r>
      <w:r>
        <w:rPr>
          <w:rFonts w:hint="eastAsia" w:ascii="仿宋_GB2312" w:hAnsi="宋体" w:eastAsia="仿宋_GB2312" w:cs="宋体"/>
          <w:color w:val="000000"/>
          <w:kern w:val="0"/>
          <w:sz w:val="32"/>
          <w:szCs w:val="32"/>
          <w:shd w:val="clear" w:color="auto" w:fill="FFFFFF"/>
        </w:rPr>
        <w:t xml:space="preserve"> ，实事求是的要求，细致核定相关工作经费。 </w:t>
      </w:r>
    </w:p>
    <w:p>
      <w:pPr>
        <w:widowControl/>
        <w:adjustRightInd w:val="0"/>
        <w:snapToGrid w:val="0"/>
        <w:spacing w:line="540" w:lineRule="exact"/>
        <w:ind w:firstLine="720"/>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（二）执行管理情况</w:t>
      </w:r>
    </w:p>
    <w:p>
      <w:pPr>
        <w:widowControl/>
        <w:adjustRightInd w:val="0"/>
        <w:snapToGrid w:val="0"/>
        <w:spacing w:line="540" w:lineRule="exact"/>
        <w:ind w:firstLine="72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截止</w:t>
      </w:r>
      <w:r>
        <w:rPr>
          <w:rFonts w:hint="eastAsia" w:ascii="仿宋_GB2312" w:hAnsi="宋体" w:eastAsia="仿宋_GB2312" w:cs="宋体"/>
          <w:color w:val="000000"/>
          <w:kern w:val="0"/>
          <w:sz w:val="32"/>
          <w:szCs w:val="32"/>
          <w:shd w:val="clear" w:color="auto" w:fill="FFFFFF"/>
        </w:rPr>
        <w:t>2019年底</w:t>
      </w:r>
      <w:r>
        <w:rPr>
          <w:rFonts w:hint="eastAsia" w:ascii="仿宋_GB2312" w:hAnsi="宋体" w:eastAsia="仿宋_GB2312" w:cs="宋体"/>
          <w:color w:val="000000"/>
          <w:kern w:val="0"/>
          <w:sz w:val="32"/>
          <w:szCs w:val="32"/>
          <w:shd w:val="clear" w:color="auto" w:fill="FFFFFF"/>
          <w:lang w:val="zh-CN"/>
        </w:rPr>
        <w:t>，文联已支出相关经费</w:t>
      </w:r>
      <w:r>
        <w:rPr>
          <w:rFonts w:hint="eastAsia" w:ascii="仿宋_GB2312" w:hAnsi="宋体" w:eastAsia="仿宋_GB2312" w:cs="宋体"/>
          <w:color w:val="000000"/>
          <w:kern w:val="0"/>
          <w:sz w:val="32"/>
          <w:szCs w:val="32"/>
          <w:shd w:val="clear" w:color="auto" w:fill="FFFFFF"/>
        </w:rPr>
        <w:t>72.68元，执行进度为全年预算的100%。</w:t>
      </w:r>
    </w:p>
    <w:p>
      <w:pPr>
        <w:widowControl/>
        <w:adjustRightInd w:val="0"/>
        <w:snapToGrid w:val="0"/>
        <w:spacing w:line="540" w:lineRule="exact"/>
        <w:ind w:firstLine="720"/>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（三）支出绩效情况</w:t>
      </w:r>
    </w:p>
    <w:p>
      <w:pPr>
        <w:widowControl/>
        <w:adjustRightInd w:val="0"/>
        <w:snapToGrid w:val="0"/>
        <w:spacing w:line="540" w:lineRule="exact"/>
        <w:ind w:firstLine="72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（1）行政运转保障。</w:t>
      </w:r>
    </w:p>
    <w:p>
      <w:pPr>
        <w:widowControl/>
        <w:adjustRightInd w:val="0"/>
        <w:snapToGrid w:val="0"/>
        <w:spacing w:line="540" w:lineRule="exact"/>
        <w:ind w:firstLine="72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文联严格按照相关预算执行要求，全力保障机关运转、履行职能职责，有效地推动了全县文学艺术工作开展。</w:t>
      </w:r>
    </w:p>
    <w:p>
      <w:pPr>
        <w:widowControl/>
        <w:adjustRightInd w:val="0"/>
        <w:snapToGrid w:val="0"/>
        <w:spacing w:line="540" w:lineRule="exact"/>
        <w:ind w:firstLine="72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（2）机关厉行节约。</w:t>
      </w:r>
    </w:p>
    <w:p>
      <w:pPr>
        <w:widowControl/>
        <w:adjustRightInd w:val="0"/>
        <w:snapToGrid w:val="0"/>
        <w:spacing w:line="540" w:lineRule="exact"/>
        <w:ind w:firstLine="72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rPr>
        <w:t>2019年，</w:t>
      </w:r>
      <w:r>
        <w:rPr>
          <w:rFonts w:hint="eastAsia" w:ascii="仿宋_GB2312" w:hAnsi="宋体" w:eastAsia="仿宋_GB2312" w:cs="宋体"/>
          <w:color w:val="000000"/>
          <w:kern w:val="0"/>
          <w:sz w:val="32"/>
          <w:szCs w:val="32"/>
          <w:shd w:val="clear" w:color="auto" w:fill="FFFFFF"/>
          <w:lang w:val="zh-CN"/>
        </w:rPr>
        <w:t>文联暂未产生因公出国（境）费用、会议费。无公务接待费。</w:t>
      </w:r>
    </w:p>
    <w:p>
      <w:pPr>
        <w:widowControl/>
        <w:adjustRightInd w:val="0"/>
        <w:snapToGrid w:val="0"/>
        <w:spacing w:line="540" w:lineRule="exact"/>
        <w:ind w:firstLine="72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（3）机关节能降耗。</w:t>
      </w:r>
    </w:p>
    <w:p>
      <w:pPr>
        <w:widowControl/>
        <w:adjustRightInd w:val="0"/>
        <w:snapToGrid w:val="0"/>
        <w:spacing w:line="540" w:lineRule="exact"/>
        <w:ind w:firstLine="72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文联由办公室总体控制机关办公区域水、电、网络通信等，以满足基本办公需要为标准，保障相关设施设备运转。</w:t>
      </w:r>
    </w:p>
    <w:p>
      <w:pPr>
        <w:widowControl/>
        <w:adjustRightInd w:val="0"/>
        <w:snapToGrid w:val="0"/>
        <w:spacing w:line="540" w:lineRule="exact"/>
        <w:ind w:firstLine="720"/>
        <w:jc w:val="left"/>
        <w:rPr>
          <w:rFonts w:ascii="仿宋_GB2312" w:hAnsi="宋体" w:eastAsia="仿宋_GB2312" w:cs="宋体"/>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（四）财务管理情况</w:t>
      </w:r>
    </w:p>
    <w:p>
      <w:pPr>
        <w:widowControl/>
        <w:adjustRightInd w:val="0"/>
        <w:snapToGrid w:val="0"/>
        <w:spacing w:line="540" w:lineRule="exact"/>
        <w:ind w:firstLine="72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为进一步完善单位内部财经管理，规范财经运行，文联及时完善了相关财政管理制度，同时按照上级财政、纪检监察部门要求，我会严格执行单位“一把手”不直接分管财务工作的规定，在相关财务运行中，严格执行财务人员审核票据，分管副职和“一把手”共同审签的财务报账流程。</w:t>
      </w:r>
    </w:p>
    <w:p>
      <w:pPr>
        <w:widowControl/>
        <w:adjustRightInd w:val="0"/>
        <w:snapToGrid w:val="0"/>
        <w:spacing w:line="540" w:lineRule="exact"/>
        <w:ind w:firstLine="720"/>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（五）绩效管理工作开展情况</w:t>
      </w:r>
    </w:p>
    <w:p>
      <w:pPr>
        <w:widowControl/>
        <w:adjustRightInd w:val="0"/>
        <w:snapToGrid w:val="0"/>
        <w:spacing w:line="540" w:lineRule="exact"/>
        <w:ind w:firstLine="72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通过此次部门预算绩效评价，文联将进一步完善相关财务管理制度，继续执行好各项财经纪律，力求财务管理水平更加规范，财务运行更加良好。</w:t>
      </w:r>
    </w:p>
    <w:p>
      <w:pPr>
        <w:widowControl/>
        <w:adjustRightInd w:val="0"/>
        <w:snapToGrid w:val="0"/>
        <w:spacing w:line="540" w:lineRule="exact"/>
        <w:ind w:firstLine="720"/>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（六）结果应用情况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包括绩效自评公开、评价结果整改和应用结果反馈等情况。</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40" w:lineRule="exact"/>
        <w:ind w:firstLine="720"/>
        <w:jc w:val="left"/>
        <w:rPr>
          <w:rFonts w:ascii="仿宋_GB2312" w:hAnsi="宋体" w:eastAsia="仿宋_GB2312" w:cs="宋体"/>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（一）评价结论。</w:t>
      </w:r>
      <w:r>
        <w:rPr>
          <w:rFonts w:hint="eastAsia" w:ascii="仿宋_GB2312" w:hAnsi="宋体" w:eastAsia="仿宋_GB2312" w:cs="宋体"/>
          <w:color w:val="000000"/>
          <w:kern w:val="0"/>
          <w:sz w:val="32"/>
          <w:szCs w:val="32"/>
          <w:shd w:val="clear" w:color="auto" w:fill="FFFFFF"/>
          <w:lang w:val="zh-CN"/>
        </w:rPr>
        <w:t>通过此次部门预算绩效评价，文联预算执行总体状况良好，相关经费均能严格按照规定方向、用途，有的放矢的使用，且能达到促进文化艺术工作开展的目的。</w:t>
      </w:r>
    </w:p>
    <w:p>
      <w:pPr>
        <w:pStyle w:val="32"/>
        <w:spacing w:before="0" w:beforeAutospacing="0" w:after="0" w:afterAutospacing="0" w:line="576" w:lineRule="exact"/>
        <w:ind w:firstLine="723" w:firstLineChars="225"/>
        <w:rPr>
          <w:rFonts w:ascii="仿宋_GB2312" w:hAnsi="仿宋_GB2312"/>
          <w:sz w:val="32"/>
          <w:szCs w:val="32"/>
        </w:rPr>
      </w:pPr>
      <w:r>
        <w:rPr>
          <w:rFonts w:hint="eastAsia" w:ascii="楷体" w:hAnsi="楷体" w:eastAsia="楷体" w:cs="楷体"/>
          <w:b/>
          <w:bCs/>
          <w:color w:val="000000"/>
          <w:sz w:val="32"/>
          <w:szCs w:val="32"/>
          <w:shd w:val="clear" w:color="auto" w:fill="FFFFFF"/>
          <w:lang w:val="zh-CN"/>
        </w:rPr>
        <w:t>（二）存在问题。</w:t>
      </w:r>
      <w:r>
        <w:rPr>
          <w:rFonts w:hint="eastAsia" w:ascii="仿宋_GB2312"/>
          <w:color w:val="000000"/>
          <w:sz w:val="32"/>
          <w:szCs w:val="32"/>
          <w:shd w:val="clear" w:color="auto" w:fill="FFFFFF"/>
          <w:lang w:val="zh-CN"/>
        </w:rPr>
        <w:t>虽</w:t>
      </w:r>
      <w:r>
        <w:rPr>
          <w:rFonts w:hint="eastAsia" w:ascii="仿宋_GB2312" w:hAnsi="仿宋_GB2312"/>
          <w:sz w:val="32"/>
          <w:szCs w:val="32"/>
        </w:rPr>
        <w:t>然在绩效评价中，</w:t>
      </w:r>
      <w:r>
        <w:rPr>
          <w:rFonts w:hint="eastAsia" w:ascii="仿宋_GB2312"/>
          <w:color w:val="000000"/>
          <w:sz w:val="32"/>
          <w:szCs w:val="32"/>
          <w:shd w:val="clear" w:color="auto" w:fill="FFFFFF"/>
          <w:lang w:val="zh-CN"/>
        </w:rPr>
        <w:t>文联</w:t>
      </w:r>
      <w:r>
        <w:rPr>
          <w:rFonts w:hint="eastAsia" w:ascii="仿宋_GB2312" w:hAnsi="仿宋_GB2312"/>
          <w:sz w:val="32"/>
          <w:szCs w:val="32"/>
        </w:rPr>
        <w:t>预算执行取得了较好成效，但也存在有财会人员兼职，相关财务凭证处理和装订不专业，个别经费支出说明不详细的现象。在下一步工作中，将重点加强对这些方面的规范和完善。</w:t>
      </w:r>
    </w:p>
    <w:p>
      <w:pPr>
        <w:pStyle w:val="32"/>
        <w:spacing w:before="0" w:beforeAutospacing="0" w:after="0" w:afterAutospacing="0" w:line="576" w:lineRule="exact"/>
        <w:ind w:firstLine="723" w:firstLineChars="225"/>
        <w:rPr>
          <w:rFonts w:hint="eastAsia" w:ascii="楷体" w:hAnsi="楷体" w:eastAsia="楷体" w:cs="楷体"/>
          <w:b/>
          <w:bCs/>
          <w:color w:val="000000"/>
          <w:sz w:val="32"/>
          <w:szCs w:val="32"/>
          <w:shd w:val="clear" w:color="auto" w:fill="FFFFFF"/>
          <w:lang w:val="zh-CN"/>
        </w:rPr>
      </w:pPr>
      <w:r>
        <w:rPr>
          <w:rFonts w:hint="eastAsia" w:ascii="楷体" w:hAnsi="楷体" w:eastAsia="楷体" w:cs="楷体"/>
          <w:b/>
          <w:bCs/>
          <w:color w:val="000000"/>
          <w:sz w:val="32"/>
          <w:szCs w:val="32"/>
          <w:shd w:val="clear" w:color="auto" w:fill="FFFFFF"/>
          <w:lang w:val="zh-CN"/>
        </w:rPr>
        <w:t>（三）改进建议</w:t>
      </w:r>
      <w:bookmarkStart w:id="73" w:name="_GoBack"/>
      <w:bookmarkEnd w:id="73"/>
    </w:p>
    <w:p>
      <w:pPr>
        <w:pStyle w:val="32"/>
        <w:spacing w:before="0" w:beforeAutospacing="0" w:after="0" w:afterAutospacing="0" w:line="576" w:lineRule="exact"/>
        <w:ind w:firstLine="880" w:firstLineChars="275"/>
        <w:rPr>
          <w:rFonts w:hint="eastAsia" w:ascii="仿宋_GB2312" w:hAnsi="仿宋_GB2312"/>
          <w:sz w:val="32"/>
          <w:szCs w:val="32"/>
        </w:rPr>
      </w:pPr>
      <w:r>
        <w:rPr>
          <w:rFonts w:hint="eastAsia" w:ascii="仿宋_GB2312"/>
          <w:color w:val="000000"/>
          <w:sz w:val="32"/>
          <w:szCs w:val="32"/>
          <w:shd w:val="clear" w:color="auto" w:fill="FFFFFF"/>
          <w:lang w:val="zh-CN"/>
        </w:rPr>
        <w:t>一是</w:t>
      </w:r>
      <w:r>
        <w:rPr>
          <w:rFonts w:hint="eastAsia" w:ascii="仿宋_GB2312" w:hAnsi="仿宋_GB2312"/>
          <w:sz w:val="32"/>
          <w:szCs w:val="32"/>
        </w:rPr>
        <w:t>不断加强财务经办人员业务知识的学习和培训，不断完善和规范单位财务处理，同时鼓励和支持财务经办人员考取职业资格认证。</w:t>
      </w:r>
    </w:p>
    <w:p>
      <w:pPr>
        <w:pStyle w:val="32"/>
        <w:spacing w:before="0" w:beforeAutospacing="0" w:after="0" w:afterAutospacing="0" w:line="576" w:lineRule="exact"/>
        <w:ind w:firstLine="880" w:firstLineChars="275"/>
        <w:rPr>
          <w:rFonts w:ascii="仿宋_GB2312" w:hAnsi="仿宋_GB2312"/>
          <w:sz w:val="32"/>
          <w:szCs w:val="32"/>
        </w:rPr>
      </w:pPr>
      <w:r>
        <w:rPr>
          <w:rFonts w:hint="eastAsia" w:ascii="仿宋_GB2312" w:hAnsi="仿宋_GB2312"/>
          <w:sz w:val="32"/>
          <w:szCs w:val="32"/>
        </w:rPr>
        <w:t>二是进一步抓好部门预算编制、执行等相关财务规定的落实，继续坚持贯彻好各项财经纪律，按照财经管理制度要求使用各项经费。</w:t>
      </w:r>
    </w:p>
    <w:p>
      <w:pPr>
        <w:widowControl/>
        <w:jc w:val="left"/>
        <w:rPr>
          <w:rFonts w:ascii="仿宋_GB2312" w:hAnsi="宋体" w:eastAsia="仿宋_GB2312" w:cs="宋体"/>
          <w:color w:val="000000"/>
          <w:kern w:val="0"/>
          <w:sz w:val="32"/>
          <w:szCs w:val="32"/>
          <w:shd w:val="clear" w:color="auto" w:fill="FFFFFF"/>
          <w:lang w:val="zh-CN"/>
        </w:rPr>
      </w:pPr>
    </w:p>
    <w:p>
      <w:pPr>
        <w:widowControl/>
        <w:jc w:val="left"/>
        <w:rPr>
          <w:rStyle w:val="26"/>
          <w:rFonts w:ascii="黑体" w:hAnsi="黑体" w:eastAsia="黑体"/>
          <w:b w:val="0"/>
        </w:rPr>
      </w:pPr>
    </w:p>
    <w:p>
      <w:pPr>
        <w:spacing w:line="600" w:lineRule="exact"/>
        <w:jc w:val="center"/>
        <w:outlineLvl w:val="0"/>
        <w:rPr>
          <w:rStyle w:val="26"/>
          <w:rFonts w:ascii="黑体" w:hAnsi="黑体" w:eastAsia="黑体"/>
          <w:b w:val="0"/>
        </w:rPr>
      </w:pPr>
    </w:p>
    <w:p>
      <w:pPr>
        <w:spacing w:line="600" w:lineRule="exact"/>
        <w:jc w:val="center"/>
        <w:outlineLvl w:val="0"/>
        <w:rPr>
          <w:rFonts w:ascii="黑体" w:hAnsi="黑体" w:eastAsia="黑体"/>
          <w:color w:val="000000"/>
          <w:sz w:val="44"/>
          <w:szCs w:val="44"/>
        </w:rPr>
      </w:pPr>
      <w:bookmarkStart w:id="59" w:name="_Toc15396618"/>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both"/>
        <w:outlineLvl w:val="0"/>
        <w:rPr>
          <w:rFonts w:ascii="黑体" w:hAnsi="黑体" w:eastAsia="黑体"/>
          <w:color w:val="000000"/>
          <w:sz w:val="44"/>
          <w:szCs w:val="44"/>
        </w:rPr>
      </w:pPr>
    </w:p>
    <w:p>
      <w:pPr>
        <w:spacing w:line="600" w:lineRule="exact"/>
        <w:jc w:val="center"/>
        <w:outlineLvl w:val="0"/>
        <w:rPr>
          <w:rStyle w:val="26"/>
          <w:rFonts w:ascii="黑体" w:hAnsi="黑体" w:eastAsia="黑体"/>
          <w:b w:val="0"/>
        </w:rPr>
      </w:pPr>
      <w:r>
        <w:rPr>
          <w:rFonts w:hint="eastAsia" w:ascii="黑体" w:hAnsi="黑体" w:eastAsia="黑体"/>
          <w:color w:val="000000"/>
          <w:sz w:val="44"/>
          <w:szCs w:val="44"/>
        </w:rPr>
        <w:t>第</w:t>
      </w:r>
      <w:r>
        <w:rPr>
          <w:rStyle w:val="26"/>
          <w:rFonts w:hint="eastAsia" w:ascii="黑体" w:hAnsi="黑体" w:eastAsia="黑体"/>
          <w:b w:val="0"/>
        </w:rPr>
        <w:t>五部分 附表</w:t>
      </w:r>
      <w:bookmarkEnd w:id="58"/>
      <w:bookmarkEnd w:id="59"/>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60" w:name="_Toc15396619"/>
      <w:r>
        <w:rPr>
          <w:rFonts w:hint="eastAsia" w:ascii="仿宋" w:hAnsi="仿宋" w:eastAsia="仿宋"/>
          <w:b w:val="0"/>
          <w:color w:val="000000"/>
        </w:rPr>
        <w:t>一、收</w:t>
      </w:r>
      <w:r>
        <w:rPr>
          <w:rStyle w:val="27"/>
          <w:rFonts w:hint="eastAsia" w:ascii="仿宋" w:hAnsi="仿宋" w:eastAsia="仿宋"/>
          <w:b w:val="0"/>
          <w:bCs w:val="0"/>
        </w:rPr>
        <w:t>入支出决算总表</w:t>
      </w:r>
      <w:bookmarkEnd w:id="60"/>
    </w:p>
    <w:p>
      <w:pPr>
        <w:pStyle w:val="3"/>
        <w:rPr>
          <w:rFonts w:ascii="仿宋" w:hAnsi="仿宋" w:eastAsia="仿宋"/>
          <w:color w:val="000000"/>
        </w:rPr>
      </w:pPr>
      <w:bookmarkStart w:id="61" w:name="_Toc15396620"/>
      <w:r>
        <w:rPr>
          <w:rFonts w:hint="eastAsia" w:ascii="仿宋" w:hAnsi="仿宋" w:eastAsia="仿宋"/>
          <w:b w:val="0"/>
          <w:color w:val="000000"/>
        </w:rPr>
        <w:t>二、收</w:t>
      </w:r>
      <w:r>
        <w:rPr>
          <w:rStyle w:val="27"/>
          <w:rFonts w:hint="eastAsia" w:ascii="仿宋" w:hAnsi="仿宋" w:eastAsia="仿宋"/>
          <w:b w:val="0"/>
          <w:bCs w:val="0"/>
        </w:rPr>
        <w:t>入决算表</w:t>
      </w:r>
      <w:bookmarkEnd w:id="61"/>
    </w:p>
    <w:p>
      <w:pPr>
        <w:pStyle w:val="3"/>
        <w:rPr>
          <w:rFonts w:ascii="仿宋" w:hAnsi="仿宋" w:eastAsia="仿宋"/>
          <w:color w:val="000000"/>
        </w:rPr>
      </w:pPr>
      <w:bookmarkStart w:id="62"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62"/>
    </w:p>
    <w:p>
      <w:pPr>
        <w:pStyle w:val="3"/>
        <w:rPr>
          <w:rFonts w:ascii="仿宋" w:hAnsi="仿宋" w:eastAsia="仿宋"/>
          <w:b w:val="0"/>
          <w:color w:val="000000"/>
        </w:rPr>
      </w:pPr>
      <w:bookmarkStart w:id="63"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63"/>
    </w:p>
    <w:p>
      <w:pPr>
        <w:pStyle w:val="3"/>
        <w:rPr>
          <w:rStyle w:val="27"/>
          <w:rFonts w:ascii="仿宋" w:hAnsi="仿宋" w:eastAsia="仿宋"/>
          <w:b w:val="0"/>
          <w:bCs w:val="0"/>
        </w:rPr>
      </w:pPr>
      <w:bookmarkStart w:id="64"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64"/>
      <w:bookmarkStart w:id="65" w:name="_Toc15396624"/>
    </w:p>
    <w:p>
      <w:pPr>
        <w:pStyle w:val="3"/>
        <w:rPr>
          <w:rFonts w:ascii="仿宋" w:hAnsi="仿宋" w:eastAsia="仿宋"/>
          <w:color w:val="000000"/>
        </w:rPr>
      </w:pPr>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65"/>
    </w:p>
    <w:p>
      <w:pPr>
        <w:pStyle w:val="3"/>
        <w:rPr>
          <w:rFonts w:ascii="仿宋" w:hAnsi="仿宋" w:eastAsia="仿宋"/>
          <w:color w:val="000000"/>
        </w:rPr>
      </w:pPr>
      <w:bookmarkStart w:id="66"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66"/>
    </w:p>
    <w:p>
      <w:pPr>
        <w:pStyle w:val="3"/>
        <w:rPr>
          <w:rFonts w:ascii="仿宋" w:hAnsi="仿宋" w:eastAsia="仿宋"/>
          <w:color w:val="000000"/>
        </w:rPr>
      </w:pPr>
      <w:bookmarkStart w:id="67"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67"/>
    </w:p>
    <w:p>
      <w:pPr>
        <w:pStyle w:val="3"/>
        <w:rPr>
          <w:rFonts w:ascii="仿宋" w:hAnsi="仿宋" w:eastAsia="仿宋"/>
          <w:color w:val="000000"/>
        </w:rPr>
      </w:pPr>
      <w:bookmarkStart w:id="68"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68"/>
    </w:p>
    <w:p>
      <w:pPr>
        <w:pStyle w:val="3"/>
        <w:rPr>
          <w:rFonts w:ascii="仿宋" w:hAnsi="仿宋" w:eastAsia="仿宋"/>
          <w:color w:val="000000"/>
        </w:rPr>
      </w:pPr>
      <w:bookmarkStart w:id="69"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69"/>
    </w:p>
    <w:p>
      <w:pPr>
        <w:pStyle w:val="3"/>
        <w:rPr>
          <w:rFonts w:ascii="仿宋" w:hAnsi="仿宋" w:eastAsia="仿宋"/>
          <w:color w:val="000000"/>
        </w:rPr>
      </w:pPr>
      <w:bookmarkStart w:id="70"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70"/>
    </w:p>
    <w:p>
      <w:pPr>
        <w:pStyle w:val="3"/>
        <w:rPr>
          <w:rFonts w:ascii="仿宋" w:hAnsi="仿宋" w:eastAsia="仿宋"/>
          <w:color w:val="000000"/>
        </w:rPr>
      </w:pPr>
      <w:bookmarkStart w:id="71"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71"/>
    </w:p>
    <w:p>
      <w:pPr>
        <w:pStyle w:val="3"/>
        <w:rPr>
          <w:rFonts w:ascii="仿宋" w:hAnsi="仿宋" w:eastAsia="仿宋"/>
          <w:color w:val="000000" w:themeColor="text1"/>
        </w:rPr>
      </w:pPr>
      <w:bookmarkStart w:id="72" w:name="_Toc15396631"/>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16</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
  <w:rsids>
    <w:rsidRoot w:val="00F1361C"/>
    <w:rsid w:val="0001257E"/>
    <w:rsid w:val="000222C6"/>
    <w:rsid w:val="0002549F"/>
    <w:rsid w:val="000468DB"/>
    <w:rsid w:val="00063ADB"/>
    <w:rsid w:val="0006487A"/>
    <w:rsid w:val="00065F8F"/>
    <w:rsid w:val="00070A43"/>
    <w:rsid w:val="000768F2"/>
    <w:rsid w:val="0009184B"/>
    <w:rsid w:val="00094236"/>
    <w:rsid w:val="0009593C"/>
    <w:rsid w:val="00097322"/>
    <w:rsid w:val="000A3C3F"/>
    <w:rsid w:val="000A4BDB"/>
    <w:rsid w:val="000A6A92"/>
    <w:rsid w:val="000B047F"/>
    <w:rsid w:val="000B45E7"/>
    <w:rsid w:val="000B5923"/>
    <w:rsid w:val="000B5A48"/>
    <w:rsid w:val="000B6FF3"/>
    <w:rsid w:val="000C3467"/>
    <w:rsid w:val="000C3CA6"/>
    <w:rsid w:val="000D1267"/>
    <w:rsid w:val="000D1D50"/>
    <w:rsid w:val="000D5782"/>
    <w:rsid w:val="000E6613"/>
    <w:rsid w:val="000E7119"/>
    <w:rsid w:val="00114E9B"/>
    <w:rsid w:val="00132A33"/>
    <w:rsid w:val="00140221"/>
    <w:rsid w:val="00142216"/>
    <w:rsid w:val="00144D6A"/>
    <w:rsid w:val="0014729F"/>
    <w:rsid w:val="00157BAB"/>
    <w:rsid w:val="001654D1"/>
    <w:rsid w:val="00174518"/>
    <w:rsid w:val="0018106D"/>
    <w:rsid w:val="001877A7"/>
    <w:rsid w:val="00191536"/>
    <w:rsid w:val="00196687"/>
    <w:rsid w:val="001C0962"/>
    <w:rsid w:val="001D7531"/>
    <w:rsid w:val="001E3AB2"/>
    <w:rsid w:val="001E737D"/>
    <w:rsid w:val="001F0592"/>
    <w:rsid w:val="001F7506"/>
    <w:rsid w:val="002006CD"/>
    <w:rsid w:val="00202B36"/>
    <w:rsid w:val="00204B7A"/>
    <w:rsid w:val="00204CDE"/>
    <w:rsid w:val="0021101A"/>
    <w:rsid w:val="00220536"/>
    <w:rsid w:val="00230EFB"/>
    <w:rsid w:val="00235629"/>
    <w:rsid w:val="00260C38"/>
    <w:rsid w:val="00261306"/>
    <w:rsid w:val="002616C0"/>
    <w:rsid w:val="00265372"/>
    <w:rsid w:val="002662AA"/>
    <w:rsid w:val="00280496"/>
    <w:rsid w:val="00294DC9"/>
    <w:rsid w:val="00295495"/>
    <w:rsid w:val="002A31DE"/>
    <w:rsid w:val="002B2613"/>
    <w:rsid w:val="002D19B0"/>
    <w:rsid w:val="002D6D05"/>
    <w:rsid w:val="002E653E"/>
    <w:rsid w:val="002F1818"/>
    <w:rsid w:val="002F567B"/>
    <w:rsid w:val="0030743E"/>
    <w:rsid w:val="0031047E"/>
    <w:rsid w:val="003216A9"/>
    <w:rsid w:val="00324C38"/>
    <w:rsid w:val="00335A74"/>
    <w:rsid w:val="0034681C"/>
    <w:rsid w:val="003517E6"/>
    <w:rsid w:val="0036561B"/>
    <w:rsid w:val="003660D9"/>
    <w:rsid w:val="0037013F"/>
    <w:rsid w:val="00380C92"/>
    <w:rsid w:val="00395521"/>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289C"/>
    <w:rsid w:val="004A711F"/>
    <w:rsid w:val="004B199D"/>
    <w:rsid w:val="004B3F2E"/>
    <w:rsid w:val="004B4690"/>
    <w:rsid w:val="004E0A2D"/>
    <w:rsid w:val="004E206B"/>
    <w:rsid w:val="004E6DF7"/>
    <w:rsid w:val="004F0FBD"/>
    <w:rsid w:val="004F403E"/>
    <w:rsid w:val="00505A47"/>
    <w:rsid w:val="00512FDA"/>
    <w:rsid w:val="00520DA0"/>
    <w:rsid w:val="00531E0B"/>
    <w:rsid w:val="005664BB"/>
    <w:rsid w:val="00566FFA"/>
    <w:rsid w:val="0057481D"/>
    <w:rsid w:val="00575F0B"/>
    <w:rsid w:val="0058486E"/>
    <w:rsid w:val="00585B33"/>
    <w:rsid w:val="0059014D"/>
    <w:rsid w:val="00596BAE"/>
    <w:rsid w:val="005B3B48"/>
    <w:rsid w:val="005B5C64"/>
    <w:rsid w:val="005C6BD0"/>
    <w:rsid w:val="005C6C4C"/>
    <w:rsid w:val="005C7207"/>
    <w:rsid w:val="005D1C8B"/>
    <w:rsid w:val="005D2DC5"/>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908D3"/>
    <w:rsid w:val="006A3141"/>
    <w:rsid w:val="006A5E34"/>
    <w:rsid w:val="006B2422"/>
    <w:rsid w:val="006B2B9A"/>
    <w:rsid w:val="006C1937"/>
    <w:rsid w:val="006F020C"/>
    <w:rsid w:val="007127B7"/>
    <w:rsid w:val="0071798E"/>
    <w:rsid w:val="00727533"/>
    <w:rsid w:val="007416B6"/>
    <w:rsid w:val="00746773"/>
    <w:rsid w:val="00746F48"/>
    <w:rsid w:val="0075404D"/>
    <w:rsid w:val="00757958"/>
    <w:rsid w:val="0076182A"/>
    <w:rsid w:val="007657B3"/>
    <w:rsid w:val="00767B7E"/>
    <w:rsid w:val="007770C3"/>
    <w:rsid w:val="00784D24"/>
    <w:rsid w:val="00785FBA"/>
    <w:rsid w:val="00786E4A"/>
    <w:rsid w:val="007875EB"/>
    <w:rsid w:val="0079426B"/>
    <w:rsid w:val="007C15EF"/>
    <w:rsid w:val="007C6A3C"/>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0F37"/>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94FCE"/>
    <w:rsid w:val="009B2C43"/>
    <w:rsid w:val="009B4EAE"/>
    <w:rsid w:val="009B7573"/>
    <w:rsid w:val="009C22F4"/>
    <w:rsid w:val="009C2E98"/>
    <w:rsid w:val="009C37FB"/>
    <w:rsid w:val="009D3447"/>
    <w:rsid w:val="009D4711"/>
    <w:rsid w:val="009D67CF"/>
    <w:rsid w:val="009F1185"/>
    <w:rsid w:val="009F18CD"/>
    <w:rsid w:val="009F2A13"/>
    <w:rsid w:val="009F7527"/>
    <w:rsid w:val="00A039ED"/>
    <w:rsid w:val="00A04EB0"/>
    <w:rsid w:val="00A07CC1"/>
    <w:rsid w:val="00A13CC1"/>
    <w:rsid w:val="00A16847"/>
    <w:rsid w:val="00A237D8"/>
    <w:rsid w:val="00A268C4"/>
    <w:rsid w:val="00A307CD"/>
    <w:rsid w:val="00A331C8"/>
    <w:rsid w:val="00A35117"/>
    <w:rsid w:val="00A40A00"/>
    <w:rsid w:val="00A40BA2"/>
    <w:rsid w:val="00A4102A"/>
    <w:rsid w:val="00A4142F"/>
    <w:rsid w:val="00A422EB"/>
    <w:rsid w:val="00A45BB7"/>
    <w:rsid w:val="00A56DF2"/>
    <w:rsid w:val="00A56E6E"/>
    <w:rsid w:val="00A67AB5"/>
    <w:rsid w:val="00A733B2"/>
    <w:rsid w:val="00A741C2"/>
    <w:rsid w:val="00A83D3A"/>
    <w:rsid w:val="00A91760"/>
    <w:rsid w:val="00A93B00"/>
    <w:rsid w:val="00A93C21"/>
    <w:rsid w:val="00AB64C9"/>
    <w:rsid w:val="00AC3C6A"/>
    <w:rsid w:val="00AD0F83"/>
    <w:rsid w:val="00AD5620"/>
    <w:rsid w:val="00AD656B"/>
    <w:rsid w:val="00AD7C1B"/>
    <w:rsid w:val="00AE16BA"/>
    <w:rsid w:val="00AE1EBE"/>
    <w:rsid w:val="00AF37A0"/>
    <w:rsid w:val="00B03C9D"/>
    <w:rsid w:val="00B059C1"/>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A59F6"/>
    <w:rsid w:val="00BA68B3"/>
    <w:rsid w:val="00BB4DF0"/>
    <w:rsid w:val="00BC289F"/>
    <w:rsid w:val="00BC2D50"/>
    <w:rsid w:val="00BC5361"/>
    <w:rsid w:val="00BC5460"/>
    <w:rsid w:val="00BC6B50"/>
    <w:rsid w:val="00BD0E25"/>
    <w:rsid w:val="00BE5484"/>
    <w:rsid w:val="00BF5BD6"/>
    <w:rsid w:val="00C03E31"/>
    <w:rsid w:val="00C06BF3"/>
    <w:rsid w:val="00C30E69"/>
    <w:rsid w:val="00C33E72"/>
    <w:rsid w:val="00C354B2"/>
    <w:rsid w:val="00C35554"/>
    <w:rsid w:val="00C368AC"/>
    <w:rsid w:val="00C42709"/>
    <w:rsid w:val="00C533CC"/>
    <w:rsid w:val="00C5751C"/>
    <w:rsid w:val="00C61BFC"/>
    <w:rsid w:val="00C62B85"/>
    <w:rsid w:val="00C65438"/>
    <w:rsid w:val="00C91CBB"/>
    <w:rsid w:val="00CB4E70"/>
    <w:rsid w:val="00CB6CE7"/>
    <w:rsid w:val="00CC09B6"/>
    <w:rsid w:val="00CC666F"/>
    <w:rsid w:val="00CC67CA"/>
    <w:rsid w:val="00CD1E3F"/>
    <w:rsid w:val="00CD3EB0"/>
    <w:rsid w:val="00CE44F6"/>
    <w:rsid w:val="00CE49DA"/>
    <w:rsid w:val="00CE7B61"/>
    <w:rsid w:val="00D00095"/>
    <w:rsid w:val="00D114F0"/>
    <w:rsid w:val="00D179F5"/>
    <w:rsid w:val="00D20620"/>
    <w:rsid w:val="00D2207C"/>
    <w:rsid w:val="00D254F7"/>
    <w:rsid w:val="00D26091"/>
    <w:rsid w:val="00D2685C"/>
    <w:rsid w:val="00D27D99"/>
    <w:rsid w:val="00D34E7C"/>
    <w:rsid w:val="00D35489"/>
    <w:rsid w:val="00D3649F"/>
    <w:rsid w:val="00D36AFE"/>
    <w:rsid w:val="00D51276"/>
    <w:rsid w:val="00D52660"/>
    <w:rsid w:val="00D568F1"/>
    <w:rsid w:val="00D7035F"/>
    <w:rsid w:val="00DA634F"/>
    <w:rsid w:val="00DA65AC"/>
    <w:rsid w:val="00DB1913"/>
    <w:rsid w:val="00DC410D"/>
    <w:rsid w:val="00DC580D"/>
    <w:rsid w:val="00DC5A81"/>
    <w:rsid w:val="00DC68CA"/>
    <w:rsid w:val="00DC7CBA"/>
    <w:rsid w:val="00DD73B7"/>
    <w:rsid w:val="00DF28BC"/>
    <w:rsid w:val="00DF34B9"/>
    <w:rsid w:val="00DF7548"/>
    <w:rsid w:val="00E01053"/>
    <w:rsid w:val="00E07ACF"/>
    <w:rsid w:val="00E22F9C"/>
    <w:rsid w:val="00E331A1"/>
    <w:rsid w:val="00E33202"/>
    <w:rsid w:val="00E336A9"/>
    <w:rsid w:val="00E472B1"/>
    <w:rsid w:val="00E50624"/>
    <w:rsid w:val="00E568DF"/>
    <w:rsid w:val="00E64269"/>
    <w:rsid w:val="00E66797"/>
    <w:rsid w:val="00E73621"/>
    <w:rsid w:val="00E82267"/>
    <w:rsid w:val="00E853CE"/>
    <w:rsid w:val="00E867B6"/>
    <w:rsid w:val="00E87F08"/>
    <w:rsid w:val="00EA010F"/>
    <w:rsid w:val="00EA7DB3"/>
    <w:rsid w:val="00EC42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9C6"/>
    <w:rsid w:val="00F36D8F"/>
    <w:rsid w:val="00F417B1"/>
    <w:rsid w:val="00F45853"/>
    <w:rsid w:val="00F576CB"/>
    <w:rsid w:val="00F602DF"/>
    <w:rsid w:val="00F754A1"/>
    <w:rsid w:val="00F81FD9"/>
    <w:rsid w:val="00F836A7"/>
    <w:rsid w:val="00F841AA"/>
    <w:rsid w:val="00F84A94"/>
    <w:rsid w:val="00F87E96"/>
    <w:rsid w:val="00FA23E8"/>
    <w:rsid w:val="00FD3CC1"/>
    <w:rsid w:val="00FF1E02"/>
    <w:rsid w:val="00FF30B4"/>
    <w:rsid w:val="10C055FF"/>
    <w:rsid w:val="16BB723D"/>
    <w:rsid w:val="1A5031BD"/>
    <w:rsid w:val="240371BF"/>
    <w:rsid w:val="29FD04D3"/>
    <w:rsid w:val="319F7F4E"/>
    <w:rsid w:val="3A912830"/>
    <w:rsid w:val="3BD34F36"/>
    <w:rsid w:val="4174787F"/>
    <w:rsid w:val="4C6B7DB1"/>
    <w:rsid w:val="4ECE2238"/>
    <w:rsid w:val="637E77DA"/>
    <w:rsid w:val="6B1A7DA8"/>
    <w:rsid w:val="6E7949C4"/>
    <w:rsid w:val="72734D90"/>
    <w:rsid w:val="73A40A5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CellMar>
        <w:top w:w="0" w:type="dxa"/>
        <w:left w:w="108" w:type="dxa"/>
        <w:bottom w:w="0" w:type="dxa"/>
        <w:right w:w="108" w:type="dxa"/>
      </w:tblCellMar>
    </w:tblPr>
  </w:style>
  <w:style w:type="paragraph" w:styleId="5">
    <w:name w:val="Body Text"/>
    <w:basedOn w:val="1"/>
    <w:link w:val="23"/>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9"/>
    <w:semiHidden/>
    <w:unhideWhenUsed/>
    <w:qFormat/>
    <w:uiPriority w:val="99"/>
    <w:rPr>
      <w:sz w:val="18"/>
      <w:szCs w:val="18"/>
    </w:rPr>
  </w:style>
  <w:style w:type="paragraph" w:styleId="8">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semiHidden/>
    <w:unhideWhenUsed/>
    <w:uiPriority w:val="99"/>
    <w:rPr>
      <w:sz w:val="24"/>
    </w:rPr>
  </w:style>
  <w:style w:type="character" w:styleId="15">
    <w:name w:val="Strong"/>
    <w:basedOn w:val="14"/>
    <w:qFormat/>
    <w:uiPriority w:val="99"/>
    <w:rPr>
      <w:b/>
    </w:rPr>
  </w:style>
  <w:style w:type="character" w:styleId="16">
    <w:name w:val="FollowedHyperlink"/>
    <w:basedOn w:val="14"/>
    <w:semiHidden/>
    <w:unhideWhenUsed/>
    <w:qFormat/>
    <w:uiPriority w:val="99"/>
    <w:rPr>
      <w:color w:val="800080"/>
      <w:u w:val="single"/>
    </w:rPr>
  </w:style>
  <w:style w:type="character" w:styleId="17">
    <w:name w:val="Hyperlink"/>
    <w:basedOn w:val="14"/>
    <w:unhideWhenUsed/>
    <w:qFormat/>
    <w:uiPriority w:val="99"/>
    <w:rPr>
      <w:color w:val="0000FF" w:themeColor="hyperlink"/>
      <w:u w:val="single"/>
    </w:rPr>
  </w:style>
  <w:style w:type="character" w:customStyle="1" w:styleId="18">
    <w:name w:val="Header Char"/>
    <w:basedOn w:val="14"/>
    <w:semiHidden/>
    <w:qFormat/>
    <w:uiPriority w:val="99"/>
    <w:rPr>
      <w:rFonts w:ascii="Times New Roman" w:hAnsi="Times New Roman"/>
      <w:sz w:val="18"/>
      <w:szCs w:val="18"/>
    </w:rPr>
  </w:style>
  <w:style w:type="character" w:customStyle="1" w:styleId="19">
    <w:name w:val="页眉 Char"/>
    <w:link w:val="9"/>
    <w:semiHidden/>
    <w:qFormat/>
    <w:locked/>
    <w:uiPriority w:val="99"/>
    <w:rPr>
      <w:sz w:val="18"/>
    </w:rPr>
  </w:style>
  <w:style w:type="character" w:customStyle="1" w:styleId="20">
    <w:name w:val="Footer Char"/>
    <w:basedOn w:val="14"/>
    <w:semiHidden/>
    <w:qFormat/>
    <w:uiPriority w:val="99"/>
    <w:rPr>
      <w:rFonts w:ascii="Times New Roman" w:hAnsi="Times New Roman"/>
      <w:sz w:val="18"/>
      <w:szCs w:val="18"/>
    </w:rPr>
  </w:style>
  <w:style w:type="character" w:customStyle="1" w:styleId="21">
    <w:name w:val="页脚 Char"/>
    <w:link w:val="8"/>
    <w:qFormat/>
    <w:locked/>
    <w:uiPriority w:val="99"/>
    <w:rPr>
      <w:sz w:val="18"/>
    </w:rPr>
  </w:style>
  <w:style w:type="character" w:customStyle="1" w:styleId="22">
    <w:name w:val="Body Text Char"/>
    <w:basedOn w:val="14"/>
    <w:semiHidden/>
    <w:qFormat/>
    <w:uiPriority w:val="99"/>
    <w:rPr>
      <w:rFonts w:ascii="Times New Roman" w:hAnsi="Times New Roman"/>
      <w:szCs w:val="24"/>
    </w:rPr>
  </w:style>
  <w:style w:type="character" w:customStyle="1" w:styleId="23">
    <w:name w:val="正文文本 Char"/>
    <w:link w:val="5"/>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Char"/>
    <w:basedOn w:val="14"/>
    <w:link w:val="2"/>
    <w:qFormat/>
    <w:uiPriority w:val="9"/>
    <w:rPr>
      <w:rFonts w:ascii="Times New Roman" w:hAnsi="Times New Roman"/>
      <w:b/>
      <w:bCs/>
      <w:kern w:val="44"/>
      <w:sz w:val="44"/>
      <w:szCs w:val="44"/>
    </w:rPr>
  </w:style>
  <w:style w:type="character" w:customStyle="1" w:styleId="27">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28">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9">
    <w:name w:val="批注框文本 Char"/>
    <w:basedOn w:val="14"/>
    <w:link w:val="7"/>
    <w:semiHidden/>
    <w:qFormat/>
    <w:uiPriority w:val="99"/>
    <w:rPr>
      <w:rFonts w:ascii="Times New Roman" w:hAnsi="Times New Roman"/>
      <w:kern w:val="2"/>
      <w:sz w:val="18"/>
      <w:szCs w:val="18"/>
    </w:rPr>
  </w:style>
  <w:style w:type="character" w:customStyle="1" w:styleId="30">
    <w:name w:val="标题 3 Char"/>
    <w:basedOn w:val="14"/>
    <w:link w:val="4"/>
    <w:qFormat/>
    <w:uiPriority w:val="9"/>
    <w:rPr>
      <w:rFonts w:ascii="Times New Roman" w:hAnsi="Times New Roman"/>
      <w:b/>
      <w:bCs/>
      <w:kern w:val="2"/>
      <w:sz w:val="32"/>
      <w:szCs w:val="32"/>
    </w:rPr>
  </w:style>
  <w:style w:type="paragraph" w:customStyle="1" w:styleId="31">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2">
    <w:name w:val="p0"/>
    <w:basedOn w:val="1"/>
    <w:qFormat/>
    <w:uiPriority w:val="0"/>
    <w:pPr>
      <w:widowControl/>
      <w:spacing w:before="100" w:beforeAutospacing="1" w:after="100" w:afterAutospacing="1"/>
      <w:jc w:val="left"/>
    </w:pPr>
    <w:rPr>
      <w:rFonts w:ascii="宋体" w:hAnsi="宋体" w:eastAsia="仿宋_GB2312" w:cs="宋体"/>
      <w:kern w:val="0"/>
      <w:sz w:val="24"/>
    </w:rPr>
  </w:style>
  <w:style w:type="character" w:customStyle="1" w:styleId="33">
    <w:name w:val="15"/>
    <w:basedOn w:val="14"/>
    <w:qFormat/>
    <w:uiPriority w:val="0"/>
    <w:rPr>
      <w:rFonts w:hint="default" w:ascii="Times New Roman" w:hAnsi="Times New Roman" w:cs="Times New Roman"/>
      <w:b/>
      <w:bC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3.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328849028400599"/>
          <c:y val="0.0468583599574015"/>
          <c:w val="0.955156950672645"/>
          <c:h val="0.72766974415738"/>
        </c:manualLayout>
      </c:layout>
      <c:barChart>
        <c:barDir val="col"/>
        <c:grouping val="stacked"/>
        <c:varyColors val="0"/>
        <c:ser>
          <c:idx val="0"/>
          <c:order val="0"/>
          <c:tx>
            <c:strRef>
              <c:f>Sheet1!$B$1</c:f>
              <c:strCache>
                <c:ptCount val="1"/>
                <c:pt idx="0">
                  <c:v>2019年收、支决算总计变动情况</c:v>
                </c:pt>
              </c:strCache>
            </c:strRef>
          </c:tx>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71.8</a:t>
                    </a:r>
                    <a:endParaRPr lang="en-US" altLang="en-US"/>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2019年</c:v>
                </c:pt>
                <c:pt idx="1">
                  <c:v>2018年</c:v>
                </c:pt>
              </c:strCache>
            </c:strRef>
          </c:cat>
          <c:val>
            <c:numRef>
              <c:f>Sheet1!$B$2:$B$3</c:f>
              <c:numCache>
                <c:formatCode>General</c:formatCode>
                <c:ptCount val="2"/>
                <c:pt idx="0">
                  <c:v>72.68</c:v>
                </c:pt>
                <c:pt idx="1">
                  <c:v>56.85</c:v>
                </c:pt>
              </c:numCache>
            </c:numRef>
          </c:val>
        </c:ser>
        <c:dLbls>
          <c:showLegendKey val="0"/>
          <c:showVal val="1"/>
          <c:showCatName val="0"/>
          <c:showSerName val="0"/>
          <c:showPercent val="0"/>
          <c:showBubbleSize val="0"/>
        </c:dLbls>
        <c:gapWidth val="75"/>
        <c:overlap val="100"/>
        <c:axId val="56190464"/>
        <c:axId val="56192000"/>
      </c:barChart>
      <c:catAx>
        <c:axId val="56190464"/>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6192000"/>
        <c:crosses val="autoZero"/>
        <c:auto val="1"/>
        <c:lblAlgn val="ctr"/>
        <c:lblOffset val="100"/>
        <c:noMultiLvlLbl val="0"/>
      </c:catAx>
      <c:valAx>
        <c:axId val="56192000"/>
        <c:scaling>
          <c:orientation val="minMax"/>
        </c:scaling>
        <c:delete val="1"/>
        <c:axPos val="l"/>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6190464"/>
        <c:crosses val="autoZero"/>
        <c:crossBetween val="between"/>
      </c:valAx>
      <c:spPr>
        <a:solidFill>
          <a:schemeClr val="bg1"/>
        </a:solidFill>
        <a:ln>
          <a:noFill/>
        </a:ln>
        <a:effectLst/>
      </c:spPr>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2019</a:t>
            </a:r>
            <a:r>
              <a:rPr lang="zh-CN" altLang="en-US"/>
              <a:t>年收入决算结构图</a:t>
            </a:r>
            <a:endParaRPr lang="zh-CN" altLang="en-US"/>
          </a:p>
        </c:rich>
      </c:tx>
      <c:layout/>
      <c:overlay val="0"/>
    </c:title>
    <c:autoTitleDeleted val="0"/>
    <c:plotArea>
      <c:layout>
        <c:manualLayout>
          <c:layoutTarget val="inner"/>
          <c:xMode val="edge"/>
          <c:yMode val="edge"/>
          <c:x val="0.159965793749467"/>
          <c:y val="0.326388959444588"/>
          <c:w val="0.804146728035807"/>
          <c:h val="0.545915290000515"/>
        </c:manualLayout>
      </c:layout>
      <c:pieChart>
        <c:varyColors val="1"/>
        <c:ser>
          <c:idx val="0"/>
          <c:order val="0"/>
          <c:tx>
            <c:strRef>
              <c:f>Sheet1!$B$1</c:f>
              <c:strCache>
                <c:ptCount val="1"/>
                <c:pt idx="0">
                  <c:v>209年收入决算结构图</c:v>
                </c:pt>
              </c:strCache>
            </c:strRef>
          </c:tx>
          <c:explosion val="0"/>
          <c:dPt>
            <c:idx val="0"/>
            <c:bubble3D val="0"/>
          </c:dPt>
          <c:dPt>
            <c:idx val="1"/>
            <c:bubble3D val="0"/>
          </c:dPt>
          <c:dLbls>
            <c:dLbl>
              <c:idx val="0"/>
              <c:layout>
                <c:manualLayout>
                  <c:x val="-0.00773811168340802"/>
                  <c:y val="-0.387548762287069"/>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
100%</a:t>
                    </a:r>
                    <a:endParaRPr lang="en-US" altLang="en-US"/>
                  </a:p>
                </c:rich>
              </c:tx>
              <c:dLblPos val="bestFit"/>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1"/>
                <c:pt idx="0">
                  <c:v>2019年</c:v>
                </c:pt>
              </c:strCache>
            </c:strRef>
          </c:cat>
          <c:val>
            <c:numRef>
              <c:f>Sheet1!$B$2:$B$3</c:f>
              <c:numCache>
                <c:formatCode>General</c:formatCode>
                <c:ptCount val="2"/>
                <c:pt idx="0">
                  <c:v>8.2</c:v>
                </c:pt>
              </c:numCache>
            </c:numRef>
          </c:val>
        </c:ser>
        <c:dLbls>
          <c:showLegendKey val="0"/>
          <c:showVal val="0"/>
          <c:showCatName val="1"/>
          <c:showSerName val="0"/>
          <c:showPercent val="1"/>
          <c:showBubbleSize val="0"/>
          <c:showLeaderLines val="1"/>
        </c:dLbls>
        <c:firstSliceAng val="15"/>
      </c:pieChart>
      <c:spPr>
        <a:noFill/>
        <a:ln>
          <a:noFill/>
        </a:ln>
        <a:effectLst/>
      </c:spPr>
    </c:plotArea>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2019</a:t>
            </a:r>
            <a:r>
              <a:rPr lang="zh-CN" altLang="en-US"/>
              <a:t>年支出决算结构图</a:t>
            </a:r>
            <a:endParaRPr lang="zh-CN" altLang="en-US"/>
          </a:p>
        </c:rich>
      </c:tx>
      <c:layout/>
      <c:overlay val="0"/>
    </c:title>
    <c:autoTitleDeleted val="0"/>
    <c:plotArea>
      <c:layout>
        <c:manualLayout>
          <c:layoutTarget val="inner"/>
          <c:xMode val="edge"/>
          <c:yMode val="edge"/>
          <c:x val="0.159965793749467"/>
          <c:y val="0.326388959444588"/>
          <c:w val="0.804146728035807"/>
          <c:h val="0.545915290000515"/>
        </c:manualLayout>
      </c:layout>
      <c:pieChart>
        <c:varyColors val="1"/>
        <c:ser>
          <c:idx val="0"/>
          <c:order val="0"/>
          <c:tx>
            <c:strRef>
              <c:f>Sheet1!$B$1</c:f>
              <c:strCache>
                <c:ptCount val="1"/>
                <c:pt idx="0">
                  <c:v>209年收入决算结构图</c:v>
                </c:pt>
              </c:strCache>
            </c:strRef>
          </c:tx>
          <c:explosion val="0"/>
          <c:dPt>
            <c:idx val="0"/>
            <c:bubble3D val="0"/>
          </c:dPt>
          <c:dPt>
            <c:idx val="1"/>
            <c:bubble3D val="0"/>
          </c:dPt>
          <c:dLbls>
            <c:dLbl>
              <c:idx val="0"/>
              <c:layout>
                <c:manualLayout>
                  <c:x val="-0.00773811168340802"/>
                  <c:y val="-0.387548762287069"/>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
100%</a:t>
                    </a:r>
                    <a:endParaRPr lang="en-US" altLang="en-US"/>
                  </a:p>
                </c:rich>
              </c:tx>
              <c:dLblPos val="bestFit"/>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1"/>
                <c:pt idx="0">
                  <c:v>2019年</c:v>
                </c:pt>
              </c:strCache>
            </c:strRef>
          </c:cat>
          <c:val>
            <c:numRef>
              <c:f>Sheet1!$B$2:$B$3</c:f>
              <c:numCache>
                <c:formatCode>General</c:formatCode>
                <c:ptCount val="2"/>
                <c:pt idx="0">
                  <c:v>8.2</c:v>
                </c:pt>
              </c:numCache>
            </c:numRef>
          </c:val>
        </c:ser>
        <c:dLbls>
          <c:showLegendKey val="0"/>
          <c:showVal val="0"/>
          <c:showCatName val="1"/>
          <c:showSerName val="0"/>
          <c:showPercent val="1"/>
          <c:showBubbleSize val="0"/>
          <c:showLeaderLines val="1"/>
        </c:dLbls>
        <c:firstSliceAng val="15"/>
      </c:pieChart>
      <c:spPr>
        <a:noFill/>
        <a:ln>
          <a:noFill/>
        </a:ln>
        <a:effectLst/>
      </c:spPr>
    </c:plotArea>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E1DFBD-D1B3-4EC9-A044-B05FE43673B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16</Pages>
  <Words>4613</Words>
  <Characters>579</Characters>
  <Lines>4</Lines>
  <Paragraphs>10</Paragraphs>
  <TotalTime>5</TotalTime>
  <ScaleCrop>false</ScaleCrop>
  <LinksUpToDate>false</LinksUpToDate>
  <CharactersWithSpaces>5182</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婷</cp:lastModifiedBy>
  <cp:lastPrinted>2020-09-28T01:03:00Z</cp:lastPrinted>
  <dcterms:modified xsi:type="dcterms:W3CDTF">2020-09-28T02:45:57Z</dcterms:modified>
  <dc:title>四川省***</dc:title>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