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475"/>
      <w:bookmarkStart w:id="2" w:name="_Toc15396597"/>
      <w:bookmarkStart w:id="3" w:name="_Toc15377193"/>
      <w:bookmarkStart w:id="4" w:name="_Toc15377425"/>
      <w:bookmarkStart w:id="5" w:name="_Toc15378441"/>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8442"/>
      <w:bookmarkStart w:id="8" w:name="_Toc15377426"/>
      <w:bookmarkStart w:id="9" w:name="_Toc15396476"/>
      <w:bookmarkStart w:id="10" w:name="_Toc15377194"/>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文学艺术界联合会部门决算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i w:val="0"/>
          <w:caps w:val="0"/>
          <w:smallCaps w:val="0"/>
          <w:sz w:val="28"/>
          <w:szCs w:val="24"/>
        </w:rPr>
      </w:pPr>
      <w:r>
        <w:rPr>
          <w:rFonts w:hint="eastAsia" w:hAnsiTheme="minorHAnsi"/>
          <w:b w:val="0"/>
          <w:bCs w:val="0"/>
          <w:sz w:val="24"/>
          <w:szCs w:val="24"/>
        </w:rPr>
        <w:t>公开时间：2021年9月23日</w:t>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before="0" w:after="0"/>
        <w:ind w:left="0"/>
        <w:textAlignment w:val="auto"/>
        <w:rPr>
          <w:rFonts w:hint="eastAsia" w:ascii="仿宋_GB2312" w:hAnsi="仿宋_GB2312" w:eastAsia="仿宋_GB2312" w:cs="仿宋_GB2312"/>
          <w:b w:val="0"/>
          <w:bCs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bCs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bCs w:val="0"/>
          <w:i w:val="0"/>
          <w:caps w:val="0"/>
          <w:smallCaps w:val="0"/>
          <w:color w:val="000000" w:themeColor="text1"/>
          <w:sz w:val="28"/>
          <w:szCs w:val="30"/>
          <w:highlight w:val="none"/>
          <w:shd w:val="clear" w:color="auto" w:fill="auto"/>
          <w14:textFill>
            <w14:solidFill>
              <w14:schemeClr w14:val="tx1"/>
            </w14:solidFill>
          </w14:textFill>
        </w:rPr>
        <w:instrText xml:space="preserve"> TOC \o \u </w:instrText>
      </w:r>
      <w:r>
        <w:rPr>
          <w:rFonts w:hint="eastAsia" w:ascii="仿宋_GB2312" w:hAnsi="仿宋_GB2312" w:eastAsia="仿宋_GB2312" w:cs="仿宋_GB2312"/>
          <w:b w:val="0"/>
          <w:bCs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 xml:space="preserve">第一部分 </w:t>
      </w:r>
      <w:r>
        <w:rPr>
          <w:rFonts w:hint="eastAsia" w:ascii="仿宋_GB2312" w:hAnsi="仿宋_GB2312" w:eastAsia="仿宋_GB2312" w:cs="仿宋_GB2312"/>
          <w:b w:val="0"/>
          <w:bCs w:val="0"/>
          <w:i w:val="0"/>
          <w:caps w:val="0"/>
          <w:smallCaps w:val="0"/>
          <w:color w:val="000000" w:themeColor="text1"/>
          <w:sz w:val="28"/>
          <w:szCs w:val="30"/>
          <w:highlight w:val="none"/>
          <w:shd w:val="clear" w:color="auto" w:fill="auto"/>
          <w14:textFill>
            <w14:solidFill>
              <w14:schemeClr w14:val="tx1"/>
            </w14:solidFill>
          </w14:textFill>
        </w:rPr>
        <w:t>部门概况</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_Toc82705890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5</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 w:hAnsi="仿宋" w:eastAsia="仿宋" w:cs="仿宋"/>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一、基本职能及主要工作</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_Toc82705891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5</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iCs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bCs/>
          <w:i w:val="0"/>
          <w:caps w:val="0"/>
          <w:smallCaps w:val="0"/>
          <w:color w:val="000000" w:themeColor="text1"/>
          <w:sz w:val="28"/>
          <w:szCs w:val="30"/>
          <w:highlight w:val="none"/>
          <w:shd w:val="clear" w:color="auto" w:fill="auto"/>
          <w14:textFill>
            <w14:solidFill>
              <w14:schemeClr w14:val="tx1"/>
            </w14:solidFill>
          </w14:textFill>
        </w:rPr>
        <w:t>（一）主要职能</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_Toc82705892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5</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iCs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bCs/>
          <w:i w:val="0"/>
          <w:caps w:val="0"/>
          <w:smallCaps w:val="0"/>
          <w:color w:val="000000" w:themeColor="text1"/>
          <w:sz w:val="28"/>
          <w:szCs w:val="30"/>
          <w:highlight w:val="none"/>
          <w:shd w:val="clear" w:color="auto" w:fill="auto"/>
          <w14:textFill>
            <w14:solidFill>
              <w14:schemeClr w14:val="tx1"/>
            </w14:solidFill>
          </w14:textFill>
        </w:rPr>
        <w:t>（二）2020年重点工作完成情况</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_Toc82705893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5</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二、机构设置</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_Toc82705894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7</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before="0" w:after="0"/>
        <w:ind w:left="0"/>
        <w:textAlignment w:val="auto"/>
        <w:rPr>
          <w:rFonts w:hint="eastAsia" w:ascii="仿宋_GB2312" w:hAnsi="仿宋_GB2312" w:eastAsia="仿宋_GB2312" w:cs="仿宋_GB2312"/>
          <w:b w:val="0"/>
          <w:bCs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 xml:space="preserve">第二部分 </w:t>
      </w:r>
      <w:r>
        <w:rPr>
          <w:rFonts w:hint="eastAsia" w:ascii="仿宋_GB2312" w:hAnsi="仿宋_GB2312" w:eastAsia="仿宋_GB2312" w:cs="仿宋_GB2312"/>
          <w:b w:val="0"/>
          <w:bCs w:val="0"/>
          <w:i w:val="0"/>
          <w:caps w:val="0"/>
          <w:smallCaps w:val="0"/>
          <w:color w:val="000000" w:themeColor="text1"/>
          <w:sz w:val="28"/>
          <w:szCs w:val="30"/>
          <w:highlight w:val="none"/>
          <w:shd w:val="clear" w:color="auto" w:fill="auto"/>
          <w14:textFill>
            <w14:solidFill>
              <w14:schemeClr w14:val="tx1"/>
            </w14:solidFill>
          </w14:textFill>
        </w:rPr>
        <w:t>2020年度部门决算情况说明</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_Toc82705895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left" w:pos="840"/>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bCs/>
          <w:i w:val="0"/>
          <w:caps w:val="0"/>
          <w:smallCaps w:val="0"/>
          <w:color w:val="000000" w:themeColor="text1"/>
          <w:sz w:val="28"/>
          <w:szCs w:val="30"/>
          <w:highlight w:val="none"/>
          <w:shd w:val="clear" w:color="auto" w:fill="auto"/>
          <w14:textFill>
            <w14:solidFill>
              <w14:schemeClr w14:val="tx1"/>
            </w14:solidFill>
          </w14:textFill>
        </w:rPr>
        <w:t>一、</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收</w:t>
      </w:r>
      <w:r>
        <w:rPr>
          <w:rFonts w:hint="eastAsia" w:ascii="仿宋_GB2312" w:hAnsi="仿宋_GB2312" w:eastAsia="仿宋_GB2312" w:cs="仿宋_GB2312"/>
          <w:b w:val="0"/>
          <w:bCs/>
          <w:i w:val="0"/>
          <w:caps w:val="0"/>
          <w:smallCaps w:val="0"/>
          <w:color w:val="000000" w:themeColor="text1"/>
          <w:sz w:val="28"/>
          <w:szCs w:val="30"/>
          <w:highlight w:val="none"/>
          <w:shd w:val="clear" w:color="auto" w:fill="auto"/>
          <w14:textFill>
            <w14:solidFill>
              <w14:schemeClr w14:val="tx1"/>
            </w14:solidFill>
          </w14:textFill>
        </w:rPr>
        <w:t>入支出决算总体情况说明</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_Toc82705896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left" w:pos="840"/>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bCs/>
          <w:i w:val="0"/>
          <w:caps w:val="0"/>
          <w:smallCaps w:val="0"/>
          <w:color w:val="000000" w:themeColor="text1"/>
          <w:sz w:val="28"/>
          <w:szCs w:val="30"/>
          <w:highlight w:val="none"/>
          <w:shd w:val="clear" w:color="auto" w:fill="auto"/>
          <w14:textFill>
            <w14:solidFill>
              <w14:schemeClr w14:val="tx1"/>
            </w14:solidFill>
          </w14:textFill>
        </w:rPr>
        <w:t>二、</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收</w:t>
      </w:r>
      <w:r>
        <w:rPr>
          <w:rFonts w:hint="eastAsia" w:ascii="仿宋_GB2312" w:hAnsi="仿宋_GB2312" w:eastAsia="仿宋_GB2312" w:cs="仿宋_GB2312"/>
          <w:b w:val="0"/>
          <w:bCs/>
          <w:i w:val="0"/>
          <w:caps w:val="0"/>
          <w:smallCaps w:val="0"/>
          <w:color w:val="000000" w:themeColor="text1"/>
          <w:sz w:val="28"/>
          <w:szCs w:val="30"/>
          <w:highlight w:val="none"/>
          <w:shd w:val="clear" w:color="auto" w:fill="auto"/>
          <w14:textFill>
            <w14:solidFill>
              <w14:schemeClr w14:val="tx1"/>
            </w14:solidFill>
          </w14:textFill>
        </w:rPr>
        <w:t>入决算情况说明</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_Toc82705897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left" w:pos="840"/>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bCs/>
          <w:i w:val="0"/>
          <w:caps w:val="0"/>
          <w:smallCaps w:val="0"/>
          <w:color w:val="000000" w:themeColor="text1"/>
          <w:sz w:val="28"/>
          <w:szCs w:val="30"/>
          <w:highlight w:val="none"/>
          <w:shd w:val="clear" w:color="auto" w:fill="auto"/>
          <w14:textFill>
            <w14:solidFill>
              <w14:schemeClr w14:val="tx1"/>
            </w14:solidFill>
          </w14:textFill>
        </w:rPr>
        <w:t>三、</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支</w:t>
      </w:r>
      <w:r>
        <w:rPr>
          <w:rFonts w:hint="eastAsia" w:ascii="仿宋_GB2312" w:hAnsi="仿宋_GB2312" w:eastAsia="仿宋_GB2312" w:cs="仿宋_GB2312"/>
          <w:b w:val="0"/>
          <w:bCs/>
          <w:i w:val="0"/>
          <w:caps w:val="0"/>
          <w:smallCaps w:val="0"/>
          <w:color w:val="000000" w:themeColor="text1"/>
          <w:sz w:val="28"/>
          <w:szCs w:val="30"/>
          <w:highlight w:val="none"/>
          <w:shd w:val="clear" w:color="auto" w:fill="auto"/>
          <w14:textFill>
            <w14:solidFill>
              <w14:schemeClr w14:val="tx1"/>
            </w14:solidFill>
          </w14:textFill>
        </w:rPr>
        <w:t>出决算情况说明</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_Toc82705898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四、财</w:t>
      </w:r>
      <w:r>
        <w:rPr>
          <w:rFonts w:hint="eastAsia" w:ascii="仿宋_GB2312" w:hAnsi="仿宋_GB2312" w:eastAsia="仿宋_GB2312" w:cs="仿宋_GB2312"/>
          <w:b w:val="0"/>
          <w:bCs/>
          <w:i w:val="0"/>
          <w:caps w:val="0"/>
          <w:smallCaps w:val="0"/>
          <w:color w:val="000000" w:themeColor="text1"/>
          <w:sz w:val="28"/>
          <w:szCs w:val="30"/>
          <w:highlight w:val="none"/>
          <w:shd w:val="clear" w:color="auto" w:fill="auto"/>
          <w14:textFill>
            <w14:solidFill>
              <w14:schemeClr w14:val="tx1"/>
            </w14:solidFill>
          </w14:textFill>
        </w:rPr>
        <w:t>政拨款收入支出决算总体情况说明</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_Toc82705899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9</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五、一</w:t>
      </w:r>
      <w:r>
        <w:rPr>
          <w:rFonts w:hint="eastAsia" w:ascii="仿宋_GB2312" w:hAnsi="仿宋_GB2312" w:eastAsia="仿宋_GB2312" w:cs="仿宋_GB2312"/>
          <w:b w:val="0"/>
          <w:bCs/>
          <w:i w:val="0"/>
          <w:caps w:val="0"/>
          <w:smallCaps w:val="0"/>
          <w:color w:val="000000" w:themeColor="text1"/>
          <w:sz w:val="28"/>
          <w:szCs w:val="30"/>
          <w:highlight w:val="none"/>
          <w:shd w:val="clear" w:color="auto" w:fill="auto"/>
          <w14:textFill>
            <w14:solidFill>
              <w14:schemeClr w14:val="tx1"/>
            </w14:solidFill>
          </w14:textFill>
        </w:rPr>
        <w:t>般公共预算财政拨款支出决算情况说明</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_Toc82705900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9</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iCs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（一）一般公共预算财政拨款支出决算总体情况</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_Toc82705901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9</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iCs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（二）一般公共预算财政拨款支出决算结构情况</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_Toc82705902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9</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iCs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（三）一般公共预算财政拨款支出决算具体情况</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_Toc82705903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10</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六、一</w:t>
      </w:r>
      <w:r>
        <w:rPr>
          <w:rFonts w:hint="eastAsia" w:ascii="仿宋_GB2312" w:hAnsi="仿宋_GB2312" w:eastAsia="仿宋_GB2312" w:cs="仿宋_GB2312"/>
          <w:b w:val="0"/>
          <w:bCs/>
          <w:i w:val="0"/>
          <w:caps w:val="0"/>
          <w:smallCaps w:val="0"/>
          <w:color w:val="000000" w:themeColor="text1"/>
          <w:sz w:val="28"/>
          <w:szCs w:val="30"/>
          <w:highlight w:val="none"/>
          <w:shd w:val="clear" w:color="auto" w:fill="auto"/>
          <w14:textFill>
            <w14:solidFill>
              <w14:schemeClr w14:val="tx1"/>
            </w14:solidFill>
          </w14:textFill>
        </w:rPr>
        <w:t>般公共预算财政拨款基本支出决算情况说明</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_Toc82705904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10</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七、</w:t>
      </w:r>
      <w:r>
        <w:rPr>
          <w:rFonts w:hint="eastAsia" w:ascii="仿宋_GB2312" w:hAnsi="仿宋_GB2312" w:eastAsia="仿宋_GB2312" w:cs="仿宋_GB2312"/>
          <w:b w:val="0"/>
          <w:bCs/>
          <w:i w:val="0"/>
          <w:caps w:val="0"/>
          <w:smallCaps w:val="0"/>
          <w:color w:val="000000" w:themeColor="text1"/>
          <w:sz w:val="28"/>
          <w:szCs w:val="30"/>
          <w:highlight w:val="none"/>
          <w:shd w:val="clear" w:color="auto" w:fill="auto"/>
          <w14:textFill>
            <w14:solidFill>
              <w14:schemeClr w14:val="tx1"/>
            </w14:solidFill>
          </w14:textFill>
        </w:rPr>
        <w:t>“三公”经费财政拨款支出决算情况说明</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_Toc82705905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11</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iCs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（一）“三公”经费财政拨款支出决算总体情况说明</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_Toc82705906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11</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iCs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（二）“三公”经费财政拨款支出决算具体情况说明</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_Toc82705907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11</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八、</w:t>
      </w:r>
      <w:r>
        <w:rPr>
          <w:rFonts w:hint="eastAsia" w:ascii="仿宋_GB2312" w:hAnsi="仿宋_GB2312" w:eastAsia="仿宋_GB2312" w:cs="仿宋_GB2312"/>
          <w:b w:val="0"/>
          <w:bCs/>
          <w:i w:val="0"/>
          <w:caps w:val="0"/>
          <w:smallCaps w:val="0"/>
          <w:color w:val="000000" w:themeColor="text1"/>
          <w:sz w:val="28"/>
          <w:szCs w:val="30"/>
          <w:highlight w:val="none"/>
          <w:shd w:val="clear" w:color="auto" w:fill="auto"/>
          <w14:textFill>
            <w14:solidFill>
              <w14:schemeClr w14:val="tx1"/>
            </w14:solidFill>
          </w14:textFill>
        </w:rPr>
        <w:t>政府性基金预算支出决算情况说明</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_Toc82705908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11</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bCs/>
          <w:i w:val="0"/>
          <w:caps w:val="0"/>
          <w:smallCaps w:val="0"/>
          <w:color w:val="000000" w:themeColor="text1"/>
          <w:sz w:val="28"/>
          <w:szCs w:val="30"/>
          <w:highlight w:val="none"/>
          <w:shd w:val="clear" w:color="auto" w:fill="auto"/>
          <w14:textFill>
            <w14:solidFill>
              <w14:schemeClr w14:val="tx1"/>
            </w14:solidFill>
          </w14:textFill>
        </w:rPr>
        <w:t>九、 国有资本经营预算支出决算情况说明</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_Toc82705909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11</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十</w:t>
      </w:r>
      <w:r>
        <w:rPr>
          <w:rFonts w:hint="eastAsia" w:ascii="仿宋_GB2312" w:hAnsi="仿宋_GB2312" w:eastAsia="仿宋_GB2312" w:cs="仿宋_GB2312"/>
          <w:b w:val="0"/>
          <w:bCs/>
          <w:i w:val="0"/>
          <w:caps w:val="0"/>
          <w:smallCaps w:val="0"/>
          <w:color w:val="000000" w:themeColor="text1"/>
          <w:sz w:val="28"/>
          <w:szCs w:val="30"/>
          <w:highlight w:val="none"/>
          <w:shd w:val="clear" w:color="auto" w:fill="auto"/>
          <w14:textFill>
            <w14:solidFill>
              <w14:schemeClr w14:val="tx1"/>
            </w14:solidFill>
          </w14:textFill>
        </w:rPr>
        <w:t>、其他重要事项的情况说明</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_Toc82705910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11</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ind w:left="0"/>
        <w:jc w:val="left"/>
        <w:textAlignment w:val="auto"/>
        <w:rPr>
          <w:rFonts w:hint="eastAsia" w:ascii="仿宋_GB2312" w:hAnsi="仿宋_GB2312" w:eastAsia="仿宋_GB2312" w:cs="仿宋_GB2312"/>
          <w:b w:val="0"/>
          <w:i w:val="0"/>
          <w:iCs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（一）机关运行经费支出情况</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_Toc82705911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11</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iCs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（二）政府采购支出情况</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_Toc82705912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12</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iCs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（三）国有资产占有使用情况</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_Toc82705913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12</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iCs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（四）预算绩效管理情况</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_Toc82705914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12</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before="0" w:after="0"/>
        <w:ind w:left="0"/>
        <w:textAlignment w:val="auto"/>
        <w:rPr>
          <w:rFonts w:hint="eastAsia" w:ascii="仿宋_GB2312" w:hAnsi="仿宋_GB2312" w:eastAsia="仿宋_GB2312" w:cs="仿宋_GB2312"/>
          <w:b w:val="0"/>
          <w:bCs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第四部分 名</w:t>
      </w:r>
      <w:r>
        <w:rPr>
          <w:rFonts w:hint="eastAsia" w:ascii="仿宋_GB2312" w:hAnsi="仿宋_GB2312" w:eastAsia="仿宋_GB2312" w:cs="仿宋_GB2312"/>
          <w:b w:val="0"/>
          <w:i w:val="0"/>
          <w:caps w:val="0"/>
          <w:smallCaps w:val="0"/>
          <w:color w:val="000000" w:themeColor="text1"/>
          <w:kern w:val="44"/>
          <w:sz w:val="28"/>
          <w:szCs w:val="30"/>
          <w:highlight w:val="none"/>
          <w:shd w:val="clear" w:color="auto" w:fill="auto"/>
          <w14:textFill>
            <w14:solidFill>
              <w14:schemeClr w14:val="tx1"/>
            </w14:solidFill>
          </w14:textFill>
        </w:rPr>
        <w:t>词解释</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_Toc82705915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13</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before="0" w:after="0"/>
        <w:ind w:left="0"/>
        <w:textAlignment w:val="auto"/>
        <w:rPr>
          <w:rFonts w:hint="eastAsia" w:ascii="仿宋_GB2312" w:hAnsi="仿宋_GB2312" w:eastAsia="仿宋_GB2312" w:cs="仿宋_GB2312"/>
          <w:b w:val="0"/>
          <w:bCs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第</w:t>
      </w:r>
      <w:r>
        <w:rPr>
          <w:rFonts w:hint="eastAsia" w:ascii="仿宋_GB2312" w:hAnsi="仿宋_GB2312" w:eastAsia="仿宋_GB2312" w:cs="仿宋_GB2312"/>
          <w:b w:val="0"/>
          <w:i w:val="0"/>
          <w:caps w:val="0"/>
          <w:smallCaps w:val="0"/>
          <w:color w:val="000000" w:themeColor="text1"/>
          <w:kern w:val="44"/>
          <w:sz w:val="28"/>
          <w:szCs w:val="30"/>
          <w:highlight w:val="none"/>
          <w:shd w:val="clear" w:color="auto" w:fill="auto"/>
          <w14:textFill>
            <w14:solidFill>
              <w14:schemeClr w14:val="tx1"/>
            </w14:solidFill>
          </w14:textFill>
        </w:rPr>
        <w:t>四部分 附件</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_Toc82705916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15</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before="0" w:after="0"/>
        <w:ind w:left="0"/>
        <w:textAlignment w:val="auto"/>
        <w:rPr>
          <w:rFonts w:hint="eastAsia" w:ascii="仿宋_GB2312" w:hAnsi="仿宋_GB2312" w:eastAsia="仿宋_GB2312" w:cs="仿宋_GB2312"/>
          <w:b w:val="0"/>
          <w:bCs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附件1</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_Toc82705917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15</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before="0" w:after="0"/>
        <w:ind w:left="0"/>
        <w:textAlignment w:val="auto"/>
        <w:rPr>
          <w:rFonts w:hint="eastAsia" w:ascii="仿宋_GB2312" w:hAnsi="仿宋_GB2312" w:eastAsia="仿宋_GB2312" w:cs="仿宋_GB2312"/>
          <w:b w:val="0"/>
          <w:bCs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附件2</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_Toc82705918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before="0" w:after="0"/>
        <w:ind w:left="0"/>
        <w:textAlignment w:val="auto"/>
        <w:rPr>
          <w:rFonts w:hint="eastAsia" w:ascii="仿宋_GB2312" w:hAnsi="仿宋_GB2312" w:eastAsia="仿宋_GB2312" w:cs="仿宋_GB2312"/>
          <w:b w:val="0"/>
          <w:bCs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第</w:t>
      </w:r>
      <w:r>
        <w:rPr>
          <w:rFonts w:hint="eastAsia" w:ascii="仿宋_GB2312" w:hAnsi="仿宋_GB2312" w:eastAsia="仿宋_GB2312" w:cs="仿宋_GB2312"/>
          <w:b w:val="0"/>
          <w:i w:val="0"/>
          <w:caps w:val="0"/>
          <w:smallCaps w:val="0"/>
          <w:color w:val="000000" w:themeColor="text1"/>
          <w:kern w:val="44"/>
          <w:sz w:val="28"/>
          <w:szCs w:val="30"/>
          <w:highlight w:val="none"/>
          <w:shd w:val="clear" w:color="auto" w:fill="auto"/>
          <w14:textFill>
            <w14:solidFill>
              <w14:schemeClr w14:val="tx1"/>
            </w14:solidFill>
          </w14:textFill>
        </w:rPr>
        <w:t>五部分 附表</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_Toc82705919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before="0" w:after="0"/>
        <w:ind w:left="0"/>
        <w:textAlignment w:val="auto"/>
        <w:rPr>
          <w:rFonts w:hint="eastAsia" w:ascii="仿宋_GB2312" w:hAnsi="仿宋_GB2312" w:eastAsia="仿宋_GB2312" w:cs="仿宋_GB2312"/>
          <w:b w:val="0"/>
          <w:bCs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一、收入支出决算总表</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_Toc82705920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二、收入决算表</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_Toc82705921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三、支出决算表</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_Toc82705922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四、财政拨款收入支出决算总表</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_Toc82705923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五、财政拨款支出决算明细表</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_Toc82705924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六、一般公共预算财政拨款支出决算表</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_Toc82705925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七、一般公共预算财政拨款支出决算明细表</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_Toc82705926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八、一般公共预算财政拨款基本支出决算表</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_Toc82705927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九、一般公共预算财政拨款项目支出决算表</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_Toc82705928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十、一般公共预算财政拨款“三公”经费支出决算表</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_Toc82705929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十一、政府性基金预算财政拨款收入支出决算表</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_Toc82705930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十二、政府性基金预算财政拨款“三公”经费支出决算表</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_Toc82705931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十三、国有资本经营预算财政拨款支出决算表</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_Toc82705932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ind w:left="0"/>
        <w:textAlignment w:val="auto"/>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十四、国有资本经营预算财政拨款支出决算表</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ab/>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begin"/>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instrText xml:space="preserve"> PAGEREF _Toc82705933 \h </w:instrTex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separate"/>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t>18</w:t>
      </w: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keepNext w:val="0"/>
        <w:keepLines w:val="0"/>
        <w:pageBreakBefore w:val="0"/>
        <w:widowControl w:val="0"/>
        <w:kinsoku/>
        <w:wordWrap/>
        <w:overflowPunct/>
        <w:topLinePunct w:val="0"/>
        <w:autoSpaceDE/>
        <w:autoSpaceDN/>
        <w:bidi w:val="0"/>
        <w:adjustRightInd/>
        <w:snapToGrid/>
        <w:ind w:left="0"/>
        <w:textAlignment w:val="auto"/>
        <w:rPr>
          <w:color w:val="auto"/>
        </w:rPr>
      </w:pPr>
      <w:r>
        <w:rPr>
          <w:rFonts w:hint="eastAsia" w:ascii="仿宋_GB2312" w:hAnsi="仿宋_GB2312" w:eastAsia="仿宋_GB2312" w:cs="仿宋_GB2312"/>
          <w:b w:val="0"/>
          <w:i w:val="0"/>
          <w:caps w:val="0"/>
          <w:smallCaps w:val="0"/>
          <w:color w:val="000000" w:themeColor="text1"/>
          <w:sz w:val="28"/>
          <w:szCs w:val="30"/>
          <w:highlight w:val="none"/>
          <w:shd w:val="clear" w:color="auto" w:fill="auto"/>
          <w14:textFill>
            <w14:solidFill>
              <w14:schemeClr w14:val="tx1"/>
            </w14:solidFill>
          </w14:textFill>
        </w:rPr>
        <w:fldChar w:fldCharType="end"/>
      </w:r>
    </w:p>
    <w:p>
      <w:pPr>
        <w:pStyle w:val="2"/>
        <w:jc w:val="center"/>
        <w:rPr>
          <w:rFonts w:ascii="黑体" w:hAnsi="黑体" w:eastAsia="黑体"/>
          <w:b w:val="0"/>
          <w:color w:val="auto"/>
        </w:rPr>
      </w:pPr>
      <w:bookmarkStart w:id="12" w:name="_Toc15396599"/>
      <w:bookmarkStart w:id="13" w:name="_Toc82705890"/>
      <w:bookmarkStart w:id="14" w:name="_Toc79163601"/>
      <w:bookmarkStart w:id="15" w:name="_Toc15377196"/>
    </w:p>
    <w:p>
      <w:pPr>
        <w:pStyle w:val="2"/>
        <w:jc w:val="center"/>
        <w:rPr>
          <w:rFonts w:ascii="黑体" w:hAnsi="黑体" w:eastAsia="黑体"/>
          <w:b w:val="0"/>
        </w:rPr>
      </w:pPr>
    </w:p>
    <w:p/>
    <w:p/>
    <w:p/>
    <w:p/>
    <w:p/>
    <w:p/>
    <w:p/>
    <w:p/>
    <w:p/>
    <w:p/>
    <w:p/>
    <w:p/>
    <w:p/>
    <w:p/>
    <w:p>
      <w:pPr>
        <w:pStyle w:val="2"/>
        <w:jc w:val="center"/>
        <w:rPr>
          <w:rFonts w:hint="eastAsia" w:ascii="黑体" w:hAnsi="黑体" w:eastAsia="黑体"/>
          <w:b w:val="0"/>
        </w:rPr>
      </w:pPr>
    </w:p>
    <w:p>
      <w:pPr>
        <w:pStyle w:val="2"/>
        <w:jc w:val="center"/>
        <w:rPr>
          <w:rFonts w:hint="eastAsia" w:ascii="黑体" w:hAnsi="黑体" w:eastAsia="黑体"/>
          <w:b w:val="0"/>
        </w:rPr>
      </w:pPr>
    </w:p>
    <w:bookmarkEnd w:id="12"/>
    <w:bookmarkEnd w:id="13"/>
    <w:bookmarkEnd w:id="14"/>
    <w:bookmarkEnd w:id="15"/>
    <w:p>
      <w:pPr>
        <w:widowControl/>
        <w:jc w:val="left"/>
        <w:rPr>
          <w:rFonts w:ascii="黑体" w:eastAsia="黑体"/>
          <w:color w:val="000000"/>
          <w:sz w:val="32"/>
          <w:szCs w:val="32"/>
        </w:rPr>
      </w:pPr>
    </w:p>
    <w:p>
      <w:pPr>
        <w:widowControl/>
        <w:jc w:val="left"/>
        <w:rPr>
          <w:rFonts w:ascii="黑体" w:eastAsia="黑体"/>
          <w:color w:val="000000"/>
          <w:sz w:val="32"/>
          <w:szCs w:val="32"/>
        </w:rPr>
      </w:pPr>
    </w:p>
    <w:p>
      <w:pPr>
        <w:widowControl/>
        <w:jc w:val="left"/>
        <w:rPr>
          <w:rFonts w:hint="eastAsia" w:ascii="黑体" w:eastAsia="黑体"/>
          <w:color w:val="000000"/>
          <w:sz w:val="32"/>
          <w:szCs w:val="32"/>
          <w:lang w:eastAsia="zh-CN"/>
        </w:rPr>
      </w:pPr>
    </w:p>
    <w:p>
      <w:pPr>
        <w:pStyle w:val="3"/>
        <w:jc w:val="center"/>
        <w:rPr>
          <w:rFonts w:hint="eastAsia" w:ascii="黑体" w:hAnsi="黑体" w:eastAsia="黑体"/>
          <w:b w:val="0"/>
          <w:color w:val="000000"/>
          <w:sz w:val="44"/>
          <w:szCs w:val="44"/>
          <w:lang w:eastAsia="zh-CN"/>
        </w:rPr>
      </w:pPr>
      <w:bookmarkStart w:id="16" w:name="_Toc79163602"/>
      <w:bookmarkStart w:id="17" w:name="_Toc15377197"/>
      <w:bookmarkStart w:id="18" w:name="_Toc15396600"/>
      <w:bookmarkStart w:id="19" w:name="_Toc82705891"/>
      <w:r>
        <w:rPr>
          <w:rFonts w:hint="eastAsia" w:ascii="黑体" w:hAnsi="黑体" w:eastAsia="黑体"/>
          <w:b w:val="0"/>
          <w:color w:val="000000"/>
          <w:sz w:val="44"/>
          <w:szCs w:val="44"/>
          <w:lang w:eastAsia="zh-CN"/>
        </w:rPr>
        <w:t>第一部分</w:t>
      </w:r>
    </w:p>
    <w:p>
      <w:pPr>
        <w:pStyle w:val="3"/>
        <w:rPr>
          <w:rStyle w:val="23"/>
          <w:rFonts w:ascii="仿宋" w:hAnsi="仿宋" w:eastAsia="仿宋"/>
          <w:b w:val="0"/>
          <w:bCs w:val="0"/>
        </w:rPr>
      </w:pPr>
      <w:r>
        <w:rPr>
          <w:rFonts w:hint="eastAsia" w:ascii="黑体" w:hAnsi="黑体" w:eastAsia="黑体"/>
          <w:b w:val="0"/>
          <w:color w:val="000000"/>
        </w:rPr>
        <w:t>一、基</w:t>
      </w:r>
      <w:r>
        <w:rPr>
          <w:rStyle w:val="23"/>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0" w:name="_Toc15377198"/>
      <w:bookmarkStart w:id="21" w:name="_Toc79163603"/>
      <w:bookmarkStart w:id="22" w:name="_Toc15378445"/>
      <w:bookmarkStart w:id="23" w:name="_Toc82705892"/>
      <w:r>
        <w:rPr>
          <w:rFonts w:hint="eastAsia" w:ascii="仿宋" w:hAnsi="仿宋" w:eastAsia="仿宋"/>
          <w:bCs/>
          <w:color w:val="000000"/>
          <w:sz w:val="32"/>
          <w:szCs w:val="32"/>
        </w:rPr>
        <w:t>（一）主要职能</w:t>
      </w:r>
      <w:bookmarkEnd w:id="20"/>
      <w:bookmarkEnd w:id="21"/>
      <w:bookmarkEnd w:id="22"/>
      <w:bookmarkStart w:id="24" w:name="_Toc15377199"/>
      <w:bookmarkStart w:id="25" w:name="_Toc79163604"/>
      <w:bookmarkStart w:id="26" w:name="_Toc15378446"/>
      <w:bookmarkStart w:id="161" w:name="_GoBack"/>
      <w:bookmarkEnd w:id="161"/>
    </w:p>
    <w:p>
      <w:pPr>
        <w:pStyle w:val="6"/>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hAnsi="仿宋_GB2312" w:cs="仿宋_GB2312"/>
          <w:sz w:val="32"/>
          <w:szCs w:val="32"/>
        </w:rPr>
        <w:t>茂县文学艺术界联合会是县委领导、县委宣传部代管的正科级群团机构，主要职能是繁荣发展社会主义文艺事业，满足人民群众日益增长的文化发展需要，对团体会员开展联络、协调、服务、指导工作。通过文艺采风、学术研讨、展览演出等工作，指导团体会员开展业务活动。</w:t>
      </w:r>
      <w:bookmarkEnd w:id="23"/>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7" w:name="_Toc82705893"/>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pPr>
        <w:autoSpaceDE w:val="0"/>
        <w:spacing w:line="576" w:lineRule="exact"/>
        <w:ind w:firstLine="643" w:firstLineChars="200"/>
        <w:rPr>
          <w:rFonts w:ascii="仿宋_GB2312" w:eastAsia="仿宋_GB2312" w:cs="仿宋"/>
          <w:bCs/>
          <w:sz w:val="32"/>
          <w:szCs w:val="32"/>
        </w:rPr>
      </w:pPr>
      <w:r>
        <w:rPr>
          <w:rFonts w:hint="eastAsia" w:ascii="仿宋_GB2312" w:eastAsia="仿宋_GB2312" w:cs="仿宋"/>
          <w:b/>
          <w:sz w:val="32"/>
          <w:szCs w:val="32"/>
        </w:rPr>
        <w:t>1.</w:t>
      </w:r>
      <w:r>
        <w:rPr>
          <w:rFonts w:hint="eastAsia" w:ascii="仿宋_GB2312" w:eastAsia="仿宋_GB2312" w:cs="仿宋"/>
          <w:bCs/>
          <w:sz w:val="32"/>
          <w:szCs w:val="32"/>
        </w:rPr>
        <w:t>圆满举办“赞成就、话变化，茂县美术、书法、摄影作品展”。充分展示文明、和谐、美丽、幸福茂县建设成就，展览参展作品近200幅，均是近年来我县各级文艺爱好者呕心力作。</w:t>
      </w:r>
    </w:p>
    <w:p>
      <w:pPr>
        <w:autoSpaceDE w:val="0"/>
        <w:spacing w:line="576" w:lineRule="exact"/>
        <w:ind w:firstLine="643" w:firstLineChars="200"/>
        <w:rPr>
          <w:rFonts w:ascii="仿宋_GB2312" w:eastAsia="仿宋_GB2312" w:cs="仿宋"/>
          <w:bCs/>
          <w:sz w:val="32"/>
          <w:szCs w:val="32"/>
        </w:rPr>
      </w:pPr>
      <w:r>
        <w:rPr>
          <w:rFonts w:hint="eastAsia" w:ascii="仿宋_GB2312" w:eastAsia="仿宋_GB2312" w:cs="仿宋"/>
          <w:b/>
          <w:sz w:val="32"/>
          <w:szCs w:val="32"/>
        </w:rPr>
        <w:t>2.</w:t>
      </w:r>
      <w:r>
        <w:rPr>
          <w:rFonts w:hint="eastAsia" w:ascii="仿宋_GB2312" w:eastAsia="仿宋_GB2312" w:cs="仿宋"/>
          <w:bCs/>
          <w:sz w:val="32"/>
          <w:szCs w:val="32"/>
        </w:rPr>
        <w:t>紧扣县委、县政府中心工作，加大对脱贫攻坚的宣传力度，引导广大党员干部和群众积极投身脱贫攻坚工作，今年与县委组织部共同编著出版《最美援藏干部》征文作品集，为茂县打赢脱贫攻坚战呐喊助力。</w:t>
      </w:r>
    </w:p>
    <w:p>
      <w:pPr>
        <w:autoSpaceDE w:val="0"/>
        <w:spacing w:line="576" w:lineRule="exact"/>
        <w:ind w:firstLine="643" w:firstLineChars="200"/>
        <w:rPr>
          <w:rFonts w:ascii="仿宋_GB2312" w:eastAsia="仿宋_GB2312" w:cs="仿宋"/>
          <w:bCs/>
          <w:sz w:val="32"/>
          <w:szCs w:val="32"/>
        </w:rPr>
      </w:pPr>
      <w:r>
        <w:rPr>
          <w:rFonts w:hint="eastAsia" w:ascii="仿宋_GB2312" w:eastAsia="仿宋_GB2312" w:cs="仿宋"/>
          <w:b/>
          <w:sz w:val="32"/>
          <w:szCs w:val="32"/>
        </w:rPr>
        <w:t>3.</w:t>
      </w:r>
      <w:r>
        <w:rPr>
          <w:rFonts w:hint="eastAsia" w:ascii="仿宋_GB2312" w:eastAsia="仿宋_GB2312" w:cs="仿宋"/>
          <w:bCs/>
          <w:sz w:val="32"/>
          <w:szCs w:val="32"/>
        </w:rPr>
        <w:t xml:space="preserve">为拓宽我县文艺爱好者学习交流平台，县文联与维强羌族银饰博物馆达成合作协议，挂牌成立了茂县文联文创基地，并积极组织各协会会员在文创基地开展学习交流活动。    </w:t>
      </w:r>
    </w:p>
    <w:p>
      <w:pPr>
        <w:autoSpaceDE w:val="0"/>
        <w:spacing w:line="576" w:lineRule="exact"/>
        <w:ind w:firstLine="643" w:firstLineChars="200"/>
        <w:rPr>
          <w:rFonts w:ascii="仿宋_GB2312" w:eastAsia="仿宋_GB2312" w:cs="仿宋"/>
          <w:bCs/>
          <w:sz w:val="32"/>
          <w:szCs w:val="32"/>
        </w:rPr>
      </w:pPr>
      <w:r>
        <w:rPr>
          <w:rFonts w:hint="eastAsia" w:ascii="仿宋_GB2312" w:eastAsia="仿宋_GB2312" w:cs="仿宋"/>
          <w:b/>
          <w:sz w:val="32"/>
          <w:szCs w:val="32"/>
        </w:rPr>
        <w:t>4.</w:t>
      </w:r>
      <w:r>
        <w:rPr>
          <w:rFonts w:hint="eastAsia" w:ascii="仿宋_GB2312" w:eastAsia="仿宋_GB2312" w:cs="仿宋"/>
          <w:bCs/>
          <w:sz w:val="32"/>
          <w:szCs w:val="32"/>
        </w:rPr>
        <w:t>全力推进文艺创作基金落地落实。组织召开茂县文艺创作基金管理委员会成立大会，组建了茂县文艺创作基金评审委员会，完成2018年度和2019年度文艺创作基金申报、评审工作，并在政府门户网站进行了公示。</w:t>
      </w:r>
    </w:p>
    <w:p>
      <w:pPr>
        <w:autoSpaceDE w:val="0"/>
        <w:spacing w:line="576" w:lineRule="exact"/>
        <w:ind w:firstLine="643" w:firstLineChars="200"/>
        <w:rPr>
          <w:rFonts w:ascii="仿宋_GB2312" w:eastAsia="仿宋_GB2312" w:cs="仿宋"/>
          <w:bCs/>
          <w:sz w:val="32"/>
          <w:szCs w:val="32"/>
        </w:rPr>
      </w:pPr>
      <w:r>
        <w:rPr>
          <w:rFonts w:hint="eastAsia" w:ascii="仿宋_GB2312" w:eastAsia="仿宋_GB2312" w:cs="仿宋"/>
          <w:b/>
          <w:sz w:val="32"/>
          <w:szCs w:val="32"/>
        </w:rPr>
        <w:t>5.</w:t>
      </w:r>
      <w:r>
        <w:rPr>
          <w:rFonts w:hint="eastAsia" w:ascii="仿宋_GB2312" w:eastAsia="仿宋_GB2312" w:cs="仿宋"/>
          <w:bCs/>
          <w:sz w:val="32"/>
          <w:szCs w:val="32"/>
        </w:rPr>
        <w:t>组织开展“清凉羌山采风九鼎—喜迎建党99周年”采风活动，在采风活动中，通过重温入党誓词、唱红色歌曲、讲红色故事迎接党的生日，引导广大文艺工作者紧密结合抗击疫情、脱贫攻坚、乡村振兴、全域旅游等中心工作，宣传正能量，唱响时代主旋律。</w:t>
      </w:r>
    </w:p>
    <w:p>
      <w:pPr>
        <w:autoSpaceDE w:val="0"/>
        <w:spacing w:line="576" w:lineRule="exact"/>
        <w:ind w:firstLine="643" w:firstLineChars="200"/>
        <w:rPr>
          <w:rFonts w:ascii="仿宋_GB2312" w:eastAsia="仿宋_GB2312"/>
          <w:sz w:val="32"/>
          <w:szCs w:val="32"/>
        </w:rPr>
      </w:pPr>
      <w:r>
        <w:rPr>
          <w:rFonts w:hint="eastAsia" w:ascii="仿宋_GB2312" w:eastAsia="仿宋_GB2312" w:cs="仿宋"/>
          <w:b/>
          <w:sz w:val="32"/>
          <w:szCs w:val="32"/>
        </w:rPr>
        <w:t>6.</w:t>
      </w:r>
      <w:r>
        <w:rPr>
          <w:rFonts w:hint="eastAsia" w:ascii="仿宋_GB2312" w:eastAsia="仿宋_GB2312"/>
          <w:sz w:val="32"/>
          <w:szCs w:val="32"/>
        </w:rPr>
        <w:t>邀请省、州著名作家和文艺评论家在茂县成功举办“文学羌地·生态茂州”金秋笔会暨茂县作家文学作品研讨会，与会省、州著名作家和文艺评论家对以雷子、梦非、潘梦笔、阙玉兰等为代表的茂县本土作家的作品进行了深入研讨和点评，既肯定了茂县民族文学创作所取得的丰硕成果，也不回避作品中存在的问题，提出了针对性的改进意见。</w:t>
      </w:r>
    </w:p>
    <w:p>
      <w:pPr>
        <w:autoSpaceDE w:val="0"/>
        <w:spacing w:line="576" w:lineRule="exact"/>
        <w:ind w:firstLine="643" w:firstLineChars="200"/>
        <w:rPr>
          <w:rFonts w:ascii="仿宋_GB2312" w:eastAsia="仿宋_GB2312"/>
          <w:sz w:val="32"/>
          <w:szCs w:val="32"/>
        </w:rPr>
      </w:pPr>
      <w:r>
        <w:rPr>
          <w:rFonts w:hint="eastAsia" w:ascii="仿宋_GB2312" w:eastAsia="仿宋_GB2312"/>
          <w:b/>
          <w:bCs/>
          <w:sz w:val="32"/>
          <w:szCs w:val="32"/>
        </w:rPr>
        <w:t>7.</w:t>
      </w:r>
      <w:r>
        <w:rPr>
          <w:rFonts w:hint="eastAsia" w:ascii="仿宋_GB2312" w:eastAsia="仿宋_GB2312"/>
          <w:sz w:val="32"/>
          <w:szCs w:val="32"/>
        </w:rPr>
        <w:t>深入开展“两联一进”工作。深入联系帮扶村渭门镇十里村开展疫情防控、护林防火、脱贫攻坚、抗洪抢险等工作。在8.16特大山洪泥石流发生后，积极联系村两委，了解受灾情况，指导开展抢险工作，并根据村两委抢险和群众生活的需要，多方筹集生活物资，分两次共计送去30件矿泉水和30件方便面等急需物资，并在第一时间组织车辆，送到抢险人员和群众手中，有效保障了灾害发生后群众及抢险人员的基本生活。</w:t>
      </w:r>
    </w:p>
    <w:p>
      <w:pPr>
        <w:pStyle w:val="3"/>
        <w:rPr>
          <w:rStyle w:val="23"/>
          <w:b w:val="0"/>
          <w:bCs w:val="0"/>
        </w:rPr>
      </w:pPr>
      <w:bookmarkStart w:id="28" w:name="_Toc79163605"/>
      <w:bookmarkStart w:id="29" w:name="_Toc15396601"/>
      <w:bookmarkStart w:id="30" w:name="_Toc15377200"/>
      <w:bookmarkStart w:id="31" w:name="_Toc82705894"/>
      <w:r>
        <w:rPr>
          <w:rFonts w:hint="eastAsia" w:ascii="黑体" w:eastAsia="黑体"/>
          <w:b w:val="0"/>
          <w:color w:val="000000"/>
        </w:rPr>
        <w:t>二、</w:t>
      </w:r>
      <w:r>
        <w:rPr>
          <w:rFonts w:hint="eastAsia" w:ascii="黑体" w:hAnsi="黑体" w:eastAsia="黑体"/>
          <w:b w:val="0"/>
          <w:color w:val="000000"/>
        </w:rPr>
        <w:t>机</w:t>
      </w:r>
      <w:r>
        <w:rPr>
          <w:rStyle w:val="23"/>
          <w:rFonts w:hint="eastAsia" w:ascii="黑体" w:hAnsi="黑体" w:eastAsia="黑体"/>
          <w:b w:val="0"/>
          <w:bCs w:val="0"/>
        </w:rPr>
        <w:t>构设置</w:t>
      </w:r>
      <w:bookmarkEnd w:id="28"/>
      <w:bookmarkEnd w:id="29"/>
      <w:bookmarkEnd w:id="30"/>
      <w:bookmarkEnd w:id="31"/>
    </w:p>
    <w:p>
      <w:pPr>
        <w:ind w:firstLine="640" w:firstLineChars="200"/>
        <w:rPr>
          <w:rFonts w:ascii="仿宋" w:hAnsi="仿宋" w:eastAsia="仿宋"/>
          <w:sz w:val="32"/>
          <w:szCs w:val="32"/>
        </w:rPr>
      </w:pPr>
      <w:r>
        <w:rPr>
          <w:rFonts w:hint="eastAsia" w:ascii="仿宋" w:hAnsi="仿宋" w:eastAsia="仿宋"/>
          <w:sz w:val="32"/>
          <w:szCs w:val="32"/>
        </w:rPr>
        <w:t>茂县文联下属二级单位0个，其中行政单位0个，参照公务员法管理的事业单位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个，其他事业单位0个。</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2"/>
          <w:rFonts w:ascii="黑体" w:hAnsi="黑体" w:eastAsia="黑体"/>
          <w:b w:val="0"/>
          <w:bCs w:val="0"/>
        </w:rPr>
      </w:pPr>
      <w:bookmarkStart w:id="32" w:name="_Toc82705895"/>
      <w:bookmarkStart w:id="33" w:name="_Toc15396602"/>
      <w:bookmarkStart w:id="34" w:name="_Toc79163609"/>
      <w:bookmarkStart w:id="35" w:name="_Toc15377204"/>
      <w:r>
        <w:rPr>
          <w:rFonts w:hint="eastAsia" w:ascii="黑体" w:hAnsi="黑体" w:eastAsia="黑体"/>
          <w:b w:val="0"/>
          <w:color w:val="000000"/>
        </w:rPr>
        <w:t>第二部分</w:t>
      </w:r>
      <w:r>
        <w:rPr>
          <w:rFonts w:ascii="黑体" w:hAnsi="黑体" w:eastAsia="黑体"/>
          <w:color w:val="000000"/>
        </w:rPr>
        <w:t xml:space="preserve"> </w:t>
      </w:r>
      <w:r>
        <w:rPr>
          <w:rStyle w:val="22"/>
          <w:rFonts w:ascii="黑体" w:hAnsi="黑体" w:eastAsia="黑体"/>
          <w:b w:val="0"/>
          <w:bCs w:val="0"/>
        </w:rPr>
        <w:t>2020</w:t>
      </w:r>
      <w:r>
        <w:rPr>
          <w:rStyle w:val="22"/>
          <w:rFonts w:hint="eastAsia" w:ascii="黑体" w:hAnsi="黑体" w:eastAsia="黑体"/>
          <w:b w:val="0"/>
          <w:bCs w:val="0"/>
        </w:rPr>
        <w:t>年度部门决算情况说明</w:t>
      </w:r>
      <w:bookmarkEnd w:id="32"/>
      <w:bookmarkEnd w:id="33"/>
      <w:bookmarkEnd w:id="34"/>
      <w:bookmarkEnd w:id="35"/>
    </w:p>
    <w:p/>
    <w:p>
      <w:pPr>
        <w:pStyle w:val="33"/>
        <w:numPr>
          <w:ilvl w:val="0"/>
          <w:numId w:val="1"/>
        </w:numPr>
        <w:spacing w:line="600" w:lineRule="exact"/>
        <w:ind w:firstLineChars="0"/>
        <w:outlineLvl w:val="1"/>
        <w:rPr>
          <w:rStyle w:val="23"/>
          <w:rFonts w:ascii="黑体" w:hAnsi="黑体" w:eastAsia="黑体"/>
          <w:b w:val="0"/>
        </w:rPr>
      </w:pPr>
      <w:bookmarkStart w:id="36" w:name="_Toc82705896"/>
      <w:bookmarkStart w:id="37" w:name="_Toc15377205"/>
      <w:bookmarkStart w:id="38" w:name="_Toc15396603"/>
      <w:bookmarkStart w:id="39" w:name="_Toc79163610"/>
      <w:r>
        <w:rPr>
          <w:rFonts w:hint="eastAsia" w:ascii="黑体" w:hAnsi="黑体" w:eastAsia="黑体"/>
          <w:color w:val="000000"/>
          <w:sz w:val="32"/>
          <w:szCs w:val="32"/>
        </w:rPr>
        <w:t>收</w:t>
      </w:r>
      <w:r>
        <w:rPr>
          <w:rStyle w:val="23"/>
          <w:rFonts w:hint="eastAsia" w:ascii="黑体" w:hAnsi="黑体" w:eastAsia="黑体"/>
          <w:b w:val="0"/>
        </w:rPr>
        <w:t>入支出决算总体情况说明</w:t>
      </w:r>
      <w:bookmarkEnd w:id="36"/>
      <w:bookmarkEnd w:id="37"/>
      <w:bookmarkEnd w:id="38"/>
      <w:bookmarkEnd w:id="39"/>
    </w:p>
    <w:p>
      <w:pPr>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2020年度年初结转和结余0.89万元。2020年财政拨款总收入51.12万元、</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年相比，收减少21.56万元</w:t>
      </w:r>
      <w:r>
        <w:rPr>
          <w:rFonts w:hint="eastAsia" w:ascii="仿宋_GB2312" w:hAnsi="仿宋" w:eastAsia="仿宋_GB2312"/>
          <w:sz w:val="32"/>
          <w:szCs w:val="32"/>
        </w:rPr>
        <w:t>，决算支出数52.01万元；</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年相比，支出减少19.79万元</w:t>
      </w:r>
      <w:r>
        <w:rPr>
          <w:rFonts w:hint="eastAsia" w:ascii="仿宋_GB2312" w:hAnsi="仿宋" w:eastAsia="仿宋_GB2312"/>
          <w:sz w:val="32"/>
          <w:szCs w:val="32"/>
        </w:rPr>
        <w:t>。主要原因是活动经费减少。</w:t>
      </w:r>
    </w:p>
    <w:p>
      <w:pPr>
        <w:spacing w:line="600"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drawing>
          <wp:anchor distT="0" distB="0" distL="114300" distR="114300" simplePos="0" relativeHeight="251658240" behindDoc="1" locked="0" layoutInCell="1" allowOverlap="1">
            <wp:simplePos x="0" y="0"/>
            <wp:positionH relativeFrom="column">
              <wp:posOffset>641350</wp:posOffset>
            </wp:positionH>
            <wp:positionV relativeFrom="paragraph">
              <wp:posOffset>126365</wp:posOffset>
            </wp:positionV>
            <wp:extent cx="3928110" cy="2165350"/>
            <wp:effectExtent l="19050" t="0" r="15240" b="6350"/>
            <wp:wrapTight wrapText="bothSides">
              <wp:wrapPolygon>
                <wp:start x="-105" y="0"/>
                <wp:lineTo x="-105" y="21663"/>
                <wp:lineTo x="21684" y="21663"/>
                <wp:lineTo x="21684" y="0"/>
                <wp:lineTo x="-105" y="0"/>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33"/>
        <w:numPr>
          <w:ilvl w:val="0"/>
          <w:numId w:val="1"/>
        </w:numPr>
        <w:spacing w:line="600" w:lineRule="exact"/>
        <w:ind w:firstLineChars="0"/>
        <w:outlineLvl w:val="1"/>
        <w:rPr>
          <w:rStyle w:val="23"/>
          <w:rFonts w:ascii="黑体" w:hAnsi="黑体" w:eastAsia="黑体"/>
          <w:b w:val="0"/>
        </w:rPr>
      </w:pPr>
      <w:bookmarkStart w:id="40" w:name="_Toc82705897"/>
      <w:bookmarkStart w:id="41" w:name="_Toc15377206"/>
      <w:bookmarkStart w:id="42" w:name="_Toc15396604"/>
      <w:bookmarkStart w:id="43" w:name="_Toc79163611"/>
      <w:r>
        <w:rPr>
          <w:rFonts w:hint="eastAsia" w:ascii="黑体" w:hAnsi="黑体" w:eastAsia="黑体"/>
          <w:color w:val="000000"/>
          <w:sz w:val="32"/>
          <w:szCs w:val="32"/>
        </w:rPr>
        <w:t>收</w:t>
      </w:r>
      <w:r>
        <w:rPr>
          <w:rStyle w:val="23"/>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年本年收入合计51.12万元，其中：一般公共预算财政拨款收入51.12万元，占100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ascii="仿宋_GB2312" w:eastAsia="仿宋_GB2312"/>
          <w:color w:val="FF0000"/>
          <w:sz w:val="32"/>
          <w:szCs w:val="32"/>
        </w:rPr>
        <w:drawing>
          <wp:anchor distT="0" distB="0" distL="114300" distR="114300" simplePos="0" relativeHeight="251659264" behindDoc="1" locked="0" layoutInCell="1" allowOverlap="1">
            <wp:simplePos x="0" y="0"/>
            <wp:positionH relativeFrom="column">
              <wp:posOffset>920750</wp:posOffset>
            </wp:positionH>
            <wp:positionV relativeFrom="paragraph">
              <wp:posOffset>103505</wp:posOffset>
            </wp:positionV>
            <wp:extent cx="3242310" cy="1352550"/>
            <wp:effectExtent l="19050" t="0" r="15240" b="0"/>
            <wp:wrapSquare wrapText="bothSides"/>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p>
    <w:p>
      <w:pPr>
        <w:pStyle w:val="33"/>
        <w:spacing w:line="600" w:lineRule="exact"/>
        <w:ind w:left="640" w:firstLine="0" w:firstLineChars="0"/>
        <w:outlineLvl w:val="1"/>
        <w:rPr>
          <w:rFonts w:ascii="黑体" w:hAnsi="黑体" w:eastAsia="黑体"/>
          <w:color w:val="000000"/>
          <w:sz w:val="32"/>
          <w:szCs w:val="32"/>
        </w:rPr>
      </w:pPr>
      <w:bookmarkStart w:id="44" w:name="_Toc15396605"/>
      <w:bookmarkStart w:id="45" w:name="_Toc15377207"/>
      <w:bookmarkStart w:id="46" w:name="_Toc79163612"/>
    </w:p>
    <w:p>
      <w:pPr>
        <w:pStyle w:val="33"/>
        <w:spacing w:line="600" w:lineRule="exact"/>
        <w:ind w:left="640" w:firstLine="0" w:firstLineChars="0"/>
        <w:outlineLvl w:val="1"/>
        <w:rPr>
          <w:rFonts w:ascii="黑体" w:hAnsi="黑体" w:eastAsia="黑体"/>
          <w:color w:val="000000"/>
          <w:sz w:val="32"/>
          <w:szCs w:val="32"/>
        </w:rPr>
      </w:pPr>
    </w:p>
    <w:p>
      <w:pPr>
        <w:pStyle w:val="33"/>
        <w:numPr>
          <w:ilvl w:val="0"/>
          <w:numId w:val="1"/>
        </w:numPr>
        <w:spacing w:line="600" w:lineRule="exact"/>
        <w:ind w:firstLineChars="0"/>
        <w:outlineLvl w:val="1"/>
        <w:rPr>
          <w:rStyle w:val="23"/>
          <w:rFonts w:ascii="黑体" w:hAnsi="黑体" w:eastAsia="黑体"/>
          <w:b w:val="0"/>
        </w:rPr>
      </w:pPr>
      <w:bookmarkStart w:id="47" w:name="_Toc82705898"/>
      <w:r>
        <w:rPr>
          <w:rFonts w:hint="eastAsia" w:ascii="黑体" w:hAnsi="黑体" w:eastAsia="黑体"/>
          <w:color w:val="000000"/>
          <w:sz w:val="32"/>
          <w:szCs w:val="32"/>
        </w:rPr>
        <w:t>支</w:t>
      </w:r>
      <w:r>
        <w:rPr>
          <w:rStyle w:val="23"/>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年本年支出合计52.01万元，其中：基本支出51.1万元，占98</w:t>
      </w:r>
      <w:r>
        <w:rPr>
          <w:rFonts w:ascii="仿宋_GB2312" w:eastAsia="仿宋_GB2312"/>
          <w:sz w:val="32"/>
          <w:szCs w:val="32"/>
        </w:rPr>
        <w:t>%</w:t>
      </w:r>
      <w:r>
        <w:rPr>
          <w:rFonts w:hint="eastAsia" w:ascii="仿宋_GB2312" w:eastAsia="仿宋_GB2312"/>
          <w:sz w:val="32"/>
          <w:szCs w:val="32"/>
        </w:rPr>
        <w:t>；项目支出0.87万元，占2%。</w:t>
      </w:r>
      <w:r>
        <w:rPr>
          <w:rFonts w:hint="eastAsia" w:ascii="仿宋_GB2312" w:eastAsia="仿宋_GB2312"/>
          <w:sz w:val="32"/>
          <w:szCs w:val="32"/>
        </w:rPr>
        <w:drawing>
          <wp:anchor distT="0" distB="0" distL="114300" distR="114300" simplePos="0" relativeHeight="251660288" behindDoc="0" locked="0" layoutInCell="1" allowOverlap="1">
            <wp:simplePos x="0" y="0"/>
            <wp:positionH relativeFrom="column">
              <wp:posOffset>412750</wp:posOffset>
            </wp:positionH>
            <wp:positionV relativeFrom="paragraph">
              <wp:posOffset>381000</wp:posOffset>
            </wp:positionV>
            <wp:extent cx="3483610" cy="1479550"/>
            <wp:effectExtent l="19050" t="0" r="21590" b="6350"/>
            <wp:wrapSquare wrapText="bothSides"/>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rPr>
          <w:rFonts w:ascii="仿宋" w:hAnsi="仿宋" w:eastAsia="仿宋"/>
          <w:color w:val="000000"/>
          <w:sz w:val="32"/>
          <w:szCs w:val="32"/>
          <w:shd w:val="pct10" w:color="auto" w:fill="FFFFFF"/>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Fonts w:ascii="黑体" w:hAnsi="黑体" w:eastAsia="黑体"/>
          <w:color w:val="000000"/>
          <w:sz w:val="32"/>
          <w:szCs w:val="32"/>
        </w:rPr>
      </w:pPr>
      <w:bookmarkStart w:id="48" w:name="_Toc15396606"/>
      <w:bookmarkStart w:id="49" w:name="_Toc15377208"/>
      <w:bookmarkStart w:id="50" w:name="_Toc79163613"/>
    </w:p>
    <w:p>
      <w:pPr>
        <w:spacing w:line="600" w:lineRule="exact"/>
        <w:ind w:firstLine="640" w:firstLineChars="200"/>
        <w:outlineLvl w:val="1"/>
        <w:rPr>
          <w:rStyle w:val="23"/>
          <w:rFonts w:ascii="黑体" w:hAnsi="黑体" w:eastAsia="黑体"/>
          <w:b w:val="0"/>
        </w:rPr>
      </w:pPr>
      <w:bookmarkStart w:id="51" w:name="_Toc82705899"/>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48"/>
      <w:bookmarkEnd w:id="49"/>
      <w:bookmarkEnd w:id="50"/>
      <w:bookmarkEnd w:id="51"/>
    </w:p>
    <w:p>
      <w:pPr>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2021年财政拨款总收入51.12万元、</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年相比，收减少21.56万元</w:t>
      </w:r>
      <w:r>
        <w:rPr>
          <w:rFonts w:hint="eastAsia" w:ascii="仿宋_GB2312" w:hAnsi="仿宋" w:eastAsia="仿宋_GB2312"/>
          <w:sz w:val="32"/>
          <w:szCs w:val="32"/>
        </w:rPr>
        <w:t>，决算支出数52.01万元；</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年相比，支出减少19.79万元</w:t>
      </w:r>
      <w:r>
        <w:rPr>
          <w:rFonts w:hint="eastAsia" w:ascii="仿宋_GB2312" w:hAnsi="仿宋" w:eastAsia="仿宋_GB2312"/>
          <w:sz w:val="32"/>
          <w:szCs w:val="32"/>
        </w:rPr>
        <w:t>。主要原因是活动经费减少。</w:t>
      </w:r>
    </w:p>
    <w:p>
      <w:pPr>
        <w:spacing w:line="600" w:lineRule="exact"/>
        <w:ind w:firstLine="640"/>
        <w:rPr>
          <w:rFonts w:ascii="仿宋" w:hAnsi="仿宋" w:eastAsia="仿宋"/>
          <w:b/>
          <w:color w:val="FF0000"/>
          <w:sz w:val="32"/>
          <w:szCs w:val="32"/>
        </w:rPr>
      </w:pPr>
      <w:r>
        <w:rPr>
          <w:rFonts w:ascii="仿宋" w:hAnsi="仿宋" w:eastAsia="仿宋"/>
          <w:b/>
          <w:color w:val="FF0000"/>
          <w:sz w:val="32"/>
          <w:szCs w:val="32"/>
        </w:rPr>
        <w:drawing>
          <wp:anchor distT="0" distB="0" distL="114300" distR="114300" simplePos="0" relativeHeight="251661312" behindDoc="0" locked="0" layoutInCell="1" allowOverlap="1">
            <wp:simplePos x="0" y="0"/>
            <wp:positionH relativeFrom="column">
              <wp:posOffset>571500</wp:posOffset>
            </wp:positionH>
            <wp:positionV relativeFrom="paragraph">
              <wp:posOffset>185420</wp:posOffset>
            </wp:positionV>
            <wp:extent cx="3898900" cy="2292350"/>
            <wp:effectExtent l="19050" t="0" r="25400" b="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rPr>
          <w:rFonts w:ascii="仿宋" w:hAnsi="仿宋" w:eastAsia="仿宋"/>
          <w:color w:val="00000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Fonts w:ascii="黑体" w:hAnsi="黑体" w:eastAsia="黑体"/>
          <w:color w:val="000000"/>
          <w:sz w:val="32"/>
          <w:szCs w:val="32"/>
        </w:rPr>
      </w:pPr>
      <w:bookmarkStart w:id="52" w:name="_Toc15377209"/>
      <w:bookmarkStart w:id="53" w:name="_Toc15396607"/>
      <w:bookmarkStart w:id="54" w:name="_Toc79163614"/>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Style w:val="23"/>
          <w:rFonts w:ascii="黑体" w:hAnsi="黑体" w:eastAsia="黑体"/>
          <w:b w:val="0"/>
        </w:rPr>
      </w:pPr>
      <w:bookmarkStart w:id="55" w:name="_Toc82705900"/>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3"/>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15377210"/>
      <w:bookmarkStart w:id="57" w:name="_Toc79163615"/>
      <w:bookmarkStart w:id="58" w:name="_Toc82705901"/>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年一般公共预算财政拨款支出52.01万元，占本年支出合计的100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年相比，一般公共预算财政拨款减少21.56万元，减少27</w:t>
      </w:r>
      <w:r>
        <w:rPr>
          <w:rFonts w:ascii="仿宋" w:hAnsi="仿宋" w:eastAsia="仿宋"/>
          <w:color w:val="000000"/>
          <w:sz w:val="32"/>
          <w:szCs w:val="32"/>
        </w:rPr>
        <w:t>%</w:t>
      </w:r>
      <w:r>
        <w:rPr>
          <w:rFonts w:hint="eastAsia" w:ascii="仿宋" w:hAnsi="仿宋" w:eastAsia="仿宋"/>
          <w:color w:val="000000"/>
          <w:sz w:val="32"/>
          <w:szCs w:val="32"/>
        </w:rPr>
        <w:t>。主要变动原因是活动费减少。</w:t>
      </w:r>
    </w:p>
    <w:p>
      <w:pPr>
        <w:spacing w:line="600" w:lineRule="exact"/>
        <w:ind w:firstLine="643" w:firstLineChars="200"/>
        <w:outlineLvl w:val="2"/>
        <w:rPr>
          <w:rFonts w:ascii="仿宋" w:hAnsi="仿宋" w:eastAsia="仿宋"/>
          <w:b/>
          <w:color w:val="000000"/>
          <w:sz w:val="32"/>
          <w:szCs w:val="32"/>
        </w:rPr>
      </w:pPr>
      <w:bookmarkStart w:id="59" w:name="_Toc15377211"/>
      <w:bookmarkStart w:id="60" w:name="_Toc79163616"/>
      <w:bookmarkStart w:id="61" w:name="_Toc82705902"/>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b/>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年一般公共预算财政拨款支出52.01万元，主要用于以下方面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支出36.1万元，占69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支出7.14万元，占13</w:t>
      </w:r>
      <w:r>
        <w:rPr>
          <w:rFonts w:ascii="仿宋" w:hAnsi="仿宋" w:eastAsia="仿宋"/>
          <w:color w:val="000000"/>
          <w:sz w:val="32"/>
          <w:szCs w:val="32"/>
        </w:rPr>
        <w:t>%</w:t>
      </w:r>
      <w:r>
        <w:rPr>
          <w:rFonts w:hint="eastAsia" w:ascii="仿宋" w:hAnsi="仿宋" w:eastAsia="仿宋"/>
          <w:color w:val="000000"/>
          <w:sz w:val="32"/>
          <w:szCs w:val="32"/>
        </w:rPr>
        <w:t>；卫生健康支出3.53万元，占6.7</w:t>
      </w:r>
      <w:r>
        <w:rPr>
          <w:rFonts w:ascii="仿宋" w:hAnsi="仿宋" w:eastAsia="仿宋"/>
          <w:color w:val="000000"/>
          <w:sz w:val="32"/>
          <w:szCs w:val="32"/>
        </w:rPr>
        <w:t>%</w:t>
      </w:r>
      <w:r>
        <w:rPr>
          <w:rFonts w:hint="eastAsia" w:ascii="仿宋" w:hAnsi="仿宋" w:eastAsia="仿宋"/>
          <w:color w:val="000000"/>
          <w:sz w:val="32"/>
          <w:szCs w:val="32"/>
        </w:rPr>
        <w:t>；住房保障支出5.15万元，占9.9</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3" w:firstLineChars="200"/>
        <w:outlineLvl w:val="2"/>
        <w:rPr>
          <w:rFonts w:ascii="仿宋" w:hAnsi="仿宋" w:eastAsia="仿宋"/>
          <w:b/>
          <w:color w:val="000000"/>
          <w:sz w:val="32"/>
          <w:szCs w:val="32"/>
        </w:rPr>
      </w:pPr>
      <w:bookmarkStart w:id="62" w:name="_Toc82705903"/>
      <w:bookmarkStart w:id="63" w:name="_Toc79163617"/>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213"/>
      <w:bookmarkStart w:id="66" w:name="_Toc15378460"/>
      <w:bookmarkStart w:id="67" w:name="_Toc15377444"/>
      <w:r>
        <w:rPr>
          <w:rFonts w:ascii="仿宋_GB2312" w:eastAsia="仿宋_GB2312"/>
          <w:b/>
          <w:bCs/>
          <w:sz w:val="32"/>
          <w:szCs w:val="32"/>
        </w:rPr>
        <w:t>2020</w:t>
      </w:r>
      <w:r>
        <w:rPr>
          <w:rFonts w:hint="eastAsia" w:ascii="仿宋_GB2312" w:eastAsia="仿宋_GB2312"/>
          <w:b/>
          <w:bCs/>
          <w:sz w:val="32"/>
          <w:szCs w:val="32"/>
        </w:rPr>
        <w:t>年一般公共预算支出决算数为52.01，完成预算100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ind w:firstLine="643" w:firstLineChars="200"/>
      </w:pPr>
      <w:r>
        <w:rPr>
          <w:rStyle w:val="20"/>
          <w:rFonts w:ascii="仿宋" w:hAnsi="仿宋" w:eastAsia="仿宋"/>
          <w:bCs/>
          <w:color w:val="000000"/>
          <w:sz w:val="32"/>
          <w:szCs w:val="32"/>
        </w:rPr>
        <w:t>1.</w:t>
      </w:r>
      <w:r>
        <w:rPr>
          <w:rStyle w:val="20"/>
          <w:rFonts w:hint="eastAsia" w:ascii="仿宋" w:hAnsi="仿宋" w:eastAsia="仿宋"/>
          <w:bCs/>
          <w:color w:val="000000"/>
          <w:sz w:val="32"/>
          <w:szCs w:val="32"/>
        </w:rPr>
        <w:t>一般公共服务（类）</w:t>
      </w:r>
      <w:r>
        <w:rPr>
          <w:rStyle w:val="38"/>
          <w:rFonts w:hint="eastAsia" w:ascii="楷体" w:hAnsi="楷体" w:eastAsia="楷体"/>
          <w:bCs/>
          <w:color w:val="000000"/>
          <w:sz w:val="32"/>
          <w:szCs w:val="32"/>
        </w:rPr>
        <w:t>群众团体事物</w:t>
      </w:r>
      <w:r>
        <w:rPr>
          <w:rStyle w:val="20"/>
          <w:rFonts w:hint="eastAsia" w:ascii="仿宋" w:hAnsi="仿宋" w:eastAsia="仿宋"/>
          <w:bCs/>
          <w:color w:val="000000"/>
          <w:sz w:val="32"/>
          <w:szCs w:val="32"/>
        </w:rPr>
        <w:t>（款）事业运行（项）</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支出决算为36.1万元，完成预算100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Style w:val="38"/>
          <w:rFonts w:ascii="仿宋" w:hAnsi="仿宋" w:eastAsia="仿宋" w:cs="Times New Roman"/>
          <w:color w:val="000000"/>
          <w:sz w:val="32"/>
          <w:szCs w:val="32"/>
        </w:rPr>
      </w:pPr>
      <w:r>
        <w:rPr>
          <w:rStyle w:val="38"/>
          <w:rFonts w:hint="eastAsia" w:ascii="仿宋" w:hAnsi="仿宋" w:eastAsia="仿宋"/>
          <w:bCs/>
          <w:color w:val="000000"/>
          <w:sz w:val="32"/>
          <w:szCs w:val="32"/>
        </w:rPr>
        <w:t>2.住房保障支出（类）住房改革支出（款）住房公积金（项）:</w:t>
      </w:r>
      <w:r>
        <w:rPr>
          <w:rStyle w:val="38"/>
          <w:rFonts w:hint="eastAsia" w:ascii="仿宋" w:hAnsi="仿宋" w:eastAsia="仿宋"/>
          <w:b w:val="0"/>
          <w:bCs/>
          <w:color w:val="000000"/>
          <w:sz w:val="32"/>
          <w:szCs w:val="32"/>
        </w:rPr>
        <w:t xml:space="preserve"> 支出决算为5.15万元，完成预算100%。</w:t>
      </w:r>
    </w:p>
    <w:p>
      <w:pPr>
        <w:spacing w:line="600" w:lineRule="exact"/>
        <w:ind w:firstLine="643" w:firstLineChars="200"/>
      </w:pPr>
      <w:r>
        <w:rPr>
          <w:rStyle w:val="38"/>
          <w:rFonts w:hint="eastAsia" w:ascii="仿宋" w:hAnsi="仿宋" w:eastAsia="仿宋"/>
          <w:bCs/>
          <w:color w:val="000000"/>
          <w:sz w:val="32"/>
          <w:szCs w:val="32"/>
        </w:rPr>
        <w:t>3.社会保障和就业（类）行政事业单位离退休（款）机关事业单位基本养老保险缴费支出（项）:</w:t>
      </w:r>
      <w:r>
        <w:rPr>
          <w:rStyle w:val="38"/>
          <w:rFonts w:hint="eastAsia" w:ascii="仿宋" w:hAnsi="仿宋" w:eastAsia="仿宋"/>
          <w:b w:val="0"/>
          <w:bCs/>
          <w:color w:val="000000"/>
          <w:sz w:val="32"/>
          <w:szCs w:val="32"/>
        </w:rPr>
        <w:t xml:space="preserve"> 支出决算为4.63万元，完成预算100%。</w:t>
      </w:r>
    </w:p>
    <w:p>
      <w:pPr>
        <w:spacing w:line="600" w:lineRule="exact"/>
        <w:ind w:firstLine="643" w:firstLineChars="200"/>
        <w:rPr>
          <w:rFonts w:ascii="仿宋" w:hAnsi="仿宋" w:eastAsia="仿宋"/>
          <w:b/>
          <w:color w:val="000000"/>
          <w:sz w:val="32"/>
          <w:szCs w:val="32"/>
        </w:rPr>
      </w:pPr>
      <w:r>
        <w:rPr>
          <w:rStyle w:val="38"/>
          <w:rFonts w:hint="eastAsia" w:ascii="仿宋" w:hAnsi="仿宋" w:eastAsia="仿宋"/>
          <w:bCs/>
          <w:color w:val="000000"/>
          <w:sz w:val="32"/>
          <w:szCs w:val="32"/>
        </w:rPr>
        <w:t>4.社会保障和就业（类）行政事业单位离退休（款）机关事业单位职业年金缴费支出（项）:</w:t>
      </w:r>
      <w:r>
        <w:rPr>
          <w:rStyle w:val="38"/>
          <w:rFonts w:hint="eastAsia" w:ascii="仿宋" w:hAnsi="仿宋" w:eastAsia="仿宋"/>
          <w:b w:val="0"/>
          <w:bCs/>
          <w:color w:val="000000"/>
          <w:sz w:val="32"/>
          <w:szCs w:val="32"/>
        </w:rPr>
        <w:t xml:space="preserve"> 支出决算为2.51万元，完成预算100%。</w:t>
      </w:r>
    </w:p>
    <w:p>
      <w:pPr>
        <w:spacing w:line="600" w:lineRule="exact"/>
        <w:ind w:firstLine="643" w:firstLineChars="200"/>
        <w:rPr>
          <w:rFonts w:ascii="仿宋" w:hAnsi="仿宋" w:eastAsia="仿宋"/>
          <w:b/>
          <w:color w:val="000000"/>
          <w:sz w:val="32"/>
          <w:szCs w:val="32"/>
        </w:rPr>
      </w:pPr>
      <w:r>
        <w:rPr>
          <w:rStyle w:val="38"/>
          <w:rFonts w:hint="eastAsia" w:ascii="仿宋" w:hAnsi="仿宋" w:eastAsia="仿宋"/>
          <w:bCs/>
          <w:color w:val="000000"/>
          <w:sz w:val="32"/>
          <w:szCs w:val="32"/>
        </w:rPr>
        <w:t>5.</w:t>
      </w:r>
      <w:r>
        <w:rPr>
          <w:rFonts w:hint="eastAsia" w:ascii="仿宋" w:hAnsi="仿宋" w:eastAsia="仿宋"/>
          <w:b/>
          <w:bCs/>
          <w:color w:val="000000"/>
          <w:sz w:val="32"/>
          <w:szCs w:val="32"/>
        </w:rPr>
        <w:t>卫生健康</w:t>
      </w:r>
      <w:r>
        <w:rPr>
          <w:rStyle w:val="38"/>
          <w:rFonts w:hint="eastAsia" w:ascii="仿宋" w:hAnsi="仿宋" w:eastAsia="仿宋"/>
          <w:bCs/>
          <w:color w:val="000000"/>
          <w:sz w:val="32"/>
          <w:szCs w:val="32"/>
        </w:rPr>
        <w:t>（类）行政事业单位医疗（款）事业单位医疗（项）:</w:t>
      </w:r>
      <w:r>
        <w:rPr>
          <w:rStyle w:val="38"/>
          <w:rFonts w:hint="eastAsia" w:ascii="仿宋" w:hAnsi="仿宋" w:eastAsia="仿宋"/>
          <w:b w:val="0"/>
          <w:bCs/>
          <w:color w:val="000000"/>
          <w:sz w:val="32"/>
          <w:szCs w:val="32"/>
        </w:rPr>
        <w:t>支出决算为3.53万元，完成预算100%。</w:t>
      </w:r>
    </w:p>
    <w:p>
      <w:pPr>
        <w:tabs>
          <w:tab w:val="right" w:pos="8306"/>
        </w:tabs>
        <w:spacing w:line="600" w:lineRule="exact"/>
        <w:ind w:firstLine="640"/>
        <w:outlineLvl w:val="1"/>
        <w:rPr>
          <w:rStyle w:val="23"/>
        </w:rPr>
      </w:pPr>
      <w:bookmarkStart w:id="68" w:name="_Toc15396608"/>
      <w:bookmarkStart w:id="69" w:name="_Toc15377214"/>
      <w:bookmarkStart w:id="70" w:name="_Toc79163618"/>
      <w:bookmarkStart w:id="71" w:name="_Toc8270590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3"/>
          <w:rFonts w:hint="eastAsia" w:ascii="黑体" w:hAnsi="黑体" w:eastAsia="黑体"/>
          <w:b w:val="0"/>
        </w:rPr>
        <w:t>般公共预算财政拨款基本支出决算情况说明</w:t>
      </w:r>
      <w:bookmarkEnd w:id="68"/>
      <w:bookmarkEnd w:id="69"/>
      <w:bookmarkEnd w:id="70"/>
      <w:bookmarkEnd w:id="71"/>
      <w:r>
        <w:rPr>
          <w:rStyle w:val="23"/>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年一般公共预算财政拨款基本支出51.12万元，其中：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42.55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8.5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3"/>
          <w:rFonts w:ascii="黑体" w:hAnsi="黑体" w:eastAsia="黑体"/>
          <w:b w:val="0"/>
        </w:rPr>
      </w:pPr>
      <w:bookmarkStart w:id="72" w:name="_Toc15396609"/>
      <w:bookmarkStart w:id="73" w:name="_Toc15377215"/>
      <w:bookmarkStart w:id="74" w:name="_Toc79163619"/>
      <w:bookmarkStart w:id="75" w:name="_Toc82705905"/>
      <w:r>
        <w:rPr>
          <w:rFonts w:hint="eastAsia" w:ascii="黑体" w:eastAsia="黑体"/>
          <w:color w:val="000000"/>
          <w:sz w:val="32"/>
          <w:szCs w:val="32"/>
        </w:rPr>
        <w:t>七、</w:t>
      </w:r>
      <w:r>
        <w:rPr>
          <w:rStyle w:val="23"/>
          <w:rFonts w:hint="eastAsia" w:ascii="黑体" w:hAnsi="黑体" w:eastAsia="黑体"/>
        </w:rPr>
        <w:t>“</w:t>
      </w:r>
      <w:r>
        <w:rPr>
          <w:rStyle w:val="23"/>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620"/>
      <w:bookmarkStart w:id="78" w:name="_Toc82705906"/>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年“三公”经费财政拨款支出决算为0万元。</w:t>
      </w:r>
    </w:p>
    <w:p>
      <w:pPr>
        <w:spacing w:line="600" w:lineRule="exact"/>
        <w:ind w:firstLine="640"/>
        <w:outlineLvl w:val="2"/>
        <w:rPr>
          <w:rFonts w:ascii="仿宋" w:hAnsi="仿宋" w:eastAsia="仿宋"/>
          <w:b/>
          <w:color w:val="000000"/>
          <w:sz w:val="32"/>
          <w:szCs w:val="32"/>
        </w:rPr>
      </w:pPr>
      <w:bookmarkStart w:id="79" w:name="_Toc15377217"/>
      <w:bookmarkStart w:id="80" w:name="_Toc79163621"/>
      <w:bookmarkStart w:id="81" w:name="_Toc82705907"/>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年“三公”经费财政拨款支出决算中，因公出国（境）费支出决算0万元；公务用车购置及运行维护费支出决算0万元；公务接待费支出决算0万元。</w:t>
      </w:r>
    </w:p>
    <w:p>
      <w:pPr>
        <w:spacing w:line="600" w:lineRule="exact"/>
        <w:ind w:firstLine="640"/>
        <w:outlineLvl w:val="1"/>
        <w:rPr>
          <w:rStyle w:val="23"/>
          <w:rFonts w:ascii="黑体" w:hAnsi="黑体" w:eastAsia="黑体"/>
        </w:rPr>
      </w:pPr>
      <w:bookmarkStart w:id="82" w:name="_Toc15396610"/>
      <w:bookmarkStart w:id="83" w:name="_Toc15377218"/>
      <w:bookmarkStart w:id="84" w:name="_Toc79163622"/>
      <w:bookmarkStart w:id="85" w:name="_Toc82705908"/>
      <w:r>
        <w:rPr>
          <w:rFonts w:hint="eastAsia" w:ascii="黑体" w:eastAsia="黑体"/>
          <w:color w:val="000000"/>
          <w:sz w:val="32"/>
          <w:szCs w:val="32"/>
        </w:rPr>
        <w:t>八、</w:t>
      </w:r>
      <w:r>
        <w:rPr>
          <w:rStyle w:val="23"/>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年政府性基金预算拨款支出0万元。</w:t>
      </w:r>
    </w:p>
    <w:p>
      <w:pPr>
        <w:numPr>
          <w:ilvl w:val="0"/>
          <w:numId w:val="2"/>
        </w:numPr>
        <w:spacing w:line="600" w:lineRule="exact"/>
        <w:ind w:firstLine="640"/>
        <w:outlineLvl w:val="1"/>
        <w:rPr>
          <w:rStyle w:val="23"/>
          <w:rFonts w:ascii="黑体" w:hAnsi="黑体" w:eastAsia="黑体"/>
          <w:b w:val="0"/>
        </w:rPr>
      </w:pPr>
      <w:bookmarkStart w:id="86" w:name="_Toc15377219"/>
      <w:bookmarkStart w:id="87" w:name="_Toc15396611"/>
      <w:bookmarkStart w:id="88" w:name="_Toc79163623"/>
      <w:bookmarkStart w:id="89" w:name="_Toc82705909"/>
      <w:r>
        <w:rPr>
          <w:rStyle w:val="23"/>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年国有资本经营预算拨款支出0万元。</w:t>
      </w:r>
    </w:p>
    <w:p>
      <w:pPr>
        <w:spacing w:line="600" w:lineRule="exact"/>
        <w:ind w:firstLine="800" w:firstLineChars="250"/>
        <w:outlineLvl w:val="1"/>
        <w:rPr>
          <w:rStyle w:val="23"/>
          <w:rFonts w:ascii="黑体" w:hAnsi="黑体" w:eastAsia="黑体"/>
        </w:rPr>
      </w:pPr>
      <w:bookmarkStart w:id="90" w:name="_Toc15396612"/>
      <w:bookmarkStart w:id="91" w:name="_Toc15377221"/>
      <w:bookmarkStart w:id="92" w:name="_Toc79163624"/>
      <w:bookmarkStart w:id="93" w:name="_Toc82705910"/>
      <w:r>
        <w:rPr>
          <w:rFonts w:hint="eastAsia" w:ascii="黑体" w:hAnsi="黑体" w:eastAsia="黑体"/>
          <w:color w:val="000000"/>
          <w:sz w:val="32"/>
          <w:szCs w:val="32"/>
        </w:rPr>
        <w:t>十</w:t>
      </w:r>
      <w:r>
        <w:rPr>
          <w:rStyle w:val="23"/>
          <w:rFonts w:hint="eastAsia" w:ascii="黑体" w:hAnsi="黑体" w:eastAsia="黑体"/>
        </w:rPr>
        <w:t>、</w:t>
      </w:r>
      <w:r>
        <w:rPr>
          <w:rStyle w:val="23"/>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15377222"/>
      <w:bookmarkStart w:id="95" w:name="_Toc79163625"/>
      <w:bookmarkStart w:id="96" w:name="_Toc82705911"/>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年，文联机关运行经费支出8.5万元，比</w:t>
      </w:r>
      <w:r>
        <w:rPr>
          <w:rFonts w:ascii="仿宋_GB2312" w:eastAsia="仿宋_GB2312"/>
          <w:color w:val="000000"/>
          <w:sz w:val="32"/>
          <w:szCs w:val="32"/>
        </w:rPr>
        <w:t>2019</w:t>
      </w:r>
      <w:r>
        <w:rPr>
          <w:rFonts w:hint="eastAsia" w:ascii="仿宋_GB2312" w:eastAsia="仿宋_GB2312"/>
          <w:color w:val="000000"/>
          <w:sz w:val="32"/>
          <w:szCs w:val="32"/>
        </w:rPr>
        <w:t>年减少0.75万元。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15377223"/>
      <w:bookmarkStart w:id="98" w:name="_Toc79163626"/>
      <w:bookmarkStart w:id="99" w:name="_Toc82705912"/>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年，文联政府采购支出总额0万元。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15377224"/>
      <w:bookmarkStart w:id="101" w:name="_Toc79163627"/>
      <w:bookmarkStart w:id="102" w:name="_Toc82705913"/>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日，文联共有车辆0辆。</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79163628"/>
      <w:bookmarkStart w:id="104" w:name="_Toc82705914"/>
      <w:r>
        <w:rPr>
          <w:rFonts w:hint="eastAsia" w:ascii="仿宋" w:hAnsi="仿宋" w:eastAsia="仿宋"/>
          <w:b/>
          <w:color w:val="000000"/>
          <w:sz w:val="32"/>
          <w:szCs w:val="32"/>
        </w:rPr>
        <w:t>（四）预算绩效管理情况</w:t>
      </w:r>
      <w:bookmarkEnd w:id="103"/>
      <w:bookmarkEnd w:id="104"/>
    </w:p>
    <w:p>
      <w:pPr>
        <w:pStyle w:val="37"/>
        <w:numPr>
          <w:ilvl w:val="0"/>
          <w:numId w:val="3"/>
        </w:numPr>
        <w:spacing w:line="580" w:lineRule="exact"/>
        <w:ind w:firstLineChars="0"/>
        <w:rPr>
          <w:rFonts w:ascii="仿宋_GB2312" w:eastAsia="仿宋_GB2312"/>
          <w:sz w:val="32"/>
          <w:szCs w:val="32"/>
        </w:rPr>
      </w:pPr>
      <w:bookmarkStart w:id="105" w:name="_Toc15396613"/>
      <w:bookmarkStart w:id="106" w:name="_Toc15377225"/>
      <w:bookmarkStart w:id="107" w:name="_Toc79163629"/>
      <w:r>
        <w:rPr>
          <w:rFonts w:hint="eastAsia" w:ascii="仿宋_GB2312" w:eastAsia="仿宋_GB2312"/>
          <w:sz w:val="32"/>
          <w:szCs w:val="32"/>
        </w:rPr>
        <w:t>根据预算绩效管理要求，本部门在年初预算编制阶段，组织对1个项目开展了预算事前绩效评估，对1个项目编制了绩效目标，预算执行过程中，选取1个项目开展绩效监控，年终执行完毕后，对1个项目开展了绩效目标完成情况自评。</w:t>
      </w:r>
    </w:p>
    <w:p>
      <w:pPr>
        <w:spacing w:line="580" w:lineRule="exact"/>
        <w:rPr>
          <w:rFonts w:ascii="仿宋_GB2312" w:eastAsia="仿宋_GB2312"/>
          <w:sz w:val="32"/>
          <w:szCs w:val="32"/>
        </w:rPr>
      </w:pPr>
    </w:p>
    <w:p>
      <w:pPr>
        <w:spacing w:line="580" w:lineRule="exact"/>
        <w:rPr>
          <w:rFonts w:ascii="仿宋_GB2312" w:eastAsia="仿宋_GB2312"/>
          <w:sz w:val="32"/>
          <w:szCs w:val="32"/>
        </w:rPr>
      </w:pPr>
    </w:p>
    <w:p>
      <w:pPr>
        <w:spacing w:line="580" w:lineRule="exact"/>
        <w:rPr>
          <w:rFonts w:ascii="仿宋_GB2312" w:eastAsia="仿宋_GB2312"/>
          <w:sz w:val="32"/>
          <w:szCs w:val="32"/>
        </w:rPr>
      </w:pPr>
    </w:p>
    <w:p>
      <w:pPr>
        <w:spacing w:line="580" w:lineRule="exact"/>
        <w:rPr>
          <w:rFonts w:ascii="仿宋_GB2312" w:eastAsia="仿宋_GB2312"/>
          <w:sz w:val="32"/>
          <w:szCs w:val="32"/>
        </w:rPr>
      </w:pPr>
    </w:p>
    <w:p>
      <w:pPr>
        <w:spacing w:line="580" w:lineRule="exact"/>
        <w:rPr>
          <w:rFonts w:ascii="仿宋_GB2312" w:eastAsia="仿宋_GB2312"/>
          <w:sz w:val="32"/>
          <w:szCs w:val="32"/>
        </w:rPr>
      </w:pPr>
    </w:p>
    <w:p>
      <w:pPr>
        <w:spacing w:line="580" w:lineRule="exact"/>
        <w:rPr>
          <w:rFonts w:ascii="仿宋_GB2312" w:eastAsia="仿宋_GB2312"/>
          <w:sz w:val="32"/>
          <w:szCs w:val="32"/>
        </w:rPr>
      </w:pPr>
    </w:p>
    <w:p>
      <w:pPr>
        <w:spacing w:line="600" w:lineRule="exact"/>
        <w:outlineLvl w:val="0"/>
        <w:rPr>
          <w:rFonts w:ascii="黑体" w:hAnsi="黑体" w:eastAsia="黑体"/>
          <w:color w:val="000000"/>
          <w:sz w:val="44"/>
          <w:szCs w:val="44"/>
        </w:rPr>
      </w:pPr>
    </w:p>
    <w:p>
      <w:pPr>
        <w:pStyle w:val="37"/>
        <w:spacing w:line="600" w:lineRule="exact"/>
        <w:ind w:left="1800" w:firstLine="0" w:firstLineChars="0"/>
        <w:outlineLvl w:val="0"/>
        <w:rPr>
          <w:rFonts w:ascii="黑体" w:hAnsi="黑体" w:eastAsia="黑体"/>
          <w:color w:val="000000"/>
          <w:sz w:val="44"/>
          <w:szCs w:val="44"/>
        </w:rPr>
      </w:pPr>
      <w:bookmarkStart w:id="108" w:name="_Toc82705915"/>
    </w:p>
    <w:p>
      <w:pPr>
        <w:pStyle w:val="37"/>
        <w:spacing w:line="600" w:lineRule="exact"/>
        <w:ind w:left="1800" w:firstLine="0" w:firstLineChars="0"/>
        <w:outlineLvl w:val="0"/>
        <w:rPr>
          <w:rFonts w:ascii="黑体" w:hAnsi="黑体" w:eastAsia="黑体"/>
          <w:color w:val="000000"/>
          <w:sz w:val="44"/>
          <w:szCs w:val="44"/>
        </w:rPr>
      </w:pPr>
    </w:p>
    <w:p>
      <w:pPr>
        <w:pStyle w:val="37"/>
        <w:spacing w:line="600" w:lineRule="exact"/>
        <w:ind w:left="1800" w:firstLine="0" w:firstLineChars="0"/>
        <w:outlineLvl w:val="0"/>
        <w:rPr>
          <w:rFonts w:ascii="黑体" w:hAnsi="黑体" w:eastAsia="黑体"/>
          <w:color w:val="000000"/>
          <w:sz w:val="44"/>
          <w:szCs w:val="44"/>
        </w:rPr>
      </w:pPr>
    </w:p>
    <w:p>
      <w:pPr>
        <w:pStyle w:val="37"/>
        <w:spacing w:line="600" w:lineRule="exact"/>
        <w:ind w:left="1800" w:firstLine="0" w:firstLineChars="0"/>
        <w:outlineLvl w:val="0"/>
        <w:rPr>
          <w:rFonts w:ascii="黑体" w:hAnsi="黑体" w:eastAsia="黑体"/>
          <w:color w:val="000000"/>
          <w:sz w:val="44"/>
          <w:szCs w:val="44"/>
        </w:rPr>
      </w:pPr>
    </w:p>
    <w:p>
      <w:pPr>
        <w:pStyle w:val="37"/>
        <w:spacing w:line="600" w:lineRule="exact"/>
        <w:ind w:left="1800" w:firstLine="0" w:firstLineChars="0"/>
        <w:outlineLvl w:val="0"/>
        <w:rPr>
          <w:rStyle w:val="22"/>
          <w:rFonts w:ascii="黑体" w:hAnsi="黑体" w:eastAsia="黑体"/>
          <w:b w:val="0"/>
        </w:rPr>
      </w:pPr>
      <w:r>
        <w:rPr>
          <w:rFonts w:hint="eastAsia" w:ascii="黑体" w:hAnsi="黑体" w:eastAsia="黑体"/>
          <w:color w:val="000000"/>
          <w:sz w:val="44"/>
          <w:szCs w:val="44"/>
        </w:rPr>
        <w:t>第四部分 名</w:t>
      </w:r>
      <w:r>
        <w:rPr>
          <w:rStyle w:val="22"/>
          <w:rFonts w:hint="eastAsia" w:ascii="黑体" w:hAnsi="黑体" w:eastAsia="黑体"/>
          <w:b w:val="0"/>
        </w:rPr>
        <w:t>词解释</w:t>
      </w:r>
      <w:bookmarkEnd w:id="105"/>
      <w:bookmarkEnd w:id="106"/>
      <w:bookmarkEnd w:id="107"/>
      <w:bookmarkEnd w:id="108"/>
    </w:p>
    <w:p>
      <w:pPr>
        <w:pStyle w:val="37"/>
        <w:spacing w:line="600" w:lineRule="exact"/>
        <w:ind w:left="1800" w:firstLine="0" w:firstLineChars="0"/>
        <w:outlineLvl w:val="0"/>
        <w:rPr>
          <w:rFonts w:ascii="黑体" w:hAnsi="黑体" w:eastAsia="黑体"/>
          <w:bCs/>
          <w:kern w:val="44"/>
          <w:sz w:val="44"/>
          <w:szCs w:val="44"/>
        </w:rPr>
      </w:pPr>
    </w:p>
    <w:p>
      <w:pPr>
        <w:pStyle w:val="32"/>
        <w:spacing w:line="560" w:lineRule="exact"/>
        <w:ind w:firstLine="640" w:firstLineChars="200"/>
        <w:rPr>
          <w:rFonts w:ascii="仿宋_GB2312" w:eastAsia="仿宋_GB2312"/>
          <w:sz w:val="32"/>
          <w:szCs w:val="32"/>
        </w:rPr>
      </w:pPr>
      <w:bookmarkStart w:id="109" w:name="_Toc15396614"/>
      <w:bookmarkStart w:id="110" w:name="_Toc79163630"/>
      <w:bookmarkStart w:id="111" w:name="_Toc15377226"/>
      <w:r>
        <w:rPr>
          <w:rFonts w:hint="eastAsia" w:ascii="仿宋_GB2312" w:eastAsia="仿宋_GB2312"/>
          <w:sz w:val="32"/>
          <w:szCs w:val="32"/>
        </w:rPr>
        <w:t>1.财政拨款收入：指单位从同级财政部门取得的财政预算资金。</w:t>
      </w:r>
    </w:p>
    <w:p>
      <w:pPr>
        <w:pStyle w:val="32"/>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32"/>
        <w:spacing w:line="560" w:lineRule="exact"/>
        <w:ind w:firstLine="640" w:firstLineChars="200"/>
        <w:rPr>
          <w:rFonts w:ascii="仿宋_GB2312" w:eastAsia="仿宋_GB2312"/>
          <w:sz w:val="32"/>
          <w:szCs w:val="32"/>
        </w:rPr>
      </w:pPr>
      <w:r>
        <w:rPr>
          <w:rFonts w:hint="eastAsia" w:ascii="仿宋_GB2312" w:eastAsia="仿宋_GB2312"/>
          <w:sz w:val="32"/>
          <w:szCs w:val="32"/>
        </w:rPr>
        <w:t>3.其他收入：指单位取得的除上述收入以外的各项收入。</w:t>
      </w:r>
    </w:p>
    <w:p>
      <w:pPr>
        <w:pStyle w:val="32"/>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4.年初结转和结余：指以前年度尚未完成、结转到本年按有关规定继续使用的资金。 </w:t>
      </w:r>
    </w:p>
    <w:p>
      <w:pPr>
        <w:pStyle w:val="32"/>
        <w:spacing w:line="560" w:lineRule="exact"/>
        <w:ind w:firstLine="640" w:firstLineChars="200"/>
        <w:rPr>
          <w:rFonts w:ascii="仿宋_GB2312" w:eastAsia="仿宋_GB2312"/>
          <w:sz w:val="32"/>
          <w:szCs w:val="32"/>
        </w:rPr>
      </w:pPr>
      <w:r>
        <w:rPr>
          <w:rFonts w:hint="eastAsia" w:ascii="仿宋_GB2312" w:eastAsia="仿宋_GB2312"/>
          <w:sz w:val="32"/>
          <w:szCs w:val="32"/>
        </w:rPr>
        <w:t>5.结余分配：指事业单位按照事业单位会计制度的规定从非财政补助结余中分配的事业基金和职工福利基金等。</w:t>
      </w:r>
    </w:p>
    <w:p>
      <w:pPr>
        <w:pStyle w:val="32"/>
        <w:spacing w:line="560" w:lineRule="exact"/>
        <w:ind w:firstLine="640" w:firstLineChars="200"/>
        <w:rPr>
          <w:rFonts w:ascii="仿宋_GB2312" w:eastAsia="仿宋_GB2312"/>
          <w:sz w:val="32"/>
          <w:szCs w:val="32"/>
        </w:rPr>
      </w:pPr>
      <w:r>
        <w:rPr>
          <w:rFonts w:hint="eastAsia" w:ascii="仿宋_GB2312" w:eastAsia="仿宋_GB2312"/>
          <w:sz w:val="32"/>
          <w:szCs w:val="32"/>
        </w:rPr>
        <w:t>6.年末结转和结余：指单位按有关规定结转到下年或以后年度继续使用的资金。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7.一般公共服务（类）群众团体事物（款）事业运行（项）：指单位内的基本支出。</w:t>
      </w:r>
    </w:p>
    <w:p>
      <w:pPr>
        <w:ind w:firstLine="480" w:firstLineChars="150"/>
        <w:rPr>
          <w:szCs w:val="21"/>
        </w:rPr>
      </w:pPr>
      <w:r>
        <w:rPr>
          <w:rFonts w:hint="eastAsia" w:ascii="仿宋_GB2312" w:eastAsia="仿宋_GB2312"/>
          <w:color w:val="000000"/>
          <w:sz w:val="32"/>
          <w:szCs w:val="32"/>
        </w:rPr>
        <w:t>8.社会保障和就业（类）行政事业单位离退休（款）机关事业单位基本养老保险缴费支出（项）：</w:t>
      </w:r>
      <w:r>
        <w:rPr>
          <w:rStyle w:val="38"/>
          <w:rFonts w:hint="eastAsia" w:ascii="仿宋_GB2312" w:eastAsia="仿宋_GB2312"/>
          <w:b w:val="0"/>
          <w:bCs/>
          <w:color w:val="000000"/>
          <w:sz w:val="32"/>
          <w:szCs w:val="32"/>
        </w:rPr>
        <w:t>指</w:t>
      </w:r>
      <w:r>
        <w:rPr>
          <w:rFonts w:hint="eastAsia" w:ascii="仿宋_GB2312" w:eastAsia="仿宋_GB2312"/>
          <w:color w:val="000000"/>
          <w:kern w:val="0"/>
          <w:sz w:val="32"/>
          <w:szCs w:val="32"/>
        </w:rPr>
        <w:t>单位实施养老保险制度由单位缴纳的养老保险费的支出</w:t>
      </w:r>
      <w:r>
        <w:rPr>
          <w:rFonts w:hint="eastAsia" w:ascii="仿宋_GB2312" w:eastAsia="仿宋_GB2312"/>
          <w:color w:val="000000"/>
          <w:sz w:val="32"/>
          <w:szCs w:val="32"/>
        </w:rPr>
        <w:t>。</w:t>
      </w:r>
    </w:p>
    <w:p>
      <w:pPr>
        <w:ind w:firstLine="480" w:firstLineChars="150"/>
      </w:pPr>
      <w:r>
        <w:rPr>
          <w:rFonts w:hint="eastAsia" w:ascii="仿宋_GB2312" w:eastAsia="仿宋_GB2312"/>
          <w:color w:val="000000"/>
          <w:sz w:val="32"/>
          <w:szCs w:val="32"/>
        </w:rPr>
        <w:t>9.医疗卫生与计划生育（类）行政事业单位医疗（款）事业单位医疗（项）：</w:t>
      </w:r>
      <w:r>
        <w:rPr>
          <w:rStyle w:val="38"/>
          <w:rFonts w:hint="eastAsia" w:ascii="仿宋_GB2312" w:eastAsia="仿宋_GB2312"/>
          <w:b w:val="0"/>
          <w:bCs/>
          <w:color w:val="000000"/>
          <w:sz w:val="32"/>
          <w:szCs w:val="32"/>
        </w:rPr>
        <w:t>指</w:t>
      </w:r>
      <w:r>
        <w:rPr>
          <w:rFonts w:hint="eastAsia" w:ascii="仿宋_GB2312" w:eastAsia="仿宋_GB2312"/>
          <w:color w:val="000000"/>
          <w:kern w:val="0"/>
          <w:sz w:val="32"/>
          <w:szCs w:val="32"/>
        </w:rPr>
        <w:t>行政单位用于缴纳单位基本医疗保险支出</w:t>
      </w:r>
      <w:r>
        <w:rPr>
          <w:rFonts w:hint="eastAsia" w:ascii="仿宋_GB2312" w:eastAsia="仿宋_GB2312"/>
          <w:color w:val="000000"/>
          <w:sz w:val="32"/>
          <w:szCs w:val="32"/>
        </w:rPr>
        <w:t>。</w:t>
      </w:r>
    </w:p>
    <w:p>
      <w:pPr>
        <w:spacing w:line="576" w:lineRule="exact"/>
        <w:ind w:firstLine="640" w:firstLineChars="200"/>
        <w:rPr>
          <w:rStyle w:val="38"/>
          <w:rFonts w:ascii="仿宋_GB2312" w:eastAsia="仿宋_GB2312"/>
          <w:b w:val="0"/>
          <w:color w:val="000000"/>
          <w:sz w:val="32"/>
          <w:szCs w:val="32"/>
        </w:rPr>
      </w:pPr>
      <w:r>
        <w:rPr>
          <w:rFonts w:hint="eastAsia" w:ascii="仿宋_GB2312" w:eastAsia="仿宋_GB2312"/>
          <w:color w:val="000000"/>
          <w:sz w:val="32"/>
          <w:szCs w:val="32"/>
        </w:rPr>
        <w:t>10.</w:t>
      </w:r>
      <w:r>
        <w:rPr>
          <w:rStyle w:val="38"/>
          <w:rFonts w:hint="eastAsia" w:ascii="仿宋_GB2312" w:eastAsia="仿宋_GB2312"/>
          <w:b w:val="0"/>
          <w:bCs/>
          <w:color w:val="000000"/>
          <w:sz w:val="32"/>
          <w:szCs w:val="32"/>
        </w:rPr>
        <w:t>住房保障支出（类）住房改革支出（款）住房公积金（项）: 指</w:t>
      </w:r>
      <w:r>
        <w:rPr>
          <w:rFonts w:hint="eastAsia" w:ascii="仿宋_GB2312" w:eastAsia="仿宋_GB2312"/>
          <w:color w:val="000000"/>
          <w:kern w:val="0"/>
          <w:sz w:val="32"/>
          <w:szCs w:val="32"/>
        </w:rPr>
        <w:t>反映行政事业单位按规定为职工缴纳的住房公积金</w:t>
      </w:r>
      <w:r>
        <w:rPr>
          <w:rStyle w:val="38"/>
          <w:rFonts w:hint="eastAsia" w:ascii="仿宋_GB2312" w:eastAsia="仿宋_GB2312"/>
          <w:b w:val="0"/>
          <w:bCs/>
          <w:color w:val="000000"/>
          <w:sz w:val="32"/>
          <w:szCs w:val="32"/>
        </w:rPr>
        <w:t>。</w:t>
      </w:r>
    </w:p>
    <w:p>
      <w:pPr>
        <w:spacing w:line="576" w:lineRule="exact"/>
        <w:ind w:firstLine="640" w:firstLineChars="200"/>
      </w:pPr>
      <w:r>
        <w:rPr>
          <w:rStyle w:val="38"/>
          <w:rFonts w:hint="eastAsia" w:ascii="仿宋_GB2312" w:eastAsia="仿宋_GB2312"/>
          <w:b w:val="0"/>
          <w:bCs/>
          <w:color w:val="000000"/>
          <w:sz w:val="32"/>
          <w:szCs w:val="32"/>
        </w:rPr>
        <w:t>11.社会保障和就业（类）行政事业单位离退休（款）机关事业单位职业年金缴费支出（项）: 指</w:t>
      </w:r>
      <w:r>
        <w:rPr>
          <w:rFonts w:hint="eastAsia" w:ascii="仿宋_GB2312" w:eastAsia="仿宋_GB2312"/>
          <w:color w:val="000000"/>
          <w:kern w:val="0"/>
          <w:sz w:val="32"/>
          <w:szCs w:val="32"/>
        </w:rPr>
        <w:t>单位实施养老保险制度由单位缴纳的职业年金的支出</w:t>
      </w:r>
      <w:r>
        <w:rPr>
          <w:rStyle w:val="38"/>
          <w:rFonts w:hint="eastAsia" w:ascii="仿宋_GB2312" w:eastAsia="仿宋_GB2312"/>
          <w:b w:val="0"/>
          <w:bCs/>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13.基本支出：指为保障机构正常运转、完成日常工作任务而发生的人员支出和公用支出。</w:t>
      </w:r>
    </w:p>
    <w:p>
      <w:pPr>
        <w:pStyle w:val="32"/>
        <w:spacing w:line="560" w:lineRule="exact"/>
        <w:ind w:firstLine="640" w:firstLineChars="200"/>
        <w:rPr>
          <w:rFonts w:ascii="仿宋_GB2312" w:eastAsia="仿宋_GB2312"/>
          <w:sz w:val="32"/>
          <w:szCs w:val="32"/>
        </w:rPr>
      </w:pPr>
      <w:r>
        <w:rPr>
          <w:rFonts w:hint="eastAsia" w:ascii="仿宋_GB2312" w:eastAsia="仿宋_GB2312"/>
          <w:sz w:val="32"/>
          <w:szCs w:val="32"/>
        </w:rPr>
        <w:t>14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60" w:lineRule="exact"/>
        <w:ind w:firstLine="640" w:firstLineChars="200"/>
        <w:rPr>
          <w:rFonts w:ascii="仿宋_GB2312" w:eastAsia="仿宋_GB2312"/>
          <w:sz w:val="32"/>
          <w:szCs w:val="32"/>
        </w:rPr>
      </w:pPr>
      <w:r>
        <w:rPr>
          <w:rFonts w:hint="eastAsia" w:ascii="仿宋_GB2312" w:eastAsia="仿宋_GB2312"/>
          <w:sz w:val="32"/>
          <w:szCs w:val="32"/>
        </w:rPr>
        <w:t>15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2"/>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 xml:space="preserve"> </w:t>
      </w: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2"/>
          <w:rFonts w:ascii="黑体" w:hAnsi="黑体" w:eastAsia="黑体"/>
          <w:b w:val="0"/>
        </w:rPr>
      </w:pPr>
      <w:bookmarkStart w:id="112" w:name="_Toc82705916"/>
      <w:r>
        <w:rPr>
          <w:rFonts w:hint="eastAsia" w:ascii="黑体" w:hAnsi="黑体" w:eastAsia="黑体"/>
          <w:color w:val="000000"/>
          <w:sz w:val="44"/>
          <w:szCs w:val="44"/>
        </w:rPr>
        <w:t>第</w:t>
      </w:r>
      <w:r>
        <w:rPr>
          <w:rStyle w:val="22"/>
          <w:rFonts w:hint="eastAsia" w:ascii="黑体" w:hAnsi="黑体" w:eastAsia="黑体"/>
          <w:b w:val="0"/>
        </w:rPr>
        <w:t>四部分</w:t>
      </w:r>
      <w:r>
        <w:rPr>
          <w:rStyle w:val="22"/>
          <w:rFonts w:ascii="黑体" w:hAnsi="黑体" w:eastAsia="黑体"/>
          <w:b w:val="0"/>
        </w:rPr>
        <w:t xml:space="preserve"> </w:t>
      </w:r>
      <w:r>
        <w:rPr>
          <w:rStyle w:val="22"/>
          <w:rFonts w:hint="eastAsia" w:ascii="黑体" w:hAnsi="黑体" w:eastAsia="黑体"/>
          <w:b w:val="0"/>
        </w:rPr>
        <w:t>附件</w:t>
      </w:r>
      <w:bookmarkEnd w:id="109"/>
      <w:bookmarkEnd w:id="110"/>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82705917"/>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widowControl/>
        <w:spacing w:line="48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茂县文学艺术界联合会</w:t>
      </w:r>
    </w:p>
    <w:p>
      <w:pPr>
        <w:widowControl/>
        <w:spacing w:line="480" w:lineRule="exact"/>
        <w:jc w:val="center"/>
        <w:rPr>
          <w:rFonts w:ascii="方正小标宋简体" w:hAnsi="宋体" w:eastAsia="方正小标宋简体"/>
          <w:sz w:val="44"/>
          <w:szCs w:val="44"/>
        </w:rPr>
      </w:pPr>
      <w:r>
        <w:rPr>
          <w:rFonts w:ascii="方正小标宋简体" w:hAnsi="宋体" w:eastAsia="方正小标宋简体"/>
          <w:sz w:val="44"/>
          <w:szCs w:val="44"/>
        </w:rPr>
        <w:t>202</w:t>
      </w:r>
      <w:r>
        <w:rPr>
          <w:rFonts w:hint="eastAsia" w:ascii="方正小标宋简体" w:hAnsi="宋体" w:eastAsia="方正小标宋简体"/>
          <w:sz w:val="44"/>
          <w:szCs w:val="44"/>
        </w:rPr>
        <w:t>0年部门整体支出绩效报告</w:t>
      </w:r>
    </w:p>
    <w:p>
      <w:pPr>
        <w:widowControl/>
        <w:spacing w:line="480" w:lineRule="exact"/>
        <w:jc w:val="center"/>
        <w:rPr>
          <w:rFonts w:ascii="方正小标宋简体" w:hAnsi="宋体" w:eastAsia="方正小标宋简体"/>
          <w:sz w:val="44"/>
          <w:szCs w:val="44"/>
        </w:rPr>
      </w:pPr>
    </w:p>
    <w:p>
      <w:pPr>
        <w:widowControl/>
        <w:adjustRightInd w:val="0"/>
        <w:snapToGrid w:val="0"/>
        <w:spacing w:line="480" w:lineRule="exact"/>
        <w:ind w:firstLine="720"/>
        <w:jc w:val="left"/>
        <w:rPr>
          <w:rFonts w:ascii="黑体" w:hAnsi="宋体" w:eastAsia="黑体" w:cs="宋体"/>
          <w:color w:val="000000"/>
          <w:kern w:val="0"/>
          <w:sz w:val="32"/>
          <w:szCs w:val="32"/>
          <w:lang w:val="zh-CN"/>
        </w:rPr>
      </w:pPr>
      <w:r>
        <w:rPr>
          <w:rFonts w:hint="eastAsia" w:ascii="黑体" w:hAnsi="宋体" w:eastAsia="黑体" w:cs="宋体"/>
          <w:color w:val="000000"/>
          <w:kern w:val="0"/>
          <w:sz w:val="32"/>
          <w:szCs w:val="32"/>
        </w:rPr>
        <w:t>一、</w:t>
      </w:r>
      <w:r>
        <w:rPr>
          <w:rFonts w:hint="eastAsia" w:ascii="黑体" w:hAnsi="宋体" w:eastAsia="黑体" w:cs="宋体"/>
          <w:color w:val="000000"/>
          <w:kern w:val="0"/>
          <w:sz w:val="32"/>
          <w:szCs w:val="32"/>
          <w:lang w:val="zh-CN"/>
        </w:rPr>
        <w:t>部门概况</w:t>
      </w:r>
    </w:p>
    <w:p>
      <w:pPr>
        <w:spacing w:line="576" w:lineRule="exact"/>
        <w:ind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eastAsia="仿宋_GB2312"/>
          <w:sz w:val="32"/>
          <w:szCs w:val="32"/>
        </w:rPr>
        <w:t>茂县文学艺术界联合会目前仅内设办公室和财务室。</w:t>
      </w:r>
    </w:p>
    <w:p>
      <w:pPr>
        <w:spacing w:line="576" w:lineRule="exact"/>
        <w:ind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pPr>
        <w:spacing w:line="576" w:lineRule="exact"/>
        <w:ind w:firstLine="640" w:firstLineChars="200"/>
        <w:rPr>
          <w:rFonts w:ascii="仿宋_GB2312" w:hAnsi="仿宋" w:eastAsia="仿宋_GB2312" w:cs="仿宋_GB2312"/>
          <w:kern w:val="0"/>
          <w:sz w:val="32"/>
          <w:szCs w:val="32"/>
        </w:rPr>
      </w:pPr>
      <w:r>
        <w:rPr>
          <w:rFonts w:hint="eastAsia" w:ascii="仿宋_GB2312" w:hAnsi="仿宋" w:eastAsia="仿宋_GB2312"/>
          <w:sz w:val="32"/>
          <w:szCs w:val="32"/>
        </w:rPr>
        <w:t>茂县文学艺术界联合会是</w:t>
      </w:r>
      <w:r>
        <w:rPr>
          <w:rFonts w:hint="eastAsia" w:ascii="仿宋_GB2312" w:hAnsi="仿宋" w:eastAsia="仿宋_GB2312"/>
          <w:kern w:val="0"/>
          <w:sz w:val="32"/>
          <w:szCs w:val="32"/>
        </w:rPr>
        <w:t>县委领导、县委宣传部代管的正科级群团机构，主要职能是繁荣发展社会主义文艺事业，满足人民群众日益增长的文化发展需要，对团体会员开展联络、协调、服务、指导工作。通过文艺采风、学术研讨、展览演出等工作，指导团体会员开展业务活动</w:t>
      </w:r>
      <w:r>
        <w:rPr>
          <w:rFonts w:hint="eastAsia" w:ascii="仿宋_GB2312" w:hAnsi="仿宋" w:eastAsia="仿宋_GB2312"/>
          <w:sz w:val="32"/>
          <w:szCs w:val="32"/>
        </w:rPr>
        <w:t>。</w:t>
      </w:r>
    </w:p>
    <w:p>
      <w:pPr>
        <w:widowControl/>
        <w:spacing w:line="600" w:lineRule="exact"/>
        <w:ind w:left="210" w:leftChars="100" w:firstLine="320" w:firstLineChars="10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r>
        <w:rPr>
          <w:rFonts w:hint="eastAsia" w:ascii="仿宋_GB2312" w:hAnsi="宋体" w:eastAsia="仿宋_GB2312" w:cs="宋体"/>
          <w:color w:val="000000"/>
          <w:kern w:val="0"/>
          <w:sz w:val="32"/>
          <w:szCs w:val="32"/>
        </w:rPr>
        <w:t>总编制 4名,其中:事业编制 4 名。在职人员总数4名。</w:t>
      </w:r>
      <w:r>
        <w:rPr>
          <w:rFonts w:hint="eastAsia" w:ascii="仿宋_GB2312" w:hAnsi="宋体" w:eastAsia="仿宋_GB2312" w:cs="宋体"/>
          <w:color w:val="000000"/>
          <w:kern w:val="0"/>
          <w:sz w:val="32"/>
          <w:szCs w:val="32"/>
          <w:shd w:val="clear" w:color="auto" w:fill="FFFFFF"/>
          <w:lang w:val="zh-CN"/>
        </w:rPr>
        <w:t> </w:t>
      </w:r>
    </w:p>
    <w:p>
      <w:pPr>
        <w:widowControl/>
        <w:adjustRightInd w:val="0"/>
        <w:snapToGrid w:val="0"/>
        <w:spacing w:line="480"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二、部门财政资金收支情况</w:t>
      </w:r>
    </w:p>
    <w:p>
      <w:pPr>
        <w:widowControl/>
        <w:adjustRightInd w:val="0"/>
        <w:snapToGrid w:val="0"/>
        <w:spacing w:line="540" w:lineRule="exact"/>
        <w:ind w:left="315" w:leftChars="150" w:firstLine="160" w:firstLineChars="5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adjustRightInd w:val="0"/>
        <w:snapToGrid w:val="0"/>
        <w:spacing w:line="540" w:lineRule="exact"/>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茂县文学艺术界联合会2020年部门预算收入总额51.12万元。</w:t>
      </w:r>
    </w:p>
    <w:p>
      <w:pPr>
        <w:widowControl/>
        <w:adjustRightInd w:val="0"/>
        <w:snapToGrid w:val="0"/>
        <w:spacing w:line="540" w:lineRule="exact"/>
        <w:ind w:left="420" w:leftChars="20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pPr>
        <w:widowControl/>
        <w:adjustRightInd w:val="0"/>
        <w:snapToGrid w:val="0"/>
        <w:spacing w:line="540" w:lineRule="exact"/>
        <w:ind w:left="315" w:leftChars="150" w:firstLine="320" w:firstLineChars="10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2020年部门预算支出总额52.01万元。</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在预决算编制过程中，我会严格按照财政部门量入为出</w:t>
      </w:r>
      <w:r>
        <w:rPr>
          <w:rFonts w:ascii="仿宋_GB2312" w:hAnsi="宋体" w:eastAsia="仿宋_GB2312" w:cs="宋体"/>
          <w:color w:val="000000"/>
          <w:kern w:val="0"/>
          <w:sz w:val="32"/>
          <w:szCs w:val="32"/>
          <w:shd w:val="clear" w:color="auto" w:fill="FFFFFF"/>
          <w:lang w:val="zh-CN"/>
        </w:rPr>
        <w:t xml:space="preserve"> </w:t>
      </w:r>
      <w:r>
        <w:rPr>
          <w:rFonts w:hint="eastAsia" w:ascii="仿宋_GB2312" w:hAnsi="宋体" w:eastAsia="仿宋_GB2312" w:cs="宋体"/>
          <w:color w:val="000000"/>
          <w:kern w:val="0"/>
          <w:sz w:val="32"/>
          <w:szCs w:val="32"/>
          <w:shd w:val="clear" w:color="auto" w:fill="FFFFFF"/>
          <w:lang w:val="zh-CN"/>
        </w:rPr>
        <w:t>，实事求是的要求，细致核定相关工作经费。</w:t>
      </w:r>
      <w:r>
        <w:rPr>
          <w:rFonts w:ascii="仿宋_GB2312" w:hAnsi="宋体" w:eastAsia="仿宋_GB2312" w:cs="宋体"/>
          <w:color w:val="000000"/>
          <w:kern w:val="0"/>
          <w:sz w:val="32"/>
          <w:szCs w:val="32"/>
          <w:shd w:val="clear" w:color="auto" w:fill="FFFFFF"/>
          <w:lang w:val="zh-CN"/>
        </w:rPr>
        <w:t xml:space="preserve"> </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（二）执行管理情况</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ascii="仿宋_GB2312" w:hAnsi="宋体" w:eastAsia="仿宋_GB2312" w:cs="宋体"/>
          <w:color w:val="000000"/>
          <w:kern w:val="0"/>
          <w:sz w:val="32"/>
          <w:szCs w:val="32"/>
          <w:shd w:val="clear" w:color="auto" w:fill="FFFFFF"/>
          <w:lang w:val="zh-CN"/>
        </w:rPr>
        <w:t>202</w:t>
      </w:r>
      <w:r>
        <w:rPr>
          <w:rFonts w:hint="eastAsia" w:ascii="仿宋_GB2312" w:hAnsi="宋体" w:eastAsia="仿宋_GB2312" w:cs="宋体"/>
          <w:color w:val="000000"/>
          <w:kern w:val="0"/>
          <w:sz w:val="32"/>
          <w:szCs w:val="32"/>
          <w:shd w:val="clear" w:color="auto" w:fill="FFFFFF"/>
          <w:lang w:val="zh-CN"/>
        </w:rPr>
        <w:t>0年，文联支出相关经费52.01万元，全年预算执行完成100</w:t>
      </w:r>
      <w:r>
        <w:rPr>
          <w:rFonts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zh-CN"/>
        </w:rPr>
        <w:t>；无三公经费支出。</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（三）综合管理情况</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为进一步完善单位内部财经管理，规范财经运行，文联及时完善了相关财政管理制度，同时按照上级财政、纪检监察部门要求，我会严格执行单位“一把手”不直接分管财务工作的规定，在相关财务运行中，严格执行财务人员审核票据，分管副职和“一把手”共同审签的财务报账流程。</w:t>
      </w:r>
    </w:p>
    <w:p>
      <w:pPr>
        <w:widowControl/>
        <w:adjustRightInd w:val="0"/>
        <w:snapToGrid w:val="0"/>
        <w:spacing w:line="540" w:lineRule="exact"/>
        <w:ind w:left="315" w:leftChars="150" w:firstLine="160" w:firstLineChars="5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（四）整体绩效</w:t>
      </w:r>
    </w:p>
    <w:p>
      <w:pPr>
        <w:widowControl/>
        <w:adjustRightInd w:val="0"/>
        <w:snapToGrid w:val="0"/>
        <w:spacing w:line="540" w:lineRule="exact"/>
        <w:ind w:left="315" w:leftChars="150" w:firstLine="160" w:firstLineChars="5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我单位根据《茂县财政局关于开展2020年财政支出绩效评价工作的通知》为提高预算资金使用效益，强化支出责任，规范支出绩效评价行为，于2020年9月27日根据单位财政资金的实际使用情况开始了自评工作，我们将此项工作作为健全本单位制度机制、优化支出结构、资源配置的重要依据。</w:t>
      </w:r>
    </w:p>
    <w:p>
      <w:pPr>
        <w:widowControl/>
        <w:adjustRightInd w:val="0"/>
        <w:snapToGrid w:val="0"/>
        <w:spacing w:line="540" w:lineRule="exact"/>
        <w:ind w:firstLine="720"/>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通过此次部门预算绩效评价，文联预算执行总体状况良好，相关经费均能严格按照规定方向、用途，有的放矢的使用，且能达到促进文化艺术工作开展的目的。</w:t>
      </w:r>
    </w:p>
    <w:p>
      <w:pPr>
        <w:pStyle w:val="39"/>
        <w:spacing w:before="0" w:beforeAutospacing="0" w:after="0" w:afterAutospacing="0" w:line="576" w:lineRule="exact"/>
        <w:ind w:firstLine="720" w:firstLineChars="225"/>
        <w:rPr>
          <w:rFonts w:ascii="仿宋_GB2312"/>
          <w:color w:val="000000"/>
          <w:sz w:val="32"/>
          <w:szCs w:val="32"/>
          <w:shd w:val="clear" w:color="auto" w:fill="FFFFFF"/>
          <w:lang w:val="zh-CN"/>
        </w:rPr>
      </w:pPr>
      <w:r>
        <w:rPr>
          <w:rFonts w:hint="eastAsia" w:ascii="仿宋_GB2312"/>
          <w:color w:val="000000"/>
          <w:sz w:val="32"/>
          <w:szCs w:val="32"/>
          <w:shd w:val="clear" w:color="auto" w:fill="FFFFFF"/>
          <w:lang w:val="zh-CN"/>
        </w:rPr>
        <w:t>（二）存在问题</w:t>
      </w:r>
    </w:p>
    <w:p>
      <w:pPr>
        <w:pStyle w:val="39"/>
        <w:spacing w:before="0" w:beforeAutospacing="0" w:after="0" w:afterAutospacing="0" w:line="576" w:lineRule="exact"/>
        <w:ind w:firstLine="720" w:firstLineChars="225"/>
        <w:rPr>
          <w:rFonts w:ascii="仿宋_GB2312"/>
          <w:color w:val="000000"/>
          <w:sz w:val="32"/>
          <w:szCs w:val="32"/>
          <w:shd w:val="clear" w:color="auto" w:fill="FFFFFF"/>
          <w:lang w:val="zh-CN"/>
        </w:rPr>
      </w:pPr>
      <w:r>
        <w:rPr>
          <w:rFonts w:hint="eastAsia" w:ascii="仿宋_GB2312"/>
          <w:color w:val="000000"/>
          <w:sz w:val="32"/>
          <w:szCs w:val="32"/>
          <w:shd w:val="clear" w:color="auto" w:fill="FFFFFF"/>
          <w:lang w:val="zh-CN"/>
        </w:rPr>
        <w:t>虽然在绩效评价中，文联预算执行取得了较好成效，但也存在有财会人员兼职，相关财务凭证处理和装订不专业，个别经费支出说明不详细的现象。在下一步工作中，将重点加强对这些方面的规范和完善。</w:t>
      </w:r>
    </w:p>
    <w:p>
      <w:pPr>
        <w:widowControl/>
        <w:adjustRightInd w:val="0"/>
        <w:snapToGrid w:val="0"/>
        <w:spacing w:line="54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pStyle w:val="39"/>
        <w:spacing w:before="0" w:beforeAutospacing="0" w:after="0" w:afterAutospacing="0" w:line="576" w:lineRule="exact"/>
        <w:ind w:firstLine="723" w:firstLineChars="225"/>
        <w:rPr>
          <w:rFonts w:ascii="仿宋_GB2312"/>
          <w:color w:val="000000"/>
          <w:sz w:val="32"/>
          <w:szCs w:val="32"/>
          <w:shd w:val="clear" w:color="auto" w:fill="FFFFFF"/>
          <w:lang w:val="zh-CN"/>
        </w:rPr>
      </w:pPr>
      <w:r>
        <w:rPr>
          <w:rFonts w:hint="eastAsia" w:ascii="仿宋_GB2312" w:hAnsi="仿宋_GB2312"/>
          <w:b/>
          <w:sz w:val="32"/>
          <w:szCs w:val="32"/>
        </w:rPr>
        <w:t>一是</w:t>
      </w:r>
      <w:r>
        <w:rPr>
          <w:rFonts w:hint="eastAsia" w:ascii="仿宋_GB2312"/>
          <w:color w:val="000000"/>
          <w:sz w:val="32"/>
          <w:szCs w:val="32"/>
          <w:shd w:val="clear" w:color="auto" w:fill="FFFFFF"/>
          <w:lang w:val="zh-CN"/>
        </w:rPr>
        <w:t>进一步增强单位领导和具体财务经办人员对财务工作重要性和紧迫性的认识，随时按照“量入为出”管理使用资金，绷紧“严管钱”这根弦。</w:t>
      </w:r>
    </w:p>
    <w:p>
      <w:pPr>
        <w:pStyle w:val="39"/>
        <w:spacing w:before="0" w:beforeAutospacing="0" w:after="0" w:afterAutospacing="0" w:line="576" w:lineRule="exact"/>
        <w:ind w:firstLine="723" w:firstLineChars="225"/>
        <w:rPr>
          <w:rFonts w:ascii="仿宋_GB2312" w:hAnsi="仿宋_GB2312"/>
          <w:sz w:val="32"/>
          <w:szCs w:val="32"/>
        </w:rPr>
      </w:pPr>
      <w:r>
        <w:rPr>
          <w:rFonts w:hint="eastAsia" w:ascii="仿宋_GB2312" w:hAnsi="仿宋_GB2312"/>
          <w:b/>
          <w:sz w:val="32"/>
          <w:szCs w:val="32"/>
        </w:rPr>
        <w:t>二是</w:t>
      </w:r>
      <w:r>
        <w:rPr>
          <w:rFonts w:hint="eastAsia" w:ascii="仿宋_GB2312" w:hAnsi="仿宋_GB2312"/>
          <w:sz w:val="32"/>
          <w:szCs w:val="32"/>
        </w:rPr>
        <w:t>不断加强财务经办人员业务知识的学习和培训，不断完善和规范单位财务处理，同时鼓励和支持财务经办人员考取职业资格认证。</w:t>
      </w:r>
    </w:p>
    <w:p>
      <w:pPr>
        <w:pStyle w:val="39"/>
        <w:spacing w:before="0" w:beforeAutospacing="0" w:after="0" w:afterAutospacing="0" w:line="576" w:lineRule="exact"/>
        <w:ind w:firstLine="720" w:firstLineChars="225"/>
        <w:rPr>
          <w:rFonts w:ascii="仿宋_GB2312" w:hAnsi="仿宋_GB2312"/>
          <w:sz w:val="32"/>
          <w:szCs w:val="32"/>
        </w:rPr>
      </w:pPr>
    </w:p>
    <w:p>
      <w:pPr>
        <w:pStyle w:val="39"/>
        <w:spacing w:before="0" w:beforeAutospacing="0" w:after="0" w:afterAutospacing="0" w:line="576" w:lineRule="exact"/>
        <w:ind w:firstLine="720" w:firstLineChars="225"/>
        <w:rPr>
          <w:rFonts w:ascii="仿宋_GB2312" w:hAnsi="仿宋_GB2312"/>
          <w:sz w:val="32"/>
          <w:szCs w:val="32"/>
        </w:rPr>
      </w:pPr>
    </w:p>
    <w:p>
      <w:pPr>
        <w:pStyle w:val="39"/>
        <w:spacing w:before="0" w:beforeAutospacing="0" w:after="0" w:afterAutospacing="0" w:line="576" w:lineRule="exact"/>
        <w:ind w:firstLine="720" w:firstLineChars="225"/>
        <w:rPr>
          <w:rFonts w:ascii="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0"/>
        <w:rPr>
          <w:rFonts w:ascii="黑体" w:hAnsi="黑体" w:eastAsia="黑体" w:cs="黑体"/>
          <w:sz w:val="32"/>
          <w:szCs w:val="32"/>
        </w:rPr>
      </w:pPr>
      <w:bookmarkStart w:id="115" w:name="_Toc79163633"/>
      <w:bookmarkStart w:id="116" w:name="_Toc82705918"/>
      <w:r>
        <w:rPr>
          <w:rFonts w:hint="eastAsia" w:ascii="黑体" w:hAnsi="黑体" w:eastAsia="黑体" w:cs="黑体"/>
          <w:sz w:val="32"/>
          <w:szCs w:val="32"/>
        </w:rPr>
        <w:t>附件</w:t>
      </w:r>
      <w:r>
        <w:rPr>
          <w:rFonts w:ascii="黑体" w:hAnsi="黑体" w:eastAsia="黑体" w:cs="黑体"/>
          <w:sz w:val="32"/>
          <w:szCs w:val="32"/>
        </w:rPr>
        <w:t>2</w:t>
      </w:r>
      <w:bookmarkEnd w:id="115"/>
      <w:bookmarkEnd w:id="116"/>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Style w:val="22"/>
          <w:rFonts w:ascii="黑体" w:hAnsi="黑体" w:eastAsia="黑体"/>
          <w:b w:val="0"/>
        </w:rPr>
      </w:pPr>
      <w:bookmarkStart w:id="117" w:name="_Toc82705919"/>
      <w:bookmarkStart w:id="118" w:name="_Toc15396618"/>
      <w:bookmarkStart w:id="119" w:name="_Toc79163635"/>
      <w:r>
        <w:rPr>
          <w:rFonts w:hint="eastAsia" w:ascii="黑体" w:hAnsi="黑体" w:eastAsia="黑体"/>
          <w:color w:val="000000"/>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111"/>
      <w:bookmarkEnd w:id="117"/>
      <w:bookmarkEnd w:id="118"/>
      <w:bookmarkEnd w:id="119"/>
      <w:bookmarkStart w:id="120" w:name="_Toc15396619"/>
      <w:bookmarkStart w:id="121" w:name="_Toc79163636"/>
    </w:p>
    <w:p>
      <w:pPr>
        <w:spacing w:line="600" w:lineRule="exact"/>
        <w:outlineLvl w:val="0"/>
        <w:rPr>
          <w:rFonts w:ascii="仿宋" w:hAnsi="仿宋" w:eastAsia="仿宋"/>
          <w:bCs/>
          <w:color w:val="000000"/>
          <w:sz w:val="32"/>
          <w:szCs w:val="32"/>
        </w:rPr>
      </w:pPr>
      <w:bookmarkStart w:id="122" w:name="_Toc82705920"/>
      <w:r>
        <w:rPr>
          <w:rFonts w:hint="eastAsia" w:ascii="仿宋" w:hAnsi="仿宋" w:eastAsia="仿宋"/>
          <w:bCs/>
          <w:color w:val="000000"/>
          <w:sz w:val="32"/>
          <w:szCs w:val="32"/>
        </w:rPr>
        <w:t>一、收入支出决算总表</w:t>
      </w:r>
      <w:bookmarkEnd w:id="120"/>
      <w:bookmarkEnd w:id="121"/>
      <w:bookmarkEnd w:id="122"/>
    </w:p>
    <w:p>
      <w:pPr>
        <w:pStyle w:val="3"/>
        <w:rPr>
          <w:rFonts w:ascii="仿宋" w:hAnsi="仿宋" w:eastAsia="仿宋"/>
          <w:color w:val="000000"/>
        </w:rPr>
      </w:pPr>
      <w:bookmarkStart w:id="123" w:name="_Toc15396620"/>
      <w:bookmarkStart w:id="124" w:name="_Toc79163637"/>
      <w:bookmarkStart w:id="125" w:name="_Toc82705921"/>
      <w:r>
        <w:rPr>
          <w:rFonts w:hint="eastAsia" w:ascii="仿宋" w:hAnsi="仿宋" w:eastAsia="仿宋"/>
          <w:b w:val="0"/>
          <w:color w:val="000000"/>
        </w:rPr>
        <w:t>二、收</w:t>
      </w:r>
      <w:r>
        <w:rPr>
          <w:rStyle w:val="23"/>
          <w:rFonts w:hint="eastAsia" w:ascii="仿宋" w:hAnsi="仿宋" w:eastAsia="仿宋"/>
          <w:b w:val="0"/>
          <w:bCs w:val="0"/>
        </w:rPr>
        <w:t>入决算表</w:t>
      </w:r>
      <w:bookmarkEnd w:id="123"/>
      <w:bookmarkEnd w:id="124"/>
      <w:bookmarkEnd w:id="125"/>
    </w:p>
    <w:p>
      <w:pPr>
        <w:pStyle w:val="3"/>
        <w:rPr>
          <w:rFonts w:ascii="仿宋" w:hAnsi="仿宋" w:eastAsia="仿宋"/>
          <w:color w:val="000000"/>
        </w:rPr>
      </w:pPr>
      <w:bookmarkStart w:id="126" w:name="_Toc15396621"/>
      <w:bookmarkStart w:id="127" w:name="_Toc79163638"/>
      <w:bookmarkStart w:id="128" w:name="_Toc82705922"/>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出决算表</w:t>
      </w:r>
      <w:bookmarkEnd w:id="126"/>
      <w:bookmarkEnd w:id="127"/>
      <w:bookmarkEnd w:id="128"/>
    </w:p>
    <w:p>
      <w:pPr>
        <w:pStyle w:val="3"/>
        <w:rPr>
          <w:rFonts w:ascii="仿宋" w:hAnsi="仿宋" w:eastAsia="仿宋"/>
          <w:b w:val="0"/>
          <w:color w:val="000000"/>
        </w:rPr>
      </w:pPr>
      <w:bookmarkStart w:id="129" w:name="_Toc15396622"/>
      <w:bookmarkStart w:id="130" w:name="_Toc79163639"/>
      <w:bookmarkStart w:id="131" w:name="_Toc82705923"/>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bookmarkEnd w:id="129"/>
      <w:bookmarkEnd w:id="130"/>
      <w:bookmarkEnd w:id="131"/>
    </w:p>
    <w:p>
      <w:pPr>
        <w:pStyle w:val="3"/>
        <w:rPr>
          <w:rStyle w:val="23"/>
          <w:rFonts w:ascii="仿宋" w:hAnsi="仿宋" w:eastAsia="仿宋"/>
          <w:b w:val="0"/>
          <w:bCs w:val="0"/>
        </w:rPr>
      </w:pPr>
      <w:bookmarkStart w:id="132" w:name="_Toc15396623"/>
      <w:bookmarkStart w:id="133" w:name="_Toc79163640"/>
      <w:bookmarkStart w:id="134" w:name="_Toc82705924"/>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w:t>
      </w:r>
      <w:bookmarkEnd w:id="132"/>
      <w:bookmarkEnd w:id="133"/>
      <w:bookmarkEnd w:id="134"/>
      <w:bookmarkStart w:id="135" w:name="_Toc15396624"/>
    </w:p>
    <w:p>
      <w:pPr>
        <w:pStyle w:val="3"/>
        <w:rPr>
          <w:rFonts w:ascii="仿宋" w:hAnsi="仿宋" w:eastAsia="仿宋"/>
          <w:color w:val="000000"/>
        </w:rPr>
      </w:pPr>
      <w:bookmarkStart w:id="136" w:name="_Toc79163641"/>
      <w:bookmarkStart w:id="137" w:name="_Toc82705925"/>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bookmarkEnd w:id="135"/>
      <w:bookmarkEnd w:id="136"/>
      <w:bookmarkEnd w:id="137"/>
    </w:p>
    <w:p>
      <w:pPr>
        <w:pStyle w:val="3"/>
        <w:rPr>
          <w:rFonts w:ascii="仿宋" w:hAnsi="仿宋" w:eastAsia="仿宋"/>
          <w:color w:val="000000"/>
        </w:rPr>
      </w:pPr>
      <w:bookmarkStart w:id="138" w:name="_Toc15396625"/>
      <w:bookmarkStart w:id="139" w:name="_Toc79163642"/>
      <w:bookmarkStart w:id="140" w:name="_Toc82705926"/>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bookmarkEnd w:id="138"/>
      <w:bookmarkEnd w:id="139"/>
      <w:bookmarkEnd w:id="140"/>
    </w:p>
    <w:p>
      <w:pPr>
        <w:pStyle w:val="3"/>
        <w:rPr>
          <w:rFonts w:ascii="仿宋" w:hAnsi="仿宋" w:eastAsia="仿宋"/>
          <w:color w:val="000000"/>
        </w:rPr>
      </w:pPr>
      <w:bookmarkStart w:id="141" w:name="_Toc15396626"/>
      <w:bookmarkStart w:id="142" w:name="_Toc79163643"/>
      <w:bookmarkStart w:id="143" w:name="_Toc82705927"/>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般公共预算财政拨款基本支出决算表</w:t>
      </w:r>
      <w:bookmarkEnd w:id="141"/>
      <w:bookmarkEnd w:id="142"/>
      <w:bookmarkEnd w:id="143"/>
    </w:p>
    <w:p>
      <w:pPr>
        <w:pStyle w:val="3"/>
        <w:rPr>
          <w:rFonts w:ascii="仿宋" w:hAnsi="仿宋" w:eastAsia="仿宋"/>
          <w:color w:val="000000"/>
        </w:rPr>
      </w:pPr>
      <w:bookmarkStart w:id="144" w:name="_Toc15396627"/>
      <w:bookmarkStart w:id="145" w:name="_Toc79163644"/>
      <w:bookmarkStart w:id="146" w:name="_Toc82705928"/>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bookmarkEnd w:id="144"/>
      <w:bookmarkEnd w:id="145"/>
      <w:bookmarkEnd w:id="146"/>
    </w:p>
    <w:p>
      <w:pPr>
        <w:pStyle w:val="3"/>
        <w:rPr>
          <w:rFonts w:ascii="仿宋" w:hAnsi="仿宋" w:eastAsia="仿宋"/>
          <w:color w:val="000000"/>
        </w:rPr>
      </w:pPr>
      <w:bookmarkStart w:id="147" w:name="_Toc15396628"/>
      <w:bookmarkStart w:id="148" w:name="_Toc79163645"/>
      <w:bookmarkStart w:id="149" w:name="_Toc82705929"/>
      <w:r>
        <w:rPr>
          <w:rStyle w:val="23"/>
          <w:rFonts w:hint="eastAsia" w:ascii="仿宋" w:hAnsi="仿宋" w:eastAsia="仿宋"/>
          <w:b w:val="0"/>
          <w:bCs w:val="0"/>
        </w:rPr>
        <w:t>十、</w:t>
      </w:r>
      <w:r>
        <w:rPr>
          <w:rFonts w:hint="eastAsia" w:ascii="仿宋" w:hAnsi="仿宋" w:eastAsia="仿宋"/>
          <w:b w:val="0"/>
          <w:color w:val="000000"/>
        </w:rPr>
        <w:t>一</w:t>
      </w:r>
      <w:r>
        <w:rPr>
          <w:rStyle w:val="23"/>
          <w:rFonts w:hint="eastAsia" w:ascii="仿宋" w:hAnsi="仿宋" w:eastAsia="仿宋"/>
          <w:b w:val="0"/>
          <w:bCs w:val="0"/>
        </w:rPr>
        <w:t>般公共预算财政拨款“三公”经费支出决算表</w:t>
      </w:r>
      <w:bookmarkEnd w:id="147"/>
      <w:bookmarkEnd w:id="148"/>
      <w:bookmarkEnd w:id="149"/>
    </w:p>
    <w:p>
      <w:pPr>
        <w:pStyle w:val="3"/>
        <w:rPr>
          <w:rFonts w:ascii="仿宋" w:hAnsi="仿宋" w:eastAsia="仿宋"/>
          <w:color w:val="000000"/>
        </w:rPr>
      </w:pPr>
      <w:bookmarkStart w:id="150" w:name="_Toc15396629"/>
      <w:bookmarkStart w:id="151" w:name="_Toc79163646"/>
      <w:bookmarkStart w:id="152" w:name="_Toc82705930"/>
      <w:r>
        <w:rPr>
          <w:rStyle w:val="23"/>
          <w:rFonts w:hint="eastAsia" w:ascii="仿宋" w:hAnsi="仿宋" w:eastAsia="仿宋"/>
          <w:b w:val="0"/>
          <w:bCs w:val="0"/>
        </w:rPr>
        <w:t>十一、</w:t>
      </w:r>
      <w:r>
        <w:rPr>
          <w:rFonts w:hint="eastAsia" w:ascii="仿宋" w:hAnsi="仿宋" w:eastAsia="仿宋"/>
          <w:b w:val="0"/>
          <w:color w:val="000000"/>
        </w:rPr>
        <w:t>政</w:t>
      </w:r>
      <w:r>
        <w:rPr>
          <w:rStyle w:val="23"/>
          <w:rFonts w:hint="eastAsia" w:ascii="仿宋" w:hAnsi="仿宋" w:eastAsia="仿宋"/>
          <w:b w:val="0"/>
          <w:bCs w:val="0"/>
        </w:rPr>
        <w:t>府性基金预算财政拨款收入支出决算表</w:t>
      </w:r>
      <w:bookmarkEnd w:id="150"/>
      <w:bookmarkEnd w:id="151"/>
      <w:bookmarkEnd w:id="152"/>
    </w:p>
    <w:p>
      <w:pPr>
        <w:pStyle w:val="3"/>
        <w:rPr>
          <w:rFonts w:ascii="仿宋" w:hAnsi="仿宋" w:eastAsia="仿宋"/>
          <w:color w:val="000000"/>
        </w:rPr>
      </w:pPr>
      <w:bookmarkStart w:id="153" w:name="_Toc15396630"/>
      <w:bookmarkStart w:id="154" w:name="_Toc79163647"/>
      <w:bookmarkStart w:id="155" w:name="_Toc82705931"/>
      <w:r>
        <w:rPr>
          <w:rStyle w:val="23"/>
          <w:rFonts w:hint="eastAsia" w:ascii="仿宋" w:hAnsi="仿宋" w:eastAsia="仿宋"/>
          <w:b w:val="0"/>
          <w:bCs w:val="0"/>
        </w:rPr>
        <w:t>十二、</w:t>
      </w:r>
      <w:r>
        <w:rPr>
          <w:rFonts w:hint="eastAsia" w:ascii="仿宋" w:hAnsi="仿宋" w:eastAsia="仿宋"/>
          <w:b w:val="0"/>
          <w:color w:val="000000"/>
        </w:rPr>
        <w:t>政</w:t>
      </w:r>
      <w:r>
        <w:rPr>
          <w:rStyle w:val="23"/>
          <w:rFonts w:hint="eastAsia" w:ascii="仿宋" w:hAnsi="仿宋" w:eastAsia="仿宋"/>
          <w:b w:val="0"/>
          <w:bCs w:val="0"/>
        </w:rPr>
        <w:t>府性基金预算财政拨款“三公”经费支出决算表</w:t>
      </w:r>
      <w:bookmarkEnd w:id="153"/>
      <w:bookmarkEnd w:id="154"/>
      <w:bookmarkEnd w:id="155"/>
    </w:p>
    <w:p>
      <w:pPr>
        <w:pStyle w:val="3"/>
        <w:rPr>
          <w:rStyle w:val="23"/>
          <w:rFonts w:ascii="仿宋" w:hAnsi="仿宋" w:eastAsia="仿宋"/>
          <w:b w:val="0"/>
          <w:bCs w:val="0"/>
        </w:rPr>
      </w:pPr>
      <w:bookmarkStart w:id="156" w:name="_Toc15396631"/>
      <w:bookmarkStart w:id="157" w:name="_Toc79163648"/>
      <w:bookmarkStart w:id="158" w:name="_Toc82705932"/>
      <w:r>
        <w:rPr>
          <w:rStyle w:val="23"/>
          <w:rFonts w:hint="eastAsia" w:ascii="仿宋" w:hAnsi="仿宋" w:eastAsia="仿宋"/>
          <w:b w:val="0"/>
          <w:bCs w:val="0"/>
        </w:rPr>
        <w:t>十三、</w:t>
      </w:r>
      <w:r>
        <w:rPr>
          <w:rFonts w:hint="eastAsia" w:ascii="仿宋" w:hAnsi="仿宋" w:eastAsia="仿宋"/>
          <w:b w:val="0"/>
          <w:color w:val="000000"/>
        </w:rPr>
        <w:t>国</w:t>
      </w:r>
      <w:r>
        <w:rPr>
          <w:rStyle w:val="23"/>
          <w:rFonts w:hint="eastAsia" w:ascii="仿宋" w:hAnsi="仿宋" w:eastAsia="仿宋"/>
          <w:b w:val="0"/>
          <w:bCs w:val="0"/>
        </w:rPr>
        <w:t>有资本经营预算财政拨款支出决算表</w:t>
      </w:r>
      <w:bookmarkEnd w:id="156"/>
      <w:bookmarkEnd w:id="157"/>
      <w:bookmarkEnd w:id="158"/>
    </w:p>
    <w:p>
      <w:pPr>
        <w:pStyle w:val="3"/>
        <w:rPr>
          <w:rStyle w:val="23"/>
          <w:rFonts w:ascii="仿宋" w:hAnsi="仿宋" w:eastAsia="仿宋"/>
          <w:b w:val="0"/>
          <w:bCs w:val="0"/>
        </w:rPr>
      </w:pPr>
      <w:bookmarkStart w:id="159" w:name="_Toc79163649"/>
      <w:bookmarkStart w:id="160" w:name="_Toc82705933"/>
      <w:r>
        <w:rPr>
          <w:rStyle w:val="23"/>
          <w:rFonts w:hint="eastAsia" w:ascii="仿宋" w:hAnsi="仿宋" w:eastAsia="仿宋"/>
          <w:b w:val="0"/>
          <w:bCs w:val="0"/>
        </w:rPr>
        <w:t>十四、国有资本经营预算财政拨款支出决算表</w:t>
      </w:r>
      <w:bookmarkEnd w:id="159"/>
      <w:bookmarkEnd w:id="16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微软雅黑"/>
    <w:panose1 w:val="00000000000000000000"/>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4</w:t>
    </w:r>
    <w:r>
      <w:rPr>
        <w:lang w:val="zh-CN"/>
      </w:rP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30496"/>
    <w:rsid w:val="00031D9D"/>
    <w:rsid w:val="0004015C"/>
    <w:rsid w:val="000468DB"/>
    <w:rsid w:val="0006487A"/>
    <w:rsid w:val="00065F8F"/>
    <w:rsid w:val="00070A43"/>
    <w:rsid w:val="000768F2"/>
    <w:rsid w:val="0009033C"/>
    <w:rsid w:val="0009184B"/>
    <w:rsid w:val="00094236"/>
    <w:rsid w:val="0009593C"/>
    <w:rsid w:val="00097322"/>
    <w:rsid w:val="000A6A92"/>
    <w:rsid w:val="000B047F"/>
    <w:rsid w:val="000B4160"/>
    <w:rsid w:val="000B5923"/>
    <w:rsid w:val="000B5A48"/>
    <w:rsid w:val="000B6FF3"/>
    <w:rsid w:val="000C3467"/>
    <w:rsid w:val="000C3CA6"/>
    <w:rsid w:val="000D1267"/>
    <w:rsid w:val="000D1D50"/>
    <w:rsid w:val="000D5782"/>
    <w:rsid w:val="000D7522"/>
    <w:rsid w:val="000E6613"/>
    <w:rsid w:val="000E7119"/>
    <w:rsid w:val="001060D3"/>
    <w:rsid w:val="00114E9B"/>
    <w:rsid w:val="00115301"/>
    <w:rsid w:val="001319E1"/>
    <w:rsid w:val="00142216"/>
    <w:rsid w:val="00144D6A"/>
    <w:rsid w:val="0014729F"/>
    <w:rsid w:val="00157BAB"/>
    <w:rsid w:val="001654D1"/>
    <w:rsid w:val="00174518"/>
    <w:rsid w:val="001752E6"/>
    <w:rsid w:val="0018106D"/>
    <w:rsid w:val="001877A7"/>
    <w:rsid w:val="0019049D"/>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18D0"/>
    <w:rsid w:val="0027224D"/>
    <w:rsid w:val="00280496"/>
    <w:rsid w:val="00294DC9"/>
    <w:rsid w:val="00295495"/>
    <w:rsid w:val="002A31DE"/>
    <w:rsid w:val="002A4331"/>
    <w:rsid w:val="002B2613"/>
    <w:rsid w:val="002B265C"/>
    <w:rsid w:val="002C540B"/>
    <w:rsid w:val="002D6D05"/>
    <w:rsid w:val="002F1818"/>
    <w:rsid w:val="002F567B"/>
    <w:rsid w:val="002F7381"/>
    <w:rsid w:val="00305DB9"/>
    <w:rsid w:val="003216A9"/>
    <w:rsid w:val="00335A74"/>
    <w:rsid w:val="00344CA1"/>
    <w:rsid w:val="00357BB0"/>
    <w:rsid w:val="0036561B"/>
    <w:rsid w:val="0037013F"/>
    <w:rsid w:val="00380C92"/>
    <w:rsid w:val="00391FB4"/>
    <w:rsid w:val="00395B7C"/>
    <w:rsid w:val="003A04A0"/>
    <w:rsid w:val="003A484F"/>
    <w:rsid w:val="003A4883"/>
    <w:rsid w:val="003A4B24"/>
    <w:rsid w:val="003B0BE0"/>
    <w:rsid w:val="003B0C1B"/>
    <w:rsid w:val="003B688C"/>
    <w:rsid w:val="003C0291"/>
    <w:rsid w:val="003C39AE"/>
    <w:rsid w:val="003C7B60"/>
    <w:rsid w:val="003D0C0F"/>
    <w:rsid w:val="003D1FB2"/>
    <w:rsid w:val="003D66DA"/>
    <w:rsid w:val="003D6AF5"/>
    <w:rsid w:val="003E1310"/>
    <w:rsid w:val="003E6F55"/>
    <w:rsid w:val="003E6FE4"/>
    <w:rsid w:val="00406254"/>
    <w:rsid w:val="004223DE"/>
    <w:rsid w:val="00434489"/>
    <w:rsid w:val="00437085"/>
    <w:rsid w:val="00443880"/>
    <w:rsid w:val="00445607"/>
    <w:rsid w:val="004464F4"/>
    <w:rsid w:val="004607DA"/>
    <w:rsid w:val="00471401"/>
    <w:rsid w:val="00473F31"/>
    <w:rsid w:val="0048263A"/>
    <w:rsid w:val="00487E5D"/>
    <w:rsid w:val="004A711F"/>
    <w:rsid w:val="004A75B3"/>
    <w:rsid w:val="004B199D"/>
    <w:rsid w:val="004B4690"/>
    <w:rsid w:val="004D5479"/>
    <w:rsid w:val="004E0A2D"/>
    <w:rsid w:val="004E206B"/>
    <w:rsid w:val="004E6DF7"/>
    <w:rsid w:val="004F0FBD"/>
    <w:rsid w:val="00505A47"/>
    <w:rsid w:val="00512FDA"/>
    <w:rsid w:val="0051649B"/>
    <w:rsid w:val="00520DA0"/>
    <w:rsid w:val="005269A7"/>
    <w:rsid w:val="005269D7"/>
    <w:rsid w:val="005664BB"/>
    <w:rsid w:val="00566FFA"/>
    <w:rsid w:val="0057107A"/>
    <w:rsid w:val="0057481D"/>
    <w:rsid w:val="0058486E"/>
    <w:rsid w:val="00585B33"/>
    <w:rsid w:val="00585EF5"/>
    <w:rsid w:val="0059014D"/>
    <w:rsid w:val="005A620E"/>
    <w:rsid w:val="005B5C64"/>
    <w:rsid w:val="005C1664"/>
    <w:rsid w:val="005C5337"/>
    <w:rsid w:val="005C6BD0"/>
    <w:rsid w:val="005D1C8B"/>
    <w:rsid w:val="005D468D"/>
    <w:rsid w:val="005D5CED"/>
    <w:rsid w:val="005E16C2"/>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03A4"/>
    <w:rsid w:val="006748A4"/>
    <w:rsid w:val="00681A31"/>
    <w:rsid w:val="00683E73"/>
    <w:rsid w:val="006A3141"/>
    <w:rsid w:val="006A5E34"/>
    <w:rsid w:val="006B034B"/>
    <w:rsid w:val="006B2422"/>
    <w:rsid w:val="006B2B9A"/>
    <w:rsid w:val="006B2BBC"/>
    <w:rsid w:val="006C1937"/>
    <w:rsid w:val="006E2D2E"/>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945EF"/>
    <w:rsid w:val="007D1682"/>
    <w:rsid w:val="007D312A"/>
    <w:rsid w:val="007D3F19"/>
    <w:rsid w:val="007E23B0"/>
    <w:rsid w:val="007E23E5"/>
    <w:rsid w:val="007F1991"/>
    <w:rsid w:val="007F2C2F"/>
    <w:rsid w:val="007F55FC"/>
    <w:rsid w:val="007F5665"/>
    <w:rsid w:val="007F6BD9"/>
    <w:rsid w:val="00800112"/>
    <w:rsid w:val="00813348"/>
    <w:rsid w:val="0081393F"/>
    <w:rsid w:val="008253BB"/>
    <w:rsid w:val="0083706E"/>
    <w:rsid w:val="008408F6"/>
    <w:rsid w:val="008423A5"/>
    <w:rsid w:val="00850625"/>
    <w:rsid w:val="00853718"/>
    <w:rsid w:val="00855221"/>
    <w:rsid w:val="00860645"/>
    <w:rsid w:val="00871F71"/>
    <w:rsid w:val="00872FD8"/>
    <w:rsid w:val="00885AF4"/>
    <w:rsid w:val="00892977"/>
    <w:rsid w:val="008939CD"/>
    <w:rsid w:val="008A28E9"/>
    <w:rsid w:val="008A3E8D"/>
    <w:rsid w:val="008A47FD"/>
    <w:rsid w:val="008A6879"/>
    <w:rsid w:val="008B768C"/>
    <w:rsid w:val="008C4DB1"/>
    <w:rsid w:val="008C4EAF"/>
    <w:rsid w:val="008C5176"/>
    <w:rsid w:val="008C7FD0"/>
    <w:rsid w:val="008E1DE7"/>
    <w:rsid w:val="008E6BB8"/>
    <w:rsid w:val="008E707C"/>
    <w:rsid w:val="00900B08"/>
    <w:rsid w:val="00902155"/>
    <w:rsid w:val="00902FA3"/>
    <w:rsid w:val="00913DFB"/>
    <w:rsid w:val="00923564"/>
    <w:rsid w:val="0092392E"/>
    <w:rsid w:val="009315F9"/>
    <w:rsid w:val="00933499"/>
    <w:rsid w:val="009334D8"/>
    <w:rsid w:val="009355E5"/>
    <w:rsid w:val="00935C98"/>
    <w:rsid w:val="00946945"/>
    <w:rsid w:val="00951248"/>
    <w:rsid w:val="0095152F"/>
    <w:rsid w:val="00954C49"/>
    <w:rsid w:val="00955E37"/>
    <w:rsid w:val="00962656"/>
    <w:rsid w:val="0097099F"/>
    <w:rsid w:val="00971997"/>
    <w:rsid w:val="00971FFC"/>
    <w:rsid w:val="0098430B"/>
    <w:rsid w:val="0098660A"/>
    <w:rsid w:val="009931C3"/>
    <w:rsid w:val="00996D9D"/>
    <w:rsid w:val="009A28BC"/>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271C5"/>
    <w:rsid w:val="00A307CD"/>
    <w:rsid w:val="00A331C8"/>
    <w:rsid w:val="00A40A00"/>
    <w:rsid w:val="00A4142F"/>
    <w:rsid w:val="00A422EB"/>
    <w:rsid w:val="00A45BB7"/>
    <w:rsid w:val="00A56DF2"/>
    <w:rsid w:val="00A56E6E"/>
    <w:rsid w:val="00A63873"/>
    <w:rsid w:val="00A6787D"/>
    <w:rsid w:val="00A67AB5"/>
    <w:rsid w:val="00A733B2"/>
    <w:rsid w:val="00A73EB3"/>
    <w:rsid w:val="00A741C2"/>
    <w:rsid w:val="00A91760"/>
    <w:rsid w:val="00A93B00"/>
    <w:rsid w:val="00A93C21"/>
    <w:rsid w:val="00AA32EF"/>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1A90"/>
    <w:rsid w:val="00B53C56"/>
    <w:rsid w:val="00B55625"/>
    <w:rsid w:val="00B57DAF"/>
    <w:rsid w:val="00B67B07"/>
    <w:rsid w:val="00B74310"/>
    <w:rsid w:val="00B77EA6"/>
    <w:rsid w:val="00B81598"/>
    <w:rsid w:val="00B841F1"/>
    <w:rsid w:val="00B90E4E"/>
    <w:rsid w:val="00B944D6"/>
    <w:rsid w:val="00B965DC"/>
    <w:rsid w:val="00BB4DF0"/>
    <w:rsid w:val="00BC289F"/>
    <w:rsid w:val="00BC2D50"/>
    <w:rsid w:val="00BC5361"/>
    <w:rsid w:val="00BC5460"/>
    <w:rsid w:val="00BC56CF"/>
    <w:rsid w:val="00BC6B50"/>
    <w:rsid w:val="00BD0E25"/>
    <w:rsid w:val="00BF5BD6"/>
    <w:rsid w:val="00C03E31"/>
    <w:rsid w:val="00C2166E"/>
    <w:rsid w:val="00C33E72"/>
    <w:rsid w:val="00C354B2"/>
    <w:rsid w:val="00C35554"/>
    <w:rsid w:val="00C41F23"/>
    <w:rsid w:val="00C42709"/>
    <w:rsid w:val="00C44F1F"/>
    <w:rsid w:val="00C533CC"/>
    <w:rsid w:val="00C54891"/>
    <w:rsid w:val="00C5751C"/>
    <w:rsid w:val="00C61BFC"/>
    <w:rsid w:val="00C62B85"/>
    <w:rsid w:val="00C65438"/>
    <w:rsid w:val="00C70946"/>
    <w:rsid w:val="00C74832"/>
    <w:rsid w:val="00C84A38"/>
    <w:rsid w:val="00C87FD8"/>
    <w:rsid w:val="00C91381"/>
    <w:rsid w:val="00C91CBB"/>
    <w:rsid w:val="00CB4E70"/>
    <w:rsid w:val="00CC0219"/>
    <w:rsid w:val="00CC09B6"/>
    <w:rsid w:val="00CC666F"/>
    <w:rsid w:val="00CD1E3F"/>
    <w:rsid w:val="00CE44F6"/>
    <w:rsid w:val="00CE49DA"/>
    <w:rsid w:val="00CE7B61"/>
    <w:rsid w:val="00D00095"/>
    <w:rsid w:val="00D114F0"/>
    <w:rsid w:val="00D11AE0"/>
    <w:rsid w:val="00D20620"/>
    <w:rsid w:val="00D216F3"/>
    <w:rsid w:val="00D24F5E"/>
    <w:rsid w:val="00D254F7"/>
    <w:rsid w:val="00D26091"/>
    <w:rsid w:val="00D2685C"/>
    <w:rsid w:val="00D34E7C"/>
    <w:rsid w:val="00D35489"/>
    <w:rsid w:val="00D36AFE"/>
    <w:rsid w:val="00D51276"/>
    <w:rsid w:val="00D67D86"/>
    <w:rsid w:val="00D7035F"/>
    <w:rsid w:val="00D77203"/>
    <w:rsid w:val="00D81A47"/>
    <w:rsid w:val="00D913FC"/>
    <w:rsid w:val="00DA634F"/>
    <w:rsid w:val="00DA65AC"/>
    <w:rsid w:val="00DB1913"/>
    <w:rsid w:val="00DC410D"/>
    <w:rsid w:val="00DC5A81"/>
    <w:rsid w:val="00DC68CA"/>
    <w:rsid w:val="00DC74B0"/>
    <w:rsid w:val="00DC7CBA"/>
    <w:rsid w:val="00DD4E6F"/>
    <w:rsid w:val="00DD73B7"/>
    <w:rsid w:val="00DF28BC"/>
    <w:rsid w:val="00DF34B9"/>
    <w:rsid w:val="00E01053"/>
    <w:rsid w:val="00E04868"/>
    <w:rsid w:val="00E04AEC"/>
    <w:rsid w:val="00E07ACF"/>
    <w:rsid w:val="00E13AFC"/>
    <w:rsid w:val="00E32CAD"/>
    <w:rsid w:val="00E331A1"/>
    <w:rsid w:val="00E33202"/>
    <w:rsid w:val="00E336A9"/>
    <w:rsid w:val="00E3794F"/>
    <w:rsid w:val="00E472B1"/>
    <w:rsid w:val="00E50624"/>
    <w:rsid w:val="00E568DF"/>
    <w:rsid w:val="00E64269"/>
    <w:rsid w:val="00E70975"/>
    <w:rsid w:val="00E80BFA"/>
    <w:rsid w:val="00E82267"/>
    <w:rsid w:val="00E853CE"/>
    <w:rsid w:val="00E867B6"/>
    <w:rsid w:val="00EA010F"/>
    <w:rsid w:val="00EA44E4"/>
    <w:rsid w:val="00ED1B63"/>
    <w:rsid w:val="00ED27E8"/>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33AB"/>
    <w:rsid w:val="00FA62DE"/>
    <w:rsid w:val="00FC2607"/>
    <w:rsid w:val="00FD3CC1"/>
    <w:rsid w:val="00FF1E02"/>
    <w:rsid w:val="00FF30B4"/>
    <w:rsid w:val="0A2032A3"/>
    <w:rsid w:val="0B590F6A"/>
    <w:rsid w:val="10C055FF"/>
    <w:rsid w:val="118107EC"/>
    <w:rsid w:val="16BB723D"/>
    <w:rsid w:val="1D155CEE"/>
    <w:rsid w:val="240371BF"/>
    <w:rsid w:val="29FD04D3"/>
    <w:rsid w:val="319F7F4E"/>
    <w:rsid w:val="46D33AD8"/>
    <w:rsid w:val="4ECE2238"/>
    <w:rsid w:val="6C4A05C8"/>
    <w:rsid w:val="72734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rPr>
  </w:style>
  <w:style w:type="paragraph" w:styleId="7">
    <w:name w:val="toc 5"/>
    <w:basedOn w:val="1"/>
    <w:next w:val="1"/>
    <w:unhideWhenUsed/>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uiPriority w:val="39"/>
    <w:pPr>
      <w:ind w:left="1470"/>
      <w:jc w:val="left"/>
    </w:pPr>
    <w:rPr>
      <w:rFonts w:asciiTheme="minorHAnsi" w:eastAsiaTheme="minorHAnsi"/>
      <w:sz w:val="18"/>
      <w:szCs w:val="18"/>
    </w:rPr>
  </w:style>
  <w:style w:type="paragraph" w:styleId="10">
    <w:name w:val="Balloon Text"/>
    <w:basedOn w:val="1"/>
    <w:link w:val="26"/>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uiPriority w:val="39"/>
    <w:pPr>
      <w:ind w:left="630"/>
      <w:jc w:val="left"/>
    </w:pPr>
    <w:rPr>
      <w:rFonts w:asciiTheme="minorHAnsi" w:eastAsiaTheme="minorHAnsi"/>
      <w:sz w:val="18"/>
      <w:szCs w:val="18"/>
    </w:rPr>
  </w:style>
  <w:style w:type="paragraph" w:styleId="15">
    <w:name w:val="toc 6"/>
    <w:basedOn w:val="1"/>
    <w:next w:val="1"/>
    <w:unhideWhenUsed/>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Char"/>
    <w:basedOn w:val="19"/>
    <w:link w:val="2"/>
    <w:qFormat/>
    <w:locked/>
    <w:uiPriority w:val="9"/>
    <w:rPr>
      <w:rFonts w:ascii="Times New Roman" w:hAnsi="Times New Roman" w:cs="Times New Roman"/>
      <w:b/>
      <w:bCs/>
      <w:kern w:val="44"/>
      <w:sz w:val="44"/>
      <w:szCs w:val="44"/>
    </w:rPr>
  </w:style>
  <w:style w:type="character" w:customStyle="1" w:styleId="23">
    <w:name w:val="标题 2 Char"/>
    <w:basedOn w:val="19"/>
    <w:link w:val="3"/>
    <w:qFormat/>
    <w:locked/>
    <w:uiPriority w:val="9"/>
    <w:rPr>
      <w:rFonts w:ascii="Cambria" w:hAnsi="Cambria" w:eastAsia="宋体" w:cs="Times New Roman"/>
      <w:b/>
      <w:bCs/>
      <w:kern w:val="2"/>
      <w:sz w:val="32"/>
      <w:szCs w:val="32"/>
    </w:rPr>
  </w:style>
  <w:style w:type="character" w:customStyle="1" w:styleId="24">
    <w:name w:val="标题 3 Char"/>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Char"/>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Char"/>
    <w:link w:val="12"/>
    <w:semiHidden/>
    <w:qFormat/>
    <w:locked/>
    <w:uiPriority w:val="99"/>
    <w:rPr>
      <w:sz w:val="18"/>
    </w:rPr>
  </w:style>
  <w:style w:type="character" w:customStyle="1" w:styleId="30">
    <w:name w:val="页脚 Char"/>
    <w:link w:val="11"/>
    <w:qFormat/>
    <w:locked/>
    <w:uiPriority w:val="99"/>
    <w:rPr>
      <w:sz w:val="18"/>
    </w:rPr>
  </w:style>
  <w:style w:type="character" w:customStyle="1" w:styleId="31">
    <w:name w:val="正文文本 Char"/>
    <w:link w:val="6"/>
    <w:qFormat/>
    <w:locked/>
    <w:uiPriority w:val="99"/>
    <w:rPr>
      <w:rFonts w:ascii="仿宋_GB2312" w:hAnsi="Times New Roman" w:eastAsia="仿宋_GB2312"/>
      <w:sz w:val="24"/>
    </w:rPr>
  </w:style>
  <w:style w:type="paragraph" w:customStyle="1" w:styleId="3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paragraph" w:styleId="37">
    <w:name w:val="List Paragraph"/>
    <w:basedOn w:val="1"/>
    <w:qFormat/>
    <w:uiPriority w:val="34"/>
    <w:pPr>
      <w:ind w:firstLine="420" w:firstLineChars="200"/>
    </w:pPr>
  </w:style>
  <w:style w:type="character" w:customStyle="1" w:styleId="38">
    <w:name w:val="15"/>
    <w:basedOn w:val="19"/>
    <w:uiPriority w:val="0"/>
    <w:rPr>
      <w:rFonts w:hint="default" w:ascii="Calibri" w:hAnsi="Calibri" w:cs="Calibri"/>
      <w:b/>
    </w:rPr>
  </w:style>
  <w:style w:type="paragraph" w:customStyle="1" w:styleId="39">
    <w:name w:val="p0"/>
    <w:basedOn w:val="1"/>
    <w:uiPriority w:val="99"/>
    <w:pPr>
      <w:widowControl/>
      <w:spacing w:before="100" w:beforeAutospacing="1" w:after="100" w:afterAutospacing="1"/>
      <w:jc w:val="left"/>
    </w:pPr>
    <w:rPr>
      <w:rFonts w:ascii="宋体" w:hAnsi="宋体" w:eastAsia="仿宋_GB2312"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2020</a:t>
            </a:r>
            <a:r>
              <a:rPr lang="zh-CN" altLang="en-US"/>
              <a:t>年收入支出情况</a:t>
            </a:r>
            <a:endParaRPr lang="en-US" altLang="zh-CN"/>
          </a:p>
        </c:rich>
      </c:tx>
      <c:layout>
        <c:manualLayout>
          <c:xMode val="edge"/>
          <c:yMode val="edge"/>
          <c:x val="0.201810539928872"/>
          <c:y val="0.0469208211143695"/>
        </c:manualLayout>
      </c:layout>
      <c:overlay val="0"/>
    </c:title>
    <c:autoTitleDeleted val="0"/>
    <c:plotArea>
      <c:layout/>
      <c:barChart>
        <c:barDir val="col"/>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Sheet1!$B$2:$B$3</c:f>
              <c:numCache>
                <c:formatCode>General</c:formatCode>
                <c:ptCount val="2"/>
                <c:pt idx="0">
                  <c:v>51.12</c:v>
                </c:pt>
                <c:pt idx="1">
                  <c:v>52.01</c:v>
                </c:pt>
              </c:numCache>
            </c:numRef>
          </c:val>
        </c:ser>
        <c:dLbls>
          <c:showLegendKey val="0"/>
          <c:showVal val="1"/>
          <c:showCatName val="0"/>
          <c:showSerName val="0"/>
          <c:showPercent val="0"/>
          <c:showBubbleSize val="0"/>
        </c:dLbls>
        <c:gapWidth val="150"/>
        <c:axId val="83794176"/>
        <c:axId val="85082112"/>
      </c:barChart>
      <c:catAx>
        <c:axId val="8379417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082112"/>
        <c:crosses val="autoZero"/>
        <c:auto val="1"/>
        <c:lblAlgn val="ctr"/>
        <c:lblOffset val="100"/>
        <c:noMultiLvlLbl val="0"/>
      </c:catAx>
      <c:valAx>
        <c:axId val="85082112"/>
        <c:scaling>
          <c:orientation val="minMax"/>
        </c:scaling>
        <c:delete val="0"/>
        <c:axPos val="l"/>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379417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24"/>
    </mc:Choice>
    <mc:Fallback>
      <c:style val="24"/>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t>2020</a:t>
            </a:r>
            <a:r>
              <a:rPr lang="zh-CN"/>
              <a:t>年收入情况</a:t>
            </a:r>
            <a:endParaRPr lang="zh-CN"/>
          </a:p>
        </c:rich>
      </c:tx>
      <c:layout>
        <c:manualLayout>
          <c:xMode val="edge"/>
          <c:yMode val="edge"/>
          <c:x val="0.351155503329417"/>
          <c:y val="0.0845070422535214"/>
        </c:manualLayout>
      </c:layout>
      <c:overlay val="0"/>
    </c:title>
    <c:autoTitleDeleted val="0"/>
    <c:plotArea>
      <c:layout/>
      <c:pieChart>
        <c:varyColors val="1"/>
        <c:ser>
          <c:idx val="0"/>
          <c:order val="0"/>
          <c:tx>
            <c:strRef>
              <c:f>Sheet1!$B$1</c:f>
              <c:strCache>
                <c:ptCount val="1"/>
                <c:pt idx="0">
                  <c:v>销售额</c:v>
                </c:pt>
              </c:strCache>
            </c:strRef>
          </c:tx>
          <c:explosion val="0"/>
          <c:dPt>
            <c:idx val="0"/>
            <c:bubble3D val="0"/>
          </c:dPt>
          <c:dLbls>
            <c:dLbl>
              <c:idx val="0"/>
              <c:layout>
                <c:manualLayout>
                  <c:x val="0.00357399508375202"/>
                  <c:y val="-0.270469113895975"/>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100</a:t>
                    </a:r>
                    <a:r>
                      <a:rPr lang="en-US" altLang="zh-CN"/>
                      <a:t>%</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c:f>
              <c:strCache>
                <c:ptCount val="1"/>
                <c:pt idx="0">
                  <c:v>2020年收入</c:v>
                </c:pt>
              </c:strCache>
            </c:strRef>
          </c:cat>
          <c:val>
            <c:numRef>
              <c:f>Sheet1!$B$2</c:f>
              <c:numCache>
                <c:formatCode>General</c:formatCode>
                <c:ptCount val="1"/>
                <c:pt idx="0">
                  <c:v>8.2</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2020年支出情况</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51.1</c:v>
                </c:pt>
                <c:pt idx="1">
                  <c:v>0.870000000000001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5855627072985"/>
          <c:y val="0.143581961345741"/>
          <c:w val="0.704120815999957"/>
          <c:h val="0.739144571214313"/>
        </c:manualLayout>
      </c:layout>
      <c:barChart>
        <c:barDir val="col"/>
        <c:grouping val="clustered"/>
        <c:varyColors val="0"/>
        <c:ser>
          <c:idx val="0"/>
          <c:order val="0"/>
          <c:tx>
            <c:strRef>
              <c:f>Sheet1!$B$1</c:f>
              <c:strCache>
                <c:ptCount val="1"/>
                <c:pt idx="0">
                  <c:v>2019年度</c:v>
                </c:pt>
              </c:strCache>
            </c:strRef>
          </c:tx>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Sheet1!$B$2:$B$3</c:f>
              <c:numCache>
                <c:formatCode>General</c:formatCode>
                <c:ptCount val="2"/>
                <c:pt idx="0">
                  <c:v>72.68</c:v>
                </c:pt>
                <c:pt idx="1">
                  <c:v>71.8</c:v>
                </c:pt>
              </c:numCache>
            </c:numRef>
          </c:val>
        </c:ser>
        <c:ser>
          <c:idx val="1"/>
          <c:order val="1"/>
          <c:tx>
            <c:strRef>
              <c:f>Sheet1!$C$1</c:f>
              <c:strCache>
                <c:ptCount val="1"/>
                <c:pt idx="0">
                  <c:v>2020年度</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Sheet1!$C$2:$C$3</c:f>
              <c:numCache>
                <c:formatCode>General</c:formatCode>
                <c:ptCount val="2"/>
                <c:pt idx="0">
                  <c:v>51.12</c:v>
                </c:pt>
                <c:pt idx="1">
                  <c:v>52.01</c:v>
                </c:pt>
              </c:numCache>
            </c:numRef>
          </c:val>
        </c:ser>
        <c:dLbls>
          <c:showLegendKey val="0"/>
          <c:showVal val="0"/>
          <c:showCatName val="0"/>
          <c:showSerName val="0"/>
          <c:showPercent val="0"/>
          <c:showBubbleSize val="0"/>
        </c:dLbls>
        <c:gapWidth val="150"/>
        <c:axId val="85492096"/>
        <c:axId val="85493632"/>
      </c:barChart>
      <c:catAx>
        <c:axId val="8549209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493632"/>
        <c:crosses val="autoZero"/>
        <c:auto val="1"/>
        <c:lblAlgn val="ctr"/>
        <c:lblOffset val="100"/>
        <c:noMultiLvlLbl val="0"/>
      </c:catAx>
      <c:valAx>
        <c:axId val="85493632"/>
        <c:scaling>
          <c:orientation val="minMax"/>
        </c:scaling>
        <c:delete val="0"/>
        <c:axPos val="l"/>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49209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DED5C5-2279-4F8A-AECA-831E80E5C36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5575</Words>
  <Characters>1964</Characters>
  <Lines>16</Lines>
  <Paragraphs>15</Paragraphs>
  <TotalTime>1</TotalTime>
  <ScaleCrop>false</ScaleCrop>
  <LinksUpToDate>false</LinksUpToDate>
  <CharactersWithSpaces>7524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wt</cp:lastModifiedBy>
  <cp:lastPrinted>2021-09-23T08:25:00Z</cp:lastPrinted>
  <dcterms:modified xsi:type="dcterms:W3CDTF">2021-09-23T09:05:10Z</dcterms:modified>
  <dc:title>阿坝州部门决算说明</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