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jc w:val="center"/>
        <w:rPr>
          <w:rFonts w:hint="eastAsia" w:ascii="黑体" w:eastAsia="黑体"/>
          <w:sz w:val="72"/>
          <w:szCs w:val="72"/>
        </w:rPr>
      </w:pPr>
      <w:bookmarkStart w:id="1" w:name="_Toc15396475"/>
      <w:bookmarkStart w:id="2" w:name="_Toc15378441"/>
      <w:bookmarkStart w:id="3" w:name="_Toc15377425"/>
      <w:bookmarkStart w:id="4" w:name="_Toc15377193"/>
      <w:bookmarkStart w:id="5" w:name="_Toc15396597"/>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bookmarkStart w:id="6" w:name="_Toc15378442"/>
      <w:bookmarkStart w:id="7" w:name="_Toc15396598"/>
      <w:bookmarkStart w:id="8" w:name="_Toc15396476"/>
      <w:bookmarkStart w:id="9" w:name="_Toc15377194"/>
      <w:bookmarkStart w:id="10" w:name="_Toc15377426"/>
    </w:p>
    <w:p>
      <w:pPr>
        <w:jc w:val="center"/>
        <w:outlineLvl w:val="0"/>
        <w:rPr>
          <w:rFonts w:ascii="方正小标宋简体" w:eastAsia="方正小标宋简体"/>
          <w:sz w:val="72"/>
          <w:szCs w:val="72"/>
        </w:rPr>
      </w:pPr>
      <w:bookmarkStart w:id="11" w:name="_Toc12472"/>
      <w:r>
        <w:rPr>
          <w:rFonts w:hint="eastAsia" w:ascii="方正小标宋简体" w:eastAsia="方正小标宋简体"/>
          <w:sz w:val="72"/>
          <w:szCs w:val="72"/>
        </w:rPr>
        <w:t>四川省茂县</w:t>
      </w:r>
      <w:bookmarkEnd w:id="0"/>
      <w:bookmarkStart w:id="12" w:name="_Toc15306268"/>
      <w:r>
        <w:rPr>
          <w:rFonts w:hint="eastAsia" w:ascii="方正小标宋简体" w:eastAsia="方正小标宋简体"/>
          <w:sz w:val="72"/>
          <w:szCs w:val="72"/>
          <w:lang w:eastAsia="zh-CN"/>
        </w:rPr>
        <w:t>文学艺术界联合会</w:t>
      </w:r>
      <w:r>
        <w:rPr>
          <w:rFonts w:hint="eastAsia" w:ascii="方正小标宋简体" w:eastAsia="方正小标宋简体"/>
          <w:sz w:val="72"/>
          <w:szCs w:val="72"/>
        </w:rPr>
        <w:t>部门决算</w:t>
      </w:r>
      <w:bookmarkEnd w:id="6"/>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bookmarkStart w:id="291" w:name="_GoBack"/>
      <w:bookmarkEnd w:id="291"/>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pStyle w:val="3"/>
        <w:jc w:val="center"/>
        <w:outlineLvl w:val="9"/>
        <w:rPr>
          <w:rFonts w:ascii="方正小标宋简体" w:eastAsia="方正小标宋简体"/>
          <w:sz w:val="36"/>
          <w:szCs w:val="36"/>
        </w:rPr>
      </w:pPr>
      <w:r>
        <w:rPr>
          <w:rFonts w:ascii="方正小标宋简体" w:eastAsia="方正小标宋简体"/>
          <w:sz w:val="36"/>
          <w:szCs w:val="36"/>
        </w:rPr>
        <w:br w:type="page"/>
      </w:r>
    </w:p>
    <w:sdt>
      <w:sdtPr>
        <w:rPr>
          <w:rFonts w:hint="eastAsia" w:ascii="黑体" w:hAnsi="黑体" w:eastAsia="黑体" w:cs="黑体"/>
          <w:kern w:val="2"/>
          <w:sz w:val="48"/>
          <w:szCs w:val="48"/>
          <w:lang w:val="en-US" w:eastAsia="zh-CN" w:bidi="ar-SA"/>
        </w:rPr>
        <w:id w:val="147462747"/>
        <w15:color w:val="DBDBDB"/>
        <w:docPartObj>
          <w:docPartGallery w:val="Table of Contents"/>
          <w:docPartUnique/>
        </w:docPartObj>
      </w:sdtPr>
      <w:sdtEndPr>
        <w:rPr>
          <w:rFonts w:hint="eastAsia" w:ascii="仿宋_GB2312" w:hAnsi="仿宋_GB2312" w:eastAsia="仿宋_GB2312" w:cs="仿宋_GB2312"/>
          <w:b/>
          <w:bCs/>
          <w:kern w:val="44"/>
          <w:sz w:val="28"/>
          <w:szCs w:val="28"/>
          <w:lang w:val="en-US" w:eastAsia="zh-CN" w:bidi="ar-SA"/>
        </w:rPr>
      </w:sdtEndPr>
      <w:sdtContent>
        <w:p>
          <w:pPr>
            <w:widowControl/>
            <w:jc w:val="center"/>
            <w:rPr>
              <w:rFonts w:hint="eastAsia" w:ascii="黑体" w:hAnsi="黑体" w:eastAsia="黑体" w:cs="黑体"/>
              <w:color w:val="000000"/>
              <w:sz w:val="48"/>
              <w:szCs w:val="48"/>
            </w:rPr>
          </w:pPr>
          <w:r>
            <w:rPr>
              <w:rFonts w:hint="eastAsia" w:ascii="黑体" w:hAnsi="黑体" w:eastAsia="黑体" w:cs="黑体"/>
              <w:kern w:val="2"/>
              <w:sz w:val="48"/>
              <w:szCs w:val="48"/>
              <w:lang w:val="en-US" w:eastAsia="zh-CN" w:bidi="ar-SA"/>
            </w:rPr>
            <w:t>目录</w:t>
          </w:r>
        </w:p>
        <w:p>
          <w:pPr>
            <w:pStyle w:val="14"/>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公开时间：202</w:t>
          </w:r>
          <w:r>
            <w:rPr>
              <w:rFonts w:hint="eastAsia" w:ascii="仿宋_GB2312" w:hAnsi="仿宋_GB2312" w:eastAsia="仿宋_GB2312" w:cs="仿宋_GB2312"/>
              <w:b w:val="0"/>
              <w:bCs w:val="0"/>
              <w:sz w:val="28"/>
              <w:szCs w:val="28"/>
              <w:lang w:val="en-US" w:eastAsia="zh-CN"/>
            </w:rPr>
            <w:t>2</w:t>
          </w:r>
          <w:r>
            <w:rPr>
              <w:rFonts w:hint="eastAsia" w:ascii="仿宋_GB2312" w:hAnsi="仿宋_GB2312" w:eastAsia="仿宋_GB2312" w:cs="仿宋_GB2312"/>
              <w:b w:val="0"/>
              <w:bCs w:val="0"/>
              <w:sz w:val="28"/>
              <w:szCs w:val="28"/>
            </w:rPr>
            <w:t>年9月2</w:t>
          </w:r>
          <w:r>
            <w:rPr>
              <w:rFonts w:hint="eastAsia" w:ascii="仿宋_GB2312" w:hAnsi="仿宋_GB2312" w:eastAsia="仿宋_GB2312" w:cs="仿宋_GB2312"/>
              <w:b w:val="0"/>
              <w:bCs w:val="0"/>
              <w:sz w:val="28"/>
              <w:szCs w:val="28"/>
              <w:lang w:val="en-US" w:eastAsia="zh-CN"/>
            </w:rPr>
            <w:t>7</w:t>
          </w:r>
          <w:r>
            <w:rPr>
              <w:rFonts w:hint="eastAsia" w:ascii="仿宋_GB2312" w:hAnsi="仿宋_GB2312" w:eastAsia="仿宋_GB2312" w:cs="仿宋_GB2312"/>
              <w:b w:val="0"/>
              <w:bCs w:val="0"/>
              <w:sz w:val="28"/>
              <w:szCs w:val="28"/>
            </w:rPr>
            <w:t>日</w:t>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TOC \o "1-2" \h \u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_Toc5811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第一部分 部门概况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_Toc5811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_Toc5057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一、基本职能及主要工作</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_Toc5057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_Toc11336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二、机构设置</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_Toc11336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6</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_Toc7567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第二部分 2021年度部门决算情况说明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_Toc7567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7</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_Toc7001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一、 收入支出决算总体情况说明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_Toc7001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7</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_Toc26253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二、 收入决算情况说明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_Toc26253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7</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_Toc19181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三、 支出决算情况说明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_Toc19181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7</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_Toc20678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四、财政拨款收入支出决算总体情况说明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_Toc20678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8</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_Toc22396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五、一般公共预算财政拨款支出决算情况说明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_Toc22396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8</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_Toc9994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六、一般公共预算财政拨款基本支出决算情况说明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_Toc9994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9</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_Toc18433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七、“三公”经费财政拨款支出决算情况说明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_Toc18433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10</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_Toc17954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八、政府性基金预算支出决算情况说明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_Toc17954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10</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_Toc14556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九、 国有资本经营预算支出决算情况说明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_Toc14556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_Toc10439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十、其他重要事项的情况说明</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_Toc10439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_Toc4717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第三部分 名词解释</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_Toc4717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12</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_Toc13370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第四部分 附件</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_Toc13370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_Toc20936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附件1</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_Toc20936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_Toc21164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lang w:eastAsia="zh-CN"/>
            </w:rPr>
            <w:t>文联</w:t>
          </w:r>
          <w:r>
            <w:rPr>
              <w:rFonts w:hint="eastAsia" w:ascii="仿宋_GB2312" w:hAnsi="仿宋_GB2312" w:eastAsia="仿宋_GB2312" w:cs="仿宋_GB2312"/>
              <w:b w:val="0"/>
              <w:bCs w:val="0"/>
              <w:sz w:val="28"/>
              <w:szCs w:val="28"/>
            </w:rPr>
            <w:t>2021年部门整体支出绩效评价报告</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_Toc21164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_Toc23558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kern w:val="0"/>
              <w:sz w:val="28"/>
              <w:szCs w:val="28"/>
              <w:shd w:val="clear" w:color="auto" w:fill="FFFFFF"/>
            </w:rPr>
            <w:t>一、</w:t>
          </w:r>
          <w:r>
            <w:rPr>
              <w:rFonts w:hint="eastAsia" w:ascii="仿宋_GB2312" w:hAnsi="仿宋_GB2312" w:eastAsia="仿宋_GB2312" w:cs="仿宋_GB2312"/>
              <w:b w:val="0"/>
              <w:bCs w:val="0"/>
              <w:kern w:val="0"/>
              <w:sz w:val="28"/>
              <w:szCs w:val="28"/>
              <w:shd w:val="clear" w:color="auto" w:fill="FFFFFF"/>
              <w:lang w:val="zh-CN"/>
            </w:rPr>
            <w:t>部门（单位）概况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_Toc23558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_Toc4568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kern w:val="0"/>
              <w:sz w:val="28"/>
              <w:szCs w:val="28"/>
              <w:shd w:val="clear" w:color="auto" w:fill="FFFFFF"/>
            </w:rPr>
            <w:t>二、部门财政资金收支情况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_Toc4568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15</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_Toc22765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kern w:val="0"/>
              <w:sz w:val="28"/>
              <w:szCs w:val="28"/>
              <w:shd w:val="clear" w:color="auto" w:fill="FFFFFF"/>
            </w:rPr>
            <w:t>三、部门整体预算绩效管理情况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_Toc22765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16</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_Toc28544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kern w:val="0"/>
              <w:sz w:val="28"/>
              <w:szCs w:val="28"/>
              <w:shd w:val="clear" w:color="auto" w:fill="FFFFFF"/>
            </w:rPr>
            <w:t>四、评价结论及建议</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_Toc28544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17</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_Toc14343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附件2</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_Toc14343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18</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_Toc2722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lang w:eastAsia="zh-CN"/>
            </w:rPr>
            <w:t>文联</w:t>
          </w:r>
          <w:r>
            <w:rPr>
              <w:rFonts w:hint="eastAsia" w:ascii="仿宋_GB2312" w:hAnsi="仿宋_GB2312" w:eastAsia="仿宋_GB2312" w:cs="仿宋_GB2312"/>
              <w:b w:val="0"/>
              <w:bCs w:val="0"/>
              <w:sz w:val="28"/>
              <w:szCs w:val="28"/>
            </w:rPr>
            <w:t>项目2021年绩效评价报告</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_Toc2722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18</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_Toc23404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kern w:val="0"/>
              <w:sz w:val="28"/>
              <w:szCs w:val="28"/>
              <w:lang w:eastAsia="zh-TW"/>
            </w:rPr>
            <w:t xml:space="preserve">一、 </w:t>
          </w:r>
          <w:r>
            <w:rPr>
              <w:rFonts w:hint="eastAsia" w:ascii="仿宋_GB2312" w:hAnsi="仿宋_GB2312" w:eastAsia="仿宋_GB2312" w:cs="仿宋_GB2312"/>
              <w:b w:val="0"/>
              <w:bCs w:val="0"/>
              <w:sz w:val="28"/>
              <w:szCs w:val="28"/>
              <w:lang w:val="zh-CN"/>
            </w:rPr>
            <w:t>项目概况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_Toc23404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18</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_Toc26541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二、项目实施及管理情况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_Toc26541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18</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_Toc32190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三、项目绩效情况</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_Toc32190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19</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_Toc9978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四、问题及建议</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_Toc9978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20</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4"/>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_Toc21807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第五部分 附表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_Toc21807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_Toc18504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一、收入支出决算总表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_Toc18504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_Toc17285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二、收入决算表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_Toc17285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_Toc11042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三、支出决算表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_Toc11042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_Toc9084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四、财政拨款收入支出决算总表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_Toc9084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_Toc15180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五、财政拨款支出决算明细表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_Toc15180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_Toc1524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六、一般公共预算财政拨款支出决算表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_Toc1524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_Toc29092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七、一般公共预算财政拨款支出决算明细表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_Toc29092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_Toc1482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八、一般公共预算财政拨款基本支出决算表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_Toc1482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_Toc21798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九、一般公共预算财政拨款项目支出决算表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_Toc21798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_Toc20309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十、一般公共预算财政拨款“三公”经费支出决算表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_Toc20309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_Toc17649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十一、政府性基金预算财政拨款收入支出决算表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_Toc17649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_Toc8404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十二、政府性基金预算财政拨款“三公”经费支出决算表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_Toc8404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_Toc23415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十三、国有资本经营预算财政拨款支出决算表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_Toc23415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17"/>
            <w:tabs>
              <w:tab w:val="right" w:leader="dot" w:pos="8306"/>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HYPERLINK \l _Toc29528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十四、国有资本经营预算财政拨款支出决算表</w:t>
          </w:r>
          <w:r>
            <w:rPr>
              <w:rFonts w:hint="eastAsia" w:ascii="仿宋_GB2312" w:hAnsi="仿宋_GB2312" w:eastAsia="仿宋_GB2312" w:cs="仿宋_GB2312"/>
              <w:b w:val="0"/>
              <w:bCs w:val="0"/>
              <w:sz w:val="28"/>
              <w:szCs w:val="28"/>
            </w:rPr>
            <w:tab/>
          </w:r>
          <w:r>
            <w:rPr>
              <w:rFonts w:hint="eastAsia" w:ascii="仿宋_GB2312" w:hAnsi="仿宋_GB2312" w:eastAsia="仿宋_GB2312" w:cs="仿宋_GB2312"/>
              <w:b w:val="0"/>
              <w:bCs w:val="0"/>
              <w:sz w:val="28"/>
              <w:szCs w:val="28"/>
            </w:rPr>
            <w:fldChar w:fldCharType="begin" w:fldLock="1"/>
          </w:r>
          <w:r>
            <w:rPr>
              <w:rFonts w:hint="eastAsia" w:ascii="仿宋_GB2312" w:hAnsi="仿宋_GB2312" w:eastAsia="仿宋_GB2312" w:cs="仿宋_GB2312"/>
              <w:b w:val="0"/>
              <w:bCs w:val="0"/>
              <w:sz w:val="28"/>
              <w:szCs w:val="28"/>
            </w:rPr>
            <w:instrText xml:space="preserve"> PAGEREF _Toc29528 \h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21</w:t>
          </w:r>
          <w:r>
            <w:rPr>
              <w:rFonts w:hint="eastAsia" w:ascii="仿宋_GB2312" w:hAnsi="仿宋_GB2312" w:eastAsia="仿宋_GB2312" w:cs="仿宋_GB2312"/>
              <w:b w:val="0"/>
              <w:bCs w:val="0"/>
              <w:sz w:val="28"/>
              <w:szCs w:val="28"/>
            </w:rPr>
            <w:fldChar w:fldCharType="end"/>
          </w:r>
          <w:r>
            <w:rPr>
              <w:rFonts w:hint="eastAsia" w:ascii="仿宋_GB2312" w:hAnsi="仿宋_GB2312" w:eastAsia="仿宋_GB2312" w:cs="仿宋_GB2312"/>
              <w:b w:val="0"/>
              <w:bCs w:val="0"/>
              <w:sz w:val="28"/>
              <w:szCs w:val="28"/>
            </w:rPr>
            <w:fldChar w:fldCharType="end"/>
          </w:r>
        </w:p>
        <w:p>
          <w:pPr>
            <w:pStyle w:val="3"/>
            <w:jc w:val="center"/>
            <w:outlineLvl w:val="9"/>
            <w:rPr>
              <w:rFonts w:hint="eastAsia" w:ascii="仿宋_GB2312" w:hAnsi="仿宋_GB2312" w:eastAsia="仿宋_GB2312" w:cs="仿宋_GB2312"/>
              <w:b w:val="0"/>
              <w:sz w:val="28"/>
              <w:szCs w:val="28"/>
            </w:rPr>
          </w:pPr>
          <w:r>
            <w:rPr>
              <w:rFonts w:hint="eastAsia" w:ascii="仿宋_GB2312" w:hAnsi="仿宋_GB2312" w:eastAsia="仿宋_GB2312" w:cs="仿宋_GB2312"/>
              <w:b w:val="0"/>
              <w:bCs w:val="0"/>
              <w:sz w:val="28"/>
              <w:szCs w:val="28"/>
            </w:rPr>
            <w:fldChar w:fldCharType="end"/>
          </w:r>
        </w:p>
      </w:sdtContent>
    </w:sdt>
    <w:p>
      <w:pPr>
        <w:pStyle w:val="3"/>
        <w:jc w:val="center"/>
        <w:outlineLvl w:val="9"/>
        <w:rPr>
          <w:rFonts w:hint="eastAsia" w:ascii="仿宋_GB2312" w:hAnsi="仿宋_GB2312" w:eastAsia="仿宋_GB2312" w:cs="仿宋_GB2312"/>
          <w:b w:val="0"/>
          <w:sz w:val="28"/>
          <w:szCs w:val="28"/>
        </w:rPr>
      </w:pPr>
    </w:p>
    <w:p>
      <w:pPr>
        <w:pStyle w:val="3"/>
        <w:jc w:val="center"/>
        <w:outlineLvl w:val="9"/>
        <w:rPr>
          <w:rFonts w:hint="eastAsia" w:ascii="仿宋_GB2312" w:hAnsi="仿宋_GB2312" w:eastAsia="仿宋_GB2312" w:cs="仿宋_GB2312"/>
          <w:b w:val="0"/>
          <w:sz w:val="28"/>
          <w:szCs w:val="28"/>
        </w:rPr>
      </w:pPr>
    </w:p>
    <w:p>
      <w:pPr>
        <w:pStyle w:val="3"/>
        <w:jc w:val="center"/>
        <w:outlineLvl w:val="9"/>
        <w:rPr>
          <w:rFonts w:hint="eastAsia" w:ascii="仿宋_GB2312" w:hAnsi="仿宋_GB2312" w:eastAsia="仿宋_GB2312" w:cs="仿宋_GB2312"/>
          <w:b w:val="0"/>
          <w:sz w:val="28"/>
          <w:szCs w:val="28"/>
        </w:rPr>
      </w:pPr>
    </w:p>
    <w:p>
      <w:pPr>
        <w:pStyle w:val="3"/>
        <w:jc w:val="both"/>
        <w:outlineLvl w:val="9"/>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pStyle w:val="2"/>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pStyle w:val="2"/>
        <w:rPr>
          <w:rFonts w:hint="eastAsia"/>
        </w:rPr>
      </w:pPr>
    </w:p>
    <w:p>
      <w:pPr>
        <w:outlineLvl w:val="9"/>
        <w:rPr>
          <w:rFonts w:hint="eastAsia" w:ascii="黑体" w:eastAsia="黑体"/>
          <w:b w:val="0"/>
        </w:rPr>
      </w:pPr>
    </w:p>
    <w:p>
      <w:pPr>
        <w:pStyle w:val="2"/>
        <w:outlineLvl w:val="9"/>
        <w:rPr>
          <w:rFonts w:hint="eastAsia" w:ascii="黑体" w:eastAsia="黑体"/>
          <w:b w:val="0"/>
        </w:rPr>
      </w:pPr>
    </w:p>
    <w:p>
      <w:pPr>
        <w:outlineLvl w:val="9"/>
        <w:rPr>
          <w:rFonts w:hint="eastAsia"/>
        </w:rPr>
      </w:pPr>
    </w:p>
    <w:p>
      <w:pPr>
        <w:pStyle w:val="3"/>
        <w:jc w:val="center"/>
        <w:rPr>
          <w:rFonts w:ascii="黑体" w:eastAsia="黑体"/>
          <w:color w:val="000000"/>
          <w:sz w:val="32"/>
          <w:szCs w:val="32"/>
        </w:rPr>
      </w:pPr>
      <w:bookmarkStart w:id="13" w:name="_Toc24109"/>
      <w:bookmarkStart w:id="14" w:name="_Toc23545"/>
      <w:bookmarkStart w:id="15" w:name="_Toc581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3"/>
      <w:bookmarkEnd w:id="14"/>
      <w:bookmarkEnd w:id="15"/>
    </w:p>
    <w:p>
      <w:pPr>
        <w:pStyle w:val="4"/>
        <w:rPr>
          <w:rStyle w:val="24"/>
          <w:rFonts w:ascii="仿宋" w:eastAsia="仿宋"/>
          <w:b w:val="0"/>
          <w:bCs w:val="0"/>
        </w:rPr>
      </w:pPr>
      <w:bookmarkStart w:id="16" w:name="_Toc14040"/>
      <w:bookmarkStart w:id="17" w:name="_Toc79163602"/>
      <w:bookmarkStart w:id="18" w:name="_Toc5057"/>
      <w:bookmarkStart w:id="19" w:name="_Toc15377197"/>
      <w:bookmarkStart w:id="20" w:name="_Toc21195"/>
      <w:bookmarkStart w:id="21" w:name="_Toc15396600"/>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bookmarkEnd w:id="20"/>
      <w:bookmarkEnd w:id="21"/>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27670"/>
      <w:bookmarkStart w:id="23" w:name="_Toc18214"/>
      <w:bookmarkStart w:id="24" w:name="_Toc15378446"/>
      <w:bookmarkStart w:id="25" w:name="_Toc15377199"/>
      <w:bookmarkStart w:id="26" w:name="_Toc79163604"/>
      <w:r>
        <w:rPr>
          <w:rFonts w:hint="eastAsia" w:ascii="仿宋" w:hAnsi="仿宋" w:eastAsia="仿宋"/>
          <w:bCs/>
          <w:color w:val="000000"/>
          <w:sz w:val="32"/>
          <w:szCs w:val="32"/>
        </w:rPr>
        <w:t>（一）主要职能</w:t>
      </w:r>
      <w:bookmarkEnd w:id="22"/>
      <w:bookmarkEnd w:id="23"/>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11900"/>
      <w:bookmarkStart w:id="28" w:name="_Toc27363"/>
      <w:bookmarkStart w:id="29" w:name="_Toc10501"/>
      <w:r>
        <w:rPr>
          <w:rFonts w:hint="eastAsia" w:hAnsi="仿宋_GB2312" w:cs="仿宋_GB2312"/>
          <w:sz w:val="32"/>
          <w:szCs w:val="32"/>
        </w:rPr>
        <w:t>主要职能是繁荣发展社会主义文艺事业，满足人民群众日益增长的文化发展需要，对团体会员开展联络、协调、服务、指导工作。通过文艺采风、学术研讨、展览演出等工作，指导团体会员开展业务活动。</w:t>
      </w:r>
      <w:bookmarkEnd w:id="27"/>
      <w:bookmarkEnd w:id="28"/>
      <w:bookmarkEnd w:id="29"/>
    </w:p>
    <w:p>
      <w:pPr>
        <w:pStyle w:val="7"/>
        <w:adjustRightInd w:val="0"/>
        <w:snapToGrid w:val="0"/>
        <w:spacing w:before="93" w:line="600" w:lineRule="exact"/>
        <w:ind w:firstLine="672" w:firstLineChars="210"/>
        <w:outlineLvl w:val="2"/>
        <w:rPr>
          <w:rFonts w:hint="eastAsia" w:hAnsi="仿宋_GB2312" w:cs="仿宋_GB2312"/>
          <w:sz w:val="32"/>
          <w:szCs w:val="32"/>
        </w:rPr>
      </w:pPr>
      <w:bookmarkStart w:id="30" w:name="_Toc670"/>
      <w:bookmarkStart w:id="31" w:name="_Toc14890"/>
      <w:r>
        <w:rPr>
          <w:rFonts w:hint="eastAsia" w:hAnsi="仿宋_GB2312" w:cs="仿宋_GB2312"/>
          <w:sz w:val="32"/>
          <w:szCs w:val="32"/>
        </w:rPr>
        <w:t>（二）2021年重点工作完成情况。</w:t>
      </w:r>
      <w:bookmarkEnd w:id="24"/>
      <w:bookmarkEnd w:id="25"/>
      <w:bookmarkEnd w:id="26"/>
      <w:bookmarkEnd w:id="30"/>
      <w:bookmarkEnd w:id="31"/>
    </w:p>
    <w:p>
      <w:pPr>
        <w:pStyle w:val="7"/>
        <w:adjustRightInd w:val="0"/>
        <w:snapToGrid w:val="0"/>
        <w:spacing w:before="93" w:line="600" w:lineRule="exact"/>
        <w:ind w:firstLine="672" w:firstLineChars="210"/>
        <w:outlineLvl w:val="2"/>
        <w:rPr>
          <w:rFonts w:hint="eastAsia" w:hAnsi="仿宋_GB2312" w:cs="仿宋_GB2312"/>
          <w:sz w:val="32"/>
          <w:szCs w:val="32"/>
          <w:lang w:val="en-US" w:eastAsia="zh-CN"/>
        </w:rPr>
      </w:pPr>
      <w:bookmarkStart w:id="32" w:name="_Toc29374"/>
      <w:bookmarkStart w:id="33" w:name="_Toc25207"/>
      <w:r>
        <w:rPr>
          <w:rFonts w:hint="eastAsia" w:hAnsi="仿宋_GB2312" w:cs="仿宋_GB2312"/>
          <w:sz w:val="32"/>
          <w:szCs w:val="32"/>
          <w:lang w:val="en-US" w:eastAsia="zh-CN"/>
        </w:rPr>
        <w:t>1.</w:t>
      </w:r>
      <w:r>
        <w:rPr>
          <w:rFonts w:hint="eastAsia" w:hAnsi="仿宋_GB2312" w:cs="仿宋_GB2312"/>
          <w:sz w:val="32"/>
          <w:szCs w:val="32"/>
          <w:lang w:eastAsia="zh-CN"/>
        </w:rPr>
        <w:t>开展“迎新春、送祝福”义写赠联活动。</w:t>
      </w:r>
      <w:r>
        <w:rPr>
          <w:rFonts w:hint="eastAsia" w:hAnsi="仿宋_GB2312" w:cs="仿宋_GB2312"/>
          <w:sz w:val="32"/>
          <w:szCs w:val="32"/>
          <w:lang w:val="en-US" w:eastAsia="zh-CN"/>
        </w:rPr>
        <w:t>联合县总工会组织县书法家协会会员在县政府广场开展“迎新春、送祝福”义写赠联活动，满足群众节日文化需求。</w:t>
      </w:r>
      <w:bookmarkEnd w:id="32"/>
      <w:bookmarkEnd w:id="33"/>
    </w:p>
    <w:p>
      <w:pPr>
        <w:pStyle w:val="7"/>
        <w:adjustRightInd w:val="0"/>
        <w:snapToGrid w:val="0"/>
        <w:spacing w:before="93" w:line="600" w:lineRule="exact"/>
        <w:ind w:firstLine="672" w:firstLineChars="210"/>
        <w:outlineLvl w:val="2"/>
        <w:rPr>
          <w:rFonts w:hint="eastAsia" w:hAnsi="仿宋_GB2312" w:cs="仿宋_GB2312"/>
          <w:sz w:val="32"/>
          <w:szCs w:val="32"/>
          <w:lang w:val="zh-CN" w:eastAsia="zh-CN"/>
        </w:rPr>
      </w:pPr>
      <w:bookmarkStart w:id="34" w:name="_Toc5144"/>
      <w:bookmarkStart w:id="35" w:name="_Toc25472"/>
      <w:r>
        <w:rPr>
          <w:rFonts w:hint="eastAsia" w:hAnsi="仿宋_GB2312" w:cs="仿宋_GB2312"/>
          <w:sz w:val="32"/>
          <w:szCs w:val="32"/>
          <w:lang w:val="en-US" w:eastAsia="zh-CN"/>
        </w:rPr>
        <w:t>2.召开年度工作会暨文艺工作先进表彰大会。</w:t>
      </w:r>
      <w:r>
        <w:rPr>
          <w:rFonts w:hint="eastAsia" w:hAnsi="仿宋_GB2312" w:cs="仿宋_GB2312"/>
          <w:sz w:val="32"/>
          <w:szCs w:val="32"/>
          <w:lang w:val="zh-CN" w:eastAsia="zh-CN"/>
        </w:rPr>
        <w:t>总结经验，谋划工</w:t>
      </w:r>
      <w:r>
        <w:rPr>
          <w:rFonts w:hint="eastAsia" w:hAnsi="仿宋_GB2312" w:cs="仿宋_GB2312"/>
          <w:sz w:val="32"/>
          <w:szCs w:val="32"/>
          <w:lang w:val="en-US" w:eastAsia="zh-CN"/>
        </w:rPr>
        <w:t>作，表彰了三个先进集体和“德艺双馨”先进个人十名，</w:t>
      </w:r>
      <w:r>
        <w:rPr>
          <w:rFonts w:hint="eastAsia" w:hAnsi="仿宋_GB2312" w:cs="仿宋_GB2312"/>
          <w:sz w:val="32"/>
          <w:szCs w:val="32"/>
          <w:lang w:val="zh-CN" w:eastAsia="zh-CN"/>
        </w:rPr>
        <w:t>以此激励全县广大文艺工作者的创作热情。</w:t>
      </w:r>
      <w:bookmarkEnd w:id="34"/>
      <w:bookmarkEnd w:id="35"/>
    </w:p>
    <w:p>
      <w:pPr>
        <w:pStyle w:val="7"/>
        <w:adjustRightInd w:val="0"/>
        <w:snapToGrid w:val="0"/>
        <w:spacing w:before="93" w:line="600" w:lineRule="exact"/>
        <w:ind w:firstLine="672" w:firstLineChars="210"/>
        <w:outlineLvl w:val="2"/>
        <w:rPr>
          <w:rFonts w:hint="eastAsia" w:hAnsi="仿宋_GB2312" w:cs="仿宋_GB2312"/>
          <w:sz w:val="32"/>
          <w:szCs w:val="32"/>
          <w:lang w:val="en-US" w:eastAsia="zh-CN"/>
        </w:rPr>
      </w:pPr>
      <w:bookmarkStart w:id="36" w:name="_Toc32156"/>
      <w:bookmarkStart w:id="37" w:name="_Toc29950"/>
      <w:r>
        <w:rPr>
          <w:rFonts w:hint="eastAsia" w:hAnsi="仿宋_GB2312" w:cs="仿宋_GB2312"/>
          <w:sz w:val="32"/>
          <w:szCs w:val="32"/>
          <w:lang w:val="en-US" w:eastAsia="zh-CN"/>
        </w:rPr>
        <w:t>3.</w:t>
      </w:r>
      <w:r>
        <w:rPr>
          <w:rFonts w:hint="eastAsia" w:hAnsi="仿宋_GB2312" w:cs="仿宋_GB2312"/>
          <w:sz w:val="32"/>
          <w:szCs w:val="32"/>
          <w:lang w:val="zh-CN" w:eastAsia="zh-CN"/>
        </w:rPr>
        <w:t>开展“书清风 感党恩”书画交流活动。</w:t>
      </w:r>
      <w:r>
        <w:rPr>
          <w:rFonts w:hint="eastAsia" w:hAnsi="仿宋_GB2312" w:cs="仿宋_GB2312"/>
          <w:sz w:val="32"/>
          <w:szCs w:val="32"/>
          <w:lang w:eastAsia="zh-CN"/>
        </w:rPr>
        <w:t>邀请陕西省书法家罗天良先生一行到茂县开展“书清风 感党恩”书画交流活动</w:t>
      </w:r>
      <w:r>
        <w:rPr>
          <w:rFonts w:hint="eastAsia" w:hAnsi="仿宋_GB2312" w:cs="仿宋_GB2312"/>
          <w:sz w:val="32"/>
          <w:szCs w:val="32"/>
        </w:rPr>
        <w:t>。</w:t>
      </w:r>
      <w:r>
        <w:rPr>
          <w:rFonts w:hint="eastAsia" w:hAnsi="仿宋_GB2312" w:cs="仿宋_GB2312"/>
          <w:sz w:val="32"/>
          <w:szCs w:val="32"/>
          <w:lang w:val="en-US" w:eastAsia="zh-CN"/>
        </w:rPr>
        <w:t>既互相切磋了书画创作技艺又拓展了党史学习教育课堂阵地。</w:t>
      </w:r>
      <w:bookmarkEnd w:id="36"/>
      <w:bookmarkEnd w:id="37"/>
    </w:p>
    <w:p>
      <w:pPr>
        <w:pStyle w:val="7"/>
        <w:adjustRightInd w:val="0"/>
        <w:snapToGrid w:val="0"/>
        <w:spacing w:before="93" w:line="600" w:lineRule="exact"/>
        <w:ind w:firstLine="672" w:firstLineChars="210"/>
        <w:outlineLvl w:val="2"/>
        <w:rPr>
          <w:rFonts w:hint="eastAsia" w:hAnsi="仿宋_GB2312" w:cs="仿宋_GB2312"/>
          <w:sz w:val="32"/>
          <w:szCs w:val="32"/>
          <w:lang w:eastAsia="zh-CN"/>
        </w:rPr>
      </w:pPr>
      <w:bookmarkStart w:id="38" w:name="_Toc20701"/>
      <w:bookmarkStart w:id="39" w:name="_Toc6866"/>
      <w:r>
        <w:rPr>
          <w:rFonts w:hint="eastAsia" w:hAnsi="仿宋_GB2312" w:cs="仿宋_GB2312"/>
          <w:sz w:val="32"/>
          <w:szCs w:val="32"/>
          <w:lang w:val="en-US" w:eastAsia="zh-CN"/>
        </w:rPr>
        <w:t>4.与甘孜州文联开展文艺交流考察活动。</w:t>
      </w:r>
      <w:r>
        <w:rPr>
          <w:rFonts w:hint="eastAsia" w:hAnsi="仿宋_GB2312" w:cs="仿宋_GB2312"/>
          <w:sz w:val="32"/>
          <w:szCs w:val="32"/>
          <w:lang w:eastAsia="zh-CN"/>
        </w:rPr>
        <w:t>县文联与考察团就文联创作基地、文学刊物出版、文艺奖励扶持基金、人才培养等重点工作做了深入交流，通过交流考察搭建了民族</w:t>
      </w:r>
      <w:r>
        <w:rPr>
          <w:rFonts w:hint="eastAsia" w:ascii="仿宋_GB2312" w:hAnsi="仿宋_GB2312" w:eastAsia="仿宋_GB2312" w:cs="仿宋_GB2312"/>
          <w:sz w:val="32"/>
          <w:szCs w:val="32"/>
          <w:lang w:eastAsia="zh-CN"/>
        </w:rPr>
        <w:t>文</w:t>
      </w:r>
      <w:r>
        <w:rPr>
          <w:rFonts w:hint="eastAsia" w:hAnsi="仿宋_GB2312" w:cs="仿宋_GB2312"/>
          <w:sz w:val="32"/>
          <w:szCs w:val="32"/>
          <w:lang w:eastAsia="zh-CN"/>
        </w:rPr>
        <w:t>化交流平台，促进了甘孜茂县两地文艺创作发展。</w:t>
      </w:r>
      <w:bookmarkEnd w:id="38"/>
      <w:bookmarkEnd w:id="39"/>
    </w:p>
    <w:p>
      <w:pPr>
        <w:pStyle w:val="7"/>
        <w:adjustRightInd w:val="0"/>
        <w:snapToGrid w:val="0"/>
        <w:spacing w:before="93" w:line="600" w:lineRule="exact"/>
        <w:ind w:firstLine="672" w:firstLineChars="210"/>
        <w:outlineLvl w:val="2"/>
        <w:rPr>
          <w:rFonts w:hint="eastAsia" w:hAnsi="仿宋_GB2312" w:cs="仿宋_GB2312"/>
          <w:sz w:val="32"/>
          <w:szCs w:val="32"/>
          <w:lang w:val="en-US" w:eastAsia="zh-CN"/>
        </w:rPr>
      </w:pPr>
      <w:bookmarkStart w:id="40" w:name="_Toc6457"/>
      <w:bookmarkStart w:id="41" w:name="_Toc30464"/>
      <w:r>
        <w:rPr>
          <w:rFonts w:hint="eastAsia" w:hAnsi="仿宋_GB2312" w:cs="仿宋_GB2312"/>
          <w:sz w:val="32"/>
          <w:szCs w:val="32"/>
          <w:lang w:val="en-US" w:eastAsia="zh-CN"/>
        </w:rPr>
        <w:t>5.举办庆祝建党100周年——红色文物展。分别指导县收藏协会和维强羌族银饰博物馆举办红色文物展，进一步拓宽党史学习教育途径。</w:t>
      </w:r>
      <w:bookmarkEnd w:id="40"/>
      <w:bookmarkEnd w:id="41"/>
    </w:p>
    <w:p>
      <w:pPr>
        <w:pStyle w:val="7"/>
        <w:adjustRightInd w:val="0"/>
        <w:snapToGrid w:val="0"/>
        <w:spacing w:before="93" w:line="600" w:lineRule="exact"/>
        <w:ind w:firstLine="672" w:firstLineChars="210"/>
        <w:outlineLvl w:val="2"/>
        <w:rPr>
          <w:rFonts w:hint="eastAsia" w:hAnsi="仿宋_GB2312" w:cs="仿宋_GB2312"/>
          <w:sz w:val="32"/>
          <w:szCs w:val="32"/>
          <w:lang w:val="en-US" w:eastAsia="zh-CN"/>
        </w:rPr>
      </w:pPr>
      <w:bookmarkStart w:id="42" w:name="_Toc25898"/>
      <w:bookmarkStart w:id="43" w:name="_Toc9145"/>
      <w:r>
        <w:rPr>
          <w:rFonts w:hint="eastAsia" w:hAnsi="仿宋_GB2312" w:cs="仿宋_GB2312"/>
          <w:sz w:val="32"/>
          <w:szCs w:val="32"/>
          <w:lang w:val="en-US" w:eastAsia="zh-CN"/>
        </w:rPr>
        <w:t>6.组织开展“文化进校园”活动暨茂县民族文学创作讲座。</w:t>
      </w:r>
      <w:r>
        <w:rPr>
          <w:rFonts w:hint="eastAsia" w:hAnsi="仿宋_GB2312" w:cs="仿宋_GB2312"/>
          <w:sz w:val="32"/>
          <w:szCs w:val="32"/>
          <w:lang w:val="zh-CN" w:eastAsia="zh-CN"/>
        </w:rPr>
        <w:t>与</w:t>
      </w:r>
      <w:r>
        <w:rPr>
          <w:rFonts w:hint="eastAsia" w:hAnsi="仿宋_GB2312" w:cs="仿宋_GB2312"/>
          <w:sz w:val="32"/>
          <w:szCs w:val="32"/>
          <w:lang w:eastAsia="zh-CN"/>
        </w:rPr>
        <w:t>阿坝职业学院共同主办“文化进校园”活动暨茂县民族文学创作讲座。活动邀请羌族著名作家谷运龙到校开展民族文学创作讲座，来自阿坝职院师生和县内民族文学创作爱好者</w:t>
      </w:r>
      <w:r>
        <w:rPr>
          <w:rFonts w:hint="eastAsia" w:hAnsi="仿宋_GB2312" w:cs="仿宋_GB2312"/>
          <w:sz w:val="32"/>
          <w:szCs w:val="32"/>
          <w:lang w:val="en-US" w:eastAsia="zh-CN"/>
        </w:rPr>
        <w:t>1200余人聆听讲座。</w:t>
      </w:r>
      <w:bookmarkEnd w:id="42"/>
      <w:bookmarkEnd w:id="43"/>
    </w:p>
    <w:p>
      <w:pPr>
        <w:pStyle w:val="7"/>
        <w:adjustRightInd w:val="0"/>
        <w:snapToGrid w:val="0"/>
        <w:spacing w:before="93" w:line="600" w:lineRule="exact"/>
        <w:ind w:firstLine="672" w:firstLineChars="210"/>
        <w:outlineLvl w:val="2"/>
        <w:rPr>
          <w:rFonts w:hint="eastAsia" w:hAnsi="仿宋_GB2312" w:cs="仿宋_GB2312"/>
          <w:sz w:val="32"/>
          <w:szCs w:val="32"/>
          <w:lang w:val="en-US" w:eastAsia="zh-CN"/>
        </w:rPr>
      </w:pPr>
      <w:bookmarkStart w:id="44" w:name="_Toc952"/>
      <w:bookmarkStart w:id="45" w:name="_Toc10108"/>
      <w:r>
        <w:rPr>
          <w:rFonts w:hint="eastAsia" w:hAnsi="仿宋_GB2312" w:cs="仿宋_GB2312"/>
          <w:sz w:val="32"/>
          <w:szCs w:val="32"/>
          <w:lang w:val="en-US" w:eastAsia="zh-CN"/>
        </w:rPr>
        <w:t>7.组织开展“深入基层、扎根人民”文化进乡村主题活动。组织40余名骨干文艺爱好者，深入叠溪镇挖掘民族文化，体验群众生活，感受乡村振兴成果，采集文艺创作素材，丰富文艺创作经验，繁荣茂县文艺创作，宣传茂县厚重的民族历史文化和乡村振兴成果。</w:t>
      </w:r>
      <w:bookmarkEnd w:id="44"/>
      <w:bookmarkEnd w:id="45"/>
    </w:p>
    <w:p>
      <w:pPr>
        <w:pStyle w:val="7"/>
        <w:adjustRightInd w:val="0"/>
        <w:snapToGrid w:val="0"/>
        <w:spacing w:before="93" w:line="600" w:lineRule="exact"/>
        <w:ind w:firstLine="672" w:firstLineChars="210"/>
        <w:outlineLvl w:val="2"/>
        <w:rPr>
          <w:rFonts w:hint="eastAsia" w:hAnsi="仿宋_GB2312" w:cs="仿宋_GB2312"/>
          <w:sz w:val="32"/>
          <w:szCs w:val="32"/>
          <w:lang w:eastAsia="zh-CN"/>
        </w:rPr>
      </w:pPr>
      <w:bookmarkStart w:id="46" w:name="_Toc29545"/>
      <w:bookmarkStart w:id="47" w:name="_Toc28294"/>
      <w:r>
        <w:rPr>
          <w:rFonts w:hint="eastAsia" w:hAnsi="仿宋_GB2312" w:cs="仿宋_GB2312"/>
          <w:sz w:val="32"/>
          <w:szCs w:val="32"/>
          <w:lang w:val="en-US" w:eastAsia="zh-CN"/>
        </w:rPr>
        <w:t>8.组织开展音乐创作交流活动。邀请木西、辰尘等为代表的民族音乐创作人对</w:t>
      </w:r>
      <w:r>
        <w:rPr>
          <w:rFonts w:hint="eastAsia" w:hAnsi="仿宋_GB2312" w:cs="仿宋_GB2312"/>
          <w:sz w:val="32"/>
          <w:szCs w:val="32"/>
          <w:lang w:eastAsia="zh-CN"/>
        </w:rPr>
        <w:t>如何更好的挖掘、发展民族音乐文化进行了深入探讨。</w:t>
      </w:r>
      <w:bookmarkEnd w:id="46"/>
      <w:bookmarkEnd w:id="47"/>
    </w:p>
    <w:p>
      <w:pPr>
        <w:pStyle w:val="4"/>
        <w:rPr>
          <w:rStyle w:val="24"/>
          <w:b w:val="0"/>
          <w:bCs w:val="0"/>
        </w:rPr>
      </w:pPr>
      <w:bookmarkStart w:id="48" w:name="_Toc11799"/>
      <w:bookmarkStart w:id="49" w:name="_Toc28343"/>
      <w:bookmarkStart w:id="50" w:name="_Toc11336"/>
      <w:bookmarkStart w:id="51" w:name="_Toc15396601"/>
      <w:bookmarkStart w:id="52" w:name="_Toc15377200"/>
      <w:bookmarkStart w:id="53" w:name="_Toc79163605"/>
      <w:r>
        <w:rPr>
          <w:rFonts w:hint="eastAsia" w:ascii="黑体" w:eastAsia="黑体"/>
          <w:b w:val="0"/>
          <w:color w:val="000000"/>
        </w:rPr>
        <w:t>二、机</w:t>
      </w:r>
      <w:r>
        <w:rPr>
          <w:rStyle w:val="24"/>
          <w:rFonts w:hint="eastAsia" w:ascii="黑体" w:eastAsia="黑体"/>
          <w:b w:val="0"/>
          <w:bCs w:val="0"/>
        </w:rPr>
        <w:t>构设置</w:t>
      </w:r>
      <w:bookmarkEnd w:id="48"/>
      <w:bookmarkEnd w:id="49"/>
      <w:bookmarkEnd w:id="50"/>
      <w:bookmarkEnd w:id="51"/>
      <w:bookmarkEnd w:id="52"/>
      <w:bookmarkEnd w:id="53"/>
    </w:p>
    <w:p>
      <w:pPr>
        <w:ind w:firstLine="640" w:firstLineChars="200"/>
        <w:rPr>
          <w:rFonts w:ascii="仿宋" w:hAnsi="仿宋" w:eastAsia="仿宋"/>
          <w:sz w:val="32"/>
          <w:szCs w:val="32"/>
        </w:rPr>
      </w:pPr>
      <w:r>
        <w:rPr>
          <w:rFonts w:hint="eastAsia" w:ascii="仿宋" w:hAnsi="仿宋" w:eastAsia="仿宋"/>
          <w:sz w:val="32"/>
          <w:szCs w:val="32"/>
        </w:rPr>
        <w:t>茂县文联下属二级单位0个，其中行政单位0个，参照公务员法管理的事业单位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ind w:firstLine="800" w:firstLineChars="250"/>
        <w:rPr>
          <w:rFonts w:ascii="仿宋" w:eastAsia="仿宋"/>
          <w:sz w:val="32"/>
          <w:szCs w:val="32"/>
        </w:rPr>
      </w:pPr>
    </w:p>
    <w:p>
      <w:pPr>
        <w:pStyle w:val="3"/>
        <w:ind w:right="440"/>
        <w:jc w:val="right"/>
        <w:rPr>
          <w:rStyle w:val="23"/>
          <w:rFonts w:ascii="黑体" w:eastAsia="黑体"/>
          <w:b w:val="0"/>
          <w:bCs w:val="0"/>
        </w:rPr>
      </w:pPr>
      <w:bookmarkStart w:id="54" w:name="_Toc15377204"/>
      <w:bookmarkStart w:id="55" w:name="_Toc7567"/>
      <w:bookmarkStart w:id="56" w:name="_Toc79163609"/>
      <w:bookmarkStart w:id="57" w:name="_Toc13637"/>
      <w:bookmarkStart w:id="58" w:name="_Toc29017"/>
      <w:bookmarkStart w:id="59" w:name="_Toc15396602"/>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54"/>
      <w:bookmarkEnd w:id="55"/>
      <w:bookmarkEnd w:id="56"/>
      <w:bookmarkEnd w:id="57"/>
      <w:bookmarkEnd w:id="58"/>
      <w:bookmarkEnd w:id="59"/>
    </w:p>
    <w:p/>
    <w:p>
      <w:pPr>
        <w:pStyle w:val="29"/>
        <w:numPr>
          <w:ilvl w:val="0"/>
          <w:numId w:val="1"/>
        </w:numPr>
        <w:spacing w:line="600" w:lineRule="exact"/>
        <w:ind w:firstLineChars="0"/>
        <w:outlineLvl w:val="1"/>
        <w:rPr>
          <w:rStyle w:val="24"/>
          <w:rFonts w:ascii="黑体" w:eastAsia="黑体"/>
          <w:b w:val="0"/>
        </w:rPr>
      </w:pPr>
      <w:bookmarkStart w:id="60" w:name="_Toc20671"/>
      <w:bookmarkStart w:id="61" w:name="_Toc589"/>
      <w:bookmarkStart w:id="62" w:name="_Toc15396603"/>
      <w:bookmarkStart w:id="63" w:name="_Toc15377205"/>
      <w:bookmarkStart w:id="64" w:name="_Toc79163610"/>
      <w:bookmarkStart w:id="65" w:name="_Toc7001"/>
      <w:r>
        <w:rPr>
          <w:rFonts w:hint="eastAsia" w:ascii="黑体" w:eastAsia="黑体"/>
          <w:color w:val="000000"/>
          <w:sz w:val="32"/>
          <w:szCs w:val="32"/>
        </w:rPr>
        <w:t>收</w:t>
      </w:r>
      <w:r>
        <w:rPr>
          <w:rStyle w:val="24"/>
          <w:rFonts w:hint="eastAsia" w:ascii="黑体" w:eastAsia="黑体"/>
          <w:b w:val="0"/>
        </w:rPr>
        <w:t>入支出决算总体情况说明</w:t>
      </w:r>
      <w:bookmarkEnd w:id="60"/>
      <w:bookmarkEnd w:id="61"/>
      <w:bookmarkEnd w:id="62"/>
      <w:bookmarkEnd w:id="63"/>
      <w:bookmarkEnd w:id="64"/>
      <w:bookmarkEnd w:id="6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78.73</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年相比，收、支总计各增加</w:t>
      </w:r>
      <w:r>
        <w:rPr>
          <w:rFonts w:hint="eastAsia" w:ascii="仿宋" w:eastAsia="仿宋"/>
          <w:color w:val="000000"/>
          <w:sz w:val="32"/>
          <w:szCs w:val="32"/>
          <w:lang w:val="en-US" w:eastAsia="zh-CN"/>
        </w:rPr>
        <w:t>26.73</w:t>
      </w:r>
      <w:r>
        <w:rPr>
          <w:rFonts w:hint="eastAsia" w:ascii="仿宋" w:eastAsia="仿宋"/>
          <w:color w:val="000000"/>
          <w:sz w:val="32"/>
          <w:szCs w:val="32"/>
        </w:rPr>
        <w:t>万元，增长</w:t>
      </w:r>
      <w:r>
        <w:rPr>
          <w:rFonts w:hint="eastAsia" w:ascii="仿宋" w:eastAsia="仿宋"/>
          <w:color w:val="000000"/>
          <w:sz w:val="32"/>
          <w:szCs w:val="32"/>
          <w:lang w:val="en-US" w:eastAsia="zh-CN"/>
        </w:rPr>
        <w:t>51.4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人员经费增加。</w:t>
      </w:r>
    </w:p>
    <w:p>
      <w:pPr>
        <w:spacing w:line="600" w:lineRule="exact"/>
        <w:ind w:firstLine="642" w:firstLineChars="200"/>
        <w:rPr>
          <w:rFonts w:ascii="仿宋" w:eastAsia="仿宋"/>
          <w:color w:val="000000"/>
          <w:sz w:val="32"/>
          <w:szCs w:val="32"/>
        </w:rPr>
      </w:pPr>
      <w:r>
        <w:rPr>
          <w:rFonts w:ascii="仿宋" w:hAnsi="仿宋" w:eastAsia="仿宋"/>
          <w:b/>
          <w:color w:val="FF0000"/>
          <w:sz w:val="32"/>
          <w:szCs w:val="32"/>
        </w:rPr>
        <w:drawing>
          <wp:anchor distT="0" distB="0" distL="114300" distR="114300" simplePos="0" relativeHeight="251659264" behindDoc="0" locked="0" layoutInCell="1" allowOverlap="1">
            <wp:simplePos x="0" y="0"/>
            <wp:positionH relativeFrom="column">
              <wp:posOffset>603885</wp:posOffset>
            </wp:positionH>
            <wp:positionV relativeFrom="paragraph">
              <wp:posOffset>205740</wp:posOffset>
            </wp:positionV>
            <wp:extent cx="3797935" cy="2244725"/>
            <wp:effectExtent l="4445" t="4445" r="7620" b="1778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eastAsia="仿宋"/>
          <w:color w:val="000000"/>
          <w:sz w:val="32"/>
          <w:szCs w:val="32"/>
        </w:rPr>
        <w:t>（</w:t>
      </w:r>
    </w:p>
    <w:p>
      <w:pPr>
        <w:spacing w:line="600" w:lineRule="exact"/>
        <w:ind w:firstLine="640" w:firstLineChars="200"/>
        <w:jc w:val="left"/>
        <w:rPr>
          <w:rFonts w:ascii="仿宋_GB2312" w:eastAsia="仿宋_GB2312"/>
          <w:color w:val="000000"/>
          <w:sz w:val="32"/>
          <w:szCs w:val="32"/>
        </w:rPr>
      </w:pPr>
    </w:p>
    <w:p>
      <w:pPr>
        <w:pStyle w:val="29"/>
        <w:numPr>
          <w:ilvl w:val="0"/>
          <w:numId w:val="1"/>
        </w:numPr>
        <w:spacing w:line="600" w:lineRule="exact"/>
        <w:ind w:firstLineChars="0"/>
        <w:outlineLvl w:val="1"/>
        <w:rPr>
          <w:rStyle w:val="24"/>
          <w:rFonts w:ascii="黑体" w:eastAsia="黑体"/>
          <w:b w:val="0"/>
        </w:rPr>
      </w:pPr>
      <w:bookmarkStart w:id="66" w:name="_Toc79163611"/>
      <w:bookmarkStart w:id="67" w:name="_Toc28124"/>
      <w:bookmarkStart w:id="68" w:name="_Toc5870"/>
      <w:bookmarkStart w:id="69" w:name="_Toc15396604"/>
      <w:bookmarkStart w:id="70" w:name="_Toc15377206"/>
      <w:bookmarkStart w:id="71" w:name="_Toc26253"/>
      <w:r>
        <w:rPr>
          <w:rFonts w:hint="eastAsia" w:ascii="黑体" w:eastAsia="黑体"/>
          <w:color w:val="000000"/>
          <w:sz w:val="32"/>
          <w:szCs w:val="32"/>
        </w:rPr>
        <w:t>收</w:t>
      </w:r>
      <w:r>
        <w:rPr>
          <w:rStyle w:val="24"/>
          <w:rFonts w:hint="eastAsia" w:ascii="黑体" w:eastAsia="黑体"/>
          <w:b w:val="0"/>
        </w:rPr>
        <w:t>入决算情况说明</w:t>
      </w:r>
      <w:bookmarkEnd w:id="66"/>
      <w:bookmarkEnd w:id="67"/>
      <w:bookmarkEnd w:id="68"/>
      <w:bookmarkEnd w:id="69"/>
      <w:bookmarkEnd w:id="70"/>
      <w:bookmarkEnd w:id="71"/>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78.73</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78.73</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FF0000"/>
          <w:sz w:val="32"/>
          <w:szCs w:val="32"/>
          <w:lang w:eastAsia="zh-CN"/>
        </w:rPr>
      </w:pPr>
      <w:r>
        <w:rPr>
          <w:rFonts w:ascii="仿宋_GB2312" w:eastAsia="仿宋_GB2312"/>
          <w:color w:val="FF0000"/>
          <w:sz w:val="32"/>
          <w:szCs w:val="32"/>
        </w:rPr>
        <w:drawing>
          <wp:anchor distT="0" distB="0" distL="114300" distR="114300" simplePos="0" relativeHeight="251660288" behindDoc="1" locked="0" layoutInCell="1" allowOverlap="1">
            <wp:simplePos x="0" y="0"/>
            <wp:positionH relativeFrom="column">
              <wp:posOffset>1007745</wp:posOffset>
            </wp:positionH>
            <wp:positionV relativeFrom="paragraph">
              <wp:posOffset>56515</wp:posOffset>
            </wp:positionV>
            <wp:extent cx="3242310" cy="1352550"/>
            <wp:effectExtent l="4445" t="4445" r="10795" b="14605"/>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9"/>
        <w:numPr>
          <w:ilvl w:val="0"/>
          <w:numId w:val="1"/>
        </w:numPr>
        <w:spacing w:line="600" w:lineRule="exact"/>
        <w:ind w:firstLineChars="0"/>
        <w:outlineLvl w:val="1"/>
        <w:rPr>
          <w:rStyle w:val="24"/>
          <w:rFonts w:ascii="黑体" w:eastAsia="黑体"/>
          <w:b w:val="0"/>
        </w:rPr>
      </w:pPr>
      <w:bookmarkStart w:id="72" w:name="_Toc20741"/>
      <w:bookmarkStart w:id="73" w:name="_Toc15396605"/>
      <w:bookmarkStart w:id="74" w:name="_Toc15377207"/>
      <w:bookmarkStart w:id="75" w:name="_Toc79163612"/>
      <w:bookmarkStart w:id="76" w:name="_Toc19181"/>
      <w:bookmarkStart w:id="77" w:name="_Toc15247"/>
      <w:r>
        <w:rPr>
          <w:rFonts w:hint="eastAsia" w:ascii="黑体" w:eastAsia="黑体"/>
          <w:color w:val="000000"/>
          <w:sz w:val="32"/>
          <w:szCs w:val="32"/>
        </w:rPr>
        <w:t>支</w:t>
      </w:r>
      <w:r>
        <w:rPr>
          <w:rStyle w:val="24"/>
          <w:rFonts w:hint="eastAsia" w:ascii="黑体" w:eastAsia="黑体"/>
          <w:b w:val="0"/>
        </w:rPr>
        <w:t>出决算情况说明</w:t>
      </w:r>
      <w:bookmarkEnd w:id="72"/>
      <w:bookmarkEnd w:id="73"/>
      <w:bookmarkEnd w:id="74"/>
      <w:bookmarkEnd w:id="75"/>
      <w:bookmarkEnd w:id="76"/>
      <w:bookmarkEnd w:id="7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78.73</w:t>
      </w:r>
      <w:r>
        <w:rPr>
          <w:rFonts w:hint="eastAsia" w:ascii="仿宋_GB2312" w:eastAsia="仿宋_GB2312"/>
          <w:sz w:val="32"/>
          <w:szCs w:val="32"/>
        </w:rPr>
        <w:t>万元，其中：基本支出</w:t>
      </w:r>
      <w:r>
        <w:rPr>
          <w:rFonts w:hint="eastAsia" w:ascii="仿宋_GB2312" w:eastAsia="仿宋_GB2312"/>
          <w:sz w:val="32"/>
          <w:szCs w:val="32"/>
          <w:lang w:val="en-US" w:eastAsia="zh-CN"/>
        </w:rPr>
        <w:t>70.84</w:t>
      </w:r>
      <w:r>
        <w:rPr>
          <w:rFonts w:hint="eastAsia" w:ascii="仿宋_GB2312" w:eastAsia="仿宋_GB2312"/>
          <w:sz w:val="32"/>
          <w:szCs w:val="32"/>
        </w:rPr>
        <w:t>万元，占</w:t>
      </w:r>
      <w:r>
        <w:rPr>
          <w:rFonts w:hint="eastAsia" w:ascii="仿宋_GB2312" w:eastAsia="仿宋_GB2312"/>
          <w:sz w:val="32"/>
          <w:szCs w:val="32"/>
          <w:lang w:val="en-US" w:eastAsia="zh-CN"/>
        </w:rPr>
        <w:t>90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7.89</w:t>
      </w:r>
      <w:r>
        <w:rPr>
          <w:rFonts w:hint="eastAsia" w:ascii="仿宋_GB2312" w:eastAsia="仿宋_GB2312"/>
          <w:sz w:val="32"/>
          <w:szCs w:val="32"/>
        </w:rPr>
        <w:t>万元，占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rPr>
        <w:drawing>
          <wp:anchor distT="0" distB="0" distL="114300" distR="114300" simplePos="0" relativeHeight="251661312" behindDoc="0" locked="0" layoutInCell="1" allowOverlap="1">
            <wp:simplePos x="0" y="0"/>
            <wp:positionH relativeFrom="column">
              <wp:posOffset>556260</wp:posOffset>
            </wp:positionH>
            <wp:positionV relativeFrom="paragraph">
              <wp:posOffset>15240</wp:posOffset>
            </wp:positionV>
            <wp:extent cx="3483610" cy="1479550"/>
            <wp:effectExtent l="4445" t="4445" r="17145" b="2095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9"/>
        <w:rPr>
          <w:rFonts w:hint="eastAsia" w:ascii="黑体" w:eastAsia="黑体"/>
          <w:color w:val="000000"/>
          <w:sz w:val="32"/>
          <w:szCs w:val="32"/>
        </w:rPr>
      </w:pPr>
      <w:bookmarkStart w:id="78" w:name="_Toc15396606"/>
      <w:bookmarkStart w:id="79" w:name="_Toc15377208"/>
      <w:bookmarkStart w:id="80" w:name="_Toc79163613"/>
    </w:p>
    <w:p>
      <w:pPr>
        <w:spacing w:line="600" w:lineRule="exact"/>
        <w:ind w:firstLine="640" w:firstLineChars="200"/>
        <w:outlineLvl w:val="9"/>
        <w:rPr>
          <w:rFonts w:hint="eastAsia" w:ascii="黑体" w:eastAsia="黑体"/>
          <w:color w:val="000000"/>
          <w:sz w:val="32"/>
          <w:szCs w:val="32"/>
        </w:rPr>
      </w:pPr>
    </w:p>
    <w:p>
      <w:pPr>
        <w:spacing w:line="600" w:lineRule="exact"/>
        <w:ind w:firstLine="640" w:firstLineChars="200"/>
        <w:outlineLvl w:val="9"/>
        <w:rPr>
          <w:rFonts w:hint="eastAsia" w:ascii="黑体" w:eastAsia="黑体"/>
          <w:color w:val="000000"/>
          <w:sz w:val="32"/>
          <w:szCs w:val="32"/>
        </w:rPr>
      </w:pPr>
    </w:p>
    <w:p>
      <w:pPr>
        <w:spacing w:line="600" w:lineRule="exact"/>
        <w:ind w:firstLine="640" w:firstLineChars="200"/>
        <w:outlineLvl w:val="1"/>
        <w:rPr>
          <w:rStyle w:val="24"/>
          <w:rFonts w:ascii="黑体" w:eastAsia="黑体"/>
          <w:b w:val="0"/>
        </w:rPr>
      </w:pPr>
      <w:bookmarkStart w:id="81" w:name="_Toc20678"/>
      <w:bookmarkStart w:id="82" w:name="_Toc29375"/>
      <w:bookmarkStart w:id="83" w:name="_Toc25873"/>
      <w:r>
        <w:rPr>
          <w:rFonts w:hint="eastAsia" w:ascii="黑体" w:eastAsia="黑体"/>
          <w:color w:val="000000"/>
          <w:sz w:val="32"/>
          <w:szCs w:val="32"/>
        </w:rPr>
        <w:t>四、财</w:t>
      </w:r>
      <w:r>
        <w:rPr>
          <w:rStyle w:val="24"/>
          <w:rFonts w:hint="eastAsia" w:ascii="黑体" w:eastAsia="黑体"/>
          <w:b w:val="0"/>
        </w:rPr>
        <w:t>政拨款收入支出决算总体情况说明</w:t>
      </w:r>
      <w:bookmarkEnd w:id="78"/>
      <w:bookmarkEnd w:id="79"/>
      <w:bookmarkEnd w:id="80"/>
      <w:bookmarkEnd w:id="81"/>
      <w:bookmarkEnd w:id="82"/>
      <w:bookmarkEnd w:id="83"/>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78.73</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年相比，财政拨款收、支总计各增加</w:t>
      </w:r>
      <w:r>
        <w:rPr>
          <w:rFonts w:hint="eastAsia" w:ascii="仿宋" w:eastAsia="仿宋"/>
          <w:color w:val="000000"/>
          <w:sz w:val="32"/>
          <w:szCs w:val="32"/>
          <w:lang w:val="en-US" w:eastAsia="zh-CN"/>
        </w:rPr>
        <w:t>26.73</w:t>
      </w:r>
      <w:r>
        <w:rPr>
          <w:rFonts w:hint="eastAsia" w:ascii="仿宋" w:eastAsia="仿宋"/>
          <w:color w:val="000000"/>
          <w:sz w:val="32"/>
          <w:szCs w:val="32"/>
        </w:rPr>
        <w:t>万元，增长</w:t>
      </w:r>
      <w:r>
        <w:rPr>
          <w:rFonts w:hint="eastAsia" w:ascii="仿宋" w:eastAsia="仿宋"/>
          <w:color w:val="000000"/>
          <w:sz w:val="32"/>
          <w:szCs w:val="32"/>
          <w:lang w:val="en-US" w:eastAsia="zh-CN"/>
        </w:rPr>
        <w:t>51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人员经费增加。</w:t>
      </w:r>
    </w:p>
    <w:p>
      <w:pPr>
        <w:spacing w:line="600" w:lineRule="exact"/>
        <w:ind w:firstLine="640" w:firstLineChars="200"/>
        <w:outlineLvl w:val="1"/>
        <w:rPr>
          <w:rStyle w:val="24"/>
          <w:rFonts w:ascii="黑体" w:eastAsia="黑体"/>
          <w:b w:val="0"/>
        </w:rPr>
      </w:pPr>
      <w:bookmarkStart w:id="84" w:name="_Toc9606"/>
      <w:bookmarkStart w:id="85" w:name="_Toc79163614"/>
      <w:bookmarkStart w:id="86" w:name="_Toc15377209"/>
      <w:bookmarkStart w:id="87" w:name="_Toc15396607"/>
      <w:bookmarkStart w:id="88" w:name="_Toc31718"/>
      <w:bookmarkStart w:id="89" w:name="_Toc22396"/>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84"/>
      <w:bookmarkEnd w:id="85"/>
      <w:bookmarkEnd w:id="86"/>
      <w:bookmarkEnd w:id="87"/>
      <w:bookmarkEnd w:id="88"/>
      <w:bookmarkEnd w:id="89"/>
    </w:p>
    <w:p>
      <w:pPr>
        <w:spacing w:line="600" w:lineRule="exact"/>
        <w:ind w:firstLine="642" w:firstLineChars="200"/>
        <w:outlineLvl w:val="2"/>
        <w:rPr>
          <w:rFonts w:ascii="仿宋" w:eastAsia="仿宋"/>
          <w:b/>
          <w:color w:val="000000"/>
          <w:sz w:val="32"/>
          <w:szCs w:val="32"/>
        </w:rPr>
      </w:pPr>
      <w:bookmarkStart w:id="90" w:name="_Toc79163615"/>
      <w:bookmarkStart w:id="91" w:name="_Toc26012"/>
      <w:bookmarkStart w:id="92" w:name="_Toc25510"/>
      <w:bookmarkStart w:id="93" w:name="_Toc27534"/>
      <w:bookmarkStart w:id="94" w:name="_Toc15377210"/>
      <w:r>
        <w:rPr>
          <w:rFonts w:hint="eastAsia" w:ascii="仿宋" w:eastAsia="仿宋"/>
          <w:b/>
          <w:color w:val="000000"/>
          <w:sz w:val="32"/>
          <w:szCs w:val="32"/>
        </w:rPr>
        <w:t>（一）一般公共预算财政拨款支出决算总体情况</w:t>
      </w:r>
      <w:bookmarkEnd w:id="90"/>
      <w:bookmarkEnd w:id="91"/>
      <w:bookmarkEnd w:id="92"/>
      <w:bookmarkEnd w:id="93"/>
      <w:bookmarkEnd w:id="94"/>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78.73</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年相比，一般公共预算财政拨款增加</w:t>
      </w:r>
      <w:r>
        <w:rPr>
          <w:rFonts w:hint="eastAsia" w:ascii="仿宋" w:eastAsia="仿宋"/>
          <w:color w:val="000000"/>
          <w:sz w:val="32"/>
          <w:szCs w:val="32"/>
          <w:lang w:val="en-US" w:eastAsia="zh-CN"/>
        </w:rPr>
        <w:t>26.73</w:t>
      </w:r>
      <w:r>
        <w:rPr>
          <w:rFonts w:hint="eastAsia" w:ascii="仿宋" w:eastAsia="仿宋"/>
          <w:color w:val="000000"/>
          <w:sz w:val="32"/>
          <w:szCs w:val="32"/>
        </w:rPr>
        <w:t>万元，增长</w:t>
      </w:r>
      <w:r>
        <w:rPr>
          <w:rFonts w:hint="eastAsia" w:ascii="仿宋" w:eastAsia="仿宋"/>
          <w:color w:val="000000"/>
          <w:sz w:val="32"/>
          <w:szCs w:val="32"/>
          <w:lang w:val="en-US" w:eastAsia="zh-CN"/>
        </w:rPr>
        <w:t>51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人员经费增加。</w:t>
      </w:r>
    </w:p>
    <w:p>
      <w:pPr>
        <w:spacing w:line="600" w:lineRule="exact"/>
        <w:ind w:firstLine="642" w:firstLineChars="200"/>
        <w:outlineLvl w:val="2"/>
        <w:rPr>
          <w:rFonts w:ascii="仿宋" w:eastAsia="仿宋"/>
          <w:b/>
          <w:color w:val="000000"/>
          <w:sz w:val="32"/>
          <w:szCs w:val="32"/>
        </w:rPr>
      </w:pPr>
      <w:bookmarkStart w:id="95" w:name="_Toc15377211"/>
      <w:bookmarkStart w:id="96" w:name="_Toc26724"/>
      <w:bookmarkStart w:id="97" w:name="_Toc22329"/>
      <w:bookmarkStart w:id="98" w:name="_Toc79163616"/>
      <w:bookmarkStart w:id="99" w:name="_Toc18296"/>
      <w:r>
        <w:rPr>
          <w:rFonts w:hint="eastAsia" w:ascii="仿宋" w:eastAsia="仿宋"/>
          <w:b/>
          <w:color w:val="000000"/>
          <w:sz w:val="32"/>
          <w:szCs w:val="32"/>
        </w:rPr>
        <w:t>（二）一般公共预算财政拨款支出决算结构情况</w:t>
      </w:r>
      <w:bookmarkEnd w:id="95"/>
      <w:bookmarkEnd w:id="96"/>
      <w:bookmarkEnd w:id="97"/>
      <w:bookmarkEnd w:id="98"/>
      <w:bookmarkEnd w:id="99"/>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78.73</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61.64</w:t>
      </w:r>
      <w:r>
        <w:rPr>
          <w:rFonts w:hint="eastAsia" w:ascii="仿宋" w:eastAsia="仿宋"/>
          <w:color w:val="000000"/>
          <w:sz w:val="32"/>
          <w:szCs w:val="32"/>
        </w:rPr>
        <w:t>万元，占</w:t>
      </w:r>
      <w:r>
        <w:rPr>
          <w:rFonts w:hint="eastAsia" w:ascii="仿宋" w:eastAsia="仿宋"/>
          <w:color w:val="000000"/>
          <w:sz w:val="32"/>
          <w:szCs w:val="32"/>
          <w:lang w:val="en-US" w:eastAsia="zh-CN"/>
        </w:rPr>
        <w:t>78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7.29</w:t>
      </w:r>
      <w:r>
        <w:rPr>
          <w:rFonts w:hint="eastAsia" w:ascii="仿宋" w:eastAsia="仿宋"/>
          <w:color w:val="000000"/>
          <w:sz w:val="32"/>
          <w:szCs w:val="32"/>
        </w:rPr>
        <w:t>万元，占</w:t>
      </w:r>
      <w:r>
        <w:rPr>
          <w:rFonts w:hint="eastAsia" w:ascii="仿宋" w:eastAsia="仿宋"/>
          <w:color w:val="000000"/>
          <w:sz w:val="32"/>
          <w:szCs w:val="32"/>
          <w:lang w:val="en-US" w:eastAsia="zh-CN"/>
        </w:rPr>
        <w:t>9.2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3.21</w:t>
      </w:r>
      <w:r>
        <w:rPr>
          <w:rFonts w:hint="eastAsia" w:ascii="仿宋" w:eastAsia="仿宋"/>
          <w:color w:val="000000"/>
          <w:sz w:val="32"/>
          <w:szCs w:val="32"/>
        </w:rPr>
        <w:t>万元，占</w:t>
      </w:r>
      <w:r>
        <w:rPr>
          <w:rFonts w:hint="eastAsia" w:ascii="仿宋" w:eastAsia="仿宋"/>
          <w:color w:val="000000"/>
          <w:sz w:val="32"/>
          <w:szCs w:val="32"/>
          <w:lang w:val="en-US" w:eastAsia="zh-CN"/>
        </w:rPr>
        <w:t>4</w:t>
      </w:r>
      <w:r>
        <w:rPr>
          <w:rFonts w:ascii="仿宋" w:eastAsia="仿宋"/>
          <w:color w:val="000000"/>
          <w:sz w:val="32"/>
          <w:szCs w:val="32"/>
        </w:rPr>
        <w:t>%</w:t>
      </w:r>
      <w:r>
        <w:rPr>
          <w:rFonts w:hint="eastAsia" w:ascii="仿宋" w:eastAsia="仿宋"/>
          <w:color w:val="000000"/>
          <w:sz w:val="32"/>
          <w:szCs w:val="32"/>
        </w:rPr>
        <w:t>；住房保障支出</w:t>
      </w:r>
      <w:r>
        <w:rPr>
          <w:rFonts w:hint="eastAsia" w:ascii="仿宋" w:eastAsia="仿宋"/>
          <w:color w:val="000000"/>
          <w:sz w:val="32"/>
          <w:szCs w:val="32"/>
          <w:lang w:val="en-US" w:eastAsia="zh-CN"/>
        </w:rPr>
        <w:t>5.15</w:t>
      </w:r>
      <w:r>
        <w:rPr>
          <w:rFonts w:hint="eastAsia" w:ascii="仿宋" w:eastAsia="仿宋"/>
          <w:color w:val="000000"/>
          <w:sz w:val="32"/>
          <w:szCs w:val="32"/>
        </w:rPr>
        <w:t>万元，占</w:t>
      </w:r>
      <w:r>
        <w:rPr>
          <w:rFonts w:hint="eastAsia" w:ascii="仿宋" w:eastAsia="仿宋"/>
          <w:color w:val="000000"/>
          <w:sz w:val="32"/>
          <w:szCs w:val="32"/>
          <w:lang w:val="en-US" w:eastAsia="zh-CN"/>
        </w:rPr>
        <w:t>6.5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文化旅游体育与传媒支出（类）</w:t>
      </w:r>
      <w:r>
        <w:rPr>
          <w:rFonts w:hint="eastAsia" w:ascii="仿宋" w:eastAsia="仿宋"/>
          <w:color w:val="000000"/>
          <w:sz w:val="32"/>
          <w:szCs w:val="32"/>
          <w:lang w:eastAsia="zh-CN"/>
        </w:rPr>
        <w:t>支出</w:t>
      </w:r>
      <w:r>
        <w:rPr>
          <w:rFonts w:hint="eastAsia" w:ascii="仿宋" w:eastAsia="仿宋"/>
          <w:color w:val="000000"/>
          <w:sz w:val="32"/>
          <w:szCs w:val="32"/>
          <w:lang w:val="en-US" w:eastAsia="zh-CN"/>
        </w:rPr>
        <w:t>0.84万元，</w:t>
      </w:r>
      <w:r>
        <w:rPr>
          <w:rFonts w:hint="eastAsia" w:ascii="仿宋" w:eastAsia="仿宋"/>
          <w:color w:val="000000"/>
          <w:sz w:val="32"/>
          <w:szCs w:val="32"/>
        </w:rPr>
        <w:t>占</w:t>
      </w:r>
      <w:r>
        <w:rPr>
          <w:rFonts w:hint="eastAsia" w:ascii="仿宋" w:eastAsia="仿宋"/>
          <w:color w:val="000000"/>
          <w:sz w:val="32"/>
          <w:szCs w:val="32"/>
          <w:lang w:val="en-US" w:eastAsia="zh-CN"/>
        </w:rPr>
        <w:t>1</w:t>
      </w:r>
      <w:r>
        <w:rPr>
          <w:rFonts w:ascii="仿宋" w:eastAsia="仿宋"/>
          <w:color w:val="000000"/>
          <w:sz w:val="32"/>
          <w:szCs w:val="32"/>
        </w:rPr>
        <w:t>%</w:t>
      </w:r>
      <w:r>
        <w:rPr>
          <w:rFonts w:hint="eastAsia" w:ascii="仿宋" w:eastAsia="仿宋"/>
          <w:color w:val="000000"/>
          <w:sz w:val="32"/>
          <w:szCs w:val="32"/>
          <w:lang w:val="en-US" w:eastAsia="zh-CN"/>
        </w:rPr>
        <w:t>；</w:t>
      </w:r>
      <w:r>
        <w:rPr>
          <w:rFonts w:hint="eastAsia" w:ascii="仿宋" w:eastAsia="仿宋"/>
          <w:b/>
          <w:color w:val="000000"/>
          <w:sz w:val="32"/>
          <w:szCs w:val="32"/>
          <w:lang w:val="en-US" w:eastAsia="zh-CN"/>
        </w:rPr>
        <w:t>农林水支出（类）</w:t>
      </w:r>
      <w:r>
        <w:rPr>
          <w:rFonts w:hint="eastAsia" w:ascii="仿宋" w:eastAsia="仿宋"/>
          <w:color w:val="000000"/>
          <w:sz w:val="32"/>
          <w:szCs w:val="32"/>
          <w:lang w:val="en-US" w:eastAsia="zh-CN"/>
        </w:rPr>
        <w:t>0.6万元，</w:t>
      </w:r>
      <w:r>
        <w:rPr>
          <w:rFonts w:hint="eastAsia" w:ascii="仿宋" w:eastAsia="仿宋"/>
          <w:color w:val="000000"/>
          <w:sz w:val="32"/>
          <w:szCs w:val="32"/>
        </w:rPr>
        <w:t>占</w:t>
      </w:r>
      <w:r>
        <w:rPr>
          <w:rFonts w:hint="eastAsia" w:ascii="仿宋" w:eastAsia="仿宋"/>
          <w:color w:val="000000"/>
          <w:sz w:val="32"/>
          <w:szCs w:val="32"/>
          <w:lang w:val="en-US" w:eastAsia="zh-CN"/>
        </w:rPr>
        <w:t>0.7</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2" w:firstLineChars="200"/>
        <w:outlineLvl w:val="2"/>
        <w:rPr>
          <w:rFonts w:ascii="仿宋" w:eastAsia="仿宋"/>
          <w:b/>
          <w:color w:val="000000"/>
          <w:sz w:val="32"/>
          <w:szCs w:val="32"/>
        </w:rPr>
      </w:pPr>
      <w:bookmarkStart w:id="100" w:name="_Toc13975"/>
      <w:bookmarkStart w:id="101" w:name="_Toc29187"/>
      <w:bookmarkStart w:id="102" w:name="_Toc79163617"/>
      <w:bookmarkStart w:id="103" w:name="_Toc11102"/>
      <w:bookmarkStart w:id="104" w:name="_Toc15377212"/>
      <w:r>
        <w:rPr>
          <w:rFonts w:hint="eastAsia" w:ascii="仿宋" w:eastAsia="仿宋"/>
          <w:b/>
          <w:color w:val="000000"/>
          <w:sz w:val="32"/>
          <w:szCs w:val="32"/>
        </w:rPr>
        <w:t>（三）一般公共预算财政拨款支出决算具体情况</w:t>
      </w:r>
      <w:bookmarkEnd w:id="100"/>
      <w:bookmarkEnd w:id="101"/>
      <w:bookmarkEnd w:id="102"/>
      <w:bookmarkEnd w:id="103"/>
      <w:bookmarkEnd w:id="104"/>
    </w:p>
    <w:p>
      <w:pPr>
        <w:spacing w:line="600" w:lineRule="exact"/>
        <w:ind w:firstLine="642" w:firstLineChars="200"/>
        <w:rPr>
          <w:rFonts w:ascii="仿宋_GB2312" w:eastAsia="仿宋_GB2312"/>
          <w:b/>
          <w:bCs/>
          <w:sz w:val="32"/>
          <w:szCs w:val="32"/>
        </w:rPr>
      </w:pPr>
      <w:bookmarkStart w:id="105" w:name="_Toc15377213"/>
      <w:bookmarkStart w:id="106" w:name="_Toc15378460"/>
      <w:bookmarkStart w:id="107"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78.73万元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105"/>
      <w:bookmarkEnd w:id="106"/>
      <w:bookmarkEnd w:id="107"/>
    </w:p>
    <w:p>
      <w:pPr>
        <w:numPr>
          <w:ilvl w:val="0"/>
          <w:numId w:val="2"/>
        </w:numPr>
        <w:spacing w:line="600" w:lineRule="exact"/>
        <w:ind w:firstLine="642" w:firstLineChars="200"/>
        <w:rPr>
          <w:rStyle w:val="21"/>
          <w:rFonts w:hint="eastAsia" w:ascii="仿宋" w:eastAsia="仿宋"/>
          <w:b w:val="0"/>
          <w:bCs/>
          <w:color w:val="000000"/>
          <w:sz w:val="32"/>
          <w:szCs w:val="32"/>
          <w:lang w:val="en-US" w:eastAsia="zh-CN"/>
        </w:rPr>
      </w:pPr>
      <w:r>
        <w:rPr>
          <w:rStyle w:val="21"/>
          <w:rFonts w:hint="eastAsia" w:ascii="仿宋" w:hAnsi="仿宋" w:eastAsia="仿宋"/>
          <w:bCs/>
          <w:color w:val="000000"/>
          <w:sz w:val="32"/>
          <w:szCs w:val="32"/>
        </w:rPr>
        <w:t>一般公共服务（类）</w:t>
      </w:r>
      <w:r>
        <w:rPr>
          <w:rStyle w:val="34"/>
          <w:rFonts w:hint="eastAsia" w:ascii="楷体" w:hAnsi="楷体" w:eastAsia="楷体"/>
          <w:bCs/>
          <w:color w:val="000000"/>
          <w:sz w:val="32"/>
          <w:szCs w:val="32"/>
        </w:rPr>
        <w:t>群众团体事物</w:t>
      </w:r>
      <w:r>
        <w:rPr>
          <w:rStyle w:val="21"/>
          <w:rFonts w:hint="eastAsia" w:ascii="仿宋" w:hAnsi="仿宋" w:eastAsia="仿宋"/>
          <w:bCs/>
          <w:color w:val="000000"/>
          <w:sz w:val="32"/>
          <w:szCs w:val="32"/>
        </w:rPr>
        <w:t>（款）事业运行（项）</w:t>
      </w:r>
      <w:r>
        <w:rPr>
          <w:rStyle w:val="21"/>
          <w:rFonts w:ascii="仿宋" w:hAns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61.64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p>
    <w:p>
      <w:pPr>
        <w:numPr>
          <w:ilvl w:val="0"/>
          <w:numId w:val="0"/>
        </w:numPr>
        <w:spacing w:line="600" w:lineRule="exact"/>
        <w:ind w:firstLine="642" w:firstLineChars="200"/>
        <w:jc w:val="both"/>
        <w:rPr>
          <w:rStyle w:val="34"/>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2.</w:t>
      </w:r>
      <w:r>
        <w:rPr>
          <w:rStyle w:val="21"/>
          <w:rFonts w:hint="eastAsia" w:ascii="仿宋" w:hAnsi="仿宋" w:eastAsia="仿宋"/>
          <w:bCs/>
          <w:color w:val="000000"/>
          <w:sz w:val="32"/>
          <w:szCs w:val="32"/>
        </w:rPr>
        <w:t>住房保障支出（类）住房改革支出（款）住房公积金（项）:</w:t>
      </w:r>
      <w:r>
        <w:rPr>
          <w:rStyle w:val="34"/>
          <w:rFonts w:hint="eastAsia" w:ascii="仿宋" w:hAnsi="仿宋" w:eastAsia="仿宋"/>
          <w:b w:val="0"/>
          <w:bCs/>
          <w:color w:val="000000"/>
          <w:sz w:val="32"/>
          <w:szCs w:val="32"/>
        </w:rPr>
        <w:t xml:space="preserve"> 支出决算为5.15万元，完成预算100%。</w:t>
      </w:r>
    </w:p>
    <w:p>
      <w:pPr>
        <w:pStyle w:val="7"/>
        <w:numPr>
          <w:ilvl w:val="0"/>
          <w:numId w:val="0"/>
        </w:numPr>
        <w:ind w:firstLine="642" w:firstLineChars="200"/>
        <w:rPr>
          <w:rStyle w:val="21"/>
          <w:rFonts w:hint="eastAsia" w:ascii="仿宋" w:hAnsi="仿宋" w:eastAsia="仿宋"/>
          <w:bCs/>
          <w:color w:val="000000"/>
          <w:kern w:val="2"/>
          <w:sz w:val="32"/>
          <w:szCs w:val="32"/>
          <w:lang w:val="en-US" w:eastAsia="zh-CN" w:bidi="ar-SA"/>
        </w:rPr>
      </w:pPr>
      <w:r>
        <w:rPr>
          <w:rStyle w:val="21"/>
          <w:rFonts w:hint="eastAsia" w:ascii="仿宋" w:hAnsi="仿宋" w:eastAsia="仿宋"/>
          <w:bCs/>
          <w:color w:val="000000"/>
          <w:kern w:val="2"/>
          <w:sz w:val="32"/>
          <w:szCs w:val="32"/>
          <w:lang w:val="en-US" w:eastAsia="zh-CN" w:bidi="ar-SA"/>
        </w:rPr>
        <w:t>3.</w:t>
      </w:r>
      <w:r>
        <w:rPr>
          <w:rStyle w:val="21"/>
          <w:rFonts w:hint="eastAsia" w:ascii="仿宋" w:hAnsi="仿宋" w:eastAsia="仿宋"/>
          <w:bCs/>
          <w:color w:val="000000"/>
          <w:sz w:val="32"/>
          <w:szCs w:val="32"/>
          <w:lang w:eastAsia="zh-CN"/>
        </w:rPr>
        <w:t>农林水支出</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eastAsia="zh-CN"/>
        </w:rPr>
        <w:t>扶贫</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eastAsia="zh-CN"/>
        </w:rPr>
        <w:t>其他扶贫支出</w:t>
      </w:r>
      <w:r>
        <w:rPr>
          <w:rStyle w:val="21"/>
          <w:rFonts w:hint="eastAsia" w:ascii="仿宋" w:hAnsi="仿宋" w:eastAsia="仿宋"/>
          <w:bCs/>
          <w:color w:val="000000"/>
          <w:sz w:val="32"/>
          <w:szCs w:val="32"/>
        </w:rPr>
        <w:t>（项）</w:t>
      </w:r>
      <w:r>
        <w:rPr>
          <w:rStyle w:val="21"/>
          <w:rFonts w:hint="eastAsia" w:ascii="仿宋" w:hAnsi="仿宋" w:eastAsia="仿宋"/>
          <w:bCs/>
          <w:color w:val="000000"/>
          <w:sz w:val="32"/>
          <w:szCs w:val="32"/>
          <w:lang w:eastAsia="zh-CN"/>
        </w:rPr>
        <w:t>：</w:t>
      </w:r>
      <w:r>
        <w:rPr>
          <w:rStyle w:val="34"/>
          <w:rFonts w:hint="eastAsia" w:ascii="仿宋" w:hAnsi="仿宋" w:eastAsia="仿宋"/>
          <w:b w:val="0"/>
          <w:bCs/>
          <w:color w:val="000000"/>
          <w:sz w:val="32"/>
          <w:szCs w:val="32"/>
        </w:rPr>
        <w:t>支出决算为</w:t>
      </w:r>
      <w:r>
        <w:rPr>
          <w:rStyle w:val="34"/>
          <w:rFonts w:hint="eastAsia" w:ascii="仿宋" w:hAnsi="仿宋" w:eastAsia="仿宋"/>
          <w:b w:val="0"/>
          <w:bCs/>
          <w:color w:val="000000"/>
          <w:sz w:val="32"/>
          <w:szCs w:val="32"/>
          <w:lang w:val="en-US" w:eastAsia="zh-CN"/>
        </w:rPr>
        <w:t>0.6</w:t>
      </w:r>
      <w:r>
        <w:rPr>
          <w:rStyle w:val="34"/>
          <w:rFonts w:hint="eastAsia" w:ascii="仿宋" w:hAnsi="仿宋" w:eastAsia="仿宋"/>
          <w:b w:val="0"/>
          <w:bCs/>
          <w:color w:val="000000"/>
          <w:sz w:val="32"/>
          <w:szCs w:val="32"/>
        </w:rPr>
        <w:t>万元，完成预算100%。</w:t>
      </w:r>
    </w:p>
    <w:p>
      <w:pPr>
        <w:spacing w:line="600" w:lineRule="exact"/>
        <w:ind w:firstLine="642" w:firstLineChars="200"/>
        <w:rPr>
          <w:rFonts w:ascii="仿宋" w:eastAsia="仿宋"/>
          <w:b/>
          <w:color w:val="000000"/>
          <w:sz w:val="32"/>
          <w:szCs w:val="32"/>
        </w:rPr>
      </w:pPr>
      <w:r>
        <w:rPr>
          <w:rStyle w:val="21"/>
          <w:rFonts w:ascii="仿宋" w:eastAsia="仿宋"/>
          <w:bCs/>
          <w:color w:val="000000"/>
          <w:sz w:val="32"/>
          <w:szCs w:val="32"/>
        </w:rPr>
        <w:t>4.</w:t>
      </w:r>
      <w:r>
        <w:rPr>
          <w:rStyle w:val="21"/>
          <w:rFonts w:hint="eastAsia" w:ascii="仿宋" w:eastAsia="仿宋"/>
          <w:bCs/>
          <w:color w:val="000000"/>
          <w:sz w:val="32"/>
          <w:szCs w:val="32"/>
        </w:rPr>
        <w:t>文化旅游体育与传媒（类）</w:t>
      </w:r>
      <w:r>
        <w:rPr>
          <w:rStyle w:val="21"/>
          <w:rFonts w:hint="eastAsia" w:ascii="仿宋" w:eastAsia="仿宋"/>
          <w:bCs/>
          <w:color w:val="000000"/>
          <w:sz w:val="32"/>
          <w:szCs w:val="32"/>
          <w:lang w:eastAsia="zh-CN"/>
        </w:rPr>
        <w:t>文化和旅游</w:t>
      </w:r>
      <w:r>
        <w:rPr>
          <w:rStyle w:val="21"/>
          <w:rFonts w:hint="eastAsia" w:ascii="仿宋" w:eastAsia="仿宋"/>
          <w:bCs/>
          <w:color w:val="000000"/>
          <w:sz w:val="32"/>
          <w:szCs w:val="32"/>
        </w:rPr>
        <w:t>（款）</w:t>
      </w:r>
      <w:r>
        <w:rPr>
          <w:rStyle w:val="21"/>
          <w:rFonts w:hint="eastAsia" w:ascii="仿宋" w:eastAsia="仿宋"/>
          <w:bCs/>
          <w:color w:val="000000"/>
          <w:sz w:val="32"/>
          <w:szCs w:val="32"/>
          <w:lang w:eastAsia="zh-CN"/>
        </w:rPr>
        <w:t>其他文化和旅游支出</w:t>
      </w:r>
      <w:r>
        <w:rPr>
          <w:rStyle w:val="21"/>
          <w:rFonts w:hint="eastAsia" w:ascii="仿宋" w:eastAsia="仿宋"/>
          <w:bCs/>
          <w:color w:val="000000"/>
          <w:sz w:val="32"/>
          <w:szCs w:val="32"/>
        </w:rPr>
        <w:t>（项）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0.84</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spacing w:line="600" w:lineRule="exact"/>
        <w:ind w:firstLine="642" w:firstLineChars="200"/>
        <w:rPr>
          <w:rStyle w:val="21"/>
          <w:rFonts w:hint="eastAsia" w:ascii="仿宋" w:eastAsia="仿宋"/>
          <w:b w:val="0"/>
          <w:bCs/>
          <w:color w:val="000000"/>
          <w:sz w:val="32"/>
          <w:szCs w:val="32"/>
          <w:lang w:eastAsia="zh-CN"/>
        </w:rPr>
      </w:pPr>
      <w:r>
        <w:rPr>
          <w:rStyle w:val="21"/>
          <w:rFonts w:ascii="仿宋" w:eastAsia="仿宋"/>
          <w:bCs/>
          <w:color w:val="000000"/>
          <w:sz w:val="32"/>
          <w:szCs w:val="32"/>
        </w:rPr>
        <w:t>5.</w:t>
      </w:r>
      <w:r>
        <w:rPr>
          <w:rStyle w:val="34"/>
          <w:rFonts w:hint="eastAsia" w:ascii="仿宋" w:hAnsi="仿宋" w:eastAsia="仿宋"/>
          <w:bCs/>
          <w:color w:val="000000"/>
          <w:sz w:val="32"/>
          <w:szCs w:val="32"/>
        </w:rPr>
        <w:t>社会保障和就业（类）行政事业单位</w:t>
      </w:r>
      <w:r>
        <w:rPr>
          <w:rStyle w:val="34"/>
          <w:rFonts w:hint="eastAsia" w:ascii="仿宋" w:hAnsi="仿宋" w:eastAsia="仿宋"/>
          <w:bCs/>
          <w:color w:val="000000"/>
          <w:sz w:val="32"/>
          <w:szCs w:val="32"/>
          <w:lang w:eastAsia="zh-CN"/>
        </w:rPr>
        <w:t>养老支出</w:t>
      </w:r>
      <w:r>
        <w:rPr>
          <w:rStyle w:val="34"/>
          <w:rFonts w:hint="eastAsia" w:ascii="仿宋" w:hAnsi="仿宋" w:eastAsia="仿宋"/>
          <w:bCs/>
          <w:color w:val="000000"/>
          <w:sz w:val="32"/>
          <w:szCs w:val="32"/>
        </w:rPr>
        <w:t>（款）机关事业单位基本养老保险缴费支出（项）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4.86</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p>
    <w:p>
      <w:pPr>
        <w:spacing w:line="600" w:lineRule="exact"/>
        <w:ind w:firstLine="642" w:firstLineChars="200"/>
        <w:rPr>
          <w:rFonts w:hint="default"/>
          <w:lang w:val="en-US" w:eastAsia="zh-CN"/>
        </w:rPr>
      </w:pPr>
      <w:r>
        <w:rPr>
          <w:rStyle w:val="21"/>
          <w:rFonts w:hint="eastAsia" w:ascii="仿宋" w:eastAsia="仿宋"/>
          <w:bCs/>
          <w:color w:val="000000"/>
          <w:sz w:val="32"/>
          <w:szCs w:val="32"/>
          <w:lang w:val="en-US" w:eastAsia="zh-CN"/>
        </w:rPr>
        <w:t>6</w:t>
      </w:r>
      <w:r>
        <w:rPr>
          <w:rStyle w:val="21"/>
          <w:rFonts w:ascii="仿宋" w:eastAsia="仿宋"/>
          <w:bCs/>
          <w:color w:val="000000"/>
          <w:sz w:val="32"/>
          <w:szCs w:val="32"/>
        </w:rPr>
        <w:t>.</w:t>
      </w:r>
      <w:r>
        <w:rPr>
          <w:rStyle w:val="34"/>
          <w:rFonts w:hint="eastAsia" w:ascii="仿宋" w:hAnsi="仿宋" w:eastAsia="仿宋"/>
          <w:bCs/>
          <w:color w:val="000000"/>
          <w:sz w:val="32"/>
          <w:szCs w:val="32"/>
        </w:rPr>
        <w:t>社会保障和就业（类）行政事业单位</w:t>
      </w:r>
      <w:r>
        <w:rPr>
          <w:rStyle w:val="34"/>
          <w:rFonts w:hint="eastAsia" w:ascii="仿宋" w:hAnsi="仿宋" w:eastAsia="仿宋"/>
          <w:bCs/>
          <w:color w:val="000000"/>
          <w:sz w:val="32"/>
          <w:szCs w:val="32"/>
          <w:lang w:eastAsia="zh-CN"/>
        </w:rPr>
        <w:t>养老支出</w:t>
      </w:r>
      <w:r>
        <w:rPr>
          <w:rStyle w:val="34"/>
          <w:rFonts w:hint="eastAsia" w:ascii="仿宋" w:hAnsi="仿宋" w:eastAsia="仿宋"/>
          <w:bCs/>
          <w:color w:val="000000"/>
          <w:sz w:val="32"/>
          <w:szCs w:val="32"/>
        </w:rPr>
        <w:t>（款）机关事业单位职业年金缴费支出（项）</w:t>
      </w:r>
      <w:r>
        <w:rPr>
          <w:rStyle w:val="21"/>
          <w:rFonts w:ascii="仿宋" w:eastAsia="仿宋"/>
          <w:bCs/>
          <w:color w:val="000000"/>
          <w:sz w:val="32"/>
          <w:szCs w:val="32"/>
        </w:rPr>
        <w:t>:</w:t>
      </w:r>
      <w:r>
        <w:rPr>
          <w:rStyle w:val="21"/>
          <w:rFonts w:ascii="仿宋" w:eastAsia="仿宋"/>
          <w:b w:val="0"/>
          <w:bCs/>
          <w:color w:val="000000"/>
          <w:sz w:val="32"/>
          <w:szCs w:val="32"/>
        </w:rPr>
        <w:t xml:space="preserve"> </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2.43</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lang w:eastAsia="zh-CN"/>
        </w:rPr>
        <w:t>。</w:t>
      </w:r>
    </w:p>
    <w:p>
      <w:pPr>
        <w:spacing w:line="600" w:lineRule="exact"/>
        <w:ind w:firstLine="642" w:firstLineChars="200"/>
        <w:rPr>
          <w:rFonts w:ascii="仿宋" w:eastAsia="仿宋"/>
          <w:b/>
          <w:color w:val="000000"/>
          <w:sz w:val="32"/>
          <w:szCs w:val="32"/>
        </w:rPr>
      </w:pPr>
      <w:r>
        <w:rPr>
          <w:rStyle w:val="21"/>
          <w:rFonts w:hint="eastAsia" w:ascii="仿宋" w:eastAsia="仿宋"/>
          <w:bCs/>
          <w:color w:val="000000"/>
          <w:sz w:val="32"/>
          <w:szCs w:val="32"/>
          <w:lang w:val="en-US" w:eastAsia="zh-CN"/>
        </w:rPr>
        <w:t>7</w:t>
      </w:r>
      <w:r>
        <w:rPr>
          <w:rStyle w:val="21"/>
          <w:rFonts w:ascii="仿宋" w:eastAsia="仿宋"/>
          <w:bCs/>
          <w:color w:val="000000"/>
          <w:sz w:val="32"/>
          <w:szCs w:val="32"/>
        </w:rPr>
        <w:t>.</w:t>
      </w:r>
      <w:r>
        <w:rPr>
          <w:rFonts w:hint="eastAsia" w:ascii="仿宋" w:hAnsi="仿宋" w:eastAsia="仿宋"/>
          <w:b/>
          <w:bCs/>
          <w:color w:val="000000"/>
          <w:sz w:val="32"/>
          <w:szCs w:val="32"/>
        </w:rPr>
        <w:t>卫生健康</w:t>
      </w:r>
      <w:r>
        <w:rPr>
          <w:rStyle w:val="34"/>
          <w:rFonts w:hint="eastAsia" w:ascii="仿宋" w:hAnsi="仿宋" w:eastAsia="仿宋"/>
          <w:bCs/>
          <w:color w:val="000000"/>
          <w:sz w:val="32"/>
          <w:szCs w:val="32"/>
        </w:rPr>
        <w:t>（类）行政事业单位医疗（款）事业单位医疗（项）</w:t>
      </w:r>
      <w:r>
        <w:rPr>
          <w:rStyle w:val="21"/>
          <w:rFonts w:hint="eastAsia" w:ascii="仿宋" w:eastAsia="仿宋"/>
          <w:b w:val="0"/>
          <w:bCs/>
          <w:color w:val="000000"/>
          <w:sz w:val="32"/>
          <w:szCs w:val="32"/>
        </w:rPr>
        <w:t>支出决算为</w:t>
      </w:r>
      <w:r>
        <w:rPr>
          <w:rStyle w:val="21"/>
          <w:rFonts w:hint="eastAsia" w:ascii="仿宋" w:eastAsia="仿宋"/>
          <w:b w:val="0"/>
          <w:bCs/>
          <w:color w:val="000000"/>
          <w:sz w:val="32"/>
          <w:szCs w:val="32"/>
          <w:lang w:val="en-US" w:eastAsia="zh-CN"/>
        </w:rPr>
        <w:t>3.21</w:t>
      </w:r>
      <w:r>
        <w:rPr>
          <w:rStyle w:val="21"/>
          <w:rFonts w:hint="eastAsia" w:ascii="仿宋" w:eastAsia="仿宋"/>
          <w:b w:val="0"/>
          <w:bCs/>
          <w:color w:val="000000"/>
          <w:sz w:val="32"/>
          <w:szCs w:val="32"/>
        </w:rPr>
        <w:t>万元，完成预算</w:t>
      </w:r>
      <w:r>
        <w:rPr>
          <w:rStyle w:val="21"/>
          <w:rFonts w:hint="eastAsia" w:ascii="仿宋" w:eastAsia="仿宋"/>
          <w:b w:val="0"/>
          <w:bCs/>
          <w:color w:val="000000"/>
          <w:sz w:val="32"/>
          <w:szCs w:val="32"/>
          <w:lang w:val="en-US" w:eastAsia="zh-CN"/>
        </w:rPr>
        <w:t>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pPr>
        <w:tabs>
          <w:tab w:val="right" w:pos="8306"/>
        </w:tabs>
        <w:spacing w:line="600" w:lineRule="exact"/>
        <w:ind w:firstLine="640"/>
        <w:outlineLvl w:val="1"/>
        <w:rPr>
          <w:rStyle w:val="24"/>
        </w:rPr>
      </w:pPr>
      <w:bookmarkStart w:id="108" w:name="_Toc15377214"/>
      <w:bookmarkStart w:id="109" w:name="_Toc15396608"/>
      <w:bookmarkStart w:id="110" w:name="_Toc9994"/>
      <w:bookmarkStart w:id="111" w:name="_Toc21452"/>
      <w:bookmarkStart w:id="112" w:name="_Toc27188"/>
      <w:bookmarkStart w:id="113" w:name="_Toc7916361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108"/>
      <w:bookmarkEnd w:id="109"/>
      <w:bookmarkEnd w:id="110"/>
      <w:bookmarkEnd w:id="111"/>
      <w:bookmarkEnd w:id="112"/>
      <w:bookmarkEnd w:id="113"/>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70.84</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67.27</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b/>
          <w:color w:val="FF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3.61</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eastAsia="黑体"/>
          <w:b w:val="0"/>
        </w:rPr>
      </w:pPr>
      <w:bookmarkStart w:id="114" w:name="_Toc8614"/>
      <w:bookmarkStart w:id="115" w:name="_Toc18433"/>
      <w:bookmarkStart w:id="116" w:name="_Toc15377215"/>
      <w:bookmarkStart w:id="117" w:name="_Toc6035"/>
      <w:bookmarkStart w:id="118" w:name="_Toc15396609"/>
      <w:bookmarkStart w:id="119" w:name="_Toc7916361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114"/>
      <w:bookmarkEnd w:id="115"/>
      <w:bookmarkEnd w:id="116"/>
      <w:bookmarkEnd w:id="117"/>
      <w:bookmarkEnd w:id="118"/>
      <w:bookmarkEnd w:id="119"/>
    </w:p>
    <w:p>
      <w:pPr>
        <w:spacing w:line="600" w:lineRule="exact"/>
        <w:ind w:firstLine="640"/>
        <w:outlineLvl w:val="2"/>
        <w:rPr>
          <w:rFonts w:ascii="仿宋" w:eastAsia="仿宋"/>
          <w:b/>
          <w:color w:val="000000"/>
          <w:sz w:val="32"/>
          <w:szCs w:val="32"/>
        </w:rPr>
      </w:pPr>
      <w:bookmarkStart w:id="120" w:name="_Toc15790"/>
      <w:bookmarkStart w:id="121" w:name="_Toc2762"/>
      <w:bookmarkStart w:id="122" w:name="_Toc15377216"/>
      <w:bookmarkStart w:id="123" w:name="_Toc79163620"/>
      <w:bookmarkStart w:id="124" w:name="_Toc10425"/>
      <w:r>
        <w:rPr>
          <w:rFonts w:hint="eastAsia" w:ascii="仿宋" w:eastAsia="仿宋"/>
          <w:b/>
          <w:color w:val="000000"/>
          <w:sz w:val="32"/>
          <w:szCs w:val="32"/>
        </w:rPr>
        <w:t>（一）“三公”经费财政拨款支出决算总体情况说明</w:t>
      </w:r>
      <w:bookmarkEnd w:id="120"/>
      <w:bookmarkEnd w:id="121"/>
      <w:bookmarkEnd w:id="122"/>
      <w:bookmarkEnd w:id="123"/>
      <w:bookmarkEnd w:id="124"/>
    </w:p>
    <w:p>
      <w:pPr>
        <w:spacing w:line="600" w:lineRule="exact"/>
        <w:ind w:firstLine="640"/>
        <w:rPr>
          <w:rFonts w:ascii="仿宋" w:eastAsia="仿宋"/>
          <w:b/>
          <w:color w:val="FF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w:t>
      </w:r>
    </w:p>
    <w:p>
      <w:pPr>
        <w:spacing w:line="600" w:lineRule="exact"/>
        <w:ind w:firstLine="640"/>
        <w:outlineLvl w:val="2"/>
        <w:rPr>
          <w:rFonts w:ascii="仿宋" w:eastAsia="仿宋"/>
          <w:b/>
          <w:color w:val="000000"/>
          <w:sz w:val="32"/>
          <w:szCs w:val="32"/>
        </w:rPr>
      </w:pPr>
      <w:bookmarkStart w:id="125" w:name="_Toc31532"/>
      <w:bookmarkStart w:id="126" w:name="_Toc79163621"/>
      <w:bookmarkStart w:id="127" w:name="_Toc15377217"/>
      <w:bookmarkStart w:id="128" w:name="_Toc25795"/>
      <w:bookmarkStart w:id="129" w:name="_Toc6975"/>
      <w:r>
        <w:rPr>
          <w:rFonts w:hint="eastAsia" w:ascii="仿宋" w:eastAsia="仿宋"/>
          <w:b/>
          <w:color w:val="000000"/>
          <w:sz w:val="32"/>
          <w:szCs w:val="32"/>
        </w:rPr>
        <w:t>（二）“三公”经费财政拨款支出决算具体情况说明</w:t>
      </w:r>
      <w:bookmarkEnd w:id="125"/>
      <w:bookmarkEnd w:id="126"/>
      <w:bookmarkEnd w:id="127"/>
      <w:bookmarkEnd w:id="128"/>
      <w:bookmarkEnd w:id="129"/>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numPr>
          <w:ilvl w:val="0"/>
          <w:numId w:val="0"/>
        </w:numPr>
        <w:spacing w:line="600" w:lineRule="exact"/>
        <w:ind w:firstLine="642" w:firstLineChars="200"/>
        <w:rPr>
          <w:rStyle w:val="21"/>
          <w:rFonts w:hint="eastAsia" w:ascii="仿宋" w:eastAsia="仿宋"/>
          <w:b w:val="0"/>
          <w:bCs/>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p>
    <w:p>
      <w:pPr>
        <w:numPr>
          <w:ilvl w:val="0"/>
          <w:numId w:val="0"/>
        </w:num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4"/>
          <w:rFonts w:ascii="黑体" w:eastAsia="黑体"/>
        </w:rPr>
      </w:pPr>
      <w:bookmarkStart w:id="130" w:name="_Toc15396610"/>
      <w:bookmarkStart w:id="131" w:name="_Toc4966"/>
      <w:bookmarkStart w:id="132" w:name="_Toc17954"/>
      <w:bookmarkStart w:id="133" w:name="_Toc17379"/>
      <w:bookmarkStart w:id="134" w:name="_Toc15377218"/>
      <w:bookmarkStart w:id="135" w:name="_Toc79163622"/>
      <w:r>
        <w:rPr>
          <w:rFonts w:hint="eastAsia" w:ascii="黑体" w:eastAsia="黑体"/>
          <w:color w:val="000000"/>
          <w:sz w:val="32"/>
          <w:szCs w:val="32"/>
        </w:rPr>
        <w:t>八、</w:t>
      </w:r>
      <w:r>
        <w:rPr>
          <w:rStyle w:val="24"/>
          <w:rFonts w:hint="eastAsia" w:ascii="黑体" w:eastAsia="黑体"/>
          <w:b w:val="0"/>
        </w:rPr>
        <w:t>政府性基金预算支出决算情况说明</w:t>
      </w:r>
      <w:bookmarkEnd w:id="130"/>
      <w:bookmarkEnd w:id="131"/>
      <w:bookmarkEnd w:id="132"/>
      <w:bookmarkEnd w:id="133"/>
      <w:bookmarkEnd w:id="134"/>
      <w:bookmarkEnd w:id="13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4"/>
          <w:rFonts w:ascii="黑体" w:eastAsia="黑体"/>
          <w:b w:val="0"/>
        </w:rPr>
      </w:pPr>
      <w:bookmarkStart w:id="136" w:name="_Toc79163623"/>
      <w:bookmarkStart w:id="137" w:name="_Toc15377219"/>
      <w:bookmarkStart w:id="138" w:name="_Toc14556"/>
      <w:bookmarkStart w:id="139" w:name="_Toc2987"/>
      <w:bookmarkStart w:id="140" w:name="_Toc1112"/>
      <w:bookmarkStart w:id="141" w:name="_Toc15396611"/>
      <w:r>
        <w:rPr>
          <w:rStyle w:val="24"/>
          <w:rFonts w:hint="eastAsia" w:ascii="黑体" w:eastAsia="黑体"/>
          <w:b w:val="0"/>
        </w:rPr>
        <w:t>国有资本经营预算支出决算情况说明</w:t>
      </w:r>
      <w:bookmarkEnd w:id="136"/>
      <w:bookmarkEnd w:id="137"/>
      <w:bookmarkEnd w:id="138"/>
      <w:bookmarkEnd w:id="139"/>
      <w:bookmarkEnd w:id="140"/>
      <w:bookmarkEnd w:id="141"/>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eastAsia="黑体"/>
        </w:rPr>
      </w:pPr>
      <w:bookmarkStart w:id="142" w:name="_Toc79163624"/>
      <w:bookmarkStart w:id="143" w:name="_Toc22682"/>
      <w:bookmarkStart w:id="144" w:name="_Toc20737"/>
      <w:bookmarkStart w:id="145" w:name="_Toc15377221"/>
      <w:bookmarkStart w:id="146" w:name="_Toc10439"/>
      <w:bookmarkStart w:id="147" w:name="_Toc15396612"/>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142"/>
      <w:bookmarkEnd w:id="143"/>
      <w:bookmarkEnd w:id="144"/>
      <w:bookmarkEnd w:id="145"/>
      <w:bookmarkEnd w:id="146"/>
      <w:bookmarkEnd w:id="147"/>
    </w:p>
    <w:p>
      <w:pPr>
        <w:spacing w:line="600" w:lineRule="exact"/>
        <w:ind w:firstLine="642" w:firstLineChars="200"/>
        <w:outlineLvl w:val="2"/>
        <w:rPr>
          <w:rFonts w:ascii="仿宋" w:eastAsia="仿宋"/>
          <w:color w:val="000000"/>
          <w:sz w:val="32"/>
          <w:szCs w:val="32"/>
        </w:rPr>
      </w:pPr>
      <w:bookmarkStart w:id="148" w:name="_Toc1668"/>
      <w:bookmarkStart w:id="149" w:name="_Toc12947"/>
      <w:bookmarkStart w:id="150" w:name="_Toc15377222"/>
      <w:bookmarkStart w:id="151" w:name="_Toc79163625"/>
      <w:bookmarkStart w:id="152" w:name="_Toc10915"/>
      <w:r>
        <w:rPr>
          <w:rFonts w:hint="eastAsia" w:ascii="仿宋" w:eastAsia="仿宋"/>
          <w:b/>
          <w:color w:val="000000"/>
          <w:sz w:val="32"/>
          <w:szCs w:val="32"/>
        </w:rPr>
        <w:t>（一）机关运行经费支出情况</w:t>
      </w:r>
      <w:bookmarkEnd w:id="148"/>
      <w:bookmarkEnd w:id="149"/>
      <w:bookmarkEnd w:id="150"/>
      <w:bookmarkEnd w:id="151"/>
      <w:bookmarkEnd w:id="152"/>
    </w:p>
    <w:p>
      <w:pPr>
        <w:spacing w:line="600" w:lineRule="exact"/>
        <w:ind w:firstLine="640" w:firstLineChars="200"/>
        <w:rPr>
          <w:rFonts w:hint="eastAsia" w:ascii="仿宋" w:eastAsia="仿宋_GB2312"/>
          <w:b/>
          <w:color w:val="FF0000"/>
          <w:sz w:val="32"/>
          <w:szCs w:val="32"/>
          <w:lang w:eastAsia="zh-CN"/>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文联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53" w:name="_Toc22793"/>
      <w:bookmarkStart w:id="154" w:name="_Toc26006"/>
      <w:bookmarkStart w:id="155" w:name="_Toc15377223"/>
      <w:bookmarkStart w:id="156" w:name="_Toc13786"/>
      <w:bookmarkStart w:id="157" w:name="_Toc79163626"/>
      <w:r>
        <w:rPr>
          <w:rFonts w:hint="eastAsia" w:ascii="仿宋" w:eastAsia="仿宋"/>
          <w:b/>
          <w:color w:val="000000"/>
          <w:sz w:val="32"/>
          <w:szCs w:val="32"/>
        </w:rPr>
        <w:t>（二）政府采购支出情况</w:t>
      </w:r>
      <w:bookmarkEnd w:id="153"/>
      <w:bookmarkEnd w:id="154"/>
      <w:bookmarkEnd w:id="155"/>
      <w:bookmarkEnd w:id="156"/>
      <w:bookmarkEnd w:id="15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文联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58" w:name="_Toc79163627"/>
      <w:bookmarkStart w:id="159" w:name="_Toc15377224"/>
      <w:bookmarkStart w:id="160" w:name="_Toc22777"/>
      <w:bookmarkStart w:id="161" w:name="_Toc28352"/>
      <w:bookmarkStart w:id="162" w:name="_Toc28035"/>
      <w:r>
        <w:rPr>
          <w:rFonts w:hint="eastAsia" w:ascii="仿宋" w:eastAsia="仿宋"/>
          <w:b/>
          <w:color w:val="000000"/>
          <w:sz w:val="32"/>
          <w:szCs w:val="32"/>
        </w:rPr>
        <w:t>（三）国有资产占有使用情况</w:t>
      </w:r>
      <w:bookmarkEnd w:id="158"/>
      <w:bookmarkEnd w:id="159"/>
      <w:bookmarkEnd w:id="160"/>
      <w:bookmarkEnd w:id="161"/>
      <w:bookmarkEnd w:id="16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文联</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numPr>
          <w:ilvl w:val="0"/>
          <w:numId w:val="4"/>
        </w:numPr>
        <w:autoSpaceDE w:val="0"/>
        <w:autoSpaceDN w:val="0"/>
        <w:adjustRightInd w:val="0"/>
        <w:spacing w:line="600" w:lineRule="exact"/>
        <w:ind w:firstLine="642" w:firstLineChars="200"/>
        <w:jc w:val="left"/>
        <w:outlineLvl w:val="2"/>
        <w:rPr>
          <w:rFonts w:hint="eastAsia" w:ascii="仿宋" w:eastAsia="仿宋"/>
          <w:b/>
          <w:color w:val="000000"/>
          <w:sz w:val="32"/>
          <w:szCs w:val="32"/>
        </w:rPr>
      </w:pPr>
      <w:bookmarkStart w:id="163" w:name="_Toc24248"/>
      <w:bookmarkStart w:id="164" w:name="_Toc32270"/>
      <w:bookmarkStart w:id="165" w:name="_Toc79163628"/>
      <w:bookmarkStart w:id="166" w:name="_Toc27011"/>
      <w:r>
        <w:rPr>
          <w:rFonts w:hint="eastAsia" w:ascii="仿宋" w:eastAsia="仿宋"/>
          <w:b/>
          <w:color w:val="000000"/>
          <w:sz w:val="32"/>
          <w:szCs w:val="32"/>
        </w:rPr>
        <w:t>预算绩效管理情况。</w:t>
      </w:r>
      <w:bookmarkEnd w:id="163"/>
      <w:bookmarkEnd w:id="164"/>
      <w:bookmarkEnd w:id="165"/>
      <w:bookmarkEnd w:id="166"/>
      <w:r>
        <w:rPr>
          <w:rFonts w:hint="eastAsia" w:ascii="仿宋" w:eastAsia="仿宋"/>
          <w:b/>
          <w:color w:val="000000"/>
          <w:sz w:val="32"/>
          <w:szCs w:val="32"/>
          <w:lang w:val="en-US" w:eastAsia="zh-CN"/>
        </w:rPr>
        <w:t xml:space="preserve"> </w:t>
      </w:r>
    </w:p>
    <w:p>
      <w:pPr>
        <w:pStyle w:val="33"/>
        <w:numPr>
          <w:ilvl w:val="0"/>
          <w:numId w:val="0"/>
        </w:numPr>
        <w:spacing w:line="580" w:lineRule="exact"/>
        <w:ind w:leftChars="0" w:firstLine="960" w:firstLineChars="300"/>
        <w:rPr>
          <w:rFonts w:ascii="仿宋_GB2312" w:eastAsia="仿宋_GB2312"/>
          <w:sz w:val="32"/>
          <w:szCs w:val="32"/>
        </w:rPr>
      </w:pPr>
      <w:r>
        <w:rPr>
          <w:rFonts w:hint="eastAsia" w:ascii="仿宋_GB2312" w:eastAsia="仿宋_GB2312"/>
          <w:sz w:val="32"/>
          <w:szCs w:val="32"/>
        </w:rPr>
        <w:t>根据预算绩效管理要求，本部门在年初预算编制阶段，组织对1个项目开展了预算事前绩效评估，对1个项目编制了绩效目标，预算执行过程中，选取1个项目开展绩效监控，年终执行完毕后，对1个项目开展了绩效目标完成情况自评。</w:t>
      </w: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pStyle w:val="7"/>
        <w:numPr>
          <w:ilvl w:val="0"/>
          <w:numId w:val="0"/>
        </w:numPr>
      </w:pPr>
    </w:p>
    <w:p>
      <w:pPr>
        <w:numPr>
          <w:ilvl w:val="0"/>
          <w:numId w:val="5"/>
        </w:numPr>
        <w:spacing w:line="600" w:lineRule="exact"/>
        <w:ind w:left="0" w:firstLine="660" w:firstLineChars="150"/>
        <w:jc w:val="center"/>
        <w:outlineLvl w:val="0"/>
        <w:rPr>
          <w:rStyle w:val="23"/>
          <w:rFonts w:ascii="黑体" w:eastAsia="黑体"/>
          <w:b w:val="0"/>
        </w:rPr>
      </w:pPr>
      <w:bookmarkStart w:id="167" w:name="_Toc79163629"/>
      <w:bookmarkStart w:id="168" w:name="_Toc15377225"/>
      <w:bookmarkStart w:id="169" w:name="_Toc4717"/>
      <w:bookmarkStart w:id="170" w:name="_Toc14521"/>
      <w:bookmarkStart w:id="171" w:name="_Toc16360"/>
      <w:bookmarkStart w:id="172" w:name="_Toc15396613"/>
      <w:r>
        <w:rPr>
          <w:rFonts w:hint="eastAsia" w:ascii="黑体" w:eastAsia="黑体"/>
          <w:color w:val="000000"/>
          <w:sz w:val="44"/>
          <w:szCs w:val="44"/>
        </w:rPr>
        <w:t>名</w:t>
      </w:r>
      <w:r>
        <w:rPr>
          <w:rStyle w:val="23"/>
          <w:rFonts w:hint="eastAsia" w:ascii="黑体" w:eastAsia="黑体"/>
          <w:b w:val="0"/>
        </w:rPr>
        <w:t>词解释</w:t>
      </w:r>
      <w:bookmarkEnd w:id="167"/>
      <w:bookmarkEnd w:id="168"/>
      <w:bookmarkEnd w:id="169"/>
      <w:bookmarkEnd w:id="170"/>
      <w:bookmarkEnd w:id="171"/>
      <w:bookmarkEnd w:id="172"/>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left="638" w:leftChars="304" w:firstLine="0" w:firstLineChars="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.一般公共服务（类）群众团体事物（款）事业运行（项）：指单位内的基本支出。</w:t>
      </w:r>
    </w:p>
    <w:p>
      <w:pPr>
        <w:ind w:firstLine="800" w:firstLineChars="25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.社会保障和就业（类）行政事业单位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（款）机关事业单位基本养老保险缴费支出（项）：</w:t>
      </w:r>
      <w:r>
        <w:rPr>
          <w:rStyle w:val="34"/>
          <w:rFonts w:hint="eastAsia" w:ascii="仿宋_GB2312" w:eastAsia="仿宋_GB2312"/>
          <w:b w:val="0"/>
          <w:bCs/>
          <w:color w:val="000000"/>
          <w:sz w:val="32"/>
          <w:szCs w:val="32"/>
        </w:rPr>
        <w:t>指</w:t>
      </w:r>
      <w:r>
        <w:rPr>
          <w:rFonts w:hint="eastAsia" w:ascii="仿宋_GB2312" w:eastAsia="仿宋_GB2312"/>
          <w:color w:val="000000"/>
          <w:kern w:val="0"/>
          <w:sz w:val="32"/>
          <w:szCs w:val="32"/>
        </w:rPr>
        <w:t>单位实施养老保险制度由单位缴纳的养老保险费的支出</w:t>
      </w:r>
      <w:r>
        <w:rPr>
          <w:rFonts w:hint="eastAsia" w:ascii="仿宋_GB2312" w:eastAsia="仿宋_GB2312"/>
          <w:color w:val="000000"/>
          <w:sz w:val="32"/>
          <w:szCs w:val="32"/>
        </w:rPr>
        <w:t>。</w:t>
      </w:r>
    </w:p>
    <w:p>
      <w:pPr>
        <w:ind w:firstLine="800" w:firstLineChars="250"/>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.社会保障和就业（类）行政事业单位</w:t>
      </w:r>
      <w:r>
        <w:rPr>
          <w:rFonts w:hint="eastAsia" w:ascii="仿宋_GB2312" w:eastAsia="仿宋_GB2312"/>
          <w:color w:val="000000"/>
          <w:sz w:val="32"/>
          <w:szCs w:val="32"/>
          <w:lang w:eastAsia="zh-CN"/>
        </w:rPr>
        <w:t>职业年金支出</w:t>
      </w:r>
      <w:r>
        <w:rPr>
          <w:rFonts w:hint="eastAsia" w:ascii="仿宋_GB2312" w:eastAsia="仿宋_GB2312"/>
          <w:color w:val="000000"/>
          <w:sz w:val="32"/>
          <w:szCs w:val="32"/>
        </w:rPr>
        <w:t>（款）机关事业单位基本</w:t>
      </w:r>
      <w:r>
        <w:rPr>
          <w:rFonts w:hint="eastAsia" w:ascii="仿宋_GB2312" w:eastAsia="仿宋_GB2312"/>
          <w:color w:val="000000"/>
          <w:sz w:val="32"/>
          <w:szCs w:val="32"/>
          <w:lang w:eastAsia="zh-CN"/>
        </w:rPr>
        <w:t>职业年金</w:t>
      </w:r>
      <w:r>
        <w:rPr>
          <w:rFonts w:hint="eastAsia" w:ascii="仿宋_GB2312" w:eastAsia="仿宋_GB2312"/>
          <w:color w:val="000000"/>
          <w:sz w:val="32"/>
          <w:szCs w:val="32"/>
        </w:rPr>
        <w:t>缴费支出（项）：</w:t>
      </w:r>
      <w:r>
        <w:rPr>
          <w:rStyle w:val="34"/>
          <w:rFonts w:hint="eastAsia" w:ascii="仿宋_GB2312" w:eastAsia="仿宋_GB2312"/>
          <w:b w:val="0"/>
          <w:bCs/>
          <w:color w:val="000000"/>
          <w:sz w:val="32"/>
          <w:szCs w:val="32"/>
        </w:rPr>
        <w:t>指</w:t>
      </w:r>
      <w:r>
        <w:rPr>
          <w:rFonts w:hint="eastAsia" w:ascii="仿宋_GB2312" w:eastAsia="仿宋_GB2312"/>
          <w:color w:val="000000"/>
          <w:kern w:val="0"/>
          <w:sz w:val="32"/>
          <w:szCs w:val="32"/>
        </w:rPr>
        <w:t>单位实施养老保险制度由单位缴纳的</w:t>
      </w:r>
      <w:r>
        <w:rPr>
          <w:rFonts w:hint="eastAsia" w:ascii="仿宋_GB2312" w:eastAsia="仿宋_GB2312"/>
          <w:color w:val="000000"/>
          <w:kern w:val="0"/>
          <w:sz w:val="32"/>
          <w:szCs w:val="32"/>
          <w:lang w:eastAsia="zh-CN"/>
        </w:rPr>
        <w:t>职业年金</w:t>
      </w:r>
      <w:r>
        <w:rPr>
          <w:rFonts w:hint="eastAsia" w:ascii="仿宋_GB2312" w:eastAsia="仿宋_GB2312"/>
          <w:color w:val="000000"/>
          <w:kern w:val="0"/>
          <w:sz w:val="32"/>
          <w:szCs w:val="32"/>
        </w:rPr>
        <w:t>保险费的支出</w:t>
      </w:r>
      <w:r>
        <w:rPr>
          <w:rFonts w:hint="eastAsia" w:ascii="仿宋_GB2312" w:eastAsia="仿宋_GB2312"/>
          <w:color w:val="000000"/>
          <w:sz w:val="32"/>
          <w:szCs w:val="32"/>
        </w:rPr>
        <w:t>。</w:t>
      </w:r>
    </w:p>
    <w:p>
      <w:pPr>
        <w:ind w:firstLine="800" w:firstLineChars="250"/>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.医疗卫生与计划生育（类）行政事业单位医疗（款）事业单位医疗（项）：</w:t>
      </w:r>
      <w:r>
        <w:rPr>
          <w:rStyle w:val="34"/>
          <w:rFonts w:hint="eastAsia" w:ascii="仿宋_GB2312" w:eastAsia="仿宋_GB2312"/>
          <w:b w:val="0"/>
          <w:bCs/>
          <w:color w:val="000000"/>
          <w:sz w:val="32"/>
          <w:szCs w:val="32"/>
        </w:rPr>
        <w:t>指</w:t>
      </w:r>
      <w:r>
        <w:rPr>
          <w:rFonts w:hint="eastAsia" w:ascii="仿宋_GB2312" w:eastAsia="仿宋_GB2312"/>
          <w:color w:val="000000"/>
          <w:kern w:val="0"/>
          <w:sz w:val="32"/>
          <w:szCs w:val="32"/>
        </w:rPr>
        <w:t>行政单位用于缴纳单位基本医疗保险支出</w:t>
      </w:r>
      <w:r>
        <w:rPr>
          <w:rFonts w:hint="eastAsia" w:ascii="仿宋_GB2312" w:eastAsia="仿宋_GB2312"/>
          <w:color w:val="000000"/>
          <w:sz w:val="32"/>
          <w:szCs w:val="32"/>
        </w:rPr>
        <w:t>。</w:t>
      </w:r>
    </w:p>
    <w:p>
      <w:pPr>
        <w:ind w:firstLine="960" w:firstLineChars="300"/>
        <w:rPr>
          <w:rFonts w:hint="eastAsia" w:ascii="仿宋_GB2312" w:eastAsia="仿宋_GB2312"/>
          <w:color w:val="000000"/>
          <w:kern w:val="0"/>
          <w:sz w:val="32"/>
          <w:szCs w:val="32"/>
          <w:lang w:val="en-US"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Style w:val="34"/>
          <w:rFonts w:hint="eastAsia" w:ascii="仿宋_GB2312" w:eastAsia="仿宋_GB2312"/>
          <w:b w:val="0"/>
          <w:bCs/>
          <w:color w:val="000000"/>
          <w:sz w:val="32"/>
          <w:szCs w:val="32"/>
        </w:rPr>
        <w:t>住房保障支出（类）住房改革支出（款）住房公积金（项）:指</w:t>
      </w:r>
      <w:r>
        <w:rPr>
          <w:rFonts w:hint="eastAsia" w:ascii="仿宋_GB2312" w:eastAsia="仿宋_GB2312"/>
          <w:color w:val="000000"/>
          <w:kern w:val="0"/>
          <w:sz w:val="32"/>
          <w:szCs w:val="32"/>
        </w:rPr>
        <w:t>反映行政事业单位按规定为职工缴纳的住房</w:t>
      </w:r>
      <w:r>
        <w:rPr>
          <w:rFonts w:hint="eastAsia" w:ascii="仿宋_GB2312" w:eastAsia="仿宋_GB2312"/>
          <w:color w:val="000000"/>
          <w:kern w:val="0"/>
          <w:sz w:val="32"/>
          <w:szCs w:val="32"/>
          <w:lang w:eastAsia="zh-CN"/>
        </w:rPr>
        <w:t>公积金。</w:t>
      </w:r>
      <w:r>
        <w:rPr>
          <w:rFonts w:hint="eastAsia" w:ascii="仿宋_GB2312" w:eastAsia="仿宋_GB2312"/>
          <w:color w:val="000000"/>
          <w:kern w:val="0"/>
          <w:sz w:val="32"/>
          <w:szCs w:val="32"/>
          <w:lang w:val="en-US" w:eastAsia="zh-CN"/>
        </w:rPr>
        <w:t xml:space="preserve">   </w:t>
      </w:r>
    </w:p>
    <w:p>
      <w:pPr>
        <w:ind w:firstLine="960" w:firstLineChars="300"/>
        <w:rPr>
          <w:rStyle w:val="34"/>
          <w:rFonts w:hint="eastAsia" w:ascii="仿宋_GB2312" w:eastAsia="仿宋_GB2312"/>
          <w:b w:val="0"/>
          <w:bCs/>
          <w:color w:val="000000"/>
          <w:sz w:val="32"/>
          <w:szCs w:val="32"/>
        </w:rPr>
      </w:pPr>
      <w:r>
        <w:rPr>
          <w:rStyle w:val="34"/>
          <w:rFonts w:hint="eastAsia" w:ascii="仿宋_GB2312" w:eastAsia="仿宋_GB2312"/>
          <w:b w:val="0"/>
          <w:bCs/>
          <w:color w:val="000000"/>
          <w:sz w:val="32"/>
          <w:szCs w:val="32"/>
          <w:lang w:val="en-US" w:eastAsia="zh-CN"/>
        </w:rPr>
        <w:t>13.</w:t>
      </w:r>
      <w:r>
        <w:rPr>
          <w:rStyle w:val="34"/>
          <w:rFonts w:hint="eastAsia" w:ascii="仿宋_GB2312" w:eastAsia="仿宋_GB2312"/>
          <w:b w:val="0"/>
          <w:bCs/>
          <w:color w:val="000000"/>
          <w:sz w:val="32"/>
          <w:szCs w:val="32"/>
        </w:rPr>
        <w:t>文化旅游体育与传媒（类）</w:t>
      </w:r>
      <w:r>
        <w:rPr>
          <w:rStyle w:val="34"/>
          <w:rFonts w:hint="eastAsia" w:ascii="仿宋_GB2312" w:eastAsia="仿宋_GB2312"/>
          <w:b w:val="0"/>
          <w:bCs/>
          <w:color w:val="000000"/>
          <w:sz w:val="32"/>
          <w:szCs w:val="32"/>
          <w:lang w:eastAsia="zh-CN"/>
        </w:rPr>
        <w:t>文化和旅游</w:t>
      </w:r>
      <w:r>
        <w:rPr>
          <w:rStyle w:val="34"/>
          <w:rFonts w:hint="eastAsia" w:ascii="仿宋_GB2312" w:eastAsia="仿宋_GB2312"/>
          <w:b w:val="0"/>
          <w:bCs/>
          <w:color w:val="000000"/>
          <w:sz w:val="32"/>
          <w:szCs w:val="32"/>
        </w:rPr>
        <w:t>（款）</w:t>
      </w:r>
      <w:r>
        <w:rPr>
          <w:rStyle w:val="34"/>
          <w:rFonts w:hint="eastAsia" w:ascii="仿宋_GB2312" w:eastAsia="仿宋_GB2312"/>
          <w:b w:val="0"/>
          <w:bCs/>
          <w:color w:val="000000"/>
          <w:sz w:val="32"/>
          <w:szCs w:val="32"/>
          <w:lang w:eastAsia="zh-CN"/>
        </w:rPr>
        <w:t>其他文化和旅游支出</w:t>
      </w:r>
      <w:r>
        <w:rPr>
          <w:rStyle w:val="34"/>
          <w:rFonts w:hint="eastAsia" w:ascii="仿宋_GB2312" w:eastAsia="仿宋_GB2312"/>
          <w:b w:val="0"/>
          <w:bCs/>
          <w:color w:val="000000"/>
          <w:sz w:val="32"/>
          <w:szCs w:val="32"/>
        </w:rPr>
        <w:t>（项）</w:t>
      </w:r>
      <w:r>
        <w:rPr>
          <w:rStyle w:val="34"/>
          <w:rFonts w:hint="eastAsia" w:ascii="仿宋_GB2312" w:eastAsia="仿宋_GB2312"/>
          <w:b w:val="0"/>
          <w:bCs/>
          <w:color w:val="000000"/>
          <w:sz w:val="32"/>
          <w:szCs w:val="32"/>
          <w:lang w:eastAsia="zh-CN"/>
        </w:rPr>
        <w:t>：</w:t>
      </w:r>
      <w:r>
        <w:rPr>
          <w:rStyle w:val="34"/>
          <w:rFonts w:hint="eastAsia" w:ascii="仿宋_GB2312" w:eastAsia="仿宋_GB2312"/>
          <w:b w:val="0"/>
          <w:bCs/>
          <w:color w:val="000000"/>
          <w:sz w:val="32"/>
          <w:szCs w:val="32"/>
        </w:rPr>
        <w:t>指</w:t>
      </w:r>
      <w:r>
        <w:rPr>
          <w:rStyle w:val="34"/>
          <w:rFonts w:hint="eastAsia" w:ascii="仿宋_GB2312" w:eastAsia="仿宋_GB2312"/>
          <w:b w:val="0"/>
          <w:bCs/>
          <w:color w:val="000000"/>
          <w:sz w:val="32"/>
          <w:szCs w:val="32"/>
          <w:lang w:eastAsia="zh-CN"/>
        </w:rPr>
        <w:t>用于单位其他文化旅游支出</w:t>
      </w:r>
      <w:r>
        <w:rPr>
          <w:rStyle w:val="34"/>
          <w:rFonts w:hint="eastAsia" w:ascii="仿宋_GB2312" w:eastAsia="仿宋_GB2312"/>
          <w:b w:val="0"/>
          <w:bCs/>
          <w:color w:val="000000"/>
          <w:sz w:val="32"/>
          <w:szCs w:val="32"/>
        </w:rPr>
        <w:t>。</w:t>
      </w:r>
    </w:p>
    <w:p>
      <w:pPr>
        <w:ind w:firstLine="960" w:firstLineChars="300"/>
        <w:rPr>
          <w:rStyle w:val="34"/>
          <w:rFonts w:hint="eastAsia" w:ascii="仿宋_GB2312" w:eastAsia="仿宋_GB2312"/>
          <w:b w:val="0"/>
          <w:bCs/>
          <w:color w:val="000000"/>
          <w:sz w:val="32"/>
          <w:szCs w:val="32"/>
        </w:rPr>
      </w:pPr>
      <w:r>
        <w:rPr>
          <w:rStyle w:val="34"/>
          <w:rFonts w:hint="eastAsia" w:ascii="仿宋_GB2312" w:eastAsia="仿宋_GB2312"/>
          <w:b w:val="0"/>
          <w:bCs/>
          <w:color w:val="000000"/>
          <w:sz w:val="32"/>
          <w:szCs w:val="32"/>
          <w:lang w:val="en-US" w:eastAsia="zh-CN"/>
        </w:rPr>
        <w:t>14</w:t>
      </w:r>
      <w:r>
        <w:rPr>
          <w:rStyle w:val="34"/>
          <w:rFonts w:hint="eastAsia" w:ascii="仿宋_GB2312" w:eastAsia="仿宋_GB2312"/>
          <w:b w:val="0"/>
          <w:bCs/>
          <w:color w:val="000000"/>
          <w:sz w:val="32"/>
          <w:szCs w:val="32"/>
        </w:rPr>
        <w:t>.</w:t>
      </w:r>
      <w:r>
        <w:rPr>
          <w:rStyle w:val="34"/>
          <w:rFonts w:hint="eastAsia" w:ascii="仿宋_GB2312" w:eastAsia="仿宋_GB2312"/>
          <w:b w:val="0"/>
          <w:bCs/>
          <w:color w:val="000000"/>
          <w:sz w:val="32"/>
          <w:szCs w:val="32"/>
          <w:lang w:eastAsia="zh-CN"/>
        </w:rPr>
        <w:t>农林水支出</w:t>
      </w:r>
      <w:r>
        <w:rPr>
          <w:rStyle w:val="34"/>
          <w:rFonts w:hint="eastAsia" w:ascii="仿宋_GB2312" w:eastAsia="仿宋_GB2312"/>
          <w:b w:val="0"/>
          <w:bCs/>
          <w:color w:val="000000"/>
          <w:sz w:val="32"/>
          <w:szCs w:val="32"/>
        </w:rPr>
        <w:t>（类）</w:t>
      </w:r>
      <w:r>
        <w:rPr>
          <w:rStyle w:val="34"/>
          <w:rFonts w:hint="eastAsia" w:ascii="仿宋_GB2312" w:eastAsia="仿宋_GB2312"/>
          <w:b w:val="0"/>
          <w:bCs/>
          <w:color w:val="000000"/>
          <w:sz w:val="32"/>
          <w:szCs w:val="32"/>
          <w:lang w:eastAsia="zh-CN"/>
        </w:rPr>
        <w:t>扶贫</w:t>
      </w:r>
      <w:r>
        <w:rPr>
          <w:rStyle w:val="34"/>
          <w:rFonts w:hint="eastAsia" w:ascii="仿宋_GB2312" w:eastAsia="仿宋_GB2312"/>
          <w:b w:val="0"/>
          <w:bCs/>
          <w:color w:val="000000"/>
          <w:sz w:val="32"/>
          <w:szCs w:val="32"/>
        </w:rPr>
        <w:t>（款）</w:t>
      </w:r>
      <w:r>
        <w:rPr>
          <w:rStyle w:val="34"/>
          <w:rFonts w:hint="eastAsia" w:ascii="仿宋_GB2312" w:eastAsia="仿宋_GB2312"/>
          <w:b w:val="0"/>
          <w:bCs/>
          <w:color w:val="000000"/>
          <w:sz w:val="32"/>
          <w:szCs w:val="32"/>
          <w:lang w:eastAsia="zh-CN"/>
        </w:rPr>
        <w:t>其他扶贫支出</w:t>
      </w:r>
      <w:r>
        <w:rPr>
          <w:rStyle w:val="34"/>
          <w:rFonts w:hint="eastAsia" w:ascii="仿宋_GB2312" w:eastAsia="仿宋_GB2312"/>
          <w:b w:val="0"/>
          <w:bCs/>
          <w:color w:val="000000"/>
          <w:sz w:val="32"/>
          <w:szCs w:val="32"/>
        </w:rPr>
        <w:t>（项）</w:t>
      </w:r>
      <w:r>
        <w:rPr>
          <w:rStyle w:val="34"/>
          <w:rFonts w:hint="eastAsia" w:ascii="仿宋_GB2312" w:eastAsia="仿宋_GB2312"/>
          <w:b w:val="0"/>
          <w:bCs/>
          <w:color w:val="000000"/>
          <w:sz w:val="32"/>
          <w:szCs w:val="32"/>
          <w:lang w:eastAsia="zh-CN"/>
        </w:rPr>
        <w:t>：</w:t>
      </w:r>
      <w:r>
        <w:rPr>
          <w:rStyle w:val="34"/>
          <w:rFonts w:hint="eastAsia" w:ascii="仿宋_GB2312" w:eastAsia="仿宋_GB2312"/>
          <w:b w:val="0"/>
          <w:bCs/>
          <w:color w:val="000000"/>
          <w:sz w:val="32"/>
          <w:szCs w:val="32"/>
        </w:rPr>
        <w:t>指</w:t>
      </w:r>
      <w:r>
        <w:rPr>
          <w:rStyle w:val="34"/>
          <w:rFonts w:hint="eastAsia" w:ascii="仿宋_GB2312" w:eastAsia="仿宋_GB2312"/>
          <w:b w:val="0"/>
          <w:bCs/>
          <w:color w:val="000000"/>
          <w:sz w:val="32"/>
          <w:szCs w:val="32"/>
          <w:lang w:eastAsia="zh-CN"/>
        </w:rPr>
        <w:t>行政事业单位其他扶贫支出</w:t>
      </w:r>
      <w:r>
        <w:rPr>
          <w:rStyle w:val="34"/>
          <w:rFonts w:hint="eastAsia" w:ascii="仿宋_GB2312" w:eastAsia="仿宋_GB2312"/>
          <w:b w:val="0"/>
          <w:bCs/>
          <w:color w:val="000000"/>
          <w:sz w:val="32"/>
          <w:szCs w:val="32"/>
        </w:rPr>
        <w:t>。</w:t>
      </w:r>
    </w:p>
    <w:p>
      <w:pPr>
        <w:ind w:firstLine="960" w:firstLineChars="300"/>
        <w:rPr>
          <w:rFonts w:ascii="仿宋_GB2312" w:eastAsia="仿宋_GB2312"/>
          <w:color w:val="000000"/>
          <w:sz w:val="32"/>
          <w:szCs w:val="32"/>
        </w:rPr>
      </w:pPr>
      <w:r>
        <w:rPr>
          <w:rStyle w:val="34"/>
          <w:rFonts w:hint="eastAsia" w:ascii="仿宋_GB2312" w:eastAsia="仿宋_GB2312"/>
          <w:b w:val="0"/>
          <w:bCs/>
          <w:color w:val="000000"/>
          <w:sz w:val="32"/>
          <w:szCs w:val="32"/>
          <w:lang w:val="en-US" w:eastAsia="zh-CN"/>
        </w:rPr>
        <w:t>15</w:t>
      </w:r>
      <w:r>
        <w:rPr>
          <w:rStyle w:val="34"/>
          <w:rFonts w:hint="eastAsia" w:ascii="仿宋_GB2312" w:eastAsia="仿宋_GB2312"/>
          <w:b w:val="0"/>
          <w:bCs/>
          <w:color w:val="000000"/>
          <w:sz w:val="32"/>
          <w:szCs w:val="32"/>
        </w:rPr>
        <w:t>.基本支出：指为保障机构正</w:t>
      </w:r>
      <w:r>
        <w:rPr>
          <w:rFonts w:hint="eastAsia" w:ascii="仿宋_GB2312" w:eastAsia="仿宋_GB2312"/>
          <w:color w:val="000000"/>
          <w:sz w:val="32"/>
          <w:szCs w:val="32"/>
        </w:rPr>
        <w:t>常运转、完成日常工作任务而发生的人员支出和公用支出。</w:t>
      </w:r>
    </w:p>
    <w:p>
      <w:pPr>
        <w:ind w:firstLine="960" w:firstLineChars="3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960" w:firstLineChars="3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960" w:firstLineChars="3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960" w:firstLineChars="3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bookmarkStart w:id="173" w:name="_Toc15377226"/>
      <w:r>
        <w:rPr>
          <w:rFonts w:ascii="宋体"/>
          <w:b/>
          <w:color w:val="000000"/>
          <w:sz w:val="44"/>
          <w:szCs w:val="44"/>
        </w:rPr>
        <w:br w:type="page"/>
      </w:r>
      <w:bookmarkStart w:id="174" w:name="_Toc79163630"/>
      <w:bookmarkStart w:id="175" w:name="_Toc13370"/>
      <w:bookmarkStart w:id="176" w:name="_Toc14712"/>
      <w:bookmarkStart w:id="177" w:name="_Toc2090"/>
      <w:bookmarkStart w:id="178"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74"/>
      <w:bookmarkEnd w:id="175"/>
      <w:bookmarkEnd w:id="176"/>
      <w:bookmarkEnd w:id="177"/>
      <w:bookmarkEnd w:id="178"/>
    </w:p>
    <w:p>
      <w:pPr>
        <w:spacing w:line="600" w:lineRule="exact"/>
        <w:jc w:val="left"/>
        <w:outlineLvl w:val="1"/>
        <w:rPr>
          <w:rFonts w:ascii="方正小标宋简体" w:eastAsia="方正小标宋简体" w:cs="方正小标宋简体"/>
          <w:sz w:val="32"/>
          <w:szCs w:val="32"/>
        </w:rPr>
      </w:pPr>
      <w:bookmarkStart w:id="179" w:name="_Toc20936"/>
      <w:bookmarkStart w:id="180" w:name="_Toc705"/>
      <w:bookmarkStart w:id="181" w:name="_Toc79163631"/>
      <w:bookmarkStart w:id="182" w:name="_Toc25575"/>
      <w:r>
        <w:rPr>
          <w:rFonts w:hint="eastAsia" w:ascii="黑体" w:eastAsia="黑体" w:cs="黑体"/>
          <w:sz w:val="32"/>
          <w:szCs w:val="32"/>
        </w:rPr>
        <w:t>附件</w:t>
      </w:r>
      <w:r>
        <w:rPr>
          <w:rFonts w:ascii="黑体" w:eastAsia="黑体" w:cs="黑体"/>
          <w:sz w:val="32"/>
          <w:szCs w:val="32"/>
        </w:rPr>
        <w:t>1</w:t>
      </w:r>
      <w:bookmarkEnd w:id="179"/>
      <w:bookmarkEnd w:id="180"/>
      <w:bookmarkEnd w:id="181"/>
      <w:bookmarkEnd w:id="182"/>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83" w:name="_Toc2869"/>
      <w:bookmarkStart w:id="184" w:name="_Toc21164"/>
      <w:bookmarkStart w:id="185" w:name="_Toc79163632"/>
      <w:bookmarkStart w:id="186" w:name="_Toc16492"/>
      <w:r>
        <w:rPr>
          <w:rFonts w:hint="eastAsia" w:ascii="方正小标宋简体" w:eastAsia="方正小标宋简体" w:cs="黑体"/>
          <w:sz w:val="44"/>
          <w:szCs w:val="44"/>
          <w:lang w:eastAsia="zh-CN"/>
        </w:rPr>
        <w:t>文联</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83"/>
      <w:bookmarkEnd w:id="184"/>
      <w:bookmarkEnd w:id="185"/>
      <w:bookmarkEnd w:id="186"/>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lang w:val="zh-CN"/>
        </w:rPr>
      </w:pPr>
      <w:bookmarkStart w:id="187" w:name="_Toc23558"/>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bookmarkEnd w:id="187"/>
    </w:p>
    <w:p>
      <w:pPr>
        <w:spacing w:line="576"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（一）机构组成。</w:t>
      </w:r>
      <w:r>
        <w:rPr>
          <w:rFonts w:hint="eastAsia" w:ascii="仿宋_GB2312" w:hAnsi="仿宋_GB2312" w:eastAsia="仿宋_GB2312" w:cs="仿宋_GB2312"/>
          <w:sz w:val="32"/>
          <w:szCs w:val="32"/>
        </w:rPr>
        <w:t>茂县文学艺术界联合会目前仅内设办公室和财务室。</w:t>
      </w:r>
    </w:p>
    <w:p>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shd w:val="clear" w:color="auto" w:fill="FFFFFF"/>
          <w:lang w:val="zh-CN"/>
        </w:rPr>
        <w:t>（二）机构职能。</w:t>
      </w:r>
      <w:r>
        <w:rPr>
          <w:rFonts w:hint="eastAsia" w:ascii="仿宋_GB2312" w:hAnsi="仿宋_GB2312" w:eastAsia="仿宋_GB2312" w:cs="仿宋_GB2312"/>
          <w:sz w:val="32"/>
          <w:szCs w:val="32"/>
        </w:rPr>
        <w:t>茂县文学艺术界联合会是</w:t>
      </w:r>
      <w:r>
        <w:rPr>
          <w:rFonts w:hint="eastAsia" w:ascii="仿宋_GB2312" w:hAnsi="仿宋_GB2312" w:eastAsia="仿宋_GB2312" w:cs="仿宋_GB2312"/>
          <w:kern w:val="0"/>
          <w:sz w:val="32"/>
          <w:szCs w:val="32"/>
        </w:rPr>
        <w:t>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r>
        <w:rPr>
          <w:rFonts w:hint="eastAsia" w:ascii="仿宋_GB2312" w:hAnsi="仿宋_GB2312" w:eastAsia="仿宋_GB2312" w:cs="仿宋_GB2312"/>
          <w:sz w:val="32"/>
          <w:szCs w:val="32"/>
        </w:rPr>
        <w:t>。</w:t>
      </w:r>
    </w:p>
    <w:p>
      <w:pPr>
        <w:widowControl/>
        <w:spacing w:line="600" w:lineRule="exact"/>
        <w:ind w:left="210" w:leftChars="100" w:firstLine="320" w:firstLineChars="100"/>
        <w:jc w:val="left"/>
        <w:rPr>
          <w:rFonts w:ascii="仿宋_GB2312" w:hAnsi="宋体" w:cs="宋体"/>
          <w:color w:val="000000"/>
          <w:kern w:val="0"/>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（三）人员概况。</w:t>
      </w:r>
      <w:r>
        <w:rPr>
          <w:rFonts w:hint="eastAsia" w:ascii="仿宋_GB2312" w:hAnsi="仿宋_GB2312" w:eastAsia="仿宋_GB2312" w:cs="仿宋_GB2312"/>
          <w:color w:val="000000"/>
          <w:kern w:val="0"/>
          <w:sz w:val="32"/>
          <w:szCs w:val="32"/>
        </w:rPr>
        <w:t>总编制 4名,其中:事业编制 4 名。在职人员总数4名。</w:t>
      </w:r>
      <w:r>
        <w:rPr>
          <w:rFonts w:hint="eastAsia" w:ascii="仿宋_GB2312" w:hAnsi="仿宋_GB2312" w:eastAsia="仿宋_GB2312" w:cs="仿宋_GB2312"/>
          <w:color w:val="000000"/>
          <w:kern w:val="0"/>
          <w:sz w:val="32"/>
          <w:szCs w:val="32"/>
          <w:shd w:val="clear" w:color="auto" w:fill="FFFFFF"/>
          <w:lang w:val="zh-CN"/>
        </w:rPr>
        <w:t> </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88" w:name="_Toc4568"/>
      <w:r>
        <w:rPr>
          <w:rFonts w:hint="eastAsia" w:ascii="黑体" w:eastAsia="黑体" w:cs="宋体"/>
          <w:color w:val="000000"/>
          <w:kern w:val="0"/>
          <w:sz w:val="32"/>
          <w:szCs w:val="32"/>
          <w:shd w:val="clear" w:color="auto" w:fill="FFFFFF"/>
        </w:rPr>
        <w:t>二、部门财政资金收支情况</w:t>
      </w:r>
      <w:bookmarkEnd w:id="188"/>
    </w:p>
    <w:p>
      <w:pPr>
        <w:widowControl/>
        <w:adjustRightInd w:val="0"/>
        <w:snapToGrid w:val="0"/>
        <w:spacing w:line="540" w:lineRule="exact"/>
        <w:ind w:left="315" w:leftChars="150" w:firstLine="160" w:firstLineChars="5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茂县文学艺术界联合会</w:t>
      </w:r>
      <w:r>
        <w:rPr>
          <w:rFonts w:hint="eastAsia" w:ascii="仿宋_GB2312" w:hAnsi="仿宋_GB2312" w:eastAsia="仿宋_GB2312" w:cs="仿宋_GB2312"/>
          <w:color w:val="000000"/>
          <w:kern w:val="0"/>
          <w:sz w:val="32"/>
          <w:szCs w:val="32"/>
          <w:shd w:val="clear" w:color="auto" w:fill="FFFFFF"/>
          <w:lang w:val="en-US" w:eastAsia="zh-CN"/>
        </w:rPr>
        <w:t>2021</w:t>
      </w:r>
      <w:r>
        <w:rPr>
          <w:rFonts w:hint="eastAsia" w:ascii="仿宋_GB2312" w:hAnsi="仿宋_GB2312" w:eastAsia="仿宋_GB2312" w:cs="仿宋_GB2312"/>
          <w:color w:val="000000"/>
          <w:kern w:val="0"/>
          <w:sz w:val="32"/>
          <w:szCs w:val="32"/>
          <w:shd w:val="clear" w:color="auto" w:fill="FFFFFF"/>
          <w:lang w:val="zh-CN"/>
        </w:rPr>
        <w:t>年部门预算收入总额</w:t>
      </w:r>
      <w:r>
        <w:rPr>
          <w:rFonts w:hint="eastAsia" w:ascii="仿宋_GB2312" w:hAnsi="仿宋_GB2312" w:eastAsia="仿宋_GB2312" w:cs="仿宋_GB2312"/>
          <w:sz w:val="32"/>
          <w:szCs w:val="32"/>
          <w:lang w:val="en-US" w:eastAsia="zh-CN"/>
        </w:rPr>
        <w:t>78.73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w:t>
      </w:r>
    </w:p>
    <w:p>
      <w:pPr>
        <w:widowControl/>
        <w:numPr>
          <w:ilvl w:val="0"/>
          <w:numId w:val="6"/>
        </w:numPr>
        <w:adjustRightInd w:val="0"/>
        <w:snapToGrid w:val="0"/>
        <w:spacing w:line="540" w:lineRule="exact"/>
        <w:ind w:left="420" w:left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茂县文学艺术界联合会</w:t>
      </w:r>
      <w:r>
        <w:rPr>
          <w:rFonts w:hint="eastAsia" w:ascii="仿宋_GB2312" w:hAnsi="仿宋_GB2312" w:eastAsia="仿宋_GB2312" w:cs="仿宋_GB2312"/>
          <w:color w:val="000000"/>
          <w:kern w:val="0"/>
          <w:sz w:val="32"/>
          <w:szCs w:val="32"/>
          <w:shd w:val="clear" w:color="auto" w:fill="FFFFFF"/>
          <w:lang w:val="en-US" w:eastAsia="zh-CN"/>
        </w:rPr>
        <w:t>2021</w:t>
      </w:r>
      <w:r>
        <w:rPr>
          <w:rFonts w:hint="eastAsia" w:ascii="仿宋_GB2312" w:hAnsi="仿宋_GB2312" w:eastAsia="仿宋_GB2312" w:cs="仿宋_GB2312"/>
          <w:color w:val="000000"/>
          <w:kern w:val="0"/>
          <w:sz w:val="32"/>
          <w:szCs w:val="32"/>
          <w:shd w:val="clear" w:color="auto" w:fill="FFFFFF"/>
          <w:lang w:val="zh-CN"/>
        </w:rPr>
        <w:t>年部门支出总额</w:t>
      </w:r>
      <w:r>
        <w:rPr>
          <w:rFonts w:hint="eastAsia" w:ascii="仿宋_GB2312" w:hAnsi="仿宋_GB2312" w:eastAsia="仿宋_GB2312" w:cs="仿宋_GB2312"/>
          <w:sz w:val="32"/>
          <w:szCs w:val="32"/>
          <w:lang w:val="en-US" w:eastAsia="zh-CN"/>
        </w:rPr>
        <w:t>78.73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。其中基本支出</w:t>
      </w:r>
      <w:r>
        <w:rPr>
          <w:rFonts w:hint="eastAsia" w:ascii="仿宋_GB2312" w:hAnsi="仿宋_GB2312" w:eastAsia="仿宋_GB2312" w:cs="仿宋_GB2312"/>
          <w:color w:val="000000"/>
          <w:kern w:val="0"/>
          <w:sz w:val="32"/>
          <w:szCs w:val="32"/>
          <w:shd w:val="clear" w:color="auto" w:fill="FFFFFF"/>
          <w:lang w:val="en-US" w:eastAsia="zh-CN"/>
        </w:rPr>
        <w:t>70.84万元；项目支出7.8万元，用于我会《九鼎山》杂志出版及活动费。</w:t>
      </w:r>
      <w:r>
        <w:rPr>
          <w:rFonts w:hint="eastAsia" w:ascii="仿宋_GB2312" w:hAnsi="仿宋_GB2312" w:eastAsia="仿宋_GB2312" w:cs="仿宋_GB2312"/>
          <w:color w:val="000000"/>
          <w:kern w:val="0"/>
          <w:sz w:val="32"/>
          <w:szCs w:val="32"/>
          <w:shd w:val="clear" w:color="auto" w:fill="FFFFFF"/>
          <w:lang w:val="zh-CN"/>
        </w:rPr>
        <w:t>在预决算编制过程中，我会严格按照财政部门量入为出</w:t>
      </w:r>
      <w:r>
        <w:rPr>
          <w:rFonts w:hint="eastAsia" w:ascii="仿宋_GB2312" w:hAnsi="仿宋_GB2312" w:eastAsia="仿宋_GB2312" w:cs="仿宋_GB2312"/>
          <w:color w:val="000000"/>
          <w:kern w:val="0"/>
          <w:sz w:val="32"/>
          <w:szCs w:val="32"/>
          <w:shd w:val="clear" w:color="auto" w:fill="FFFFFF"/>
        </w:rPr>
        <w:t xml:space="preserve"> ，实事求是的要求，细致核定相关工作经费。 </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89" w:name="_Toc22765"/>
      <w:r>
        <w:rPr>
          <w:rFonts w:hint="eastAsia" w:ascii="黑体" w:eastAsia="黑体" w:cs="宋体"/>
          <w:color w:val="000000"/>
          <w:kern w:val="0"/>
          <w:sz w:val="32"/>
          <w:szCs w:val="32"/>
          <w:shd w:val="clear" w:color="auto" w:fill="FFFFFF"/>
        </w:rPr>
        <w:t>三、部门整体预算绩效管理情况</w:t>
      </w:r>
      <w:bookmarkEnd w:id="189"/>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（一）部门预算项目绩效管理。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en-US" w:eastAsia="zh-CN"/>
        </w:rPr>
        <w:t>1.建立健全支出管理制度和岗位责任制。明确岗位的职责、权限，确保支出的申请与审批、审批与执行、执行与审核、审核与付款结算等不相容职务相互分离，加强制约和监督。有问题及时处置。</w:t>
      </w:r>
    </w:p>
    <w:p>
      <w:pPr>
        <w:widowControl/>
        <w:adjustRightInd w:val="0"/>
        <w:snapToGrid w:val="0"/>
        <w:spacing w:line="360" w:lineRule="auto"/>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根据有关规定严格执行部门预算、中期评估、“三公”经费预算等，并在网站上进行了信息公开。</w:t>
      </w:r>
    </w:p>
    <w:p>
      <w:pPr>
        <w:widowControl/>
        <w:adjustRightInd w:val="0"/>
        <w:snapToGrid w:val="0"/>
        <w:spacing w:line="360" w:lineRule="auto"/>
        <w:ind w:firstLine="72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严格执行资产管理，并进行了全面的资产清查，确保各项资产核算准确、帐实相符、管理到位。</w:t>
      </w:r>
    </w:p>
    <w:p>
      <w:pPr>
        <w:widowControl/>
        <w:adjustRightInd w:val="0"/>
        <w:snapToGrid w:val="0"/>
        <w:spacing w:line="360" w:lineRule="auto"/>
        <w:ind w:firstLine="72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严格执行</w:t>
      </w:r>
      <w:r>
        <w:rPr>
          <w:rFonts w:hint="eastAsia" w:ascii="仿宋_GB2312" w:hAnsi="仿宋_GB2312" w:eastAsia="仿宋_GB2312" w:cs="仿宋_GB2312"/>
          <w:color w:val="000000"/>
          <w:kern w:val="0"/>
          <w:sz w:val="32"/>
          <w:szCs w:val="32"/>
          <w:lang w:val="zh-CN"/>
        </w:rPr>
        <w:t>内控并制定了一系列的内部控制制度。</w:t>
      </w:r>
    </w:p>
    <w:p>
      <w:pPr>
        <w:widowControl/>
        <w:adjustRightInd w:val="0"/>
        <w:snapToGrid w:val="0"/>
        <w:spacing w:line="360" w:lineRule="auto"/>
        <w:ind w:firstLine="72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始终执行信息公开准确、真实，严格执行绩效评价准确真实及依法接受财政监督。</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Style w:val="35"/>
          <w:rFonts w:hint="eastAsia" w:ascii="仿宋_GB2312" w:hAnsi="仿宋_GB2312" w:eastAsia="仿宋_GB2312" w:cs="仿宋_GB2312"/>
          <w:color w:val="333333"/>
          <w:sz w:val="32"/>
          <w:szCs w:val="32"/>
          <w:shd w:val="clear" w:color="auto" w:fill="FFFFFF"/>
          <w:lang w:eastAsia="zh-CN"/>
        </w:rPr>
      </w:pPr>
      <w:r>
        <w:rPr>
          <w:rStyle w:val="35"/>
          <w:rFonts w:hint="eastAsia" w:ascii="仿宋_GB2312" w:hAnsi="仿宋_GB2312" w:eastAsia="仿宋_GB2312" w:cs="仿宋_GB2312"/>
          <w:color w:val="333333"/>
          <w:sz w:val="32"/>
          <w:szCs w:val="32"/>
          <w:shd w:val="clear" w:color="auto" w:fill="FFFFFF"/>
        </w:rPr>
        <w:t>增强</w:t>
      </w:r>
      <w:r>
        <w:rPr>
          <w:rStyle w:val="35"/>
          <w:rFonts w:hint="eastAsia" w:ascii="仿宋_GB2312" w:hAnsi="仿宋_GB2312" w:eastAsia="仿宋_GB2312" w:cs="仿宋_GB2312"/>
          <w:color w:val="333333"/>
          <w:sz w:val="32"/>
          <w:szCs w:val="32"/>
          <w:shd w:val="clear" w:color="auto" w:fill="FFFFFF"/>
          <w:lang w:eastAsia="zh-CN"/>
        </w:rPr>
        <w:t>了</w:t>
      </w:r>
      <w:r>
        <w:rPr>
          <w:rStyle w:val="35"/>
          <w:rFonts w:hint="eastAsia" w:ascii="仿宋_GB2312" w:hAnsi="仿宋_GB2312" w:eastAsia="仿宋_GB2312" w:cs="仿宋_GB2312"/>
          <w:color w:val="333333"/>
          <w:sz w:val="32"/>
          <w:szCs w:val="32"/>
          <w:shd w:val="clear" w:color="auto" w:fill="FFFFFF"/>
        </w:rPr>
        <w:t>预算绩效执行力度的意识</w:t>
      </w:r>
      <w:r>
        <w:rPr>
          <w:rStyle w:val="35"/>
          <w:rFonts w:hint="eastAsia" w:ascii="仿宋_GB2312" w:hAnsi="仿宋_GB2312" w:eastAsia="仿宋_GB2312" w:cs="仿宋_GB2312"/>
          <w:color w:val="333333"/>
          <w:sz w:val="32"/>
          <w:szCs w:val="32"/>
          <w:shd w:val="clear" w:color="auto" w:fill="FFFFFF"/>
          <w:lang w:eastAsia="zh-CN"/>
        </w:rPr>
        <w:t>，</w:t>
      </w:r>
      <w:r>
        <w:rPr>
          <w:rStyle w:val="35"/>
          <w:rFonts w:hint="eastAsia" w:ascii="仿宋_GB2312" w:hAnsi="仿宋_GB2312" w:eastAsia="仿宋_GB2312" w:cs="仿宋_GB2312"/>
          <w:color w:val="333333"/>
          <w:sz w:val="32"/>
          <w:szCs w:val="32"/>
        </w:rPr>
        <w:t>提高</w:t>
      </w:r>
      <w:r>
        <w:rPr>
          <w:rStyle w:val="35"/>
          <w:rFonts w:hint="eastAsia" w:ascii="仿宋_GB2312" w:hAnsi="仿宋_GB2312" w:eastAsia="仿宋_GB2312" w:cs="仿宋_GB2312"/>
          <w:color w:val="333333"/>
          <w:sz w:val="32"/>
          <w:szCs w:val="32"/>
          <w:lang w:eastAsia="zh-CN"/>
        </w:rPr>
        <w:t>了</w:t>
      </w:r>
      <w:r>
        <w:rPr>
          <w:rStyle w:val="35"/>
          <w:rFonts w:hint="eastAsia" w:ascii="仿宋_GB2312" w:hAnsi="仿宋_GB2312" w:eastAsia="仿宋_GB2312" w:cs="仿宋_GB2312"/>
          <w:color w:val="333333"/>
          <w:sz w:val="32"/>
          <w:szCs w:val="32"/>
        </w:rPr>
        <w:t>预算绩效执行力度</w:t>
      </w:r>
      <w:r>
        <w:rPr>
          <w:rStyle w:val="35"/>
          <w:rFonts w:hint="eastAsia" w:ascii="仿宋_GB2312" w:hAnsi="仿宋_GB2312" w:eastAsia="仿宋_GB2312" w:cs="仿宋_GB2312"/>
          <w:color w:val="333333"/>
          <w:sz w:val="32"/>
          <w:szCs w:val="32"/>
          <w:shd w:val="clear" w:color="auto" w:fill="FFFFFF"/>
        </w:rPr>
        <w:t>。用绩效监控全过程，确保实现项目绩效目标，落实绩效主体责任的重要手段</w:t>
      </w:r>
      <w:r>
        <w:rPr>
          <w:rStyle w:val="35"/>
          <w:rFonts w:hint="eastAsia" w:ascii="仿宋_GB2312" w:hAnsi="仿宋_GB2312" w:eastAsia="仿宋_GB2312" w:cs="仿宋_GB2312"/>
          <w:color w:val="333333"/>
          <w:sz w:val="32"/>
          <w:szCs w:val="32"/>
          <w:shd w:val="clear" w:color="auto" w:fill="FFFFFF"/>
          <w:lang w:eastAsia="zh-CN"/>
        </w:rPr>
        <w:t>。</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Style w:val="35"/>
          <w:rFonts w:hint="eastAsia" w:ascii="仿宋_GB2312" w:hAnsi="仿宋_GB2312" w:eastAsia="仿宋_GB2312" w:cs="仿宋_GB2312"/>
          <w:color w:val="333333"/>
          <w:sz w:val="32"/>
          <w:szCs w:val="32"/>
        </w:rPr>
        <w:t>围绕年初编制的绩效目标，收集项目执行信息并加以梳理、分析，发现绩效目标运行出现偏差时，及时查找原因，提出整改建议，并反馈给</w:t>
      </w:r>
      <w:r>
        <w:rPr>
          <w:rStyle w:val="35"/>
          <w:rFonts w:hint="eastAsia" w:ascii="仿宋_GB2312" w:hAnsi="仿宋_GB2312" w:eastAsia="仿宋_GB2312" w:cs="仿宋_GB2312"/>
          <w:color w:val="333333"/>
          <w:sz w:val="32"/>
          <w:szCs w:val="32"/>
          <w:lang w:eastAsia="zh-CN"/>
        </w:rPr>
        <w:t>相关</w:t>
      </w:r>
      <w:r>
        <w:rPr>
          <w:rStyle w:val="35"/>
          <w:rFonts w:hint="eastAsia" w:ascii="仿宋_GB2312" w:hAnsi="仿宋_GB2312" w:eastAsia="仿宋_GB2312" w:cs="仿宋_GB2312"/>
          <w:color w:val="333333"/>
          <w:sz w:val="32"/>
          <w:szCs w:val="32"/>
        </w:rPr>
        <w:t>部门，督促整改纠偏；同时</w:t>
      </w:r>
      <w:r>
        <w:rPr>
          <w:rStyle w:val="35"/>
          <w:rFonts w:hint="eastAsia" w:ascii="仿宋_GB2312" w:hAnsi="仿宋_GB2312" w:eastAsia="仿宋_GB2312" w:cs="仿宋_GB2312"/>
          <w:color w:val="333333"/>
          <w:sz w:val="32"/>
          <w:szCs w:val="32"/>
          <w:lang w:eastAsia="zh-CN"/>
        </w:rPr>
        <w:t>开展自评，</w:t>
      </w:r>
      <w:r>
        <w:rPr>
          <w:rStyle w:val="35"/>
          <w:rFonts w:hint="eastAsia" w:ascii="仿宋_GB2312" w:hAnsi="仿宋_GB2312" w:eastAsia="仿宋_GB2312" w:cs="仿宋_GB2312"/>
          <w:color w:val="333333"/>
          <w:sz w:val="32"/>
          <w:szCs w:val="32"/>
          <w:shd w:val="clear" w:color="auto" w:fill="FFFFFF"/>
          <w:lang w:eastAsia="zh-CN"/>
        </w:rPr>
        <w:t>对自评进行公开，</w:t>
      </w:r>
      <w:r>
        <w:rPr>
          <w:rStyle w:val="35"/>
          <w:rFonts w:hint="eastAsia" w:ascii="仿宋_GB2312" w:hAnsi="仿宋_GB2312" w:eastAsia="仿宋_GB2312" w:cs="仿宋_GB2312"/>
          <w:color w:val="333333"/>
          <w:sz w:val="32"/>
          <w:szCs w:val="32"/>
        </w:rPr>
        <w:t>如实、准确并及时上报。</w:t>
      </w:r>
    </w:p>
    <w:p>
      <w:pPr>
        <w:widowControl/>
        <w:numPr>
          <w:ilvl w:val="0"/>
          <w:numId w:val="7"/>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自评质量</w:t>
      </w:r>
    </w:p>
    <w:p>
      <w:pPr>
        <w:widowControl/>
        <w:adjustRightInd w:val="0"/>
        <w:snapToGrid w:val="0"/>
        <w:spacing w:line="580" w:lineRule="exact"/>
        <w:contextualSpacing/>
        <w:jc w:val="left"/>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 xml:space="preserve">    </w:t>
      </w:r>
      <w:r>
        <w:rPr>
          <w:rStyle w:val="35"/>
          <w:rFonts w:hint="eastAsia" w:ascii="仿宋_GB2312" w:hAnsi="仿宋_GB2312" w:eastAsia="仿宋_GB2312" w:cs="仿宋_GB2312"/>
          <w:color w:val="333333"/>
          <w:sz w:val="32"/>
          <w:szCs w:val="32"/>
        </w:rPr>
        <w:t>绩效目标设置有待更规范。</w:t>
      </w:r>
      <w:r>
        <w:rPr>
          <w:rStyle w:val="35"/>
          <w:rFonts w:hint="eastAsia" w:ascii="仿宋_GB2312" w:hAnsi="仿宋_GB2312" w:eastAsia="仿宋_GB2312" w:cs="仿宋_GB2312"/>
          <w:b/>
          <w:bCs/>
          <w:color w:val="333333"/>
          <w:sz w:val="32"/>
          <w:szCs w:val="32"/>
        </w:rPr>
        <w:t>一是</w:t>
      </w:r>
      <w:r>
        <w:rPr>
          <w:rFonts w:hint="eastAsia" w:ascii="仿宋_GB2312" w:hAnsi="仿宋_GB2312" w:eastAsia="仿宋_GB2312" w:cs="仿宋_GB2312"/>
          <w:color w:val="333333"/>
          <w:sz w:val="32"/>
          <w:szCs w:val="32"/>
        </w:rPr>
        <w:t>绩效目标需更细化量化，这样更有利于实施监控。</w:t>
      </w:r>
      <w:r>
        <w:rPr>
          <w:rStyle w:val="21"/>
          <w:rFonts w:hint="eastAsia" w:ascii="仿宋_GB2312" w:hAnsi="仿宋_GB2312" w:eastAsia="仿宋_GB2312" w:cs="仿宋_GB2312"/>
          <w:color w:val="333333"/>
          <w:sz w:val="32"/>
          <w:szCs w:val="32"/>
        </w:rPr>
        <w:t>二是</w:t>
      </w:r>
      <w:r>
        <w:rPr>
          <w:rFonts w:hint="eastAsia" w:ascii="仿宋_GB2312" w:hAnsi="仿宋_GB2312" w:eastAsia="仿宋_GB2312" w:cs="仿宋_GB2312"/>
          <w:color w:val="333333"/>
          <w:sz w:val="32"/>
          <w:szCs w:val="32"/>
        </w:rPr>
        <w:t>填报质量需有待提高</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对绩效目标偏差问题分析力度有待提高</w:t>
      </w:r>
      <w:r>
        <w:rPr>
          <w:rFonts w:hint="eastAsia" w:ascii="仿宋_GB2312" w:hAnsi="仿宋_GB2312" w:eastAsia="仿宋_GB2312" w:cs="仿宋_GB2312"/>
          <w:color w:val="333333"/>
          <w:sz w:val="32"/>
          <w:szCs w:val="32"/>
          <w:lang w:eastAsia="zh-CN"/>
        </w:rPr>
        <w:t>。</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90" w:name="_Toc28544"/>
      <w:r>
        <w:rPr>
          <w:rFonts w:hint="eastAsia" w:ascii="黑体" w:eastAsia="黑体" w:cs="宋体"/>
          <w:color w:val="000000"/>
          <w:kern w:val="0"/>
          <w:sz w:val="32"/>
          <w:szCs w:val="32"/>
          <w:shd w:val="clear" w:color="auto" w:fill="FFFFFF"/>
        </w:rPr>
        <w:t>四、评价结论及建议</w:t>
      </w:r>
      <w:bookmarkEnd w:id="190"/>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通过此次部门预算绩效评价，文联预算执行总体状况良好，相关经费均能严格按照规定方向、用途，有的放矢的使用，且能达到促进文化艺术工作开展的目的。</w:t>
      </w:r>
    </w:p>
    <w:p>
      <w:pPr>
        <w:pStyle w:val="36"/>
        <w:spacing w:before="0" w:beforeAutospacing="0" w:after="0" w:afterAutospacing="0" w:line="576" w:lineRule="exact"/>
        <w:ind w:firstLine="720" w:firstLineChars="225"/>
        <w:rPr>
          <w:rFonts w:hint="eastAsia" w:ascii="仿宋_GB2312" w:hAnsi="仿宋_GB2312" w:eastAsia="仿宋_GB2312" w:cs="仿宋_GB2312"/>
          <w:color w:val="00000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lang w:val="zh-CN"/>
        </w:rPr>
        <w:t>（二）存在问题</w:t>
      </w:r>
    </w:p>
    <w:p>
      <w:pPr>
        <w:pStyle w:val="36"/>
        <w:spacing w:before="0" w:beforeAutospacing="0" w:after="0" w:afterAutospacing="0" w:line="576" w:lineRule="exact"/>
        <w:ind w:firstLine="720" w:firstLineChars="225"/>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zh-CN"/>
        </w:rPr>
        <w:t>虽</w:t>
      </w:r>
      <w:r>
        <w:rPr>
          <w:rFonts w:hint="eastAsia" w:ascii="仿宋_GB2312" w:hAnsi="仿宋_GB2312" w:eastAsia="仿宋_GB2312" w:cs="仿宋_GB2312"/>
          <w:sz w:val="32"/>
          <w:szCs w:val="32"/>
        </w:rPr>
        <w:t>然在绩效评价中，</w:t>
      </w:r>
      <w:r>
        <w:rPr>
          <w:rFonts w:hint="eastAsia" w:ascii="仿宋_GB2312" w:hAnsi="仿宋_GB2312" w:eastAsia="仿宋_GB2312" w:cs="仿宋_GB2312"/>
          <w:color w:val="000000"/>
          <w:sz w:val="32"/>
          <w:szCs w:val="32"/>
          <w:shd w:val="clear" w:color="auto" w:fill="FFFFFF"/>
          <w:lang w:val="zh-CN"/>
        </w:rPr>
        <w:t>文联</w:t>
      </w:r>
      <w:r>
        <w:rPr>
          <w:rFonts w:hint="eastAsia" w:ascii="仿宋_GB2312" w:hAnsi="仿宋_GB2312" w:eastAsia="仿宋_GB2312" w:cs="仿宋_GB2312"/>
          <w:sz w:val="32"/>
          <w:szCs w:val="32"/>
        </w:rPr>
        <w:t>预算执行取得了较好成效，但也存在有财会人员兼职，相关财务凭证处理和装订不专业，个别经费支出说明不详细的现象。在下一步工作中，将重点加强对这些方面的规范和完善。</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（三）改进建议</w:t>
      </w:r>
    </w:p>
    <w:p>
      <w:pPr>
        <w:pStyle w:val="36"/>
        <w:spacing w:before="0" w:beforeAutospacing="0" w:after="0" w:afterAutospacing="0" w:line="576" w:lineRule="exact"/>
        <w:ind w:firstLine="722" w:firstLineChars="225"/>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进一步增强单位领导和具体财务经办人员对财务工作重要性和紧迫性的认识，随时按照“量入为出”管理使用资金，绷紧“严管钱”这根弦。</w:t>
      </w:r>
    </w:p>
    <w:p>
      <w:pPr>
        <w:pStyle w:val="36"/>
        <w:spacing w:before="0" w:beforeAutospacing="0" w:after="0" w:afterAutospacing="0" w:line="576" w:lineRule="exact"/>
        <w:ind w:firstLine="722" w:firstLineChars="225"/>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不断加强财务经办人员业务知识的学习和培训，不断完善和规范单位财务处理，同时鼓励和支持财务经办人员考取职业资格认证。</w:t>
      </w:r>
    </w:p>
    <w:p>
      <w:pPr>
        <w:pStyle w:val="36"/>
        <w:spacing w:before="0" w:beforeAutospacing="0" w:after="0" w:afterAutospacing="0" w:line="576" w:lineRule="exact"/>
        <w:rPr>
          <w:rFonts w:hint="eastAsia" w:ascii="仿宋_GB2312" w:hAnsi="仿宋_GB2312" w:eastAsia="仿宋_GB2312" w:cs="仿宋_GB2312"/>
          <w:sz w:val="32"/>
          <w:szCs w:val="32"/>
        </w:rPr>
      </w:pPr>
    </w:p>
    <w:p>
      <w:pPr>
        <w:jc w:val="right"/>
        <w:rPr>
          <w:rFonts w:ascii="仿宋_GB2312" w:hAnsi="黑体"/>
          <w:sz w:val="30"/>
          <w:szCs w:val="30"/>
        </w:rPr>
      </w:pPr>
      <w:r>
        <w:rPr>
          <w:rFonts w:hint="eastAsia" w:ascii="仿宋_GB2312" w:hAnsi="黑体"/>
          <w:sz w:val="30"/>
          <w:szCs w:val="30"/>
        </w:rPr>
        <w:t>茂县文学艺术界联合会</w:t>
      </w:r>
    </w:p>
    <w:p>
      <w:pPr>
        <w:ind w:right="300"/>
        <w:jc w:val="right"/>
        <w:rPr>
          <w:rFonts w:ascii="仿宋_GB2312" w:eastAsia="仿宋_GB2312" w:cs="仿宋_GB2312"/>
          <w:sz w:val="32"/>
          <w:szCs w:val="32"/>
        </w:rPr>
      </w:pPr>
      <w:r>
        <w:rPr>
          <w:rFonts w:ascii="仿宋_GB2312" w:hAnsi="黑体"/>
          <w:sz w:val="30"/>
          <w:szCs w:val="30"/>
        </w:rPr>
        <w:t>202</w:t>
      </w:r>
      <w:r>
        <w:rPr>
          <w:rFonts w:hint="eastAsia" w:ascii="仿宋_GB2312" w:hAnsi="黑体"/>
          <w:sz w:val="30"/>
          <w:szCs w:val="30"/>
          <w:lang w:val="en-US" w:eastAsia="zh-CN"/>
        </w:rPr>
        <w:t>2</w:t>
      </w:r>
      <w:r>
        <w:rPr>
          <w:rFonts w:hint="eastAsia" w:ascii="仿宋_GB2312" w:hAnsi="黑体"/>
          <w:sz w:val="30"/>
          <w:szCs w:val="30"/>
        </w:rPr>
        <w:t>年</w:t>
      </w:r>
      <w:r>
        <w:rPr>
          <w:rFonts w:hint="eastAsia" w:ascii="仿宋_GB2312" w:hAnsi="黑体"/>
          <w:sz w:val="30"/>
          <w:szCs w:val="30"/>
          <w:lang w:val="en-US" w:eastAsia="zh-CN"/>
        </w:rPr>
        <w:t>9</w:t>
      </w:r>
      <w:r>
        <w:rPr>
          <w:rFonts w:hint="eastAsia" w:ascii="仿宋_GB2312" w:hAnsi="黑体"/>
          <w:sz w:val="30"/>
          <w:szCs w:val="30"/>
        </w:rPr>
        <w:t>月</w:t>
      </w:r>
      <w:r>
        <w:rPr>
          <w:rFonts w:hint="eastAsia" w:ascii="仿宋_GB2312" w:hAnsi="黑体"/>
          <w:sz w:val="30"/>
          <w:szCs w:val="30"/>
          <w:lang w:val="en-US" w:eastAsia="zh-CN"/>
        </w:rPr>
        <w:t>27</w:t>
      </w:r>
      <w:r>
        <w:rPr>
          <w:rFonts w:hint="eastAsia" w:ascii="仿宋_GB2312" w:hAnsi="黑体"/>
          <w:sz w:val="30"/>
          <w:szCs w:val="30"/>
        </w:rPr>
        <w:t>日</w:t>
      </w:r>
      <w:r>
        <w:rPr>
          <w:rFonts w:ascii="仿宋_GB2312"/>
        </w:rPr>
        <w:t xml:space="preserve">                                           </w:t>
      </w:r>
    </w:p>
    <w:p>
      <w:pPr>
        <w:spacing w:line="600" w:lineRule="exact"/>
        <w:jc w:val="left"/>
        <w:outlineLvl w:val="1"/>
        <w:rPr>
          <w:rFonts w:ascii="黑体" w:eastAsia="黑体" w:cs="黑体"/>
          <w:sz w:val="32"/>
          <w:szCs w:val="32"/>
        </w:rPr>
      </w:pPr>
      <w:bookmarkStart w:id="191" w:name="_Toc79163633"/>
      <w:bookmarkStart w:id="192" w:name="_Toc18564"/>
      <w:bookmarkStart w:id="193" w:name="_Toc23469"/>
      <w:bookmarkStart w:id="194" w:name="_Toc14343"/>
      <w:r>
        <w:rPr>
          <w:rFonts w:hint="eastAsia" w:ascii="黑体" w:eastAsia="黑体" w:cs="黑体"/>
          <w:sz w:val="32"/>
          <w:szCs w:val="32"/>
        </w:rPr>
        <w:t>附件</w:t>
      </w:r>
      <w:r>
        <w:rPr>
          <w:rFonts w:ascii="黑体" w:eastAsia="黑体" w:cs="黑体"/>
          <w:sz w:val="32"/>
          <w:szCs w:val="32"/>
        </w:rPr>
        <w:t>2</w:t>
      </w:r>
      <w:bookmarkEnd w:id="191"/>
      <w:bookmarkEnd w:id="192"/>
      <w:bookmarkEnd w:id="193"/>
      <w:bookmarkEnd w:id="194"/>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95" w:name="_Toc994"/>
      <w:bookmarkStart w:id="196" w:name="_Toc30030"/>
      <w:bookmarkStart w:id="197" w:name="_Toc79163634"/>
      <w:bookmarkStart w:id="198" w:name="_Toc2722"/>
      <w:r>
        <w:rPr>
          <w:rFonts w:hint="eastAsia" w:ascii="方正小标宋简体" w:eastAsia="方正小标宋简体" w:cs="黑体"/>
          <w:sz w:val="44"/>
          <w:szCs w:val="44"/>
          <w:lang w:eastAsia="zh-CN"/>
        </w:rPr>
        <w:t>文联</w:t>
      </w:r>
      <w:r>
        <w:rPr>
          <w:rFonts w:hint="eastAsia" w:ascii="方正小标宋简体" w:eastAsia="方正小标宋简体" w:cs="黑体"/>
          <w:sz w:val="44"/>
          <w:szCs w:val="44"/>
        </w:rPr>
        <w:t>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95"/>
      <w:bookmarkEnd w:id="196"/>
      <w:bookmarkEnd w:id="197"/>
      <w:bookmarkEnd w:id="198"/>
    </w:p>
    <w:p>
      <w:pPr>
        <w:pStyle w:val="2"/>
        <w:rPr>
          <w:lang w:val="zh-CN"/>
        </w:rPr>
      </w:pPr>
    </w:p>
    <w:p>
      <w:pPr>
        <w:keepNext w:val="0"/>
        <w:keepLines w:val="0"/>
        <w:pageBreakBefore w:val="0"/>
        <w:widowControl w:val="0"/>
        <w:numPr>
          <w:ilvl w:val="0"/>
          <w:numId w:val="8"/>
        </w:numPr>
        <w:kinsoku/>
        <w:wordWrap/>
        <w:overflowPunct/>
        <w:topLinePunct w:val="0"/>
        <w:autoSpaceDE/>
        <w:autoSpaceDN/>
        <w:bidi w:val="0"/>
        <w:adjustRightInd w:val="0"/>
        <w:snapToGrid w:val="0"/>
        <w:spacing w:line="576" w:lineRule="exact"/>
        <w:ind w:firstLine="640" w:firstLineChars="200"/>
        <w:textAlignment w:val="auto"/>
        <w:outlineLvl w:val="1"/>
        <w:rPr>
          <w:rFonts w:ascii="Calibri" w:hAnsi="Calibri" w:eastAsia="宋体"/>
          <w:kern w:val="0"/>
          <w:sz w:val="32"/>
          <w:szCs w:val="32"/>
          <w:lang w:eastAsia="zh-TW"/>
        </w:rPr>
      </w:pPr>
      <w:bookmarkStart w:id="199" w:name="_Toc23404"/>
      <w:r>
        <w:rPr>
          <w:rFonts w:hint="eastAsia" w:ascii="黑体" w:hAnsi="宋体" w:eastAsia="黑体" w:cs="黑体"/>
          <w:sz w:val="32"/>
          <w:szCs w:val="32"/>
          <w:lang w:val="zh-CN"/>
        </w:rPr>
        <w:t>项目概况</w:t>
      </w:r>
      <w:bookmarkEnd w:id="199"/>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ascii="Calibri" w:hAnsi="Calibri" w:eastAsia="宋体"/>
          <w:kern w:val="0"/>
          <w:sz w:val="32"/>
          <w:szCs w:val="32"/>
          <w:lang w:eastAsia="zh-TW"/>
        </w:rPr>
      </w:pPr>
      <w:r>
        <w:rPr>
          <w:rFonts w:hint="eastAsia" w:ascii="楷体_GB2312" w:hAnsi="宋体" w:eastAsia="楷体_GB2312" w:cs="楷体_GB2312"/>
          <w:b/>
          <w:bCs/>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茂县文学艺术界联合会活动经费于202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zh-CN"/>
        </w:rPr>
        <w:t>日批复立项，活动费共计</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用于文联活动费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资金来源为202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年茂财预金（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07036号安排茂县文学艺术界联合会2021年活动经费</w:t>
      </w:r>
      <w:r>
        <w:rPr>
          <w:rFonts w:hint="eastAsia" w:ascii="仿宋_GB2312" w:hAnsi="仿宋_GB2312" w:eastAsia="仿宋_GB2312" w:cs="仿宋_GB2312"/>
          <w:sz w:val="32"/>
          <w:szCs w:val="32"/>
          <w:lang w:val="zh-CN"/>
        </w:rPr>
        <w:t>，资金申报完全符合资金管理办法等相关规定。</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仿宋_GB2312" w:hAnsi="宋体" w:cs="仿宋_GB2312"/>
          <w:sz w:val="32"/>
          <w:szCs w:val="32"/>
          <w:lang w:val="zh-CN"/>
        </w:rPr>
      </w:pPr>
      <w:r>
        <w:rPr>
          <w:rFonts w:hint="eastAsia" w:ascii="楷体_GB2312" w:hAnsi="宋体" w:eastAsia="楷体_GB2312" w:cs="楷体_GB2312"/>
          <w:b/>
          <w:bCs/>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该项目费用主要用于我会</w:t>
      </w:r>
      <w:r>
        <w:rPr>
          <w:rFonts w:hint="eastAsia" w:ascii="仿宋_GB2312" w:hAnsi="仿宋_GB2312" w:eastAsia="仿宋_GB2312" w:cs="仿宋_GB2312"/>
          <w:sz w:val="32"/>
          <w:szCs w:val="32"/>
          <w:lang w:val="en-US" w:eastAsia="zh-CN"/>
        </w:rPr>
        <w:t>2021年全年举办的各项文艺活动</w:t>
      </w:r>
      <w:r>
        <w:rPr>
          <w:rFonts w:hint="eastAsia" w:ascii="仿宋_GB2312" w:hAnsi="仿宋_GB2312" w:eastAsia="仿宋_GB2312" w:cs="仿宋_GB2312"/>
          <w:sz w:val="32"/>
          <w:szCs w:val="32"/>
          <w:lang w:val="zh-CN"/>
        </w:rPr>
        <w:t>，项目费总计</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val="zh-CN"/>
        </w:rPr>
        <w:t>万元。</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我会协会建议意见,做好自评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ascii="黑体" w:hAnsi="宋体" w:eastAsia="黑体"/>
          <w:sz w:val="32"/>
          <w:szCs w:val="32"/>
        </w:rPr>
      </w:pPr>
      <w:bookmarkStart w:id="200" w:name="_Toc26541"/>
      <w:r>
        <w:rPr>
          <w:rFonts w:hint="eastAsia" w:ascii="黑体" w:hAnsi="宋体" w:eastAsia="黑体" w:cs="黑体"/>
          <w:sz w:val="32"/>
          <w:szCs w:val="32"/>
        </w:rPr>
        <w:t>二、项目实施及管理情况</w:t>
      </w:r>
      <w:bookmarkEnd w:id="200"/>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hAnsi="宋体" w:eastAsia="楷体_GB2312"/>
          <w:b/>
          <w:bCs/>
          <w:sz w:val="32"/>
          <w:szCs w:val="32"/>
          <w:lang w:val="zh-CN"/>
        </w:rPr>
      </w:pPr>
      <w:r>
        <w:rPr>
          <w:rFonts w:hint="eastAsia" w:ascii="楷体_GB2312" w:hAnsi="宋体" w:eastAsia="楷体_GB2312" w:cs="楷体_GB2312"/>
          <w:b/>
          <w:bCs/>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楷体_GB2312"/>
          <w:sz w:val="32"/>
          <w:szCs w:val="32"/>
          <w:lang w:val="zh-CN"/>
        </w:rPr>
      </w:pPr>
      <w:r>
        <w:rPr>
          <w:rFonts w:ascii="楷体_GB2312" w:hAnsi="宋体" w:eastAsia="楷体_GB2312" w:cs="楷体_GB2312"/>
          <w:sz w:val="32"/>
          <w:szCs w:val="32"/>
          <w:lang w:val="zh-CN"/>
        </w:rPr>
        <w:t>1</w:t>
      </w:r>
      <w:r>
        <w:rPr>
          <w:rFonts w:hint="eastAsia" w:ascii="楷体_GB2312" w:hAnsi="宋体" w:eastAsia="楷体_GB2312" w:cs="楷体_GB2312"/>
          <w:sz w:val="32"/>
          <w:szCs w:val="32"/>
          <w:lang w:val="zh-CN"/>
        </w:rPr>
        <w:t>．资金计划及到位。</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2021年活动项目</w:t>
      </w:r>
      <w:r>
        <w:rPr>
          <w:rFonts w:hint="eastAsia" w:ascii="仿宋_GB2312" w:hAnsi="仿宋_GB2312" w:eastAsia="仿宋_GB2312" w:cs="仿宋_GB2312"/>
          <w:sz w:val="32"/>
          <w:szCs w:val="32"/>
          <w:lang w:val="zh-CN"/>
        </w:rPr>
        <w:t>总投资</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val="zh-CN"/>
        </w:rPr>
        <w:t>万元，资金来源为202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年茂财预金（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07036号安排茂县文学艺术界联合会2021年活动经费</w:t>
      </w:r>
      <w:r>
        <w:rPr>
          <w:rFonts w:hint="eastAsia" w:ascii="仿宋_GB2312" w:hAnsi="仿宋_GB2312" w:eastAsia="仿宋_GB2312" w:cs="仿宋_GB2312"/>
          <w:sz w:val="32"/>
          <w:szCs w:val="32"/>
          <w:lang w:val="zh-CN"/>
        </w:rPr>
        <w:t>，资金按照计划时间到位，资金到位率100%。</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楷体_GB2312"/>
          <w:sz w:val="32"/>
          <w:szCs w:val="32"/>
          <w:lang w:val="zh-CN"/>
        </w:rPr>
      </w:pPr>
      <w:r>
        <w:rPr>
          <w:rFonts w:ascii="楷体_GB2312" w:hAnsi="宋体" w:eastAsia="楷体_GB2312" w:cs="楷体_GB2312"/>
          <w:sz w:val="32"/>
          <w:szCs w:val="32"/>
          <w:lang w:val="zh-CN"/>
        </w:rPr>
        <w:t>2</w:t>
      </w:r>
      <w:r>
        <w:rPr>
          <w:rFonts w:hint="eastAsia" w:ascii="楷体_GB2312" w:hAnsi="宋体" w:eastAsia="楷体_GB2312" w:cs="楷体_GB2312"/>
          <w:sz w:val="32"/>
          <w:szCs w:val="32"/>
          <w:lang w:val="zh-CN"/>
        </w:rPr>
        <w:t>．资金使用。</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 w:hAnsi="仿宋" w:eastAsia="仿宋" w:cs="仿宋_GB2312"/>
          <w:sz w:val="32"/>
          <w:szCs w:val="32"/>
          <w:lang w:val="zh-CN"/>
        </w:rPr>
      </w:pPr>
      <w:r>
        <w:rPr>
          <w:rFonts w:hint="default"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lang w:val="zh-CN" w:eastAsia="zh-CN"/>
        </w:rPr>
        <w:t>，该活动费用资金实际支出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eastAsia="zh-CN"/>
        </w:rPr>
        <w:t>万元，结余资金</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val="zh-CN" w:eastAsia="zh-CN"/>
        </w:rPr>
        <w:t>万元已全部退回财政；主要用于我会</w:t>
      </w:r>
      <w:r>
        <w:rPr>
          <w:rFonts w:hint="eastAsia" w:ascii="仿宋_GB2312" w:hAnsi="仿宋_GB2312" w:eastAsia="仿宋_GB2312" w:cs="仿宋_GB2312"/>
          <w:sz w:val="32"/>
          <w:szCs w:val="32"/>
          <w:lang w:val="en-US" w:eastAsia="zh-CN"/>
        </w:rPr>
        <w:t>2021年全年活动费</w:t>
      </w:r>
      <w:r>
        <w:rPr>
          <w:rFonts w:hint="eastAsia" w:ascii="仿宋_GB2312" w:hAnsi="仿宋_GB2312" w:eastAsia="仿宋_GB2312" w:cs="仿宋_GB2312"/>
          <w:sz w:val="32"/>
          <w:szCs w:val="32"/>
          <w:lang w:val="zh-CN" w:eastAsia="zh-CN"/>
        </w:rPr>
        <w:t>支付，程序合规合法，资金支付与预算相符。</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hAnsi="宋体" w:eastAsia="楷体_GB2312"/>
          <w:b/>
          <w:bCs/>
          <w:sz w:val="32"/>
          <w:szCs w:val="32"/>
          <w:lang w:val="zh-CN"/>
        </w:rPr>
      </w:pPr>
      <w:r>
        <w:rPr>
          <w:rFonts w:hint="eastAsia" w:ascii="楷体_GB2312" w:hAnsi="宋体" w:eastAsia="楷体_GB2312" w:cs="楷体_GB2312"/>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项目财务管理制度健全，机构设置、会计核算及账务处理等 相关情况。对照项目资金管理办法，项目严格执行财务管理制度、财务处理及时、会计核算规范。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hAnsi="宋体" w:eastAsia="楷体_GB2312"/>
          <w:b/>
          <w:bCs/>
          <w:sz w:val="32"/>
          <w:szCs w:val="32"/>
          <w:lang w:val="zh-CN"/>
        </w:rPr>
      </w:pPr>
      <w:r>
        <w:rPr>
          <w:rFonts w:hint="eastAsia" w:ascii="楷体_GB2312" w:hAnsi="宋体" w:eastAsia="楷体_GB2312" w:cs="楷体_GB2312"/>
          <w:b/>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组织架构。为了使项目能够顺利实施，我单位成立了主席为组长，副主席为副组长，文联办公室工作人员为成员的领导小组，下设办公室，具体负责活动项目的实施和管理工作。严格按照相关规定，明确责任，合理分工，密切合作，为我会</w:t>
      </w:r>
      <w:r>
        <w:rPr>
          <w:rFonts w:hint="eastAsia" w:ascii="仿宋_GB2312" w:hAnsi="仿宋_GB2312" w:eastAsia="仿宋_GB2312" w:cs="仿宋_GB2312"/>
          <w:sz w:val="32"/>
          <w:szCs w:val="32"/>
          <w:lang w:val="en-US" w:eastAsia="zh-CN"/>
        </w:rPr>
        <w:t>2021年全年</w:t>
      </w:r>
      <w:r>
        <w:rPr>
          <w:rFonts w:hint="eastAsia" w:ascii="仿宋_GB2312" w:hAnsi="仿宋_GB2312" w:eastAsia="仿宋_GB2312" w:cs="仿宋_GB2312"/>
          <w:sz w:val="32"/>
          <w:szCs w:val="32"/>
          <w:lang w:val="zh-CN" w:eastAsia="zh-CN"/>
        </w:rPr>
        <w:t>活动顺利实施提供保障。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ascii="仿宋_GB2312" w:hAnsi="宋体"/>
          <w:sz w:val="32"/>
          <w:szCs w:val="32"/>
          <w:lang w:val="zh-CN"/>
        </w:rPr>
      </w:pPr>
      <w:bookmarkStart w:id="201" w:name="_Toc32190"/>
      <w:r>
        <w:rPr>
          <w:rFonts w:hint="eastAsia" w:ascii="黑体" w:hAnsi="宋体" w:eastAsia="黑体" w:cs="黑体"/>
          <w:sz w:val="32"/>
          <w:szCs w:val="32"/>
        </w:rPr>
        <w:t>三、项目绩效情况</w:t>
      </w:r>
      <w:bookmarkEnd w:id="201"/>
      <w:r>
        <w:rPr>
          <w:rFonts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ascii="楷体_GB2312" w:hAnsi="宋体" w:eastAsia="楷体_GB2312"/>
          <w:b/>
          <w:bCs/>
          <w:sz w:val="32"/>
          <w:szCs w:val="32"/>
          <w:lang w:val="zh-CN"/>
        </w:rPr>
      </w:pPr>
      <w:r>
        <w:rPr>
          <w:rFonts w:hint="eastAsia" w:ascii="楷体_GB2312" w:hAnsi="宋体" w:eastAsia="楷体_GB2312" w:cs="楷体_GB2312"/>
          <w:b/>
          <w:bCs/>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我会2021年组织全县文艺工作者创作“庆祝建党100周年——为家乡点赞”各类文艺作品数百件。组织开展文艺交流活动5次，开展红色展览2次，义写赠联活动1次。</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宋体" w:eastAsia="楷体_GB2312" w:cs="楷体_GB2312"/>
          <w:b/>
          <w:bCs/>
          <w:sz w:val="32"/>
          <w:szCs w:val="32"/>
          <w:lang w:val="zh-CN"/>
        </w:rPr>
      </w:pPr>
      <w:r>
        <w:rPr>
          <w:rFonts w:hint="eastAsia" w:ascii="楷体_GB2312" w:hAnsi="宋体" w:eastAsia="楷体_GB2312" w:cs="楷体_GB2312"/>
          <w:b/>
          <w:bCs/>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w:t>
      </w:r>
      <w:r>
        <w:rPr>
          <w:rFonts w:hint="eastAsia" w:ascii="仿宋_GB2312" w:hAnsi="仿宋_GB2312" w:eastAsia="仿宋_GB2312" w:cs="仿宋_GB2312"/>
          <w:sz w:val="32"/>
          <w:szCs w:val="32"/>
          <w:lang w:val="en-US" w:eastAsia="zh-CN"/>
        </w:rPr>
        <w:t>.团结引导广大文艺工作者宣传正能量，丰富创作源泉和激发创作热情。</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w:t>
      </w:r>
      <w:r>
        <w:rPr>
          <w:rFonts w:hint="eastAsia" w:ascii="仿宋_GB2312" w:hAnsi="仿宋_GB2312" w:eastAsia="仿宋_GB2312" w:cs="仿宋_GB2312"/>
          <w:sz w:val="32"/>
          <w:szCs w:val="32"/>
          <w:lang w:val="en-US" w:eastAsia="zh-CN"/>
        </w:rPr>
        <w:t>.大力弘扬爱党爱国爱家乡的精神，认真履职尽责，强化职能转变、作风转变，推动理念创新、工作创新。</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1"/>
        <w:rPr>
          <w:rFonts w:ascii="黑体" w:hAnsi="宋体" w:eastAsia="黑体"/>
          <w:sz w:val="32"/>
          <w:szCs w:val="32"/>
        </w:rPr>
      </w:pPr>
      <w:bookmarkStart w:id="202" w:name="_Toc9978"/>
      <w:r>
        <w:rPr>
          <w:rFonts w:hint="eastAsia" w:ascii="黑体" w:hAnsi="宋体" w:eastAsia="黑体" w:cs="黑体"/>
          <w:sz w:val="32"/>
          <w:szCs w:val="32"/>
        </w:rPr>
        <w:t>四、问题及建议</w:t>
      </w:r>
      <w:bookmarkEnd w:id="202"/>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宋体" w:eastAsia="楷体_GB2312" w:cs="楷体_GB2312"/>
          <w:b/>
          <w:bCs/>
          <w:sz w:val="32"/>
          <w:szCs w:val="32"/>
          <w:lang w:val="zh-CN"/>
        </w:rPr>
      </w:pPr>
      <w:r>
        <w:rPr>
          <w:rFonts w:hint="eastAsia" w:ascii="楷体_GB2312" w:hAnsi="宋体" w:eastAsia="楷体_GB2312" w:cs="楷体_GB2312"/>
          <w:b/>
          <w:bCs/>
          <w:sz w:val="32"/>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由于人员少，工作量大，涉及部分项目实施进度较慢，报账进度较慢。</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宋体" w:eastAsia="楷体_GB2312" w:cs="楷体_GB2312"/>
          <w:b/>
          <w:bCs/>
          <w:sz w:val="32"/>
          <w:szCs w:val="32"/>
          <w:lang w:val="zh-CN"/>
        </w:rPr>
      </w:pPr>
      <w:r>
        <w:rPr>
          <w:rFonts w:hint="eastAsia" w:ascii="楷体_GB2312" w:hAnsi="宋体" w:eastAsia="楷体_GB2312" w:cs="楷体_GB2312"/>
          <w:b/>
          <w:bCs/>
          <w:sz w:val="32"/>
          <w:szCs w:val="32"/>
          <w:lang w:val="zh-CN"/>
        </w:rPr>
        <w:t>（二）相关建议。</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进一步提高工作效率，在合法、合规的前提下，合理安排和使用各项资金。加强组织领导，强化督促检查，严格遵守各项财务管理制度，加快项目实施进度，提升资金使用率，确保各项工作任务的有序开展。</w:t>
      </w:r>
    </w:p>
    <w:p>
      <w:pPr>
        <w:ind w:firstLine="3300" w:firstLineChars="1100"/>
        <w:jc w:val="both"/>
        <w:rPr>
          <w:rFonts w:hint="eastAsia" w:ascii="仿宋_GB2312" w:hAnsi="黑体"/>
          <w:sz w:val="30"/>
          <w:szCs w:val="30"/>
        </w:rPr>
      </w:pPr>
    </w:p>
    <w:p>
      <w:pPr>
        <w:pStyle w:val="2"/>
        <w:rPr>
          <w:rFonts w:hint="eastAsia"/>
        </w:rPr>
      </w:pPr>
    </w:p>
    <w:p>
      <w:pPr>
        <w:ind w:firstLine="4500" w:firstLineChars="1500"/>
        <w:jc w:val="both"/>
        <w:rPr>
          <w:rFonts w:ascii="仿宋_GB2312" w:hAnsi="黑体"/>
          <w:sz w:val="30"/>
          <w:szCs w:val="30"/>
        </w:rPr>
      </w:pPr>
      <w:r>
        <w:rPr>
          <w:rFonts w:hint="eastAsia" w:ascii="仿宋_GB2312" w:hAnsi="黑体"/>
          <w:sz w:val="30"/>
          <w:szCs w:val="30"/>
        </w:rPr>
        <w:t>茂县文学艺术界联合会</w:t>
      </w:r>
    </w:p>
    <w:p>
      <w:pPr>
        <w:ind w:right="300"/>
        <w:jc w:val="center"/>
        <w:rPr>
          <w:rFonts w:ascii="仿宋_GB2312" w:hAnsi="黑体"/>
          <w:sz w:val="30"/>
          <w:szCs w:val="30"/>
        </w:rPr>
      </w:pPr>
      <w:r>
        <w:rPr>
          <w:rFonts w:hint="eastAsia" w:ascii="仿宋_GB2312" w:hAnsi="黑体"/>
          <w:sz w:val="30"/>
          <w:szCs w:val="30"/>
          <w:lang w:val="en-US" w:eastAsia="zh-CN"/>
        </w:rPr>
        <w:t xml:space="preserve">                          </w:t>
      </w:r>
      <w:r>
        <w:rPr>
          <w:rFonts w:ascii="仿宋_GB2312" w:hAnsi="黑体"/>
          <w:sz w:val="30"/>
          <w:szCs w:val="30"/>
        </w:rPr>
        <w:t>202</w:t>
      </w:r>
      <w:r>
        <w:rPr>
          <w:rFonts w:hint="eastAsia" w:ascii="仿宋_GB2312" w:hAnsi="黑体"/>
          <w:sz w:val="30"/>
          <w:szCs w:val="30"/>
          <w:lang w:val="en-US" w:eastAsia="zh-CN"/>
        </w:rPr>
        <w:t>2</w:t>
      </w:r>
      <w:r>
        <w:rPr>
          <w:rFonts w:hint="eastAsia" w:ascii="仿宋_GB2312" w:hAnsi="黑体"/>
          <w:sz w:val="30"/>
          <w:szCs w:val="30"/>
        </w:rPr>
        <w:t>年</w:t>
      </w:r>
      <w:r>
        <w:rPr>
          <w:rFonts w:hint="eastAsia" w:ascii="仿宋_GB2312" w:hAnsi="黑体"/>
          <w:sz w:val="30"/>
          <w:szCs w:val="30"/>
          <w:lang w:val="en-US" w:eastAsia="zh-CN"/>
        </w:rPr>
        <w:t>9</w:t>
      </w:r>
      <w:r>
        <w:rPr>
          <w:rFonts w:hint="eastAsia" w:ascii="仿宋_GB2312" w:hAnsi="黑体"/>
          <w:sz w:val="30"/>
          <w:szCs w:val="30"/>
        </w:rPr>
        <w:t>月</w:t>
      </w:r>
      <w:r>
        <w:rPr>
          <w:rFonts w:hint="eastAsia" w:ascii="仿宋_GB2312" w:hAnsi="黑体"/>
          <w:sz w:val="30"/>
          <w:szCs w:val="30"/>
          <w:lang w:val="en-US" w:eastAsia="zh-CN"/>
        </w:rPr>
        <w:t>27</w:t>
      </w:r>
      <w:r>
        <w:rPr>
          <w:rFonts w:hint="eastAsia" w:ascii="仿宋_GB2312" w:hAnsi="黑体"/>
          <w:sz w:val="30"/>
          <w:szCs w:val="30"/>
        </w:rPr>
        <w:t>日</w:t>
      </w:r>
    </w:p>
    <w:p>
      <w:pPr>
        <w:widowControl/>
        <w:jc w:val="left"/>
        <w:rPr>
          <w:rStyle w:val="23"/>
          <w:rFonts w:ascii="黑体" w:eastAsia="黑体"/>
          <w:b w:val="0"/>
          <w:sz w:val="32"/>
          <w:szCs w:val="32"/>
        </w:rPr>
      </w:pPr>
    </w:p>
    <w:p>
      <w:pPr>
        <w:spacing w:line="600" w:lineRule="exact"/>
        <w:jc w:val="center"/>
        <w:outlineLvl w:val="9"/>
        <w:rPr>
          <w:rFonts w:hint="eastAsia" w:ascii="黑体" w:eastAsia="黑体"/>
          <w:color w:val="000000"/>
          <w:sz w:val="44"/>
          <w:szCs w:val="44"/>
        </w:rPr>
      </w:pPr>
      <w:bookmarkStart w:id="203" w:name="_Toc15396618"/>
      <w:bookmarkStart w:id="204" w:name="_Toc79163635"/>
    </w:p>
    <w:p>
      <w:pPr>
        <w:spacing w:line="600" w:lineRule="exact"/>
        <w:jc w:val="center"/>
        <w:outlineLvl w:val="9"/>
        <w:rPr>
          <w:rFonts w:hint="eastAsia" w:ascii="黑体" w:eastAsia="黑体"/>
          <w:color w:val="000000"/>
          <w:sz w:val="44"/>
          <w:szCs w:val="44"/>
        </w:rPr>
      </w:pPr>
    </w:p>
    <w:p>
      <w:pPr>
        <w:spacing w:line="600" w:lineRule="exact"/>
        <w:jc w:val="center"/>
        <w:outlineLvl w:val="9"/>
        <w:rPr>
          <w:rFonts w:hint="eastAsia" w:ascii="黑体" w:eastAsia="黑体"/>
          <w:color w:val="000000"/>
          <w:sz w:val="44"/>
          <w:szCs w:val="44"/>
        </w:rPr>
      </w:pPr>
    </w:p>
    <w:p>
      <w:pPr>
        <w:spacing w:line="600" w:lineRule="exact"/>
        <w:jc w:val="center"/>
        <w:outlineLvl w:val="9"/>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rPr>
      </w:pPr>
    </w:p>
    <w:p>
      <w:pPr>
        <w:spacing w:line="600" w:lineRule="exact"/>
        <w:jc w:val="center"/>
        <w:outlineLvl w:val="9"/>
        <w:rPr>
          <w:rFonts w:hint="eastAsia" w:ascii="黑体" w:eastAsia="黑体"/>
          <w:color w:val="000000"/>
          <w:sz w:val="44"/>
          <w:szCs w:val="44"/>
        </w:rPr>
      </w:pPr>
    </w:p>
    <w:p>
      <w:pPr>
        <w:spacing w:line="600" w:lineRule="exact"/>
        <w:jc w:val="center"/>
        <w:outlineLvl w:val="9"/>
        <w:rPr>
          <w:rFonts w:hint="eastAsia" w:ascii="黑体" w:eastAsia="黑体"/>
          <w:color w:val="000000"/>
          <w:sz w:val="44"/>
          <w:szCs w:val="44"/>
        </w:rPr>
      </w:pPr>
    </w:p>
    <w:p>
      <w:pPr>
        <w:spacing w:line="600" w:lineRule="exact"/>
        <w:jc w:val="center"/>
        <w:outlineLvl w:val="0"/>
        <w:rPr>
          <w:rStyle w:val="23"/>
          <w:rFonts w:ascii="黑体" w:eastAsia="黑体"/>
          <w:b w:val="0"/>
        </w:rPr>
      </w:pPr>
      <w:bookmarkStart w:id="205" w:name="_Toc21807"/>
      <w:bookmarkStart w:id="206" w:name="_Toc21001"/>
      <w:bookmarkStart w:id="207" w:name="_Toc11452"/>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73"/>
      <w:bookmarkEnd w:id="203"/>
      <w:bookmarkEnd w:id="204"/>
      <w:bookmarkEnd w:id="205"/>
      <w:bookmarkEnd w:id="206"/>
      <w:bookmarkEnd w:id="207"/>
    </w:p>
    <w:p>
      <w:pPr>
        <w:pStyle w:val="4"/>
        <w:rPr>
          <w:rFonts w:ascii="仿宋" w:eastAsia="仿宋"/>
          <w:color w:val="000000"/>
        </w:rPr>
      </w:pPr>
      <w:bookmarkStart w:id="208" w:name="_Toc79163636"/>
      <w:bookmarkStart w:id="209" w:name="_Toc22566"/>
      <w:bookmarkStart w:id="210" w:name="_Toc18504"/>
      <w:bookmarkStart w:id="211" w:name="_Toc13634"/>
      <w:bookmarkStart w:id="212" w:name="_Toc18737"/>
      <w:bookmarkStart w:id="213" w:name="_Toc15396619"/>
      <w:r>
        <w:rPr>
          <w:rFonts w:hint="eastAsia" w:ascii="仿宋" w:eastAsia="仿宋"/>
          <w:b w:val="0"/>
          <w:color w:val="000000"/>
        </w:rPr>
        <w:t>一、收</w:t>
      </w:r>
      <w:r>
        <w:rPr>
          <w:rStyle w:val="24"/>
          <w:rFonts w:hint="eastAsia" w:ascii="仿宋" w:eastAsia="仿宋"/>
          <w:b w:val="0"/>
          <w:bCs w:val="0"/>
        </w:rPr>
        <w:t>入支出决算总表</w:t>
      </w:r>
      <w:bookmarkEnd w:id="208"/>
      <w:bookmarkEnd w:id="209"/>
      <w:bookmarkEnd w:id="210"/>
      <w:bookmarkEnd w:id="211"/>
      <w:bookmarkEnd w:id="212"/>
      <w:bookmarkEnd w:id="213"/>
    </w:p>
    <w:p>
      <w:pPr>
        <w:pStyle w:val="4"/>
        <w:rPr>
          <w:rFonts w:ascii="仿宋" w:eastAsia="仿宋"/>
          <w:color w:val="000000"/>
        </w:rPr>
      </w:pPr>
      <w:bookmarkStart w:id="214" w:name="_Toc2323"/>
      <w:bookmarkStart w:id="215" w:name="_Toc30527"/>
      <w:bookmarkStart w:id="216" w:name="_Toc15396620"/>
      <w:bookmarkStart w:id="217" w:name="_Toc79163637"/>
      <w:bookmarkStart w:id="218" w:name="_Toc17285"/>
      <w:bookmarkStart w:id="219" w:name="_Toc31877"/>
      <w:r>
        <w:rPr>
          <w:rFonts w:hint="eastAsia" w:ascii="仿宋" w:eastAsia="仿宋"/>
          <w:b w:val="0"/>
          <w:color w:val="000000"/>
        </w:rPr>
        <w:t>二、收</w:t>
      </w:r>
      <w:r>
        <w:rPr>
          <w:rStyle w:val="24"/>
          <w:rFonts w:hint="eastAsia" w:ascii="仿宋" w:eastAsia="仿宋"/>
          <w:b w:val="0"/>
          <w:bCs w:val="0"/>
        </w:rPr>
        <w:t>入决算表</w:t>
      </w:r>
      <w:bookmarkEnd w:id="214"/>
      <w:bookmarkEnd w:id="215"/>
      <w:bookmarkEnd w:id="216"/>
      <w:bookmarkEnd w:id="217"/>
      <w:bookmarkEnd w:id="218"/>
      <w:bookmarkEnd w:id="219"/>
    </w:p>
    <w:p>
      <w:pPr>
        <w:pStyle w:val="4"/>
        <w:rPr>
          <w:rFonts w:ascii="仿宋" w:eastAsia="仿宋"/>
          <w:color w:val="000000"/>
        </w:rPr>
      </w:pPr>
      <w:bookmarkStart w:id="220" w:name="_Toc79163638"/>
      <w:bookmarkStart w:id="221" w:name="_Toc22290"/>
      <w:bookmarkStart w:id="222" w:name="_Toc12353"/>
      <w:bookmarkStart w:id="223" w:name="_Toc5540"/>
      <w:bookmarkStart w:id="224" w:name="_Toc11042"/>
      <w:bookmarkStart w:id="225" w:name="_Toc15396621"/>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220"/>
      <w:bookmarkEnd w:id="221"/>
      <w:bookmarkEnd w:id="222"/>
      <w:bookmarkEnd w:id="223"/>
      <w:bookmarkEnd w:id="224"/>
      <w:bookmarkEnd w:id="225"/>
    </w:p>
    <w:p>
      <w:pPr>
        <w:pStyle w:val="4"/>
        <w:rPr>
          <w:rFonts w:ascii="仿宋" w:eastAsia="仿宋"/>
          <w:b w:val="0"/>
          <w:color w:val="000000"/>
        </w:rPr>
      </w:pPr>
      <w:bookmarkStart w:id="226" w:name="_Toc9084"/>
      <w:bookmarkStart w:id="227" w:name="_Toc79163639"/>
      <w:bookmarkStart w:id="228" w:name="_Toc21940"/>
      <w:bookmarkStart w:id="229" w:name="_Toc2404"/>
      <w:bookmarkStart w:id="230" w:name="_Toc15396622"/>
      <w:bookmarkStart w:id="231" w:name="_Toc640"/>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226"/>
      <w:bookmarkEnd w:id="227"/>
      <w:bookmarkEnd w:id="228"/>
      <w:bookmarkEnd w:id="229"/>
      <w:bookmarkEnd w:id="230"/>
      <w:bookmarkEnd w:id="231"/>
    </w:p>
    <w:p>
      <w:pPr>
        <w:pStyle w:val="4"/>
        <w:rPr>
          <w:rStyle w:val="24"/>
          <w:rFonts w:ascii="仿宋" w:eastAsia="仿宋"/>
          <w:b w:val="0"/>
          <w:bCs w:val="0"/>
        </w:rPr>
      </w:pPr>
      <w:bookmarkStart w:id="232" w:name="_Toc10107"/>
      <w:bookmarkStart w:id="233" w:name="_Toc79163640"/>
      <w:bookmarkStart w:id="234" w:name="_Toc25952"/>
      <w:bookmarkStart w:id="235" w:name="_Toc15180"/>
      <w:bookmarkStart w:id="236" w:name="_Toc16163"/>
      <w:bookmarkStart w:id="237" w:name="_Toc15396623"/>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232"/>
      <w:bookmarkEnd w:id="233"/>
      <w:bookmarkEnd w:id="234"/>
      <w:bookmarkEnd w:id="235"/>
      <w:bookmarkEnd w:id="236"/>
      <w:bookmarkEnd w:id="237"/>
      <w:bookmarkStart w:id="238" w:name="_Toc15396624"/>
    </w:p>
    <w:p>
      <w:pPr>
        <w:pStyle w:val="4"/>
        <w:rPr>
          <w:rFonts w:ascii="仿宋" w:eastAsia="仿宋"/>
          <w:color w:val="000000"/>
        </w:rPr>
      </w:pPr>
      <w:bookmarkStart w:id="239" w:name="_Toc13636"/>
      <w:bookmarkStart w:id="240" w:name="_Toc31634"/>
      <w:bookmarkStart w:id="241" w:name="_Toc32034"/>
      <w:bookmarkStart w:id="242" w:name="_Toc79163641"/>
      <w:bookmarkStart w:id="243" w:name="_Toc1524"/>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238"/>
      <w:bookmarkEnd w:id="239"/>
      <w:bookmarkEnd w:id="240"/>
      <w:bookmarkEnd w:id="241"/>
      <w:bookmarkEnd w:id="242"/>
      <w:bookmarkEnd w:id="243"/>
    </w:p>
    <w:p>
      <w:pPr>
        <w:pStyle w:val="4"/>
        <w:rPr>
          <w:rFonts w:ascii="仿宋" w:eastAsia="仿宋"/>
          <w:color w:val="000000"/>
        </w:rPr>
      </w:pPr>
      <w:bookmarkStart w:id="244" w:name="_Toc29092"/>
      <w:bookmarkStart w:id="245" w:name="_Toc22901"/>
      <w:bookmarkStart w:id="246" w:name="_Toc21573"/>
      <w:bookmarkStart w:id="247" w:name="_Toc15396625"/>
      <w:bookmarkStart w:id="248" w:name="_Toc79163642"/>
      <w:bookmarkStart w:id="249" w:name="_Toc22679"/>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244"/>
      <w:bookmarkEnd w:id="245"/>
      <w:bookmarkEnd w:id="246"/>
      <w:bookmarkEnd w:id="247"/>
      <w:bookmarkEnd w:id="248"/>
      <w:bookmarkEnd w:id="249"/>
    </w:p>
    <w:p>
      <w:pPr>
        <w:pStyle w:val="4"/>
        <w:rPr>
          <w:rFonts w:ascii="仿宋" w:eastAsia="仿宋"/>
          <w:color w:val="000000"/>
        </w:rPr>
      </w:pPr>
      <w:bookmarkStart w:id="250" w:name="_Toc26884"/>
      <w:bookmarkStart w:id="251" w:name="_Toc15396626"/>
      <w:bookmarkStart w:id="252" w:name="_Toc79163643"/>
      <w:bookmarkStart w:id="253" w:name="_Toc1938"/>
      <w:bookmarkStart w:id="254" w:name="_Toc11376"/>
      <w:bookmarkStart w:id="255" w:name="_Toc1482"/>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250"/>
      <w:bookmarkEnd w:id="251"/>
      <w:bookmarkEnd w:id="252"/>
      <w:bookmarkEnd w:id="253"/>
      <w:bookmarkEnd w:id="254"/>
      <w:bookmarkEnd w:id="255"/>
    </w:p>
    <w:p>
      <w:pPr>
        <w:pStyle w:val="4"/>
        <w:rPr>
          <w:rFonts w:ascii="仿宋" w:eastAsia="仿宋"/>
          <w:color w:val="000000"/>
        </w:rPr>
      </w:pPr>
      <w:bookmarkStart w:id="256" w:name="_Toc15396627"/>
      <w:bookmarkStart w:id="257" w:name="_Toc79163644"/>
      <w:bookmarkStart w:id="258" w:name="_Toc13234"/>
      <w:bookmarkStart w:id="259" w:name="_Toc19438"/>
      <w:bookmarkStart w:id="260" w:name="_Toc27225"/>
      <w:bookmarkStart w:id="261" w:name="_Toc21798"/>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256"/>
      <w:bookmarkEnd w:id="257"/>
      <w:bookmarkEnd w:id="258"/>
      <w:bookmarkEnd w:id="259"/>
      <w:bookmarkEnd w:id="260"/>
      <w:bookmarkEnd w:id="261"/>
    </w:p>
    <w:p>
      <w:pPr>
        <w:pStyle w:val="4"/>
        <w:rPr>
          <w:rFonts w:ascii="仿宋" w:eastAsia="仿宋"/>
          <w:color w:val="000000"/>
        </w:rPr>
      </w:pPr>
      <w:bookmarkStart w:id="262" w:name="_Toc20309"/>
      <w:bookmarkStart w:id="263" w:name="_Toc79163645"/>
      <w:bookmarkStart w:id="264" w:name="_Toc24151"/>
      <w:bookmarkStart w:id="265" w:name="_Toc15396628"/>
      <w:bookmarkStart w:id="266" w:name="_Toc29512"/>
      <w:bookmarkStart w:id="267" w:name="_Toc27999"/>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262"/>
      <w:bookmarkEnd w:id="263"/>
      <w:bookmarkEnd w:id="264"/>
      <w:bookmarkEnd w:id="265"/>
      <w:bookmarkEnd w:id="266"/>
      <w:bookmarkEnd w:id="267"/>
    </w:p>
    <w:p>
      <w:pPr>
        <w:pStyle w:val="4"/>
        <w:rPr>
          <w:rFonts w:ascii="仿宋" w:eastAsia="仿宋"/>
          <w:color w:val="000000"/>
        </w:rPr>
      </w:pPr>
      <w:bookmarkStart w:id="268" w:name="_Toc9964"/>
      <w:bookmarkStart w:id="269" w:name="_Toc79163646"/>
      <w:bookmarkStart w:id="270" w:name="_Toc15396629"/>
      <w:bookmarkStart w:id="271" w:name="_Toc3594"/>
      <w:bookmarkStart w:id="272" w:name="_Toc17649"/>
      <w:bookmarkStart w:id="273" w:name="_Toc18991"/>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268"/>
      <w:bookmarkEnd w:id="269"/>
      <w:bookmarkEnd w:id="270"/>
      <w:bookmarkEnd w:id="271"/>
      <w:bookmarkEnd w:id="272"/>
      <w:bookmarkEnd w:id="273"/>
    </w:p>
    <w:p>
      <w:pPr>
        <w:pStyle w:val="4"/>
        <w:rPr>
          <w:rFonts w:ascii="仿宋" w:eastAsia="仿宋"/>
          <w:color w:val="000000"/>
        </w:rPr>
      </w:pPr>
      <w:bookmarkStart w:id="274" w:name="_Toc79163647"/>
      <w:bookmarkStart w:id="275" w:name="_Toc8404"/>
      <w:bookmarkStart w:id="276" w:name="_Toc15396630"/>
      <w:bookmarkStart w:id="277" w:name="_Toc16641"/>
      <w:bookmarkStart w:id="278" w:name="_Toc7517"/>
      <w:bookmarkStart w:id="279" w:name="_Toc2626"/>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274"/>
      <w:bookmarkEnd w:id="275"/>
      <w:bookmarkEnd w:id="276"/>
      <w:bookmarkEnd w:id="277"/>
      <w:bookmarkEnd w:id="278"/>
      <w:bookmarkEnd w:id="279"/>
    </w:p>
    <w:p>
      <w:pPr>
        <w:pStyle w:val="4"/>
        <w:rPr>
          <w:rStyle w:val="24"/>
          <w:rFonts w:ascii="仿宋" w:eastAsia="仿宋"/>
          <w:b w:val="0"/>
          <w:bCs w:val="0"/>
        </w:rPr>
      </w:pPr>
      <w:bookmarkStart w:id="280" w:name="_Toc79163648"/>
      <w:bookmarkStart w:id="281" w:name="_Toc12054"/>
      <w:bookmarkStart w:id="282" w:name="_Toc15396631"/>
      <w:bookmarkStart w:id="283" w:name="_Toc6817"/>
      <w:bookmarkStart w:id="284" w:name="_Toc28145"/>
      <w:bookmarkStart w:id="285" w:name="_Toc23415"/>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280"/>
      <w:bookmarkEnd w:id="281"/>
      <w:bookmarkEnd w:id="282"/>
      <w:bookmarkEnd w:id="283"/>
      <w:bookmarkEnd w:id="284"/>
      <w:bookmarkEnd w:id="285"/>
    </w:p>
    <w:p>
      <w:pPr>
        <w:pStyle w:val="4"/>
        <w:rPr>
          <w:rStyle w:val="24"/>
          <w:rFonts w:ascii="仿宋" w:eastAsia="仿宋"/>
          <w:b w:val="0"/>
          <w:bCs w:val="0"/>
        </w:rPr>
      </w:pPr>
      <w:bookmarkStart w:id="286" w:name="_Toc29528"/>
      <w:bookmarkStart w:id="287" w:name="_Toc10325"/>
      <w:bookmarkStart w:id="288" w:name="_Toc767"/>
      <w:bookmarkStart w:id="289" w:name="_Toc79163649"/>
      <w:bookmarkStart w:id="290" w:name="_Toc8416"/>
      <w:r>
        <w:rPr>
          <w:rStyle w:val="24"/>
          <w:rFonts w:hint="eastAsia" w:ascii="仿宋" w:eastAsia="仿宋"/>
          <w:b w:val="0"/>
          <w:bCs w:val="0"/>
        </w:rPr>
        <w:t>十四、国有资本经营预算财政拨款支出决算表</w:t>
      </w:r>
      <w:bookmarkEnd w:id="286"/>
      <w:bookmarkEnd w:id="287"/>
      <w:bookmarkEnd w:id="288"/>
      <w:bookmarkEnd w:id="289"/>
      <w:bookmarkEnd w:id="29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FF99A"/>
    <w:multiLevelType w:val="singleLevel"/>
    <w:tmpl w:val="89DFF99A"/>
    <w:lvl w:ilvl="0" w:tentative="0">
      <w:start w:val="2"/>
      <w:numFmt w:val="chineseCounting"/>
      <w:suff w:val="nothing"/>
      <w:lvlText w:val="（%1）"/>
      <w:lvlJc w:val="left"/>
      <w:rPr>
        <w:rFonts w:hint="eastAsia"/>
      </w:rPr>
    </w:lvl>
  </w:abstractNum>
  <w:abstractNum w:abstractNumId="1">
    <w:nsid w:val="A0BA8A59"/>
    <w:multiLevelType w:val="singleLevel"/>
    <w:tmpl w:val="A0BA8A59"/>
    <w:lvl w:ilvl="0" w:tentative="0">
      <w:start w:val="1"/>
      <w:numFmt w:val="chineseCounting"/>
      <w:suff w:val="nothing"/>
      <w:lvlText w:val="%1、"/>
      <w:lvlJc w:val="left"/>
      <w:rPr>
        <w:rFonts w:hint="eastAsia"/>
      </w:rPr>
    </w:lvl>
  </w:abstractNum>
  <w:abstractNum w:abstractNumId="2">
    <w:nsid w:val="C40AEA6F"/>
    <w:multiLevelType w:val="singleLevel"/>
    <w:tmpl w:val="C40AEA6F"/>
    <w:lvl w:ilvl="0" w:tentative="0">
      <w:start w:val="4"/>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4">
    <w:nsid w:val="E2D22F64"/>
    <w:multiLevelType w:val="singleLevel"/>
    <w:tmpl w:val="E2D22F64"/>
    <w:lvl w:ilvl="0" w:tentative="0">
      <w:start w:val="1"/>
      <w:numFmt w:val="decimal"/>
      <w:lvlText w:val="%1."/>
      <w:lvlJc w:val="left"/>
      <w:pPr>
        <w:tabs>
          <w:tab w:val="left" w:pos="312"/>
        </w:tabs>
      </w:pPr>
    </w:lvl>
  </w:abstractNum>
  <w:abstractNum w:abstractNumId="5">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3E794925"/>
    <w:multiLevelType w:val="singleLevel"/>
    <w:tmpl w:val="3E794925"/>
    <w:lvl w:ilvl="0" w:tentative="0">
      <w:start w:val="3"/>
      <w:numFmt w:val="chineseCounting"/>
      <w:suff w:val="nothing"/>
      <w:lvlText w:val="（%1）"/>
      <w:lvlJc w:val="left"/>
      <w:rPr>
        <w:rFonts w:hint="eastAsia"/>
      </w:rPr>
    </w:lvl>
  </w:abstractNum>
  <w:num w:numId="1">
    <w:abstractNumId w:val="6"/>
  </w:num>
  <w:num w:numId="2">
    <w:abstractNumId w:val="4"/>
  </w:num>
  <w:num w:numId="3">
    <w:abstractNumId w:val="3"/>
  </w:num>
  <w:num w:numId="4">
    <w:abstractNumId w:val="2"/>
  </w:num>
  <w:num w:numId="5">
    <w:abstractNumId w:val="5"/>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WZmOGJmOWQwY2RjMjM4NTVlYzRmM2ZmOGJkZmVhZWIifQ=="/>
  </w:docVars>
  <w:rsids>
    <w:rsidRoot w:val="00000000"/>
    <w:rsid w:val="01FD7DCB"/>
    <w:rsid w:val="03CF1E0E"/>
    <w:rsid w:val="0775043F"/>
    <w:rsid w:val="0B1B0E12"/>
    <w:rsid w:val="20B30DF1"/>
    <w:rsid w:val="2C6A33B1"/>
    <w:rsid w:val="2FB76905"/>
    <w:rsid w:val="2FF752E9"/>
    <w:rsid w:val="318F4A02"/>
    <w:rsid w:val="36E461B6"/>
    <w:rsid w:val="37027976"/>
    <w:rsid w:val="37584226"/>
    <w:rsid w:val="45226385"/>
    <w:rsid w:val="4CBA67BC"/>
    <w:rsid w:val="4F1560AE"/>
    <w:rsid w:val="54007840"/>
    <w:rsid w:val="592E542E"/>
    <w:rsid w:val="6AE944C1"/>
    <w:rsid w:val="6B4A38A2"/>
    <w:rsid w:val="758C4715"/>
    <w:rsid w:val="7A3832AE"/>
    <w:rsid w:val="7D2527A8"/>
    <w:rsid w:val="7D70634C"/>
    <w:rsid w:val="8EFFB3B4"/>
    <w:rsid w:val="DF7D9D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33">
    <w:name w:val="List Paragraph"/>
    <w:basedOn w:val="1"/>
    <w:qFormat/>
    <w:uiPriority w:val="34"/>
    <w:pPr>
      <w:ind w:firstLine="420" w:firstLineChars="200"/>
    </w:pPr>
  </w:style>
  <w:style w:type="character" w:customStyle="1" w:styleId="34">
    <w:name w:val="15"/>
    <w:basedOn w:val="20"/>
    <w:qFormat/>
    <w:uiPriority w:val="0"/>
    <w:rPr>
      <w:rFonts w:hint="default" w:ascii="Calibri" w:hAnsi="Calibri" w:cs="Calibri"/>
      <w:b/>
    </w:rPr>
  </w:style>
  <w:style w:type="character" w:customStyle="1" w:styleId="35">
    <w:name w:val="text-tag"/>
    <w:basedOn w:val="20"/>
    <w:qFormat/>
    <w:uiPriority w:val="0"/>
  </w:style>
  <w:style w:type="paragraph" w:customStyle="1" w:styleId="36">
    <w:name w:val="p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855627072985"/>
          <c:y val="0.143581961345741"/>
          <c:w val="0.704120815999957"/>
          <c:h val="0.739144571214313"/>
        </c:manualLayout>
      </c:layout>
      <c:barChart>
        <c:barDir val="col"/>
        <c:grouping val="clustered"/>
        <c:varyColors val="0"/>
        <c:ser>
          <c:idx val="0"/>
          <c:order val="0"/>
          <c:tx>
            <c:strRef>
              <c:f>Sheet1!$B$1</c:f>
              <c:strCache>
                <c:ptCount val="1"/>
                <c:pt idx="0">
                  <c:v>2020年度</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52</c:v>
                </c:pt>
                <c:pt idx="1">
                  <c:v>52</c:v>
                </c:pt>
              </c:numCache>
            </c:numRef>
          </c:val>
        </c:ser>
        <c:ser>
          <c:idx val="1"/>
          <c:order val="1"/>
          <c:tx>
            <c:strRef>
              <c:f>Sheet1!$C$1</c:f>
              <c:strCache>
                <c:ptCount val="1"/>
                <c:pt idx="0">
                  <c:v>2021年度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78.73</c:v>
                </c:pt>
                <c:pt idx="1">
                  <c:v>78.73</c:v>
                </c:pt>
              </c:numCache>
            </c:numRef>
          </c:val>
        </c:ser>
        <c:dLbls>
          <c:showLegendKey val="0"/>
          <c:showVal val="0"/>
          <c:showCatName val="0"/>
          <c:showSerName val="0"/>
          <c:showPercent val="0"/>
          <c:showBubbleSize val="0"/>
        </c:dLbls>
        <c:gapWidth val="150"/>
        <c:axId val="85492096"/>
        <c:axId val="85493632"/>
      </c:barChart>
      <c:catAx>
        <c:axId val="854920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493632"/>
        <c:crosses val="autoZero"/>
        <c:auto val="1"/>
        <c:lblAlgn val="ctr"/>
        <c:lblOffset val="100"/>
        <c:noMultiLvlLbl val="0"/>
      </c:catAx>
      <c:valAx>
        <c:axId val="85493632"/>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49209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4"/>
    </mc:Choice>
    <mc:Fallback>
      <c:style val="24"/>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t>2021</a:t>
            </a:r>
            <a:r>
              <a:rPr lang="zh-CN"/>
              <a:t>年收入情况</a:t>
            </a:r>
            <a:endParaRPr lang="zh-CN"/>
          </a:p>
        </c:rich>
      </c:tx>
      <c:layout>
        <c:manualLayout>
          <c:xMode val="edge"/>
          <c:yMode val="edge"/>
          <c:x val="0.351155503329417"/>
          <c:y val="0.0845070422535214"/>
        </c:manualLayout>
      </c:layout>
      <c:overlay val="0"/>
    </c:title>
    <c:autoTitleDeleted val="0"/>
    <c:plotArea>
      <c:layout/>
      <c:pieChart>
        <c:varyColors val="1"/>
        <c:ser>
          <c:idx val="0"/>
          <c:order val="0"/>
          <c:tx>
            <c:strRef>
              <c:f>Sheet1!$B$1</c:f>
              <c:strCache>
                <c:ptCount val="1"/>
                <c:pt idx="0">
                  <c:v>2021年收入</c:v>
                </c:pt>
              </c:strCache>
            </c:strRef>
          </c:tx>
          <c:explosion val="0"/>
          <c:dPt>
            <c:idx val="0"/>
            <c:bubble3D val="0"/>
          </c:dPt>
          <c:dLbls>
            <c:dLbl>
              <c:idx val="0"/>
              <c:layout>
                <c:manualLayout>
                  <c:x val="0.00357399508375202"/>
                  <c:y val="-0.27046911389597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100</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2021年收入</c:v>
                </c:pt>
              </c:strCache>
            </c:strRef>
          </c:cat>
          <c:val>
            <c:numRef>
              <c:f>Sheet1!$B$2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202</a:t>
            </a:r>
            <a:r>
              <a:rPr lang="en-US" altLang="zh-CN"/>
              <a:t>1</a:t>
            </a:r>
            <a:r>
              <a:t>年支出情况</a:t>
            </a:r>
          </a:p>
        </c:rich>
      </c:tx>
      <c:layout>
        <c:manualLayout>
          <c:xMode val="edge"/>
          <c:yMode val="edge"/>
          <c:x val="0.2448049580751"/>
          <c:y val="0.0579399141630901"/>
        </c:manualLayout>
      </c:layout>
      <c:overlay val="0"/>
    </c:title>
    <c:autoTitleDeleted val="0"/>
    <c:plotArea>
      <c:layout/>
      <c:pieChart>
        <c:varyColors val="1"/>
        <c:ser>
          <c:idx val="0"/>
          <c:order val="0"/>
          <c:tx>
            <c:strRef>
              <c:f>Sheet1!$B$1</c:f>
              <c:strCache>
                <c:ptCount val="1"/>
                <c:pt idx="0">
                  <c:v>2020年支出情况</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70.8</a:t>
                    </a:r>
                    <a:r>
                      <a:rPr lang="en-US" altLang="zh-CN"/>
                      <a:t>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70.83</c:v>
                </c:pt>
                <c:pt idx="1">
                  <c:v>7.8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21</Pages>
  <Words>6849</Words>
  <Characters>7265</Characters>
  <Lines>596</Lines>
  <Paragraphs>286</Paragraphs>
  <TotalTime>11</TotalTime>
  <ScaleCrop>false</ScaleCrop>
  <LinksUpToDate>false</LinksUpToDate>
  <CharactersWithSpaces>7508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2022-09-27T18:34:00Z</cp:lastPrinted>
  <dcterms:modified xsi:type="dcterms:W3CDTF">2026-05-19T16:50:39Z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2ABAE01CE2FC400F8D8DD8239264B8DC</vt:lpwstr>
  </property>
</Properties>
</file>