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outlineLvl w:val="9"/>
        <w:rPr>
          <w:rFonts w:hint="eastAsia" w:ascii="Times New Roman" w:hAnsi="Times New Roman" w:eastAsia="方正小标宋简体" w:cs="Times New Roman"/>
          <w:color w:val="auto"/>
          <w:kern w:val="2"/>
          <w:sz w:val="72"/>
          <w:szCs w:val="72"/>
          <w:highlight w:val="none"/>
          <w:lang w:val="en-US" w:eastAsia="zh-CN" w:bidi="ar-SA"/>
        </w:rPr>
      </w:pPr>
      <w:bookmarkStart w:id="0" w:name="_Toc15378441"/>
      <w:bookmarkStart w:id="1" w:name="_Toc15396597"/>
      <w:bookmarkStart w:id="2" w:name="_Toc15377425"/>
      <w:bookmarkStart w:id="3" w:name="_Toc15396475"/>
      <w:bookmarkStart w:id="4" w:name="_Toc15306267"/>
      <w:bookmarkStart w:id="5" w:name="_Toc15377193"/>
    </w:p>
    <w:p>
      <w:pPr>
        <w:pStyle w:val="5"/>
        <w:rPr>
          <w:rFonts w:hint="eastAsia" w:ascii="Times New Roman" w:hAnsi="Times New Roman" w:eastAsia="方正小标宋简体" w:cs="Times New Roman"/>
          <w:color w:val="auto"/>
          <w:kern w:val="2"/>
          <w:sz w:val="72"/>
          <w:szCs w:val="72"/>
          <w:highlight w:val="none"/>
          <w:lang w:val="en-US" w:eastAsia="zh-CN" w:bidi="ar-SA"/>
        </w:rPr>
      </w:pPr>
    </w:p>
    <w:p>
      <w:pPr>
        <w:pStyle w:val="5"/>
        <w:rPr>
          <w:rFonts w:hint="eastAsia" w:ascii="Times New Roman" w:hAnsi="Times New Roman" w:eastAsia="方正小标宋简体" w:cs="Times New Roman"/>
          <w:color w:val="auto"/>
          <w:kern w:val="2"/>
          <w:sz w:val="72"/>
          <w:szCs w:val="72"/>
          <w:highlight w:val="none"/>
          <w:lang w:val="en-US" w:eastAsia="zh-CN" w:bidi="ar-SA"/>
        </w:rPr>
      </w:pPr>
    </w:p>
    <w:p>
      <w:pPr>
        <w:pStyle w:val="5"/>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四川省阿坝州</w:t>
      </w:r>
    </w:p>
    <w:p>
      <w:pPr>
        <w:pStyle w:val="5"/>
        <w:jc w:val="center"/>
        <w:outlineLvl w:val="0"/>
        <w:rPr>
          <w:rFonts w:hint="eastAsia" w:ascii="Times New Roman" w:eastAsia="方正小标宋简体" w:cs="Times New Roman"/>
          <w:color w:val="auto"/>
          <w:kern w:val="2"/>
          <w:sz w:val="44"/>
          <w:szCs w:val="44"/>
          <w:highlight w:val="none"/>
          <w:lang w:val="en-US" w:eastAsia="zh-CN" w:bidi="ar-SA"/>
        </w:rPr>
      </w:pPr>
      <w:bookmarkStart w:id="6" w:name="_Toc15968"/>
      <w:bookmarkStart w:id="7" w:name="_Toc3101"/>
      <w:bookmarkStart w:id="8" w:name="_Toc3448"/>
      <w:bookmarkStart w:id="9" w:name="_Toc14589"/>
      <w:r>
        <w:rPr>
          <w:rFonts w:hint="eastAsia" w:ascii="Times New Roman" w:eastAsia="方正小标宋简体" w:cs="Times New Roman"/>
          <w:color w:val="auto"/>
          <w:kern w:val="2"/>
          <w:sz w:val="44"/>
          <w:szCs w:val="44"/>
          <w:highlight w:val="none"/>
          <w:lang w:val="en-US" w:eastAsia="zh-CN" w:bidi="ar-SA"/>
        </w:rPr>
        <w:t>茂县红十字会</w:t>
      </w:r>
      <w:bookmarkEnd w:id="6"/>
      <w:bookmarkEnd w:id="7"/>
      <w:bookmarkEnd w:id="8"/>
      <w:bookmarkEnd w:id="9"/>
    </w:p>
    <w:p>
      <w:pPr>
        <w:pStyle w:val="5"/>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部门</w:t>
      </w:r>
      <w:r>
        <w:rPr>
          <w:rFonts w:hint="eastAsia" w:ascii="Times New Roman" w:hAnsi="Times New Roman" w:eastAsia="方正小标宋简体" w:cs="Times New Roman"/>
          <w:color w:val="auto"/>
          <w:kern w:val="2"/>
          <w:sz w:val="44"/>
          <w:szCs w:val="44"/>
          <w:highlight w:val="none"/>
          <w:lang w:val="en-US" w:eastAsia="zh-CN" w:bidi="ar-SA"/>
        </w:rPr>
        <w:t>决算</w:t>
      </w:r>
    </w:p>
    <w:p>
      <w:pPr>
        <w:spacing w:line="600" w:lineRule="exact"/>
        <w:jc w:val="center"/>
        <w:outlineLvl w:val="9"/>
        <w:rPr>
          <w:rFonts w:ascii="Times New Roman" w:hAnsi="Times New Roman" w:eastAsia="方正小标宋简体"/>
          <w:color w:val="auto"/>
          <w:sz w:val="72"/>
          <w:szCs w:val="72"/>
          <w:highlight w:val="none"/>
        </w:rPr>
      </w:pPr>
    </w:p>
    <w:p>
      <w:pPr>
        <w:pStyle w:val="20"/>
        <w:outlineLvl w:val="9"/>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Pr>
        <w:pStyle w:val="5"/>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sdt>
      <w:sdtPr>
        <w:rPr>
          <w:rFonts w:ascii="宋体" w:hAnsi="宋体" w:eastAsia="宋体" w:cs="Times New Roman"/>
          <w:kern w:val="2"/>
          <w:sz w:val="21"/>
          <w:szCs w:val="24"/>
          <w:lang w:val="en-US" w:eastAsia="zh-CN" w:bidi="ar-SA"/>
        </w:rPr>
        <w:id w:val="147458406"/>
        <w15:color w:val="DBDBDB"/>
        <w:docPartObj>
          <w:docPartGallery w:val="Table of Contents"/>
          <w:docPartUnique/>
        </w:docPartObj>
      </w:sdtPr>
      <w:sdtEndPr>
        <w:rPr>
          <w:rFonts w:hint="eastAsia" w:ascii="Times New Roman" w:hAnsi="Times New Roman" w:eastAsia="方正小标宋简体" w:cs="方正小标宋简体"/>
          <w:b/>
          <w:bCs/>
          <w:color w:val="auto"/>
          <w:kern w:val="44"/>
          <w:sz w:val="44"/>
          <w:szCs w:val="44"/>
          <w:highlight w:val="none"/>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r>
            <w:rPr>
              <w:rFonts w:hint="eastAsia" w:ascii="黑体" w:hAnsi="黑体" w:eastAsia="黑体" w:cs="黑体"/>
              <w:sz w:val="44"/>
              <w:szCs w:val="44"/>
            </w:rPr>
            <w:t>目录</w:t>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公开时间：202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年9月25日</w:t>
          </w:r>
        </w:p>
        <w:p>
          <w:pPr>
            <w:pStyle w:val="11"/>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Times New Roman" w:hAnsi="Times New Roman" w:eastAsia="方正小标宋简体" w:cs="方正小标宋简体"/>
              <w:b w:val="0"/>
              <w:color w:val="auto"/>
              <w:sz w:val="44"/>
              <w:szCs w:val="44"/>
              <w:highlight w:val="none"/>
            </w:rPr>
            <w:fldChar w:fldCharType="begin"/>
          </w:r>
          <w:r>
            <w:rPr>
              <w:rFonts w:hint="eastAsia" w:ascii="Times New Roman" w:hAnsi="Times New Roman" w:eastAsia="方正小标宋简体" w:cs="方正小标宋简体"/>
              <w:b w:val="0"/>
              <w:color w:val="auto"/>
              <w:sz w:val="44"/>
              <w:szCs w:val="44"/>
              <w:highlight w:val="none"/>
            </w:rPr>
            <w:instrText xml:space="preserve">TOC \o "1-2" \h \u </w:instrText>
          </w:r>
          <w:r>
            <w:rPr>
              <w:rFonts w:hint="eastAsia" w:ascii="Times New Roman" w:hAnsi="Times New Roman" w:eastAsia="方正小标宋简体" w:cs="方正小标宋简体"/>
              <w:b w:val="0"/>
              <w:color w:val="auto"/>
              <w:sz w:val="44"/>
              <w:szCs w:val="44"/>
              <w:highlight w:val="none"/>
            </w:rPr>
            <w:fldChar w:fldCharType="separate"/>
          </w: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_Toc5078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第一部分  部门概况</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2</w:t>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_Toc27984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一、部门职责</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PAGEREF _Toc27984 \h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2</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_Toc28647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二、机构设置</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2</w:t>
          </w:r>
          <w:r>
            <w:rPr>
              <w:rFonts w:hint="eastAsia" w:ascii="楷体" w:hAnsi="楷体" w:eastAsia="楷体" w:cs="楷体"/>
              <w:b w:val="0"/>
              <w:bCs w:val="0"/>
              <w:kern w:val="2"/>
              <w:sz w:val="24"/>
              <w:szCs w:val="24"/>
              <w:lang w:val="en-US" w:eastAsia="zh-CN" w:bidi="ar-SA"/>
            </w:rPr>
            <w:fldChar w:fldCharType="end"/>
          </w:r>
        </w:p>
        <w:p>
          <w:pPr>
            <w:pStyle w:val="11"/>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_Toc22592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第二部分  2024年度部门决算情况说明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_Toc14151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一、收入支出决算总体情况说明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_Toc22701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二、收入决算情况说明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_Toc25851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三、支出决算情况说明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4</w:t>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_Toc10943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四、财政拨款收入支出决算总体情况说明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PAGEREF _Toc10943 \h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5</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_Toc9437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五、一般公共预算财政拨款支出决算情况说明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5</w:t>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_Toc29169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六、一般公共预算财政拨款基本支出决算情况说明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7</w:t>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_Toc16222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七、财政拨款“三公”经费支出决算情况说明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8</w:t>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_Toc17484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八、政府性基金预算支出决算情况说明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9</w:t>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_Toc3153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九、国有资本经营预算支出决算情况说明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PAGEREF _Toc3153 \h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9</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fldChar w:fldCharType="end"/>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_Toc5246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十、其他重要事项的情况说明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9</w:t>
          </w:r>
          <w:r>
            <w:rPr>
              <w:rFonts w:hint="eastAsia" w:ascii="楷体" w:hAnsi="楷体" w:eastAsia="楷体" w:cs="楷体"/>
              <w:b w:val="0"/>
              <w:bCs w:val="0"/>
              <w:kern w:val="2"/>
              <w:sz w:val="24"/>
              <w:szCs w:val="24"/>
              <w:lang w:val="en-US" w:eastAsia="zh-CN" w:bidi="ar-SA"/>
            </w:rPr>
            <w:fldChar w:fldCharType="end"/>
          </w:r>
        </w:p>
        <w:p>
          <w:pPr>
            <w:pStyle w:val="11"/>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_Toc27957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第三部分  名词解释</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11</w:t>
          </w:r>
        </w:p>
        <w:p>
          <w:pPr>
            <w:pStyle w:val="15"/>
            <w:tabs>
              <w:tab w:val="right" w:leader="dot" w:pos="8306"/>
              <w:tab w:val="clear" w:pos="8296"/>
            </w:tabs>
            <w:ind w:left="0" w:leftChars="0" w:firstLine="0" w:firstLineChars="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t xml:space="preserve">第四部分  </w:t>
          </w: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_Toc6538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附件</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1</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4</w:t>
          </w:r>
        </w:p>
        <w:p>
          <w:pPr>
            <w:pStyle w:val="36"/>
            <w:tabs>
              <w:tab w:val="right" w:leader="dot" w:pos="830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_Toc30346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附件1</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1</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4</w:t>
          </w:r>
        </w:p>
        <w:p>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_Toc16721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zh-CN" w:eastAsia="zh-CN" w:bidi="ar-SA"/>
            </w:rPr>
            <w:t>附件</w:t>
          </w:r>
          <w:r>
            <w:rPr>
              <w:rFonts w:hint="eastAsia" w:ascii="楷体" w:hAnsi="楷体" w:eastAsia="楷体" w:cs="楷体"/>
              <w:b w:val="0"/>
              <w:bCs w:val="0"/>
              <w:kern w:val="2"/>
              <w:sz w:val="24"/>
              <w:szCs w:val="24"/>
              <w:lang w:val="en-US" w:eastAsia="zh-CN" w:bidi="ar-SA"/>
            </w:rPr>
            <w:t>2</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2</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4</w:t>
          </w:r>
        </w:p>
        <w:p>
          <w:pPr>
            <w:pStyle w:val="11"/>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_Toc30618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第五部分 附表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_Toc16991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一、收入支出决算总表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_Toc9073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三、支出决算表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_Toc16356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四、财政拨款收入支出决算总表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_Toc17138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五、财政拨款支出决算明细表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_Toc4549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六、一般公共预算财政拨款支出决算表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_Toc14791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七、一般公共预算财政拨款支出决算明细表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_Toc28418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八、一般公共预算财政拨款基本支出决算表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_Toc18307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九、一般公共预算财政拨款项目支出决算表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_Toc5528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十、政府性基金预算财政拨款收入支出决算表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_Toc9214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十一、国有资本经营预算财政拨款收入支出决算表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_Toc20620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十二、国有资本经营预算财政拨款支出决算表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2</w:t>
          </w:r>
        </w:p>
        <w:p>
          <w:pPr>
            <w:pStyle w:val="12"/>
            <w:tabs>
              <w:tab w:val="right" w:leader="dot" w:pos="8306"/>
            </w:tabs>
            <w:suppressAutoHyphens/>
            <w:ind w:left="0" w:leftChars="0" w:firstLine="480" w:firstLineChars="200"/>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t>十三、财政拨款三公经费支出决算表.......................</w:t>
          </w:r>
          <w:r>
            <w:rPr>
              <w:rFonts w:hint="default" w:ascii="楷体" w:hAnsi="楷体" w:eastAsia="楷体" w:cs="楷体"/>
              <w:b w:val="0"/>
              <w:bCs w:val="0"/>
              <w:kern w:val="2"/>
              <w:sz w:val="24"/>
              <w:szCs w:val="24"/>
              <w:lang w:eastAsia="zh-CN" w:bidi="ar-SA"/>
            </w:rPr>
            <w:t>............................</w:t>
          </w:r>
          <w:bookmarkStart w:id="127" w:name="_GoBack"/>
          <w:bookmarkEnd w:id="127"/>
          <w:r>
            <w:rPr>
              <w:rFonts w:hint="eastAsia" w:ascii="楷体" w:hAnsi="楷体" w:eastAsia="楷体" w:cs="楷体"/>
              <w:b w:val="0"/>
              <w:bCs w:val="0"/>
              <w:kern w:val="2"/>
              <w:sz w:val="24"/>
              <w:szCs w:val="24"/>
              <w:lang w:val="en-US" w:eastAsia="zh-CN" w:bidi="ar-SA"/>
            </w:rPr>
            <w:t>.........32</w:t>
          </w:r>
        </w:p>
        <w:p>
          <w:pPr>
            <w:rPr>
              <w:rFonts w:hint="eastAsia" w:ascii="楷体" w:hAnsi="楷体" w:eastAsia="楷体" w:cs="楷体"/>
              <w:b w:val="0"/>
              <w:bCs w:val="0"/>
              <w:kern w:val="2"/>
              <w:sz w:val="24"/>
              <w:szCs w:val="24"/>
              <w:lang w:val="en-US" w:eastAsia="zh-CN" w:bidi="ar-SA"/>
            </w:rPr>
          </w:pPr>
        </w:p>
        <w:p>
          <w:pPr>
            <w:rPr>
              <w:rFonts w:hint="eastAsia" w:ascii="楷体_GB2312" w:hAnsi="楷体_GB2312" w:eastAsia="楷体_GB2312" w:cs="楷体_GB2312"/>
              <w:sz w:val="24"/>
              <w:szCs w:val="24"/>
              <w:lang w:val="en-US" w:eastAsia="zh-CN"/>
            </w:rPr>
          </w:pPr>
        </w:p>
        <w:p>
          <w:pPr>
            <w:rPr>
              <w:rFonts w:hint="eastAsia" w:ascii="楷体_GB2312" w:hAnsi="楷体_GB2312" w:eastAsia="楷体_GB2312" w:cs="楷体_GB2312"/>
              <w:sz w:val="24"/>
              <w:szCs w:val="24"/>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576" w:lineRule="exact"/>
            <w:jc w:val="both"/>
            <w:textAlignment w:val="auto"/>
            <w:rPr>
              <w:rFonts w:hint="eastAsia"/>
            </w:rPr>
          </w:pPr>
          <w:r>
            <w:rPr>
              <w:rFonts w:hint="eastAsia" w:ascii="Times New Roman" w:hAnsi="Times New Roman" w:eastAsia="方正小标宋简体" w:cs="方正小标宋简体"/>
              <w:color w:val="auto"/>
              <w:szCs w:val="44"/>
              <w:highlight w:val="none"/>
            </w:rPr>
            <w:fldChar w:fldCharType="end"/>
          </w:r>
        </w:p>
      </w:sdtContent>
    </w:sdt>
    <w:p>
      <w:pPr>
        <w:pStyle w:val="2"/>
        <w:keepNext/>
        <w:keepLines/>
        <w:pageBreakBefore w:val="0"/>
        <w:widowControl w:val="0"/>
        <w:kinsoku/>
        <w:wordWrap/>
        <w:overflowPunct/>
        <w:topLinePunct w:val="0"/>
        <w:autoSpaceDE/>
        <w:autoSpaceDN/>
        <w:bidi w:val="0"/>
        <w:adjustRightInd/>
        <w:snapToGrid/>
        <w:spacing w:before="0" w:after="0" w:line="576" w:lineRule="exact"/>
        <w:jc w:val="center"/>
        <w:textAlignment w:val="auto"/>
        <w:rPr>
          <w:rFonts w:ascii="Times New Roman" w:hAnsi="Times New Roman" w:eastAsia="黑体"/>
          <w:color w:val="auto"/>
          <w:sz w:val="44"/>
          <w:szCs w:val="44"/>
          <w:highlight w:val="none"/>
        </w:rPr>
      </w:pPr>
      <w:bookmarkStart w:id="10" w:name="_Toc5078"/>
      <w:r>
        <w:rPr>
          <w:rFonts w:hint="eastAsia" w:ascii="Times New Roman" w:hAnsi="Times New Roman" w:eastAsia="方正小标宋简体" w:cs="方正小标宋简体"/>
          <w:b w:val="0"/>
          <w:color w:val="auto"/>
          <w:sz w:val="44"/>
          <w:szCs w:val="44"/>
          <w:highlight w:val="none"/>
        </w:rPr>
        <w:t>第一部分</w:t>
      </w:r>
      <w:r>
        <w:rPr>
          <w:rFonts w:hint="eastAsia" w:ascii="Times New Roman" w:hAnsi="Times New Roman" w:eastAsia="方正小标宋简体" w:cs="方正小标宋简体"/>
          <w:b w:val="0"/>
          <w:color w:val="auto"/>
          <w:sz w:val="44"/>
          <w:szCs w:val="44"/>
          <w:highlight w:val="none"/>
          <w:lang w:val="en-US" w:eastAsia="zh-CN"/>
        </w:rPr>
        <w:t xml:space="preserve"> </w:t>
      </w:r>
      <w:r>
        <w:rPr>
          <w:rFonts w:hint="eastAsia" w:ascii="Times New Roman" w:hAnsi="Times New Roman" w:eastAsia="方正小标宋简体" w:cs="方正小标宋简体"/>
          <w:b w:val="0"/>
          <w:color w:val="auto"/>
          <w:sz w:val="44"/>
          <w:szCs w:val="44"/>
          <w:highlight w:val="none"/>
        </w:rPr>
        <w:t xml:space="preserve"> </w:t>
      </w:r>
      <w:r>
        <w:rPr>
          <w:rStyle w:val="29"/>
          <w:rFonts w:hint="eastAsia" w:ascii="Times New Roman" w:hAnsi="Times New Roman" w:eastAsia="方正小标宋简体" w:cs="方正小标宋简体"/>
          <w:b w:val="0"/>
          <w:bCs w:val="0"/>
          <w:color w:val="auto"/>
          <w:sz w:val="44"/>
          <w:szCs w:val="44"/>
          <w:highlight w:val="none"/>
        </w:rPr>
        <w:t>部门概况</w:t>
      </w:r>
      <w:bookmarkEnd w:id="10"/>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76" w:lineRule="exact"/>
        <w:ind w:firstLine="642" w:firstLineChars="200"/>
        <w:textAlignment w:val="auto"/>
        <w:outlineLvl w:val="1"/>
        <w:rPr>
          <w:rFonts w:hint="eastAsia" w:ascii="黑体" w:hAnsi="黑体" w:eastAsia="黑体" w:cs="黑体"/>
          <w:b/>
          <w:bCs/>
          <w:kern w:val="2"/>
          <w:sz w:val="32"/>
          <w:szCs w:val="32"/>
          <w:lang w:val="en-US" w:eastAsia="zh-CN" w:bidi="ar-SA"/>
        </w:rPr>
      </w:pPr>
      <w:bookmarkStart w:id="11" w:name="_Toc26269"/>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76" w:lineRule="exact"/>
        <w:ind w:firstLine="642" w:firstLineChars="200"/>
        <w:textAlignment w:val="auto"/>
        <w:outlineLvl w:val="1"/>
        <w:rPr>
          <w:rFonts w:hint="eastAsia" w:ascii="黑体" w:hAnsi="黑体" w:eastAsia="黑体" w:cs="黑体"/>
          <w:sz w:val="32"/>
          <w:szCs w:val="32"/>
        </w:rPr>
      </w:pPr>
      <w:bookmarkStart w:id="12" w:name="_Toc27984"/>
      <w:r>
        <w:rPr>
          <w:rFonts w:hint="eastAsia" w:ascii="黑体" w:hAnsi="黑体" w:eastAsia="黑体" w:cs="黑体"/>
          <w:b/>
          <w:bCs/>
          <w:kern w:val="2"/>
          <w:sz w:val="32"/>
          <w:szCs w:val="32"/>
          <w:lang w:val="en-US" w:eastAsia="zh-CN" w:bidi="ar-SA"/>
        </w:rPr>
        <w:t>一、</w:t>
      </w:r>
      <w:r>
        <w:rPr>
          <w:rFonts w:hint="eastAsia" w:ascii="黑体" w:hAnsi="黑体" w:eastAsia="黑体" w:cs="黑体"/>
          <w:b w:val="0"/>
          <w:color w:val="auto"/>
          <w:highlight w:val="none"/>
          <w:lang w:eastAsia="zh-CN"/>
        </w:rPr>
        <w:t>部门职责</w:t>
      </w:r>
      <w:bookmarkEnd w:id="11"/>
      <w:bookmarkEnd w:id="12"/>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default"/>
          <w:lang w:val="en-US" w:eastAsia="zh-CN"/>
        </w:rPr>
      </w:pPr>
      <w:bookmarkStart w:id="13" w:name="_Toc22828"/>
      <w:r>
        <w:rPr>
          <w:rFonts w:hint="eastAsia" w:ascii="仿宋_GB2312" w:hAnsi="仿宋_GB2312" w:eastAsia="仿宋_GB2312" w:cs="仿宋_GB2312"/>
          <w:b w:val="0"/>
          <w:bCs w:val="0"/>
          <w:color w:val="auto"/>
          <w:kern w:val="2"/>
          <w:sz w:val="32"/>
          <w:szCs w:val="32"/>
          <w:highlight w:val="none"/>
          <w:lang w:val="en-US" w:eastAsia="zh-CN" w:bidi="ar-SA"/>
        </w:rPr>
        <w:t>传播国际红十字运动知识和国际人道主义法。宣传、贯彻《中华人民共和国红十字会法》，依照红十字会法和红十字章程组织协调开展我县红十字会工作；开展备灾救灾工作。在自然灾害和突发事件中,开展救护和救助工作;依法接受国内外组织和个人的捐赠,及时向灾区群众和受难者提供人道主义援助,突发事件中对受害者组织实施救助工作。</w:t>
      </w:r>
      <w:bookmarkEnd w:id="13"/>
    </w:p>
    <w:p>
      <w:pPr>
        <w:pStyle w:val="3"/>
        <w:pageBreakBefore w:val="0"/>
        <w:kinsoku/>
        <w:wordWrap/>
        <w:overflowPunct/>
        <w:topLinePunct w:val="0"/>
        <w:bidi w:val="0"/>
        <w:spacing w:before="0" w:after="0" w:line="576" w:lineRule="exact"/>
        <w:ind w:left="0" w:leftChars="0" w:firstLine="640" w:firstLineChars="200"/>
        <w:outlineLvl w:val="1"/>
        <w:rPr>
          <w:rStyle w:val="30"/>
          <w:rFonts w:ascii="Times New Roman" w:hAnsi="Times New Roman"/>
          <w:b w:val="0"/>
          <w:bCs w:val="0"/>
          <w:color w:val="auto"/>
          <w:highlight w:val="none"/>
        </w:rPr>
      </w:pPr>
      <w:bookmarkStart w:id="14" w:name="_Toc15377200"/>
      <w:bookmarkStart w:id="15" w:name="_Toc5016"/>
      <w:bookmarkStart w:id="16" w:name="_Toc28647"/>
      <w:bookmarkStart w:id="17" w:name="_Toc15396601"/>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4"/>
      <w:bookmarkEnd w:id="15"/>
      <w:bookmarkEnd w:id="16"/>
      <w:bookmarkEnd w:id="17"/>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茂县红十字会下属二级单位0个，其中行政单位0个，参照公务员法管理的事业单位1个，其他事业单位0个。</w:t>
      </w:r>
    </w:p>
    <w:p>
      <w:pPr>
        <w:pageBreakBefore w:val="0"/>
        <w:widowControl/>
        <w:kinsoku/>
        <w:wordWrap/>
        <w:overflowPunct/>
        <w:topLinePunct w:val="0"/>
        <w:bidi w:val="0"/>
        <w:spacing w:line="576" w:lineRule="exact"/>
        <w:ind w:left="0" w:leftChars="0"/>
        <w:jc w:val="left"/>
        <w:rPr>
          <w:rFonts w:ascii="Times New Roman" w:hAnsi="Times New Roman" w:eastAsia="仿宋"/>
          <w:color w:val="auto"/>
          <w:kern w:val="0"/>
          <w:sz w:val="32"/>
          <w:szCs w:val="32"/>
          <w:highlight w:val="none"/>
        </w:rPr>
      </w:pPr>
      <w:r>
        <w:rPr>
          <w:rFonts w:ascii="仿宋" w:hAnsi="仿宋" w:eastAsia="仿宋"/>
          <w:color w:val="auto"/>
          <w:sz w:val="32"/>
          <w:szCs w:val="32"/>
          <w:highlight w:val="none"/>
        </w:rPr>
        <w:br w:type="page"/>
      </w:r>
    </w:p>
    <w:p>
      <w:pPr>
        <w:pStyle w:val="2"/>
        <w:pageBreakBefore w:val="0"/>
        <w:kinsoku/>
        <w:wordWrap/>
        <w:overflowPunct/>
        <w:topLinePunct w:val="0"/>
        <w:bidi w:val="0"/>
        <w:spacing w:before="0" w:after="0" w:line="576" w:lineRule="exact"/>
        <w:ind w:left="0" w:leftChars="0"/>
        <w:jc w:val="center"/>
        <w:rPr>
          <w:rFonts w:hint="eastAsia" w:ascii="方正小标宋简体" w:hAnsi="方正小标宋简体" w:eastAsia="方正小标宋简体" w:cs="方正小标宋简体"/>
          <w:b w:val="0"/>
          <w:bCs/>
          <w:color w:val="auto"/>
          <w:highlight w:val="none"/>
        </w:rPr>
      </w:pPr>
      <w:bookmarkStart w:id="18" w:name="_Toc22592"/>
      <w:bookmarkStart w:id="19" w:name="_Toc15377204"/>
      <w:bookmarkStart w:id="20" w:name="_Toc31676"/>
      <w:bookmarkStart w:id="21" w:name="_Toc15396602"/>
      <w:r>
        <w:rPr>
          <w:rFonts w:hint="eastAsia" w:ascii="方正小标宋简体" w:hAnsi="方正小标宋简体" w:eastAsia="方正小标宋简体" w:cs="方正小标宋简体"/>
          <w:b w:val="0"/>
          <w:bCs/>
          <w:color w:val="auto"/>
          <w:highlight w:val="none"/>
        </w:rPr>
        <w:t>第二部分</w:t>
      </w:r>
      <w:r>
        <w:rPr>
          <w:rFonts w:hint="eastAsia" w:ascii="方正小标宋简体" w:hAnsi="方正小标宋简体" w:eastAsia="方正小标宋简体" w:cs="方正小标宋简体"/>
          <w:b w:val="0"/>
          <w:bCs/>
          <w:color w:val="auto"/>
          <w:highlight w:val="none"/>
          <w:lang w:val="en-US" w:eastAsia="zh-CN"/>
        </w:rPr>
        <w:t xml:space="preserve"> </w:t>
      </w:r>
      <w:r>
        <w:rPr>
          <w:rFonts w:hint="eastAsia" w:ascii="方正小标宋简体" w:hAnsi="方正小标宋简体" w:eastAsia="方正小标宋简体" w:cs="方正小标宋简体"/>
          <w:b w:val="0"/>
          <w:bCs/>
          <w:color w:val="auto"/>
          <w:highlight w:val="none"/>
        </w:rPr>
        <w:t xml:space="preserve"> </w:t>
      </w:r>
      <w:r>
        <w:rPr>
          <w:rFonts w:hint="eastAsia" w:ascii="方正小标宋简体" w:hAnsi="方正小标宋简体" w:eastAsia="方正小标宋简体" w:cs="方正小标宋简体"/>
          <w:b w:val="0"/>
          <w:bCs/>
          <w:color w:val="auto"/>
          <w:highlight w:val="none"/>
          <w:lang w:val="en-US" w:eastAsia="zh-CN"/>
        </w:rPr>
        <w:t>2024年度</w:t>
      </w:r>
      <w:r>
        <w:rPr>
          <w:rFonts w:hint="eastAsia" w:ascii="方正小标宋简体" w:hAnsi="方正小标宋简体" w:eastAsia="方正小标宋简体" w:cs="方正小标宋简体"/>
          <w:b w:val="0"/>
          <w:bCs/>
          <w:color w:val="auto"/>
          <w:highlight w:val="none"/>
        </w:rPr>
        <w:t>部门决算情况说明</w:t>
      </w:r>
      <w:bookmarkEnd w:id="18"/>
      <w:bookmarkEnd w:id="19"/>
      <w:bookmarkEnd w:id="20"/>
      <w:bookmarkEnd w:id="21"/>
    </w:p>
    <w:p>
      <w:pPr>
        <w:pageBreakBefore w:val="0"/>
        <w:kinsoku/>
        <w:wordWrap/>
        <w:overflowPunct/>
        <w:topLinePunct w:val="0"/>
        <w:bidi w:val="0"/>
        <w:spacing w:line="576" w:lineRule="exact"/>
        <w:ind w:left="0" w:leftChars="0"/>
        <w:rPr>
          <w:rFonts w:ascii="Times New Roman" w:hAnsi="Times New Roman"/>
          <w:color w:val="auto"/>
          <w:highlight w:val="none"/>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Style w:val="30"/>
          <w:rFonts w:hint="eastAsia" w:ascii="Times New Roman" w:hAnsi="Times New Roman" w:eastAsia="黑体"/>
          <w:b w:val="0"/>
          <w:color w:val="auto"/>
          <w:highlight w:val="none"/>
        </w:rPr>
      </w:pPr>
      <w:bookmarkStart w:id="22" w:name="_Toc15396603"/>
      <w:bookmarkStart w:id="23" w:name="_Toc14151"/>
      <w:bookmarkStart w:id="24" w:name="_Toc15377205"/>
      <w:bookmarkStart w:id="25" w:name="_Toc21510"/>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22"/>
      <w:bookmarkEnd w:id="23"/>
      <w:bookmarkEnd w:id="24"/>
      <w:bookmarkEnd w:id="25"/>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bookmarkStart w:id="26" w:name="_Toc21561"/>
      <w:r>
        <w:rPr>
          <w:rFonts w:hint="eastAsia" w:ascii="仿宋_GB2312" w:hAnsi="仿宋_GB2312" w:eastAsia="仿宋_GB2312" w:cs="仿宋_GB2312"/>
          <w:b w:val="0"/>
          <w:bCs w:val="0"/>
          <w:color w:val="auto"/>
          <w:kern w:val="2"/>
          <w:sz w:val="32"/>
          <w:szCs w:val="32"/>
          <w:highlight w:val="none"/>
          <w:lang w:val="en-US" w:eastAsia="zh-CN" w:bidi="ar-SA"/>
        </w:rPr>
        <w:t>2024年度收入、支出总计均为123.14万元。与2023年度相比，收入、支出总计各增加1.93万元，增长1.60%。主要变动原因是：人员工资保险的变动。</w:t>
      </w:r>
      <w:bookmarkEnd w:id="26"/>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仿宋" w:hAnsi="Times New Roman" w:eastAsia="仿宋"/>
          <w:color w:val="FF0000"/>
          <w:sz w:val="32"/>
          <w:szCs w:val="32"/>
        </w:rPr>
        <w:pict>
          <v:shape id="Object 5" o:spid="_x0000_s1026" o:spt="75" type="#_x0000_t75" style="position:absolute;left:0pt;margin-left:25.55pt;margin-top:-2.2pt;height:249.75pt;width:367.45pt;z-index:-251657216;mso-width-relative:page;mso-height-relative:page;" o:ole="t" filled="f" o:preferrelative="t" stroked="f" coordsize="21600,21600">
            <v:path/>
            <v:fill on="f" focussize="0,0"/>
            <v:stroke on="f"/>
            <v:imagedata r:id="rId10" o:title=""/>
            <o:lock v:ext="edit" aspectratio="t"/>
          </v:shape>
          <o:OLEObject Type="Embed" ProgID="Excel.Chart.8" ShapeID="Object 5" DrawAspect="Content" ObjectID="_1468075725" r:id="rId9">
            <o:LockedField>false</o:LockedField>
          </o:OLEObject>
        </w:pic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Times New Roman" w:hAnsi="Times New Roman" w:eastAsia="黑体"/>
          <w:color w:val="auto"/>
          <w:sz w:val="32"/>
          <w:szCs w:val="32"/>
          <w:highlight w:val="none"/>
          <w:lang w:eastAsia="zh-CN"/>
        </w:rPr>
      </w:pPr>
      <w:bookmarkStart w:id="27" w:name="_Toc18141"/>
      <w:bookmarkStart w:id="28" w:name="_Toc15396604"/>
      <w:bookmarkStart w:id="29" w:name="_Toc15377206"/>
    </w:p>
    <w:p>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Times New Roman" w:hAnsi="Times New Roman" w:eastAsia="黑体"/>
          <w:color w:val="auto"/>
          <w:sz w:val="32"/>
          <w:szCs w:val="32"/>
          <w:highlight w:val="none"/>
          <w:lang w:eastAsia="zh-CN"/>
        </w:rPr>
      </w:pPr>
      <w:bookmarkStart w:id="30" w:name="_Toc22701"/>
      <w:r>
        <w:rPr>
          <w:rFonts w:hint="eastAsia" w:ascii="Times New Roman" w:hAnsi="Times New Roman" w:eastAsia="黑体"/>
          <w:color w:val="auto"/>
          <w:sz w:val="32"/>
          <w:szCs w:val="32"/>
          <w:highlight w:val="none"/>
          <w:lang w:eastAsia="zh-CN"/>
        </w:rPr>
        <w:t>二、收入决算情况说明</w:t>
      </w:r>
      <w:bookmarkEnd w:id="27"/>
      <w:bookmarkEnd w:id="28"/>
      <w:bookmarkEnd w:id="29"/>
      <w:bookmarkEnd w:id="30"/>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bookmarkStart w:id="31" w:name="_Toc10728"/>
      <w:r>
        <w:rPr>
          <w:rFonts w:hint="eastAsia" w:ascii="仿宋_GB2312" w:hAnsi="仿宋_GB2312" w:eastAsia="仿宋_GB2312" w:cs="仿宋_GB2312"/>
          <w:b w:val="0"/>
          <w:bCs w:val="0"/>
          <w:color w:val="auto"/>
          <w:kern w:val="2"/>
          <w:sz w:val="32"/>
          <w:szCs w:val="32"/>
          <w:highlight w:val="none"/>
          <w:lang w:val="en-US" w:eastAsia="zh-CN" w:bidi="ar-SA"/>
        </w:rPr>
        <w:t>2024年度本年收入合计123.14万元，其中：一般公共预算财政拨款收入123.14万元，占100%。</w:t>
      </w:r>
      <w:bookmarkEnd w:id="31"/>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r>
        <w:rPr>
          <w:rFonts w:ascii="仿宋" w:hAnsi="Times New Roman" w:eastAsia="仿宋"/>
          <w:color w:val="000000"/>
          <w:kern w:val="2"/>
          <w:sz w:val="32"/>
          <w:szCs w:val="32"/>
        </w:rPr>
        <w:pict>
          <v:shape id="Object 8" o:spid="_x0000_s1027" o:spt="75" type="#_x0000_t75" style="position:absolute;left:0pt;margin-left:27.3pt;margin-top:7.35pt;height:282.35pt;width:344.6pt;z-index:-251656192;mso-width-relative:page;mso-height-relative:page;" o:ole="t" filled="f" o:preferrelative="t" stroked="f" coordsize="21600,21600">
            <v:path/>
            <v:fill on="f" focussize="0,0"/>
            <v:stroke on="f"/>
            <v:imagedata r:id="rId12" o:title=""/>
            <o:lock v:ext="edit" aspectratio="t"/>
          </v:shape>
          <o:OLEObject Type="Embed" ProgID="Excel.Chart.8" ShapeID="Object 8" DrawAspect="Content" ObjectID="_1468075726" r:id="rId11">
            <o:LockedField>false</o:LockedField>
          </o:OLEObject>
        </w:pict>
      </w: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Times New Roman" w:hAnsi="Times New Roman" w:eastAsia="黑体"/>
          <w:color w:val="auto"/>
          <w:sz w:val="32"/>
          <w:szCs w:val="32"/>
          <w:highlight w:val="none"/>
          <w:lang w:eastAsia="zh-CN"/>
        </w:rPr>
      </w:pPr>
      <w:bookmarkStart w:id="32" w:name="_Toc20946"/>
      <w:bookmarkStart w:id="33" w:name="_Toc15377207"/>
      <w:bookmarkStart w:id="34" w:name="_Toc15396605"/>
    </w:p>
    <w:p>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Times New Roman" w:hAnsi="Times New Roman" w:eastAsia="黑体"/>
          <w:color w:val="auto"/>
          <w:sz w:val="32"/>
          <w:szCs w:val="32"/>
          <w:highlight w:val="none"/>
          <w:lang w:eastAsia="zh-CN"/>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Style w:val="30"/>
          <w:rFonts w:hint="eastAsia" w:ascii="Times New Roman" w:hAnsi="Times New Roman" w:eastAsia="黑体"/>
          <w:b w:val="0"/>
          <w:color w:val="auto"/>
          <w:highlight w:val="none"/>
        </w:rPr>
      </w:pPr>
      <w:bookmarkStart w:id="35" w:name="_Toc25851"/>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32"/>
      <w:bookmarkEnd w:id="33"/>
      <w:bookmarkEnd w:id="34"/>
      <w:bookmarkEnd w:id="35"/>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bookmarkStart w:id="36" w:name="_Toc8489"/>
      <w:r>
        <w:rPr>
          <w:rFonts w:hint="eastAsia" w:ascii="仿宋_GB2312" w:hAnsi="仿宋_GB2312" w:eastAsia="仿宋_GB2312" w:cs="仿宋_GB2312"/>
          <w:b w:val="0"/>
          <w:bCs w:val="0"/>
          <w:color w:val="auto"/>
          <w:kern w:val="2"/>
          <w:sz w:val="32"/>
          <w:szCs w:val="32"/>
          <w:highlight w:val="none"/>
          <w:lang w:val="en-US" w:eastAsia="zh-CN" w:bidi="ar-SA"/>
        </w:rPr>
        <w:t>2024年度本年支出合计123.14万元，其中：基本支出123.14万元，占100%。</w:t>
      </w:r>
      <w:bookmarkEnd w:id="36"/>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r>
        <w:rPr>
          <w:rFonts w:ascii="仿宋" w:hAnsi="Times New Roman" w:eastAsia="仿宋"/>
          <w:color w:val="000000"/>
          <w:kern w:val="2"/>
          <w:sz w:val="32"/>
          <w:szCs w:val="32"/>
        </w:rPr>
        <w:pict>
          <v:shape id="Object 9" o:spid="_x0000_s1028" o:spt="75" type="#_x0000_t75" style="position:absolute;left:0pt;margin-left:45.5pt;margin-top:1.65pt;height:240.85pt;width:323.3pt;z-index:-251655168;mso-width-relative:page;mso-height-relative:page;" o:ole="t" filled="f" o:preferrelative="t" stroked="f" coordsize="21600,21600">
            <v:path/>
            <v:fill on="f" focussize="0,0"/>
            <v:stroke on="f"/>
            <v:imagedata r:id="rId14" o:title=""/>
            <o:lock v:ext="edit" aspectratio="t"/>
          </v:shape>
          <o:OLEObject Type="Embed" ProgID="Excel.Chart.8" ShapeID="Object 9" DrawAspect="Content" ObjectID="_1468075727" r:id="rId13">
            <o:LockedField>false</o:LockedField>
          </o:OLEObject>
        </w:pict>
      </w: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bidi w:val="0"/>
        <w:spacing w:line="576" w:lineRule="exact"/>
        <w:ind w:left="0" w:leftChars="0" w:firstLine="640" w:firstLineChars="200"/>
        <w:outlineLvl w:val="1"/>
        <w:rPr>
          <w:rFonts w:hint="eastAsia" w:ascii="Times New Roman" w:hAnsi="Times New Roman" w:eastAsia="黑体"/>
          <w:color w:val="auto"/>
          <w:sz w:val="32"/>
          <w:szCs w:val="32"/>
          <w:highlight w:val="none"/>
        </w:rPr>
      </w:pPr>
      <w:bookmarkStart w:id="37" w:name="_Toc28499"/>
      <w:bookmarkStart w:id="38" w:name="_Toc15377208"/>
      <w:bookmarkStart w:id="39" w:name="_Toc15396606"/>
    </w:p>
    <w:p>
      <w:pPr>
        <w:pageBreakBefore w:val="0"/>
        <w:kinsoku/>
        <w:wordWrap/>
        <w:overflowPunct/>
        <w:topLinePunct w:val="0"/>
        <w:bidi w:val="0"/>
        <w:spacing w:line="576" w:lineRule="exact"/>
        <w:ind w:left="0" w:leftChars="0" w:firstLine="640" w:firstLineChars="200"/>
        <w:outlineLvl w:val="1"/>
        <w:rPr>
          <w:rFonts w:hint="eastAsia" w:ascii="Times New Roman" w:hAnsi="Times New Roman" w:eastAsia="黑体"/>
          <w:color w:val="auto"/>
          <w:sz w:val="32"/>
          <w:szCs w:val="32"/>
          <w:highlight w:val="none"/>
        </w:rPr>
      </w:pPr>
    </w:p>
    <w:p>
      <w:pPr>
        <w:pageBreakBefore w:val="0"/>
        <w:kinsoku/>
        <w:wordWrap/>
        <w:overflowPunct/>
        <w:topLinePunct w:val="0"/>
        <w:bidi w:val="0"/>
        <w:spacing w:line="576" w:lineRule="exact"/>
        <w:ind w:left="0" w:leftChars="0" w:firstLine="640" w:firstLineChars="200"/>
        <w:outlineLvl w:val="1"/>
        <w:rPr>
          <w:rStyle w:val="30"/>
          <w:rFonts w:ascii="Times New Roman" w:hAnsi="Times New Roman" w:eastAsia="黑体"/>
          <w:b w:val="0"/>
          <w:color w:val="auto"/>
          <w:highlight w:val="none"/>
        </w:rPr>
      </w:pPr>
      <w:bookmarkStart w:id="40" w:name="_Toc10943"/>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37"/>
      <w:bookmarkEnd w:id="38"/>
      <w:bookmarkEnd w:id="39"/>
      <w:bookmarkEnd w:id="40"/>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2024年度财政拨款收入、支出总计均为123.14万元。与2023年度相比，财政拨款收入总计、支出总计各增加1.93万元，增长1.60%。主要变动原因是：人员工资保险的变动。</w:t>
      </w: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ascii="仿宋" w:hAnsi="Times New Roman" w:eastAsia="仿宋"/>
          <w:color w:val="000000"/>
          <w:sz w:val="32"/>
          <w:szCs w:val="32"/>
        </w:rPr>
        <w:pict>
          <v:shape id="Object 10" o:spid="_x0000_s1029" o:spt="75" type="#_x0000_t75" style="position:absolute;left:0pt;margin-left:34.55pt;margin-top:15.6pt;height:251.15pt;width:370.3pt;z-index:-251654144;mso-width-relative:page;mso-height-relative:page;" o:ole="t" filled="f" o:preferrelative="t" stroked="f" coordsize="21600,21600">
            <v:path/>
            <v:fill on="f" focussize="0,0"/>
            <v:stroke on="f"/>
            <v:imagedata r:id="rId16" o:title=""/>
            <o:lock v:ext="edit" aspectratio="t"/>
          </v:shape>
          <o:OLEObject Type="Embed" ProgID="Excel.Chart.8" ShapeID="Object 10" DrawAspect="Content" ObjectID="_1468075728" r:id="rId15">
            <o:LockedField>false</o:LockedField>
          </o:OLEObject>
        </w:pict>
      </w: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firstLineChars="200"/>
        <w:outlineLvl w:val="1"/>
        <w:rPr>
          <w:rStyle w:val="30"/>
          <w:rFonts w:ascii="Times New Roman" w:hAnsi="Times New Roman" w:eastAsia="黑体"/>
          <w:b w:val="0"/>
          <w:color w:val="auto"/>
          <w:highlight w:val="none"/>
        </w:rPr>
      </w:pPr>
      <w:bookmarkStart w:id="41" w:name="_Toc23543"/>
      <w:bookmarkStart w:id="42" w:name="_Toc15396607"/>
      <w:bookmarkStart w:id="43" w:name="_Toc9437"/>
      <w:bookmarkStart w:id="44"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41"/>
      <w:bookmarkEnd w:id="42"/>
      <w:bookmarkEnd w:id="43"/>
      <w:bookmarkEnd w:id="44"/>
    </w:p>
    <w:p>
      <w:pPr>
        <w:pageBreakBefore w:val="0"/>
        <w:kinsoku/>
        <w:wordWrap/>
        <w:overflowPunct/>
        <w:topLinePunct w:val="0"/>
        <w:bidi w:val="0"/>
        <w:spacing w:line="576" w:lineRule="exact"/>
        <w:ind w:left="0" w:leftChars="0" w:firstLine="642" w:firstLineChars="200"/>
        <w:outlineLvl w:val="2"/>
        <w:rPr>
          <w:rFonts w:hint="eastAsia" w:ascii="Times New Roman" w:hAnsi="Times New Roman" w:eastAsia="楷体_GB2312" w:cs="楷体_GB2312"/>
          <w:b/>
          <w:color w:val="auto"/>
          <w:sz w:val="32"/>
          <w:szCs w:val="32"/>
          <w:highlight w:val="none"/>
        </w:rPr>
      </w:pPr>
      <w:bookmarkStart w:id="45" w:name="_Toc11667"/>
      <w:bookmarkStart w:id="46"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45"/>
      <w:bookmarkEnd w:id="46"/>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2024年度一般公共预算财政拨款支出123.14万元，占本年支出合计的100%。与2023年度相比，一般公共预算财政拨款支出增加1.93万元，增长1.60%。主要变动原因是：人员工资保险的变动。</w:t>
      </w: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firstLineChars="200"/>
        <w:outlineLvl w:val="9"/>
        <w:rPr>
          <w:rFonts w:hint="eastAsia" w:ascii="Times New Roman" w:hAnsi="Times New Roman" w:eastAsia="楷体_GB2312" w:cs="楷体_GB2312"/>
          <w:b/>
          <w:color w:val="auto"/>
          <w:sz w:val="32"/>
          <w:szCs w:val="32"/>
          <w:highlight w:val="none"/>
        </w:rPr>
      </w:pPr>
      <w:bookmarkStart w:id="47" w:name="_Toc15377211"/>
      <w:r>
        <w:rPr>
          <w:rFonts w:ascii="仿宋" w:hAnsi="Times New Roman" w:eastAsia="仿宋"/>
          <w:color w:val="000000"/>
          <w:sz w:val="32"/>
          <w:szCs w:val="32"/>
        </w:rPr>
        <w:pict>
          <v:shape id="Object 11" o:spid="_x0000_s1030" o:spt="75" type="#_x0000_t75" style="position:absolute;left:0pt;margin-left:38pt;margin-top:12.15pt;height:213.75pt;width:345pt;z-index:-251653120;mso-width-relative:page;mso-height-relative:page;" o:ole="t" filled="f" o:preferrelative="t" stroked="f" coordsize="21600,21600">
            <v:path/>
            <v:fill on="f" focussize="0,0"/>
            <v:stroke on="f"/>
            <v:imagedata r:id="rId18" o:title=""/>
            <o:lock v:ext="edit" aspectratio="t"/>
          </v:shape>
          <o:OLEObject Type="Embed" ProgID="Excel.Chart.8" ShapeID="Object 11" DrawAspect="Content" ObjectID="_1468075729" r:id="rId17">
            <o:LockedField>false</o:LockedField>
          </o:OLEObject>
        </w:pict>
      </w:r>
    </w:p>
    <w:p>
      <w:pPr>
        <w:pageBreakBefore w:val="0"/>
        <w:kinsoku/>
        <w:wordWrap/>
        <w:overflowPunct/>
        <w:topLinePunct w:val="0"/>
        <w:bidi w:val="0"/>
        <w:spacing w:line="576" w:lineRule="exact"/>
        <w:ind w:left="0" w:leftChars="0" w:firstLine="642" w:firstLineChars="200"/>
        <w:outlineLvl w:val="9"/>
        <w:rPr>
          <w:rFonts w:hint="eastAsia" w:ascii="Times New Roman" w:hAnsi="Times New Roman" w:eastAsia="楷体_GB2312" w:cs="楷体_GB2312"/>
          <w:b/>
          <w:color w:val="auto"/>
          <w:sz w:val="32"/>
          <w:szCs w:val="32"/>
          <w:highlight w:val="none"/>
        </w:rPr>
      </w:pPr>
    </w:p>
    <w:p>
      <w:pPr>
        <w:pageBreakBefore w:val="0"/>
        <w:kinsoku/>
        <w:wordWrap/>
        <w:overflowPunct/>
        <w:topLinePunct w:val="0"/>
        <w:bidi w:val="0"/>
        <w:spacing w:line="576" w:lineRule="exact"/>
        <w:ind w:left="0" w:leftChars="0" w:firstLine="642" w:firstLineChars="200"/>
        <w:outlineLvl w:val="9"/>
        <w:rPr>
          <w:rFonts w:hint="eastAsia" w:ascii="Times New Roman" w:hAnsi="Times New Roman" w:eastAsia="楷体_GB2312" w:cs="楷体_GB2312"/>
          <w:b/>
          <w:color w:val="auto"/>
          <w:sz w:val="32"/>
          <w:szCs w:val="32"/>
          <w:highlight w:val="none"/>
        </w:rPr>
      </w:pPr>
    </w:p>
    <w:p>
      <w:pPr>
        <w:pageBreakBefore w:val="0"/>
        <w:kinsoku/>
        <w:wordWrap/>
        <w:overflowPunct/>
        <w:topLinePunct w:val="0"/>
        <w:bidi w:val="0"/>
        <w:spacing w:line="576" w:lineRule="exact"/>
        <w:ind w:left="0" w:leftChars="0" w:firstLine="642" w:firstLineChars="200"/>
        <w:outlineLvl w:val="9"/>
        <w:rPr>
          <w:rFonts w:hint="eastAsia" w:ascii="Times New Roman" w:hAnsi="Times New Roman" w:eastAsia="楷体_GB2312" w:cs="楷体_GB2312"/>
          <w:b/>
          <w:color w:val="auto"/>
          <w:sz w:val="32"/>
          <w:szCs w:val="32"/>
          <w:highlight w:val="none"/>
        </w:rPr>
      </w:pPr>
    </w:p>
    <w:p>
      <w:pPr>
        <w:pageBreakBefore w:val="0"/>
        <w:kinsoku/>
        <w:wordWrap/>
        <w:overflowPunct/>
        <w:topLinePunct w:val="0"/>
        <w:bidi w:val="0"/>
        <w:spacing w:line="576" w:lineRule="exact"/>
        <w:ind w:left="0" w:leftChars="0" w:firstLine="642" w:firstLineChars="200"/>
        <w:outlineLvl w:val="9"/>
        <w:rPr>
          <w:rFonts w:hint="eastAsia" w:ascii="Times New Roman" w:hAnsi="Times New Roman" w:eastAsia="楷体_GB2312" w:cs="楷体_GB2312"/>
          <w:b/>
          <w:color w:val="auto"/>
          <w:sz w:val="32"/>
          <w:szCs w:val="32"/>
          <w:highlight w:val="none"/>
        </w:rPr>
      </w:pPr>
    </w:p>
    <w:p>
      <w:pPr>
        <w:pageBreakBefore w:val="0"/>
        <w:kinsoku/>
        <w:wordWrap/>
        <w:overflowPunct/>
        <w:topLinePunct w:val="0"/>
        <w:bidi w:val="0"/>
        <w:spacing w:line="576" w:lineRule="exact"/>
        <w:ind w:left="0" w:leftChars="0" w:firstLine="642" w:firstLineChars="200"/>
        <w:outlineLvl w:val="9"/>
        <w:rPr>
          <w:rFonts w:hint="eastAsia" w:ascii="Times New Roman" w:hAnsi="Times New Roman" w:eastAsia="楷体_GB2312" w:cs="楷体_GB2312"/>
          <w:b/>
          <w:color w:val="auto"/>
          <w:sz w:val="32"/>
          <w:szCs w:val="32"/>
          <w:highlight w:val="none"/>
        </w:rPr>
      </w:pPr>
    </w:p>
    <w:p>
      <w:pPr>
        <w:pageBreakBefore w:val="0"/>
        <w:kinsoku/>
        <w:wordWrap/>
        <w:overflowPunct/>
        <w:topLinePunct w:val="0"/>
        <w:bidi w:val="0"/>
        <w:spacing w:line="576" w:lineRule="exact"/>
        <w:ind w:left="0" w:leftChars="0" w:firstLine="642" w:firstLineChars="200"/>
        <w:outlineLvl w:val="9"/>
        <w:rPr>
          <w:rFonts w:hint="eastAsia" w:ascii="Times New Roman" w:hAnsi="Times New Roman" w:eastAsia="楷体_GB2312" w:cs="楷体_GB2312"/>
          <w:b/>
          <w:color w:val="auto"/>
          <w:sz w:val="32"/>
          <w:szCs w:val="32"/>
          <w:highlight w:val="none"/>
        </w:rPr>
      </w:pPr>
    </w:p>
    <w:p>
      <w:pPr>
        <w:pageBreakBefore w:val="0"/>
        <w:kinsoku/>
        <w:wordWrap/>
        <w:overflowPunct/>
        <w:topLinePunct w:val="0"/>
        <w:bidi w:val="0"/>
        <w:spacing w:line="576" w:lineRule="exact"/>
        <w:ind w:left="0" w:leftChars="0" w:firstLine="642" w:firstLineChars="200"/>
        <w:outlineLvl w:val="9"/>
        <w:rPr>
          <w:rFonts w:hint="eastAsia" w:ascii="Times New Roman" w:hAnsi="Times New Roman" w:eastAsia="楷体_GB2312" w:cs="楷体_GB2312"/>
          <w:b/>
          <w:color w:val="auto"/>
          <w:sz w:val="32"/>
          <w:szCs w:val="32"/>
          <w:highlight w:val="none"/>
        </w:rPr>
      </w:pPr>
    </w:p>
    <w:p>
      <w:pPr>
        <w:pageBreakBefore w:val="0"/>
        <w:kinsoku/>
        <w:wordWrap/>
        <w:overflowPunct/>
        <w:topLinePunct w:val="0"/>
        <w:bidi w:val="0"/>
        <w:spacing w:line="576" w:lineRule="exact"/>
        <w:ind w:left="0" w:leftChars="0" w:firstLine="642" w:firstLineChars="200"/>
        <w:outlineLvl w:val="2"/>
        <w:rPr>
          <w:rFonts w:hint="eastAsia" w:ascii="Times New Roman" w:hAnsi="Times New Roman" w:eastAsia="楷体_GB2312" w:cs="楷体_GB2312"/>
          <w:b/>
          <w:color w:val="auto"/>
          <w:sz w:val="32"/>
          <w:szCs w:val="32"/>
          <w:highlight w:val="none"/>
        </w:rPr>
      </w:pPr>
      <w:bookmarkStart w:id="48" w:name="_Toc28345"/>
      <w:r>
        <w:rPr>
          <w:rFonts w:hint="eastAsia" w:ascii="Times New Roman" w:hAnsi="Times New Roman" w:eastAsia="楷体_GB2312" w:cs="楷体_GB2312"/>
          <w:b/>
          <w:color w:val="auto"/>
          <w:sz w:val="32"/>
          <w:szCs w:val="32"/>
          <w:highlight w:val="none"/>
        </w:rPr>
        <w:t>（二）一般公共预算财政拨款支出决算结构情况</w:t>
      </w:r>
      <w:bookmarkEnd w:id="47"/>
      <w:bookmarkEnd w:id="48"/>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2024年度一般公共预算财政拨款支出123.14万元，主要用于以下方面：社会保障和就业支出106.55万元，占86.53%；卫生健康支出7.19万元，占5.84%；住房保障支出9.40万元，占7.63%。</w:t>
      </w: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ascii="仿宋" w:hAnsi="Times New Roman" w:eastAsia="仿宋"/>
          <w:color w:val="000000"/>
          <w:kern w:val="2"/>
          <w:sz w:val="32"/>
          <w:szCs w:val="32"/>
        </w:rPr>
        <w:pict>
          <v:shape id="Object 13" o:spid="_x0000_s1031" o:spt="75" type="#_x0000_t75" style="position:absolute;left:0pt;margin-left:85.85pt;margin-top:6.45pt;height:222.75pt;width:236.3pt;z-index:-251652096;mso-width-relative:page;mso-height-relative:page;" o:ole="t" filled="f" o:preferrelative="t" stroked="f" coordsize="21600,21600">
            <v:path/>
            <v:fill on="f" focussize="0,0"/>
            <v:stroke on="f"/>
            <v:imagedata r:id="rId20" o:title=""/>
            <o:lock v:ext="edit" aspectratio="t"/>
          </v:shape>
          <o:OLEObject Type="Embed" ProgID="Excel.Chart.8" ShapeID="Object 13" DrawAspect="Content" ObjectID="_1468075730" r:id="rId19">
            <o:LockedField>false</o:LockedField>
          </o:OLEObject>
        </w:pict>
      </w: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2" w:firstLineChars="200"/>
        <w:outlineLvl w:val="2"/>
        <w:rPr>
          <w:rFonts w:hint="eastAsia" w:ascii="Times New Roman" w:hAnsi="Times New Roman" w:eastAsia="楷体_GB2312" w:cs="楷体_GB2312"/>
          <w:b/>
          <w:color w:val="auto"/>
          <w:sz w:val="32"/>
          <w:szCs w:val="32"/>
          <w:highlight w:val="none"/>
        </w:rPr>
      </w:pPr>
      <w:bookmarkStart w:id="49" w:name="_Toc4411"/>
      <w:bookmarkStart w:id="5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49"/>
      <w:bookmarkEnd w:id="50"/>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bookmarkStart w:id="51" w:name="_Toc15378460"/>
      <w:bookmarkStart w:id="52" w:name="_Toc15377213"/>
      <w:bookmarkStart w:id="53" w:name="_Toc15377444"/>
      <w:r>
        <w:rPr>
          <w:rFonts w:hint="eastAsia" w:ascii="仿宋_GB2312" w:hAnsi="仿宋_GB2312" w:eastAsia="仿宋_GB2312" w:cs="仿宋_GB2312"/>
          <w:b w:val="0"/>
          <w:bCs w:val="0"/>
          <w:color w:val="auto"/>
          <w:kern w:val="2"/>
          <w:sz w:val="32"/>
          <w:szCs w:val="32"/>
          <w:highlight w:val="none"/>
          <w:lang w:val="en-US" w:eastAsia="zh-CN" w:bidi="ar-SA"/>
        </w:rPr>
        <w:t>2024年度一般公共预算财政拨款支出决算数为123.14万元，完成预算100%。其中：</w:t>
      </w:r>
      <w:bookmarkEnd w:id="51"/>
      <w:bookmarkEnd w:id="52"/>
      <w:bookmarkEnd w:id="53"/>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1.社会保障和就业支出（208）行政事业单位离退休（05）机关事业单位养老保险缴费支出（05）:2024年决算数为11.43万元，完成预算100%，决算数与预算数持平。</w:t>
      </w:r>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2.社会保障和就业支出（208）行政事业单位离退休（05）机关事业单位职业年金缴费支出（06）：2024年决算数为:5.72万元，完成预算100%，决算数与预算数持平。</w:t>
      </w:r>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3.社会保障和就业支出（208）红十字事业（16）行政运行（01）：2024年决算数为89.40万元，完成预算100%，决算数与预算数持平。</w:t>
      </w:r>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4.医疗卫生与计划生育支出（210）行政事业单位医疗（11）行政单位医疗（01）：2024年决算数为7.19万元，完成预算100%，决算数与预算数持平。</w:t>
      </w:r>
    </w:p>
    <w:p>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5.住房保障支出（221）住房改革支出（02）住房公积金（01）：2024年决算数为9.40万元，完成预算100%，决算数与预算数持平。</w:t>
      </w:r>
    </w:p>
    <w:p>
      <w:pPr>
        <w:pageBreakBefore w:val="0"/>
        <w:tabs>
          <w:tab w:val="right" w:pos="8306"/>
        </w:tabs>
        <w:kinsoku/>
        <w:wordWrap/>
        <w:overflowPunct/>
        <w:topLinePunct w:val="0"/>
        <w:bidi w:val="0"/>
        <w:spacing w:line="576" w:lineRule="exact"/>
        <w:ind w:left="0" w:leftChars="0" w:firstLine="640" w:firstLineChars="0"/>
        <w:outlineLvl w:val="1"/>
        <w:rPr>
          <w:rStyle w:val="30"/>
          <w:rFonts w:ascii="Times New Roman" w:hAnsi="Times New Roman"/>
          <w:color w:val="auto"/>
          <w:highlight w:val="none"/>
        </w:rPr>
      </w:pPr>
      <w:bookmarkStart w:id="54" w:name="_Toc15377214"/>
      <w:bookmarkStart w:id="55" w:name="_Toc15396608"/>
      <w:bookmarkStart w:id="56" w:name="_Toc15272"/>
      <w:bookmarkStart w:id="57" w:name="_Toc29169"/>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54"/>
      <w:bookmarkEnd w:id="55"/>
      <w:bookmarkEnd w:id="56"/>
      <w:bookmarkEnd w:id="57"/>
      <w:r>
        <w:rPr>
          <w:rStyle w:val="30"/>
          <w:rFonts w:ascii="Times New Roman" w:hAnsi="Times New Roman" w:eastAsia="黑体"/>
          <w:b w:val="0"/>
          <w:color w:val="auto"/>
          <w:highlight w:val="none"/>
        </w:rPr>
        <w:tab/>
      </w:r>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2024年度一般公共预算财政拨款基本支出123.14万元，其中：</w:t>
      </w:r>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人员经费118.19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b w:val="0"/>
          <w:bCs w:val="0"/>
          <w:color w:val="auto"/>
          <w:kern w:val="2"/>
          <w:sz w:val="32"/>
          <w:szCs w:val="32"/>
          <w:highlight w:val="none"/>
          <w:lang w:val="en-US" w:eastAsia="zh-CN" w:bidi="ar-SA"/>
        </w:rPr>
        <w:br w:type="textWrapping"/>
      </w:r>
      <w:r>
        <w:rPr>
          <w:rFonts w:hint="eastAsia" w:ascii="仿宋_GB2312" w:hAnsi="仿宋_GB2312" w:eastAsia="仿宋_GB2312" w:cs="仿宋_GB2312"/>
          <w:b w:val="0"/>
          <w:bCs w:val="0"/>
          <w:color w:val="auto"/>
          <w:kern w:val="2"/>
          <w:sz w:val="32"/>
          <w:szCs w:val="32"/>
          <w:highlight w:val="none"/>
          <w:lang w:val="en-US" w:eastAsia="zh-CN" w:bidi="ar-SA"/>
        </w:rPr>
        <w:t>　　公用经费4.95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spacing w:line="576" w:lineRule="exact"/>
        <w:ind w:left="0" w:leftChars="0" w:firstLine="640" w:firstLineChars="0"/>
        <w:outlineLvl w:val="1"/>
        <w:rPr>
          <w:rStyle w:val="30"/>
          <w:rFonts w:ascii="Times New Roman" w:hAnsi="Times New Roman" w:eastAsia="黑体"/>
          <w:b w:val="0"/>
          <w:color w:val="auto"/>
          <w:highlight w:val="none"/>
        </w:rPr>
      </w:pPr>
      <w:bookmarkStart w:id="58" w:name="_Toc20148"/>
      <w:bookmarkStart w:id="59" w:name="_Toc15377215"/>
      <w:bookmarkStart w:id="60" w:name="_Toc15396609"/>
      <w:bookmarkStart w:id="61" w:name="_Toc16222"/>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58"/>
      <w:bookmarkEnd w:id="59"/>
      <w:bookmarkEnd w:id="60"/>
      <w:bookmarkEnd w:id="61"/>
    </w:p>
    <w:p>
      <w:pPr>
        <w:pageBreakBefore w:val="0"/>
        <w:kinsoku/>
        <w:wordWrap/>
        <w:overflowPunct/>
        <w:topLinePunct w:val="0"/>
        <w:bidi w:val="0"/>
        <w:spacing w:line="576" w:lineRule="exact"/>
        <w:ind w:left="0" w:leftChars="0" w:firstLine="642" w:firstLineChars="200"/>
        <w:outlineLvl w:val="2"/>
        <w:rPr>
          <w:rFonts w:hint="eastAsia" w:ascii="Times New Roman" w:hAnsi="Times New Roman" w:eastAsia="楷体_GB2312" w:cs="楷体_GB2312"/>
          <w:b/>
          <w:color w:val="auto"/>
          <w:sz w:val="32"/>
          <w:szCs w:val="32"/>
          <w:highlight w:val="none"/>
        </w:rPr>
      </w:pPr>
      <w:bookmarkStart w:id="62" w:name="_Toc17926"/>
      <w:bookmarkStart w:id="63"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62"/>
      <w:bookmarkEnd w:id="63"/>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2024年度“三公”经费财政拨款支出决算为0.24万元，完成预算6.00%，较上年度减少1.57万元，下降86.7%。决算数小于预算数的主要原因是：厉行节约。</w:t>
      </w:r>
    </w:p>
    <w:p>
      <w:pPr>
        <w:pageBreakBefore w:val="0"/>
        <w:kinsoku/>
        <w:wordWrap/>
        <w:overflowPunct/>
        <w:topLinePunct w:val="0"/>
        <w:bidi w:val="0"/>
        <w:spacing w:line="576" w:lineRule="exact"/>
        <w:ind w:left="0" w:leftChars="0" w:firstLine="642" w:firstLineChars="200"/>
        <w:outlineLvl w:val="2"/>
        <w:rPr>
          <w:rFonts w:hint="eastAsia" w:ascii="Times New Roman" w:hAnsi="Times New Roman" w:eastAsia="楷体_GB2312" w:cs="楷体_GB2312"/>
          <w:b/>
          <w:color w:val="auto"/>
          <w:sz w:val="32"/>
          <w:szCs w:val="32"/>
          <w:highlight w:val="none"/>
        </w:rPr>
      </w:pPr>
      <w:bookmarkStart w:id="64" w:name="_Toc22622"/>
      <w:bookmarkStart w:id="65"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64"/>
      <w:bookmarkEnd w:id="65"/>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2024年度“三公”经费财政拨款支出决算中，公务用车购置及运行维护费支出决算0.24万元，占100%。具体情况如下：</w:t>
      </w: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Times New Roman" w:eastAsia="仿宋"/>
          <w:color w:val="000000"/>
          <w:sz w:val="32"/>
          <w:szCs w:val="32"/>
        </w:rPr>
        <w:pict>
          <v:shape id="Object 14" o:spid="_x0000_s1033" o:spt="75" type="#_x0000_t75" style="position:absolute;left:0pt;margin-left:35.35pt;margin-top:-0.05pt;height:222.75pt;width:366.75pt;z-index:-251651072;mso-width-relative:page;mso-height-relative:page;" o:ole="t" filled="f" o:preferrelative="t" stroked="f" coordsize="21600,21600">
            <v:path/>
            <v:fill on="f" focussize="0,0"/>
            <v:stroke on="f"/>
            <v:imagedata r:id="rId22" o:title=""/>
            <o:lock v:ext="edit" aspectratio="t"/>
          </v:shape>
          <o:OLEObject Type="Embed" ProgID="Excel.Chart.8" ShapeID="Object 14" DrawAspect="Content" ObjectID="_1468075731" r:id="rId21">
            <o:LockedField>false</o:LockedField>
          </o:OLEObject>
        </w:pict>
      </w: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pPr>
        <w:pageBreakBefore w:val="0"/>
        <w:numPr>
          <w:ilvl w:val="0"/>
          <w:numId w:val="0"/>
        </w:numPr>
        <w:kinsoku/>
        <w:wordWrap/>
        <w:overflowPunct/>
        <w:topLinePunct w:val="0"/>
        <w:bidi w:val="0"/>
        <w:snapToGrid/>
        <w:spacing w:line="576" w:lineRule="exact"/>
        <w:ind w:left="0" w:leftChars="0" w:firstLine="642" w:firstLineChars="200"/>
        <w:textAlignment w:val="auto"/>
        <w:rPr>
          <w:rFonts w:hint="eastAsia" w:ascii="Times New Roman" w:hAnsi="Times New Roman" w:eastAsia="仿宋_GB2312" w:cs="仿宋_GB2312"/>
          <w:b/>
          <w:bCs/>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1.因公出国（境）经费支出：</w:t>
      </w:r>
      <w:r>
        <w:rPr>
          <w:rFonts w:hint="eastAsia" w:ascii="仿宋_GB2312" w:hAnsi="仿宋_GB2312" w:eastAsia="仿宋_GB2312" w:cs="仿宋_GB2312"/>
          <w:b w:val="0"/>
          <w:bCs w:val="0"/>
          <w:color w:val="auto"/>
          <w:kern w:val="2"/>
          <w:sz w:val="32"/>
          <w:szCs w:val="32"/>
          <w:highlight w:val="none"/>
          <w:lang w:val="en-US" w:eastAsia="zh-CN" w:bidi="ar-SA"/>
        </w:rPr>
        <w:t>全年不涉及安排因公出国（境）。较上年无变化。</w:t>
      </w:r>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val="0"/>
          <w:bCs w:val="0"/>
          <w:color w:val="auto"/>
          <w:kern w:val="2"/>
          <w:sz w:val="32"/>
          <w:szCs w:val="32"/>
          <w:highlight w:val="none"/>
          <w:lang w:val="en-US" w:eastAsia="zh-CN" w:bidi="ar-SA"/>
        </w:rPr>
        <w:t>0.24万元，完成预算6%。公务用车购置及运行维护费支出决算比2023年度减少1.57万元，下降86.7%。主要原因是：厉行节约。</w:t>
      </w:r>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截至2024年12月31日，单位共有公务用车1辆，其中：轿车0辆、越野车1辆、载客汽车0辆。</w:t>
      </w:r>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公务用车运行维护费支出0.24万元。较上年度减少</w:t>
      </w:r>
      <w:r>
        <w:rPr>
          <w:rFonts w:hint="default" w:ascii="仿宋_GB2312" w:hAnsi="仿宋_GB2312" w:eastAsia="仿宋_GB2312" w:cs="仿宋_GB2312"/>
          <w:b w:val="0"/>
          <w:bCs w:val="0"/>
          <w:color w:val="auto"/>
          <w:kern w:val="2"/>
          <w:sz w:val="32"/>
          <w:szCs w:val="32"/>
          <w:highlight w:val="none"/>
          <w:lang w:val="en-US" w:eastAsia="zh-CN" w:bidi="ar-SA"/>
        </w:rPr>
        <w:t>1.57</w:t>
      </w:r>
      <w:r>
        <w:rPr>
          <w:rFonts w:hint="eastAsia" w:ascii="仿宋_GB2312" w:hAnsi="仿宋_GB2312" w:eastAsia="仿宋_GB2312" w:cs="仿宋_GB2312"/>
          <w:b w:val="0"/>
          <w:bCs w:val="0"/>
          <w:color w:val="auto"/>
          <w:kern w:val="2"/>
          <w:sz w:val="32"/>
          <w:szCs w:val="32"/>
          <w:highlight w:val="none"/>
          <w:lang w:val="en-US" w:eastAsia="zh-CN" w:bidi="ar-SA"/>
        </w:rPr>
        <w:t>万元，下降86.70%。主要用于出差、下乡等所需的公务用车燃料费、维修费、过路过桥费、保险费等支出。</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bookmarkStart w:id="66" w:name="_Toc15396610"/>
      <w:bookmarkStart w:id="67" w:name="_Toc15377218"/>
      <w:r>
        <w:rPr>
          <w:rFonts w:hint="eastAsia"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全年不涉及公务接待费支出，决算数较2023年度无变动。主要原因是：厉行节约。</w:t>
      </w:r>
    </w:p>
    <w:p>
      <w:pPr>
        <w:pageBreakBefore w:val="0"/>
        <w:kinsoku/>
        <w:wordWrap/>
        <w:overflowPunct/>
        <w:topLinePunct w:val="0"/>
        <w:bidi w:val="0"/>
        <w:spacing w:line="576" w:lineRule="exact"/>
        <w:ind w:left="0" w:leftChars="0" w:firstLine="640" w:firstLineChars="0"/>
        <w:outlineLvl w:val="1"/>
        <w:rPr>
          <w:rStyle w:val="30"/>
          <w:rFonts w:ascii="Times New Roman" w:hAnsi="Times New Roman" w:eastAsia="黑体"/>
          <w:color w:val="auto"/>
          <w:highlight w:val="none"/>
        </w:rPr>
      </w:pPr>
      <w:bookmarkStart w:id="68" w:name="_Toc23394"/>
      <w:bookmarkStart w:id="69" w:name="_Toc17484"/>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66"/>
      <w:bookmarkEnd w:id="67"/>
      <w:bookmarkEnd w:id="68"/>
      <w:bookmarkEnd w:id="69"/>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2024年度不涉及政府性基金预算财政拨款支出，较上年度无变化。</w:t>
      </w:r>
    </w:p>
    <w:p>
      <w:pPr>
        <w:pageBreakBefore w:val="0"/>
        <w:numPr>
          <w:ilvl w:val="0"/>
          <w:numId w:val="0"/>
        </w:numPr>
        <w:kinsoku/>
        <w:wordWrap/>
        <w:overflowPunct/>
        <w:topLinePunct w:val="0"/>
        <w:bidi w:val="0"/>
        <w:spacing w:line="576" w:lineRule="exact"/>
        <w:ind w:left="0" w:leftChars="0" w:firstLine="640" w:firstLineChars="200"/>
        <w:outlineLvl w:val="1"/>
        <w:rPr>
          <w:rStyle w:val="30"/>
          <w:rFonts w:ascii="Times New Roman" w:hAnsi="Times New Roman" w:eastAsia="黑体"/>
          <w:b w:val="0"/>
          <w:color w:val="auto"/>
          <w:highlight w:val="none"/>
        </w:rPr>
      </w:pPr>
      <w:bookmarkStart w:id="70" w:name="_Toc15396611"/>
      <w:bookmarkStart w:id="71" w:name="_Toc15377219"/>
      <w:bookmarkStart w:id="72" w:name="_Toc31586"/>
      <w:bookmarkStart w:id="73" w:name="_Toc3153"/>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70"/>
      <w:bookmarkEnd w:id="71"/>
      <w:bookmarkEnd w:id="72"/>
      <w:bookmarkEnd w:id="73"/>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2024年度不涉及国有资本经营预算财政拨款支出，较上年度无变化。</w:t>
      </w:r>
    </w:p>
    <w:p>
      <w:pPr>
        <w:pageBreakBefore w:val="0"/>
        <w:numPr>
          <w:ilvl w:val="0"/>
          <w:numId w:val="0"/>
        </w:numPr>
        <w:kinsoku/>
        <w:wordWrap/>
        <w:overflowPunct/>
        <w:topLinePunct w:val="0"/>
        <w:bidi w:val="0"/>
        <w:spacing w:line="576" w:lineRule="exact"/>
        <w:ind w:left="0" w:leftChars="0" w:firstLine="640" w:firstLineChars="200"/>
        <w:outlineLvl w:val="1"/>
        <w:rPr>
          <w:rStyle w:val="30"/>
          <w:rFonts w:hint="eastAsia" w:ascii="Times New Roman" w:hAnsi="Times New Roman" w:eastAsia="黑体"/>
          <w:b w:val="0"/>
          <w:color w:val="auto"/>
          <w:highlight w:val="none"/>
        </w:rPr>
      </w:pPr>
      <w:bookmarkStart w:id="74" w:name="_Toc15377221"/>
      <w:bookmarkStart w:id="75" w:name="_Toc23213"/>
      <w:bookmarkStart w:id="76" w:name="_Toc15396612"/>
      <w:bookmarkStart w:id="77" w:name="_Toc5246"/>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74"/>
      <w:bookmarkEnd w:id="75"/>
      <w:bookmarkEnd w:id="76"/>
      <w:bookmarkEnd w:id="77"/>
    </w:p>
    <w:p>
      <w:pPr>
        <w:pageBreakBefore w:val="0"/>
        <w:kinsoku/>
        <w:wordWrap/>
        <w:overflowPunct/>
        <w:topLinePunct w:val="0"/>
        <w:bidi w:val="0"/>
        <w:spacing w:line="576" w:lineRule="exact"/>
        <w:ind w:left="0" w:leftChars="0" w:firstLine="642" w:firstLineChars="200"/>
        <w:outlineLvl w:val="2"/>
        <w:rPr>
          <w:rFonts w:hint="eastAsia" w:ascii="Times New Roman" w:hAnsi="Times New Roman" w:eastAsia="楷体_GB2312" w:cs="楷体_GB2312"/>
          <w:b/>
          <w:color w:val="auto"/>
          <w:sz w:val="32"/>
          <w:szCs w:val="32"/>
          <w:highlight w:val="none"/>
        </w:rPr>
      </w:pPr>
      <w:bookmarkStart w:id="78" w:name="_Toc15377222"/>
      <w:bookmarkStart w:id="79" w:name="_Toc3992"/>
      <w:r>
        <w:rPr>
          <w:rFonts w:hint="eastAsia" w:ascii="Times New Roman" w:hAnsi="Times New Roman" w:eastAsia="楷体_GB2312" w:cs="楷体_GB2312"/>
          <w:b/>
          <w:color w:val="auto"/>
          <w:sz w:val="32"/>
          <w:szCs w:val="32"/>
          <w:highlight w:val="none"/>
        </w:rPr>
        <w:t>（一）机关运行经费支出情况</w:t>
      </w:r>
      <w:bookmarkEnd w:id="78"/>
      <w:bookmarkEnd w:id="79"/>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2024年度，茂县红十字会机关运行经费支出4.95万元，比2023年度减少0.75万元，下降13.16%。主要原因是：厉行节约。</w:t>
      </w:r>
    </w:p>
    <w:p>
      <w:pPr>
        <w:pageBreakBefore w:val="0"/>
        <w:kinsoku/>
        <w:wordWrap/>
        <w:overflowPunct/>
        <w:topLinePunct w:val="0"/>
        <w:bidi w:val="0"/>
        <w:spacing w:line="576" w:lineRule="exact"/>
        <w:ind w:left="0" w:leftChars="0" w:firstLine="642" w:firstLineChars="200"/>
        <w:outlineLvl w:val="2"/>
        <w:rPr>
          <w:rFonts w:hint="eastAsia" w:ascii="Times New Roman" w:hAnsi="Times New Roman" w:eastAsia="楷体_GB2312" w:cs="楷体_GB2312"/>
          <w:b/>
          <w:color w:val="auto"/>
          <w:sz w:val="32"/>
          <w:szCs w:val="32"/>
          <w:highlight w:val="none"/>
        </w:rPr>
      </w:pPr>
      <w:bookmarkStart w:id="80" w:name="_Toc15377223"/>
      <w:bookmarkStart w:id="81" w:name="_Toc1637"/>
      <w:r>
        <w:rPr>
          <w:rFonts w:hint="eastAsia" w:ascii="Times New Roman" w:hAnsi="Times New Roman" w:eastAsia="楷体_GB2312" w:cs="楷体_GB2312"/>
          <w:b/>
          <w:color w:val="auto"/>
          <w:sz w:val="32"/>
          <w:szCs w:val="32"/>
          <w:highlight w:val="none"/>
        </w:rPr>
        <w:t>（二）政府采购支出情况</w:t>
      </w:r>
      <w:bookmarkEnd w:id="80"/>
      <w:bookmarkEnd w:id="81"/>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2024年度，茂县红十字会不涉及政府采购支出。</w:t>
      </w:r>
    </w:p>
    <w:p>
      <w:pPr>
        <w:pageBreakBefore w:val="0"/>
        <w:kinsoku/>
        <w:wordWrap/>
        <w:overflowPunct/>
        <w:topLinePunct w:val="0"/>
        <w:bidi w:val="0"/>
        <w:spacing w:line="576" w:lineRule="exact"/>
        <w:ind w:left="0" w:leftChars="0" w:firstLine="642" w:firstLineChars="200"/>
        <w:outlineLvl w:val="2"/>
        <w:rPr>
          <w:rFonts w:hint="eastAsia" w:ascii="Times New Roman" w:hAnsi="Times New Roman" w:eastAsia="楷体_GB2312" w:cs="楷体_GB2312"/>
          <w:b/>
          <w:color w:val="auto"/>
          <w:sz w:val="32"/>
          <w:szCs w:val="32"/>
          <w:highlight w:val="none"/>
        </w:rPr>
      </w:pPr>
      <w:bookmarkStart w:id="82" w:name="_Toc15377224"/>
      <w:bookmarkStart w:id="83" w:name="_Toc30591"/>
      <w:r>
        <w:rPr>
          <w:rFonts w:hint="eastAsia" w:ascii="Times New Roman" w:hAnsi="Times New Roman" w:eastAsia="楷体_GB2312" w:cs="楷体_GB2312"/>
          <w:b/>
          <w:color w:val="auto"/>
          <w:sz w:val="32"/>
          <w:szCs w:val="32"/>
          <w:highlight w:val="none"/>
        </w:rPr>
        <w:t>（三）国有资产占有使用情况</w:t>
      </w:r>
      <w:bookmarkEnd w:id="82"/>
      <w:bookmarkEnd w:id="83"/>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截至2024年12月31日，茂县红十字会共有车辆1辆，其中：主要负责人用车0辆、机要通信用车0辆、应急保障用车1辆、其他用车0辆。</w:t>
      </w:r>
    </w:p>
    <w:p>
      <w:pPr>
        <w:pageBreakBefore w:val="0"/>
        <w:kinsoku/>
        <w:wordWrap/>
        <w:overflowPunct/>
        <w:topLinePunct w:val="0"/>
        <w:bidi w:val="0"/>
        <w:spacing w:line="576" w:lineRule="exact"/>
        <w:ind w:left="0" w:leftChars="0" w:firstLine="642" w:firstLineChars="200"/>
        <w:outlineLvl w:val="2"/>
        <w:rPr>
          <w:rFonts w:hint="eastAsia" w:ascii="Times New Roman" w:hAnsi="Times New Roman" w:eastAsia="楷体_GB2312" w:cs="楷体_GB2312"/>
          <w:b/>
          <w:color w:val="auto"/>
          <w:sz w:val="32"/>
          <w:szCs w:val="32"/>
          <w:highlight w:val="none"/>
        </w:rPr>
      </w:pPr>
      <w:bookmarkStart w:id="84" w:name="_Toc8479"/>
      <w:r>
        <w:rPr>
          <w:rFonts w:hint="eastAsia" w:ascii="Times New Roman" w:hAnsi="Times New Roman" w:eastAsia="楷体_GB2312" w:cs="楷体_GB2312"/>
          <w:b/>
          <w:color w:val="auto"/>
          <w:sz w:val="32"/>
          <w:szCs w:val="32"/>
          <w:highlight w:val="none"/>
        </w:rPr>
        <w:t>（四）预算绩效管理情况</w:t>
      </w:r>
      <w:bookmarkEnd w:id="84"/>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根据预算绩效管理要求，我会在2024年度预算编制阶段，组织对红十字会事业发展工作经费项目开展了预算事前绩效评估，对1个项目编制了绩效目标，预算执行过程中，选取1个项目开展绩效监控并开展绩效自评。此项目</w:t>
      </w:r>
      <w:r>
        <w:rPr>
          <w:rFonts w:hint="eastAsia" w:ascii="仿宋_GB2312" w:hAnsi="仿宋_GB2312" w:eastAsia="仿宋_GB2312" w:cs="仿宋_GB2312"/>
          <w:b w:val="0"/>
          <w:bCs w:val="0"/>
          <w:color w:val="auto"/>
          <w:kern w:val="2"/>
          <w:sz w:val="32"/>
          <w:szCs w:val="32"/>
          <w:highlight w:val="none"/>
          <w:lang w:val="zh-CN" w:eastAsia="zh-CN" w:bidi="ar-SA"/>
        </w:rPr>
        <w:t>提升了红十字会的服务能力，增强其在灾害应对、救助、救护等方面的效能。强化了应急救援队伍的建设与培训、提高了物资储备和调配效率、扩大了健康教育和献血推广活动。</w:t>
      </w:r>
      <w:r>
        <w:rPr>
          <w:rFonts w:hint="eastAsia" w:ascii="仿宋_GB2312" w:hAnsi="仿宋_GB2312" w:eastAsia="仿宋_GB2312" w:cs="仿宋_GB2312"/>
          <w:b w:val="0"/>
          <w:bCs w:val="0"/>
          <w:color w:val="auto"/>
          <w:kern w:val="2"/>
          <w:sz w:val="32"/>
          <w:szCs w:val="32"/>
          <w:highlight w:val="none"/>
          <w:lang w:val="en-US" w:eastAsia="zh-CN" w:bidi="ar-SA"/>
        </w:rPr>
        <w:br w:type="textWrapping"/>
      </w:r>
      <w:r>
        <w:rPr>
          <w:rFonts w:hint="eastAsia" w:ascii="仿宋_GB2312" w:hAnsi="仿宋_GB2312" w:eastAsia="仿宋_GB2312" w:cs="仿宋_GB2312"/>
          <w:b w:val="0"/>
          <w:bCs w:val="0"/>
          <w:color w:val="auto"/>
          <w:kern w:val="2"/>
          <w:sz w:val="32"/>
          <w:szCs w:val="32"/>
          <w:highlight w:val="none"/>
          <w:lang w:val="en-US" w:eastAsia="zh-CN" w:bidi="ar-SA"/>
        </w:rPr>
        <w:t xml:space="preserve">    我会按要求对2024年部门整体支出开展绩效自评，自查自评结果良好，全年基本支出保障了部门的正常运行和日常工作的正常开展，项目支出保障了重点工作的开展，绩效目标得到较好实现，绩效管理水平不断提高，绩效指标体系逐渐丰富和完善。 </w:t>
      </w:r>
      <w:r>
        <w:rPr>
          <w:rFonts w:hint="eastAsia" w:ascii="仿宋_GB2312" w:hAnsi="仿宋_GB2312" w:eastAsia="仿宋_GB2312" w:cs="仿宋_GB2312"/>
          <w:b w:val="0"/>
          <w:bCs w:val="0"/>
          <w:color w:val="auto"/>
          <w:kern w:val="2"/>
          <w:sz w:val="32"/>
          <w:szCs w:val="32"/>
          <w:highlight w:val="none"/>
          <w:lang w:val="en-US" w:eastAsia="zh-CN" w:bidi="ar-SA"/>
        </w:rPr>
        <w:br w:type="textWrapping"/>
      </w:r>
      <w:r>
        <w:rPr>
          <w:rFonts w:hint="eastAsia" w:ascii="仿宋_GB2312" w:hAnsi="仿宋_GB2312" w:eastAsia="仿宋_GB2312" w:cs="仿宋_GB2312"/>
          <w:b w:val="0"/>
          <w:bCs w:val="0"/>
          <w:color w:val="auto"/>
          <w:kern w:val="2"/>
          <w:sz w:val="32"/>
          <w:szCs w:val="32"/>
          <w:highlight w:val="none"/>
          <w:lang w:val="en-US" w:eastAsia="zh-CN" w:bidi="ar-SA"/>
        </w:rPr>
        <w:t xml:space="preserve">    单位预算项目绩效自评报告及部门预算项目支出绩效自评表（2024年度）详见第四部分附件。</w:t>
      </w:r>
    </w:p>
    <w:p>
      <w:pPr>
        <w:pageBreakBefore w:val="0"/>
        <w:kinsoku/>
        <w:wordWrap/>
        <w:overflowPunct/>
        <w:topLinePunct w:val="0"/>
        <w:bidi w:val="0"/>
        <w:spacing w:line="576" w:lineRule="exact"/>
        <w:ind w:left="0" w:leftChars="0" w:firstLine="640"/>
        <w:rPr>
          <w:rFonts w:hint="default"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default"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left="0" w:leftChars="0" w:firstLine="640"/>
        <w:rPr>
          <w:rFonts w:hint="default" w:ascii="Times New Roman" w:hAnsi="Times New Roman" w:eastAsia="仿宋_GB2312" w:cs="仿宋_GB2312"/>
          <w:color w:val="auto"/>
          <w:kern w:val="2"/>
          <w:sz w:val="32"/>
          <w:szCs w:val="32"/>
          <w:highlight w:val="none"/>
          <w:lang w:val="en-US" w:eastAsia="zh-CN" w:bidi="ar-SA"/>
        </w:rPr>
      </w:pPr>
    </w:p>
    <w:p>
      <w:pPr>
        <w:pageBreakBefore w:val="0"/>
        <w:numPr>
          <w:ilvl w:val="0"/>
          <w:numId w:val="0"/>
        </w:numPr>
        <w:kinsoku/>
        <w:wordWrap/>
        <w:overflowPunct/>
        <w:topLinePunct w:val="0"/>
        <w:bidi w:val="0"/>
        <w:spacing w:line="576" w:lineRule="exact"/>
        <w:ind w:left="0" w:leftChars="0"/>
        <w:jc w:val="both"/>
        <w:outlineLvl w:val="0"/>
        <w:rPr>
          <w:rFonts w:hint="eastAsia" w:ascii="Times New Roman" w:hAnsi="Times New Roman" w:eastAsia="黑体"/>
          <w:color w:val="auto"/>
          <w:sz w:val="44"/>
          <w:szCs w:val="44"/>
          <w:highlight w:val="none"/>
        </w:rPr>
      </w:pPr>
      <w:bookmarkStart w:id="85" w:name="_Toc15396613"/>
      <w:bookmarkStart w:id="86" w:name="_Toc29989"/>
      <w:bookmarkStart w:id="87" w:name="_Toc15377225"/>
    </w:p>
    <w:p>
      <w:pPr>
        <w:pageBreakBefore w:val="0"/>
        <w:numPr>
          <w:ilvl w:val="0"/>
          <w:numId w:val="0"/>
        </w:numPr>
        <w:kinsoku/>
        <w:wordWrap/>
        <w:overflowPunct/>
        <w:topLinePunct w:val="0"/>
        <w:bidi w:val="0"/>
        <w:spacing w:line="576" w:lineRule="exact"/>
        <w:ind w:left="0" w:leftChars="0"/>
        <w:jc w:val="center"/>
        <w:outlineLvl w:val="0"/>
        <w:rPr>
          <w:rFonts w:hint="eastAsia" w:ascii="方正小标宋简体" w:hAnsi="方正小标宋简体" w:eastAsia="方正小标宋简体" w:cs="方正小标宋简体"/>
          <w:color w:val="auto"/>
          <w:sz w:val="44"/>
          <w:szCs w:val="44"/>
          <w:highlight w:val="none"/>
        </w:rPr>
      </w:pPr>
      <w:bookmarkStart w:id="88" w:name="_Toc27957"/>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eastAsia="zh-CN"/>
        </w:rPr>
        <w:t>三</w:t>
      </w:r>
      <w:r>
        <w:rPr>
          <w:rFonts w:hint="eastAsia" w:ascii="方正小标宋简体" w:hAnsi="方正小标宋简体" w:eastAsia="方正小标宋简体" w:cs="方正小标宋简体"/>
          <w:color w:val="auto"/>
          <w:sz w:val="44"/>
          <w:szCs w:val="44"/>
          <w:highlight w:val="none"/>
        </w:rPr>
        <w:t>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名词解释</w:t>
      </w:r>
      <w:bookmarkEnd w:id="85"/>
      <w:bookmarkEnd w:id="86"/>
      <w:bookmarkEnd w:id="87"/>
      <w:bookmarkEnd w:id="88"/>
    </w:p>
    <w:p>
      <w:pPr>
        <w:pageBreakBefore w:val="0"/>
        <w:kinsoku/>
        <w:wordWrap/>
        <w:overflowPunct/>
        <w:topLinePunct w:val="0"/>
        <w:bidi w:val="0"/>
        <w:spacing w:line="576" w:lineRule="exact"/>
        <w:ind w:left="0" w:leftChars="0"/>
        <w:jc w:val="left"/>
        <w:rPr>
          <w:rFonts w:ascii="Times New Roman" w:hAnsi="Times New Roman"/>
          <w:b/>
          <w:color w:val="auto"/>
          <w:sz w:val="44"/>
          <w:szCs w:val="44"/>
          <w:highlight w:val="none"/>
        </w:rPr>
      </w:pP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bookmarkStart w:id="89" w:name="_Toc28497"/>
      <w:bookmarkStart w:id="90" w:name="_Toc27413"/>
      <w:bookmarkStart w:id="91" w:name="_Toc5538"/>
      <w:bookmarkStart w:id="92" w:name="_Toc15377226"/>
      <w:r>
        <w:rPr>
          <w:rFonts w:hint="eastAsia" w:ascii="仿宋_GB2312" w:hAnsi="仿宋_GB2312" w:eastAsia="仿宋_GB2312" w:cs="仿宋_GB2312"/>
          <w:b w:val="0"/>
          <w:bCs w:val="0"/>
          <w:color w:val="auto"/>
          <w:kern w:val="2"/>
          <w:sz w:val="32"/>
          <w:szCs w:val="32"/>
          <w:highlight w:val="none"/>
          <w:lang w:val="en-US" w:eastAsia="zh-CN" w:bidi="ar-SA"/>
        </w:rPr>
        <w:t>1.财政拨款收入：指单位从同级财政部门取得的财政预算资金。</w:t>
      </w:r>
      <w:bookmarkEnd w:id="89"/>
      <w:bookmarkEnd w:id="90"/>
      <w:bookmarkEnd w:id="91"/>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2.事业收入：指事业单位开展专业业务活动及辅助活动取得的收入。</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3.经营收入：指事业单位在专业业务活动及其辅助活动之外开展非独立核算经营活动取得的收入。</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bookmarkStart w:id="93" w:name="_Toc32244"/>
      <w:bookmarkStart w:id="94" w:name="_Toc9023"/>
      <w:bookmarkStart w:id="95" w:name="_Toc27219"/>
      <w:r>
        <w:rPr>
          <w:rFonts w:hint="eastAsia" w:ascii="仿宋_GB2312" w:hAnsi="仿宋_GB2312" w:eastAsia="仿宋_GB2312" w:cs="仿宋_GB2312"/>
          <w:b w:val="0"/>
          <w:bCs w:val="0"/>
          <w:color w:val="auto"/>
          <w:kern w:val="2"/>
          <w:sz w:val="32"/>
          <w:szCs w:val="32"/>
          <w:highlight w:val="none"/>
          <w:lang w:val="en-US" w:eastAsia="zh-CN" w:bidi="ar-SA"/>
        </w:rPr>
        <w:t>4.其他收入：指单位取得的除上述收入以外的各项收入。</w:t>
      </w:r>
      <w:bookmarkEnd w:id="93"/>
      <w:bookmarkEnd w:id="94"/>
      <w:bookmarkEnd w:id="95"/>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6.年初结转和结余：指以前年度尚未完成、结转到本年按有关规定继续使用的资金。 </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7.结余分配：指事业单位按照事业单位会计制度的规定从非财政补助结余中分配的事业基金和职工福利基金等。</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8、年末结转和结余：指单位按有关规定结转到下年或以后年度继续使用的资金。</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9.社会保障和就业支出（208）行政事业单位离退休（05）机关事业单位养老保险缴费支出（05）:指机关事业单位实施养老保险制度由单位缴纳的基本养老保险缴费支出。</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10.社会保障和就业支出（208）行政事业单位离退休（05）机关事业单位职业年金缴费支出（06）：指机关事业单位实施养老保险制度由单位缴纳的职业年金缴费支出。</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11.社会保障和就业支出（208）红十字事业（16）其他红十字事业支出（01）：指红十字事业行政运行的支出。</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12.医疗卫生与计划生育支出（210）行政事业单位医疗（11）行政单位医疗（01）：指反映财政部门集中安排的行政事业单位基本养老保险缴费经费，未参加医疗保险的行政事业单位的公费医疗经费，按国家规定享受离休人员、红军老战士待遇人员的医疗经费。</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13.住房保障支出（221）住房改革支出（02）住房公积金（01）：指反映行政事业单位按人力资源和会保障部、财政部规定的基本工资和津贴补贴以及规定比例为职工缴纳的住房公积金。</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14.住房保障支出（221）住房改革支出（02）购房补贴（03）：指按房改政策规定，行政事业单位向符合条件职工（含离退休人员）、军队（含武警）向转役复原离退休人员发放的用于购买住房的补贴。</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15.基本支出：指为保障机构正常运转、完成日常工作任务而发生的人员支出和公用支出。</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16.项目支出：指在基本支出之外为完成特定行政任务和事业发展目标所发生的支出。 </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17.经营支出：指事业单位在专业业务活动及其辅助活动之外开展非独立核算经营活动发生的支出。</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napToGrid/>
        <w:spacing w:line="576" w:lineRule="exact"/>
        <w:ind w:left="0" w:leftChars="0" w:firstLine="640"/>
        <w:textAlignment w:val="auto"/>
        <w:rPr>
          <w:rStyle w:val="29"/>
          <w:rFonts w:hint="eastAsia" w:ascii="Times New Roman" w:hAnsi="Times New Roman" w:eastAsia="黑体"/>
          <w:b w:val="0"/>
          <w:color w:val="auto"/>
          <w:sz w:val="44"/>
          <w:szCs w:val="44"/>
          <w:highlight w:val="none"/>
          <w:lang w:eastAsia="zh-CN"/>
        </w:rPr>
      </w:pPr>
      <w:r>
        <w:rPr>
          <w:rFonts w:hint="eastAsia" w:ascii="仿宋_GB2312" w:hAnsi="仿宋_GB2312" w:eastAsia="仿宋_GB2312" w:cs="仿宋_GB2312"/>
          <w:b w:val="0"/>
          <w:bCs w:val="0"/>
          <w:color w:val="auto"/>
          <w:kern w:val="2"/>
          <w:sz w:val="32"/>
          <w:szCs w:val="32"/>
          <w:highlight w:val="none"/>
          <w:lang w:val="en-US" w:eastAsia="zh-CN" w:bidi="ar-SA"/>
        </w:rPr>
        <w:br w:type="page"/>
      </w:r>
      <w:bookmarkStart w:id="96" w:name="_Toc15396614"/>
      <w:r>
        <w:rPr>
          <w:rFonts w:hint="eastAsia" w:eastAsia="仿宋_GB2312" w:cs="仿宋_GB2312"/>
          <w:color w:val="auto"/>
          <w:kern w:val="2"/>
          <w:sz w:val="32"/>
          <w:szCs w:val="32"/>
          <w:highlight w:val="none"/>
          <w:lang w:val="en-US" w:eastAsia="zh-CN" w:bidi="ar-SA"/>
        </w:rPr>
        <w:t xml:space="preserve">              </w:t>
      </w:r>
      <w:r>
        <w:rPr>
          <w:rFonts w:hint="eastAsia" w:ascii="方正小标宋简体" w:hAnsi="方正小标宋简体" w:eastAsia="方正小标宋简体" w:cs="方正小标宋简体"/>
          <w:color w:val="auto"/>
          <w:sz w:val="44"/>
          <w:szCs w:val="44"/>
          <w:highlight w:val="none"/>
        </w:rPr>
        <w:t>第四部分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 xml:space="preserve"> 附件</w:t>
      </w:r>
      <w:bookmarkEnd w:id="96"/>
    </w:p>
    <w:p>
      <w:pPr>
        <w:keepNext w:val="0"/>
        <w:keepLines w:val="0"/>
        <w:pageBreakBefore w:val="0"/>
        <w:kinsoku/>
        <w:wordWrap/>
        <w:overflowPunct/>
        <w:topLinePunct w:val="0"/>
        <w:autoSpaceDE/>
        <w:autoSpaceDN/>
        <w:bidi w:val="0"/>
        <w:spacing w:line="576" w:lineRule="exact"/>
        <w:ind w:left="0" w:leftChars="0"/>
        <w:jc w:val="left"/>
        <w:textAlignment w:val="auto"/>
        <w:outlineLvl w:val="9"/>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6" w:lineRule="exact"/>
        <w:ind w:left="0" w:leftChars="0"/>
        <w:jc w:val="left"/>
        <w:textAlignment w:val="auto"/>
        <w:outlineLvl w:val="1"/>
        <w:rPr>
          <w:rFonts w:hint="eastAsia" w:ascii="Times New Roman" w:hAnsi="Times New Roman" w:eastAsia="黑体" w:cs="方正小标宋简体"/>
          <w:color w:val="auto"/>
          <w:sz w:val="44"/>
          <w:szCs w:val="44"/>
          <w:highlight w:val="none"/>
          <w:lang w:val="en-US" w:eastAsia="zh-CN"/>
        </w:rPr>
      </w:pPr>
      <w:bookmarkStart w:id="97" w:name="_Toc20625"/>
      <w:bookmarkStart w:id="98" w:name="_Toc6538"/>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97"/>
      <w:bookmarkEnd w:id="98"/>
    </w:p>
    <w:p>
      <w:pPr>
        <w:keepNext w:val="0"/>
        <w:keepLines w:val="0"/>
        <w:pageBreakBefore w:val="0"/>
        <w:widowControl/>
        <w:kinsoku/>
        <w:wordWrap/>
        <w:overflowPunct/>
        <w:topLinePunct w:val="0"/>
        <w:autoSpaceDE/>
        <w:autoSpaceDN/>
        <w:bidi w:val="0"/>
        <w:spacing w:line="576" w:lineRule="exact"/>
        <w:ind w:left="0" w:leftChars="0"/>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pageBreakBefore w:val="0"/>
        <w:widowControl/>
        <w:kinsoku/>
        <w:wordWrap/>
        <w:overflowPunct/>
        <w:topLinePunct w:val="0"/>
        <w:bidi w:val="0"/>
        <w:spacing w:line="576" w:lineRule="exact"/>
        <w:ind w:left="0" w:leftChars="0"/>
        <w:contextualSpacing/>
        <w:jc w:val="center"/>
        <w:rPr>
          <w:rFonts w:hint="eastAsia" w:ascii="方正小标宋简体" w:hAnsi="方正小标宋简体" w:eastAsia="方正小标宋简体" w:cs="方正小标宋简体"/>
          <w:b w:val="0"/>
          <w:bCs/>
          <w:sz w:val="44"/>
          <w:szCs w:val="44"/>
          <w:shd w:val="clear" w:color="auto" w:fill="FFFFFF"/>
          <w:lang w:eastAsia="zh-CN"/>
        </w:rPr>
      </w:pPr>
      <w:r>
        <w:rPr>
          <w:rFonts w:hint="eastAsia" w:ascii="方正小标宋简体" w:hAnsi="方正小标宋简体" w:eastAsia="方正小标宋简体" w:cs="方正小标宋简体"/>
          <w:b w:val="0"/>
          <w:bCs/>
          <w:sz w:val="44"/>
          <w:szCs w:val="44"/>
          <w:shd w:val="clear" w:color="auto" w:fill="FFFFFF"/>
          <w:lang w:eastAsia="zh-CN"/>
        </w:rPr>
        <w:t>茂县红十字会</w:t>
      </w:r>
    </w:p>
    <w:p>
      <w:pPr>
        <w:pageBreakBefore w:val="0"/>
        <w:widowControl/>
        <w:kinsoku/>
        <w:wordWrap/>
        <w:overflowPunct/>
        <w:topLinePunct w:val="0"/>
        <w:bidi w:val="0"/>
        <w:spacing w:line="576" w:lineRule="exact"/>
        <w:ind w:left="0" w:leftChars="0"/>
        <w:contextualSpacing/>
        <w:jc w:val="center"/>
        <w:rPr>
          <w:rFonts w:hint="eastAsia" w:ascii="方正小标宋简体" w:hAnsi="方正小标宋简体" w:eastAsia="方正小标宋简体" w:cs="方正小标宋简体"/>
          <w:b w:val="0"/>
          <w:bCs/>
          <w:sz w:val="44"/>
          <w:szCs w:val="44"/>
          <w:shd w:val="clear" w:color="auto" w:fill="FFFFFF"/>
        </w:rPr>
      </w:pPr>
      <w:r>
        <w:rPr>
          <w:rFonts w:hint="eastAsia" w:ascii="方正小标宋简体" w:hAnsi="方正小标宋简体" w:eastAsia="方正小标宋简体" w:cs="方正小标宋简体"/>
          <w:b w:val="0"/>
          <w:bCs/>
          <w:sz w:val="44"/>
          <w:szCs w:val="44"/>
          <w:shd w:val="clear" w:color="auto" w:fill="FFFFFF"/>
          <w:lang w:val="en-US" w:eastAsia="zh-CN"/>
        </w:rPr>
        <w:t>2024年</w:t>
      </w:r>
      <w:r>
        <w:rPr>
          <w:rFonts w:hint="eastAsia" w:ascii="方正小标宋简体" w:hAnsi="方正小标宋简体" w:eastAsia="方正小标宋简体" w:cs="方正小标宋简体"/>
          <w:b w:val="0"/>
          <w:bCs/>
          <w:sz w:val="44"/>
          <w:szCs w:val="44"/>
          <w:shd w:val="clear" w:color="auto" w:fill="FFFFFF"/>
        </w:rPr>
        <w:t>部门预算绩效评价报告</w:t>
      </w:r>
    </w:p>
    <w:p>
      <w:pPr>
        <w:pageBreakBefore w:val="0"/>
        <w:widowControl/>
        <w:kinsoku/>
        <w:wordWrap/>
        <w:overflowPunct/>
        <w:topLinePunct w:val="0"/>
        <w:bidi w:val="0"/>
        <w:adjustRightInd w:val="0"/>
        <w:snapToGrid w:val="0"/>
        <w:spacing w:line="576" w:lineRule="exact"/>
        <w:ind w:left="0" w:leftChars="0" w:firstLine="480" w:firstLineChars="200"/>
        <w:contextualSpacing/>
        <w:jc w:val="left"/>
        <w:rPr>
          <w:rFonts w:eastAsia="黑体"/>
          <w:color w:val="000000"/>
          <w:kern w:val="0"/>
          <w:sz w:val="24"/>
          <w:szCs w:val="32"/>
          <w:shd w:val="clear" w:color="auto" w:fill="FFFFFF"/>
        </w:rPr>
      </w:pPr>
    </w:p>
    <w:p>
      <w:pPr>
        <w:pageBreakBefore w:val="0"/>
        <w:widowControl/>
        <w:kinsoku/>
        <w:wordWrap/>
        <w:overflowPunct/>
        <w:topLinePunct w:val="0"/>
        <w:bidi w:val="0"/>
        <w:adjustRightInd w:val="0"/>
        <w:snapToGrid w:val="0"/>
        <w:spacing w:line="576" w:lineRule="exact"/>
        <w:ind w:left="0" w:leftChars="0" w:firstLine="640" w:firstLineChars="200"/>
        <w:contextualSpacing/>
        <w:jc w:val="left"/>
        <w:outlineLvl w:val="1"/>
        <w:rPr>
          <w:rFonts w:hint="eastAsia" w:ascii="黑体" w:hAnsi="黑体" w:eastAsia="黑体" w:cs="黑体"/>
          <w:sz w:val="32"/>
          <w:szCs w:val="32"/>
        </w:rPr>
      </w:pPr>
      <w:bookmarkStart w:id="99" w:name="_Toc4749"/>
      <w:r>
        <w:rPr>
          <w:rFonts w:hint="eastAsia" w:ascii="黑体" w:hAnsi="黑体" w:eastAsia="黑体" w:cs="黑体"/>
          <w:color w:val="000000"/>
          <w:kern w:val="0"/>
          <w:sz w:val="32"/>
          <w:szCs w:val="32"/>
          <w:shd w:val="clear" w:color="auto" w:fill="FFFFFF"/>
          <w:lang w:val="zh-CN"/>
        </w:rPr>
        <w:t>一、部门（单位）基本情况</w:t>
      </w:r>
      <w:bookmarkEnd w:id="99"/>
    </w:p>
    <w:p>
      <w:pPr>
        <w:keepNext w:val="0"/>
        <w:keepLines w:val="0"/>
        <w:pageBreakBefore w:val="0"/>
        <w:kinsoku/>
        <w:wordWrap/>
        <w:overflowPunct/>
        <w:topLinePunct w:val="0"/>
        <w:autoSpaceDE/>
        <w:autoSpaceDN/>
        <w:bidi w:val="0"/>
        <w:snapToGrid w:val="0"/>
        <w:spacing w:line="576" w:lineRule="exact"/>
        <w:ind w:left="0" w:leftChars="0" w:firstLine="642" w:firstLineChars="200"/>
        <w:textAlignment w:val="auto"/>
        <w:outlineLvl w:val="2"/>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茂县红十字会为独立的一级预算单位，内设机构共二个：办公室、综合股。茂县红十字会编制共6名，其中：参公管理6名（含1名工勤）。</w:t>
      </w:r>
    </w:p>
    <w:p>
      <w:pPr>
        <w:keepNext w:val="0"/>
        <w:keepLines w:val="0"/>
        <w:pageBreakBefore w:val="0"/>
        <w:kinsoku/>
        <w:wordWrap/>
        <w:overflowPunct/>
        <w:topLinePunct w:val="0"/>
        <w:autoSpaceDE/>
        <w:autoSpaceDN/>
        <w:bidi w:val="0"/>
        <w:snapToGrid w:val="0"/>
        <w:spacing w:line="576" w:lineRule="exact"/>
        <w:ind w:left="0" w:leftChars="0" w:firstLine="642" w:firstLineChars="200"/>
        <w:textAlignment w:val="auto"/>
        <w:outlineLvl w:val="2"/>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eastAsia="zh-CN"/>
        </w:rPr>
        <w:t>（二）</w:t>
      </w:r>
      <w:r>
        <w:rPr>
          <w:rFonts w:hint="eastAsia" w:ascii="楷体_GB2312" w:hAnsi="楷体_GB2312" w:eastAsia="楷体_GB2312" w:cs="楷体_GB2312"/>
          <w:b/>
          <w:bCs/>
          <w:color w:val="000000"/>
          <w:kern w:val="0"/>
          <w:sz w:val="32"/>
          <w:szCs w:val="32"/>
          <w:shd w:val="clear" w:color="auto" w:fill="FFFFFF"/>
          <w:lang w:val="zh-CN"/>
        </w:rPr>
        <w:t>机构职能</w:t>
      </w:r>
    </w:p>
    <w:p>
      <w:pPr>
        <w:keepNext w:val="0"/>
        <w:keepLines w:val="0"/>
        <w:pageBreakBefore w:val="0"/>
        <w:kinsoku/>
        <w:wordWrap/>
        <w:overflowPunct/>
        <w:topLinePunct w:val="0"/>
        <w:autoSpaceDE/>
        <w:autoSpaceDN/>
        <w:bidi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 主要职责是：传播国际红十字运动知识和国际人道主义法。宣传、贯彻《中华人民共和国红十字会法》，依照红十字会法和红十字章程组织协调开展我县红十字会工作；开展备灾救灾工作。在自然灾害和突发事件中,开展救护和救助工作;依法接受国内外组织和个人的捐赠,及时向灾区群众和受难者提供人道主义援助,突发事件中对受害者组织实施救助工作。</w:t>
      </w:r>
    </w:p>
    <w:p>
      <w:pPr>
        <w:keepNext w:val="0"/>
        <w:keepLines w:val="0"/>
        <w:pageBreakBefore w:val="0"/>
        <w:kinsoku/>
        <w:wordWrap/>
        <w:overflowPunct/>
        <w:topLinePunct w:val="0"/>
        <w:autoSpaceDE/>
        <w:autoSpaceDN/>
        <w:bidi w:val="0"/>
        <w:snapToGrid w:val="0"/>
        <w:spacing w:line="576" w:lineRule="exact"/>
        <w:ind w:left="0" w:leftChars="0" w:firstLine="642" w:firstLineChars="200"/>
        <w:textAlignment w:val="auto"/>
        <w:outlineLvl w:val="2"/>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（三）人员概况</w:t>
      </w:r>
    </w:p>
    <w:p>
      <w:pPr>
        <w:keepNext w:val="0"/>
        <w:keepLines w:val="0"/>
        <w:pageBreakBefore w:val="0"/>
        <w:widowControl/>
        <w:numPr>
          <w:ilvl w:val="0"/>
          <w:numId w:val="0"/>
        </w:numPr>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kern w:val="2"/>
          <w:sz w:val="32"/>
          <w:szCs w:val="32"/>
          <w:highlight w:val="none"/>
          <w:lang w:val="en-US" w:eastAsia="zh-CN" w:bidi="ar-SA"/>
        </w:rPr>
        <w:t>总编制 6 名,其中:行政编制 0 名,参照公务员法管理的事业编制 6 名，行政工勤编制 0 名，事业编制 0 名，事业工勤编制 0 名。在职人员总数 6 名，其中：行政人员 0 名，参照公务员法管理的事业人员 5 名，行政工勤人员 1 名；事业人员 0 名，事业工勤人员 0 名。离休人员 0 人，退休人员 1 人；编外长期聘用人员 0 名。</w:t>
      </w:r>
    </w:p>
    <w:p>
      <w:pPr>
        <w:pageBreakBefore w:val="0"/>
        <w:widowControl/>
        <w:kinsoku/>
        <w:wordWrap/>
        <w:overflowPunct/>
        <w:topLinePunct w:val="0"/>
        <w:bidi w:val="0"/>
        <w:adjustRightInd w:val="0"/>
        <w:snapToGrid w:val="0"/>
        <w:spacing w:line="576" w:lineRule="exact"/>
        <w:ind w:left="0" w:leftChars="0" w:firstLine="640" w:firstLineChars="200"/>
        <w:contextualSpacing/>
        <w:jc w:val="left"/>
        <w:outlineLvl w:val="1"/>
        <w:rPr>
          <w:rFonts w:hint="eastAsia" w:ascii="黑体" w:hAnsi="黑体" w:eastAsia="黑体" w:cs="黑体"/>
          <w:color w:val="000000"/>
          <w:kern w:val="0"/>
          <w:sz w:val="32"/>
          <w:szCs w:val="32"/>
          <w:shd w:val="clear" w:color="auto" w:fill="FFFFFF"/>
        </w:rPr>
      </w:pPr>
      <w:bookmarkStart w:id="100" w:name="_Toc2347"/>
      <w:r>
        <w:rPr>
          <w:rFonts w:hint="eastAsia" w:ascii="黑体" w:hAnsi="黑体" w:eastAsia="黑体" w:cs="黑体"/>
          <w:color w:val="000000"/>
          <w:kern w:val="0"/>
          <w:sz w:val="32"/>
          <w:szCs w:val="32"/>
          <w:shd w:val="clear" w:color="auto" w:fill="FFFFFF"/>
        </w:rPr>
        <w:t>二、部门资金收支情况</w:t>
      </w:r>
      <w:bookmarkEnd w:id="100"/>
    </w:p>
    <w:p>
      <w:pPr>
        <w:pageBreakBefore w:val="0"/>
        <w:kinsoku/>
        <w:wordWrap/>
        <w:overflowPunct/>
        <w:topLinePunct w:val="0"/>
        <w:bidi w:val="0"/>
        <w:spacing w:line="576" w:lineRule="exact"/>
        <w:ind w:left="0" w:leftChars="0" w:firstLine="642" w:firstLineChars="200"/>
        <w:outlineLvl w:val="2"/>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（一）收入情况</w:t>
      </w:r>
    </w:p>
    <w:p>
      <w:pPr>
        <w:keepNext w:val="0"/>
        <w:keepLines w:val="0"/>
        <w:pageBreakBefore w:val="0"/>
        <w:widowControl/>
        <w:numPr>
          <w:ilvl w:val="0"/>
          <w:numId w:val="0"/>
        </w:numPr>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2024年本年收入合计123.14万元，其中：一般公共预算财政拨款收入123.14万元。</w:t>
      </w:r>
    </w:p>
    <w:p>
      <w:pPr>
        <w:keepNext w:val="0"/>
        <w:keepLines w:val="0"/>
        <w:pageBreakBefore w:val="0"/>
        <w:widowControl/>
        <w:numPr>
          <w:ilvl w:val="0"/>
          <w:numId w:val="0"/>
        </w:numPr>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主要内容及涉及范围：人员经费包括基本工资、津贴补贴、奖金、其他社会保障缴费、退休费生活补助、住房公积金等；日常公用经费包括办公费、差旅费、培训费、公务接待费、劳务费、公务用车运行维护费、其他商品和服务支出等。</w:t>
      </w:r>
    </w:p>
    <w:p>
      <w:pPr>
        <w:keepNext w:val="0"/>
        <w:keepLines w:val="0"/>
        <w:pageBreakBefore w:val="0"/>
        <w:kinsoku/>
        <w:wordWrap/>
        <w:overflowPunct/>
        <w:topLinePunct w:val="0"/>
        <w:autoSpaceDE/>
        <w:autoSpaceDN/>
        <w:bidi w:val="0"/>
        <w:snapToGrid w:val="0"/>
        <w:spacing w:line="576" w:lineRule="exact"/>
        <w:ind w:left="0" w:leftChars="0" w:firstLine="642" w:firstLineChars="200"/>
        <w:textAlignment w:val="auto"/>
        <w:outlineLvl w:val="2"/>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（二）支出情况</w:t>
      </w:r>
    </w:p>
    <w:p>
      <w:pPr>
        <w:keepNext w:val="0"/>
        <w:keepLines w:val="0"/>
        <w:pageBreakBefore w:val="0"/>
        <w:widowControl/>
        <w:numPr>
          <w:ilvl w:val="0"/>
          <w:numId w:val="0"/>
        </w:numPr>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2024年决算报表支出123.14万元，其中：社会保障就业支出106.55万元，卫生健康支出7.19万元，住房保障支出9.40万元。支出决算总额较2023年增加1.93万元，主要原因是：人员工资、保险变动。</w:t>
      </w:r>
    </w:p>
    <w:p>
      <w:pPr>
        <w:keepNext w:val="0"/>
        <w:keepLines w:val="0"/>
        <w:pageBreakBefore w:val="0"/>
        <w:widowControl/>
        <w:numPr>
          <w:ilvl w:val="0"/>
          <w:numId w:val="0"/>
        </w:numPr>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主要内容及涉及范围：人员经费包括基本工资、津贴补贴、奖金、其他社会保障缴费、退休费生活补助、住房公积金等；日常公用经费包括办公费、差旅费、培训费、公务接待费、劳务费、公务用车运行维护费、其他商品和服务支出等。</w:t>
      </w:r>
    </w:p>
    <w:p>
      <w:pPr>
        <w:keepNext w:val="0"/>
        <w:keepLines w:val="0"/>
        <w:pageBreakBefore w:val="0"/>
        <w:kinsoku/>
        <w:wordWrap/>
        <w:overflowPunct/>
        <w:topLinePunct w:val="0"/>
        <w:autoSpaceDE/>
        <w:autoSpaceDN/>
        <w:bidi w:val="0"/>
        <w:snapToGrid w:val="0"/>
        <w:spacing w:line="576" w:lineRule="exact"/>
        <w:ind w:left="0" w:leftChars="0" w:firstLine="642" w:firstLineChars="200"/>
        <w:textAlignment w:val="auto"/>
        <w:outlineLvl w:val="2"/>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en-US" w:eastAsia="zh-CN"/>
        </w:rPr>
        <w:t>（三）</w:t>
      </w:r>
      <w:r>
        <w:rPr>
          <w:rFonts w:hint="eastAsia" w:ascii="楷体_GB2312" w:hAnsi="楷体_GB2312" w:eastAsia="楷体_GB2312" w:cs="楷体_GB2312"/>
          <w:b/>
          <w:bCs/>
          <w:color w:val="000000"/>
          <w:kern w:val="0"/>
          <w:sz w:val="32"/>
          <w:szCs w:val="32"/>
          <w:shd w:val="clear" w:color="auto" w:fill="FFFFFF"/>
          <w:lang w:val="zh-CN" w:eastAsia="zh-CN"/>
        </w:rPr>
        <w:t>结余分配和结转结余情况</w:t>
      </w:r>
    </w:p>
    <w:p>
      <w:pPr>
        <w:keepNext w:val="0"/>
        <w:keepLines w:val="0"/>
        <w:pageBreakBefore w:val="0"/>
        <w:widowControl/>
        <w:numPr>
          <w:ilvl w:val="0"/>
          <w:numId w:val="0"/>
        </w:numPr>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茂县红十字会2024年决算报表结转结余为0万元。</w:t>
      </w:r>
    </w:p>
    <w:p>
      <w:pPr>
        <w:pageBreakBefore w:val="0"/>
        <w:widowControl/>
        <w:kinsoku/>
        <w:wordWrap/>
        <w:overflowPunct/>
        <w:topLinePunct w:val="0"/>
        <w:bidi w:val="0"/>
        <w:adjustRightInd w:val="0"/>
        <w:snapToGrid w:val="0"/>
        <w:spacing w:line="576" w:lineRule="exact"/>
        <w:ind w:left="0" w:leftChars="0" w:firstLine="640" w:firstLineChars="200"/>
        <w:contextualSpacing/>
        <w:jc w:val="left"/>
        <w:outlineLvl w:val="1"/>
        <w:rPr>
          <w:rFonts w:hint="eastAsia" w:ascii="黑体" w:hAnsi="黑体" w:eastAsia="黑体" w:cs="黑体"/>
          <w:color w:val="000000"/>
          <w:kern w:val="0"/>
          <w:sz w:val="32"/>
          <w:szCs w:val="32"/>
          <w:shd w:val="clear" w:color="auto" w:fill="FFFFFF"/>
        </w:rPr>
      </w:pPr>
      <w:bookmarkStart w:id="101" w:name="_Toc11598"/>
      <w:r>
        <w:rPr>
          <w:rFonts w:hint="eastAsia" w:ascii="黑体" w:hAnsi="黑体" w:eastAsia="黑体" w:cs="黑体"/>
          <w:color w:val="000000"/>
          <w:kern w:val="0"/>
          <w:sz w:val="32"/>
          <w:szCs w:val="32"/>
          <w:shd w:val="clear" w:color="auto" w:fill="FFFFFF"/>
        </w:rPr>
        <w:t>三、部门预算绩效分析</w:t>
      </w:r>
      <w:bookmarkEnd w:id="101"/>
    </w:p>
    <w:p>
      <w:pPr>
        <w:keepNext w:val="0"/>
        <w:keepLines w:val="0"/>
        <w:pageBreakBefore w:val="0"/>
        <w:kinsoku/>
        <w:wordWrap/>
        <w:overflowPunct/>
        <w:topLinePunct w:val="0"/>
        <w:autoSpaceDE/>
        <w:autoSpaceDN/>
        <w:bidi w:val="0"/>
        <w:snapToGrid w:val="0"/>
        <w:spacing w:line="576" w:lineRule="exact"/>
        <w:ind w:left="0" w:leftChars="0" w:firstLine="642" w:firstLineChars="200"/>
        <w:textAlignment w:val="auto"/>
        <w:outlineLvl w:val="2"/>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（一）部门预算总体绩效分析</w:t>
      </w:r>
    </w:p>
    <w:p>
      <w:pPr>
        <w:keepNext w:val="0"/>
        <w:keepLines w:val="0"/>
        <w:pageBreakBefore w:val="0"/>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3"/>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rPr>
        <w:t>1.</w:t>
      </w:r>
      <w:r>
        <w:rPr>
          <w:rFonts w:hint="eastAsia" w:ascii="仿宋_GB2312" w:hAnsi="仿宋_GB2312" w:eastAsia="仿宋_GB2312" w:cs="仿宋_GB2312"/>
          <w:b/>
          <w:bCs/>
          <w:color w:val="000000"/>
          <w:kern w:val="0"/>
          <w:sz w:val="32"/>
          <w:szCs w:val="32"/>
          <w:shd w:val="clear" w:color="auto" w:fill="FFFFFF"/>
          <w:lang w:val="zh-CN"/>
        </w:rPr>
        <w:t>履职效能</w:t>
      </w:r>
    </w:p>
    <w:p>
      <w:pPr>
        <w:keepNext w:val="0"/>
        <w:keepLines w:val="0"/>
        <w:pageBreakBefore w:val="0"/>
        <w:widowControl/>
        <w:numPr>
          <w:ilvl w:val="0"/>
          <w:numId w:val="0"/>
        </w:numPr>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本年度我会通过开展人道援助工作，组织应急救护员培训以及应急救护普及培训、宣传防灾避险和卫生健康知识，提升公众的自救互救能力； 参与无偿献血、遗体和人体器官捐献工作，推动造血干细胞捐献，发挥人道主义精神；开展红十字志愿服务、红十字青少年工作，培养青少年的社会责任感和奉献精神。</w:t>
      </w:r>
    </w:p>
    <w:p>
      <w:pPr>
        <w:pageBreakBefore w:val="0"/>
        <w:widowControl/>
        <w:kinsoku/>
        <w:wordWrap/>
        <w:overflowPunct/>
        <w:topLinePunct w:val="0"/>
        <w:bidi w:val="0"/>
        <w:adjustRightInd w:val="0"/>
        <w:snapToGrid w:val="0"/>
        <w:spacing w:line="576" w:lineRule="exact"/>
        <w:ind w:left="0" w:leftChars="0" w:firstLine="642" w:firstLineChars="200"/>
        <w:contextualSpacing/>
        <w:jc w:val="left"/>
        <w:outlineLvl w:val="1"/>
        <w:rPr>
          <w:rFonts w:hint="eastAsia" w:ascii="仿宋_GB2312" w:hAnsi="仿宋_GB2312" w:eastAsia="仿宋_GB2312" w:cs="仿宋_GB2312"/>
          <w:b/>
          <w:bCs/>
          <w:color w:val="000000"/>
          <w:kern w:val="0"/>
          <w:sz w:val="32"/>
          <w:szCs w:val="32"/>
          <w:shd w:val="clear" w:color="auto" w:fill="FFFFFF"/>
          <w:lang w:val="zh-CN"/>
        </w:rPr>
      </w:pPr>
      <w:bookmarkStart w:id="102" w:name="_Toc25120"/>
      <w:r>
        <w:rPr>
          <w:rFonts w:hint="eastAsia" w:ascii="仿宋_GB2312" w:hAnsi="仿宋_GB2312" w:eastAsia="仿宋_GB2312" w:cs="仿宋_GB2312"/>
          <w:b/>
          <w:bCs/>
          <w:color w:val="000000"/>
          <w:kern w:val="0"/>
          <w:sz w:val="32"/>
          <w:szCs w:val="32"/>
          <w:shd w:val="clear" w:color="auto" w:fill="FFFFFF"/>
          <w:lang w:val="en-US" w:eastAsia="zh-CN"/>
        </w:rPr>
        <w:t>2.</w:t>
      </w:r>
      <w:r>
        <w:rPr>
          <w:rFonts w:hint="eastAsia" w:ascii="仿宋_GB2312" w:hAnsi="仿宋_GB2312" w:eastAsia="仿宋_GB2312" w:cs="仿宋_GB2312"/>
          <w:b/>
          <w:bCs/>
          <w:color w:val="000000"/>
          <w:kern w:val="0"/>
          <w:sz w:val="32"/>
          <w:szCs w:val="32"/>
          <w:shd w:val="clear" w:color="auto" w:fill="FFFFFF"/>
          <w:lang w:val="zh-CN"/>
        </w:rPr>
        <w:t>预算管理</w:t>
      </w:r>
      <w:bookmarkEnd w:id="102"/>
    </w:p>
    <w:p>
      <w:pPr>
        <w:keepNext w:val="0"/>
        <w:keepLines w:val="0"/>
        <w:pageBreakBefore w:val="0"/>
        <w:widowControl/>
        <w:numPr>
          <w:ilvl w:val="0"/>
          <w:numId w:val="0"/>
        </w:numPr>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我会根据年度工作计划和目标任务制定预算，确保资金分配合理。实施事前绩效评估，确保预算绩效目标的科学性和合理性。</w:t>
      </w:r>
      <w:r>
        <w:rPr>
          <w:rFonts w:hint="eastAsia" w:ascii="仿宋_GB2312" w:hAnsi="仿宋_GB2312" w:eastAsia="仿宋_GB2312" w:cs="仿宋_GB2312"/>
          <w:b w:val="0"/>
          <w:bCs w:val="0"/>
          <w:color w:val="auto"/>
          <w:kern w:val="2"/>
          <w:sz w:val="32"/>
          <w:szCs w:val="32"/>
          <w:highlight w:val="none"/>
          <w:lang w:val="en-US" w:eastAsia="zh-CN" w:bidi="ar-SA"/>
        </w:rPr>
        <w:br w:type="textWrapping"/>
      </w:r>
      <w:r>
        <w:rPr>
          <w:rFonts w:hint="eastAsia" w:ascii="仿宋_GB2312" w:hAnsi="仿宋_GB2312" w:eastAsia="仿宋_GB2312" w:cs="仿宋_GB2312"/>
          <w:b w:val="0"/>
          <w:bCs w:val="0"/>
          <w:color w:val="auto"/>
          <w:kern w:val="2"/>
          <w:sz w:val="32"/>
          <w:szCs w:val="32"/>
          <w:highlight w:val="none"/>
          <w:lang w:val="en-US" w:eastAsia="zh-CN" w:bidi="ar-SA"/>
        </w:rPr>
        <w:t xml:space="preserve">    进行绩效运行监控，及时调整预算执行，确保资金使用符合预期目标。通过绩效自评，我会能够自我监督预算执行情况，提高预算管理的透明度和规范性</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3"/>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3.</w:t>
      </w:r>
      <w:r>
        <w:rPr>
          <w:rFonts w:hint="eastAsia" w:ascii="仿宋_GB2312" w:hAnsi="仿宋_GB2312" w:eastAsia="仿宋_GB2312" w:cs="仿宋_GB2312"/>
          <w:b/>
          <w:bCs/>
          <w:color w:val="000000"/>
          <w:kern w:val="0"/>
          <w:sz w:val="32"/>
          <w:szCs w:val="32"/>
          <w:shd w:val="clear" w:color="auto" w:fill="FFFFFF"/>
          <w:lang w:val="zh-CN"/>
        </w:rPr>
        <w:t>财务管理</w:t>
      </w:r>
    </w:p>
    <w:p>
      <w:pPr>
        <w:keepNext w:val="0"/>
        <w:keepLines w:val="0"/>
        <w:pageBreakBefore w:val="0"/>
        <w:widowControl/>
        <w:numPr>
          <w:ilvl w:val="0"/>
          <w:numId w:val="0"/>
        </w:numPr>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我单位严格遵循财务管理制度，确保资金安全和合规使用。</w:t>
      </w:r>
      <w:r>
        <w:rPr>
          <w:rFonts w:hint="eastAsia" w:ascii="仿宋_GB2312" w:hAnsi="仿宋_GB2312" w:eastAsia="仿宋_GB2312" w:cs="仿宋_GB2312"/>
          <w:b w:val="0"/>
          <w:bCs w:val="0"/>
          <w:color w:val="auto"/>
          <w:kern w:val="2"/>
          <w:sz w:val="32"/>
          <w:szCs w:val="32"/>
          <w:highlight w:val="none"/>
          <w:lang w:val="en-US" w:eastAsia="zh-CN" w:bidi="ar-SA"/>
        </w:rPr>
        <w:br w:type="textWrapping"/>
      </w:r>
      <w:r>
        <w:rPr>
          <w:rFonts w:hint="eastAsia" w:ascii="仿宋_GB2312" w:hAnsi="仿宋_GB2312" w:eastAsia="仿宋_GB2312" w:cs="仿宋_GB2312"/>
          <w:b w:val="0"/>
          <w:bCs w:val="0"/>
          <w:color w:val="auto"/>
          <w:kern w:val="2"/>
          <w:sz w:val="32"/>
          <w:szCs w:val="32"/>
          <w:highlight w:val="none"/>
          <w:lang w:val="en-US" w:eastAsia="zh-CN" w:bidi="ar-SA"/>
        </w:rPr>
        <w:t xml:space="preserve">    并且定期进行内部审计，确保财务活动的透明和规范，防止财务风险。通过财务管理培训，提升财务人员的专业能力和责任意识，提高财务管理效率。采用现代化财务管理系统，提高数据处理速度和准确性，优化财务决策。</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3"/>
        <w:rPr>
          <w:rFonts w:hint="eastAsia" w:ascii="仿宋_GB2312" w:hAnsi="仿宋_GB2312" w:eastAsia="仿宋_GB2312" w:cs="仿宋_GB2312"/>
          <w:b/>
          <w:bCs/>
          <w:color w:val="000000"/>
          <w:kern w:val="0"/>
          <w:sz w:val="32"/>
          <w:szCs w:val="32"/>
          <w:shd w:val="clear" w:color="auto" w:fill="FFFFFF"/>
          <w:lang w:val="zh-CN" w:eastAsia="zh-CN"/>
        </w:rPr>
      </w:pPr>
      <w:r>
        <w:rPr>
          <w:rFonts w:hint="eastAsia" w:ascii="仿宋_GB2312" w:hAnsi="仿宋_GB2312" w:eastAsia="仿宋_GB2312" w:cs="仿宋_GB2312"/>
          <w:b/>
          <w:bCs/>
          <w:color w:val="000000"/>
          <w:kern w:val="0"/>
          <w:sz w:val="32"/>
          <w:szCs w:val="32"/>
          <w:shd w:val="clear" w:color="auto" w:fill="FFFFFF"/>
          <w:lang w:val="en-US" w:eastAsia="zh-CN"/>
        </w:rPr>
        <w:t>4.</w:t>
      </w:r>
      <w:r>
        <w:rPr>
          <w:rFonts w:hint="eastAsia" w:ascii="仿宋_GB2312" w:hAnsi="仿宋_GB2312" w:eastAsia="仿宋_GB2312" w:cs="仿宋_GB2312"/>
          <w:b/>
          <w:bCs/>
          <w:color w:val="000000"/>
          <w:kern w:val="0"/>
          <w:sz w:val="32"/>
          <w:szCs w:val="32"/>
          <w:shd w:val="clear" w:color="auto" w:fill="FFFFFF"/>
          <w:lang w:val="zh-CN" w:eastAsia="zh-CN"/>
        </w:rPr>
        <w:t>资产管理</w:t>
      </w:r>
    </w:p>
    <w:p>
      <w:pPr>
        <w:pStyle w:val="5"/>
        <w:keepNext w:val="0"/>
        <w:keepLines w:val="0"/>
        <w:pageBreakBefore w:val="0"/>
        <w:kinsoku/>
        <w:wordWrap/>
        <w:overflowPunct/>
        <w:topLinePunct w:val="0"/>
        <w:autoSpaceDE/>
        <w:autoSpaceDN/>
        <w:bidi w:val="0"/>
        <w:adjustRightInd w:val="0"/>
        <w:snapToGrid w:val="0"/>
        <w:spacing w:beforeLines="0" w:line="576" w:lineRule="exact"/>
        <w:ind w:left="0" w:leftChars="0" w:firstLine="672" w:firstLineChars="21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国有资产日常管理情况：按照《茂县行政事业单位国有资产管理暂行办法》要求，严格落实国有资产清查、登记、上报制度，设置固定资产卡片、总账及明细账簿，并定期进行了清查盘点，及时更新国有资产管理信息系统，做到账账相符、账实相符，明确责任并履行好职责。截至2024年12月31日固定资产原值47.79万元，累计折旧38.02万元，净值</w:t>
      </w:r>
      <w:r>
        <w:rPr>
          <w:rFonts w:hint="default" w:ascii="仿宋_GB2312" w:hAnsi="仿宋_GB2312" w:eastAsia="仿宋_GB2312" w:cs="仿宋_GB2312"/>
          <w:b w:val="0"/>
          <w:bCs w:val="0"/>
          <w:color w:val="auto"/>
          <w:kern w:val="2"/>
          <w:sz w:val="32"/>
          <w:szCs w:val="32"/>
          <w:highlight w:val="none"/>
          <w:lang w:val="en-US" w:eastAsia="zh-CN" w:bidi="ar-SA"/>
        </w:rPr>
        <w:t>9</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77</w:t>
      </w:r>
      <w:r>
        <w:rPr>
          <w:rFonts w:hint="eastAsia" w:ascii="仿宋_GB2312" w:hAnsi="仿宋_GB2312" w:eastAsia="仿宋_GB2312" w:cs="仿宋_GB2312"/>
          <w:b w:val="0"/>
          <w:bCs w:val="0"/>
          <w:color w:val="auto"/>
          <w:kern w:val="2"/>
          <w:sz w:val="32"/>
          <w:szCs w:val="32"/>
          <w:highlight w:val="none"/>
          <w:lang w:val="en-US" w:eastAsia="zh-CN" w:bidi="ar-SA"/>
        </w:rPr>
        <w:t xml:space="preserve">万元，无出租出借、对外投资、闲置情况。   </w:t>
      </w:r>
      <w:r>
        <w:rPr>
          <w:rFonts w:hint="eastAsia" w:ascii="仿宋_GB2312" w:hAnsi="仿宋_GB2312" w:eastAsia="仿宋_GB2312" w:cs="仿宋_GB2312"/>
          <w:kern w:val="2"/>
          <w:sz w:val="32"/>
          <w:szCs w:val="32"/>
          <w:lang w:val="en-US" w:eastAsia="zh-CN" w:bidi="ar-SA"/>
        </w:rPr>
        <w:t xml:space="preserve">             </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3"/>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b/>
          <w:bCs/>
          <w:color w:val="000000"/>
          <w:kern w:val="0"/>
          <w:sz w:val="32"/>
          <w:szCs w:val="32"/>
          <w:shd w:val="clear" w:color="auto" w:fill="FFFFFF"/>
          <w:lang w:val="en-US" w:eastAsia="zh-CN"/>
        </w:rPr>
        <w:t>5.</w:t>
      </w:r>
      <w:r>
        <w:rPr>
          <w:rFonts w:hint="eastAsia" w:ascii="仿宋_GB2312" w:hAnsi="仿宋_GB2312" w:eastAsia="仿宋_GB2312" w:cs="仿宋_GB2312"/>
          <w:b/>
          <w:bCs/>
          <w:color w:val="000000"/>
          <w:kern w:val="0"/>
          <w:sz w:val="32"/>
          <w:szCs w:val="32"/>
          <w:shd w:val="clear" w:color="auto" w:fill="FFFFFF"/>
          <w:lang w:val="zh-CN" w:eastAsia="zh-CN"/>
        </w:rPr>
        <w:t>采购管理</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制定明确的采购需求，按照相关规定选择合适的采购方式，确保采购活动的合法性和效率；实施采购合同管理，确保合同的履行和监督，避免合同风险；对采购过程进行透明公开，接受社会监督，提高采购活动的公信力。</w:t>
      </w:r>
    </w:p>
    <w:p>
      <w:pPr>
        <w:keepNext w:val="0"/>
        <w:keepLines w:val="0"/>
        <w:pageBreakBefore w:val="0"/>
        <w:kinsoku/>
        <w:wordWrap/>
        <w:overflowPunct/>
        <w:topLinePunct w:val="0"/>
        <w:autoSpaceDE/>
        <w:autoSpaceDN/>
        <w:bidi w:val="0"/>
        <w:snapToGrid w:val="0"/>
        <w:spacing w:line="576" w:lineRule="exact"/>
        <w:ind w:left="0" w:leftChars="0" w:firstLine="642" w:firstLineChars="200"/>
        <w:textAlignment w:val="auto"/>
        <w:outlineLvl w:val="2"/>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（二）部门预算项目绩效分析</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常年项目绩效分析。该类项目总数</w:t>
      </w:r>
      <w:r>
        <w:rPr>
          <w:rFonts w:hint="eastAsia" w:ascii="仿宋_GB2312" w:hAnsi="仿宋_GB2312" w:eastAsia="仿宋_GB2312" w:cs="仿宋_GB2312"/>
          <w:b w:val="0"/>
          <w:bCs w:val="0"/>
          <w:color w:val="auto"/>
          <w:kern w:val="2"/>
          <w:sz w:val="32"/>
          <w:szCs w:val="32"/>
          <w:highlight w:val="none"/>
          <w:lang w:val="en-US" w:eastAsia="zh-CN" w:bidi="ar-SA"/>
        </w:rPr>
        <w:t>17</w:t>
      </w:r>
      <w:r>
        <w:rPr>
          <w:rFonts w:hint="eastAsia" w:ascii="仿宋_GB2312" w:hAnsi="仿宋_GB2312" w:eastAsia="仿宋_GB2312" w:cs="仿宋_GB2312"/>
          <w:b w:val="0"/>
          <w:bCs w:val="0"/>
          <w:color w:val="auto"/>
          <w:kern w:val="2"/>
          <w:sz w:val="32"/>
          <w:szCs w:val="32"/>
          <w:highlight w:val="none"/>
          <w:lang w:val="zh-CN" w:eastAsia="zh-CN" w:bidi="ar-SA"/>
        </w:rPr>
        <w:t>个，涉及预算总金额</w:t>
      </w:r>
      <w:r>
        <w:rPr>
          <w:rFonts w:hint="default" w:ascii="仿宋_GB2312" w:hAnsi="仿宋_GB2312" w:eastAsia="仿宋_GB2312" w:cs="仿宋_GB2312"/>
          <w:b w:val="0"/>
          <w:bCs w:val="0"/>
          <w:color w:val="auto"/>
          <w:kern w:val="2"/>
          <w:sz w:val="32"/>
          <w:szCs w:val="32"/>
          <w:highlight w:val="none"/>
          <w:lang w:val="en-US" w:eastAsia="zh-CN" w:bidi="ar-SA"/>
        </w:rPr>
        <w:t>123.14</w:t>
      </w:r>
      <w:r>
        <w:rPr>
          <w:rFonts w:hint="eastAsia" w:ascii="仿宋_GB2312" w:hAnsi="仿宋_GB2312" w:eastAsia="仿宋_GB2312" w:cs="仿宋_GB2312"/>
          <w:b w:val="0"/>
          <w:bCs w:val="0"/>
          <w:color w:val="auto"/>
          <w:kern w:val="2"/>
          <w:sz w:val="32"/>
          <w:szCs w:val="32"/>
          <w:highlight w:val="none"/>
          <w:lang w:val="zh-CN" w:eastAsia="zh-CN" w:bidi="ar-SA"/>
        </w:rPr>
        <w:t>万元，1—1</w:t>
      </w:r>
      <w:r>
        <w:rPr>
          <w:rFonts w:hint="eastAsia" w:ascii="仿宋_GB2312" w:hAnsi="仿宋_GB2312" w:eastAsia="仿宋_GB2312" w:cs="仿宋_GB2312"/>
          <w:b w:val="0"/>
          <w:bCs w:val="0"/>
          <w:color w:val="auto"/>
          <w:kern w:val="2"/>
          <w:sz w:val="32"/>
          <w:szCs w:val="32"/>
          <w:highlight w:val="none"/>
          <w:lang w:val="en-US" w:eastAsia="zh-CN" w:bidi="ar-SA"/>
        </w:rPr>
        <w:t>2</w:t>
      </w:r>
      <w:r>
        <w:rPr>
          <w:rFonts w:hint="eastAsia" w:ascii="仿宋_GB2312" w:hAnsi="仿宋_GB2312" w:eastAsia="仿宋_GB2312" w:cs="仿宋_GB2312"/>
          <w:b w:val="0"/>
          <w:bCs w:val="0"/>
          <w:color w:val="auto"/>
          <w:kern w:val="2"/>
          <w:sz w:val="32"/>
          <w:szCs w:val="32"/>
          <w:highlight w:val="none"/>
          <w:lang w:val="zh-CN" w:eastAsia="zh-CN" w:bidi="ar-SA"/>
        </w:rPr>
        <w:t>月预算执行总体进度为</w:t>
      </w:r>
      <w:r>
        <w:rPr>
          <w:rFonts w:hint="eastAsia" w:ascii="仿宋_GB2312" w:hAnsi="仿宋_GB2312" w:eastAsia="仿宋_GB2312" w:cs="仿宋_GB2312"/>
          <w:b w:val="0"/>
          <w:bCs w:val="0"/>
          <w:color w:val="auto"/>
          <w:kern w:val="2"/>
          <w:sz w:val="32"/>
          <w:szCs w:val="32"/>
          <w:highlight w:val="none"/>
          <w:lang w:val="en-US" w:eastAsia="zh-CN" w:bidi="ar-SA"/>
        </w:rPr>
        <w:t>100</w:t>
      </w:r>
      <w:r>
        <w:rPr>
          <w:rFonts w:hint="eastAsia" w:ascii="仿宋_GB2312" w:hAnsi="仿宋_GB2312" w:eastAsia="仿宋_GB2312" w:cs="仿宋_GB2312"/>
          <w:b w:val="0"/>
          <w:bCs w:val="0"/>
          <w:color w:val="auto"/>
          <w:kern w:val="2"/>
          <w:sz w:val="32"/>
          <w:szCs w:val="32"/>
          <w:highlight w:val="none"/>
          <w:lang w:val="zh-CN" w:eastAsia="zh-CN" w:bidi="ar-SA"/>
        </w:rPr>
        <w:t>%，其中：预算结余率大于10%的项目共计</w:t>
      </w:r>
      <w:r>
        <w:rPr>
          <w:rFonts w:hint="eastAsia" w:ascii="仿宋_GB2312" w:hAnsi="仿宋_GB2312" w:eastAsia="仿宋_GB2312" w:cs="仿宋_GB2312"/>
          <w:b w:val="0"/>
          <w:bCs w:val="0"/>
          <w:color w:val="auto"/>
          <w:kern w:val="2"/>
          <w:sz w:val="32"/>
          <w:szCs w:val="32"/>
          <w:highlight w:val="none"/>
          <w:lang w:val="en-US" w:eastAsia="zh-CN" w:bidi="ar-SA"/>
        </w:rPr>
        <w:t>0</w:t>
      </w:r>
      <w:r>
        <w:rPr>
          <w:rFonts w:hint="eastAsia" w:ascii="仿宋_GB2312" w:hAnsi="仿宋_GB2312" w:eastAsia="仿宋_GB2312" w:cs="仿宋_GB2312"/>
          <w:b w:val="0"/>
          <w:bCs w:val="0"/>
          <w:color w:val="auto"/>
          <w:kern w:val="2"/>
          <w:sz w:val="32"/>
          <w:szCs w:val="32"/>
          <w:highlight w:val="none"/>
          <w:lang w:val="zh-CN" w:eastAsia="zh-CN" w:bidi="ar-SA"/>
        </w:rPr>
        <w:t>个。</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阶段（一次性）项目绩效分析。该类项目总数</w:t>
      </w:r>
      <w:r>
        <w:rPr>
          <w:rFonts w:hint="eastAsia" w:ascii="仿宋_GB2312" w:hAnsi="仿宋_GB2312" w:eastAsia="仿宋_GB2312" w:cs="仿宋_GB2312"/>
          <w:b w:val="0"/>
          <w:bCs w:val="0"/>
          <w:color w:val="auto"/>
          <w:kern w:val="2"/>
          <w:sz w:val="32"/>
          <w:szCs w:val="32"/>
          <w:highlight w:val="none"/>
          <w:lang w:val="en-US" w:eastAsia="zh-CN" w:bidi="ar-SA"/>
        </w:rPr>
        <w:t>1</w:t>
      </w:r>
      <w:r>
        <w:rPr>
          <w:rFonts w:hint="eastAsia" w:ascii="仿宋_GB2312" w:hAnsi="仿宋_GB2312" w:eastAsia="仿宋_GB2312" w:cs="仿宋_GB2312"/>
          <w:b w:val="0"/>
          <w:bCs w:val="0"/>
          <w:color w:val="auto"/>
          <w:kern w:val="2"/>
          <w:sz w:val="32"/>
          <w:szCs w:val="32"/>
          <w:highlight w:val="none"/>
          <w:lang w:val="zh-CN" w:eastAsia="zh-CN" w:bidi="ar-SA"/>
        </w:rPr>
        <w:t>个，涉及预算总金额</w:t>
      </w:r>
      <w:r>
        <w:rPr>
          <w:rFonts w:hint="eastAsia" w:ascii="仿宋_GB2312" w:hAnsi="仿宋_GB2312" w:eastAsia="仿宋_GB2312" w:cs="仿宋_GB2312"/>
          <w:b w:val="0"/>
          <w:bCs w:val="0"/>
          <w:color w:val="auto"/>
          <w:kern w:val="2"/>
          <w:sz w:val="32"/>
          <w:szCs w:val="32"/>
          <w:highlight w:val="none"/>
          <w:lang w:val="en-US" w:eastAsia="zh-CN" w:bidi="ar-SA"/>
        </w:rPr>
        <w:t>0.50</w:t>
      </w:r>
      <w:r>
        <w:rPr>
          <w:rFonts w:hint="eastAsia" w:ascii="仿宋_GB2312" w:hAnsi="仿宋_GB2312" w:eastAsia="仿宋_GB2312" w:cs="仿宋_GB2312"/>
          <w:b w:val="0"/>
          <w:bCs w:val="0"/>
          <w:color w:val="auto"/>
          <w:kern w:val="2"/>
          <w:sz w:val="32"/>
          <w:szCs w:val="32"/>
          <w:highlight w:val="none"/>
          <w:lang w:val="zh-CN" w:eastAsia="zh-CN" w:bidi="ar-SA"/>
        </w:rPr>
        <w:t>万元，1—1</w:t>
      </w:r>
      <w:r>
        <w:rPr>
          <w:rFonts w:hint="eastAsia" w:ascii="仿宋_GB2312" w:hAnsi="仿宋_GB2312" w:eastAsia="仿宋_GB2312" w:cs="仿宋_GB2312"/>
          <w:b w:val="0"/>
          <w:bCs w:val="0"/>
          <w:color w:val="auto"/>
          <w:kern w:val="2"/>
          <w:sz w:val="32"/>
          <w:szCs w:val="32"/>
          <w:highlight w:val="none"/>
          <w:lang w:val="en-US" w:eastAsia="zh-CN" w:bidi="ar-SA"/>
        </w:rPr>
        <w:t>2</w:t>
      </w:r>
      <w:r>
        <w:rPr>
          <w:rFonts w:hint="eastAsia" w:ascii="仿宋_GB2312" w:hAnsi="仿宋_GB2312" w:eastAsia="仿宋_GB2312" w:cs="仿宋_GB2312"/>
          <w:b w:val="0"/>
          <w:bCs w:val="0"/>
          <w:color w:val="auto"/>
          <w:kern w:val="2"/>
          <w:sz w:val="32"/>
          <w:szCs w:val="32"/>
          <w:highlight w:val="none"/>
          <w:lang w:val="zh-CN" w:eastAsia="zh-CN" w:bidi="ar-SA"/>
        </w:rPr>
        <w:t>月预算执行总体进度为</w:t>
      </w:r>
      <w:r>
        <w:rPr>
          <w:rFonts w:hint="eastAsia" w:ascii="仿宋_GB2312" w:hAnsi="仿宋_GB2312" w:eastAsia="仿宋_GB2312" w:cs="仿宋_GB2312"/>
          <w:b w:val="0"/>
          <w:bCs w:val="0"/>
          <w:color w:val="auto"/>
          <w:kern w:val="2"/>
          <w:sz w:val="32"/>
          <w:szCs w:val="32"/>
          <w:highlight w:val="none"/>
          <w:lang w:val="en-US" w:eastAsia="zh-CN" w:bidi="ar-SA"/>
        </w:rPr>
        <w:t>100</w:t>
      </w:r>
      <w:r>
        <w:rPr>
          <w:rFonts w:hint="eastAsia" w:ascii="仿宋_GB2312" w:hAnsi="仿宋_GB2312" w:eastAsia="仿宋_GB2312" w:cs="仿宋_GB2312"/>
          <w:b w:val="0"/>
          <w:bCs w:val="0"/>
          <w:color w:val="auto"/>
          <w:kern w:val="2"/>
          <w:sz w:val="32"/>
          <w:szCs w:val="32"/>
          <w:highlight w:val="none"/>
          <w:lang w:val="zh-CN" w:eastAsia="zh-CN" w:bidi="ar-SA"/>
        </w:rPr>
        <w:t>%，其中：预算结余率大于10%的项目共计</w:t>
      </w:r>
      <w:r>
        <w:rPr>
          <w:rFonts w:hint="eastAsia" w:ascii="仿宋_GB2312" w:hAnsi="仿宋_GB2312" w:eastAsia="仿宋_GB2312" w:cs="仿宋_GB2312"/>
          <w:b w:val="0"/>
          <w:bCs w:val="0"/>
          <w:color w:val="auto"/>
          <w:kern w:val="2"/>
          <w:sz w:val="32"/>
          <w:szCs w:val="32"/>
          <w:highlight w:val="none"/>
          <w:lang w:val="en-US" w:eastAsia="zh-CN" w:bidi="ar-SA"/>
        </w:rPr>
        <w:t>0</w:t>
      </w:r>
      <w:r>
        <w:rPr>
          <w:rFonts w:hint="eastAsia" w:ascii="仿宋_GB2312" w:hAnsi="仿宋_GB2312" w:eastAsia="仿宋_GB2312" w:cs="仿宋_GB2312"/>
          <w:b w:val="0"/>
          <w:bCs w:val="0"/>
          <w:color w:val="auto"/>
          <w:kern w:val="2"/>
          <w:sz w:val="32"/>
          <w:szCs w:val="32"/>
          <w:highlight w:val="none"/>
          <w:lang w:val="zh-CN" w:eastAsia="zh-CN" w:bidi="ar-SA"/>
        </w:rPr>
        <w:t>个。</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3"/>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1.</w:t>
      </w:r>
      <w:r>
        <w:rPr>
          <w:rFonts w:hint="eastAsia" w:ascii="仿宋_GB2312" w:hAnsi="仿宋_GB2312" w:eastAsia="仿宋_GB2312" w:cs="仿宋_GB2312"/>
          <w:b/>
          <w:bCs/>
          <w:color w:val="000000"/>
          <w:kern w:val="0"/>
          <w:sz w:val="32"/>
          <w:szCs w:val="32"/>
          <w:shd w:val="clear" w:color="auto" w:fill="FFFFFF"/>
          <w:lang w:val="zh-CN" w:eastAsia="zh-CN"/>
        </w:rPr>
        <w:t>项目决策</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所有项目均经过严格的评审和批准程序，确保决策的透明性和合理性。目标设置方面，我们基于深入研究和实际需求制定，确保目标的实际性和挑战性。项目入库过程严格遵循了政策和程序要求。</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3"/>
        <w:rPr>
          <w:rFonts w:hint="eastAsia" w:ascii="仿宋_GB2312" w:hAnsi="仿宋_GB2312" w:eastAsia="仿宋_GB2312" w:cs="仿宋_GB2312"/>
          <w:b/>
          <w:bCs/>
          <w:color w:val="000000"/>
          <w:kern w:val="0"/>
          <w:sz w:val="32"/>
          <w:szCs w:val="32"/>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rPr>
        <w:t>2.项目执行</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在项目执行方面，我们关注资金执行同向、项目调整的必要性和执行结果的有效性。资金使用严格按照预算计划，优化资金配置，确保资金效益最大化。项目调整均基于实际情况和效果反馈，确保调整的及时性和适宜性。执行结果方面，项目达到预期目标。</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3"/>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3.</w:t>
      </w:r>
      <w:r>
        <w:rPr>
          <w:rFonts w:hint="eastAsia" w:ascii="仿宋_GB2312" w:hAnsi="仿宋_GB2312" w:eastAsia="仿宋_GB2312" w:cs="仿宋_GB2312"/>
          <w:b/>
          <w:bCs/>
          <w:color w:val="000000"/>
          <w:kern w:val="0"/>
          <w:sz w:val="32"/>
          <w:szCs w:val="32"/>
          <w:shd w:val="clear" w:color="auto" w:fill="FFFFFF"/>
          <w:lang w:val="zh-CN" w:eastAsia="zh-CN"/>
        </w:rPr>
        <w:t>目标实现</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项目成功完成了设定目标</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zh-CN" w:eastAsia="zh-CN" w:bidi="ar-SA"/>
        </w:rPr>
        <w:t>项目实施对提升服务效率和质量产生了积极影响。</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经过对项目决策、执行及目标实现的全面绩效分析，我们认识到在项目决策的前瞻性、项目执行的透明度以及目标实现的可持续性方面仍有待提高。未来，我们将继续优化预算编制流程，强化财务管理与监督，提升预算透明度与公众参与度，以进一步提高预算资金的使用效率和项目的综合绩效。</w:t>
      </w:r>
    </w:p>
    <w:p>
      <w:pPr>
        <w:keepNext w:val="0"/>
        <w:keepLines w:val="0"/>
        <w:pageBreakBefore w:val="0"/>
        <w:kinsoku/>
        <w:wordWrap/>
        <w:overflowPunct/>
        <w:topLinePunct w:val="0"/>
        <w:autoSpaceDE/>
        <w:autoSpaceDN/>
        <w:bidi w:val="0"/>
        <w:snapToGrid w:val="0"/>
        <w:spacing w:line="576" w:lineRule="exact"/>
        <w:ind w:left="0" w:leftChars="0" w:firstLine="642" w:firstLineChars="200"/>
        <w:textAlignment w:val="auto"/>
        <w:outlineLvl w:val="2"/>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（三）绩效结果应用情况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红十字会按要求进行信息公开，让公众能够了解红十字会的工作成效和资源使用情况；能够增强公众对其的信任与支持，这对于维持和增加捐款非常重要；还可以鼓励更多的志愿者和捐赠者参与进来，共同推动红十字会的目标实现。</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绩效结果帮助我会识别运行中存在的问题和挑战，如救援效率低下、资金使用不合理等问题；一旦识别出具体问题，我会会制定相应的改进措施，例如优化流程、调整资源配置、加强员工培训等；实施改进措施后，持续跟踪其效果，并再次评估，确保问题得到实际解决；我单位将绩效管理视为一个持续的过程，通过不断的评估和反馈循环来追求卓越和效率的提高。</w:t>
      </w:r>
    </w:p>
    <w:p>
      <w:pPr>
        <w:pageBreakBefore w:val="0"/>
        <w:widowControl/>
        <w:kinsoku/>
        <w:wordWrap/>
        <w:overflowPunct/>
        <w:topLinePunct w:val="0"/>
        <w:bidi w:val="0"/>
        <w:adjustRightInd w:val="0"/>
        <w:snapToGrid w:val="0"/>
        <w:spacing w:line="576" w:lineRule="exact"/>
        <w:ind w:left="0" w:leftChars="0" w:firstLine="640" w:firstLineChars="200"/>
        <w:contextualSpacing/>
        <w:jc w:val="left"/>
        <w:outlineLvl w:val="1"/>
        <w:rPr>
          <w:rFonts w:hint="eastAsia" w:ascii="仿宋_GB2312" w:hAnsi="仿宋_GB2312" w:eastAsia="仿宋_GB2312" w:cs="仿宋_GB2312"/>
          <w:color w:val="000000"/>
          <w:kern w:val="0"/>
          <w:sz w:val="32"/>
          <w:szCs w:val="32"/>
          <w:shd w:val="clear" w:color="auto" w:fill="FFFFFF"/>
        </w:rPr>
      </w:pPr>
      <w:bookmarkStart w:id="103" w:name="_Toc29804"/>
      <w:r>
        <w:rPr>
          <w:rFonts w:hint="eastAsia" w:ascii="黑体" w:hAnsi="黑体" w:eastAsia="黑体" w:cs="黑体"/>
          <w:color w:val="000000"/>
          <w:kern w:val="0"/>
          <w:sz w:val="32"/>
          <w:szCs w:val="32"/>
          <w:shd w:val="clear" w:color="auto" w:fill="FFFFFF"/>
        </w:rPr>
        <w:t>四</w:t>
      </w:r>
      <w:r>
        <w:rPr>
          <w:rFonts w:hint="eastAsia" w:ascii="黑体" w:hAnsi="黑体" w:eastAsia="黑体" w:cs="黑体"/>
          <w:color w:val="000000"/>
          <w:kern w:val="0"/>
          <w:sz w:val="32"/>
          <w:szCs w:val="32"/>
          <w:shd w:val="clear" w:color="auto" w:fill="FFFFFF"/>
          <w:lang w:eastAsia="zh-CN"/>
        </w:rPr>
        <w:t>、</w:t>
      </w:r>
      <w:r>
        <w:rPr>
          <w:rFonts w:hint="eastAsia" w:ascii="黑体" w:hAnsi="黑体" w:eastAsia="黑体" w:cs="黑体"/>
          <w:color w:val="000000"/>
          <w:kern w:val="0"/>
          <w:sz w:val="32"/>
          <w:szCs w:val="32"/>
          <w:shd w:val="clear" w:color="auto" w:fill="FFFFFF"/>
        </w:rPr>
        <w:t>评价结论及建议</w:t>
      </w:r>
      <w:bookmarkEnd w:id="103"/>
    </w:p>
    <w:p>
      <w:pPr>
        <w:keepNext w:val="0"/>
        <w:keepLines w:val="0"/>
        <w:pageBreakBefore w:val="0"/>
        <w:kinsoku/>
        <w:wordWrap/>
        <w:overflowPunct/>
        <w:topLinePunct w:val="0"/>
        <w:autoSpaceDE/>
        <w:autoSpaceDN/>
        <w:bidi w:val="0"/>
        <w:snapToGrid w:val="0"/>
        <w:spacing w:line="576" w:lineRule="exact"/>
        <w:ind w:left="0" w:leftChars="0" w:firstLine="642" w:firstLineChars="200"/>
        <w:textAlignment w:val="auto"/>
        <w:outlineLvl w:val="2"/>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（一）评价结论</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本年，根据我单位年初工作规划，积极履职，强化管理，较好的完成了上年度工作目标。通过加强预算收支管理，不断建立健全内部管理制度，梳理内部管理流程，单位整体支出管理情况得到提升，财务管理规范有序，通过加强预算收支管理，严格执行内控制度，各项目标任务圆满完成。对照《部门预算绩效评价指标体系》的评价项目，通过自评打分，202</w:t>
      </w:r>
      <w:r>
        <w:rPr>
          <w:rFonts w:hint="eastAsia" w:ascii="仿宋_GB2312" w:hAnsi="仿宋_GB2312" w:eastAsia="仿宋_GB2312" w:cs="仿宋_GB2312"/>
          <w:b w:val="0"/>
          <w:bCs w:val="0"/>
          <w:color w:val="auto"/>
          <w:kern w:val="2"/>
          <w:sz w:val="32"/>
          <w:szCs w:val="32"/>
          <w:highlight w:val="none"/>
          <w:lang w:val="en-US" w:eastAsia="zh-CN" w:bidi="ar-SA"/>
        </w:rPr>
        <w:t>4</w:t>
      </w:r>
      <w:r>
        <w:rPr>
          <w:rFonts w:hint="eastAsia" w:ascii="仿宋_GB2312" w:hAnsi="仿宋_GB2312" w:eastAsia="仿宋_GB2312" w:cs="仿宋_GB2312"/>
          <w:b w:val="0"/>
          <w:bCs w:val="0"/>
          <w:color w:val="auto"/>
          <w:kern w:val="2"/>
          <w:sz w:val="32"/>
          <w:szCs w:val="32"/>
          <w:highlight w:val="none"/>
          <w:lang w:val="zh-CN" w:eastAsia="zh-CN" w:bidi="ar-SA"/>
        </w:rPr>
        <w:t>年整体支出绩效评价为良好。</w:t>
      </w:r>
    </w:p>
    <w:p>
      <w:pPr>
        <w:keepNext w:val="0"/>
        <w:keepLines w:val="0"/>
        <w:pageBreakBefore w:val="0"/>
        <w:kinsoku/>
        <w:wordWrap/>
        <w:overflowPunct/>
        <w:topLinePunct w:val="0"/>
        <w:autoSpaceDE/>
        <w:autoSpaceDN/>
        <w:bidi w:val="0"/>
        <w:snapToGrid w:val="0"/>
        <w:spacing w:line="576" w:lineRule="exact"/>
        <w:ind w:left="0" w:leftChars="0" w:firstLine="642" w:firstLineChars="200"/>
        <w:textAlignment w:val="auto"/>
        <w:outlineLvl w:val="2"/>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（二）存在问题</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业务水平有待提升，内部管理制度还需不断健全。</w:t>
      </w:r>
    </w:p>
    <w:p>
      <w:pPr>
        <w:keepNext w:val="0"/>
        <w:keepLines w:val="0"/>
        <w:pageBreakBefore w:val="0"/>
        <w:kinsoku/>
        <w:wordWrap/>
        <w:overflowPunct/>
        <w:topLinePunct w:val="0"/>
        <w:autoSpaceDE/>
        <w:autoSpaceDN/>
        <w:bidi w:val="0"/>
        <w:snapToGrid w:val="0"/>
        <w:spacing w:line="576" w:lineRule="exact"/>
        <w:ind w:left="0" w:leftChars="0" w:firstLine="642" w:firstLineChars="200"/>
        <w:textAlignment w:val="auto"/>
        <w:outlineLvl w:val="2"/>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（三）改进建议</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通过加强预算收支管理，不断建立健全内部管理制度，梳理内部管理流程，提升单位整体支出管理水平。</w:t>
      </w:r>
    </w:p>
    <w:p>
      <w:pPr>
        <w:pStyle w:val="20"/>
        <w:pageBreakBefore w:val="0"/>
        <w:kinsoku/>
        <w:wordWrap/>
        <w:overflowPunct/>
        <w:topLinePunct w:val="0"/>
        <w:bidi w:val="0"/>
        <w:spacing w:before="0" w:after="0" w:line="576" w:lineRule="exact"/>
        <w:ind w:left="0" w:leftChars="0"/>
        <w:outlineLvl w:val="9"/>
        <w:rPr>
          <w:rFonts w:eastAsia="黑体"/>
        </w:rPr>
      </w:pPr>
      <w:r>
        <w:rPr>
          <w:rFonts w:eastAsia="黑体"/>
        </w:rPr>
        <w:br w:type="page"/>
      </w:r>
    </w:p>
    <w:tbl>
      <w:tblPr>
        <w:tblStyle w:val="16"/>
        <w:tblW w:w="10560" w:type="dxa"/>
        <w:jc w:val="center"/>
        <w:tblLayout w:type="fixed"/>
        <w:tblCellMar>
          <w:top w:w="15" w:type="dxa"/>
          <w:left w:w="15" w:type="dxa"/>
          <w:bottom w:w="15" w:type="dxa"/>
          <w:right w:w="15" w:type="dxa"/>
        </w:tblCellMar>
      </w:tblPr>
      <w:tblGrid>
        <w:gridCol w:w="1308"/>
        <w:gridCol w:w="1347"/>
        <w:gridCol w:w="1249"/>
        <w:gridCol w:w="1373"/>
        <w:gridCol w:w="896"/>
        <w:gridCol w:w="1289"/>
        <w:gridCol w:w="1058"/>
        <w:gridCol w:w="926"/>
        <w:gridCol w:w="1114"/>
      </w:tblGrid>
      <w:tr>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4</w:t>
            </w:r>
            <w:r>
              <w:rPr>
                <w:rFonts w:eastAsia="宋体"/>
                <w:color w:val="000000"/>
                <w:kern w:val="0"/>
                <w:sz w:val="28"/>
                <w:szCs w:val="28"/>
                <w:lang w:bidi="ar"/>
              </w:rPr>
              <w:t>年度）</w:t>
            </w:r>
          </w:p>
        </w:tc>
      </w:tr>
      <w:tr>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527" w:hRule="atLeast"/>
          <w:jc w:val="center"/>
        </w:trPr>
        <w:tc>
          <w:tcPr>
            <w:tcW w:w="39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部门名称</w:t>
            </w:r>
          </w:p>
        </w:tc>
        <w:tc>
          <w:tcPr>
            <w:tcW w:w="66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sz w:val="22"/>
                <w:szCs w:val="22"/>
                <w:lang w:eastAsia="zh-CN"/>
              </w:rPr>
            </w:pPr>
            <w:r>
              <w:rPr>
                <w:rFonts w:hint="eastAsia" w:eastAsia="宋体"/>
                <w:color w:val="000000"/>
                <w:kern w:val="0"/>
                <w:sz w:val="22"/>
                <w:szCs w:val="22"/>
                <w:lang w:eastAsia="zh-CN" w:bidi="ar"/>
              </w:rPr>
              <w:t>茂县红十字会</w:t>
            </w:r>
          </w:p>
        </w:tc>
      </w:tr>
      <w:tr>
        <w:tblPrEx>
          <w:tblCellMar>
            <w:top w:w="15" w:type="dxa"/>
            <w:left w:w="15" w:type="dxa"/>
            <w:bottom w:w="15" w:type="dxa"/>
            <w:right w:w="15" w:type="dxa"/>
          </w:tblCellMar>
        </w:tblPrEx>
        <w:trPr>
          <w:trHeight w:val="414"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年度部门整体支出预算</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资金总额</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其他资金</w:t>
            </w:r>
          </w:p>
        </w:tc>
      </w:tr>
      <w:tr>
        <w:tblPrEx>
          <w:tblCellMar>
            <w:top w:w="15" w:type="dxa"/>
            <w:left w:w="15" w:type="dxa"/>
            <w:bottom w:w="15" w:type="dxa"/>
            <w:right w:w="15" w:type="dxa"/>
          </w:tblCellMar>
        </w:tblPrEx>
        <w:trPr>
          <w:trHeight w:val="357"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default" w:eastAsia="宋体"/>
                <w:color w:val="000000"/>
                <w:sz w:val="22"/>
                <w:szCs w:val="22"/>
                <w:lang w:val="en-US" w:eastAsia="zh-CN"/>
              </w:rPr>
            </w:pPr>
            <w:r>
              <w:rPr>
                <w:rFonts w:hint="eastAsia" w:eastAsia="宋体"/>
                <w:color w:val="000000"/>
                <w:kern w:val="0"/>
                <w:sz w:val="22"/>
                <w:szCs w:val="22"/>
                <w:lang w:val="en-US" w:eastAsia="zh-CN" w:bidi="ar"/>
              </w:rPr>
              <w:t>123.14</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default" w:eastAsia="宋体"/>
                <w:color w:val="000000"/>
                <w:sz w:val="22"/>
                <w:szCs w:val="22"/>
                <w:lang w:val="en-US" w:eastAsia="zh-CN"/>
              </w:rPr>
            </w:pPr>
            <w:r>
              <w:rPr>
                <w:rFonts w:hint="eastAsia" w:eastAsia="宋体"/>
                <w:color w:val="000000"/>
                <w:kern w:val="0"/>
                <w:sz w:val="22"/>
                <w:szCs w:val="22"/>
                <w:lang w:val="en-US" w:eastAsia="zh-CN" w:bidi="ar"/>
              </w:rPr>
              <w:t>123.14</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sz w:val="22"/>
                <w:szCs w:val="22"/>
                <w:lang w:eastAsia="zh-CN"/>
              </w:rPr>
            </w:pPr>
            <w:r>
              <w:rPr>
                <w:rFonts w:hint="eastAsia" w:eastAsia="宋体"/>
                <w:color w:val="000000"/>
                <w:kern w:val="0"/>
                <w:sz w:val="22"/>
                <w:szCs w:val="22"/>
                <w:lang w:val="en-US" w:eastAsia="zh-CN" w:bidi="ar"/>
              </w:rPr>
              <w:t>0</w:t>
            </w: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kern w:val="0"/>
                <w:sz w:val="22"/>
                <w:szCs w:val="22"/>
                <w:lang w:bidi="ar"/>
              </w:rPr>
            </w:pPr>
            <w:r>
              <w:rPr>
                <w:rFonts w:eastAsia="宋体"/>
                <w:color w:val="000000"/>
                <w:kern w:val="0"/>
                <w:sz w:val="22"/>
                <w:szCs w:val="22"/>
                <w:lang w:bidi="ar"/>
              </w:rPr>
              <w:t>年度总体</w:t>
            </w:r>
          </w:p>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firstLine="220" w:firstLineChars="100"/>
              <w:jc w:val="left"/>
              <w:textAlignment w:val="center"/>
              <w:rPr>
                <w:rFonts w:hint="eastAsia" w:eastAsia="宋体"/>
                <w:color w:val="000000"/>
                <w:sz w:val="22"/>
                <w:szCs w:val="22"/>
                <w:lang w:eastAsia="zh-CN"/>
              </w:rPr>
            </w:pPr>
            <w:r>
              <w:rPr>
                <w:rFonts w:hint="eastAsia" w:eastAsia="宋体"/>
                <w:color w:val="000000"/>
                <w:kern w:val="0"/>
                <w:sz w:val="22"/>
                <w:szCs w:val="22"/>
                <w:lang w:bidi="ar"/>
              </w:rPr>
              <w:t>负责有关会议组织、募捐款物管理、文秘事务等;负责定制救灾预案，开展人道救助救护和防病知识宣传</w:t>
            </w:r>
            <w:r>
              <w:rPr>
                <w:rFonts w:hint="eastAsia" w:eastAsia="宋体"/>
                <w:color w:val="000000"/>
                <w:kern w:val="0"/>
                <w:sz w:val="22"/>
                <w:szCs w:val="22"/>
                <w:lang w:eastAsia="zh-CN" w:bidi="ar"/>
              </w:rPr>
              <w:t>等</w:t>
            </w:r>
          </w:p>
        </w:tc>
      </w:tr>
      <w:tr>
        <w:trPr>
          <w:trHeight w:val="445"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kern w:val="0"/>
                <w:sz w:val="22"/>
                <w:szCs w:val="22"/>
                <w:lang w:bidi="ar"/>
              </w:rPr>
            </w:pPr>
            <w:r>
              <w:rPr>
                <w:rFonts w:eastAsia="宋体"/>
                <w:color w:val="000000"/>
                <w:kern w:val="0"/>
                <w:sz w:val="22"/>
                <w:szCs w:val="22"/>
                <w:lang w:bidi="ar"/>
              </w:rPr>
              <w:t>年度主要</w:t>
            </w:r>
          </w:p>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任务</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任务名称</w:t>
            </w:r>
          </w:p>
        </w:tc>
        <w:tc>
          <w:tcPr>
            <w:tcW w:w="66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主要内容</w:t>
            </w:r>
          </w:p>
        </w:tc>
      </w:tr>
      <w:tr>
        <w:tblPrEx>
          <w:tblCellMar>
            <w:top w:w="15" w:type="dxa"/>
            <w:left w:w="15" w:type="dxa"/>
            <w:bottom w:w="15" w:type="dxa"/>
            <w:right w:w="15" w:type="dxa"/>
          </w:tblCellMar>
        </w:tblPrEx>
        <w:trPr>
          <w:trHeight w:val="920"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firstLine="220" w:firstLineChars="100"/>
              <w:jc w:val="left"/>
              <w:textAlignment w:val="center"/>
              <w:rPr>
                <w:rFonts w:eastAsia="宋体"/>
                <w:color w:val="000000"/>
                <w:sz w:val="22"/>
                <w:szCs w:val="22"/>
              </w:rPr>
            </w:pPr>
            <w:r>
              <w:rPr>
                <w:rFonts w:hint="eastAsia" w:eastAsia="宋体"/>
                <w:color w:val="000000"/>
                <w:kern w:val="0"/>
                <w:sz w:val="22"/>
                <w:szCs w:val="22"/>
                <w:lang w:bidi="ar"/>
              </w:rPr>
              <w:t>加强红十字组织宣传工作</w:t>
            </w:r>
          </w:p>
        </w:tc>
        <w:tc>
          <w:tcPr>
            <w:tcW w:w="66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firstLine="220" w:firstLineChars="100"/>
              <w:jc w:val="left"/>
              <w:textAlignment w:val="center"/>
              <w:rPr>
                <w:rFonts w:eastAsia="宋体"/>
                <w:color w:val="000000"/>
                <w:sz w:val="22"/>
                <w:szCs w:val="22"/>
              </w:rPr>
            </w:pPr>
            <w:r>
              <w:rPr>
                <w:rFonts w:hint="eastAsia" w:asciiTheme="minorEastAsia" w:hAnsiTheme="minorEastAsia" w:eastAsiaTheme="minorEastAsia" w:cstheme="minorEastAsia"/>
                <w:sz w:val="22"/>
                <w:szCs w:val="22"/>
              </w:rPr>
              <w:t>组织实施红十字基层组织建设4个，志愿服务队建设4个</w:t>
            </w:r>
          </w:p>
        </w:tc>
      </w:tr>
      <w:tr>
        <w:tblPrEx>
          <w:tblCellMar>
            <w:top w:w="15" w:type="dxa"/>
            <w:left w:w="15" w:type="dxa"/>
            <w:bottom w:w="15" w:type="dxa"/>
            <w:right w:w="15" w:type="dxa"/>
          </w:tblCellMar>
        </w:tblPrEx>
        <w:trPr>
          <w:trHeight w:val="958"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firstLine="220" w:firstLineChars="100"/>
              <w:jc w:val="left"/>
              <w:rPr>
                <w:rFonts w:eastAsia="宋体"/>
                <w:color w:val="000000"/>
                <w:sz w:val="22"/>
                <w:szCs w:val="22"/>
              </w:rPr>
            </w:pPr>
            <w:r>
              <w:rPr>
                <w:rFonts w:hint="eastAsia" w:eastAsia="宋体"/>
                <w:color w:val="000000"/>
                <w:sz w:val="22"/>
                <w:szCs w:val="22"/>
              </w:rPr>
              <w:t>做好“三救三献”、应急救援救助工作</w:t>
            </w:r>
          </w:p>
        </w:tc>
        <w:tc>
          <w:tcPr>
            <w:tcW w:w="66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firstLine="220" w:firstLineChars="100"/>
              <w:jc w:val="left"/>
              <w:rPr>
                <w:rFonts w:eastAsia="宋体"/>
                <w:color w:val="000000"/>
                <w:sz w:val="22"/>
                <w:szCs w:val="22"/>
              </w:rPr>
            </w:pPr>
            <w:r>
              <w:rPr>
                <w:rFonts w:hint="eastAsia" w:eastAsia="宋体"/>
                <w:color w:val="000000"/>
                <w:sz w:val="22"/>
                <w:szCs w:val="22"/>
              </w:rPr>
              <w:t>宣传献血、遗体捐献、造血干细胞捐献工作，开展博爱送万家工作</w:t>
            </w:r>
          </w:p>
        </w:tc>
      </w:tr>
      <w:tr>
        <w:tblPrEx>
          <w:tblCellMar>
            <w:top w:w="15" w:type="dxa"/>
            <w:left w:w="15" w:type="dxa"/>
            <w:bottom w:w="15" w:type="dxa"/>
            <w:right w:w="15" w:type="dxa"/>
          </w:tblCellMar>
        </w:tblPrEx>
        <w:trPr>
          <w:trHeight w:val="976"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firstLine="220" w:firstLineChars="100"/>
              <w:jc w:val="left"/>
              <w:rPr>
                <w:rFonts w:eastAsia="宋体"/>
                <w:color w:val="000000"/>
                <w:sz w:val="22"/>
                <w:szCs w:val="22"/>
              </w:rPr>
            </w:pPr>
            <w:r>
              <w:rPr>
                <w:rFonts w:hint="eastAsia" w:eastAsia="宋体"/>
                <w:color w:val="000000"/>
                <w:sz w:val="22"/>
                <w:szCs w:val="22"/>
              </w:rPr>
              <w:t>做好应急救护培训工作</w:t>
            </w:r>
          </w:p>
        </w:tc>
        <w:tc>
          <w:tcPr>
            <w:tcW w:w="66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firstLine="220" w:firstLineChars="100"/>
              <w:jc w:val="left"/>
              <w:rPr>
                <w:rFonts w:eastAsia="宋体"/>
                <w:color w:val="000000"/>
                <w:sz w:val="22"/>
                <w:szCs w:val="22"/>
              </w:rPr>
            </w:pPr>
            <w:r>
              <w:rPr>
                <w:rFonts w:hint="eastAsia" w:eastAsia="宋体"/>
                <w:color w:val="000000"/>
                <w:sz w:val="22"/>
                <w:szCs w:val="22"/>
              </w:rPr>
              <w:t>完成持证救护员培训2</w:t>
            </w:r>
            <w:r>
              <w:rPr>
                <w:rFonts w:hint="eastAsia" w:eastAsia="宋体"/>
                <w:color w:val="000000"/>
                <w:sz w:val="22"/>
                <w:szCs w:val="22"/>
                <w:lang w:val="en-US" w:eastAsia="zh-CN"/>
              </w:rPr>
              <w:t>8</w:t>
            </w:r>
            <w:r>
              <w:rPr>
                <w:rFonts w:hint="eastAsia" w:eastAsia="宋体"/>
                <w:color w:val="000000"/>
                <w:sz w:val="22"/>
                <w:szCs w:val="22"/>
              </w:rPr>
              <w:t>0余人，完成应急救护普及培训2000余人，完成“</w:t>
            </w:r>
            <w:r>
              <w:rPr>
                <w:rFonts w:hint="eastAsia" w:eastAsia="宋体"/>
                <w:color w:val="000000"/>
                <w:sz w:val="22"/>
                <w:szCs w:val="22"/>
                <w:lang w:eastAsia="zh-CN"/>
              </w:rPr>
              <w:t>五</w:t>
            </w:r>
            <w:r>
              <w:rPr>
                <w:rFonts w:hint="eastAsia" w:eastAsia="宋体"/>
                <w:color w:val="000000"/>
                <w:sz w:val="22"/>
                <w:szCs w:val="22"/>
              </w:rPr>
              <w:t>进”培训及及宣传2500余人</w:t>
            </w:r>
          </w:p>
        </w:tc>
      </w:tr>
      <w:tr>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kern w:val="0"/>
                <w:sz w:val="22"/>
                <w:szCs w:val="22"/>
                <w:lang w:bidi="ar"/>
              </w:rPr>
            </w:pPr>
            <w:r>
              <w:rPr>
                <w:rFonts w:eastAsia="宋体"/>
                <w:color w:val="000000"/>
                <w:kern w:val="0"/>
                <w:sz w:val="22"/>
                <w:szCs w:val="22"/>
                <w:lang w:bidi="ar"/>
              </w:rPr>
              <w:t>年度绩效</w:t>
            </w:r>
          </w:p>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一级指标</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二级指标</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三级指标</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kern w:val="0"/>
                <w:sz w:val="22"/>
                <w:szCs w:val="22"/>
                <w:lang w:bidi="ar"/>
              </w:rPr>
            </w:pPr>
            <w:r>
              <w:rPr>
                <w:rFonts w:eastAsia="宋体"/>
                <w:color w:val="000000"/>
                <w:kern w:val="0"/>
                <w:sz w:val="22"/>
                <w:szCs w:val="22"/>
                <w:lang w:bidi="ar"/>
              </w:rPr>
              <w:t>绩效指标</w:t>
            </w:r>
          </w:p>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kern w:val="0"/>
                <w:sz w:val="22"/>
                <w:szCs w:val="22"/>
                <w:lang w:bidi="ar"/>
              </w:rPr>
            </w:pPr>
            <w:r>
              <w:rPr>
                <w:rFonts w:eastAsia="宋体"/>
                <w:color w:val="000000"/>
                <w:kern w:val="0"/>
                <w:sz w:val="22"/>
                <w:szCs w:val="22"/>
                <w:lang w:bidi="ar"/>
              </w:rPr>
              <w:t>实际完成</w:t>
            </w:r>
          </w:p>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指标值</w:t>
            </w:r>
          </w:p>
        </w:tc>
      </w:tr>
      <w:tr>
        <w:tblPrEx>
          <w:tblCellMar>
            <w:top w:w="15" w:type="dxa"/>
            <w:left w:w="15" w:type="dxa"/>
            <w:bottom w:w="15" w:type="dxa"/>
            <w:right w:w="15" w:type="dxa"/>
          </w:tblCellMar>
        </w:tblPrEx>
        <w:trPr>
          <w:trHeight w:val="450"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产出指标</w:t>
            </w:r>
          </w:p>
        </w:tc>
        <w:tc>
          <w:tcPr>
            <w:tcW w:w="1249" w:type="dxa"/>
            <w:vMerge w:val="restart"/>
            <w:tcBorders>
              <w:top w:val="single" w:color="000000" w:sz="4" w:space="0"/>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kern w:val="0"/>
                <w:sz w:val="22"/>
                <w:szCs w:val="22"/>
                <w:lang w:bidi="ar"/>
              </w:rPr>
            </w:pPr>
            <w:r>
              <w:rPr>
                <w:rFonts w:eastAsia="宋体"/>
                <w:color w:val="000000"/>
                <w:kern w:val="0"/>
                <w:sz w:val="22"/>
                <w:szCs w:val="22"/>
                <w:lang w:bidi="ar"/>
              </w:rPr>
              <w:t>数量指标</w:t>
            </w:r>
          </w:p>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hint="eastAsia" w:eastAsia="宋体"/>
                <w:color w:val="000000"/>
                <w:kern w:val="0"/>
                <w:sz w:val="22"/>
                <w:szCs w:val="22"/>
                <w:lang w:bidi="ar"/>
              </w:rPr>
              <w:t>救护员培训</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hint="eastAsia" w:eastAsia="宋体"/>
                <w:color w:val="000000"/>
                <w:kern w:val="0"/>
                <w:sz w:val="22"/>
                <w:szCs w:val="22"/>
                <w:lang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default" w:eastAsia="宋体"/>
                <w:color w:val="000000"/>
                <w:sz w:val="22"/>
                <w:szCs w:val="22"/>
                <w:lang w:val="en-US" w:eastAsia="zh-CN"/>
              </w:rPr>
            </w:pPr>
            <w:r>
              <w:rPr>
                <w:rFonts w:hint="eastAsia" w:eastAsia="宋体"/>
                <w:color w:val="000000"/>
                <w:kern w:val="0"/>
                <w:sz w:val="22"/>
                <w:szCs w:val="22"/>
                <w:lang w:val="en-US" w:eastAsia="zh-CN" w:bidi="ar"/>
              </w:rPr>
              <w:t>280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hint="eastAsia" w:eastAsia="宋体"/>
                <w:color w:val="000000"/>
                <w:kern w:val="0"/>
                <w:sz w:val="22"/>
                <w:szCs w:val="22"/>
                <w:lang w:bidi="ar"/>
              </w:rPr>
              <w:t>人数</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hint="eastAsia" w:eastAsia="宋体"/>
                <w:color w:val="000000"/>
                <w:kern w:val="0"/>
                <w:sz w:val="22"/>
                <w:szCs w:val="22"/>
                <w:lang w:val="en-US" w:eastAsia="zh-CN" w:bidi="ar"/>
              </w:rPr>
              <w:t>15</w:t>
            </w:r>
            <w:r>
              <w:rPr>
                <w:rFonts w:eastAsia="宋体"/>
                <w:color w:val="000000"/>
                <w:kern w:val="0"/>
                <w:sz w:val="22"/>
                <w:szCs w:val="22"/>
                <w:lang w:bidi="ar"/>
              </w:rPr>
              <w:t>%</w:t>
            </w:r>
          </w:p>
        </w:tc>
        <w:tc>
          <w:tcPr>
            <w:tcW w:w="1114" w:type="dxa"/>
            <w:tcBorders>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default" w:eastAsia="宋体"/>
                <w:color w:val="000000"/>
                <w:sz w:val="22"/>
                <w:szCs w:val="22"/>
                <w:lang w:val="en-US" w:eastAsia="zh-CN"/>
              </w:rPr>
            </w:pPr>
            <w:r>
              <w:rPr>
                <w:rFonts w:hint="eastAsia" w:eastAsia="宋体"/>
                <w:color w:val="000000"/>
                <w:kern w:val="0"/>
                <w:sz w:val="22"/>
                <w:szCs w:val="22"/>
                <w:lang w:val="en-US" w:eastAsia="zh-CN" w:bidi="ar"/>
              </w:rPr>
              <w:t>100</w:t>
            </w:r>
            <w:r>
              <w:rPr>
                <w:rFonts w:eastAsia="宋体"/>
                <w:color w:val="000000"/>
                <w:kern w:val="0"/>
                <w:sz w:val="22"/>
                <w:szCs w:val="22"/>
                <w:lang w:bidi="ar"/>
              </w:rPr>
              <w:t>%</w:t>
            </w:r>
          </w:p>
        </w:tc>
      </w:tr>
      <w:tr>
        <w:tblPrEx>
          <w:tblCellMar>
            <w:top w:w="15" w:type="dxa"/>
            <w:left w:w="15" w:type="dxa"/>
            <w:bottom w:w="15" w:type="dxa"/>
            <w:right w:w="15" w:type="dxa"/>
          </w:tblCellMar>
        </w:tblPrEx>
        <w:trPr>
          <w:trHeight w:val="90"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1249" w:type="dxa"/>
            <w:vMerge w:val="continue"/>
            <w:tcBorders>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应急救护“五进”培训</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default" w:eastAsia="宋体"/>
                <w:color w:val="000000"/>
                <w:sz w:val="22"/>
                <w:szCs w:val="22"/>
                <w:lang w:val="en-US" w:eastAsia="zh-CN"/>
              </w:rPr>
            </w:pPr>
            <w:r>
              <w:rPr>
                <w:rFonts w:hint="eastAsia" w:eastAsia="宋体"/>
                <w:color w:val="000000"/>
                <w:sz w:val="22"/>
                <w:szCs w:val="22"/>
                <w:lang w:val="en-US" w:eastAsia="zh-CN"/>
              </w:rPr>
              <w:t>2500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人数</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kern w:val="0"/>
                <w:sz w:val="22"/>
                <w:szCs w:val="22"/>
                <w:lang w:val="en-US" w:eastAsia="zh-CN" w:bidi="ar"/>
              </w:rPr>
              <w:t>15</w:t>
            </w:r>
            <w:r>
              <w:rPr>
                <w:rFonts w:eastAsia="宋体"/>
                <w:color w:val="000000"/>
                <w:kern w:val="0"/>
                <w:sz w:val="22"/>
                <w:szCs w:val="22"/>
                <w:lang w:bidi="ar"/>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kern w:val="0"/>
                <w:sz w:val="22"/>
                <w:szCs w:val="22"/>
                <w:lang w:val="en-US" w:eastAsia="zh-CN" w:bidi="ar"/>
              </w:rPr>
              <w:t>100</w:t>
            </w:r>
            <w:r>
              <w:rPr>
                <w:rFonts w:eastAsia="宋体"/>
                <w:color w:val="000000"/>
                <w:kern w:val="0"/>
                <w:sz w:val="22"/>
                <w:szCs w:val="22"/>
                <w:lang w:bidi="ar"/>
              </w:rPr>
              <w:t>%</w:t>
            </w:r>
          </w:p>
        </w:tc>
      </w:tr>
      <w:tr>
        <w:tblPrEx>
          <w:tblCellMar>
            <w:top w:w="15" w:type="dxa"/>
            <w:left w:w="15" w:type="dxa"/>
            <w:bottom w:w="15" w:type="dxa"/>
            <w:right w:w="15" w:type="dxa"/>
          </w:tblCellMar>
        </w:tblPrEx>
        <w:trPr>
          <w:trHeight w:val="991"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1249" w:type="dxa"/>
            <w:vMerge w:val="continue"/>
            <w:tcBorders>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应急救护普及培训</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default" w:eastAsia="宋体"/>
                <w:color w:val="000000"/>
                <w:sz w:val="22"/>
                <w:szCs w:val="22"/>
                <w:lang w:val="en-US" w:eastAsia="zh-CN"/>
              </w:rPr>
            </w:pPr>
            <w:r>
              <w:rPr>
                <w:rFonts w:hint="eastAsia" w:eastAsia="宋体"/>
                <w:color w:val="000000"/>
                <w:sz w:val="22"/>
                <w:szCs w:val="22"/>
                <w:lang w:val="en-US" w:eastAsia="zh-CN"/>
              </w:rPr>
              <w:t>2000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人数</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kern w:val="0"/>
                <w:sz w:val="22"/>
                <w:szCs w:val="22"/>
                <w:lang w:val="en-US" w:eastAsia="zh-CN" w:bidi="ar"/>
              </w:rPr>
              <w:t>15</w:t>
            </w:r>
            <w:r>
              <w:rPr>
                <w:rFonts w:eastAsia="宋体"/>
                <w:color w:val="000000"/>
                <w:kern w:val="0"/>
                <w:sz w:val="22"/>
                <w:szCs w:val="22"/>
                <w:lang w:bidi="ar"/>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kern w:val="0"/>
                <w:sz w:val="22"/>
                <w:szCs w:val="22"/>
                <w:lang w:val="en-US" w:eastAsia="zh-CN" w:bidi="ar"/>
              </w:rPr>
              <w:t>100</w:t>
            </w:r>
            <w:r>
              <w:rPr>
                <w:rFonts w:eastAsia="宋体"/>
                <w:color w:val="000000"/>
                <w:kern w:val="0"/>
                <w:sz w:val="22"/>
                <w:szCs w:val="22"/>
                <w:lang w:bidi="ar"/>
              </w:rPr>
              <w:t>%</w:t>
            </w:r>
          </w:p>
        </w:tc>
      </w:tr>
      <w:tr>
        <w:trPr>
          <w:trHeight w:val="585"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效益指标</w:t>
            </w:r>
          </w:p>
        </w:tc>
        <w:tc>
          <w:tcPr>
            <w:tcW w:w="1249" w:type="dxa"/>
            <w:vMerge w:val="restart"/>
            <w:tcBorders>
              <w:top w:val="single" w:color="000000" w:sz="4" w:space="0"/>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kern w:val="0"/>
                <w:sz w:val="22"/>
                <w:szCs w:val="22"/>
                <w:lang w:bidi="ar"/>
              </w:rPr>
            </w:pPr>
          </w:p>
          <w:p>
            <w:pPr>
              <w:pageBreakBefore w:val="0"/>
              <w:widowControl/>
              <w:kinsoku/>
              <w:wordWrap/>
              <w:overflowPunct/>
              <w:topLinePunct w:val="0"/>
              <w:bidi w:val="0"/>
              <w:spacing w:line="576" w:lineRule="exact"/>
              <w:ind w:left="0" w:leftChars="0"/>
              <w:jc w:val="center"/>
              <w:textAlignment w:val="center"/>
              <w:rPr>
                <w:rFonts w:eastAsia="宋体"/>
                <w:color w:val="000000"/>
                <w:kern w:val="0"/>
                <w:sz w:val="22"/>
                <w:szCs w:val="22"/>
                <w:lang w:bidi="ar"/>
              </w:rPr>
            </w:pPr>
            <w:r>
              <w:rPr>
                <w:rFonts w:eastAsia="宋体"/>
                <w:color w:val="000000"/>
                <w:kern w:val="0"/>
                <w:sz w:val="22"/>
                <w:szCs w:val="22"/>
                <w:lang w:bidi="ar"/>
              </w:rPr>
              <w:t>社会效益</w:t>
            </w:r>
          </w:p>
          <w:p>
            <w:pPr>
              <w:pageBreakBefore w:val="0"/>
              <w:widowControl/>
              <w:kinsoku/>
              <w:wordWrap/>
              <w:overflowPunct/>
              <w:topLinePunct w:val="0"/>
              <w:bidi w:val="0"/>
              <w:spacing w:line="576" w:lineRule="exact"/>
              <w:ind w:left="0" w:leftChars="0"/>
              <w:jc w:val="center"/>
              <w:textAlignment w:val="center"/>
              <w:rPr>
                <w:rFonts w:eastAsia="宋体"/>
                <w:color w:val="000000"/>
                <w:kern w:val="0"/>
                <w:sz w:val="22"/>
                <w:szCs w:val="22"/>
                <w:lang w:bidi="ar"/>
              </w:rPr>
            </w:pPr>
            <w:r>
              <w:rPr>
                <w:rFonts w:eastAsia="宋体"/>
                <w:color w:val="000000"/>
                <w:kern w:val="0"/>
                <w:sz w:val="22"/>
                <w:szCs w:val="22"/>
                <w:lang w:bidi="ar"/>
              </w:rPr>
              <w:t>指标</w:t>
            </w:r>
          </w:p>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开展红十字对外宣传，提升红十字形象</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eastAsia" w:eastAsia="宋体"/>
                <w:color w:val="000000"/>
                <w:sz w:val="22"/>
                <w:szCs w:val="22"/>
                <w:lang w:eastAsia="zh-CN"/>
              </w:rPr>
            </w:pPr>
            <w:r>
              <w:rPr>
                <w:rFonts w:hint="eastAsia" w:eastAsia="宋体"/>
                <w:color w:val="000000"/>
                <w:sz w:val="22"/>
                <w:szCs w:val="22"/>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优良中低差</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eastAsia" w:eastAsia="宋体"/>
                <w:color w:val="000000"/>
                <w:sz w:val="22"/>
                <w:szCs w:val="22"/>
                <w:lang w:eastAsia="zh-CN"/>
              </w:rPr>
            </w:pPr>
            <w:r>
              <w:rPr>
                <w:rFonts w:hint="eastAsia" w:eastAsia="宋体"/>
                <w:color w:val="000000"/>
                <w:sz w:val="22"/>
                <w:szCs w:val="22"/>
                <w:lang w:eastAsia="zh-CN"/>
              </w:rPr>
              <w:t>分</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default" w:eastAsia="宋体"/>
                <w:color w:val="000000"/>
                <w:sz w:val="22"/>
                <w:szCs w:val="22"/>
                <w:lang w:val="en-US" w:eastAsia="zh-CN"/>
              </w:rPr>
            </w:pPr>
            <w:r>
              <w:rPr>
                <w:rFonts w:hint="eastAsia" w:eastAsia="宋体"/>
                <w:color w:val="000000"/>
                <w:sz w:val="22"/>
                <w:szCs w:val="22"/>
                <w:lang w:val="en-US" w:eastAsia="zh-CN"/>
              </w:rPr>
              <w:t>15</w:t>
            </w:r>
            <w:r>
              <w:rPr>
                <w:rFonts w:eastAsia="宋体"/>
                <w:color w:val="000000"/>
                <w:kern w:val="0"/>
                <w:sz w:val="22"/>
                <w:szCs w:val="22"/>
                <w:lang w:bidi="ar"/>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kern w:val="0"/>
                <w:sz w:val="22"/>
                <w:szCs w:val="22"/>
                <w:lang w:val="en-US" w:eastAsia="zh-CN" w:bidi="ar"/>
              </w:rPr>
              <w:t>100</w:t>
            </w:r>
            <w:r>
              <w:rPr>
                <w:rFonts w:eastAsia="宋体"/>
                <w:color w:val="000000"/>
                <w:kern w:val="0"/>
                <w:sz w:val="22"/>
                <w:szCs w:val="22"/>
                <w:lang w:bidi="ar"/>
              </w:rPr>
              <w:t>%</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1249" w:type="dxa"/>
            <w:vMerge w:val="continue"/>
            <w:tcBorders>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推动应急救护知识普及，提升大众避灾救险知识</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eastAsia" w:eastAsia="宋体"/>
                <w:color w:val="000000"/>
                <w:sz w:val="22"/>
                <w:szCs w:val="22"/>
                <w:lang w:eastAsia="zh-CN"/>
              </w:rPr>
            </w:pPr>
            <w:r>
              <w:rPr>
                <w:rFonts w:hint="eastAsia" w:eastAsia="宋体"/>
                <w:color w:val="000000"/>
                <w:sz w:val="22"/>
                <w:szCs w:val="22"/>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优良中低差</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eastAsia" w:eastAsia="宋体"/>
                <w:color w:val="000000"/>
                <w:sz w:val="22"/>
                <w:szCs w:val="22"/>
                <w:lang w:eastAsia="zh-CN"/>
              </w:rPr>
            </w:pPr>
            <w:r>
              <w:rPr>
                <w:rFonts w:hint="eastAsia" w:eastAsia="宋体"/>
                <w:color w:val="000000"/>
                <w:sz w:val="22"/>
                <w:szCs w:val="22"/>
                <w:lang w:eastAsia="zh-CN"/>
              </w:rPr>
              <w:t>分</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default" w:eastAsia="宋体"/>
                <w:color w:val="000000"/>
                <w:sz w:val="22"/>
                <w:szCs w:val="22"/>
                <w:lang w:val="en-US" w:eastAsia="zh-CN"/>
              </w:rPr>
            </w:pPr>
            <w:r>
              <w:rPr>
                <w:rFonts w:hint="eastAsia" w:eastAsia="宋体"/>
                <w:color w:val="000000"/>
                <w:sz w:val="22"/>
                <w:szCs w:val="22"/>
                <w:lang w:val="en-US" w:eastAsia="zh-CN"/>
              </w:rPr>
              <w:t>15</w:t>
            </w:r>
            <w:r>
              <w:rPr>
                <w:rFonts w:eastAsia="宋体"/>
                <w:color w:val="000000"/>
                <w:kern w:val="0"/>
                <w:sz w:val="22"/>
                <w:szCs w:val="22"/>
                <w:lang w:bidi="ar"/>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kern w:val="0"/>
                <w:sz w:val="22"/>
                <w:szCs w:val="22"/>
                <w:lang w:val="en-US" w:eastAsia="zh-CN" w:bidi="ar"/>
              </w:rPr>
              <w:t>100</w:t>
            </w:r>
            <w:r>
              <w:rPr>
                <w:rFonts w:eastAsia="宋体"/>
                <w:color w:val="000000"/>
                <w:kern w:val="0"/>
                <w:sz w:val="22"/>
                <w:szCs w:val="22"/>
                <w:lang w:bidi="ar"/>
              </w:rPr>
              <w:t>%</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满意度指标</w:t>
            </w:r>
          </w:p>
        </w:tc>
        <w:tc>
          <w:tcPr>
            <w:tcW w:w="1249" w:type="dxa"/>
            <w:vMerge w:val="restart"/>
            <w:tcBorders>
              <w:top w:val="single" w:color="000000" w:sz="4" w:space="0"/>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r>
              <w:rPr>
                <w:rFonts w:eastAsia="宋体"/>
                <w:color w:val="000000"/>
                <w:kern w:val="0"/>
                <w:sz w:val="22"/>
                <w:szCs w:val="22"/>
                <w:lang w:bidi="ar"/>
              </w:rPr>
              <w:t>满意度指标</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持证急救人员满意度</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default" w:eastAsia="宋体"/>
                <w:color w:val="000000"/>
                <w:sz w:val="22"/>
                <w:szCs w:val="22"/>
                <w:lang w:val="en-US" w:eastAsia="zh-CN"/>
              </w:rPr>
            </w:pPr>
            <w:r>
              <w:rPr>
                <w:rFonts w:hint="eastAsia" w:eastAsia="宋体"/>
                <w:color w:val="000000"/>
                <w:sz w:val="22"/>
                <w:szCs w:val="22"/>
                <w:lang w:val="en-US" w:eastAsia="zh-CN"/>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eastAsia="宋体"/>
                <w:color w:val="000000"/>
                <w:kern w:val="0"/>
                <w:sz w:val="22"/>
                <w:szCs w:val="22"/>
                <w:lang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default" w:eastAsia="宋体"/>
                <w:color w:val="000000"/>
                <w:sz w:val="22"/>
                <w:szCs w:val="22"/>
                <w:lang w:val="en-US" w:eastAsia="zh-CN"/>
              </w:rPr>
            </w:pPr>
            <w:r>
              <w:rPr>
                <w:rFonts w:hint="eastAsia" w:eastAsia="宋体"/>
                <w:color w:val="000000"/>
                <w:sz w:val="22"/>
                <w:szCs w:val="22"/>
                <w:lang w:val="en-US" w:eastAsia="zh-CN"/>
              </w:rPr>
              <w:t>10</w:t>
            </w:r>
            <w:r>
              <w:rPr>
                <w:rFonts w:eastAsia="宋体"/>
                <w:color w:val="000000"/>
                <w:kern w:val="0"/>
                <w:sz w:val="22"/>
                <w:szCs w:val="22"/>
                <w:lang w:bidi="ar"/>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kern w:val="0"/>
                <w:sz w:val="22"/>
                <w:szCs w:val="22"/>
                <w:lang w:val="en-US" w:eastAsia="zh-CN" w:bidi="ar"/>
              </w:rPr>
              <w:t>100</w:t>
            </w:r>
            <w:r>
              <w:rPr>
                <w:rFonts w:eastAsia="宋体"/>
                <w:color w:val="000000"/>
                <w:kern w:val="0"/>
                <w:sz w:val="22"/>
                <w:szCs w:val="22"/>
                <w:lang w:bidi="ar"/>
              </w:rPr>
              <w:t>%</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p>
        </w:tc>
        <w:tc>
          <w:tcPr>
            <w:tcW w:w="1249" w:type="dxa"/>
            <w:vMerge w:val="continue"/>
            <w:tcBorders>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eastAsia="宋体"/>
                <w:color w:val="000000"/>
                <w:sz w:val="22"/>
                <w:szCs w:val="22"/>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人道救助对象满意度</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sz w:val="22"/>
                <w:szCs w:val="22"/>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default" w:eastAsia="宋体"/>
                <w:color w:val="000000"/>
                <w:sz w:val="22"/>
                <w:szCs w:val="22"/>
                <w:lang w:val="en-US" w:eastAsia="zh-CN"/>
              </w:rPr>
            </w:pPr>
            <w:r>
              <w:rPr>
                <w:rFonts w:hint="eastAsia" w:eastAsia="宋体"/>
                <w:color w:val="000000"/>
                <w:sz w:val="22"/>
                <w:szCs w:val="22"/>
                <w:lang w:val="en-US" w:eastAsia="zh-CN"/>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eastAsia="宋体"/>
                <w:color w:val="000000"/>
                <w:kern w:val="0"/>
                <w:sz w:val="22"/>
                <w:szCs w:val="22"/>
                <w:lang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hint="default" w:eastAsia="宋体"/>
                <w:color w:val="000000"/>
                <w:sz w:val="22"/>
                <w:szCs w:val="22"/>
                <w:lang w:val="en-US" w:eastAsia="zh-CN"/>
              </w:rPr>
            </w:pPr>
            <w:r>
              <w:rPr>
                <w:rFonts w:hint="eastAsia" w:eastAsia="宋体"/>
                <w:color w:val="000000"/>
                <w:sz w:val="22"/>
                <w:szCs w:val="22"/>
                <w:lang w:val="en-US" w:eastAsia="zh-CN"/>
              </w:rPr>
              <w:t>15</w:t>
            </w:r>
            <w:r>
              <w:rPr>
                <w:rFonts w:eastAsia="宋体"/>
                <w:color w:val="000000"/>
                <w:kern w:val="0"/>
                <w:sz w:val="22"/>
                <w:szCs w:val="22"/>
                <w:lang w:bidi="ar"/>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rPr>
                <w:rFonts w:eastAsia="宋体"/>
                <w:color w:val="000000"/>
                <w:sz w:val="22"/>
                <w:szCs w:val="22"/>
              </w:rPr>
            </w:pPr>
            <w:r>
              <w:rPr>
                <w:rFonts w:hint="eastAsia" w:eastAsia="宋体"/>
                <w:color w:val="000000"/>
                <w:kern w:val="0"/>
                <w:sz w:val="22"/>
                <w:szCs w:val="22"/>
                <w:lang w:val="en-US" w:eastAsia="zh-CN" w:bidi="ar"/>
              </w:rPr>
              <w:t>100</w:t>
            </w:r>
            <w:r>
              <w:rPr>
                <w:rFonts w:eastAsia="宋体"/>
                <w:color w:val="000000"/>
                <w:kern w:val="0"/>
                <w:sz w:val="22"/>
                <w:szCs w:val="22"/>
                <w:lang w:bidi="ar"/>
              </w:rPr>
              <w:t>%</w:t>
            </w:r>
          </w:p>
        </w:tc>
      </w:tr>
    </w:tbl>
    <w:p>
      <w:pPr>
        <w:pStyle w:val="14"/>
        <w:pageBreakBefore w:val="0"/>
        <w:kinsoku/>
        <w:wordWrap/>
        <w:overflowPunct/>
        <w:topLinePunct w:val="0"/>
        <w:bidi w:val="0"/>
        <w:spacing w:after="0" w:line="576" w:lineRule="exact"/>
        <w:ind w:left="0" w:leftChars="0" w:firstLine="0" w:firstLineChars="0"/>
        <w:jc w:val="center"/>
        <w:rPr>
          <w:rFonts w:ascii="Times New Roman" w:eastAsia="黑体"/>
          <w:sz w:val="24"/>
          <w:szCs w:val="24"/>
        </w:rPr>
      </w:pPr>
    </w:p>
    <w:p>
      <w:pPr>
        <w:pageBreakBefore w:val="0"/>
        <w:kinsoku/>
        <w:wordWrap/>
        <w:overflowPunct/>
        <w:topLinePunct w:val="0"/>
        <w:bidi w:val="0"/>
        <w:spacing w:line="576" w:lineRule="exact"/>
        <w:ind w:left="0" w:leftChars="0"/>
        <w:rPr>
          <w:rFonts w:eastAsia="黑体"/>
          <w:sz w:val="24"/>
        </w:rPr>
      </w:pPr>
      <w:r>
        <w:rPr>
          <w:rFonts w:eastAsia="黑体"/>
          <w:sz w:val="18"/>
          <w:szCs w:val="18"/>
        </w:rPr>
        <w:br w:type="page"/>
      </w:r>
    </w:p>
    <w:p>
      <w:pPr>
        <w:pageBreakBefore w:val="0"/>
        <w:widowControl/>
        <w:kinsoku/>
        <w:wordWrap/>
        <w:overflowPunct/>
        <w:topLinePunct w:val="0"/>
        <w:bidi w:val="0"/>
        <w:spacing w:line="576" w:lineRule="exact"/>
        <w:ind w:left="0" w:leftChars="0"/>
        <w:jc w:val="center"/>
        <w:textAlignment w:val="center"/>
        <w:outlineLvl w:val="1"/>
        <w:rPr>
          <w:rFonts w:eastAsia="方正小标宋简体"/>
          <w:color w:val="000000"/>
          <w:kern w:val="0"/>
          <w:sz w:val="44"/>
          <w:szCs w:val="44"/>
          <w:lang w:bidi="ar"/>
        </w:rPr>
      </w:pPr>
      <w:bookmarkStart w:id="104" w:name="_Toc11764"/>
      <w:r>
        <w:rPr>
          <w:rFonts w:eastAsia="方正小标宋简体"/>
          <w:color w:val="000000"/>
          <w:kern w:val="0"/>
          <w:sz w:val="44"/>
          <w:szCs w:val="44"/>
          <w:lang w:bidi="ar"/>
        </w:rPr>
        <w:t>部门预算项目支出绩效评价表</w:t>
      </w:r>
      <w:bookmarkEnd w:id="104"/>
    </w:p>
    <w:p>
      <w:pPr>
        <w:pageBreakBefore w:val="0"/>
        <w:widowControl/>
        <w:kinsoku/>
        <w:wordWrap/>
        <w:overflowPunct/>
        <w:topLinePunct w:val="0"/>
        <w:bidi w:val="0"/>
        <w:spacing w:line="576" w:lineRule="exact"/>
        <w:ind w:left="0" w:leftChars="0"/>
        <w:jc w:val="center"/>
        <w:textAlignment w:val="center"/>
        <w:rPr>
          <w:rFonts w:eastAsia="方正小标宋简体"/>
          <w:color w:val="000000"/>
          <w:kern w:val="0"/>
          <w:szCs w:val="32"/>
          <w:lang w:bidi="ar"/>
        </w:rPr>
      </w:pPr>
      <w:r>
        <w:rPr>
          <w:rFonts w:eastAsia="方正小标宋简体"/>
          <w:color w:val="000000"/>
          <w:kern w:val="0"/>
          <w:szCs w:val="32"/>
          <w:lang w:bidi="ar"/>
        </w:rPr>
        <w:t>（2024年度）</w:t>
      </w:r>
    </w:p>
    <w:tbl>
      <w:tblPr>
        <w:tblStyle w:val="16"/>
        <w:tblpPr w:leftFromText="180" w:rightFromText="180" w:vertAnchor="text" w:horzAnchor="page" w:tblpX="433" w:tblpY="640"/>
        <w:tblOverlap w:val="never"/>
        <w:tblW w:w="621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8"/>
        <w:gridCol w:w="1526"/>
        <w:gridCol w:w="1331"/>
        <w:gridCol w:w="1429"/>
        <w:gridCol w:w="458"/>
        <w:gridCol w:w="671"/>
        <w:gridCol w:w="440"/>
        <w:gridCol w:w="688"/>
        <w:gridCol w:w="529"/>
        <w:gridCol w:w="371"/>
        <w:gridCol w:w="54"/>
        <w:gridCol w:w="24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0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397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51322323T000007894488-茂县红十字会红十字事业发展工作经费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10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183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茂县红十字会本级</w:t>
            </w:r>
          </w:p>
        </w:tc>
        <w:tc>
          <w:tcPr>
            <w:tcW w:w="957" w:type="pct"/>
            <w:gridSpan w:val="4"/>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183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13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rPr>
                <w:rFonts w:hint="eastAsia" w:ascii="宋体" w:hAnsi="宋体" w:eastAsia="宋体" w:cs="宋体"/>
                <w:i w:val="0"/>
                <w:iCs w:val="0"/>
                <w:color w:val="000000"/>
                <w:sz w:val="21"/>
                <w:szCs w:val="21"/>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rPr>
                <w:rFonts w:hint="eastAsia" w:ascii="宋体" w:hAnsi="宋体" w:eastAsia="宋体" w:cs="宋体"/>
                <w:i w:val="0"/>
                <w:iCs w:val="0"/>
                <w:color w:val="000000"/>
                <w:sz w:val="21"/>
                <w:szCs w:val="21"/>
                <w:u w:val="none"/>
              </w:rPr>
            </w:pPr>
          </w:p>
        </w:tc>
        <w:tc>
          <w:tcPr>
            <w:tcW w:w="183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 w:val="21"/>
                <w:szCs w:val="21"/>
                <w:lang w:val="en-US" w:eastAsia="zh-CN" w:bidi="ar"/>
              </w:rPr>
              <w:t>发展基层红十字会组织、基层红十字会会员、志愿者工作、救护员培训工作、应急救护基地运行维护费等红十字事业发展工作经费。通过开展保护人的生命和健康，维护人的</w:t>
            </w:r>
            <w:r>
              <w:rPr>
                <w:rFonts w:hint="eastAsia" w:ascii="宋体" w:hAnsi="宋体" w:eastAsia="宋体" w:cs="宋体"/>
                <w:i w:val="0"/>
                <w:iCs w:val="0"/>
                <w:color w:val="000000"/>
                <w:kern w:val="0"/>
                <w:sz w:val="21"/>
                <w:szCs w:val="21"/>
                <w:u w:val="none"/>
                <w:lang w:val="en-US" w:eastAsia="zh-CN" w:bidi="ar"/>
              </w:rPr>
              <w:t>尊严，培育和践行社会主义核心价值观，弘扬人道、博爱、奉献精神，保障和规范红十字会依法履行职责，更好地促进红十字事业发展</w:t>
            </w:r>
          </w:p>
        </w:tc>
        <w:tc>
          <w:tcPr>
            <w:tcW w:w="213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color w:val="000000"/>
                <w:kern w:val="0"/>
                <w:sz w:val="21"/>
                <w:szCs w:val="21"/>
                <w:lang w:val="en-US" w:eastAsia="zh-CN" w:bidi="ar"/>
              </w:rPr>
              <w:t>组织实施红十字基层组织建设4个，志愿服务队建设4个；宣传献血、遗体捐献、造血干细胞捐献工作，开展博爱送万家工作；完成持证救护员培训280余人，完成应急救护普及培训2000余人，完成“五进”培训及及宣传2500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 w:val="21"/>
                <w:szCs w:val="21"/>
                <w:lang w:val="en-US" w:eastAsia="zh-CN" w:bidi="ar"/>
              </w:rPr>
              <w:t>2.项目实施内容及过程概述</w:t>
            </w:r>
          </w:p>
        </w:tc>
        <w:tc>
          <w:tcPr>
            <w:tcW w:w="397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both"/>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年发展红十字会会员、基层红十字组织、红十字志愿者、“三救三献”宣传、应急救护培训工作、应急救护培训基地运行维护工作等。组织实施红十字基层组织建设4个，志愿服务队建设4个；宣传献血、遗体捐献、造血干细胞捐献工作，开展博爱送万家工作；完成持证救护员培训280余人，完成应急救护普及培训2000余人，完成“五进”培训及及宣传2500余人。</w:t>
            </w:r>
          </w:p>
          <w:p>
            <w:pPr>
              <w:pageBreakBefore w:val="0"/>
              <w:kinsoku/>
              <w:wordWrap/>
              <w:overflowPunct/>
              <w:topLinePunct w:val="0"/>
              <w:bidi w:val="0"/>
              <w:spacing w:line="576" w:lineRule="exact"/>
              <w:ind w:left="0" w:leftChars="0"/>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exact"/>
        </w:trPr>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年度预算数</w:t>
            </w:r>
          </w:p>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 w:val="21"/>
                <w:szCs w:val="21"/>
                <w:lang w:val="en-US" w:eastAsia="zh-CN" w:bidi="ar"/>
              </w:rPr>
              <w:t>（万元）</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default" w:ascii="宋体" w:hAnsi="宋体" w:eastAsia="宋体" w:cs="宋体"/>
                <w:i w:val="0"/>
                <w:iCs w:val="0"/>
                <w:color w:val="000000"/>
                <w:sz w:val="21"/>
                <w:szCs w:val="21"/>
                <w:u w:val="none"/>
                <w:lang w:val="en-US" w:eastAsia="zh-CN"/>
              </w:rPr>
            </w:pPr>
          </w:p>
        </w:tc>
        <w:tc>
          <w:tcPr>
            <w:tcW w:w="1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firstLine="220" w:firstLineChars="100"/>
              <w:jc w:val="left"/>
              <w:textAlignment w:val="center"/>
              <w:rPr>
                <w:rFonts w:hint="eastAsia" w:eastAsia="宋体"/>
                <w:color w:val="000000"/>
                <w:kern w:val="0"/>
                <w:sz w:val="22"/>
                <w:szCs w:val="22"/>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i w:val="0"/>
                <w:iCs w:val="0"/>
                <w:color w:val="000000"/>
                <w:sz w:val="21"/>
                <w:szCs w:val="21"/>
                <w:u w:val="none"/>
                <w:lang w:val="en-US" w:eastAsia="zh-CN"/>
              </w:rPr>
            </w:pP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1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1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1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1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exact"/>
        </w:trPr>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指标性质</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指标值</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度量单位</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完成值</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2"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发展红十字会员、志愿者、三救三献等红十字事业工作</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人次</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开展应急救护培训、应急救护普及培训</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2060</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人次</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开展大病救助工作</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人次</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8"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此项工作在2024年度内完成</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就发展红十字事业是救助社会生命的极其重要的社会工作，要不断地提高红十字事业地发展</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0"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全县人民队红十字事业发展的满意度</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1"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社会成本指标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救灾资金及物资储备</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元/年</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exact"/>
        </w:trPr>
        <w:tc>
          <w:tcPr>
            <w:tcW w:w="33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76" w:lineRule="exact"/>
              <w:ind w:left="0" w:leftChars="0"/>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2" w:hRule="exact"/>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94"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left"/>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zh-CN" w:eastAsia="zh-CN" w:bidi="ar"/>
              </w:rPr>
              <w:t>我会加强项目管理，按照项目方案完成工作，达到项目目标，各项指标均达到年度要求，完成率较好，在项目管理上执行多种举措督促监管，做到了项目建设规范有序，项目运行效果明显。评价总分为</w:t>
            </w:r>
            <w:r>
              <w:rPr>
                <w:rFonts w:hint="eastAsia" w:ascii="宋体" w:hAnsi="宋体" w:eastAsia="宋体" w:cs="宋体"/>
                <w:color w:val="000000"/>
                <w:kern w:val="0"/>
                <w:sz w:val="21"/>
                <w:szCs w:val="21"/>
                <w:lang w:val="en-US" w:eastAsia="zh-CN" w:bidi="ar"/>
              </w:rPr>
              <w:t>100分</w:t>
            </w:r>
          </w:p>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9" w:hRule="exact"/>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94"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left"/>
              <w:textAlignment w:val="center"/>
              <w:rPr>
                <w:rFonts w:hint="eastAsia" w:ascii="宋体" w:hAnsi="宋体" w:eastAsia="宋体" w:cs="宋体"/>
                <w:color w:val="000000"/>
                <w:kern w:val="0"/>
                <w:sz w:val="21"/>
                <w:szCs w:val="21"/>
                <w:lang w:val="zh-CN" w:eastAsia="zh-CN" w:bidi="ar"/>
              </w:rPr>
            </w:pPr>
            <w:r>
              <w:rPr>
                <w:rFonts w:hint="eastAsia" w:ascii="宋体" w:hAnsi="宋体" w:eastAsia="宋体" w:cs="宋体"/>
                <w:color w:val="000000"/>
                <w:kern w:val="0"/>
                <w:sz w:val="21"/>
                <w:szCs w:val="21"/>
                <w:lang w:val="zh-CN" w:eastAsia="zh-CN" w:bidi="ar"/>
              </w:rPr>
              <w:t>在项目决策、项目管理、项目结果等方面表现较好，但在项目实施过程中，我们面临一些问题和挑战，包括人道救助资源配置的不平衡、以及志愿者招募难度大、红十字会知名度不高，影响了人道救助效率和公众参与度。</w:t>
            </w:r>
          </w:p>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7" w:hRule="exact"/>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94"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left="0" w:leftChars="0"/>
              <w:jc w:val="left"/>
              <w:textAlignment w:val="center"/>
              <w:rPr>
                <w:rFonts w:hint="eastAsia" w:ascii="宋体" w:hAnsi="宋体" w:eastAsia="宋体" w:cs="宋体"/>
                <w:color w:val="000000"/>
                <w:kern w:val="0"/>
                <w:sz w:val="21"/>
                <w:szCs w:val="21"/>
                <w:lang w:val="en" w:eastAsia="zh-CN" w:bidi="ar"/>
              </w:rPr>
            </w:pPr>
            <w:r>
              <w:rPr>
                <w:rFonts w:hint="eastAsia" w:ascii="宋体" w:hAnsi="宋体" w:eastAsia="宋体" w:cs="宋体"/>
                <w:color w:val="000000"/>
                <w:kern w:val="0"/>
                <w:sz w:val="21"/>
                <w:szCs w:val="21"/>
                <w:lang w:val="zh-CN" w:eastAsia="zh-CN" w:bidi="ar"/>
              </w:rPr>
              <w:t>要加大对偏远和资源匮乏地区的关注和支持，平衡资源配置；通过举办应急救护普及培训和其他宣传活动，增强红十字会的社会影响力，招募更多志愿者；利用现代媒体和互联网技术，提高红十字会工作的可见度和认知度。通过这些措施，我们相信红十字会能够更好地完成其使命，更有效地服务社会和公众。</w:t>
            </w:r>
          </w:p>
          <w:p>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iCs/>
                <w:color w:val="000000"/>
                <w:sz w:val="21"/>
                <w:szCs w:val="21"/>
                <w:u w:val="none"/>
              </w:rPr>
            </w:pPr>
          </w:p>
        </w:tc>
      </w:tr>
    </w:tbl>
    <w:p>
      <w:pPr>
        <w:pageBreakBefore w:val="0"/>
        <w:kinsoku/>
        <w:wordWrap/>
        <w:overflowPunct/>
        <w:topLinePunct w:val="0"/>
        <w:bidi w:val="0"/>
        <w:spacing w:line="576" w:lineRule="exact"/>
        <w:ind w:left="0" w:leftChars="0"/>
        <w:rPr>
          <w:rFonts w:hint="eastAsia" w:ascii="Times New Roman" w:hAnsi="Times New Roman" w:eastAsia="黑体" w:cs="黑体"/>
          <w:color w:val="auto"/>
          <w:kern w:val="0"/>
          <w:sz w:val="32"/>
          <w:szCs w:val="32"/>
          <w:highlight w:val="none"/>
          <w:shd w:val="clear" w:color="auto" w:fill="FFFFFF"/>
          <w:lang w:val="zh-CN"/>
        </w:rPr>
      </w:pPr>
    </w:p>
    <w:p>
      <w:pPr>
        <w:pStyle w:val="5"/>
        <w:pageBreakBefore w:val="0"/>
        <w:kinsoku/>
        <w:wordWrap/>
        <w:overflowPunct/>
        <w:topLinePunct w:val="0"/>
        <w:bidi w:val="0"/>
        <w:spacing w:beforeLines="0" w:line="576" w:lineRule="exact"/>
        <w:ind w:left="0" w:leftChars="0"/>
        <w:outlineLvl w:val="9"/>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pStyle w:val="35"/>
        <w:keepNext w:val="0"/>
        <w:keepLines w:val="0"/>
        <w:pageBreakBefore w:val="0"/>
        <w:widowControl w:val="0"/>
        <w:kinsoku/>
        <w:wordWrap/>
        <w:overflowPunct/>
        <w:topLinePunct w:val="0"/>
        <w:autoSpaceDE/>
        <w:autoSpaceDN/>
        <w:bidi w:val="0"/>
        <w:spacing w:line="576" w:lineRule="exact"/>
        <w:ind w:left="0" w:leftChars="0"/>
        <w:jc w:val="both"/>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5"/>
        <w:pageBreakBefore w:val="0"/>
        <w:kinsoku/>
        <w:wordWrap/>
        <w:overflowPunct/>
        <w:topLinePunct w:val="0"/>
        <w:bidi w:val="0"/>
        <w:spacing w:line="576" w:lineRule="exact"/>
        <w:ind w:left="0" w:leftChars="0"/>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2024年度茂县红十字会</w:t>
      </w:r>
    </w:p>
    <w:p>
      <w:pPr>
        <w:pStyle w:val="35"/>
        <w:pageBreakBefore w:val="0"/>
        <w:kinsoku/>
        <w:wordWrap/>
        <w:overflowPunct/>
        <w:topLinePunct w:val="0"/>
        <w:bidi w:val="0"/>
        <w:spacing w:line="576" w:lineRule="exact"/>
        <w:ind w:left="0" w:leftChars="0"/>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35"/>
        <w:pageBreakBefore w:val="0"/>
        <w:kinsoku/>
        <w:wordWrap/>
        <w:overflowPunct/>
        <w:topLinePunct w:val="0"/>
        <w:bidi w:val="0"/>
        <w:spacing w:line="576" w:lineRule="exact"/>
        <w:ind w:left="0" w:leftChars="0" w:firstLine="640"/>
        <w:jc w:val="center"/>
        <w:rPr>
          <w:rFonts w:ascii="Times New Roman" w:hAnsi="Times New Roman"/>
          <w:color w:val="auto"/>
          <w:kern w:val="2"/>
          <w:sz w:val="32"/>
          <w:szCs w:val="32"/>
        </w:rPr>
      </w:pPr>
    </w:p>
    <w:p>
      <w:pPr>
        <w:pageBreakBefore w:val="0"/>
        <w:kinsoku/>
        <w:wordWrap/>
        <w:overflowPunct/>
        <w:topLinePunct w:val="0"/>
        <w:bidi w:val="0"/>
        <w:adjustRightInd w:val="0"/>
        <w:snapToGrid w:val="0"/>
        <w:spacing w:line="576" w:lineRule="exact"/>
        <w:ind w:left="0" w:leftChars="0" w:firstLine="640" w:firstLineChars="200"/>
        <w:outlineLvl w:val="1"/>
        <w:rPr>
          <w:rFonts w:hint="eastAsia" w:ascii="黑体" w:hAnsi="黑体" w:eastAsia="黑体" w:cs="黑体"/>
          <w:sz w:val="32"/>
          <w:szCs w:val="32"/>
          <w:lang w:val="zh-CN"/>
        </w:rPr>
      </w:pPr>
      <w:bookmarkStart w:id="105" w:name="_Toc26628"/>
      <w:r>
        <w:rPr>
          <w:rFonts w:hint="eastAsia" w:ascii="黑体" w:hAnsi="黑体" w:eastAsia="黑体" w:cs="黑体"/>
          <w:sz w:val="32"/>
          <w:szCs w:val="32"/>
        </w:rPr>
        <w:t>一、</w:t>
      </w:r>
      <w:r>
        <w:rPr>
          <w:rFonts w:hint="eastAsia" w:ascii="黑体" w:hAnsi="黑体" w:eastAsia="黑体" w:cs="黑体"/>
          <w:sz w:val="32"/>
          <w:szCs w:val="32"/>
          <w:lang w:val="zh-CN"/>
        </w:rPr>
        <w:t>项目概况</w:t>
      </w:r>
      <w:bookmarkEnd w:id="105"/>
    </w:p>
    <w:p>
      <w:pPr>
        <w:pageBreakBefore w:val="0"/>
        <w:widowControl/>
        <w:kinsoku/>
        <w:wordWrap/>
        <w:overflowPunct/>
        <w:topLinePunct w:val="0"/>
        <w:bidi w:val="0"/>
        <w:adjustRightInd w:val="0"/>
        <w:snapToGrid w:val="0"/>
        <w:spacing w:line="576" w:lineRule="exact"/>
        <w:ind w:left="0" w:leftChars="0" w:firstLine="642" w:firstLineChars="200"/>
        <w:contextualSpacing/>
        <w:jc w:val="left"/>
        <w:outlineLvl w:val="2"/>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（一）设立背景及基本情况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红十字事业发展工作经费项目设立的背景：随着社会对人道主义援助需求的增加，红十字会作为提供救援和救助服务的主要机构，其作用日益凸显。然而，资金不足、资源分配不均等问题制约了红十字会事业的发展。设立了“红十字事业发展工作经费”这一专项预算项目，以支持红十字会在救灾、救护、支持弱势群体等方面的工作，确保日常工作的正常运行。</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茂县红十字会的红十字事业发展工作经费项目管理中的职能：传播国际红十字运动知识和国际人道主义法。宣传、贯彻《中华人民共和国红十字会法》，依照红十字会法和红十字章程组织协调开展我县红十字会工作；开展备灾救灾工作。在自然灾害和突发事件中,开展救护和救助工作;依法接受国内外组织和个人的捐赠,及时向灾区群众和受难者提供人道主义援助,突发事件中对受害者组织实施救助工作。</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项目立项、资金申报的依据：根据《四川省人民政府办公厅关于印发四川省红十字会改革方案的通知》（川办发〔2020〕23号）、《阿坝州人民政府办公室关于印发阿坝州红十字会改革方案的通知》（阿府办发〔202</w:t>
      </w:r>
      <w:r>
        <w:rPr>
          <w:rFonts w:hint="eastAsia" w:ascii="仿宋_GB2312" w:hAnsi="仿宋_GB2312" w:eastAsia="仿宋_GB2312" w:cs="仿宋_GB2312"/>
          <w:b w:val="0"/>
          <w:bCs w:val="0"/>
          <w:color w:val="auto"/>
          <w:kern w:val="2"/>
          <w:sz w:val="32"/>
          <w:szCs w:val="32"/>
          <w:highlight w:val="none"/>
          <w:lang w:val="en-US" w:eastAsia="zh-CN" w:bidi="ar-SA"/>
        </w:rPr>
        <w:t>1</w:t>
      </w:r>
      <w:r>
        <w:rPr>
          <w:rFonts w:hint="eastAsia" w:ascii="仿宋_GB2312" w:hAnsi="仿宋_GB2312" w:eastAsia="仿宋_GB2312" w:cs="仿宋_GB2312"/>
          <w:b w:val="0"/>
          <w:bCs w:val="0"/>
          <w:color w:val="auto"/>
          <w:kern w:val="2"/>
          <w:sz w:val="32"/>
          <w:szCs w:val="32"/>
          <w:highlight w:val="none"/>
          <w:lang w:val="zh-CN" w:eastAsia="zh-CN" w:bidi="ar-SA"/>
        </w:rPr>
        <w:t>〕3号）等文件要求以及州委州政府相关领导讲话精神纳入预算。</w:t>
      </w:r>
    </w:p>
    <w:p>
      <w:pPr>
        <w:pageBreakBefore w:val="0"/>
        <w:numPr>
          <w:ilvl w:val="0"/>
          <w:numId w:val="0"/>
        </w:numPr>
        <w:kinsoku/>
        <w:wordWrap/>
        <w:overflowPunct/>
        <w:topLinePunct w:val="0"/>
        <w:bidi w:val="0"/>
        <w:adjustRightInd w:val="0"/>
        <w:snapToGrid w:val="0"/>
        <w:spacing w:line="576" w:lineRule="exact"/>
        <w:ind w:left="0" w:leftChars="0" w:firstLine="642" w:firstLineChars="200"/>
        <w:outlineLvl w:val="2"/>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kern w:val="2"/>
          <w:sz w:val="32"/>
          <w:szCs w:val="32"/>
          <w:lang w:val="en-US" w:eastAsia="zh-CN" w:bidi="ar-SA"/>
        </w:rPr>
        <w:t>（二）</w:t>
      </w:r>
      <w:r>
        <w:rPr>
          <w:rFonts w:hint="eastAsia" w:ascii="楷体_GB2312" w:hAnsi="楷体_GB2312" w:eastAsia="楷体_GB2312" w:cs="楷体_GB2312"/>
          <w:b/>
          <w:bCs w:val="0"/>
          <w:sz w:val="32"/>
          <w:szCs w:val="32"/>
        </w:rPr>
        <w:t>实施目的及支持方向</w:t>
      </w:r>
    </w:p>
    <w:p>
      <w:pPr>
        <w:pageBreakBefore w:val="0"/>
        <w:numPr>
          <w:ilvl w:val="0"/>
          <w:numId w:val="0"/>
        </w:numPr>
        <w:kinsoku/>
        <w:wordWrap/>
        <w:overflowPunct/>
        <w:topLinePunct w:val="0"/>
        <w:autoSpaceDE/>
        <w:autoSpaceDN/>
        <w:bidi w:val="0"/>
        <w:adjustRightInd w:val="0"/>
        <w:snapToGrid w:val="0"/>
        <w:spacing w:line="576" w:lineRule="exact"/>
        <w:ind w:left="0" w:leftChars="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kern w:val="0"/>
          <w:sz w:val="32"/>
          <w:szCs w:val="32"/>
          <w:shd w:val="clear" w:color="auto" w:fill="FFFFFF"/>
          <w:lang w:val="en-US" w:eastAsia="zh-CN"/>
        </w:rPr>
        <w:t xml:space="preserve">  </w:t>
      </w:r>
      <w:r>
        <w:rPr>
          <w:rFonts w:hint="eastAsia" w:ascii="仿宋_GB2312" w:hAnsi="仿宋_GB2312" w:eastAsia="仿宋_GB2312" w:cs="仿宋_GB2312"/>
          <w:b w:val="0"/>
          <w:bCs w:val="0"/>
          <w:color w:val="auto"/>
          <w:kern w:val="2"/>
          <w:sz w:val="32"/>
          <w:szCs w:val="32"/>
          <w:highlight w:val="none"/>
          <w:lang w:val="en-US" w:eastAsia="zh-CN" w:bidi="ar-SA"/>
        </w:rPr>
        <w:t xml:space="preserve">  </w:t>
      </w:r>
      <w:r>
        <w:rPr>
          <w:rFonts w:hint="eastAsia" w:ascii="仿宋_GB2312" w:hAnsi="仿宋_GB2312" w:eastAsia="仿宋_GB2312" w:cs="仿宋_GB2312"/>
          <w:b w:val="0"/>
          <w:bCs w:val="0"/>
          <w:color w:val="auto"/>
          <w:kern w:val="2"/>
          <w:sz w:val="32"/>
          <w:szCs w:val="32"/>
          <w:highlight w:val="none"/>
          <w:lang w:val="zh-CN" w:eastAsia="zh-CN" w:bidi="ar-SA"/>
        </w:rPr>
        <w:t>项目的主要目的是提升红十字会的服务能力，增强其在灾害应对、救助、救护等方面的效能。支持方向包括：强化应急救援队伍的建设与培训、提高物资储备和调配效率、扩大健康教育和献血推广活动、以及加强内部管理和资金使用的透明度。</w:t>
      </w:r>
    </w:p>
    <w:p>
      <w:pPr>
        <w:pageBreakBefore w:val="0"/>
        <w:numPr>
          <w:ilvl w:val="0"/>
          <w:numId w:val="0"/>
        </w:numPr>
        <w:kinsoku/>
        <w:wordWrap/>
        <w:overflowPunct/>
        <w:topLinePunct w:val="0"/>
        <w:bidi w:val="0"/>
        <w:adjustRightInd w:val="0"/>
        <w:snapToGrid w:val="0"/>
        <w:spacing w:line="576" w:lineRule="exact"/>
        <w:ind w:left="0" w:leftChars="0" w:firstLine="642" w:firstLineChars="200"/>
        <w:outlineLvl w:val="2"/>
        <w:rPr>
          <w:rFonts w:hint="eastAsia" w:ascii="楷体_GB2312" w:hAnsi="楷体_GB2312" w:eastAsia="楷体_GB2312" w:cs="楷体_GB2312"/>
          <w:b/>
          <w:bCs w:val="0"/>
          <w:kern w:val="2"/>
          <w:sz w:val="32"/>
          <w:szCs w:val="32"/>
          <w:lang w:val="en-US" w:eastAsia="zh-CN" w:bidi="ar-SA"/>
        </w:rPr>
      </w:pPr>
      <w:r>
        <w:rPr>
          <w:rFonts w:hint="eastAsia" w:ascii="楷体_GB2312" w:hAnsi="楷体_GB2312" w:eastAsia="楷体_GB2312" w:cs="楷体_GB2312"/>
          <w:b/>
          <w:bCs w:val="0"/>
          <w:kern w:val="2"/>
          <w:sz w:val="32"/>
          <w:szCs w:val="32"/>
          <w:lang w:val="en-US" w:eastAsia="zh-CN" w:bidi="ar-SA"/>
        </w:rPr>
        <w:t>（三）预算安排及分配管理</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该项目的预算主要来源于政府拨款。预算安排坚持公开、透明原则，按照项目需求和实施进度进行合理分配。确保每笔资金的使用都严格按照预算执行，有效监控成本，确保资金使用的高效性和合规性。</w:t>
      </w:r>
    </w:p>
    <w:p>
      <w:pPr>
        <w:pageBreakBefore w:val="0"/>
        <w:numPr>
          <w:ilvl w:val="0"/>
          <w:numId w:val="0"/>
        </w:numPr>
        <w:kinsoku/>
        <w:wordWrap/>
        <w:overflowPunct/>
        <w:topLinePunct w:val="0"/>
        <w:bidi w:val="0"/>
        <w:adjustRightInd w:val="0"/>
        <w:snapToGrid w:val="0"/>
        <w:spacing w:line="576" w:lineRule="exact"/>
        <w:ind w:left="0" w:leftChars="0" w:firstLine="642" w:firstLineChars="200"/>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（四）项目绩效目标设置</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项目的绩效目标围绕提升红十字会服务质量和效率展开：增强内部管理效率，降低运营成本，提高资金使用透明度；提升公众健康教育参与度，增加献血量和急救知识普及率；增加人道援助项目的数量和质量，覆盖更多需要帮助的人群。</w:t>
      </w:r>
    </w:p>
    <w:p>
      <w:pPr>
        <w:pageBreakBefore w:val="0"/>
        <w:kinsoku/>
        <w:wordWrap/>
        <w:overflowPunct/>
        <w:topLinePunct w:val="0"/>
        <w:bidi w:val="0"/>
        <w:adjustRightInd w:val="0"/>
        <w:snapToGrid w:val="0"/>
        <w:spacing w:line="576" w:lineRule="exact"/>
        <w:ind w:left="0" w:leftChars="0" w:firstLine="640" w:firstLineChars="200"/>
        <w:outlineLvl w:val="1"/>
        <w:rPr>
          <w:rFonts w:hint="eastAsia" w:ascii="黑体" w:hAnsi="黑体" w:eastAsia="黑体" w:cs="黑体"/>
          <w:sz w:val="32"/>
          <w:szCs w:val="32"/>
        </w:rPr>
      </w:pPr>
      <w:bookmarkStart w:id="106" w:name="_Toc7691"/>
      <w:r>
        <w:rPr>
          <w:rFonts w:hint="eastAsia" w:ascii="黑体" w:hAnsi="黑体" w:eastAsia="黑体" w:cs="黑体"/>
          <w:sz w:val="32"/>
          <w:szCs w:val="32"/>
        </w:rPr>
        <w:t>二、评价实施</w:t>
      </w:r>
      <w:bookmarkEnd w:id="106"/>
    </w:p>
    <w:p>
      <w:pPr>
        <w:pageBreakBefore w:val="0"/>
        <w:kinsoku/>
        <w:wordWrap/>
        <w:overflowPunct/>
        <w:topLinePunct w:val="0"/>
        <w:bidi w:val="0"/>
        <w:spacing w:line="576" w:lineRule="exact"/>
        <w:ind w:left="0" w:leftChars="0" w:firstLine="640" w:firstLineChars="0"/>
        <w:outlineLvl w:val="2"/>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（一）评价目的</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本次绩效评价的核心目的是确保“红十字事业发展工作经费”能够有效地支持红十字会在人道主义领域的各项活动，包括但不限于救灾、救护、支持弱势群体等。我们旨在通过评价提高资金使用效率，优化项目管理，增强红十字会服务能力，同时提升公众对红十字会工作的信任和满意度。</w:t>
      </w:r>
    </w:p>
    <w:p>
      <w:pPr>
        <w:pageBreakBefore w:val="0"/>
        <w:numPr>
          <w:ilvl w:val="0"/>
          <w:numId w:val="0"/>
        </w:numPr>
        <w:kinsoku/>
        <w:wordWrap/>
        <w:overflowPunct/>
        <w:topLinePunct w:val="0"/>
        <w:bidi w:val="0"/>
        <w:adjustRightInd w:val="0"/>
        <w:snapToGrid w:val="0"/>
        <w:spacing w:line="576" w:lineRule="exact"/>
        <w:ind w:left="0" w:leftChars="0" w:firstLine="642" w:firstLineChars="200"/>
        <w:outlineLvl w:val="2"/>
        <w:rPr>
          <w:rFonts w:hint="eastAsia" w:ascii="楷体_GB2312" w:hAnsi="楷体_GB2312" w:eastAsia="楷体_GB2312" w:cs="楷体_GB2312"/>
          <w:b/>
          <w:sz w:val="32"/>
          <w:szCs w:val="32"/>
          <w:lang w:val="zh-CN"/>
        </w:rPr>
      </w:pPr>
      <w:r>
        <w:rPr>
          <w:rFonts w:hint="eastAsia" w:ascii="楷体_GB2312" w:hAnsi="楷体_GB2312" w:eastAsia="楷体_GB2312" w:cs="楷体_GB2312"/>
          <w:b/>
          <w:kern w:val="2"/>
          <w:sz w:val="32"/>
          <w:szCs w:val="32"/>
          <w:lang w:val="zh-CN" w:eastAsia="zh-CN" w:bidi="ar-SA"/>
        </w:rPr>
        <w:t>（二）</w:t>
      </w:r>
      <w:r>
        <w:rPr>
          <w:rFonts w:hint="eastAsia" w:ascii="楷体_GB2312" w:hAnsi="楷体_GB2312" w:eastAsia="楷体_GB2312" w:cs="楷体_GB2312"/>
          <w:b/>
          <w:sz w:val="32"/>
          <w:szCs w:val="32"/>
          <w:lang w:val="zh-CN"/>
        </w:rPr>
        <w:t>预设问题及评价重点</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在评价前，我们预设了几个关键问题，包括：预算资金是否被正确和高效地使用？项目实施是否达到了预定目标？以及项目执行过程中存在哪些问题和挑战？</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评价重点</w:t>
      </w:r>
      <w:r>
        <w:rPr>
          <w:rFonts w:hint="eastAsia" w:ascii="仿宋_GB2312" w:hAnsi="仿宋_GB2312" w:eastAsia="仿宋_GB2312" w:cs="仿宋_GB2312"/>
          <w:b w:val="0"/>
          <w:bCs w:val="0"/>
          <w:color w:val="auto"/>
          <w:kern w:val="2"/>
          <w:sz w:val="32"/>
          <w:szCs w:val="32"/>
          <w:highlight w:val="none"/>
          <w:lang w:val="en-US" w:eastAsia="zh-CN" w:bidi="ar-SA"/>
        </w:rPr>
        <w:t>:</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w:t>
      </w:r>
      <w:r>
        <w:rPr>
          <w:rFonts w:hint="eastAsia" w:ascii="仿宋_GB2312" w:hAnsi="仿宋_GB2312" w:eastAsia="仿宋_GB2312" w:cs="仿宋_GB2312"/>
          <w:b w:val="0"/>
          <w:bCs w:val="0"/>
          <w:color w:val="auto"/>
          <w:kern w:val="2"/>
          <w:sz w:val="32"/>
          <w:szCs w:val="32"/>
          <w:highlight w:val="none"/>
          <w:lang w:val="zh-CN" w:eastAsia="zh-CN" w:bidi="ar-SA"/>
        </w:rPr>
        <w:t>合规性：评估项目资金的管理和使用是否符合相关法规和标准。</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w:t>
      </w:r>
      <w:r>
        <w:rPr>
          <w:rFonts w:hint="eastAsia" w:ascii="仿宋_GB2312" w:hAnsi="仿宋_GB2312" w:eastAsia="仿宋_GB2312" w:cs="仿宋_GB2312"/>
          <w:b w:val="0"/>
          <w:bCs w:val="0"/>
          <w:color w:val="auto"/>
          <w:kern w:val="2"/>
          <w:sz w:val="32"/>
          <w:szCs w:val="32"/>
          <w:highlight w:val="none"/>
          <w:lang w:val="zh-CN" w:eastAsia="zh-CN" w:bidi="ar-SA"/>
        </w:rPr>
        <w:t>效率性：分析资源的配置和使用是否达到最优化，是否有浪费现象。</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w:t>
      </w:r>
      <w:r>
        <w:rPr>
          <w:rFonts w:hint="eastAsia" w:ascii="仿宋_GB2312" w:hAnsi="仿宋_GB2312" w:eastAsia="仿宋_GB2312" w:cs="仿宋_GB2312"/>
          <w:b w:val="0"/>
          <w:bCs w:val="0"/>
          <w:color w:val="auto"/>
          <w:kern w:val="2"/>
          <w:sz w:val="32"/>
          <w:szCs w:val="32"/>
          <w:highlight w:val="none"/>
          <w:lang w:val="zh-CN" w:eastAsia="zh-CN" w:bidi="ar-SA"/>
        </w:rPr>
        <w:t>效果性：衡量项目执行的实际成果与预期目标之间的差距。</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4.</w:t>
      </w:r>
      <w:r>
        <w:rPr>
          <w:rFonts w:hint="eastAsia" w:ascii="仿宋_GB2312" w:hAnsi="仿宋_GB2312" w:eastAsia="仿宋_GB2312" w:cs="仿宋_GB2312"/>
          <w:b w:val="0"/>
          <w:bCs w:val="0"/>
          <w:color w:val="auto"/>
          <w:kern w:val="2"/>
          <w:sz w:val="32"/>
          <w:szCs w:val="32"/>
          <w:highlight w:val="none"/>
          <w:lang w:val="zh-CN" w:eastAsia="zh-CN" w:bidi="ar-SA"/>
        </w:rPr>
        <w:t>可持续性：考察项目实施是否具备长期运行的能力。</w:t>
      </w:r>
    </w:p>
    <w:p>
      <w:pPr>
        <w:pageBreakBefore w:val="0"/>
        <w:numPr>
          <w:ilvl w:val="0"/>
          <w:numId w:val="0"/>
        </w:numPr>
        <w:kinsoku/>
        <w:wordWrap/>
        <w:overflowPunct/>
        <w:topLinePunct w:val="0"/>
        <w:bidi w:val="0"/>
        <w:adjustRightInd w:val="0"/>
        <w:snapToGrid w:val="0"/>
        <w:spacing w:line="576" w:lineRule="exact"/>
        <w:ind w:left="0" w:leftChars="0" w:firstLine="642" w:firstLineChars="200"/>
        <w:outlineLvl w:val="2"/>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（三）评价选点</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评价选点主要基于项目的实施区域、涉及人群、资金规模等因素来确定。我们选择了不同地区、不同类型的服务项目作为评价对象，以确保评价结果的代表性和全面性。</w:t>
      </w:r>
    </w:p>
    <w:p>
      <w:pPr>
        <w:pageBreakBefore w:val="0"/>
        <w:numPr>
          <w:ilvl w:val="0"/>
          <w:numId w:val="0"/>
        </w:numPr>
        <w:kinsoku/>
        <w:wordWrap/>
        <w:overflowPunct/>
        <w:topLinePunct w:val="0"/>
        <w:bidi w:val="0"/>
        <w:adjustRightInd w:val="0"/>
        <w:snapToGrid w:val="0"/>
        <w:spacing w:line="576" w:lineRule="exact"/>
        <w:ind w:left="0" w:leftChars="0" w:firstLine="642" w:firstLineChars="200"/>
        <w:outlineLvl w:val="2"/>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（四）评价方法</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为确保评价的客观性和准确性，我们采用了以下几种方法：</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w:t>
      </w:r>
      <w:r>
        <w:rPr>
          <w:rFonts w:hint="eastAsia" w:ascii="仿宋_GB2312" w:hAnsi="仿宋_GB2312" w:eastAsia="仿宋_GB2312" w:cs="仿宋_GB2312"/>
          <w:b w:val="0"/>
          <w:bCs w:val="0"/>
          <w:color w:val="auto"/>
          <w:kern w:val="2"/>
          <w:sz w:val="32"/>
          <w:szCs w:val="32"/>
          <w:highlight w:val="none"/>
          <w:lang w:val="zh-CN" w:eastAsia="zh-CN" w:bidi="ar-SA"/>
        </w:rPr>
        <w:t>案卷研究法：通过审查相关的财务报告、项目报告等文档来了解项目的执行情况。</w:t>
      </w:r>
      <w:r>
        <w:rPr>
          <w:rFonts w:hint="eastAsia" w:ascii="仿宋_GB2312" w:hAnsi="仿宋_GB2312" w:eastAsia="仿宋_GB2312" w:cs="仿宋_GB2312"/>
          <w:b w:val="0"/>
          <w:bCs w:val="0"/>
          <w:color w:val="auto"/>
          <w:kern w:val="2"/>
          <w:sz w:val="32"/>
          <w:szCs w:val="32"/>
          <w:highlight w:val="none"/>
          <w:lang w:val="zh-CN" w:eastAsia="zh-CN" w:bidi="ar-SA"/>
        </w:rPr>
        <w:br w:type="textWrapping"/>
      </w:r>
      <w:r>
        <w:rPr>
          <w:rFonts w:hint="eastAsia" w:ascii="仿宋_GB2312" w:hAnsi="仿宋_GB2312" w:eastAsia="仿宋_GB2312" w:cs="仿宋_GB2312"/>
          <w:b w:val="0"/>
          <w:bCs w:val="0"/>
          <w:color w:val="auto"/>
          <w:kern w:val="2"/>
          <w:sz w:val="32"/>
          <w:szCs w:val="32"/>
          <w:highlight w:val="none"/>
          <w:lang w:val="en-US" w:eastAsia="zh-CN" w:bidi="ar-SA"/>
        </w:rPr>
        <w:t xml:space="preserve">    2.</w:t>
      </w:r>
      <w:r>
        <w:rPr>
          <w:rFonts w:hint="eastAsia" w:ascii="仿宋_GB2312" w:hAnsi="仿宋_GB2312" w:eastAsia="仿宋_GB2312" w:cs="仿宋_GB2312"/>
          <w:b w:val="0"/>
          <w:bCs w:val="0"/>
          <w:color w:val="auto"/>
          <w:kern w:val="2"/>
          <w:sz w:val="32"/>
          <w:szCs w:val="32"/>
          <w:highlight w:val="none"/>
          <w:lang w:val="zh-CN" w:eastAsia="zh-CN" w:bidi="ar-SA"/>
        </w:rPr>
        <w:t>实地勘察法：前往项目实施地点进行实地考察，观察项目执行情况，收集一手资料。</w:t>
      </w:r>
      <w:r>
        <w:rPr>
          <w:rFonts w:hint="eastAsia" w:ascii="仿宋_GB2312" w:hAnsi="仿宋_GB2312" w:eastAsia="仿宋_GB2312" w:cs="仿宋_GB2312"/>
          <w:b w:val="0"/>
          <w:bCs w:val="0"/>
          <w:color w:val="auto"/>
          <w:kern w:val="2"/>
          <w:sz w:val="32"/>
          <w:szCs w:val="32"/>
          <w:highlight w:val="none"/>
          <w:lang w:val="zh-CN" w:eastAsia="zh-CN" w:bidi="ar-SA"/>
        </w:rPr>
        <w:br w:type="textWrapping"/>
      </w:r>
      <w:r>
        <w:rPr>
          <w:rFonts w:hint="eastAsia" w:ascii="仿宋_GB2312" w:hAnsi="仿宋_GB2312" w:eastAsia="仿宋_GB2312" w:cs="仿宋_GB2312"/>
          <w:b w:val="0"/>
          <w:bCs w:val="0"/>
          <w:color w:val="auto"/>
          <w:kern w:val="2"/>
          <w:sz w:val="32"/>
          <w:szCs w:val="32"/>
          <w:highlight w:val="none"/>
          <w:lang w:val="en-US" w:eastAsia="zh-CN" w:bidi="ar-SA"/>
        </w:rPr>
        <w:t xml:space="preserve">    3.</w:t>
      </w:r>
      <w:r>
        <w:rPr>
          <w:rFonts w:hint="eastAsia" w:ascii="仿宋_GB2312" w:hAnsi="仿宋_GB2312" w:eastAsia="仿宋_GB2312" w:cs="仿宋_GB2312"/>
          <w:b w:val="0"/>
          <w:bCs w:val="0"/>
          <w:color w:val="auto"/>
          <w:kern w:val="2"/>
          <w:sz w:val="32"/>
          <w:szCs w:val="32"/>
          <w:highlight w:val="none"/>
          <w:lang w:val="zh-CN" w:eastAsia="zh-CN" w:bidi="ar-SA"/>
        </w:rPr>
        <w:t>问卷调查法、座谈调研法：与项目管理者、受益者、合作伙伴等进行访谈，收集他们的反馈和建议；同时，发放问卷，获取更广泛的数据和意见。</w:t>
      </w:r>
      <w:r>
        <w:rPr>
          <w:rFonts w:hint="eastAsia" w:ascii="仿宋_GB2312" w:hAnsi="仿宋_GB2312" w:eastAsia="仿宋_GB2312" w:cs="仿宋_GB2312"/>
          <w:b w:val="0"/>
          <w:bCs w:val="0"/>
          <w:color w:val="auto"/>
          <w:kern w:val="2"/>
          <w:sz w:val="32"/>
          <w:szCs w:val="32"/>
          <w:highlight w:val="none"/>
          <w:lang w:val="zh-CN" w:eastAsia="zh-CN" w:bidi="ar-SA"/>
        </w:rPr>
        <w:br w:type="textWrapping"/>
      </w:r>
      <w:r>
        <w:rPr>
          <w:rFonts w:hint="eastAsia" w:ascii="仿宋_GB2312" w:hAnsi="仿宋_GB2312" w:eastAsia="仿宋_GB2312" w:cs="仿宋_GB2312"/>
          <w:b w:val="0"/>
          <w:bCs w:val="0"/>
          <w:color w:val="auto"/>
          <w:kern w:val="2"/>
          <w:sz w:val="32"/>
          <w:szCs w:val="32"/>
          <w:highlight w:val="none"/>
          <w:lang w:val="en-US" w:eastAsia="zh-CN" w:bidi="ar-SA"/>
        </w:rPr>
        <w:t xml:space="preserve">    4.</w:t>
      </w:r>
      <w:r>
        <w:rPr>
          <w:rFonts w:hint="eastAsia" w:ascii="仿宋_GB2312" w:hAnsi="仿宋_GB2312" w:eastAsia="仿宋_GB2312" w:cs="仿宋_GB2312"/>
          <w:b w:val="0"/>
          <w:bCs w:val="0"/>
          <w:color w:val="auto"/>
          <w:kern w:val="2"/>
          <w:sz w:val="32"/>
          <w:szCs w:val="32"/>
          <w:highlight w:val="none"/>
          <w:lang w:val="zh-CN" w:eastAsia="zh-CN" w:bidi="ar-SA"/>
        </w:rPr>
        <w:t>数据分析：对收集到的数据进行综合分析，以评估项目的成效和影响。</w:t>
      </w:r>
    </w:p>
    <w:p>
      <w:pPr>
        <w:pageBreakBefore w:val="0"/>
        <w:numPr>
          <w:ilvl w:val="0"/>
          <w:numId w:val="0"/>
        </w:numPr>
        <w:kinsoku/>
        <w:wordWrap/>
        <w:overflowPunct/>
        <w:topLinePunct w:val="0"/>
        <w:bidi w:val="0"/>
        <w:adjustRightInd w:val="0"/>
        <w:snapToGrid w:val="0"/>
        <w:spacing w:line="576" w:lineRule="exact"/>
        <w:ind w:left="0" w:leftChars="0" w:firstLine="642" w:firstLineChars="200"/>
        <w:outlineLvl w:val="2"/>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（五）评价组织</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评价工作由红十字会内部审计部门负责组织实施，同时通过走访和翻阅资料分阶段进行评价，并在每个阶段结束时提供进度报告和初步发现。</w:t>
      </w:r>
    </w:p>
    <w:p>
      <w:pPr>
        <w:pageBreakBefore w:val="0"/>
        <w:kinsoku/>
        <w:wordWrap/>
        <w:overflowPunct/>
        <w:topLinePunct w:val="0"/>
        <w:bidi w:val="0"/>
        <w:adjustRightInd w:val="0"/>
        <w:snapToGrid w:val="0"/>
        <w:spacing w:line="576" w:lineRule="exact"/>
        <w:ind w:left="0" w:leftChars="0" w:firstLine="640" w:firstLineChars="200"/>
        <w:outlineLvl w:val="1"/>
        <w:rPr>
          <w:rFonts w:hint="eastAsia" w:ascii="仿宋_GB2312" w:hAnsi="仿宋_GB2312" w:eastAsia="仿宋_GB2312" w:cs="仿宋_GB2312"/>
          <w:sz w:val="32"/>
          <w:szCs w:val="32"/>
          <w:lang w:val="zh-CN"/>
        </w:rPr>
      </w:pPr>
      <w:bookmarkStart w:id="107" w:name="_Toc18113"/>
      <w:r>
        <w:rPr>
          <w:rFonts w:hint="eastAsia" w:ascii="黑体" w:hAnsi="黑体" w:eastAsia="黑体" w:cs="黑体"/>
          <w:b w:val="0"/>
          <w:bCs/>
          <w:kern w:val="2"/>
          <w:sz w:val="32"/>
          <w:szCs w:val="32"/>
          <w:lang w:val="zh-CN" w:eastAsia="zh-CN" w:bidi="ar-SA"/>
        </w:rPr>
        <w:t>三、绩效分析</w:t>
      </w:r>
      <w:bookmarkEnd w:id="107"/>
      <w:r>
        <w:rPr>
          <w:rFonts w:hint="eastAsia" w:ascii="仿宋_GB2312" w:hAnsi="仿宋_GB2312" w:eastAsia="仿宋_GB2312" w:cs="仿宋_GB2312"/>
          <w:sz w:val="32"/>
          <w:szCs w:val="32"/>
          <w:lang w:val="zh-CN"/>
        </w:rPr>
        <w:tab/>
      </w:r>
    </w:p>
    <w:p>
      <w:pPr>
        <w:pageBreakBefore w:val="0"/>
        <w:numPr>
          <w:ilvl w:val="0"/>
          <w:numId w:val="0"/>
        </w:numPr>
        <w:kinsoku/>
        <w:wordWrap/>
        <w:overflowPunct/>
        <w:topLinePunct w:val="0"/>
        <w:bidi w:val="0"/>
        <w:adjustRightInd w:val="0"/>
        <w:snapToGrid w:val="0"/>
        <w:spacing w:line="576" w:lineRule="exact"/>
        <w:ind w:left="0" w:leftChars="0" w:firstLine="642" w:firstLineChars="200"/>
        <w:outlineLvl w:val="2"/>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（一）通用指标绩效分析</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1.项目决策：红十字会在项目决策上展现出较高的透明度和合理性，确保了决策过程的公正性。</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2.项目管理：红十字会在项目管理上表现出良好的组织和管理能力，但部分内部沟通机制有待改进。</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3.项目实施：大部分项目能够按时完成且符合预期目标。</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4.项目结果：红十字会的项目普遍达到预期效果，对救灾和救护工作贡献显著。</w:t>
      </w:r>
    </w:p>
    <w:p>
      <w:pPr>
        <w:pageBreakBefore w:val="0"/>
        <w:numPr>
          <w:ilvl w:val="0"/>
          <w:numId w:val="0"/>
        </w:numPr>
        <w:kinsoku/>
        <w:wordWrap/>
        <w:overflowPunct/>
        <w:topLinePunct w:val="0"/>
        <w:bidi w:val="0"/>
        <w:adjustRightInd w:val="0"/>
        <w:snapToGrid w:val="0"/>
        <w:spacing w:line="576" w:lineRule="exact"/>
        <w:ind w:left="0" w:leftChars="0" w:firstLine="642" w:firstLineChars="200"/>
        <w:outlineLvl w:val="2"/>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（二）专用指标绩效分析</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w:t>
      </w:r>
      <w:r>
        <w:rPr>
          <w:rFonts w:hint="eastAsia" w:ascii="仿宋_GB2312" w:hAnsi="仿宋_GB2312" w:eastAsia="仿宋_GB2312" w:cs="仿宋_GB2312"/>
          <w:b w:val="0"/>
          <w:bCs w:val="0"/>
          <w:color w:val="auto"/>
          <w:kern w:val="2"/>
          <w:sz w:val="32"/>
          <w:szCs w:val="32"/>
          <w:highlight w:val="none"/>
          <w:lang w:val="zh-CN" w:eastAsia="zh-CN" w:bidi="ar-SA"/>
        </w:rPr>
        <w:t>产业发展：红十字会通过应急救护培训项目有效提升了医疗急救和健康教育领域的专业水平。</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2.民生保障：红十字会的项目在提供救灾物资、救护、救助等方面对民生有显著正面影响。</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3.基础设施：我会在雪花井社区建设应急救护培训基地方面取得一定进展，但后续管护仍待加强。</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4.行政运转：红十字会在资金管理和运营效率方面总体良好。</w:t>
      </w:r>
    </w:p>
    <w:p>
      <w:pPr>
        <w:pageBreakBefore w:val="0"/>
        <w:numPr>
          <w:ilvl w:val="0"/>
          <w:numId w:val="0"/>
        </w:numPr>
        <w:kinsoku/>
        <w:wordWrap/>
        <w:overflowPunct/>
        <w:topLinePunct w:val="0"/>
        <w:bidi w:val="0"/>
        <w:adjustRightInd w:val="0"/>
        <w:snapToGrid w:val="0"/>
        <w:spacing w:line="576" w:lineRule="exact"/>
        <w:ind w:left="0" w:leftChars="0" w:firstLine="642" w:firstLineChars="200"/>
        <w:outlineLvl w:val="2"/>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（三）个性指标绩效分析</w:t>
      </w:r>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红十字会提供的服务质量高，受益者满意度高。</w:t>
      </w:r>
    </w:p>
    <w:p>
      <w:pPr>
        <w:pStyle w:val="5"/>
        <w:pageBreakBefore w:val="0"/>
        <w:tabs>
          <w:tab w:val="left" w:pos="2160"/>
        </w:tabs>
        <w:kinsoku/>
        <w:wordWrap/>
        <w:overflowPunct/>
        <w:topLinePunct w:val="0"/>
        <w:bidi w:val="0"/>
        <w:spacing w:beforeLines="0" w:line="576" w:lineRule="exact"/>
        <w:ind w:left="0" w:leftChars="0" w:firstLine="640" w:firstLineChars="200"/>
        <w:outlineLvl w:val="1"/>
        <w:rPr>
          <w:rFonts w:hint="eastAsia" w:ascii="黑体" w:hAnsi="黑体" w:eastAsia="黑体" w:cs="黑体"/>
          <w:sz w:val="32"/>
          <w:szCs w:val="32"/>
          <w:lang w:eastAsia="zh-CN"/>
        </w:rPr>
      </w:pPr>
      <w:bookmarkStart w:id="108" w:name="_Toc17904"/>
      <w:r>
        <w:rPr>
          <w:rFonts w:hint="eastAsia" w:ascii="黑体" w:hAnsi="黑体" w:eastAsia="黑体" w:cs="黑体"/>
          <w:sz w:val="32"/>
          <w:szCs w:val="32"/>
          <w:lang w:eastAsia="zh-CN"/>
        </w:rPr>
        <w:t>四、评价结论</w:t>
      </w:r>
      <w:bookmarkEnd w:id="108"/>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我会加强项目管理，按照项目方案完成工作，达到项目目标，各项指标均达到年度要求，完成率较好，在项目管理上执行多种举措督促监管，做到了项目建设规范有序，项目运行效果明显。评价总分为</w:t>
      </w:r>
      <w:r>
        <w:rPr>
          <w:rFonts w:hint="eastAsia" w:ascii="仿宋_GB2312" w:hAnsi="仿宋_GB2312" w:eastAsia="仿宋_GB2312" w:cs="仿宋_GB2312"/>
          <w:b w:val="0"/>
          <w:bCs w:val="0"/>
          <w:color w:val="auto"/>
          <w:kern w:val="2"/>
          <w:sz w:val="32"/>
          <w:szCs w:val="32"/>
          <w:highlight w:val="none"/>
          <w:lang w:val="en-US" w:eastAsia="zh-CN" w:bidi="ar-SA"/>
        </w:rPr>
        <w:t>100分</w:t>
      </w:r>
    </w:p>
    <w:p>
      <w:pPr>
        <w:pStyle w:val="5"/>
        <w:pageBreakBefore w:val="0"/>
        <w:tabs>
          <w:tab w:val="left" w:pos="2160"/>
        </w:tabs>
        <w:kinsoku/>
        <w:wordWrap/>
        <w:overflowPunct/>
        <w:topLinePunct w:val="0"/>
        <w:bidi w:val="0"/>
        <w:spacing w:beforeLines="0" w:line="576" w:lineRule="exact"/>
        <w:ind w:left="0" w:leftChars="0" w:firstLine="640" w:firstLineChars="200"/>
        <w:outlineLvl w:val="1"/>
        <w:rPr>
          <w:rFonts w:hint="eastAsia" w:ascii="黑体" w:hAnsi="黑体" w:eastAsia="黑体" w:cs="黑体"/>
          <w:sz w:val="32"/>
          <w:szCs w:val="32"/>
          <w:lang w:eastAsia="zh-CN"/>
        </w:rPr>
      </w:pPr>
      <w:bookmarkStart w:id="109" w:name="_Toc3939"/>
      <w:r>
        <w:rPr>
          <w:rFonts w:hint="eastAsia" w:ascii="黑体" w:hAnsi="黑体" w:eastAsia="黑体" w:cs="黑体"/>
          <w:sz w:val="32"/>
          <w:szCs w:val="32"/>
          <w:lang w:eastAsia="zh-CN"/>
        </w:rPr>
        <w:t>五、存在主要问题</w:t>
      </w:r>
      <w:bookmarkEnd w:id="109"/>
    </w:p>
    <w:p>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在项目决策、项目管理、项目结果等方面表现较好，但在项目实施过程中，我们面临一些问题和挑战，包括人道救助资源配置的不平衡、以及志愿者招募难度大、红十字会知名度不高，影响了人道救助效率和公众参与度。</w:t>
      </w:r>
    </w:p>
    <w:p>
      <w:pPr>
        <w:pStyle w:val="5"/>
        <w:pageBreakBefore w:val="0"/>
        <w:tabs>
          <w:tab w:val="left" w:pos="2160"/>
        </w:tabs>
        <w:kinsoku/>
        <w:wordWrap/>
        <w:overflowPunct/>
        <w:topLinePunct w:val="0"/>
        <w:bidi w:val="0"/>
        <w:spacing w:beforeLines="0" w:line="576" w:lineRule="exact"/>
        <w:ind w:left="0" w:leftChars="0" w:firstLine="640" w:firstLineChars="200"/>
        <w:outlineLvl w:val="1"/>
        <w:rPr>
          <w:rFonts w:hint="eastAsia" w:ascii="黑体" w:hAnsi="黑体" w:eastAsia="黑体" w:cs="黑体"/>
          <w:sz w:val="32"/>
          <w:szCs w:val="32"/>
          <w:lang w:val="zh-CN" w:eastAsia="zh-CN"/>
        </w:rPr>
      </w:pPr>
      <w:bookmarkStart w:id="110" w:name="_Toc1336"/>
      <w:r>
        <w:rPr>
          <w:rFonts w:hint="eastAsia" w:ascii="黑体" w:hAnsi="黑体" w:eastAsia="黑体" w:cs="黑体"/>
          <w:sz w:val="32"/>
          <w:szCs w:val="32"/>
          <w:lang w:val="zh-CN" w:eastAsia="zh-CN"/>
        </w:rPr>
        <w:t>六、改进建议</w:t>
      </w:r>
      <w:bookmarkEnd w:id="110"/>
    </w:p>
    <w:p>
      <w:pPr>
        <w:pageBreakBefore w:val="0"/>
        <w:tabs>
          <w:tab w:val="left" w:pos="1911"/>
        </w:tabs>
        <w:kinsoku/>
        <w:wordWrap/>
        <w:overflowPunct/>
        <w:topLinePunct w:val="0"/>
        <w:autoSpaceDE/>
        <w:autoSpaceDN/>
        <w:bidi w:val="0"/>
        <w:spacing w:line="576" w:lineRule="exact"/>
        <w:ind w:left="0" w:leftChars="0"/>
        <w:jc w:val="left"/>
        <w:textAlignment w:val="auto"/>
        <w:rPr>
          <w:rFonts w:hint="eastAsia" w:ascii="仿宋_GB2312" w:hAnsi="仿宋_GB2312" w:eastAsia="仿宋_GB2312" w:cs="仿宋_GB2312"/>
          <w:b w:val="0"/>
          <w:bCs w:val="0"/>
          <w:color w:val="auto"/>
          <w:kern w:val="2"/>
          <w:sz w:val="32"/>
          <w:szCs w:val="32"/>
          <w:highlight w:val="none"/>
          <w:lang w:val="en" w:eastAsia="zh-CN" w:bidi="ar-SA"/>
        </w:rPr>
      </w:pPr>
      <w:r>
        <w:rPr>
          <w:rFonts w:hint="eastAsia" w:ascii="仿宋_GB2312" w:hAnsi="仿宋_GB2312" w:eastAsia="仿宋_GB2312" w:cs="仿宋_GB2312"/>
          <w:kern w:val="0"/>
          <w:sz w:val="32"/>
          <w:szCs w:val="32"/>
          <w:shd w:val="clear" w:color="auto" w:fill="FFFFFF"/>
          <w:lang w:val="zh-CN"/>
        </w:rPr>
        <w:t xml:space="preserve"> </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b w:val="0"/>
          <w:bCs w:val="0"/>
          <w:color w:val="auto"/>
          <w:kern w:val="2"/>
          <w:sz w:val="32"/>
          <w:szCs w:val="32"/>
          <w:highlight w:val="none"/>
          <w:lang w:val="zh-CN" w:eastAsia="zh-CN" w:bidi="ar-SA"/>
        </w:rPr>
        <w:t xml:space="preserve"> </w:t>
      </w:r>
      <w:bookmarkStart w:id="111" w:name="_Hlk110546638"/>
      <w:r>
        <w:rPr>
          <w:rFonts w:hint="eastAsia" w:ascii="仿宋_GB2312" w:hAnsi="仿宋_GB2312" w:eastAsia="仿宋_GB2312" w:cs="仿宋_GB2312"/>
          <w:b w:val="0"/>
          <w:bCs w:val="0"/>
          <w:color w:val="auto"/>
          <w:kern w:val="2"/>
          <w:sz w:val="32"/>
          <w:szCs w:val="32"/>
          <w:highlight w:val="none"/>
          <w:lang w:val="zh-CN" w:eastAsia="zh-CN" w:bidi="ar-SA"/>
        </w:rPr>
        <w:t>要加大对偏远和资源匮乏地区的关注和支持，平衡资源配置；通过举办应急救护普及培训和其他宣传活动，增强红十字会的社会影响力，招募更多志愿者；利用现代媒体和互联网技术，提高红十字会工作的可见度和认知度。通过这些措施，我们相信红十字会能够更好地完成其使命，更有效地服务社会和公众。</w:t>
      </w:r>
    </w:p>
    <w:p>
      <w:pPr>
        <w:pageBreakBefore w:val="0"/>
        <w:tabs>
          <w:tab w:val="left" w:pos="1911"/>
        </w:tabs>
        <w:kinsoku/>
        <w:wordWrap/>
        <w:overflowPunct/>
        <w:topLinePunct w:val="0"/>
        <w:bidi w:val="0"/>
        <w:spacing w:line="576" w:lineRule="exact"/>
        <w:ind w:left="0" w:leftChars="0"/>
        <w:jc w:val="left"/>
        <w:rPr>
          <w:rFonts w:hint="eastAsia" w:ascii="仿宋_GB2312" w:hAnsi="仿宋_GB2312" w:eastAsia="仿宋_GB2312" w:cs="仿宋_GB2312"/>
          <w:kern w:val="0"/>
          <w:sz w:val="32"/>
          <w:szCs w:val="32"/>
          <w:lang w:val="en"/>
        </w:rPr>
      </w:pPr>
    </w:p>
    <w:bookmarkEnd w:id="111"/>
    <w:p>
      <w:pPr>
        <w:pageBreakBefore w:val="0"/>
        <w:kinsoku/>
        <w:wordWrap/>
        <w:overflowPunct/>
        <w:topLinePunct w:val="0"/>
        <w:bidi w:val="0"/>
        <w:spacing w:line="576" w:lineRule="exact"/>
        <w:ind w:left="0" w:leftChars="0"/>
        <w:outlineLvl w:val="9"/>
        <w:rPr>
          <w:rFonts w:eastAsia="黑体"/>
          <w:kern w:val="0"/>
          <w:shd w:val="clear" w:color="auto" w:fill="FFFFFF"/>
        </w:rPr>
      </w:pPr>
      <w:r>
        <w:rPr>
          <w:rFonts w:hint="eastAsia" w:ascii="仿宋_GB2312" w:hAnsi="仿宋_GB2312" w:eastAsia="仿宋_GB2312" w:cs="仿宋_GB2312"/>
          <w:color w:val="000000"/>
          <w:kern w:val="0"/>
          <w:sz w:val="32"/>
          <w:szCs w:val="32"/>
          <w:shd w:val="clear" w:color="auto" w:fill="FFFFFF"/>
          <w:lang w:val="zh-CN"/>
        </w:rPr>
        <w:br w:type="page"/>
      </w:r>
      <w:r>
        <w:rPr>
          <w:rFonts w:eastAsia="黑体"/>
          <w:kern w:val="0"/>
          <w:shd w:val="clear" w:color="auto" w:fill="FFFFFF"/>
          <w:lang w:val="zh-CN"/>
        </w:rPr>
        <w:t>附表</w:t>
      </w:r>
      <w:r>
        <w:rPr>
          <w:rFonts w:hint="eastAsia" w:eastAsia="黑体"/>
          <w:kern w:val="0"/>
          <w:shd w:val="clear" w:color="auto" w:fill="FFFFFF"/>
        </w:rPr>
        <w:t>2</w:t>
      </w:r>
    </w:p>
    <w:tbl>
      <w:tblPr>
        <w:tblStyle w:val="16"/>
        <w:tblW w:w="10233" w:type="dxa"/>
        <w:jc w:val="center"/>
        <w:tblLayout w:type="fixed"/>
        <w:tblCellMar>
          <w:top w:w="15" w:type="dxa"/>
          <w:left w:w="15" w:type="dxa"/>
          <w:bottom w:w="15" w:type="dxa"/>
          <w:right w:w="15" w:type="dxa"/>
        </w:tblCellMar>
      </w:tblPr>
      <w:tblGrid>
        <w:gridCol w:w="652"/>
        <w:gridCol w:w="799"/>
        <w:gridCol w:w="1275"/>
        <w:gridCol w:w="2268"/>
        <w:gridCol w:w="546"/>
        <w:gridCol w:w="853"/>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noWrap w:val="0"/>
            <w:vAlign w:val="center"/>
          </w:tcPr>
          <w:p>
            <w:pPr>
              <w:pageBreakBefore w:val="0"/>
              <w:widowControl/>
              <w:kinsoku/>
              <w:wordWrap/>
              <w:overflowPunct/>
              <w:topLinePunct w:val="0"/>
              <w:bidi w:val="0"/>
              <w:spacing w:line="576" w:lineRule="exact"/>
              <w:ind w:left="0" w:leftChars="0"/>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770" w:hRule="atLeast"/>
          <w:jc w:val="center"/>
        </w:trPr>
        <w:tc>
          <w:tcPr>
            <w:tcW w:w="4994" w:type="dxa"/>
            <w:gridSpan w:val="4"/>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项目名称</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rPr>
                <w:rFonts w:ascii="宋体" w:hAnsi="宋体" w:eastAsia="宋体" w:cs="宋体"/>
                <w:color w:val="000000"/>
                <w:sz w:val="24"/>
                <w:szCs w:val="24"/>
              </w:rPr>
            </w:pPr>
            <w:r>
              <w:rPr>
                <w:rFonts w:hint="eastAsia" w:ascii="宋体" w:hAnsi="宋体" w:eastAsia="宋体" w:cs="宋体"/>
                <w:color w:val="000000"/>
                <w:sz w:val="24"/>
                <w:szCs w:val="24"/>
              </w:rPr>
              <w:t>51322323T000007894488-茂县红十字会红十字事业发展工作经费</w:t>
            </w:r>
          </w:p>
        </w:tc>
      </w:tr>
      <w:tr>
        <w:tblPrEx>
          <w:tblCellMar>
            <w:top w:w="15" w:type="dxa"/>
            <w:left w:w="15" w:type="dxa"/>
            <w:bottom w:w="15" w:type="dxa"/>
            <w:right w:w="15" w:type="dxa"/>
          </w:tblCellMar>
        </w:tblPrEx>
        <w:trPr>
          <w:trHeight w:val="508" w:hRule="atLeast"/>
          <w:jc w:val="center"/>
        </w:trPr>
        <w:tc>
          <w:tcPr>
            <w:tcW w:w="4994" w:type="dxa"/>
            <w:gridSpan w:val="4"/>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预算单位</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rPr>
                <w:rFonts w:ascii="宋体" w:hAnsi="宋体" w:eastAsia="宋体" w:cs="宋体"/>
                <w:color w:val="000000"/>
                <w:sz w:val="24"/>
                <w:szCs w:val="24"/>
              </w:rPr>
            </w:pPr>
            <w:r>
              <w:rPr>
                <w:rFonts w:hint="eastAsia" w:ascii="宋体" w:hAnsi="宋体" w:eastAsia="宋体" w:cs="宋体"/>
                <w:color w:val="000000"/>
                <w:sz w:val="24"/>
                <w:szCs w:val="24"/>
              </w:rPr>
              <w:t>茂县红十字会</w:t>
            </w:r>
          </w:p>
        </w:tc>
      </w:tr>
      <w:tr>
        <w:tblPrEx>
          <w:tblCellMar>
            <w:top w:w="15" w:type="dxa"/>
            <w:left w:w="15" w:type="dxa"/>
            <w:bottom w:w="15" w:type="dxa"/>
            <w:right w:w="15" w:type="dxa"/>
          </w:tblCellMar>
        </w:tblPrEx>
        <w:trPr>
          <w:trHeight w:val="545" w:hRule="atLeast"/>
          <w:jc w:val="center"/>
        </w:trPr>
        <w:tc>
          <w:tcPr>
            <w:tcW w:w="4994" w:type="dxa"/>
            <w:gridSpan w:val="4"/>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项目类型</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红十字会事业发展工作经费</w:t>
            </w:r>
          </w:p>
        </w:tc>
      </w:tr>
      <w:tr>
        <w:tblPrEx>
          <w:tblCellMar>
            <w:top w:w="15" w:type="dxa"/>
            <w:left w:w="15" w:type="dxa"/>
            <w:bottom w:w="15" w:type="dxa"/>
            <w:right w:w="15" w:type="dxa"/>
          </w:tblCellMar>
        </w:tblPrEx>
        <w:trPr>
          <w:trHeight w:val="176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 概况</w:t>
            </w:r>
          </w:p>
        </w:tc>
        <w:tc>
          <w:tcPr>
            <w:tcW w:w="4342"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常年项目）</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left"/>
              <w:rPr>
                <w:rFonts w:ascii="宋体" w:hAnsi="宋体" w:eastAsia="宋体" w:cs="宋体"/>
                <w:color w:val="000000"/>
                <w:sz w:val="24"/>
                <w:szCs w:val="24"/>
              </w:rPr>
            </w:pPr>
            <w:r>
              <w:rPr>
                <w:rFonts w:hint="eastAsia" w:ascii="宋体" w:hAnsi="宋体" w:eastAsia="宋体" w:cs="宋体"/>
                <w:sz w:val="24"/>
                <w:szCs w:val="24"/>
                <w:lang w:val="zh-CN"/>
              </w:rPr>
              <w:t>根据《四川省人民政府办公厅关于印发四川省红十字会改革方案的通知》（川办发［2020］23号）、《阿坝州人民政府办公室关于印发阿坝州红十字会改革方案的通知》（阿府办发［2021］3号）等文件要求</w:t>
            </w:r>
          </w:p>
        </w:tc>
      </w:tr>
      <w:tr>
        <w:tblPrEx>
          <w:tblCellMar>
            <w:top w:w="15" w:type="dxa"/>
            <w:left w:w="15" w:type="dxa"/>
            <w:bottom w:w="15" w:type="dxa"/>
            <w:right w:w="15" w:type="dxa"/>
          </w:tblCellMar>
        </w:tblPrEx>
        <w:trPr>
          <w:trHeight w:val="582"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rPr>
                <w:rFonts w:ascii="宋体" w:hAnsi="宋体" w:eastAsia="宋体" w:cs="宋体"/>
                <w:color w:val="000000"/>
                <w:sz w:val="24"/>
                <w:szCs w:val="24"/>
              </w:rPr>
            </w:pPr>
          </w:p>
        </w:tc>
        <w:tc>
          <w:tcPr>
            <w:tcW w:w="4342"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资金管理办法（名称、文号）</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1464"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rPr>
                <w:rFonts w:ascii="宋体" w:hAnsi="宋体" w:eastAsia="宋体" w:cs="宋体"/>
                <w:color w:val="000000"/>
                <w:sz w:val="24"/>
                <w:szCs w:val="24"/>
              </w:rPr>
            </w:pPr>
          </w:p>
        </w:tc>
        <w:tc>
          <w:tcPr>
            <w:tcW w:w="4342"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绩效分配方式</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1914"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52"/>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tblPrEx>
          <w:tblCellMar>
            <w:top w:w="15" w:type="dxa"/>
            <w:left w:w="15" w:type="dxa"/>
            <w:bottom w:w="15" w:type="dxa"/>
            <w:right w:w="15" w:type="dxa"/>
          </w:tblCellMar>
        </w:tblPrEx>
        <w:trPr>
          <w:trHeight w:val="2327"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rPr>
                <w:rFonts w:ascii="宋体" w:hAnsi="宋体" w:eastAsia="宋体" w:cs="宋体"/>
                <w:color w:val="000000"/>
                <w:sz w:val="24"/>
                <w:szCs w:val="24"/>
              </w:rPr>
            </w:pPr>
          </w:p>
        </w:tc>
        <w:tc>
          <w:tcPr>
            <w:tcW w:w="4342"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立项依据</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left"/>
              <w:rPr>
                <w:rFonts w:hint="eastAsia" w:ascii="宋体" w:hAnsi="宋体" w:eastAsia="宋体" w:cs="宋体"/>
                <w:sz w:val="24"/>
                <w:szCs w:val="24"/>
                <w:lang w:val="en-US" w:eastAsia="zh-CN"/>
              </w:rPr>
            </w:pPr>
            <w:r>
              <w:rPr>
                <w:rFonts w:hint="eastAsia" w:ascii="宋体" w:hAnsi="宋体" w:eastAsia="宋体" w:cs="宋体"/>
                <w:sz w:val="24"/>
                <w:szCs w:val="24"/>
                <w:lang w:val="zh-CN"/>
              </w:rPr>
              <w:t>根据《四川省人民政府办公厅关于印发四川省红十字会改革方案的通知》（川办发［2020］23号）、《阿坝州人民政府办公室关于印发阿坝州红十字会改革方案的通知》（阿府办发［2021］3号）等文件要求以及州委吴立岩副书记、州政府王树明副州长等领导讲话精神纳入预算。</w:t>
            </w:r>
          </w:p>
          <w:p>
            <w:pPr>
              <w:pageBreakBefore w:val="0"/>
              <w:kinsoku/>
              <w:wordWrap/>
              <w:overflowPunct/>
              <w:topLinePunct w:val="0"/>
              <w:bidi w:val="0"/>
              <w:spacing w:line="576" w:lineRule="exact"/>
              <w:ind w:left="0" w:leftChars="0"/>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1839"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rPr>
                <w:rFonts w:ascii="宋体" w:hAnsi="宋体" w:eastAsia="宋体" w:cs="宋体"/>
                <w:color w:val="000000"/>
                <w:sz w:val="24"/>
                <w:szCs w:val="24"/>
              </w:rPr>
            </w:pPr>
          </w:p>
        </w:tc>
        <w:tc>
          <w:tcPr>
            <w:tcW w:w="4342"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使用范围</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开展保护人的生命和健康，维护人的尊严，培育和践行社会主义核心价值观，弘扬人道、博爱、奉献精神，保障和规范红十字依法履行职责，更好地促进红十字事业发展</w:t>
            </w:r>
            <w:r>
              <w:rPr>
                <w:rFonts w:hint="eastAsia" w:ascii="宋体" w:hAnsi="宋体" w:eastAsia="宋体" w:cs="宋体"/>
                <w:color w:val="000000"/>
                <w:sz w:val="24"/>
                <w:szCs w:val="24"/>
                <w:lang w:eastAsia="zh-CN"/>
              </w:rPr>
              <w:t>中</w:t>
            </w:r>
          </w:p>
        </w:tc>
      </w:tr>
      <w:tr>
        <w:tblPrEx>
          <w:tblCellMar>
            <w:top w:w="15" w:type="dxa"/>
            <w:left w:w="15" w:type="dxa"/>
            <w:bottom w:w="15" w:type="dxa"/>
            <w:right w:w="15" w:type="dxa"/>
          </w:tblCellMar>
        </w:tblPrEx>
        <w:trPr>
          <w:trHeight w:val="545"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rPr>
                <w:rFonts w:ascii="宋体" w:hAnsi="宋体" w:eastAsia="宋体" w:cs="宋体"/>
                <w:color w:val="000000"/>
                <w:sz w:val="24"/>
                <w:szCs w:val="24"/>
              </w:rPr>
            </w:pPr>
          </w:p>
        </w:tc>
        <w:tc>
          <w:tcPr>
            <w:tcW w:w="4342"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申报（补助）条件</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414"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rPr>
                <w:rFonts w:ascii="宋体" w:hAnsi="宋体" w:eastAsia="宋体" w:cs="宋体"/>
                <w:color w:val="000000"/>
                <w:sz w:val="24"/>
                <w:szCs w:val="24"/>
              </w:rPr>
            </w:pPr>
          </w:p>
        </w:tc>
        <w:tc>
          <w:tcPr>
            <w:tcW w:w="4342"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项目起止年限</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2024年度</w:t>
            </w:r>
          </w:p>
        </w:tc>
      </w:tr>
      <w:tr>
        <w:tblPrEx>
          <w:tblCellMar>
            <w:top w:w="15" w:type="dxa"/>
            <w:left w:w="15" w:type="dxa"/>
            <w:bottom w:w="15" w:type="dxa"/>
            <w:right w:w="15" w:type="dxa"/>
          </w:tblCellMar>
        </w:tblPrEx>
        <w:trPr>
          <w:trHeight w:val="451" w:hRule="atLeast"/>
          <w:jc w:val="center"/>
        </w:trPr>
        <w:tc>
          <w:tcPr>
            <w:tcW w:w="145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（万元）</w:t>
            </w:r>
          </w:p>
        </w:tc>
        <w:tc>
          <w:tcPr>
            <w:tcW w:w="35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年度资金总额：</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firstLine="480" w:firstLineChars="200"/>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r>
      <w:tr>
        <w:tblPrEx>
          <w:tblCellMar>
            <w:top w:w="15" w:type="dxa"/>
            <w:left w:w="15" w:type="dxa"/>
            <w:bottom w:w="15" w:type="dxa"/>
            <w:right w:w="15" w:type="dxa"/>
          </w:tblCellMar>
        </w:tblPrEx>
        <w:trPr>
          <w:trHeight w:val="432" w:hRule="atLeast"/>
          <w:jc w:val="center"/>
        </w:trPr>
        <w:tc>
          <w:tcPr>
            <w:tcW w:w="14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rPr>
                <w:rFonts w:ascii="宋体" w:hAnsi="宋体" w:eastAsia="宋体" w:cs="宋体"/>
                <w:color w:val="000000"/>
                <w:sz w:val="24"/>
                <w:szCs w:val="24"/>
              </w:rPr>
            </w:pPr>
          </w:p>
        </w:tc>
        <w:tc>
          <w:tcPr>
            <w:tcW w:w="35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firstLine="480" w:firstLineChars="200"/>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r>
      <w:tr>
        <w:tblPrEx>
          <w:tblCellMar>
            <w:top w:w="15" w:type="dxa"/>
            <w:left w:w="15" w:type="dxa"/>
            <w:bottom w:w="15" w:type="dxa"/>
            <w:right w:w="15" w:type="dxa"/>
          </w:tblCellMar>
        </w:tblPrEx>
        <w:trPr>
          <w:trHeight w:val="451" w:hRule="atLeast"/>
          <w:jc w:val="center"/>
        </w:trPr>
        <w:tc>
          <w:tcPr>
            <w:tcW w:w="14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rPr>
                <w:rFonts w:ascii="宋体" w:hAnsi="宋体" w:eastAsia="宋体" w:cs="宋体"/>
                <w:color w:val="000000"/>
                <w:sz w:val="24"/>
                <w:szCs w:val="24"/>
              </w:rPr>
            </w:pPr>
          </w:p>
        </w:tc>
        <w:tc>
          <w:tcPr>
            <w:tcW w:w="35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其他资金</w:t>
            </w:r>
          </w:p>
        </w:tc>
        <w:tc>
          <w:tcPr>
            <w:tcW w:w="5239" w:type="dxa"/>
            <w:gridSpan w:val="5"/>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432"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年度目标</w:t>
            </w:r>
          </w:p>
        </w:tc>
      </w:tr>
      <w:tr>
        <w:tblPrEx>
          <w:tblCellMar>
            <w:top w:w="15" w:type="dxa"/>
            <w:left w:w="15" w:type="dxa"/>
            <w:bottom w:w="15" w:type="dxa"/>
            <w:right w:w="15" w:type="dxa"/>
          </w:tblCellMar>
        </w:tblPrEx>
        <w:trPr>
          <w:trHeight w:val="16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center"/>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center"/>
              <w:rPr>
                <w:rFonts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发展基层红十字会组织、基层红十字会会员、志愿者工作、救护员培训工作、应急救护基地运行维护费等红十字事业发展工作经费。通过开展保护人的生命和健康，维护人的</w:t>
            </w:r>
            <w:r>
              <w:rPr>
                <w:rFonts w:hint="eastAsia" w:ascii="宋体" w:hAnsi="宋体" w:eastAsia="宋体" w:cs="宋体"/>
                <w:i w:val="0"/>
                <w:iCs w:val="0"/>
                <w:color w:val="000000"/>
                <w:kern w:val="0"/>
                <w:sz w:val="24"/>
                <w:szCs w:val="24"/>
                <w:u w:val="none"/>
                <w:lang w:val="en-US" w:eastAsia="zh-CN" w:bidi="ar"/>
              </w:rPr>
              <w:t>尊严，培育和践行社会主义核心价值观，弘扬人道、博爱、奉献精神，保障和规范红十字会依法履行职责，更好地促进红十字事业发展</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 指标</w:t>
            </w:r>
          </w:p>
        </w:tc>
        <w:tc>
          <w:tcPr>
            <w:tcW w:w="799"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一级指标</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二级指标</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三级指标</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指标性质</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实际完成指标值</w:t>
            </w:r>
          </w:p>
        </w:tc>
      </w:tr>
      <w:tr>
        <w:tblPrEx>
          <w:tblCellMar>
            <w:top w:w="15" w:type="dxa"/>
            <w:left w:w="15" w:type="dxa"/>
            <w:bottom w:w="15" w:type="dxa"/>
            <w:right w:w="15" w:type="dxa"/>
          </w:tblCellMar>
        </w:tblPrEx>
        <w:trPr>
          <w:trHeight w:val="1230"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pageBreakBefore w:val="0"/>
              <w:kinsoku/>
              <w:wordWrap/>
              <w:overflowPunct/>
              <w:topLinePunct w:val="0"/>
              <w:bidi w:val="0"/>
              <w:spacing w:line="576" w:lineRule="exact"/>
              <w:ind w:left="0" w:leftChars="0"/>
              <w:jc w:val="center"/>
              <w:rPr>
                <w:rFonts w:ascii="宋体" w:hAnsi="宋体" w:eastAsia="宋体" w:cs="宋体"/>
                <w:color w:val="000000"/>
                <w:sz w:val="24"/>
                <w:szCs w:val="24"/>
              </w:rPr>
            </w:pPr>
          </w:p>
        </w:tc>
        <w:tc>
          <w:tcPr>
            <w:tcW w:w="799" w:type="dxa"/>
            <w:vMerge w:val="restart"/>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产出指标</w:t>
            </w:r>
          </w:p>
        </w:tc>
        <w:tc>
          <w:tcPr>
            <w:tcW w:w="1275" w:type="dxa"/>
            <w:vMerge w:val="restart"/>
            <w:tcBorders>
              <w:top w:val="single" w:color="000000" w:sz="4" w:space="0"/>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数量指标</w:t>
            </w:r>
          </w:p>
        </w:tc>
        <w:tc>
          <w:tcPr>
            <w:tcW w:w="2268" w:type="dxa"/>
            <w:tcBorders>
              <w:top w:val="single" w:color="000000" w:sz="4" w:space="0"/>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hint="eastAsia" w:eastAsia="宋体"/>
                <w:color w:val="000000"/>
                <w:kern w:val="0"/>
                <w:sz w:val="24"/>
                <w:szCs w:val="24"/>
                <w:lang w:val="en-US" w:eastAsia="zh-CN" w:bidi="ar"/>
              </w:rPr>
              <w:t>发展红十字会员、志愿者、三救三献等红十字事业工作</w:t>
            </w:r>
          </w:p>
        </w:tc>
        <w:tc>
          <w:tcPr>
            <w:tcW w:w="54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w:t>
            </w:r>
          </w:p>
        </w:tc>
        <w:tc>
          <w:tcPr>
            <w:tcW w:w="853"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2000</w:t>
            </w:r>
          </w:p>
        </w:tc>
        <w:tc>
          <w:tcPr>
            <w:tcW w:w="106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lang w:eastAsia="zh-CN"/>
              </w:rPr>
            </w:pPr>
            <w:r>
              <w:rPr>
                <w:rFonts w:hint="eastAsia" w:ascii="宋体" w:hAnsi="宋体" w:eastAsia="宋体" w:cs="宋体"/>
                <w:i w:val="0"/>
                <w:iCs w:val="0"/>
                <w:color w:val="000000"/>
                <w:kern w:val="0"/>
                <w:sz w:val="24"/>
                <w:szCs w:val="24"/>
                <w:u w:val="none"/>
                <w:lang w:val="en-US" w:eastAsia="zh-CN" w:bidi="ar"/>
              </w:rPr>
              <w:t>人次</w:t>
            </w:r>
          </w:p>
        </w:tc>
        <w:tc>
          <w:tcPr>
            <w:tcW w:w="93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12</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921"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pageBreakBefore w:val="0"/>
              <w:kinsoku/>
              <w:wordWrap/>
              <w:overflowPunct/>
              <w:topLinePunct w:val="0"/>
              <w:bidi w:val="0"/>
              <w:spacing w:line="576" w:lineRule="exact"/>
              <w:ind w:left="0" w:leftChars="0"/>
              <w:jc w:val="center"/>
              <w:rPr>
                <w:rFonts w:ascii="宋体" w:hAnsi="宋体" w:eastAsia="宋体" w:cs="宋体"/>
                <w:color w:val="000000"/>
                <w:sz w:val="24"/>
                <w:szCs w:val="24"/>
              </w:rPr>
            </w:pPr>
          </w:p>
        </w:tc>
        <w:tc>
          <w:tcPr>
            <w:tcW w:w="799" w:type="dxa"/>
            <w:vMerge w:val="continue"/>
            <w:tcBorders>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0"/>
                <w:sz w:val="24"/>
                <w:szCs w:val="24"/>
                <w:lang w:bidi="ar"/>
              </w:rPr>
            </w:pPr>
          </w:p>
        </w:tc>
        <w:tc>
          <w:tcPr>
            <w:tcW w:w="1275" w:type="dxa"/>
            <w:vMerge w:val="continue"/>
            <w:tcBorders>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0"/>
                <w:sz w:val="24"/>
                <w:szCs w:val="24"/>
                <w:lang w:bidi="ar"/>
              </w:rPr>
            </w:pPr>
          </w:p>
        </w:tc>
        <w:tc>
          <w:tcPr>
            <w:tcW w:w="2268" w:type="dxa"/>
            <w:tcBorders>
              <w:top w:val="single" w:color="000000" w:sz="4" w:space="0"/>
              <w:left w:val="single" w:color="000000" w:sz="4" w:space="0"/>
              <w:right w:val="single" w:color="000000" w:sz="4" w:space="0"/>
            </w:tcBorders>
            <w:noWrap w:val="0"/>
            <w:vAlign w:val="top"/>
          </w:tcPr>
          <w:p>
            <w:pPr>
              <w:pageBreakBefore w:val="0"/>
              <w:widowControl/>
              <w:kinsoku/>
              <w:wordWrap/>
              <w:overflowPunct/>
              <w:topLinePunct w:val="0"/>
              <w:bidi w:val="0"/>
              <w:spacing w:line="576" w:lineRule="exact"/>
              <w:ind w:left="0" w:leftChars="0"/>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 </w:t>
            </w:r>
          </w:p>
          <w:p>
            <w:pPr>
              <w:pageBreakBefore w:val="0"/>
              <w:widowControl/>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rPr>
            </w:pPr>
            <w:r>
              <w:rPr>
                <w:rFonts w:hint="eastAsia" w:ascii="Times New Roman" w:hAnsi="Times New Roman" w:eastAsia="宋体" w:cs="Times New Roman"/>
                <w:color w:val="000000"/>
                <w:kern w:val="0"/>
                <w:sz w:val="24"/>
                <w:szCs w:val="24"/>
                <w:lang w:val="en-US" w:eastAsia="zh-CN" w:bidi="ar"/>
              </w:rPr>
              <w:t>开展应急救护培训、应急救护普及培训</w:t>
            </w:r>
          </w:p>
        </w:tc>
        <w:tc>
          <w:tcPr>
            <w:tcW w:w="54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w:t>
            </w:r>
          </w:p>
        </w:tc>
        <w:tc>
          <w:tcPr>
            <w:tcW w:w="853"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2060</w:t>
            </w:r>
          </w:p>
        </w:tc>
        <w:tc>
          <w:tcPr>
            <w:tcW w:w="106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lang w:eastAsia="zh-CN"/>
              </w:rPr>
            </w:pPr>
            <w:r>
              <w:rPr>
                <w:rFonts w:hint="eastAsia" w:ascii="宋体" w:hAnsi="宋体" w:eastAsia="宋体" w:cs="宋体"/>
                <w:i w:val="0"/>
                <w:iCs w:val="0"/>
                <w:color w:val="000000"/>
                <w:kern w:val="0"/>
                <w:sz w:val="24"/>
                <w:szCs w:val="24"/>
                <w:u w:val="none"/>
                <w:lang w:val="en-US" w:eastAsia="zh-CN" w:bidi="ar"/>
              </w:rPr>
              <w:t>人次</w:t>
            </w:r>
          </w:p>
        </w:tc>
        <w:tc>
          <w:tcPr>
            <w:tcW w:w="93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12</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96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pageBreakBefore w:val="0"/>
              <w:kinsoku/>
              <w:wordWrap/>
              <w:overflowPunct/>
              <w:topLinePunct w:val="0"/>
              <w:bidi w:val="0"/>
              <w:spacing w:line="576" w:lineRule="exact"/>
              <w:ind w:left="0" w:leftChars="0"/>
              <w:jc w:val="center"/>
              <w:rPr>
                <w:rFonts w:ascii="宋体" w:hAnsi="宋体" w:eastAsia="宋体" w:cs="宋体"/>
                <w:color w:val="000000"/>
                <w:sz w:val="24"/>
                <w:szCs w:val="24"/>
              </w:rPr>
            </w:pPr>
          </w:p>
        </w:tc>
        <w:tc>
          <w:tcPr>
            <w:tcW w:w="799" w:type="dxa"/>
            <w:vMerge w:val="continue"/>
            <w:tcBorders>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0"/>
                <w:sz w:val="24"/>
                <w:szCs w:val="24"/>
                <w:lang w:bidi="ar"/>
              </w:rPr>
            </w:pPr>
          </w:p>
        </w:tc>
        <w:tc>
          <w:tcPr>
            <w:tcW w:w="1275" w:type="dxa"/>
            <w:vMerge w:val="continue"/>
            <w:tcBorders>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0"/>
                <w:sz w:val="24"/>
                <w:szCs w:val="24"/>
                <w:lang w:bidi="ar"/>
              </w:rPr>
            </w:pPr>
          </w:p>
        </w:tc>
        <w:tc>
          <w:tcPr>
            <w:tcW w:w="2268" w:type="dxa"/>
            <w:tcBorders>
              <w:top w:val="single" w:color="000000" w:sz="4" w:space="0"/>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rPr>
            </w:pPr>
            <w:r>
              <w:rPr>
                <w:rFonts w:hint="eastAsia" w:eastAsia="宋体"/>
                <w:color w:val="000000"/>
                <w:kern w:val="0"/>
                <w:sz w:val="24"/>
                <w:szCs w:val="24"/>
                <w:lang w:val="en-US" w:eastAsia="zh-CN" w:bidi="ar"/>
              </w:rPr>
              <w:t>开展大病救助工作</w:t>
            </w:r>
          </w:p>
        </w:tc>
        <w:tc>
          <w:tcPr>
            <w:tcW w:w="54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w:t>
            </w:r>
          </w:p>
        </w:tc>
        <w:tc>
          <w:tcPr>
            <w:tcW w:w="853"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20</w:t>
            </w:r>
          </w:p>
        </w:tc>
        <w:tc>
          <w:tcPr>
            <w:tcW w:w="106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lang w:eastAsia="zh-CN"/>
              </w:rPr>
            </w:pPr>
            <w:r>
              <w:rPr>
                <w:rFonts w:hint="eastAsia" w:ascii="宋体" w:hAnsi="宋体" w:eastAsia="宋体" w:cs="宋体"/>
                <w:i w:val="0"/>
                <w:iCs w:val="0"/>
                <w:color w:val="000000"/>
                <w:kern w:val="0"/>
                <w:sz w:val="24"/>
                <w:szCs w:val="24"/>
                <w:u w:val="none"/>
                <w:lang w:val="en-US" w:eastAsia="zh-CN" w:bidi="ar"/>
              </w:rPr>
              <w:t>人次</w:t>
            </w:r>
          </w:p>
        </w:tc>
        <w:tc>
          <w:tcPr>
            <w:tcW w:w="93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12</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855"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pageBreakBefore w:val="0"/>
              <w:kinsoku/>
              <w:wordWrap/>
              <w:overflowPunct/>
              <w:topLinePunct w:val="0"/>
              <w:bidi w:val="0"/>
              <w:spacing w:line="576" w:lineRule="exact"/>
              <w:ind w:left="0" w:leftChars="0"/>
              <w:jc w:val="center"/>
              <w:rPr>
                <w:rFonts w:ascii="宋体" w:hAnsi="宋体" w:eastAsia="宋体" w:cs="宋体"/>
                <w:color w:val="000000"/>
                <w:sz w:val="24"/>
                <w:szCs w:val="24"/>
              </w:rPr>
            </w:pPr>
          </w:p>
        </w:tc>
        <w:tc>
          <w:tcPr>
            <w:tcW w:w="799"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center"/>
              <w:rPr>
                <w:rFonts w:ascii="宋体" w:hAnsi="宋体" w:eastAsia="宋体" w:cs="宋体"/>
                <w:color w:val="000000"/>
                <w:sz w:val="24"/>
                <w:szCs w:val="24"/>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时效指标</w:t>
            </w:r>
          </w:p>
        </w:tc>
        <w:tc>
          <w:tcPr>
            <w:tcW w:w="2268" w:type="dxa"/>
            <w:tcBorders>
              <w:top w:val="single" w:color="000000" w:sz="4" w:space="0"/>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此项工作在2024年度内完成</w:t>
            </w:r>
          </w:p>
        </w:tc>
        <w:tc>
          <w:tcPr>
            <w:tcW w:w="546" w:type="dxa"/>
            <w:tcBorders>
              <w:top w:val="single" w:color="000000" w:sz="4" w:space="0"/>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853" w:type="dxa"/>
            <w:tcBorders>
              <w:top w:val="single" w:color="000000" w:sz="4" w:space="0"/>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100</w:t>
            </w:r>
          </w:p>
        </w:tc>
        <w:tc>
          <w:tcPr>
            <w:tcW w:w="1061" w:type="dxa"/>
            <w:tcBorders>
              <w:top w:val="single" w:color="000000" w:sz="4" w:space="0"/>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938" w:type="dxa"/>
            <w:tcBorders>
              <w:top w:val="single" w:color="000000" w:sz="4" w:space="0"/>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12</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100%</w:t>
            </w:r>
          </w:p>
        </w:tc>
      </w:tr>
      <w:tr>
        <w:tblPrEx>
          <w:tblCellMar>
            <w:top w:w="15" w:type="dxa"/>
            <w:left w:w="15" w:type="dxa"/>
            <w:bottom w:w="15" w:type="dxa"/>
            <w:right w:w="15" w:type="dxa"/>
          </w:tblCellMar>
        </w:tblPrEx>
        <w:trPr>
          <w:trHeight w:val="1980"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pageBreakBefore w:val="0"/>
              <w:kinsoku/>
              <w:wordWrap/>
              <w:overflowPunct/>
              <w:topLinePunct w:val="0"/>
              <w:bidi w:val="0"/>
              <w:spacing w:line="576" w:lineRule="exact"/>
              <w:ind w:left="0" w:leftChars="0"/>
              <w:jc w:val="center"/>
              <w:rPr>
                <w:rFonts w:ascii="宋体" w:hAnsi="宋体" w:eastAsia="宋体" w:cs="宋体"/>
                <w:color w:val="000000"/>
                <w:sz w:val="24"/>
                <w:szCs w:val="24"/>
              </w:rPr>
            </w:pPr>
          </w:p>
        </w:tc>
        <w:tc>
          <w:tcPr>
            <w:tcW w:w="799" w:type="dxa"/>
            <w:tcBorders>
              <w:top w:val="single" w:color="000000" w:sz="4" w:space="0"/>
              <w:left w:val="single" w:color="000000" w:sz="4" w:space="0"/>
              <w:bottom w:val="single" w:color="auto"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效益指标</w:t>
            </w:r>
          </w:p>
        </w:tc>
        <w:tc>
          <w:tcPr>
            <w:tcW w:w="1275" w:type="dxa"/>
            <w:tcBorders>
              <w:top w:val="single" w:color="000000" w:sz="4" w:space="0"/>
              <w:left w:val="single" w:color="000000" w:sz="4" w:space="0"/>
              <w:bottom w:val="single" w:color="auto"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w:t>
            </w:r>
          </w:p>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p>
        </w:tc>
        <w:tc>
          <w:tcPr>
            <w:tcW w:w="2268" w:type="dxa"/>
            <w:tcBorders>
              <w:top w:val="single" w:color="000000" w:sz="4" w:space="0"/>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hint="eastAsia" w:eastAsia="宋体"/>
                <w:color w:val="000000"/>
                <w:kern w:val="0"/>
                <w:sz w:val="24"/>
                <w:szCs w:val="24"/>
                <w:lang w:val="en-US" w:eastAsia="zh-CN" w:bidi="ar"/>
              </w:rPr>
              <w:t>就发展红十字事业是救助社会生命的极其重要的社会工作，要不断地提高红十字事业地发展</w:t>
            </w:r>
          </w:p>
        </w:tc>
        <w:tc>
          <w:tcPr>
            <w:tcW w:w="54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w:t>
            </w:r>
          </w:p>
        </w:tc>
        <w:tc>
          <w:tcPr>
            <w:tcW w:w="853"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95</w:t>
            </w:r>
          </w:p>
        </w:tc>
        <w:tc>
          <w:tcPr>
            <w:tcW w:w="106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w:t>
            </w:r>
          </w:p>
        </w:tc>
        <w:tc>
          <w:tcPr>
            <w:tcW w:w="93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1631"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pageBreakBefore w:val="0"/>
              <w:kinsoku/>
              <w:wordWrap/>
              <w:overflowPunct/>
              <w:topLinePunct w:val="0"/>
              <w:bidi w:val="0"/>
              <w:spacing w:line="576" w:lineRule="exact"/>
              <w:ind w:left="0" w:leftChars="0"/>
              <w:jc w:val="center"/>
              <w:rPr>
                <w:rFonts w:ascii="宋体" w:hAnsi="宋体" w:eastAsia="宋体" w:cs="宋体"/>
                <w:color w:val="000000"/>
                <w:sz w:val="24"/>
                <w:szCs w:val="24"/>
              </w:rPr>
            </w:pPr>
          </w:p>
        </w:tc>
        <w:tc>
          <w:tcPr>
            <w:tcW w:w="799" w:type="dxa"/>
            <w:tcBorders>
              <w:top w:val="single" w:color="000000" w:sz="4" w:space="0"/>
              <w:left w:val="single" w:color="000000" w:sz="4" w:space="0"/>
              <w:bottom w:val="single" w:color="auto"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满意度</w:t>
            </w:r>
          </w:p>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2"/>
                <w:sz w:val="24"/>
                <w:szCs w:val="24"/>
                <w:lang w:val="en-US" w:eastAsia="zh-CN" w:bidi="ar-SA"/>
              </w:rPr>
            </w:pPr>
            <w:r>
              <w:rPr>
                <w:rFonts w:ascii="宋体" w:hAnsi="宋体" w:eastAsia="宋体" w:cs="宋体"/>
                <w:color w:val="000000"/>
                <w:kern w:val="0"/>
                <w:sz w:val="24"/>
                <w:szCs w:val="24"/>
                <w:lang w:bidi="ar"/>
              </w:rPr>
              <w:t>指标</w:t>
            </w:r>
          </w:p>
        </w:tc>
        <w:tc>
          <w:tcPr>
            <w:tcW w:w="1275" w:type="dxa"/>
            <w:tcBorders>
              <w:top w:val="single" w:color="000000" w:sz="4" w:space="0"/>
              <w:left w:val="single" w:color="000000" w:sz="4" w:space="0"/>
              <w:bottom w:val="single" w:color="auto"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pPr>
              <w:pageBreakBefore w:val="0"/>
              <w:widowControl/>
              <w:kinsoku/>
              <w:wordWrap/>
              <w:overflowPunct/>
              <w:topLinePunct w:val="0"/>
              <w:bidi w:val="0"/>
              <w:spacing w:line="576" w:lineRule="exact"/>
              <w:ind w:left="0" w:leftChars="0"/>
              <w:jc w:val="center"/>
              <w:textAlignment w:val="center"/>
              <w:rPr>
                <w:rFonts w:ascii="宋体" w:hAnsi="宋体" w:eastAsia="宋体" w:cs="宋体"/>
                <w:color w:val="000000"/>
                <w:kern w:val="2"/>
                <w:sz w:val="24"/>
                <w:szCs w:val="24"/>
                <w:lang w:val="en-US" w:eastAsia="zh-CN" w:bidi="ar-SA"/>
              </w:rPr>
            </w:pPr>
            <w:r>
              <w:rPr>
                <w:rFonts w:ascii="宋体" w:hAnsi="宋体" w:eastAsia="宋体" w:cs="宋体"/>
                <w:color w:val="000000"/>
                <w:kern w:val="0"/>
                <w:sz w:val="24"/>
                <w:szCs w:val="24"/>
                <w:lang w:bidi="ar"/>
              </w:rPr>
              <w:t>满意度指标</w:t>
            </w:r>
          </w:p>
        </w:tc>
        <w:tc>
          <w:tcPr>
            <w:tcW w:w="2268" w:type="dxa"/>
            <w:tcBorders>
              <w:top w:val="single" w:color="000000" w:sz="4" w:space="0"/>
              <w:left w:val="single" w:color="000000" w:sz="4" w:space="0"/>
              <w:right w:val="single" w:color="000000"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hint="eastAsia" w:ascii="宋体" w:hAnsi="宋体" w:eastAsia="宋体" w:cs="宋体"/>
                <w:color w:val="000000"/>
                <w:kern w:val="2"/>
                <w:sz w:val="24"/>
                <w:szCs w:val="24"/>
                <w:lang w:val="en-US" w:eastAsia="zh-CN" w:bidi="ar-SA"/>
              </w:rPr>
            </w:pPr>
            <w:r>
              <w:rPr>
                <w:rFonts w:hint="eastAsia" w:eastAsia="宋体"/>
                <w:color w:val="000000"/>
                <w:kern w:val="0"/>
                <w:sz w:val="24"/>
                <w:szCs w:val="24"/>
                <w:lang w:val="en-US" w:eastAsia="zh-CN" w:bidi="ar"/>
              </w:rPr>
              <w:t>全县人民队红十字事业发展的满意度</w:t>
            </w:r>
          </w:p>
        </w:tc>
        <w:tc>
          <w:tcPr>
            <w:tcW w:w="54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w:t>
            </w:r>
          </w:p>
        </w:tc>
        <w:tc>
          <w:tcPr>
            <w:tcW w:w="853"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95</w:t>
            </w:r>
          </w:p>
        </w:tc>
        <w:tc>
          <w:tcPr>
            <w:tcW w:w="106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w:t>
            </w:r>
          </w:p>
        </w:tc>
        <w:tc>
          <w:tcPr>
            <w:tcW w:w="93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1009"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noWrap w:val="0"/>
            <w:vAlign w:val="center"/>
          </w:tcPr>
          <w:p>
            <w:pPr>
              <w:pageBreakBefore w:val="0"/>
              <w:kinsoku/>
              <w:wordWrap/>
              <w:overflowPunct/>
              <w:topLinePunct w:val="0"/>
              <w:bidi w:val="0"/>
              <w:spacing w:line="576" w:lineRule="exact"/>
              <w:ind w:left="0" w:leftChars="0"/>
              <w:jc w:val="center"/>
              <w:rPr>
                <w:rFonts w:ascii="宋体" w:hAnsi="宋体" w:eastAsia="宋体" w:cs="宋体"/>
                <w:color w:val="000000"/>
                <w:sz w:val="24"/>
                <w:szCs w:val="24"/>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kern w:val="0"/>
                <w:sz w:val="24"/>
                <w:szCs w:val="24"/>
                <w:lang w:eastAsia="zh-CN" w:bidi="ar"/>
              </w:rPr>
              <w:t>成本指标</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kern w:val="0"/>
                <w:sz w:val="24"/>
                <w:szCs w:val="24"/>
                <w:lang w:eastAsia="zh-CN" w:bidi="ar"/>
              </w:rPr>
              <w:t>社会成本指标</w:t>
            </w:r>
          </w:p>
        </w:tc>
        <w:tc>
          <w:tcPr>
            <w:tcW w:w="2268" w:type="dxa"/>
            <w:tcBorders>
              <w:top w:val="single" w:color="000000" w:sz="4" w:space="0"/>
              <w:left w:val="single" w:color="auto"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救灾资金及物资储备</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5000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元/年</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12</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6" w:lineRule="exact"/>
              <w:ind w:left="0" w:leftChars="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bl>
    <w:p>
      <w:pPr>
        <w:pStyle w:val="14"/>
        <w:pageBreakBefore w:val="0"/>
        <w:kinsoku/>
        <w:wordWrap/>
        <w:overflowPunct/>
        <w:topLinePunct w:val="0"/>
        <w:bidi w:val="0"/>
        <w:spacing w:after="0" w:line="576" w:lineRule="exact"/>
        <w:ind w:left="0" w:leftChars="0" w:firstLine="0" w:firstLineChars="0"/>
        <w:jc w:val="center"/>
        <w:rPr>
          <w:rFonts w:ascii="黑体" w:hAnsi="黑体" w:eastAsia="黑体" w:cs="黑体"/>
          <w:sz w:val="24"/>
          <w:szCs w:val="24"/>
        </w:rPr>
      </w:pPr>
    </w:p>
    <w:p>
      <w:pPr>
        <w:pStyle w:val="14"/>
        <w:pageBreakBefore w:val="0"/>
        <w:kinsoku/>
        <w:wordWrap/>
        <w:overflowPunct/>
        <w:topLinePunct w:val="0"/>
        <w:bidi w:val="0"/>
        <w:spacing w:after="0" w:line="576" w:lineRule="exact"/>
        <w:ind w:left="0" w:leftChars="0" w:firstLine="480"/>
        <w:jc w:val="center"/>
        <w:rPr>
          <w:rFonts w:ascii="Times New Roman" w:eastAsia="黑体"/>
          <w:sz w:val="24"/>
          <w:szCs w:val="24"/>
        </w:rPr>
      </w:pPr>
    </w:p>
    <w:p>
      <w:pPr>
        <w:keepNext w:val="0"/>
        <w:keepLines w:val="0"/>
        <w:pageBreakBefore w:val="0"/>
        <w:widowControl w:val="0"/>
        <w:kinsoku/>
        <w:wordWrap/>
        <w:overflowPunct/>
        <w:topLinePunct w:val="0"/>
        <w:autoSpaceDE/>
        <w:autoSpaceDN/>
        <w:bidi w:val="0"/>
        <w:spacing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112"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pageBreakBefore w:val="0"/>
        <w:widowControl/>
        <w:kinsoku/>
        <w:wordWrap/>
        <w:overflowPunct/>
        <w:topLinePunct w:val="0"/>
        <w:bidi w:val="0"/>
        <w:spacing w:line="576" w:lineRule="exact"/>
        <w:ind w:left="0" w:leftChars="0"/>
        <w:jc w:val="center"/>
        <w:outlineLvl w:val="0"/>
        <w:rPr>
          <w:rFonts w:hint="eastAsia" w:ascii="方正小标宋简体" w:hAnsi="方正小标宋简体" w:eastAsia="方正小标宋简体" w:cs="方正小标宋简体"/>
          <w:b w:val="0"/>
          <w:color w:val="auto"/>
          <w:sz w:val="44"/>
          <w:szCs w:val="44"/>
          <w:highlight w:val="none"/>
        </w:rPr>
      </w:pPr>
      <w:bookmarkStart w:id="113" w:name="_Toc30618"/>
      <w:r>
        <w:rPr>
          <w:rFonts w:hint="eastAsia" w:ascii="方正小标宋简体" w:hAnsi="方正小标宋简体" w:eastAsia="方正小标宋简体" w:cs="方正小标宋简体"/>
          <w:color w:val="auto"/>
          <w:sz w:val="44"/>
          <w:szCs w:val="44"/>
          <w:highlight w:val="none"/>
        </w:rPr>
        <w:t>第</w:t>
      </w:r>
      <w:r>
        <w:rPr>
          <w:rStyle w:val="29"/>
          <w:rFonts w:hint="eastAsia" w:ascii="方正小标宋简体" w:hAnsi="方正小标宋简体" w:eastAsia="方正小标宋简体" w:cs="方正小标宋简体"/>
          <w:b w:val="0"/>
          <w:color w:val="auto"/>
          <w:sz w:val="44"/>
          <w:szCs w:val="44"/>
          <w:highlight w:val="none"/>
        </w:rPr>
        <w:t>五部分 附表</w:t>
      </w:r>
      <w:bookmarkEnd w:id="92"/>
      <w:bookmarkEnd w:id="112"/>
      <w:bookmarkEnd w:id="113"/>
      <w:bookmarkStart w:id="114" w:name="_Toc15396619"/>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114"/>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bookmarkStart w:id="115" w:name="_Toc15396620"/>
      <w:r>
        <w:rPr>
          <w:rFonts w:hint="eastAsia" w:ascii="Times New Roman" w:hAnsi="Times New Roman" w:eastAsia="仿宋_GB2312" w:cs="仿宋_GB2312"/>
          <w:color w:val="auto"/>
          <w:sz w:val="32"/>
          <w:szCs w:val="32"/>
          <w:highlight w:val="none"/>
        </w:rPr>
        <w:t>二、收入决算表</w:t>
      </w:r>
      <w:bookmarkEnd w:id="115"/>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bookmarkStart w:id="116" w:name="_Toc15396621"/>
      <w:r>
        <w:rPr>
          <w:rFonts w:hint="eastAsia" w:ascii="Times New Roman" w:hAnsi="Times New Roman" w:eastAsia="仿宋_GB2312" w:cs="仿宋_GB2312"/>
          <w:color w:val="auto"/>
          <w:sz w:val="32"/>
          <w:szCs w:val="32"/>
          <w:highlight w:val="none"/>
        </w:rPr>
        <w:t>三、支出决算表</w:t>
      </w:r>
      <w:bookmarkEnd w:id="116"/>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bookmarkStart w:id="117" w:name="_Toc15396622"/>
      <w:r>
        <w:rPr>
          <w:rFonts w:hint="eastAsia" w:ascii="Times New Roman" w:hAnsi="Times New Roman" w:eastAsia="仿宋_GB2312" w:cs="仿宋_GB2312"/>
          <w:color w:val="auto"/>
          <w:sz w:val="32"/>
          <w:szCs w:val="32"/>
          <w:highlight w:val="none"/>
        </w:rPr>
        <w:t>四、财政拨款收入支出决算总表</w:t>
      </w:r>
      <w:bookmarkEnd w:id="117"/>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bookmarkStart w:id="118" w:name="_Toc15396623"/>
      <w:r>
        <w:rPr>
          <w:rFonts w:hint="eastAsia" w:ascii="Times New Roman" w:hAnsi="Times New Roman" w:eastAsia="仿宋_GB2312" w:cs="仿宋_GB2312"/>
          <w:color w:val="auto"/>
          <w:sz w:val="32"/>
          <w:szCs w:val="32"/>
          <w:highlight w:val="none"/>
        </w:rPr>
        <w:t>五、财政拨款支出决算明细表</w:t>
      </w:r>
      <w:bookmarkEnd w:id="118"/>
      <w:bookmarkStart w:id="119" w:name="_Toc15396624"/>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119"/>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bookmarkStart w:id="120" w:name="_Toc15396625"/>
      <w:r>
        <w:rPr>
          <w:rFonts w:hint="eastAsia" w:ascii="Times New Roman" w:hAnsi="Times New Roman" w:eastAsia="仿宋_GB2312" w:cs="仿宋_GB2312"/>
          <w:color w:val="auto"/>
          <w:sz w:val="32"/>
          <w:szCs w:val="32"/>
          <w:highlight w:val="none"/>
        </w:rPr>
        <w:t>七、一般公共预算财政拨款支出决算明细表</w:t>
      </w:r>
      <w:bookmarkEnd w:id="120"/>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bookmarkStart w:id="121" w:name="_Toc15396626"/>
      <w:r>
        <w:rPr>
          <w:rFonts w:hint="eastAsia" w:ascii="Times New Roman" w:hAnsi="Times New Roman" w:eastAsia="仿宋_GB2312" w:cs="仿宋_GB2312"/>
          <w:color w:val="auto"/>
          <w:sz w:val="32"/>
          <w:szCs w:val="32"/>
          <w:highlight w:val="none"/>
        </w:rPr>
        <w:t>八、一般公共预算财政拨款基本支出决算表</w:t>
      </w:r>
      <w:bookmarkEnd w:id="121"/>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bookmarkStart w:id="122" w:name="_Toc15396627"/>
      <w:r>
        <w:rPr>
          <w:rFonts w:hint="eastAsia" w:ascii="Times New Roman" w:hAnsi="Times New Roman" w:eastAsia="仿宋_GB2312" w:cs="仿宋_GB2312"/>
          <w:color w:val="auto"/>
          <w:sz w:val="32"/>
          <w:szCs w:val="32"/>
          <w:highlight w:val="none"/>
        </w:rPr>
        <w:t>九、一般公共预算财政拨款项目支出决算表</w:t>
      </w:r>
      <w:bookmarkEnd w:id="122"/>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bookmarkStart w:id="123" w:name="_Toc15396628"/>
      <w:r>
        <w:rPr>
          <w:rFonts w:hint="eastAsia" w:ascii="Times New Roman" w:hAnsi="Times New Roman" w:eastAsia="仿宋_GB2312" w:cs="仿宋_GB2312"/>
          <w:color w:val="auto"/>
          <w:sz w:val="32"/>
          <w:szCs w:val="32"/>
          <w:highlight w:val="none"/>
        </w:rPr>
        <w:t>十、</w:t>
      </w:r>
      <w:bookmarkEnd w:id="123"/>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bookmarkStart w:id="124" w:name="_Toc15396629"/>
      <w:r>
        <w:rPr>
          <w:rFonts w:hint="eastAsia" w:ascii="Times New Roman" w:hAnsi="Times New Roman" w:eastAsia="仿宋_GB2312" w:cs="仿宋_GB2312"/>
          <w:color w:val="auto"/>
          <w:sz w:val="32"/>
          <w:szCs w:val="32"/>
          <w:highlight w:val="none"/>
        </w:rPr>
        <w:t>十一、</w:t>
      </w:r>
      <w:bookmarkEnd w:id="12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rPr>
      </w:pPr>
      <w:bookmarkStart w:id="125" w:name="_Toc15396630"/>
      <w:r>
        <w:rPr>
          <w:rFonts w:hint="eastAsia" w:ascii="Times New Roman" w:hAnsi="Times New Roman" w:eastAsia="仿宋_GB2312" w:cs="仿宋_GB2312"/>
          <w:color w:val="auto"/>
          <w:sz w:val="32"/>
          <w:szCs w:val="32"/>
          <w:highlight w:val="none"/>
        </w:rPr>
        <w:t>十二、</w:t>
      </w:r>
      <w:bookmarkEnd w:id="125"/>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outlineLvl w:val="9"/>
        <w:rPr>
          <w:rFonts w:hint="eastAsia" w:ascii="Times New Roman" w:hAnsi="Times New Roman" w:eastAsia="仿宋_GB2312" w:cs="仿宋_GB2312"/>
          <w:color w:val="auto"/>
          <w:sz w:val="32"/>
          <w:szCs w:val="32"/>
          <w:highlight w:val="none"/>
          <w:lang w:eastAsia="zh-CN"/>
        </w:rPr>
      </w:pPr>
      <w:bookmarkStart w:id="126" w:name="_Toc15396631"/>
      <w:r>
        <w:rPr>
          <w:rFonts w:hint="eastAsia" w:ascii="Times New Roman" w:hAnsi="Times New Roman" w:eastAsia="仿宋_GB2312" w:cs="仿宋_GB2312"/>
          <w:color w:val="auto"/>
          <w:sz w:val="32"/>
          <w:szCs w:val="32"/>
          <w:highlight w:val="none"/>
        </w:rPr>
        <w:t>十三、</w:t>
      </w:r>
      <w:bookmarkEnd w:id="126"/>
      <w:r>
        <w:rPr>
          <w:rFonts w:hint="eastAsia" w:ascii="Times New Roman" w:hAnsi="Times New Roman" w:eastAsia="仿宋_GB2312" w:cs="仿宋_GB2312"/>
          <w:color w:val="auto"/>
          <w:sz w:val="32"/>
          <w:szCs w:val="32"/>
          <w:highlight w:val="none"/>
          <w:lang w:eastAsia="zh-CN"/>
        </w:rPr>
        <w:t>财政拨款“三公”经费支出决算表</w:t>
      </w:r>
    </w:p>
    <w:p>
      <w:pPr>
        <w:pageBreakBefore w:val="0"/>
        <w:kinsoku/>
        <w:wordWrap/>
        <w:overflowPunct/>
        <w:topLinePunct w:val="0"/>
        <w:bidi w:val="0"/>
        <w:spacing w:line="576" w:lineRule="exact"/>
        <w:ind w:left="0" w:leftChars="0"/>
        <w:rPr>
          <w:rFonts w:hint="eastAsia" w:ascii="Times New Roman" w:hAnsi="Times New Roman"/>
          <w:sz w:val="32"/>
          <w:szCs w:val="32"/>
          <w:lang w:eastAsia="zh-CN"/>
        </w:rPr>
      </w:pPr>
    </w:p>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- 1 -</w:t>
                    </w:r>
                    <w:r>
                      <w:fldChar w:fldCharType="end"/>
                    </w:r>
                  </w:p>
                </w:txbxContent>
              </v:textbox>
            </v:shape>
          </w:pict>
        </mc:Fallback>
      </mc:AlternateConten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- 2 -</w:t>
                    </w:r>
                    <w:r>
                      <w:fldChar w:fldCharType="end"/>
                    </w:r>
                  </w:p>
                </w:txbxContent>
              </v:textbox>
            </v:shape>
          </w:pict>
        </mc:Fallback>
      </mc:AlternateContent>
    </w: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MIkSXjECAABhBAAADgAAAAAAAAABACAAAAA1&#10;AQAAZHJzL2Uyb0RvYy54bWxQSwUGAAAAAAYABgBZAQAA2A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36931"/>
    <w:rsid w:val="012A5EC2"/>
    <w:rsid w:val="015975B8"/>
    <w:rsid w:val="02FEBE30"/>
    <w:rsid w:val="0355755F"/>
    <w:rsid w:val="04817F8D"/>
    <w:rsid w:val="04916F1E"/>
    <w:rsid w:val="061E35DE"/>
    <w:rsid w:val="066E0107"/>
    <w:rsid w:val="073E0AA0"/>
    <w:rsid w:val="07996F6E"/>
    <w:rsid w:val="07DFD8BA"/>
    <w:rsid w:val="08B23693"/>
    <w:rsid w:val="09867E8F"/>
    <w:rsid w:val="0A2032A3"/>
    <w:rsid w:val="0CA8290A"/>
    <w:rsid w:val="0D060C66"/>
    <w:rsid w:val="0D35B1ED"/>
    <w:rsid w:val="0E254B6B"/>
    <w:rsid w:val="0F98263C"/>
    <w:rsid w:val="101860EC"/>
    <w:rsid w:val="101F47CC"/>
    <w:rsid w:val="10C055FF"/>
    <w:rsid w:val="11694EBD"/>
    <w:rsid w:val="11772AA4"/>
    <w:rsid w:val="11796CCB"/>
    <w:rsid w:val="118107EC"/>
    <w:rsid w:val="12E24EE2"/>
    <w:rsid w:val="133A44C3"/>
    <w:rsid w:val="13D50BC4"/>
    <w:rsid w:val="14B17F78"/>
    <w:rsid w:val="165E0673"/>
    <w:rsid w:val="16B831D5"/>
    <w:rsid w:val="16BB723D"/>
    <w:rsid w:val="17E50567"/>
    <w:rsid w:val="186504BB"/>
    <w:rsid w:val="19A445FC"/>
    <w:rsid w:val="1BE8440E"/>
    <w:rsid w:val="1D155CEE"/>
    <w:rsid w:val="1D1638FE"/>
    <w:rsid w:val="1E0E1328"/>
    <w:rsid w:val="1E110F21"/>
    <w:rsid w:val="1E312DEB"/>
    <w:rsid w:val="1E740ACF"/>
    <w:rsid w:val="1FF35744"/>
    <w:rsid w:val="1FF6BC77"/>
    <w:rsid w:val="2186353C"/>
    <w:rsid w:val="218A68E9"/>
    <w:rsid w:val="23860B96"/>
    <w:rsid w:val="23BA5CB6"/>
    <w:rsid w:val="240371BF"/>
    <w:rsid w:val="244F3473"/>
    <w:rsid w:val="24C97D99"/>
    <w:rsid w:val="25A718F0"/>
    <w:rsid w:val="25BB59F6"/>
    <w:rsid w:val="260F557C"/>
    <w:rsid w:val="26970054"/>
    <w:rsid w:val="27053DD4"/>
    <w:rsid w:val="281408E2"/>
    <w:rsid w:val="29FD04D3"/>
    <w:rsid w:val="2A6D4BE6"/>
    <w:rsid w:val="2BFF7BC6"/>
    <w:rsid w:val="2C8A61B5"/>
    <w:rsid w:val="2CE92FEB"/>
    <w:rsid w:val="2DB62255"/>
    <w:rsid w:val="2DF04E50"/>
    <w:rsid w:val="2E586DFA"/>
    <w:rsid w:val="2F040D46"/>
    <w:rsid w:val="2F6B035B"/>
    <w:rsid w:val="2FAE5751"/>
    <w:rsid w:val="2FB1A395"/>
    <w:rsid w:val="2FD9A7D8"/>
    <w:rsid w:val="2FDBF714"/>
    <w:rsid w:val="30AB6865"/>
    <w:rsid w:val="319F7F4E"/>
    <w:rsid w:val="32BD1EF1"/>
    <w:rsid w:val="3304709D"/>
    <w:rsid w:val="330662B0"/>
    <w:rsid w:val="33A773CB"/>
    <w:rsid w:val="349D6851"/>
    <w:rsid w:val="35B73417"/>
    <w:rsid w:val="36AA5135"/>
    <w:rsid w:val="36BE0DA7"/>
    <w:rsid w:val="37353F00"/>
    <w:rsid w:val="37614B2E"/>
    <w:rsid w:val="376B6AA6"/>
    <w:rsid w:val="376D39B2"/>
    <w:rsid w:val="379540A7"/>
    <w:rsid w:val="37E16F03"/>
    <w:rsid w:val="37F53A3B"/>
    <w:rsid w:val="389B6C89"/>
    <w:rsid w:val="38D469F0"/>
    <w:rsid w:val="39627CCD"/>
    <w:rsid w:val="397BAF1F"/>
    <w:rsid w:val="3A427B13"/>
    <w:rsid w:val="3AB79AF3"/>
    <w:rsid w:val="3AE834C0"/>
    <w:rsid w:val="3B7EF35A"/>
    <w:rsid w:val="3B9FDB6C"/>
    <w:rsid w:val="3BF5BC2F"/>
    <w:rsid w:val="3C3C519A"/>
    <w:rsid w:val="3CEBA265"/>
    <w:rsid w:val="3D98207C"/>
    <w:rsid w:val="3DEE7CF3"/>
    <w:rsid w:val="3E740A63"/>
    <w:rsid w:val="3E78745D"/>
    <w:rsid w:val="3EE17838"/>
    <w:rsid w:val="3F55381A"/>
    <w:rsid w:val="3F7F7599"/>
    <w:rsid w:val="3FF4CAE0"/>
    <w:rsid w:val="3FF7B227"/>
    <w:rsid w:val="410372B2"/>
    <w:rsid w:val="44E268DA"/>
    <w:rsid w:val="450D13D7"/>
    <w:rsid w:val="45506656"/>
    <w:rsid w:val="470A17AF"/>
    <w:rsid w:val="4768268B"/>
    <w:rsid w:val="486A6C7A"/>
    <w:rsid w:val="48883A03"/>
    <w:rsid w:val="4A627F82"/>
    <w:rsid w:val="4ABB6AB7"/>
    <w:rsid w:val="4B0E749A"/>
    <w:rsid w:val="4B2477C4"/>
    <w:rsid w:val="4B4F25DA"/>
    <w:rsid w:val="4BE068DB"/>
    <w:rsid w:val="4D577224"/>
    <w:rsid w:val="4DBF1CEB"/>
    <w:rsid w:val="4DF0007C"/>
    <w:rsid w:val="4EAB630A"/>
    <w:rsid w:val="4ECE2238"/>
    <w:rsid w:val="4F833267"/>
    <w:rsid w:val="4FE9BD67"/>
    <w:rsid w:val="4FFB052F"/>
    <w:rsid w:val="50D45419"/>
    <w:rsid w:val="524D2C93"/>
    <w:rsid w:val="537E6D0A"/>
    <w:rsid w:val="53F74C96"/>
    <w:rsid w:val="55170BA8"/>
    <w:rsid w:val="553218C9"/>
    <w:rsid w:val="555979A7"/>
    <w:rsid w:val="563F7BDE"/>
    <w:rsid w:val="567E1AA5"/>
    <w:rsid w:val="56E47B74"/>
    <w:rsid w:val="57175D52"/>
    <w:rsid w:val="576E13E8"/>
    <w:rsid w:val="57BD3DD4"/>
    <w:rsid w:val="57C43922"/>
    <w:rsid w:val="59017B4C"/>
    <w:rsid w:val="599856E8"/>
    <w:rsid w:val="59BD150F"/>
    <w:rsid w:val="5AF92295"/>
    <w:rsid w:val="5B250254"/>
    <w:rsid w:val="5B9733C8"/>
    <w:rsid w:val="5BDD79E6"/>
    <w:rsid w:val="5BF561CA"/>
    <w:rsid w:val="5BFF5DFC"/>
    <w:rsid w:val="5CD71FC4"/>
    <w:rsid w:val="5D1F11B5"/>
    <w:rsid w:val="5D695134"/>
    <w:rsid w:val="5DA71965"/>
    <w:rsid w:val="5DAE1B18"/>
    <w:rsid w:val="5DE7D9E5"/>
    <w:rsid w:val="5EBF067F"/>
    <w:rsid w:val="5ECEC941"/>
    <w:rsid w:val="5F0B0C6C"/>
    <w:rsid w:val="5FBF9FF3"/>
    <w:rsid w:val="5FCD4E2C"/>
    <w:rsid w:val="5FED59B9"/>
    <w:rsid w:val="5FEF394A"/>
    <w:rsid w:val="5FF67715"/>
    <w:rsid w:val="60393974"/>
    <w:rsid w:val="60EF159F"/>
    <w:rsid w:val="62BF3928"/>
    <w:rsid w:val="63B3701E"/>
    <w:rsid w:val="64140C79"/>
    <w:rsid w:val="647F5392"/>
    <w:rsid w:val="64FF6595"/>
    <w:rsid w:val="65073E19"/>
    <w:rsid w:val="65E66580"/>
    <w:rsid w:val="664B1D71"/>
    <w:rsid w:val="664B4E8E"/>
    <w:rsid w:val="67277B67"/>
    <w:rsid w:val="67AA3209"/>
    <w:rsid w:val="689606E5"/>
    <w:rsid w:val="694D5389"/>
    <w:rsid w:val="698D0931"/>
    <w:rsid w:val="69925ED5"/>
    <w:rsid w:val="69BB13B3"/>
    <w:rsid w:val="6A7FE5F3"/>
    <w:rsid w:val="6B053271"/>
    <w:rsid w:val="6BDD78B3"/>
    <w:rsid w:val="6C4A05C8"/>
    <w:rsid w:val="6C8742B8"/>
    <w:rsid w:val="6D2E5B0C"/>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8129CA"/>
    <w:rsid w:val="71992E7C"/>
    <w:rsid w:val="72020806"/>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9F07014"/>
    <w:rsid w:val="7A894339"/>
    <w:rsid w:val="7AD284E8"/>
    <w:rsid w:val="7AFF7572"/>
    <w:rsid w:val="7B6C7DFB"/>
    <w:rsid w:val="7BBFBED0"/>
    <w:rsid w:val="7BC3E394"/>
    <w:rsid w:val="7C1F3737"/>
    <w:rsid w:val="7C571FDD"/>
    <w:rsid w:val="7CBFC87B"/>
    <w:rsid w:val="7CFE0F48"/>
    <w:rsid w:val="7D272ABC"/>
    <w:rsid w:val="7D7EC23E"/>
    <w:rsid w:val="7D8E50C6"/>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7E0CDB"/>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2"/>
    <w:semiHidden/>
    <w:unhideWhenUsed/>
    <w:qFormat/>
    <w:uiPriority w:val="99"/>
    <w:rPr>
      <w:sz w:val="18"/>
      <w:szCs w:val="18"/>
    </w:rPr>
  </w:style>
  <w:style w:type="paragraph" w:styleId="9">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4"/>
    <w:basedOn w:val="1"/>
    <w:next w:val="1"/>
    <w:semiHidden/>
    <w:unhideWhenUsed/>
    <w:qFormat/>
    <w:uiPriority w:val="39"/>
    <w:pPr>
      <w:ind w:left="1260" w:leftChars="600"/>
    </w:pPr>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6"/>
    <w:unhideWhenUsed/>
    <w:qFormat/>
    <w:uiPriority w:val="99"/>
    <w:pPr>
      <w:ind w:firstLine="420" w:firstLineChars="200"/>
    </w:p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0"/>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9"/>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8"/>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WPSOffice手动目录 2"/>
    <w:qFormat/>
    <w:uiPriority w:val="0"/>
    <w:pPr>
      <w:ind w:leftChars="200"/>
    </w:pPr>
    <w:rPr>
      <w:rFonts w:ascii="Times New Roman" w:hAnsi="Times New Roman" w:eastAsia="宋体" w:cs="Times New Roman"/>
      <w:sz w:val="20"/>
      <w:szCs w:val="20"/>
    </w:rPr>
  </w:style>
  <w:style w:type="paragraph" w:customStyle="1" w:styleId="37">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7.emf"/><Relationship Id="rId21" Type="http://schemas.openxmlformats.org/officeDocument/2006/relationships/oleObject" Target="embeddings/oleObject7.bin"/><Relationship Id="rId20" Type="http://schemas.openxmlformats.org/officeDocument/2006/relationships/image" Target="media/image6.e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5.emf"/><Relationship Id="rId17" Type="http://schemas.openxmlformats.org/officeDocument/2006/relationships/oleObject" Target="embeddings/oleObject5.bin"/><Relationship Id="rId16" Type="http://schemas.openxmlformats.org/officeDocument/2006/relationships/image" Target="media/image4.emf"/><Relationship Id="rId15" Type="http://schemas.openxmlformats.org/officeDocument/2006/relationships/oleObject" Target="embeddings/oleObject4.bin"/><Relationship Id="rId14" Type="http://schemas.openxmlformats.org/officeDocument/2006/relationships/image" Target="media/image3.emf"/><Relationship Id="rId13" Type="http://schemas.openxmlformats.org/officeDocument/2006/relationships/oleObject" Target="embeddings/oleObject3.bin"/><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8"/>
    <customShpInfo spid="_x0000_s1029"/>
    <customShpInfo spid="_x0000_s1030"/>
    <customShpInfo spid="_x0000_s1031"/>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9245</Words>
  <Characters>10016</Characters>
  <Lines>61</Lines>
  <Paragraphs>17</Paragraphs>
  <TotalTime>22</TotalTime>
  <ScaleCrop>false</ScaleCrop>
  <LinksUpToDate>false</LinksUpToDate>
  <CharactersWithSpaces>10156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user</cp:lastModifiedBy>
  <cp:lastPrinted>2025-09-19T10:49:00Z</cp:lastPrinted>
  <dcterms:modified xsi:type="dcterms:W3CDTF">2025-09-22T16:16:01Z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6A8F03982AAB4D64A283B2044D796765_13</vt:lpwstr>
  </property>
  <property fmtid="{D5CDD505-2E9C-101B-9397-08002B2CF9AE}" pid="4" name="KSOTemplateDocerSaveRecord">
    <vt:lpwstr>eyJoZGlkIjoiNWUwNWQ1NWFmMDE2ZjNmY2RkYTlkOTI4ZDY4M2Q2MDUiLCJ1c2VySWQiOiI0NTE1MDUzMzMifQ==</vt:lpwstr>
  </property>
</Properties>
</file>