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黑体" w:eastAsia="黑体"/>
          <w:color w:val="000000"/>
          <w:sz w:val="72"/>
          <w:szCs w:val="72"/>
        </w:rPr>
      </w:pPr>
      <w:bookmarkStart w:id="1" w:name="_Toc15378441"/>
      <w:bookmarkStart w:id="2" w:name="_Toc15377193"/>
      <w:bookmarkStart w:id="3" w:name="_Toc15396475"/>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黑体" w:hAnsi="黑体" w:eastAsia="黑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黑体" w:hAnsi="黑体" w:eastAsia="黑体"/>
          <w:color w:val="000000"/>
          <w:sz w:val="72"/>
          <w:szCs w:val="72"/>
        </w:rPr>
      </w:pPr>
      <w:bookmarkStart w:id="6" w:name="_Toc15396598"/>
      <w:bookmarkStart w:id="7" w:name="_Toc15396476"/>
      <w:bookmarkStart w:id="8" w:name="_Toc15306268"/>
      <w:bookmarkStart w:id="9" w:name="_Toc15378442"/>
      <w:bookmarkStart w:id="10" w:name="_Toc15377426"/>
      <w:bookmarkStart w:id="11" w:name="_Toc15377194"/>
      <w:r>
        <w:rPr>
          <w:rFonts w:hint="eastAsia" w:ascii="黑体" w:hAnsi="黑体" w:eastAsia="黑体"/>
          <w:color w:val="000000"/>
          <w:sz w:val="72"/>
          <w:szCs w:val="72"/>
        </w:rPr>
        <w:t>茂县发展和改革局</w:t>
      </w:r>
    </w:p>
    <w:p>
      <w:pPr>
        <w:adjustRightInd w:val="0"/>
        <w:snapToGrid w:val="0"/>
        <w:spacing w:line="360" w:lineRule="auto"/>
        <w:jc w:val="center"/>
        <w:outlineLvl w:val="0"/>
        <w:rPr>
          <w:rFonts w:ascii="黑体" w:hAnsi="黑体" w:eastAsia="黑体"/>
          <w:color w:val="000000"/>
          <w:sz w:val="72"/>
          <w:szCs w:val="72"/>
        </w:rPr>
      </w:pPr>
      <w:r>
        <w:rPr>
          <w:rFonts w:hint="eastAsia" w:ascii="黑体" w:hAnsi="黑体" w:eastAsia="黑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pStyle w:val="2"/>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pStyle w:val="2"/>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360" w:lineRule="auto"/>
        <w:jc w:val="center"/>
        <w:outlineLvl w:val="0"/>
        <w:rPr>
          <w:rFonts w:hint="eastAsia" w:ascii="方正小标宋简体" w:hAnsi="宋体" w:eastAsia="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宋体" w:eastAsia="方正小标宋简体"/>
          <w:color w:val="000000"/>
          <w:sz w:val="44"/>
          <w:szCs w:val="44"/>
        </w:rPr>
        <w:t>目   录</w:t>
      </w:r>
    </w:p>
    <w:p>
      <w:pPr>
        <w:adjustRightInd w:val="0"/>
        <w:snapToGrid w:val="0"/>
        <w:spacing w:line="360" w:lineRule="auto"/>
        <w:jc w:val="center"/>
        <w:outlineLvl w:val="0"/>
        <w:rPr>
          <w:rFonts w:ascii="黑体" w:hAnsi="黑体" w:eastAsia="黑体"/>
          <w:color w:val="000000"/>
          <w:sz w:val="48"/>
          <w:szCs w:val="48"/>
        </w:rPr>
      </w:pP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TOC \o "1-2" \h \z \u </w:instrText>
      </w:r>
      <w:r>
        <w:rPr>
          <w:rFonts w:ascii="仿宋_GB2312" w:hAnsi="仿宋_GB2312" w:eastAsia="仿宋_GB2312" w:cs="仿宋_GB2312"/>
          <w:bCs/>
          <w:kern w:val="44"/>
          <w:sz w:val="32"/>
          <w:szCs w:val="32"/>
        </w:rPr>
        <w:fldChar w:fldCharType="separate"/>
      </w:r>
    </w:p>
    <w:p>
      <w:pPr>
        <w:pStyle w:val="12"/>
        <w:rPr>
          <w:rFonts w:ascii="仿宋_GB2312" w:hAnsi="仿宋_GB2312" w:eastAsia="仿宋_GB2312" w:cs="仿宋_GB2312"/>
          <w:bCs/>
          <w:kern w:val="44"/>
          <w:sz w:val="32"/>
          <w:szCs w:val="32"/>
        </w:rPr>
      </w:pPr>
      <w:r>
        <w:fldChar w:fldCharType="begin"/>
      </w:r>
      <w:r>
        <w:instrText xml:space="preserve"> HYPERLINK \l "_Toc15396599" </w:instrText>
      </w:r>
      <w:r>
        <w:fldChar w:fldCharType="separate"/>
      </w:r>
      <w:r>
        <w:rPr>
          <w:rFonts w:hint="eastAsia" w:ascii="仿宋_GB2312" w:hAnsi="仿宋_GB2312" w:eastAsia="仿宋_GB2312" w:cs="仿宋_GB2312"/>
          <w:bCs/>
          <w:kern w:val="44"/>
          <w:sz w:val="32"/>
          <w:szCs w:val="32"/>
        </w:rPr>
        <w:t>第一部分</w:t>
      </w:r>
      <w:r>
        <w:rPr>
          <w:rFonts w:ascii="仿宋_GB2312" w:hAnsi="仿宋_GB2312" w:eastAsia="仿宋_GB2312" w:cs="仿宋_GB2312"/>
          <w:bCs/>
          <w:kern w:val="44"/>
          <w:sz w:val="32"/>
          <w:szCs w:val="32"/>
        </w:rPr>
        <w:t xml:space="preserve"> </w:t>
      </w:r>
      <w:r>
        <w:rPr>
          <w:rFonts w:hint="eastAsia" w:ascii="仿宋_GB2312" w:hAnsi="仿宋_GB2312" w:eastAsia="仿宋_GB2312" w:cs="仿宋_GB2312"/>
          <w:bCs/>
          <w:kern w:val="44"/>
          <w:sz w:val="32"/>
          <w:szCs w:val="32"/>
        </w:rPr>
        <w:t>部门概况</w:t>
      </w:r>
      <w:r>
        <w:rPr>
          <w:rFonts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rPr>
        <w:t>4</w:t>
      </w:r>
      <w:r>
        <w:rPr>
          <w:rFonts w:hint="eastAsia"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"_Toc15396600" </w:instrText>
      </w:r>
      <w:r>
        <w:fldChar w:fldCharType="separate"/>
      </w:r>
      <w:r>
        <w:rPr>
          <w:rFonts w:hint="eastAsia" w:ascii="仿宋_GB2312" w:hAnsi="仿宋_GB2312" w:eastAsia="仿宋_GB2312" w:cs="仿宋_GB2312"/>
          <w:bCs/>
          <w:kern w:val="44"/>
          <w:sz w:val="32"/>
          <w:szCs w:val="32"/>
        </w:rPr>
        <w:t>一、基本职能及主要工作</w:t>
      </w:r>
      <w:r>
        <w:rPr>
          <w:rFonts w:ascii="仿宋_GB2312" w:hAnsi="仿宋_GB2312" w:eastAsia="仿宋_GB2312" w:cs="仿宋_GB2312"/>
          <w:bCs/>
          <w:kern w:val="44"/>
          <w:sz w:val="32"/>
          <w:szCs w:val="32"/>
        </w:rPr>
        <w:tab/>
      </w:r>
      <w:r>
        <w:rPr>
          <w:rFonts w:hint="eastAsia" w:ascii="仿宋_GB2312" w:hAnsi="仿宋_GB2312" w:eastAsia="仿宋_GB2312" w:cs="仿宋_GB2312"/>
          <w:bCs/>
          <w:kern w:val="44"/>
          <w:sz w:val="32"/>
          <w:szCs w:val="32"/>
        </w:rPr>
        <w:t>4</w:t>
      </w:r>
      <w:r>
        <w:rPr>
          <w:rFonts w:hint="eastAsia"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"_Toc15396601" </w:instrText>
      </w:r>
      <w:r>
        <w:fldChar w:fldCharType="separate"/>
      </w:r>
      <w:r>
        <w:rPr>
          <w:rFonts w:hint="eastAsia" w:ascii="仿宋_GB2312" w:hAnsi="仿宋_GB2312" w:eastAsia="仿宋_GB2312" w:cs="仿宋_GB2312"/>
          <w:bCs/>
          <w:kern w:val="44"/>
          <w:sz w:val="32"/>
          <w:szCs w:val="32"/>
        </w:rPr>
        <w:t>二、机构设置</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_Toc15396601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12</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2"/>
        <w:rPr>
          <w:rFonts w:ascii="仿宋_GB2312" w:hAnsi="仿宋_GB2312" w:eastAsia="仿宋_GB2312" w:cs="仿宋_GB2312"/>
          <w:bCs/>
          <w:kern w:val="44"/>
          <w:sz w:val="32"/>
          <w:szCs w:val="32"/>
        </w:rPr>
      </w:pPr>
      <w:r>
        <w:fldChar w:fldCharType="begin"/>
      </w:r>
      <w:r>
        <w:instrText xml:space="preserve"> HYPERLINK \l "_Toc15396602" </w:instrText>
      </w:r>
      <w:r>
        <w:fldChar w:fldCharType="separate"/>
      </w:r>
      <w:r>
        <w:rPr>
          <w:rFonts w:hint="eastAsia" w:ascii="仿宋_GB2312" w:hAnsi="仿宋_GB2312" w:eastAsia="仿宋_GB2312" w:cs="仿宋_GB2312"/>
          <w:bCs/>
          <w:kern w:val="44"/>
          <w:sz w:val="32"/>
          <w:szCs w:val="32"/>
        </w:rPr>
        <w:t>第二部分</w:t>
      </w:r>
      <w:r>
        <w:rPr>
          <w:rFonts w:ascii="仿宋_GB2312" w:hAnsi="仿宋_GB2312" w:eastAsia="仿宋_GB2312" w:cs="仿宋_GB2312"/>
          <w:bCs/>
          <w:kern w:val="44"/>
          <w:sz w:val="32"/>
          <w:szCs w:val="32"/>
        </w:rPr>
        <w:t xml:space="preserve"> 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年度部门决算情况说明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_Toc15396602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13</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"_Toc15396603" </w:instrText>
      </w:r>
      <w:r>
        <w:fldChar w:fldCharType="separate"/>
      </w:r>
      <w:r>
        <w:rPr>
          <w:rFonts w:hint="eastAsia" w:ascii="仿宋_GB2312" w:hAnsi="仿宋_GB2312" w:eastAsia="仿宋_GB2312" w:cs="仿宋_GB2312"/>
          <w:kern w:val="44"/>
          <w:sz w:val="32"/>
          <w:szCs w:val="32"/>
        </w:rPr>
        <w:t>一、</w:t>
      </w:r>
      <w:r>
        <w:rPr>
          <w:rFonts w:hint="eastAsia" w:ascii="仿宋_GB2312" w:hAnsi="仿宋_GB2312" w:eastAsia="仿宋_GB2312" w:cs="仿宋_GB2312"/>
          <w:bCs/>
          <w:kern w:val="44"/>
          <w:sz w:val="32"/>
          <w:szCs w:val="32"/>
        </w:rPr>
        <w:t>收</w:t>
      </w:r>
      <w:r>
        <w:rPr>
          <w:rFonts w:hint="eastAsia" w:ascii="仿宋_GB2312" w:hAnsi="仿宋_GB2312" w:eastAsia="仿宋_GB2312" w:cs="仿宋_GB2312"/>
          <w:kern w:val="44"/>
          <w:sz w:val="32"/>
          <w:szCs w:val="32"/>
        </w:rPr>
        <w:t>入支出决算总体情况说明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_Toc15396603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13</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"_Toc15396604" </w:instrText>
      </w:r>
      <w:r>
        <w:fldChar w:fldCharType="separate"/>
      </w:r>
      <w:r>
        <w:rPr>
          <w:rFonts w:hint="eastAsia" w:ascii="仿宋_GB2312" w:hAnsi="仿宋_GB2312" w:eastAsia="仿宋_GB2312" w:cs="仿宋_GB2312"/>
          <w:kern w:val="44"/>
          <w:sz w:val="32"/>
          <w:szCs w:val="32"/>
        </w:rPr>
        <w:t>二、</w:t>
      </w:r>
      <w:r>
        <w:rPr>
          <w:rFonts w:hint="eastAsia" w:ascii="仿宋_GB2312" w:hAnsi="仿宋_GB2312" w:eastAsia="仿宋_GB2312" w:cs="仿宋_GB2312"/>
          <w:bCs/>
          <w:kern w:val="44"/>
          <w:sz w:val="32"/>
          <w:szCs w:val="32"/>
        </w:rPr>
        <w:t>收</w:t>
      </w:r>
      <w:r>
        <w:rPr>
          <w:rFonts w:hint="eastAsia" w:ascii="仿宋_GB2312" w:hAnsi="仿宋_GB2312" w:eastAsia="仿宋_GB2312" w:cs="仿宋_GB2312"/>
          <w:kern w:val="44"/>
          <w:sz w:val="32"/>
          <w:szCs w:val="32"/>
        </w:rPr>
        <w:t>入决算情况说明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_Toc15396604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13</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"_Toc15396605" </w:instrText>
      </w:r>
      <w:r>
        <w:fldChar w:fldCharType="separate"/>
      </w:r>
      <w:r>
        <w:rPr>
          <w:rFonts w:hint="eastAsia" w:ascii="仿宋_GB2312" w:hAnsi="仿宋_GB2312" w:eastAsia="仿宋_GB2312" w:cs="仿宋_GB2312"/>
          <w:kern w:val="44"/>
          <w:sz w:val="32"/>
          <w:szCs w:val="32"/>
        </w:rPr>
        <w:t>三、</w:t>
      </w:r>
      <w:r>
        <w:rPr>
          <w:rFonts w:hint="eastAsia" w:ascii="仿宋_GB2312" w:hAnsi="仿宋_GB2312" w:eastAsia="仿宋_GB2312" w:cs="仿宋_GB2312"/>
          <w:bCs/>
          <w:kern w:val="44"/>
          <w:sz w:val="32"/>
          <w:szCs w:val="32"/>
        </w:rPr>
        <w:t>支</w:t>
      </w:r>
      <w:r>
        <w:rPr>
          <w:rFonts w:hint="eastAsia" w:ascii="仿宋_GB2312" w:hAnsi="仿宋_GB2312" w:eastAsia="仿宋_GB2312" w:cs="仿宋_GB2312"/>
          <w:kern w:val="44"/>
          <w:sz w:val="32"/>
          <w:szCs w:val="32"/>
        </w:rPr>
        <w:t>出决算情况说明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_Toc15396605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14</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"_Toc15396606" </w:instrText>
      </w:r>
      <w:r>
        <w:fldChar w:fldCharType="separate"/>
      </w:r>
      <w:r>
        <w:rPr>
          <w:rFonts w:hint="eastAsia" w:ascii="仿宋_GB2312" w:hAnsi="仿宋_GB2312" w:eastAsia="仿宋_GB2312" w:cs="仿宋_GB2312"/>
          <w:bCs/>
          <w:kern w:val="44"/>
          <w:sz w:val="32"/>
          <w:szCs w:val="32"/>
        </w:rPr>
        <w:t>四、财</w:t>
      </w:r>
      <w:r>
        <w:rPr>
          <w:rFonts w:hint="eastAsia" w:ascii="仿宋_GB2312" w:hAnsi="仿宋_GB2312" w:eastAsia="仿宋_GB2312" w:cs="仿宋_GB2312"/>
          <w:kern w:val="44"/>
          <w:sz w:val="32"/>
          <w:szCs w:val="32"/>
        </w:rPr>
        <w:t>政拨款收入支出决算总体情况说明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_Toc15396606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14</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"_Toc15396607" </w:instrText>
      </w:r>
      <w:r>
        <w:fldChar w:fldCharType="separate"/>
      </w:r>
      <w:r>
        <w:rPr>
          <w:rFonts w:hint="eastAsia" w:ascii="仿宋_GB2312" w:hAnsi="仿宋_GB2312" w:eastAsia="仿宋_GB2312" w:cs="仿宋_GB2312"/>
          <w:bCs/>
          <w:kern w:val="44"/>
          <w:sz w:val="32"/>
          <w:szCs w:val="32"/>
        </w:rPr>
        <w:t>五、一</w:t>
      </w:r>
      <w:r>
        <w:rPr>
          <w:rFonts w:hint="eastAsia" w:ascii="仿宋_GB2312" w:hAnsi="仿宋_GB2312" w:eastAsia="仿宋_GB2312" w:cs="仿宋_GB2312"/>
          <w:kern w:val="44"/>
          <w:sz w:val="32"/>
          <w:szCs w:val="32"/>
        </w:rPr>
        <w:t>般公共预算财政拨款支出决算情况说明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_Toc15396607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"_Toc15396608" </w:instrText>
      </w:r>
      <w:r>
        <w:fldChar w:fldCharType="separate"/>
      </w:r>
      <w:r>
        <w:rPr>
          <w:rFonts w:hint="eastAsia" w:ascii="仿宋_GB2312" w:hAnsi="仿宋_GB2312" w:eastAsia="仿宋_GB2312" w:cs="仿宋_GB2312"/>
          <w:bCs/>
          <w:kern w:val="44"/>
          <w:sz w:val="32"/>
          <w:szCs w:val="32"/>
        </w:rPr>
        <w:t>六、一</w:t>
      </w:r>
      <w:r>
        <w:rPr>
          <w:rFonts w:hint="eastAsia" w:ascii="仿宋_GB2312" w:hAnsi="仿宋_GB2312" w:eastAsia="仿宋_GB2312" w:cs="仿宋_GB2312"/>
          <w:kern w:val="44"/>
          <w:sz w:val="32"/>
          <w:szCs w:val="32"/>
        </w:rPr>
        <w:t>般公共预算财政拨款基本支出决算情况说明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_Toc15396608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18</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"_Toc15396609" </w:instrText>
      </w:r>
      <w:r>
        <w:fldChar w:fldCharType="separate"/>
      </w:r>
      <w:r>
        <w:rPr>
          <w:rFonts w:hint="eastAsia" w:ascii="仿宋_GB2312" w:hAnsi="仿宋_GB2312" w:eastAsia="仿宋_GB2312" w:cs="仿宋_GB2312"/>
          <w:bCs/>
          <w:kern w:val="44"/>
          <w:sz w:val="32"/>
          <w:szCs w:val="32"/>
        </w:rPr>
        <w:t>七、</w:t>
      </w:r>
      <w:r>
        <w:rPr>
          <w:rFonts w:ascii="仿宋_GB2312" w:hAnsi="仿宋_GB2312" w:eastAsia="仿宋_GB2312" w:cs="仿宋_GB2312"/>
          <w:bCs/>
          <w:kern w:val="44"/>
          <w:sz w:val="32"/>
          <w:szCs w:val="32"/>
        </w:rPr>
        <w:t>“</w:t>
      </w:r>
      <w:r>
        <w:rPr>
          <w:rFonts w:hint="eastAsia" w:ascii="仿宋_GB2312" w:hAnsi="仿宋_GB2312" w:eastAsia="仿宋_GB2312" w:cs="仿宋_GB2312"/>
          <w:kern w:val="44"/>
          <w:sz w:val="32"/>
          <w:szCs w:val="32"/>
        </w:rPr>
        <w:t>三公”经费财政拨款支出决算情况说明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_Toc15396609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18</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"_Toc15396610" </w:instrText>
      </w:r>
      <w:r>
        <w:fldChar w:fldCharType="separate"/>
      </w:r>
      <w:r>
        <w:rPr>
          <w:rFonts w:hint="eastAsia" w:ascii="仿宋_GB2312" w:hAnsi="仿宋_GB2312" w:eastAsia="仿宋_GB2312" w:cs="仿宋_GB2312"/>
          <w:bCs/>
          <w:kern w:val="44"/>
          <w:sz w:val="32"/>
          <w:szCs w:val="32"/>
        </w:rPr>
        <w:t>八、</w:t>
      </w:r>
      <w:r>
        <w:rPr>
          <w:rFonts w:hint="eastAsia" w:ascii="仿宋_GB2312" w:hAnsi="仿宋_GB2312" w:eastAsia="仿宋_GB2312" w:cs="仿宋_GB2312"/>
          <w:kern w:val="44"/>
          <w:sz w:val="32"/>
          <w:szCs w:val="32"/>
        </w:rPr>
        <w:t>政府性基金预算支出决算情况说明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_Toc15396610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20</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pPr>
      <w:r>
        <w:fldChar w:fldCharType="begin"/>
      </w:r>
      <w:r>
        <w:instrText xml:space="preserve"> HYPERLINK \l "_Toc15396611" </w:instrText>
      </w:r>
      <w:r>
        <w:fldChar w:fldCharType="separate"/>
      </w:r>
      <w:r>
        <w:rPr>
          <w:rFonts w:hint="eastAsia" w:ascii="仿宋_GB2312" w:hAnsi="仿宋_GB2312" w:eastAsia="仿宋_GB2312" w:cs="仿宋_GB2312"/>
          <w:kern w:val="44"/>
          <w:sz w:val="32"/>
          <w:szCs w:val="32"/>
        </w:rPr>
        <w:t>九、</w:t>
      </w:r>
      <w:r>
        <w:rPr>
          <w:rFonts w:hint="eastAsia" w:ascii="仿宋_GB2312" w:hAnsi="仿宋_GB2312" w:eastAsia="仿宋_GB2312" w:cs="仿宋_GB2312"/>
          <w:bCs/>
          <w:kern w:val="44"/>
          <w:sz w:val="32"/>
          <w:szCs w:val="32"/>
        </w:rPr>
        <w:t xml:space="preserve"> 国</w:t>
      </w:r>
      <w:r>
        <w:rPr>
          <w:rFonts w:hint="eastAsia" w:ascii="仿宋_GB2312" w:hAnsi="仿宋_GB2312" w:eastAsia="仿宋_GB2312" w:cs="仿宋_GB2312"/>
          <w:kern w:val="44"/>
          <w:sz w:val="32"/>
          <w:szCs w:val="32"/>
        </w:rPr>
        <w:t>有资本经营预算支出决算情况说明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_Toc15396611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20</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ind w:leftChars="0"/>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十</w:t>
      </w:r>
      <w:r>
        <w:fldChar w:fldCharType="begin"/>
      </w:r>
      <w:r>
        <w:instrText xml:space="preserve"> HYPERLINK \l "_Toc15396611" </w:instrText>
      </w:r>
      <w:r>
        <w:fldChar w:fldCharType="separate"/>
      </w:r>
      <w:r>
        <w:rPr>
          <w:rFonts w:hint="eastAsia" w:ascii="仿宋_GB2312" w:hAnsi="仿宋_GB2312" w:eastAsia="仿宋_GB2312" w:cs="仿宋_GB2312"/>
          <w:kern w:val="44"/>
          <w:sz w:val="32"/>
          <w:szCs w:val="32"/>
        </w:rPr>
        <w:t>、 预算绩效情况说明</w:t>
      </w:r>
      <w:r>
        <w:rPr>
          <w:rFonts w:ascii="仿宋_GB2312" w:hAnsi="仿宋_GB2312" w:eastAsia="仿宋_GB2312" w:cs="仿宋_GB2312"/>
          <w:kern w:val="44"/>
          <w:sz w:val="32"/>
          <w:szCs w:val="32"/>
        </w:rPr>
        <w:tab/>
      </w:r>
      <w:r>
        <w:rPr>
          <w:rFonts w:ascii="仿宋_GB2312" w:hAnsi="仿宋_GB2312" w:eastAsia="仿宋_GB2312" w:cs="仿宋_GB2312"/>
          <w:kern w:val="44"/>
          <w:sz w:val="32"/>
          <w:szCs w:val="32"/>
        </w:rPr>
        <w:fldChar w:fldCharType="begin"/>
      </w:r>
      <w:r>
        <w:rPr>
          <w:rFonts w:ascii="仿宋_GB2312" w:hAnsi="仿宋_GB2312" w:eastAsia="仿宋_GB2312" w:cs="仿宋_GB2312"/>
          <w:kern w:val="44"/>
          <w:sz w:val="32"/>
          <w:szCs w:val="32"/>
        </w:rPr>
        <w:instrText xml:space="preserve"> PAGEREF _Toc15396611 \h </w:instrText>
      </w:r>
      <w:r>
        <w:rPr>
          <w:rFonts w:ascii="仿宋_GB2312" w:hAnsi="仿宋_GB2312" w:eastAsia="仿宋_GB2312" w:cs="仿宋_GB2312"/>
          <w:kern w:val="44"/>
          <w:sz w:val="32"/>
          <w:szCs w:val="32"/>
        </w:rPr>
        <w:fldChar w:fldCharType="separate"/>
      </w:r>
      <w:r>
        <w:rPr>
          <w:rFonts w:ascii="仿宋_GB2312" w:hAnsi="仿宋_GB2312" w:eastAsia="仿宋_GB2312" w:cs="仿宋_GB2312"/>
          <w:kern w:val="44"/>
          <w:sz w:val="32"/>
          <w:szCs w:val="32"/>
        </w:rPr>
        <w:t>20</w:t>
      </w:r>
      <w:r>
        <w:rPr>
          <w:rFonts w:ascii="仿宋_GB2312" w:hAnsi="仿宋_GB2312" w:eastAsia="仿宋_GB2312" w:cs="仿宋_GB2312"/>
          <w:kern w:val="44"/>
          <w:sz w:val="32"/>
          <w:szCs w:val="32"/>
        </w:rPr>
        <w:fldChar w:fldCharType="end"/>
      </w:r>
      <w:r>
        <w:rPr>
          <w:rFonts w:ascii="仿宋_GB2312" w:hAnsi="仿宋_GB2312" w:eastAsia="仿宋_GB2312" w:cs="仿宋_GB2312"/>
          <w:kern w:val="44"/>
          <w:sz w:val="32"/>
          <w:szCs w:val="32"/>
        </w:rPr>
        <w:fldChar w:fldCharType="end"/>
      </w:r>
    </w:p>
    <w:p>
      <w:pPr>
        <w:pStyle w:val="13"/>
        <w:rPr>
          <w:rFonts w:ascii="仿宋_GB2312" w:hAnsi="仿宋_GB2312" w:eastAsia="仿宋_GB2312" w:cs="仿宋_GB2312"/>
          <w:bCs/>
          <w:kern w:val="44"/>
          <w:sz w:val="32"/>
          <w:szCs w:val="32"/>
        </w:rPr>
      </w:pPr>
      <w:r>
        <w:fldChar w:fldCharType="begin"/>
      </w:r>
      <w:r>
        <w:instrText xml:space="preserve"> HYPERLINK \l "_Toc15396612" </w:instrText>
      </w:r>
      <w:r>
        <w:fldChar w:fldCharType="separate"/>
      </w:r>
      <w:r>
        <w:rPr>
          <w:rFonts w:hint="eastAsia" w:ascii="仿宋_GB2312" w:hAnsi="仿宋_GB2312" w:eastAsia="仿宋_GB2312" w:cs="仿宋_GB2312"/>
          <w:bCs/>
          <w:kern w:val="44"/>
          <w:sz w:val="32"/>
          <w:szCs w:val="32"/>
        </w:rPr>
        <w:t>十</w:t>
      </w:r>
      <w:r>
        <w:rPr>
          <w:rFonts w:hint="eastAsia" w:ascii="仿宋_GB2312" w:hAnsi="仿宋_GB2312" w:eastAsia="仿宋_GB2312" w:cs="仿宋_GB2312"/>
          <w:kern w:val="44"/>
          <w:sz w:val="32"/>
          <w:szCs w:val="32"/>
        </w:rPr>
        <w:t>一、其他重要事项的情况说明</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_Toc15396612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27</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2"/>
        <w:rPr>
          <w:rFonts w:ascii="仿宋_GB2312" w:hAnsi="仿宋_GB2312" w:eastAsia="仿宋_GB2312" w:cs="仿宋_GB2312"/>
          <w:bCs/>
          <w:kern w:val="44"/>
          <w:sz w:val="32"/>
          <w:szCs w:val="32"/>
        </w:rPr>
      </w:pPr>
      <w:r>
        <w:fldChar w:fldCharType="begin"/>
      </w:r>
      <w:r>
        <w:instrText xml:space="preserve"> HYPERLINK \l "_Toc15396613" </w:instrText>
      </w:r>
      <w:r>
        <w:fldChar w:fldCharType="separate"/>
      </w:r>
      <w:r>
        <w:rPr>
          <w:rFonts w:hint="eastAsia" w:ascii="仿宋_GB2312" w:hAnsi="仿宋_GB2312" w:eastAsia="仿宋_GB2312" w:cs="仿宋_GB2312"/>
          <w:sz w:val="32"/>
          <w:szCs w:val="32"/>
        </w:rPr>
        <w:t>第三部分</w:t>
      </w:r>
      <w:r>
        <w:rPr>
          <w:rFonts w:hint="eastAsia" w:ascii="仿宋_GB2312" w:hAnsi="仿宋_GB2312" w:eastAsia="仿宋_GB2312" w:cs="仿宋_GB2312"/>
          <w:bCs/>
          <w:kern w:val="44"/>
          <w:sz w:val="32"/>
          <w:szCs w:val="32"/>
        </w:rPr>
        <w:t xml:space="preserve"> 名</w:t>
      </w:r>
      <w:r>
        <w:rPr>
          <w:rFonts w:hint="eastAsia" w:ascii="仿宋_GB2312" w:hAnsi="仿宋_GB2312" w:eastAsia="仿宋_GB2312" w:cs="仿宋_GB2312"/>
          <w:sz w:val="32"/>
          <w:szCs w:val="32"/>
        </w:rPr>
        <w:t>词解释</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_Toc15396613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28</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2"/>
        <w:rPr>
          <w:rFonts w:ascii="仿宋_GB2312" w:hAnsi="仿宋_GB2312" w:eastAsia="仿宋_GB2312" w:cs="仿宋_GB2312"/>
          <w:bCs/>
          <w:kern w:val="44"/>
          <w:sz w:val="32"/>
          <w:szCs w:val="32"/>
        </w:rPr>
      </w:pPr>
      <w:r>
        <w:fldChar w:fldCharType="begin"/>
      </w:r>
      <w:r>
        <w:instrText xml:space="preserve"> HYPERLINK \l "_Toc15396614" </w:instrText>
      </w:r>
      <w:r>
        <w:fldChar w:fldCharType="separate"/>
      </w:r>
      <w:r>
        <w:rPr>
          <w:rFonts w:hint="eastAsia" w:ascii="仿宋_GB2312" w:hAnsi="仿宋_GB2312" w:eastAsia="仿宋_GB2312" w:cs="仿宋_GB2312"/>
          <w:bCs/>
          <w:kern w:val="44"/>
          <w:sz w:val="32"/>
          <w:szCs w:val="32"/>
        </w:rPr>
        <w:t>第</w:t>
      </w:r>
      <w:r>
        <w:rPr>
          <w:rFonts w:hint="eastAsia" w:ascii="仿宋_GB2312" w:hAnsi="仿宋_GB2312" w:eastAsia="仿宋_GB2312" w:cs="仿宋_GB2312"/>
          <w:sz w:val="32"/>
          <w:szCs w:val="32"/>
        </w:rPr>
        <w:t>四部分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附件</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_Toc15396614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31</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rPr>
          <w:rFonts w:hint="default" w:eastAsia="仿宋_GB2312"/>
          <w:lang w:val="en-US" w:eastAsia="zh-CN"/>
        </w:rPr>
      </w:pPr>
      <w:r>
        <w:rPr>
          <w:rFonts w:hint="eastAsia" w:ascii="仿宋_GB2312" w:hAnsi="仿宋_GB2312" w:eastAsia="仿宋_GB2312" w:cs="仿宋_GB2312"/>
          <w:bCs/>
          <w:kern w:val="44"/>
          <w:sz w:val="32"/>
          <w:szCs w:val="32"/>
          <w:lang w:val="en-US" w:eastAsia="zh-CN"/>
        </w:rPr>
        <w:t xml:space="preserve">  茂县发展和改革局2019年部门整体支出绩效评价报告</w:t>
      </w:r>
    </w:p>
    <w:p>
      <w:pPr>
        <w:pStyle w:val="12"/>
        <w:rPr>
          <w:rFonts w:ascii="仿宋_GB2312" w:hAnsi="仿宋_GB2312" w:eastAsia="仿宋_GB2312" w:cs="仿宋_GB2312"/>
          <w:bCs/>
          <w:kern w:val="44"/>
          <w:sz w:val="32"/>
          <w:szCs w:val="32"/>
        </w:rPr>
      </w:pPr>
      <w:r>
        <w:fldChar w:fldCharType="begin"/>
      </w:r>
      <w:r>
        <w:instrText xml:space="preserve"> HYPERLINK \l "_Toc15396618" </w:instrText>
      </w:r>
      <w:r>
        <w:fldChar w:fldCharType="separate"/>
      </w:r>
      <w:r>
        <w:rPr>
          <w:rFonts w:hint="eastAsia" w:ascii="仿宋_GB2312" w:hAnsi="仿宋_GB2312" w:eastAsia="仿宋_GB2312" w:cs="仿宋_GB2312"/>
          <w:bCs/>
          <w:kern w:val="44"/>
          <w:sz w:val="32"/>
          <w:szCs w:val="32"/>
        </w:rPr>
        <w:t>第</w:t>
      </w:r>
      <w:r>
        <w:rPr>
          <w:rFonts w:hint="eastAsia" w:ascii="仿宋_GB2312" w:hAnsi="仿宋_GB2312" w:eastAsia="仿宋_GB2312" w:cs="仿宋_GB2312"/>
          <w:sz w:val="32"/>
          <w:szCs w:val="32"/>
        </w:rPr>
        <w:t>五部分</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附表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_Toc15396618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一、</w:t>
      </w:r>
      <w:r>
        <w:fldChar w:fldCharType="begin"/>
      </w:r>
      <w:r>
        <w:instrText xml:space="preserve"> HYPERLINK \l "_Toc15396619" </w:instrText>
      </w:r>
      <w:r>
        <w:fldChar w:fldCharType="separate"/>
      </w:r>
      <w:r>
        <w:rPr>
          <w:rFonts w:hint="eastAsia" w:ascii="仿宋_GB2312" w:hAnsi="仿宋_GB2312" w:eastAsia="仿宋_GB2312" w:cs="仿宋_GB2312"/>
          <w:bCs/>
          <w:kern w:val="44"/>
          <w:sz w:val="32"/>
          <w:szCs w:val="32"/>
        </w:rPr>
        <w:t>收入支出决算总表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_Toc15396619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二、</w:t>
      </w:r>
      <w:r>
        <w:fldChar w:fldCharType="begin"/>
      </w:r>
      <w:r>
        <w:instrText xml:space="preserve"> HYPERLINK \l "_Toc15396620" </w:instrText>
      </w:r>
      <w:r>
        <w:fldChar w:fldCharType="separate"/>
      </w:r>
      <w:r>
        <w:rPr>
          <w:rFonts w:hint="eastAsia" w:ascii="仿宋_GB2312" w:hAnsi="仿宋_GB2312" w:eastAsia="仿宋_GB2312" w:cs="仿宋_GB2312"/>
          <w:bCs/>
          <w:kern w:val="44"/>
          <w:sz w:val="32"/>
          <w:szCs w:val="32"/>
        </w:rPr>
        <w:t>收入总表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_Toc15396620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三、</w:t>
      </w:r>
      <w:r>
        <w:fldChar w:fldCharType="begin"/>
      </w:r>
      <w:r>
        <w:instrText xml:space="preserve"> HYPERLINK \l "_Toc15396621" </w:instrText>
      </w:r>
      <w:r>
        <w:fldChar w:fldCharType="separate"/>
      </w:r>
      <w:r>
        <w:rPr>
          <w:rFonts w:hint="eastAsia" w:ascii="仿宋_GB2312" w:hAnsi="仿宋_GB2312" w:eastAsia="仿宋_GB2312" w:cs="仿宋_GB2312"/>
          <w:bCs/>
          <w:kern w:val="44"/>
          <w:sz w:val="32"/>
          <w:szCs w:val="32"/>
        </w:rPr>
        <w:t>支出总表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_Toc15396621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四、</w:t>
      </w:r>
      <w:r>
        <w:fldChar w:fldCharType="begin"/>
      </w:r>
      <w:r>
        <w:instrText xml:space="preserve"> HYPERLINK \l "_Toc15396622" </w:instrText>
      </w:r>
      <w:r>
        <w:fldChar w:fldCharType="separate"/>
      </w:r>
      <w:r>
        <w:rPr>
          <w:rFonts w:hint="eastAsia" w:ascii="仿宋_GB2312" w:hAnsi="仿宋_GB2312" w:eastAsia="仿宋_GB2312" w:cs="仿宋_GB2312"/>
          <w:bCs/>
          <w:kern w:val="44"/>
          <w:sz w:val="32"/>
          <w:szCs w:val="32"/>
        </w:rPr>
        <w:t>财政拨款收入支出决算总表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_Toc15396622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bCs/>
          <w:kern w:val="44"/>
          <w:sz w:val="32"/>
          <w:szCs w:val="32"/>
        </w:rPr>
        <w:t>财政拨款支出决算明细表（政府经济分类科目）</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_Toc15396623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六、</w:t>
      </w:r>
      <w:r>
        <w:fldChar w:fldCharType="begin"/>
      </w:r>
      <w:r>
        <w:instrText xml:space="preserve"> HYPERLINK \l "_Toc15396624" </w:instrText>
      </w:r>
      <w:r>
        <w:fldChar w:fldCharType="separate"/>
      </w:r>
      <w:r>
        <w:rPr>
          <w:rFonts w:hint="eastAsia" w:ascii="仿宋_GB2312" w:hAnsi="仿宋_GB2312" w:eastAsia="仿宋_GB2312" w:cs="仿宋_GB2312"/>
          <w:bCs/>
          <w:kern w:val="44"/>
          <w:sz w:val="32"/>
          <w:szCs w:val="32"/>
        </w:rPr>
        <w:t>一般公共预算财政拨款支出决算表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_Toc15396624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七、</w:t>
      </w:r>
      <w:r>
        <w:fldChar w:fldCharType="begin"/>
      </w:r>
      <w:r>
        <w:instrText xml:space="preserve"> HYPERLINK \l "_Toc15396625" </w:instrText>
      </w:r>
      <w:r>
        <w:fldChar w:fldCharType="separate"/>
      </w:r>
      <w:r>
        <w:rPr>
          <w:rFonts w:hint="eastAsia" w:ascii="仿宋_GB2312" w:hAnsi="仿宋_GB2312" w:eastAsia="仿宋_GB2312" w:cs="仿宋_GB2312"/>
          <w:bCs/>
          <w:kern w:val="44"/>
          <w:sz w:val="32"/>
          <w:szCs w:val="32"/>
        </w:rPr>
        <w:t>一般公共预算财政拨款支出决算明细表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_Toc15396625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八、</w:t>
      </w:r>
      <w:r>
        <w:fldChar w:fldCharType="begin"/>
      </w:r>
      <w:r>
        <w:instrText xml:space="preserve"> HYPERLINK \l "_Toc15396626" </w:instrText>
      </w:r>
      <w:r>
        <w:fldChar w:fldCharType="separate"/>
      </w:r>
      <w:r>
        <w:rPr>
          <w:rFonts w:hint="eastAsia" w:ascii="仿宋_GB2312" w:hAnsi="仿宋_GB2312" w:eastAsia="仿宋_GB2312" w:cs="仿宋_GB2312"/>
          <w:bCs/>
          <w:kern w:val="44"/>
          <w:sz w:val="32"/>
          <w:szCs w:val="32"/>
        </w:rPr>
        <w:t>一般公共预算财政拨款基本支出决算表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_Toc15396626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九、</w:t>
      </w:r>
      <w:r>
        <w:fldChar w:fldCharType="begin"/>
      </w:r>
      <w:r>
        <w:instrText xml:space="preserve"> HYPERLINK \l "_Toc15396627" </w:instrText>
      </w:r>
      <w:r>
        <w:fldChar w:fldCharType="separate"/>
      </w:r>
      <w:r>
        <w:rPr>
          <w:rFonts w:hint="eastAsia" w:ascii="仿宋_GB2312" w:hAnsi="仿宋_GB2312" w:eastAsia="仿宋_GB2312" w:cs="仿宋_GB2312"/>
          <w:bCs/>
          <w:kern w:val="44"/>
          <w:sz w:val="32"/>
          <w:szCs w:val="32"/>
        </w:rPr>
        <w:t>一般公共预算财政拨款项目支出决算表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_Toc15396627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十、</w:t>
      </w:r>
      <w:r>
        <w:fldChar w:fldCharType="begin"/>
      </w:r>
      <w:r>
        <w:instrText xml:space="preserve"> HYPERLINK \l "_Toc15396628" </w:instrText>
      </w:r>
      <w:r>
        <w:fldChar w:fldCharType="separate"/>
      </w:r>
      <w:r>
        <w:rPr>
          <w:rFonts w:hint="eastAsia" w:ascii="仿宋_GB2312" w:hAnsi="仿宋_GB2312" w:eastAsia="仿宋_GB2312" w:cs="仿宋_GB2312"/>
          <w:bCs/>
          <w:kern w:val="44"/>
          <w:sz w:val="32"/>
          <w:szCs w:val="32"/>
        </w:rPr>
        <w:t>一般公共预算财政拨款“三公”经费支出决算表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_Toc15396628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十一、</w:t>
      </w:r>
      <w:r>
        <w:fldChar w:fldCharType="begin"/>
      </w:r>
      <w:r>
        <w:instrText xml:space="preserve"> HYPERLINK \l "_Toc15396629" </w:instrText>
      </w:r>
      <w:r>
        <w:fldChar w:fldCharType="separate"/>
      </w:r>
      <w:r>
        <w:rPr>
          <w:rFonts w:hint="eastAsia" w:ascii="仿宋_GB2312" w:hAnsi="仿宋_GB2312" w:eastAsia="仿宋_GB2312" w:cs="仿宋_GB2312"/>
          <w:bCs/>
          <w:kern w:val="44"/>
          <w:sz w:val="32"/>
          <w:szCs w:val="32"/>
        </w:rPr>
        <w:t>政府性基金预算财政拨款收入支出决算表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_Toc15396629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十二、</w:t>
      </w:r>
      <w:r>
        <w:fldChar w:fldCharType="begin"/>
      </w:r>
      <w:r>
        <w:instrText xml:space="preserve"> HYPERLINK \l "_Toc15396630" </w:instrText>
      </w:r>
      <w:r>
        <w:fldChar w:fldCharType="separate"/>
      </w:r>
      <w:r>
        <w:rPr>
          <w:rFonts w:hint="eastAsia" w:ascii="仿宋_GB2312" w:hAnsi="仿宋_GB2312" w:eastAsia="仿宋_GB2312" w:cs="仿宋_GB2312"/>
          <w:bCs/>
          <w:kern w:val="44"/>
          <w:sz w:val="32"/>
          <w:szCs w:val="32"/>
        </w:rPr>
        <w:t>政府性基金预算财政拨款“三公”经费支出决算表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_Toc15396630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pStyle w:val="13"/>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十三、</w:t>
      </w:r>
      <w:r>
        <w:fldChar w:fldCharType="begin"/>
      </w:r>
      <w:r>
        <w:instrText xml:space="preserve"> HYPERLINK \l "_Toc15396631" </w:instrText>
      </w:r>
      <w:r>
        <w:fldChar w:fldCharType="separate"/>
      </w:r>
      <w:r>
        <w:rPr>
          <w:rFonts w:hint="eastAsia" w:ascii="仿宋_GB2312" w:hAnsi="仿宋_GB2312" w:eastAsia="仿宋_GB2312" w:cs="仿宋_GB2312"/>
          <w:bCs/>
          <w:kern w:val="44"/>
          <w:sz w:val="32"/>
          <w:szCs w:val="32"/>
        </w:rPr>
        <w:t>国有资本经营预算支出决算表</w:t>
      </w:r>
      <w:r>
        <w:rPr>
          <w:rFonts w:ascii="仿宋_GB2312" w:hAnsi="仿宋_GB2312" w:eastAsia="仿宋_GB2312" w:cs="仿宋_GB2312"/>
          <w:bCs/>
          <w:kern w:val="44"/>
          <w:sz w:val="32"/>
          <w:szCs w:val="32"/>
        </w:rPr>
        <w:tab/>
      </w:r>
      <w:r>
        <w:rPr>
          <w:rFonts w:ascii="仿宋_GB2312" w:hAnsi="仿宋_GB2312" w:eastAsia="仿宋_GB2312" w:cs="仿宋_GB2312"/>
          <w:bCs/>
          <w:kern w:val="44"/>
          <w:sz w:val="32"/>
          <w:szCs w:val="32"/>
        </w:rPr>
        <w:fldChar w:fldCharType="begin"/>
      </w:r>
      <w:r>
        <w:rPr>
          <w:rFonts w:ascii="仿宋_GB2312" w:hAnsi="仿宋_GB2312" w:eastAsia="仿宋_GB2312" w:cs="仿宋_GB2312"/>
          <w:bCs/>
          <w:kern w:val="44"/>
          <w:sz w:val="32"/>
          <w:szCs w:val="32"/>
        </w:rPr>
        <w:instrText xml:space="preserve"> PAGEREF _Toc15396631 \h </w:instrText>
      </w:r>
      <w:r>
        <w:rPr>
          <w:rFonts w:ascii="仿宋_GB2312" w:hAnsi="仿宋_GB2312" w:eastAsia="仿宋_GB2312" w:cs="仿宋_GB2312"/>
          <w:bCs/>
          <w:kern w:val="44"/>
          <w:sz w:val="32"/>
          <w:szCs w:val="32"/>
        </w:rPr>
        <w:fldChar w:fldCharType="separate"/>
      </w:r>
      <w:r>
        <w:rPr>
          <w:rFonts w:ascii="仿宋_GB2312" w:hAnsi="仿宋_GB2312" w:eastAsia="仿宋_GB2312" w:cs="仿宋_GB2312"/>
          <w:bCs/>
          <w:kern w:val="44"/>
          <w:sz w:val="32"/>
          <w:szCs w:val="32"/>
        </w:rPr>
        <w:t>45</w:t>
      </w:r>
      <w:r>
        <w:rPr>
          <w:rFonts w:ascii="仿宋_GB2312" w:hAnsi="仿宋_GB2312" w:eastAsia="仿宋_GB2312" w:cs="仿宋_GB2312"/>
          <w:bCs/>
          <w:kern w:val="44"/>
          <w:sz w:val="32"/>
          <w:szCs w:val="32"/>
        </w:rPr>
        <w:fldChar w:fldCharType="end"/>
      </w:r>
      <w:r>
        <w:rPr>
          <w:rFonts w:ascii="仿宋_GB2312" w:hAnsi="仿宋_GB2312" w:eastAsia="仿宋_GB2312" w:cs="仿宋_GB2312"/>
          <w:bCs/>
          <w:kern w:val="44"/>
          <w:sz w:val="32"/>
          <w:szCs w:val="32"/>
        </w:rPr>
        <w:fldChar w:fldCharType="end"/>
      </w:r>
    </w:p>
    <w:p>
      <w:pPr>
        <w:widowControl/>
        <w:jc w:val="left"/>
        <w:rPr>
          <w:rFonts w:ascii="仿宋" w:hAnsi="仿宋" w:eastAsia="仿宋"/>
          <w:color w:val="000000"/>
          <w:sz w:val="24"/>
        </w:rPr>
      </w:pPr>
      <w:r>
        <w:rPr>
          <w:rFonts w:ascii="仿宋_GB2312" w:hAnsi="仿宋_GB2312" w:eastAsia="仿宋_GB2312" w:cs="仿宋_GB2312"/>
          <w:bCs/>
          <w:kern w:val="44"/>
          <w:sz w:val="32"/>
          <w:szCs w:val="32"/>
        </w:rPr>
        <w:fldChar w:fldCharType="end"/>
      </w:r>
    </w:p>
    <w:p>
      <w:pPr>
        <w:widowControl/>
        <w:jc w:val="left"/>
        <w:rPr>
          <w:rFonts w:ascii="黑体" w:hAnsi="黑体" w:eastAsia="黑体"/>
          <w:bCs/>
          <w:kern w:val="44"/>
          <w:sz w:val="44"/>
          <w:szCs w:val="44"/>
        </w:rPr>
      </w:pPr>
      <w:bookmarkStart w:id="12" w:name="_Toc15396599"/>
      <w:bookmarkStart w:id="13" w:name="_Toc15377196"/>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rPr>
          <w:rFonts w:ascii="黑体" w:hAnsi="黑体" w:eastAsia="黑体"/>
          <w:bCs/>
          <w:kern w:val="44"/>
          <w:sz w:val="44"/>
          <w:szCs w:val="44"/>
        </w:rPr>
      </w:pPr>
    </w:p>
    <w:p>
      <w:pPr>
        <w:widowControl/>
        <w:rPr>
          <w:rFonts w:ascii="黑体" w:hAnsi="黑体" w:eastAsia="黑体"/>
        </w:rPr>
      </w:pPr>
    </w:p>
    <w:p>
      <w:pPr>
        <w:adjustRightInd w:val="0"/>
        <w:snapToGrid w:val="0"/>
        <w:spacing w:line="360" w:lineRule="auto"/>
        <w:jc w:val="center"/>
        <w:outlineLvl w:val="0"/>
        <w:rPr>
          <w:rFonts w:ascii="黑体" w:hAnsi="黑体" w:eastAsia="黑体"/>
          <w:color w:val="000000"/>
          <w:sz w:val="48"/>
          <w:szCs w:val="48"/>
        </w:rPr>
      </w:pPr>
      <w:r>
        <w:rPr>
          <w:rFonts w:hint="eastAsia" w:ascii="方正小标宋简体" w:hAnsi="宋体" w:eastAsia="方正小标宋简体"/>
          <w:color w:val="000000"/>
          <w:sz w:val="44"/>
          <w:szCs w:val="44"/>
        </w:rPr>
        <w:t>第一部分 部门概况</w:t>
      </w:r>
      <w:bookmarkEnd w:id="12"/>
      <w:bookmarkEnd w:id="13"/>
    </w:p>
    <w:p>
      <w:pPr>
        <w:pStyle w:val="4"/>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Style w:val="28"/>
          <w:rFonts w:ascii="仿宋" w:hAnsi="仿宋" w:eastAsia="仿宋"/>
          <w:b/>
          <w:bCs/>
          <w:color w:val="000000"/>
        </w:rPr>
      </w:pPr>
      <w:bookmarkStart w:id="14" w:name="_Toc15396600"/>
      <w:bookmarkStart w:id="15" w:name="_Toc15377197"/>
      <w:r>
        <w:rPr>
          <w:rStyle w:val="28"/>
          <w:rFonts w:hint="eastAsia" w:ascii="黑体" w:hAnsi="黑体" w:eastAsia="黑体"/>
          <w:b w:val="0"/>
          <w:bCs w:val="0"/>
        </w:rPr>
        <w:t>基本职能及主要工作</w:t>
      </w:r>
      <w:bookmarkEnd w:id="14"/>
      <w:bookmarkEnd w:id="15"/>
      <w:bookmarkStart w:id="16" w:name="_Toc15378445"/>
      <w:bookmarkStart w:id="17" w:name="_Toc15377198"/>
    </w:p>
    <w:p>
      <w:pPr>
        <w:pStyle w:val="4"/>
        <w:pageBreakBefore w:val="0"/>
        <w:widowControl w:val="0"/>
        <w:kinsoku/>
        <w:wordWrap/>
        <w:overflowPunct/>
        <w:topLinePunct w:val="0"/>
        <w:autoSpaceDE/>
        <w:autoSpaceDN/>
        <w:bidi w:val="0"/>
        <w:adjustRightInd/>
        <w:snapToGrid/>
        <w:spacing w:line="576" w:lineRule="exact"/>
        <w:ind w:left="482" w:firstLine="643" w:firstLineChars="200"/>
        <w:textAlignment w:val="auto"/>
        <w:rPr>
          <w:rFonts w:ascii="仿宋" w:hAnsi="仿宋" w:eastAsia="仿宋"/>
          <w:b w:val="0"/>
          <w:color w:val="000000"/>
        </w:rPr>
      </w:pPr>
      <w:r>
        <w:rPr>
          <w:rStyle w:val="28"/>
          <w:rFonts w:hint="eastAsia" w:ascii="楷体" w:hAnsi="楷体" w:eastAsia="楷体" w:cs="楷体"/>
          <w:b/>
          <w:bCs w:val="0"/>
        </w:rPr>
        <w:t>（一）主要职能</w:t>
      </w:r>
      <w:bookmarkEnd w:id="16"/>
      <w:bookmarkEnd w:id="1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w:t>
      </w:r>
      <w:bookmarkStart w:id="18" w:name="_Toc15377199"/>
      <w:bookmarkStart w:id="19" w:name="_Toc15378446"/>
      <w:r>
        <w:rPr>
          <w:rFonts w:hint="eastAsia" w:ascii="仿宋_GB2312" w:hAnsi="仿宋_GB2312" w:eastAsia="仿宋_GB2312" w:cs="仿宋_GB2312"/>
          <w:kern w:val="44"/>
          <w:sz w:val="32"/>
          <w:szCs w:val="32"/>
        </w:rPr>
        <w:t>贯彻实施国家、省、州、县有关国民经济和社会发展、经济体制改革的方针、政策和法律、法规。负责本系统、本部门依法行政工作，落实行政执法责任制。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负责拟订并组织实施全县国民经济和社会发展战略、中长期规划和年度计划，统筹协调全县经济社会发展，研究分析宏观经济形势，提出全县经济社会发展、经济结构优化调控目标和政策建议。受县政府委托向县人大提交国民经济和社会发展计划报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3.负责监测宏观经济和社会发展态势，承担预测预警和信息引导的责任，研究宏观调控重大问题并提出政策建议，搞好总量平衡，综合协调经济社会发展中的重大问题。负责县级以上开发区的指导、协调和宏观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4.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5.负责全县投资宏观管理和协调推进重大项目建设。拟订全县社会固定资产投资总规模和投资结构，编制年度投资计划；研究提出有关重大投资政策，规划重大项目和生产力布局；申报限额以上和审批权限以内的基本建设项目；按照基本建设程序，负责全县基本建设项目立项、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6.推进经济结构战略性调整。负责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7.负责全县社会发展与国民经济发展的政策衔接，组织拟订社会发展战略、总体规划和年度计划，拟定人口发展战略规划及人口政策，参与拟订科学技术、教育、文化、卫生、民政等发展政策，推进社会事业建设。研究提出促进就业、调整收入分配、完善社会保障与经济协调发展的政策建议，协调社会事业发展和政策中的重大问题及政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8.促进城乡区域协调发展。组织编制全县主体功能区规划并协调规划实施和进行监测评估，组织拟订区域协调发展战略、规划，负责地区经济协作的统筹协调。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9.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10.指导、协调并综合管理全县招标投标工作，对国家和州、县重大建设项目建设过程中的工程招标投标活动实施监督检查。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11.负责组织编制全县国民经济动员与装备动员规划、计划，研究国民经济动员与装备动员和国民经济、国防建设的关系，协调相关重大问题，组织实施国民经济动员与装备动员有关工作。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12.承担县政府公布的有关行政审批事项。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13.承办县政府交办的其他事项。</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8"/>
          <w:rFonts w:ascii="楷体" w:hAnsi="楷体" w:eastAsia="楷体" w:cs="楷体"/>
          <w:bCs w:val="0"/>
        </w:rPr>
      </w:pPr>
      <w:r>
        <w:rPr>
          <w:rStyle w:val="28"/>
          <w:rFonts w:hint="eastAsia" w:ascii="楷体" w:hAnsi="楷体" w:eastAsia="楷体" w:cs="楷体"/>
          <w:bCs w:val="0"/>
        </w:rPr>
        <w:t>（二）</w:t>
      </w:r>
      <w:r>
        <w:rPr>
          <w:rStyle w:val="28"/>
          <w:rFonts w:ascii="楷体" w:hAnsi="楷体" w:eastAsia="楷体" w:cs="楷体"/>
          <w:bCs w:val="0"/>
        </w:rPr>
        <w:t>201</w:t>
      </w:r>
      <w:r>
        <w:rPr>
          <w:rStyle w:val="28"/>
          <w:rFonts w:hint="eastAsia" w:ascii="楷体" w:hAnsi="楷体" w:eastAsia="楷体" w:cs="楷体"/>
          <w:bCs w:val="0"/>
          <w:lang w:val="en-US" w:eastAsia="zh-CN"/>
        </w:rPr>
        <w:t>9</w:t>
      </w:r>
      <w:r>
        <w:rPr>
          <w:rStyle w:val="28"/>
          <w:rFonts w:hint="eastAsia" w:ascii="楷体" w:hAnsi="楷体" w:eastAsia="楷体" w:cs="楷体"/>
          <w:bCs w:val="0"/>
        </w:rPr>
        <w:t>年重点工作完成情况</w:t>
      </w:r>
      <w:bookmarkEnd w:id="18"/>
      <w:bookmarkEnd w:id="19"/>
    </w:p>
    <w:p>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bookmarkStart w:id="20" w:name="OLE_LINK2"/>
      <w:bookmarkStart w:id="21" w:name="OLE_LINK1"/>
      <w:r>
        <w:rPr>
          <w:rFonts w:hint="eastAsia" w:ascii="仿宋_GB2312" w:hAnsi="仿宋_GB2312" w:eastAsia="仿宋_GB2312" w:cs="仿宋_GB2312"/>
          <w:bCs/>
          <w:kern w:val="44"/>
          <w:sz w:val="32"/>
          <w:szCs w:val="32"/>
          <w:lang w:val="en-US" w:eastAsia="zh-CN"/>
        </w:rPr>
        <w:t>1.</w:t>
      </w:r>
      <w:r>
        <w:rPr>
          <w:rFonts w:hint="eastAsia" w:ascii="仿宋_GB2312" w:hAnsi="仿宋_GB2312" w:eastAsia="仿宋_GB2312" w:cs="仿宋_GB2312"/>
          <w:bCs/>
          <w:kern w:val="44"/>
          <w:sz w:val="32"/>
          <w:szCs w:val="32"/>
        </w:rPr>
        <w:t>强化经济运行分析。</w:t>
      </w:r>
      <w:r>
        <w:rPr>
          <w:rFonts w:hint="eastAsia" w:ascii="仿宋_GB2312" w:eastAsia="仿宋_GB2312"/>
          <w:color w:val="000000"/>
          <w:sz w:val="32"/>
          <w:szCs w:val="32"/>
        </w:rPr>
        <w:t>坚持每季度向州发改委、</w:t>
      </w:r>
      <w:r>
        <w:rPr>
          <w:rFonts w:hint="eastAsia" w:ascii="仿宋_GB2312" w:eastAsia="仿宋_GB2312"/>
          <w:sz w:val="32"/>
          <w:szCs w:val="32"/>
        </w:rPr>
        <w:t>县政府提供经济运行分析材料，为领导科学决策提供参考。2019年，全县</w:t>
      </w:r>
      <w:r>
        <w:rPr>
          <w:rFonts w:ascii="仿宋_GB2312" w:eastAsia="仿宋_GB2312"/>
          <w:sz w:val="32"/>
          <w:szCs w:val="32"/>
        </w:rPr>
        <w:t>完成地区生产总值</w:t>
      </w:r>
      <w:r>
        <w:rPr>
          <w:rFonts w:hint="eastAsia" w:ascii="仿宋_GB2312" w:eastAsia="仿宋_GB2312"/>
          <w:sz w:val="32"/>
          <w:szCs w:val="32"/>
        </w:rPr>
        <w:t>(</w:t>
      </w:r>
      <w:r>
        <w:rPr>
          <w:rFonts w:ascii="仿宋_GB2312" w:eastAsia="仿宋_GB2312"/>
          <w:sz w:val="32"/>
          <w:szCs w:val="32"/>
        </w:rPr>
        <w:t>GDP</w:t>
      </w:r>
      <w:r>
        <w:rPr>
          <w:rFonts w:hint="eastAsia" w:ascii="仿宋_GB2312" w:eastAsia="仿宋_GB2312"/>
          <w:sz w:val="32"/>
          <w:szCs w:val="32"/>
        </w:rPr>
        <w:t>)</w:t>
      </w:r>
      <w:r>
        <w:rPr>
          <w:rFonts w:hint="eastAsia" w:ascii="仿宋_GB2312" w:eastAsia="仿宋_GB2312"/>
          <w:sz w:val="32"/>
          <w:szCs w:val="32"/>
          <w:lang w:val="en-US" w:eastAsia="zh-CN"/>
        </w:rPr>
        <w:t>406009</w:t>
      </w:r>
      <w:r>
        <w:rPr>
          <w:rFonts w:ascii="仿宋_GB2312" w:eastAsia="仿宋_GB2312"/>
          <w:sz w:val="32"/>
          <w:szCs w:val="32"/>
        </w:rPr>
        <w:t>万元，同比增长5.</w:t>
      </w:r>
      <w:r>
        <w:rPr>
          <w:rFonts w:hint="eastAsia" w:ascii="仿宋_GB2312" w:eastAsia="仿宋_GB2312"/>
          <w:sz w:val="32"/>
          <w:szCs w:val="32"/>
          <w:lang w:val="en-US" w:eastAsia="zh-CN"/>
        </w:rPr>
        <w:t>4</w:t>
      </w:r>
      <w:r>
        <w:rPr>
          <w:rFonts w:ascii="仿宋_GB2312" w:eastAsia="仿宋_GB2312"/>
          <w:sz w:val="32"/>
          <w:szCs w:val="32"/>
        </w:rPr>
        <w:t>%。其中，第一产业实现增加值</w:t>
      </w:r>
      <w:r>
        <w:rPr>
          <w:rFonts w:hint="eastAsia" w:ascii="仿宋_GB2312" w:eastAsia="仿宋_GB2312"/>
          <w:sz w:val="32"/>
          <w:szCs w:val="32"/>
          <w:lang w:val="en-US" w:eastAsia="zh-CN"/>
        </w:rPr>
        <w:t>73926</w:t>
      </w:r>
      <w:r>
        <w:rPr>
          <w:rFonts w:ascii="仿宋_GB2312" w:eastAsia="仿宋_GB2312"/>
          <w:sz w:val="32"/>
          <w:szCs w:val="32"/>
        </w:rPr>
        <w:t>万元，同比增长</w:t>
      </w:r>
      <w:r>
        <w:rPr>
          <w:rFonts w:hint="eastAsia" w:ascii="仿宋_GB2312" w:eastAsia="仿宋_GB2312"/>
          <w:sz w:val="32"/>
          <w:szCs w:val="32"/>
          <w:lang w:val="en-US" w:eastAsia="zh-CN"/>
        </w:rPr>
        <w:t>5.4</w:t>
      </w:r>
      <w:r>
        <w:rPr>
          <w:rFonts w:ascii="仿宋_GB2312" w:eastAsia="仿宋_GB2312"/>
          <w:sz w:val="32"/>
          <w:szCs w:val="32"/>
        </w:rPr>
        <w:t>%；第二产业实现增加值</w:t>
      </w:r>
      <w:r>
        <w:rPr>
          <w:rFonts w:hint="eastAsia" w:ascii="仿宋_GB2312" w:eastAsia="仿宋_GB2312"/>
          <w:sz w:val="32"/>
          <w:szCs w:val="32"/>
          <w:lang w:val="en-US" w:eastAsia="zh-CN"/>
        </w:rPr>
        <w:t>159802</w:t>
      </w:r>
      <w:r>
        <w:rPr>
          <w:rFonts w:ascii="仿宋_GB2312" w:eastAsia="仿宋_GB2312"/>
          <w:sz w:val="32"/>
          <w:szCs w:val="32"/>
        </w:rPr>
        <w:t>万元，同比增长</w:t>
      </w:r>
      <w:r>
        <w:rPr>
          <w:rFonts w:hint="eastAsia" w:ascii="仿宋_GB2312" w:eastAsia="仿宋_GB2312"/>
          <w:sz w:val="32"/>
          <w:szCs w:val="32"/>
          <w:lang w:val="en-US" w:eastAsia="zh-CN"/>
        </w:rPr>
        <w:t>1</w:t>
      </w:r>
      <w:r>
        <w:rPr>
          <w:rFonts w:ascii="仿宋_GB2312" w:eastAsia="仿宋_GB2312"/>
          <w:sz w:val="32"/>
          <w:szCs w:val="32"/>
        </w:rPr>
        <w:t>%；第三产业实现增加值</w:t>
      </w:r>
      <w:r>
        <w:rPr>
          <w:rFonts w:hint="eastAsia" w:ascii="仿宋_GB2312" w:eastAsia="仿宋_GB2312"/>
          <w:sz w:val="32"/>
          <w:szCs w:val="32"/>
          <w:lang w:val="en-US" w:eastAsia="zh-CN"/>
        </w:rPr>
        <w:t>172281</w:t>
      </w:r>
      <w:r>
        <w:rPr>
          <w:rFonts w:ascii="仿宋_GB2312" w:eastAsia="仿宋_GB2312"/>
          <w:sz w:val="32"/>
          <w:szCs w:val="32"/>
        </w:rPr>
        <w:t>万元，同比增长</w:t>
      </w:r>
      <w:r>
        <w:rPr>
          <w:rFonts w:hint="eastAsia" w:ascii="仿宋_GB2312" w:eastAsia="仿宋_GB2312"/>
          <w:sz w:val="32"/>
          <w:szCs w:val="32"/>
          <w:lang w:val="en-US" w:eastAsia="zh-CN"/>
        </w:rPr>
        <w:t>12.6</w:t>
      </w:r>
      <w:r>
        <w:rPr>
          <w:rFonts w:ascii="仿宋_GB2312" w:eastAsia="仿宋_GB2312"/>
          <w:sz w:val="32"/>
          <w:szCs w:val="32"/>
        </w:rPr>
        <w:t>%。</w:t>
      </w:r>
      <w:r>
        <w:rPr>
          <w:rFonts w:hint="eastAsia" w:ascii="仿宋_GB2312" w:eastAsia="仿宋_GB2312"/>
          <w:sz w:val="32"/>
          <w:szCs w:val="32"/>
          <w:lang w:eastAsia="zh-CN"/>
        </w:rPr>
        <w:t>固定资产投资同比增长</w:t>
      </w:r>
      <w:r>
        <w:rPr>
          <w:rFonts w:hint="eastAsia" w:ascii="仿宋_GB2312" w:eastAsia="仿宋_GB2312"/>
          <w:sz w:val="32"/>
          <w:szCs w:val="32"/>
          <w:lang w:val="en-US" w:eastAsia="zh-CN"/>
        </w:rPr>
        <w:t>22%</w:t>
      </w:r>
      <w:r>
        <w:rPr>
          <w:rFonts w:ascii="仿宋_GB2312" w:eastAsia="仿宋_GB2312"/>
          <w:sz w:val="32"/>
          <w:szCs w:val="32"/>
        </w:rPr>
        <w:t>。规上工业同比</w:t>
      </w:r>
      <w:r>
        <w:rPr>
          <w:rFonts w:hint="eastAsia" w:ascii="仿宋_GB2312" w:eastAsia="仿宋_GB2312"/>
          <w:sz w:val="32"/>
          <w:szCs w:val="32"/>
          <w:lang w:eastAsia="zh-CN"/>
        </w:rPr>
        <w:t>下降</w:t>
      </w:r>
      <w:r>
        <w:rPr>
          <w:rFonts w:hint="eastAsia" w:ascii="仿宋_GB2312" w:eastAsia="仿宋_GB2312"/>
          <w:sz w:val="32"/>
          <w:szCs w:val="32"/>
          <w:lang w:val="en-US" w:eastAsia="zh-CN"/>
        </w:rPr>
        <w:t>0.3</w:t>
      </w:r>
      <w:r>
        <w:rPr>
          <w:rFonts w:ascii="仿宋_GB2312" w:eastAsia="仿宋_GB2312"/>
          <w:sz w:val="32"/>
          <w:szCs w:val="32"/>
        </w:rPr>
        <w:t>%，比州目标任务差4.</w:t>
      </w:r>
      <w:r>
        <w:rPr>
          <w:rFonts w:hint="eastAsia" w:ascii="仿宋_GB2312" w:eastAsia="仿宋_GB2312"/>
          <w:sz w:val="32"/>
          <w:szCs w:val="32"/>
          <w:lang w:val="en-US" w:eastAsia="zh-CN"/>
        </w:rPr>
        <w:t>8</w:t>
      </w:r>
      <w:r>
        <w:rPr>
          <w:rFonts w:ascii="仿宋_GB2312" w:eastAsia="仿宋_GB2312"/>
          <w:sz w:val="32"/>
          <w:szCs w:val="32"/>
        </w:rPr>
        <w:t>个百分点。</w:t>
      </w:r>
      <w:r>
        <w:rPr>
          <w:rFonts w:hint="eastAsia" w:ascii="仿宋_GB2312" w:eastAsia="仿宋_GB2312"/>
          <w:sz w:val="32"/>
          <w:szCs w:val="32"/>
          <w:lang w:eastAsia="zh-CN"/>
        </w:rPr>
        <w:t>实现</w:t>
      </w:r>
      <w:r>
        <w:rPr>
          <w:rFonts w:ascii="仿宋_GB2312" w:eastAsia="仿宋_GB2312"/>
          <w:sz w:val="32"/>
          <w:szCs w:val="32"/>
        </w:rPr>
        <w:t>社会消费品零售97</w:t>
      </w:r>
      <w:r>
        <w:rPr>
          <w:rFonts w:hint="eastAsia" w:ascii="仿宋_GB2312" w:eastAsia="仿宋_GB2312"/>
          <w:sz w:val="32"/>
          <w:szCs w:val="32"/>
          <w:lang w:val="en-US" w:eastAsia="zh-CN"/>
        </w:rPr>
        <w:t>790</w:t>
      </w:r>
      <w:r>
        <w:rPr>
          <w:rFonts w:ascii="仿宋_GB2312" w:eastAsia="仿宋_GB2312"/>
          <w:sz w:val="32"/>
          <w:szCs w:val="32"/>
        </w:rPr>
        <w:t>万元，同比增长6.</w:t>
      </w:r>
      <w:r>
        <w:rPr>
          <w:rFonts w:hint="eastAsia" w:ascii="仿宋_GB2312" w:eastAsia="仿宋_GB2312"/>
          <w:sz w:val="32"/>
          <w:szCs w:val="32"/>
          <w:lang w:val="en-US" w:eastAsia="zh-CN"/>
        </w:rPr>
        <w:t>7</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完成地方一般公共预算收入</w:t>
      </w:r>
      <w:r>
        <w:rPr>
          <w:rFonts w:hint="eastAsia" w:ascii="仿宋_GB2312" w:eastAsia="仿宋_GB2312"/>
          <w:sz w:val="32"/>
          <w:szCs w:val="32"/>
          <w:lang w:val="en-US" w:eastAsia="zh-CN"/>
        </w:rPr>
        <w:t>18701</w:t>
      </w:r>
      <w:r>
        <w:rPr>
          <w:rFonts w:ascii="仿宋_GB2312" w:eastAsia="仿宋_GB2312"/>
          <w:sz w:val="32"/>
          <w:szCs w:val="32"/>
        </w:rPr>
        <w:t>万元，同比增长</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预计完成城镇居民人均可支配收入34</w:t>
      </w:r>
      <w:r>
        <w:rPr>
          <w:rFonts w:hint="eastAsia" w:ascii="仿宋_GB2312" w:eastAsia="仿宋_GB2312"/>
          <w:sz w:val="32"/>
          <w:szCs w:val="32"/>
          <w:lang w:val="en-US" w:eastAsia="zh-CN"/>
        </w:rPr>
        <w:t>509</w:t>
      </w:r>
      <w:r>
        <w:rPr>
          <w:rFonts w:ascii="仿宋_GB2312" w:eastAsia="仿宋_GB2312"/>
          <w:sz w:val="32"/>
          <w:szCs w:val="32"/>
        </w:rPr>
        <w:t>元，同比增长8.</w:t>
      </w:r>
      <w:r>
        <w:rPr>
          <w:rFonts w:hint="eastAsia" w:ascii="仿宋_GB2312" w:eastAsia="仿宋_GB2312"/>
          <w:sz w:val="32"/>
          <w:szCs w:val="32"/>
          <w:lang w:val="en-US" w:eastAsia="zh-CN"/>
        </w:rPr>
        <w:t>6</w:t>
      </w:r>
      <w:r>
        <w:rPr>
          <w:rFonts w:ascii="仿宋_GB2312" w:eastAsia="仿宋_GB2312"/>
          <w:sz w:val="32"/>
          <w:szCs w:val="32"/>
        </w:rPr>
        <w:t>2%，完成州定目标100%；农村居民人均可支配收入143</w:t>
      </w:r>
      <w:r>
        <w:rPr>
          <w:rFonts w:hint="eastAsia" w:ascii="仿宋_GB2312" w:eastAsia="仿宋_GB2312"/>
          <w:sz w:val="32"/>
          <w:szCs w:val="32"/>
          <w:lang w:val="en-US" w:eastAsia="zh-CN"/>
        </w:rPr>
        <w:t>92</w:t>
      </w:r>
      <w:r>
        <w:rPr>
          <w:rFonts w:ascii="仿宋_GB2312" w:eastAsia="仿宋_GB2312"/>
          <w:sz w:val="32"/>
          <w:szCs w:val="32"/>
        </w:rPr>
        <w:t>元，同比增长10.2</w:t>
      </w:r>
      <w:r>
        <w:rPr>
          <w:rFonts w:hint="eastAsia" w:ascii="仿宋_GB2312" w:eastAsia="仿宋_GB2312"/>
          <w:sz w:val="32"/>
          <w:szCs w:val="32"/>
          <w:lang w:val="en-US" w:eastAsia="zh-CN"/>
        </w:rPr>
        <w:t>8</w:t>
      </w:r>
      <w:r>
        <w:rPr>
          <w:rFonts w:ascii="仿宋_GB2312" w:eastAsia="仿宋_GB2312"/>
          <w:sz w:val="32"/>
          <w:szCs w:val="32"/>
        </w:rPr>
        <w:t>%。实现旅游人次</w:t>
      </w:r>
      <w:r>
        <w:rPr>
          <w:rFonts w:hint="eastAsia" w:ascii="仿宋_GB2312" w:eastAsia="仿宋_GB2312"/>
          <w:sz w:val="32"/>
          <w:szCs w:val="32"/>
          <w:lang w:val="en-US" w:eastAsia="zh-CN"/>
        </w:rPr>
        <w:t>302.39</w:t>
      </w:r>
      <w:r>
        <w:rPr>
          <w:rFonts w:ascii="仿宋_GB2312" w:eastAsia="仿宋_GB2312"/>
          <w:sz w:val="32"/>
          <w:szCs w:val="32"/>
        </w:rPr>
        <w:t>万人次，同比增长</w:t>
      </w:r>
      <w:r>
        <w:rPr>
          <w:rFonts w:hint="eastAsia" w:ascii="仿宋_GB2312" w:eastAsia="仿宋_GB2312"/>
          <w:sz w:val="32"/>
          <w:szCs w:val="32"/>
          <w:lang w:val="en-US" w:eastAsia="zh-CN"/>
        </w:rPr>
        <w:t>115.9</w:t>
      </w:r>
      <w:r>
        <w:rPr>
          <w:rFonts w:ascii="仿宋_GB2312" w:eastAsia="仿宋_GB2312"/>
          <w:sz w:val="32"/>
          <w:szCs w:val="32"/>
        </w:rPr>
        <w:t>%。预计实现旅游收入</w:t>
      </w:r>
      <w:r>
        <w:rPr>
          <w:rFonts w:hint="eastAsia" w:ascii="仿宋_GB2312" w:eastAsia="仿宋_GB2312"/>
          <w:sz w:val="32"/>
          <w:szCs w:val="32"/>
          <w:lang w:val="en-US" w:eastAsia="zh-CN"/>
        </w:rPr>
        <w:t>223872</w:t>
      </w:r>
      <w:r>
        <w:rPr>
          <w:rFonts w:ascii="仿宋_GB2312" w:eastAsia="仿宋_GB2312"/>
          <w:sz w:val="32"/>
          <w:szCs w:val="32"/>
        </w:rPr>
        <w:t>万元，同比增长</w:t>
      </w:r>
      <w:r>
        <w:rPr>
          <w:rFonts w:hint="eastAsia" w:ascii="仿宋_GB2312" w:eastAsia="仿宋_GB2312"/>
          <w:sz w:val="32"/>
          <w:szCs w:val="32"/>
          <w:lang w:val="en-US" w:eastAsia="zh-CN"/>
        </w:rPr>
        <w:t>115.3</w:t>
      </w:r>
      <w:r>
        <w:rPr>
          <w:rFonts w:ascii="仿宋_GB2312" w:eastAsia="仿宋_GB2312"/>
          <w:sz w:val="32"/>
          <w:szCs w:val="32"/>
        </w:rPr>
        <w:t>%。</w:t>
      </w:r>
    </w:p>
    <w:p>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t>狠抓固投</w:t>
      </w:r>
      <w:bookmarkEnd w:id="20"/>
      <w:bookmarkEnd w:id="21"/>
      <w:r>
        <w:rPr>
          <w:rFonts w:hint="eastAsia" w:ascii="仿宋_GB2312" w:hAnsi="仿宋_GB2312" w:eastAsia="仿宋_GB2312" w:cs="仿宋_GB2312"/>
          <w:bCs/>
          <w:kern w:val="44"/>
          <w:sz w:val="32"/>
          <w:szCs w:val="32"/>
        </w:rPr>
        <w:t>分析和项目入库。</w:t>
      </w:r>
      <w:r>
        <w:rPr>
          <w:rFonts w:ascii="仿宋_GB2312" w:hAnsi="仿宋_GB2312" w:eastAsia="仿宋_GB2312" w:cs="仿宋_GB2312"/>
          <w:sz w:val="32"/>
          <w:szCs w:val="32"/>
        </w:rPr>
        <w:t>2019年，州下达茂县固定资产投资目标增速10</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%，即实现固定资产投资完成19.</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亿元</w:t>
      </w:r>
      <w:r>
        <w:rPr>
          <w:rFonts w:hint="eastAsia" w:ascii="仿宋_GB2312" w:hAnsi="仿宋_GB2312" w:eastAsia="仿宋_GB2312" w:cs="仿宋_GB2312"/>
          <w:sz w:val="32"/>
          <w:szCs w:val="32"/>
        </w:rPr>
        <w:t>。</w:t>
      </w:r>
      <w:r>
        <w:rPr>
          <w:rFonts w:hint="eastAsia" w:ascii="仿宋" w:hAnsi="仿宋" w:eastAsia="仿宋" w:cs="仿宋"/>
          <w:sz w:val="32"/>
          <w:szCs w:val="32"/>
          <w:shd w:val="clear" w:color="auto" w:fill="FFFFFF"/>
        </w:rPr>
        <w:t xml:space="preserve"> 1-9月，茂县累计完成全社会固定资产投资</w:t>
      </w:r>
      <w:r>
        <w:rPr>
          <w:rFonts w:hint="eastAsia" w:ascii="仿宋" w:hAnsi="仿宋" w:eastAsia="仿宋" w:cs="仿宋"/>
          <w:sz w:val="32"/>
          <w:szCs w:val="32"/>
          <w:shd w:val="clear" w:color="auto" w:fill="FFFFFF"/>
          <w:lang w:val="en-US" w:eastAsia="zh-CN"/>
        </w:rPr>
        <w:t>215038</w:t>
      </w:r>
      <w:r>
        <w:rPr>
          <w:rFonts w:hint="eastAsia" w:ascii="仿宋" w:hAnsi="仿宋" w:eastAsia="仿宋" w:cs="仿宋"/>
          <w:sz w:val="32"/>
          <w:szCs w:val="32"/>
          <w:shd w:val="clear" w:color="auto" w:fill="FFFFFF"/>
        </w:rPr>
        <w:t>万元，</w:t>
      </w:r>
      <w:r>
        <w:rPr>
          <w:rFonts w:hint="eastAsia" w:ascii="仿宋" w:hAnsi="仿宋" w:eastAsia="仿宋" w:cs="仿宋"/>
          <w:sz w:val="32"/>
          <w:szCs w:val="32"/>
          <w:shd w:val="clear" w:color="auto" w:fill="FFFFFF"/>
          <w:lang w:eastAsia="zh-CN"/>
        </w:rPr>
        <w:t>同比增长</w:t>
      </w:r>
      <w:r>
        <w:rPr>
          <w:rFonts w:hint="eastAsia" w:ascii="仿宋" w:hAnsi="仿宋" w:eastAsia="仿宋" w:cs="仿宋"/>
          <w:sz w:val="32"/>
          <w:szCs w:val="32"/>
          <w:shd w:val="clear" w:color="auto" w:fill="FFFFFF"/>
          <w:lang w:val="en-US" w:eastAsia="zh-CN"/>
        </w:rPr>
        <w:t>22</w:t>
      </w:r>
      <w:r>
        <w:rPr>
          <w:rFonts w:hint="eastAsia" w:ascii="仿宋" w:hAnsi="仿宋" w:eastAsia="仿宋" w:cs="仿宋"/>
          <w:sz w:val="32"/>
          <w:szCs w:val="32"/>
          <w:shd w:val="clear" w:color="auto" w:fill="FFFFFF"/>
        </w:rPr>
        <w:t>%；</w:t>
      </w:r>
      <w:r>
        <w:rPr>
          <w:rFonts w:hint="eastAsia" w:ascii="仿宋_GB2312" w:eastAsia="仿宋_GB2312"/>
          <w:sz w:val="32"/>
          <w:szCs w:val="32"/>
        </w:rPr>
        <w:t>在库项目63个，其中5000万及以上项目18个，5000万以下45个；新入库项目</w:t>
      </w:r>
      <w:r>
        <w:rPr>
          <w:rFonts w:hint="eastAsia" w:ascii="仿宋_GB2312" w:eastAsia="仿宋_GB2312"/>
          <w:sz w:val="32"/>
          <w:szCs w:val="32"/>
          <w:lang w:val="en-US" w:eastAsia="zh-CN"/>
        </w:rPr>
        <w:t>31</w:t>
      </w:r>
      <w:r>
        <w:rPr>
          <w:rFonts w:hint="eastAsia" w:ascii="仿宋_GB2312" w:eastAsia="仿宋_GB2312"/>
          <w:sz w:val="32"/>
          <w:szCs w:val="32"/>
        </w:rPr>
        <w:t>个</w:t>
      </w:r>
      <w:r>
        <w:rPr>
          <w:rFonts w:hint="eastAsia" w:ascii="仿宋" w:hAnsi="仿宋" w:eastAsia="仿宋" w:cs="仿宋"/>
          <w:sz w:val="32"/>
          <w:szCs w:val="32"/>
          <w:shd w:val="clear" w:color="auto" w:fill="FFFFFF"/>
        </w:rPr>
        <w:t>。</w:t>
      </w:r>
    </w:p>
    <w:p>
      <w:pPr>
        <w:tabs>
          <w:tab w:val="left" w:pos="6030"/>
        </w:tabs>
        <w:spacing w:line="560" w:lineRule="exact"/>
        <w:ind w:left="0" w:firstLine="643"/>
        <w:rPr>
          <w:rFonts w:ascii="仿宋_GB2312" w:eastAsia="仿宋_GB2312"/>
          <w:sz w:val="32"/>
          <w:szCs w:val="32"/>
        </w:rPr>
      </w:pPr>
      <w:r>
        <w:rPr>
          <w:rFonts w:hint="eastAsia" w:ascii="仿宋_GB2312" w:hAnsi="仿宋_GB2312" w:eastAsia="仿宋_GB2312" w:cs="仿宋_GB2312"/>
          <w:bCs/>
          <w:kern w:val="44"/>
          <w:sz w:val="32"/>
          <w:szCs w:val="32"/>
        </w:rPr>
        <w:t>3.切实推进重点项目建设。</w:t>
      </w:r>
      <w:r>
        <w:rPr>
          <w:rFonts w:ascii="仿宋_GB2312" w:eastAsia="仿宋_GB2312"/>
          <w:sz w:val="32"/>
          <w:szCs w:val="32"/>
        </w:rPr>
        <w:t>以项目建设促进稳增长，2019年，完成固定资产投资215038万元，增速22%。2019年底，在库项目69个，其中5000万以上19个，5000万以下50个，新入库30个项目。列入州重点建设项目4个，年度计划投资86900万元，完成计划的100%。全年成功签约招商引资项目3个；成功申报2019年中央预算内项目9个，估算总投资12155万元，申请中央预算内投资10515万元；2019年实施财政预算内以工代赈项目计划5个，总投资1088万元（其中示范工程项目1个，计划投资565万元），已全部完成建设任务。重点项目谋划储备工作有序推进，已开展并完成前期工作的项目62个，估算总投资69000万元。</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4.认真做好省内外对口援建工作。主动承接和做好东西部扶贫协作和对口支援、省内对口帮扶工作。东西部协作到位资金4000万元、实施项目14个，开展互访对接8次，选派挂职干部23人次。2019年引导企业落地4家，吸纳贫困人口43人。完成大型招聘会2次，举办培训班6次，培训贫困人口240人，帮助贫困人口到东部就业17人，省内就近就业674人，组织贫困家庭子女赴浙江职业院校就读19名，开展教育、卫生、群团组织活动近20次。认真落实结对协议，参与结对44对，培训贫困村创业致富带头人137人次，创业成功6人，带动贫困人口80人。省内对口帮扶到位资金1000万元、实施项目14个，省直部门定点帮扶到位资金1257万元、实施项目68个，开展互访对接5次，选派援茂干部81人，开展培送教活动110人次，考察学习812人次。成功引进成华粮食猪生态养殖项目，解决就业30余人，带动1200余户农户增收。建成电商服务站点94个，全县1089户贫困户借助“一户一码”信息扶贫系统实现了致富增收。引进医学新技术14项，开展专场招聘会2场，驾驶培训等各类就业技能培训98人次。</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5.扎实开展以工代赈和扶贫工作。2019年财政预算内以工代赈项目计划5个，计划总投资1088万元（其中示范工程项目1个，计划投资565万元），4个项目于4月开工建设，12月完工，完成投资523万元。预计完成资金支付3</w:t>
      </w:r>
      <w:r>
        <w:rPr>
          <w:rFonts w:hint="eastAsia" w:ascii="仿宋_GB2312" w:hAnsi="仿宋_GB2312" w:eastAsia="仿宋_GB2312" w:cs="仿宋_GB2312"/>
          <w:bCs/>
          <w:kern w:val="44"/>
          <w:sz w:val="32"/>
          <w:szCs w:val="32"/>
          <w:lang w:val="en-US" w:eastAsia="zh-CN"/>
        </w:rPr>
        <w:t>81.248394</w:t>
      </w:r>
      <w:r>
        <w:rPr>
          <w:rFonts w:hint="eastAsia" w:ascii="仿宋_GB2312" w:hAnsi="仿宋_GB2312" w:eastAsia="仿宋_GB2312" w:cs="仿宋_GB2312"/>
          <w:bCs/>
          <w:kern w:val="44"/>
          <w:sz w:val="32"/>
          <w:szCs w:val="32"/>
        </w:rPr>
        <w:t>万元，示范工程项目于9月6日开工建设，目前完成桥梁预置等建设任务，预计完成投资250万元。</w:t>
      </w:r>
      <w:r>
        <w:rPr>
          <w:rFonts w:hint="eastAsia" w:ascii="仿宋_GB2312" w:eastAsia="仿宋_GB2312"/>
          <w:sz w:val="32"/>
          <w:szCs w:val="32"/>
        </w:rPr>
        <w:t>继续加强易地扶贫搬迁项目的检查督查、“回头看”，坚持以问题为导向自查整改。</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hAnsi="仿宋_GB2312" w:eastAsia="仿宋_GB2312" w:cs="仿宋_GB2312"/>
          <w:bCs/>
          <w:kern w:val="44"/>
          <w:sz w:val="32"/>
          <w:szCs w:val="32"/>
        </w:rPr>
        <w:t>6.全面扎实推进灾后重建</w:t>
      </w:r>
      <w:r>
        <w:rPr>
          <w:rFonts w:hint="eastAsia" w:ascii="仿宋_GB2312" w:hAnsi="仿宋_GB2312" w:eastAsia="仿宋_GB2312" w:cs="仿宋_GB2312"/>
          <w:bCs/>
          <w:kern w:val="44"/>
          <w:sz w:val="32"/>
          <w:szCs w:val="32"/>
          <w:lang w:eastAsia="zh-CN"/>
        </w:rPr>
        <w:t>。</w:t>
      </w:r>
      <w:r>
        <w:rPr>
          <w:rFonts w:hint="eastAsia" w:ascii="仿宋_GB2312" w:eastAsia="仿宋_GB2312"/>
          <w:sz w:val="32"/>
          <w:szCs w:val="32"/>
        </w:rPr>
        <w:t>“6·24”灾后重建实施规划重建项目21个，规划总投资39866万元，包括农房重建、基础设施重建、生态重建、产业重建4大类。2019年，21个项目已全部开工，竣工项目14个，竣工率达67%；2019年底，累计完成投资27100万元，完成规划总投资的68.1%。</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lang w:val="en-US" w:eastAsia="zh-CN"/>
        </w:rPr>
        <w:t>7.</w:t>
      </w:r>
      <w:r>
        <w:rPr>
          <w:rFonts w:hint="eastAsia" w:ascii="仿宋_GB2312" w:hAnsi="仿宋_GB2312" w:eastAsia="仿宋_GB2312" w:cs="仿宋_GB2312"/>
          <w:bCs/>
          <w:kern w:val="44"/>
          <w:sz w:val="32"/>
          <w:szCs w:val="32"/>
        </w:rPr>
        <w:t>狠抓项目储备工作</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按照县委、县政府工作安排，有序推进我县重点项目谋划储备工作，本年度已开展并完成前期工作的项目共62个，其中，民生及社会事业类31个、基础设施类16个、产业类15个，估算总投资69000万元。</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8.严格履行项目监管工作</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认真开展专项整治</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结合县委“不忘初心、牢记使命”主题教育工作部署，深入开展工程项目招投标领域营商环境专项整治和工程建设招投标领域突出问题专项整治工作，全面清理各行业部门现行涉及工程项目招投标的地方政府规章、规范性文件及其他政策文件，对2018年6月1日以来所有依法必须进行招标的37个项目进行了随机抽查，抽查项目20个，抽查比例达54%。招投标工作开展情况。会同</w:t>
      </w:r>
      <w:r>
        <w:rPr>
          <w:rFonts w:hint="eastAsia" w:ascii="仿宋" w:hAnsi="仿宋" w:eastAsia="仿宋"/>
          <w:sz w:val="32"/>
          <w:szCs w:val="32"/>
        </w:rPr>
        <w:t>建设等主管部门从工程立项审批到开标进行全过程监督，对招标、评标无效进行认定。截止目前，我县累计公开招标项目24个，招标控制价为25154.55万元，中标价为23669.3万元，节余资金1485.25万元。累计比选项目52个，比选总控制价为4270.84万元，中选价为3768.88万元，节余资金501.96万元。</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9.全面做好粮食和物资储备工作</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自2019年7月机构改革以来，按照职能职责的划入，我局积极与县民政局对接，做好物资仓库的移交，并做好日常管理工作。一是深入开展物资仓库清理工作。二是进一步制定和完善了《仓库管理制度》、《仓库安全制度》、《库管员岗位职责》、《物资收发货程序》、《仓库消防安全管理规定》、《发生盗窃案件的应对办法》、《火情报警的处理的应对办法》等各类制度。三是及时增设和更换了监控设备，全面做好仓库的监控工作，确保仓库安全。四是全面做好现有物资储备和需求摸底调查工作。</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微软雅黑" w:eastAsia="仿宋_GB2312"/>
          <w:sz w:val="32"/>
          <w:szCs w:val="32"/>
        </w:rPr>
      </w:pPr>
      <w:r>
        <w:rPr>
          <w:rFonts w:hint="eastAsia" w:ascii="仿宋_GB2312" w:hAnsi="仿宋_GB2312" w:eastAsia="仿宋_GB2312" w:cs="仿宋_GB2312"/>
          <w:bCs/>
          <w:kern w:val="44"/>
          <w:sz w:val="32"/>
          <w:szCs w:val="32"/>
        </w:rPr>
        <w:t>10.深入开展“十四五”规划前期工作</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按照规划编制步骤启动了茂县“十四五”规划编制工作会议，拟定了《茂县“十四五”规划编制工作方案》，面向各部门、各乡镇征集课题24个</w:t>
      </w:r>
      <w:r>
        <w:rPr>
          <w:rFonts w:hint="eastAsia" w:ascii="仿宋_GB2312" w:hAnsi="微软雅黑" w:eastAsia="仿宋_GB2312"/>
          <w:sz w:val="32"/>
          <w:szCs w:val="32"/>
        </w:rPr>
        <w:t>，其中</w:t>
      </w:r>
      <w:r>
        <w:rPr>
          <w:rFonts w:ascii="仿宋_GB2312" w:hAnsi="微软雅黑" w:eastAsia="仿宋_GB2312"/>
          <w:sz w:val="32"/>
          <w:szCs w:val="32"/>
        </w:rPr>
        <w:t>社会发展类课题</w:t>
      </w:r>
      <w:r>
        <w:rPr>
          <w:rFonts w:hint="eastAsia" w:ascii="仿宋_GB2312" w:hAnsi="微软雅黑" w:eastAsia="仿宋_GB2312"/>
          <w:sz w:val="32"/>
          <w:szCs w:val="32"/>
        </w:rPr>
        <w:t>5个、经济发展类8个、生态保护类2个、基础设施类4个、民生保障类4个。已启动了3个课题研究，分别是茂县“十四五”智慧城市建设路径和对策研究。</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微软雅黑" w:eastAsia="仿宋_GB2312"/>
          <w:color w:val="FF0000"/>
          <w:sz w:val="32"/>
          <w:szCs w:val="32"/>
        </w:rPr>
      </w:pPr>
      <w:r>
        <w:rPr>
          <w:rFonts w:hint="eastAsia" w:ascii="仿宋_GB2312" w:hAnsi="仿宋_GB2312" w:eastAsia="仿宋_GB2312" w:cs="仿宋_GB2312"/>
          <w:bCs/>
          <w:kern w:val="44"/>
          <w:sz w:val="32"/>
          <w:szCs w:val="32"/>
        </w:rPr>
        <w:t>11.认真开展价格收费管理工作</w:t>
      </w:r>
      <w:r>
        <w:rPr>
          <w:rFonts w:hint="eastAsia" w:ascii="仿宋_GB2312" w:hAnsi="仿宋_GB2312" w:eastAsia="仿宋_GB2312" w:cs="仿宋_GB2312"/>
          <w:bCs/>
          <w:kern w:val="44"/>
          <w:sz w:val="32"/>
          <w:szCs w:val="32"/>
          <w:lang w:eastAsia="zh-CN"/>
        </w:rPr>
        <w:t>。</w:t>
      </w:r>
      <w:r>
        <w:rPr>
          <w:rFonts w:hint="eastAsia" w:ascii="仿宋_GB2312" w:hAnsi="仿宋_GB2312" w:eastAsia="仿宋_GB2312" w:cs="仿宋_GB2312"/>
          <w:bCs/>
          <w:kern w:val="44"/>
          <w:sz w:val="32"/>
          <w:szCs w:val="32"/>
        </w:rPr>
        <w:t>一是坚持实行收费目录清单制度，依法开展价格和收费管理，及时开展对收费</w:t>
      </w:r>
      <w:r>
        <w:rPr>
          <w:rFonts w:ascii="仿宋" w:hAnsi="仿宋" w:eastAsia="仿宋" w:cs="宋体"/>
          <w:kern w:val="0"/>
          <w:sz w:val="32"/>
          <w:szCs w:val="32"/>
        </w:rPr>
        <w:t>情况的监督检查，落实取消、放开的经营性收费项目。</w:t>
      </w:r>
      <w:r>
        <w:rPr>
          <w:rFonts w:hint="eastAsia" w:ascii="仿宋_GB2312" w:hAnsi="微软雅黑" w:eastAsia="仿宋_GB2312"/>
          <w:sz w:val="32"/>
          <w:szCs w:val="32"/>
        </w:rPr>
        <w:t>二是</w:t>
      </w:r>
      <w:r>
        <w:rPr>
          <w:rFonts w:hint="eastAsia" w:ascii="仿宋" w:hAnsi="仿宋" w:eastAsia="仿宋" w:cs="宋体"/>
          <w:kern w:val="0"/>
          <w:sz w:val="32"/>
          <w:szCs w:val="32"/>
        </w:rPr>
        <w:t>依法依规开展好2019年价格改革相关工作，认真梳理改革任务。</w:t>
      </w:r>
      <w:r>
        <w:rPr>
          <w:rFonts w:hint="eastAsia" w:ascii="仿宋_GB2312" w:hAnsi="微软雅黑" w:eastAsia="仿宋_GB2312"/>
          <w:sz w:val="32"/>
          <w:szCs w:val="32"/>
        </w:rPr>
        <w:t>三是批复收费申请5个。四是</w:t>
      </w:r>
      <w:r>
        <w:rPr>
          <w:rFonts w:hint="eastAsia" w:ascii="仿宋" w:hAnsi="仿宋" w:eastAsia="仿宋" w:cs="宋体"/>
          <w:kern w:val="0"/>
          <w:sz w:val="32"/>
          <w:szCs w:val="32"/>
        </w:rPr>
        <w:t>对辖区内景区门票价格进行摸底调查，涉及实行政府定价、政府指导价管理的游览参观点门票优惠政策进行评估。五是开展县内污水处理收费和成本情况调研，对所存在的问题与建议形成调研报告报州发改委。</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sz w:val="32"/>
          <w:szCs w:val="32"/>
        </w:rPr>
      </w:pPr>
      <w:r>
        <w:rPr>
          <w:rFonts w:hint="eastAsia" w:ascii="仿宋_GB2312" w:hAnsi="仿宋_GB2312" w:eastAsia="仿宋_GB2312" w:cs="仿宋_GB2312"/>
          <w:bCs/>
          <w:kern w:val="44"/>
          <w:sz w:val="32"/>
          <w:szCs w:val="32"/>
        </w:rPr>
        <w:t>12.全面落实党建工作责任制，切实抓好党风廉政建设和机关效能建设。</w:t>
      </w:r>
      <w:r>
        <w:rPr>
          <w:rFonts w:hint="eastAsia" w:ascii="仿宋_GB2312" w:eastAsia="仿宋_GB2312"/>
          <w:sz w:val="32"/>
          <w:szCs w:val="32"/>
        </w:rPr>
        <w:t>一是</w:t>
      </w:r>
      <w:r>
        <w:rPr>
          <w:rFonts w:hint="eastAsia" w:ascii="仿宋_GB2312" w:hAnsi="Lucida Console" w:eastAsia="仿宋_GB2312"/>
          <w:sz w:val="32"/>
          <w:szCs w:val="32"/>
        </w:rPr>
        <w:t>强化党的组织领导，确保两个责任落实</w:t>
      </w:r>
      <w:r>
        <w:rPr>
          <w:rFonts w:hint="eastAsia" w:ascii="仿宋_GB2312" w:eastAsia="仿宋_GB2312"/>
          <w:sz w:val="32"/>
          <w:szCs w:val="32"/>
        </w:rPr>
        <w:t>。召开党风廉政和反腐败工作专题会4次，层层签订了党风廉政建设责任书20份，</w:t>
      </w:r>
      <w:r>
        <w:rPr>
          <w:rFonts w:hint="eastAsia" w:ascii="仿宋_GB2312" w:hAnsi="黑体" w:eastAsia="仿宋_GB2312"/>
          <w:sz w:val="32"/>
          <w:szCs w:val="32"/>
        </w:rPr>
        <w:t>制定《茂县发改局党风廉政建设主体责任清单》，</w:t>
      </w:r>
      <w:r>
        <w:rPr>
          <w:rFonts w:hint="eastAsia" w:ascii="仿宋_GB2312" w:eastAsia="仿宋_GB2312"/>
          <w:sz w:val="32"/>
          <w:szCs w:val="32"/>
        </w:rPr>
        <w:t>通过“三重一大”议题70个，</w:t>
      </w:r>
      <w:r>
        <w:rPr>
          <w:rFonts w:hint="eastAsia" w:ascii="仿宋_GB2312" w:eastAsia="仿宋_GB2312"/>
          <w:sz w:val="32"/>
          <w:szCs w:val="32"/>
          <w:shd w:val="clear" w:color="auto" w:fill="FFFFFF"/>
        </w:rPr>
        <w:t>在涉及人、财、物等管理工作中，主动征求纪检组意见，主动接受纪检组监督把关；</w:t>
      </w:r>
      <w:r>
        <w:rPr>
          <w:rFonts w:hint="eastAsia" w:ascii="仿宋_GB2312" w:hAnsi="黑体" w:eastAsia="仿宋_GB2312"/>
          <w:sz w:val="32"/>
          <w:szCs w:val="32"/>
        </w:rPr>
        <w:t>二是加强学习教育，筑牢反腐思想防线。</w:t>
      </w:r>
      <w:r>
        <w:rPr>
          <w:rFonts w:hint="eastAsia" w:ascii="仿宋_GB2312" w:eastAsia="仿宋_GB2312"/>
          <w:sz w:val="32"/>
          <w:szCs w:val="32"/>
        </w:rPr>
        <w:t>先后组织职工集体学习180人次；</w:t>
      </w:r>
      <w:r>
        <w:rPr>
          <w:rFonts w:hint="eastAsia" w:ascii="仿宋_GB2312" w:hAnsi="Lucida Console" w:eastAsia="仿宋_GB2312"/>
          <w:sz w:val="32"/>
          <w:szCs w:val="32"/>
        </w:rPr>
        <w:t>三是</w:t>
      </w:r>
      <w:r>
        <w:rPr>
          <w:rFonts w:hint="eastAsia" w:ascii="仿宋_GB2312" w:eastAsia="仿宋_GB2312"/>
          <w:sz w:val="32"/>
          <w:szCs w:val="32"/>
        </w:rPr>
        <w:t>狠抓作风建设，防止“四风”反弹。</w:t>
      </w:r>
      <w:r>
        <w:rPr>
          <w:rFonts w:hint="eastAsia" w:ascii="仿宋_GB2312" w:hAnsi="宋体" w:eastAsia="仿宋_GB2312" w:cs="宋体"/>
          <w:kern w:val="0"/>
          <w:sz w:val="32"/>
          <w:szCs w:val="32"/>
        </w:rPr>
        <w:t>签订《党员干部、公职人员“赌博敛财”问题承诺书》23份。</w:t>
      </w:r>
      <w:r>
        <w:rPr>
          <w:rFonts w:hint="eastAsia" w:ascii="仿宋_GB2312" w:eastAsia="仿宋_GB2312"/>
          <w:sz w:val="32"/>
          <w:szCs w:val="32"/>
        </w:rPr>
        <w:t>签订《限期主动说清党员干部利用地方特产谋取私利问题承诺书》8份。签订《领导干部不插手干预工程项目建设自律承诺书》23份。四是</w:t>
      </w:r>
      <w:r>
        <w:rPr>
          <w:rFonts w:hint="eastAsia" w:ascii="仿宋_GB2312" w:hAnsi="仿宋_GB2312" w:eastAsia="仿宋_GB2312"/>
          <w:sz w:val="32"/>
          <w:szCs w:val="32"/>
        </w:rPr>
        <w:t>继续开展“三务”公开工作。认真做好政务党务财务信息公开工作，自觉接受群众监督。</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13.其他工作有序进行。一是围绕全县发展大局和中心工作积极开展民族团结进步创建工作。二是高度重视安全生产工作。安全生产工作纳入发改工作的重要议事日程，召开专题会12次，重大项目安全检查23次，向联系乡发放《安全生产法》55余份，危险化学品专题培训1次。三是编制完善《茂县乡村振兴战略规划》。积极参与规划编制的修改完善，经多次修改和征求意见基本形成了《茂县乡村振兴战略规划》送审稿。同时启动了我县两镇三村的乡村振兴战略试点工作，已进入规划编制收尾工作。四是顺利推进供给侧结构性改革工作。对农业结构性改革“三去一降一补”、大力振兴实体经济、着力培育新动能等方面进行全面细致分析。五是扎实推进经济体制改革工作。制定了2019年经济体制改革领导小组工作计划、建立了工作台账、工作动态、工作简报8篇。六是依法治县、精神文明、维稳、环境保护、防震减灾，群团等各项工作都有序进行。</w:t>
      </w:r>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Style w:val="28"/>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2"/>
      <w:bookmarkEnd w:id="2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茂县发展和改革局为一级预算单位，无下属二级单位。</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pStyle w:val="2"/>
      </w:pPr>
    </w:p>
    <w:p>
      <w:pPr>
        <w:rPr>
          <w:rFonts w:ascii="仿宋" w:hAnsi="仿宋" w:eastAsia="仿宋"/>
          <w:sz w:val="32"/>
          <w:szCs w:val="32"/>
        </w:rPr>
      </w:pPr>
    </w:p>
    <w:p>
      <w:pPr>
        <w:numPr>
          <w:ilvl w:val="0"/>
          <w:numId w:val="2"/>
        </w:numPr>
        <w:adjustRightInd w:val="0"/>
        <w:snapToGrid w:val="0"/>
        <w:spacing w:line="360" w:lineRule="auto"/>
        <w:jc w:val="center"/>
        <w:outlineLvl w:val="0"/>
        <w:rPr>
          <w:rFonts w:ascii="方正小标宋简体" w:hAnsi="宋体" w:eastAsia="方正小标宋简体"/>
          <w:color w:val="000000"/>
          <w:sz w:val="44"/>
          <w:szCs w:val="44"/>
        </w:rPr>
      </w:pPr>
      <w:bookmarkStart w:id="24" w:name="_Toc15377204"/>
      <w:bookmarkStart w:id="25" w:name="_Toc15396602"/>
      <w:r>
        <w:rPr>
          <w:rFonts w:hint="eastAsia" w:ascii="方正小标宋简体" w:hAnsi="宋体" w:eastAsia="方正小标宋简体"/>
          <w:color w:val="000000"/>
          <w:sz w:val="44"/>
          <w:szCs w:val="44"/>
        </w:rPr>
        <w:t>201</w:t>
      </w:r>
      <w:r>
        <w:rPr>
          <w:rFonts w:hint="eastAsia" w:ascii="方正小标宋简体" w:hAnsi="宋体" w:eastAsia="方正小标宋简体"/>
          <w:color w:val="000000"/>
          <w:sz w:val="44"/>
          <w:szCs w:val="44"/>
          <w:lang w:val="en-US" w:eastAsia="zh-CN"/>
        </w:rPr>
        <w:t>9</w:t>
      </w:r>
      <w:r>
        <w:rPr>
          <w:rFonts w:hint="eastAsia" w:ascii="方正小标宋简体" w:hAnsi="宋体" w:eastAsia="方正小标宋简体"/>
          <w:color w:val="000000"/>
          <w:sz w:val="44"/>
          <w:szCs w:val="44"/>
        </w:rPr>
        <w:t>年度部门决算情况说明</w:t>
      </w:r>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8"/>
          <w:rFonts w:ascii="黑体" w:hAnsi="黑体" w:eastAsia="黑体"/>
          <w:b w:val="0"/>
        </w:rPr>
      </w:pPr>
      <w:bookmarkStart w:id="26" w:name="_Toc15396603"/>
      <w:bookmarkStart w:id="27" w:name="_Toc15377205"/>
      <w:r>
        <w:rPr>
          <w:rFonts w:hint="eastAsia" w:ascii="黑体" w:hAnsi="黑体" w:eastAsia="黑体"/>
          <w:color w:val="000000"/>
          <w:sz w:val="32"/>
          <w:szCs w:val="32"/>
        </w:rPr>
        <w:t>一、收</w:t>
      </w:r>
      <w:r>
        <w:rPr>
          <w:rStyle w:val="28"/>
          <w:rFonts w:hint="eastAsia" w:ascii="黑体" w:hAnsi="黑体" w:eastAsia="黑体"/>
          <w:b w:val="0"/>
        </w:rPr>
        <w:t>入支出决算总体情况说明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年度收、支总计</w:t>
      </w:r>
      <w:r>
        <w:rPr>
          <w:rFonts w:hint="eastAsia" w:ascii="仿宋_GB2312" w:hAnsi="仿宋_GB2312" w:eastAsia="仿宋_GB2312" w:cs="仿宋_GB2312"/>
          <w:bCs/>
          <w:kern w:val="44"/>
          <w:sz w:val="32"/>
          <w:szCs w:val="32"/>
          <w:lang w:val="en-US" w:eastAsia="zh-CN"/>
        </w:rPr>
        <w:t>1114.16</w:t>
      </w:r>
      <w:r>
        <w:rPr>
          <w:rFonts w:hint="eastAsia" w:ascii="仿宋_GB2312" w:hAnsi="仿宋_GB2312" w:eastAsia="仿宋_GB2312" w:cs="仿宋_GB2312"/>
          <w:bCs/>
          <w:kern w:val="44"/>
          <w:sz w:val="32"/>
          <w:szCs w:val="32"/>
        </w:rPr>
        <w:t>万元。与201</w:t>
      </w:r>
      <w:r>
        <w:rPr>
          <w:rFonts w:hint="eastAsia" w:ascii="仿宋_GB2312" w:hAnsi="仿宋_GB2312" w:eastAsia="仿宋_GB2312" w:cs="仿宋_GB2312"/>
          <w:bCs/>
          <w:kern w:val="44"/>
          <w:sz w:val="32"/>
          <w:szCs w:val="32"/>
          <w:lang w:val="en-US" w:eastAsia="zh-CN"/>
        </w:rPr>
        <w:t>8</w:t>
      </w:r>
      <w:r>
        <w:rPr>
          <w:rFonts w:hint="eastAsia" w:ascii="仿宋_GB2312" w:hAnsi="仿宋_GB2312" w:eastAsia="仿宋_GB2312" w:cs="仿宋_GB2312"/>
          <w:bCs/>
          <w:kern w:val="44"/>
          <w:sz w:val="32"/>
          <w:szCs w:val="32"/>
        </w:rPr>
        <w:t>年相比，收、支总计各</w:t>
      </w:r>
      <w:r>
        <w:rPr>
          <w:rFonts w:hint="eastAsia" w:ascii="仿宋_GB2312" w:hAnsi="仿宋_GB2312" w:eastAsia="仿宋_GB2312" w:cs="仿宋_GB2312"/>
          <w:bCs/>
          <w:kern w:val="44"/>
          <w:sz w:val="32"/>
          <w:szCs w:val="32"/>
          <w:lang w:eastAsia="zh-CN"/>
        </w:rPr>
        <w:t>增加</w:t>
      </w:r>
      <w:r>
        <w:rPr>
          <w:rFonts w:hint="eastAsia" w:ascii="仿宋_GB2312" w:hAnsi="仿宋_GB2312" w:eastAsia="仿宋_GB2312" w:cs="仿宋_GB2312"/>
          <w:bCs/>
          <w:kern w:val="44"/>
          <w:sz w:val="32"/>
          <w:szCs w:val="32"/>
          <w:lang w:val="en-US" w:eastAsia="zh-CN"/>
        </w:rPr>
        <w:t>478.88</w:t>
      </w:r>
      <w:r>
        <w:rPr>
          <w:rFonts w:hint="eastAsia" w:ascii="仿宋_GB2312" w:hAnsi="仿宋_GB2312" w:eastAsia="仿宋_GB2312" w:cs="仿宋_GB2312"/>
          <w:bCs/>
          <w:kern w:val="44"/>
          <w:sz w:val="32"/>
          <w:szCs w:val="32"/>
        </w:rPr>
        <w:t>万元，</w:t>
      </w:r>
      <w:r>
        <w:rPr>
          <w:rFonts w:hint="eastAsia" w:ascii="仿宋_GB2312" w:hAnsi="仿宋_GB2312" w:eastAsia="仿宋_GB2312" w:cs="仿宋_GB2312"/>
          <w:bCs/>
          <w:kern w:val="44"/>
          <w:sz w:val="32"/>
          <w:szCs w:val="32"/>
          <w:lang w:eastAsia="zh-CN"/>
        </w:rPr>
        <w:t>增长</w:t>
      </w:r>
      <w:r>
        <w:rPr>
          <w:rFonts w:hint="eastAsia" w:ascii="仿宋_GB2312" w:hAnsi="仿宋_GB2312" w:eastAsia="仿宋_GB2312" w:cs="仿宋_GB2312"/>
          <w:bCs/>
          <w:kern w:val="44"/>
          <w:sz w:val="32"/>
          <w:szCs w:val="32"/>
          <w:lang w:val="en-US" w:eastAsia="zh-CN"/>
        </w:rPr>
        <w:t>75.38</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。主要变动原因是201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w:t>
      </w:r>
      <w:r>
        <w:rPr>
          <w:rFonts w:hint="eastAsia" w:ascii="仿宋_GB2312" w:hAnsi="仿宋_GB2312" w:eastAsia="仿宋_GB2312" w:cs="仿宋_GB2312"/>
          <w:bCs/>
          <w:kern w:val="44"/>
          <w:sz w:val="32"/>
          <w:szCs w:val="32"/>
          <w:lang w:eastAsia="zh-CN"/>
        </w:rPr>
        <w:t>项目前期费用</w:t>
      </w:r>
      <w:r>
        <w:rPr>
          <w:rFonts w:hint="eastAsia" w:ascii="仿宋_GB2312" w:hAnsi="仿宋_GB2312" w:eastAsia="仿宋_GB2312" w:cs="仿宋_GB2312"/>
          <w:bCs/>
          <w:kern w:val="44"/>
          <w:sz w:val="32"/>
          <w:szCs w:val="32"/>
        </w:rPr>
        <w:t>支出</w:t>
      </w:r>
      <w:r>
        <w:rPr>
          <w:rFonts w:hint="eastAsia" w:ascii="仿宋_GB2312" w:hAnsi="仿宋_GB2312" w:eastAsia="仿宋_GB2312" w:cs="仿宋_GB2312"/>
          <w:bCs/>
          <w:kern w:val="44"/>
          <w:sz w:val="32"/>
          <w:szCs w:val="32"/>
          <w:lang w:eastAsia="zh-CN"/>
        </w:rPr>
        <w:t>增加</w:t>
      </w:r>
      <w:r>
        <w:rPr>
          <w:rFonts w:hint="eastAsia" w:ascii="仿宋_GB2312" w:hAnsi="仿宋_GB2312" w:eastAsia="仿宋_GB2312" w:cs="仿宋_GB2312"/>
          <w:bCs/>
          <w:kern w:val="44"/>
          <w:sz w:val="32"/>
          <w:szCs w:val="32"/>
        </w:rPr>
        <w:t>。</w:t>
      </w:r>
    </w:p>
    <w:p>
      <w:pPr>
        <w:pStyle w:val="2"/>
      </w:pPr>
      <w:r>
        <w:drawing>
          <wp:inline distT="0" distB="0" distL="114300" distR="114300">
            <wp:extent cx="5209540" cy="2762250"/>
            <wp:effectExtent l="4445" t="4445" r="571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28" w:name="_Toc15396604"/>
      <w:bookmarkStart w:id="29" w:name="_Toc15377206"/>
    </w:p>
    <w:p>
      <w:pPr>
        <w:spacing w:line="600" w:lineRule="exact"/>
        <w:ind w:left="709"/>
        <w:outlineLvl w:val="1"/>
        <w:rPr>
          <w:rFonts w:ascii="黑体" w:hAnsi="黑体" w:eastAsia="黑体"/>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Style w:val="28"/>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8"/>
          <w:rFonts w:hint="eastAsia" w:ascii="黑体" w:hAnsi="黑体" w:eastAsia="黑体"/>
          <w:b w:val="0"/>
        </w:rPr>
        <w:t>入决算情况说明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仿宋_GB2312" w:hAnsi="仿宋_GB2312" w:eastAsia="仿宋_GB2312" w:cs="仿宋_GB2312"/>
          <w:bCs/>
          <w:kern w:val="44"/>
          <w:sz w:val="32"/>
          <w:szCs w:val="32"/>
        </w:rPr>
      </w:pPr>
      <w:r>
        <w:rPr>
          <w:rFonts w:ascii="仿宋_GB2312" w:hAnsi="仿宋_GB2312" w:eastAsia="仿宋_GB2312" w:cs="仿宋_GB2312"/>
          <w:bCs/>
          <w:kern w:val="44"/>
          <w:sz w:val="32"/>
          <w:szCs w:val="32"/>
        </w:rPr>
        <w:t>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年本年收入合计</w:t>
      </w:r>
      <w:r>
        <w:rPr>
          <w:rFonts w:hint="eastAsia" w:ascii="仿宋_GB2312" w:hAnsi="仿宋_GB2312" w:eastAsia="仿宋_GB2312" w:cs="仿宋_GB2312"/>
          <w:bCs/>
          <w:kern w:val="44"/>
          <w:sz w:val="32"/>
          <w:szCs w:val="32"/>
          <w:lang w:val="en-US" w:eastAsia="zh-CN"/>
        </w:rPr>
        <w:t>1114.16</w:t>
      </w:r>
      <w:r>
        <w:rPr>
          <w:rFonts w:hint="eastAsia" w:ascii="仿宋_GB2312" w:hAnsi="仿宋_GB2312" w:eastAsia="仿宋_GB2312" w:cs="仿宋_GB2312"/>
          <w:bCs/>
          <w:kern w:val="44"/>
          <w:sz w:val="32"/>
          <w:szCs w:val="32"/>
        </w:rPr>
        <w:t>万元，其中：一般公共预算财政拨款收入</w:t>
      </w:r>
      <w:r>
        <w:rPr>
          <w:rFonts w:hint="eastAsia" w:ascii="仿宋_GB2312" w:hAnsi="仿宋_GB2312" w:eastAsia="仿宋_GB2312" w:cs="仿宋_GB2312"/>
          <w:bCs/>
          <w:kern w:val="44"/>
          <w:sz w:val="32"/>
          <w:szCs w:val="32"/>
          <w:lang w:val="en-US" w:eastAsia="zh-CN"/>
        </w:rPr>
        <w:t>891.24</w:t>
      </w:r>
      <w:r>
        <w:rPr>
          <w:rFonts w:hint="eastAsia" w:ascii="仿宋_GB2312" w:hAnsi="仿宋_GB2312" w:eastAsia="仿宋_GB2312" w:cs="仿宋_GB2312"/>
          <w:bCs/>
          <w:kern w:val="44"/>
          <w:sz w:val="32"/>
          <w:szCs w:val="32"/>
        </w:rPr>
        <w:t>万元，占</w:t>
      </w:r>
      <w:r>
        <w:rPr>
          <w:rFonts w:hint="eastAsia" w:ascii="仿宋_GB2312" w:hAnsi="仿宋_GB2312" w:eastAsia="仿宋_GB2312" w:cs="仿宋_GB2312"/>
          <w:bCs/>
          <w:kern w:val="44"/>
          <w:sz w:val="32"/>
          <w:szCs w:val="32"/>
          <w:lang w:val="en-US" w:eastAsia="zh-CN"/>
        </w:rPr>
        <w:t>80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；政府性基金预算财政拨款收入</w:t>
      </w:r>
      <w:r>
        <w:rPr>
          <w:rFonts w:hint="eastAsia" w:ascii="仿宋_GB2312" w:hAnsi="仿宋_GB2312" w:eastAsia="仿宋_GB2312" w:cs="仿宋_GB2312"/>
          <w:bCs/>
          <w:kern w:val="44"/>
          <w:sz w:val="32"/>
          <w:szCs w:val="32"/>
          <w:lang w:val="en-US" w:eastAsia="zh-CN"/>
        </w:rPr>
        <w:t>222.92</w:t>
      </w:r>
      <w:r>
        <w:rPr>
          <w:rFonts w:hint="eastAsia" w:ascii="仿宋_GB2312" w:hAnsi="仿宋_GB2312" w:eastAsia="仿宋_GB2312" w:cs="仿宋_GB2312"/>
          <w:bCs/>
          <w:kern w:val="44"/>
          <w:sz w:val="32"/>
          <w:szCs w:val="32"/>
        </w:rPr>
        <w:t>万元，占</w:t>
      </w:r>
      <w:r>
        <w:rPr>
          <w:rFonts w:hint="eastAsia" w:ascii="仿宋_GB2312" w:hAnsi="仿宋_GB2312" w:eastAsia="仿宋_GB2312" w:cs="仿宋_GB2312"/>
          <w:bCs/>
          <w:kern w:val="44"/>
          <w:sz w:val="32"/>
          <w:szCs w:val="32"/>
          <w:lang w:val="en-US" w:eastAsia="zh-CN"/>
        </w:rPr>
        <w:t>2</w:t>
      </w:r>
      <w:r>
        <w:rPr>
          <w:rFonts w:hint="eastAsia" w:ascii="仿宋_GB2312" w:hAnsi="仿宋_GB2312" w:eastAsia="仿宋_GB2312" w:cs="仿宋_GB2312"/>
          <w:bCs/>
          <w:kern w:val="44"/>
          <w:sz w:val="32"/>
          <w:szCs w:val="32"/>
        </w:rPr>
        <w:t>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；国有资本经营预算财政拨款收入0万元，占0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；事业收入0万元，占0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；经营收入0万元，占0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；附属单位上缴收入0万元，占0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；其他收入0万元，占0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w:t>
      </w:r>
      <w:bookmarkStart w:id="30" w:name="_Toc15396605"/>
      <w:bookmarkStart w:id="31" w:name="_Toc15377207"/>
    </w:p>
    <w:p>
      <w:pPr>
        <w:pStyle w:val="2"/>
        <w:ind w:left="0" w:leftChars="0" w:firstLine="0" w:firstLineChars="0"/>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61595</wp:posOffset>
            </wp:positionV>
            <wp:extent cx="4991100" cy="2999740"/>
            <wp:effectExtent l="4445" t="4445" r="14605" b="571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黑体" w:hAnsi="黑体" w:eastAsia="黑体" w:cstheme="majorBidi"/>
          <w:bCs/>
          <w:sz w:val="32"/>
          <w:szCs w:val="32"/>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30"/>
      <w:bookmarkEnd w:id="3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bCs/>
          <w:kern w:val="44"/>
          <w:sz w:val="32"/>
          <w:szCs w:val="32"/>
        </w:rPr>
      </w:pPr>
      <w:r>
        <w:rPr>
          <w:rFonts w:ascii="仿宋_GB2312" w:hAnsi="仿宋_GB2312" w:eastAsia="仿宋_GB2312" w:cs="仿宋_GB2312"/>
          <w:bCs/>
          <w:kern w:val="44"/>
          <w:sz w:val="32"/>
          <w:szCs w:val="32"/>
        </w:rPr>
        <w:t>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年本年支出合计</w:t>
      </w:r>
      <w:r>
        <w:rPr>
          <w:rFonts w:hint="eastAsia" w:ascii="仿宋_GB2312" w:hAnsi="仿宋_GB2312" w:eastAsia="仿宋_GB2312" w:cs="仿宋_GB2312"/>
          <w:bCs/>
          <w:kern w:val="44"/>
          <w:sz w:val="32"/>
          <w:szCs w:val="32"/>
          <w:lang w:val="en-US" w:eastAsia="zh-CN"/>
        </w:rPr>
        <w:t>1114.16</w:t>
      </w:r>
      <w:r>
        <w:rPr>
          <w:rFonts w:hint="eastAsia" w:ascii="仿宋_GB2312" w:hAnsi="仿宋_GB2312" w:eastAsia="仿宋_GB2312" w:cs="仿宋_GB2312"/>
          <w:bCs/>
          <w:kern w:val="44"/>
          <w:sz w:val="32"/>
          <w:szCs w:val="32"/>
        </w:rPr>
        <w:t>万元，其中：基本支出</w:t>
      </w:r>
      <w:r>
        <w:rPr>
          <w:rFonts w:hint="eastAsia" w:ascii="仿宋_GB2312" w:hAnsi="仿宋_GB2312" w:eastAsia="仿宋_GB2312" w:cs="仿宋_GB2312"/>
          <w:bCs/>
          <w:kern w:val="44"/>
          <w:sz w:val="32"/>
          <w:szCs w:val="32"/>
          <w:lang w:val="en-US" w:eastAsia="zh-CN"/>
        </w:rPr>
        <w:t>463.4</w:t>
      </w:r>
      <w:r>
        <w:rPr>
          <w:rFonts w:hint="eastAsia" w:ascii="仿宋_GB2312" w:hAnsi="仿宋_GB2312" w:eastAsia="仿宋_GB2312" w:cs="仿宋_GB2312"/>
          <w:bCs/>
          <w:kern w:val="44"/>
          <w:sz w:val="32"/>
          <w:szCs w:val="32"/>
        </w:rPr>
        <w:t>万元，占</w:t>
      </w:r>
      <w:r>
        <w:rPr>
          <w:rFonts w:hint="eastAsia" w:ascii="仿宋_GB2312" w:hAnsi="仿宋_GB2312" w:eastAsia="仿宋_GB2312" w:cs="仿宋_GB2312"/>
          <w:bCs/>
          <w:kern w:val="44"/>
          <w:sz w:val="32"/>
          <w:szCs w:val="32"/>
          <w:lang w:val="en-US" w:eastAsia="zh-CN"/>
        </w:rPr>
        <w:t>41.63</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；项目支出</w:t>
      </w:r>
      <w:r>
        <w:rPr>
          <w:rFonts w:hint="eastAsia" w:ascii="仿宋_GB2312" w:hAnsi="仿宋_GB2312" w:eastAsia="仿宋_GB2312" w:cs="仿宋_GB2312"/>
          <w:bCs/>
          <w:kern w:val="44"/>
          <w:sz w:val="32"/>
          <w:szCs w:val="32"/>
          <w:lang w:val="en-US" w:eastAsia="zh-CN"/>
        </w:rPr>
        <w:t>650.76</w:t>
      </w:r>
      <w:r>
        <w:rPr>
          <w:rFonts w:hint="eastAsia" w:ascii="仿宋_GB2312" w:hAnsi="仿宋_GB2312" w:eastAsia="仿宋_GB2312" w:cs="仿宋_GB2312"/>
          <w:bCs/>
          <w:kern w:val="44"/>
          <w:sz w:val="32"/>
          <w:szCs w:val="32"/>
        </w:rPr>
        <w:t>万元，占</w:t>
      </w:r>
      <w:r>
        <w:rPr>
          <w:rFonts w:hint="eastAsia" w:ascii="仿宋_GB2312" w:hAnsi="仿宋_GB2312" w:eastAsia="仿宋_GB2312" w:cs="仿宋_GB2312"/>
          <w:bCs/>
          <w:kern w:val="44"/>
          <w:sz w:val="32"/>
          <w:szCs w:val="32"/>
          <w:lang w:val="en-US" w:eastAsia="zh-CN"/>
        </w:rPr>
        <w:t>58.37</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；上缴上级支出0万元，占0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；经营支出0万元，占0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；对附属单位补助支出0万元，占0</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w:t>
      </w:r>
      <w:bookmarkStart w:id="32" w:name="_Toc15396606"/>
      <w:bookmarkStart w:id="33" w:name="_Toc15377208"/>
    </w:p>
    <w:p>
      <w:pPr>
        <w:pStyle w:val="2"/>
      </w:pPr>
    </w:p>
    <w:p>
      <w:r>
        <w:drawing>
          <wp:inline distT="0" distB="0" distL="114300" distR="114300">
            <wp:extent cx="5105400" cy="30099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四、财政拨款收入支出决算总体情况说明</w:t>
      </w:r>
      <w:bookmarkEnd w:id="32"/>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lang w:eastAsia="zh-CN"/>
        </w:rPr>
        <w:t>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lang w:eastAsia="zh-CN"/>
        </w:rPr>
        <w:t>年财政</w:t>
      </w:r>
      <w:r>
        <w:rPr>
          <w:rFonts w:hint="eastAsia" w:ascii="仿宋_GB2312" w:hAnsi="仿宋_GB2312" w:eastAsia="仿宋_GB2312" w:cs="仿宋_GB2312"/>
          <w:bCs/>
          <w:kern w:val="44"/>
          <w:sz w:val="32"/>
          <w:szCs w:val="32"/>
        </w:rPr>
        <w:t>拨款收、支总计</w:t>
      </w:r>
      <w:r>
        <w:rPr>
          <w:rFonts w:hint="eastAsia" w:ascii="仿宋_GB2312" w:hAnsi="仿宋_GB2312" w:eastAsia="仿宋_GB2312" w:cs="仿宋_GB2312"/>
          <w:bCs/>
          <w:kern w:val="44"/>
          <w:sz w:val="32"/>
          <w:szCs w:val="32"/>
          <w:lang w:val="en-US" w:eastAsia="zh-CN"/>
        </w:rPr>
        <w:t>1114.16</w:t>
      </w:r>
      <w:r>
        <w:rPr>
          <w:rFonts w:hint="eastAsia" w:ascii="仿宋_GB2312" w:hAnsi="仿宋_GB2312" w:eastAsia="仿宋_GB2312" w:cs="仿宋_GB2312"/>
          <w:bCs/>
          <w:kern w:val="44"/>
          <w:sz w:val="32"/>
          <w:szCs w:val="32"/>
        </w:rPr>
        <w:t>万元。与</w:t>
      </w:r>
      <w:r>
        <w:rPr>
          <w:rFonts w:ascii="仿宋_GB2312" w:hAnsi="仿宋_GB2312" w:eastAsia="仿宋_GB2312" w:cs="仿宋_GB2312"/>
          <w:bCs/>
          <w:kern w:val="44"/>
          <w:sz w:val="32"/>
          <w:szCs w:val="32"/>
        </w:rPr>
        <w:t>201</w:t>
      </w:r>
      <w:r>
        <w:rPr>
          <w:rFonts w:hint="eastAsia" w:ascii="仿宋_GB2312" w:hAnsi="仿宋_GB2312" w:eastAsia="仿宋_GB2312" w:cs="仿宋_GB2312"/>
          <w:bCs/>
          <w:kern w:val="44"/>
          <w:sz w:val="32"/>
          <w:szCs w:val="32"/>
          <w:lang w:val="en-US" w:eastAsia="zh-CN"/>
        </w:rPr>
        <w:t>8</w:t>
      </w:r>
      <w:r>
        <w:rPr>
          <w:rFonts w:hint="eastAsia" w:ascii="仿宋_GB2312" w:hAnsi="仿宋_GB2312" w:eastAsia="仿宋_GB2312" w:cs="仿宋_GB2312"/>
          <w:bCs/>
          <w:kern w:val="44"/>
          <w:sz w:val="32"/>
          <w:szCs w:val="32"/>
        </w:rPr>
        <w:t>年相比，财政拨款收、支总计各</w:t>
      </w:r>
      <w:r>
        <w:rPr>
          <w:rFonts w:hint="eastAsia" w:ascii="仿宋_GB2312" w:hAnsi="仿宋_GB2312" w:eastAsia="仿宋_GB2312" w:cs="仿宋_GB2312"/>
          <w:bCs/>
          <w:kern w:val="44"/>
          <w:sz w:val="32"/>
          <w:szCs w:val="32"/>
          <w:lang w:eastAsia="zh-CN"/>
        </w:rPr>
        <w:t>增加增加</w:t>
      </w:r>
      <w:r>
        <w:rPr>
          <w:rFonts w:hint="eastAsia" w:ascii="仿宋_GB2312" w:hAnsi="仿宋_GB2312" w:eastAsia="仿宋_GB2312" w:cs="仿宋_GB2312"/>
          <w:bCs/>
          <w:kern w:val="44"/>
          <w:sz w:val="32"/>
          <w:szCs w:val="32"/>
          <w:lang w:val="en-US" w:eastAsia="zh-CN"/>
        </w:rPr>
        <w:t>478.88</w:t>
      </w:r>
      <w:r>
        <w:rPr>
          <w:rFonts w:hint="eastAsia" w:ascii="仿宋_GB2312" w:hAnsi="仿宋_GB2312" w:eastAsia="仿宋_GB2312" w:cs="仿宋_GB2312"/>
          <w:bCs/>
          <w:kern w:val="44"/>
          <w:sz w:val="32"/>
          <w:szCs w:val="32"/>
        </w:rPr>
        <w:t>万元，</w:t>
      </w:r>
      <w:r>
        <w:rPr>
          <w:rFonts w:hint="eastAsia" w:ascii="仿宋_GB2312" w:hAnsi="仿宋_GB2312" w:eastAsia="仿宋_GB2312" w:cs="仿宋_GB2312"/>
          <w:bCs/>
          <w:kern w:val="44"/>
          <w:sz w:val="32"/>
          <w:szCs w:val="32"/>
          <w:lang w:eastAsia="zh-CN"/>
        </w:rPr>
        <w:t>增长</w:t>
      </w:r>
      <w:r>
        <w:rPr>
          <w:rFonts w:hint="eastAsia" w:ascii="仿宋_GB2312" w:hAnsi="仿宋_GB2312" w:eastAsia="仿宋_GB2312" w:cs="仿宋_GB2312"/>
          <w:bCs/>
          <w:kern w:val="44"/>
          <w:sz w:val="32"/>
          <w:szCs w:val="32"/>
          <w:lang w:val="en-US" w:eastAsia="zh-CN"/>
        </w:rPr>
        <w:t>75.38</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。主要变动原因是201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w:t>
      </w:r>
      <w:r>
        <w:rPr>
          <w:rFonts w:hint="eastAsia" w:ascii="仿宋_GB2312" w:hAnsi="仿宋_GB2312" w:eastAsia="仿宋_GB2312" w:cs="仿宋_GB2312"/>
          <w:bCs/>
          <w:kern w:val="44"/>
          <w:sz w:val="32"/>
          <w:szCs w:val="32"/>
          <w:lang w:eastAsia="zh-CN"/>
        </w:rPr>
        <w:t>项目前期费用</w:t>
      </w:r>
      <w:r>
        <w:rPr>
          <w:rFonts w:hint="eastAsia" w:ascii="仿宋_GB2312" w:hAnsi="仿宋_GB2312" w:eastAsia="仿宋_GB2312" w:cs="仿宋_GB2312"/>
          <w:bCs/>
          <w:kern w:val="44"/>
          <w:sz w:val="32"/>
          <w:szCs w:val="32"/>
        </w:rPr>
        <w:t>支出</w:t>
      </w:r>
      <w:r>
        <w:rPr>
          <w:rFonts w:hint="eastAsia" w:ascii="仿宋_GB2312" w:hAnsi="仿宋_GB2312" w:eastAsia="仿宋_GB2312" w:cs="仿宋_GB2312"/>
          <w:bCs/>
          <w:kern w:val="44"/>
          <w:sz w:val="32"/>
          <w:szCs w:val="32"/>
          <w:lang w:eastAsia="zh-CN"/>
        </w:rPr>
        <w:t>增加</w:t>
      </w:r>
      <w:r>
        <w:rPr>
          <w:rFonts w:hint="eastAsia" w:ascii="仿宋_GB2312" w:hAnsi="仿宋_GB2312" w:eastAsia="仿宋_GB2312" w:cs="仿宋_GB2312"/>
          <w:bCs/>
          <w:kern w:val="44"/>
          <w:sz w:val="32"/>
          <w:szCs w:val="32"/>
        </w:rPr>
        <w:t>。</w:t>
      </w:r>
    </w:p>
    <w:p>
      <w:pPr>
        <w:pStyle w:val="4"/>
        <w:rPr>
          <w:rFonts w:hint="eastAsia" w:ascii="黑体" w:hAnsi="黑体" w:eastAsia="黑体" w:cstheme="majorBidi"/>
          <w:b w:val="0"/>
          <w:bCs w:val="0"/>
          <w:color w:val="000000"/>
          <w:sz w:val="32"/>
          <w:szCs w:val="32"/>
        </w:rPr>
      </w:pPr>
      <w:bookmarkStart w:id="34" w:name="_Toc15377210"/>
      <w:r>
        <w:drawing>
          <wp:inline distT="0" distB="0" distL="114300" distR="114300">
            <wp:extent cx="5361305" cy="3086100"/>
            <wp:effectExtent l="4445" t="4445" r="6350"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35" w:name="_Toc15377209"/>
      <w:bookmarkStart w:id="36" w:name="_Toc1539660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theme="majorBidi"/>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b w:val="0"/>
          <w:bCs w:val="0"/>
        </w:rPr>
      </w:pPr>
      <w:r>
        <w:rPr>
          <w:rFonts w:hint="eastAsia" w:ascii="黑体" w:hAnsi="黑体" w:eastAsia="黑体" w:cstheme="majorBidi"/>
          <w:b w:val="0"/>
          <w:bCs w:val="0"/>
          <w:color w:val="000000"/>
          <w:sz w:val="32"/>
          <w:szCs w:val="32"/>
        </w:rPr>
        <w:t>五、一</w:t>
      </w:r>
      <w:r>
        <w:rPr>
          <w:rStyle w:val="28"/>
          <w:rFonts w:hint="eastAsia" w:ascii="黑体" w:hAnsi="黑体" w:eastAsia="黑体"/>
          <w:b w:val="0"/>
          <w:bCs w:val="0"/>
        </w:rPr>
        <w:t>般公共预算财政拨款支出决算情况说明</w:t>
      </w:r>
      <w:bookmarkEnd w:id="35"/>
      <w:bookmarkEnd w:id="36"/>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仿宋" w:hAnsi="仿宋" w:eastAsia="仿宋"/>
          <w:b/>
          <w:color w:val="000000"/>
          <w:sz w:val="32"/>
          <w:szCs w:val="32"/>
        </w:rPr>
      </w:pPr>
      <w:r>
        <w:rPr>
          <w:rStyle w:val="28"/>
          <w:rFonts w:hint="eastAsia" w:ascii="楷体" w:hAnsi="楷体" w:eastAsia="楷体" w:cs="楷体"/>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1114.16</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_GB2312" w:hAnsi="仿宋_GB2312" w:eastAsia="仿宋_GB2312" w:cs="仿宋_GB2312"/>
          <w:bCs/>
          <w:kern w:val="44"/>
          <w:sz w:val="32"/>
          <w:szCs w:val="32"/>
          <w:lang w:eastAsia="zh-CN"/>
        </w:rPr>
        <w:t>增加</w:t>
      </w:r>
      <w:r>
        <w:rPr>
          <w:rFonts w:hint="eastAsia" w:ascii="仿宋_GB2312" w:hAnsi="仿宋_GB2312" w:eastAsia="仿宋_GB2312" w:cs="仿宋_GB2312"/>
          <w:bCs/>
          <w:kern w:val="44"/>
          <w:sz w:val="32"/>
          <w:szCs w:val="32"/>
          <w:lang w:val="en-US" w:eastAsia="zh-CN"/>
        </w:rPr>
        <w:t>478.88</w:t>
      </w:r>
      <w:r>
        <w:rPr>
          <w:rFonts w:hint="eastAsia" w:ascii="仿宋_GB2312" w:hAnsi="仿宋_GB2312" w:eastAsia="仿宋_GB2312" w:cs="仿宋_GB2312"/>
          <w:bCs/>
          <w:kern w:val="44"/>
          <w:sz w:val="32"/>
          <w:szCs w:val="32"/>
        </w:rPr>
        <w:t>万元，</w:t>
      </w:r>
      <w:r>
        <w:rPr>
          <w:rFonts w:hint="eastAsia" w:ascii="仿宋_GB2312" w:hAnsi="仿宋_GB2312" w:eastAsia="仿宋_GB2312" w:cs="仿宋_GB2312"/>
          <w:bCs/>
          <w:kern w:val="44"/>
          <w:sz w:val="32"/>
          <w:szCs w:val="32"/>
          <w:lang w:eastAsia="zh-CN"/>
        </w:rPr>
        <w:t>增长</w:t>
      </w:r>
      <w:r>
        <w:rPr>
          <w:rFonts w:hint="eastAsia" w:ascii="仿宋_GB2312" w:hAnsi="仿宋_GB2312" w:eastAsia="仿宋_GB2312" w:cs="仿宋_GB2312"/>
          <w:bCs/>
          <w:kern w:val="44"/>
          <w:sz w:val="32"/>
          <w:szCs w:val="32"/>
          <w:lang w:val="en-US" w:eastAsia="zh-CN"/>
        </w:rPr>
        <w:t>75.38</w:t>
      </w:r>
      <w:r>
        <w:rPr>
          <w:rFonts w:ascii="仿宋_GB2312" w:hAnsi="仿宋_GB2312" w:eastAsia="仿宋_GB2312" w:cs="仿宋_GB2312"/>
          <w:bCs/>
          <w:kern w:val="44"/>
          <w:sz w:val="32"/>
          <w:szCs w:val="32"/>
        </w:rPr>
        <w:t>%</w:t>
      </w:r>
      <w:r>
        <w:rPr>
          <w:rFonts w:hint="eastAsia" w:ascii="仿宋_GB2312" w:hAnsi="仿宋_GB2312" w:eastAsia="仿宋_GB2312" w:cs="仿宋_GB2312"/>
          <w:bCs/>
          <w:kern w:val="44"/>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bCs/>
          <w:kern w:val="44"/>
          <w:sz w:val="32"/>
          <w:szCs w:val="32"/>
        </w:rPr>
        <w:t>201</w:t>
      </w:r>
      <w:r>
        <w:rPr>
          <w:rFonts w:hint="eastAsia" w:ascii="仿宋_GB2312" w:hAnsi="仿宋_GB2312" w:eastAsia="仿宋_GB2312" w:cs="仿宋_GB2312"/>
          <w:bCs/>
          <w:kern w:val="44"/>
          <w:sz w:val="32"/>
          <w:szCs w:val="32"/>
          <w:lang w:val="en-US" w:eastAsia="zh-CN"/>
        </w:rPr>
        <w:t>9</w:t>
      </w:r>
      <w:r>
        <w:rPr>
          <w:rFonts w:hint="eastAsia" w:ascii="仿宋_GB2312" w:hAnsi="仿宋_GB2312" w:eastAsia="仿宋_GB2312" w:cs="仿宋_GB2312"/>
          <w:bCs/>
          <w:kern w:val="44"/>
          <w:sz w:val="32"/>
          <w:szCs w:val="32"/>
        </w:rPr>
        <w:t>年</w:t>
      </w:r>
      <w:r>
        <w:rPr>
          <w:rFonts w:hint="eastAsia" w:ascii="仿宋_GB2312" w:hAnsi="仿宋_GB2312" w:eastAsia="仿宋_GB2312" w:cs="仿宋_GB2312"/>
          <w:bCs/>
          <w:kern w:val="44"/>
          <w:sz w:val="32"/>
          <w:szCs w:val="32"/>
          <w:lang w:eastAsia="zh-CN"/>
        </w:rPr>
        <w:t>项目前期费用</w:t>
      </w:r>
      <w:r>
        <w:rPr>
          <w:rFonts w:hint="eastAsia" w:ascii="仿宋_GB2312" w:hAnsi="仿宋_GB2312" w:eastAsia="仿宋_GB2312" w:cs="仿宋_GB2312"/>
          <w:bCs/>
          <w:kern w:val="44"/>
          <w:sz w:val="32"/>
          <w:szCs w:val="32"/>
        </w:rPr>
        <w:t>支出</w:t>
      </w:r>
      <w:r>
        <w:rPr>
          <w:rFonts w:hint="eastAsia" w:ascii="仿宋_GB2312" w:hAnsi="仿宋_GB2312" w:eastAsia="仿宋_GB2312" w:cs="仿宋_GB2312"/>
          <w:bCs/>
          <w:kern w:val="44"/>
          <w:sz w:val="32"/>
          <w:szCs w:val="32"/>
          <w:lang w:eastAsia="zh-CN"/>
        </w:rPr>
        <w:t>增加</w:t>
      </w:r>
      <w:r>
        <w:rPr>
          <w:rFonts w:hint="eastAsia" w:ascii="仿宋_GB2312" w:hAnsi="仿宋_GB2312" w:eastAsia="仿宋_GB2312" w:cs="仿宋_GB2312"/>
          <w:bCs/>
          <w:kern w:val="44"/>
          <w:sz w:val="32"/>
          <w:szCs w:val="32"/>
        </w:rPr>
        <w:t>。</w:t>
      </w:r>
    </w:p>
    <w:p>
      <w:pPr>
        <w:rPr>
          <w:rFonts w:ascii="仿宋" w:hAnsi="仿宋" w:eastAsia="仿宋"/>
          <w:color w:val="000000" w:themeColor="text1"/>
          <w:sz w:val="32"/>
          <w:szCs w:val="32"/>
        </w:rPr>
      </w:pPr>
      <w:r>
        <w:drawing>
          <wp:inline distT="0" distB="0" distL="114300" distR="114300">
            <wp:extent cx="5123815" cy="2466975"/>
            <wp:effectExtent l="4445" t="4445" r="15240" b="508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黑体" w:hAnsi="黑体" w:eastAsia="黑体" w:cstheme="majorBidi"/>
          <w:sz w:val="32"/>
          <w:szCs w:val="32"/>
        </w:rPr>
      </w:pPr>
      <w:bookmarkStart w:id="37" w:name="_Toc15377211"/>
      <w:r>
        <w:rPr>
          <w:rStyle w:val="28"/>
          <w:rFonts w:hint="eastAsia" w:ascii="楷体" w:hAnsi="楷体" w:eastAsia="楷体" w:cs="楷体"/>
          <w:b/>
          <w:bCs w:val="0"/>
        </w:rPr>
        <w:t>（二）一般公共预算财政拨款支出决算结构情况</w:t>
      </w:r>
      <w:bookmarkEnd w:id="37"/>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pPr>
      <w:r>
        <w:drawing>
          <wp:anchor distT="0" distB="0" distL="114300" distR="114300" simplePos="0" relativeHeight="251660288" behindDoc="1" locked="0" layoutInCell="1" allowOverlap="1">
            <wp:simplePos x="0" y="0"/>
            <wp:positionH relativeFrom="column">
              <wp:posOffset>-204470</wp:posOffset>
            </wp:positionH>
            <wp:positionV relativeFrom="paragraph">
              <wp:posOffset>2658110</wp:posOffset>
            </wp:positionV>
            <wp:extent cx="6197600" cy="3228975"/>
            <wp:effectExtent l="4445" t="4445" r="8255" b="5080"/>
            <wp:wrapTight wrapText="bothSides">
              <wp:wrapPolygon>
                <wp:start x="-15" y="-30"/>
                <wp:lineTo x="-15" y="21507"/>
                <wp:lineTo x="21562" y="21507"/>
                <wp:lineTo x="21562" y="-30"/>
                <wp:lineTo x="-15" y="-30"/>
              </wp:wrapPolygon>
            </wp:wrapTight>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color w:val="000000"/>
          <w:sz w:val="32"/>
          <w:szCs w:val="32"/>
        </w:rPr>
        <w:t>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1114.16</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一般公共服务（类）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404.78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36.33</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社会保障和就业（类）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37.97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3.41</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医疗卫生与计划生育（类）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18.36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1.65</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住房保障（类）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25.35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2.28</w:t>
      </w:r>
      <w:r>
        <w:rPr>
          <w:rFonts w:hint="eastAsia" w:ascii="仿宋_GB2312" w:hAnsi="仿宋" w:eastAsia="仿宋_GB2312"/>
          <w:color w:val="000000"/>
          <w:sz w:val="32"/>
          <w:szCs w:val="32"/>
        </w:rPr>
        <w:t>%；</w:t>
      </w:r>
      <w:r>
        <w:rPr>
          <w:rFonts w:hint="eastAsia" w:ascii="仿宋_GB2312" w:hAnsi="仿宋" w:eastAsia="仿宋_GB2312"/>
          <w:b/>
          <w:color w:val="000000"/>
          <w:sz w:val="32"/>
          <w:szCs w:val="32"/>
        </w:rPr>
        <w:t>农林水（类）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369.79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33.19</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 w:eastAsia="仿宋_GB2312"/>
          <w:b/>
          <w:bCs/>
          <w:color w:val="000000"/>
          <w:sz w:val="32"/>
          <w:szCs w:val="32"/>
          <w:lang w:eastAsia="zh-CN"/>
        </w:rPr>
        <w:t>城乡社区支出（类）</w:t>
      </w:r>
      <w:r>
        <w:rPr>
          <w:rFonts w:hint="eastAsia" w:ascii="仿宋_GB2312" w:hAnsi="仿宋" w:eastAsia="仿宋_GB2312"/>
          <w:color w:val="000000"/>
          <w:sz w:val="32"/>
          <w:szCs w:val="32"/>
        </w:rPr>
        <w:t>支出</w:t>
      </w:r>
      <w:r>
        <w:rPr>
          <w:rFonts w:hint="eastAsia" w:ascii="仿宋_GB2312" w:hAnsi="仿宋" w:eastAsia="仿宋_GB2312"/>
          <w:color w:val="000000"/>
          <w:sz w:val="32"/>
          <w:szCs w:val="32"/>
          <w:lang w:val="en-US" w:eastAsia="zh-CN"/>
        </w:rPr>
        <w:t>222.92</w:t>
      </w:r>
      <w:r>
        <w:rPr>
          <w:rFonts w:hint="eastAsia" w:ascii="仿宋_GB2312" w:hAnsi="仿宋" w:eastAsia="仿宋_GB2312"/>
          <w:color w:val="000000"/>
          <w:sz w:val="32"/>
          <w:szCs w:val="32"/>
        </w:rPr>
        <w:t>元，占</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lang w:eastAsia="zh-CN"/>
        </w:rPr>
        <w:t>其他支出（类）</w:t>
      </w:r>
      <w:r>
        <w:rPr>
          <w:rFonts w:hint="eastAsia" w:ascii="仿宋_GB2312" w:hAnsi="仿宋" w:eastAsia="仿宋_GB2312"/>
          <w:color w:val="000000"/>
          <w:sz w:val="32"/>
          <w:szCs w:val="32"/>
          <w:lang w:eastAsia="zh-CN"/>
        </w:rPr>
        <w:t>支出</w:t>
      </w:r>
      <w:r>
        <w:rPr>
          <w:rFonts w:hint="eastAsia" w:ascii="仿宋_GB2312" w:hAnsi="仿宋" w:eastAsia="仿宋_GB2312"/>
          <w:color w:val="000000"/>
          <w:sz w:val="32"/>
          <w:szCs w:val="32"/>
          <w:lang w:val="en-US" w:eastAsia="zh-CN"/>
        </w:rPr>
        <w:t>35万元</w:t>
      </w:r>
      <w:r>
        <w:rPr>
          <w:rFonts w:hint="eastAsia" w:ascii="仿宋_GB2312" w:hAnsi="仿宋" w:eastAsia="仿宋_GB2312"/>
          <w:color w:val="000000"/>
          <w:sz w:val="32"/>
          <w:szCs w:val="32"/>
        </w:rPr>
        <w:t>，占</w:t>
      </w:r>
      <w:r>
        <w:rPr>
          <w:rFonts w:hint="eastAsia" w:ascii="仿宋_GB2312" w:hAnsi="仿宋" w:eastAsia="仿宋_GB2312"/>
          <w:color w:val="000000"/>
          <w:sz w:val="32"/>
          <w:szCs w:val="32"/>
          <w:lang w:val="en-US" w:eastAsia="zh-CN"/>
        </w:rPr>
        <w:t>3.14</w:t>
      </w:r>
      <w:r>
        <w:rPr>
          <w:rFonts w:hint="eastAsia" w:ascii="仿宋_GB2312" w:hAnsi="仿宋" w:eastAsia="仿宋_GB2312"/>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Style w:val="28"/>
          <w:rFonts w:ascii="楷体" w:hAnsi="楷体" w:eastAsia="楷体" w:cs="楷体"/>
          <w:b w:val="0"/>
        </w:rPr>
      </w:pPr>
      <w:bookmarkStart w:id="38" w:name="_Toc15377212"/>
      <w:r>
        <w:rPr>
          <w:rStyle w:val="28"/>
          <w:rFonts w:hint="eastAsia" w:ascii="楷体" w:hAnsi="楷体" w:eastAsia="楷体" w:cs="楷体"/>
        </w:rPr>
        <w:t>（三）一般公共预算财政拨款支出决算具体情况</w:t>
      </w:r>
      <w:bookmarkEnd w:id="38"/>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_GB2312" w:hAnsi="仿宋" w:eastAsia="仿宋_GB2312"/>
          <w:color w:val="FF0000"/>
          <w:sz w:val="32"/>
          <w:szCs w:val="32"/>
        </w:rPr>
      </w:pPr>
      <w:bookmarkStart w:id="39" w:name="_Toc15378460"/>
      <w:bookmarkStart w:id="40" w:name="_Toc15377444"/>
      <w:bookmarkStart w:id="41" w:name="_Toc15377213"/>
      <w:r>
        <w:rPr>
          <w:rFonts w:hint="eastAsia" w:ascii="仿宋_GB2312" w:hAnsi="仿宋" w:eastAsia="仿宋_GB2312"/>
          <w:b/>
          <w:color w:val="000000" w:themeColor="text1"/>
          <w:sz w:val="32"/>
          <w:szCs w:val="32"/>
        </w:rPr>
        <w:t>201</w:t>
      </w:r>
      <w:r>
        <w:rPr>
          <w:rFonts w:hint="eastAsia" w:ascii="仿宋_GB2312" w:hAnsi="仿宋" w:eastAsia="仿宋_GB2312"/>
          <w:b/>
          <w:color w:val="000000" w:themeColor="text1"/>
          <w:sz w:val="32"/>
          <w:szCs w:val="32"/>
          <w:lang w:val="en-US" w:eastAsia="zh-CN"/>
        </w:rPr>
        <w:t>9</w:t>
      </w:r>
      <w:r>
        <w:rPr>
          <w:rFonts w:hint="eastAsia" w:ascii="仿宋_GB2312" w:hAnsi="仿宋" w:eastAsia="仿宋_GB2312"/>
          <w:b/>
          <w:color w:val="000000" w:themeColor="text1"/>
          <w:sz w:val="32"/>
          <w:szCs w:val="32"/>
        </w:rPr>
        <w:t>年一般公共预算支出决算数为</w:t>
      </w:r>
      <w:r>
        <w:rPr>
          <w:rFonts w:hint="eastAsia" w:ascii="仿宋_GB2312" w:hAnsi="仿宋" w:eastAsia="仿宋_GB2312"/>
          <w:b/>
          <w:color w:val="000000" w:themeColor="text1"/>
          <w:sz w:val="32"/>
          <w:szCs w:val="32"/>
          <w:lang w:val="en-US" w:eastAsia="zh-CN"/>
        </w:rPr>
        <w:t>891.25</w:t>
      </w:r>
      <w:r>
        <w:rPr>
          <w:rFonts w:hint="eastAsia" w:ascii="仿宋_GB2312" w:hAnsi="仿宋" w:eastAsia="仿宋_GB2312"/>
          <w:b/>
          <w:color w:val="000000" w:themeColor="text1"/>
          <w:sz w:val="32"/>
          <w:szCs w:val="32"/>
        </w:rPr>
        <w:t>万元</w:t>
      </w:r>
      <w:r>
        <w:rPr>
          <w:rFonts w:hint="eastAsia" w:ascii="仿宋_GB2312" w:hAnsi="仿宋" w:eastAsia="仿宋_GB2312"/>
          <w:color w:val="000000" w:themeColor="text1"/>
          <w:sz w:val="32"/>
          <w:szCs w:val="32"/>
        </w:rPr>
        <w:t>，</w:t>
      </w:r>
      <w:r>
        <w:rPr>
          <w:rStyle w:val="17"/>
          <w:rFonts w:hint="eastAsia" w:ascii="仿宋_GB2312" w:hAnsi="仿宋" w:eastAsia="仿宋_GB2312"/>
          <w:bCs/>
          <w:color w:val="000000" w:themeColor="text1"/>
          <w:sz w:val="32"/>
          <w:szCs w:val="32"/>
        </w:rPr>
        <w:t>完成</w:t>
      </w:r>
      <w:r>
        <w:rPr>
          <w:rStyle w:val="17"/>
          <w:rFonts w:hint="eastAsia" w:ascii="仿宋_GB2312" w:hAnsi="仿宋" w:eastAsia="仿宋_GB2312"/>
          <w:bCs/>
          <w:color w:val="000000"/>
          <w:sz w:val="32"/>
          <w:szCs w:val="32"/>
        </w:rPr>
        <w:t>预算100%。其中：</w:t>
      </w:r>
      <w:bookmarkEnd w:id="39"/>
      <w:bookmarkEnd w:id="40"/>
      <w:bookmarkEnd w:id="41"/>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7"/>
          <w:rFonts w:ascii="仿宋_GB2312" w:hAnsi="仿宋" w:eastAsia="仿宋_GB2312"/>
          <w:b w:val="0"/>
          <w:bCs/>
          <w:color w:val="000000"/>
          <w:sz w:val="32"/>
          <w:szCs w:val="32"/>
        </w:rPr>
      </w:pPr>
      <w:r>
        <w:rPr>
          <w:rStyle w:val="17"/>
          <w:rFonts w:hint="eastAsia" w:ascii="仿宋_GB2312" w:hAnsi="仿宋" w:eastAsia="仿宋_GB2312"/>
          <w:bCs/>
          <w:color w:val="000000"/>
          <w:sz w:val="32"/>
          <w:szCs w:val="32"/>
        </w:rPr>
        <w:t>1.一般公共服务（类）发展与改革事务（款）行政运行（项）:</w:t>
      </w:r>
      <w:r>
        <w:rPr>
          <w:rStyle w:val="17"/>
          <w:rFonts w:hint="eastAsia" w:ascii="仿宋_GB2312" w:hAnsi="仿宋" w:eastAsia="仿宋_GB2312"/>
          <w:b w:val="0"/>
          <w:bCs/>
          <w:color w:val="000000"/>
          <w:sz w:val="32"/>
          <w:szCs w:val="32"/>
        </w:rPr>
        <w:t xml:space="preserve"> 支出决算为</w:t>
      </w:r>
      <w:r>
        <w:rPr>
          <w:rStyle w:val="17"/>
          <w:rFonts w:hint="eastAsia" w:ascii="仿宋_GB2312" w:hAnsi="仿宋" w:eastAsia="仿宋_GB2312"/>
          <w:b w:val="0"/>
          <w:bCs/>
          <w:color w:val="000000"/>
          <w:sz w:val="32"/>
          <w:szCs w:val="32"/>
          <w:lang w:val="en-US" w:eastAsia="zh-CN"/>
        </w:rPr>
        <w:t>324.53</w:t>
      </w:r>
      <w:r>
        <w:rPr>
          <w:rStyle w:val="17"/>
          <w:rFonts w:hint="eastAsia" w:ascii="仿宋_GB2312" w:hAnsi="仿宋" w:eastAsia="仿宋_GB2312"/>
          <w:b w:val="0"/>
          <w:bCs/>
          <w:color w:val="00000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Cs/>
          <w:color w:val="000000"/>
          <w:sz w:val="32"/>
          <w:szCs w:val="32"/>
        </w:rPr>
      </w:pPr>
      <w:r>
        <w:rPr>
          <w:rStyle w:val="17"/>
          <w:rFonts w:hint="eastAsia" w:ascii="仿宋_GB2312" w:hAnsi="仿宋" w:eastAsia="仿宋_GB2312"/>
          <w:bCs/>
          <w:color w:val="000000"/>
          <w:sz w:val="32"/>
          <w:szCs w:val="32"/>
        </w:rPr>
        <w:t>2.一般公共服务（类）发展与改革事务（款）事业运行（项）:</w:t>
      </w:r>
      <w:r>
        <w:rPr>
          <w:rStyle w:val="17"/>
          <w:rFonts w:hint="eastAsia" w:ascii="仿宋_GB2312" w:hAnsi="仿宋" w:eastAsia="仿宋_GB2312"/>
          <w:b w:val="0"/>
          <w:bCs/>
          <w:color w:val="000000"/>
          <w:sz w:val="32"/>
          <w:szCs w:val="32"/>
        </w:rPr>
        <w:t xml:space="preserve"> 支出决算为</w:t>
      </w:r>
      <w:r>
        <w:rPr>
          <w:rStyle w:val="17"/>
          <w:rFonts w:hint="eastAsia" w:ascii="仿宋_GB2312" w:hAnsi="仿宋" w:eastAsia="仿宋_GB2312"/>
          <w:b w:val="0"/>
          <w:bCs/>
          <w:color w:val="000000"/>
          <w:sz w:val="32"/>
          <w:szCs w:val="32"/>
          <w:lang w:val="en-US" w:eastAsia="zh-CN"/>
        </w:rPr>
        <w:t>57.2</w:t>
      </w:r>
      <w:r>
        <w:rPr>
          <w:rStyle w:val="17"/>
          <w:rFonts w:hint="eastAsia" w:ascii="仿宋_GB2312" w:hAnsi="仿宋" w:eastAsia="仿宋_GB2312"/>
          <w:b w:val="0"/>
          <w:bCs/>
          <w:color w:val="00000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rPr>
      </w:pPr>
      <w:r>
        <w:rPr>
          <w:rStyle w:val="17"/>
          <w:rFonts w:hint="eastAsia" w:ascii="仿宋_GB2312" w:hAnsi="仿宋" w:eastAsia="仿宋_GB2312"/>
          <w:bCs/>
          <w:color w:val="000000"/>
          <w:sz w:val="32"/>
          <w:szCs w:val="32"/>
        </w:rPr>
        <w:t>3.</w:t>
      </w:r>
      <w:r>
        <w:rPr>
          <w:rStyle w:val="17"/>
          <w:rFonts w:hint="eastAsia" w:ascii="仿宋_GB2312" w:eastAsia="仿宋_GB2312"/>
          <w:sz w:val="32"/>
          <w:szCs w:val="32"/>
        </w:rPr>
        <w:t>社会保障和就业（类）行政事业单位离退休（款）机关事业单位基本养老保险缴费支出（项）:</w:t>
      </w:r>
      <w:r>
        <w:rPr>
          <w:rFonts w:hint="eastAsia" w:ascii="仿宋_GB2312" w:eastAsia="仿宋_GB2312"/>
          <w:sz w:val="32"/>
          <w:szCs w:val="32"/>
        </w:rPr>
        <w:t>支出决算数为</w:t>
      </w:r>
      <w:r>
        <w:rPr>
          <w:rFonts w:hint="eastAsia" w:ascii="仿宋_GB2312" w:eastAsia="仿宋_GB2312"/>
          <w:sz w:val="32"/>
          <w:szCs w:val="32"/>
          <w:lang w:val="en-US" w:eastAsia="zh-CN"/>
        </w:rPr>
        <w:t>25.93</w:t>
      </w:r>
      <w:r>
        <w:rPr>
          <w:rFonts w:hint="eastAsia" w:ascii="仿宋_GB2312" w:eastAsia="仿宋_GB2312"/>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color w:val="000000"/>
          <w:sz w:val="32"/>
          <w:szCs w:val="32"/>
        </w:rPr>
      </w:pPr>
      <w:r>
        <w:rPr>
          <w:rStyle w:val="17"/>
          <w:rFonts w:hint="eastAsia" w:ascii="仿宋_GB2312" w:eastAsia="仿宋_GB2312"/>
          <w:sz w:val="32"/>
          <w:szCs w:val="32"/>
        </w:rPr>
        <w:t>4.社会保障和就业（类）行政事业单位离退休（款）机关事业单位职业年金缴费支出（项）:</w:t>
      </w:r>
      <w:r>
        <w:rPr>
          <w:rFonts w:hint="eastAsia" w:ascii="仿宋_GB2312" w:eastAsia="仿宋_GB2312"/>
          <w:sz w:val="32"/>
          <w:szCs w:val="32"/>
        </w:rPr>
        <w:t>支出决算数为</w:t>
      </w:r>
      <w:r>
        <w:rPr>
          <w:rFonts w:hint="eastAsia" w:ascii="仿宋_GB2312" w:eastAsia="仿宋_GB2312"/>
          <w:sz w:val="32"/>
          <w:szCs w:val="32"/>
          <w:lang w:val="en-US" w:eastAsia="zh-CN"/>
        </w:rPr>
        <w:t>12.04</w:t>
      </w:r>
      <w:r>
        <w:rPr>
          <w:rFonts w:hint="eastAsia" w:ascii="仿宋_GB2312" w:eastAsia="仿宋_GB2312"/>
          <w:sz w:val="32"/>
          <w:szCs w:val="32"/>
        </w:rPr>
        <w:t>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7"/>
          <w:rFonts w:ascii="仿宋_GB2312" w:hAnsi="仿宋" w:eastAsia="仿宋_GB2312"/>
          <w:b w:val="0"/>
          <w:bCs/>
          <w:color w:val="000000"/>
          <w:sz w:val="32"/>
          <w:szCs w:val="32"/>
        </w:rPr>
      </w:pPr>
      <w:r>
        <w:rPr>
          <w:rStyle w:val="17"/>
          <w:rFonts w:hint="eastAsia" w:ascii="仿宋_GB2312" w:hAnsi="仿宋" w:eastAsia="仿宋_GB2312"/>
          <w:bCs/>
          <w:color w:val="000000"/>
          <w:sz w:val="32"/>
          <w:szCs w:val="32"/>
        </w:rPr>
        <w:t>5.医疗卫生与计划生育（类）行政事业单位医疗（款）行政单位医疗（项）:</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12.94</w:t>
      </w:r>
      <w:r>
        <w:rPr>
          <w:rStyle w:val="17"/>
          <w:rFonts w:hint="eastAsia" w:ascii="仿宋_GB2312" w:hAnsi="仿宋" w:eastAsia="仿宋_GB2312"/>
          <w:b w:val="0"/>
          <w:bCs/>
          <w:color w:val="00000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color w:val="000000"/>
          <w:sz w:val="32"/>
          <w:szCs w:val="32"/>
        </w:rPr>
      </w:pPr>
      <w:r>
        <w:rPr>
          <w:rStyle w:val="17"/>
          <w:rFonts w:hint="eastAsia" w:ascii="仿宋_GB2312" w:hAnsi="仿宋" w:eastAsia="仿宋_GB2312"/>
          <w:bCs/>
          <w:color w:val="000000"/>
          <w:sz w:val="32"/>
          <w:szCs w:val="32"/>
        </w:rPr>
        <w:t>6.医疗卫生与计划生育（类）行政事业单位医疗（款）事业单位医疗（项）:</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5.41</w:t>
      </w:r>
      <w:r>
        <w:rPr>
          <w:rStyle w:val="17"/>
          <w:rFonts w:hint="eastAsia" w:ascii="仿宋_GB2312" w:hAnsi="仿宋" w:eastAsia="仿宋_GB2312"/>
          <w:b w:val="0"/>
          <w:bCs/>
          <w:color w:val="00000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color w:val="000000"/>
          <w:sz w:val="32"/>
          <w:szCs w:val="32"/>
        </w:rPr>
      </w:pPr>
      <w:r>
        <w:rPr>
          <w:rStyle w:val="17"/>
          <w:rFonts w:hint="eastAsia" w:ascii="仿宋_GB2312" w:hAnsi="仿宋" w:eastAsia="仿宋_GB2312"/>
          <w:bCs/>
          <w:color w:val="000000"/>
          <w:sz w:val="32"/>
          <w:szCs w:val="32"/>
        </w:rPr>
        <w:t>7.农林水（类）扶贫（款）其他扶贫（项）:</w:t>
      </w:r>
      <w:r>
        <w:rPr>
          <w:rStyle w:val="17"/>
          <w:rFonts w:hint="eastAsia" w:ascii="仿宋_GB2312" w:hAnsi="仿宋" w:eastAsia="仿宋_GB2312"/>
          <w:b w:val="0"/>
          <w:bCs/>
          <w:color w:val="000000"/>
          <w:sz w:val="32"/>
          <w:szCs w:val="32"/>
        </w:rPr>
        <w:t xml:space="preserve"> 支出决算为</w:t>
      </w:r>
      <w:r>
        <w:rPr>
          <w:rStyle w:val="17"/>
          <w:rFonts w:hint="eastAsia" w:ascii="仿宋_GB2312" w:hAnsi="仿宋" w:eastAsia="仿宋_GB2312"/>
          <w:b w:val="0"/>
          <w:bCs/>
          <w:color w:val="000000"/>
          <w:sz w:val="32"/>
          <w:szCs w:val="32"/>
          <w:lang w:val="en-US" w:eastAsia="zh-CN"/>
        </w:rPr>
        <w:t>369.79</w:t>
      </w:r>
      <w:r>
        <w:rPr>
          <w:rStyle w:val="17"/>
          <w:rFonts w:hint="eastAsia" w:ascii="仿宋_GB2312" w:hAnsi="仿宋" w:eastAsia="仿宋_GB2312"/>
          <w:b w:val="0"/>
          <w:bCs/>
          <w:color w:val="00000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7"/>
          <w:rFonts w:hint="eastAsia" w:ascii="仿宋_GB2312" w:hAnsi="仿宋" w:eastAsia="仿宋_GB2312"/>
          <w:b w:val="0"/>
          <w:bCs/>
          <w:color w:val="000000"/>
          <w:sz w:val="32"/>
          <w:szCs w:val="32"/>
        </w:rPr>
      </w:pPr>
      <w:r>
        <w:rPr>
          <w:rStyle w:val="17"/>
          <w:rFonts w:hint="eastAsia" w:ascii="仿宋_GB2312" w:hAnsi="仿宋" w:eastAsia="仿宋_GB2312"/>
          <w:bCs/>
          <w:color w:val="000000"/>
          <w:sz w:val="32"/>
          <w:szCs w:val="32"/>
        </w:rPr>
        <w:t>8.住房保障（类）住房改革（款）住房公积金（项）:</w:t>
      </w:r>
      <w:r>
        <w:rPr>
          <w:rStyle w:val="17"/>
          <w:rFonts w:hint="eastAsia" w:ascii="仿宋_GB2312" w:hAnsi="仿宋" w:eastAsia="仿宋_GB2312"/>
          <w:b w:val="0"/>
          <w:bCs/>
          <w:color w:val="000000"/>
          <w:sz w:val="32"/>
          <w:szCs w:val="32"/>
        </w:rPr>
        <w:t xml:space="preserve"> 支出决算为</w:t>
      </w:r>
      <w:r>
        <w:rPr>
          <w:rStyle w:val="17"/>
          <w:rFonts w:hint="eastAsia" w:ascii="仿宋_GB2312" w:hAnsi="仿宋" w:eastAsia="仿宋_GB2312"/>
          <w:b w:val="0"/>
          <w:bCs/>
          <w:color w:val="000000"/>
          <w:sz w:val="32"/>
          <w:szCs w:val="32"/>
          <w:lang w:val="en-US" w:eastAsia="zh-CN"/>
        </w:rPr>
        <w:t>25.35</w:t>
      </w:r>
      <w:r>
        <w:rPr>
          <w:rStyle w:val="17"/>
          <w:rFonts w:hint="eastAsia" w:ascii="仿宋_GB2312" w:hAnsi="仿宋" w:eastAsia="仿宋_GB2312"/>
          <w:b w:val="0"/>
          <w:bCs/>
          <w:color w:val="000000"/>
          <w:sz w:val="32"/>
          <w:szCs w:val="32"/>
        </w:rPr>
        <w:t>万元，完成预算100%。</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7"/>
          <w:rFonts w:hint="eastAsia" w:ascii="仿宋_GB2312" w:hAnsi="仿宋" w:eastAsia="仿宋_GB2312"/>
          <w:b w:val="0"/>
          <w:bCs/>
          <w:color w:val="000000"/>
          <w:sz w:val="32"/>
          <w:szCs w:val="32"/>
        </w:rPr>
      </w:pPr>
      <w:r>
        <w:rPr>
          <w:rStyle w:val="17"/>
          <w:rFonts w:hint="eastAsia" w:ascii="仿宋_GB2312" w:hAnsi="仿宋" w:eastAsia="仿宋_GB2312"/>
          <w:bCs/>
          <w:color w:val="000000"/>
          <w:sz w:val="32"/>
          <w:szCs w:val="32"/>
        </w:rPr>
        <w:t>9.</w:t>
      </w:r>
      <w:r>
        <w:rPr>
          <w:rStyle w:val="17"/>
          <w:rFonts w:hint="eastAsia" w:ascii="仿宋_GB2312" w:hAnsi="仿宋" w:eastAsia="仿宋_GB2312"/>
          <w:bCs/>
          <w:color w:val="000000"/>
          <w:sz w:val="32"/>
          <w:szCs w:val="32"/>
          <w:lang w:eastAsia="zh-CN"/>
        </w:rPr>
        <w:t>其他支出</w:t>
      </w:r>
      <w:r>
        <w:rPr>
          <w:rStyle w:val="17"/>
          <w:rFonts w:hint="eastAsia" w:ascii="仿宋_GB2312" w:hAnsi="仿宋" w:eastAsia="仿宋_GB2312"/>
          <w:bCs/>
          <w:color w:val="000000"/>
          <w:sz w:val="32"/>
          <w:szCs w:val="32"/>
        </w:rPr>
        <w:t>（类）</w:t>
      </w:r>
      <w:r>
        <w:rPr>
          <w:rStyle w:val="17"/>
          <w:rFonts w:hint="eastAsia" w:ascii="仿宋_GB2312" w:hAnsi="仿宋" w:eastAsia="仿宋_GB2312"/>
          <w:bCs/>
          <w:color w:val="000000"/>
          <w:sz w:val="32"/>
          <w:szCs w:val="32"/>
          <w:lang w:eastAsia="zh-CN"/>
        </w:rPr>
        <w:t>其他支出</w:t>
      </w:r>
      <w:r>
        <w:rPr>
          <w:rStyle w:val="17"/>
          <w:rFonts w:hint="eastAsia" w:ascii="仿宋_GB2312" w:hAnsi="仿宋" w:eastAsia="仿宋_GB2312"/>
          <w:bCs/>
          <w:color w:val="000000"/>
          <w:sz w:val="32"/>
          <w:szCs w:val="32"/>
        </w:rPr>
        <w:t>（款）</w:t>
      </w:r>
      <w:r>
        <w:rPr>
          <w:rStyle w:val="17"/>
          <w:rFonts w:hint="eastAsia" w:ascii="仿宋_GB2312" w:hAnsi="仿宋" w:eastAsia="仿宋_GB2312"/>
          <w:bCs/>
          <w:color w:val="000000"/>
          <w:sz w:val="32"/>
          <w:szCs w:val="32"/>
          <w:lang w:eastAsia="zh-CN"/>
        </w:rPr>
        <w:t>其他支出</w:t>
      </w:r>
      <w:r>
        <w:rPr>
          <w:rStyle w:val="17"/>
          <w:rFonts w:hint="eastAsia" w:ascii="仿宋_GB2312" w:hAnsi="仿宋" w:eastAsia="仿宋_GB2312"/>
          <w:bCs/>
          <w:color w:val="000000"/>
          <w:sz w:val="32"/>
          <w:szCs w:val="32"/>
        </w:rPr>
        <w:t>（项）:</w:t>
      </w:r>
      <w:r>
        <w:rPr>
          <w:rStyle w:val="17"/>
          <w:rFonts w:hint="eastAsia" w:ascii="仿宋_GB2312" w:hAnsi="仿宋" w:eastAsia="仿宋_GB2312"/>
          <w:b w:val="0"/>
          <w:bCs/>
          <w:color w:val="000000"/>
          <w:sz w:val="32"/>
          <w:szCs w:val="32"/>
        </w:rPr>
        <w:t xml:space="preserve"> 支出决算为</w:t>
      </w:r>
      <w:r>
        <w:rPr>
          <w:rStyle w:val="17"/>
          <w:rFonts w:hint="eastAsia" w:ascii="仿宋_GB2312" w:hAnsi="仿宋" w:eastAsia="仿宋_GB2312"/>
          <w:b w:val="0"/>
          <w:bCs/>
          <w:color w:val="000000"/>
          <w:sz w:val="32"/>
          <w:szCs w:val="32"/>
          <w:lang w:val="en-US" w:eastAsia="zh-CN"/>
        </w:rPr>
        <w:t>35</w:t>
      </w:r>
      <w:r>
        <w:rPr>
          <w:rStyle w:val="17"/>
          <w:rFonts w:hint="eastAsia" w:ascii="仿宋_GB2312" w:hAnsi="仿宋" w:eastAsia="仿宋_GB2312"/>
          <w:b w:val="0"/>
          <w:bCs/>
          <w:color w:val="000000"/>
          <w:sz w:val="32"/>
          <w:szCs w:val="32"/>
        </w:rPr>
        <w:t>万元，完成预算100%。</w:t>
      </w:r>
    </w:p>
    <w:p>
      <w:pPr>
        <w:pStyle w:val="2"/>
        <w:ind w:left="0" w:leftChars="0" w:firstLine="640" w:firstLineChars="200"/>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黑体" w:hAnsi="黑体" w:eastAsia="黑体"/>
          <w:color w:val="000000"/>
          <w:sz w:val="32"/>
          <w:szCs w:val="32"/>
          <w:lang w:eastAsia="zh-CN"/>
        </w:rPr>
      </w:pPr>
      <w:bookmarkStart w:id="42" w:name="_Toc15396608"/>
      <w:bookmarkStart w:id="43" w:name="_Toc15377214"/>
      <w:r>
        <w:rPr>
          <w:rFonts w:hint="eastAsia" w:ascii="黑体" w:hAnsi="黑体" w:eastAsia="黑体"/>
          <w:color w:val="000000"/>
          <w:sz w:val="32"/>
          <w:szCs w:val="32"/>
          <w:lang w:eastAsia="zh-CN"/>
        </w:rPr>
        <w:t>六、一般公共预算财政拨款基本支出决算情况说明</w:t>
      </w:r>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000000"/>
          <w:sz w:val="32"/>
          <w:szCs w:val="32"/>
        </w:rPr>
      </w:pPr>
      <w:r>
        <w:rPr>
          <w:rFonts w:hint="eastAsia" w:ascii="仿宋" w:hAnsi="仿宋" w:eastAsia="仿宋"/>
          <w:color w:val="000000"/>
          <w:sz w:val="32"/>
          <w:szCs w:val="32"/>
          <w:lang w:eastAsia="zh-CN"/>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lang w:eastAsia="zh-CN"/>
        </w:rPr>
        <w:t>年一般</w:t>
      </w:r>
      <w:r>
        <w:rPr>
          <w:rFonts w:hint="eastAsia" w:ascii="仿宋" w:hAnsi="仿宋" w:eastAsia="仿宋"/>
          <w:color w:val="000000"/>
          <w:sz w:val="32"/>
          <w:szCs w:val="32"/>
        </w:rPr>
        <w:t>公共预算财政拨款基本支出</w:t>
      </w:r>
      <w:r>
        <w:rPr>
          <w:rFonts w:hint="eastAsia" w:ascii="仿宋" w:hAnsi="仿宋" w:eastAsia="仿宋"/>
          <w:color w:val="000000"/>
          <w:sz w:val="32"/>
          <w:szCs w:val="32"/>
          <w:lang w:val="en-US" w:eastAsia="zh-CN"/>
        </w:rPr>
        <w:t>1114.16</w:t>
      </w:r>
      <w:r>
        <w:rPr>
          <w:rFonts w:hint="eastAsia" w:ascii="仿宋" w:hAnsi="仿宋" w:eastAsia="仿宋"/>
          <w:color w:val="000000"/>
          <w:sz w:val="32"/>
          <w:szCs w:val="32"/>
        </w:rPr>
        <w:t>万元，其中：</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heme="majorBidi"/>
          <w:b w:val="0"/>
          <w:bCs w:val="0"/>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399.83</w:t>
      </w:r>
      <w:r>
        <w:rPr>
          <w:rFonts w:hint="eastAsia" w:ascii="仿宋" w:hAnsi="仿宋" w:eastAsia="仿宋"/>
          <w:color w:val="000000"/>
          <w:sz w:val="32"/>
          <w:szCs w:val="32"/>
        </w:rPr>
        <w:t>万元，主要包括：基本工资、津贴补贴、奖金、绩效工资、机关事业单位基本养老保险缴费、职业年金缴费、其他社会保障缴费、离休费、生活补助、医疗费、住房公积金等。</w:t>
      </w:r>
      <w:r>
        <w:rPr>
          <w:rFonts w:ascii="仿宋" w:hAnsi="仿宋" w:eastAsia="仿宋"/>
          <w:color w:val="000000"/>
          <w:sz w:val="32"/>
          <w:szCs w:val="32"/>
        </w:rPr>
        <w:br w:type="textWrapping"/>
      </w:r>
      <w:r>
        <w:rPr>
          <w:rFonts w:hint="eastAsia" w:ascii="仿宋" w:hAnsi="仿宋" w:eastAsia="仿宋"/>
          <w:color w:val="000000"/>
          <w:sz w:val="32"/>
          <w:szCs w:val="32"/>
        </w:rPr>
        <w:t xml:space="preserve">    公用经费</w:t>
      </w:r>
      <w:r>
        <w:rPr>
          <w:rFonts w:hint="eastAsia" w:ascii="仿宋" w:hAnsi="仿宋" w:eastAsia="仿宋"/>
          <w:color w:val="000000"/>
          <w:sz w:val="32"/>
          <w:szCs w:val="32"/>
          <w:lang w:val="en-US" w:eastAsia="zh-CN"/>
        </w:rPr>
        <w:t>63.58</w:t>
      </w:r>
      <w:r>
        <w:rPr>
          <w:rFonts w:hint="eastAsia" w:ascii="仿宋" w:hAnsi="仿宋" w:eastAsia="仿宋"/>
          <w:color w:val="000000"/>
          <w:sz w:val="32"/>
          <w:szCs w:val="32"/>
        </w:rPr>
        <w:t>万元，主要包括：办公费、印刷费、邮电费、差旅费、培训费、公务接待费、公务用车运行维护费、其他资本性支出等。</w:t>
      </w:r>
      <w:bookmarkStart w:id="44" w:name="_Toc15396609"/>
      <w:bookmarkStart w:id="45" w:name="_Toc1537721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theme="majorBidi"/>
          <w:b w:val="0"/>
          <w:bCs w:val="0"/>
          <w:color w:val="000000"/>
          <w:sz w:val="32"/>
          <w:szCs w:val="32"/>
        </w:rPr>
      </w:pPr>
      <w:r>
        <w:rPr>
          <w:rFonts w:hint="eastAsia" w:ascii="黑体" w:hAnsi="黑体" w:eastAsia="黑体" w:cstheme="majorBidi"/>
          <w:b w:val="0"/>
          <w:bCs w:val="0"/>
          <w:color w:val="000000"/>
          <w:sz w:val="32"/>
          <w:szCs w:val="32"/>
        </w:rPr>
        <w:t>七、“三公”经费财政拨款支出决算情况说明</w:t>
      </w:r>
      <w:bookmarkEnd w:id="44"/>
      <w:bookmarkEnd w:id="4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b/>
          <w:color w:val="000000"/>
          <w:sz w:val="32"/>
          <w:szCs w:val="32"/>
        </w:rPr>
      </w:pPr>
      <w:bookmarkStart w:id="46" w:name="_Toc15377216"/>
      <w:r>
        <w:rPr>
          <w:rFonts w:hint="eastAsia" w:ascii="黑体" w:hAnsi="黑体" w:eastAsia="黑体" w:cstheme="majorBidi"/>
          <w:b w:val="0"/>
          <w:bCs w:val="0"/>
          <w:color w:val="000000"/>
          <w:sz w:val="32"/>
          <w:szCs w:val="32"/>
        </w:rPr>
        <w:t>（一）“</w:t>
      </w:r>
      <w:r>
        <w:rPr>
          <w:rStyle w:val="28"/>
          <w:rFonts w:hint="eastAsia" w:ascii="楷体" w:hAnsi="楷体" w:eastAsia="楷体" w:cs="楷体"/>
        </w:rPr>
        <w:t>三公”经费财政拨款支出决算总体情况说明</w:t>
      </w:r>
      <w:bookmarkEnd w:id="4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4.33</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仿宋" w:hAnsi="仿宋" w:eastAsia="仿宋"/>
          <w:b/>
          <w:color w:val="000000"/>
          <w:sz w:val="32"/>
          <w:szCs w:val="32"/>
        </w:rPr>
      </w:pPr>
      <w:bookmarkStart w:id="47" w:name="_Toc15377217"/>
      <w:r>
        <w:rPr>
          <w:rStyle w:val="28"/>
          <w:rFonts w:hint="eastAsia" w:ascii="楷体" w:hAnsi="楷体" w:eastAsia="楷体" w:cs="楷体"/>
        </w:rPr>
        <w:t>（二）“三公”经费财政拨款支出决算具体情况说明</w:t>
      </w:r>
      <w:bookmarkEnd w:id="47"/>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93.76</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6.24</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ascii="仿宋_GB2312" w:eastAsia="仿宋_GB2312"/>
          <w:b/>
          <w:color w:val="000000"/>
          <w:sz w:val="32"/>
          <w:szCs w:val="32"/>
        </w:rPr>
      </w:pPr>
      <w:r>
        <w:drawing>
          <wp:anchor distT="0" distB="0" distL="114300" distR="114300" simplePos="0" relativeHeight="251661312" behindDoc="1" locked="0" layoutInCell="1" allowOverlap="1">
            <wp:simplePos x="0" y="0"/>
            <wp:positionH relativeFrom="column">
              <wp:posOffset>337820</wp:posOffset>
            </wp:positionH>
            <wp:positionV relativeFrom="paragraph">
              <wp:posOffset>118110</wp:posOffset>
            </wp:positionV>
            <wp:extent cx="5076190" cy="2933700"/>
            <wp:effectExtent l="5080" t="4445" r="5080" b="14605"/>
            <wp:wrapTight wrapText="bothSides">
              <wp:wrapPolygon>
                <wp:start x="-22" y="-33"/>
                <wp:lineTo x="-22" y="21567"/>
                <wp:lineTo x="21541" y="21567"/>
                <wp:lineTo x="21541" y="-33"/>
                <wp:lineTo x="-22" y="-33"/>
              </wp:wrapPolygon>
            </wp:wrapTight>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年无变化。</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4.06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。无</w:t>
      </w:r>
      <w:r>
        <w:rPr>
          <w:rFonts w:hint="eastAsia" w:ascii="仿宋_GB2312" w:eastAsia="仿宋_GB2312"/>
          <w:color w:val="000000"/>
          <w:sz w:val="32"/>
          <w:szCs w:val="32"/>
        </w:rPr>
        <w:t>公务用车购置支出，全部为公务用车运行维护费支出。公务用车运行维护费支出决算比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40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项目督查及协调工作增多</w:t>
      </w: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4.06</w:t>
      </w:r>
      <w:r>
        <w:rPr>
          <w:rFonts w:hint="eastAsia" w:ascii="仿宋_GB2312" w:eastAsia="仿宋_GB2312"/>
          <w:color w:val="000000"/>
          <w:sz w:val="32"/>
          <w:szCs w:val="32"/>
        </w:rPr>
        <w:t>万元。主要用于发改局机关、东西部扶贫对口援建办及“6.24”灾后重建办开展相关工作所需的公务用车燃料费、维修费、过路过桥费、保险费等支出。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eastAsia="仿宋_GB2312"/>
          <w:lang w:val="en-US" w:eastAsia="zh-CN"/>
        </w:rPr>
      </w:pPr>
      <w:r>
        <w:rPr>
          <w:rFonts w:hint="eastAsia" w:ascii="仿宋_GB2312" w:eastAsia="仿宋_GB2312"/>
          <w:color w:val="000000"/>
          <w:sz w:val="32"/>
          <w:szCs w:val="32"/>
          <w:lang w:val="en-US" w:eastAsia="zh-CN"/>
        </w:rPr>
        <w:t xml:space="preserve"> </w:t>
      </w:r>
      <w:r>
        <w:rPr>
          <w:rFonts w:hint="eastAsia" w:ascii="仿宋_GB2312" w:eastAsia="仿宋_GB2312"/>
          <w:b w:val="0"/>
          <w:bCs w:val="0"/>
          <w:color w:val="000000"/>
          <w:sz w:val="32"/>
          <w:szCs w:val="32"/>
          <w:lang w:val="en-US" w:eastAsia="zh-CN"/>
        </w:rPr>
        <w:t>其中：</w:t>
      </w:r>
      <w:r>
        <w:rPr>
          <w:rFonts w:hint="eastAsia" w:ascii="仿宋_GB2312" w:eastAsia="仿宋_GB2312"/>
          <w:b/>
          <w:bCs/>
          <w:color w:val="000000"/>
          <w:sz w:val="32"/>
          <w:szCs w:val="32"/>
          <w:lang w:val="en-US" w:eastAsia="zh-CN"/>
        </w:rPr>
        <w:t>公务用车购置支出0万元。</w:t>
      </w:r>
      <w:r>
        <w:rPr>
          <w:rFonts w:hint="eastAsia" w:ascii="仿宋_GB2312" w:eastAsia="仿宋_GB2312"/>
          <w:color w:val="000000"/>
          <w:sz w:val="32"/>
          <w:szCs w:val="32"/>
          <w:lang w:val="en-US" w:eastAsia="zh-CN"/>
        </w:rPr>
        <w:t>全年按规定更新购置公务用车0辆，其中：轿车0辆，金额0万元，越野车0辆、金额0万元，载客汽车0辆、金额0万元。截止2019年12月底，单位共有公务用车1辆，其中：轿车0辆、越野车1辆、载客汽车0辆、其他车辆0辆。</w:t>
      </w:r>
      <w:bookmarkStart w:id="76" w:name="_GoBack"/>
      <w:bookmarkEnd w:id="76"/>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000000"/>
          <w:sz w:val="32"/>
          <w:szCs w:val="32"/>
          <w:highlight w:val="none"/>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0.27</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2.85</w:t>
      </w:r>
      <w:r>
        <w:rPr>
          <w:rFonts w:ascii="仿宋_GB2312" w:eastAsia="仿宋_GB2312"/>
          <w:color w:val="000000"/>
          <w:sz w:val="32"/>
          <w:szCs w:val="32"/>
        </w:rPr>
        <w:t>%</w:t>
      </w:r>
      <w:r>
        <w:rPr>
          <w:rFonts w:hint="eastAsia" w:ascii="仿宋_GB2312" w:eastAsia="仿宋_GB2312"/>
          <w:color w:val="000000"/>
          <w:sz w:val="32"/>
          <w:szCs w:val="32"/>
        </w:rPr>
        <w:t>。主要原因是东西部扶贫对口援建</w:t>
      </w:r>
      <w:r>
        <w:rPr>
          <w:rFonts w:hint="eastAsia" w:ascii="仿宋_GB2312" w:eastAsia="仿宋_GB2312"/>
          <w:color w:val="000000"/>
          <w:sz w:val="32"/>
          <w:szCs w:val="32"/>
          <w:lang w:eastAsia="zh-CN"/>
        </w:rPr>
        <w:t>交流交往次数增加</w:t>
      </w:r>
      <w:r>
        <w:rPr>
          <w:rFonts w:hint="eastAsia" w:ascii="仿宋_GB2312" w:eastAsia="仿宋_GB2312"/>
          <w:color w:val="000000"/>
          <w:sz w:val="32"/>
          <w:szCs w:val="32"/>
        </w:rPr>
        <w:t>。主要用于执行公务、开展业务活动开支的交通费、住宿费、用餐费等。国内</w:t>
      </w:r>
      <w:r>
        <w:rPr>
          <w:rFonts w:hint="eastAsia" w:ascii="仿宋_GB2312" w:eastAsia="仿宋_GB2312"/>
          <w:color w:val="auto"/>
          <w:sz w:val="32"/>
          <w:szCs w:val="32"/>
          <w:highlight w:val="none"/>
        </w:rPr>
        <w:t>公务接待</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42</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0.27</w:t>
      </w:r>
      <w:r>
        <w:rPr>
          <w:rFonts w:hint="eastAsia" w:ascii="仿宋_GB2312" w:eastAsia="仿宋_GB2312"/>
          <w:color w:val="auto"/>
          <w:sz w:val="32"/>
          <w:szCs w:val="32"/>
          <w:highlight w:val="none"/>
        </w:rPr>
        <w:t>万元，具体内容包括：</w:t>
      </w:r>
      <w:r>
        <w:rPr>
          <w:rFonts w:hint="eastAsia" w:ascii="仿宋_GB2312" w:eastAsia="仿宋_GB2312"/>
          <w:color w:val="auto"/>
          <w:sz w:val="32"/>
          <w:szCs w:val="32"/>
          <w:highlight w:val="none"/>
          <w:lang w:eastAsia="zh-CN"/>
        </w:rPr>
        <w:t>对接东西部扶贫协作项目</w:t>
      </w:r>
      <w:r>
        <w:rPr>
          <w:rFonts w:hint="eastAsia" w:ascii="仿宋_GB2312" w:eastAsia="仿宋_GB2312"/>
          <w:color w:val="auto"/>
          <w:sz w:val="32"/>
          <w:szCs w:val="32"/>
          <w:highlight w:val="none"/>
        </w:rPr>
        <w:t>。</w:t>
      </w:r>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Style w:val="28"/>
          <w:rFonts w:ascii="仿宋" w:hAnsi="仿宋" w:eastAsia="仿宋"/>
          <w:b w:val="0"/>
          <w:bCs/>
          <w:color w:val="000000"/>
        </w:rPr>
      </w:pPr>
      <w:bookmarkStart w:id="48" w:name="_Toc15377218"/>
      <w:bookmarkStart w:id="49" w:name="_Toc15396610"/>
      <w:r>
        <w:rPr>
          <w:rFonts w:hint="eastAsia" w:ascii="黑体" w:eastAsia="黑体"/>
          <w:b w:val="0"/>
          <w:bCs w:val="0"/>
          <w:color w:val="000000"/>
        </w:rPr>
        <w:t>八、</w:t>
      </w:r>
      <w:r>
        <w:rPr>
          <w:rStyle w:val="28"/>
          <w:rFonts w:hint="eastAsia" w:ascii="黑体" w:hAnsi="黑体" w:eastAsia="黑体"/>
          <w:b w:val="0"/>
          <w:bCs/>
        </w:rPr>
        <w:t>政府性基金预算支出决算情况说明</w:t>
      </w:r>
      <w:bookmarkEnd w:id="48"/>
      <w:bookmarkEnd w:id="4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茂县发展和改革局</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222.92万元</w:t>
      </w:r>
      <w:r>
        <w:rPr>
          <w:rFonts w:hint="eastAsia" w:ascii="仿宋_GB2312" w:eastAsia="仿宋_GB2312"/>
          <w:color w:val="000000"/>
          <w:sz w:val="32"/>
          <w:szCs w:val="32"/>
        </w:rPr>
        <w:t>。</w:t>
      </w:r>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Style w:val="28"/>
          <w:rFonts w:ascii="黑体" w:hAnsi="黑体" w:eastAsia="黑体"/>
          <w:b w:val="0"/>
          <w:bCs/>
        </w:rPr>
      </w:pPr>
      <w:bookmarkStart w:id="50" w:name="_Toc15396611"/>
      <w:bookmarkStart w:id="51" w:name="_Toc15377219"/>
      <w:r>
        <w:rPr>
          <w:rStyle w:val="28"/>
          <w:rFonts w:hint="eastAsia" w:ascii="黑体" w:hAnsi="黑体" w:eastAsia="黑体"/>
          <w:b w:val="0"/>
          <w:bCs/>
        </w:rPr>
        <w:t>九、国有资本经营预算支出决算情况说明</w:t>
      </w:r>
      <w:bookmarkEnd w:id="50"/>
      <w:bookmarkEnd w:id="5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茂县发展和改革局</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年无国有资本经营预算拨款支出。</w:t>
      </w:r>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Style w:val="28"/>
          <w:rFonts w:ascii="黑体" w:hAnsi="黑体" w:eastAsia="黑体"/>
          <w:b w:val="0"/>
          <w:bCs/>
        </w:rPr>
      </w:pPr>
      <w:r>
        <w:rPr>
          <w:rStyle w:val="28"/>
          <w:rFonts w:hint="eastAsia" w:ascii="黑体" w:hAnsi="黑体" w:eastAsia="黑体"/>
          <w:b w:val="0"/>
          <w:bCs/>
        </w:rPr>
        <w:t>十、预算绩效情况说明</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仿宋" w:hAnsi="仿宋" w:eastAsia="仿宋" w:cs="楷体_GB2312"/>
          <w:b/>
          <w:bCs/>
          <w:sz w:val="32"/>
          <w:szCs w:val="32"/>
        </w:rPr>
      </w:pPr>
      <w:r>
        <w:rPr>
          <w:rStyle w:val="28"/>
          <w:rFonts w:hint="eastAsia" w:ascii="楷体" w:hAnsi="楷体" w:eastAsia="楷体" w:cs="楷体"/>
        </w:rPr>
        <w:t>（一）预算绩效管理工作开展情况</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根据预算绩效管理要求，本部门（单位）在年初预算编制阶段，组织对以工代赈项目开展了预算事前绩效评估，对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个项目开展了绩效目标完成情况梳理填报。</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kern w:val="44"/>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kern w:val="44"/>
          <w:sz w:val="32"/>
          <w:szCs w:val="32"/>
        </w:rPr>
        <w:t>我局按照年初工作计划和任务顺利组织实施了全县国民经济和社会发展战略、中长期规划和年度计划，统筹协调全县经济社会发展，研究分析宏观经济形势，提出全县经济社会发展、经济结构优化调控目标和政策建议，推动了全县投资宏观管理和协调推进重大项目的建设，推进可持续发展，协调全县节能减排，发展循环经济、能源资源节约，推动全县生态建设、环境保护、能源资源节约和综合利用等工作，较好的完成了绩效目标。</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 w:hAnsi="楷体" w:eastAsia="楷体" w:cs="楷体_GB2312"/>
          <w:b/>
          <w:bCs/>
          <w:sz w:val="32"/>
          <w:szCs w:val="32"/>
        </w:rPr>
      </w:pPr>
      <w:r>
        <w:rPr>
          <w:rFonts w:hint="eastAsia" w:ascii="楷体" w:hAnsi="楷体" w:eastAsia="楷体" w:cs="楷体_GB2312"/>
          <w:b/>
          <w:bCs/>
          <w:sz w:val="32"/>
          <w:szCs w:val="32"/>
        </w:rPr>
        <w:t>（二）项目绩效目标完成情况</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rPr>
        <w:t>茂县2019年财政预算内以工代赈项目于4月全部开工建设，并于10月完工3个项目，1各项目将于12月完成建设，当年任务当年完成。项目采取以工代赈发包（比选）、村民自建方式进行建设，完成石鼓村桥梁建设1座，静州村桥梁建设1座，洼底村道路硬化2.4公里、板桥8座，即将完成东兴镇亚坪村机耕道建设。完成项目投资</w:t>
      </w:r>
      <w:r>
        <w:rPr>
          <w:rFonts w:hint="eastAsia" w:ascii="仿宋_GB2312" w:hAnsi="仿宋_GB2312" w:eastAsia="仿宋_GB2312" w:cs="仿宋_GB2312"/>
          <w:kern w:val="44"/>
          <w:sz w:val="32"/>
          <w:szCs w:val="32"/>
          <w:lang w:val="en-US" w:eastAsia="zh-CN"/>
        </w:rPr>
        <w:t>381.25</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val="zh-CN"/>
        </w:rPr>
        <w:t>建设成本控制在了下达的投资计划范围内。</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 xml:space="preserve">四川省茂县2019年以工代赈示范工程正在建设中，今年完成投资250万元建设任务，2020年继续实施并完成桥梁建设。     </w:t>
      </w:r>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2019年以工代赈项目凤仪镇石鼓村桥梁</w:t>
      </w:r>
      <w:r>
        <w:rPr>
          <w:rFonts w:hint="eastAsia" w:ascii="仿宋_GB2312" w:hAnsi="仿宋_GB2312" w:eastAsia="仿宋_GB2312" w:cs="仿宋_GB2312"/>
          <w:sz w:val="32"/>
          <w:szCs w:val="32"/>
        </w:rPr>
        <w:t>建设项目绩效目标完成情况综述。项目全年预算数</w:t>
      </w:r>
      <w:r>
        <w:rPr>
          <w:rFonts w:hint="eastAsia" w:ascii="仿宋_GB2312" w:hAnsi="仿宋_GB2312" w:eastAsia="仿宋_GB2312" w:cs="仿宋_GB2312"/>
          <w:sz w:val="32"/>
          <w:szCs w:val="32"/>
          <w:lang w:val="en-US" w:eastAsia="zh-CN"/>
        </w:rPr>
        <w:t>49.09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49.09</w:t>
      </w:r>
      <w:r>
        <w:rPr>
          <w:rFonts w:hint="eastAsia" w:ascii="仿宋_GB2312" w:hAnsi="仿宋_GB2312" w:eastAsia="仿宋_GB2312" w:cs="仿宋_GB2312"/>
          <w:sz w:val="32"/>
          <w:szCs w:val="32"/>
        </w:rPr>
        <w:t>万元，完成预算的100%。通过项目实施，保障</w:t>
      </w:r>
      <w:r>
        <w:rPr>
          <w:rFonts w:hint="eastAsia" w:ascii="仿宋_GB2312" w:hAnsi="仿宋_GB2312" w:eastAsia="仿宋_GB2312" w:cs="仿宋_GB2312"/>
          <w:sz w:val="32"/>
          <w:szCs w:val="32"/>
          <w:lang w:eastAsia="zh-CN"/>
        </w:rPr>
        <w:t>和满足</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农用车辆</w:t>
      </w:r>
      <w:r>
        <w:rPr>
          <w:rFonts w:hint="eastAsia" w:ascii="仿宋_GB2312" w:hAnsi="仿宋_GB2312" w:eastAsia="仿宋_GB2312" w:cs="仿宋_GB2312"/>
          <w:sz w:val="32"/>
          <w:szCs w:val="32"/>
        </w:rPr>
        <w:t>农产品运输，</w:t>
      </w:r>
      <w:r>
        <w:rPr>
          <w:rFonts w:hint="eastAsia" w:ascii="仿宋_GB2312" w:hAnsi="仿宋_GB2312" w:eastAsia="仿宋_GB2312" w:cs="仿宋_GB2312"/>
          <w:sz w:val="32"/>
          <w:szCs w:val="32"/>
          <w:lang w:eastAsia="zh-CN"/>
        </w:rPr>
        <w:t>实现群众节约生产运输成本，</w:t>
      </w:r>
      <w:r>
        <w:rPr>
          <w:rFonts w:hint="eastAsia" w:ascii="仿宋_GB2312" w:hAnsi="仿宋_GB2312" w:eastAsia="仿宋_GB2312" w:cs="仿宋_GB2312"/>
          <w:sz w:val="32"/>
          <w:szCs w:val="32"/>
        </w:rPr>
        <w:t>帮助当地村民实现增收致富，</w:t>
      </w:r>
      <w:r>
        <w:rPr>
          <w:rFonts w:hint="eastAsia" w:ascii="仿宋_GB2312" w:hAnsi="仿宋_GB2312" w:eastAsia="仿宋_GB2312" w:cs="仿宋_GB2312"/>
          <w:sz w:val="32"/>
          <w:szCs w:val="32"/>
          <w:lang w:eastAsia="zh-CN"/>
        </w:rPr>
        <w:t>发挥增收持续效益</w:t>
      </w:r>
      <w:r>
        <w:rPr>
          <w:rFonts w:hint="eastAsia" w:ascii="仿宋_GB2312" w:hAnsi="仿宋_GB2312" w:eastAsia="仿宋_GB2312" w:cs="仿宋_GB2312"/>
          <w:sz w:val="32"/>
          <w:szCs w:val="32"/>
        </w:rPr>
        <w:t>。</w:t>
      </w:r>
    </w:p>
    <w:p>
      <w:pPr>
        <w:pageBreakBefore w:val="0"/>
        <w:widowControl w:val="0"/>
        <w:tabs>
          <w:tab w:val="left" w:pos="312"/>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2019年以工代赈项目凤仪镇静州村桥梁建设</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万元，完成预算的100%。通过项目实施，建设凤仪镇</w:t>
      </w:r>
      <w:r>
        <w:rPr>
          <w:rFonts w:hint="eastAsia" w:ascii="仿宋_GB2312" w:hAnsi="仿宋_GB2312" w:eastAsia="仿宋_GB2312" w:cs="仿宋_GB2312"/>
          <w:sz w:val="32"/>
          <w:szCs w:val="32"/>
          <w:lang w:eastAsia="zh-CN"/>
        </w:rPr>
        <w:t>静州</w:t>
      </w:r>
      <w:r>
        <w:rPr>
          <w:rFonts w:hint="eastAsia" w:ascii="仿宋_GB2312" w:hAnsi="仿宋_GB2312" w:eastAsia="仿宋_GB2312" w:cs="仿宋_GB2312"/>
          <w:sz w:val="32"/>
          <w:szCs w:val="32"/>
        </w:rPr>
        <w:t>村桥梁1座，长</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延米。通过项目实施，保障</w:t>
      </w:r>
      <w:r>
        <w:rPr>
          <w:rFonts w:hint="eastAsia" w:ascii="仿宋_GB2312" w:hAnsi="仿宋_GB2312" w:eastAsia="仿宋_GB2312" w:cs="仿宋_GB2312"/>
          <w:sz w:val="32"/>
          <w:szCs w:val="32"/>
          <w:lang w:eastAsia="zh-CN"/>
        </w:rPr>
        <w:t>和满足</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农用车辆</w:t>
      </w:r>
      <w:r>
        <w:rPr>
          <w:rFonts w:hint="eastAsia" w:ascii="仿宋_GB2312" w:hAnsi="仿宋_GB2312" w:eastAsia="仿宋_GB2312" w:cs="仿宋_GB2312"/>
          <w:sz w:val="32"/>
          <w:szCs w:val="32"/>
        </w:rPr>
        <w:t>农产品运输，</w:t>
      </w:r>
      <w:r>
        <w:rPr>
          <w:rFonts w:hint="eastAsia" w:ascii="仿宋_GB2312" w:hAnsi="仿宋_GB2312" w:eastAsia="仿宋_GB2312" w:cs="仿宋_GB2312"/>
          <w:sz w:val="32"/>
          <w:szCs w:val="32"/>
          <w:lang w:eastAsia="zh-CN"/>
        </w:rPr>
        <w:t>实现群众节约生产运输成本，</w:t>
      </w:r>
      <w:r>
        <w:rPr>
          <w:rFonts w:hint="eastAsia" w:ascii="仿宋_GB2312" w:hAnsi="仿宋_GB2312" w:eastAsia="仿宋_GB2312" w:cs="仿宋_GB2312"/>
          <w:sz w:val="32"/>
          <w:szCs w:val="32"/>
        </w:rPr>
        <w:t>帮助当地村民实现增收致富，</w:t>
      </w:r>
      <w:r>
        <w:rPr>
          <w:rFonts w:hint="eastAsia" w:ascii="仿宋_GB2312" w:hAnsi="仿宋_GB2312" w:eastAsia="仿宋_GB2312" w:cs="仿宋_GB2312"/>
          <w:sz w:val="32"/>
          <w:szCs w:val="32"/>
          <w:lang w:eastAsia="zh-CN"/>
        </w:rPr>
        <w:t>发挥增收持续效益</w:t>
      </w:r>
      <w:r>
        <w:rPr>
          <w:rFonts w:hint="eastAsia" w:ascii="仿宋_GB2312" w:hAnsi="仿宋_GB2312" w:eastAsia="仿宋_GB2312" w:cs="仿宋_GB2312"/>
          <w:sz w:val="32"/>
          <w:szCs w:val="32"/>
        </w:rPr>
        <w:t>。</w:t>
      </w:r>
    </w:p>
    <w:p>
      <w:pPr>
        <w:pageBreakBefore w:val="0"/>
        <w:widowControl w:val="0"/>
        <w:tabs>
          <w:tab w:val="left" w:pos="312"/>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2019年以工代赈项目东兴镇亚坪村机耕道建设项目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131.18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131.18</w:t>
      </w:r>
      <w:r>
        <w:rPr>
          <w:rFonts w:hint="eastAsia" w:ascii="仿宋_GB2312" w:hAnsi="仿宋_GB2312" w:eastAsia="仿宋_GB2312" w:cs="仿宋_GB2312"/>
          <w:sz w:val="32"/>
          <w:szCs w:val="32"/>
        </w:rPr>
        <w:t>万元，完成预算的100%。建设东兴镇亚坪村机耕道3.5公里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通过项目实施，既方便了当地群众农业生产运输，村民也在项目建设中参与务工获得了劳动报酬</w:t>
      </w:r>
      <w:r>
        <w:rPr>
          <w:rFonts w:hint="eastAsia" w:ascii="仿宋_GB2312" w:hAnsi="仿宋_GB2312" w:eastAsia="仿宋_GB2312" w:cs="仿宋_GB2312"/>
          <w:sz w:val="32"/>
          <w:szCs w:val="32"/>
          <w:lang w:eastAsia="zh-CN"/>
        </w:rPr>
        <w:t>，实现群众节约生产运输成本，</w:t>
      </w:r>
      <w:r>
        <w:rPr>
          <w:rFonts w:hint="eastAsia" w:ascii="仿宋_GB2312" w:hAnsi="仿宋_GB2312" w:eastAsia="仿宋_GB2312" w:cs="仿宋_GB2312"/>
          <w:sz w:val="32"/>
          <w:szCs w:val="32"/>
        </w:rPr>
        <w:t>帮助当地村民实现增收致富</w:t>
      </w:r>
      <w:r>
        <w:rPr>
          <w:rFonts w:hint="eastAsia" w:ascii="仿宋_GB2312" w:hAnsi="仿宋_GB2312" w:eastAsia="仿宋_GB2312" w:cs="仿宋_GB2312"/>
          <w:sz w:val="32"/>
          <w:szCs w:val="32"/>
          <w:lang w:eastAsia="zh-CN"/>
        </w:rPr>
        <w:t>。</w:t>
      </w:r>
    </w:p>
    <w:p>
      <w:pPr>
        <w:pageBreakBefore w:val="0"/>
        <w:widowControl w:val="0"/>
        <w:tabs>
          <w:tab w:val="left" w:pos="312"/>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2019年以工代赈项目洼底乡洼底村基础设施建设项目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186.98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186.98</w:t>
      </w:r>
      <w:r>
        <w:rPr>
          <w:rFonts w:hint="eastAsia" w:ascii="仿宋_GB2312" w:hAnsi="仿宋_GB2312" w:eastAsia="仿宋_GB2312" w:cs="仿宋_GB2312"/>
          <w:sz w:val="32"/>
          <w:szCs w:val="32"/>
        </w:rPr>
        <w:t>万元，完成预算的100%。建设洼底乡洼底村基础设施建设项目机耕道2.4公里，便桥及平板桥8座，共计43延米。通过项目实施，保障</w:t>
      </w:r>
      <w:r>
        <w:rPr>
          <w:rFonts w:hint="eastAsia" w:ascii="仿宋_GB2312" w:hAnsi="仿宋_GB2312" w:eastAsia="仿宋_GB2312" w:cs="仿宋_GB2312"/>
          <w:sz w:val="32"/>
          <w:szCs w:val="32"/>
          <w:lang w:eastAsia="zh-CN"/>
        </w:rPr>
        <w:t>和满足</w:t>
      </w:r>
      <w:r>
        <w:rPr>
          <w:rFonts w:hint="eastAsia" w:ascii="仿宋_GB2312" w:hAnsi="仿宋_GB2312" w:eastAsia="仿宋_GB2312" w:cs="仿宋_GB2312"/>
          <w:sz w:val="32"/>
          <w:szCs w:val="32"/>
        </w:rPr>
        <w:t>了</w:t>
      </w:r>
      <w:r>
        <w:rPr>
          <w:rFonts w:hint="eastAsia" w:ascii="仿宋_GB2312" w:hAnsi="仿宋_GB2312" w:eastAsia="仿宋_GB2312" w:cs="仿宋_GB2312"/>
          <w:sz w:val="32"/>
          <w:szCs w:val="32"/>
          <w:lang w:eastAsia="zh-CN"/>
        </w:rPr>
        <w:t>农用车辆</w:t>
      </w:r>
      <w:r>
        <w:rPr>
          <w:rFonts w:hint="eastAsia" w:ascii="仿宋_GB2312" w:hAnsi="仿宋_GB2312" w:eastAsia="仿宋_GB2312" w:cs="仿宋_GB2312"/>
          <w:sz w:val="32"/>
          <w:szCs w:val="32"/>
        </w:rPr>
        <w:t>农产品运输，</w:t>
      </w:r>
      <w:r>
        <w:rPr>
          <w:rFonts w:hint="eastAsia" w:ascii="仿宋_GB2312" w:hAnsi="仿宋_GB2312" w:eastAsia="仿宋_GB2312" w:cs="仿宋_GB2312"/>
          <w:sz w:val="32"/>
          <w:szCs w:val="32"/>
          <w:lang w:eastAsia="zh-CN"/>
        </w:rPr>
        <w:t>实现群众节约生产运输成本，</w:t>
      </w:r>
      <w:r>
        <w:rPr>
          <w:rFonts w:hint="eastAsia" w:ascii="仿宋_GB2312" w:hAnsi="仿宋_GB2312" w:eastAsia="仿宋_GB2312" w:cs="仿宋_GB2312"/>
          <w:sz w:val="32"/>
          <w:szCs w:val="32"/>
        </w:rPr>
        <w:t>帮助当地村民实现增收致富，</w:t>
      </w:r>
      <w:r>
        <w:rPr>
          <w:rFonts w:hint="eastAsia" w:ascii="仿宋_GB2312" w:hAnsi="仿宋_GB2312" w:eastAsia="仿宋_GB2312" w:cs="仿宋_GB2312"/>
          <w:sz w:val="32"/>
          <w:szCs w:val="32"/>
          <w:lang w:eastAsia="zh-CN"/>
        </w:rPr>
        <w:t>发挥增收持续效益</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p>
    <w:p>
      <w:pPr>
        <w:pStyle w:val="2"/>
        <w:rPr>
          <w:rFonts w:hint="eastAsia"/>
        </w:rPr>
      </w:pPr>
    </w:p>
    <w:p>
      <w:pPr>
        <w:rPr>
          <w:rFonts w:hint="eastAsia"/>
        </w:rPr>
      </w:pPr>
    </w:p>
    <w:p>
      <w:pPr>
        <w:pStyle w:val="2"/>
        <w:rPr>
          <w:rFonts w:hint="eastAsia"/>
        </w:rPr>
      </w:pPr>
    </w:p>
    <w:p>
      <w:pPr>
        <w:rPr>
          <w:rFonts w:hint="eastAsia" w:ascii="仿宋_GB2312" w:hAnsi="仿宋_GB2312" w:eastAsia="仿宋_GB2312" w:cs="仿宋_GB2312"/>
          <w:sz w:val="32"/>
          <w:szCs w:val="32"/>
        </w:rPr>
      </w:pPr>
    </w:p>
    <w:p>
      <w:pPr>
        <w:pStyle w:val="2"/>
        <w:rPr>
          <w:rFonts w:hint="eastAsia"/>
        </w:rPr>
      </w:pPr>
    </w:p>
    <w:p>
      <w:pPr>
        <w:pStyle w:val="2"/>
        <w:rPr>
          <w:rFonts w:hint="eastAsia"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761" w:type="dxa"/>
        <w:tblInd w:w="0" w:type="dxa"/>
        <w:tblLayout w:type="fixed"/>
        <w:tblCellMar>
          <w:top w:w="0" w:type="dxa"/>
          <w:left w:w="0" w:type="dxa"/>
          <w:bottom w:w="0" w:type="dxa"/>
          <w:right w:w="0" w:type="dxa"/>
        </w:tblCellMar>
      </w:tblPr>
      <w:tblGrid>
        <w:gridCol w:w="582"/>
        <w:gridCol w:w="993"/>
        <w:gridCol w:w="1207"/>
        <w:gridCol w:w="3187"/>
        <w:gridCol w:w="1599"/>
        <w:gridCol w:w="385"/>
        <w:gridCol w:w="1808"/>
      </w:tblGrid>
      <w:tr>
        <w:tblPrEx>
          <w:tblCellMar>
            <w:top w:w="0" w:type="dxa"/>
            <w:left w:w="0" w:type="dxa"/>
            <w:bottom w:w="0" w:type="dxa"/>
            <w:right w:w="0" w:type="dxa"/>
          </w:tblCellMar>
        </w:tblPrEx>
        <w:trPr>
          <w:trHeight w:val="1034" w:hRule="atLeast"/>
        </w:trPr>
        <w:tc>
          <w:tcPr>
            <w:tcW w:w="9761" w:type="dxa"/>
            <w:gridSpan w:val="7"/>
            <w:tcMar>
              <w:top w:w="15" w:type="dxa"/>
              <w:left w:w="15" w:type="dxa"/>
              <w:bottom w:w="0" w:type="dxa"/>
              <w:right w:w="15" w:type="dxa"/>
            </w:tcMar>
            <w:vAlign w:val="center"/>
          </w:tcPr>
          <w:p>
            <w:pPr>
              <w:widowControl/>
              <w:jc w:val="center"/>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41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2019年以工代赈项目凤仪镇石鼓村桥梁建设</w:t>
            </w:r>
          </w:p>
        </w:tc>
      </w:tr>
      <w:tr>
        <w:tblPrEx>
          <w:tblCellMar>
            <w:top w:w="0" w:type="dxa"/>
            <w:left w:w="0" w:type="dxa"/>
            <w:bottom w:w="0" w:type="dxa"/>
            <w:right w:w="0" w:type="dxa"/>
          </w:tblCellMar>
        </w:tblPrEx>
        <w:trPr>
          <w:trHeight w:val="49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茂县发展和改革局</w:t>
            </w:r>
          </w:p>
        </w:tc>
      </w:tr>
      <w:tr>
        <w:tblPrEx>
          <w:tblCellMar>
            <w:top w:w="0" w:type="dxa"/>
            <w:left w:w="0" w:type="dxa"/>
            <w:bottom w:w="0" w:type="dxa"/>
            <w:right w:w="0" w:type="dxa"/>
          </w:tblCellMar>
        </w:tblPrEx>
        <w:trPr>
          <w:trHeight w:val="448"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49.09</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49.09</w:t>
            </w:r>
          </w:p>
        </w:tc>
      </w:tr>
      <w:tr>
        <w:tblPrEx>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49.09</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49.09</w:t>
            </w:r>
          </w:p>
        </w:tc>
      </w:tr>
      <w:tr>
        <w:tblPrEx>
          <w:tblCellMar>
            <w:top w:w="0" w:type="dxa"/>
            <w:left w:w="0" w:type="dxa"/>
            <w:bottom w:w="0" w:type="dxa"/>
            <w:right w:w="0" w:type="dxa"/>
          </w:tblCellMar>
        </w:tblPrEx>
        <w:trPr>
          <w:trHeight w:val="60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7"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74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建设凤仪镇石鼓村桥梁1座，长18延米。</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建设凤仪镇石鼓村桥梁1座，长18延米。</w:t>
            </w: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产出指标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p>
            <w:pPr>
              <w:jc w:val="center"/>
              <w:textAlignment w:val="center"/>
              <w:rPr>
                <w:rFonts w:ascii="宋体" w:hAnsi="宋体" w:cs="宋体"/>
                <w:color w:val="000000"/>
                <w:sz w:val="24"/>
              </w:rPr>
            </w:pP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工程</w:t>
            </w:r>
            <w:r>
              <w:rPr>
                <w:rFonts w:hint="eastAsia" w:ascii="宋体" w:hAnsi="宋体" w:cs="宋体"/>
                <w:color w:val="000000"/>
                <w:sz w:val="24"/>
              </w:rPr>
              <w:t>验收合格</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default" w:ascii="宋体" w:hAnsi="宋体" w:eastAsia="宋体" w:cs="宋体"/>
                <w:color w:val="000000"/>
                <w:sz w:val="24"/>
                <w:lang w:val="en-US" w:eastAsia="zh-CN"/>
              </w:rPr>
            </w:pPr>
            <w:r>
              <w:rPr>
                <w:rFonts w:hint="eastAsia" w:ascii="宋体" w:hAnsi="宋体" w:cs="宋体"/>
                <w:color w:val="000000"/>
                <w:sz w:val="24"/>
              </w:rPr>
              <w:t>验收合格</w:t>
            </w:r>
            <w:r>
              <w:rPr>
                <w:rFonts w:hint="eastAsia" w:ascii="宋体" w:hAnsi="宋体" w:cs="宋体"/>
                <w:color w:val="000000"/>
                <w:sz w:val="24"/>
                <w:lang w:val="en-US" w:eastAsia="zh-CN"/>
              </w:rPr>
              <w:t>100%</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验收合格</w:t>
            </w:r>
          </w:p>
        </w:tc>
      </w:tr>
      <w:tr>
        <w:tblPrEx>
          <w:tblCellMar>
            <w:top w:w="0" w:type="dxa"/>
            <w:left w:w="0" w:type="dxa"/>
            <w:bottom w:w="0" w:type="dxa"/>
            <w:right w:w="0" w:type="dxa"/>
          </w:tblCellMar>
        </w:tblPrEx>
        <w:trPr>
          <w:trHeight w:val="57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当年</w:t>
            </w:r>
            <w:r>
              <w:rPr>
                <w:rFonts w:hint="eastAsia" w:ascii="宋体" w:hAnsi="宋体" w:cs="宋体"/>
                <w:color w:val="000000"/>
                <w:sz w:val="24"/>
              </w:rPr>
              <w:t>完成</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r>
      <w:tr>
        <w:tblPrEx>
          <w:tblCellMar>
            <w:top w:w="0" w:type="dxa"/>
            <w:left w:w="0" w:type="dxa"/>
            <w:bottom w:w="0" w:type="dxa"/>
            <w:right w:w="0" w:type="dxa"/>
          </w:tblCellMar>
        </w:tblPrEx>
        <w:trPr>
          <w:trHeight w:val="54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资金控制在投资金额范围内</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49.09</w:t>
            </w:r>
            <w:r>
              <w:rPr>
                <w:rFonts w:hint="eastAsia" w:ascii="宋体" w:hAnsi="宋体" w:cs="宋体"/>
                <w:color w:val="000000"/>
                <w:sz w:val="24"/>
              </w:rPr>
              <w:t>万元</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49.09</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增加了农民收入，贫困人口脱贫，巩固建档立卡贫困人口脱贫</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p>
            <w:pPr>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保护了两岸的生态环境</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73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桥梁满足农用车辆农产品运输及群众交通出行需要；机耕道实现群众节约生产运输成本，发挥增收持续效益</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0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val="en-US" w:eastAsia="zh-CN"/>
              </w:rPr>
              <w:t>凤仪镇石鼓村桥梁建设</w:t>
            </w:r>
            <w:r>
              <w:rPr>
                <w:rFonts w:hint="eastAsia" w:ascii="宋体" w:hAnsi="宋体" w:cs="宋体"/>
                <w:color w:val="000000"/>
                <w:sz w:val="24"/>
              </w:rPr>
              <w:t>项目群众满意</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r>
      <w:tr>
        <w:tblPrEx>
          <w:tblCellMar>
            <w:top w:w="0" w:type="dxa"/>
            <w:left w:w="0" w:type="dxa"/>
            <w:bottom w:w="0" w:type="dxa"/>
            <w:right w:w="0" w:type="dxa"/>
          </w:tblCellMar>
        </w:tblPrEx>
        <w:trPr>
          <w:trHeight w:val="1034" w:hRule="atLeast"/>
        </w:trPr>
        <w:tc>
          <w:tcPr>
            <w:tcW w:w="9761" w:type="dxa"/>
            <w:gridSpan w:val="7"/>
            <w:tcMar>
              <w:top w:w="15" w:type="dxa"/>
              <w:left w:w="15" w:type="dxa"/>
              <w:bottom w:w="0" w:type="dxa"/>
              <w:right w:w="15" w:type="dxa"/>
            </w:tcMar>
            <w:vAlign w:val="center"/>
          </w:tcPr>
          <w:p>
            <w:pPr>
              <w:widowControl/>
              <w:jc w:val="center"/>
              <w:textAlignment w:val="center"/>
              <w:rPr>
                <w:rFonts w:hint="eastAsia" w:ascii="黑体" w:hAnsi="黑体" w:eastAsia="黑体" w:cs="宋体"/>
                <w:bCs/>
                <w:color w:val="000000"/>
                <w:kern w:val="0"/>
                <w:sz w:val="36"/>
                <w:szCs w:val="36"/>
              </w:rPr>
            </w:pPr>
          </w:p>
          <w:p>
            <w:pPr>
              <w:widowControl/>
              <w:jc w:val="center"/>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41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2019年以工代赈项目凤仪镇静州村桥梁建设</w:t>
            </w:r>
          </w:p>
        </w:tc>
      </w:tr>
      <w:tr>
        <w:tblPrEx>
          <w:tblCellMar>
            <w:top w:w="0" w:type="dxa"/>
            <w:left w:w="0" w:type="dxa"/>
            <w:bottom w:w="0" w:type="dxa"/>
            <w:right w:w="0" w:type="dxa"/>
          </w:tblCellMar>
        </w:tblPrEx>
        <w:trPr>
          <w:trHeight w:val="49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茂县发展和改革局</w:t>
            </w:r>
          </w:p>
        </w:tc>
      </w:tr>
      <w:tr>
        <w:tblPrEx>
          <w:tblCellMar>
            <w:top w:w="0" w:type="dxa"/>
            <w:left w:w="0" w:type="dxa"/>
            <w:bottom w:w="0" w:type="dxa"/>
            <w:right w:w="0" w:type="dxa"/>
          </w:tblCellMar>
        </w:tblPrEx>
        <w:trPr>
          <w:trHeight w:val="448"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14</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14</w:t>
            </w:r>
          </w:p>
        </w:tc>
      </w:tr>
      <w:tr>
        <w:tblPrEx>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14</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14</w:t>
            </w:r>
          </w:p>
        </w:tc>
      </w:tr>
      <w:tr>
        <w:tblPrEx>
          <w:tblCellMar>
            <w:top w:w="0" w:type="dxa"/>
            <w:left w:w="0" w:type="dxa"/>
            <w:bottom w:w="0" w:type="dxa"/>
            <w:right w:w="0" w:type="dxa"/>
          </w:tblCellMar>
        </w:tblPrEx>
        <w:trPr>
          <w:trHeight w:val="60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7"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74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建设凤仪镇</w:t>
            </w:r>
            <w:r>
              <w:rPr>
                <w:rFonts w:hint="eastAsia" w:ascii="宋体" w:hAnsi="宋体" w:cs="宋体"/>
                <w:color w:val="000000"/>
                <w:sz w:val="24"/>
                <w:lang w:eastAsia="zh-CN"/>
              </w:rPr>
              <w:t>静州</w:t>
            </w:r>
            <w:r>
              <w:rPr>
                <w:rFonts w:hint="eastAsia" w:ascii="宋体" w:hAnsi="宋体" w:cs="宋体"/>
                <w:color w:val="000000"/>
                <w:sz w:val="24"/>
              </w:rPr>
              <w:t>村桥梁1座，长</w:t>
            </w:r>
            <w:r>
              <w:rPr>
                <w:rFonts w:hint="eastAsia" w:ascii="宋体" w:hAnsi="宋体" w:cs="宋体"/>
                <w:color w:val="000000"/>
                <w:sz w:val="24"/>
                <w:lang w:val="en-US" w:eastAsia="zh-CN"/>
              </w:rPr>
              <w:t>5</w:t>
            </w:r>
            <w:r>
              <w:rPr>
                <w:rFonts w:hint="eastAsia" w:ascii="宋体" w:hAnsi="宋体" w:cs="宋体"/>
                <w:color w:val="000000"/>
                <w:sz w:val="24"/>
              </w:rPr>
              <w:t>延米。</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建设凤仪镇</w:t>
            </w:r>
            <w:r>
              <w:rPr>
                <w:rFonts w:hint="eastAsia" w:ascii="宋体" w:hAnsi="宋体" w:cs="宋体"/>
                <w:color w:val="000000"/>
                <w:sz w:val="24"/>
                <w:lang w:eastAsia="zh-CN"/>
              </w:rPr>
              <w:t>静州</w:t>
            </w:r>
            <w:r>
              <w:rPr>
                <w:rFonts w:hint="eastAsia" w:ascii="宋体" w:hAnsi="宋体" w:cs="宋体"/>
                <w:color w:val="000000"/>
                <w:sz w:val="24"/>
              </w:rPr>
              <w:t>村桥梁1座，长</w:t>
            </w:r>
            <w:r>
              <w:rPr>
                <w:rFonts w:hint="eastAsia" w:ascii="宋体" w:hAnsi="宋体" w:cs="宋体"/>
                <w:color w:val="000000"/>
                <w:sz w:val="24"/>
                <w:lang w:val="en-US" w:eastAsia="zh-CN"/>
              </w:rPr>
              <w:t>5</w:t>
            </w:r>
            <w:r>
              <w:rPr>
                <w:rFonts w:hint="eastAsia" w:ascii="宋体" w:hAnsi="宋体" w:cs="宋体"/>
                <w:color w:val="000000"/>
                <w:sz w:val="24"/>
              </w:rPr>
              <w:t>延米。</w:t>
            </w: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产出指标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p>
            <w:pPr>
              <w:jc w:val="center"/>
              <w:textAlignment w:val="center"/>
              <w:rPr>
                <w:rFonts w:ascii="宋体" w:hAnsi="宋体" w:cs="宋体"/>
                <w:color w:val="000000"/>
                <w:sz w:val="24"/>
              </w:rPr>
            </w:pP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工程</w:t>
            </w:r>
            <w:r>
              <w:rPr>
                <w:rFonts w:hint="eastAsia" w:ascii="宋体" w:hAnsi="宋体" w:cs="宋体"/>
                <w:color w:val="000000"/>
                <w:sz w:val="24"/>
              </w:rPr>
              <w:t>验收合格</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default" w:ascii="宋体" w:hAnsi="宋体" w:eastAsia="宋体" w:cs="宋体"/>
                <w:color w:val="000000"/>
                <w:sz w:val="24"/>
                <w:lang w:val="en-US" w:eastAsia="zh-CN"/>
              </w:rPr>
            </w:pPr>
            <w:r>
              <w:rPr>
                <w:rFonts w:hint="eastAsia" w:ascii="宋体" w:hAnsi="宋体" w:cs="宋体"/>
                <w:color w:val="000000"/>
                <w:sz w:val="24"/>
              </w:rPr>
              <w:t>验收合格</w:t>
            </w:r>
            <w:r>
              <w:rPr>
                <w:rFonts w:hint="eastAsia" w:ascii="宋体" w:hAnsi="宋体" w:cs="宋体"/>
                <w:color w:val="000000"/>
                <w:sz w:val="24"/>
                <w:lang w:val="en-US" w:eastAsia="zh-CN"/>
              </w:rPr>
              <w:t>100%</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验收合格</w:t>
            </w:r>
          </w:p>
        </w:tc>
      </w:tr>
      <w:tr>
        <w:tblPrEx>
          <w:tblCellMar>
            <w:top w:w="0" w:type="dxa"/>
            <w:left w:w="0" w:type="dxa"/>
            <w:bottom w:w="0" w:type="dxa"/>
            <w:right w:w="0" w:type="dxa"/>
          </w:tblCellMar>
        </w:tblPrEx>
        <w:trPr>
          <w:trHeight w:val="57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当年</w:t>
            </w:r>
            <w:r>
              <w:rPr>
                <w:rFonts w:hint="eastAsia" w:ascii="宋体" w:hAnsi="宋体" w:cs="宋体"/>
                <w:color w:val="000000"/>
                <w:sz w:val="24"/>
              </w:rPr>
              <w:t>完成</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r>
      <w:tr>
        <w:tblPrEx>
          <w:tblCellMar>
            <w:top w:w="0" w:type="dxa"/>
            <w:left w:w="0" w:type="dxa"/>
            <w:bottom w:w="0" w:type="dxa"/>
            <w:right w:w="0" w:type="dxa"/>
          </w:tblCellMar>
        </w:tblPrEx>
        <w:trPr>
          <w:trHeight w:val="54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资金控制在投资金额范围内</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14</w:t>
            </w:r>
            <w:r>
              <w:rPr>
                <w:rFonts w:hint="eastAsia" w:ascii="宋体" w:hAnsi="宋体" w:cs="宋体"/>
                <w:color w:val="000000"/>
                <w:sz w:val="24"/>
              </w:rPr>
              <w:t>万元</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14</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增加了农民收入，贫困人口脱贫，巩固建档立卡贫困人口脱贫</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p>
            <w:pPr>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保护了两岸的生态环境</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73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桥梁满足农用车辆农产品运输及群众交通出行需要；机耕道实现群众节约生产运输成本，发挥增收持续效益</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0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val="en-US" w:eastAsia="zh-CN"/>
              </w:rPr>
              <w:t>凤仪镇静州村桥梁建设</w:t>
            </w:r>
            <w:r>
              <w:rPr>
                <w:rFonts w:hint="eastAsia" w:ascii="宋体" w:hAnsi="宋体" w:cs="宋体"/>
                <w:color w:val="000000"/>
                <w:sz w:val="24"/>
              </w:rPr>
              <w:t>项目群众满意</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r>
      <w:tr>
        <w:tblPrEx>
          <w:tblCellMar>
            <w:top w:w="0" w:type="dxa"/>
            <w:left w:w="0" w:type="dxa"/>
            <w:bottom w:w="0" w:type="dxa"/>
            <w:right w:w="0" w:type="dxa"/>
          </w:tblCellMar>
        </w:tblPrEx>
        <w:trPr>
          <w:trHeight w:val="1034" w:hRule="atLeast"/>
        </w:trPr>
        <w:tc>
          <w:tcPr>
            <w:tcW w:w="9761" w:type="dxa"/>
            <w:gridSpan w:val="7"/>
            <w:tcMar>
              <w:top w:w="15" w:type="dxa"/>
              <w:left w:w="15" w:type="dxa"/>
              <w:bottom w:w="0" w:type="dxa"/>
              <w:right w:w="15" w:type="dxa"/>
            </w:tcMar>
            <w:vAlign w:val="center"/>
          </w:tcPr>
          <w:p>
            <w:pPr>
              <w:widowControl/>
              <w:jc w:val="center"/>
              <w:textAlignment w:val="center"/>
              <w:rPr>
                <w:rFonts w:hint="eastAsia" w:ascii="黑体" w:hAnsi="黑体" w:eastAsia="黑体" w:cs="宋体"/>
                <w:bCs/>
                <w:color w:val="000000"/>
                <w:kern w:val="0"/>
                <w:sz w:val="36"/>
                <w:szCs w:val="36"/>
              </w:rPr>
            </w:pPr>
          </w:p>
          <w:p>
            <w:pPr>
              <w:widowControl/>
              <w:jc w:val="center"/>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41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2019年以工代赈项目东兴镇亚坪村机耕道建设</w:t>
            </w:r>
          </w:p>
        </w:tc>
      </w:tr>
      <w:tr>
        <w:tblPrEx>
          <w:tblCellMar>
            <w:top w:w="0" w:type="dxa"/>
            <w:left w:w="0" w:type="dxa"/>
            <w:bottom w:w="0" w:type="dxa"/>
            <w:right w:w="0" w:type="dxa"/>
          </w:tblCellMar>
        </w:tblPrEx>
        <w:trPr>
          <w:trHeight w:val="49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茂县发展和改革局</w:t>
            </w:r>
          </w:p>
        </w:tc>
      </w:tr>
      <w:tr>
        <w:tblPrEx>
          <w:tblCellMar>
            <w:top w:w="0" w:type="dxa"/>
            <w:left w:w="0" w:type="dxa"/>
            <w:bottom w:w="0" w:type="dxa"/>
            <w:right w:w="0" w:type="dxa"/>
          </w:tblCellMar>
        </w:tblPrEx>
        <w:trPr>
          <w:trHeight w:val="448"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131.18</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131.18</w:t>
            </w:r>
          </w:p>
        </w:tc>
      </w:tr>
      <w:tr>
        <w:tblPrEx>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131.18</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131.18</w:t>
            </w:r>
          </w:p>
        </w:tc>
      </w:tr>
      <w:tr>
        <w:tblPrEx>
          <w:tblCellMar>
            <w:top w:w="0" w:type="dxa"/>
            <w:left w:w="0" w:type="dxa"/>
            <w:bottom w:w="0" w:type="dxa"/>
            <w:right w:w="0" w:type="dxa"/>
          </w:tblCellMar>
        </w:tblPrEx>
        <w:trPr>
          <w:trHeight w:val="60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7"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74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建设东兴镇亚坪村机耕道3.5公里</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建设东兴镇亚坪村机耕道3.5公里</w:t>
            </w: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产出指标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p>
            <w:pPr>
              <w:jc w:val="center"/>
              <w:textAlignment w:val="center"/>
              <w:rPr>
                <w:rFonts w:ascii="宋体" w:hAnsi="宋体" w:cs="宋体"/>
                <w:color w:val="000000"/>
                <w:sz w:val="24"/>
              </w:rPr>
            </w:pP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工程</w:t>
            </w:r>
            <w:r>
              <w:rPr>
                <w:rFonts w:hint="eastAsia" w:ascii="宋体" w:hAnsi="宋体" w:cs="宋体"/>
                <w:color w:val="000000"/>
                <w:sz w:val="24"/>
              </w:rPr>
              <w:t>验收合格</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default" w:ascii="宋体" w:hAnsi="宋体" w:eastAsia="宋体" w:cs="宋体"/>
                <w:color w:val="000000"/>
                <w:sz w:val="24"/>
                <w:lang w:val="en-US" w:eastAsia="zh-CN"/>
              </w:rPr>
            </w:pPr>
            <w:r>
              <w:rPr>
                <w:rFonts w:hint="eastAsia" w:ascii="宋体" w:hAnsi="宋体" w:cs="宋体"/>
                <w:color w:val="000000"/>
                <w:sz w:val="24"/>
              </w:rPr>
              <w:t>验收合格</w:t>
            </w:r>
            <w:r>
              <w:rPr>
                <w:rFonts w:hint="eastAsia" w:ascii="宋体" w:hAnsi="宋体" w:cs="宋体"/>
                <w:color w:val="000000"/>
                <w:sz w:val="24"/>
                <w:lang w:val="en-US" w:eastAsia="zh-CN"/>
              </w:rPr>
              <w:t>100%</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验收合格</w:t>
            </w:r>
          </w:p>
        </w:tc>
      </w:tr>
      <w:tr>
        <w:tblPrEx>
          <w:tblCellMar>
            <w:top w:w="0" w:type="dxa"/>
            <w:left w:w="0" w:type="dxa"/>
            <w:bottom w:w="0" w:type="dxa"/>
            <w:right w:w="0" w:type="dxa"/>
          </w:tblCellMar>
        </w:tblPrEx>
        <w:trPr>
          <w:trHeight w:val="57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当年</w:t>
            </w:r>
            <w:r>
              <w:rPr>
                <w:rFonts w:hint="eastAsia" w:ascii="宋体" w:hAnsi="宋体" w:cs="宋体"/>
                <w:color w:val="000000"/>
                <w:sz w:val="24"/>
              </w:rPr>
              <w:t>完成</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r>
      <w:tr>
        <w:tblPrEx>
          <w:tblCellMar>
            <w:top w:w="0" w:type="dxa"/>
            <w:left w:w="0" w:type="dxa"/>
            <w:bottom w:w="0" w:type="dxa"/>
            <w:right w:w="0" w:type="dxa"/>
          </w:tblCellMar>
        </w:tblPrEx>
        <w:trPr>
          <w:trHeight w:val="54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资金控制在投资金额范围内</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131.18</w:t>
            </w:r>
            <w:r>
              <w:rPr>
                <w:rFonts w:hint="eastAsia" w:ascii="宋体" w:hAnsi="宋体" w:cs="宋体"/>
                <w:color w:val="000000"/>
                <w:sz w:val="24"/>
              </w:rPr>
              <w:t>万元</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完</w:t>
            </w:r>
            <w:r>
              <w:rPr>
                <w:rFonts w:hint="eastAsia" w:ascii="宋体" w:hAnsi="宋体" w:cs="宋体"/>
                <w:color w:val="000000"/>
                <w:sz w:val="24"/>
              </w:rPr>
              <w:t>成投资</w:t>
            </w:r>
            <w:r>
              <w:rPr>
                <w:rFonts w:hint="eastAsia" w:ascii="宋体" w:hAnsi="宋体" w:cs="宋体"/>
                <w:color w:val="000000"/>
                <w:sz w:val="24"/>
                <w:lang w:val="en-US" w:eastAsia="zh-CN"/>
              </w:rPr>
              <w:t>131.18</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增加了农民收入，贫困人口脱贫，巩固建档立卡贫困人口脱贫</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≥14人</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≥14人</w:t>
            </w: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p>
            <w:pPr>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保护了两岸的生态环境</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73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桥梁满足农用车辆农产品运输及群众交通出行需要；机耕道实现群众节约生产运输成本，发挥增收持续效益</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0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东兴镇亚坪村机耕道</w:t>
            </w:r>
            <w:r>
              <w:rPr>
                <w:rFonts w:hint="eastAsia" w:ascii="宋体" w:hAnsi="宋体" w:cs="宋体"/>
                <w:color w:val="000000"/>
                <w:sz w:val="24"/>
                <w:lang w:val="en-US" w:eastAsia="zh-CN"/>
              </w:rPr>
              <w:t>建设</w:t>
            </w:r>
            <w:r>
              <w:rPr>
                <w:rFonts w:hint="eastAsia" w:ascii="宋体" w:hAnsi="宋体" w:cs="宋体"/>
                <w:color w:val="000000"/>
                <w:sz w:val="24"/>
              </w:rPr>
              <w:t>项目群众满意</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r>
      <w:tr>
        <w:tblPrEx>
          <w:tblCellMar>
            <w:top w:w="0" w:type="dxa"/>
            <w:left w:w="0" w:type="dxa"/>
            <w:bottom w:w="0" w:type="dxa"/>
            <w:right w:w="0" w:type="dxa"/>
          </w:tblCellMar>
        </w:tblPrEx>
        <w:trPr>
          <w:trHeight w:val="1034" w:hRule="atLeast"/>
        </w:trPr>
        <w:tc>
          <w:tcPr>
            <w:tcW w:w="9761" w:type="dxa"/>
            <w:gridSpan w:val="7"/>
            <w:tcMar>
              <w:top w:w="15" w:type="dxa"/>
              <w:left w:w="15" w:type="dxa"/>
              <w:bottom w:w="0" w:type="dxa"/>
              <w:right w:w="15" w:type="dxa"/>
            </w:tcMar>
            <w:vAlign w:val="center"/>
          </w:tcPr>
          <w:p>
            <w:pPr>
              <w:widowControl/>
              <w:jc w:val="center"/>
              <w:textAlignment w:val="center"/>
              <w:rPr>
                <w:rFonts w:hint="eastAsia" w:ascii="黑体" w:hAnsi="黑体" w:eastAsia="黑体" w:cs="宋体"/>
                <w:bCs/>
                <w:color w:val="000000"/>
                <w:kern w:val="0"/>
                <w:sz w:val="36"/>
                <w:szCs w:val="36"/>
              </w:rPr>
            </w:pPr>
          </w:p>
          <w:p>
            <w:pPr>
              <w:widowControl/>
              <w:jc w:val="center"/>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41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2019年以工代赈项目洼底乡洼底村基础设施建设</w:t>
            </w:r>
          </w:p>
        </w:tc>
      </w:tr>
      <w:tr>
        <w:tblPrEx>
          <w:tblCellMar>
            <w:top w:w="0" w:type="dxa"/>
            <w:left w:w="0" w:type="dxa"/>
            <w:bottom w:w="0" w:type="dxa"/>
            <w:right w:w="0" w:type="dxa"/>
          </w:tblCellMar>
        </w:tblPrEx>
        <w:trPr>
          <w:trHeight w:val="49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7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茂县发展和改革局</w:t>
            </w:r>
          </w:p>
        </w:tc>
      </w:tr>
      <w:tr>
        <w:tblPrEx>
          <w:tblCellMar>
            <w:top w:w="0" w:type="dxa"/>
            <w:left w:w="0" w:type="dxa"/>
            <w:bottom w:w="0" w:type="dxa"/>
            <w:right w:w="0" w:type="dxa"/>
          </w:tblCellMar>
        </w:tblPrEx>
        <w:trPr>
          <w:trHeight w:val="448"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186.98</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186.98</w:t>
            </w:r>
          </w:p>
        </w:tc>
      </w:tr>
      <w:tr>
        <w:tblPrEx>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186.98</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186.98</w:t>
            </w:r>
          </w:p>
        </w:tc>
      </w:tr>
      <w:tr>
        <w:tblPrEx>
          <w:tblCellMar>
            <w:top w:w="0" w:type="dxa"/>
            <w:left w:w="0" w:type="dxa"/>
            <w:bottom w:w="0" w:type="dxa"/>
            <w:right w:w="0" w:type="dxa"/>
          </w:tblCellMar>
        </w:tblPrEx>
        <w:trPr>
          <w:trHeight w:val="60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7"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748"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3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建设洼底乡洼底村基础设施建设项目机耕道2.4公里，便桥及平板桥8座，共计43延米。</w:t>
            </w:r>
          </w:p>
        </w:tc>
        <w:tc>
          <w:tcPr>
            <w:tcW w:w="379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建设洼底乡洼底村基础设施建设项目机耕道2.4公里，便桥及平板桥8座，共计43延米。</w:t>
            </w: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20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产出指标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p>
            <w:pPr>
              <w:jc w:val="center"/>
              <w:textAlignment w:val="center"/>
              <w:rPr>
                <w:rFonts w:ascii="宋体" w:hAnsi="宋体" w:cs="宋体"/>
                <w:color w:val="000000"/>
                <w:sz w:val="24"/>
              </w:rPr>
            </w:pP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工程</w:t>
            </w:r>
            <w:r>
              <w:rPr>
                <w:rFonts w:hint="eastAsia" w:ascii="宋体" w:hAnsi="宋体" w:cs="宋体"/>
                <w:color w:val="000000"/>
                <w:sz w:val="24"/>
              </w:rPr>
              <w:t>验收合格</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default" w:ascii="宋体" w:hAnsi="宋体" w:eastAsia="宋体" w:cs="宋体"/>
                <w:color w:val="000000"/>
                <w:sz w:val="24"/>
                <w:lang w:val="en-US" w:eastAsia="zh-CN"/>
              </w:rPr>
            </w:pPr>
            <w:r>
              <w:rPr>
                <w:rFonts w:hint="eastAsia" w:ascii="宋体" w:hAnsi="宋体" w:cs="宋体"/>
                <w:color w:val="000000"/>
                <w:sz w:val="24"/>
              </w:rPr>
              <w:t>验收合格</w:t>
            </w:r>
            <w:r>
              <w:rPr>
                <w:rFonts w:hint="eastAsia" w:ascii="宋体" w:hAnsi="宋体" w:cs="宋体"/>
                <w:color w:val="000000"/>
                <w:sz w:val="24"/>
                <w:lang w:val="en-US" w:eastAsia="zh-CN"/>
              </w:rPr>
              <w:t>100%</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验收合格</w:t>
            </w:r>
          </w:p>
        </w:tc>
      </w:tr>
      <w:tr>
        <w:tblPrEx>
          <w:tblCellMar>
            <w:top w:w="0" w:type="dxa"/>
            <w:left w:w="0" w:type="dxa"/>
            <w:bottom w:w="0" w:type="dxa"/>
            <w:right w:w="0" w:type="dxa"/>
          </w:tblCellMar>
        </w:tblPrEx>
        <w:trPr>
          <w:trHeight w:val="57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eastAsia="zh-CN"/>
              </w:rPr>
              <w:t>当年</w:t>
            </w:r>
            <w:r>
              <w:rPr>
                <w:rFonts w:hint="eastAsia" w:ascii="宋体" w:hAnsi="宋体" w:cs="宋体"/>
                <w:color w:val="000000"/>
                <w:sz w:val="24"/>
              </w:rPr>
              <w:t>完成</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年完成</w:t>
            </w:r>
          </w:p>
        </w:tc>
      </w:tr>
      <w:tr>
        <w:tblPrEx>
          <w:tblCellMar>
            <w:top w:w="0" w:type="dxa"/>
            <w:left w:w="0" w:type="dxa"/>
            <w:bottom w:w="0" w:type="dxa"/>
            <w:right w:w="0" w:type="dxa"/>
          </w:tblCellMar>
        </w:tblPrEx>
        <w:trPr>
          <w:trHeight w:val="545"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资金控制在投资金额范围内</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186.98</w:t>
            </w:r>
            <w:r>
              <w:rPr>
                <w:rFonts w:hint="eastAsia" w:ascii="宋体" w:hAnsi="宋体" w:cs="宋体"/>
                <w:color w:val="000000"/>
                <w:sz w:val="24"/>
              </w:rPr>
              <w:t>万元</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完成投资</w:t>
            </w:r>
            <w:r>
              <w:rPr>
                <w:rFonts w:hint="eastAsia" w:ascii="宋体" w:hAnsi="宋体" w:cs="宋体"/>
                <w:color w:val="000000"/>
                <w:sz w:val="24"/>
                <w:lang w:val="en-US" w:eastAsia="zh-CN"/>
              </w:rPr>
              <w:t>186.98</w:t>
            </w:r>
            <w:r>
              <w:rPr>
                <w:rFonts w:hint="eastAsia" w:ascii="宋体" w:hAnsi="宋体" w:cs="宋体"/>
                <w:color w:val="000000"/>
                <w:sz w:val="24"/>
              </w:rPr>
              <w:t>万元</w:t>
            </w: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增加了农民收入，贫困人口脱贫，巩固建档立卡贫困人口脱贫</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≥7人</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≥7人</w:t>
            </w: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p>
            <w:pPr>
              <w:jc w:val="center"/>
              <w:textAlignment w:val="center"/>
              <w:rPr>
                <w:rFonts w:ascii="宋体" w:hAnsi="宋体" w:cs="宋体"/>
                <w:color w:val="00000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保护了两岸的生态环境</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73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207" w:type="dxa"/>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桥梁满足农用车辆农产品运输及群众交通出行需要；机耕道实现群众节约生产运输成本，发挥增收持续效益</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能满足当地群众生产需要</w:t>
            </w: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993"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20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服务对象满意度指标</w:t>
            </w:r>
          </w:p>
        </w:tc>
        <w:tc>
          <w:tcPr>
            <w:tcW w:w="318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lang w:val="en-US" w:eastAsia="zh-CN"/>
              </w:rPr>
              <w:t>洼底乡洼底村基础设施建设</w:t>
            </w:r>
            <w:r>
              <w:rPr>
                <w:rFonts w:hint="eastAsia" w:ascii="宋体" w:hAnsi="宋体" w:cs="宋体"/>
                <w:color w:val="000000"/>
                <w:sz w:val="24"/>
              </w:rPr>
              <w:t>项目群众满意</w:t>
            </w:r>
          </w:p>
        </w:tc>
        <w:tc>
          <w:tcPr>
            <w:tcW w:w="198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c>
          <w:tcPr>
            <w:tcW w:w="18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r>
              <w:rPr>
                <w:rFonts w:hint="eastAsia" w:ascii="宋体" w:hAnsi="宋体" w:cs="宋体"/>
                <w:color w:val="000000"/>
                <w:sz w:val="24"/>
                <w:lang w:eastAsia="zh-CN"/>
              </w:rPr>
              <w:t>度达到</w:t>
            </w:r>
            <w:r>
              <w:rPr>
                <w:rFonts w:hint="eastAsia" w:ascii="宋体" w:hAnsi="宋体" w:cs="宋体"/>
                <w:color w:val="000000"/>
                <w:sz w:val="24"/>
                <w:lang w:val="en-US" w:eastAsia="zh-CN"/>
              </w:rPr>
              <w:t>95%以上</w:t>
            </w:r>
          </w:p>
        </w:tc>
      </w:tr>
    </w:tbl>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cs="仿宋_GB2312"/>
          <w:sz w:val="32"/>
          <w:szCs w:val="32"/>
        </w:rPr>
      </w:pPr>
      <w:r>
        <w:rPr>
          <w:rStyle w:val="28"/>
          <w:rFonts w:hint="eastAsia" w:ascii="楷体" w:hAnsi="楷体" w:eastAsia="楷体" w:cs="楷体"/>
        </w:rPr>
        <w:t>（四）部门开展绩效评价结果</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年部门整体支出绩效评价情况开展自评，《茂县发展和改革局201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ascii="黑体" w:hAnsi="黑体" w:eastAsia="黑体"/>
          <w:color w:val="000000"/>
          <w:sz w:val="32"/>
          <w:szCs w:val="32"/>
        </w:rPr>
      </w:pPr>
      <w:bookmarkStart w:id="52" w:name="_Toc15377221"/>
      <w:bookmarkStart w:id="53" w:name="_Toc15396612"/>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8"/>
          <w:rFonts w:ascii="黑体" w:hAnsi="黑体" w:eastAsia="黑体"/>
          <w:b w:val="0"/>
          <w:bCs/>
        </w:rPr>
      </w:pPr>
      <w:r>
        <w:rPr>
          <w:rFonts w:hint="eastAsia" w:ascii="黑体" w:hAnsi="黑体" w:eastAsia="黑体"/>
          <w:b w:val="0"/>
          <w:bCs/>
          <w:color w:val="000000"/>
          <w:sz w:val="32"/>
          <w:szCs w:val="32"/>
        </w:rPr>
        <w:t>十</w:t>
      </w:r>
      <w:r>
        <w:rPr>
          <w:rStyle w:val="28"/>
          <w:rFonts w:hint="eastAsia" w:ascii="黑体" w:hAnsi="黑体" w:eastAsia="黑体"/>
          <w:b w:val="0"/>
          <w:bCs/>
        </w:rPr>
        <w:t>一、其他重要事项的情况说明</w:t>
      </w:r>
      <w:bookmarkEnd w:id="52"/>
      <w:bookmarkEnd w:id="53"/>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Style w:val="28"/>
          <w:rFonts w:ascii="楷体" w:hAnsi="楷体" w:eastAsia="楷体" w:cs="楷体"/>
        </w:rPr>
      </w:pPr>
      <w:bookmarkStart w:id="54" w:name="_Toc15377222"/>
      <w:r>
        <w:rPr>
          <w:rStyle w:val="28"/>
          <w:rFonts w:hint="eastAsia" w:ascii="楷体" w:hAnsi="楷体" w:eastAsia="楷体" w:cs="楷体"/>
        </w:rPr>
        <w:t>（一）机关运行经费支出情况</w:t>
      </w:r>
      <w:bookmarkEnd w:id="54"/>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themeColor="text1"/>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年，茂县发展和改革局机关运行经费支出</w:t>
      </w:r>
      <w:r>
        <w:rPr>
          <w:rFonts w:hint="eastAsia" w:ascii="仿宋_GB2312" w:hAnsi="仿宋_GB2312" w:eastAsia="仿宋_GB2312" w:cs="仿宋_GB2312"/>
          <w:sz w:val="32"/>
          <w:szCs w:val="32"/>
          <w:lang w:val="en-US" w:eastAsia="zh-CN"/>
        </w:rPr>
        <w:t>60.03</w:t>
      </w:r>
      <w:r>
        <w:rPr>
          <w:rFonts w:hint="eastAsia" w:ascii="仿宋_GB2312" w:hAnsi="仿宋_GB2312" w:eastAsia="仿宋_GB2312" w:cs="仿宋_GB2312"/>
          <w:sz w:val="32"/>
          <w:szCs w:val="32"/>
        </w:rPr>
        <w:t>万</w:t>
      </w:r>
      <w:r>
        <w:rPr>
          <w:rFonts w:hint="eastAsia" w:ascii="仿宋_GB2312" w:eastAsia="仿宋_GB2312"/>
          <w:color w:val="000000"/>
          <w:sz w:val="32"/>
          <w:szCs w:val="32"/>
        </w:rPr>
        <w:t>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45.57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314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sz w:val="32"/>
          <w:szCs w:val="32"/>
          <w:lang w:eastAsia="zh-CN"/>
        </w:rPr>
        <w:t>项目前期工作和对口援建交流交往工作的增加</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color w:val="000000"/>
          <w:sz w:val="32"/>
          <w:szCs w:val="32"/>
        </w:rPr>
      </w:pPr>
      <w:bookmarkStart w:id="55" w:name="_Toc15377223"/>
      <w:r>
        <w:rPr>
          <w:rStyle w:val="28"/>
          <w:rFonts w:hint="eastAsia" w:ascii="楷体" w:hAnsi="楷体" w:eastAsia="楷体" w:cs="楷体"/>
        </w:rPr>
        <w:t>（二）政府采购支出情况</w:t>
      </w:r>
      <w:bookmarkEnd w:id="55"/>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年茂县发展和改革局无政府采购支出。</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color w:val="000000"/>
          <w:sz w:val="32"/>
          <w:szCs w:val="32"/>
        </w:rPr>
      </w:pPr>
      <w:bookmarkStart w:id="56" w:name="_Toc15377224"/>
      <w:r>
        <w:rPr>
          <w:rStyle w:val="28"/>
          <w:rFonts w:hint="eastAsia" w:ascii="楷体" w:hAnsi="楷体" w:eastAsia="楷体" w:cs="楷体"/>
        </w:rPr>
        <w:t>（三）国有资产占有使用情况</w:t>
      </w:r>
      <w:bookmarkEnd w:id="56"/>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日，茂县发展和改革局共有车辆1辆，其中：部级领导干部用车0辆、一般公务用车1辆、一般执法执勤用车0辆、特种专业技术用车0辆、其他用车0辆，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600" w:lineRule="exact"/>
        <w:ind w:firstLine="1980" w:firstLineChars="450"/>
        <w:outlineLvl w:val="0"/>
        <w:rPr>
          <w:rStyle w:val="27"/>
          <w:rFonts w:eastAsia="黑体" w:asciiTheme="majorHAnsi" w:hAnsiTheme="majorHAnsi"/>
          <w:b w:val="0"/>
        </w:rPr>
      </w:pPr>
      <w:bookmarkStart w:id="57" w:name="_Toc15396613"/>
      <w:bookmarkStart w:id="58" w:name="_Toc15377225"/>
      <w:r>
        <w:rPr>
          <w:rFonts w:hint="eastAsia" w:ascii="方正小标宋简体" w:hAnsi="宋体" w:eastAsia="方正小标宋简体"/>
          <w:color w:val="000000"/>
          <w:sz w:val="44"/>
          <w:szCs w:val="44"/>
        </w:rPr>
        <w:t xml:space="preserve">第三部分 </w:t>
      </w:r>
      <w:r>
        <w:rPr>
          <w:rFonts w:ascii="方正小标宋简体" w:hAnsi="宋体" w:eastAsia="方正小标宋简体"/>
          <w:color w:val="000000"/>
          <w:sz w:val="44"/>
          <w:szCs w:val="44"/>
        </w:rPr>
        <w:t>名</w:t>
      </w:r>
      <w:r>
        <w:rPr>
          <w:rFonts w:hint="eastAsia" w:ascii="方正小标宋简体" w:hAnsi="宋体" w:eastAsia="方正小标宋简体"/>
          <w:color w:val="000000"/>
          <w:sz w:val="44"/>
          <w:szCs w:val="44"/>
        </w:rPr>
        <w:t>词解释</w:t>
      </w:r>
      <w:bookmarkEnd w:id="57"/>
      <w:bookmarkEnd w:id="58"/>
    </w:p>
    <w:p>
      <w:pPr>
        <w:spacing w:line="600" w:lineRule="exact"/>
        <w:rPr>
          <w:rFonts w:ascii="宋体"/>
          <w:b/>
          <w:color w:val="000000"/>
          <w:sz w:val="44"/>
          <w:szCs w:val="44"/>
        </w:rPr>
      </w:pP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jc w:val="both"/>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9.一般公共服务（类）发展与改革事务（款）行政运行（项）：指行政单位的基本支出。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10.一般公共服务（类）发展与改革事务（款）事业运行（项）：指事业单位的基本支出。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11.社会保障和就业（类）行政事业单位离退休（款）机关事业单位基本养老保险缴费（项）：指机关事业单位基本养老保险缴费支出。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12.社会保障和就业（类）行政事业单位离退休（款）机关事业单位职业年金缴费（项）：指机关事业单位职业年金缴费支出。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13.医疗卫生与计划生育（类）医疗保障（款）行政单位医疗（项）：指财政部门集中安排的行政单位基本医疗保险缴费经费。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14.农林水支出（类）扶贫（款）其他扶贫支出（项）：指以工代赈项目支出。</w:t>
      </w:r>
    </w:p>
    <w:p>
      <w:pPr>
        <w:spacing w:line="576" w:lineRule="exact"/>
        <w:ind w:firstLine="640" w:firstLineChars="200"/>
        <w:rPr>
          <w:rFonts w:ascii="仿宋_GB2312" w:eastAsia="仿宋_GB2312"/>
          <w:b/>
          <w:i/>
          <w:sz w:val="32"/>
          <w:szCs w:val="32"/>
        </w:rPr>
      </w:pPr>
      <w:r>
        <w:rPr>
          <w:rFonts w:hint="eastAsia" w:ascii="仿宋_GB2312" w:eastAsia="仿宋_GB2312"/>
          <w:sz w:val="32"/>
          <w:szCs w:val="32"/>
        </w:rPr>
        <w:t>15.住房保障支出（类）住房改革支出（款）住房公积金（项）：指单位职工住房公积金支出。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jc w:val="both"/>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jc w:val="both"/>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jc w:val="both"/>
        <w:rPr>
          <w:rFonts w:ascii="仿宋_GB2312" w:eastAsia="仿宋_GB2312" w:cs="黑体"/>
          <w:sz w:val="32"/>
          <w:szCs w:val="32"/>
        </w:rPr>
      </w:pPr>
    </w:p>
    <w:p>
      <w:pPr>
        <w:spacing w:line="600" w:lineRule="exact"/>
        <w:ind w:left="663" w:firstLine="2209" w:firstLineChars="500"/>
        <w:outlineLvl w:val="0"/>
        <w:rPr>
          <w:rStyle w:val="27"/>
          <w:rFonts w:ascii="黑体" w:hAnsi="黑体" w:eastAsia="黑体"/>
          <w:b w:val="0"/>
        </w:rPr>
      </w:pPr>
      <w:bookmarkStart w:id="59" w:name="_Toc15377226"/>
      <w:r>
        <w:rPr>
          <w:rFonts w:ascii="宋体"/>
          <w:b/>
          <w:color w:val="000000"/>
          <w:sz w:val="44"/>
          <w:szCs w:val="44"/>
        </w:rPr>
        <w:br w:type="page"/>
      </w:r>
      <w:bookmarkStart w:id="60" w:name="_Toc15396614"/>
      <w:r>
        <w:rPr>
          <w:rFonts w:hint="eastAsia" w:ascii="方正小标宋简体" w:hAnsi="宋体" w:eastAsia="方正小标宋简体"/>
          <w:color w:val="000000"/>
          <w:sz w:val="44"/>
          <w:szCs w:val="44"/>
        </w:rPr>
        <w:t>第四部分 附件</w:t>
      </w:r>
      <w:bookmarkEnd w:id="60"/>
    </w:p>
    <w:p>
      <w:pPr>
        <w:spacing w:line="600" w:lineRule="exact"/>
        <w:outlineLvl w:val="0"/>
        <w:rPr>
          <w:rFonts w:ascii="方正小标宋简体" w:hAnsi="宋体" w:eastAsia="方正小标宋简体"/>
          <w:color w:val="000000"/>
          <w:sz w:val="44"/>
          <w:szCs w:val="44"/>
        </w:rPr>
      </w:pPr>
      <w:bookmarkStart w:id="61" w:name="_Toc15396616"/>
    </w:p>
    <w:p>
      <w:pPr>
        <w:spacing w:line="600" w:lineRule="exact"/>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茂县发展和改革局</w:t>
      </w:r>
    </w:p>
    <w:p>
      <w:pPr>
        <w:spacing w:line="600" w:lineRule="exact"/>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201</w:t>
      </w:r>
      <w:r>
        <w:rPr>
          <w:rFonts w:hint="eastAsia" w:ascii="方正小标宋简体" w:hAnsi="宋体" w:eastAsia="方正小标宋简体"/>
          <w:color w:val="000000"/>
          <w:sz w:val="44"/>
          <w:szCs w:val="44"/>
          <w:lang w:val="en-US" w:eastAsia="zh-CN"/>
        </w:rPr>
        <w:t>9</w:t>
      </w:r>
      <w:r>
        <w:rPr>
          <w:rFonts w:hint="eastAsia" w:ascii="方正小标宋简体" w:hAnsi="宋体" w:eastAsia="方正小标宋简体"/>
          <w:color w:val="000000"/>
          <w:sz w:val="44"/>
          <w:szCs w:val="44"/>
        </w:rPr>
        <w:t>年部门整体支出绩效评价报告</w:t>
      </w:r>
      <w:bookmarkEnd w:id="61"/>
    </w:p>
    <w:p>
      <w:pPr>
        <w:pStyle w:val="4"/>
        <w:pageBreakBefore w:val="0"/>
        <w:kinsoku/>
        <w:wordWrap/>
        <w:overflowPunct/>
        <w:topLinePunct w:val="0"/>
        <w:autoSpaceDE/>
        <w:autoSpaceDN/>
        <w:bidi w:val="0"/>
        <w:spacing w:line="576" w:lineRule="exact"/>
        <w:ind w:firstLine="640" w:firstLineChars="200"/>
        <w:textAlignment w:val="auto"/>
        <w:rPr>
          <w:rFonts w:ascii="黑体" w:hAnsi="黑体" w:eastAsia="黑体" w:cs="黑体"/>
          <w:b w:val="0"/>
          <w:bCs w:val="0"/>
        </w:rPr>
      </w:pPr>
      <w:r>
        <w:rPr>
          <w:rFonts w:hint="eastAsia" w:ascii="黑体" w:hAnsi="黑体" w:eastAsia="黑体" w:cs="黑体"/>
          <w:b w:val="0"/>
          <w:bCs w:val="0"/>
        </w:rPr>
        <w:t>一、部门概况</w:t>
      </w:r>
    </w:p>
    <w:p>
      <w:pPr>
        <w:pageBreakBefore w:val="0"/>
        <w:kinsoku/>
        <w:wordWrap/>
        <w:overflowPunct/>
        <w:topLinePunct w:val="0"/>
        <w:autoSpaceDE/>
        <w:autoSpaceDN/>
        <w:bidi w:val="0"/>
        <w:spacing w:line="576" w:lineRule="exact"/>
        <w:ind w:firstLine="643" w:firstLineChars="200"/>
        <w:textAlignment w:val="auto"/>
        <w:rPr>
          <w:rStyle w:val="28"/>
          <w:rFonts w:ascii="楷体" w:hAnsi="楷体" w:eastAsia="楷体" w:cs="楷体"/>
        </w:rPr>
      </w:pPr>
      <w:r>
        <w:rPr>
          <w:rStyle w:val="28"/>
          <w:rFonts w:ascii="楷体" w:hAnsi="楷体" w:eastAsia="楷体" w:cs="楷体"/>
        </w:rPr>
        <w:t>（一）机构组成</w:t>
      </w:r>
    </w:p>
    <w:p>
      <w:pPr>
        <w:pageBreakBefore w:val="0"/>
        <w:kinsoku/>
        <w:wordWrap/>
        <w:overflowPunct/>
        <w:topLinePunct w:val="0"/>
        <w:autoSpaceDE/>
        <w:autoSpaceDN/>
        <w:bidi w:val="0"/>
        <w:spacing w:line="576" w:lineRule="exact"/>
        <w:ind w:firstLine="640" w:firstLineChars="200"/>
        <w:textAlignment w:val="auto"/>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茂县发展和改革局</w:t>
      </w:r>
      <w:r>
        <w:rPr>
          <w:rFonts w:ascii="仿宋_GB2312" w:hAnsi="Calibri" w:eastAsia="仿宋_GB2312" w:cs="仿宋"/>
          <w:color w:val="000000"/>
          <w:kern w:val="0"/>
          <w:sz w:val="32"/>
          <w:szCs w:val="32"/>
        </w:rPr>
        <w:t>原</w:t>
      </w:r>
      <w:r>
        <w:rPr>
          <w:rFonts w:hint="eastAsia" w:ascii="仿宋_GB2312" w:hAnsi="Calibri" w:eastAsia="仿宋_GB2312" w:cs="仿宋"/>
          <w:color w:val="000000"/>
          <w:kern w:val="0"/>
          <w:sz w:val="32"/>
          <w:szCs w:val="32"/>
        </w:rPr>
        <w:t>设5个内设机构:办公室（行政审批股）、国民经济综合股、固定资产投资股、政策法规与项目稽查办公室、以工代赈办公室。另设茂县经济信息中心</w:t>
      </w:r>
      <w:r>
        <w:rPr>
          <w:rFonts w:hint="eastAsia" w:ascii="仿宋_GB2312" w:hAnsi="Calibri" w:eastAsia="仿宋_GB2312" w:cs="仿宋"/>
          <w:color w:val="000000"/>
          <w:kern w:val="0"/>
          <w:sz w:val="32"/>
          <w:szCs w:val="32"/>
          <w:lang w:eastAsia="zh-CN"/>
        </w:rPr>
        <w:t>和项目推进和服务中心</w:t>
      </w:r>
      <w:r>
        <w:rPr>
          <w:rFonts w:hint="eastAsia" w:ascii="仿宋_GB2312" w:hAnsi="Calibri" w:eastAsia="仿宋_GB2312" w:cs="仿宋"/>
          <w:color w:val="000000"/>
          <w:kern w:val="0"/>
          <w:sz w:val="32"/>
          <w:szCs w:val="32"/>
        </w:rPr>
        <w:t>为我局下属股级事业单位。</w:t>
      </w:r>
    </w:p>
    <w:p>
      <w:pPr>
        <w:pageBreakBefore w:val="0"/>
        <w:kinsoku/>
        <w:wordWrap/>
        <w:overflowPunct/>
        <w:topLinePunct w:val="0"/>
        <w:autoSpaceDE/>
        <w:autoSpaceDN/>
        <w:bidi w:val="0"/>
        <w:spacing w:line="576" w:lineRule="exact"/>
        <w:ind w:firstLine="643" w:firstLineChars="200"/>
        <w:textAlignment w:val="auto"/>
        <w:rPr>
          <w:rStyle w:val="28"/>
          <w:rFonts w:ascii="楷体" w:hAnsi="楷体" w:eastAsia="楷体" w:cs="楷体"/>
        </w:rPr>
      </w:pPr>
      <w:r>
        <w:rPr>
          <w:rStyle w:val="28"/>
          <w:rFonts w:ascii="楷体" w:hAnsi="楷体" w:eastAsia="楷体" w:cs="楷体"/>
        </w:rPr>
        <w:t>（二）机构职能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1.贯彻实施国家、省、州、县有关国民经济和社会发展、经济体制改革的方针、政策和法律、法规。负责本系统、本部门依法行政工作，落实行政执法责任制。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负责拟订并组织实施全县国民经济和社会发展战略、中长期规划和年度计划，统筹协调全县经济社会发展，研究分析宏观经济形势，提出全县经济社会发展、经济结构优化调控目标和政策建议。受县政府委托向县人大提交国民经济和社会发展计划报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3.负责监测宏观经济和社会发展态势，承担预测预警和信息引导的责任，研究宏观调控重大问题并提出政策建议，搞好总量平衡，综合协调经济社会发展中的重大问题。负责县级以上开发区的指导、协调和宏观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4.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5.负责全县投资宏观管理和协调推进重大项目建设。拟订全县社会固定资产投资总规模和投资结构，编制年度投资计划；研究提出有关重大投资政策，规划重大项目和生产力布局；申报限额以上和审批权限以内的基本建设项目；按照基本建设程序，负责全县基本建设项目立项、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6.推进经济结构战略性调整。负责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7.负责全县社会发展与国民经济发展的政策衔接，组织拟订社会发展战略、总体规划和年度计划，拟定人口发展战略规划及人口政策，参与拟订科学技术、教育、文化、卫生、民政等发展政策，推进社会事业建设。研究提出促进就业、调整收入分配、完善社会保障与经济协调发展的政策建议，协调社会事业发展和政策中的重大问题及政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8.促进城乡区域协调发展。组织编制全县主体功能区规划并协调规划实施和进行监测评估，组织拟订区域协调发展战略、规划，负责地区经济协作的统筹协调。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9.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10.指导、协调并综合管理全县招标投标工作，对国家和州、县重大建设项目建设过程中的工程招标投标活动实施监督检查。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 xml:space="preserve">11.负责组织编制全县国民经济动员与装备动员规划、计划，研究国民经济动员与装备动员和国民经济、国防建设的关系，协调相关重大问题，组织实施国民经济动员与装备动员有关工作。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12.承担县政府公布的有关行政审批事项。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Style w:val="28"/>
          <w:rFonts w:ascii="仿宋_GB2312" w:hAnsi="仿宋_GB2312" w:eastAsia="仿宋_GB2312" w:cs="仿宋_GB2312"/>
          <w:b w:val="0"/>
          <w:bCs w:val="0"/>
          <w:kern w:val="44"/>
        </w:rPr>
      </w:pPr>
      <w:r>
        <w:rPr>
          <w:rFonts w:hint="eastAsia" w:ascii="仿宋_GB2312" w:hAnsi="仿宋_GB2312" w:eastAsia="仿宋_GB2312" w:cs="仿宋_GB2312"/>
          <w:kern w:val="44"/>
          <w:sz w:val="32"/>
          <w:szCs w:val="32"/>
        </w:rPr>
        <w:t>13.承办县政府交办的其他事项。</w:t>
      </w:r>
    </w:p>
    <w:p>
      <w:pPr>
        <w:pageBreakBefore w:val="0"/>
        <w:kinsoku/>
        <w:wordWrap/>
        <w:overflowPunct/>
        <w:topLinePunct w:val="0"/>
        <w:autoSpaceDE/>
        <w:autoSpaceDN/>
        <w:bidi w:val="0"/>
        <w:spacing w:line="576" w:lineRule="exact"/>
        <w:ind w:firstLine="643" w:firstLineChars="200"/>
        <w:jc w:val="both"/>
        <w:textAlignment w:val="auto"/>
        <w:rPr>
          <w:rStyle w:val="28"/>
          <w:rFonts w:ascii="楷体" w:hAnsi="楷体" w:eastAsia="楷体" w:cs="楷体"/>
        </w:rPr>
      </w:pPr>
      <w:r>
        <w:rPr>
          <w:rStyle w:val="28"/>
          <w:rFonts w:ascii="楷体" w:hAnsi="楷体" w:eastAsia="楷体" w:cs="楷体"/>
        </w:rPr>
        <w:t>（三）人员概况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局机关行政编制9名。其中：局长1名，副局长2名，科级非领导职数2名。机关工勤人员编制1名。机关事业编制9名。</w:t>
      </w:r>
    </w:p>
    <w:p>
      <w:pPr>
        <w:pStyle w:val="4"/>
        <w:pageBreakBefore w:val="0"/>
        <w:kinsoku/>
        <w:wordWrap/>
        <w:overflowPunct/>
        <w:topLinePunct w:val="0"/>
        <w:autoSpaceDE/>
        <w:autoSpaceDN/>
        <w:bidi w:val="0"/>
        <w:spacing w:line="576" w:lineRule="exact"/>
        <w:ind w:firstLine="640" w:firstLineChars="200"/>
        <w:jc w:val="both"/>
        <w:textAlignment w:val="auto"/>
        <w:rPr>
          <w:rFonts w:ascii="仿宋" w:hAnsi="仿宋" w:eastAsia="仿宋"/>
          <w:b w:val="0"/>
          <w:bCs w:val="0"/>
          <w:color w:val="000000"/>
        </w:rPr>
      </w:pPr>
      <w:r>
        <w:rPr>
          <w:rFonts w:ascii="黑体" w:hAnsi="黑体" w:eastAsia="黑体" w:cs="黑体"/>
          <w:b w:val="0"/>
          <w:bCs w:val="0"/>
        </w:rPr>
        <w:t>二、部门财政资金收支情况</w:t>
      </w:r>
    </w:p>
    <w:p>
      <w:pPr>
        <w:pageBreakBefore w:val="0"/>
        <w:kinsoku/>
        <w:wordWrap/>
        <w:overflowPunct/>
        <w:topLinePunct w:val="0"/>
        <w:autoSpaceDE/>
        <w:autoSpaceDN/>
        <w:bidi w:val="0"/>
        <w:spacing w:line="576" w:lineRule="exact"/>
        <w:ind w:firstLine="643" w:firstLineChars="200"/>
        <w:jc w:val="both"/>
        <w:textAlignment w:val="auto"/>
        <w:rPr>
          <w:rFonts w:ascii="仿宋" w:hAnsi="仿宋" w:eastAsia="仿宋" w:cs="仿宋_GB2312"/>
          <w:sz w:val="32"/>
          <w:szCs w:val="32"/>
        </w:rPr>
      </w:pPr>
      <w:r>
        <w:rPr>
          <w:rStyle w:val="28"/>
          <w:rFonts w:ascii="楷体" w:hAnsi="楷体" w:eastAsia="楷体" w:cs="楷体"/>
        </w:rPr>
        <w:t>（一）部门财政资金收入情况</w:t>
      </w:r>
    </w:p>
    <w:p>
      <w:pPr>
        <w:pageBreakBefore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2019年部门总收入1114.16万元。其中本年财政拨款收入1114.16万元。</w:t>
      </w:r>
    </w:p>
    <w:p>
      <w:pPr>
        <w:pageBreakBefore w:val="0"/>
        <w:kinsoku/>
        <w:wordWrap/>
        <w:overflowPunct/>
        <w:topLinePunct w:val="0"/>
        <w:autoSpaceDE/>
        <w:autoSpaceDN/>
        <w:bidi w:val="0"/>
        <w:spacing w:line="576" w:lineRule="exact"/>
        <w:ind w:firstLine="643" w:firstLineChars="200"/>
        <w:jc w:val="both"/>
        <w:textAlignment w:val="auto"/>
        <w:rPr>
          <w:rFonts w:ascii="仿宋" w:hAnsi="仿宋" w:eastAsia="仿宋" w:cs="仿宋_GB2312"/>
          <w:sz w:val="32"/>
          <w:szCs w:val="32"/>
        </w:rPr>
      </w:pPr>
      <w:r>
        <w:rPr>
          <w:rStyle w:val="28"/>
          <w:rFonts w:ascii="楷体" w:hAnsi="楷体" w:eastAsia="楷体" w:cs="楷体"/>
        </w:rPr>
        <w:t>（二）部门财政资金支出情况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年部门总支出</w:t>
      </w:r>
      <w:r>
        <w:rPr>
          <w:rFonts w:hint="eastAsia" w:ascii="仿宋_GB2312" w:hAnsi="仿宋_GB2312" w:eastAsia="仿宋_GB2312" w:cs="仿宋_GB2312"/>
          <w:kern w:val="44"/>
          <w:sz w:val="32"/>
          <w:szCs w:val="32"/>
          <w:lang w:val="en-US" w:eastAsia="zh-CN"/>
        </w:rPr>
        <w:t>1113.12</w:t>
      </w:r>
      <w:r>
        <w:rPr>
          <w:rFonts w:hint="eastAsia" w:ascii="仿宋_GB2312" w:hAnsi="仿宋_GB2312" w:eastAsia="仿宋_GB2312" w:cs="仿宋_GB2312"/>
          <w:kern w:val="44"/>
          <w:sz w:val="32"/>
          <w:szCs w:val="32"/>
        </w:rPr>
        <w:t>万元，其中：基本支出</w:t>
      </w:r>
      <w:r>
        <w:rPr>
          <w:rFonts w:hint="eastAsia" w:ascii="仿宋_GB2312" w:hAnsi="仿宋_GB2312" w:eastAsia="仿宋_GB2312" w:cs="仿宋_GB2312"/>
          <w:kern w:val="44"/>
          <w:sz w:val="32"/>
          <w:szCs w:val="32"/>
          <w:lang w:val="en-US" w:eastAsia="zh-CN"/>
        </w:rPr>
        <w:t>463.4</w:t>
      </w:r>
      <w:r>
        <w:rPr>
          <w:rFonts w:hint="eastAsia" w:ascii="仿宋_GB2312" w:hAnsi="仿宋_GB2312" w:eastAsia="仿宋_GB2312" w:cs="仿宋_GB2312"/>
          <w:kern w:val="44"/>
          <w:sz w:val="32"/>
          <w:szCs w:val="32"/>
        </w:rPr>
        <w:t>万元，占总支出的</w:t>
      </w:r>
      <w:r>
        <w:rPr>
          <w:rFonts w:hint="eastAsia" w:ascii="仿宋_GB2312" w:hAnsi="仿宋_GB2312" w:eastAsia="仿宋_GB2312" w:cs="仿宋_GB2312"/>
          <w:kern w:val="44"/>
          <w:sz w:val="32"/>
          <w:szCs w:val="32"/>
          <w:lang w:val="en-US" w:eastAsia="zh-CN"/>
        </w:rPr>
        <w:t>41.63</w:t>
      </w:r>
      <w:r>
        <w:rPr>
          <w:rFonts w:hint="eastAsia" w:ascii="仿宋_GB2312" w:hAnsi="仿宋_GB2312" w:eastAsia="仿宋_GB2312" w:cs="仿宋_GB2312"/>
          <w:kern w:val="44"/>
          <w:sz w:val="32"/>
          <w:szCs w:val="32"/>
        </w:rPr>
        <w:t>％，项目支出</w:t>
      </w:r>
      <w:r>
        <w:rPr>
          <w:rFonts w:hint="eastAsia" w:ascii="仿宋_GB2312" w:hAnsi="仿宋_GB2312" w:eastAsia="仿宋_GB2312" w:cs="仿宋_GB2312"/>
          <w:kern w:val="44"/>
          <w:sz w:val="32"/>
          <w:szCs w:val="32"/>
          <w:lang w:val="en-US" w:eastAsia="zh-CN"/>
        </w:rPr>
        <w:t>649.72</w:t>
      </w:r>
      <w:r>
        <w:rPr>
          <w:rFonts w:hint="eastAsia" w:ascii="仿宋_GB2312" w:hAnsi="仿宋_GB2312" w:eastAsia="仿宋_GB2312" w:cs="仿宋_GB2312"/>
          <w:kern w:val="44"/>
          <w:sz w:val="32"/>
          <w:szCs w:val="32"/>
        </w:rPr>
        <w:t>万元，占总支出的</w:t>
      </w:r>
      <w:r>
        <w:rPr>
          <w:rFonts w:hint="eastAsia" w:ascii="仿宋_GB2312" w:hAnsi="仿宋_GB2312" w:eastAsia="仿宋_GB2312" w:cs="仿宋_GB2312"/>
          <w:kern w:val="44"/>
          <w:sz w:val="32"/>
          <w:szCs w:val="32"/>
          <w:lang w:val="en-US" w:eastAsia="zh-CN"/>
        </w:rPr>
        <w:t>58.37</w:t>
      </w:r>
      <w:r>
        <w:rPr>
          <w:rFonts w:hint="eastAsia" w:ascii="仿宋_GB2312" w:hAnsi="仿宋_GB2312" w:eastAsia="仿宋_GB2312" w:cs="仿宋_GB2312"/>
          <w:kern w:val="44"/>
          <w:sz w:val="32"/>
          <w:szCs w:val="32"/>
        </w:rPr>
        <w:t>％。按支出</w:t>
      </w:r>
      <w:r>
        <w:rPr>
          <w:rFonts w:hint="eastAsia" w:ascii="仿宋_GB2312" w:hAnsi="仿宋_GB2312" w:eastAsia="仿宋_GB2312" w:cs="仿宋_GB2312"/>
          <w:kern w:val="44"/>
          <w:sz w:val="32"/>
          <w:szCs w:val="32"/>
          <w:lang w:eastAsia="zh-CN"/>
        </w:rPr>
        <w:t>经济</w:t>
      </w:r>
      <w:r>
        <w:rPr>
          <w:rFonts w:hint="eastAsia" w:ascii="仿宋_GB2312" w:hAnsi="仿宋_GB2312" w:eastAsia="仿宋_GB2312" w:cs="仿宋_GB2312"/>
          <w:kern w:val="44"/>
          <w:sz w:val="32"/>
          <w:szCs w:val="32"/>
        </w:rPr>
        <w:t>科目分类，工资福利支出</w:t>
      </w:r>
      <w:r>
        <w:rPr>
          <w:rFonts w:hint="eastAsia" w:ascii="仿宋_GB2312" w:hAnsi="仿宋_GB2312" w:eastAsia="仿宋_GB2312" w:cs="仿宋_GB2312"/>
          <w:kern w:val="44"/>
          <w:sz w:val="32"/>
          <w:szCs w:val="32"/>
          <w:lang w:val="en-US" w:eastAsia="zh-CN"/>
        </w:rPr>
        <w:t>377.28</w:t>
      </w:r>
      <w:r>
        <w:rPr>
          <w:rFonts w:hint="eastAsia" w:ascii="仿宋_GB2312" w:hAnsi="仿宋_GB2312" w:eastAsia="仿宋_GB2312" w:cs="仿宋_GB2312"/>
          <w:kern w:val="44"/>
          <w:sz w:val="32"/>
          <w:szCs w:val="32"/>
        </w:rPr>
        <w:t>万元，商品服务支出</w:t>
      </w:r>
      <w:r>
        <w:rPr>
          <w:rFonts w:hint="eastAsia" w:ascii="仿宋_GB2312" w:hAnsi="仿宋_GB2312" w:eastAsia="仿宋_GB2312" w:cs="仿宋_GB2312"/>
          <w:kern w:val="44"/>
          <w:sz w:val="32"/>
          <w:szCs w:val="32"/>
          <w:lang w:val="en-US" w:eastAsia="zh-CN"/>
        </w:rPr>
        <w:t>115.41</w:t>
      </w:r>
      <w:r>
        <w:rPr>
          <w:rFonts w:hint="eastAsia" w:ascii="仿宋_GB2312" w:hAnsi="仿宋_GB2312" w:eastAsia="仿宋_GB2312" w:cs="仿宋_GB2312"/>
          <w:kern w:val="44"/>
          <w:sz w:val="32"/>
          <w:szCs w:val="32"/>
        </w:rPr>
        <w:t>万元，对个人和家庭补助</w:t>
      </w:r>
      <w:r>
        <w:rPr>
          <w:rFonts w:hint="eastAsia" w:ascii="仿宋_GB2312" w:hAnsi="仿宋_GB2312" w:eastAsia="仿宋_GB2312" w:cs="仿宋_GB2312"/>
          <w:kern w:val="44"/>
          <w:sz w:val="32"/>
          <w:szCs w:val="32"/>
          <w:lang w:val="en-US" w:eastAsia="zh-CN"/>
        </w:rPr>
        <w:t>22.73</w:t>
      </w:r>
      <w:r>
        <w:rPr>
          <w:rFonts w:hint="eastAsia" w:ascii="仿宋_GB2312" w:hAnsi="仿宋_GB2312" w:eastAsia="仿宋_GB2312" w:cs="仿宋_GB2312"/>
          <w:kern w:val="44"/>
          <w:sz w:val="32"/>
          <w:szCs w:val="32"/>
        </w:rPr>
        <w:t>万元，其他资本性支出</w:t>
      </w:r>
      <w:r>
        <w:rPr>
          <w:rFonts w:hint="eastAsia" w:ascii="仿宋_GB2312" w:hAnsi="仿宋_GB2312" w:eastAsia="仿宋_GB2312" w:cs="仿宋_GB2312"/>
          <w:kern w:val="44"/>
          <w:sz w:val="32"/>
          <w:szCs w:val="32"/>
          <w:lang w:val="en-US" w:eastAsia="zh-CN"/>
        </w:rPr>
        <w:t>597.7</w:t>
      </w:r>
      <w:r>
        <w:rPr>
          <w:rFonts w:hint="eastAsia" w:ascii="仿宋_GB2312" w:hAnsi="仿宋_GB2312" w:eastAsia="仿宋_GB2312" w:cs="仿宋_GB2312"/>
          <w:kern w:val="44"/>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 xml:space="preserve">1、基本支出情况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年用于保障单位机构正常运转的日常支出</w:t>
      </w:r>
      <w:r>
        <w:rPr>
          <w:rFonts w:hint="eastAsia" w:ascii="仿宋_GB2312" w:hAnsi="仿宋_GB2312" w:eastAsia="仿宋_GB2312" w:cs="仿宋_GB2312"/>
          <w:kern w:val="44"/>
          <w:sz w:val="32"/>
          <w:szCs w:val="32"/>
          <w:lang w:val="en-US" w:eastAsia="zh-CN"/>
        </w:rPr>
        <w:t>463.4</w:t>
      </w:r>
      <w:r>
        <w:rPr>
          <w:rFonts w:hint="eastAsia" w:ascii="仿宋_GB2312" w:hAnsi="仿宋_GB2312" w:eastAsia="仿宋_GB2312" w:cs="仿宋_GB2312"/>
          <w:kern w:val="44"/>
          <w:sz w:val="32"/>
          <w:szCs w:val="32"/>
        </w:rPr>
        <w:t>万元，其中：基本工资，津贴补贴、绩效工资等工资福利支出占基本支出的8</w:t>
      </w:r>
      <w:r>
        <w:rPr>
          <w:rFonts w:hint="eastAsia" w:ascii="仿宋_GB2312" w:hAnsi="仿宋_GB2312" w:eastAsia="仿宋_GB2312" w:cs="仿宋_GB2312"/>
          <w:kern w:val="44"/>
          <w:sz w:val="32"/>
          <w:szCs w:val="32"/>
          <w:lang w:val="en-US" w:eastAsia="zh-CN"/>
        </w:rPr>
        <w:t>1.37</w:t>
      </w:r>
      <w:r>
        <w:rPr>
          <w:rFonts w:hint="eastAsia" w:ascii="仿宋_GB2312" w:hAnsi="仿宋_GB2312" w:eastAsia="仿宋_GB2312" w:cs="仿宋_GB2312"/>
          <w:kern w:val="44"/>
          <w:sz w:val="32"/>
          <w:szCs w:val="32"/>
        </w:rPr>
        <w:t>％；办公费、印刷费、水电费、邮电费、差旅费、公务用车运行维护费、公务接待费等日常公用经费（商品和服务支出）占基本支出的</w:t>
      </w:r>
      <w:r>
        <w:rPr>
          <w:rFonts w:hint="eastAsia" w:ascii="仿宋_GB2312" w:hAnsi="仿宋_GB2312" w:eastAsia="仿宋_GB2312" w:cs="仿宋_GB2312"/>
          <w:kern w:val="44"/>
          <w:sz w:val="32"/>
          <w:szCs w:val="32"/>
          <w:lang w:val="en-US" w:eastAsia="zh-CN"/>
        </w:rPr>
        <w:t>13.72</w:t>
      </w:r>
      <w:r>
        <w:rPr>
          <w:rFonts w:hint="eastAsia" w:ascii="仿宋_GB2312" w:hAnsi="仿宋_GB2312" w:eastAsia="仿宋_GB2312" w:cs="仿宋_GB2312"/>
          <w:kern w:val="44"/>
          <w:sz w:val="32"/>
          <w:szCs w:val="32"/>
        </w:rPr>
        <w:t>%；离休费、退休费、住房公积金、奖励金、生活补助等个人和家庭补助占基本支出的</w:t>
      </w:r>
      <w:r>
        <w:rPr>
          <w:rFonts w:hint="eastAsia" w:ascii="仿宋_GB2312" w:hAnsi="仿宋_GB2312" w:eastAsia="仿宋_GB2312" w:cs="仿宋_GB2312"/>
          <w:kern w:val="44"/>
          <w:sz w:val="32"/>
          <w:szCs w:val="32"/>
          <w:lang w:val="en-US" w:eastAsia="zh-CN"/>
        </w:rPr>
        <w:t>4.91</w:t>
      </w:r>
      <w:r>
        <w:rPr>
          <w:rFonts w:hint="eastAsia" w:ascii="仿宋_GB2312" w:hAnsi="仿宋_GB2312" w:eastAsia="仿宋_GB2312" w:cs="仿宋_GB2312"/>
          <w:kern w:val="44"/>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 xml:space="preserve">2、项目支出情况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年完成茂县农村基础设施建设项目</w:t>
      </w:r>
      <w:r>
        <w:rPr>
          <w:rFonts w:hint="eastAsia" w:ascii="仿宋_GB2312" w:hAnsi="仿宋_GB2312" w:eastAsia="仿宋_GB2312" w:cs="仿宋_GB2312"/>
          <w:kern w:val="44"/>
          <w:sz w:val="32"/>
          <w:szCs w:val="32"/>
          <w:lang w:eastAsia="zh-CN"/>
        </w:rPr>
        <w:t>及项目前期</w:t>
      </w:r>
      <w:r>
        <w:rPr>
          <w:rFonts w:hint="eastAsia" w:ascii="仿宋_GB2312" w:hAnsi="仿宋_GB2312" w:eastAsia="仿宋_GB2312" w:cs="仿宋_GB2312"/>
          <w:kern w:val="44"/>
          <w:sz w:val="32"/>
          <w:szCs w:val="32"/>
        </w:rPr>
        <w:t>用于201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年第一</w:t>
      </w:r>
      <w:r>
        <w:rPr>
          <w:rFonts w:hint="eastAsia" w:ascii="仿宋_GB2312" w:hAnsi="仿宋_GB2312" w:eastAsia="仿宋_GB2312" w:cs="仿宋_GB2312"/>
          <w:kern w:val="44"/>
          <w:sz w:val="32"/>
          <w:szCs w:val="32"/>
          <w:lang w:eastAsia="zh-CN"/>
        </w:rPr>
        <w:t>、二</w:t>
      </w:r>
      <w:r>
        <w:rPr>
          <w:rFonts w:hint="eastAsia" w:ascii="仿宋_GB2312" w:hAnsi="仿宋_GB2312" w:eastAsia="仿宋_GB2312" w:cs="仿宋_GB2312"/>
          <w:kern w:val="44"/>
          <w:sz w:val="32"/>
          <w:szCs w:val="32"/>
        </w:rPr>
        <w:t>批统筹整合涉农资金</w:t>
      </w:r>
      <w:r>
        <w:rPr>
          <w:rFonts w:hint="eastAsia" w:ascii="仿宋_GB2312" w:hAnsi="仿宋_GB2312" w:eastAsia="仿宋_GB2312" w:cs="仿宋_GB2312"/>
          <w:kern w:val="44"/>
          <w:sz w:val="32"/>
          <w:szCs w:val="32"/>
          <w:lang w:eastAsia="zh-CN"/>
        </w:rPr>
        <w:t>等其他扶贫</w:t>
      </w:r>
      <w:r>
        <w:rPr>
          <w:rFonts w:hint="eastAsia" w:ascii="仿宋_GB2312" w:hAnsi="仿宋_GB2312" w:eastAsia="仿宋_GB2312" w:cs="仿宋_GB2312"/>
          <w:kern w:val="44"/>
          <w:sz w:val="32"/>
          <w:szCs w:val="32"/>
        </w:rPr>
        <w:t>支出</w:t>
      </w:r>
      <w:r>
        <w:rPr>
          <w:rFonts w:hint="eastAsia" w:ascii="仿宋_GB2312" w:hAnsi="仿宋_GB2312" w:eastAsia="仿宋_GB2312" w:cs="仿宋_GB2312"/>
          <w:kern w:val="44"/>
          <w:sz w:val="32"/>
          <w:szCs w:val="32"/>
          <w:lang w:val="en-US" w:eastAsia="zh-CN"/>
        </w:rPr>
        <w:t>369.79</w:t>
      </w:r>
      <w:r>
        <w:rPr>
          <w:rFonts w:hint="eastAsia" w:ascii="仿宋_GB2312" w:hAnsi="仿宋_GB2312" w:eastAsia="仿宋_GB2312" w:cs="仿宋_GB2312"/>
          <w:kern w:val="44"/>
          <w:sz w:val="32"/>
          <w:szCs w:val="32"/>
        </w:rPr>
        <w:t>万元；用于201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w:t>
      </w:r>
      <w:r>
        <w:rPr>
          <w:rFonts w:hint="eastAsia" w:ascii="仿宋_GB2312" w:hAnsi="仿宋_GB2312" w:eastAsia="仿宋_GB2312" w:cs="仿宋_GB2312"/>
          <w:kern w:val="44"/>
          <w:sz w:val="32"/>
          <w:szCs w:val="32"/>
          <w:lang w:eastAsia="zh-CN"/>
        </w:rPr>
        <w:t>项目前期费用</w:t>
      </w:r>
      <w:r>
        <w:rPr>
          <w:rFonts w:hint="eastAsia" w:ascii="仿宋_GB2312" w:hAnsi="仿宋_GB2312" w:eastAsia="仿宋_GB2312" w:cs="仿宋_GB2312"/>
          <w:kern w:val="44"/>
          <w:sz w:val="32"/>
          <w:szCs w:val="32"/>
        </w:rPr>
        <w:t>支出</w:t>
      </w:r>
      <w:r>
        <w:rPr>
          <w:rFonts w:hint="eastAsia" w:ascii="仿宋_GB2312" w:hAnsi="仿宋_GB2312" w:eastAsia="仿宋_GB2312" w:cs="仿宋_GB2312"/>
          <w:kern w:val="44"/>
          <w:sz w:val="32"/>
          <w:szCs w:val="32"/>
          <w:lang w:val="en-US" w:eastAsia="zh-CN"/>
        </w:rPr>
        <w:t>279.93</w:t>
      </w:r>
      <w:r>
        <w:rPr>
          <w:rFonts w:hint="eastAsia" w:ascii="仿宋_GB2312" w:hAnsi="仿宋_GB2312" w:eastAsia="仿宋_GB2312" w:cs="仿宋_GB2312"/>
          <w:kern w:val="44"/>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44"/>
          <w:sz w:val="32"/>
          <w:szCs w:val="32"/>
          <w:lang w:val="zh-CN"/>
        </w:rPr>
      </w:pPr>
      <w:r>
        <w:rPr>
          <w:rStyle w:val="28"/>
          <w:rFonts w:hint="eastAsia" w:ascii="楷体" w:hAnsi="楷体" w:eastAsia="楷体" w:cs="楷体"/>
          <w:lang w:val="zh-CN"/>
        </w:rPr>
        <w:t>（三）部门财政资金收支结转情况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lang w:val="zh-CN"/>
        </w:rPr>
        <w:t>年部门财政资金收支结转结余</w:t>
      </w:r>
      <w:r>
        <w:rPr>
          <w:rFonts w:hint="eastAsia" w:ascii="仿宋_GB2312" w:hAnsi="仿宋_GB2312" w:eastAsia="仿宋_GB2312" w:cs="仿宋_GB2312"/>
          <w:kern w:val="44"/>
          <w:sz w:val="32"/>
          <w:szCs w:val="32"/>
          <w:lang w:val="en-US" w:eastAsia="zh-CN"/>
        </w:rPr>
        <w:t>1.04万元</w:t>
      </w:r>
      <w:r>
        <w:rPr>
          <w:rFonts w:hint="eastAsia" w:ascii="仿宋_GB2312" w:hAnsi="仿宋_GB2312" w:eastAsia="仿宋_GB2312" w:cs="仿宋_GB2312"/>
          <w:kern w:val="44"/>
          <w:sz w:val="32"/>
          <w:szCs w:val="32"/>
          <w:lang w:val="zh-CN"/>
        </w:rPr>
        <w:t>。</w:t>
      </w:r>
    </w:p>
    <w:p>
      <w:pPr>
        <w:pStyle w:val="4"/>
        <w:pageBreakBefore w:val="0"/>
        <w:kinsoku/>
        <w:wordWrap/>
        <w:overflowPunct/>
        <w:topLinePunct w:val="0"/>
        <w:autoSpaceDE/>
        <w:autoSpaceDN/>
        <w:bidi w:val="0"/>
        <w:spacing w:line="576" w:lineRule="exact"/>
        <w:ind w:firstLine="640" w:firstLineChars="200"/>
        <w:jc w:val="both"/>
        <w:textAlignment w:val="auto"/>
        <w:rPr>
          <w:rFonts w:ascii="黑体" w:hAnsi="黑体" w:eastAsia="黑体" w:cs="黑体"/>
          <w:b w:val="0"/>
          <w:bCs w:val="0"/>
        </w:rPr>
      </w:pPr>
      <w:r>
        <w:rPr>
          <w:rFonts w:ascii="黑体" w:hAnsi="黑体" w:eastAsia="黑体" w:cs="黑体"/>
          <w:b w:val="0"/>
          <w:bCs w:val="0"/>
        </w:rPr>
        <w:t>三、部门整体预算绩效管理情况</w:t>
      </w:r>
    </w:p>
    <w:p>
      <w:pPr>
        <w:pStyle w:val="4"/>
        <w:pageBreakBefore w:val="0"/>
        <w:kinsoku/>
        <w:wordWrap/>
        <w:overflowPunct/>
        <w:topLinePunct w:val="0"/>
        <w:autoSpaceDE/>
        <w:autoSpaceDN/>
        <w:bidi w:val="0"/>
        <w:spacing w:line="576" w:lineRule="exact"/>
        <w:ind w:firstLine="643" w:firstLineChars="200"/>
        <w:jc w:val="both"/>
        <w:textAlignment w:val="auto"/>
        <w:rPr>
          <w:rFonts w:ascii="仿宋" w:hAnsi="仿宋" w:eastAsia="仿宋"/>
          <w:color w:val="000000"/>
        </w:rPr>
      </w:pPr>
      <w:r>
        <w:rPr>
          <w:rStyle w:val="28"/>
          <w:rFonts w:ascii="楷体" w:hAnsi="楷体" w:eastAsia="楷体" w:cs="楷体"/>
          <w:b/>
          <w:bCs w:val="0"/>
        </w:rPr>
        <w:t>（一）部门预算管理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w:t>
      </w:r>
      <w:r>
        <w:rPr>
          <w:rFonts w:hint="eastAsia" w:ascii="仿宋_GB2312" w:hAnsi="仿宋_GB2312" w:eastAsia="仿宋_GB2312" w:cs="仿宋_GB2312"/>
          <w:kern w:val="44"/>
          <w:sz w:val="32"/>
          <w:szCs w:val="32"/>
          <w:lang w:eastAsia="zh-CN"/>
        </w:rPr>
        <w:t>.</w:t>
      </w:r>
      <w:r>
        <w:rPr>
          <w:rFonts w:hint="eastAsia" w:ascii="仿宋_GB2312" w:hAnsi="仿宋_GB2312" w:eastAsia="仿宋_GB2312" w:cs="仿宋_GB2312"/>
          <w:kern w:val="44"/>
          <w:sz w:val="32"/>
          <w:szCs w:val="32"/>
        </w:rPr>
        <w:t>预算编制情况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（1）人员情况：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w:t>
      </w:r>
      <w:r>
        <w:rPr>
          <w:rFonts w:hint="eastAsia" w:ascii="仿宋_GB2312" w:hAnsi="仿宋_GB2312" w:eastAsia="仿宋_GB2312" w:cs="仿宋_GB2312"/>
          <w:kern w:val="44"/>
          <w:sz w:val="32"/>
          <w:szCs w:val="32"/>
          <w:lang w:val="en-US" w:eastAsia="zh-CN"/>
        </w:rPr>
        <w:t>20</w:t>
      </w:r>
      <w:r>
        <w:rPr>
          <w:rFonts w:hint="eastAsia" w:ascii="仿宋_GB2312" w:hAnsi="仿宋_GB2312" w:eastAsia="仿宋_GB2312" w:cs="仿宋_GB2312"/>
          <w:kern w:val="44"/>
          <w:sz w:val="32"/>
          <w:szCs w:val="32"/>
        </w:rPr>
        <w:t>年预算时，在职职工21人，其中：公务员12名，行政工勤3人，事业人员6名。退休人员8人，遗属补助人员1人。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w:t>
      </w:r>
      <w:r>
        <w:rPr>
          <w:rFonts w:hint="eastAsia" w:ascii="仿宋_GB2312" w:hAnsi="仿宋_GB2312" w:eastAsia="仿宋_GB2312" w:cs="仿宋_GB2312"/>
          <w:kern w:val="44"/>
          <w:sz w:val="32"/>
          <w:szCs w:val="32"/>
          <w:lang w:val="en-US" w:eastAsia="zh-CN"/>
        </w:rPr>
        <w:t>19</w:t>
      </w:r>
      <w:r>
        <w:rPr>
          <w:rFonts w:hint="eastAsia" w:ascii="仿宋_GB2312" w:hAnsi="仿宋_GB2312" w:eastAsia="仿宋_GB2312" w:cs="仿宋_GB2312"/>
          <w:kern w:val="44"/>
          <w:sz w:val="32"/>
          <w:szCs w:val="32"/>
        </w:rPr>
        <w:t>年预算收入总额为</w:t>
      </w:r>
      <w:r>
        <w:rPr>
          <w:rFonts w:hint="eastAsia" w:ascii="仿宋_GB2312" w:hAnsi="仿宋_GB2312" w:eastAsia="仿宋_GB2312" w:cs="仿宋_GB2312"/>
          <w:kern w:val="44"/>
          <w:sz w:val="32"/>
          <w:szCs w:val="32"/>
          <w:lang w:val="en-US" w:eastAsia="zh-CN"/>
        </w:rPr>
        <w:t>1114.16</w:t>
      </w:r>
      <w:r>
        <w:rPr>
          <w:rFonts w:hint="eastAsia" w:ascii="仿宋_GB2312" w:hAnsi="仿宋_GB2312" w:eastAsia="仿宋_GB2312" w:cs="仿宋_GB2312"/>
          <w:kern w:val="44"/>
          <w:sz w:val="32"/>
          <w:szCs w:val="32"/>
        </w:rPr>
        <w:t>万元，当年财政拨款收入</w:t>
      </w:r>
      <w:r>
        <w:rPr>
          <w:rFonts w:hint="eastAsia" w:ascii="仿宋_GB2312" w:hAnsi="仿宋_GB2312" w:eastAsia="仿宋_GB2312" w:cs="仿宋_GB2312"/>
          <w:kern w:val="44"/>
          <w:sz w:val="32"/>
          <w:szCs w:val="32"/>
          <w:lang w:val="en-US" w:eastAsia="zh-CN"/>
        </w:rPr>
        <w:t>1114.16</w:t>
      </w:r>
      <w:r>
        <w:rPr>
          <w:rFonts w:hint="eastAsia" w:ascii="仿宋_GB2312" w:hAnsi="仿宋_GB2312" w:eastAsia="仿宋_GB2312" w:cs="仿宋_GB2312"/>
          <w:kern w:val="44"/>
          <w:sz w:val="32"/>
          <w:szCs w:val="32"/>
        </w:rPr>
        <w:t>万元，其中：一般公共服务</w:t>
      </w:r>
      <w:r>
        <w:rPr>
          <w:rFonts w:hint="eastAsia" w:ascii="仿宋_GB2312" w:hAnsi="仿宋_GB2312" w:eastAsia="仿宋_GB2312" w:cs="仿宋_GB2312"/>
          <w:kern w:val="44"/>
          <w:sz w:val="32"/>
          <w:szCs w:val="32"/>
          <w:lang w:val="en-US" w:eastAsia="zh-CN"/>
        </w:rPr>
        <w:t>404.78</w:t>
      </w:r>
      <w:r>
        <w:rPr>
          <w:rFonts w:hint="eastAsia" w:ascii="仿宋_GB2312" w:hAnsi="仿宋_GB2312" w:eastAsia="仿宋_GB2312" w:cs="仿宋_GB2312"/>
          <w:kern w:val="44"/>
          <w:sz w:val="32"/>
          <w:szCs w:val="32"/>
        </w:rPr>
        <w:t>万元，社会保障和就业</w:t>
      </w:r>
      <w:r>
        <w:rPr>
          <w:rFonts w:hint="eastAsia" w:ascii="仿宋_GB2312" w:hAnsi="仿宋_GB2312" w:eastAsia="仿宋_GB2312" w:cs="仿宋_GB2312"/>
          <w:kern w:val="44"/>
          <w:sz w:val="32"/>
          <w:szCs w:val="32"/>
          <w:lang w:val="en-US" w:eastAsia="zh-CN"/>
        </w:rPr>
        <w:t>37.97</w:t>
      </w:r>
      <w:r>
        <w:rPr>
          <w:rFonts w:hint="eastAsia" w:ascii="仿宋_GB2312" w:hAnsi="仿宋_GB2312" w:eastAsia="仿宋_GB2312" w:cs="仿宋_GB2312"/>
          <w:kern w:val="44"/>
          <w:sz w:val="32"/>
          <w:szCs w:val="32"/>
        </w:rPr>
        <w:t>万元，医疗卫生</w:t>
      </w:r>
      <w:r>
        <w:rPr>
          <w:rFonts w:hint="eastAsia" w:ascii="仿宋_GB2312" w:hAnsi="仿宋_GB2312" w:eastAsia="仿宋_GB2312" w:cs="仿宋_GB2312"/>
          <w:kern w:val="44"/>
          <w:sz w:val="32"/>
          <w:szCs w:val="32"/>
          <w:lang w:val="en-US" w:eastAsia="zh-CN"/>
        </w:rPr>
        <w:t>18.36</w:t>
      </w:r>
      <w:r>
        <w:rPr>
          <w:rFonts w:hint="eastAsia" w:ascii="仿宋_GB2312" w:hAnsi="仿宋_GB2312" w:eastAsia="仿宋_GB2312" w:cs="仿宋_GB2312"/>
          <w:kern w:val="44"/>
          <w:sz w:val="32"/>
          <w:szCs w:val="32"/>
        </w:rPr>
        <w:t>万元，住房保障支出</w:t>
      </w:r>
      <w:r>
        <w:rPr>
          <w:rFonts w:hint="eastAsia" w:ascii="仿宋_GB2312" w:hAnsi="仿宋_GB2312" w:eastAsia="仿宋_GB2312" w:cs="仿宋_GB2312"/>
          <w:kern w:val="44"/>
          <w:sz w:val="32"/>
          <w:szCs w:val="32"/>
          <w:lang w:val="en-US" w:eastAsia="zh-CN"/>
        </w:rPr>
        <w:t>25.35</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eastAsia="zh-CN"/>
        </w:rPr>
        <w:t>城乡社区支出</w:t>
      </w:r>
      <w:r>
        <w:rPr>
          <w:rFonts w:hint="eastAsia" w:ascii="仿宋_GB2312" w:hAnsi="仿宋_GB2312" w:eastAsia="仿宋_GB2312" w:cs="仿宋_GB2312"/>
          <w:kern w:val="44"/>
          <w:sz w:val="32"/>
          <w:szCs w:val="32"/>
          <w:lang w:val="en-US" w:eastAsia="zh-CN"/>
        </w:rPr>
        <w:t>222.92万元；农林水支出369.79万元；其他支出35万元。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（3）支出情况：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年预算支出总额为</w:t>
      </w:r>
      <w:r>
        <w:rPr>
          <w:rFonts w:hint="eastAsia" w:ascii="仿宋_GB2312" w:hAnsi="仿宋_GB2312" w:eastAsia="仿宋_GB2312" w:cs="仿宋_GB2312"/>
          <w:kern w:val="44"/>
          <w:sz w:val="32"/>
          <w:szCs w:val="32"/>
          <w:lang w:val="en-US" w:eastAsia="zh-CN"/>
        </w:rPr>
        <w:t>1113.12</w:t>
      </w:r>
      <w:r>
        <w:rPr>
          <w:rFonts w:hint="eastAsia" w:ascii="仿宋_GB2312" w:hAnsi="仿宋_GB2312" w:eastAsia="仿宋_GB2312" w:cs="仿宋_GB2312"/>
          <w:kern w:val="44"/>
          <w:sz w:val="32"/>
          <w:szCs w:val="32"/>
        </w:rPr>
        <w:t>万元，当年财政拨款收入</w:t>
      </w:r>
      <w:r>
        <w:rPr>
          <w:rFonts w:hint="eastAsia" w:ascii="仿宋_GB2312" w:hAnsi="仿宋_GB2312" w:eastAsia="仿宋_GB2312" w:cs="仿宋_GB2312"/>
          <w:kern w:val="44"/>
          <w:sz w:val="32"/>
          <w:szCs w:val="32"/>
          <w:lang w:val="en-US" w:eastAsia="zh-CN"/>
        </w:rPr>
        <w:t>1113.12</w:t>
      </w:r>
      <w:r>
        <w:rPr>
          <w:rFonts w:hint="eastAsia" w:ascii="仿宋_GB2312" w:hAnsi="仿宋_GB2312" w:eastAsia="仿宋_GB2312" w:cs="仿宋_GB2312"/>
          <w:kern w:val="44"/>
          <w:sz w:val="32"/>
          <w:szCs w:val="32"/>
        </w:rPr>
        <w:t>万元，其中：一般公共服务</w:t>
      </w:r>
      <w:r>
        <w:rPr>
          <w:rFonts w:hint="eastAsia" w:ascii="仿宋_GB2312" w:hAnsi="仿宋_GB2312" w:eastAsia="仿宋_GB2312" w:cs="仿宋_GB2312"/>
          <w:kern w:val="44"/>
          <w:sz w:val="32"/>
          <w:szCs w:val="32"/>
          <w:lang w:val="en-US" w:eastAsia="zh-CN"/>
        </w:rPr>
        <w:t>404.78</w:t>
      </w:r>
      <w:r>
        <w:rPr>
          <w:rFonts w:hint="eastAsia" w:ascii="仿宋_GB2312" w:hAnsi="仿宋_GB2312" w:eastAsia="仿宋_GB2312" w:cs="仿宋_GB2312"/>
          <w:kern w:val="44"/>
          <w:sz w:val="32"/>
          <w:szCs w:val="32"/>
        </w:rPr>
        <w:t>万元，社会保障和就业</w:t>
      </w:r>
      <w:r>
        <w:rPr>
          <w:rFonts w:hint="eastAsia" w:ascii="仿宋_GB2312" w:hAnsi="仿宋_GB2312" w:eastAsia="仿宋_GB2312" w:cs="仿宋_GB2312"/>
          <w:kern w:val="44"/>
          <w:sz w:val="32"/>
          <w:szCs w:val="32"/>
          <w:lang w:val="en-US" w:eastAsia="zh-CN"/>
        </w:rPr>
        <w:t>37.97</w:t>
      </w:r>
      <w:r>
        <w:rPr>
          <w:rFonts w:hint="eastAsia" w:ascii="仿宋_GB2312" w:hAnsi="仿宋_GB2312" w:eastAsia="仿宋_GB2312" w:cs="仿宋_GB2312"/>
          <w:kern w:val="44"/>
          <w:sz w:val="32"/>
          <w:szCs w:val="32"/>
        </w:rPr>
        <w:t>万元，医疗卫生</w:t>
      </w:r>
      <w:r>
        <w:rPr>
          <w:rFonts w:hint="eastAsia" w:ascii="仿宋_GB2312" w:hAnsi="仿宋_GB2312" w:eastAsia="仿宋_GB2312" w:cs="仿宋_GB2312"/>
          <w:kern w:val="44"/>
          <w:sz w:val="32"/>
          <w:szCs w:val="32"/>
          <w:lang w:val="en-US" w:eastAsia="zh-CN"/>
        </w:rPr>
        <w:t>18.36</w:t>
      </w:r>
      <w:r>
        <w:rPr>
          <w:rFonts w:hint="eastAsia" w:ascii="仿宋_GB2312" w:hAnsi="仿宋_GB2312" w:eastAsia="仿宋_GB2312" w:cs="仿宋_GB2312"/>
          <w:kern w:val="44"/>
          <w:sz w:val="32"/>
          <w:szCs w:val="32"/>
        </w:rPr>
        <w:t>万元，住房保障支出</w:t>
      </w:r>
      <w:r>
        <w:rPr>
          <w:rFonts w:hint="eastAsia" w:ascii="仿宋_GB2312" w:hAnsi="仿宋_GB2312" w:eastAsia="仿宋_GB2312" w:cs="仿宋_GB2312"/>
          <w:kern w:val="44"/>
          <w:sz w:val="32"/>
          <w:szCs w:val="32"/>
          <w:lang w:val="en-US" w:eastAsia="zh-CN"/>
        </w:rPr>
        <w:t>25.35</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eastAsia="zh-CN"/>
        </w:rPr>
        <w:t>城乡社区支出</w:t>
      </w:r>
      <w:r>
        <w:rPr>
          <w:rFonts w:hint="eastAsia" w:ascii="仿宋_GB2312" w:hAnsi="仿宋_GB2312" w:eastAsia="仿宋_GB2312" w:cs="仿宋_GB2312"/>
          <w:kern w:val="44"/>
          <w:sz w:val="32"/>
          <w:szCs w:val="32"/>
          <w:lang w:val="en-US" w:eastAsia="zh-CN"/>
        </w:rPr>
        <w:t>222.92万元；农林水支出369.79万元；其他支出33.96万元。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w:t>
      </w:r>
      <w:r>
        <w:rPr>
          <w:rFonts w:hint="eastAsia" w:ascii="仿宋_GB2312" w:hAnsi="仿宋_GB2312" w:eastAsia="仿宋_GB2312" w:cs="仿宋_GB2312"/>
          <w:kern w:val="44"/>
          <w:sz w:val="32"/>
          <w:szCs w:val="32"/>
          <w:lang w:eastAsia="zh-CN"/>
        </w:rPr>
        <w:t>.</w:t>
      </w:r>
      <w:r>
        <w:rPr>
          <w:rFonts w:hint="eastAsia" w:ascii="仿宋_GB2312" w:hAnsi="仿宋_GB2312" w:eastAsia="仿宋_GB2312" w:cs="仿宋_GB2312"/>
          <w:kern w:val="44"/>
          <w:sz w:val="32"/>
          <w:szCs w:val="32"/>
        </w:rPr>
        <w:t>决算编制情况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年我局总收入为</w:t>
      </w:r>
      <w:r>
        <w:rPr>
          <w:rFonts w:hint="eastAsia" w:ascii="仿宋_GB2312" w:hAnsi="仿宋_GB2312" w:eastAsia="仿宋_GB2312" w:cs="仿宋_GB2312"/>
          <w:kern w:val="44"/>
          <w:sz w:val="32"/>
          <w:szCs w:val="32"/>
          <w:lang w:val="en-US" w:eastAsia="zh-CN"/>
        </w:rPr>
        <w:t>1114.16</w:t>
      </w:r>
      <w:r>
        <w:rPr>
          <w:rFonts w:hint="eastAsia" w:ascii="仿宋_GB2312" w:hAnsi="仿宋_GB2312" w:eastAsia="仿宋_GB2312" w:cs="仿宋_GB2312"/>
          <w:kern w:val="44"/>
          <w:sz w:val="32"/>
          <w:szCs w:val="32"/>
        </w:rPr>
        <w:t>万元，财政拨款收入：</w:t>
      </w:r>
      <w:r>
        <w:rPr>
          <w:rFonts w:hint="eastAsia" w:ascii="仿宋_GB2312" w:hAnsi="仿宋_GB2312" w:eastAsia="仿宋_GB2312" w:cs="仿宋_GB2312"/>
          <w:kern w:val="44"/>
          <w:sz w:val="32"/>
          <w:szCs w:val="32"/>
          <w:lang w:val="en-US" w:eastAsia="zh-CN"/>
        </w:rPr>
        <w:t>1114.16</w:t>
      </w:r>
      <w:r>
        <w:rPr>
          <w:rFonts w:hint="eastAsia" w:ascii="仿宋_GB2312" w:hAnsi="仿宋_GB2312" w:eastAsia="仿宋_GB2312" w:cs="仿宋_GB2312"/>
          <w:kern w:val="44"/>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年初结转和结余情况： 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年年初无结转和结余。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w:t>
      </w:r>
      <w:r>
        <w:rPr>
          <w:rFonts w:hint="eastAsia" w:ascii="仿宋_GB2312" w:hAnsi="仿宋_GB2312" w:eastAsia="仿宋_GB2312" w:cs="仿宋_GB2312"/>
          <w:kern w:val="44"/>
          <w:sz w:val="32"/>
          <w:szCs w:val="32"/>
          <w:lang w:val="en-US" w:eastAsia="zh-CN"/>
        </w:rPr>
        <w:t>2</w:t>
      </w:r>
      <w:r>
        <w:rPr>
          <w:rFonts w:hint="eastAsia" w:ascii="仿宋_GB2312" w:hAnsi="仿宋_GB2312" w:eastAsia="仿宋_GB2312" w:cs="仿宋_GB2312"/>
          <w:kern w:val="44"/>
          <w:sz w:val="32"/>
          <w:szCs w:val="32"/>
        </w:rPr>
        <w:t>）支出情况：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年部门决算总支出</w:t>
      </w:r>
      <w:r>
        <w:rPr>
          <w:rFonts w:hint="eastAsia" w:ascii="仿宋_GB2312" w:hAnsi="仿宋_GB2312" w:eastAsia="仿宋_GB2312" w:cs="仿宋_GB2312"/>
          <w:kern w:val="44"/>
          <w:sz w:val="32"/>
          <w:szCs w:val="32"/>
          <w:lang w:val="en-US" w:eastAsia="zh-CN"/>
        </w:rPr>
        <w:t>1113.12</w:t>
      </w:r>
      <w:r>
        <w:rPr>
          <w:rFonts w:hint="eastAsia" w:ascii="仿宋_GB2312" w:hAnsi="仿宋_GB2312" w:eastAsia="仿宋_GB2312" w:cs="仿宋_GB2312"/>
          <w:kern w:val="44"/>
          <w:sz w:val="32"/>
          <w:szCs w:val="32"/>
        </w:rPr>
        <w:t>万元，其中：基本支出</w:t>
      </w:r>
      <w:r>
        <w:rPr>
          <w:rFonts w:hint="eastAsia" w:ascii="仿宋_GB2312" w:hAnsi="仿宋_GB2312" w:eastAsia="仿宋_GB2312" w:cs="仿宋_GB2312"/>
          <w:kern w:val="44"/>
          <w:sz w:val="32"/>
          <w:szCs w:val="32"/>
          <w:lang w:val="en-US" w:eastAsia="zh-CN"/>
        </w:rPr>
        <w:t>463.4</w:t>
      </w:r>
      <w:r>
        <w:rPr>
          <w:rFonts w:hint="eastAsia" w:ascii="仿宋_GB2312" w:hAnsi="仿宋_GB2312" w:eastAsia="仿宋_GB2312" w:cs="仿宋_GB2312"/>
          <w:kern w:val="44"/>
          <w:sz w:val="32"/>
          <w:szCs w:val="32"/>
        </w:rPr>
        <w:t>万元，占总支出的</w:t>
      </w:r>
      <w:r>
        <w:rPr>
          <w:rFonts w:hint="eastAsia" w:ascii="仿宋_GB2312" w:hAnsi="仿宋_GB2312" w:eastAsia="仿宋_GB2312" w:cs="仿宋_GB2312"/>
          <w:kern w:val="44"/>
          <w:sz w:val="32"/>
          <w:szCs w:val="32"/>
          <w:lang w:val="en-US" w:eastAsia="zh-CN"/>
        </w:rPr>
        <w:t>41.63</w:t>
      </w:r>
      <w:r>
        <w:rPr>
          <w:rFonts w:hint="eastAsia" w:ascii="仿宋_GB2312" w:hAnsi="仿宋_GB2312" w:eastAsia="仿宋_GB2312" w:cs="仿宋_GB2312"/>
          <w:kern w:val="44"/>
          <w:sz w:val="32"/>
          <w:szCs w:val="32"/>
        </w:rPr>
        <w:t>％，项目支出</w:t>
      </w:r>
      <w:r>
        <w:rPr>
          <w:rFonts w:hint="eastAsia" w:ascii="仿宋_GB2312" w:hAnsi="仿宋_GB2312" w:eastAsia="仿宋_GB2312" w:cs="仿宋_GB2312"/>
          <w:kern w:val="44"/>
          <w:sz w:val="32"/>
          <w:szCs w:val="32"/>
          <w:lang w:val="en-US" w:eastAsia="zh-CN"/>
        </w:rPr>
        <w:t>649.72</w:t>
      </w:r>
      <w:r>
        <w:rPr>
          <w:rFonts w:hint="eastAsia" w:ascii="仿宋_GB2312" w:hAnsi="仿宋_GB2312" w:eastAsia="仿宋_GB2312" w:cs="仿宋_GB2312"/>
          <w:kern w:val="44"/>
          <w:sz w:val="32"/>
          <w:szCs w:val="32"/>
        </w:rPr>
        <w:t>万元，占总支出的</w:t>
      </w:r>
      <w:r>
        <w:rPr>
          <w:rFonts w:hint="eastAsia" w:ascii="仿宋_GB2312" w:hAnsi="仿宋_GB2312" w:eastAsia="仿宋_GB2312" w:cs="仿宋_GB2312"/>
          <w:kern w:val="44"/>
          <w:sz w:val="32"/>
          <w:szCs w:val="32"/>
          <w:lang w:val="en-US" w:eastAsia="zh-CN"/>
        </w:rPr>
        <w:t>58.37</w:t>
      </w:r>
      <w:r>
        <w:rPr>
          <w:rFonts w:hint="eastAsia" w:ascii="仿宋_GB2312" w:hAnsi="仿宋_GB2312" w:eastAsia="仿宋_GB2312" w:cs="仿宋_GB2312"/>
          <w:kern w:val="44"/>
          <w:sz w:val="32"/>
          <w:szCs w:val="32"/>
        </w:rPr>
        <w:t>％。按支出</w:t>
      </w:r>
      <w:r>
        <w:rPr>
          <w:rFonts w:hint="eastAsia" w:ascii="仿宋_GB2312" w:hAnsi="仿宋_GB2312" w:eastAsia="仿宋_GB2312" w:cs="仿宋_GB2312"/>
          <w:kern w:val="44"/>
          <w:sz w:val="32"/>
          <w:szCs w:val="32"/>
          <w:lang w:eastAsia="zh-CN"/>
        </w:rPr>
        <w:t>经济</w:t>
      </w:r>
      <w:r>
        <w:rPr>
          <w:rFonts w:hint="eastAsia" w:ascii="仿宋_GB2312" w:hAnsi="仿宋_GB2312" w:eastAsia="仿宋_GB2312" w:cs="仿宋_GB2312"/>
          <w:kern w:val="44"/>
          <w:sz w:val="32"/>
          <w:szCs w:val="32"/>
        </w:rPr>
        <w:t>科目分类，工资福利支出</w:t>
      </w:r>
      <w:r>
        <w:rPr>
          <w:rFonts w:hint="eastAsia" w:ascii="仿宋_GB2312" w:hAnsi="仿宋_GB2312" w:eastAsia="仿宋_GB2312" w:cs="仿宋_GB2312"/>
          <w:kern w:val="44"/>
          <w:sz w:val="32"/>
          <w:szCs w:val="32"/>
          <w:lang w:val="en-US" w:eastAsia="zh-CN"/>
        </w:rPr>
        <w:t>377.28</w:t>
      </w:r>
      <w:r>
        <w:rPr>
          <w:rFonts w:hint="eastAsia" w:ascii="仿宋_GB2312" w:hAnsi="仿宋_GB2312" w:eastAsia="仿宋_GB2312" w:cs="仿宋_GB2312"/>
          <w:kern w:val="44"/>
          <w:sz w:val="32"/>
          <w:szCs w:val="32"/>
        </w:rPr>
        <w:t>万元，商品服务支出</w:t>
      </w:r>
      <w:r>
        <w:rPr>
          <w:rFonts w:hint="eastAsia" w:ascii="仿宋_GB2312" w:hAnsi="仿宋_GB2312" w:eastAsia="仿宋_GB2312" w:cs="仿宋_GB2312"/>
          <w:kern w:val="44"/>
          <w:sz w:val="32"/>
          <w:szCs w:val="32"/>
          <w:lang w:val="en-US" w:eastAsia="zh-CN"/>
        </w:rPr>
        <w:t>115.41</w:t>
      </w:r>
      <w:r>
        <w:rPr>
          <w:rFonts w:hint="eastAsia" w:ascii="仿宋_GB2312" w:hAnsi="仿宋_GB2312" w:eastAsia="仿宋_GB2312" w:cs="仿宋_GB2312"/>
          <w:kern w:val="44"/>
          <w:sz w:val="32"/>
          <w:szCs w:val="32"/>
        </w:rPr>
        <w:t>万元，对个人和家庭补助</w:t>
      </w:r>
      <w:r>
        <w:rPr>
          <w:rFonts w:hint="eastAsia" w:ascii="仿宋_GB2312" w:hAnsi="仿宋_GB2312" w:eastAsia="仿宋_GB2312" w:cs="仿宋_GB2312"/>
          <w:kern w:val="44"/>
          <w:sz w:val="32"/>
          <w:szCs w:val="32"/>
          <w:lang w:val="en-US" w:eastAsia="zh-CN"/>
        </w:rPr>
        <w:t>22.73</w:t>
      </w:r>
      <w:r>
        <w:rPr>
          <w:rFonts w:hint="eastAsia" w:ascii="仿宋_GB2312" w:hAnsi="仿宋_GB2312" w:eastAsia="仿宋_GB2312" w:cs="仿宋_GB2312"/>
          <w:kern w:val="44"/>
          <w:sz w:val="32"/>
          <w:szCs w:val="32"/>
        </w:rPr>
        <w:t>万元，其他资本性支出</w:t>
      </w:r>
      <w:r>
        <w:rPr>
          <w:rFonts w:hint="eastAsia" w:ascii="仿宋_GB2312" w:hAnsi="仿宋_GB2312" w:eastAsia="仿宋_GB2312" w:cs="仿宋_GB2312"/>
          <w:kern w:val="44"/>
          <w:sz w:val="32"/>
          <w:szCs w:val="32"/>
          <w:lang w:val="en-US" w:eastAsia="zh-CN"/>
        </w:rPr>
        <w:t>597.7</w:t>
      </w:r>
      <w:r>
        <w:rPr>
          <w:rFonts w:hint="eastAsia" w:ascii="仿宋_GB2312" w:hAnsi="仿宋_GB2312" w:eastAsia="仿宋_GB2312" w:cs="仿宋_GB2312"/>
          <w:kern w:val="44"/>
          <w:sz w:val="32"/>
          <w:szCs w:val="32"/>
        </w:rPr>
        <w:t>万元。</w:t>
      </w:r>
    </w:p>
    <w:p>
      <w:pPr>
        <w:pStyle w:val="4"/>
        <w:pageBreakBefore w:val="0"/>
        <w:kinsoku/>
        <w:wordWrap/>
        <w:overflowPunct/>
        <w:topLinePunct w:val="0"/>
        <w:autoSpaceDE/>
        <w:autoSpaceDN/>
        <w:bidi w:val="0"/>
        <w:spacing w:line="576" w:lineRule="exact"/>
        <w:ind w:firstLine="643" w:firstLineChars="200"/>
        <w:jc w:val="both"/>
        <w:textAlignment w:val="auto"/>
        <w:rPr>
          <w:rStyle w:val="28"/>
          <w:rFonts w:hint="eastAsia" w:ascii="楷体" w:hAnsi="楷体" w:eastAsia="楷体" w:cs="楷体"/>
          <w:b/>
          <w:bCs w:val="0"/>
          <w:lang w:val="zh-CN"/>
        </w:rPr>
      </w:pPr>
      <w:r>
        <w:rPr>
          <w:rStyle w:val="28"/>
          <w:rFonts w:hint="eastAsia" w:ascii="楷体" w:hAnsi="楷体" w:eastAsia="楷体" w:cs="楷体"/>
          <w:b/>
          <w:bCs w:val="0"/>
          <w:lang w:val="zh-CN"/>
        </w:rPr>
        <w:t>（二）执行管理情况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rPr>
        <w:t>严格控制行政成本，节能降耗，严格执行“三公”经费预算。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44"/>
          <w:sz w:val="32"/>
          <w:szCs w:val="32"/>
          <w:lang w:val="zh-CN"/>
        </w:rPr>
      </w:pPr>
      <w:r>
        <w:rPr>
          <w:rStyle w:val="28"/>
          <w:rFonts w:hint="eastAsia" w:ascii="楷体" w:hAnsi="楷体" w:eastAsia="楷体" w:cs="楷体"/>
          <w:bCs w:val="0"/>
          <w:lang w:val="zh-CN" w:eastAsia="zh-CN" w:bidi="ar-SA"/>
        </w:rPr>
        <w:t>（三）综合管理情况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1</w:t>
      </w:r>
      <w:r>
        <w:rPr>
          <w:rFonts w:hint="eastAsia" w:ascii="仿宋_GB2312" w:hAnsi="仿宋_GB2312" w:eastAsia="仿宋_GB2312" w:cs="仿宋_GB2312"/>
          <w:kern w:val="44"/>
          <w:sz w:val="32"/>
          <w:szCs w:val="32"/>
          <w:lang w:val="en-US" w:eastAsia="zh-CN"/>
        </w:rPr>
        <w:t>.</w:t>
      </w:r>
      <w:r>
        <w:rPr>
          <w:rFonts w:hint="eastAsia" w:ascii="仿宋_GB2312" w:hAnsi="仿宋_GB2312" w:eastAsia="仿宋_GB2312" w:cs="仿宋_GB2312"/>
          <w:kern w:val="44"/>
          <w:sz w:val="32"/>
          <w:szCs w:val="32"/>
          <w:lang w:val="zh-CN"/>
        </w:rPr>
        <w:t>部门支出绩效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（1）行政运转保障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年保障机关运转支出</w:t>
      </w:r>
      <w:r>
        <w:rPr>
          <w:rFonts w:hint="eastAsia" w:ascii="仿宋_GB2312" w:hAnsi="仿宋_GB2312" w:eastAsia="仿宋_GB2312" w:cs="仿宋_GB2312"/>
          <w:kern w:val="44"/>
          <w:sz w:val="32"/>
          <w:szCs w:val="32"/>
          <w:lang w:val="en-US" w:eastAsia="zh-CN"/>
        </w:rPr>
        <w:t>1113.12</w:t>
      </w:r>
      <w:r>
        <w:rPr>
          <w:rFonts w:hint="eastAsia" w:ascii="仿宋_GB2312" w:hAnsi="仿宋_GB2312" w:eastAsia="仿宋_GB2312" w:cs="仿宋_GB2312"/>
          <w:kern w:val="44"/>
          <w:sz w:val="32"/>
          <w:szCs w:val="32"/>
        </w:rPr>
        <w:t>万元。其中，行政运行支出</w:t>
      </w:r>
      <w:r>
        <w:rPr>
          <w:rFonts w:hint="eastAsia" w:ascii="仿宋_GB2312" w:hAnsi="仿宋_GB2312" w:eastAsia="仿宋_GB2312" w:cs="仿宋_GB2312"/>
          <w:kern w:val="44"/>
          <w:sz w:val="32"/>
          <w:szCs w:val="32"/>
          <w:lang w:val="en-US" w:eastAsia="zh-CN"/>
        </w:rPr>
        <w:t>324.43</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eastAsia="zh-CN"/>
        </w:rPr>
        <w:t>一般行政管理事务</w:t>
      </w:r>
      <w:r>
        <w:rPr>
          <w:rFonts w:hint="eastAsia" w:ascii="仿宋_GB2312" w:hAnsi="仿宋_GB2312" w:eastAsia="仿宋_GB2312" w:cs="仿宋_GB2312"/>
          <w:kern w:val="44"/>
          <w:sz w:val="32"/>
          <w:szCs w:val="32"/>
          <w:lang w:val="en-US" w:eastAsia="zh-CN"/>
        </w:rPr>
        <w:t>23.05万元，事业运行57.2万元</w:t>
      </w:r>
      <w:r>
        <w:rPr>
          <w:rFonts w:hint="eastAsia" w:ascii="仿宋_GB2312" w:hAnsi="仿宋_GB2312" w:eastAsia="仿宋_GB2312" w:cs="仿宋_GB2312"/>
          <w:kern w:val="44"/>
          <w:sz w:val="32"/>
          <w:szCs w:val="32"/>
          <w:lang w:eastAsia="zh-CN"/>
        </w:rPr>
        <w:t>，机关事业单位基本保险缴费支出</w:t>
      </w:r>
      <w:r>
        <w:rPr>
          <w:rFonts w:hint="eastAsia" w:ascii="仿宋_GB2312" w:hAnsi="仿宋_GB2312" w:eastAsia="仿宋_GB2312" w:cs="仿宋_GB2312"/>
          <w:kern w:val="44"/>
          <w:sz w:val="32"/>
          <w:szCs w:val="32"/>
          <w:lang w:val="en-US" w:eastAsia="zh-CN"/>
        </w:rPr>
        <w:t>25.93万元，机关事业单位职业年金缴费支出12.04万元，行政单位医疗支出18.36万元，城乡社区支出222.92万元，其他扶贫支出369.79万元，住房公积金支出25.35万元，其他支出33.96万元。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（2）机关厉行节约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年我局“三公”经费支出</w:t>
      </w:r>
      <w:r>
        <w:rPr>
          <w:rFonts w:hint="eastAsia" w:ascii="仿宋_GB2312" w:hAnsi="仿宋_GB2312" w:eastAsia="仿宋_GB2312" w:cs="仿宋_GB2312"/>
          <w:kern w:val="44"/>
          <w:sz w:val="32"/>
          <w:szCs w:val="32"/>
          <w:lang w:val="en-US" w:eastAsia="zh-CN"/>
        </w:rPr>
        <w:t>4.33</w:t>
      </w:r>
      <w:r>
        <w:rPr>
          <w:rFonts w:hint="eastAsia" w:ascii="仿宋_GB2312" w:hAnsi="仿宋_GB2312" w:eastAsia="仿宋_GB2312" w:cs="仿宋_GB2312"/>
          <w:kern w:val="44"/>
          <w:sz w:val="32"/>
          <w:szCs w:val="32"/>
        </w:rPr>
        <w:t>万元。其中，无因公出国（境）费、会议费0万元，公务用车运行维护费</w:t>
      </w:r>
      <w:r>
        <w:rPr>
          <w:rFonts w:hint="eastAsia" w:ascii="仿宋_GB2312" w:hAnsi="仿宋_GB2312" w:eastAsia="仿宋_GB2312" w:cs="仿宋_GB2312"/>
          <w:kern w:val="44"/>
          <w:sz w:val="32"/>
          <w:szCs w:val="32"/>
          <w:lang w:val="en-US" w:eastAsia="zh-CN"/>
        </w:rPr>
        <w:t>4.06</w:t>
      </w:r>
      <w:r>
        <w:rPr>
          <w:rFonts w:hint="eastAsia" w:ascii="仿宋_GB2312" w:hAnsi="仿宋_GB2312" w:eastAsia="仿宋_GB2312" w:cs="仿宋_GB2312"/>
          <w:kern w:val="44"/>
          <w:sz w:val="32"/>
          <w:szCs w:val="32"/>
        </w:rPr>
        <w:t>万元，公务接待费</w:t>
      </w:r>
      <w:r>
        <w:rPr>
          <w:rFonts w:hint="eastAsia" w:ascii="仿宋_GB2312" w:hAnsi="仿宋_GB2312" w:eastAsia="仿宋_GB2312" w:cs="仿宋_GB2312"/>
          <w:kern w:val="44"/>
          <w:sz w:val="32"/>
          <w:szCs w:val="32"/>
          <w:lang w:val="en-US" w:eastAsia="zh-CN"/>
        </w:rPr>
        <w:t>0.27</w:t>
      </w:r>
      <w:r>
        <w:rPr>
          <w:rFonts w:hint="eastAsia" w:ascii="仿宋_GB2312" w:hAnsi="仿宋_GB2312" w:eastAsia="仿宋_GB2312" w:cs="仿宋_GB2312"/>
          <w:kern w:val="44"/>
          <w:sz w:val="32"/>
          <w:szCs w:val="32"/>
        </w:rPr>
        <w:t>万元。在单位厉行节约方面我局进一步加强财务管理，严格按照财经制度执行，完善“三公”经费审核审批程序，使经费较好地控制在预算范围之内。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2</w:t>
      </w:r>
      <w:r>
        <w:rPr>
          <w:rFonts w:hint="eastAsia" w:ascii="仿宋_GB2312" w:hAnsi="仿宋_GB2312" w:eastAsia="仿宋_GB2312" w:cs="仿宋_GB2312"/>
          <w:kern w:val="44"/>
          <w:sz w:val="32"/>
          <w:szCs w:val="32"/>
          <w:lang w:val="en-US" w:eastAsia="zh-CN"/>
        </w:rPr>
        <w:t>.</w:t>
      </w:r>
      <w:r>
        <w:rPr>
          <w:rFonts w:hint="eastAsia" w:ascii="仿宋_GB2312" w:hAnsi="仿宋_GB2312" w:eastAsia="仿宋_GB2312" w:cs="仿宋_GB2312"/>
          <w:kern w:val="44"/>
          <w:sz w:val="32"/>
          <w:szCs w:val="32"/>
          <w:lang w:val="zh-CN"/>
        </w:rPr>
        <w:t>专项预算项目（待批复项目）支出绩效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（1）资金绩效分配情况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lang w:val="zh-CN"/>
        </w:rPr>
        <w:t>执行《茂县县级财政专项资金绩效分配管理暂行办法》，实施绩效分配情况。</w:t>
      </w:r>
      <w:r>
        <w:rPr>
          <w:rFonts w:hint="eastAsia" w:ascii="仿宋_GB2312" w:hAnsi="仿宋_GB2312" w:eastAsia="仿宋_GB2312" w:cs="仿宋_GB2312"/>
          <w:kern w:val="44"/>
          <w:sz w:val="32"/>
          <w:szCs w:val="32"/>
        </w:rPr>
        <w:t>以工代赈项目资金</w:t>
      </w:r>
      <w:r>
        <w:rPr>
          <w:rFonts w:hint="eastAsia" w:ascii="仿宋_GB2312" w:hAnsi="仿宋_GB2312" w:eastAsia="仿宋_GB2312" w:cs="仿宋_GB2312"/>
          <w:kern w:val="44"/>
          <w:sz w:val="32"/>
          <w:szCs w:val="32"/>
          <w:lang w:val="en-US" w:eastAsia="zh-CN"/>
        </w:rPr>
        <w:t>523</w:t>
      </w:r>
      <w:r>
        <w:rPr>
          <w:rFonts w:hint="eastAsia" w:ascii="仿宋_GB2312" w:hAnsi="仿宋_GB2312" w:eastAsia="仿宋_GB2312" w:cs="仿宋_GB2312"/>
          <w:kern w:val="44"/>
          <w:sz w:val="32"/>
          <w:szCs w:val="32"/>
        </w:rPr>
        <w:t>万，</w:t>
      </w:r>
      <w:r>
        <w:rPr>
          <w:rFonts w:hint="eastAsia" w:ascii="仿宋_GB2312" w:hAnsi="仿宋_GB2312" w:eastAsia="仿宋_GB2312" w:cs="仿宋_GB2312"/>
          <w:kern w:val="44"/>
          <w:sz w:val="32"/>
          <w:szCs w:val="32"/>
          <w:lang w:eastAsia="zh-CN"/>
        </w:rPr>
        <w:t>其中：</w:t>
      </w:r>
      <w:r>
        <w:rPr>
          <w:rFonts w:hint="eastAsia" w:ascii="仿宋_GB2312" w:hAnsi="仿宋_GB2312" w:eastAsia="仿宋_GB2312" w:cs="仿宋_GB2312"/>
          <w:kern w:val="44"/>
          <w:sz w:val="32"/>
          <w:szCs w:val="32"/>
          <w:lang w:val="en-US" w:eastAsia="zh-CN"/>
        </w:rPr>
        <w:t>2019年以工代赈项目凤仪镇石鼓村桥梁</w:t>
      </w:r>
      <w:r>
        <w:rPr>
          <w:rFonts w:hint="eastAsia" w:ascii="仿宋_GB2312" w:hAnsi="仿宋_GB2312" w:eastAsia="仿宋_GB2312" w:cs="仿宋_GB2312"/>
          <w:kern w:val="44"/>
          <w:sz w:val="32"/>
          <w:szCs w:val="32"/>
        </w:rPr>
        <w:t>建设项目</w:t>
      </w:r>
      <w:r>
        <w:rPr>
          <w:rFonts w:hint="eastAsia" w:ascii="仿宋_GB2312" w:hAnsi="仿宋_GB2312" w:eastAsia="仿宋_GB2312" w:cs="仿宋_GB2312"/>
          <w:kern w:val="44"/>
          <w:sz w:val="32"/>
          <w:szCs w:val="32"/>
          <w:lang w:val="en-US" w:eastAsia="zh-CN"/>
        </w:rPr>
        <w:t>49.09</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val="en-US" w:eastAsia="zh-CN"/>
        </w:rPr>
        <w:t>2019年以工代赈项目凤仪镇静州村桥梁建设14</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eastAsia="zh-CN"/>
        </w:rPr>
        <w:t>。</w:t>
      </w:r>
      <w:r>
        <w:rPr>
          <w:rFonts w:hint="eastAsia" w:ascii="仿宋_GB2312" w:hAnsi="仿宋_GB2312" w:eastAsia="仿宋_GB2312" w:cs="仿宋_GB2312"/>
          <w:kern w:val="44"/>
          <w:sz w:val="32"/>
          <w:szCs w:val="32"/>
          <w:lang w:val="en-US" w:eastAsia="zh-CN"/>
        </w:rPr>
        <w:t>2019年以工代赈项目东兴镇亚坪村机耕道建设项目131.18</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eastAsia="zh-CN"/>
        </w:rPr>
        <w:t>。</w:t>
      </w:r>
      <w:r>
        <w:rPr>
          <w:rFonts w:hint="eastAsia" w:ascii="仿宋_GB2312" w:hAnsi="仿宋_GB2312" w:eastAsia="仿宋_GB2312" w:cs="仿宋_GB2312"/>
          <w:kern w:val="44"/>
          <w:sz w:val="32"/>
          <w:szCs w:val="32"/>
          <w:lang w:val="en-US" w:eastAsia="zh-CN"/>
        </w:rPr>
        <w:t>2019年以工代赈项目洼底乡洼底村基础设施建设项目186.98</w:t>
      </w:r>
      <w:r>
        <w:rPr>
          <w:rFonts w:hint="eastAsia" w:ascii="仿宋_GB2312" w:hAnsi="仿宋_GB2312" w:eastAsia="仿宋_GB2312" w:cs="仿宋_GB2312"/>
          <w:kern w:val="44"/>
          <w:sz w:val="32"/>
          <w:szCs w:val="32"/>
        </w:rPr>
        <w:t>万元</w:t>
      </w:r>
      <w:r>
        <w:rPr>
          <w:rFonts w:hint="eastAsia" w:ascii="仿宋_GB2312" w:hAnsi="仿宋_GB2312" w:eastAsia="仿宋_GB2312" w:cs="仿宋_GB2312"/>
          <w:kern w:val="44"/>
          <w:sz w:val="32"/>
          <w:szCs w:val="32"/>
          <w:lang w:eastAsia="zh-CN"/>
        </w:rPr>
        <w:t>。</w:t>
      </w:r>
      <w:r>
        <w:rPr>
          <w:rFonts w:hint="eastAsia" w:ascii="仿宋_GB2312" w:hAnsi="仿宋_GB2312" w:eastAsia="仿宋_GB2312" w:cs="仿宋_GB2312"/>
          <w:kern w:val="44"/>
          <w:sz w:val="32"/>
          <w:szCs w:val="32"/>
          <w:lang w:val="en-US" w:eastAsia="zh-CN"/>
        </w:rPr>
        <w:t>4个</w:t>
      </w:r>
      <w:r>
        <w:rPr>
          <w:rFonts w:hint="eastAsia" w:ascii="仿宋_GB2312" w:hAnsi="仿宋_GB2312" w:eastAsia="仿宋_GB2312" w:cs="仿宋_GB2312"/>
          <w:kern w:val="44"/>
          <w:sz w:val="32"/>
          <w:szCs w:val="32"/>
        </w:rPr>
        <w:t>项目年底全部完工，剩余</w:t>
      </w:r>
      <w:r>
        <w:rPr>
          <w:rFonts w:hint="eastAsia" w:ascii="仿宋_GB2312" w:hAnsi="仿宋_GB2312" w:eastAsia="仿宋_GB2312" w:cs="仿宋_GB2312"/>
          <w:kern w:val="44"/>
          <w:sz w:val="32"/>
          <w:szCs w:val="32"/>
          <w:lang w:val="en-US" w:eastAsia="zh-CN"/>
        </w:rPr>
        <w:t>141.76</w:t>
      </w:r>
      <w:r>
        <w:rPr>
          <w:rFonts w:hint="eastAsia" w:ascii="仿宋_GB2312" w:hAnsi="仿宋_GB2312" w:eastAsia="仿宋_GB2312" w:cs="仿宋_GB2312"/>
          <w:kern w:val="44"/>
          <w:sz w:val="32"/>
          <w:szCs w:val="32"/>
        </w:rPr>
        <w:t>万元年底全部返还财政。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w:t>
      </w:r>
      <w:r>
        <w:rPr>
          <w:rFonts w:hint="eastAsia" w:ascii="仿宋_GB2312" w:hAnsi="仿宋_GB2312" w:eastAsia="仿宋_GB2312" w:cs="仿宋_GB2312"/>
          <w:kern w:val="44"/>
          <w:sz w:val="32"/>
          <w:szCs w:val="32"/>
          <w:lang w:val="en-US" w:eastAsia="zh-CN"/>
        </w:rPr>
        <w:t>2</w:t>
      </w:r>
      <w:r>
        <w:rPr>
          <w:rFonts w:hint="eastAsia" w:ascii="仿宋_GB2312" w:hAnsi="仿宋_GB2312" w:eastAsia="仿宋_GB2312" w:cs="仿宋_GB2312"/>
          <w:kern w:val="44"/>
          <w:sz w:val="32"/>
          <w:szCs w:val="32"/>
          <w:lang w:val="zh-CN"/>
        </w:rPr>
        <w:t>）项目资金管理情况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eastAsia="zh-CN"/>
        </w:rPr>
      </w:pPr>
      <w:r>
        <w:rPr>
          <w:rFonts w:hint="eastAsia" w:ascii="仿宋_GB2312" w:hAnsi="仿宋_GB2312" w:eastAsia="仿宋_GB2312" w:cs="仿宋_GB2312"/>
          <w:kern w:val="44"/>
          <w:sz w:val="32"/>
          <w:szCs w:val="32"/>
          <w:lang w:val="zh-CN" w:eastAsia="zh-CN"/>
        </w:rPr>
        <w:t>严格执行《茂县县级财政专项资金绩效分配管理暂行办法》转款专用，资金支付依据和开支标准合规合法。</w:t>
      </w:r>
      <w:r>
        <w:rPr>
          <w:rFonts w:hint="eastAsia" w:ascii="仿宋_GB2312" w:hAnsi="仿宋_GB2312" w:eastAsia="仿宋_GB2312" w:cs="仿宋_GB2312"/>
          <w:kern w:val="44"/>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（3）绩效目标完成情况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我局按照年初工作计划和任务顺利组</w:t>
      </w:r>
      <w:r>
        <w:rPr>
          <w:rFonts w:hint="eastAsia" w:ascii="仿宋_GB2312" w:hAnsi="仿宋_GB2312" w:eastAsia="仿宋_GB2312" w:cs="仿宋_GB2312"/>
          <w:kern w:val="44"/>
          <w:sz w:val="32"/>
          <w:szCs w:val="32"/>
        </w:rPr>
        <w:t>织实施了全县国民经济和社会发展战略、中长期规划和年度计划，统筹协调全县经济社会发展，研究分析宏观经济形势，提出全县经济社会发展、经济结构优化调控目标和政策建议，推动了全县投资宏观管理和协调推进重大项目的建设，推进可持续发展，协调全县节能减排，发展循环经济、能源资源节约，推动全县生态建设、环境保护、能源资源节约和综合利用等工作，较好的完成了绩效目标。</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Style w:val="28"/>
          <w:rFonts w:hint="eastAsia" w:ascii="楷体" w:hAnsi="楷体" w:eastAsia="楷体" w:cs="楷体"/>
          <w:bCs w:val="0"/>
          <w:lang w:val="zh-CN" w:eastAsia="zh-CN" w:bidi="ar-SA"/>
        </w:rPr>
      </w:pPr>
      <w:r>
        <w:rPr>
          <w:rStyle w:val="28"/>
          <w:rFonts w:hint="eastAsia" w:ascii="楷体" w:hAnsi="楷体" w:eastAsia="楷体" w:cs="楷体"/>
          <w:bCs w:val="0"/>
          <w:lang w:val="zh-CN" w:eastAsia="zh-CN" w:bidi="ar-SA"/>
        </w:rPr>
        <w:t>（四）财务管理情况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lang w:val="zh-CN"/>
        </w:rPr>
      </w:pPr>
      <w:r>
        <w:rPr>
          <w:rFonts w:hint="eastAsia" w:ascii="仿宋_GB2312" w:hAnsi="仿宋_GB2312" w:eastAsia="仿宋_GB2312" w:cs="仿宋_GB2312"/>
          <w:kern w:val="44"/>
          <w:sz w:val="32"/>
          <w:szCs w:val="32"/>
          <w:lang w:val="zh-CN"/>
        </w:rPr>
        <w:t>为进一步规范机关财务和加强财产管理工作，节约费用开支，提高资金使用效益，强化财务监督，严肃财经纪律，根据相关规定我局制定局机关财务管理制度、公务用车管理制度、公务接待管理制度、财务公开制度等，资产管理严格按照</w:t>
      </w:r>
      <w:r>
        <w:rPr>
          <w:rFonts w:hint="eastAsia" w:ascii="仿宋_GB2312" w:hAnsi="仿宋_GB2312" w:eastAsia="仿宋_GB2312" w:cs="仿宋_GB2312"/>
          <w:kern w:val="44"/>
          <w:sz w:val="32"/>
          <w:szCs w:val="32"/>
        </w:rPr>
        <w:t>固定资产管理制度进行管理，茂县党校培训费管理办法等制度，并严格按照《会计法》《会计档案管理办法》进行会计凭证、账簿登记和会计档案管理。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采购办公用品时严格按照茂府办发【2013】64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Style w:val="28"/>
          <w:rFonts w:hint="eastAsia" w:ascii="楷体" w:hAnsi="楷体" w:eastAsia="楷体" w:cs="楷体"/>
          <w:bCs w:val="0"/>
          <w:lang w:val="zh-CN" w:eastAsia="zh-CN" w:bidi="ar-SA"/>
        </w:rPr>
      </w:pPr>
      <w:r>
        <w:rPr>
          <w:rStyle w:val="28"/>
          <w:rFonts w:hint="eastAsia" w:ascii="楷体" w:hAnsi="楷体" w:eastAsia="楷体" w:cs="楷体"/>
          <w:bCs w:val="0"/>
          <w:lang w:val="zh-CN" w:eastAsia="zh-CN" w:bidi="ar-SA"/>
        </w:rPr>
        <w:t>（五）绩效管理工作开展情况</w:t>
      </w:r>
    </w:p>
    <w:p>
      <w:pPr>
        <w:widowControl/>
        <w:adjustRightInd w:val="0"/>
        <w:snapToGrid w:val="0"/>
        <w:spacing w:line="580" w:lineRule="exact"/>
        <w:ind w:firstLine="640" w:firstLineChars="200"/>
        <w:contextualSpacing/>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zh-CN"/>
        </w:rPr>
        <w:t>我局根据《茂县财政局关于开展</w:t>
      </w:r>
      <w:r>
        <w:rPr>
          <w:rFonts w:hint="eastAsia" w:ascii="仿宋_GB2312" w:hAnsi="仿宋_GB2312" w:eastAsia="仿宋_GB2312" w:cs="仿宋_GB2312"/>
          <w:kern w:val="44"/>
          <w:sz w:val="32"/>
          <w:szCs w:val="32"/>
        </w:rPr>
        <w:t>2019年财政支出绩效评价工作的通知》为提高预算资金使用效益，强化支出责任，规范支出绩效评价行为，于2019年7月1日根据单位财政资金的实际使用情况开始了自评工作，我们将此项工作作为</w:t>
      </w:r>
      <w:r>
        <w:rPr>
          <w:rFonts w:hint="eastAsia" w:ascii="仿宋_GB2312" w:hAnsi="仿宋_GB2312" w:eastAsia="仿宋_GB2312" w:cs="仿宋_GB2312"/>
          <w:kern w:val="44"/>
          <w:sz w:val="32"/>
          <w:szCs w:val="32"/>
          <w:lang w:val="zh-CN"/>
        </w:rPr>
        <w:t>健全本单位制度机制、优化支出结构、资源配置的重要依据。</w:t>
      </w:r>
      <w:r>
        <w:rPr>
          <w:rFonts w:hint="eastAsia" w:ascii="仿宋_GB2312" w:hAnsi="仿宋_GB2312" w:eastAsia="仿宋_GB2312" w:cs="仿宋_GB2312"/>
          <w:kern w:val="44"/>
          <w:sz w:val="32"/>
          <w:szCs w:val="32"/>
          <w:lang w:val="en-US" w:eastAsia="zh-CN"/>
        </w:rPr>
        <w:t xml:space="preserve">        </w:t>
      </w:r>
    </w:p>
    <w:p>
      <w:pPr>
        <w:pStyle w:val="4"/>
        <w:pageBreakBefore w:val="0"/>
        <w:kinsoku/>
        <w:wordWrap/>
        <w:overflowPunct/>
        <w:topLinePunct w:val="0"/>
        <w:autoSpaceDE/>
        <w:autoSpaceDN/>
        <w:bidi w:val="0"/>
        <w:spacing w:line="576" w:lineRule="exact"/>
        <w:ind w:firstLine="640" w:firstLineChars="200"/>
        <w:jc w:val="both"/>
        <w:textAlignment w:val="auto"/>
        <w:rPr>
          <w:rFonts w:hint="eastAsia" w:ascii="黑体" w:hAnsi="黑体" w:eastAsia="黑体" w:cs="黑体"/>
          <w:b w:val="0"/>
          <w:bCs w:val="0"/>
          <w:lang w:val="zh-CN"/>
        </w:rPr>
      </w:pPr>
      <w:r>
        <w:rPr>
          <w:rFonts w:hint="eastAsia" w:ascii="黑体" w:hAnsi="黑体" w:eastAsia="黑体" w:cs="黑体"/>
          <w:b w:val="0"/>
          <w:bCs w:val="0"/>
          <w:lang w:val="zh-CN"/>
        </w:rPr>
        <w:t>四、评价结论及建议</w:t>
      </w:r>
    </w:p>
    <w:p>
      <w:pPr>
        <w:pStyle w:val="4"/>
        <w:pageBreakBefore w:val="0"/>
        <w:kinsoku/>
        <w:wordWrap/>
        <w:overflowPunct/>
        <w:topLinePunct w:val="0"/>
        <w:autoSpaceDE/>
        <w:autoSpaceDN/>
        <w:bidi w:val="0"/>
        <w:spacing w:line="576" w:lineRule="exact"/>
        <w:ind w:firstLine="643" w:firstLineChars="200"/>
        <w:jc w:val="both"/>
        <w:textAlignment w:val="auto"/>
        <w:rPr>
          <w:rStyle w:val="28"/>
          <w:rFonts w:ascii="楷体" w:hAnsi="楷体" w:eastAsia="楷体" w:cs="楷体"/>
          <w:b/>
          <w:bCs w:val="0"/>
        </w:rPr>
      </w:pPr>
      <w:r>
        <w:rPr>
          <w:rStyle w:val="28"/>
          <w:rFonts w:hint="eastAsia" w:ascii="楷体" w:hAnsi="楷体" w:eastAsia="楷体" w:cs="楷体"/>
          <w:b/>
          <w:bCs w:val="0"/>
          <w:lang w:val="zh-CN"/>
        </w:rPr>
        <w:t>（一）评价结</w:t>
      </w:r>
      <w:r>
        <w:rPr>
          <w:rStyle w:val="28"/>
          <w:rFonts w:ascii="楷体" w:hAnsi="楷体" w:eastAsia="楷体" w:cs="楷体"/>
          <w:b/>
          <w:bCs w:val="0"/>
        </w:rPr>
        <w:t>论</w:t>
      </w:r>
    </w:p>
    <w:p>
      <w:pPr>
        <w:pageBreakBefore w:val="0"/>
        <w:kinsoku/>
        <w:wordWrap/>
        <w:overflowPunct/>
        <w:topLinePunct w:val="0"/>
        <w:autoSpaceDE/>
        <w:autoSpaceDN/>
        <w:bidi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年我局部门整体支出绩效评价自查自评结果良好。全年基本保证了部门的正常运行和日常工作的开展，达到了预期的绩效目标，按照新出台的绩效评价指标体系自评得分92分。</w:t>
      </w:r>
    </w:p>
    <w:p>
      <w:pPr>
        <w:pageBreakBefore w:val="0"/>
        <w:kinsoku/>
        <w:wordWrap/>
        <w:overflowPunct/>
        <w:topLinePunct w:val="0"/>
        <w:autoSpaceDE/>
        <w:autoSpaceDN/>
        <w:bidi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1.预算编制方面:按照县级部门预算编制通知和有关要求，按时完成基础库、项目库报送及预算编制工作，并按时提交部门预算草案。按要求于2019年</w:t>
      </w:r>
      <w:r>
        <w:rPr>
          <w:rFonts w:hint="eastAsia" w:ascii="仿宋_GB2312" w:hAnsi="仿宋_GB2312" w:eastAsia="仿宋_GB2312" w:cs="仿宋_GB2312"/>
          <w:kern w:val="44"/>
          <w:sz w:val="32"/>
          <w:szCs w:val="32"/>
          <w:lang w:val="en-US" w:eastAsia="zh-CN"/>
        </w:rPr>
        <w:t>6</w:t>
      </w:r>
      <w:r>
        <w:rPr>
          <w:rFonts w:hint="eastAsia" w:ascii="仿宋_GB2312" w:hAnsi="仿宋_GB2312" w:eastAsia="仿宋_GB2312" w:cs="仿宋_GB2312"/>
          <w:kern w:val="44"/>
          <w:sz w:val="32"/>
          <w:szCs w:val="32"/>
        </w:rPr>
        <w:t>月</w:t>
      </w:r>
      <w:r>
        <w:rPr>
          <w:rFonts w:hint="eastAsia" w:ascii="仿宋_GB2312" w:hAnsi="仿宋_GB2312" w:eastAsia="仿宋_GB2312" w:cs="仿宋_GB2312"/>
          <w:kern w:val="44"/>
          <w:sz w:val="32"/>
          <w:szCs w:val="32"/>
          <w:lang w:val="en-US" w:eastAsia="zh-CN"/>
        </w:rPr>
        <w:t>11</w:t>
      </w:r>
      <w:r>
        <w:rPr>
          <w:rFonts w:hint="eastAsia" w:ascii="仿宋_GB2312" w:hAnsi="仿宋_GB2312" w:eastAsia="仿宋_GB2312" w:cs="仿宋_GB2312"/>
          <w:kern w:val="44"/>
          <w:sz w:val="32"/>
          <w:szCs w:val="32"/>
        </w:rPr>
        <w:t>日将“2019年部门预算情况说明、2019年收支预算总表、2019年财政拨款支出预算表、2019年财政拨款基本支出工资福利支出预算表、2019年财政拨款基本支出商品服务支出预算表、2019年财政拨款基本支出对个人和家庭补助支出预算表、2019年财政拨款项目支出预算表；”在茂县政府门户网站财政预决算栏公示；“财政拨款“三公”经费预算2019年情况说明”在茂县政府门户网站“三公”经费栏公示。</w:t>
      </w:r>
    </w:p>
    <w:p>
      <w:pPr>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2.预算执行方面：6月执行进度为57%，9月执行进度为73%，12月执行度为100%。严格控制行政成本，节能降耗，严格执行“三公”经费预算。</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3.支出绩效方面:</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（1）建立了发改局财务管理制度、公务接待制度、车辆管理制度、财务公开制度等。严格按照相关制度进行财务核算，做到资金专款专用，资金支付依据和开支标准合规合法。</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（2）按照规定编制决算，审核汇总后报财政部门审批。加强决算审核和分析，规范决算管理工作，保证决算数据的完整、真实、准确。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rPr>
        <w:t>（3）按要求将“201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年部门决算编制说明、201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年部门收支决算总表、201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年财政拨款支出决算表”在茂县政府门户网站财政预决算栏公示；“201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年财政拨款“三公”经费决算情况说明、201</w:t>
      </w:r>
      <w:r>
        <w:rPr>
          <w:rFonts w:hint="eastAsia" w:ascii="仿宋_GB2312" w:hAnsi="仿宋_GB2312" w:eastAsia="仿宋_GB2312" w:cs="仿宋_GB2312"/>
          <w:kern w:val="44"/>
          <w:sz w:val="32"/>
          <w:szCs w:val="32"/>
          <w:lang w:val="en-US" w:eastAsia="zh-CN"/>
        </w:rPr>
        <w:t>9</w:t>
      </w:r>
      <w:r>
        <w:rPr>
          <w:rFonts w:hint="eastAsia" w:ascii="仿宋_GB2312" w:hAnsi="仿宋_GB2312" w:eastAsia="仿宋_GB2312" w:cs="仿宋_GB2312"/>
          <w:kern w:val="44"/>
          <w:sz w:val="32"/>
          <w:szCs w:val="32"/>
        </w:rPr>
        <w:t>年部门“三公”经费决算表”在茂县政府门户网站“三公”经费栏公示</w:t>
      </w:r>
      <w:r>
        <w:rPr>
          <w:rFonts w:hint="eastAsia" w:ascii="仿宋_GB2312" w:hAnsi="仿宋_GB2312" w:eastAsia="仿宋_GB2312" w:cs="仿宋_GB2312"/>
          <w:kern w:val="44"/>
          <w:sz w:val="32"/>
          <w:szCs w:val="32"/>
          <w:lang w:eastAsia="zh-CN"/>
        </w:rPr>
        <w:t>。</w:t>
      </w:r>
    </w:p>
    <w:p>
      <w:pPr>
        <w:pStyle w:val="4"/>
        <w:pageBreakBefore w:val="0"/>
        <w:kinsoku/>
        <w:wordWrap/>
        <w:overflowPunct/>
        <w:topLinePunct w:val="0"/>
        <w:autoSpaceDE/>
        <w:autoSpaceDN/>
        <w:bidi w:val="0"/>
        <w:spacing w:line="576" w:lineRule="exact"/>
        <w:ind w:firstLine="643" w:firstLineChars="200"/>
        <w:jc w:val="both"/>
        <w:textAlignment w:val="auto"/>
        <w:rPr>
          <w:rStyle w:val="28"/>
          <w:rFonts w:ascii="楷体" w:hAnsi="楷体" w:eastAsia="楷体" w:cs="楷体"/>
          <w:b/>
          <w:bCs w:val="0"/>
        </w:rPr>
      </w:pPr>
      <w:r>
        <w:rPr>
          <w:rStyle w:val="28"/>
          <w:rFonts w:ascii="楷体" w:hAnsi="楷体" w:eastAsia="楷体" w:cs="楷体"/>
          <w:b/>
          <w:bCs w:val="0"/>
        </w:rPr>
        <w:t>（二）存在问题</w:t>
      </w:r>
    </w:p>
    <w:p>
      <w:pPr>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部分日常公用支出为完成支出进度没有严格按照年初预算下达经济科目支出，今后将严格按照下达指标经济类型支出。</w:t>
      </w:r>
    </w:p>
    <w:p>
      <w:pPr>
        <w:pStyle w:val="4"/>
        <w:pageBreakBefore w:val="0"/>
        <w:kinsoku/>
        <w:wordWrap/>
        <w:overflowPunct/>
        <w:topLinePunct w:val="0"/>
        <w:autoSpaceDE/>
        <w:autoSpaceDN/>
        <w:bidi w:val="0"/>
        <w:spacing w:line="576" w:lineRule="exact"/>
        <w:ind w:firstLine="643" w:firstLineChars="200"/>
        <w:jc w:val="both"/>
        <w:textAlignment w:val="auto"/>
        <w:rPr>
          <w:rFonts w:hint="eastAsia" w:ascii="仿宋" w:hAnsi="仿宋" w:eastAsia="仿宋" w:cs="仿宋_GB2312"/>
        </w:rPr>
      </w:pPr>
      <w:r>
        <w:rPr>
          <w:rStyle w:val="28"/>
          <w:rFonts w:ascii="楷体" w:hAnsi="楷体" w:eastAsia="楷体" w:cs="楷体"/>
          <w:b/>
          <w:bCs w:val="0"/>
        </w:rPr>
        <w:t>（三）改进建议</w:t>
      </w:r>
    </w:p>
    <w:p>
      <w:pPr>
        <w:pageBreakBefore w:val="0"/>
        <w:widowControl/>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针对存在问题，我们将进一步科学设定绩效目标，加强预算执行管理。认真研究政策，加强项目目标制定、审核，力求科学合理通过加强预算收支管理，不断建立健全内部管理制度，梳理内部管理流程，使单位整体绩效管理情况得到提升。</w:t>
      </w:r>
    </w:p>
    <w:tbl>
      <w:tblPr>
        <w:tblStyle w:val="15"/>
        <w:tblW w:w="8520" w:type="dxa"/>
        <w:tblInd w:w="93" w:type="dxa"/>
        <w:tblLayout w:type="fixed"/>
        <w:tblCellMar>
          <w:top w:w="0" w:type="dxa"/>
          <w:left w:w="108" w:type="dxa"/>
          <w:bottom w:w="0" w:type="dxa"/>
          <w:right w:w="108" w:type="dxa"/>
        </w:tblCellMar>
      </w:tblPr>
      <w:tblGrid>
        <w:gridCol w:w="900"/>
        <w:gridCol w:w="1000"/>
        <w:gridCol w:w="1360"/>
        <w:gridCol w:w="2141"/>
        <w:gridCol w:w="425"/>
        <w:gridCol w:w="425"/>
        <w:gridCol w:w="2269"/>
      </w:tblGrid>
      <w:tr>
        <w:tblPrEx>
          <w:tblCellMar>
            <w:top w:w="0" w:type="dxa"/>
            <w:left w:w="108" w:type="dxa"/>
            <w:bottom w:w="0" w:type="dxa"/>
            <w:right w:w="108" w:type="dxa"/>
          </w:tblCellMar>
        </w:tblPrEx>
        <w:trPr>
          <w:trHeight w:val="600" w:hRule="atLeast"/>
        </w:trPr>
        <w:tc>
          <w:tcPr>
            <w:tcW w:w="8520" w:type="dxa"/>
            <w:gridSpan w:val="7"/>
            <w:tcBorders>
              <w:top w:val="nil"/>
              <w:left w:val="nil"/>
              <w:bottom w:val="single" w:color="auto" w:sz="4" w:space="0"/>
              <w:right w:val="nil"/>
            </w:tcBorders>
            <w:shd w:val="clear" w:color="auto" w:fill="auto"/>
            <w:vAlign w:val="center"/>
          </w:tcPr>
          <w:p>
            <w:pPr>
              <w:widowControl/>
              <w:rPr>
                <w:rFonts w:hint="eastAsia" w:ascii="宋体" w:hAnsi="宋体" w:cs="宋体"/>
                <w:b/>
                <w:bCs/>
                <w:kern w:val="0"/>
                <w:sz w:val="28"/>
                <w:szCs w:val="28"/>
              </w:rPr>
            </w:pPr>
          </w:p>
          <w:p>
            <w:pPr>
              <w:widowControl/>
              <w:jc w:val="center"/>
              <w:rPr>
                <w:rFonts w:ascii="宋体" w:hAnsi="宋体" w:cs="宋体"/>
                <w:b/>
                <w:bCs/>
                <w:kern w:val="0"/>
                <w:sz w:val="28"/>
                <w:szCs w:val="28"/>
              </w:rPr>
            </w:pPr>
            <w:r>
              <w:rPr>
                <w:rFonts w:hint="eastAsia" w:ascii="宋体" w:hAnsi="宋体" w:cs="宋体"/>
                <w:b/>
                <w:bCs/>
                <w:kern w:val="0"/>
                <w:sz w:val="28"/>
                <w:szCs w:val="28"/>
              </w:rPr>
              <w:t>2019年县级部门整体支出绩效评价指标体系</w:t>
            </w:r>
          </w:p>
        </w:tc>
      </w:tr>
      <w:tr>
        <w:tblPrEx>
          <w:tblCellMar>
            <w:top w:w="0" w:type="dxa"/>
            <w:left w:w="108" w:type="dxa"/>
            <w:bottom w:w="0" w:type="dxa"/>
            <w:right w:w="108" w:type="dxa"/>
          </w:tblCellMar>
        </w:tblPrEx>
        <w:trPr>
          <w:trHeight w:val="720" w:hRule="atLeast"/>
        </w:trPr>
        <w:tc>
          <w:tcPr>
            <w:tcW w:w="9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一级指标</w:t>
            </w:r>
          </w:p>
        </w:tc>
        <w:tc>
          <w:tcPr>
            <w:tcW w:w="10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二级指标</w:t>
            </w:r>
          </w:p>
        </w:tc>
        <w:tc>
          <w:tcPr>
            <w:tcW w:w="13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三级指标</w:t>
            </w:r>
          </w:p>
        </w:tc>
        <w:tc>
          <w:tcPr>
            <w:tcW w:w="214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指标解释</w:t>
            </w:r>
          </w:p>
        </w:tc>
        <w:tc>
          <w:tcPr>
            <w:tcW w:w="425" w:type="dxa"/>
            <w:tcBorders>
              <w:top w:val="nil"/>
              <w:left w:val="nil"/>
              <w:bottom w:val="single" w:color="auto" w:sz="4" w:space="0"/>
              <w:right w:val="single" w:color="auto" w:sz="4" w:space="0"/>
            </w:tcBorders>
            <w:shd w:val="clear" w:color="000000" w:fill="CCE8C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扣分</w:t>
            </w:r>
          </w:p>
        </w:tc>
        <w:tc>
          <w:tcPr>
            <w:tcW w:w="425" w:type="dxa"/>
            <w:tcBorders>
              <w:top w:val="nil"/>
              <w:left w:val="nil"/>
              <w:bottom w:val="single" w:color="auto" w:sz="4" w:space="0"/>
              <w:right w:val="single" w:color="auto" w:sz="4" w:space="0"/>
            </w:tcBorders>
            <w:shd w:val="clear" w:color="000000" w:fill="CCE8C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扣分理由</w:t>
            </w:r>
          </w:p>
        </w:tc>
        <w:tc>
          <w:tcPr>
            <w:tcW w:w="226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计分标准（备注）</w:t>
            </w:r>
          </w:p>
        </w:tc>
      </w:tr>
      <w:tr>
        <w:tblPrEx>
          <w:tblCellMar>
            <w:top w:w="0" w:type="dxa"/>
            <w:left w:w="108" w:type="dxa"/>
            <w:bottom w:w="0" w:type="dxa"/>
            <w:right w:w="108" w:type="dxa"/>
          </w:tblCellMar>
        </w:tblPrEx>
        <w:trPr>
          <w:trHeight w:val="960" w:hRule="atLeast"/>
        </w:trPr>
        <w:tc>
          <w:tcPr>
            <w:tcW w:w="900" w:type="dxa"/>
            <w:vMerge w:val="restart"/>
            <w:tcBorders>
              <w:top w:val="nil"/>
              <w:left w:val="single" w:color="auto" w:sz="4" w:space="0"/>
              <w:bottom w:val="nil"/>
              <w:right w:val="single" w:color="auto" w:sz="4" w:space="0"/>
            </w:tcBorders>
            <w:shd w:val="clear" w:color="000000" w:fill="CCE8CF"/>
            <w:vAlign w:val="center"/>
          </w:tcPr>
          <w:p>
            <w:pPr>
              <w:widowControl/>
              <w:jc w:val="center"/>
              <w:rPr>
                <w:rFonts w:ascii="宋体" w:hAnsi="宋体" w:cs="宋体"/>
                <w:kern w:val="0"/>
                <w:sz w:val="20"/>
                <w:szCs w:val="20"/>
              </w:rPr>
            </w:pPr>
            <w:r>
              <w:rPr>
                <w:rFonts w:hint="eastAsia" w:ascii="宋体" w:hAnsi="宋体" w:cs="宋体"/>
                <w:kern w:val="0"/>
                <w:sz w:val="20"/>
                <w:szCs w:val="20"/>
              </w:rPr>
              <w:t>预算编制（10分）</w:t>
            </w:r>
          </w:p>
        </w:tc>
        <w:tc>
          <w:tcPr>
            <w:tcW w:w="1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报送时效（2分）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基础信息更新（2分）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部门是否按照县级部门预算编制通知和有关要求，按时完成基础库、项目库报送工作</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超过规定5个工作日扣0.5分，10个工作日扣1分，以此类推，直至扣完</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编制质量（3分）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预算编制准确（2分）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（预算资金总来源-中期评估调整取消资金-预算结余注销资金）÷预算资金总来源*指标分值</w:t>
            </w:r>
          </w:p>
        </w:tc>
        <w:tc>
          <w:tcPr>
            <w:tcW w:w="425" w:type="dxa"/>
            <w:tcBorders>
              <w:top w:val="nil"/>
              <w:left w:val="nil"/>
              <w:bottom w:val="single" w:color="auto" w:sz="4" w:space="0"/>
              <w:right w:val="single" w:color="auto" w:sz="4" w:space="0"/>
            </w:tcBorders>
            <w:shd w:val="clear" w:color="000000" w:fill="CCE8CF"/>
            <w:vAlign w:val="center"/>
          </w:tcPr>
          <w:p>
            <w:pPr>
              <w:widowControl/>
              <w:ind w:firstLine="100" w:firstLineChars="50"/>
              <w:jc w:val="left"/>
              <w:rPr>
                <w:rFonts w:ascii="宋体" w:hAnsi="宋体" w:cs="宋体"/>
                <w:kern w:val="0"/>
                <w:sz w:val="20"/>
                <w:szCs w:val="20"/>
              </w:rPr>
            </w:pPr>
            <w:r>
              <w:rPr>
                <w:rFonts w:hint="eastAsia" w:ascii="宋体" w:hAnsi="宋体" w:cs="宋体"/>
                <w:kern w:val="0"/>
                <w:sz w:val="20"/>
                <w:szCs w:val="20"/>
              </w:rPr>
              <w:t>1</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其中：预算资金总来源是指县级年初预算与执行中追加预算（不含当年专款）总和</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部门预算审查（1分）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根据县人大财经委对预算草案审查结果进行考核</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对财经委审查后提出并确需修改的问题，每个问题扣0.02分，直至扣完</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绩效目标（5分）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部门整体绩效目标编制完整、合理</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部门整体绩效目标能完整、合理反映部门年度职责履行情况的得分，否则不得分</w:t>
            </w:r>
          </w:p>
        </w:tc>
      </w:tr>
      <w:tr>
        <w:tblPrEx>
          <w:tblCellMar>
            <w:top w:w="0" w:type="dxa"/>
            <w:left w:w="108" w:type="dxa"/>
            <w:bottom w:w="0" w:type="dxa"/>
            <w:right w:w="108" w:type="dxa"/>
          </w:tblCellMar>
        </w:tblPrEx>
        <w:trPr>
          <w:trHeight w:val="615" w:hRule="atLeast"/>
        </w:trPr>
        <w:tc>
          <w:tcPr>
            <w:tcW w:w="900"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重点项目绩效目标（3分）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项目绩效目标编制明确、量化</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项目支出绩效目标编制不明确和量化的发现一个扣0.5分，直至扣完</w:t>
            </w:r>
          </w:p>
        </w:tc>
      </w:tr>
      <w:tr>
        <w:tblPrEx>
          <w:tblCellMar>
            <w:top w:w="0" w:type="dxa"/>
            <w:left w:w="108" w:type="dxa"/>
            <w:bottom w:w="0" w:type="dxa"/>
            <w:right w:w="108" w:type="dxa"/>
          </w:tblCellMar>
        </w:tblPrEx>
        <w:trPr>
          <w:trHeight w:val="675" w:hRule="atLeast"/>
        </w:trPr>
        <w:tc>
          <w:tcPr>
            <w:tcW w:w="9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预算执行（20分）</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执行进度（10分）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财力专项预算分配时限（4分）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按规定及时分配财力专项预算</w:t>
            </w:r>
          </w:p>
        </w:tc>
        <w:tc>
          <w:tcPr>
            <w:tcW w:w="425" w:type="dxa"/>
            <w:tcBorders>
              <w:top w:val="nil"/>
              <w:left w:val="nil"/>
              <w:bottom w:val="single" w:color="auto" w:sz="4" w:space="0"/>
              <w:right w:val="single" w:color="auto" w:sz="4" w:space="0"/>
            </w:tcBorders>
            <w:shd w:val="clear" w:color="000000" w:fill="CCE8CF"/>
            <w:vAlign w:val="center"/>
          </w:tcPr>
          <w:p>
            <w:pPr>
              <w:widowControl/>
              <w:jc w:val="righ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按《预算法》规定时限完成分配的考核得分，否则不得分</w:t>
            </w:r>
          </w:p>
        </w:tc>
      </w:tr>
      <w:tr>
        <w:tblPrEx>
          <w:tblCellMar>
            <w:top w:w="0" w:type="dxa"/>
            <w:left w:w="108" w:type="dxa"/>
            <w:bottom w:w="0" w:type="dxa"/>
            <w:right w:w="108" w:type="dxa"/>
          </w:tblCellMar>
        </w:tblPrEx>
        <w:trPr>
          <w:trHeight w:val="480" w:hRule="atLeast"/>
        </w:trPr>
        <w:tc>
          <w:tcPr>
            <w:tcW w:w="9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部门预算执行进度（6分）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部门按要求严格预算执行管理</w:t>
            </w:r>
          </w:p>
        </w:tc>
        <w:tc>
          <w:tcPr>
            <w:tcW w:w="425" w:type="dxa"/>
            <w:tcBorders>
              <w:top w:val="nil"/>
              <w:left w:val="nil"/>
              <w:bottom w:val="single" w:color="auto" w:sz="4" w:space="0"/>
              <w:right w:val="single" w:color="auto" w:sz="4" w:space="0"/>
            </w:tcBorders>
            <w:shd w:val="clear" w:color="000000" w:fill="CCE8CF"/>
            <w:vAlign w:val="center"/>
          </w:tcPr>
          <w:p>
            <w:pPr>
              <w:widowControl/>
              <w:jc w:val="right"/>
              <w:rPr>
                <w:rFonts w:ascii="宋体" w:hAnsi="宋体" w:cs="宋体"/>
                <w:kern w:val="0"/>
                <w:sz w:val="20"/>
                <w:szCs w:val="20"/>
              </w:rPr>
            </w:pPr>
            <w:r>
              <w:rPr>
                <w:rFonts w:hint="eastAsia" w:ascii="宋体" w:hAnsi="宋体" w:cs="宋体"/>
                <w:kern w:val="0"/>
                <w:sz w:val="20"/>
                <w:szCs w:val="20"/>
              </w:rPr>
              <w:t>1</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部门预算实际列支数÷部门预算总额*指标分值</w:t>
            </w:r>
          </w:p>
        </w:tc>
      </w:tr>
      <w:tr>
        <w:tblPrEx>
          <w:tblCellMar>
            <w:top w:w="0" w:type="dxa"/>
            <w:left w:w="108" w:type="dxa"/>
            <w:bottom w:w="0" w:type="dxa"/>
            <w:right w:w="108" w:type="dxa"/>
          </w:tblCellMar>
        </w:tblPrEx>
        <w:trPr>
          <w:trHeight w:val="720" w:hRule="atLeast"/>
        </w:trPr>
        <w:tc>
          <w:tcPr>
            <w:tcW w:w="9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预算调整（4分）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执行中期评估（4分）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部门中期评估调整取消资金÷(中期评估调整取消资金+预算结余注销资金）*指标分值</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2</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当中期评估调整取消资金与结余注销资金之和为零时，得满分</w:t>
            </w:r>
          </w:p>
        </w:tc>
      </w:tr>
      <w:tr>
        <w:tblPrEx>
          <w:tblCellMar>
            <w:top w:w="0" w:type="dxa"/>
            <w:left w:w="108" w:type="dxa"/>
            <w:bottom w:w="0" w:type="dxa"/>
            <w:right w:w="108" w:type="dxa"/>
          </w:tblCellMar>
        </w:tblPrEx>
        <w:trPr>
          <w:trHeight w:val="960" w:hRule="atLeast"/>
        </w:trPr>
        <w:tc>
          <w:tcPr>
            <w:tcW w:w="9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行政成本（6分）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三公经费（6分）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严格执行“三公经费”预算</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部门“三公”经费决算数一项超预算扣1分，两项超预算扣2分，以此类推，直至扣完</w:t>
            </w:r>
          </w:p>
        </w:tc>
      </w:tr>
      <w:tr>
        <w:tblPrEx>
          <w:tblCellMar>
            <w:top w:w="0" w:type="dxa"/>
            <w:left w:w="108" w:type="dxa"/>
            <w:bottom w:w="0" w:type="dxa"/>
            <w:right w:w="108" w:type="dxa"/>
          </w:tblCellMar>
        </w:tblPrEx>
        <w:trPr>
          <w:trHeight w:val="480" w:hRule="atLeast"/>
        </w:trPr>
        <w:tc>
          <w:tcPr>
            <w:tcW w:w="9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综合管理（40分）</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政府采购实施计划（4分）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政府采购实施计划编制（2）</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实施计划与政府采购预算的一致性</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（1-调整或细化资金/政府采购预算资金）*分值</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政府采购实施计划的执行（2）</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执行的实施计划与备案的实施计划的一致性</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（1-实施计划备案后的调整或细化资金/实施计划备案后的资金）*分值</w:t>
            </w:r>
          </w:p>
        </w:tc>
      </w:tr>
      <w:tr>
        <w:tblPrEx>
          <w:tblCellMar>
            <w:top w:w="0" w:type="dxa"/>
            <w:left w:w="108" w:type="dxa"/>
            <w:bottom w:w="0" w:type="dxa"/>
            <w:right w:w="108" w:type="dxa"/>
          </w:tblCellMar>
        </w:tblPrEx>
        <w:trPr>
          <w:trHeight w:val="144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资产管理（6分）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资产管理信息系统建设情况（2分）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考核部门和单位将国有资产纳入资产信息系统管理情况</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①未将所属单位国有资产纳入系统管理，每少一个单位扣1分。②未将资产变动情况及时录入系统，每次扣0.5分。③未落实人员负责管理系统，扣1分。</w:t>
            </w:r>
          </w:p>
        </w:tc>
      </w:tr>
      <w:tr>
        <w:tblPrEx>
          <w:tblCellMar>
            <w:top w:w="0" w:type="dxa"/>
            <w:left w:w="108" w:type="dxa"/>
            <w:bottom w:w="0" w:type="dxa"/>
            <w:right w:w="108" w:type="dxa"/>
          </w:tblCellMar>
        </w:tblPrEx>
        <w:trPr>
          <w:trHeight w:val="699"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行政事业单位资产清查开展情况（2分）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考核行政事业单位按要求及时、准确、全面开展资产清查工作情况</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108" w:type="dxa"/>
            <w:bottom w:w="0" w:type="dxa"/>
            <w:right w:w="108" w:type="dxa"/>
          </w:tblCellMar>
        </w:tblPrEx>
        <w:trPr>
          <w:trHeight w:val="168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行政事业单位资产报表上报情况（2分）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考核行政事业单位上报国有资产报表数据的真实性、准确性、全面性</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①未落实专人负责资产报表，未及时上报资产报表扣1分。②报表填报不规范，内容不完整，数据不真实，扣1分。③未提交分析报告，对资产变动情况未作分析说明，扣1分。</w:t>
            </w:r>
          </w:p>
        </w:tc>
      </w:tr>
      <w:tr>
        <w:tblPrEx>
          <w:tblCellMar>
            <w:top w:w="0" w:type="dxa"/>
            <w:left w:w="108" w:type="dxa"/>
            <w:bottom w:w="0" w:type="dxa"/>
            <w:right w:w="108" w:type="dxa"/>
          </w:tblCellMar>
        </w:tblPrEx>
        <w:trPr>
          <w:trHeight w:val="144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tcBorders>
              <w:top w:val="nil"/>
              <w:left w:val="nil"/>
              <w:bottom w:val="nil"/>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内控制度管理（4分）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内部控制度健全完整（4分）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考核部门内部控制制度的设置和执行情况</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1</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108" w:type="dxa"/>
            <w:bottom w:w="0" w:type="dxa"/>
            <w:right w:w="108" w:type="dxa"/>
          </w:tblCellMar>
        </w:tblPrEx>
        <w:trPr>
          <w:trHeight w:val="120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信息公开（10分）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预算公开（4分）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除涉密信息外，各部门要在财政部门批复后二十日内向社会公开本部门预算（含所有财政资金安排的“三公”经费、机关运行经费的安排、使用情况等）</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按县财政通知要求公开预算，未按要求公开的，发现一处扣0.5分，直至扣完</w:t>
            </w:r>
          </w:p>
        </w:tc>
      </w:tr>
      <w:tr>
        <w:tblPrEx>
          <w:tblCellMar>
            <w:top w:w="0" w:type="dxa"/>
            <w:left w:w="108" w:type="dxa"/>
            <w:bottom w:w="0" w:type="dxa"/>
            <w:right w:w="108" w:type="dxa"/>
          </w:tblCellMar>
        </w:tblPrEx>
        <w:trPr>
          <w:trHeight w:val="120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决算公开（4分）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除涉密信息外，各部门要在财政部门批复二十日内向社会公开本部门决算（含所有财政资金安排的“三公”经费、机关运行经费的安排、使用情况等）</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未按要求公开的，发现一处问题0.5分，直至扣完</w:t>
            </w:r>
          </w:p>
        </w:tc>
      </w:tr>
      <w:tr>
        <w:tblPrEx>
          <w:tblCellMar>
            <w:top w:w="0" w:type="dxa"/>
            <w:left w:w="108" w:type="dxa"/>
            <w:bottom w:w="0" w:type="dxa"/>
            <w:right w:w="108" w:type="dxa"/>
          </w:tblCellMar>
        </w:tblPrEx>
        <w:trPr>
          <w:trHeight w:val="48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绩效信息公开（2分）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按要求公开部门整体支出绩效自评报告及其他按要求应公开的绩效信息</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1</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未按要求公开的，发现一处问题0.5分，直至扣完</w:t>
            </w:r>
          </w:p>
        </w:tc>
      </w:tr>
      <w:tr>
        <w:tblPrEx>
          <w:tblCellMar>
            <w:top w:w="0" w:type="dxa"/>
            <w:left w:w="108" w:type="dxa"/>
            <w:bottom w:w="0" w:type="dxa"/>
            <w:right w:w="108" w:type="dxa"/>
          </w:tblCellMar>
        </w:tblPrEx>
        <w:trPr>
          <w:trHeight w:val="120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绩效评价（10分）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评价项目覆盖率（2分）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部门实施绩效评价项目数量占部门管理专项预算项目数量的比重，部门申报绩效目标项目数量的比重，用以反映和考核部门实施绩效评价项目资金覆盖情况</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评价覆盖率=实施绩效评价项目数量/部门管理专项预算项目数量×100%</w:t>
            </w:r>
          </w:p>
        </w:tc>
      </w:tr>
      <w:tr>
        <w:tblPrEx>
          <w:tblCellMar>
            <w:top w:w="0" w:type="dxa"/>
            <w:left w:w="108" w:type="dxa"/>
            <w:bottom w:w="0" w:type="dxa"/>
            <w:right w:w="108" w:type="dxa"/>
          </w:tblCellMar>
        </w:tblPrEx>
        <w:trPr>
          <w:trHeight w:val="48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评价层次（2分）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部门（单位）是否对单位内部股室开展整体绩效评价</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1</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对单位内部实施评价的得分，否则不得分</w:t>
            </w:r>
          </w:p>
        </w:tc>
      </w:tr>
      <w:tr>
        <w:tblPrEx>
          <w:tblCellMar>
            <w:top w:w="0" w:type="dxa"/>
            <w:left w:w="108" w:type="dxa"/>
            <w:bottom w:w="0" w:type="dxa"/>
            <w:right w:w="108" w:type="dxa"/>
          </w:tblCellMar>
        </w:tblPrEx>
        <w:trPr>
          <w:trHeight w:val="42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评价结果报告（2分）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部门是否按要求向财政部门报告自评报告等相关绩效信息</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未按要求报送的，发现一处扣0.5分，直至扣完。</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整改完成率（4分）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部门是否按要求针对绩效评价发现问题制定整改措施，并整改落实到位</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r>
              <w:rPr>
                <w:rFonts w:hint="eastAsia" w:ascii="宋体" w:hAnsi="宋体" w:cs="宋体"/>
                <w:kern w:val="0"/>
                <w:sz w:val="20"/>
                <w:szCs w:val="20"/>
              </w:rPr>
              <w:t>1</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完成率=应制定整改措施的项目数量/部门实际制定整改措施项目数量×100%。</w:t>
            </w:r>
          </w:p>
        </w:tc>
      </w:tr>
      <w:tr>
        <w:tblPrEx>
          <w:tblCellMar>
            <w:top w:w="0" w:type="dxa"/>
            <w:left w:w="108" w:type="dxa"/>
            <w:bottom w:w="0" w:type="dxa"/>
            <w:right w:w="108" w:type="dxa"/>
          </w:tblCellMar>
        </w:tblPrEx>
        <w:trPr>
          <w:trHeight w:val="168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依法接受财政监督（6分）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是否按要求开展自查自纠（2分）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根据相关自查自纠报告、报表报送时效和质量进行考核</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未在规定时间内报送自查自纠相关材料（包括：纸质和电子版）的，扣0.5分；报告内容不完整，扣1分；报表质量差（如：数据、逻辑、勾稽关系错误）等扣0.5分；直至扣完</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重点检查发现违规违纪问题（2分）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根据检查组提供的工作底稿、检查报告等资料进行考核</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专项检查发现的违纪违规问题，每个问题扣0.5分，直至扣完</w:t>
            </w:r>
          </w:p>
        </w:tc>
      </w:tr>
      <w:tr>
        <w:tblPrEx>
          <w:tblCellMar>
            <w:top w:w="0" w:type="dxa"/>
            <w:left w:w="108" w:type="dxa"/>
            <w:bottom w:w="0" w:type="dxa"/>
            <w:right w:w="108" w:type="dxa"/>
          </w:tblCellMar>
        </w:tblPrEx>
        <w:trPr>
          <w:trHeight w:val="720"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存在问题整改是否到位（2分）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根据相关整改报告、凭证依据等相关证明材料进行考核</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未在规定时间内完成整改，并提供相关证明材料的，每个问题0.5分，直至扣完</w:t>
            </w:r>
          </w:p>
        </w:tc>
      </w:tr>
      <w:tr>
        <w:tblPrEx>
          <w:tblCellMar>
            <w:top w:w="0" w:type="dxa"/>
            <w:left w:w="108" w:type="dxa"/>
            <w:bottom w:w="0" w:type="dxa"/>
            <w:right w:w="108" w:type="dxa"/>
          </w:tblCellMar>
        </w:tblPrEx>
        <w:trPr>
          <w:trHeight w:val="480" w:hRule="atLeast"/>
        </w:trPr>
        <w:tc>
          <w:tcPr>
            <w:tcW w:w="9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整体效益（30分）</w:t>
            </w:r>
          </w:p>
        </w:tc>
        <w:tc>
          <w:tcPr>
            <w:tcW w:w="1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部门整体绩效（30分）</w:t>
            </w:r>
          </w:p>
        </w:tc>
        <w:tc>
          <w:tcPr>
            <w:tcW w:w="13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重点项目绩效评价结果（10分）</w:t>
            </w:r>
          </w:p>
        </w:tc>
        <w:tc>
          <w:tcPr>
            <w:tcW w:w="21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部门实施重大项目的经济、社会效益</w:t>
            </w: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425" w:type="dxa"/>
            <w:tcBorders>
              <w:top w:val="nil"/>
              <w:left w:val="nil"/>
              <w:bottom w:val="single" w:color="auto" w:sz="4" w:space="0"/>
              <w:right w:val="single" w:color="auto" w:sz="4" w:space="0"/>
            </w:tcBorders>
            <w:shd w:val="clear" w:color="000000" w:fill="CCE8CF"/>
            <w:vAlign w:val="center"/>
          </w:tcPr>
          <w:p>
            <w:pPr>
              <w:widowControl/>
              <w:jc w:val="left"/>
              <w:rPr>
                <w:rFonts w:ascii="宋体" w:hAnsi="宋体" w:cs="宋体"/>
                <w:kern w:val="0"/>
                <w:sz w:val="20"/>
                <w:szCs w:val="20"/>
              </w:rPr>
            </w:pPr>
          </w:p>
        </w:tc>
        <w:tc>
          <w:tcPr>
            <w:tcW w:w="226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根据县财政组织实施项目绩效评价结果换算</w:t>
            </w:r>
          </w:p>
        </w:tc>
      </w:tr>
      <w:tr>
        <w:tblPrEx>
          <w:tblCellMar>
            <w:top w:w="0" w:type="dxa"/>
            <w:left w:w="108" w:type="dxa"/>
            <w:bottom w:w="0" w:type="dxa"/>
            <w:right w:w="108" w:type="dxa"/>
          </w:tblCellMar>
        </w:tblPrEx>
        <w:trPr>
          <w:trHeight w:val="312"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部门职能完成情况特性指标（20分）</w:t>
            </w:r>
          </w:p>
        </w:tc>
        <w:tc>
          <w:tcPr>
            <w:tcW w:w="214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425" w:type="dxa"/>
            <w:vMerge w:val="restart"/>
            <w:tcBorders>
              <w:top w:val="nil"/>
              <w:left w:val="single" w:color="auto" w:sz="4" w:space="0"/>
              <w:bottom w:val="single" w:color="000000" w:sz="4" w:space="0"/>
              <w:right w:val="single" w:color="auto" w:sz="4" w:space="0"/>
            </w:tcBorders>
            <w:shd w:val="clear" w:color="000000" w:fill="CCE8CF"/>
            <w:vAlign w:val="center"/>
          </w:tcPr>
          <w:p>
            <w:pPr>
              <w:widowControl/>
              <w:jc w:val="center"/>
              <w:rPr>
                <w:rFonts w:ascii="宋体" w:hAnsi="宋体" w:cs="宋体"/>
                <w:kern w:val="0"/>
                <w:sz w:val="20"/>
                <w:szCs w:val="20"/>
              </w:rPr>
            </w:pPr>
          </w:p>
        </w:tc>
        <w:tc>
          <w:tcPr>
            <w:tcW w:w="425" w:type="dxa"/>
            <w:vMerge w:val="restart"/>
            <w:tcBorders>
              <w:top w:val="nil"/>
              <w:left w:val="single" w:color="auto" w:sz="4" w:space="0"/>
              <w:bottom w:val="single" w:color="000000" w:sz="4" w:space="0"/>
              <w:right w:val="single" w:color="auto" w:sz="4" w:space="0"/>
            </w:tcBorders>
            <w:shd w:val="clear" w:color="000000" w:fill="CCE8CF"/>
            <w:vAlign w:val="center"/>
          </w:tcPr>
          <w:p>
            <w:pPr>
              <w:widowControl/>
              <w:jc w:val="center"/>
              <w:rPr>
                <w:rFonts w:ascii="宋体" w:hAnsi="宋体" w:cs="宋体"/>
                <w:kern w:val="0"/>
                <w:sz w:val="20"/>
                <w:szCs w:val="20"/>
              </w:rPr>
            </w:pPr>
          </w:p>
        </w:tc>
        <w:tc>
          <w:tcPr>
            <w:tcW w:w="226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部门和评价组根据部门实际设置</w:t>
            </w:r>
          </w:p>
        </w:tc>
      </w:tr>
      <w:tr>
        <w:tblPrEx>
          <w:tblCellMar>
            <w:top w:w="0" w:type="dxa"/>
            <w:left w:w="108" w:type="dxa"/>
            <w:bottom w:w="0" w:type="dxa"/>
            <w:right w:w="108" w:type="dxa"/>
          </w:tblCellMar>
        </w:tblPrEx>
        <w:trPr>
          <w:trHeight w:val="2509" w:hRule="atLeast"/>
        </w:trPr>
        <w:tc>
          <w:tcPr>
            <w:tcW w:w="9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00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3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14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42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42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26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401" w:type="dxa"/>
            <w:gridSpan w:val="4"/>
          </w:tcPr>
          <w:p>
            <w:pPr>
              <w:spacing w:line="580" w:lineRule="exact"/>
              <w:ind w:left="15" w:firstLine="2520" w:firstLineChars="900"/>
              <w:rPr>
                <w:rFonts w:ascii="宋体" w:hAnsi="宋体" w:cs="宋体"/>
                <w:kern w:val="0"/>
                <w:sz w:val="28"/>
                <w:szCs w:val="28"/>
              </w:rPr>
            </w:pPr>
            <w:r>
              <w:rPr>
                <w:rFonts w:hint="eastAsia" w:ascii="宋体" w:hAnsi="宋体" w:cs="宋体"/>
                <w:kern w:val="0"/>
                <w:sz w:val="28"/>
                <w:szCs w:val="28"/>
              </w:rPr>
              <w:t>总分</w:t>
            </w:r>
          </w:p>
        </w:tc>
        <w:tc>
          <w:tcPr>
            <w:tcW w:w="3119" w:type="dxa"/>
            <w:gridSpan w:val="3"/>
          </w:tcPr>
          <w:p>
            <w:pPr>
              <w:spacing w:line="580" w:lineRule="exact"/>
              <w:ind w:left="15" w:firstLine="2100" w:firstLineChars="750"/>
              <w:rPr>
                <w:rFonts w:ascii="宋体" w:hAnsi="宋体" w:cs="宋体"/>
                <w:kern w:val="0"/>
                <w:sz w:val="28"/>
                <w:szCs w:val="28"/>
              </w:rPr>
            </w:pPr>
            <w:r>
              <w:rPr>
                <w:rFonts w:hint="eastAsia" w:ascii="宋体" w:hAnsi="宋体" w:cs="宋体"/>
                <w:kern w:val="0"/>
                <w:sz w:val="28"/>
                <w:szCs w:val="28"/>
              </w:rPr>
              <w:t>92分</w:t>
            </w:r>
          </w:p>
        </w:tc>
      </w:tr>
    </w:tbl>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ageBreakBefore w:val="0"/>
        <w:widowControl w:val="0"/>
        <w:kinsoku/>
        <w:wordWrap/>
        <w:overflowPunct/>
        <w:topLinePunct w:val="0"/>
        <w:autoSpaceDE/>
        <w:autoSpaceDN/>
        <w:bidi w:val="0"/>
        <w:adjustRightInd/>
        <w:snapToGrid/>
        <w:spacing w:line="576" w:lineRule="exact"/>
        <w:ind w:firstLine="880" w:firstLineChars="200"/>
        <w:jc w:val="center"/>
        <w:textAlignment w:val="auto"/>
        <w:outlineLvl w:val="0"/>
        <w:rPr>
          <w:rFonts w:ascii="方正小标宋简体" w:hAnsi="宋体" w:eastAsia="方正小标宋简体"/>
          <w:color w:val="000000"/>
          <w:sz w:val="44"/>
          <w:szCs w:val="44"/>
        </w:rPr>
      </w:pPr>
      <w:bookmarkStart w:id="62" w:name="_Toc15396618"/>
      <w:r>
        <w:rPr>
          <w:rFonts w:hint="eastAsia" w:ascii="方正小标宋简体" w:hAnsi="宋体" w:eastAsia="方正小标宋简体"/>
          <w:color w:val="000000"/>
          <w:sz w:val="44"/>
          <w:szCs w:val="44"/>
        </w:rPr>
        <w:t>第五部分 附表</w:t>
      </w:r>
      <w:bookmarkEnd w:id="59"/>
      <w:bookmarkEnd w:id="62"/>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63"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3"/>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64"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4"/>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65"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5"/>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b w:val="0"/>
          <w:color w:val="000000"/>
        </w:rPr>
      </w:pPr>
      <w:bookmarkStart w:id="66"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6"/>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67"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7"/>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68"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8"/>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69"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9"/>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70"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70"/>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71"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71"/>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72"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72"/>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73"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3"/>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rPr>
      </w:pPr>
      <w:bookmarkStart w:id="74"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4"/>
    </w:p>
    <w:p>
      <w:pPr>
        <w:pStyle w:val="4"/>
        <w:pageBreakBefore w:val="0"/>
        <w:widowControl w:val="0"/>
        <w:kinsoku/>
        <w:wordWrap/>
        <w:overflowPunct/>
        <w:topLinePunct w:val="0"/>
        <w:autoSpaceDE/>
        <w:autoSpaceDN/>
        <w:bidi w:val="0"/>
        <w:adjustRightInd/>
        <w:snapToGrid/>
        <w:spacing w:line="576" w:lineRule="exact"/>
        <w:ind w:firstLine="640" w:firstLineChars="200"/>
        <w:textAlignment w:val="auto"/>
        <w:rPr>
          <w:rStyle w:val="28"/>
          <w:rFonts w:ascii="仿宋" w:hAnsi="仿宋" w:eastAsia="仿宋"/>
          <w:b w:val="0"/>
          <w:bCs w:val="0"/>
        </w:rPr>
      </w:pPr>
      <w:bookmarkStart w:id="75"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5"/>
    </w:p>
    <w:p>
      <w:pPr>
        <w:rPr>
          <w:rFonts w:eastAsia="仿宋"/>
          <w:b/>
          <w:bCs/>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Lucida Console">
    <w:panose1 w:val="020B0609040504020204"/>
    <w:charset w:val="00"/>
    <w:family w:val="modern"/>
    <w:pitch w:val="default"/>
    <w:sig w:usb0="8000028F" w:usb1="00001800" w:usb2="00000000" w:usb3="00000000" w:csb0="0000001F" w:csb1="D7D7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690278"/>
      <w:docPartObj>
        <w:docPartGallery w:val="autotext"/>
      </w:docPartObj>
    </w:sdtPr>
    <w:sdtContent>
      <w:p>
        <w:pPr>
          <w:pStyle w:val="10"/>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969C9D"/>
    <w:multiLevelType w:val="singleLevel"/>
    <w:tmpl w:val="46969C9D"/>
    <w:lvl w:ilvl="0" w:tentative="0">
      <w:start w:val="1"/>
      <w:numFmt w:val="chineseCounting"/>
      <w:suff w:val="nothing"/>
      <w:lvlText w:val="%1、"/>
      <w:lvlJc w:val="left"/>
      <w:rPr>
        <w:rFonts w:hint="eastAsia"/>
      </w:rPr>
    </w:lvl>
  </w:abstractNum>
  <w:abstractNum w:abstractNumId="1">
    <w:nsid w:val="5C5E7743"/>
    <w:multiLevelType w:val="singleLevel"/>
    <w:tmpl w:val="5C5E7743"/>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2683"/>
    <w:rsid w:val="00006FCF"/>
    <w:rsid w:val="000222C6"/>
    <w:rsid w:val="0002549F"/>
    <w:rsid w:val="00027591"/>
    <w:rsid w:val="00060F8B"/>
    <w:rsid w:val="00064119"/>
    <w:rsid w:val="0006487A"/>
    <w:rsid w:val="00065F8F"/>
    <w:rsid w:val="000768F2"/>
    <w:rsid w:val="0009184B"/>
    <w:rsid w:val="0009593C"/>
    <w:rsid w:val="000A4DDF"/>
    <w:rsid w:val="000B047F"/>
    <w:rsid w:val="000B42AF"/>
    <w:rsid w:val="000B5923"/>
    <w:rsid w:val="000B5A48"/>
    <w:rsid w:val="000B6FF3"/>
    <w:rsid w:val="000C3467"/>
    <w:rsid w:val="000C3CA6"/>
    <w:rsid w:val="000D0113"/>
    <w:rsid w:val="000D02C3"/>
    <w:rsid w:val="000D10DD"/>
    <w:rsid w:val="000D1267"/>
    <w:rsid w:val="000D1D50"/>
    <w:rsid w:val="000D2C49"/>
    <w:rsid w:val="000D5782"/>
    <w:rsid w:val="000E6613"/>
    <w:rsid w:val="000E7119"/>
    <w:rsid w:val="000E7A64"/>
    <w:rsid w:val="000F6BDD"/>
    <w:rsid w:val="00114E9B"/>
    <w:rsid w:val="00116B3C"/>
    <w:rsid w:val="001307D3"/>
    <w:rsid w:val="0014729F"/>
    <w:rsid w:val="00157BAB"/>
    <w:rsid w:val="001654D1"/>
    <w:rsid w:val="0018106D"/>
    <w:rsid w:val="001877A7"/>
    <w:rsid w:val="00191536"/>
    <w:rsid w:val="00196687"/>
    <w:rsid w:val="001C0962"/>
    <w:rsid w:val="001D6181"/>
    <w:rsid w:val="001D7531"/>
    <w:rsid w:val="001E737D"/>
    <w:rsid w:val="001F0592"/>
    <w:rsid w:val="001F7506"/>
    <w:rsid w:val="002006CD"/>
    <w:rsid w:val="00202B36"/>
    <w:rsid w:val="00204B7A"/>
    <w:rsid w:val="0020548C"/>
    <w:rsid w:val="0021101A"/>
    <w:rsid w:val="00220536"/>
    <w:rsid w:val="00225361"/>
    <w:rsid w:val="0023495C"/>
    <w:rsid w:val="00235629"/>
    <w:rsid w:val="00260C38"/>
    <w:rsid w:val="002616C0"/>
    <w:rsid w:val="002662AA"/>
    <w:rsid w:val="00280496"/>
    <w:rsid w:val="00295495"/>
    <w:rsid w:val="002A4AFB"/>
    <w:rsid w:val="002B0C52"/>
    <w:rsid w:val="002B2613"/>
    <w:rsid w:val="002C0161"/>
    <w:rsid w:val="002C3134"/>
    <w:rsid w:val="002D33FD"/>
    <w:rsid w:val="002D5585"/>
    <w:rsid w:val="002F0D2B"/>
    <w:rsid w:val="002F1818"/>
    <w:rsid w:val="002F567B"/>
    <w:rsid w:val="002F77BD"/>
    <w:rsid w:val="00303A4F"/>
    <w:rsid w:val="00313DA5"/>
    <w:rsid w:val="003164C3"/>
    <w:rsid w:val="003216A9"/>
    <w:rsid w:val="0037013F"/>
    <w:rsid w:val="00373427"/>
    <w:rsid w:val="00380C92"/>
    <w:rsid w:val="003A484F"/>
    <w:rsid w:val="003B0BE0"/>
    <w:rsid w:val="003B0C1B"/>
    <w:rsid w:val="003B16F6"/>
    <w:rsid w:val="003B688C"/>
    <w:rsid w:val="003C0291"/>
    <w:rsid w:val="003C39AE"/>
    <w:rsid w:val="003C7B60"/>
    <w:rsid w:val="003D1FB2"/>
    <w:rsid w:val="003D4ED7"/>
    <w:rsid w:val="003D5795"/>
    <w:rsid w:val="003D66DA"/>
    <w:rsid w:val="003E1310"/>
    <w:rsid w:val="003E6F55"/>
    <w:rsid w:val="00406254"/>
    <w:rsid w:val="00414463"/>
    <w:rsid w:val="004223DE"/>
    <w:rsid w:val="00434489"/>
    <w:rsid w:val="00437085"/>
    <w:rsid w:val="00443880"/>
    <w:rsid w:val="004464F4"/>
    <w:rsid w:val="00471401"/>
    <w:rsid w:val="00473F31"/>
    <w:rsid w:val="0048263A"/>
    <w:rsid w:val="00482A77"/>
    <w:rsid w:val="00487E5D"/>
    <w:rsid w:val="004948BC"/>
    <w:rsid w:val="004978AC"/>
    <w:rsid w:val="004A6E1A"/>
    <w:rsid w:val="004A711F"/>
    <w:rsid w:val="004B199D"/>
    <w:rsid w:val="004B4690"/>
    <w:rsid w:val="004D0632"/>
    <w:rsid w:val="004E0A2D"/>
    <w:rsid w:val="004E206B"/>
    <w:rsid w:val="004E6DF7"/>
    <w:rsid w:val="004F0FBD"/>
    <w:rsid w:val="00505A47"/>
    <w:rsid w:val="00512FDA"/>
    <w:rsid w:val="00513D94"/>
    <w:rsid w:val="00520DA0"/>
    <w:rsid w:val="005664BB"/>
    <w:rsid w:val="00572BAE"/>
    <w:rsid w:val="0057481D"/>
    <w:rsid w:val="0058486E"/>
    <w:rsid w:val="005D14DB"/>
    <w:rsid w:val="005D1C8B"/>
    <w:rsid w:val="005D5CED"/>
    <w:rsid w:val="005F1A4C"/>
    <w:rsid w:val="00605688"/>
    <w:rsid w:val="006070AF"/>
    <w:rsid w:val="00607E6C"/>
    <w:rsid w:val="006101B1"/>
    <w:rsid w:val="0061045E"/>
    <w:rsid w:val="00614E44"/>
    <w:rsid w:val="00622830"/>
    <w:rsid w:val="00626CCC"/>
    <w:rsid w:val="00630968"/>
    <w:rsid w:val="00630AEF"/>
    <w:rsid w:val="006325F8"/>
    <w:rsid w:val="00634C9A"/>
    <w:rsid w:val="006440E4"/>
    <w:rsid w:val="006547B3"/>
    <w:rsid w:val="00655FC5"/>
    <w:rsid w:val="0066343B"/>
    <w:rsid w:val="00664777"/>
    <w:rsid w:val="006748A4"/>
    <w:rsid w:val="00683E73"/>
    <w:rsid w:val="00686E69"/>
    <w:rsid w:val="006A3141"/>
    <w:rsid w:val="006A4FEB"/>
    <w:rsid w:val="006A5E34"/>
    <w:rsid w:val="006B2422"/>
    <w:rsid w:val="006B2B9A"/>
    <w:rsid w:val="006B4C7A"/>
    <w:rsid w:val="006C1937"/>
    <w:rsid w:val="006D1397"/>
    <w:rsid w:val="006D55DB"/>
    <w:rsid w:val="006E3E3F"/>
    <w:rsid w:val="006F020C"/>
    <w:rsid w:val="0070172D"/>
    <w:rsid w:val="00706C91"/>
    <w:rsid w:val="00710773"/>
    <w:rsid w:val="007127B7"/>
    <w:rsid w:val="007416B6"/>
    <w:rsid w:val="00746F48"/>
    <w:rsid w:val="0075404D"/>
    <w:rsid w:val="0076182A"/>
    <w:rsid w:val="00767B7E"/>
    <w:rsid w:val="00771A23"/>
    <w:rsid w:val="007770C3"/>
    <w:rsid w:val="00784D24"/>
    <w:rsid w:val="00785FBA"/>
    <w:rsid w:val="00786E4A"/>
    <w:rsid w:val="007875EB"/>
    <w:rsid w:val="0079426B"/>
    <w:rsid w:val="007964EC"/>
    <w:rsid w:val="007C4A2E"/>
    <w:rsid w:val="007D312A"/>
    <w:rsid w:val="007D3F19"/>
    <w:rsid w:val="007E23B0"/>
    <w:rsid w:val="007E6B72"/>
    <w:rsid w:val="007F1991"/>
    <w:rsid w:val="007F2C2F"/>
    <w:rsid w:val="007F55FC"/>
    <w:rsid w:val="007F5665"/>
    <w:rsid w:val="00800112"/>
    <w:rsid w:val="00804BE1"/>
    <w:rsid w:val="00805A41"/>
    <w:rsid w:val="008253BB"/>
    <w:rsid w:val="00832B4F"/>
    <w:rsid w:val="0083706E"/>
    <w:rsid w:val="008423A5"/>
    <w:rsid w:val="00850625"/>
    <w:rsid w:val="00853718"/>
    <w:rsid w:val="00854CFD"/>
    <w:rsid w:val="00855221"/>
    <w:rsid w:val="00860645"/>
    <w:rsid w:val="00871F71"/>
    <w:rsid w:val="00885AF4"/>
    <w:rsid w:val="008939CD"/>
    <w:rsid w:val="008965FF"/>
    <w:rsid w:val="008B768C"/>
    <w:rsid w:val="008C4DB1"/>
    <w:rsid w:val="008C4EAF"/>
    <w:rsid w:val="008C5176"/>
    <w:rsid w:val="008C7FD0"/>
    <w:rsid w:val="008E1DE7"/>
    <w:rsid w:val="008E707C"/>
    <w:rsid w:val="00900B08"/>
    <w:rsid w:val="009010E2"/>
    <w:rsid w:val="00902155"/>
    <w:rsid w:val="009025FA"/>
    <w:rsid w:val="00902FA3"/>
    <w:rsid w:val="00923564"/>
    <w:rsid w:val="0092392E"/>
    <w:rsid w:val="00925A25"/>
    <w:rsid w:val="009315F9"/>
    <w:rsid w:val="00933DB0"/>
    <w:rsid w:val="00941627"/>
    <w:rsid w:val="009425AE"/>
    <w:rsid w:val="00946945"/>
    <w:rsid w:val="00951248"/>
    <w:rsid w:val="0095152F"/>
    <w:rsid w:val="00952B9D"/>
    <w:rsid w:val="00954C49"/>
    <w:rsid w:val="0097099F"/>
    <w:rsid w:val="00971997"/>
    <w:rsid w:val="00971FFC"/>
    <w:rsid w:val="0098660A"/>
    <w:rsid w:val="009931C3"/>
    <w:rsid w:val="00994971"/>
    <w:rsid w:val="009A3508"/>
    <w:rsid w:val="009B2C43"/>
    <w:rsid w:val="009B4EAE"/>
    <w:rsid w:val="009B7573"/>
    <w:rsid w:val="009C22F4"/>
    <w:rsid w:val="009C2E98"/>
    <w:rsid w:val="009C3559"/>
    <w:rsid w:val="009C592F"/>
    <w:rsid w:val="009D3447"/>
    <w:rsid w:val="009D4711"/>
    <w:rsid w:val="009F1185"/>
    <w:rsid w:val="009F18CD"/>
    <w:rsid w:val="009F2A13"/>
    <w:rsid w:val="009F5781"/>
    <w:rsid w:val="00A04EB0"/>
    <w:rsid w:val="00A05E3D"/>
    <w:rsid w:val="00A13CC1"/>
    <w:rsid w:val="00A16847"/>
    <w:rsid w:val="00A237D8"/>
    <w:rsid w:val="00A268C4"/>
    <w:rsid w:val="00A307CD"/>
    <w:rsid w:val="00A40A00"/>
    <w:rsid w:val="00A4142F"/>
    <w:rsid w:val="00A56DF2"/>
    <w:rsid w:val="00A67AB5"/>
    <w:rsid w:val="00A77518"/>
    <w:rsid w:val="00A84283"/>
    <w:rsid w:val="00A91760"/>
    <w:rsid w:val="00A93B00"/>
    <w:rsid w:val="00A93C21"/>
    <w:rsid w:val="00AB5203"/>
    <w:rsid w:val="00AC3C6A"/>
    <w:rsid w:val="00AD2BC9"/>
    <w:rsid w:val="00AD5620"/>
    <w:rsid w:val="00AD7C1B"/>
    <w:rsid w:val="00AE16BA"/>
    <w:rsid w:val="00AE1EBE"/>
    <w:rsid w:val="00AF5A18"/>
    <w:rsid w:val="00AF78C8"/>
    <w:rsid w:val="00B03512"/>
    <w:rsid w:val="00B03C9D"/>
    <w:rsid w:val="00B060AE"/>
    <w:rsid w:val="00B10517"/>
    <w:rsid w:val="00B11BA4"/>
    <w:rsid w:val="00B14E76"/>
    <w:rsid w:val="00B161B8"/>
    <w:rsid w:val="00B177F3"/>
    <w:rsid w:val="00B2048C"/>
    <w:rsid w:val="00B27AC3"/>
    <w:rsid w:val="00B27CC6"/>
    <w:rsid w:val="00B310B9"/>
    <w:rsid w:val="00B35F3F"/>
    <w:rsid w:val="00B36CBB"/>
    <w:rsid w:val="00B402EC"/>
    <w:rsid w:val="00B425E0"/>
    <w:rsid w:val="00B440AA"/>
    <w:rsid w:val="00B44B70"/>
    <w:rsid w:val="00B47F4C"/>
    <w:rsid w:val="00B5013E"/>
    <w:rsid w:val="00B527F3"/>
    <w:rsid w:val="00B53C56"/>
    <w:rsid w:val="00B77EA6"/>
    <w:rsid w:val="00B81598"/>
    <w:rsid w:val="00B83177"/>
    <w:rsid w:val="00B841F1"/>
    <w:rsid w:val="00B877B7"/>
    <w:rsid w:val="00B93277"/>
    <w:rsid w:val="00B944D6"/>
    <w:rsid w:val="00BA5C50"/>
    <w:rsid w:val="00BB4DF0"/>
    <w:rsid w:val="00BC289F"/>
    <w:rsid w:val="00BC5361"/>
    <w:rsid w:val="00BC5460"/>
    <w:rsid w:val="00BC6B50"/>
    <w:rsid w:val="00BC79B5"/>
    <w:rsid w:val="00BD0E25"/>
    <w:rsid w:val="00BE219B"/>
    <w:rsid w:val="00BF5BD6"/>
    <w:rsid w:val="00C03E31"/>
    <w:rsid w:val="00C307B0"/>
    <w:rsid w:val="00C30B80"/>
    <w:rsid w:val="00C33E72"/>
    <w:rsid w:val="00C354B2"/>
    <w:rsid w:val="00C35554"/>
    <w:rsid w:val="00C42709"/>
    <w:rsid w:val="00C475EE"/>
    <w:rsid w:val="00C533CC"/>
    <w:rsid w:val="00C5751C"/>
    <w:rsid w:val="00C61BFC"/>
    <w:rsid w:val="00C62B85"/>
    <w:rsid w:val="00C65438"/>
    <w:rsid w:val="00C75520"/>
    <w:rsid w:val="00C80F87"/>
    <w:rsid w:val="00C91CBB"/>
    <w:rsid w:val="00C920DD"/>
    <w:rsid w:val="00CA651A"/>
    <w:rsid w:val="00CB1CEC"/>
    <w:rsid w:val="00CB3079"/>
    <w:rsid w:val="00CC0806"/>
    <w:rsid w:val="00CC09B6"/>
    <w:rsid w:val="00CC666F"/>
    <w:rsid w:val="00CD1E3F"/>
    <w:rsid w:val="00CE44F6"/>
    <w:rsid w:val="00CE49DA"/>
    <w:rsid w:val="00CE7B61"/>
    <w:rsid w:val="00CF4EDE"/>
    <w:rsid w:val="00CF6D20"/>
    <w:rsid w:val="00CF7458"/>
    <w:rsid w:val="00D00095"/>
    <w:rsid w:val="00D079D6"/>
    <w:rsid w:val="00D16F6E"/>
    <w:rsid w:val="00D20620"/>
    <w:rsid w:val="00D26091"/>
    <w:rsid w:val="00D340C0"/>
    <w:rsid w:val="00D34DEE"/>
    <w:rsid w:val="00D34E7C"/>
    <w:rsid w:val="00D35489"/>
    <w:rsid w:val="00D51276"/>
    <w:rsid w:val="00D5589B"/>
    <w:rsid w:val="00D65333"/>
    <w:rsid w:val="00D7035F"/>
    <w:rsid w:val="00D8416C"/>
    <w:rsid w:val="00DA13A7"/>
    <w:rsid w:val="00DA65AC"/>
    <w:rsid w:val="00DB1913"/>
    <w:rsid w:val="00DB7CE6"/>
    <w:rsid w:val="00DC1E70"/>
    <w:rsid w:val="00DC410D"/>
    <w:rsid w:val="00DC68CA"/>
    <w:rsid w:val="00DC7CBA"/>
    <w:rsid w:val="00DD309A"/>
    <w:rsid w:val="00DD3CE8"/>
    <w:rsid w:val="00DD73B7"/>
    <w:rsid w:val="00DF28BC"/>
    <w:rsid w:val="00DF34B9"/>
    <w:rsid w:val="00DF6243"/>
    <w:rsid w:val="00E01053"/>
    <w:rsid w:val="00E030D3"/>
    <w:rsid w:val="00E07ACF"/>
    <w:rsid w:val="00E14949"/>
    <w:rsid w:val="00E331A1"/>
    <w:rsid w:val="00E33202"/>
    <w:rsid w:val="00E336A9"/>
    <w:rsid w:val="00E40AE3"/>
    <w:rsid w:val="00E4306E"/>
    <w:rsid w:val="00E50624"/>
    <w:rsid w:val="00E568DF"/>
    <w:rsid w:val="00E64269"/>
    <w:rsid w:val="00E64472"/>
    <w:rsid w:val="00E82267"/>
    <w:rsid w:val="00EA010F"/>
    <w:rsid w:val="00EA29BF"/>
    <w:rsid w:val="00ED1B63"/>
    <w:rsid w:val="00ED3C1F"/>
    <w:rsid w:val="00ED4085"/>
    <w:rsid w:val="00ED420E"/>
    <w:rsid w:val="00EE2F57"/>
    <w:rsid w:val="00EF0421"/>
    <w:rsid w:val="00EF4C34"/>
    <w:rsid w:val="00EF77C6"/>
    <w:rsid w:val="00F05438"/>
    <w:rsid w:val="00F1361C"/>
    <w:rsid w:val="00F160C7"/>
    <w:rsid w:val="00F36D8F"/>
    <w:rsid w:val="00F417B1"/>
    <w:rsid w:val="00F602DF"/>
    <w:rsid w:val="00F616ED"/>
    <w:rsid w:val="00F77CE6"/>
    <w:rsid w:val="00F81FD9"/>
    <w:rsid w:val="00F841AA"/>
    <w:rsid w:val="00FA23E8"/>
    <w:rsid w:val="00FD3CC1"/>
    <w:rsid w:val="00FD5F54"/>
    <w:rsid w:val="00FE2EC3"/>
    <w:rsid w:val="00FE6515"/>
    <w:rsid w:val="00FF1E02"/>
    <w:rsid w:val="00FF30B4"/>
    <w:rsid w:val="00FF69F5"/>
    <w:rsid w:val="02E42430"/>
    <w:rsid w:val="10C055FF"/>
    <w:rsid w:val="14EB389D"/>
    <w:rsid w:val="16BB723D"/>
    <w:rsid w:val="17AA723B"/>
    <w:rsid w:val="1E4445EF"/>
    <w:rsid w:val="200E48DE"/>
    <w:rsid w:val="2271461A"/>
    <w:rsid w:val="240371BF"/>
    <w:rsid w:val="29D23E1C"/>
    <w:rsid w:val="29FD04D3"/>
    <w:rsid w:val="2AF35B30"/>
    <w:rsid w:val="319F7F4E"/>
    <w:rsid w:val="35182C5F"/>
    <w:rsid w:val="3A464998"/>
    <w:rsid w:val="3C3F0BCD"/>
    <w:rsid w:val="3F541EB8"/>
    <w:rsid w:val="3FDB3A31"/>
    <w:rsid w:val="43FA4169"/>
    <w:rsid w:val="46CA6176"/>
    <w:rsid w:val="50C45CA3"/>
    <w:rsid w:val="5BF15927"/>
    <w:rsid w:val="64AA5D54"/>
    <w:rsid w:val="66176F9C"/>
    <w:rsid w:val="79280DD5"/>
    <w:rsid w:val="7BE26BF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6">
    <w:name w:val="Document Map"/>
    <w:basedOn w:val="1"/>
    <w:link w:val="32"/>
    <w:semiHidden/>
    <w:unhideWhenUsed/>
    <w:qFormat/>
    <w:uiPriority w:val="99"/>
    <w:rPr>
      <w:rFonts w:ascii="宋体"/>
      <w:sz w:val="18"/>
      <w:szCs w:val="18"/>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rFonts w:eastAsia="仿宋_GB2312"/>
      <w:kern w:val="0"/>
      <w:sz w:val="24"/>
    </w:rPr>
  </w:style>
  <w:style w:type="character" w:styleId="17">
    <w:name w:val="Strong"/>
    <w:basedOn w:val="16"/>
    <w:qFormat/>
    <w:uiPriority w:val="22"/>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3"/>
    <w:qFormat/>
    <w:uiPriority w:val="9"/>
    <w:rPr>
      <w:rFonts w:ascii="Times New Roman" w:hAnsi="Times New Roman"/>
      <w:b/>
      <w:bCs/>
      <w:kern w:val="44"/>
      <w:sz w:val="44"/>
      <w:szCs w:val="44"/>
    </w:rPr>
  </w:style>
  <w:style w:type="character" w:customStyle="1" w:styleId="28">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character" w:customStyle="1" w:styleId="32">
    <w:name w:val="文档结构图 Char"/>
    <w:basedOn w:val="16"/>
    <w:link w:val="6"/>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图一：收、支决算总计变动情况图（单位：万元）</a:t>
            </a:r>
            <a:endParaRPr b="1"/>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2018年</c:v>
                </c:pt>
                <c:pt idx="1">
                  <c:v>2019年</c:v>
                </c:pt>
              </c:strCache>
            </c:strRef>
          </c:cat>
          <c:val>
            <c:numRef>
              <c:f>[工作簿1]Sheet1!$B$1:$B$2</c:f>
              <c:numCache>
                <c:formatCode>General</c:formatCode>
                <c:ptCount val="2"/>
                <c:pt idx="0">
                  <c:v>635.28</c:v>
                </c:pt>
                <c:pt idx="1">
                  <c:v>1114.16</c:v>
                </c:pt>
              </c:numCache>
            </c:numRef>
          </c:val>
        </c:ser>
        <c:dLbls>
          <c:showLegendKey val="0"/>
          <c:showVal val="1"/>
          <c:showCatName val="0"/>
          <c:showSerName val="0"/>
          <c:showPercent val="0"/>
          <c:showBubbleSize val="0"/>
        </c:dLbls>
        <c:gapWidth val="219"/>
        <c:overlap val="-27"/>
        <c:axId val="143869482"/>
        <c:axId val="546745514"/>
      </c:barChart>
      <c:catAx>
        <c:axId val="1438694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546745514"/>
        <c:crosses val="autoZero"/>
        <c:auto val="1"/>
        <c:lblAlgn val="ctr"/>
        <c:lblOffset val="100"/>
        <c:noMultiLvlLbl val="0"/>
      </c:catAx>
      <c:valAx>
        <c:axId val="546745514"/>
        <c:scaling>
          <c:orientation val="minMax"/>
        </c:scaling>
        <c:delete val="0"/>
        <c:axPos val="l"/>
        <c:majorGridlines>
          <c:spPr>
            <a:ln w="9525" cap="flat" cmpd="sng" algn="ctr">
              <a:solidFill>
                <a:schemeClr val="tx1">
                  <a:lumMod val="15000"/>
                  <a:lumOff val="85000"/>
                </a:schemeClr>
              </a:solidFill>
              <a:round/>
            </a:ln>
            <a:effectLst>
              <a:outerShdw blurRad="50800" dist="38100" dir="5400000" algn="t" rotWithShape="0">
                <a:prstClr val="black">
                  <a:alpha val="40000"/>
                </a:prstClr>
              </a:outerShdw>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14386948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图</a:t>
            </a:r>
            <a:r>
              <a:rPr lang="en-US" altLang="zh-CN" b="1"/>
              <a:t>2</a:t>
            </a:r>
            <a:r>
              <a:rPr altLang="en-US" b="1"/>
              <a:t>：收入决算结构图（单位：万元）</a:t>
            </a:r>
            <a:endParaRPr altLang="en-US" b="1"/>
          </a:p>
        </c:rich>
      </c:tx>
      <c:layout>
        <c:manualLayout>
          <c:xMode val="edge"/>
          <c:yMode val="edge"/>
          <c:x val="0.187564102564103"/>
          <c:y val="0.00551065393093314"/>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一般公共预算财政拨款</c:v>
                </c:pt>
                <c:pt idx="1">
                  <c:v>政府性基金预算财政拨款</c:v>
                </c:pt>
              </c:strCache>
            </c:strRef>
          </c:cat>
          <c:val>
            <c:numRef>
              <c:f>[工作簿1]Sheet1!$B$1:$B$2</c:f>
              <c:numCache>
                <c:formatCode>0%</c:formatCode>
                <c:ptCount val="2"/>
                <c:pt idx="0">
                  <c:v>0.8</c:v>
                </c:pt>
                <c:pt idx="1">
                  <c:v>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图</a:t>
            </a:r>
            <a:r>
              <a:rPr lang="en-US" altLang="zh-CN" b="1"/>
              <a:t>3</a:t>
            </a:r>
            <a:r>
              <a:rPr altLang="en-US" b="1"/>
              <a:t>：支出决算结构图（单位：万元）</a:t>
            </a:r>
            <a:endParaRPr altLang="en-US"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基本支出</c:v>
                </c:pt>
                <c:pt idx="1">
                  <c:v>项目支出</c:v>
                </c:pt>
              </c:strCache>
            </c:strRef>
          </c:cat>
          <c:val>
            <c:numRef>
              <c:f>[工作簿1]Sheet1!$B$1:$B$2</c:f>
              <c:numCache>
                <c:formatCode>0.00%</c:formatCode>
                <c:ptCount val="2"/>
                <c:pt idx="0">
                  <c:v>0.4163</c:v>
                </c:pt>
                <c:pt idx="1">
                  <c:v>0.5837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图</a:t>
            </a:r>
            <a:r>
              <a:rPr lang="en-US" altLang="zh-CN" b="1"/>
              <a:t>4</a:t>
            </a:r>
            <a:r>
              <a:rPr altLang="en-US" b="1"/>
              <a:t>：财政拨款收、支决算总计变动情况（单位：万元）</a:t>
            </a:r>
            <a:endParaRPr altLang="en-US" b="1"/>
          </a:p>
        </c:rich>
      </c:tx>
      <c:layout>
        <c:manualLayout>
          <c:xMode val="edge"/>
          <c:yMode val="edge"/>
          <c:x val="0.158545843643942"/>
          <c:y val="0.0315641805003507"/>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2018年</c:v>
                </c:pt>
                <c:pt idx="1">
                  <c:v>2019年</c:v>
                </c:pt>
              </c:strCache>
            </c:strRef>
          </c:cat>
          <c:val>
            <c:numRef>
              <c:f>[工作簿1]Sheet1!$B$1:$B$2</c:f>
              <c:numCache>
                <c:formatCode>General</c:formatCode>
                <c:ptCount val="2"/>
                <c:pt idx="0">
                  <c:v>635.28</c:v>
                </c:pt>
                <c:pt idx="1">
                  <c:v>1114.16</c:v>
                </c:pt>
              </c:numCache>
            </c:numRef>
          </c:val>
        </c:ser>
        <c:dLbls>
          <c:showLegendKey val="0"/>
          <c:showVal val="1"/>
          <c:showCatName val="0"/>
          <c:showSerName val="0"/>
          <c:showPercent val="0"/>
          <c:showBubbleSize val="0"/>
        </c:dLbls>
        <c:gapWidth val="219"/>
        <c:overlap val="-27"/>
        <c:axId val="243978501"/>
        <c:axId val="909444869"/>
      </c:barChart>
      <c:catAx>
        <c:axId val="2439785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9444869"/>
        <c:crosses val="autoZero"/>
        <c:auto val="1"/>
        <c:lblAlgn val="ctr"/>
        <c:lblOffset val="100"/>
        <c:noMultiLvlLbl val="0"/>
      </c:catAx>
      <c:valAx>
        <c:axId val="9094448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397850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图</a:t>
            </a:r>
            <a:r>
              <a:rPr lang="en-US" altLang="zh-CN" b="1"/>
              <a:t>5</a:t>
            </a:r>
            <a:r>
              <a:rPr altLang="en-US" b="1"/>
              <a:t>：一般公共预算财政拨款支出决算变动情况（单位：万元）</a:t>
            </a:r>
            <a:endParaRPr altLang="en-US" b="1"/>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2018年</c:v>
                </c:pt>
                <c:pt idx="1">
                  <c:v>2019年</c:v>
                </c:pt>
              </c:strCache>
            </c:strRef>
          </c:cat>
          <c:val>
            <c:numRef>
              <c:f>[工作簿1]Sheet1!$B$1:$B$2</c:f>
              <c:numCache>
                <c:formatCode>General</c:formatCode>
                <c:ptCount val="2"/>
                <c:pt idx="0">
                  <c:v>635.28</c:v>
                </c:pt>
                <c:pt idx="1">
                  <c:v>1114.16</c:v>
                </c:pt>
              </c:numCache>
            </c:numRef>
          </c:val>
        </c:ser>
        <c:dLbls>
          <c:showLegendKey val="0"/>
          <c:showVal val="1"/>
          <c:showCatName val="0"/>
          <c:showSerName val="0"/>
          <c:showPercent val="0"/>
          <c:showBubbleSize val="0"/>
        </c:dLbls>
        <c:gapWidth val="219"/>
        <c:overlap val="-27"/>
        <c:axId val="587740014"/>
        <c:axId val="631535068"/>
      </c:barChart>
      <c:catAx>
        <c:axId val="5877400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1535068"/>
        <c:crosses val="autoZero"/>
        <c:auto val="1"/>
        <c:lblAlgn val="ctr"/>
        <c:lblOffset val="100"/>
        <c:noMultiLvlLbl val="0"/>
      </c:catAx>
      <c:valAx>
        <c:axId val="6315350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7400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solidFill>
                  <a:sysClr val="windowText" lastClr="000000"/>
                </a:solidFill>
              </a:rPr>
              <a:t>图</a:t>
            </a:r>
            <a:r>
              <a:rPr lang="en-US" altLang="zh-CN" b="1">
                <a:solidFill>
                  <a:sysClr val="windowText" lastClr="000000"/>
                </a:solidFill>
              </a:rPr>
              <a:t>6</a:t>
            </a:r>
            <a:r>
              <a:rPr altLang="en-US" b="1">
                <a:solidFill>
                  <a:sysClr val="windowText" lastClr="000000"/>
                </a:solidFill>
              </a:rPr>
              <a:t>：一般公共预算财政拨款支出决算结构</a:t>
            </a:r>
            <a:endParaRPr altLang="en-US" b="1">
              <a:solidFill>
                <a:sysClr val="windowText" lastClr="000000"/>
              </a:solidFill>
            </a:endParaRPr>
          </a:p>
        </c:rich>
      </c:tx>
      <c:layout>
        <c:manualLayout>
          <c:xMode val="edge"/>
          <c:yMode val="edge"/>
          <c:x val="0.225409836065574"/>
          <c:y val="0.0058997050147492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[工作簿1]Sheet1!$A$1:$A$7</c:f>
              <c:strCache>
                <c:ptCount val="7"/>
                <c:pt idx="0">
                  <c:v>一般公共服务（类）支出</c:v>
                </c:pt>
                <c:pt idx="1">
                  <c:v>社会保障和就业（类）支出</c:v>
                </c:pt>
                <c:pt idx="2">
                  <c:v>医疗卫生与计划生育（类）支出</c:v>
                </c:pt>
                <c:pt idx="3">
                  <c:v>住房保障（类）支出</c:v>
                </c:pt>
                <c:pt idx="4">
                  <c:v>农林水（类）支出</c:v>
                </c:pt>
                <c:pt idx="5">
                  <c:v>城乡社区支出（类）支出</c:v>
                </c:pt>
                <c:pt idx="6">
                  <c:v>其他支出（类）支出</c:v>
                </c:pt>
              </c:strCache>
            </c:strRef>
          </c:cat>
          <c:val>
            <c:numRef>
              <c:f>[工作簿1]Sheet1!$B$1:$B$7</c:f>
              <c:numCache>
                <c:formatCode>0.00%</c:formatCode>
                <c:ptCount val="7"/>
                <c:pt idx="0">
                  <c:v>0.3633</c:v>
                </c:pt>
                <c:pt idx="1">
                  <c:v>0.0341</c:v>
                </c:pt>
                <c:pt idx="2">
                  <c:v>0.0165</c:v>
                </c:pt>
                <c:pt idx="3">
                  <c:v>0.0228</c:v>
                </c:pt>
                <c:pt idx="4">
                  <c:v>0.3319</c:v>
                </c:pt>
                <c:pt idx="5" c:formatCode="0%">
                  <c:v>0.2</c:v>
                </c:pt>
                <c:pt idx="6">
                  <c:v>0.0314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图</a:t>
            </a:r>
            <a:r>
              <a:rPr lang="en-US" altLang="zh-CN" b="1"/>
              <a:t>8</a:t>
            </a:r>
            <a:r>
              <a:rPr altLang="en-US" b="1"/>
              <a:t>：</a:t>
            </a:r>
            <a:r>
              <a:rPr lang="en-US" altLang="zh-CN" b="1"/>
              <a:t>“</a:t>
            </a:r>
            <a:r>
              <a:rPr altLang="en-US" b="1"/>
              <a:t>三公</a:t>
            </a:r>
            <a:r>
              <a:rPr lang="en-US" altLang="zh-CN" b="1"/>
              <a:t>”</a:t>
            </a:r>
            <a:r>
              <a:rPr altLang="en-US" b="1"/>
              <a:t>经费财政拨款支出结构</a:t>
            </a:r>
            <a:endParaRPr altLang="en-US"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公务用车购置及运行维护费支出</c:v>
                </c:pt>
                <c:pt idx="1">
                  <c:v>公务接待费支出</c:v>
                </c:pt>
              </c:strCache>
            </c:strRef>
          </c:cat>
          <c:val>
            <c:numRef>
              <c:f>[工作簿1]Sheet1!$B$1:$B$2</c:f>
              <c:numCache>
                <c:formatCode>0.00%</c:formatCode>
                <c:ptCount val="2"/>
                <c:pt idx="0">
                  <c:v>0.9376</c:v>
                </c:pt>
                <c:pt idx="1">
                  <c:v>0.0624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5BB67-AFAE-429F-AC37-4BCD5462C90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17276</Words>
  <Characters>4176</Characters>
  <Lines>34</Lines>
  <Paragraphs>42</Paragraphs>
  <TotalTime>0</TotalTime>
  <ScaleCrop>false</ScaleCrop>
  <LinksUpToDate>false</LinksUpToDate>
  <CharactersWithSpaces>21410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2019-09-16T03:42:00Z</dcterms:created>
  <dc:creator>张彬茜</dc:creator>
  <cp:lastModifiedBy>twelve</cp:lastModifiedBy>
  <cp:lastPrinted>2020-09-25T03:04:00Z</cp:lastPrinted>
  <dcterms:modified xsi:type="dcterms:W3CDTF">2021-05-27T07:14:26Z</dcterms:modified>
  <dc:title>四川省***</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7B29BEC4BFF441419E13CEF789C792CF</vt:lpwstr>
  </property>
</Properties>
</file>