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发展和改革局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480" w:lineRule="atLeast"/>
        <w:ind w:firstLine="640" w:firstLineChars="20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1</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贯彻实施国家、省、州、县有关国民经济和社会发展、经济体制改革的方针、政策和法律、法规。负责本系统、本部门依法行政工作，落实行政执法责任制。</w:t>
      </w:r>
    </w:p>
    <w:p>
      <w:pPr>
        <w:spacing w:line="480" w:lineRule="atLeast"/>
        <w:ind w:firstLine="6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 xml:space="preserve">    2</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负责拟订并组织实施全县国民经济和社会发展战略、中长期规划和年度计划，统筹协调全县经济社会发展，研究分析宏观经济形势，提出全县经济社会发展、经济结构优化调控目标和政策建议。受县政府委托向县人大提交国民经济和社会发展计划报告。</w:t>
      </w:r>
    </w:p>
    <w:p>
      <w:pPr>
        <w:spacing w:line="480" w:lineRule="atLeast"/>
        <w:ind w:firstLine="6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 xml:space="preserve">    3</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负责监测宏观经济和社会发展态势，承担预测预警和信息引导的责任，研究宏观调控重大问题并提出政策建议，搞好总量平衡，综合协调经济社会发展中的重大问题。负责县级以上开发区的指导、协调和宏观管理。</w:t>
      </w:r>
    </w:p>
    <w:p>
      <w:pPr>
        <w:spacing w:line="480" w:lineRule="atLeast"/>
        <w:ind w:firstLine="60"/>
        <w:jc w:val="both"/>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bidi="ar-SA"/>
        </w:rPr>
        <w:t xml:space="preserve">    4</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承担指导推进和综合协调全县经济体制改革的责任，研究经济体制改革和对外开放的重大问题，组织拟订综合性经济体制改革方案，协调有关专项经济体制改革方案，指导和推进总体经济体制改革以及各部门综合配套改革与体制创新，组织、指导和协调综合配套改革试点和重大专项经济体制改革试点。</w:t>
      </w:r>
    </w:p>
    <w:p>
      <w:pPr>
        <w:spacing w:line="480" w:lineRule="atLeast"/>
        <w:ind w:firstLine="640" w:firstLineChars="200"/>
        <w:jc w:val="both"/>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5.负责全县投资宏观管理和协调推进重大项目建设。拟订全县社会固定资产投资总规模和投资结构，编制年度投资计划；研究提出有关重大投资政策，规划重大项目和生产力布局；申报限额以上和审批权限以内的基本建设项目；按照基本建设程序，负责全县基本建设项目立项、可行性研究报告和国家出资的市政建设及能源等行业和产业项目的初步设计审查工作；引导民间资金用于固定资产投资的方向；研究提出全县利用外资的规划、总量平衡和结构优化的目标和政策措施；审批权限以内国外贷款、外商提资和境外投资项目；申报和审核利用外资、境外投资的重大项目；负责编制全县重点建设项目和年度投资计划；负责组织和管理重大建设项目稽察工作。</w:t>
      </w:r>
    </w:p>
    <w:p>
      <w:pPr>
        <w:spacing w:line="480" w:lineRule="atLeast"/>
        <w:ind w:firstLine="60"/>
        <w:jc w:val="both"/>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 xml:space="preserve">    6.推进经济结构战略性调整。负责协调第一、二、三产业发展的重大问题，衔接平衡相关发展规划和重大政策，协调农业和农村经济社会发展的重大问题，衔接农村专项规划和政策。拟订重大产业发展规划，引导全县重大生产力合理布局，协调推进全县重大技术装备推广应用和重大产业基地建设，会同有关部门拟订服务业、现代物流业发展战略、规划。组织拟订高技术产业发展、产业技术进步的战略、规划，指导全县自主创新体系建设发展。</w:t>
      </w:r>
    </w:p>
    <w:p>
      <w:pPr>
        <w:spacing w:line="480" w:lineRule="atLeast"/>
        <w:ind w:firstLine="60"/>
        <w:jc w:val="both"/>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bidi="ar-SA"/>
        </w:rPr>
        <w:t xml:space="preserve">    </w:t>
      </w:r>
      <w:r>
        <w:rPr>
          <w:rFonts w:hint="eastAsia" w:ascii="仿宋_GB2312" w:eastAsia="仿宋_GB2312" w:cs="宋体"/>
          <w:color w:val="333333"/>
          <w:sz w:val="32"/>
          <w:szCs w:val="32"/>
          <w:lang w:eastAsia="zh-CN" w:bidi="ar-SA"/>
        </w:rPr>
        <w:t>7.</w:t>
      </w:r>
      <w:r>
        <w:rPr>
          <w:rFonts w:hint="eastAsia" w:ascii="仿宋_GB2312" w:eastAsia="仿宋_GB2312" w:cs="宋体"/>
          <w:color w:val="333333"/>
          <w:sz w:val="32"/>
          <w:szCs w:val="32"/>
          <w:lang w:bidi="ar-SA"/>
        </w:rPr>
        <w:t>负责全县社会发展与国民经济发展的政策衔接，组织拟订社会发展战略、总体规划和年度计划，拟定人口发展战略规划及人口政策，参与拟订科学技术、教育、文化、卫生、民政等发展政策，推进社会事业建设。研究提出促进就业、调整收入分配、完善社会保障与经济协调发展的政策建议，协调社会事业发展和政策中的重大问题及政策。</w:t>
      </w:r>
    </w:p>
    <w:p>
      <w:pPr>
        <w:spacing w:line="480" w:lineRule="atLeast"/>
        <w:ind w:firstLine="60"/>
        <w:jc w:val="both"/>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 xml:space="preserve">    8.</w:t>
      </w:r>
      <w:r>
        <w:rPr>
          <w:rFonts w:hint="eastAsia" w:ascii="仿宋_GB2312" w:eastAsia="仿宋_GB2312" w:cs="宋体"/>
          <w:color w:val="333333"/>
          <w:sz w:val="32"/>
          <w:szCs w:val="32"/>
          <w:lang w:bidi="ar-SA"/>
        </w:rPr>
        <w:t>促进城乡区域协调发展。组织编制全县主体功能区规划并协调规划实施和进行监测评估，组织拟订区域协调发展战略、规划，负责地区经济协作的统筹协调。</w:t>
      </w:r>
    </w:p>
    <w:p>
      <w:pPr>
        <w:spacing w:line="480" w:lineRule="atLeast"/>
        <w:ind w:firstLine="6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 xml:space="preserve">    9</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推进可持续发展，负责全县节能减排的综合协调工作，组织拟订并协调实施全县发展循环经济、能源资源节约和综合利用规划及措施，参与编制生态建设、环境保护规划，协调生态建设、能源资源节约和综合利用的重大问题。</w:t>
      </w:r>
    </w:p>
    <w:p>
      <w:pPr>
        <w:spacing w:line="480" w:lineRule="atLeast"/>
        <w:ind w:firstLine="6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 xml:space="preserve">    10</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指导、协调并综合管理全县招标投标工作，对国家和州、县重大建设项目建设过程中的工程招标投标活动实施监督检查。</w:t>
      </w:r>
    </w:p>
    <w:p>
      <w:pPr>
        <w:spacing w:line="480" w:lineRule="atLeast"/>
        <w:ind w:firstLine="6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 xml:space="preserve">    11</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 xml:space="preserve">负责组织编制全县国民经济动员与装备动员规划、计划，研究国民经济动员与装备动员和国民经济、国防建设的关系，协调相关重大问题，组织实施国民经济动员与装备动员有关工作。   </w:t>
      </w:r>
    </w:p>
    <w:p>
      <w:pPr>
        <w:spacing w:line="480" w:lineRule="atLeast"/>
        <w:ind w:firstLine="723" w:firstLineChars="226"/>
        <w:jc w:val="both"/>
        <w:rPr>
          <w:rFonts w:hint="eastAsia" w:ascii="仿宋_GB2312" w:eastAsia="仿宋_GB2312" w:cs="宋体"/>
          <w:color w:val="333333"/>
          <w:sz w:val="32"/>
          <w:szCs w:val="32"/>
          <w:lang w:bidi="ar-SA"/>
        </w:rPr>
      </w:pPr>
      <w:r>
        <w:rPr>
          <w:rFonts w:hint="eastAsia" w:ascii="仿宋_GB2312" w:eastAsia="仿宋_GB2312" w:cs="宋体"/>
          <w:color w:val="333333"/>
          <w:sz w:val="32"/>
          <w:szCs w:val="32"/>
          <w:lang w:bidi="ar-SA"/>
        </w:rPr>
        <w:t>12</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承担县政府公布的有关行政审批事项。</w:t>
      </w:r>
    </w:p>
    <w:p>
      <w:pPr>
        <w:spacing w:line="480" w:lineRule="atLeast"/>
        <w:ind w:firstLine="60"/>
        <w:jc w:val="both"/>
        <w:rPr>
          <w:rFonts w:hint="eastAsia" w:ascii="仿宋_GB2312" w:eastAsia="仿宋_GB2312" w:cs="宋体"/>
          <w:color w:val="333333"/>
          <w:sz w:val="32"/>
          <w:szCs w:val="32"/>
          <w:lang w:eastAsia="zh-CN" w:bidi="ar-SA"/>
        </w:rPr>
      </w:pPr>
      <w:r>
        <w:rPr>
          <w:rFonts w:hint="eastAsia" w:ascii="仿宋_GB2312" w:eastAsia="仿宋_GB2312" w:cs="宋体"/>
          <w:color w:val="333333"/>
          <w:sz w:val="32"/>
          <w:szCs w:val="32"/>
          <w:lang w:bidi="ar-SA"/>
        </w:rPr>
        <w:t xml:space="preserve">   </w:t>
      </w:r>
      <w:r>
        <w:rPr>
          <w:rFonts w:hint="eastAsia" w:ascii="仿宋_GB2312" w:eastAsia="仿宋_GB2312" w:cs="宋体"/>
          <w:color w:val="333333"/>
          <w:sz w:val="32"/>
          <w:szCs w:val="32"/>
          <w:lang w:val="en-US" w:eastAsia="zh-CN" w:bidi="ar-SA"/>
        </w:rPr>
        <w:t xml:space="preserve"> </w:t>
      </w:r>
      <w:r>
        <w:rPr>
          <w:rFonts w:hint="eastAsia" w:ascii="仿宋_GB2312" w:eastAsia="仿宋_GB2312" w:cs="宋体"/>
          <w:color w:val="333333"/>
          <w:sz w:val="32"/>
          <w:szCs w:val="32"/>
          <w:lang w:bidi="ar-SA"/>
        </w:rPr>
        <w:t>13</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承办县政府交办的其他事项。</w:t>
      </w:r>
      <w:r>
        <w:rPr>
          <w:rFonts w:hint="eastAsia" w:ascii="仿宋_GB2312" w:eastAsia="仿宋_GB2312" w:cs="宋体"/>
          <w:color w:val="333333"/>
          <w:sz w:val="32"/>
          <w:szCs w:val="32"/>
          <w:lang w:eastAsia="zh-CN" w:bidi="ar-SA"/>
        </w:rPr>
        <w:t>　</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spacing w:line="480" w:lineRule="atLeast"/>
        <w:ind w:firstLine="726" w:firstLineChars="227"/>
        <w:jc w:val="both"/>
        <w:rPr>
          <w:rFonts w:hint="eastAsia" w:ascii="仿宋_GB2312" w:eastAsia="仿宋_GB2312" w:cs="宋体"/>
          <w:color w:val="333333"/>
          <w:sz w:val="32"/>
          <w:szCs w:val="32"/>
          <w:lang w:val="en-US" w:eastAsia="zh-CN" w:bidi="ar-SA"/>
        </w:rPr>
      </w:pPr>
      <w:r>
        <w:rPr>
          <w:rFonts w:hint="eastAsia" w:ascii="仿宋_GB2312" w:eastAsia="仿宋_GB2312" w:cs="宋体"/>
          <w:color w:val="333333"/>
          <w:sz w:val="32"/>
          <w:szCs w:val="32"/>
          <w:lang w:val="en-US" w:eastAsia="zh-CN" w:bidi="ar-SA"/>
        </w:rPr>
        <w:t>2022年，我局将继续按照“当好参谋、谋划全局、管理投资、推进改革”的发展与改革工作要求，强化宏观调控下的综合协调职能。开拓进取，扎实工作，全面完成县委、县政府赋予的职能任务，为促进国民经济持续快速健康发展做出新的贡献。</w:t>
      </w:r>
    </w:p>
    <w:p>
      <w:pPr>
        <w:spacing w:line="480" w:lineRule="atLeast"/>
        <w:ind w:firstLine="726" w:firstLineChars="227"/>
        <w:jc w:val="both"/>
        <w:rPr>
          <w:rFonts w:hint="eastAsia" w:ascii="仿宋_GB2312" w:eastAsia="仿宋_GB2312" w:cs="宋体"/>
          <w:color w:val="333333"/>
          <w:sz w:val="32"/>
          <w:szCs w:val="32"/>
          <w:lang w:val="en-US" w:eastAsia="zh-CN" w:bidi="ar-SA"/>
        </w:rPr>
      </w:pPr>
      <w:r>
        <w:rPr>
          <w:rFonts w:hint="eastAsia" w:ascii="仿宋_GB2312" w:eastAsia="仿宋_GB2312" w:cs="宋体"/>
          <w:color w:val="333333"/>
          <w:sz w:val="32"/>
          <w:szCs w:val="32"/>
          <w:lang w:val="en-US" w:eastAsia="zh-CN" w:bidi="ar-SA"/>
        </w:rPr>
        <w:t>1.及时分析我县经济运行状况，提出对策建议。2022年预计实现地区生产总值（下同）499290万元，同比增长7.4%；全社会固定资产投资完成220000万元，增长10.0%。</w:t>
      </w:r>
    </w:p>
    <w:p>
      <w:pPr>
        <w:spacing w:line="480" w:lineRule="atLeast"/>
        <w:ind w:firstLine="726" w:firstLineChars="227"/>
        <w:jc w:val="both"/>
        <w:rPr>
          <w:rFonts w:hint="eastAsia" w:ascii="仿宋_GB2312" w:eastAsia="仿宋_GB2312" w:cs="宋体"/>
          <w:color w:val="333333"/>
          <w:sz w:val="32"/>
          <w:szCs w:val="32"/>
          <w:lang w:val="en-US" w:eastAsia="zh-CN" w:bidi="ar-SA"/>
        </w:rPr>
      </w:pPr>
      <w:r>
        <w:rPr>
          <w:rFonts w:hint="eastAsia" w:ascii="仿宋_GB2312" w:eastAsia="仿宋_GB2312" w:cs="宋体"/>
          <w:color w:val="333333"/>
          <w:sz w:val="32"/>
          <w:szCs w:val="32"/>
          <w:lang w:val="en-US" w:eastAsia="zh-CN" w:bidi="ar-SA"/>
        </w:rPr>
        <w:t>2.及早谋划2022年投资工作，提前谋划，预判分析2022年固定资产投资任务，做好投资唱主角这篇文章；密切配合统计部门做好入库入统工作，指导项目业主新</w:t>
      </w:r>
      <w:r>
        <w:rPr>
          <w:rFonts w:hint="eastAsia" w:ascii="仿宋_GB2312" w:hAnsi="Calibri" w:eastAsia="仿宋_GB2312" w:cs="宋体"/>
          <w:color w:val="333333"/>
          <w:kern w:val="2"/>
          <w:sz w:val="32"/>
          <w:szCs w:val="32"/>
          <w:lang w:val="en-US" w:eastAsia="zh-CN" w:bidi="ar-SA"/>
        </w:rPr>
        <w:t>入库项目收集，</w:t>
      </w:r>
      <w:r>
        <w:rPr>
          <w:rFonts w:hint="eastAsia" w:ascii="仿宋_GB2312" w:eastAsia="仿宋_GB2312" w:cs="宋体"/>
          <w:color w:val="333333"/>
          <w:sz w:val="32"/>
          <w:szCs w:val="32"/>
          <w:lang w:val="en-US" w:eastAsia="zh-CN" w:bidi="ar-SA"/>
        </w:rPr>
        <w:t>确保完成州下达的投资任务。积极与州级相关科室对接，做好各口径项目及专项债券项目申报及投资争取。</w:t>
      </w:r>
    </w:p>
    <w:p>
      <w:pPr>
        <w:spacing w:line="480" w:lineRule="atLeast"/>
        <w:ind w:firstLine="726" w:firstLineChars="227"/>
        <w:jc w:val="both"/>
        <w:rPr>
          <w:rFonts w:hint="eastAsia" w:ascii="仿宋_GB2312" w:eastAsia="仿宋_GB2312" w:cs="宋体"/>
          <w:color w:val="333333"/>
          <w:sz w:val="32"/>
          <w:szCs w:val="32"/>
          <w:lang w:val="en-US" w:eastAsia="zh-CN" w:bidi="ar-SA"/>
        </w:rPr>
      </w:pPr>
      <w:r>
        <w:rPr>
          <w:rFonts w:hint="eastAsia" w:ascii="仿宋_GB2312" w:eastAsia="仿宋_GB2312" w:cs="宋体"/>
          <w:color w:val="333333"/>
          <w:sz w:val="32"/>
          <w:szCs w:val="32"/>
          <w:lang w:val="en-US" w:eastAsia="zh-CN" w:bidi="ar-SA"/>
        </w:rPr>
        <w:t xml:space="preserve">3.加强有效项目储备，确保项目推进有序。继续加大以工代赈建设项目申报力度，认真研究以工代赈资金投向，精准规划和包装项目，抓好易地扶贫搬迁后续扶持，抓好农业农村基础设施建设领域推广以工代赈方式项目调度工作。结合“十四五”规划纲要，针对东西协作和省内对口帮扶、省发改委定点帮扶、革命老区振兴发展、乡村振兴、以工代赈、中央预算内项目等工作要点，积极对接争取并实施重点项目。  </w:t>
      </w:r>
    </w:p>
    <w:p>
      <w:pPr>
        <w:spacing w:line="480" w:lineRule="atLeast"/>
        <w:ind w:firstLine="726" w:firstLineChars="227"/>
        <w:jc w:val="both"/>
        <w:rPr>
          <w:rFonts w:hint="eastAsia" w:ascii="仿宋_GB2312" w:eastAsia="仿宋_GB2312" w:cs="宋体"/>
          <w:color w:val="333333"/>
          <w:sz w:val="32"/>
          <w:szCs w:val="32"/>
          <w:lang w:val="en-US" w:eastAsia="zh-CN" w:bidi="ar-SA"/>
        </w:rPr>
      </w:pPr>
      <w:r>
        <w:rPr>
          <w:rFonts w:hint="eastAsia" w:ascii="仿宋_GB2312" w:eastAsia="仿宋_GB2312" w:cs="宋体"/>
          <w:color w:val="333333"/>
          <w:sz w:val="32"/>
          <w:szCs w:val="32"/>
          <w:lang w:val="en-US" w:eastAsia="zh-CN" w:bidi="ar-SA"/>
        </w:rPr>
        <w:t>4.加强招投标程序规范，确保贯彻执行到位。为保障我县项目招投标工作持续安全、有效、顺利的进行，根据《中华人民共和国招标投标法》、《四川省国家投资工程建设项目招标投标条例》等法律、法规和政策的有关规定，按照发改局负责指导、协调全县工程项目招标投标工作的职能，加强对代理机构的信用评价机制，对失信严重及存在违法违规行为的代理公司进行处罚和清退。加强社会信用体系建设知识学习，进一步加大茂县社会信用体系工作的有序开展。</w:t>
      </w:r>
    </w:p>
    <w:p>
      <w:pPr>
        <w:spacing w:line="480" w:lineRule="atLeast"/>
        <w:ind w:firstLine="726" w:firstLineChars="227"/>
        <w:jc w:val="both"/>
        <w:rPr>
          <w:rFonts w:hint="eastAsia" w:ascii="仿宋_GB2312" w:eastAsia="仿宋_GB2312" w:cs="宋体"/>
          <w:color w:val="333333"/>
          <w:sz w:val="32"/>
          <w:szCs w:val="32"/>
          <w:lang w:val="en-US" w:eastAsia="zh-CN" w:bidi="ar-SA"/>
        </w:rPr>
      </w:pPr>
      <w:r>
        <w:rPr>
          <w:rFonts w:hint="eastAsia" w:ascii="仿宋_GB2312" w:eastAsia="仿宋_GB2312" w:cs="宋体"/>
          <w:color w:val="333333"/>
          <w:sz w:val="32"/>
          <w:szCs w:val="32"/>
          <w:lang w:val="en-US" w:eastAsia="zh-CN" w:bidi="ar-SA"/>
        </w:rPr>
        <w:t>5.加强价格认证监管，确保价格管理平稳有序。严格按照省州价格政策开展价格认定和收费管理工作，加强本县重要商品价格、药品价格、粮食价格和景区价格的监测，全面落实价格监测报告制度，按照相关法律法规规定，对需要开展和符合开展成本监审事项进行成本监审工作。</w:t>
      </w:r>
    </w:p>
    <w:p>
      <w:pPr>
        <w:spacing w:line="480" w:lineRule="atLeast"/>
        <w:ind w:firstLine="726" w:firstLineChars="227"/>
        <w:jc w:val="both"/>
        <w:rPr>
          <w:rFonts w:hint="default" w:ascii="仿宋_GB2312" w:eastAsia="仿宋_GB2312" w:cs="宋体"/>
          <w:color w:val="333333"/>
          <w:sz w:val="32"/>
          <w:szCs w:val="32"/>
          <w:lang w:val="en-US" w:eastAsia="zh-CN" w:bidi="ar-SA"/>
        </w:rPr>
      </w:pPr>
      <w:r>
        <w:rPr>
          <w:rFonts w:hint="eastAsia" w:ascii="仿宋_GB2312" w:eastAsia="仿宋_GB2312" w:cs="宋体"/>
          <w:color w:val="333333"/>
          <w:sz w:val="32"/>
          <w:szCs w:val="32"/>
          <w:lang w:val="en-US" w:eastAsia="zh-CN" w:bidi="ar-SA"/>
        </w:rPr>
        <w:t>6.认真做好东西部协作和对口支援及省内对口帮扶工作。按照对口支援工作安排部署，2022年计划投入帮扶资金5500万元（其中平湖市4500万元、东坡区1000万元），实施</w:t>
      </w:r>
      <w:r>
        <w:rPr>
          <w:rFonts w:hint="default" w:ascii="仿宋_GB2312" w:eastAsia="仿宋_GB2312" w:cs="宋体"/>
          <w:color w:val="333333"/>
          <w:sz w:val="32"/>
          <w:szCs w:val="32"/>
          <w:lang w:val="en-US" w:eastAsia="zh-CN" w:bidi="ar-SA"/>
        </w:rPr>
        <w:t>产业发展、智力帮扶、基础设施</w:t>
      </w:r>
      <w:r>
        <w:rPr>
          <w:rFonts w:hint="eastAsia" w:ascii="仿宋_GB2312" w:eastAsia="仿宋_GB2312" w:cs="宋体"/>
          <w:color w:val="333333"/>
          <w:sz w:val="32"/>
          <w:szCs w:val="32"/>
          <w:lang w:val="en-US" w:eastAsia="zh-CN" w:bidi="ar-SA"/>
        </w:rPr>
        <w:t>建设</w:t>
      </w:r>
      <w:r>
        <w:rPr>
          <w:rFonts w:hint="default" w:ascii="仿宋_GB2312" w:eastAsia="仿宋_GB2312" w:cs="宋体"/>
          <w:color w:val="333333"/>
          <w:sz w:val="32"/>
          <w:szCs w:val="32"/>
          <w:lang w:val="en-US" w:eastAsia="zh-CN" w:bidi="ar-SA"/>
        </w:rPr>
        <w:t>等</w:t>
      </w:r>
      <w:r>
        <w:rPr>
          <w:rFonts w:hint="eastAsia" w:ascii="仿宋_GB2312" w:eastAsia="仿宋_GB2312" w:cs="宋体"/>
          <w:color w:val="333333"/>
          <w:sz w:val="32"/>
          <w:szCs w:val="32"/>
          <w:lang w:val="en-US" w:eastAsia="zh-CN" w:bidi="ar-SA"/>
        </w:rPr>
        <w:t>项目。</w:t>
      </w:r>
    </w:p>
    <w:p>
      <w:pPr>
        <w:spacing w:line="480" w:lineRule="atLeast"/>
        <w:ind w:firstLine="726" w:firstLineChars="227"/>
        <w:jc w:val="both"/>
        <w:rPr>
          <w:rFonts w:hint="eastAsia" w:ascii="仿宋_GB2312" w:eastAsia="仿宋_GB2312" w:cs="宋体"/>
          <w:color w:val="333333"/>
          <w:sz w:val="32"/>
          <w:szCs w:val="32"/>
          <w:lang w:val="en-US" w:eastAsia="zh-CN" w:bidi="ar-SA"/>
        </w:rPr>
      </w:pPr>
      <w:r>
        <w:rPr>
          <w:rFonts w:hint="eastAsia" w:ascii="仿宋_GB2312" w:eastAsia="仿宋_GB2312" w:cs="宋体"/>
          <w:color w:val="333333"/>
          <w:sz w:val="32"/>
          <w:szCs w:val="32"/>
          <w:lang w:val="en-US" w:eastAsia="zh-CN" w:bidi="ar-SA"/>
        </w:rPr>
        <w:t xml:space="preserve">7.全面做好粮食和应急物资储备工作。按照中央、省、州、县的要求做好组织实施重要物资和应急储备物资收储、轮换和日常管理工作。  </w:t>
      </w:r>
    </w:p>
    <w:p>
      <w:pPr>
        <w:spacing w:line="480" w:lineRule="atLeast"/>
        <w:ind w:firstLine="726" w:firstLineChars="227"/>
        <w:jc w:val="both"/>
        <w:rPr>
          <w:rFonts w:hint="eastAsia" w:ascii="仿宋_GB2312" w:eastAsia="仿宋_GB2312" w:cs="宋体"/>
          <w:color w:val="333333"/>
          <w:sz w:val="32"/>
          <w:szCs w:val="32"/>
          <w:lang w:val="en-US" w:eastAsia="zh-CN" w:bidi="ar-SA"/>
        </w:rPr>
      </w:pPr>
      <w:r>
        <w:rPr>
          <w:rFonts w:hint="eastAsia" w:ascii="仿宋_GB2312" w:eastAsia="仿宋_GB2312" w:cs="宋体"/>
          <w:color w:val="333333"/>
          <w:sz w:val="32"/>
          <w:szCs w:val="32"/>
          <w:lang w:val="en-US" w:eastAsia="zh-CN" w:bidi="ar-SA"/>
        </w:rPr>
        <w:t>8.强化意识形态工作责任制，全面落实党建工作，抓好党风廉政建设和机关效能建设。深入学习贯彻党的十九大精神、十九届六中全会精神、习近平</w:t>
      </w:r>
      <w:bookmarkStart w:id="0" w:name="_GoBack"/>
      <w:bookmarkEnd w:id="0"/>
      <w:r>
        <w:rPr>
          <w:rFonts w:hint="eastAsia" w:ascii="仿宋_GB2312" w:eastAsia="仿宋_GB2312" w:cs="宋体"/>
          <w:color w:val="333333"/>
          <w:sz w:val="32"/>
          <w:szCs w:val="32"/>
          <w:lang w:val="en-US" w:eastAsia="zh-CN" w:bidi="ar-SA"/>
        </w:rPr>
        <w:t>总书记的重要讲话精神，及省委、州委重要会议精神，强化意识形态工作责任制，全面落实党建工作、深入开展党风廉政建设和反腐败工作。</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480" w:lineRule="atLeast"/>
        <w:ind w:firstLine="726" w:firstLineChars="227"/>
        <w:jc w:val="both"/>
        <w:rPr>
          <w:rFonts w:hint="eastAsia" w:ascii="黑体" w:hAnsi="黑体" w:eastAsia="黑体"/>
          <w:sz w:val="32"/>
          <w:szCs w:val="32"/>
        </w:rPr>
      </w:pPr>
      <w:r>
        <w:rPr>
          <w:rFonts w:hint="eastAsia" w:ascii="仿宋_GB2312" w:eastAsia="仿宋_GB2312" w:cs="宋体"/>
          <w:color w:val="333333"/>
          <w:sz w:val="32"/>
          <w:szCs w:val="32"/>
          <w:lang w:eastAsia="zh-CN" w:bidi="ar-SA"/>
        </w:rPr>
        <w:t>茂县发展和改革局</w:t>
      </w:r>
      <w:r>
        <w:rPr>
          <w:rFonts w:hint="eastAsia" w:ascii="仿宋_GB2312" w:eastAsia="仿宋_GB2312" w:cs="宋体"/>
          <w:color w:val="333333"/>
          <w:sz w:val="32"/>
          <w:szCs w:val="32"/>
          <w:lang w:val="en-US" w:eastAsia="zh-CN" w:bidi="ar-SA"/>
        </w:rPr>
        <w:t>属一级预算单位,下属二级预算单位0个，其中：参照公务员法管理的事业单位0个，其他事业单位0个。5个内设机构：办公室（行政审批股）、政策法规与项目稽查办公室、国民经济综合股、固定资产投资股及以工代赈办公室。</w:t>
      </w:r>
    </w:p>
    <w:p>
      <w:pPr>
        <w:pStyle w:val="9"/>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茂县发展和改革局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3003433.46</w:t>
      </w:r>
      <w:r>
        <w:rPr>
          <w:rFonts w:ascii="仿宋_GB2312" w:eastAsia="仿宋_GB2312"/>
          <w:sz w:val="32"/>
          <w:szCs w:val="32"/>
        </w:rPr>
        <w:t>元；支出包括：一般公共服务支出</w:t>
      </w:r>
      <w:r>
        <w:rPr>
          <w:rFonts w:hint="eastAsia" w:ascii="仿宋_GB2312" w:eastAsia="仿宋_GB2312"/>
          <w:sz w:val="32"/>
          <w:szCs w:val="32"/>
          <w:lang w:val="en-US" w:eastAsia="zh-CN"/>
        </w:rPr>
        <w:t>2127076.56</w:t>
      </w:r>
      <w:r>
        <w:rPr>
          <w:rFonts w:ascii="仿宋_GB2312" w:eastAsia="仿宋_GB2312"/>
          <w:sz w:val="32"/>
          <w:szCs w:val="32"/>
        </w:rPr>
        <w:t>元，社会保障和就业支出</w:t>
      </w:r>
      <w:r>
        <w:rPr>
          <w:rFonts w:hint="eastAsia" w:ascii="仿宋_GB2312" w:eastAsia="仿宋_GB2312"/>
          <w:sz w:val="32"/>
          <w:szCs w:val="32"/>
          <w:lang w:val="en-US" w:eastAsia="zh-CN"/>
        </w:rPr>
        <w:t>398091.76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191993.14</w:t>
      </w:r>
      <w:r>
        <w:rPr>
          <w:rFonts w:ascii="仿宋_GB2312" w:eastAsia="仿宋_GB2312"/>
          <w:sz w:val="32"/>
          <w:szCs w:val="32"/>
        </w:rPr>
        <w:t>元，住房保障支出</w:t>
      </w:r>
      <w:r>
        <w:rPr>
          <w:rFonts w:hint="eastAsia" w:ascii="仿宋_GB2312" w:eastAsia="仿宋_GB2312"/>
          <w:sz w:val="32"/>
          <w:szCs w:val="32"/>
          <w:lang w:val="en-US" w:eastAsia="zh-CN"/>
        </w:rPr>
        <w:t>286272</w:t>
      </w:r>
      <w:r>
        <w:rPr>
          <w:rFonts w:ascii="仿宋_GB2312" w:eastAsia="仿宋_GB2312"/>
          <w:sz w:val="32"/>
          <w:szCs w:val="32"/>
        </w:rPr>
        <w:t>元。</w:t>
      </w:r>
      <w:r>
        <w:rPr>
          <w:rFonts w:hint="eastAsia" w:ascii="仿宋_GB2312" w:eastAsia="仿宋_GB2312"/>
          <w:sz w:val="32"/>
          <w:szCs w:val="32"/>
          <w:lang w:eastAsia="zh-CN"/>
        </w:rPr>
        <w:t>茂县发展和改革局</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3003433.46</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84876.54</w:t>
      </w:r>
      <w:r>
        <w:rPr>
          <w:rFonts w:ascii="仿宋_GB2312" w:eastAsia="仿宋_GB2312"/>
          <w:sz w:val="32"/>
          <w:szCs w:val="32"/>
        </w:rPr>
        <w:t>元，主要原因:</w:t>
      </w:r>
      <w:r>
        <w:rPr>
          <w:rFonts w:hint="eastAsia" w:ascii="仿宋_GB2312" w:eastAsia="仿宋_GB2312"/>
          <w:sz w:val="32"/>
          <w:szCs w:val="32"/>
        </w:rPr>
        <w:t>新增和调出职工之间工资标准、缴纳医疗保险、养老保险、职业年金、住房公积金等基数减少。</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3003433.46</w:t>
      </w:r>
      <w:r>
        <w:rPr>
          <w:rFonts w:ascii="仿宋_GB2312" w:eastAsia="仿宋_GB2312"/>
          <w:sz w:val="32"/>
          <w:szCs w:val="32"/>
        </w:rPr>
        <w:t>元；一般公共预算拨款收入</w:t>
      </w:r>
      <w:r>
        <w:rPr>
          <w:rFonts w:hint="eastAsia" w:ascii="仿宋_GB2312" w:eastAsia="仿宋_GB2312"/>
          <w:sz w:val="32"/>
          <w:szCs w:val="32"/>
          <w:lang w:val="en-US" w:eastAsia="zh-CN"/>
        </w:rPr>
        <w:t>3003433.46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lang w:val="en-US" w:eastAsia="zh-CN"/>
        </w:rPr>
        <w:t>3003433.46</w:t>
      </w:r>
      <w:r>
        <w:rPr>
          <w:rFonts w:ascii="仿宋_GB2312" w:eastAsia="仿宋_GB2312"/>
          <w:sz w:val="32"/>
          <w:szCs w:val="32"/>
        </w:rPr>
        <w:t>元，其中：基本支出</w:t>
      </w:r>
      <w:r>
        <w:rPr>
          <w:rFonts w:hint="eastAsia" w:ascii="仿宋_GB2312" w:eastAsia="仿宋_GB2312"/>
          <w:sz w:val="32"/>
          <w:szCs w:val="32"/>
          <w:lang w:val="en-US" w:eastAsia="zh-CN"/>
        </w:rPr>
        <w:t>3003433.46</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jc w:val="both"/>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3003433.46</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84876.54</w:t>
      </w:r>
      <w:r>
        <w:rPr>
          <w:rFonts w:ascii="仿宋_GB2312" w:eastAsia="仿宋_GB2312"/>
          <w:sz w:val="32"/>
          <w:szCs w:val="32"/>
        </w:rPr>
        <w:t>元，主要原因:</w:t>
      </w:r>
      <w:r>
        <w:rPr>
          <w:rFonts w:hint="eastAsia" w:ascii="仿宋_GB2312" w:eastAsia="仿宋_GB2312"/>
          <w:sz w:val="32"/>
          <w:szCs w:val="32"/>
        </w:rPr>
        <w:t>新增和调出职工之间工资标准、缴纳医疗保险、养老保险、职业年金、住房公积金等基数减少。</w:t>
      </w:r>
    </w:p>
    <w:p>
      <w:pPr>
        <w:spacing w:line="560" w:lineRule="exact"/>
        <w:ind w:firstLine="640" w:firstLineChars="200"/>
        <w:jc w:val="both"/>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3003433.46</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both"/>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2127076.56</w:t>
      </w:r>
      <w:r>
        <w:rPr>
          <w:rFonts w:ascii="仿宋_GB2312" w:eastAsia="仿宋_GB2312"/>
          <w:sz w:val="32"/>
          <w:szCs w:val="32"/>
        </w:rPr>
        <w:t>元，社会保障和就业支出</w:t>
      </w:r>
      <w:r>
        <w:rPr>
          <w:rFonts w:hint="eastAsia" w:ascii="仿宋_GB2312" w:eastAsia="仿宋_GB2312"/>
          <w:sz w:val="32"/>
          <w:szCs w:val="32"/>
          <w:lang w:val="en-US" w:eastAsia="zh-CN"/>
        </w:rPr>
        <w:t>398091.76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191993.14</w:t>
      </w:r>
      <w:r>
        <w:rPr>
          <w:rFonts w:ascii="仿宋_GB2312" w:eastAsia="仿宋_GB2312"/>
          <w:sz w:val="32"/>
          <w:szCs w:val="32"/>
        </w:rPr>
        <w:t>元，住房保障支出</w:t>
      </w:r>
      <w:r>
        <w:rPr>
          <w:rFonts w:hint="eastAsia" w:ascii="仿宋_GB2312" w:eastAsia="仿宋_GB2312"/>
          <w:sz w:val="32"/>
          <w:szCs w:val="32"/>
          <w:lang w:val="en-US" w:eastAsia="zh-CN"/>
        </w:rPr>
        <w:t>286272</w:t>
      </w:r>
      <w:r>
        <w:rPr>
          <w:rFonts w:ascii="仿宋_GB2312" w:eastAsia="仿宋_GB2312"/>
          <w:sz w:val="32"/>
          <w:szCs w:val="32"/>
        </w:rPr>
        <w:t>元。</w:t>
      </w:r>
    </w:p>
    <w:p>
      <w:pPr>
        <w:spacing w:line="560" w:lineRule="exact"/>
        <w:ind w:firstLine="640" w:firstLineChars="200"/>
        <w:jc w:val="both"/>
        <w:rPr>
          <w:rFonts w:ascii="黑体" w:eastAsia="黑体"/>
          <w:sz w:val="32"/>
          <w:szCs w:val="32"/>
        </w:rPr>
      </w:pPr>
      <w:r>
        <w:rPr>
          <w:rFonts w:hint="eastAsia" w:ascii="黑体" w:hAnsi="黑体" w:eastAsia="黑体"/>
          <w:sz w:val="32"/>
          <w:szCs w:val="32"/>
        </w:rPr>
        <w:t>五、一般公共预算当年拨款情况说明</w:t>
      </w:r>
    </w:p>
    <w:p>
      <w:pPr>
        <w:pStyle w:val="10"/>
        <w:spacing w:before="0" w:line="360" w:lineRule="auto"/>
        <w:ind w:firstLine="660"/>
        <w:jc w:val="both"/>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jc w:val="both"/>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3003433.46</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84876.54</w:t>
      </w:r>
      <w:r>
        <w:rPr>
          <w:rFonts w:ascii="仿宋_GB2312" w:eastAsia="仿宋_GB2312"/>
          <w:sz w:val="32"/>
          <w:szCs w:val="32"/>
        </w:rPr>
        <w:t>元，主要原因:</w:t>
      </w:r>
      <w:r>
        <w:rPr>
          <w:rFonts w:hint="eastAsia" w:ascii="仿宋_GB2312" w:eastAsia="仿宋_GB2312"/>
          <w:sz w:val="32"/>
          <w:szCs w:val="32"/>
        </w:rPr>
        <w:t>新增和调出职工之间工资标准、缴纳医疗保险、养老保险、职业年金、住房公积金等基数减少。</w:t>
      </w:r>
    </w:p>
    <w:p>
      <w:pPr>
        <w:spacing w:line="560" w:lineRule="exact"/>
        <w:ind w:firstLine="642" w:firstLineChars="200"/>
        <w:jc w:val="both"/>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both"/>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2127076.56</w:t>
      </w:r>
      <w:r>
        <w:rPr>
          <w:rFonts w:ascii="仿宋_GB2312" w:eastAsia="仿宋_GB2312"/>
          <w:sz w:val="32"/>
          <w:szCs w:val="32"/>
        </w:rPr>
        <w:t>元，占</w:t>
      </w:r>
      <w:r>
        <w:rPr>
          <w:rFonts w:hint="eastAsia" w:ascii="仿宋_GB2312" w:eastAsia="仿宋_GB2312"/>
          <w:sz w:val="32"/>
          <w:szCs w:val="32"/>
          <w:lang w:val="en-US" w:eastAsia="zh-CN"/>
        </w:rPr>
        <w:t>70.82</w:t>
      </w:r>
      <w:r>
        <w:rPr>
          <w:rFonts w:ascii="仿宋_GB2312" w:eastAsia="仿宋_GB2312"/>
          <w:sz w:val="32"/>
          <w:szCs w:val="32"/>
        </w:rPr>
        <w:t>%；社会保障和就业支出</w:t>
      </w:r>
      <w:r>
        <w:rPr>
          <w:rFonts w:hint="eastAsia" w:ascii="仿宋_GB2312" w:eastAsia="仿宋_GB2312"/>
          <w:sz w:val="32"/>
          <w:szCs w:val="32"/>
          <w:lang w:val="en-US" w:eastAsia="zh-CN"/>
        </w:rPr>
        <w:t>398091.76</w:t>
      </w:r>
      <w:r>
        <w:rPr>
          <w:rFonts w:ascii="仿宋_GB2312" w:eastAsia="仿宋_GB2312"/>
          <w:sz w:val="32"/>
          <w:szCs w:val="32"/>
        </w:rPr>
        <w:t>元，占</w:t>
      </w:r>
      <w:r>
        <w:rPr>
          <w:rFonts w:hint="eastAsia" w:ascii="仿宋_GB2312" w:eastAsia="仿宋_GB2312"/>
          <w:sz w:val="32"/>
          <w:szCs w:val="32"/>
          <w:lang w:val="en-US" w:eastAsia="zh-CN"/>
        </w:rPr>
        <w:t>13.25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191993.14</w:t>
      </w:r>
      <w:r>
        <w:rPr>
          <w:rFonts w:ascii="仿宋_GB2312" w:eastAsia="仿宋_GB2312"/>
          <w:sz w:val="32"/>
          <w:szCs w:val="32"/>
        </w:rPr>
        <w:t>元，占</w:t>
      </w:r>
      <w:r>
        <w:rPr>
          <w:rFonts w:hint="eastAsia" w:ascii="仿宋_GB2312" w:eastAsia="仿宋_GB2312"/>
          <w:sz w:val="32"/>
          <w:szCs w:val="32"/>
          <w:lang w:val="en-US" w:eastAsia="zh-CN"/>
        </w:rPr>
        <w:t>6.4</w:t>
      </w:r>
      <w:r>
        <w:rPr>
          <w:rFonts w:ascii="仿宋_GB2312" w:eastAsia="仿宋_GB2312"/>
          <w:sz w:val="32"/>
          <w:szCs w:val="32"/>
        </w:rPr>
        <w:t>%；住房保障支出</w:t>
      </w:r>
      <w:r>
        <w:rPr>
          <w:rFonts w:hint="eastAsia" w:ascii="仿宋_GB2312" w:eastAsia="仿宋_GB2312"/>
          <w:sz w:val="32"/>
          <w:szCs w:val="32"/>
          <w:lang w:val="en-US" w:eastAsia="zh-CN"/>
        </w:rPr>
        <w:t>286272</w:t>
      </w:r>
      <w:r>
        <w:rPr>
          <w:rFonts w:ascii="仿宋_GB2312" w:eastAsia="仿宋_GB2312"/>
          <w:sz w:val="32"/>
          <w:szCs w:val="32"/>
        </w:rPr>
        <w:t>元，占</w:t>
      </w:r>
      <w:r>
        <w:rPr>
          <w:rFonts w:hint="eastAsia" w:ascii="仿宋_GB2312" w:eastAsia="仿宋_GB2312"/>
          <w:sz w:val="32"/>
          <w:szCs w:val="32"/>
          <w:lang w:val="en-US" w:eastAsia="zh-CN"/>
        </w:rPr>
        <w:t>9.53</w:t>
      </w:r>
      <w:r>
        <w:rPr>
          <w:rFonts w:ascii="仿宋_GB2312" w:eastAsia="仿宋_GB2312"/>
          <w:sz w:val="32"/>
          <w:szCs w:val="32"/>
        </w:rPr>
        <w:t>%。</w:t>
      </w:r>
    </w:p>
    <w:p>
      <w:pPr>
        <w:pStyle w:val="10"/>
        <w:spacing w:before="0" w:line="360" w:lineRule="auto"/>
        <w:ind w:left="653" w:leftChars="311"/>
        <w:jc w:val="both"/>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发展与改革</w:t>
      </w:r>
      <w:r>
        <w:rPr>
          <w:rFonts w:ascii="仿宋_GB2312" w:eastAsia="仿宋_GB2312"/>
          <w:sz w:val="32"/>
          <w:szCs w:val="32"/>
          <w:lang w:eastAsia="zh-CN"/>
        </w:rPr>
        <w:t>事务（</w:t>
      </w:r>
      <w:r>
        <w:rPr>
          <w:rFonts w:hint="eastAsia" w:ascii="仿宋_GB2312" w:eastAsia="仿宋_GB2312"/>
          <w:sz w:val="32"/>
          <w:szCs w:val="32"/>
          <w:lang w:val="en-US" w:eastAsia="zh-CN"/>
        </w:rPr>
        <w:t>04</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年预算数为</w:t>
      </w:r>
      <w:r>
        <w:rPr>
          <w:rFonts w:hint="eastAsia" w:ascii="仿宋_GB2312" w:eastAsia="仿宋_GB2312"/>
          <w:sz w:val="32"/>
          <w:szCs w:val="32"/>
          <w:lang w:val="en-US" w:eastAsia="zh-CN"/>
        </w:rPr>
        <w:t>1176646</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年的</w:t>
      </w:r>
      <w:r>
        <w:rPr>
          <w:rFonts w:hint="eastAsia" w:ascii="仿宋_GB2312" w:eastAsia="仿宋_GB2312"/>
          <w:sz w:val="32"/>
          <w:szCs w:val="32"/>
          <w:lang w:eastAsia="zh-CN"/>
        </w:rPr>
        <w:t>行政</w:t>
      </w:r>
      <w:r>
        <w:rPr>
          <w:rFonts w:ascii="仿宋_GB2312" w:eastAsia="仿宋_GB2312"/>
          <w:sz w:val="32"/>
          <w:szCs w:val="32"/>
          <w:lang w:eastAsia="zh-CN"/>
        </w:rPr>
        <w:t>人员经费和日常公用经费等基本支出。</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发展与改革</w:t>
      </w:r>
      <w:r>
        <w:rPr>
          <w:rFonts w:ascii="仿宋_GB2312" w:eastAsia="仿宋_GB2312"/>
          <w:sz w:val="32"/>
          <w:szCs w:val="32"/>
          <w:lang w:eastAsia="zh-CN"/>
        </w:rPr>
        <w:t>事务（</w:t>
      </w:r>
      <w:r>
        <w:rPr>
          <w:rFonts w:hint="eastAsia" w:ascii="仿宋_GB2312" w:eastAsia="仿宋_GB2312"/>
          <w:sz w:val="32"/>
          <w:szCs w:val="32"/>
          <w:lang w:val="en-US" w:eastAsia="zh-CN"/>
        </w:rPr>
        <w:t>04</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val="en-US" w:eastAsia="zh-CN"/>
        </w:rPr>
        <w:t>50</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年预算数为</w:t>
      </w:r>
      <w:r>
        <w:rPr>
          <w:rFonts w:hint="eastAsia" w:ascii="仿宋_GB2312" w:eastAsia="仿宋_GB2312"/>
          <w:sz w:val="32"/>
          <w:szCs w:val="32"/>
          <w:lang w:val="en-US" w:eastAsia="zh-CN"/>
        </w:rPr>
        <w:t>940034.6</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年的</w:t>
      </w:r>
      <w:r>
        <w:rPr>
          <w:rFonts w:hint="eastAsia" w:ascii="仿宋_GB2312" w:eastAsia="仿宋_GB2312"/>
          <w:sz w:val="32"/>
          <w:szCs w:val="32"/>
          <w:lang w:eastAsia="zh-CN"/>
        </w:rPr>
        <w:t>事业</w:t>
      </w:r>
      <w:r>
        <w:rPr>
          <w:rFonts w:ascii="仿宋_GB2312" w:eastAsia="仿宋_GB2312"/>
          <w:sz w:val="32"/>
          <w:szCs w:val="32"/>
          <w:lang w:eastAsia="zh-CN"/>
        </w:rPr>
        <w:t>人员经费和日常公用经费等基本支出。</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）行政事业单位离退休（</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年预算数为</w:t>
      </w:r>
      <w:r>
        <w:rPr>
          <w:rFonts w:hint="eastAsia" w:ascii="仿宋_GB2312" w:eastAsia="仿宋_GB2312"/>
          <w:sz w:val="32"/>
          <w:szCs w:val="32"/>
          <w:lang w:val="en-US" w:eastAsia="zh-CN"/>
        </w:rPr>
        <w:t>265394.54</w:t>
      </w:r>
      <w:r>
        <w:rPr>
          <w:rFonts w:ascii="仿宋_GB2312" w:eastAsia="仿宋_GB2312"/>
          <w:sz w:val="32"/>
          <w:szCs w:val="32"/>
          <w:lang w:eastAsia="zh-CN"/>
        </w:rPr>
        <w:t>元，主要用于单位缴纳基本养老保险费。</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）行政事业单位离退休（</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年预算数</w:t>
      </w:r>
      <w:r>
        <w:rPr>
          <w:rFonts w:hint="eastAsia" w:ascii="仿宋_GB2312" w:eastAsia="仿宋_GB2312"/>
          <w:sz w:val="32"/>
          <w:szCs w:val="32"/>
          <w:lang w:eastAsia="zh-CN"/>
        </w:rPr>
        <w:t>为</w:t>
      </w:r>
      <w:r>
        <w:rPr>
          <w:rFonts w:hint="eastAsia" w:ascii="仿宋_GB2312" w:eastAsia="仿宋_GB2312"/>
          <w:sz w:val="32"/>
          <w:szCs w:val="32"/>
          <w:lang w:val="en-US" w:eastAsia="zh-CN"/>
        </w:rPr>
        <w:t>132697.22</w:t>
      </w:r>
      <w:r>
        <w:rPr>
          <w:rFonts w:ascii="仿宋_GB2312" w:eastAsia="仿宋_GB2312"/>
          <w:sz w:val="32"/>
          <w:szCs w:val="32"/>
          <w:lang w:eastAsia="zh-CN"/>
        </w:rPr>
        <w:t>元，主要用于单位缴纳职业年金。</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年预算数为</w:t>
      </w:r>
      <w:r>
        <w:rPr>
          <w:rFonts w:hint="eastAsia" w:ascii="仿宋_GB2312" w:eastAsia="仿宋_GB2312"/>
          <w:sz w:val="32"/>
          <w:szCs w:val="32"/>
          <w:lang w:val="en-US" w:eastAsia="zh-CN"/>
        </w:rPr>
        <w:t>106000.69</w:t>
      </w:r>
      <w:r>
        <w:rPr>
          <w:rFonts w:ascii="仿宋_GB2312" w:eastAsia="仿宋_GB2312"/>
          <w:sz w:val="32"/>
          <w:szCs w:val="32"/>
          <w:lang w:eastAsia="zh-CN"/>
        </w:rPr>
        <w:t>元，主要用于行政单位缴纳基本医疗保险。</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年预算数为</w:t>
      </w:r>
      <w:r>
        <w:rPr>
          <w:rFonts w:hint="eastAsia" w:ascii="仿宋_GB2312" w:eastAsia="仿宋_GB2312"/>
          <w:sz w:val="32"/>
          <w:szCs w:val="32"/>
          <w:lang w:val="en-US" w:eastAsia="zh-CN"/>
        </w:rPr>
        <w:t>85992.45</w:t>
      </w:r>
      <w:r>
        <w:rPr>
          <w:rFonts w:ascii="仿宋_GB2312" w:eastAsia="仿宋_GB2312"/>
          <w:sz w:val="32"/>
          <w:szCs w:val="32"/>
          <w:lang w:eastAsia="zh-CN"/>
        </w:rPr>
        <w:t>元，主要用于事业单位缴纳基本医疗保险。</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年预算数为</w:t>
      </w:r>
      <w:r>
        <w:rPr>
          <w:rFonts w:hint="eastAsia" w:ascii="仿宋_GB2312" w:eastAsia="仿宋_GB2312"/>
          <w:sz w:val="32"/>
          <w:szCs w:val="32"/>
          <w:lang w:val="en-US" w:eastAsia="zh-CN"/>
        </w:rPr>
        <w:t>286272</w:t>
      </w:r>
      <w:r>
        <w:rPr>
          <w:rFonts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w:t>
      </w:r>
      <w:r>
        <w:rPr>
          <w:rFonts w:hint="eastAsia" w:cs="仿宋_GB2312"/>
          <w:kern w:val="2"/>
          <w:sz w:val="32"/>
          <w:szCs w:val="32"/>
          <w:lang w:val="en-US" w:eastAsia="zh-CN"/>
        </w:rPr>
        <w:t>3003433.46</w:t>
      </w:r>
      <w:r>
        <w:rPr>
          <w:rFonts w:hint="eastAsia" w:cs="仿宋_GB2312"/>
          <w:kern w:val="2"/>
          <w:sz w:val="32"/>
          <w:szCs w:val="32"/>
        </w:rPr>
        <w:t>元，其中：人员经费</w:t>
      </w:r>
      <w:r>
        <w:rPr>
          <w:rFonts w:hint="eastAsia" w:cs="仿宋_GB2312"/>
          <w:kern w:val="2"/>
          <w:sz w:val="32"/>
          <w:szCs w:val="32"/>
          <w:lang w:val="en-US" w:eastAsia="zh-CN"/>
        </w:rPr>
        <w:t>2797603.46</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205830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43680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3680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3680</w:t>
      </w:r>
      <w:r>
        <w:rPr>
          <w:rFonts w:hint="eastAsia" w:cs="仿宋_GB2312"/>
          <w:color w:val="000000"/>
          <w:kern w:val="2"/>
          <w:sz w:val="32"/>
          <w:szCs w:val="32"/>
        </w:rPr>
        <w:t>元。较2021年预算</w:t>
      </w:r>
      <w:r>
        <w:rPr>
          <w:rFonts w:hint="eastAsia" w:cs="仿宋_GB2312"/>
          <w:color w:val="000000"/>
          <w:kern w:val="2"/>
          <w:sz w:val="32"/>
          <w:szCs w:val="32"/>
          <w:lang w:eastAsia="zh-CN"/>
        </w:rPr>
        <w:t>持平。</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元。较2021年预算经费</w:t>
      </w:r>
      <w:r>
        <w:rPr>
          <w:rFonts w:hint="eastAsia" w:hAnsi="ˎ̥" w:cs="宋体"/>
          <w:sz w:val="32"/>
          <w:szCs w:val="32"/>
          <w:lang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10"/>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10"/>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205830</w:t>
      </w:r>
      <w:r>
        <w:rPr>
          <w:rFonts w:ascii="仿宋_GB2312" w:eastAsia="仿宋_GB2312"/>
          <w:sz w:val="32"/>
          <w:szCs w:val="32"/>
        </w:rPr>
        <w:t>元，</w:t>
      </w:r>
      <w:r>
        <w:rPr>
          <w:rFonts w:hint="eastAsia" w:ascii="仿宋_GB2312" w:eastAsia="仿宋_GB2312" w:cs="Times New Roman"/>
          <w:sz w:val="32"/>
          <w:szCs w:val="32"/>
        </w:rPr>
        <w:t>较2021年预算</w:t>
      </w:r>
      <w:r>
        <w:rPr>
          <w:rFonts w:hint="eastAsia" w:ascii="仿宋_GB2312" w:eastAsia="仿宋_GB2312" w:cs="Times New Roman"/>
          <w:sz w:val="32"/>
          <w:szCs w:val="32"/>
          <w:lang w:eastAsia="zh-CN"/>
        </w:rPr>
        <w:t>持平。</w:t>
      </w:r>
    </w:p>
    <w:p>
      <w:pPr>
        <w:pStyle w:val="10"/>
        <w:numPr>
          <w:ilvl w:val="0"/>
          <w:numId w:val="0"/>
        </w:numPr>
        <w:spacing w:before="0" w:line="360" w:lineRule="auto"/>
        <w:ind w:firstLine="642" w:firstLineChars="200"/>
        <w:rPr>
          <w:rFonts w:hint="eastAsia" w:cs="仿宋_GB2312"/>
          <w:color w:val="000000"/>
          <w:kern w:val="2"/>
          <w:sz w:val="32"/>
          <w:szCs w:val="32"/>
          <w:lang w:eastAsia="zh-CN"/>
        </w:rPr>
      </w:pPr>
      <w:r>
        <w:rPr>
          <w:rFonts w:ascii="楷体_GB2312" w:hAnsi="楷体_GB2312" w:eastAsia="楷体_GB2312" w:cs="楷体_GB2312"/>
          <w:b/>
          <w:bCs/>
          <w:kern w:val="2"/>
          <w:sz w:val="32"/>
          <w:szCs w:val="32"/>
          <w:lang w:eastAsia="zh-CN" w:bidi="ar-SA"/>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w:t>
      </w:r>
      <w:r>
        <w:rPr>
          <w:rFonts w:hint="eastAsia" w:ascii="仿宋_GB2312" w:eastAsia="仿宋_GB2312"/>
          <w:sz w:val="32"/>
          <w:szCs w:val="32"/>
          <w:lang w:eastAsia="zh-CN"/>
        </w:rPr>
        <w:t>茂县发展和改革局</w:t>
      </w:r>
      <w:r>
        <w:rPr>
          <w:rFonts w:hint="eastAsia" w:cs="仿宋_GB2312"/>
          <w:color w:val="000000"/>
          <w:kern w:val="2"/>
          <w:sz w:val="32"/>
          <w:szCs w:val="32"/>
          <w:lang w:eastAsia="zh-CN"/>
        </w:rPr>
        <w:t>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10"/>
        <w:numPr>
          <w:ilvl w:val="0"/>
          <w:numId w:val="0"/>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155.6343</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lang w:val="en-US" w:eastAsia="zh-CN"/>
        </w:rPr>
        <w:t>250000</w:t>
      </w:r>
      <w:r>
        <w:rPr>
          <w:rFonts w:hint="eastAsia" w:ascii="仿宋_GB2312" w:eastAsia="仿宋_GB2312"/>
          <w:sz w:val="32"/>
          <w:szCs w:val="32"/>
        </w:rPr>
        <w:t xml:space="preserve"> </w:t>
      </w:r>
      <w:r>
        <w:rPr>
          <w:rFonts w:ascii="仿宋_GB2312" w:eastAsia="仿宋_GB2312"/>
          <w:sz w:val="32"/>
          <w:szCs w:val="32"/>
        </w:rPr>
        <w:t>元；其他固定资产</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2" w:firstLineChars="200"/>
        <w:jc w:val="both"/>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2022年项目支出均按要求实行绩效目标管理，涉及项目   个，一般公共预算当年拨款</w:t>
      </w:r>
      <w:r>
        <w:rPr>
          <w:rFonts w:hint="eastAsia" w:ascii="仿宋_GB2312" w:eastAsia="仿宋_GB2312"/>
          <w:sz w:val="32"/>
          <w:szCs w:val="32"/>
          <w:lang w:val="en-US" w:eastAsia="zh-CN"/>
        </w:rPr>
        <w:t>3003433.46</w:t>
      </w:r>
      <w:r>
        <w:rPr>
          <w:rFonts w:hint="eastAsia" w:ascii="仿宋_GB2312" w:eastAsia="仿宋_GB2312"/>
          <w:sz w:val="32"/>
          <w:szCs w:val="32"/>
        </w:rPr>
        <w:t>元。</w:t>
      </w:r>
    </w:p>
    <w:p>
      <w:pPr>
        <w:pStyle w:val="10"/>
        <w:spacing w:before="0" w:line="360" w:lineRule="auto"/>
        <w:ind w:firstLine="640" w:firstLineChars="200"/>
        <w:jc w:val="both"/>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jc w:val="both"/>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jc w:val="both"/>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7674A16"/>
    <w:rsid w:val="13197D31"/>
    <w:rsid w:val="164003A4"/>
    <w:rsid w:val="16C5583A"/>
    <w:rsid w:val="177904B8"/>
    <w:rsid w:val="1AC10C57"/>
    <w:rsid w:val="1B0406D7"/>
    <w:rsid w:val="20361CB8"/>
    <w:rsid w:val="29566940"/>
    <w:rsid w:val="29B95C31"/>
    <w:rsid w:val="32BF7DF5"/>
    <w:rsid w:val="38286CC9"/>
    <w:rsid w:val="48EB0A3F"/>
    <w:rsid w:val="61693C9D"/>
    <w:rsid w:val="64CC0F4B"/>
    <w:rsid w:val="66EB665A"/>
    <w:rsid w:val="7AE4629A"/>
    <w:rsid w:val="7EE32C29"/>
    <w:rsid w:val="7FAB90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rPr>
      <w:rFonts w:ascii="Calibri" w:hAnsi="Calibri"/>
      <w:szCs w:val="24"/>
    </w:rPr>
  </w:style>
  <w:style w:type="paragraph" w:styleId="3">
    <w:name w:val="Body Text Indent"/>
    <w:basedOn w:val="1"/>
    <w:next w:val="4"/>
    <w:qFormat/>
    <w:uiPriority w:val="0"/>
    <w:pPr>
      <w:spacing w:after="120"/>
      <w:ind w:left="420" w:leftChars="200"/>
    </w:pPr>
  </w:style>
  <w:style w:type="paragraph" w:styleId="4">
    <w:name w:val="Body Text First Indent 2"/>
    <w:basedOn w:val="3"/>
    <w:next w:val="1"/>
    <w:qFormat/>
    <w:uiPriority w:val="0"/>
    <w:pPr>
      <w:ind w:firstLine="420" w:firstLine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495</Words>
  <Characters>2823</Characters>
  <Lines>23</Lines>
  <Paragraphs>6</Paragraphs>
  <TotalTime>53</TotalTime>
  <ScaleCrop>false</ScaleCrop>
  <LinksUpToDate>false</LinksUpToDate>
  <CharactersWithSpaces>3312</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2022-03-16T16:58:00Z</cp:lastPrinted>
  <dcterms:modified xsi:type="dcterms:W3CDTF">2022-03-25T10:47:36Z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DC17A72A65B94FE5ABE402A5067EDE2C</vt:lpwstr>
  </property>
</Properties>
</file>