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eastAsia" w:ascii="方正小标宋简体" w:eastAsia="方正小标宋简体"/>
          <w:color w:val="000000"/>
          <w:sz w:val="72"/>
          <w:szCs w:val="72"/>
        </w:rPr>
      </w:pPr>
      <w:bookmarkStart w:id="320" w:name="_GoBack"/>
      <w:bookmarkEnd w:id="320"/>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ascii="黑体" w:eastAsia="黑体"/>
          <w:sz w:val="72"/>
          <w:szCs w:val="72"/>
        </w:rPr>
      </w:pPr>
      <w:bookmarkStart w:id="1" w:name="_Toc15396475"/>
      <w:bookmarkStart w:id="2" w:name="_Toc15378441"/>
      <w:bookmarkStart w:id="3" w:name="_Toc15377193"/>
      <w:bookmarkStart w:id="4" w:name="_Toc15396597"/>
      <w:bookmarkStart w:id="5" w:name="_Toc1537742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outlineLvl w:val="0"/>
        <w:rPr>
          <w:rFonts w:ascii="方正小标宋简体" w:eastAsia="方正小标宋简体"/>
          <w:sz w:val="72"/>
          <w:szCs w:val="72"/>
        </w:rPr>
      </w:pPr>
      <w:bookmarkStart w:id="6" w:name="_Toc27649"/>
      <w:bookmarkStart w:id="7" w:name="_Toc15396476"/>
      <w:bookmarkStart w:id="8" w:name="_Toc7011"/>
      <w:bookmarkStart w:id="9" w:name="_Toc15377426"/>
      <w:bookmarkStart w:id="10" w:name="_Toc15377194"/>
      <w:bookmarkStart w:id="11" w:name="_Toc11798"/>
      <w:bookmarkStart w:id="12" w:name="_Toc15378442"/>
      <w:bookmarkStart w:id="13" w:name="_Toc15396598"/>
      <w:r>
        <w:rPr>
          <w:rFonts w:hint="eastAsia" w:ascii="方正小标宋简体" w:eastAsia="方正小标宋简体"/>
          <w:sz w:val="72"/>
          <w:szCs w:val="72"/>
        </w:rPr>
        <w:t>四川省茂县</w:t>
      </w:r>
      <w:bookmarkEnd w:id="0"/>
      <w:bookmarkStart w:id="14" w:name="_Toc15306268"/>
      <w:r>
        <w:rPr>
          <w:rFonts w:hint="eastAsia" w:ascii="方正小标宋简体" w:eastAsia="方正小标宋简体"/>
          <w:sz w:val="72"/>
          <w:szCs w:val="72"/>
          <w:lang w:eastAsia="zh-CN"/>
        </w:rPr>
        <w:t>经济商务和信息化局</w:t>
      </w:r>
      <w:r>
        <w:rPr>
          <w:rFonts w:hint="eastAsia" w:ascii="方正小标宋简体" w:eastAsia="方正小标宋简体"/>
          <w:sz w:val="72"/>
          <w:szCs w:val="72"/>
        </w:rPr>
        <w:t>部门决算</w:t>
      </w:r>
      <w:bookmarkEnd w:id="6"/>
      <w:bookmarkEnd w:id="7"/>
      <w:bookmarkEnd w:id="8"/>
      <w:bookmarkEnd w:id="9"/>
      <w:bookmarkEnd w:id="10"/>
      <w:bookmarkEnd w:id="11"/>
      <w:bookmarkEnd w:id="12"/>
      <w:bookmarkEnd w:id="13"/>
      <w:bookmarkEnd w:id="14"/>
    </w:p>
    <w:p>
      <w:pPr>
        <w:jc w:val="center"/>
        <w:rPr>
          <w:rFonts w:ascii="方正小标宋简体" w:eastAsia="方正小标宋简体"/>
          <w:sz w:val="52"/>
          <w:szCs w:val="52"/>
        </w:rPr>
      </w:pPr>
      <w:r>
        <w:rPr>
          <w:rFonts w:hint="eastAsia" w:ascii="方正小标宋简体" w:eastAsia="方正小标宋简体"/>
          <w:sz w:val="52"/>
          <w:szCs w:val="52"/>
          <w:lang w:eastAsia="zh-CN"/>
        </w:rPr>
        <w:t>（本级</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both"/>
        <w:rPr>
          <w:rFonts w:ascii="黑体" w:eastAsia="黑体"/>
          <w:color w:val="000000"/>
          <w:sz w:val="48"/>
          <w:szCs w:val="48"/>
        </w:rPr>
      </w:pPr>
      <w:r>
        <w:rPr>
          <w:rFonts w:ascii="方正小标宋简体" w:eastAsia="方正小标宋简体"/>
          <w:sz w:val="36"/>
          <w:szCs w:val="36"/>
        </w:rPr>
        <w:br w:type="page"/>
      </w:r>
    </w:p>
    <w:sdt>
      <w:sdtPr>
        <w:rPr>
          <w:rFonts w:ascii="宋体" w:hAnsi="宋体" w:eastAsia="宋体" w:cs="Times New Roman"/>
          <w:b/>
          <w:bCs/>
          <w:kern w:val="2"/>
          <w:sz w:val="21"/>
          <w:szCs w:val="24"/>
          <w:lang w:val="en-US" w:eastAsia="zh-CN" w:bidi="ar-SA"/>
        </w:rPr>
        <w:id w:val="147477719"/>
        <w15:color w:val="DBDBDB"/>
        <w:docPartObj>
          <w:docPartGallery w:val="Table of Contents"/>
          <w:docPartUnique/>
        </w:docPartObj>
      </w:sdtPr>
      <w:sdtEndPr>
        <w:rPr>
          <w:rFonts w:hint="eastAsia" w:ascii="宋体" w:hAnsi="宋体" w:eastAsia="宋体" w:cs="宋体"/>
          <w:b w:val="0"/>
          <w:bCs w:val="0"/>
          <w:kern w:val="2"/>
          <w:sz w:val="24"/>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i w:val="0"/>
              <w:iCs w:val="0"/>
              <w:sz w:val="36"/>
              <w:szCs w:val="36"/>
            </w:rPr>
          </w:pPr>
          <w:r>
            <w:rPr>
              <w:rFonts w:hint="eastAsia" w:ascii="宋体" w:hAnsi="宋体" w:eastAsia="宋体" w:cs="宋体"/>
              <w:b/>
              <w:bCs/>
              <w:i w:val="0"/>
              <w:iCs w:val="0"/>
              <w:sz w:val="36"/>
              <w:szCs w:val="36"/>
            </w:rPr>
            <w:t>目</w:t>
          </w:r>
          <w:r>
            <w:rPr>
              <w:rFonts w:hint="eastAsia" w:ascii="宋体" w:hAnsi="宋体" w:eastAsia="宋体" w:cs="宋体"/>
              <w:b/>
              <w:bCs/>
              <w:i w:val="0"/>
              <w:iCs w:val="0"/>
              <w:sz w:val="36"/>
              <w:szCs w:val="36"/>
              <w:lang w:val="en-US" w:eastAsia="zh-CN"/>
            </w:rPr>
            <w:t xml:space="preserve">   </w:t>
          </w:r>
          <w:r>
            <w:rPr>
              <w:rFonts w:hint="eastAsia" w:ascii="宋体" w:hAnsi="宋体" w:eastAsia="宋体" w:cs="宋体"/>
              <w:b/>
              <w:bCs/>
              <w:i w:val="0"/>
              <w:iCs w:val="0"/>
              <w:sz w:val="36"/>
              <w:szCs w:val="36"/>
            </w:rPr>
            <w:t>录</w:t>
          </w:r>
        </w:p>
        <w:p>
          <w:pPr>
            <w:pStyle w:val="2"/>
            <w:jc w:val="center"/>
            <w:rPr>
              <w:rFonts w:hint="eastAsia" w:ascii="宋体" w:hAnsi="宋体" w:eastAsia="宋体" w:cs="宋体"/>
              <w:i w:val="0"/>
              <w:iCs w:val="0"/>
              <w:sz w:val="30"/>
              <w:szCs w:val="30"/>
              <w:lang w:val="en-US" w:eastAsia="zh-CN"/>
            </w:rPr>
          </w:pPr>
          <w:r>
            <w:rPr>
              <w:rFonts w:hint="eastAsia" w:ascii="宋体" w:hAnsi="宋体" w:eastAsia="宋体" w:cs="宋体"/>
              <w:i w:val="0"/>
              <w:iCs w:val="0"/>
              <w:sz w:val="30"/>
              <w:szCs w:val="30"/>
              <w:lang w:eastAsia="zh-CN"/>
            </w:rPr>
            <w:t>公开时间：</w:t>
          </w:r>
          <w:r>
            <w:rPr>
              <w:rFonts w:hint="eastAsia" w:ascii="宋体" w:hAnsi="宋体" w:eastAsia="宋体" w:cs="宋体"/>
              <w:i w:val="0"/>
              <w:iCs w:val="0"/>
              <w:sz w:val="30"/>
              <w:szCs w:val="30"/>
              <w:lang w:val="en-US" w:eastAsia="zh-CN"/>
            </w:rPr>
            <w:t>2022年9月27日</w:t>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TOC \o "1-3" \h \u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_Toc8673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 xml:space="preserve">第一部分 </w:t>
          </w:r>
          <w:r>
            <w:rPr>
              <w:rFonts w:hint="eastAsia" w:ascii="宋体" w:hAnsi="宋体" w:eastAsia="宋体" w:cs="宋体"/>
              <w:bCs w:val="0"/>
              <w:i w:val="0"/>
              <w:iCs w:val="0"/>
              <w:sz w:val="24"/>
              <w:szCs w:val="24"/>
            </w:rPr>
            <w:t>部门概况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_Toc8673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_Toc15986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一、基</w:t>
          </w:r>
          <w:r>
            <w:rPr>
              <w:rFonts w:hint="eastAsia" w:ascii="宋体" w:hAnsi="宋体" w:eastAsia="宋体" w:cs="宋体"/>
              <w:bCs w:val="0"/>
              <w:i w:val="0"/>
              <w:iCs w:val="0"/>
              <w:sz w:val="24"/>
              <w:szCs w:val="24"/>
            </w:rPr>
            <w:t>本职能及主要工作</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_Toc15986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_Toc32272 </w:instrText>
          </w:r>
          <w:r>
            <w:rPr>
              <w:rFonts w:hint="eastAsia" w:ascii="宋体" w:hAnsi="宋体" w:eastAsia="宋体" w:cs="宋体"/>
              <w:bCs w:val="0"/>
              <w:i w:val="0"/>
              <w:iCs w:val="0"/>
              <w:sz w:val="24"/>
              <w:szCs w:val="24"/>
            </w:rPr>
            <w:fldChar w:fldCharType="separate"/>
          </w:r>
          <w:r>
            <w:rPr>
              <w:rFonts w:hint="eastAsia" w:ascii="宋体" w:hAnsi="宋体" w:eastAsia="宋体" w:cs="宋体"/>
              <w:bCs/>
              <w:i w:val="0"/>
              <w:iCs w:val="0"/>
              <w:sz w:val="24"/>
              <w:szCs w:val="24"/>
            </w:rPr>
            <w:t>（一）主要职能</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_Toc32272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_Toc20214 </w:instrText>
          </w:r>
          <w:r>
            <w:rPr>
              <w:rFonts w:hint="eastAsia" w:ascii="宋体" w:hAnsi="宋体" w:eastAsia="宋体" w:cs="宋体"/>
              <w:bCs w:val="0"/>
              <w:i w:val="0"/>
              <w:iCs w:val="0"/>
              <w:sz w:val="24"/>
              <w:szCs w:val="24"/>
            </w:rPr>
            <w:fldChar w:fldCharType="separate"/>
          </w:r>
          <w:r>
            <w:rPr>
              <w:rFonts w:hint="eastAsia" w:ascii="宋体" w:hAnsi="宋体" w:eastAsia="宋体" w:cs="宋体"/>
              <w:bCs/>
              <w:i w:val="0"/>
              <w:iCs w:val="0"/>
              <w:sz w:val="24"/>
              <w:szCs w:val="24"/>
            </w:rPr>
            <w:t>（二）2021年重点工作完成情况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_Toc20214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_Toc22807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二、机</w:t>
          </w:r>
          <w:r>
            <w:rPr>
              <w:rFonts w:hint="eastAsia" w:ascii="宋体" w:hAnsi="宋体" w:eastAsia="宋体" w:cs="宋体"/>
              <w:bCs w:val="0"/>
              <w:i w:val="0"/>
              <w:iCs w:val="0"/>
              <w:sz w:val="24"/>
              <w:szCs w:val="24"/>
            </w:rPr>
            <w:t>构设置</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_Toc22807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2</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_Toc26570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 xml:space="preserve">第二部分 </w:t>
          </w:r>
          <w:r>
            <w:rPr>
              <w:rFonts w:hint="eastAsia" w:ascii="宋体" w:hAnsi="宋体" w:eastAsia="宋体" w:cs="宋体"/>
              <w:bCs w:val="0"/>
              <w:i w:val="0"/>
              <w:iCs w:val="0"/>
              <w:sz w:val="24"/>
              <w:szCs w:val="24"/>
            </w:rPr>
            <w:t>2021年度部门决算情况说明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_Toc26570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_Toc4616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一、 收入支出决算总体情况说明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_Toc4616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_Toc11324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二、 收入决算情况说明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_Toc11324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3</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_Toc32521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三、 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_Toc32521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4</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_Toc7641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四、财政拨款收入支出决算总体情况说明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_Toc7641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_Toc18802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五、一般公共预算财政拨款支出决算情况说明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_Toc18802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_Toc1405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（一）一般公共预算财政拨款支出决算总体情况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_Toc1405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_Toc20493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（二）一般公共预算财政拨款支出决算结构情况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_Toc20493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6</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_Toc697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（三）一般公共预算财政拨款支出决算具体情况</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_Toc697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7</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_Toc18507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六、一般公共预算财政拨款基本支出决算情况说明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_Toc18507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9</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_Toc24767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七、“三公”经费财政拨款支出决算情况说明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_Toc24767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_Toc5658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（一）“三公”经费财政拨款支出决算总体情况说明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_Toc5658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9"/>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_Toc2904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（二）“三公”经费财政拨款支出决算具体情况说明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_Toc2904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_Toc30559 </w:instrText>
          </w:r>
          <w:r>
            <w:rPr>
              <w:rFonts w:hint="eastAsia" w:ascii="宋体" w:hAnsi="宋体" w:eastAsia="宋体" w:cs="宋体"/>
              <w:bCs w:val="0"/>
              <w:i w:val="0"/>
              <w:iCs w:val="0"/>
              <w:sz w:val="24"/>
              <w:szCs w:val="24"/>
            </w:rPr>
            <w:fldChar w:fldCharType="separate"/>
          </w:r>
          <w:r>
            <w:rPr>
              <w:rFonts w:hint="eastAsia" w:ascii="宋体" w:hAnsi="宋体" w:eastAsia="宋体" w:cs="宋体"/>
              <w:bCs/>
              <w:i w:val="0"/>
              <w:iCs w:val="0"/>
              <w:sz w:val="24"/>
              <w:szCs w:val="24"/>
            </w:rPr>
            <w:t>八、政府性基金预算支出决算情况说明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_Toc30559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11</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_Toc27892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九、 国有资本经营预算支出决算情况说明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_Toc27892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12</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_Toc18538 </w:instrText>
          </w:r>
          <w:r>
            <w:rPr>
              <w:rFonts w:hint="eastAsia" w:ascii="宋体" w:hAnsi="宋体" w:eastAsia="宋体" w:cs="宋体"/>
              <w:bCs w:val="0"/>
              <w:i w:val="0"/>
              <w:iCs w:val="0"/>
              <w:sz w:val="24"/>
              <w:szCs w:val="24"/>
            </w:rPr>
            <w:fldChar w:fldCharType="separate"/>
          </w:r>
          <w:r>
            <w:rPr>
              <w:rFonts w:hint="eastAsia" w:ascii="宋体" w:hAnsi="宋体" w:eastAsia="宋体" w:cs="宋体"/>
              <w:bCs/>
              <w:i w:val="0"/>
              <w:iCs w:val="0"/>
              <w:sz w:val="24"/>
              <w:szCs w:val="24"/>
            </w:rPr>
            <w:t>十、 其他重要事项的情况说明</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_Toc18538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12</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_Toc15752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第三部分 名词解释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_Toc15752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20</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_Toc13134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第四部分 附件</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_Toc13134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25</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_Toc8258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附件1</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_Toc8258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25</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_Toc22223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eastAsia="zh-CN"/>
            </w:rPr>
            <w:t>茂县经济商务和信息化局</w:t>
          </w:r>
          <w:r>
            <w:rPr>
              <w:rFonts w:hint="eastAsia" w:ascii="宋体" w:hAnsi="宋体" w:eastAsia="宋体" w:cs="宋体"/>
              <w:b w:val="0"/>
              <w:bCs/>
              <w:i w:val="0"/>
              <w:iCs w:val="0"/>
              <w:sz w:val="24"/>
              <w:szCs w:val="24"/>
            </w:rPr>
            <w:t>2021年部门整体支出绩效评价报告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_Toc22223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25</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_Toc13296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eastAsia="zh-CN"/>
            </w:rPr>
            <w:t>附件</w:t>
          </w:r>
          <w:r>
            <w:rPr>
              <w:rFonts w:hint="eastAsia" w:ascii="宋体" w:hAnsi="宋体" w:eastAsia="宋体" w:cs="宋体"/>
              <w:b w:val="0"/>
              <w:bCs/>
              <w:i w:val="0"/>
              <w:iCs w:val="0"/>
              <w:sz w:val="24"/>
              <w:szCs w:val="24"/>
              <w:lang w:val="en-US" w:eastAsia="zh-CN"/>
            </w:rPr>
            <w:t>2</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_Toc13296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31</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color w:val="000000"/>
              <w:kern w:val="0"/>
              <w:sz w:val="24"/>
              <w:szCs w:val="24"/>
              <w:lang w:val="zh-CN"/>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_Toc22170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color w:val="000000"/>
              <w:kern w:val="0"/>
              <w:sz w:val="24"/>
              <w:szCs w:val="24"/>
            </w:rPr>
            <w:t>茂县生态农业综合（扶贫）开发产业园-自动分拣包装线和气调库</w:t>
          </w:r>
          <w:r>
            <w:rPr>
              <w:rFonts w:hint="eastAsia" w:ascii="宋体" w:hAnsi="宋体" w:eastAsia="宋体" w:cs="宋体"/>
              <w:b w:val="0"/>
              <w:bCs/>
              <w:i w:val="0"/>
              <w:iCs w:val="0"/>
              <w:color w:val="000000"/>
              <w:kern w:val="0"/>
              <w:sz w:val="24"/>
              <w:szCs w:val="24"/>
              <w:lang w:val="zh-CN"/>
            </w:rPr>
            <w:t>绩效评</w:t>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color w:val="000000"/>
              <w:kern w:val="0"/>
              <w:sz w:val="24"/>
              <w:szCs w:val="24"/>
              <w:lang w:val="zh-CN"/>
            </w:rPr>
            <w:t>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_Toc22170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31</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_Toc7076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eastAsia="zh-CN"/>
            </w:rPr>
            <w:t>附件</w:t>
          </w:r>
          <w:r>
            <w:rPr>
              <w:rFonts w:hint="eastAsia" w:ascii="宋体" w:hAnsi="宋体" w:eastAsia="宋体" w:cs="宋体"/>
              <w:b w:val="0"/>
              <w:bCs/>
              <w:i w:val="0"/>
              <w:iCs w:val="0"/>
              <w:sz w:val="24"/>
              <w:szCs w:val="24"/>
              <w:lang w:val="en-US" w:eastAsia="zh-CN"/>
            </w:rPr>
            <w:t>3</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_Toc7076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35</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_Toc2612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eastAsia="zh-CN"/>
            </w:rPr>
            <w:t>茂县生态农业综合（扶贫）产业园</w:t>
          </w:r>
          <w:r>
            <w:rPr>
              <w:rFonts w:hint="eastAsia" w:ascii="宋体" w:hAnsi="宋体" w:eastAsia="宋体" w:cs="宋体"/>
              <w:b w:val="0"/>
              <w:bCs/>
              <w:i w:val="0"/>
              <w:iCs w:val="0"/>
              <w:sz w:val="24"/>
              <w:szCs w:val="24"/>
            </w:rPr>
            <w:t>项目</w:t>
          </w:r>
          <w:r>
            <w:rPr>
              <w:rFonts w:hint="eastAsia" w:ascii="宋体" w:hAnsi="宋体" w:eastAsia="宋体" w:cs="宋体"/>
              <w:b w:val="0"/>
              <w:bCs/>
              <w:i w:val="0"/>
              <w:iCs w:val="0"/>
              <w:sz w:val="24"/>
              <w:szCs w:val="24"/>
              <w:lang w:eastAsia="zh-CN"/>
            </w:rPr>
            <w:t>（三期）</w:t>
          </w:r>
          <w:r>
            <w:rPr>
              <w:rFonts w:hint="eastAsia" w:ascii="宋体" w:hAnsi="宋体" w:eastAsia="宋体" w:cs="宋体"/>
              <w:b w:val="0"/>
              <w:bCs/>
              <w:i w:val="0"/>
              <w:iCs w:val="0"/>
              <w:sz w:val="24"/>
              <w:szCs w:val="24"/>
            </w:rPr>
            <w:t>绩效评价报告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_Toc2612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35</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_Toc27265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附件</w:t>
          </w:r>
          <w:r>
            <w:rPr>
              <w:rFonts w:hint="eastAsia" w:ascii="宋体" w:hAnsi="宋体" w:eastAsia="宋体" w:cs="宋体"/>
              <w:b w:val="0"/>
              <w:bCs/>
              <w:i w:val="0"/>
              <w:iCs w:val="0"/>
              <w:sz w:val="24"/>
              <w:szCs w:val="24"/>
              <w:lang w:val="en-US" w:eastAsia="zh-CN"/>
            </w:rPr>
            <w:t>4</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_Toc27265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39</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_Toc12593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val="en-US" w:eastAsia="zh-CN"/>
            </w:rPr>
            <w:t>2021年革命老区电力提升</w:t>
          </w:r>
          <w:r>
            <w:rPr>
              <w:rFonts w:hint="eastAsia" w:ascii="宋体" w:hAnsi="宋体" w:eastAsia="宋体" w:cs="宋体"/>
              <w:b w:val="0"/>
              <w:bCs/>
              <w:i w:val="0"/>
              <w:iCs w:val="0"/>
              <w:sz w:val="24"/>
              <w:szCs w:val="24"/>
            </w:rPr>
            <w:t>绩效评价报告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_Toc12593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39</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_Toc11791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eastAsia="zh-CN"/>
            </w:rPr>
            <w:t>附件</w:t>
          </w:r>
          <w:r>
            <w:rPr>
              <w:rFonts w:hint="eastAsia" w:ascii="宋体" w:hAnsi="宋体" w:eastAsia="宋体" w:cs="宋体"/>
              <w:b w:val="0"/>
              <w:bCs/>
              <w:i w:val="0"/>
              <w:iCs w:val="0"/>
              <w:sz w:val="24"/>
              <w:szCs w:val="24"/>
              <w:lang w:val="en-US" w:eastAsia="zh-CN"/>
            </w:rPr>
            <w:t>5</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_Toc11791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43</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_Toc32127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val="en-US" w:eastAsia="zh-CN"/>
            </w:rPr>
            <w:t>茂县东大街电力改造项目绩效评价报告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_Toc32127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43</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ind w:left="0" w:leftChars="0" w:firstLine="0" w:firstLineChars="0"/>
            <w:rPr>
              <w:rFonts w:hint="eastAsia" w:ascii="宋体" w:hAnsi="宋体" w:eastAsia="宋体" w:cs="宋体"/>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_Toc13279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附件</w:t>
          </w:r>
          <w:r>
            <w:rPr>
              <w:rFonts w:hint="eastAsia" w:ascii="宋体" w:hAnsi="宋体" w:eastAsia="宋体" w:cs="宋体"/>
              <w:b w:val="0"/>
              <w:bCs/>
              <w:i w:val="0"/>
              <w:iCs w:val="0"/>
              <w:sz w:val="24"/>
              <w:szCs w:val="24"/>
              <w:lang w:val="en-US" w:eastAsia="zh-CN"/>
            </w:rPr>
            <w:t>6</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_Toc13279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47</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b w:val="0"/>
              <w:bCs/>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_Toc27739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lang w:val="en-US" w:eastAsia="zh-CN"/>
            </w:rPr>
            <w:t>2021年省级外贸发展专项资金</w:t>
          </w:r>
          <w:r>
            <w:rPr>
              <w:rFonts w:hint="eastAsia" w:ascii="宋体" w:hAnsi="宋体" w:eastAsia="宋体" w:cs="宋体"/>
              <w:b w:val="0"/>
              <w:bCs/>
              <w:i w:val="0"/>
              <w:iCs w:val="0"/>
              <w:sz w:val="24"/>
              <w:szCs w:val="24"/>
            </w:rPr>
            <w:t>绩效评价报告</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_Toc27739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47</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4"/>
            <w:tabs>
              <w:tab w:val="right" w:leader="dot" w:pos="8306"/>
            </w:tabs>
            <w:rPr>
              <w:rFonts w:hint="eastAsia" w:ascii="宋体" w:hAnsi="宋体" w:eastAsia="宋体" w:cs="宋体"/>
              <w:i w:val="0"/>
              <w:iCs w:val="0"/>
              <w:sz w:val="24"/>
              <w:szCs w:val="24"/>
            </w:rPr>
          </w:pP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HYPERLINK \l _Toc22350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第五部分 附表</w:t>
          </w:r>
          <w:r>
            <w:rPr>
              <w:rFonts w:hint="eastAsia" w:ascii="宋体" w:hAnsi="宋体" w:eastAsia="宋体" w:cs="宋体"/>
              <w:b w:val="0"/>
              <w:bCs/>
              <w:i w:val="0"/>
              <w:iCs w:val="0"/>
              <w:sz w:val="24"/>
              <w:szCs w:val="24"/>
            </w:rPr>
            <w:tab/>
          </w:r>
          <w:r>
            <w:rPr>
              <w:rFonts w:hint="eastAsia" w:ascii="宋体" w:hAnsi="宋体" w:eastAsia="宋体" w:cs="宋体"/>
              <w:b w:val="0"/>
              <w:bCs/>
              <w:i w:val="0"/>
              <w:iCs w:val="0"/>
              <w:sz w:val="24"/>
              <w:szCs w:val="24"/>
            </w:rPr>
            <w:fldChar w:fldCharType="begin"/>
          </w:r>
          <w:r>
            <w:rPr>
              <w:rFonts w:hint="eastAsia" w:ascii="宋体" w:hAnsi="宋体" w:eastAsia="宋体" w:cs="宋体"/>
              <w:b w:val="0"/>
              <w:bCs/>
              <w:i w:val="0"/>
              <w:iCs w:val="0"/>
              <w:sz w:val="24"/>
              <w:szCs w:val="24"/>
            </w:rPr>
            <w:instrText xml:space="preserve"> PAGEREF _Toc22350 \h </w:instrText>
          </w:r>
          <w:r>
            <w:rPr>
              <w:rFonts w:hint="eastAsia" w:ascii="宋体" w:hAnsi="宋体" w:eastAsia="宋体" w:cs="宋体"/>
              <w:b w:val="0"/>
              <w:bCs/>
              <w:i w:val="0"/>
              <w:iCs w:val="0"/>
              <w:sz w:val="24"/>
              <w:szCs w:val="24"/>
            </w:rPr>
            <w:fldChar w:fldCharType="separate"/>
          </w:r>
          <w:r>
            <w:rPr>
              <w:rFonts w:hint="eastAsia" w:ascii="宋体" w:hAnsi="宋体" w:eastAsia="宋体" w:cs="宋体"/>
              <w:b w:val="0"/>
              <w:bCs/>
              <w:i w:val="0"/>
              <w:iCs w:val="0"/>
              <w:sz w:val="24"/>
              <w:szCs w:val="24"/>
            </w:rPr>
            <w:t>50</w:t>
          </w:r>
          <w:r>
            <w:rPr>
              <w:rFonts w:hint="eastAsia" w:ascii="宋体" w:hAnsi="宋体" w:eastAsia="宋体" w:cs="宋体"/>
              <w:b w:val="0"/>
              <w:bCs/>
              <w:i w:val="0"/>
              <w:iCs w:val="0"/>
              <w:sz w:val="24"/>
              <w:szCs w:val="24"/>
            </w:rPr>
            <w:fldChar w:fldCharType="end"/>
          </w:r>
          <w:r>
            <w:rPr>
              <w:rFonts w:hint="eastAsia" w:ascii="宋体" w:hAnsi="宋体" w:eastAsia="宋体" w:cs="宋体"/>
              <w:b w:val="0"/>
              <w:bCs/>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_Toc5438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一、收</w:t>
          </w:r>
          <w:r>
            <w:rPr>
              <w:rFonts w:hint="eastAsia" w:ascii="宋体" w:hAnsi="宋体" w:eastAsia="宋体" w:cs="宋体"/>
              <w:bCs w:val="0"/>
              <w:i w:val="0"/>
              <w:iCs w:val="0"/>
              <w:sz w:val="24"/>
              <w:szCs w:val="24"/>
            </w:rPr>
            <w:t>入支出决算总表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_Toc5438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_Toc11651 </w:instrText>
          </w:r>
          <w:r>
            <w:rPr>
              <w:rFonts w:hint="eastAsia" w:ascii="宋体" w:hAnsi="宋体" w:eastAsia="宋体" w:cs="宋体"/>
              <w:bCs w:val="0"/>
              <w:i w:val="0"/>
              <w:iCs w:val="0"/>
              <w:sz w:val="24"/>
              <w:szCs w:val="24"/>
            </w:rPr>
            <w:fldChar w:fldCharType="separate"/>
          </w:r>
          <w:r>
            <w:rPr>
              <w:rFonts w:hint="eastAsia" w:ascii="宋体" w:hAnsi="宋体" w:eastAsia="宋体" w:cs="宋体"/>
              <w:i w:val="0"/>
              <w:iCs w:val="0"/>
              <w:sz w:val="24"/>
              <w:szCs w:val="24"/>
            </w:rPr>
            <w:t>二、收</w:t>
          </w:r>
          <w:r>
            <w:rPr>
              <w:rFonts w:hint="eastAsia" w:ascii="宋体" w:hAnsi="宋体" w:eastAsia="宋体" w:cs="宋体"/>
              <w:bCs w:val="0"/>
              <w:i w:val="0"/>
              <w:iCs w:val="0"/>
              <w:sz w:val="24"/>
              <w:szCs w:val="24"/>
            </w:rPr>
            <w:t>入决算表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_Toc11651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_Toc6633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三、</w:t>
          </w:r>
          <w:r>
            <w:rPr>
              <w:rFonts w:hint="eastAsia" w:ascii="宋体" w:hAnsi="宋体" w:eastAsia="宋体" w:cs="宋体"/>
              <w:i w:val="0"/>
              <w:iCs w:val="0"/>
              <w:sz w:val="24"/>
              <w:szCs w:val="24"/>
            </w:rPr>
            <w:t>支</w:t>
          </w:r>
          <w:r>
            <w:rPr>
              <w:rFonts w:hint="eastAsia" w:ascii="宋体" w:hAnsi="宋体" w:eastAsia="宋体" w:cs="宋体"/>
              <w:bCs w:val="0"/>
              <w:i w:val="0"/>
              <w:iCs w:val="0"/>
              <w:sz w:val="24"/>
              <w:szCs w:val="24"/>
            </w:rPr>
            <w:t>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_Toc6633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_Toc29387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四、</w:t>
          </w:r>
          <w:r>
            <w:rPr>
              <w:rFonts w:hint="eastAsia" w:ascii="宋体" w:hAnsi="宋体" w:eastAsia="宋体" w:cs="宋体"/>
              <w:i w:val="0"/>
              <w:iCs w:val="0"/>
              <w:sz w:val="24"/>
              <w:szCs w:val="24"/>
            </w:rPr>
            <w:t>财</w:t>
          </w:r>
          <w:r>
            <w:rPr>
              <w:rFonts w:hint="eastAsia" w:ascii="宋体" w:hAnsi="宋体" w:eastAsia="宋体" w:cs="宋体"/>
              <w:bCs w:val="0"/>
              <w:i w:val="0"/>
              <w:iCs w:val="0"/>
              <w:sz w:val="24"/>
              <w:szCs w:val="24"/>
            </w:rPr>
            <w:t>政拨款收入支出决算总表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_Toc29387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_Toc5333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五、</w:t>
          </w:r>
          <w:r>
            <w:rPr>
              <w:rFonts w:hint="eastAsia" w:ascii="宋体" w:hAnsi="宋体" w:eastAsia="宋体" w:cs="宋体"/>
              <w:i w:val="0"/>
              <w:iCs w:val="0"/>
              <w:sz w:val="24"/>
              <w:szCs w:val="24"/>
            </w:rPr>
            <w:t>财</w:t>
          </w:r>
          <w:r>
            <w:rPr>
              <w:rFonts w:hint="eastAsia" w:ascii="宋体" w:hAnsi="宋体" w:eastAsia="宋体" w:cs="宋体"/>
              <w:bCs w:val="0"/>
              <w:i w:val="0"/>
              <w:iCs w:val="0"/>
              <w:sz w:val="24"/>
              <w:szCs w:val="24"/>
            </w:rPr>
            <w:t>政拨款支出决算明细表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_Toc5333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_Toc21461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六、</w:t>
          </w:r>
          <w:r>
            <w:rPr>
              <w:rFonts w:hint="eastAsia" w:ascii="宋体" w:hAnsi="宋体" w:eastAsia="宋体" w:cs="宋体"/>
              <w:i w:val="0"/>
              <w:iCs w:val="0"/>
              <w:sz w:val="24"/>
              <w:szCs w:val="24"/>
            </w:rPr>
            <w:t>一</w:t>
          </w:r>
          <w:r>
            <w:rPr>
              <w:rFonts w:hint="eastAsia" w:ascii="宋体" w:hAnsi="宋体" w:eastAsia="宋体" w:cs="宋体"/>
              <w:bCs w:val="0"/>
              <w:i w:val="0"/>
              <w:iCs w:val="0"/>
              <w:sz w:val="24"/>
              <w:szCs w:val="24"/>
            </w:rPr>
            <w:t>般公共预算财政拨款支出决算表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_Toc21461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_Toc26094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七、</w:t>
          </w:r>
          <w:r>
            <w:rPr>
              <w:rFonts w:hint="eastAsia" w:ascii="宋体" w:hAnsi="宋体" w:eastAsia="宋体" w:cs="宋体"/>
              <w:i w:val="0"/>
              <w:iCs w:val="0"/>
              <w:sz w:val="24"/>
              <w:szCs w:val="24"/>
            </w:rPr>
            <w:t>一</w:t>
          </w:r>
          <w:r>
            <w:rPr>
              <w:rFonts w:hint="eastAsia" w:ascii="宋体" w:hAnsi="宋体" w:eastAsia="宋体" w:cs="宋体"/>
              <w:bCs w:val="0"/>
              <w:i w:val="0"/>
              <w:iCs w:val="0"/>
              <w:sz w:val="24"/>
              <w:szCs w:val="24"/>
            </w:rPr>
            <w:t>般公共预算财政拨款支出决算明细表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_Toc26094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_Toc18183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八、</w:t>
          </w:r>
          <w:r>
            <w:rPr>
              <w:rFonts w:hint="eastAsia" w:ascii="宋体" w:hAnsi="宋体" w:eastAsia="宋体" w:cs="宋体"/>
              <w:i w:val="0"/>
              <w:iCs w:val="0"/>
              <w:sz w:val="24"/>
              <w:szCs w:val="24"/>
            </w:rPr>
            <w:t>一</w:t>
          </w:r>
          <w:r>
            <w:rPr>
              <w:rFonts w:hint="eastAsia" w:ascii="宋体" w:hAnsi="宋体" w:eastAsia="宋体" w:cs="宋体"/>
              <w:bCs w:val="0"/>
              <w:i w:val="0"/>
              <w:iCs w:val="0"/>
              <w:sz w:val="24"/>
              <w:szCs w:val="24"/>
            </w:rPr>
            <w:t>般公共预算财政拨款基本支出决算表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_Toc18183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_Toc3967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九、</w:t>
          </w:r>
          <w:r>
            <w:rPr>
              <w:rFonts w:hint="eastAsia" w:ascii="宋体" w:hAnsi="宋体" w:eastAsia="宋体" w:cs="宋体"/>
              <w:i w:val="0"/>
              <w:iCs w:val="0"/>
              <w:sz w:val="24"/>
              <w:szCs w:val="24"/>
            </w:rPr>
            <w:t>一</w:t>
          </w:r>
          <w:r>
            <w:rPr>
              <w:rFonts w:hint="eastAsia" w:ascii="宋体" w:hAnsi="宋体" w:eastAsia="宋体" w:cs="宋体"/>
              <w:bCs w:val="0"/>
              <w:i w:val="0"/>
              <w:iCs w:val="0"/>
              <w:sz w:val="24"/>
              <w:szCs w:val="24"/>
            </w:rPr>
            <w:t>般公共预算财政拨款项目支出决算表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_Toc3967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_Toc7418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十、</w:t>
          </w:r>
          <w:r>
            <w:rPr>
              <w:rFonts w:hint="eastAsia" w:ascii="宋体" w:hAnsi="宋体" w:eastAsia="宋体" w:cs="宋体"/>
              <w:i w:val="0"/>
              <w:iCs w:val="0"/>
              <w:sz w:val="24"/>
              <w:szCs w:val="24"/>
            </w:rPr>
            <w:t>一</w:t>
          </w:r>
          <w:r>
            <w:rPr>
              <w:rFonts w:hint="eastAsia" w:ascii="宋体" w:hAnsi="宋体" w:eastAsia="宋体" w:cs="宋体"/>
              <w:bCs w:val="0"/>
              <w:i w:val="0"/>
              <w:iCs w:val="0"/>
              <w:sz w:val="24"/>
              <w:szCs w:val="24"/>
            </w:rPr>
            <w:t>般公共预算财政拨款“三公”经费支出决算表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_Toc7418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_Toc341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十一、</w:t>
          </w:r>
          <w:r>
            <w:rPr>
              <w:rFonts w:hint="eastAsia" w:ascii="宋体" w:hAnsi="宋体" w:eastAsia="宋体" w:cs="宋体"/>
              <w:i w:val="0"/>
              <w:iCs w:val="0"/>
              <w:sz w:val="24"/>
              <w:szCs w:val="24"/>
            </w:rPr>
            <w:t>政</w:t>
          </w:r>
          <w:r>
            <w:rPr>
              <w:rFonts w:hint="eastAsia" w:ascii="宋体" w:hAnsi="宋体" w:eastAsia="宋体" w:cs="宋体"/>
              <w:bCs w:val="0"/>
              <w:i w:val="0"/>
              <w:iCs w:val="0"/>
              <w:sz w:val="24"/>
              <w:szCs w:val="24"/>
            </w:rPr>
            <w:t>府性基金预算财政拨款收入支出决算表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_Toc341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_Toc10641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十二、</w:t>
          </w:r>
          <w:r>
            <w:rPr>
              <w:rFonts w:hint="eastAsia" w:ascii="宋体" w:hAnsi="宋体" w:eastAsia="宋体" w:cs="宋体"/>
              <w:i w:val="0"/>
              <w:iCs w:val="0"/>
              <w:sz w:val="24"/>
              <w:szCs w:val="24"/>
            </w:rPr>
            <w:t>政</w:t>
          </w:r>
          <w:r>
            <w:rPr>
              <w:rFonts w:hint="eastAsia" w:ascii="宋体" w:hAnsi="宋体" w:eastAsia="宋体" w:cs="宋体"/>
              <w:bCs w:val="0"/>
              <w:i w:val="0"/>
              <w:iCs w:val="0"/>
              <w:sz w:val="24"/>
              <w:szCs w:val="24"/>
            </w:rPr>
            <w:t>府性基金预算财政拨款“三公”经费支出决算表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_Toc10641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_Toc32227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十三、</w:t>
          </w:r>
          <w:r>
            <w:rPr>
              <w:rFonts w:hint="eastAsia" w:ascii="宋体" w:hAnsi="宋体" w:eastAsia="宋体" w:cs="宋体"/>
              <w:i w:val="0"/>
              <w:iCs w:val="0"/>
              <w:sz w:val="24"/>
              <w:szCs w:val="24"/>
            </w:rPr>
            <w:t>国</w:t>
          </w:r>
          <w:r>
            <w:rPr>
              <w:rFonts w:hint="eastAsia" w:ascii="宋体" w:hAnsi="宋体" w:eastAsia="宋体" w:cs="宋体"/>
              <w:bCs w:val="0"/>
              <w:i w:val="0"/>
              <w:iCs w:val="0"/>
              <w:sz w:val="24"/>
              <w:szCs w:val="24"/>
            </w:rPr>
            <w:t>有资本经营预算财政拨款支出决算表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_Toc32227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pStyle w:val="17"/>
            <w:tabs>
              <w:tab w:val="right" w:leader="dot" w:pos="8306"/>
            </w:tabs>
            <w:rPr>
              <w:rFonts w:hint="eastAsia" w:ascii="宋体" w:hAnsi="宋体" w:eastAsia="宋体" w:cs="宋体"/>
              <w:i w:val="0"/>
              <w:iCs w:val="0"/>
              <w:sz w:val="24"/>
              <w:szCs w:val="24"/>
            </w:rPr>
          </w:pPr>
          <w:r>
            <w:rPr>
              <w:rFonts w:hint="eastAsia" w:ascii="宋体" w:hAnsi="宋体" w:eastAsia="宋体" w:cs="宋体"/>
              <w:bCs w:val="0"/>
              <w:i w:val="0"/>
              <w:iCs w:val="0"/>
              <w:sz w:val="24"/>
              <w:szCs w:val="24"/>
            </w:rPr>
            <w:fldChar w:fldCharType="begin"/>
          </w:r>
          <w:r>
            <w:rPr>
              <w:rFonts w:hint="eastAsia" w:ascii="宋体" w:hAnsi="宋体" w:eastAsia="宋体" w:cs="宋体"/>
              <w:bCs w:val="0"/>
              <w:i w:val="0"/>
              <w:iCs w:val="0"/>
              <w:sz w:val="24"/>
              <w:szCs w:val="24"/>
            </w:rPr>
            <w:instrText xml:space="preserve"> HYPERLINK \l _Toc29455 </w:instrText>
          </w:r>
          <w:r>
            <w:rPr>
              <w:rFonts w:hint="eastAsia" w:ascii="宋体" w:hAnsi="宋体" w:eastAsia="宋体" w:cs="宋体"/>
              <w:bCs w:val="0"/>
              <w:i w:val="0"/>
              <w:iCs w:val="0"/>
              <w:sz w:val="24"/>
              <w:szCs w:val="24"/>
            </w:rPr>
            <w:fldChar w:fldCharType="separate"/>
          </w:r>
          <w:r>
            <w:rPr>
              <w:rFonts w:hint="eastAsia" w:ascii="宋体" w:hAnsi="宋体" w:eastAsia="宋体" w:cs="宋体"/>
              <w:bCs w:val="0"/>
              <w:i w:val="0"/>
              <w:iCs w:val="0"/>
              <w:sz w:val="24"/>
              <w:szCs w:val="24"/>
            </w:rPr>
            <w:t>十四、国有资本经营预算财政拨款支出决算表</w:t>
          </w:r>
          <w:r>
            <w:rPr>
              <w:rFonts w:hint="eastAsia" w:ascii="宋体" w:hAnsi="宋体" w:eastAsia="宋体" w:cs="宋体"/>
              <w:i w:val="0"/>
              <w:iCs w:val="0"/>
              <w:sz w:val="24"/>
              <w:szCs w:val="24"/>
            </w:rPr>
            <w:tab/>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 PAGEREF _Toc29455 \h </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50</w:t>
          </w:r>
          <w:r>
            <w:rPr>
              <w:rFonts w:hint="eastAsia" w:ascii="宋体" w:hAnsi="宋体" w:eastAsia="宋体" w:cs="宋体"/>
              <w:i w:val="0"/>
              <w:iCs w:val="0"/>
              <w:sz w:val="24"/>
              <w:szCs w:val="24"/>
            </w:rPr>
            <w:fldChar w:fldCharType="end"/>
          </w:r>
          <w:r>
            <w:rPr>
              <w:rFonts w:hint="eastAsia" w:ascii="宋体" w:hAnsi="宋体" w:eastAsia="宋体" w:cs="宋体"/>
              <w:bCs w:val="0"/>
              <w:i w:val="0"/>
              <w:iCs w:val="0"/>
              <w:sz w:val="24"/>
              <w:szCs w:val="24"/>
            </w:rPr>
            <w:fldChar w:fldCharType="end"/>
          </w:r>
        </w:p>
        <w:p>
          <w:pPr>
            <w:jc w:val="both"/>
            <w:rPr>
              <w:rFonts w:hint="eastAsia" w:ascii="宋体" w:hAnsi="宋体" w:eastAsia="宋体" w:cs="宋体"/>
              <w:b w:val="0"/>
              <w:bCs w:val="0"/>
              <w:sz w:val="24"/>
              <w:szCs w:val="24"/>
            </w:rPr>
          </w:pPr>
          <w:r>
            <w:rPr>
              <w:rFonts w:hint="eastAsia" w:ascii="宋体" w:hAnsi="宋体" w:eastAsia="宋体" w:cs="宋体"/>
              <w:bCs w:val="0"/>
              <w:i w:val="0"/>
              <w:iCs w:val="0"/>
              <w:sz w:val="24"/>
              <w:szCs w:val="24"/>
            </w:rPr>
            <w:fldChar w:fldCharType="end"/>
          </w:r>
        </w:p>
      </w:sdtContent>
    </w:sdt>
    <w:p>
      <w:pPr>
        <w:widowControl/>
        <w:spacing w:line="440" w:lineRule="exact"/>
        <w:jc w:val="left"/>
        <w:rPr>
          <w:rFonts w:ascii="仿宋" w:eastAsia="仿宋"/>
          <w:bCs/>
          <w:kern w:val="44"/>
          <w:sz w:val="24"/>
        </w:rPr>
      </w:pPr>
      <w:bookmarkStart w:id="15" w:name="_Toc15377196"/>
      <w:bookmarkStart w:id="16" w:name="_Toc15396599"/>
      <w:r>
        <w:rPr>
          <w:rFonts w:ascii="仿宋" w:eastAsia="仿宋"/>
          <w:b/>
          <w:sz w:val="24"/>
        </w:rPr>
        <w:br w:type="page"/>
      </w:r>
    </w:p>
    <w:p>
      <w:pPr>
        <w:pStyle w:val="3"/>
        <w:jc w:val="center"/>
        <w:rPr>
          <w:rFonts w:hint="eastAsia" w:ascii="黑体" w:eastAsia="黑体"/>
          <w:b w:val="0"/>
        </w:rPr>
        <w:sectPr>
          <w:footerReference r:id="rId5" w:type="first"/>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pPr>
      <w:bookmarkStart w:id="17" w:name="_Toc79163601"/>
      <w:bookmarkStart w:id="18" w:name="_Toc79163851"/>
    </w:p>
    <w:p>
      <w:pPr>
        <w:pStyle w:val="3"/>
        <w:jc w:val="center"/>
        <w:rPr>
          <w:rStyle w:val="23"/>
          <w:rFonts w:ascii="黑体" w:eastAsia="黑体"/>
          <w:b/>
          <w:bCs w:val="0"/>
        </w:rPr>
      </w:pPr>
      <w:bookmarkStart w:id="19" w:name="_Toc8673"/>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5"/>
      <w:bookmarkEnd w:id="16"/>
      <w:bookmarkEnd w:id="17"/>
      <w:bookmarkEnd w:id="18"/>
      <w:bookmarkEnd w:id="19"/>
    </w:p>
    <w:p>
      <w:pPr>
        <w:widowControl/>
        <w:jc w:val="left"/>
        <w:rPr>
          <w:rFonts w:ascii="黑体" w:eastAsia="黑体"/>
          <w:color w:val="000000"/>
          <w:sz w:val="32"/>
          <w:szCs w:val="32"/>
        </w:rPr>
      </w:pPr>
    </w:p>
    <w:p>
      <w:pPr>
        <w:pStyle w:val="4"/>
        <w:pageBreakBefore w:val="0"/>
        <w:widowControl w:val="0"/>
        <w:kinsoku/>
        <w:wordWrap/>
        <w:overflowPunct/>
        <w:topLinePunct w:val="0"/>
        <w:autoSpaceDE/>
        <w:autoSpaceDN/>
        <w:bidi w:val="0"/>
        <w:spacing w:line="560" w:lineRule="exact"/>
        <w:textAlignment w:val="auto"/>
        <w:rPr>
          <w:rStyle w:val="24"/>
          <w:rFonts w:ascii="仿宋" w:eastAsia="仿宋"/>
          <w:b w:val="0"/>
          <w:bCs w:val="0"/>
        </w:rPr>
      </w:pPr>
      <w:bookmarkStart w:id="20" w:name="_Toc15396600"/>
      <w:bookmarkStart w:id="21" w:name="_Toc79163602"/>
      <w:bookmarkStart w:id="22" w:name="_Toc15986"/>
      <w:bookmarkStart w:id="23" w:name="_Toc15377197"/>
      <w:bookmarkStart w:id="24" w:name="_Toc79163852"/>
      <w:r>
        <w:rPr>
          <w:rFonts w:hint="eastAsia" w:ascii="黑体" w:eastAsia="黑体"/>
          <w:b w:val="0"/>
          <w:color w:val="000000"/>
        </w:rPr>
        <w:t>一、基</w:t>
      </w:r>
      <w:r>
        <w:rPr>
          <w:rStyle w:val="24"/>
          <w:rFonts w:hint="eastAsia" w:ascii="黑体" w:eastAsia="黑体"/>
          <w:b w:val="0"/>
          <w:bCs w:val="0"/>
        </w:rPr>
        <w:t>本职能及主要工作</w:t>
      </w:r>
      <w:bookmarkEnd w:id="20"/>
      <w:bookmarkEnd w:id="21"/>
      <w:bookmarkEnd w:id="22"/>
      <w:bookmarkEnd w:id="23"/>
      <w:bookmarkEnd w:id="24"/>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25" w:name="_Toc79163853"/>
      <w:bookmarkStart w:id="26" w:name="_Toc79163603"/>
      <w:bookmarkStart w:id="27" w:name="_Toc32272"/>
      <w:bookmarkStart w:id="28" w:name="_Toc15377198"/>
      <w:bookmarkStart w:id="29" w:name="_Toc15378445"/>
      <w:r>
        <w:rPr>
          <w:rFonts w:hint="eastAsia" w:ascii="仿宋_GB2312" w:hAnsi="仿宋_GB2312" w:eastAsia="仿宋_GB2312" w:cs="仿宋_GB2312"/>
          <w:bCs/>
          <w:color w:val="000000"/>
          <w:sz w:val="32"/>
          <w:szCs w:val="32"/>
        </w:rPr>
        <w:t>（一）主要职能</w:t>
      </w:r>
      <w:bookmarkEnd w:id="25"/>
      <w:bookmarkEnd w:id="26"/>
      <w:bookmarkEnd w:id="27"/>
    </w:p>
    <w:bookmarkEnd w:id="28"/>
    <w:bookmarkEnd w:id="29"/>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2.负责拟定新型工业化发展战略和重大政策，协调解决新型工业化进程中的重大问题，组织实施工业强县战略。</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4.负责全县企业技术改造推进工作，组织企业技术改造项目申报国家、省、州有关专项计划并组织实施。指导企业技术创新、技术引进，组织企业申报技术中心工作。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30" w:name="_Toc79163854"/>
      <w:bookmarkStart w:id="31" w:name="_Toc15377199"/>
      <w:bookmarkStart w:id="32" w:name="_Toc15378446"/>
      <w:bookmarkStart w:id="33" w:name="_Toc20214"/>
      <w:bookmarkStart w:id="34" w:name="_Toc79163604"/>
      <w:r>
        <w:rPr>
          <w:rFonts w:hint="eastAsia" w:ascii="仿宋_GB2312" w:hAnsi="仿宋_GB2312" w:eastAsia="仿宋_GB2312" w:cs="仿宋_GB2312"/>
          <w:bCs/>
          <w:color w:val="000000"/>
          <w:sz w:val="32"/>
          <w:szCs w:val="32"/>
        </w:rPr>
        <w:t>（二）2021年重点工作完成情况</w:t>
      </w:r>
      <w:bookmarkEnd w:id="30"/>
      <w:bookmarkEnd w:id="31"/>
      <w:bookmarkEnd w:id="32"/>
      <w:bookmarkEnd w:id="33"/>
      <w:bookmarkEnd w:id="34"/>
    </w:p>
    <w:p>
      <w:pPr>
        <w:keepNext w:val="0"/>
        <w:keepLines w:val="0"/>
        <w:pageBreakBefore w:val="0"/>
        <w:widowControl w:val="0"/>
        <w:numPr>
          <w:ilvl w:val="0"/>
          <w:numId w:val="0"/>
        </w:numPr>
        <w:kinsoku/>
        <w:wordWrap/>
        <w:overflowPunct/>
        <w:topLinePunct w:val="0"/>
        <w:autoSpaceDE/>
        <w:autoSpaceDN/>
        <w:bidi w:val="0"/>
        <w:spacing w:line="560" w:lineRule="exact"/>
        <w:ind w:leftChars="29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spacing w:line="560" w:lineRule="exact"/>
        <w:ind w:leftChars="29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2"/>
        <w:keepNext w:val="0"/>
        <w:keepLines w:val="0"/>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35" w:name="_Toc32244"/>
      <w:bookmarkStart w:id="36" w:name="_Toc1163"/>
      <w:bookmarkStart w:id="37" w:name="_Toc4272"/>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bookmarkEnd w:id="35"/>
      <w:bookmarkEnd w:id="36"/>
      <w:bookmarkEnd w:id="37"/>
    </w:p>
    <w:p>
      <w:pPr>
        <w:pStyle w:val="4"/>
        <w:pageBreakBefore w:val="0"/>
        <w:widowControl w:val="0"/>
        <w:kinsoku/>
        <w:wordWrap/>
        <w:overflowPunct/>
        <w:topLinePunct w:val="0"/>
        <w:autoSpaceDE/>
        <w:autoSpaceDN/>
        <w:bidi w:val="0"/>
        <w:spacing w:line="560" w:lineRule="exact"/>
        <w:textAlignment w:val="auto"/>
        <w:rPr>
          <w:rStyle w:val="24"/>
          <w:rFonts w:hint="eastAsia" w:ascii="仿宋_GB2312" w:hAnsi="仿宋_GB2312" w:eastAsia="仿宋_GB2312" w:cs="仿宋_GB2312"/>
          <w:b w:val="0"/>
          <w:bCs w:val="0"/>
          <w:sz w:val="32"/>
          <w:szCs w:val="32"/>
        </w:rPr>
      </w:pPr>
      <w:bookmarkStart w:id="38" w:name="_Toc79163855"/>
      <w:bookmarkStart w:id="39" w:name="_Toc15377200"/>
      <w:bookmarkStart w:id="40" w:name="_Toc22807"/>
      <w:bookmarkStart w:id="41" w:name="_Toc79163605"/>
      <w:bookmarkStart w:id="42" w:name="_Toc15396601"/>
      <w:r>
        <w:rPr>
          <w:rFonts w:hint="eastAsia" w:ascii="仿宋_GB2312" w:hAnsi="仿宋_GB2312" w:eastAsia="仿宋_GB2312" w:cs="仿宋_GB2312"/>
          <w:b w:val="0"/>
          <w:color w:val="000000"/>
          <w:sz w:val="32"/>
          <w:szCs w:val="32"/>
        </w:rPr>
        <w:t>二、机</w:t>
      </w:r>
      <w:r>
        <w:rPr>
          <w:rStyle w:val="24"/>
          <w:rFonts w:hint="eastAsia" w:ascii="仿宋_GB2312" w:hAnsi="仿宋_GB2312" w:eastAsia="仿宋_GB2312" w:cs="仿宋_GB2312"/>
          <w:b w:val="0"/>
          <w:bCs w:val="0"/>
          <w:sz w:val="32"/>
          <w:szCs w:val="32"/>
        </w:rPr>
        <w:t>构设置</w:t>
      </w:r>
      <w:bookmarkEnd w:id="38"/>
      <w:bookmarkEnd w:id="39"/>
      <w:bookmarkEnd w:id="40"/>
      <w:bookmarkEnd w:id="41"/>
      <w:bookmarkEnd w:id="42"/>
    </w:p>
    <w:p>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茂县经济商务和信息局属一级预算单位，下属二级预算单位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w:t>
      </w: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2021年度部门决算编制范围的二级预算单位包括：</w:t>
      </w:r>
      <w:r>
        <w:rPr>
          <w:rFonts w:hint="eastAsia" w:ascii="仿宋_GB2312" w:hAnsi="仿宋_GB2312" w:eastAsia="仿宋_GB2312" w:cs="仿宋_GB2312"/>
          <w:color w:val="000000"/>
          <w:sz w:val="32"/>
          <w:szCs w:val="32"/>
          <w:lang w:eastAsia="zh-CN"/>
        </w:rPr>
        <w:t>无</w:t>
      </w: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hint="eastAsia" w:ascii="仿宋_GB2312" w:hAnsi="仿宋_GB2312" w:eastAsia="仿宋_GB2312" w:cs="仿宋_GB2312"/>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3"/>
        <w:ind w:right="440"/>
        <w:jc w:val="right"/>
        <w:rPr>
          <w:rStyle w:val="23"/>
          <w:rFonts w:ascii="黑体" w:eastAsia="黑体"/>
          <w:b w:val="0"/>
          <w:bCs w:val="0"/>
        </w:rPr>
      </w:pPr>
      <w:bookmarkStart w:id="43" w:name="_Toc15377204"/>
      <w:bookmarkStart w:id="44" w:name="_Toc79163609"/>
      <w:bookmarkStart w:id="45" w:name="_Toc79163859"/>
      <w:bookmarkStart w:id="46" w:name="_Toc15396602"/>
      <w:bookmarkStart w:id="47" w:name="_Toc26570"/>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43"/>
      <w:bookmarkEnd w:id="44"/>
      <w:bookmarkEnd w:id="45"/>
      <w:bookmarkEnd w:id="46"/>
      <w:bookmarkEnd w:id="47"/>
    </w:p>
    <w:p/>
    <w:p>
      <w:pPr>
        <w:pStyle w:val="29"/>
        <w:numPr>
          <w:ilvl w:val="0"/>
          <w:numId w:val="1"/>
        </w:numPr>
        <w:spacing w:line="600" w:lineRule="exact"/>
        <w:ind w:firstLineChars="0"/>
        <w:outlineLvl w:val="1"/>
        <w:rPr>
          <w:rStyle w:val="24"/>
          <w:rFonts w:ascii="黑体" w:eastAsia="黑体"/>
          <w:b w:val="0"/>
        </w:rPr>
      </w:pPr>
      <w:bookmarkStart w:id="48" w:name="_Toc79163610"/>
      <w:bookmarkStart w:id="49" w:name="_Toc4616"/>
      <w:bookmarkStart w:id="50" w:name="_Toc79163860"/>
      <w:bookmarkStart w:id="51" w:name="_Toc15396603"/>
      <w:bookmarkStart w:id="52"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48"/>
      <w:bookmarkEnd w:id="49"/>
      <w:bookmarkEnd w:id="50"/>
      <w:bookmarkEnd w:id="51"/>
      <w:bookmarkEnd w:id="52"/>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2358.92</w:t>
      </w:r>
      <w:r>
        <w:rPr>
          <w:rFonts w:hint="eastAsia" w:ascii="仿宋_GB2312" w:hAnsi="仿宋_GB2312" w:eastAsia="仿宋_GB2312" w:cs="仿宋_GB2312"/>
          <w:color w:val="000000"/>
          <w:sz w:val="32"/>
          <w:szCs w:val="32"/>
        </w:rPr>
        <w:t>万元、支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lang w:val="en-US" w:eastAsia="zh-CN"/>
        </w:rPr>
        <w:t>2527.52</w:t>
      </w:r>
      <w:r>
        <w:rPr>
          <w:rFonts w:hint="eastAsia" w:ascii="仿宋_GB2312" w:hAnsi="仿宋_GB2312" w:eastAsia="仿宋_GB2312" w:cs="仿宋_GB2312"/>
          <w:color w:val="000000"/>
          <w:sz w:val="32"/>
          <w:szCs w:val="32"/>
        </w:rPr>
        <w:t>万元。与2020年相比，收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1289.38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下降</w:t>
      </w:r>
      <w:r>
        <w:rPr>
          <w:rFonts w:hint="eastAsia" w:ascii="仿宋_GB2312" w:hAnsi="仿宋_GB2312" w:eastAsia="仿宋_GB2312" w:cs="仿宋_GB2312"/>
          <w:color w:val="000000"/>
          <w:sz w:val="32"/>
          <w:szCs w:val="32"/>
          <w:lang w:val="en-US" w:eastAsia="zh-CN"/>
        </w:rPr>
        <w:t>55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1775.48</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70</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pStyle w:val="2"/>
        <w:rPr>
          <w:rFonts w:hint="eastAsia"/>
          <w:lang w:eastAsia="zh-CN"/>
        </w:rPr>
      </w:pPr>
    </w:p>
    <w:p>
      <w:pPr>
        <w:keepNext w:val="0"/>
        <w:keepLines w:val="0"/>
        <w:widowControl/>
        <w:suppressLineNumbers w:val="0"/>
        <w:jc w:val="left"/>
        <w:rPr>
          <w:rFonts w:hint="eastAsia"/>
          <w:lang w:eastAsia="zh-CN"/>
        </w:rPr>
      </w:pPr>
      <w:r>
        <w:rPr>
          <w:rFonts w:ascii="宋体" w:hAnsi="宋体" w:eastAsia="宋体" w:cs="宋体"/>
          <w:kern w:val="0"/>
          <w:sz w:val="24"/>
          <w:szCs w:val="24"/>
          <w:lang w:val="en-US" w:eastAsia="zh-CN" w:bidi="ar"/>
        </w:rPr>
        <w:drawing>
          <wp:inline distT="0" distB="0" distL="114300" distR="114300">
            <wp:extent cx="5276215" cy="3400425"/>
            <wp:effectExtent l="0" t="0" r="635"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stretch>
                      <a:fillRect/>
                    </a:stretch>
                  </pic:blipFill>
                  <pic:spPr>
                    <a:xfrm>
                      <a:off x="0" y="0"/>
                      <a:ext cx="5276215" cy="3400425"/>
                    </a:xfrm>
                    <a:prstGeom prst="rect">
                      <a:avLst/>
                    </a:prstGeom>
                    <a:noFill/>
                    <a:ln w="9525">
                      <a:noFill/>
                    </a:ln>
                  </pic:spPr>
                </pic:pic>
              </a:graphicData>
            </a:graphic>
          </wp:inline>
        </w:drawing>
      </w:r>
    </w:p>
    <w:p>
      <w:pPr>
        <w:pStyle w:val="29"/>
        <w:numPr>
          <w:ilvl w:val="0"/>
          <w:numId w:val="1"/>
        </w:numPr>
        <w:spacing w:line="600" w:lineRule="exact"/>
        <w:ind w:firstLineChars="0"/>
        <w:outlineLvl w:val="1"/>
        <w:rPr>
          <w:rStyle w:val="24"/>
          <w:rFonts w:ascii="黑体" w:eastAsia="黑体"/>
          <w:b w:val="0"/>
        </w:rPr>
      </w:pPr>
      <w:bookmarkStart w:id="53" w:name="_Toc15396604"/>
      <w:bookmarkStart w:id="54" w:name="_Toc11324"/>
      <w:bookmarkStart w:id="55" w:name="_Toc79163611"/>
      <w:bookmarkStart w:id="56" w:name="_Toc79163861"/>
      <w:bookmarkStart w:id="57" w:name="_Toc15377206"/>
      <w:r>
        <w:rPr>
          <w:rFonts w:hint="eastAsia" w:ascii="黑体" w:eastAsia="黑体"/>
          <w:color w:val="000000"/>
          <w:sz w:val="32"/>
          <w:szCs w:val="32"/>
        </w:rPr>
        <w:t>收</w:t>
      </w:r>
      <w:r>
        <w:rPr>
          <w:rStyle w:val="24"/>
          <w:rFonts w:hint="eastAsia" w:ascii="黑体" w:eastAsia="黑体"/>
          <w:b w:val="0"/>
        </w:rPr>
        <w:t>入决算情况说明</w:t>
      </w:r>
      <w:bookmarkEnd w:id="53"/>
      <w:bookmarkEnd w:id="54"/>
      <w:bookmarkEnd w:id="55"/>
      <w:bookmarkEnd w:id="56"/>
      <w:bookmarkEnd w:id="57"/>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2358.92</w:t>
      </w:r>
      <w:r>
        <w:rPr>
          <w:rFonts w:hint="eastAsia" w:ascii="仿宋" w:eastAsia="仿宋"/>
          <w:color w:val="000000"/>
          <w:sz w:val="32"/>
          <w:szCs w:val="32"/>
        </w:rPr>
        <w:t>元，其中：一般公共预算财政拨款收入</w:t>
      </w:r>
      <w:r>
        <w:rPr>
          <w:rFonts w:hint="eastAsia" w:ascii="仿宋" w:eastAsia="仿宋"/>
          <w:color w:val="000000"/>
          <w:sz w:val="32"/>
          <w:szCs w:val="32"/>
          <w:lang w:val="en-US" w:eastAsia="zh-CN"/>
        </w:rPr>
        <w:t>2358.92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ascii="仿宋" w:eastAsia="仿宋"/>
          <w:color w:val="000000"/>
          <w:sz w:val="32"/>
          <w:szCs w:val="32"/>
        </w:rPr>
        <w:t>%</w:t>
      </w:r>
      <w:r>
        <w:rPr>
          <w:rFonts w:hint="eastAsia" w:ascii="仿宋" w:eastAsia="仿宋"/>
          <w:color w:val="000000"/>
          <w:sz w:val="32"/>
          <w:szCs w:val="32"/>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仿宋" w:eastAsia="仿宋"/>
          <w:color w:val="000000"/>
          <w:sz w:val="32"/>
          <w:szCs w:val="32"/>
          <w:lang w:eastAsia="zh-CN"/>
        </w:rPr>
      </w:pPr>
      <w:r>
        <w:drawing>
          <wp:inline distT="0" distB="0" distL="114300" distR="114300">
            <wp:extent cx="5676265" cy="3752850"/>
            <wp:effectExtent l="0" t="0" r="63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5676265" cy="3752850"/>
                    </a:xfrm>
                    <a:prstGeom prst="rect">
                      <a:avLst/>
                    </a:prstGeom>
                    <a:noFill/>
                    <a:ln>
                      <a:noFill/>
                    </a:ln>
                  </pic:spPr>
                </pic:pic>
              </a:graphicData>
            </a:graphic>
          </wp:inline>
        </w:drawing>
      </w:r>
    </w:p>
    <w:p>
      <w:pPr>
        <w:pStyle w:val="29"/>
        <w:keepNext w:val="0"/>
        <w:keepLines w:val="0"/>
        <w:pageBreakBefore w:val="0"/>
        <w:numPr>
          <w:ilvl w:val="0"/>
          <w:numId w:val="1"/>
        </w:numPr>
        <w:kinsoku/>
        <w:wordWrap/>
        <w:overflowPunct/>
        <w:topLinePunct w:val="0"/>
        <w:autoSpaceDE/>
        <w:autoSpaceDN/>
        <w:bidi w:val="0"/>
        <w:adjustRightInd/>
        <w:snapToGrid/>
        <w:spacing w:line="240" w:lineRule="auto"/>
        <w:ind w:firstLineChars="0"/>
        <w:textAlignment w:val="auto"/>
        <w:outlineLvl w:val="1"/>
        <w:rPr>
          <w:rStyle w:val="24"/>
          <w:rFonts w:ascii="黑体" w:eastAsia="黑体"/>
          <w:b w:val="0"/>
        </w:rPr>
      </w:pPr>
      <w:bookmarkStart w:id="58" w:name="_Toc15377207"/>
      <w:bookmarkStart w:id="59" w:name="_Toc79163612"/>
      <w:bookmarkStart w:id="60" w:name="_Toc79163862"/>
      <w:bookmarkStart w:id="61" w:name="_Toc32521"/>
      <w:bookmarkStart w:id="62" w:name="_Toc15396605"/>
      <w:r>
        <w:rPr>
          <w:rFonts w:hint="eastAsia" w:ascii="黑体" w:eastAsia="黑体"/>
          <w:color w:val="000000"/>
          <w:sz w:val="32"/>
          <w:szCs w:val="32"/>
        </w:rPr>
        <w:t>支</w:t>
      </w:r>
      <w:r>
        <w:rPr>
          <w:rStyle w:val="24"/>
          <w:rFonts w:hint="eastAsia" w:ascii="黑体" w:eastAsia="黑体"/>
          <w:b w:val="0"/>
        </w:rPr>
        <w:t>出决算情况说明</w:t>
      </w:r>
      <w:bookmarkEnd w:id="58"/>
      <w:bookmarkEnd w:id="59"/>
      <w:bookmarkEnd w:id="60"/>
      <w:bookmarkEnd w:id="61"/>
      <w:bookmarkEnd w:id="62"/>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2527.52</w:t>
      </w:r>
      <w:r>
        <w:rPr>
          <w:rFonts w:hint="eastAsia" w:ascii="仿宋_GB2312" w:eastAsia="仿宋_GB2312"/>
          <w:sz w:val="32"/>
          <w:szCs w:val="32"/>
        </w:rPr>
        <w:t>万元，其中：基本支出</w:t>
      </w:r>
      <w:r>
        <w:rPr>
          <w:rFonts w:hint="eastAsia" w:ascii="仿宋_GB2312" w:eastAsia="仿宋_GB2312"/>
          <w:sz w:val="32"/>
          <w:szCs w:val="32"/>
          <w:lang w:val="en-US" w:eastAsia="zh-CN"/>
        </w:rPr>
        <w:t>184.45</w:t>
      </w:r>
      <w:r>
        <w:rPr>
          <w:rFonts w:hint="eastAsia" w:ascii="仿宋_GB2312" w:eastAsia="仿宋_GB2312"/>
          <w:sz w:val="32"/>
          <w:szCs w:val="32"/>
        </w:rPr>
        <w:t>万元，占</w:t>
      </w:r>
      <w:r>
        <w:rPr>
          <w:rFonts w:hint="eastAsia" w:ascii="仿宋_GB2312" w:eastAsia="仿宋_GB2312"/>
          <w:sz w:val="32"/>
          <w:szCs w:val="32"/>
          <w:lang w:val="en-US" w:eastAsia="zh-CN"/>
        </w:rPr>
        <w:t>7.3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2343.07</w:t>
      </w:r>
      <w:r>
        <w:rPr>
          <w:rFonts w:hint="eastAsia" w:ascii="仿宋_GB2312" w:eastAsia="仿宋_GB2312"/>
          <w:sz w:val="32"/>
          <w:szCs w:val="32"/>
        </w:rPr>
        <w:t>万元，占</w:t>
      </w:r>
      <w:r>
        <w:rPr>
          <w:rFonts w:hint="eastAsia" w:ascii="仿宋_GB2312" w:eastAsia="仿宋_GB2312"/>
          <w:sz w:val="32"/>
          <w:szCs w:val="32"/>
          <w:lang w:val="en-US" w:eastAsia="zh-CN"/>
        </w:rPr>
        <w:t>92.7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hint="eastAsia" w:ascii="仿宋_GB2312" w:eastAsia="仿宋_GB2312"/>
          <w:color w:val="FF0000"/>
          <w:sz w:val="32"/>
          <w:szCs w:val="32"/>
          <w:lang w:eastAsia="zh-CN"/>
        </w:rPr>
      </w:pPr>
      <w:r>
        <w:rPr>
          <w:rFonts w:ascii="宋体" w:hAnsi="宋体" w:eastAsia="宋体" w:cs="宋体"/>
          <w:kern w:val="0"/>
          <w:sz w:val="24"/>
          <w:szCs w:val="24"/>
          <w:lang w:val="en-US" w:eastAsia="zh-CN" w:bidi="ar"/>
        </w:rPr>
        <w:drawing>
          <wp:inline distT="0" distB="0" distL="114300" distR="114300">
            <wp:extent cx="5020945" cy="2094865"/>
            <wp:effectExtent l="0" t="0" r="8255" b="635"/>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9"/>
                    <a:stretch>
                      <a:fillRect/>
                    </a:stretch>
                  </pic:blipFill>
                  <pic:spPr>
                    <a:xfrm>
                      <a:off x="0" y="0"/>
                      <a:ext cx="5020945" cy="2094865"/>
                    </a:xfrm>
                    <a:prstGeom prst="rect">
                      <a:avLst/>
                    </a:prstGeom>
                    <a:noFill/>
                    <a:ln w="9525">
                      <a:noFill/>
                    </a:ln>
                  </pic:spPr>
                </pic:pic>
              </a:graphicData>
            </a:graphic>
          </wp:inline>
        </w:drawing>
      </w:r>
    </w:p>
    <w:p>
      <w:pPr>
        <w:pStyle w:val="2"/>
        <w:rPr>
          <w:rFonts w:hint="eastAsia" w:ascii="仿宋_GB2312" w:eastAsia="仿宋_GB2312"/>
          <w:color w:val="FF0000"/>
          <w:sz w:val="32"/>
          <w:szCs w:val="32"/>
          <w:lang w:eastAsia="zh-CN"/>
        </w:rPr>
      </w:pPr>
    </w:p>
    <w:p>
      <w:pPr>
        <w:spacing w:line="600" w:lineRule="exact"/>
        <w:ind w:firstLine="640" w:firstLineChars="200"/>
        <w:outlineLvl w:val="1"/>
        <w:rPr>
          <w:rStyle w:val="24"/>
          <w:rFonts w:ascii="黑体" w:eastAsia="黑体"/>
          <w:b w:val="0"/>
        </w:rPr>
      </w:pPr>
      <w:bookmarkStart w:id="63" w:name="_Toc15396606"/>
      <w:bookmarkStart w:id="64" w:name="_Toc7641"/>
      <w:bookmarkStart w:id="65" w:name="_Toc79163863"/>
      <w:bookmarkStart w:id="66" w:name="_Toc15377208"/>
      <w:bookmarkStart w:id="67" w:name="_Toc79163613"/>
      <w:r>
        <w:rPr>
          <w:rFonts w:hint="eastAsia" w:ascii="黑体" w:eastAsia="黑体"/>
          <w:color w:val="000000"/>
          <w:sz w:val="32"/>
          <w:szCs w:val="32"/>
        </w:rPr>
        <w:t>四、财</w:t>
      </w:r>
      <w:r>
        <w:rPr>
          <w:rStyle w:val="24"/>
          <w:rFonts w:hint="eastAsia" w:ascii="黑体" w:eastAsia="黑体"/>
          <w:b w:val="0"/>
        </w:rPr>
        <w:t>政拨款收入支出决算总体情况说明</w:t>
      </w:r>
      <w:bookmarkEnd w:id="63"/>
      <w:bookmarkEnd w:id="64"/>
      <w:bookmarkEnd w:id="65"/>
      <w:bookmarkEnd w:id="66"/>
      <w:bookmarkEnd w:id="67"/>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2358.92</w:t>
      </w:r>
      <w:r>
        <w:rPr>
          <w:rFonts w:hint="eastAsia" w:ascii="仿宋_GB2312" w:hAnsi="仿宋_GB2312" w:eastAsia="仿宋_GB2312" w:cs="仿宋_GB2312"/>
          <w:color w:val="000000"/>
          <w:sz w:val="32"/>
          <w:szCs w:val="32"/>
        </w:rPr>
        <w:t>万元、支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lang w:val="en-US" w:eastAsia="zh-CN"/>
        </w:rPr>
        <w:t>2527.52</w:t>
      </w:r>
      <w:r>
        <w:rPr>
          <w:rFonts w:hint="eastAsia" w:ascii="仿宋_GB2312" w:hAnsi="仿宋_GB2312" w:eastAsia="仿宋_GB2312" w:cs="仿宋_GB2312"/>
          <w:color w:val="000000"/>
          <w:sz w:val="32"/>
          <w:szCs w:val="32"/>
        </w:rPr>
        <w:t>万元。与2020年相比，收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1289.38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下降</w:t>
      </w:r>
      <w:r>
        <w:rPr>
          <w:rFonts w:hint="eastAsia" w:ascii="仿宋_GB2312" w:hAnsi="仿宋_GB2312" w:eastAsia="仿宋_GB2312" w:cs="仿宋_GB2312"/>
          <w:color w:val="000000"/>
          <w:sz w:val="32"/>
          <w:szCs w:val="32"/>
          <w:lang w:val="en-US" w:eastAsia="zh-CN"/>
        </w:rPr>
        <w:t>55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1775.48</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70</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276215" cy="3400425"/>
            <wp:effectExtent l="0" t="0" r="635" b="9525"/>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7"/>
                    <a:stretch>
                      <a:fillRect/>
                    </a:stretch>
                  </pic:blipFill>
                  <pic:spPr>
                    <a:xfrm>
                      <a:off x="0" y="0"/>
                      <a:ext cx="5276215" cy="34004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Style w:val="24"/>
          <w:rFonts w:ascii="黑体" w:eastAsia="黑体"/>
          <w:b w:val="0"/>
        </w:rPr>
      </w:pPr>
      <w:bookmarkStart w:id="68" w:name="_Toc15377209"/>
      <w:bookmarkStart w:id="69" w:name="_Toc18802"/>
      <w:bookmarkStart w:id="70" w:name="_Toc79163864"/>
      <w:bookmarkStart w:id="71" w:name="_Toc79163614"/>
      <w:bookmarkStart w:id="72" w:name="_Toc15396607"/>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68"/>
      <w:bookmarkEnd w:id="69"/>
      <w:bookmarkEnd w:id="70"/>
      <w:bookmarkEnd w:id="71"/>
      <w:bookmarkEnd w:id="72"/>
    </w:p>
    <w:p>
      <w:pPr>
        <w:spacing w:line="600" w:lineRule="exact"/>
        <w:ind w:firstLine="642" w:firstLineChars="200"/>
        <w:outlineLvl w:val="2"/>
        <w:rPr>
          <w:rFonts w:ascii="仿宋" w:eastAsia="仿宋"/>
          <w:b/>
          <w:color w:val="000000"/>
          <w:sz w:val="32"/>
          <w:szCs w:val="32"/>
        </w:rPr>
      </w:pPr>
      <w:bookmarkStart w:id="73" w:name="_Toc79163615"/>
      <w:bookmarkStart w:id="74" w:name="_Toc15377210"/>
      <w:bookmarkStart w:id="75" w:name="_Toc79163865"/>
      <w:bookmarkStart w:id="76" w:name="_Toc1405"/>
      <w:r>
        <w:rPr>
          <w:rFonts w:hint="eastAsia" w:ascii="仿宋" w:eastAsia="仿宋"/>
          <w:b/>
          <w:color w:val="000000"/>
          <w:sz w:val="32"/>
          <w:szCs w:val="32"/>
        </w:rPr>
        <w:t>（一）一般公共预算财政拨款支出决算总体情况</w:t>
      </w:r>
      <w:bookmarkEnd w:id="73"/>
      <w:bookmarkEnd w:id="74"/>
      <w:bookmarkEnd w:id="75"/>
      <w:bookmarkEnd w:id="76"/>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2527.52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1775.48</w:t>
      </w:r>
      <w:r>
        <w:rPr>
          <w:rFonts w:hint="eastAsia" w:ascii="仿宋" w:eastAsia="仿宋"/>
          <w:color w:val="000000"/>
          <w:sz w:val="32"/>
          <w:szCs w:val="32"/>
        </w:rPr>
        <w:t>万元，下降</w:t>
      </w:r>
      <w:r>
        <w:rPr>
          <w:rFonts w:hint="eastAsia" w:ascii="仿宋" w:eastAsia="仿宋"/>
          <w:color w:val="000000"/>
          <w:sz w:val="32"/>
          <w:szCs w:val="32"/>
          <w:lang w:val="en-US" w:eastAsia="zh-CN"/>
        </w:rPr>
        <w:t>70</w:t>
      </w:r>
      <w:r>
        <w:rPr>
          <w:rFonts w:ascii="仿宋" w:eastAsia="仿宋"/>
          <w:color w:val="000000"/>
          <w:sz w:val="32"/>
          <w:szCs w:val="32"/>
        </w:rPr>
        <w:t>%</w:t>
      </w:r>
      <w:r>
        <w:rPr>
          <w:rFonts w:hint="eastAsia" w:ascii="仿宋" w:eastAsia="仿宋"/>
          <w:color w:val="000000"/>
          <w:sz w:val="32"/>
          <w:szCs w:val="32"/>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362575" cy="3067050"/>
            <wp:effectExtent l="0" t="0" r="9525" b="0"/>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10"/>
                    <a:stretch>
                      <a:fillRect/>
                    </a:stretch>
                  </pic:blipFill>
                  <pic:spPr>
                    <a:xfrm>
                      <a:off x="0" y="0"/>
                      <a:ext cx="5362575" cy="3067050"/>
                    </a:xfrm>
                    <a:prstGeom prst="rect">
                      <a:avLst/>
                    </a:prstGeom>
                    <a:noFill/>
                    <a:ln w="9525">
                      <a:noFill/>
                    </a:ln>
                  </pic:spPr>
                </pic:pic>
              </a:graphicData>
            </a:graphic>
          </wp:inline>
        </w:drawing>
      </w:r>
    </w:p>
    <w:p>
      <w:pPr>
        <w:spacing w:line="600" w:lineRule="exact"/>
        <w:ind w:firstLine="642" w:firstLineChars="200"/>
        <w:outlineLvl w:val="2"/>
        <w:rPr>
          <w:rFonts w:hint="eastAsia" w:ascii="仿宋" w:eastAsia="仿宋"/>
          <w:b/>
          <w:color w:val="000000"/>
          <w:sz w:val="32"/>
          <w:szCs w:val="32"/>
        </w:rPr>
      </w:pPr>
      <w:bookmarkStart w:id="77" w:name="_Toc79163616"/>
      <w:bookmarkStart w:id="78" w:name="_Toc15377211"/>
      <w:bookmarkStart w:id="79" w:name="_Toc79163866"/>
    </w:p>
    <w:p>
      <w:pPr>
        <w:spacing w:line="600" w:lineRule="exact"/>
        <w:ind w:firstLine="642" w:firstLineChars="200"/>
        <w:outlineLvl w:val="2"/>
        <w:rPr>
          <w:rFonts w:ascii="仿宋" w:eastAsia="仿宋"/>
          <w:b/>
          <w:color w:val="000000"/>
          <w:sz w:val="32"/>
          <w:szCs w:val="32"/>
        </w:rPr>
      </w:pPr>
      <w:bookmarkStart w:id="80" w:name="_Toc20493"/>
      <w:r>
        <w:rPr>
          <w:rFonts w:hint="eastAsia" w:ascii="仿宋" w:eastAsia="仿宋"/>
          <w:b/>
          <w:color w:val="000000"/>
          <w:sz w:val="32"/>
          <w:szCs w:val="32"/>
        </w:rPr>
        <w:t>（二）一般公共预算财政拨款支出决算结构情况</w:t>
      </w:r>
      <w:bookmarkEnd w:id="77"/>
      <w:bookmarkEnd w:id="78"/>
      <w:bookmarkEnd w:id="79"/>
      <w:bookmarkEnd w:id="80"/>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2021年一般公共预算财政拨款支出</w:t>
      </w:r>
      <w:r>
        <w:rPr>
          <w:rFonts w:hint="eastAsia" w:ascii="仿宋_GB2312" w:hAnsi="仿宋_GB2312" w:eastAsia="仿宋_GB2312" w:cs="仿宋_GB2312"/>
          <w:b w:val="0"/>
          <w:bCs w:val="0"/>
          <w:color w:val="000000"/>
          <w:sz w:val="32"/>
          <w:szCs w:val="32"/>
          <w:lang w:val="en-US" w:eastAsia="zh-CN"/>
        </w:rPr>
        <w:t>2527.52</w:t>
      </w:r>
      <w:r>
        <w:rPr>
          <w:rFonts w:hint="eastAsia" w:ascii="仿宋_GB2312" w:hAnsi="仿宋_GB2312" w:eastAsia="仿宋_GB2312" w:cs="仿宋_GB2312"/>
          <w:b w:val="0"/>
          <w:bCs w:val="0"/>
          <w:color w:val="000000"/>
          <w:sz w:val="32"/>
          <w:szCs w:val="32"/>
        </w:rPr>
        <w:t>万元，主要用于以下方面:一般公共服务（类）支出</w:t>
      </w:r>
      <w:r>
        <w:rPr>
          <w:rFonts w:hint="eastAsia" w:ascii="仿宋_GB2312" w:hAnsi="仿宋_GB2312" w:eastAsia="仿宋_GB2312" w:cs="仿宋_GB2312"/>
          <w:b w:val="0"/>
          <w:bCs w:val="0"/>
          <w:color w:val="000000"/>
          <w:sz w:val="32"/>
          <w:szCs w:val="32"/>
          <w:lang w:val="en-US" w:eastAsia="zh-CN"/>
        </w:rPr>
        <w:t>232.43</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9.2</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农林水</w:t>
      </w:r>
      <w:r>
        <w:rPr>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color w:val="000000"/>
          <w:sz w:val="32"/>
          <w:szCs w:val="32"/>
          <w:lang w:eastAsia="zh-CN"/>
        </w:rPr>
        <w:t>支出</w:t>
      </w:r>
      <w:r>
        <w:rPr>
          <w:rFonts w:hint="eastAsia" w:ascii="仿宋_GB2312" w:hAnsi="仿宋_GB2312" w:eastAsia="仿宋_GB2312" w:cs="仿宋_GB2312"/>
          <w:b w:val="0"/>
          <w:bCs w:val="0"/>
          <w:color w:val="000000"/>
          <w:sz w:val="32"/>
          <w:szCs w:val="32"/>
          <w:lang w:val="en-US" w:eastAsia="zh-CN"/>
        </w:rPr>
        <w:t>794.98</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31.5</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资源勘探工业信息等</w:t>
      </w:r>
      <w:r>
        <w:rPr>
          <w:rFonts w:hint="eastAsia" w:ascii="仿宋_GB2312" w:hAnsi="仿宋_GB2312" w:eastAsia="仿宋_GB2312" w:cs="仿宋_GB2312"/>
          <w:b w:val="0"/>
          <w:bCs w:val="0"/>
          <w:color w:val="000000"/>
          <w:sz w:val="32"/>
          <w:szCs w:val="32"/>
        </w:rPr>
        <w:t>（类）支出</w:t>
      </w:r>
      <w:r>
        <w:rPr>
          <w:rFonts w:hint="eastAsia" w:ascii="仿宋_GB2312" w:hAnsi="仿宋_GB2312" w:eastAsia="仿宋_GB2312" w:cs="仿宋_GB2312"/>
          <w:b w:val="0"/>
          <w:bCs w:val="0"/>
          <w:color w:val="000000"/>
          <w:sz w:val="32"/>
          <w:szCs w:val="32"/>
          <w:lang w:val="en-US" w:eastAsia="zh-CN"/>
        </w:rPr>
        <w:t>1411.1</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55.83</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商业服务业</w:t>
      </w:r>
      <w:r>
        <w:rPr>
          <w:rFonts w:hint="eastAsia" w:ascii="仿宋_GB2312" w:hAnsi="仿宋_GB2312" w:eastAsia="仿宋_GB2312" w:cs="仿宋_GB2312"/>
          <w:b w:val="0"/>
          <w:bCs w:val="0"/>
          <w:color w:val="000000"/>
          <w:sz w:val="32"/>
          <w:szCs w:val="32"/>
        </w:rPr>
        <w:t>（类）支出</w:t>
      </w:r>
      <w:r>
        <w:rPr>
          <w:rFonts w:hint="eastAsia" w:ascii="仿宋_GB2312" w:hAnsi="仿宋_GB2312" w:eastAsia="仿宋_GB2312" w:cs="仿宋_GB2312"/>
          <w:b w:val="0"/>
          <w:bCs w:val="0"/>
          <w:color w:val="000000"/>
          <w:sz w:val="32"/>
          <w:szCs w:val="32"/>
          <w:lang w:val="en-US" w:eastAsia="zh-CN"/>
        </w:rPr>
        <w:t>51.85</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2.01</w:t>
      </w:r>
      <w:r>
        <w:rPr>
          <w:rFonts w:hint="eastAsia" w:ascii="仿宋_GB2312" w:hAnsi="仿宋_GB2312" w:eastAsia="仿宋_GB2312" w:cs="仿宋_GB2312"/>
          <w:b w:val="0"/>
          <w:bCs w:val="0"/>
          <w:color w:val="000000"/>
          <w:sz w:val="32"/>
          <w:szCs w:val="32"/>
        </w:rPr>
        <w:t>%；社会保障和就业（类）支出</w:t>
      </w:r>
      <w:r>
        <w:rPr>
          <w:rFonts w:hint="eastAsia" w:ascii="仿宋_GB2312" w:hAnsi="仿宋_GB2312" w:eastAsia="仿宋_GB2312" w:cs="仿宋_GB2312"/>
          <w:b w:val="0"/>
          <w:bCs w:val="0"/>
          <w:color w:val="000000"/>
          <w:sz w:val="32"/>
          <w:szCs w:val="32"/>
          <w:lang w:val="en-US" w:eastAsia="zh-CN"/>
        </w:rPr>
        <w:t>15.92</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0.63</w:t>
      </w:r>
      <w:r>
        <w:rPr>
          <w:rFonts w:hint="eastAsia" w:ascii="仿宋_GB2312" w:hAnsi="仿宋_GB2312" w:eastAsia="仿宋_GB2312" w:cs="仿宋_GB2312"/>
          <w:b w:val="0"/>
          <w:bCs w:val="0"/>
          <w:color w:val="000000"/>
          <w:sz w:val="32"/>
          <w:szCs w:val="32"/>
        </w:rPr>
        <w:t>%；卫生健康支出</w:t>
      </w:r>
      <w:r>
        <w:rPr>
          <w:rFonts w:hint="eastAsia" w:ascii="仿宋_GB2312" w:hAnsi="仿宋_GB2312" w:eastAsia="仿宋_GB2312" w:cs="仿宋_GB2312"/>
          <w:b w:val="0"/>
          <w:bCs w:val="0"/>
          <w:color w:val="000000"/>
          <w:sz w:val="32"/>
          <w:szCs w:val="32"/>
          <w:lang w:val="en-US" w:eastAsia="zh-CN"/>
        </w:rPr>
        <w:t>10.46</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0.41</w:t>
      </w:r>
      <w:r>
        <w:rPr>
          <w:rFonts w:hint="eastAsia" w:ascii="仿宋_GB2312" w:hAnsi="仿宋_GB2312" w:eastAsia="仿宋_GB2312" w:cs="仿宋_GB2312"/>
          <w:b w:val="0"/>
          <w:bCs w:val="0"/>
          <w:color w:val="000000"/>
          <w:sz w:val="32"/>
          <w:szCs w:val="32"/>
        </w:rPr>
        <w:t>%；住房保障支出</w:t>
      </w:r>
      <w:r>
        <w:rPr>
          <w:rFonts w:hint="eastAsia" w:ascii="仿宋_GB2312" w:hAnsi="仿宋_GB2312" w:eastAsia="仿宋_GB2312" w:cs="仿宋_GB2312"/>
          <w:b w:val="0"/>
          <w:bCs w:val="0"/>
          <w:color w:val="000000"/>
          <w:sz w:val="32"/>
          <w:szCs w:val="32"/>
          <w:lang w:val="en-US" w:eastAsia="zh-CN"/>
        </w:rPr>
        <w:t>10.62</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0.42</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其他</w:t>
      </w:r>
      <w:r>
        <w:rPr>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color w:val="000000"/>
          <w:sz w:val="32"/>
          <w:szCs w:val="32"/>
          <w:lang w:eastAsia="zh-CN"/>
        </w:rPr>
        <w:t>支出</w:t>
      </w:r>
      <w:r>
        <w:rPr>
          <w:rFonts w:hint="eastAsia" w:ascii="仿宋_GB2312" w:hAnsi="仿宋_GB2312" w:eastAsia="仿宋_GB2312" w:cs="仿宋_GB2312"/>
          <w:b w:val="0"/>
          <w:bCs w:val="0"/>
          <w:color w:val="000000"/>
          <w:sz w:val="32"/>
          <w:szCs w:val="32"/>
          <w:lang w:val="en-US" w:eastAsia="zh-CN"/>
        </w:rPr>
        <w:t>0.17万元，占0.007%</w:t>
      </w:r>
      <w:r>
        <w:rPr>
          <w:rFonts w:hint="eastAsia" w:ascii="仿宋_GB2312" w:hAnsi="仿宋_GB2312" w:eastAsia="仿宋_GB2312" w:cs="仿宋_GB2312"/>
          <w:b w:val="0"/>
          <w:bCs w:val="0"/>
          <w:color w:val="000000"/>
          <w:sz w:val="32"/>
          <w:szCs w:val="32"/>
        </w:rPr>
        <w:t>。</w:t>
      </w:r>
    </w:p>
    <w:p>
      <w:pPr>
        <w:spacing w:line="600" w:lineRule="exact"/>
        <w:ind w:firstLine="640" w:firstLineChars="200"/>
        <w:rPr>
          <w:rFonts w:ascii="仿宋" w:eastAsia="仿宋"/>
          <w:color w:val="000000"/>
          <w:sz w:val="32"/>
          <w:szCs w:val="32"/>
        </w:rPr>
      </w:pPr>
    </w:p>
    <w:p>
      <w:pPr>
        <w:keepNext w:val="0"/>
        <w:keepLines w:val="0"/>
        <w:widowControl/>
        <w:suppressLineNumbers w:val="0"/>
        <w:jc w:val="left"/>
        <w:rPr>
          <w:rFonts w:ascii="仿宋" w:eastAsia="仿宋"/>
          <w:color w:val="000000"/>
          <w:sz w:val="32"/>
          <w:szCs w:val="32"/>
        </w:rPr>
      </w:pPr>
      <w:r>
        <w:rPr>
          <w:rFonts w:ascii="宋体" w:hAnsi="宋体" w:eastAsia="宋体" w:cs="宋体"/>
          <w:kern w:val="0"/>
          <w:sz w:val="24"/>
          <w:szCs w:val="24"/>
          <w:lang w:val="en-US" w:eastAsia="zh-CN" w:bidi="ar"/>
        </w:rPr>
        <w:drawing>
          <wp:inline distT="0" distB="0" distL="114300" distR="114300">
            <wp:extent cx="5375910" cy="2680970"/>
            <wp:effectExtent l="0" t="0" r="15240" b="5080"/>
            <wp:docPr id="1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56"/>
                    <pic:cNvPicPr>
                      <a:picLocks noChangeAspect="1"/>
                    </pic:cNvPicPr>
                  </pic:nvPicPr>
                  <pic:blipFill>
                    <a:blip r:embed="rId11"/>
                    <a:stretch>
                      <a:fillRect/>
                    </a:stretch>
                  </pic:blipFill>
                  <pic:spPr>
                    <a:xfrm>
                      <a:off x="0" y="0"/>
                      <a:ext cx="5375910" cy="2680970"/>
                    </a:xfrm>
                    <a:prstGeom prst="rect">
                      <a:avLst/>
                    </a:prstGeom>
                    <a:noFill/>
                    <a:ln w="9525">
                      <a:noFill/>
                    </a:ln>
                  </pic:spPr>
                </pic:pic>
              </a:graphicData>
            </a:graphic>
          </wp:inline>
        </w:drawing>
      </w:r>
    </w:p>
    <w:p>
      <w:pPr>
        <w:spacing w:line="600" w:lineRule="exact"/>
        <w:ind w:firstLine="642" w:firstLineChars="200"/>
        <w:outlineLvl w:val="2"/>
        <w:rPr>
          <w:rFonts w:ascii="仿宋" w:eastAsia="仿宋"/>
          <w:b/>
          <w:color w:val="000000"/>
          <w:sz w:val="32"/>
          <w:szCs w:val="32"/>
        </w:rPr>
      </w:pPr>
      <w:bookmarkStart w:id="81" w:name="_Toc697"/>
      <w:bookmarkStart w:id="82" w:name="_Toc79163867"/>
      <w:bookmarkStart w:id="83" w:name="_Toc79163617"/>
      <w:bookmarkStart w:id="84" w:name="_Toc15377212"/>
      <w:r>
        <w:rPr>
          <w:rFonts w:hint="eastAsia" w:ascii="仿宋" w:eastAsia="仿宋"/>
          <w:b/>
          <w:color w:val="000000"/>
          <w:sz w:val="32"/>
          <w:szCs w:val="32"/>
        </w:rPr>
        <w:t>（三）一般公共预算财政拨款支出决算具体情况</w:t>
      </w:r>
      <w:bookmarkEnd w:id="81"/>
      <w:bookmarkEnd w:id="82"/>
      <w:bookmarkEnd w:id="83"/>
      <w:bookmarkEnd w:id="84"/>
    </w:p>
    <w:p>
      <w:pPr>
        <w:spacing w:line="600" w:lineRule="exact"/>
        <w:ind w:firstLine="640" w:firstLineChars="200"/>
        <w:rPr>
          <w:rFonts w:ascii="仿宋_GB2312" w:eastAsia="仿宋_GB2312"/>
          <w:b w:val="0"/>
          <w:bCs w:val="0"/>
          <w:sz w:val="32"/>
          <w:szCs w:val="32"/>
        </w:rPr>
      </w:pPr>
      <w:bookmarkStart w:id="85" w:name="_Toc15377444"/>
      <w:bookmarkStart w:id="86" w:name="_Toc15378460"/>
      <w:bookmarkStart w:id="87" w:name="_Toc15377213"/>
      <w:r>
        <w:rPr>
          <w:rFonts w:ascii="仿宋_GB2312" w:eastAsia="仿宋_GB2312"/>
          <w:b w:val="0"/>
          <w:bCs w:val="0"/>
          <w:sz w:val="32"/>
          <w:szCs w:val="32"/>
        </w:rPr>
        <w:t>2021</w:t>
      </w:r>
      <w:r>
        <w:rPr>
          <w:rFonts w:hint="eastAsia" w:ascii="仿宋_GB2312" w:eastAsia="仿宋_GB2312"/>
          <w:b w:val="0"/>
          <w:bCs w:val="0"/>
          <w:sz w:val="32"/>
          <w:szCs w:val="32"/>
        </w:rPr>
        <w:t>年一般公共预算支出决算数为</w:t>
      </w:r>
      <w:r>
        <w:rPr>
          <w:rFonts w:hint="eastAsia" w:ascii="仿宋_GB2312" w:eastAsia="仿宋_GB2312"/>
          <w:b w:val="0"/>
          <w:bCs w:val="0"/>
          <w:sz w:val="32"/>
          <w:szCs w:val="32"/>
          <w:lang w:val="en-US" w:eastAsia="zh-CN"/>
        </w:rPr>
        <w:t>2527.52</w:t>
      </w:r>
      <w:r>
        <w:rPr>
          <w:rFonts w:hint="eastAsia" w:ascii="仿宋_GB2312" w:eastAsia="仿宋_GB2312"/>
          <w:b w:val="0"/>
          <w:bCs w:val="0"/>
          <w:sz w:val="32"/>
          <w:szCs w:val="32"/>
        </w:rPr>
        <w:t>，完成预算</w:t>
      </w:r>
      <w:r>
        <w:rPr>
          <w:rFonts w:hint="eastAsia" w:ascii="仿宋_GB2312" w:eastAsia="仿宋_GB2312"/>
          <w:b w:val="0"/>
          <w:bCs w:val="0"/>
          <w:sz w:val="32"/>
          <w:szCs w:val="32"/>
          <w:lang w:val="en-US" w:eastAsia="zh-CN"/>
        </w:rPr>
        <w:t>100</w:t>
      </w:r>
      <w:r>
        <w:rPr>
          <w:rFonts w:ascii="仿宋_GB2312" w:eastAsia="仿宋_GB2312"/>
          <w:b w:val="0"/>
          <w:bCs w:val="0"/>
          <w:sz w:val="32"/>
          <w:szCs w:val="32"/>
        </w:rPr>
        <w:t>%</w:t>
      </w:r>
      <w:r>
        <w:rPr>
          <w:rFonts w:hint="eastAsia" w:ascii="仿宋_GB2312" w:eastAsia="仿宋_GB2312"/>
          <w:b w:val="0"/>
          <w:bCs w:val="0"/>
          <w:sz w:val="32"/>
          <w:szCs w:val="32"/>
        </w:rPr>
        <w:t>。其中：</w:t>
      </w:r>
      <w:bookmarkEnd w:id="85"/>
      <w:bookmarkEnd w:id="86"/>
      <w:bookmarkEnd w:id="87"/>
    </w:p>
    <w:p>
      <w:pPr>
        <w:numPr>
          <w:ilvl w:val="0"/>
          <w:numId w:val="2"/>
        </w:numPr>
        <w:spacing w:line="600" w:lineRule="exact"/>
        <w:ind w:firstLine="640" w:firstLineChars="200"/>
        <w:rPr>
          <w:rFonts w:hint="eastAsia" w:ascii="仿宋_GB2312" w:hAnsi="仿宋_GB2312" w:eastAsia="仿宋_GB2312" w:cs="仿宋_GB2312"/>
          <w:b w:val="0"/>
          <w:bCs w:val="0"/>
          <w:sz w:val="32"/>
          <w:szCs w:val="32"/>
        </w:rPr>
      </w:pPr>
      <w:r>
        <w:rPr>
          <w:rStyle w:val="21"/>
          <w:rFonts w:hint="eastAsia" w:ascii="仿宋_GB2312" w:hAnsi="仿宋_GB2312" w:eastAsia="仿宋_GB2312" w:cs="仿宋_GB2312"/>
          <w:b w:val="0"/>
          <w:bCs w:val="0"/>
          <w:color w:val="000000"/>
          <w:sz w:val="32"/>
          <w:szCs w:val="32"/>
        </w:rPr>
        <w:t>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行政运行</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 支出决算为</w:t>
      </w:r>
      <w:r>
        <w:rPr>
          <w:rStyle w:val="21"/>
          <w:rFonts w:hint="eastAsia" w:ascii="仿宋_GB2312" w:hAnsi="仿宋_GB2312" w:eastAsia="仿宋_GB2312" w:cs="仿宋_GB2312"/>
          <w:b w:val="0"/>
          <w:bCs w:val="0"/>
          <w:color w:val="000000"/>
          <w:sz w:val="32"/>
          <w:szCs w:val="32"/>
          <w:lang w:val="en-US" w:eastAsia="zh-CN"/>
        </w:rPr>
        <w:t>147.45</w:t>
      </w:r>
      <w:r>
        <w:rPr>
          <w:rStyle w:val="21"/>
          <w:rFonts w:hint="eastAsia" w:ascii="仿宋_GB2312" w:hAnsi="仿宋_GB2312" w:eastAsia="仿宋_GB2312" w:cs="仿宋_GB2312"/>
          <w:b w:val="0"/>
          <w:bCs w:val="0"/>
          <w:color w:val="000000"/>
          <w:sz w:val="32"/>
          <w:szCs w:val="32"/>
        </w:rPr>
        <w:t>万元，完成预算</w:t>
      </w:r>
      <w:r>
        <w:rPr>
          <w:rStyle w:val="21"/>
          <w:rFonts w:hint="eastAsia" w:ascii="仿宋_GB2312" w:hAnsi="仿宋_GB2312" w:eastAsia="仿宋_GB2312" w:cs="仿宋_GB2312"/>
          <w:b w:val="0"/>
          <w:bCs w:val="0"/>
          <w:color w:val="000000"/>
          <w:sz w:val="32"/>
          <w:szCs w:val="32"/>
          <w:lang w:val="en-US" w:eastAsia="zh-CN"/>
        </w:rPr>
        <w:t>100</w:t>
      </w:r>
      <w:r>
        <w:rPr>
          <w:rStyle w:val="21"/>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lang w:val="en-US" w:eastAsia="zh-CN"/>
        </w:rPr>
        <w:t>2</w:t>
      </w:r>
      <w:r>
        <w:rPr>
          <w:rStyle w:val="21"/>
          <w:rFonts w:hint="eastAsia" w:ascii="仿宋_GB2312" w:hAnsi="仿宋_GB2312" w:eastAsia="仿宋_GB2312" w:cs="仿宋_GB2312"/>
          <w:b w:val="0"/>
          <w:bCs w:val="0"/>
          <w:color w:val="000000"/>
          <w:sz w:val="32"/>
          <w:szCs w:val="32"/>
        </w:rPr>
        <w:t>.一般公共服务（类）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其他商贸事务支出</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 xml:space="preserve"> 支出决算为</w:t>
      </w:r>
      <w:r>
        <w:rPr>
          <w:rStyle w:val="21"/>
          <w:rFonts w:hint="eastAsia" w:ascii="仿宋_GB2312" w:hAnsi="仿宋_GB2312" w:eastAsia="仿宋_GB2312" w:cs="仿宋_GB2312"/>
          <w:b w:val="0"/>
          <w:bCs/>
          <w:color w:val="000000"/>
          <w:sz w:val="32"/>
          <w:szCs w:val="32"/>
          <w:lang w:val="en-US" w:eastAsia="zh-CN"/>
        </w:rPr>
        <w:t>84.98</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lang w:val="en-US" w:eastAsia="zh-CN"/>
        </w:rPr>
        <w:t>3</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color w:val="000000"/>
          <w:sz w:val="32"/>
          <w:szCs w:val="32"/>
        </w:rPr>
        <w:t>社会保障和就业（</w:t>
      </w:r>
      <w:r>
        <w:rPr>
          <w:rStyle w:val="21"/>
          <w:rFonts w:hint="eastAsia" w:ascii="仿宋_GB2312" w:hAnsi="仿宋_GB2312" w:eastAsia="仿宋_GB2312" w:cs="仿宋_GB2312"/>
          <w:b w:val="0"/>
          <w:bCs/>
          <w:color w:val="000000"/>
          <w:sz w:val="32"/>
          <w:szCs w:val="32"/>
          <w:lang w:val="en-US" w:eastAsia="zh-CN"/>
        </w:rPr>
        <w:t>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）机关事业单位职业年金缴费支出（</w:t>
      </w:r>
      <w:r>
        <w:rPr>
          <w:rStyle w:val="21"/>
          <w:rFonts w:hint="eastAsia" w:ascii="仿宋_GB2312" w:hAnsi="仿宋_GB2312" w:eastAsia="仿宋_GB2312" w:cs="仿宋_GB2312"/>
          <w:b w:val="0"/>
          <w:bCs/>
          <w:color w:val="000000"/>
          <w:sz w:val="32"/>
          <w:szCs w:val="32"/>
          <w:lang w:eastAsia="zh-CN"/>
        </w:rPr>
        <w:t>项</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10.54</w:t>
      </w:r>
      <w:r>
        <w:rPr>
          <w:rStyle w:val="21"/>
          <w:rFonts w:hint="eastAsia" w:ascii="仿宋_GB2312" w:hAnsi="仿宋_GB2312" w:eastAsia="仿宋_GB2312" w:cs="仿宋_GB2312"/>
          <w:b w:val="0"/>
          <w:bCs/>
          <w:color w:val="000000"/>
          <w:sz w:val="32"/>
          <w:szCs w:val="32"/>
        </w:rPr>
        <w:t>万元，完成预算100%。</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lang w:val="en-US" w:eastAsia="zh-CN"/>
        </w:rPr>
        <w:t>4</w:t>
      </w:r>
      <w:r>
        <w:rPr>
          <w:rStyle w:val="21"/>
          <w:rFonts w:hint="eastAsia" w:ascii="仿宋_GB2312" w:hAnsi="仿宋_GB2312" w:eastAsia="仿宋_GB2312" w:cs="仿宋_GB2312"/>
          <w:b w:val="0"/>
          <w:bCs w:val="0"/>
          <w:color w:val="000000"/>
          <w:sz w:val="32"/>
          <w:szCs w:val="32"/>
        </w:rPr>
        <w:t>.社会保障和就业（类）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）机关事业单位基本养老保险缴费支出（</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 xml:space="preserve"> 支出决算为</w:t>
      </w:r>
      <w:r>
        <w:rPr>
          <w:rStyle w:val="21"/>
          <w:rFonts w:hint="eastAsia" w:ascii="仿宋_GB2312" w:hAnsi="仿宋_GB2312" w:eastAsia="仿宋_GB2312" w:cs="仿宋_GB2312"/>
          <w:b w:val="0"/>
          <w:bCs/>
          <w:color w:val="000000"/>
          <w:sz w:val="32"/>
          <w:szCs w:val="32"/>
          <w:lang w:val="en-US" w:eastAsia="zh-CN"/>
        </w:rPr>
        <w:t>5.38</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lang w:val="en-US" w:eastAsia="zh-CN"/>
        </w:rPr>
        <w:t>5</w:t>
      </w:r>
      <w:r>
        <w:rPr>
          <w:rStyle w:val="21"/>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rPr>
        <w:t>卫生健康</w:t>
      </w:r>
      <w:r>
        <w:rPr>
          <w:rStyle w:val="21"/>
          <w:rFonts w:hint="eastAsia" w:ascii="仿宋_GB2312" w:hAnsi="仿宋_GB2312" w:eastAsia="仿宋_GB2312" w:cs="仿宋_GB2312"/>
          <w:b w:val="0"/>
          <w:bCs w:val="0"/>
          <w:color w:val="000000"/>
          <w:sz w:val="32"/>
          <w:szCs w:val="32"/>
        </w:rPr>
        <w:t>（类）行</w:t>
      </w:r>
      <w:r>
        <w:rPr>
          <w:rStyle w:val="21"/>
          <w:rFonts w:hint="eastAsia" w:ascii="仿宋_GB2312" w:hAnsi="仿宋_GB2312" w:eastAsia="仿宋_GB2312" w:cs="仿宋_GB2312"/>
          <w:b w:val="0"/>
          <w:bCs/>
          <w:color w:val="000000"/>
          <w:sz w:val="32"/>
          <w:szCs w:val="32"/>
        </w:rPr>
        <w:t>政事业单位医疗（</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）行政单位医疗（</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10.46</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）农业</w:t>
      </w:r>
      <w:r>
        <w:rPr>
          <w:rFonts w:hint="eastAsia" w:ascii="仿宋_GB2312" w:hAnsi="仿宋_GB2312" w:eastAsia="仿宋_GB2312" w:cs="仿宋_GB2312"/>
          <w:color w:val="000000"/>
          <w:sz w:val="32"/>
          <w:szCs w:val="32"/>
          <w:lang w:eastAsia="zh-CN"/>
        </w:rPr>
        <w:t>农村</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）科技转化与推广服务（</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776.27</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决算数大于预算数的主要原因是拨付给企业的补助款是专款专用，部分</w:t>
      </w:r>
      <w:r>
        <w:rPr>
          <w:rStyle w:val="21"/>
          <w:rFonts w:hint="eastAsia" w:ascii="仿宋_GB2312" w:hAnsi="仿宋_GB2312" w:eastAsia="仿宋_GB2312" w:cs="仿宋_GB2312"/>
          <w:b w:val="0"/>
          <w:bCs/>
          <w:color w:val="000000"/>
          <w:sz w:val="32"/>
          <w:szCs w:val="32"/>
          <w:lang w:eastAsia="zh-CN"/>
        </w:rPr>
        <w:t>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扶贫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农村基础设施建设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16.9</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lang w:eastAsia="zh-CN"/>
        </w:rPr>
        <w:t>全部资金为去年结余资金。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扶贫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生产发展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1.81</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lang w:eastAsia="zh-CN"/>
        </w:rPr>
        <w:t>全部资金为去年结余资金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）制造业（</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）其他制造业支出（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484.65</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中小企业发展专项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43.2</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lang w:eastAsia="zh-CN"/>
        </w:rPr>
        <w:t>全部资金为去年结余资金。</w:t>
      </w:r>
    </w:p>
    <w:p>
      <w:pPr>
        <w:pStyle w:val="2"/>
        <w:ind w:firstLine="640" w:firstLineChars="200"/>
        <w:rPr>
          <w:rFonts w:hint="eastAsia" w:eastAsia="仿宋_GB2312"/>
          <w:lang w:eastAsia="zh-CN"/>
        </w:rPr>
      </w:pPr>
      <w:r>
        <w:rPr>
          <w:rFonts w:hint="eastAsia" w:ascii="仿宋_GB2312" w:hAnsi="仿宋_GB2312" w:eastAsia="仿宋_GB2312" w:cs="仿宋_GB2312"/>
          <w:color w:val="000000"/>
          <w:sz w:val="32"/>
          <w:szCs w:val="32"/>
          <w:lang w:val="en-US" w:eastAsia="zh-CN"/>
        </w:rPr>
        <w:t>1</w:t>
      </w:r>
      <w:r>
        <w:rPr>
          <w:rFonts w:hint="eastAsia" w:hAnsi="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hAnsi="仿宋_GB2312" w:cs="仿宋_GB2312"/>
          <w:color w:val="000000"/>
          <w:sz w:val="32"/>
          <w:szCs w:val="32"/>
          <w:lang w:eastAsia="zh-CN"/>
        </w:rPr>
        <w:t>其他资源勘探工业信息等</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hAnsi="仿宋_GB2312" w:cs="仿宋_GB2312"/>
          <w:b w:val="0"/>
          <w:bCs/>
          <w:color w:val="000000"/>
          <w:sz w:val="32"/>
          <w:szCs w:val="32"/>
          <w:lang w:val="en-US" w:eastAsia="zh-CN"/>
        </w:rPr>
        <w:t>783.25</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hAnsi="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hAnsi="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hAnsi="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rPr>
        <w:t>拨付给企业的补助款是专款专用，部分</w:t>
      </w:r>
      <w:r>
        <w:rPr>
          <w:rStyle w:val="21"/>
          <w:rFonts w:hint="eastAsia" w:ascii="仿宋_GB2312" w:hAnsi="仿宋_GB2312" w:eastAsia="仿宋_GB2312" w:cs="仿宋_GB2312"/>
          <w:b w:val="0"/>
          <w:bCs/>
          <w:color w:val="000000"/>
          <w:sz w:val="32"/>
          <w:szCs w:val="32"/>
          <w:lang w:eastAsia="zh-CN"/>
        </w:rPr>
        <w:t>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）其他商业流通事务（</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7.74</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）其他商业</w:t>
      </w:r>
      <w:r>
        <w:rPr>
          <w:rFonts w:hint="eastAsia" w:ascii="仿宋_GB2312" w:hAnsi="仿宋_GB2312" w:eastAsia="仿宋_GB2312" w:cs="仿宋_GB2312"/>
          <w:color w:val="000000"/>
          <w:sz w:val="32"/>
          <w:szCs w:val="32"/>
          <w:lang w:eastAsia="zh-CN"/>
        </w:rPr>
        <w:t>服务业等支出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4.11</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pStyle w:val="2"/>
        <w:ind w:firstLine="640" w:firstLineChars="200"/>
        <w:rPr>
          <w:rStyle w:val="21"/>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hAnsi="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w:t>
      </w:r>
      <w:r>
        <w:rPr>
          <w:rFonts w:hint="eastAsia" w:ascii="仿宋_GB2312" w:hAnsi="仿宋_GB2312" w:eastAsia="仿宋_GB2312" w:cs="仿宋_GB2312"/>
          <w:color w:val="000000"/>
          <w:sz w:val="32"/>
          <w:szCs w:val="32"/>
          <w:lang w:eastAsia="zh-CN"/>
        </w:rPr>
        <w:t>涉外发展服务支出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40</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10.62</w:t>
      </w:r>
      <w:r>
        <w:rPr>
          <w:rStyle w:val="21"/>
          <w:rFonts w:hint="eastAsia" w:ascii="仿宋_GB2312" w:hAnsi="仿宋_GB2312" w:eastAsia="仿宋_GB2312" w:cs="仿宋_GB2312"/>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eastAsia="仿宋"/>
          <w:b/>
          <w:color w:val="000000"/>
          <w:sz w:val="32"/>
          <w:szCs w:val="32"/>
        </w:rPr>
      </w:pPr>
      <w:r>
        <w:rPr>
          <w:rStyle w:val="21"/>
          <w:rFonts w:hint="eastAsia" w:ascii="仿宋_GB2312" w:hAnsi="仿宋_GB2312" w:eastAsia="仿宋_GB2312" w:cs="仿宋_GB2312"/>
          <w:b w:val="0"/>
          <w:bCs/>
          <w:color w:val="000000"/>
          <w:sz w:val="32"/>
          <w:szCs w:val="32"/>
          <w:lang w:val="en-US" w:eastAsia="zh-CN"/>
        </w:rPr>
        <w:t>17.其他支出（类）其他支出（款）其他支出（项）：支出决算为0.17万元，完成100%</w:t>
      </w:r>
      <w:r>
        <w:rPr>
          <w:rStyle w:val="21"/>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24"/>
        </w:rPr>
      </w:pPr>
      <w:bookmarkStart w:id="88" w:name="_Toc15396608"/>
      <w:bookmarkStart w:id="89" w:name="_Toc15377214"/>
      <w:bookmarkStart w:id="90" w:name="_Toc79163618"/>
      <w:bookmarkStart w:id="91" w:name="_Toc79163868"/>
      <w:bookmarkStart w:id="92" w:name="_Toc18507"/>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88"/>
      <w:bookmarkEnd w:id="89"/>
      <w:bookmarkEnd w:id="90"/>
      <w:bookmarkEnd w:id="91"/>
      <w:bookmarkEnd w:id="92"/>
      <w:r>
        <w:rPr>
          <w:rStyle w:val="24"/>
          <w:rFonts w:asci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w:t>
      </w:r>
      <w:r>
        <w:rPr>
          <w:rFonts w:hint="eastAsia" w:ascii="仿宋_GB2312" w:hAnsi="仿宋_GB2312" w:eastAsia="仿宋_GB2312" w:cs="仿宋_GB2312"/>
          <w:color w:val="000000"/>
          <w:sz w:val="32"/>
          <w:szCs w:val="32"/>
          <w:lang w:val="en-US" w:eastAsia="zh-CN"/>
        </w:rPr>
        <w:t>184.45</w:t>
      </w:r>
      <w:r>
        <w:rPr>
          <w:rFonts w:hint="eastAsia" w:ascii="仿宋_GB2312" w:hAnsi="仿宋_GB2312" w:eastAsia="仿宋_GB2312" w:cs="仿宋_GB2312"/>
          <w:color w:val="000000"/>
          <w:sz w:val="32"/>
          <w:szCs w:val="32"/>
        </w:rPr>
        <w:t>万元，其中：</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174.68</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9.77</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eastAsia="黑体"/>
          <w:b w:val="0"/>
        </w:rPr>
      </w:pPr>
      <w:bookmarkStart w:id="93" w:name="_Toc15396609"/>
      <w:bookmarkStart w:id="94" w:name="_Toc15377215"/>
      <w:bookmarkStart w:id="95" w:name="_Toc79163619"/>
      <w:bookmarkStart w:id="96" w:name="_Toc79163869"/>
      <w:bookmarkStart w:id="97" w:name="_Toc24767"/>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93"/>
      <w:bookmarkEnd w:id="94"/>
      <w:bookmarkEnd w:id="95"/>
      <w:bookmarkEnd w:id="96"/>
      <w:bookmarkEnd w:id="97"/>
    </w:p>
    <w:p>
      <w:pPr>
        <w:spacing w:line="600" w:lineRule="exact"/>
        <w:ind w:firstLine="640"/>
        <w:outlineLvl w:val="2"/>
        <w:rPr>
          <w:rFonts w:ascii="仿宋" w:eastAsia="仿宋"/>
          <w:b/>
          <w:color w:val="000000"/>
          <w:sz w:val="32"/>
          <w:szCs w:val="32"/>
        </w:rPr>
      </w:pPr>
      <w:bookmarkStart w:id="98" w:name="_Toc15377216"/>
      <w:bookmarkStart w:id="99" w:name="_Toc79163620"/>
      <w:bookmarkStart w:id="100" w:name="_Toc79163870"/>
      <w:bookmarkStart w:id="101" w:name="_Toc5658"/>
      <w:r>
        <w:rPr>
          <w:rFonts w:hint="eastAsia" w:ascii="仿宋" w:eastAsia="仿宋"/>
          <w:b/>
          <w:color w:val="000000"/>
          <w:sz w:val="32"/>
          <w:szCs w:val="32"/>
        </w:rPr>
        <w:t>（一）“三公”经费财政拨款支出决算总体情况说明</w:t>
      </w:r>
      <w:bookmarkEnd w:id="98"/>
      <w:bookmarkEnd w:id="99"/>
      <w:bookmarkEnd w:id="100"/>
      <w:bookmarkEnd w:id="101"/>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10.43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102" w:name="_Toc15377217"/>
      <w:bookmarkStart w:id="103" w:name="_Toc79163621"/>
      <w:bookmarkStart w:id="104" w:name="_Toc79163871"/>
      <w:bookmarkStart w:id="105" w:name="_Toc2904"/>
      <w:r>
        <w:rPr>
          <w:rFonts w:hint="eastAsia" w:ascii="仿宋" w:eastAsia="仿宋"/>
          <w:b/>
          <w:color w:val="000000"/>
          <w:sz w:val="32"/>
          <w:szCs w:val="32"/>
        </w:rPr>
        <w:t>（二）“三公”经费财政拨款支出决算具体情况说明</w:t>
      </w:r>
      <w:bookmarkEnd w:id="102"/>
      <w:bookmarkEnd w:id="103"/>
      <w:bookmarkEnd w:id="104"/>
      <w:bookmarkEnd w:id="105"/>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10.16</w:t>
      </w:r>
      <w:r>
        <w:rPr>
          <w:rFonts w:hint="eastAsia" w:ascii="仿宋" w:eastAsia="仿宋"/>
          <w:color w:val="000000"/>
          <w:sz w:val="32"/>
          <w:szCs w:val="32"/>
        </w:rPr>
        <w:t>万元，占</w:t>
      </w:r>
      <w:r>
        <w:rPr>
          <w:rFonts w:hint="eastAsia" w:ascii="仿宋" w:eastAsia="仿宋"/>
          <w:color w:val="000000"/>
          <w:sz w:val="32"/>
          <w:szCs w:val="32"/>
          <w:lang w:val="en-US" w:eastAsia="zh-CN"/>
        </w:rPr>
        <w:t>97.4</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0.27</w:t>
      </w:r>
      <w:r>
        <w:rPr>
          <w:rFonts w:hint="eastAsia" w:ascii="仿宋" w:eastAsia="仿宋"/>
          <w:color w:val="000000"/>
          <w:sz w:val="32"/>
          <w:szCs w:val="32"/>
        </w:rPr>
        <w:t>万元，占</w:t>
      </w:r>
      <w:r>
        <w:rPr>
          <w:rFonts w:hint="eastAsia" w:ascii="仿宋" w:eastAsia="仿宋"/>
          <w:color w:val="000000"/>
          <w:sz w:val="32"/>
          <w:szCs w:val="32"/>
          <w:lang w:val="en-US" w:eastAsia="zh-CN"/>
        </w:rPr>
        <w:t>2.6</w:t>
      </w:r>
      <w:r>
        <w:rPr>
          <w:rFonts w:ascii="仿宋" w:eastAsia="仿宋"/>
          <w:color w:val="000000"/>
          <w:sz w:val="32"/>
          <w:szCs w:val="32"/>
        </w:rPr>
        <w:t>%</w:t>
      </w:r>
      <w:r>
        <w:rPr>
          <w:rFonts w:hint="eastAsia" w:ascii="仿宋" w:eastAsia="仿宋"/>
          <w:color w:val="000000"/>
          <w:sz w:val="32"/>
          <w:szCs w:val="32"/>
        </w:rPr>
        <w:t>。具体情况如下：</w:t>
      </w:r>
    </w:p>
    <w:p>
      <w:pPr>
        <w:keepNext w:val="0"/>
        <w:keepLines w:val="0"/>
        <w:widowControl/>
        <w:suppressLineNumbers w:val="0"/>
        <w:jc w:val="left"/>
        <w:rPr>
          <w:rFonts w:hint="eastAsia" w:ascii="仿宋" w:eastAsia="仿宋"/>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4696460" cy="2551430"/>
            <wp:effectExtent l="0" t="0" r="8890" b="1270"/>
            <wp:docPr id="1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56"/>
                    <pic:cNvPicPr>
                      <a:picLocks noChangeAspect="1"/>
                    </pic:cNvPicPr>
                  </pic:nvPicPr>
                  <pic:blipFill>
                    <a:blip r:embed="rId12"/>
                    <a:stretch>
                      <a:fillRect/>
                    </a:stretch>
                  </pic:blipFill>
                  <pic:spPr>
                    <a:xfrm>
                      <a:off x="0" y="0"/>
                      <a:ext cx="4696460" cy="2551430"/>
                    </a:xfrm>
                    <a:prstGeom prst="rect">
                      <a:avLst/>
                    </a:prstGeom>
                    <a:noFill/>
                    <a:ln w="9525">
                      <a:noFill/>
                    </a:ln>
                  </pic:spPr>
                </pic:pic>
              </a:graphicData>
            </a:graphic>
          </wp:inline>
        </w:drawing>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1.因公出国（境）经费支出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全年安排因公出国（境）团组</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次，出国（境）</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人。因公出国（境）支出决算比2020年增加/减少</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开支内容包括：</w:t>
      </w:r>
      <w:r>
        <w:rPr>
          <w:rFonts w:hint="eastAsia" w:ascii="仿宋_GB2312" w:hAnsi="仿宋_GB2312" w:eastAsia="仿宋_GB2312" w:cs="仿宋_GB2312"/>
          <w:b w:val="0"/>
          <w:bCs/>
          <w:color w:val="000000"/>
          <w:sz w:val="32"/>
          <w:szCs w:val="32"/>
          <w:lang w:eastAsia="zh-CN"/>
        </w:rPr>
        <w:t>无</w:t>
      </w:r>
      <w:r>
        <w:rPr>
          <w:rFonts w:hint="eastAsia" w:ascii="仿宋_GB2312" w:hAnsi="仿宋_GB2312" w:eastAsia="仿宋_GB2312" w:cs="仿宋_GB2312"/>
          <w:b w:val="0"/>
          <w:bCs/>
          <w:color w:val="000000"/>
          <w:sz w:val="32"/>
          <w:szCs w:val="32"/>
        </w:rPr>
        <w:t>。</w:t>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2.公务用车购置及运行维护费支出</w:t>
      </w:r>
      <w:r>
        <w:rPr>
          <w:rFonts w:hint="eastAsia" w:ascii="仿宋_GB2312" w:hAnsi="仿宋_GB2312" w:eastAsia="仿宋_GB2312" w:cs="仿宋_GB2312"/>
          <w:b w:val="0"/>
          <w:bCs/>
          <w:color w:val="000000"/>
          <w:sz w:val="32"/>
          <w:szCs w:val="32"/>
          <w:lang w:val="en-US" w:eastAsia="zh-CN"/>
        </w:rPr>
        <w:t>10.16</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公务用车购置及运行维护费支出决算比2020年增加</w:t>
      </w:r>
      <w:r>
        <w:rPr>
          <w:rFonts w:hint="eastAsia" w:ascii="仿宋_GB2312" w:hAnsi="仿宋_GB2312" w:eastAsia="仿宋_GB2312" w:cs="仿宋_GB2312"/>
          <w:b w:val="0"/>
          <w:bCs/>
          <w:color w:val="000000"/>
          <w:sz w:val="32"/>
          <w:szCs w:val="32"/>
          <w:lang w:val="en-US" w:eastAsia="zh-CN"/>
        </w:rPr>
        <w:t>2.01</w:t>
      </w:r>
      <w:r>
        <w:rPr>
          <w:rFonts w:hint="eastAsia" w:ascii="仿宋_GB2312" w:hAnsi="仿宋_GB2312" w:eastAsia="仿宋_GB2312" w:cs="仿宋_GB2312"/>
          <w:b w:val="0"/>
          <w:bCs/>
          <w:color w:val="000000"/>
          <w:sz w:val="32"/>
          <w:szCs w:val="32"/>
        </w:rPr>
        <w:t>万元，增长</w:t>
      </w:r>
      <w:r>
        <w:rPr>
          <w:rFonts w:hint="eastAsia" w:ascii="仿宋_GB2312" w:hAnsi="仿宋_GB2312" w:eastAsia="仿宋_GB2312" w:cs="仿宋_GB2312"/>
          <w:b w:val="0"/>
          <w:bCs/>
          <w:color w:val="000000"/>
          <w:sz w:val="32"/>
          <w:szCs w:val="32"/>
          <w:lang w:val="en-US" w:eastAsia="zh-CN"/>
        </w:rPr>
        <w:t>19.8</w:t>
      </w:r>
      <w:r>
        <w:rPr>
          <w:rFonts w:hint="eastAsia" w:ascii="仿宋_GB2312" w:hAnsi="仿宋_GB2312" w:eastAsia="仿宋_GB2312" w:cs="仿宋_GB2312"/>
          <w:b w:val="0"/>
          <w:bCs/>
          <w:color w:val="000000"/>
          <w:sz w:val="32"/>
          <w:szCs w:val="32"/>
        </w:rPr>
        <w:t>%。主要原因是</w:t>
      </w:r>
      <w:r>
        <w:rPr>
          <w:rFonts w:hint="eastAsia" w:ascii="仿宋_GB2312" w:hAnsi="仿宋_GB2312" w:eastAsia="仿宋_GB2312" w:cs="仿宋_GB2312"/>
          <w:b w:val="0"/>
          <w:bCs/>
          <w:color w:val="000000"/>
          <w:sz w:val="32"/>
          <w:szCs w:val="32"/>
          <w:lang w:eastAsia="zh-CN"/>
        </w:rPr>
        <w:t>：到企业查看企业生产、安全、环保的次数较多</w:t>
      </w:r>
      <w:r>
        <w:rPr>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其中：公务用车购置支出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万元。全年按规定更新购置公务用车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辆，其中：轿车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万元，越野车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万元，载客汽车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万元。截至2021年12月底，单位共有公务用车</w:t>
      </w: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辆，其中：轿车</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辆、越野车</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辆、载客汽车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公务用车运行维护费支出</w:t>
      </w:r>
      <w:r>
        <w:rPr>
          <w:rFonts w:hint="eastAsia" w:ascii="仿宋_GB2312" w:hAnsi="仿宋_GB2312" w:eastAsia="仿宋_GB2312" w:cs="仿宋_GB2312"/>
          <w:b w:val="0"/>
          <w:bCs/>
          <w:color w:val="000000"/>
          <w:sz w:val="32"/>
          <w:szCs w:val="32"/>
          <w:lang w:val="en-US" w:eastAsia="zh-CN"/>
        </w:rPr>
        <w:t>10.16</w:t>
      </w:r>
      <w:r>
        <w:rPr>
          <w:rFonts w:hint="eastAsia" w:ascii="仿宋_GB2312" w:hAnsi="仿宋_GB2312" w:eastAsia="仿宋_GB2312" w:cs="仿宋_GB2312"/>
          <w:b w:val="0"/>
          <w:bCs/>
          <w:color w:val="000000"/>
          <w:sz w:val="32"/>
          <w:szCs w:val="32"/>
        </w:rPr>
        <w:t>万元</w:t>
      </w:r>
      <w:r>
        <w:rPr>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。主要用于公务用车燃料费、维修费、过路过桥费、保险费等支出。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公务接待费支出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公务接待费支出决算比2020年减少</w:t>
      </w:r>
      <w:r>
        <w:rPr>
          <w:rFonts w:hint="eastAsia" w:ascii="仿宋_GB2312" w:hAnsi="仿宋_GB2312" w:eastAsia="仿宋_GB2312" w:cs="仿宋_GB2312"/>
          <w:b w:val="0"/>
          <w:bCs/>
          <w:color w:val="000000"/>
          <w:sz w:val="32"/>
          <w:szCs w:val="32"/>
          <w:lang w:val="en-US" w:eastAsia="zh-CN"/>
        </w:rPr>
        <w:t>1.7</w:t>
      </w:r>
      <w:r>
        <w:rPr>
          <w:rFonts w:hint="eastAsia" w:ascii="仿宋_GB2312" w:hAnsi="仿宋_GB2312" w:eastAsia="仿宋_GB2312" w:cs="仿宋_GB2312"/>
          <w:b w:val="0"/>
          <w:bCs/>
          <w:color w:val="000000"/>
          <w:sz w:val="32"/>
          <w:szCs w:val="32"/>
        </w:rPr>
        <w:t>万元，下降</w:t>
      </w:r>
      <w:r>
        <w:rPr>
          <w:rFonts w:hint="eastAsia" w:ascii="仿宋_GB2312" w:hAnsi="仿宋_GB2312" w:eastAsia="仿宋_GB2312" w:cs="仿宋_GB2312"/>
          <w:b w:val="0"/>
          <w:bCs/>
          <w:color w:val="000000"/>
          <w:sz w:val="32"/>
          <w:szCs w:val="32"/>
          <w:lang w:val="en-US" w:eastAsia="zh-CN"/>
        </w:rPr>
        <w:t>86</w:t>
      </w:r>
      <w:r>
        <w:rPr>
          <w:rFonts w:hint="eastAsia" w:ascii="仿宋_GB2312" w:hAnsi="仿宋_GB2312" w:eastAsia="仿宋_GB2312" w:cs="仿宋_GB2312"/>
          <w:b w:val="0"/>
          <w:bCs/>
          <w:color w:val="000000"/>
          <w:sz w:val="32"/>
          <w:szCs w:val="32"/>
        </w:rPr>
        <w:t>*%。主要原因是</w:t>
      </w:r>
      <w:r>
        <w:rPr>
          <w:rFonts w:hint="eastAsia" w:ascii="仿宋_GB2312" w:hAnsi="仿宋_GB2312" w:eastAsia="仿宋_GB2312" w:cs="仿宋_GB2312"/>
          <w:b w:val="0"/>
          <w:bCs/>
          <w:color w:val="000000"/>
          <w:sz w:val="32"/>
          <w:szCs w:val="32"/>
          <w:lang w:eastAsia="zh-CN"/>
        </w:rPr>
        <w:t>厉行节约</w:t>
      </w:r>
      <w:r>
        <w:rPr>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其中：国内公务接待支出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万元，主要用于执行公务、开展业务活动开支的交通费、住宿费、用餐费等。国内公务接待</w:t>
      </w:r>
      <w:r>
        <w:rPr>
          <w:rFonts w:hint="eastAsia" w:ascii="仿宋_GB2312" w:hAnsi="仿宋_GB2312" w:eastAsia="仿宋_GB2312" w:cs="仿宋_GB2312"/>
          <w:b w:val="0"/>
          <w:bCs/>
          <w:color w:val="000000"/>
          <w:sz w:val="32"/>
          <w:szCs w:val="32"/>
          <w:lang w:val="en-US" w:eastAsia="zh-CN"/>
        </w:rPr>
        <w:t>10</w:t>
      </w:r>
      <w:r>
        <w:rPr>
          <w:rFonts w:hint="eastAsia" w:ascii="仿宋_GB2312" w:hAnsi="仿宋_GB2312" w:eastAsia="仿宋_GB2312" w:cs="仿宋_GB2312"/>
          <w:b w:val="0"/>
          <w:bCs/>
          <w:color w:val="000000"/>
          <w:sz w:val="32"/>
          <w:szCs w:val="32"/>
        </w:rPr>
        <w:t>批次，</w:t>
      </w:r>
      <w:r>
        <w:rPr>
          <w:rFonts w:hint="eastAsia" w:ascii="仿宋_GB2312" w:hAnsi="仿宋_GB2312" w:eastAsia="仿宋_GB2312" w:cs="仿宋_GB2312"/>
          <w:b w:val="0"/>
          <w:bCs/>
          <w:color w:val="000000"/>
          <w:sz w:val="32"/>
          <w:szCs w:val="32"/>
          <w:lang w:val="en-US" w:eastAsia="zh-CN"/>
        </w:rPr>
        <w:t>50</w:t>
      </w:r>
      <w:r>
        <w:rPr>
          <w:rFonts w:hint="eastAsia" w:ascii="仿宋_GB2312" w:hAnsi="仿宋_GB2312" w:eastAsia="仿宋_GB2312" w:cs="仿宋_GB2312"/>
          <w:b w:val="0"/>
          <w:bCs/>
          <w:color w:val="000000"/>
          <w:sz w:val="32"/>
          <w:szCs w:val="32"/>
        </w:rPr>
        <w:t>人次（不包括陪同人员），共计支出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万元，具体内容包括：</w:t>
      </w:r>
      <w:r>
        <w:rPr>
          <w:rFonts w:hint="eastAsia" w:ascii="仿宋_GB2312" w:hAnsi="仿宋_GB2312" w:eastAsia="仿宋_GB2312" w:cs="仿宋_GB2312"/>
          <w:b w:val="0"/>
          <w:bCs/>
          <w:color w:val="000000"/>
          <w:sz w:val="32"/>
          <w:szCs w:val="32"/>
          <w:lang w:eastAsia="zh-CN"/>
        </w:rPr>
        <w:t>招商引资和上级部门到我单位调研企业的生产，安全情况</w:t>
      </w:r>
      <w:r>
        <w:rPr>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hint="eastAsia" w:ascii="仿宋_GB2312" w:hAnsi="仿宋_GB2312" w:eastAsia="仿宋_GB2312" w:cs="仿宋_GB2312"/>
          <w:b w:val="0"/>
          <w:bCs/>
          <w:color w:val="000000"/>
          <w:sz w:val="32"/>
          <w:szCs w:val="32"/>
        </w:rPr>
        <w:t>外事接待支出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万元，外事接待</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批次，</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人，共计支出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p>
    <w:p>
      <w:pPr>
        <w:spacing w:line="600" w:lineRule="exact"/>
        <w:ind w:firstLine="640"/>
        <w:outlineLvl w:val="1"/>
        <w:rPr>
          <w:rStyle w:val="24"/>
          <w:rFonts w:hint="eastAsia" w:ascii="仿宋_GB2312" w:hAnsi="仿宋_GB2312" w:eastAsia="仿宋_GB2312" w:cs="仿宋_GB2312"/>
          <w:sz w:val="32"/>
          <w:szCs w:val="32"/>
        </w:rPr>
      </w:pPr>
      <w:bookmarkStart w:id="106" w:name="_Toc15396610"/>
      <w:bookmarkStart w:id="107" w:name="_Toc15377218"/>
      <w:bookmarkStart w:id="108" w:name="_Toc79163622"/>
      <w:bookmarkStart w:id="109" w:name="_Toc79163872"/>
      <w:bookmarkStart w:id="110" w:name="_Toc30559"/>
      <w:r>
        <w:rPr>
          <w:rFonts w:hint="eastAsia" w:ascii="仿宋_GB2312" w:hAnsi="仿宋_GB2312" w:eastAsia="仿宋_GB2312" w:cs="仿宋_GB2312"/>
          <w:b/>
          <w:bCs/>
          <w:color w:val="000000"/>
          <w:sz w:val="32"/>
          <w:szCs w:val="32"/>
        </w:rPr>
        <w:t>八、</w:t>
      </w:r>
      <w:r>
        <w:rPr>
          <w:rStyle w:val="24"/>
          <w:rFonts w:hint="eastAsia" w:ascii="仿宋_GB2312" w:hAnsi="仿宋_GB2312" w:eastAsia="仿宋_GB2312" w:cs="仿宋_GB2312"/>
          <w:b/>
          <w:bCs/>
          <w:sz w:val="32"/>
          <w:szCs w:val="32"/>
        </w:rPr>
        <w:t>政府性基金预算支出决算情况说明</w:t>
      </w:r>
      <w:bookmarkEnd w:id="106"/>
      <w:bookmarkEnd w:id="107"/>
      <w:bookmarkEnd w:id="108"/>
      <w:bookmarkEnd w:id="109"/>
      <w:bookmarkEnd w:id="110"/>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firstLine="642" w:firstLineChars="200"/>
        <w:textAlignment w:val="auto"/>
        <w:outlineLvl w:val="1"/>
        <w:rPr>
          <w:rStyle w:val="24"/>
          <w:rFonts w:hint="eastAsia" w:ascii="仿宋_GB2312" w:hAnsi="仿宋_GB2312" w:eastAsia="仿宋_GB2312" w:cs="仿宋_GB2312"/>
          <w:b/>
          <w:bCs w:val="0"/>
          <w:sz w:val="32"/>
          <w:szCs w:val="32"/>
        </w:rPr>
      </w:pPr>
      <w:bookmarkStart w:id="111" w:name="_Toc15377219"/>
      <w:bookmarkStart w:id="112" w:name="_Toc15396611"/>
      <w:bookmarkStart w:id="113" w:name="_Toc79163623"/>
      <w:bookmarkStart w:id="114" w:name="_Toc79163873"/>
      <w:bookmarkStart w:id="115" w:name="_Toc27892"/>
      <w:r>
        <w:rPr>
          <w:rStyle w:val="24"/>
          <w:rFonts w:hint="eastAsia" w:ascii="仿宋_GB2312" w:hAnsi="仿宋_GB2312" w:eastAsia="仿宋_GB2312" w:cs="仿宋_GB2312"/>
          <w:b/>
          <w:bCs w:val="0"/>
          <w:sz w:val="32"/>
          <w:szCs w:val="32"/>
        </w:rPr>
        <w:t>国有资本经营预算支出决算情况说明</w:t>
      </w:r>
      <w:bookmarkEnd w:id="111"/>
      <w:bookmarkEnd w:id="112"/>
      <w:bookmarkEnd w:id="113"/>
      <w:bookmarkEnd w:id="114"/>
      <w:bookmarkEnd w:id="115"/>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2" w:firstLineChars="200"/>
        <w:textAlignment w:val="auto"/>
        <w:outlineLvl w:val="1"/>
        <w:rPr>
          <w:rStyle w:val="24"/>
          <w:rFonts w:hint="eastAsia" w:ascii="仿宋_GB2312" w:hAnsi="仿宋_GB2312" w:eastAsia="仿宋_GB2312" w:cs="仿宋_GB2312"/>
          <w:b/>
          <w:bCs/>
          <w:sz w:val="32"/>
          <w:szCs w:val="32"/>
        </w:rPr>
      </w:pPr>
      <w:bookmarkStart w:id="116" w:name="_Toc15396612"/>
      <w:bookmarkStart w:id="117" w:name="_Toc15377221"/>
      <w:bookmarkStart w:id="118" w:name="_Toc79163624"/>
      <w:bookmarkStart w:id="119" w:name="_Toc79163874"/>
      <w:bookmarkStart w:id="120" w:name="_Toc18538"/>
      <w:r>
        <w:rPr>
          <w:rStyle w:val="24"/>
          <w:rFonts w:hint="eastAsia" w:ascii="仿宋_GB2312" w:hAnsi="仿宋_GB2312" w:eastAsia="仿宋_GB2312" w:cs="仿宋_GB2312"/>
          <w:b/>
          <w:bCs/>
          <w:sz w:val="32"/>
          <w:szCs w:val="32"/>
        </w:rPr>
        <w:t>其他重要事项的情况说明</w:t>
      </w:r>
      <w:bookmarkEnd w:id="116"/>
      <w:bookmarkEnd w:id="117"/>
      <w:bookmarkEnd w:id="118"/>
      <w:bookmarkEnd w:id="119"/>
      <w:bookmarkEnd w:id="120"/>
    </w:p>
    <w:p>
      <w:pPr>
        <w:pStyle w:val="2"/>
        <w:keepNext w:val="0"/>
        <w:keepLines w:val="0"/>
        <w:pageBreakBefore w:val="0"/>
        <w:widowControl w:val="0"/>
        <w:numPr>
          <w:ilvl w:val="0"/>
          <w:numId w:val="0"/>
        </w:numPr>
        <w:kinsoku/>
        <w:wordWrap/>
        <w:overflowPunct/>
        <w:topLinePunct w:val="0"/>
        <w:autoSpaceDE/>
        <w:autoSpaceDN/>
        <w:bidi w:val="0"/>
        <w:adjustRightInd/>
        <w:snapToGrid/>
        <w:ind w:left="640" w:leftChars="0" w:firstLine="640" w:firstLineChars="200"/>
        <w:textAlignment w:val="auto"/>
        <w:rPr>
          <w:rFonts w:hint="eastAsia" w:eastAsia="仿宋_GB2312"/>
          <w:sz w:val="32"/>
          <w:szCs w:val="32"/>
          <w:lang w:eastAsia="zh-CN"/>
        </w:rPr>
      </w:pPr>
      <w:r>
        <w:rPr>
          <w:rFonts w:hint="eastAsia"/>
          <w:sz w:val="32"/>
          <w:szCs w:val="32"/>
          <w:lang w:eastAsia="zh-CN"/>
        </w:rPr>
        <w:t>无。</w:t>
      </w:r>
    </w:p>
    <w:p>
      <w:pPr>
        <w:spacing w:line="600" w:lineRule="exact"/>
        <w:ind w:firstLine="642" w:firstLineChars="200"/>
        <w:outlineLvl w:val="2"/>
        <w:rPr>
          <w:rFonts w:hint="eastAsia" w:ascii="仿宋_GB2312" w:hAnsi="仿宋_GB2312" w:eastAsia="仿宋_GB2312" w:cs="仿宋_GB2312"/>
          <w:color w:val="000000"/>
          <w:sz w:val="32"/>
          <w:szCs w:val="32"/>
        </w:rPr>
      </w:pPr>
      <w:bookmarkStart w:id="121" w:name="_Toc15377222"/>
      <w:bookmarkStart w:id="122" w:name="_Toc79163625"/>
      <w:bookmarkStart w:id="123" w:name="_Toc79163875"/>
      <w:bookmarkStart w:id="124" w:name="_Toc1493"/>
      <w:r>
        <w:rPr>
          <w:rFonts w:hint="eastAsia" w:ascii="仿宋_GB2312" w:hAnsi="仿宋_GB2312" w:eastAsia="仿宋_GB2312" w:cs="仿宋_GB2312"/>
          <w:b/>
          <w:color w:val="000000"/>
          <w:sz w:val="32"/>
          <w:szCs w:val="32"/>
        </w:rPr>
        <w:t>（一）机关运行经费支出情况</w:t>
      </w:r>
      <w:bookmarkEnd w:id="121"/>
      <w:bookmarkEnd w:id="122"/>
      <w:bookmarkEnd w:id="123"/>
      <w:bookmarkEnd w:id="124"/>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9.77</w:t>
      </w:r>
      <w:r>
        <w:rPr>
          <w:rFonts w:hint="eastAsia" w:ascii="仿宋_GB2312" w:hAnsi="仿宋_GB2312" w:eastAsia="仿宋_GB2312" w:cs="仿宋_GB2312"/>
          <w:color w:val="000000"/>
          <w:sz w:val="32"/>
          <w:szCs w:val="32"/>
        </w:rPr>
        <w:t>万元，比2020年减少</w:t>
      </w:r>
      <w:r>
        <w:rPr>
          <w:rFonts w:hint="eastAsia" w:ascii="仿宋_GB2312" w:hAnsi="仿宋_GB2312" w:eastAsia="仿宋_GB2312" w:cs="仿宋_GB2312"/>
          <w:color w:val="000000"/>
          <w:sz w:val="32"/>
          <w:szCs w:val="32"/>
          <w:lang w:val="en-US" w:eastAsia="zh-CN"/>
        </w:rPr>
        <w:t>5.2</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53.22</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有人员变动。</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25" w:name="_Toc15377223"/>
      <w:bookmarkStart w:id="126" w:name="_Toc79163626"/>
      <w:bookmarkStart w:id="127" w:name="_Toc79163876"/>
      <w:bookmarkStart w:id="128" w:name="_Toc4316"/>
      <w:r>
        <w:rPr>
          <w:rFonts w:hint="eastAsia" w:ascii="仿宋_GB2312" w:hAnsi="仿宋_GB2312" w:eastAsia="仿宋_GB2312" w:cs="仿宋_GB2312"/>
          <w:b/>
          <w:color w:val="000000"/>
          <w:sz w:val="32"/>
          <w:szCs w:val="32"/>
        </w:rPr>
        <w:t>（二）政府采购支出情况</w:t>
      </w:r>
      <w:bookmarkEnd w:id="125"/>
      <w:bookmarkEnd w:id="126"/>
      <w:bookmarkEnd w:id="127"/>
      <w:bookmarkEnd w:id="128"/>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29" w:name="_Toc79163627"/>
      <w:bookmarkStart w:id="130" w:name="_Toc15377224"/>
      <w:bookmarkStart w:id="131" w:name="_Toc79163877"/>
      <w:bookmarkStart w:id="132" w:name="_Toc19932"/>
      <w:r>
        <w:rPr>
          <w:rFonts w:hint="eastAsia" w:ascii="仿宋_GB2312" w:hAnsi="仿宋_GB2312" w:eastAsia="仿宋_GB2312" w:cs="仿宋_GB2312"/>
          <w:b/>
          <w:color w:val="000000"/>
          <w:sz w:val="32"/>
          <w:szCs w:val="32"/>
        </w:rPr>
        <w:t>（三）国有资产占有使用情况</w:t>
      </w:r>
      <w:bookmarkEnd w:id="129"/>
      <w:bookmarkEnd w:id="130"/>
      <w:bookmarkEnd w:id="131"/>
      <w:bookmarkEnd w:id="132"/>
    </w:p>
    <w:p>
      <w:pPr>
        <w:autoSpaceDE w:val="0"/>
        <w:autoSpaceDN w:val="0"/>
        <w:adjustRightInd w:val="0"/>
        <w:spacing w:line="600"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截至2021年12月31日，</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单价50万元以上通用设备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台（套），单价100万元以上专用设备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33" w:name="_Toc79163628"/>
      <w:bookmarkStart w:id="134" w:name="_Toc17617"/>
      <w:bookmarkStart w:id="135" w:name="_Toc79163878"/>
      <w:r>
        <w:rPr>
          <w:rFonts w:hint="eastAsia" w:ascii="仿宋_GB2312" w:hAnsi="仿宋_GB2312" w:eastAsia="仿宋_GB2312" w:cs="仿宋_GB2312"/>
          <w:b/>
          <w:color w:val="000000"/>
          <w:sz w:val="32"/>
          <w:szCs w:val="32"/>
        </w:rPr>
        <w:t>（四）预算绩效管理情况。</w:t>
      </w:r>
      <w:bookmarkEnd w:id="133"/>
      <w:bookmarkEnd w:id="134"/>
      <w:bookmarkEnd w:id="135"/>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本部门按要求对202</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年部门整体支出开展绩效自评，从评价情况来看,20</w:t>
      </w:r>
      <w:r>
        <w:rPr>
          <w:rFonts w:hint="eastAsia" w:ascii="仿宋_GB2312" w:hAnsi="仿宋_GB2312" w:eastAsia="仿宋_GB2312" w:cs="仿宋_GB2312"/>
          <w:b w:val="0"/>
          <w:bCs/>
          <w:sz w:val="32"/>
          <w:szCs w:val="32"/>
          <w:lang w:val="en-US" w:eastAsia="zh-CN"/>
        </w:rPr>
        <w:t>21</w:t>
      </w:r>
      <w:r>
        <w:rPr>
          <w:rFonts w:hint="eastAsia" w:ascii="仿宋_GB2312" w:hAnsi="仿宋_GB2312" w:eastAsia="仿宋_GB2312" w:cs="仿宋_GB2312"/>
          <w:b w:val="0"/>
          <w:bCs/>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2" w:firstLineChars="200"/>
        <w:rPr>
          <w:rFonts w:hint="eastAsia" w:ascii="楷体_GB2312" w:eastAsia="楷体_GB2312" w:cs="楷体_GB2312"/>
          <w:b/>
          <w:bCs/>
          <w:sz w:val="32"/>
          <w:szCs w:val="32"/>
          <w:lang w:eastAsia="zh-CN"/>
        </w:rPr>
      </w:pPr>
      <w:r>
        <w:rPr>
          <w:rFonts w:ascii="楷体_GB2312" w:eastAsia="楷体_GB2312" w:cs="楷体_GB2312"/>
          <w:b/>
          <w:bCs/>
          <w:sz w:val="32"/>
          <w:szCs w:val="32"/>
        </w:rPr>
        <w:t>1.</w:t>
      </w:r>
      <w:r>
        <w:rPr>
          <w:rFonts w:hint="eastAsia" w:ascii="楷体_GB2312" w:eastAsia="楷体_GB2312" w:cs="楷体_GB2312"/>
          <w:b/>
          <w:bCs/>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ascii="仿宋_GB2312" w:eastAsia="仿宋_GB2312" w:cs="仿宋_GB2312"/>
          <w:sz w:val="32"/>
          <w:szCs w:val="32"/>
        </w:rPr>
        <w:t xml:space="preserve"> </w:t>
      </w:r>
      <w:r>
        <w:rPr>
          <w:rFonts w:hint="eastAsia" w:ascii="仿宋_GB2312" w:hAnsi="仿宋_GB2312" w:eastAsia="仿宋_GB2312" w:cs="仿宋_GB2312"/>
          <w:sz w:val="32"/>
          <w:szCs w:val="32"/>
        </w:rPr>
        <w:t xml:space="preserve"> 本部门在2021年度部门决算中反映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茂县生态农业综合（扶贫）开发产业园区-全自动水果分拣包装线和气调库（一期项目）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2021年革命老区电力提升改造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、“2021年工业发展应急资金”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2021年贴息贷款补助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、“2021年第三批疫情防控临时电价补助”</w:t>
      </w:r>
      <w:r>
        <w:rPr>
          <w:rFonts w:hint="eastAsia" w:ascii="仿宋_GB2312" w:hAnsi="仿宋_GB2312" w:eastAsia="仿宋_GB2312" w:cs="仿宋_GB2312"/>
          <w:sz w:val="32"/>
          <w:szCs w:val="32"/>
        </w:rPr>
        <w:t>等5个项目绩效目标实际完成情况等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pStyle w:val="7"/>
        <w:numPr>
          <w:ilvl w:val="0"/>
          <w:numId w:val="0"/>
        </w:numPr>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rPr>
        <w:t>（1）茂县生态农业综合（扶贫）开发产业园区-全自动水果分拣包装线和气调库（一期项目）项目绩效目标完成情况综述。项目全年预算数</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rPr>
        <w:t>通过项目实施，保障了我县特色水果有更好的销路，支持我县的特色水果有更好的平台，促进特色水果的销售，提升了我县对全自动水果分拣包装线和气调库进行改造升级，使全县果农的到更好的经济收入</w:t>
      </w:r>
      <w:r>
        <w:rPr>
          <w:rFonts w:hint="eastAsia" w:ascii="仿宋_GB2312" w:hAnsi="仿宋_GB2312" w:eastAsia="仿宋_GB2312" w:cs="仿宋_GB2312"/>
          <w:b w:val="0"/>
          <w:bCs/>
          <w:sz w:val="32"/>
          <w:szCs w:val="32"/>
          <w:lang w:eastAsia="zh-CN"/>
        </w:rPr>
        <w:t>，加强宣传。</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hAnsi="仿宋_GB2312" w:eastAsia="仿宋_GB2312" w:cs="仿宋_GB2312"/>
          <w:sz w:val="32"/>
          <w:szCs w:val="32"/>
          <w:lang w:val="en-US" w:eastAsia="zh-CN"/>
        </w:rPr>
        <w:t>2021年革命老区电力提升改造</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16.9</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16.9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sz w:val="32"/>
          <w:szCs w:val="32"/>
        </w:rPr>
        <w:t>保障</w:t>
      </w:r>
      <w:r>
        <w:rPr>
          <w:rFonts w:hint="eastAsia" w:ascii="仿宋_GB2312" w:hAnsi="仿宋_GB2312" w:eastAsia="仿宋_GB2312" w:cs="仿宋_GB2312"/>
          <w:color w:val="000000"/>
          <w:sz w:val="32"/>
          <w:szCs w:val="32"/>
          <w:lang w:val="en-US" w:eastAsia="zh-CN"/>
        </w:rPr>
        <w:t>完成了我县7个乡镇</w:t>
      </w:r>
      <w:r>
        <w:rPr>
          <w:rFonts w:hint="eastAsia" w:ascii="仿宋_GB2312" w:hAnsi="仿宋_GB2312" w:eastAsia="仿宋_GB2312" w:cs="仿宋_GB2312"/>
          <w:color w:val="000000"/>
          <w:sz w:val="32"/>
          <w:szCs w:val="32"/>
          <w:lang w:eastAsia="zh-CN"/>
        </w:rPr>
        <w:t>更换变压器、低压线路改造、安全用电保障，提升了</w:t>
      </w:r>
      <w:r>
        <w:rPr>
          <w:rFonts w:hint="eastAsia" w:ascii="仿宋_GB2312" w:hAnsi="仿宋_GB2312" w:eastAsia="仿宋_GB2312" w:cs="仿宋_GB2312"/>
          <w:color w:val="000000"/>
          <w:sz w:val="32"/>
          <w:szCs w:val="32"/>
          <w:lang w:val="en-US" w:eastAsia="zh-CN"/>
        </w:rPr>
        <w:t>我县7个乡镇老百姓更好的用电，使他们的生活水平有所提高，从而使老百姓的经济收入有所增加</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乡镇上部分村民用电安全意识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加强用电安全知识的宣传。</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2020年贷款贴息补助</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80.9</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80.9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eastAsia="仿宋_GB2312" w:cs="仿宋_GB2312"/>
          <w:sz w:val="32"/>
          <w:szCs w:val="32"/>
          <w:lang w:eastAsia="zh-CN"/>
        </w:rPr>
        <w:t>了我县企业的到政策扶持，</w:t>
      </w:r>
      <w:r>
        <w:rPr>
          <w:rFonts w:hint="eastAsia" w:ascii="仿宋_GB2312" w:eastAsia="仿宋_GB2312" w:cs="仿宋_GB2312"/>
          <w:sz w:val="32"/>
          <w:szCs w:val="32"/>
        </w:rPr>
        <w:t>发现的主要问题：</w:t>
      </w:r>
      <w:r>
        <w:rPr>
          <w:rFonts w:hint="eastAsia" w:ascii="仿宋_GB2312" w:eastAsia="仿宋_GB2312" w:cs="仿宋_GB2312"/>
          <w:sz w:val="32"/>
          <w:szCs w:val="32"/>
          <w:lang w:eastAsia="zh-CN"/>
        </w:rPr>
        <w:t>扶持资金太少，得到扶持的企业相应较少</w:t>
      </w:r>
      <w:r>
        <w:rPr>
          <w:rFonts w:hint="eastAsia" w:ascii="仿宋_GB2312" w:eastAsia="仿宋_GB2312" w:cs="仿宋_GB2312"/>
          <w:sz w:val="32"/>
          <w:szCs w:val="32"/>
        </w:rPr>
        <w:t>。下一步改进措施：</w:t>
      </w:r>
      <w:r>
        <w:rPr>
          <w:rFonts w:hint="eastAsia" w:ascii="仿宋_GB2312" w:eastAsia="仿宋_GB2312" w:cs="仿宋_GB2312"/>
          <w:sz w:val="32"/>
          <w:szCs w:val="32"/>
          <w:lang w:eastAsia="zh-CN"/>
        </w:rPr>
        <w:t>加强资金扶持。</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（4）2021年工业发展应急资金补助</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400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400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eastAsia="仿宋_GB2312" w:cs="仿宋_GB2312"/>
          <w:sz w:val="32"/>
          <w:szCs w:val="32"/>
          <w:lang w:eastAsia="zh-CN"/>
        </w:rPr>
        <w:t>了我县企业得到政策扶持，</w:t>
      </w:r>
      <w:r>
        <w:rPr>
          <w:rFonts w:hint="eastAsia" w:ascii="仿宋_GB2312" w:eastAsia="仿宋_GB2312" w:cs="仿宋_GB2312"/>
          <w:sz w:val="32"/>
          <w:szCs w:val="32"/>
        </w:rPr>
        <w:t>发现的主要问题：</w:t>
      </w:r>
      <w:r>
        <w:rPr>
          <w:rFonts w:hint="eastAsia" w:ascii="仿宋_GB2312" w:eastAsia="仿宋_GB2312" w:cs="仿宋_GB2312"/>
          <w:sz w:val="32"/>
          <w:szCs w:val="32"/>
          <w:lang w:eastAsia="zh-CN"/>
        </w:rPr>
        <w:t>扶持资金太少，得到扶持的企业相应较少</w:t>
      </w:r>
      <w:r>
        <w:rPr>
          <w:rFonts w:hint="eastAsia" w:ascii="仿宋_GB2312" w:eastAsia="仿宋_GB2312" w:cs="仿宋_GB2312"/>
          <w:sz w:val="32"/>
          <w:szCs w:val="32"/>
        </w:rPr>
        <w:t>。下一步改进措施：</w:t>
      </w:r>
      <w:r>
        <w:rPr>
          <w:rFonts w:hint="eastAsia" w:ascii="仿宋_GB2312" w:eastAsia="仿宋_GB2312" w:cs="仿宋_GB2312"/>
          <w:sz w:val="32"/>
          <w:szCs w:val="32"/>
          <w:lang w:eastAsia="zh-CN"/>
        </w:rPr>
        <w:t>加强资金扶持。</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2020年第三批防疫生产企业临时电费补贴</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750.19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750.19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了我县企业得到政策扶持，</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扶持资金太少，得到扶持的企业相应较少</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加强资金扶持</w:t>
      </w:r>
      <w:r>
        <w:rPr>
          <w:rFonts w:hint="eastAsia" w:ascii="仿宋_GB2312" w:eastAsia="仿宋_GB2312" w:cs="仿宋_GB2312"/>
          <w:sz w:val="32"/>
          <w:szCs w:val="32"/>
          <w:lang w:eastAsia="zh-CN"/>
        </w:rPr>
        <w:t>。</w:t>
      </w: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3"/>
        <w:gridCol w:w="9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24"/>
                <w:szCs w:val="24"/>
              </w:rPr>
              <w:t>(2021年度</w:t>
            </w:r>
            <w:r>
              <w:rPr>
                <w:rFonts w:hint="eastAsia" w:ascii="宋体" w:hAnsi="宋体" w:eastAsia="宋体" w:cs="宋体"/>
                <w:sz w:val="24"/>
                <w:szCs w:val="24"/>
              </w:rPr>
              <w:t>茂县生态农业综合（扶贫）开发产业园区-全自动水果分拣包装线和气调库（一期项目）</w:t>
            </w:r>
            <w:r>
              <w:rPr>
                <w:rFonts w:hint="eastAsia" w:ascii="宋体" w:hAnsi="宋体" w:eastAsia="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rPr>
              <w:t>茂县生态农业综合（扶贫）开发产业园区-全自动水果分拣包装线和气调库（一期项目）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预算执行情况(万元)</w:t>
            </w: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年度目标完成情况</w:t>
            </w: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0"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auto"/>
                <w:sz w:val="24"/>
                <w:szCs w:val="24"/>
              </w:rPr>
              <w:t>全自动水果分拣包装线和气调库</w:t>
            </w:r>
            <w:r>
              <w:rPr>
                <w:rFonts w:hint="eastAsia" w:asciiTheme="minorEastAsia" w:hAnsiTheme="minorEastAsia" w:eastAsiaTheme="minorEastAsia" w:cstheme="minorEastAsia"/>
                <w:color w:val="auto"/>
                <w:sz w:val="24"/>
                <w:szCs w:val="24"/>
                <w:lang w:eastAsia="zh-CN"/>
              </w:rPr>
              <w:t>改造</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eastAsia="zh-CN"/>
              </w:rPr>
              <w:t>共约</w:t>
            </w:r>
            <w:r>
              <w:rPr>
                <w:rFonts w:hint="eastAsia" w:asciiTheme="minorEastAsia" w:hAnsiTheme="minorEastAsia" w:eastAsiaTheme="minorEastAsia" w:cstheme="minorEastAsia"/>
                <w:color w:val="auto"/>
                <w:sz w:val="24"/>
                <w:szCs w:val="24"/>
                <w:lang w:val="en-US" w:eastAsia="zh-CN"/>
              </w:rPr>
              <w:t>1800</w:t>
            </w:r>
            <w:r>
              <w:rPr>
                <w:rFonts w:hint="eastAsia" w:asciiTheme="minorEastAsia" w:hAnsiTheme="minorEastAsia" w:eastAsiaTheme="minorEastAsia" w:cstheme="minorEastAsia"/>
                <w:color w:val="auto"/>
                <w:sz w:val="24"/>
                <w:szCs w:val="24"/>
                <w:lang w:eastAsia="zh-CN"/>
              </w:rPr>
              <w:t>㎡（其中原有库体改造7</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eastAsia="zh-CN"/>
              </w:rPr>
              <w:t>㎡，新增采光屋顶</w:t>
            </w:r>
            <w:r>
              <w:rPr>
                <w:rFonts w:hint="eastAsia" w:asciiTheme="minorEastAsia" w:hAnsiTheme="minorEastAsia" w:eastAsiaTheme="minorEastAsia" w:cstheme="minorEastAsia"/>
                <w:color w:val="auto"/>
                <w:sz w:val="24"/>
                <w:szCs w:val="24"/>
                <w:lang w:val="en-US" w:eastAsia="zh-CN"/>
              </w:rPr>
              <w:t>136</w:t>
            </w:r>
            <w:r>
              <w:rPr>
                <w:rFonts w:hint="eastAsia" w:asciiTheme="minorEastAsia" w:hAnsiTheme="minorEastAsia" w:eastAsiaTheme="minorEastAsia" w:cstheme="minorEastAsia"/>
                <w:color w:val="auto"/>
                <w:sz w:val="24"/>
                <w:szCs w:val="24"/>
                <w:lang w:eastAsia="zh-CN"/>
              </w:rPr>
              <w:t>㎡，新增外围钢架结构用房共9</w:t>
            </w:r>
            <w:r>
              <w:rPr>
                <w:rFonts w:hint="eastAsia" w:asciiTheme="minorEastAsia" w:hAnsiTheme="minorEastAsia" w:eastAsiaTheme="minorEastAsia" w:cstheme="minorEastAsia"/>
                <w:color w:val="auto"/>
                <w:sz w:val="24"/>
                <w:szCs w:val="24"/>
                <w:lang w:val="en-US" w:eastAsia="zh-CN"/>
              </w:rPr>
              <w:t>50</w:t>
            </w:r>
            <w:r>
              <w:rPr>
                <w:rFonts w:hint="eastAsia" w:asciiTheme="minorEastAsia" w:hAnsiTheme="minorEastAsia" w:eastAsiaTheme="minorEastAsia" w:cstheme="minorEastAsia"/>
                <w:color w:val="auto"/>
                <w:sz w:val="24"/>
                <w:szCs w:val="24"/>
                <w:lang w:eastAsia="zh-CN"/>
              </w:rPr>
              <w:t>㎡），建设全自动水果分拣包装线</w:t>
            </w:r>
            <w:r>
              <w:rPr>
                <w:rFonts w:hint="eastAsia" w:asciiTheme="minorEastAsia" w:hAnsiTheme="minorEastAsia" w:eastAsiaTheme="minorEastAsia" w:cstheme="minorEastAsia"/>
                <w:color w:val="auto"/>
                <w:sz w:val="24"/>
                <w:szCs w:val="24"/>
                <w:lang w:val="en-US" w:eastAsia="zh-CN"/>
              </w:rPr>
              <w:t>2条</w:t>
            </w:r>
            <w:r>
              <w:rPr>
                <w:rFonts w:hint="eastAsia" w:asciiTheme="minorEastAsia" w:hAnsiTheme="minorEastAsia" w:eastAsiaTheme="minorEastAsia" w:cstheme="minorEastAsia"/>
                <w:color w:val="auto"/>
                <w:sz w:val="24"/>
                <w:szCs w:val="24"/>
                <w:lang w:eastAsia="zh-CN"/>
              </w:rPr>
              <w:t>，建设气调贮藏库</w:t>
            </w:r>
            <w:r>
              <w:rPr>
                <w:rFonts w:hint="eastAsia" w:asciiTheme="minorEastAsia" w:hAnsiTheme="minorEastAsia" w:eastAsiaTheme="minorEastAsia" w:cstheme="minorEastAsia"/>
                <w:color w:val="auto"/>
                <w:sz w:val="24"/>
                <w:szCs w:val="24"/>
                <w:lang w:val="en-US" w:eastAsia="zh-CN"/>
              </w:rPr>
              <w:t>1座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auto"/>
                <w:sz w:val="24"/>
                <w:szCs w:val="24"/>
              </w:rPr>
              <w:t>全自动水果分拣包装线和气调库</w:t>
            </w:r>
            <w:r>
              <w:rPr>
                <w:rFonts w:hint="eastAsia" w:asciiTheme="minorEastAsia" w:hAnsiTheme="minorEastAsia" w:eastAsiaTheme="minorEastAsia" w:cstheme="minorEastAsia"/>
                <w:color w:val="auto"/>
                <w:sz w:val="24"/>
                <w:szCs w:val="24"/>
                <w:lang w:eastAsia="zh-CN"/>
              </w:rPr>
              <w:t>改造</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eastAsia="zh-CN"/>
              </w:rPr>
              <w:t>共约</w:t>
            </w:r>
            <w:r>
              <w:rPr>
                <w:rFonts w:hint="eastAsia" w:asciiTheme="minorEastAsia" w:hAnsiTheme="minorEastAsia" w:eastAsiaTheme="minorEastAsia" w:cstheme="minorEastAsia"/>
                <w:color w:val="auto"/>
                <w:sz w:val="24"/>
                <w:szCs w:val="24"/>
                <w:lang w:val="en-US" w:eastAsia="zh-CN"/>
              </w:rPr>
              <w:t>1800</w:t>
            </w:r>
            <w:r>
              <w:rPr>
                <w:rFonts w:hint="eastAsia" w:asciiTheme="minorEastAsia" w:hAnsiTheme="minorEastAsia" w:eastAsiaTheme="minorEastAsia" w:cstheme="minorEastAsia"/>
                <w:color w:val="auto"/>
                <w:sz w:val="24"/>
                <w:szCs w:val="24"/>
                <w:lang w:eastAsia="zh-CN"/>
              </w:rPr>
              <w:t>㎡（其中原有库体改造7</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eastAsia="zh-CN"/>
              </w:rPr>
              <w:t>㎡，新增采光屋顶</w:t>
            </w:r>
            <w:r>
              <w:rPr>
                <w:rFonts w:hint="eastAsia" w:asciiTheme="minorEastAsia" w:hAnsiTheme="minorEastAsia" w:eastAsiaTheme="minorEastAsia" w:cstheme="minorEastAsia"/>
                <w:color w:val="auto"/>
                <w:sz w:val="24"/>
                <w:szCs w:val="24"/>
                <w:lang w:val="en-US" w:eastAsia="zh-CN"/>
              </w:rPr>
              <w:t>136</w:t>
            </w:r>
            <w:r>
              <w:rPr>
                <w:rFonts w:hint="eastAsia" w:asciiTheme="minorEastAsia" w:hAnsiTheme="minorEastAsia" w:eastAsiaTheme="minorEastAsia" w:cstheme="minorEastAsia"/>
                <w:color w:val="auto"/>
                <w:sz w:val="24"/>
                <w:szCs w:val="24"/>
                <w:lang w:eastAsia="zh-CN"/>
              </w:rPr>
              <w:t>㎡，新增外围钢架结构用房共9</w:t>
            </w:r>
            <w:r>
              <w:rPr>
                <w:rFonts w:hint="eastAsia" w:asciiTheme="minorEastAsia" w:hAnsiTheme="minorEastAsia" w:eastAsiaTheme="minorEastAsia" w:cstheme="minorEastAsia"/>
                <w:color w:val="auto"/>
                <w:sz w:val="24"/>
                <w:szCs w:val="24"/>
                <w:lang w:val="en-US" w:eastAsia="zh-CN"/>
              </w:rPr>
              <w:t>50</w:t>
            </w:r>
            <w:r>
              <w:rPr>
                <w:rFonts w:hint="eastAsia" w:asciiTheme="minorEastAsia" w:hAnsiTheme="minorEastAsia" w:eastAsiaTheme="minorEastAsia" w:cstheme="minorEastAsia"/>
                <w:color w:val="auto"/>
                <w:sz w:val="24"/>
                <w:szCs w:val="24"/>
                <w:lang w:eastAsia="zh-CN"/>
              </w:rPr>
              <w:t>㎡），建设全自动水果分拣包装线</w:t>
            </w:r>
            <w:r>
              <w:rPr>
                <w:rFonts w:hint="eastAsia" w:asciiTheme="minorEastAsia" w:hAnsiTheme="minorEastAsia" w:eastAsiaTheme="minorEastAsia" w:cstheme="minorEastAsia"/>
                <w:color w:val="auto"/>
                <w:sz w:val="24"/>
                <w:szCs w:val="24"/>
                <w:lang w:val="en-US" w:eastAsia="zh-CN"/>
              </w:rPr>
              <w:t>2条</w:t>
            </w:r>
            <w:r>
              <w:rPr>
                <w:rFonts w:hint="eastAsia" w:asciiTheme="minorEastAsia" w:hAnsiTheme="minorEastAsia" w:eastAsiaTheme="minorEastAsia" w:cstheme="minorEastAsia"/>
                <w:color w:val="auto"/>
                <w:sz w:val="24"/>
                <w:szCs w:val="24"/>
                <w:lang w:eastAsia="zh-CN"/>
              </w:rPr>
              <w:t>，建设气调贮藏库</w:t>
            </w:r>
            <w:r>
              <w:rPr>
                <w:rFonts w:hint="eastAsia" w:asciiTheme="minorEastAsia" w:hAnsiTheme="minorEastAsia" w:eastAsiaTheme="minorEastAsia" w:cstheme="minorEastAsia"/>
                <w:color w:val="auto"/>
                <w:sz w:val="24"/>
                <w:szCs w:val="24"/>
                <w:lang w:val="en-US" w:eastAsia="zh-CN"/>
              </w:rPr>
              <w:t>1座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绩效指标完成情况</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完成水果分拣线和气调库改造工程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完成水果分拣线和气调库改造工程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 xml:space="preserve"> 使全县人民享受水果分拣线和气调库带来极大的便利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lang w:eastAsia="zh-CN"/>
              </w:rPr>
              <w:t>使全县人民、特别果农带来更大的经济效益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使全县人民享受气调库带来极大的便利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使全县的经济指标有所提高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500万以上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0" w:hRule="atLeast"/>
        </w:trPr>
        <w:tc>
          <w:tcPr>
            <w:tcW w:w="8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满意度</w:t>
            </w:r>
          </w:p>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eastAsia="zh-CN"/>
              </w:rPr>
              <w:t>得到全县人民的一直好评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eastAsia="zh-CN"/>
              </w:rPr>
              <w:t>得到全县人民的一直好评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val="en-US" w:eastAsia="zh-CN"/>
              </w:rPr>
              <w:t>95%</w:t>
            </w:r>
          </w:p>
        </w:tc>
      </w:tr>
    </w:tbl>
    <w:p>
      <w:pPr>
        <w:spacing w:line="580" w:lineRule="exact"/>
        <w:ind w:left="630"/>
        <w:rPr>
          <w:rFonts w:ascii="仿宋_GB2312" w:eastAsia="仿宋_GB2312" w:cs="仿宋_GB2312"/>
          <w:sz w:val="32"/>
          <w:szCs w:val="32"/>
        </w:rPr>
      </w:pP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8"/>
        <w:gridCol w:w="849"/>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sz w:val="36"/>
                <w:szCs w:val="36"/>
                <w:lang w:val="en-US" w:eastAsia="zh-CN"/>
              </w:rPr>
              <w:t>革命老区电力提升改造</w:t>
            </w:r>
            <w:r>
              <w:rPr>
                <w:rFonts w:hint="eastAsia" w:ascii="宋体" w:hAnsi="宋体" w:eastAsia="宋体" w:cs="宋体"/>
                <w:sz w:val="36"/>
                <w:szCs w:val="36"/>
              </w:rPr>
              <w:t>项目</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28"/>
                <w:szCs w:val="28"/>
                <w:lang w:val="en-US" w:eastAsia="zh-CN"/>
              </w:rPr>
              <w:t>2021年革命老区电力提升改造</w:t>
            </w:r>
            <w:r>
              <w:rPr>
                <w:rFonts w:hint="eastAsia" w:ascii="宋体" w:hAnsi="宋体" w:eastAsia="宋体" w:cs="宋体"/>
                <w:sz w:val="28"/>
                <w:szCs w:val="28"/>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16.9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2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9"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2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80" w:firstLineChars="200"/>
              <w:jc w:val="left"/>
              <w:textAlignment w:val="top"/>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完成7个乡镇</w:t>
            </w:r>
            <w:r>
              <w:rPr>
                <w:rFonts w:hint="eastAsia" w:ascii="宋体" w:hAnsi="宋体" w:eastAsia="宋体" w:cs="宋体"/>
                <w:color w:val="000000"/>
                <w:sz w:val="24"/>
                <w:lang w:eastAsia="zh-CN"/>
              </w:rPr>
              <w:t>更换变压器、低压线路改造、安全用电保障等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完成7个乡镇</w:t>
            </w:r>
            <w:r>
              <w:rPr>
                <w:rFonts w:hint="eastAsia" w:ascii="宋体" w:hAnsi="宋体" w:eastAsia="宋体" w:cs="宋体"/>
                <w:color w:val="000000"/>
                <w:sz w:val="24"/>
                <w:lang w:eastAsia="zh-CN"/>
              </w:rPr>
              <w:t>更换变压器、低压线路改造、安全用电保障等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2" w:hRule="atLeast"/>
        </w:trPr>
        <w:tc>
          <w:tcPr>
            <w:tcW w:w="90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3"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完成</w:t>
            </w:r>
            <w:r>
              <w:rPr>
                <w:rFonts w:hint="eastAsia" w:ascii="仿宋_GB2312" w:hAnsi="仿宋_GB2312" w:cs="仿宋_GB2312"/>
                <w:color w:val="000000"/>
                <w:sz w:val="21"/>
                <w:szCs w:val="21"/>
                <w:lang w:val="en-US" w:eastAsia="zh-CN"/>
              </w:rPr>
              <w:t>7个乡镇的电力提升改造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完成</w:t>
            </w:r>
            <w:r>
              <w:rPr>
                <w:rFonts w:hint="eastAsia" w:ascii="仿宋_GB2312" w:hAnsi="仿宋_GB2312" w:cs="仿宋_GB2312"/>
                <w:color w:val="000000"/>
                <w:sz w:val="21"/>
                <w:szCs w:val="21"/>
                <w:lang w:val="en-US" w:eastAsia="zh-CN"/>
              </w:rPr>
              <w:t>7个乡镇的电力提升改造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保质保量完成低压线路的改造工作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保质保量完成低压线路的改造工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7"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预计在2022年全部完成所有工程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预计在2022年全部完成所有工程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2"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使全县老百姓的生活环境更好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使全县老百姓的生活环境更好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2"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使全县老百姓的生活水平有所提高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eastAsia="zh-CN"/>
              </w:rPr>
              <w:t>使全县老百姓的生活水平有所提高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90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满意度</w:t>
            </w:r>
          </w:p>
          <w:p>
            <w:pPr>
              <w:widowControl/>
              <w:spacing w:line="320" w:lineRule="exact"/>
              <w:jc w:val="center"/>
              <w:textAlignment w:val="bottom"/>
              <w:rPr>
                <w:rFonts w:ascii="宋体" w:cs="宋体"/>
                <w:color w:val="000000"/>
                <w:sz w:val="24"/>
              </w:rPr>
            </w:pPr>
            <w:r>
              <w:rPr>
                <w:rFonts w:hint="eastAsia" w:ascii="仿宋_GB2312" w:hAnsi="仿宋_GB2312" w:cs="仿宋_GB2312"/>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使全县老百姓的生活更好、得到一直好评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使全县老百姓的生活更好、得到一直好评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95%</w:t>
            </w:r>
          </w:p>
        </w:tc>
      </w:tr>
    </w:tbl>
    <w:p>
      <w:pPr>
        <w:spacing w:line="580" w:lineRule="exact"/>
        <w:ind w:left="630"/>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93"/>
        <w:gridCol w:w="86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b/>
                <w:bCs/>
                <w:color w:val="000000"/>
                <w:kern w:val="0"/>
                <w:sz w:val="36"/>
                <w:szCs w:val="36"/>
                <w:lang w:eastAsia="zh-CN"/>
              </w:rPr>
            </w:pPr>
            <w:r>
              <w:rPr>
                <w:rFonts w:hint="eastAsia" w:asciiTheme="minorEastAsia" w:hAnsiTheme="minorEastAsia" w:eastAsiaTheme="minorEastAsia" w:cstheme="minor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Theme="minorEastAsia" w:hAnsiTheme="minorEastAsia" w:eastAsiaTheme="minorEastAsia" w:cstheme="minorEastAsia"/>
                <w:color w:val="000000"/>
                <w:kern w:val="0"/>
                <w:sz w:val="36"/>
                <w:szCs w:val="36"/>
              </w:rPr>
              <w:t>(2021年度</w:t>
            </w:r>
            <w:r>
              <w:rPr>
                <w:rFonts w:hint="eastAsia" w:asciiTheme="minorEastAsia" w:hAnsiTheme="minorEastAsia" w:eastAsiaTheme="minorEastAsia" w:cstheme="minorEastAsia"/>
                <w:color w:val="000000"/>
                <w:sz w:val="36"/>
                <w:szCs w:val="36"/>
                <w:lang w:val="en-US" w:eastAsia="zh-CN"/>
              </w:rPr>
              <w:t>贷款贴息补助</w:t>
            </w:r>
            <w:r>
              <w:rPr>
                <w:rFonts w:hint="eastAsia" w:asciiTheme="minorEastAsia" w:hAnsiTheme="minorEastAsia" w:eastAsiaTheme="minorEastAsia" w:cstheme="minorEastAsia"/>
                <w:sz w:val="36"/>
                <w:szCs w:val="36"/>
              </w:rPr>
              <w:t>项目</w:t>
            </w:r>
            <w:r>
              <w:rPr>
                <w:rFonts w:hint="eastAsia" w:asciiTheme="minorEastAsia" w:hAnsiTheme="minorEastAsia" w:eastAsiaTheme="minorEastAsia" w:cstheme="minorEastAsia"/>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2020年贷款贴息补助</w:t>
            </w:r>
            <w:r>
              <w:rPr>
                <w:rFonts w:hint="eastAsia" w:ascii="宋体" w:hAnsi="宋体" w:eastAsia="宋体" w:cs="宋体"/>
                <w:sz w:val="21"/>
                <w:szCs w:val="21"/>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80.9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2"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2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2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630" w:firstLineChars="3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对企业2020年期间发生的贴息贷款补助。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完成对企业2020年期间发生的贴息贷款补助。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sz w:val="21"/>
                <w:szCs w:val="21"/>
                <w:lang w:val="en-US" w:eastAsia="zh-CN"/>
              </w:rPr>
              <w:t>2家企业的贷款贴息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sz w:val="21"/>
                <w:szCs w:val="21"/>
                <w:lang w:val="en-US" w:eastAsia="zh-CN"/>
              </w:rPr>
              <w:t>2家企业的贷款贴息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2021年完成所有资金支付工作。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2021年完成所有资金支付工作。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使部分企业得到政策扶持。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使部分企业得到政策扶持，从而给企业</w:t>
            </w:r>
            <w:r>
              <w:rPr>
                <w:rFonts w:hint="eastAsia" w:ascii="宋体" w:hAnsi="宋体" w:eastAsia="宋体" w:cs="宋体"/>
                <w:color w:val="000000"/>
                <w:sz w:val="21"/>
                <w:szCs w:val="21"/>
                <w:lang w:eastAsia="zh-CN"/>
              </w:rPr>
              <w:t>带来更大的经济效益。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使部分企业得到政策扶持。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部分企业得到政策扶持，从而使企业</w:t>
            </w:r>
            <w:r>
              <w:rPr>
                <w:rFonts w:hint="eastAsia" w:ascii="宋体" w:hAnsi="宋体" w:eastAsia="宋体" w:cs="宋体"/>
                <w:color w:val="000000"/>
                <w:sz w:val="21"/>
                <w:szCs w:val="21"/>
                <w:lang w:eastAsia="zh-CN"/>
              </w:rPr>
              <w:t>经济指标有所提高。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89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得到全县人民的一直好评。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得到全县人民的一直好评。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spacing w:line="580" w:lineRule="exact"/>
        <w:ind w:left="630"/>
        <w:rPr>
          <w:rFonts w:hint="eastAsia" w:ascii="宋体" w:hAnsi="宋体" w:eastAsia="宋体" w:cs="宋体"/>
          <w:sz w:val="21"/>
          <w:szCs w:val="21"/>
        </w:rPr>
      </w:pPr>
    </w:p>
    <w:p>
      <w:pPr>
        <w:pStyle w:val="2"/>
        <w:rPr>
          <w:rFonts w:hint="eastAsia"/>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33"/>
        <w:gridCol w:w="6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color w:val="000000"/>
                <w:sz w:val="36"/>
                <w:szCs w:val="36"/>
                <w:lang w:val="en-US" w:eastAsia="zh-CN"/>
              </w:rPr>
              <w:t>工业发展应急资金</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2021年工业发展应急资金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1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8"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1"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1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0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4"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0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2020年8.16泥石流造成道路，厂区、以及部分基础设施损毁的企业，给于部分补贴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2020年8.16泥石流造成道路，厂区、以及部分基础设施损毁的企业，给于部分补贴，要求在2021年全部拨付给企业。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7" w:hRule="atLeast"/>
        </w:trPr>
        <w:tc>
          <w:tcPr>
            <w:tcW w:w="11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8.16泥石流造成道路，厂区、以及部分基础设施损毁的企业，给于补助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8.16泥石流造成道路，厂区、以及部分基础设施损毁的企业，给于补助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0"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使园区企业得到政策扶持，同时给园区内的人民带来极大的便利，使企业的经济效益有所提高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使园区企业得到政策扶持，同时给园区内的人民带来极大的便利，使企业的经济效益有所提高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11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3"/>
        <w:gridCol w:w="9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color w:val="000000"/>
                <w:sz w:val="36"/>
                <w:szCs w:val="36"/>
                <w:lang w:val="en-US" w:eastAsia="zh-CN"/>
              </w:rPr>
              <w:t>第三批防疫生产企业临时电费补贴</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第三批防疫生产企业临时电费补贴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750.19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750.19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7"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4"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在疫情防控期间，对企业的部分电价补贴，使企业能够正常的生产、以及职工正常生活。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在疫情防控期间，对企业的部分电价补贴，使企业能够正常的生产、以及职工正常生活。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疫情防控期间，对企业的部分电价补贴。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疫情防控期间，对企业的部分电价补贴。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使企业的生产、生活的到保障，同时给企业及企业内的人民带来极大的便利。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使企业的生产、生活的到保障，同时给企业及企业内的人民带来极大的便利。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使企业的生产、生活的到保障，同时给企业带来更大的经济收益。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使企业的生产、生活的到保障，同时给企业带来更大的经济收益。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8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pStyle w:val="2"/>
        <w:rPr>
          <w:rFonts w:hint="eastAsia" w:ascii="宋体" w:hAnsi="宋体" w:eastAsia="宋体" w:cs="宋体"/>
          <w:sz w:val="21"/>
          <w:szCs w:val="21"/>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spacing w:line="580" w:lineRule="exact"/>
        <w:ind w:left="630"/>
        <w:rPr>
          <w:rFonts w:ascii="仿宋_GB2312" w:eastAsia="仿宋_GB2312" w:cs="仿宋_GB2312"/>
          <w:b/>
          <w:bCs/>
          <w:sz w:val="32"/>
          <w:szCs w:val="32"/>
        </w:rPr>
      </w:pPr>
      <w:r>
        <w:rPr>
          <w:rFonts w:ascii="楷体_GB2312" w:eastAsia="楷体_GB2312" w:cs="楷体_GB2312"/>
          <w:b/>
          <w:bCs/>
          <w:sz w:val="32"/>
          <w:szCs w:val="32"/>
        </w:rPr>
        <w:t>2.</w:t>
      </w:r>
      <w:r>
        <w:rPr>
          <w:rFonts w:hint="eastAsia" w:ascii="楷体_GB2312" w:eastAsia="楷体_GB2312" w:cs="楷体_GB2312"/>
          <w:b/>
          <w:bCs/>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茂县经济商务和信息化局</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widowControl/>
        <w:jc w:val="left"/>
        <w:rPr>
          <w:rFonts w:hint="eastAsia" w:ascii="仿宋_GB2312" w:eastAsia="仿宋_GB2312" w:cs="仿宋_GB2312"/>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项目开展了绩效评价，《</w:t>
      </w:r>
      <w:r>
        <w:rPr>
          <w:rFonts w:hint="eastAsia" w:ascii="仿宋_GB2312" w:eastAsia="仿宋_GB2312" w:cs="仿宋_GB2312"/>
          <w:sz w:val="32"/>
          <w:szCs w:val="32"/>
          <w:lang w:eastAsia="zh-CN"/>
        </w:rPr>
        <w:t>茂县经济商务和信息化局</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pStyle w:val="2"/>
        <w:rPr>
          <w:rFonts w:hint="eastAsia" w:ascii="仿宋_GB2312" w:eastAsia="仿宋_GB2312" w:cs="仿宋_GB2312"/>
          <w:sz w:val="32"/>
          <w:szCs w:val="32"/>
        </w:rPr>
      </w:pPr>
    </w:p>
    <w:p>
      <w:pPr>
        <w:pStyle w:val="2"/>
        <w:rPr>
          <w:rFonts w:hint="eastAsia" w:ascii="仿宋_GB2312" w:eastAsia="仿宋_GB2312" w:cs="仿宋_GB2312"/>
          <w:sz w:val="32"/>
          <w:szCs w:val="32"/>
        </w:rPr>
      </w:pPr>
    </w:p>
    <w:p>
      <w:pPr>
        <w:numPr>
          <w:ilvl w:val="0"/>
          <w:numId w:val="4"/>
        </w:numPr>
        <w:spacing w:line="600" w:lineRule="exact"/>
        <w:ind w:left="0" w:firstLine="660" w:firstLineChars="150"/>
        <w:jc w:val="center"/>
        <w:outlineLvl w:val="0"/>
        <w:rPr>
          <w:rStyle w:val="23"/>
          <w:rFonts w:ascii="黑体" w:eastAsia="黑体"/>
          <w:b w:val="0"/>
        </w:rPr>
      </w:pPr>
      <w:bookmarkStart w:id="136" w:name="_Toc79163629"/>
      <w:bookmarkStart w:id="137" w:name="_Toc15396613"/>
      <w:bookmarkStart w:id="138" w:name="_Toc79163879"/>
      <w:bookmarkStart w:id="139" w:name="_Toc15377225"/>
      <w:bookmarkStart w:id="140" w:name="_Toc15752"/>
      <w:r>
        <w:rPr>
          <w:rFonts w:hint="eastAsia" w:ascii="黑体" w:eastAsia="黑体"/>
          <w:color w:val="000000"/>
          <w:sz w:val="44"/>
          <w:szCs w:val="44"/>
        </w:rPr>
        <w:t>名</w:t>
      </w:r>
      <w:r>
        <w:rPr>
          <w:rStyle w:val="23"/>
          <w:rFonts w:hint="eastAsia" w:ascii="黑体" w:eastAsia="黑体"/>
          <w:b w:val="0"/>
        </w:rPr>
        <w:t>词解释</w:t>
      </w:r>
      <w:bookmarkEnd w:id="136"/>
      <w:bookmarkEnd w:id="137"/>
      <w:bookmarkEnd w:id="138"/>
      <w:bookmarkEnd w:id="139"/>
      <w:bookmarkEnd w:id="140"/>
    </w:p>
    <w:p>
      <w:pPr>
        <w:spacing w:line="600" w:lineRule="exact"/>
        <w:jc w:val="left"/>
        <w:rPr>
          <w:rFonts w:ascii="宋体"/>
          <w:b/>
          <w:color w:val="000000"/>
          <w:sz w:val="44"/>
          <w:szCs w:val="44"/>
        </w:rPr>
      </w:pP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41" w:name="_Toc19015"/>
      <w:bookmarkStart w:id="142" w:name="_Toc19681"/>
      <w:bookmarkStart w:id="143" w:name="_Toc17487"/>
      <w:r>
        <w:rPr>
          <w:rFonts w:hint="eastAsia" w:ascii="仿宋_GB2312" w:hAnsi="仿宋_GB2312" w:eastAsia="仿宋_GB2312" w:cs="仿宋_GB2312"/>
          <w:sz w:val="32"/>
          <w:szCs w:val="32"/>
        </w:rPr>
        <w:t>1.财政拨款收入：指单位从同级财政部门取得的财政预算资金。</w:t>
      </w:r>
      <w:bookmarkEnd w:id="141"/>
      <w:bookmarkEnd w:id="142"/>
      <w:bookmarkEnd w:id="143"/>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44" w:name="_Toc14664"/>
      <w:bookmarkStart w:id="145" w:name="_Toc38"/>
      <w:bookmarkStart w:id="146" w:name="_Toc14429"/>
      <w:r>
        <w:rPr>
          <w:rFonts w:hint="eastAsia" w:ascii="仿宋_GB2312" w:hAnsi="仿宋_GB2312" w:eastAsia="仿宋_GB2312" w:cs="仿宋_GB2312"/>
          <w:sz w:val="32"/>
          <w:szCs w:val="32"/>
        </w:rPr>
        <w:t>4.其他收入：指单位取得的除上述收入以外的各项收入。</w:t>
      </w:r>
      <w:bookmarkEnd w:id="144"/>
      <w:bookmarkEnd w:id="145"/>
      <w:bookmarkEnd w:id="146"/>
      <w:r>
        <w:rPr>
          <w:rFonts w:hint="eastAsia" w:ascii="仿宋_GB2312" w:hAnsi="仿宋_GB2312" w:eastAsia="仿宋_GB2312" w:cs="仿宋_GB2312"/>
          <w:sz w:val="32"/>
          <w:szCs w:val="32"/>
        </w:rPr>
        <w:t xml:space="preserve">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w:t>
      </w:r>
      <w:r>
        <w:rPr>
          <w:rStyle w:val="21"/>
          <w:rFonts w:hint="eastAsia" w:ascii="仿宋_GB2312" w:hAnsi="仿宋_GB2312" w:eastAsia="仿宋_GB2312" w:cs="仿宋_GB2312"/>
          <w:b w:val="0"/>
          <w:bCs/>
          <w:color w:val="000000"/>
          <w:sz w:val="32"/>
          <w:szCs w:val="32"/>
        </w:rPr>
        <w:t>一般公共服务（类）商贸事务（款）行政运行（项）:</w:t>
      </w:r>
      <w:r>
        <w:rPr>
          <w:rFonts w:hint="eastAsia" w:ascii="仿宋_GB2312" w:hAnsi="仿宋_GB2312" w:eastAsia="仿宋_GB2312" w:cs="仿宋_GB2312"/>
          <w:color w:val="000000"/>
          <w:kern w:val="0"/>
          <w:sz w:val="32"/>
          <w:szCs w:val="32"/>
        </w:rPr>
        <w:t>指局机关及参公管理事业单位用于保障机构正常运行、开展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日常工作的基本支出</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Style w:val="21"/>
          <w:rFonts w:hint="eastAsia" w:ascii="仿宋_GB2312" w:hAnsi="仿宋_GB2312" w:eastAsia="仿宋_GB2312" w:cs="仿宋_GB2312"/>
          <w:b w:val="0"/>
          <w:bCs/>
          <w:color w:val="000000"/>
          <w:sz w:val="32"/>
          <w:szCs w:val="32"/>
        </w:rPr>
        <w:t>一般公共服务（类）商贸事务（款）招商引资（项）:</w:t>
      </w:r>
      <w:r>
        <w:rPr>
          <w:rFonts w:hint="eastAsia" w:ascii="仿宋_GB2312" w:hAnsi="仿宋_GB2312" w:eastAsia="仿宋_GB2312" w:cs="仿宋_GB2312"/>
          <w:color w:val="000000"/>
          <w:kern w:val="0"/>
          <w:sz w:val="32"/>
          <w:szCs w:val="32"/>
        </w:rPr>
        <w:t>指局机关及参公管理事业单位开展财政综合业务、预决算编审等未单独设置项级科目的专门性财政管理工作的项目支出。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11.</w:t>
      </w:r>
      <w:r>
        <w:rPr>
          <w:rStyle w:val="21"/>
          <w:rFonts w:hint="eastAsia" w:ascii="仿宋_GB2312" w:hAnsi="仿宋_GB2312" w:eastAsia="仿宋_GB2312" w:cs="仿宋_GB2312"/>
          <w:b w:val="0"/>
          <w:bCs/>
          <w:color w:val="000000"/>
          <w:sz w:val="32"/>
          <w:szCs w:val="32"/>
        </w:rPr>
        <w:t>一般公共服务（类）商贸事务（款）事业运行（项）:</w:t>
      </w:r>
      <w:r>
        <w:rPr>
          <w:rFonts w:hint="eastAsia" w:ascii="仿宋_GB2312" w:hAnsi="仿宋_GB2312" w:eastAsia="仿宋_GB2312" w:cs="仿宋_GB2312"/>
          <w:color w:val="000000"/>
          <w:kern w:val="0"/>
          <w:sz w:val="32"/>
          <w:szCs w:val="32"/>
        </w:rPr>
        <w:t>指局机关事业单位用于保障机构正常运行、开展日常工作的基本支出。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2</w:t>
      </w:r>
      <w:r>
        <w:rPr>
          <w:rStyle w:val="21"/>
          <w:rFonts w:hint="eastAsia" w:ascii="仿宋_GB2312" w:hAnsi="仿宋_GB2312" w:eastAsia="仿宋_GB2312" w:cs="仿宋_GB2312"/>
          <w:b w:val="0"/>
          <w:bCs/>
          <w:color w:val="000000"/>
          <w:sz w:val="32"/>
          <w:szCs w:val="32"/>
        </w:rPr>
        <w:t>.社会保障和就业（类）机关事业单位离退休（款）机关事业单位基本养老保险缴费支出（项）:</w:t>
      </w:r>
      <w:r>
        <w:rPr>
          <w:rFonts w:hint="eastAsia" w:ascii="仿宋_GB2312" w:hAnsi="仿宋_GB2312" w:eastAsia="仿宋_GB2312" w:cs="仿宋_GB2312"/>
          <w:color w:val="000000"/>
          <w:kern w:val="0"/>
          <w:sz w:val="32"/>
          <w:szCs w:val="32"/>
        </w:rPr>
        <w:t>指部门实施养</w:t>
      </w:r>
    </w:p>
    <w:p>
      <w:pPr>
        <w:keepNext w:val="0"/>
        <w:keepLines w:val="0"/>
        <w:pageBreakBefore w:val="0"/>
        <w:widowControl/>
        <w:kinsoku/>
        <w:wordWrap/>
        <w:overflowPunct/>
        <w:topLinePunct w:val="0"/>
        <w:bidi w:val="0"/>
        <w:snapToGrid/>
        <w:spacing w:line="560" w:lineRule="exact"/>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kern w:val="0"/>
          <w:sz w:val="32"/>
          <w:szCs w:val="32"/>
        </w:rPr>
        <w:t>老保险制度由单位缴纳的养老保险费的支出。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3</w:t>
      </w:r>
      <w:r>
        <w:rPr>
          <w:rStyle w:val="21"/>
          <w:rFonts w:hint="eastAsia" w:ascii="仿宋_GB2312" w:hAnsi="仿宋_GB2312" w:eastAsia="仿宋_GB2312" w:cs="仿宋_GB2312"/>
          <w:b w:val="0"/>
          <w:bCs/>
          <w:color w:val="000000"/>
          <w:sz w:val="32"/>
          <w:szCs w:val="32"/>
        </w:rPr>
        <w:t>.社会保障和就业（类）机关事业单位离退休（款）机关事业单位职业年金缴费支出（项）：</w:t>
      </w:r>
      <w:r>
        <w:rPr>
          <w:rFonts w:hint="eastAsia" w:ascii="仿宋_GB2312" w:hAnsi="仿宋_GB2312" w:eastAsia="仿宋_GB2312" w:cs="仿宋_GB2312"/>
          <w:color w:val="000000"/>
          <w:kern w:val="0"/>
          <w:sz w:val="32"/>
          <w:szCs w:val="32"/>
        </w:rPr>
        <w:t>指部门实施养老保险制度由单位缴纳的职业年金的支出。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4</w:t>
      </w:r>
      <w:r>
        <w:rPr>
          <w:rStyle w:val="21"/>
          <w:rFonts w:hint="eastAsia" w:ascii="仿宋_GB2312" w:hAnsi="仿宋_GB2312" w:eastAsia="仿宋_GB2312" w:cs="仿宋_GB2312"/>
          <w:b w:val="0"/>
          <w:bCs/>
          <w:color w:val="000000"/>
          <w:sz w:val="32"/>
          <w:szCs w:val="32"/>
        </w:rPr>
        <w:t>.医疗卫生与计划生育（类）行政事业单位医疗（款）行政单位医疗（项）:</w:t>
      </w:r>
      <w:r>
        <w:rPr>
          <w:rFonts w:hint="eastAsia" w:ascii="仿宋_GB2312" w:hAnsi="仿宋_GB2312" w:eastAsia="仿宋_GB2312" w:cs="仿宋_GB2312"/>
          <w:color w:val="000000"/>
          <w:kern w:val="0"/>
          <w:sz w:val="32"/>
          <w:szCs w:val="32"/>
        </w:rPr>
        <w:t>指行政单位用于缴纳单位基本医疗保险支出。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lang w:val="en-US" w:eastAsia="zh-CN"/>
        </w:rPr>
        <w:t>15</w:t>
      </w:r>
      <w:r>
        <w:rPr>
          <w:rStyle w:val="21"/>
          <w:rFonts w:hint="eastAsia" w:ascii="仿宋_GB2312" w:hAnsi="仿宋_GB2312" w:eastAsia="仿宋_GB2312" w:cs="仿宋_GB2312"/>
          <w:b w:val="0"/>
          <w:bCs/>
          <w:color w:val="000000"/>
          <w:sz w:val="32"/>
          <w:szCs w:val="32"/>
        </w:rPr>
        <w:t>.医疗卫生与计划生育（类）医疗卫生与计划生育（款）事业单位医疗（项）:</w:t>
      </w:r>
      <w:r>
        <w:rPr>
          <w:rFonts w:hint="eastAsia" w:ascii="仿宋_GB2312" w:hAnsi="仿宋_GB2312" w:eastAsia="仿宋_GB2312" w:cs="仿宋_GB2312"/>
          <w:color w:val="000000"/>
          <w:kern w:val="0"/>
          <w:sz w:val="32"/>
          <w:szCs w:val="32"/>
        </w:rPr>
        <w:t>指事业单位用于缴纳单位基本医疗保险支出。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.农林水支出（类）农业（款）科技转化与推广服务（项）：指政府农林水事务支出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.农林水支出（类）扶贫（款）农村基础设施建设（项）：</w:t>
      </w:r>
      <w:r>
        <w:rPr>
          <w:rStyle w:val="21"/>
          <w:rFonts w:hint="eastAsia" w:ascii="仿宋_GB2312" w:hAnsi="仿宋_GB2312" w:eastAsia="仿宋_GB2312" w:cs="仿宋_GB2312"/>
          <w:b w:val="0"/>
          <w:bCs/>
          <w:color w:val="000000"/>
          <w:sz w:val="32"/>
          <w:szCs w:val="32"/>
        </w:rPr>
        <w:t>指农村基础设施建设的支出。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.农林水支出（类）扶贫（款）其他扶贫支出（项）：指其他扶贫支出。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.资源勘探信息等支出（类）资源勘探开发（款）行政运行（项）：</w:t>
      </w:r>
      <w:r>
        <w:rPr>
          <w:rStyle w:val="21"/>
          <w:rFonts w:hint="eastAsia" w:ascii="仿宋_GB2312" w:hAnsi="仿宋_GB2312" w:eastAsia="仿宋_GB2312" w:cs="仿宋_GB2312"/>
          <w:b w:val="0"/>
          <w:bCs/>
          <w:color w:val="000000"/>
          <w:sz w:val="32"/>
          <w:szCs w:val="32"/>
        </w:rPr>
        <w:t>指行政单位的基本支出。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.资源勘探信息等支出（类）制造业（款）其他制造业支出（项）：</w:t>
      </w:r>
      <w:r>
        <w:rPr>
          <w:rStyle w:val="21"/>
          <w:rFonts w:hint="eastAsia" w:ascii="仿宋_GB2312" w:hAnsi="仿宋_GB2312" w:eastAsia="仿宋_GB2312" w:cs="仿宋_GB2312"/>
          <w:b w:val="0"/>
          <w:bCs/>
          <w:color w:val="000000"/>
          <w:sz w:val="32"/>
          <w:szCs w:val="32"/>
        </w:rPr>
        <w:t>指轻工、冶炼、交通运输及通信设备等制造业支出。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.资源勘探信息等支出（类）工业和信息产业监管（款）无线电监管（项）：</w:t>
      </w:r>
      <w:r>
        <w:rPr>
          <w:rStyle w:val="21"/>
          <w:rFonts w:hint="eastAsia" w:ascii="仿宋_GB2312" w:hAnsi="仿宋_GB2312" w:eastAsia="仿宋_GB2312" w:cs="仿宋_GB2312"/>
          <w:b w:val="0"/>
          <w:bCs/>
          <w:color w:val="000000"/>
          <w:sz w:val="32"/>
          <w:szCs w:val="32"/>
        </w:rPr>
        <w:t>指无线电监管方面的支出。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.资源勘探信息等支出（类）支出中小企业发展和管理支出（款）中小企业发展专项（项）：</w:t>
      </w:r>
      <w:r>
        <w:rPr>
          <w:rStyle w:val="21"/>
          <w:rFonts w:hint="eastAsia" w:ascii="仿宋_GB2312" w:hAnsi="仿宋_GB2312" w:eastAsia="仿宋_GB2312" w:cs="仿宋_GB2312"/>
          <w:b w:val="0"/>
          <w:bCs/>
          <w:color w:val="000000"/>
          <w:sz w:val="32"/>
          <w:szCs w:val="32"/>
        </w:rPr>
        <w:t>指用于中小企业管理及支持中小企业发展方面的支出。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.资源勘探信息等支出（类）其他资源勘探信息等支出（款）其他资源勘探信息等支出（项）：指其他用于资源勘探信息等方面的支出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.商业服务业等支出（类）商业流通事务（款）其他商业流通事务（项）：</w:t>
      </w:r>
      <w:r>
        <w:rPr>
          <w:rStyle w:val="21"/>
          <w:rFonts w:hint="eastAsia" w:ascii="仿宋_GB2312" w:hAnsi="仿宋_GB2312" w:eastAsia="仿宋_GB2312" w:cs="仿宋_GB2312"/>
          <w:b w:val="0"/>
          <w:bCs/>
          <w:color w:val="000000"/>
          <w:sz w:val="32"/>
          <w:szCs w:val="32"/>
        </w:rPr>
        <w:t>指其他用于商业流通事务方面的支出。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.商业服务业等支出（类）涉外发展服务支出（款）其他涉外发展服务支出（项）：</w:t>
      </w:r>
      <w:r>
        <w:rPr>
          <w:rStyle w:val="21"/>
          <w:rFonts w:hint="eastAsia" w:ascii="仿宋_GB2312" w:hAnsi="仿宋_GB2312" w:eastAsia="仿宋_GB2312" w:cs="仿宋_GB2312"/>
          <w:b w:val="0"/>
          <w:bCs/>
          <w:color w:val="000000"/>
          <w:sz w:val="32"/>
          <w:szCs w:val="32"/>
        </w:rPr>
        <w:t>指从事外贸业务单位、外贸投资单位、从事对外经济合作单位和境外单位的资助。</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.商业服务业等支出（类）其他商业服务业等支出（款）其他商业服务业等支出（项）：</w:t>
      </w:r>
      <w:r>
        <w:rPr>
          <w:rStyle w:val="21"/>
          <w:rFonts w:hint="eastAsia" w:ascii="仿宋_GB2312" w:hAnsi="仿宋_GB2312" w:eastAsia="仿宋_GB2312" w:cs="仿宋_GB2312"/>
          <w:b w:val="0"/>
          <w:bCs/>
          <w:color w:val="000000"/>
          <w:sz w:val="32"/>
          <w:szCs w:val="32"/>
        </w:rPr>
        <w:t>指其他用于商业服务业等方面的支出。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bookmarkStart w:id="147" w:name="_Toc15377226"/>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48" w:name="_Toc15396614"/>
      <w:bookmarkStart w:id="149" w:name="_Toc79163630"/>
      <w:bookmarkStart w:id="150" w:name="_Toc79163880"/>
      <w:bookmarkStart w:id="151" w:name="_Toc1313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48"/>
      <w:bookmarkEnd w:id="149"/>
      <w:bookmarkEnd w:id="150"/>
      <w:bookmarkEnd w:id="151"/>
    </w:p>
    <w:p>
      <w:pPr>
        <w:spacing w:line="600" w:lineRule="exact"/>
        <w:jc w:val="left"/>
        <w:outlineLvl w:val="1"/>
        <w:rPr>
          <w:rFonts w:ascii="方正小标宋简体" w:eastAsia="方正小标宋简体" w:cs="方正小标宋简体"/>
          <w:sz w:val="32"/>
          <w:szCs w:val="32"/>
        </w:rPr>
      </w:pPr>
      <w:bookmarkStart w:id="152" w:name="_Toc79163881"/>
      <w:bookmarkStart w:id="153" w:name="_Toc79163631"/>
      <w:bookmarkStart w:id="154" w:name="_Toc8258"/>
      <w:r>
        <w:rPr>
          <w:rFonts w:hint="eastAsia" w:ascii="黑体" w:eastAsia="黑体" w:cs="黑体"/>
          <w:sz w:val="32"/>
          <w:szCs w:val="32"/>
        </w:rPr>
        <w:t>附件</w:t>
      </w:r>
      <w:r>
        <w:rPr>
          <w:rFonts w:ascii="黑体" w:eastAsia="黑体" w:cs="黑体"/>
          <w:sz w:val="32"/>
          <w:szCs w:val="32"/>
        </w:rPr>
        <w:t>1</w:t>
      </w:r>
      <w:bookmarkEnd w:id="152"/>
      <w:bookmarkEnd w:id="153"/>
      <w:bookmarkEnd w:id="15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55" w:name="_Toc79163632"/>
      <w:bookmarkStart w:id="156" w:name="_Toc79163882"/>
      <w:bookmarkStart w:id="157" w:name="_Toc22223"/>
      <w:r>
        <w:rPr>
          <w:rFonts w:hint="eastAsia" w:ascii="方正小标宋简体" w:eastAsia="方正小标宋简体" w:cs="黑体"/>
          <w:sz w:val="44"/>
          <w:szCs w:val="44"/>
          <w:lang w:eastAsia="zh-CN"/>
        </w:rPr>
        <w:t>茂县经济商务和信息化局</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55"/>
      <w:bookmarkEnd w:id="156"/>
      <w:bookmarkEnd w:id="157"/>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lang w:val="zh-CN"/>
        </w:rPr>
      </w:pPr>
      <w:bookmarkStart w:id="158" w:name="_Toc16643"/>
      <w:bookmarkStart w:id="159" w:name="_Toc10163"/>
      <w:bookmarkStart w:id="160" w:name="_Toc18648"/>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bookmarkEnd w:id="158"/>
      <w:bookmarkEnd w:id="159"/>
      <w:bookmarkEnd w:id="160"/>
    </w:p>
    <w:p>
      <w:pPr>
        <w:widowControl/>
        <w:adjustRightInd w:val="0"/>
        <w:snapToGrid w:val="0"/>
        <w:spacing w:line="580"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rPr>
          <w:rFonts w:hint="eastAsia"/>
          <w:sz w:val="32"/>
          <w:szCs w:val="32"/>
          <w:lang w:val="zh-CN"/>
        </w:rPr>
      </w:pPr>
      <w:r>
        <w:rPr>
          <w:rFonts w:hint="eastAsia" w:ascii="仿宋_GB2312" w:hAnsi="仿宋_GB2312" w:eastAsia="仿宋_GB2312" w:cs="仿宋_GB2312"/>
          <w:sz w:val="32"/>
          <w:szCs w:val="32"/>
        </w:rPr>
        <w:t>茂县经济商务和信息化局为行政单位。</w:t>
      </w:r>
    </w:p>
    <w:p>
      <w:pPr>
        <w:widowControl/>
        <w:numPr>
          <w:ilvl w:val="0"/>
          <w:numId w:val="5"/>
        </w:numPr>
        <w:adjustRightInd w:val="0"/>
        <w:snapToGrid w:val="0"/>
        <w:spacing w:line="580" w:lineRule="exact"/>
        <w:ind w:firstLine="642"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hint="eastAsia"/>
          <w:sz w:val="32"/>
          <w:szCs w:val="32"/>
          <w:lang w:val="zh-CN"/>
        </w:rPr>
        <w:tab/>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eastAsia="仿宋_GB2312" w:cs="宋体"/>
          <w:color w:val="000000"/>
          <w:kern w:val="0"/>
          <w:sz w:val="32"/>
          <w:szCs w:val="32"/>
          <w:shd w:val="clear" w:color="auto" w:fill="FFFFFF"/>
          <w:lang w:val="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keepNext w:val="0"/>
        <w:keepLines w:val="0"/>
        <w:pageBreakBefore w:val="0"/>
        <w:widowControl/>
        <w:kinsoku/>
        <w:wordWrap/>
        <w:overflowPunct/>
        <w:topLinePunct w:val="0"/>
        <w:autoSpaceDE/>
        <w:autoSpaceDN/>
        <w:bidi w:val="0"/>
        <w:adjustRightInd w:val="0"/>
        <w:snapToGrid w:val="0"/>
        <w:spacing w:line="580" w:lineRule="exact"/>
        <w:ind w:firstLine="642" w:firstLineChars="200"/>
        <w:contextualSpacing/>
        <w:jc w:val="left"/>
        <w:textAlignment w:val="auto"/>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（三）人员概况</w:t>
      </w:r>
    </w:p>
    <w:p>
      <w:pPr>
        <w:pStyle w:val="7"/>
        <w:keepNext w:val="0"/>
        <w:keepLines w:val="0"/>
        <w:pageBreakBefore w:val="0"/>
        <w:kinsoku/>
        <w:wordWrap/>
        <w:overflowPunct/>
        <w:topLinePunct w:val="0"/>
        <w:autoSpaceDE/>
        <w:autoSpaceDN/>
        <w:bidi w:val="0"/>
        <w:textAlignment w:val="auto"/>
        <w:rPr>
          <w:sz w:val="32"/>
          <w:szCs w:val="32"/>
          <w:lang w:val="zh-CN"/>
        </w:rPr>
      </w:pPr>
      <w:r>
        <w:rPr>
          <w:rFonts w:hint="eastAsia" w:ascii="仿宋_GB2312" w:hAnsi="仿宋_GB2312" w:eastAsia="仿宋_GB2312" w:cs="仿宋_GB2312"/>
          <w:sz w:val="32"/>
          <w:szCs w:val="32"/>
        </w:rPr>
        <w:t>我单位现有在职职工</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人，其中：行政在职</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人，机关工勤在职</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人。离退休人员</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人，其中：退休</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人；遗嘱补助人员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61" w:name="_Toc18400"/>
      <w:bookmarkStart w:id="162" w:name="_Toc3496"/>
      <w:bookmarkStart w:id="163" w:name="_Toc17668"/>
      <w:r>
        <w:rPr>
          <w:rFonts w:hint="eastAsia" w:ascii="黑体" w:eastAsia="黑体" w:cs="宋体"/>
          <w:color w:val="000000"/>
          <w:kern w:val="0"/>
          <w:sz w:val="32"/>
          <w:szCs w:val="32"/>
          <w:shd w:val="clear" w:color="auto" w:fill="FFFFFF"/>
        </w:rPr>
        <w:t>二、部门财政资金收支情况</w:t>
      </w:r>
      <w:bookmarkEnd w:id="161"/>
      <w:bookmarkEnd w:id="162"/>
      <w:bookmarkEnd w:id="163"/>
    </w:p>
    <w:p>
      <w:pPr>
        <w:widowControl/>
        <w:adjustRightInd w:val="0"/>
        <w:snapToGrid w:val="0"/>
        <w:spacing w:line="580" w:lineRule="exact"/>
        <w:ind w:firstLine="642"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p>
    <w:p>
      <w:pPr>
        <w:widowControl/>
        <w:adjustRightInd w:val="0"/>
        <w:snapToGrid w:val="0"/>
        <w:spacing w:line="580" w:lineRule="exact"/>
        <w:ind w:firstLine="960" w:firstLineChars="300"/>
        <w:contextualSpacing/>
        <w:jc w:val="left"/>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2358.92万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numPr>
          <w:ilvl w:val="0"/>
          <w:numId w:val="6"/>
        </w:numPr>
        <w:adjustRightInd w:val="0"/>
        <w:snapToGrid w:val="0"/>
        <w:spacing w:line="580"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184.45万</w:t>
      </w:r>
      <w:r>
        <w:rPr>
          <w:rFonts w:hint="eastAsia" w:ascii="仿宋_GB2312" w:hAnsi="仿宋_GB2312" w:eastAsia="仿宋_GB2312" w:cs="仿宋_GB2312"/>
          <w:sz w:val="32"/>
          <w:szCs w:val="32"/>
        </w:rPr>
        <w:t>元；其中：人员支出:</w:t>
      </w:r>
      <w:r>
        <w:rPr>
          <w:rFonts w:hint="eastAsia" w:ascii="仿宋_GB2312" w:hAnsi="仿宋_GB2312" w:eastAsia="仿宋_GB2312" w:cs="仿宋_GB2312"/>
          <w:sz w:val="32"/>
          <w:szCs w:val="32"/>
          <w:lang w:val="en-US" w:eastAsia="zh-CN"/>
        </w:rPr>
        <w:t>174.68万</w:t>
      </w:r>
      <w:r>
        <w:rPr>
          <w:rFonts w:hint="eastAsia" w:ascii="仿宋_GB2312" w:hAnsi="仿宋_GB2312" w:eastAsia="仿宋_GB2312" w:cs="仿宋_GB2312"/>
          <w:sz w:val="32"/>
          <w:szCs w:val="32"/>
        </w:rPr>
        <w:t>元，日常公用支出</w:t>
      </w:r>
      <w:r>
        <w:rPr>
          <w:rFonts w:hint="eastAsia" w:ascii="仿宋_GB2312" w:hAnsi="仿宋_GB2312" w:eastAsia="仿宋_GB2312" w:cs="仿宋_GB2312"/>
          <w:sz w:val="32"/>
          <w:szCs w:val="32"/>
          <w:lang w:val="en-US" w:eastAsia="zh-CN"/>
        </w:rPr>
        <w:t>9.77万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2694.32万</w:t>
      </w:r>
      <w:r>
        <w:rPr>
          <w:rFonts w:hint="eastAsia" w:ascii="仿宋_GB2312" w:hAnsi="仿宋_GB2312" w:eastAsia="仿宋_GB2312" w:cs="仿宋_GB2312"/>
          <w:sz w:val="32"/>
          <w:szCs w:val="32"/>
        </w:rPr>
        <w:t>元，与上年对比收入减少了</w:t>
      </w:r>
      <w:r>
        <w:rPr>
          <w:rFonts w:hint="eastAsia" w:ascii="仿宋_GB2312" w:hAnsi="仿宋_GB2312" w:eastAsia="仿宋_GB2312" w:cs="仿宋_GB2312"/>
          <w:sz w:val="32"/>
          <w:szCs w:val="32"/>
          <w:lang w:val="en-US" w:eastAsia="zh-CN"/>
        </w:rPr>
        <w:t>1289.38万</w:t>
      </w:r>
      <w:r>
        <w:rPr>
          <w:rFonts w:hint="eastAsia" w:ascii="仿宋_GB2312" w:hAnsi="仿宋_GB2312" w:eastAsia="仿宋_GB2312" w:cs="仿宋_GB2312"/>
          <w:sz w:val="32"/>
          <w:szCs w:val="32"/>
        </w:rPr>
        <w:t>元，因给企业的补助款减少了，支出减少了</w:t>
      </w:r>
      <w:r>
        <w:rPr>
          <w:rFonts w:hint="eastAsia" w:ascii="仿宋_GB2312" w:hAnsi="仿宋_GB2312" w:eastAsia="仿宋_GB2312" w:cs="仿宋_GB2312"/>
          <w:sz w:val="32"/>
          <w:szCs w:val="32"/>
          <w:lang w:val="en-US" w:eastAsia="zh-CN"/>
        </w:rPr>
        <w:t>1775.48万</w:t>
      </w:r>
      <w:r>
        <w:rPr>
          <w:rFonts w:hint="eastAsia" w:ascii="仿宋_GB2312" w:hAnsi="仿宋_GB2312" w:eastAsia="仿宋_GB2312" w:cs="仿宋_GB2312"/>
          <w:sz w:val="32"/>
          <w:szCs w:val="32"/>
        </w:rPr>
        <w:t>元，项目资金拨付有所减少，主要对企业的补助资金及项目拨付资金减少了</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64" w:name="_Toc5086"/>
      <w:bookmarkStart w:id="165" w:name="_Toc18646"/>
      <w:bookmarkStart w:id="166" w:name="_Toc3121"/>
      <w:r>
        <w:rPr>
          <w:rFonts w:hint="eastAsia" w:ascii="黑体" w:eastAsia="黑体" w:cs="宋体"/>
          <w:color w:val="000000"/>
          <w:kern w:val="0"/>
          <w:sz w:val="32"/>
          <w:szCs w:val="32"/>
          <w:shd w:val="clear" w:color="auto" w:fill="FFFFFF"/>
        </w:rPr>
        <w:t>三、部门整体预算绩效管理情况</w:t>
      </w:r>
      <w:bookmarkEnd w:id="164"/>
      <w:bookmarkEnd w:id="165"/>
      <w:bookmarkEnd w:id="166"/>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cs="宋体"/>
          <w:color w:val="000000"/>
          <w:kern w:val="0"/>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（一）预决算编制情况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cs="宋体"/>
          <w:color w:val="000000"/>
          <w:kern w:val="0"/>
          <w:sz w:val="32"/>
          <w:szCs w:val="32"/>
          <w:shd w:val="clear" w:color="auto" w:fill="FFFFFF"/>
          <w:lang w:val="en-US" w:eastAsia="zh-CN"/>
        </w:rPr>
        <w:t>1、人员情况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hAnsi="仿宋_GB2312" w:eastAsia="仿宋_GB2312" w:cs="仿宋_GB2312"/>
          <w:sz w:val="32"/>
          <w:szCs w:val="32"/>
        </w:rPr>
        <w:t>我单位现有在职职工</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人，其中：行政在职</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人，机关工勤在职</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人。离退休人员</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rPr>
        <w:t>人，其中：退休</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rPr>
        <w:t>人；遗嘱补助人员</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人。</w:t>
      </w:r>
    </w:p>
    <w:p>
      <w:pPr>
        <w:keepNext w:val="0"/>
        <w:keepLines w:val="0"/>
        <w:pageBreakBefore w:val="0"/>
        <w:numPr>
          <w:ilvl w:val="0"/>
          <w:numId w:val="7"/>
        </w:numPr>
        <w:kinsoku/>
        <w:wordWrap/>
        <w:overflowPunct/>
        <w:topLinePunct w:val="0"/>
        <w:autoSpaceDE/>
        <w:autoSpaceDN/>
        <w:bidi w:val="0"/>
        <w:spacing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收入情况</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2358.92万</w:t>
      </w:r>
      <w:r>
        <w:rPr>
          <w:rFonts w:hint="eastAsia" w:ascii="仿宋_GB2312" w:hAnsi="仿宋_GB2312" w:eastAsia="仿宋_GB2312" w:cs="仿宋_GB2312"/>
          <w:sz w:val="32"/>
          <w:szCs w:val="32"/>
        </w:rPr>
        <w:t>元</w:t>
      </w:r>
    </w:p>
    <w:p>
      <w:pPr>
        <w:keepNext w:val="0"/>
        <w:keepLines w:val="0"/>
        <w:pageBreakBefore w:val="0"/>
        <w:numPr>
          <w:ilvl w:val="0"/>
          <w:numId w:val="7"/>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
          <w:sz w:val="32"/>
          <w:szCs w:val="32"/>
          <w:lang w:val="en-US" w:eastAsia="zh-CN"/>
        </w:rPr>
      </w:pPr>
      <w:r>
        <w:rPr>
          <w:rFonts w:hint="eastAsia" w:ascii="仿宋_GB2312" w:hAnsi="仿宋"/>
          <w:sz w:val="32"/>
          <w:szCs w:val="32"/>
          <w:lang w:val="en-US" w:eastAsia="zh-CN"/>
        </w:rPr>
        <w:t>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宋体"/>
          <w:color w:val="000000"/>
          <w:kern w:val="0"/>
          <w:sz w:val="32"/>
          <w:szCs w:val="32"/>
          <w:shd w:val="clear" w:color="auto" w:fill="FFFFFF"/>
          <w:lang w:val="en-US" w:eastAsia="zh-CN"/>
        </w:rPr>
      </w:pPr>
      <w:r>
        <w:rPr>
          <w:rFonts w:hint="eastAsia" w:ascii="仿宋_GB2312" w:hAnsi="仿宋" w:eastAsia="仿宋_GB2312"/>
          <w:sz w:val="32"/>
          <w:szCs w:val="32"/>
        </w:rPr>
        <w:t>基本支出</w:t>
      </w:r>
      <w:r>
        <w:rPr>
          <w:rFonts w:hint="eastAsia" w:ascii="仿宋_GB2312" w:hAnsi="仿宋"/>
          <w:sz w:val="32"/>
          <w:szCs w:val="32"/>
          <w:lang w:val="en-US" w:eastAsia="zh-CN"/>
        </w:rPr>
        <w:t>184.45万</w:t>
      </w:r>
      <w:r>
        <w:rPr>
          <w:rFonts w:hint="eastAsia" w:ascii="仿宋_GB2312" w:hAnsi="仿宋" w:eastAsia="仿宋_GB2312"/>
          <w:sz w:val="32"/>
          <w:szCs w:val="32"/>
        </w:rPr>
        <w:t>元；其中：人员支出:</w:t>
      </w:r>
      <w:r>
        <w:rPr>
          <w:rFonts w:hint="eastAsia" w:ascii="仿宋_GB2312" w:hAnsi="仿宋"/>
          <w:sz w:val="32"/>
          <w:szCs w:val="32"/>
          <w:lang w:val="en-US" w:eastAsia="zh-CN"/>
        </w:rPr>
        <w:t>174.68万</w:t>
      </w:r>
      <w:r>
        <w:rPr>
          <w:rFonts w:hint="eastAsia" w:ascii="仿宋_GB2312" w:hAnsi="仿宋" w:eastAsia="仿宋_GB2312"/>
          <w:sz w:val="32"/>
          <w:szCs w:val="32"/>
        </w:rPr>
        <w:t>元，日常公用支出</w:t>
      </w:r>
      <w:r>
        <w:rPr>
          <w:rFonts w:hint="eastAsia" w:ascii="仿宋_GB2312" w:hAnsi="仿宋"/>
          <w:sz w:val="32"/>
          <w:szCs w:val="32"/>
          <w:lang w:val="en-US" w:eastAsia="zh-CN"/>
        </w:rPr>
        <w:t>9.77万</w:t>
      </w:r>
      <w:r>
        <w:rPr>
          <w:rFonts w:hint="eastAsia" w:ascii="仿宋_GB2312" w:hAnsi="仿宋" w:eastAsia="仿宋_GB2312"/>
          <w:sz w:val="32"/>
          <w:szCs w:val="32"/>
        </w:rPr>
        <w:t>元，项目支出</w:t>
      </w:r>
      <w:r>
        <w:rPr>
          <w:rFonts w:hint="eastAsia" w:ascii="仿宋_GB2312" w:hAnsi="仿宋"/>
          <w:sz w:val="32"/>
          <w:szCs w:val="32"/>
          <w:lang w:val="en-US" w:eastAsia="zh-CN"/>
        </w:rPr>
        <w:t>2694.32万</w:t>
      </w:r>
      <w:r>
        <w:rPr>
          <w:rFonts w:hint="eastAsia" w:ascii="仿宋_GB2312" w:hAnsi="仿宋" w:eastAsia="仿宋_GB2312"/>
          <w:sz w:val="32"/>
          <w:szCs w:val="32"/>
        </w:rPr>
        <w:t>元，与上年对比收入减少了</w:t>
      </w:r>
      <w:r>
        <w:rPr>
          <w:rFonts w:hint="eastAsia" w:ascii="仿宋_GB2312" w:hAnsi="仿宋"/>
          <w:sz w:val="32"/>
          <w:szCs w:val="32"/>
          <w:lang w:val="en-US" w:eastAsia="zh-CN"/>
        </w:rPr>
        <w:t>1289.38万</w:t>
      </w:r>
      <w:r>
        <w:rPr>
          <w:rFonts w:hint="eastAsia" w:ascii="仿宋_GB2312" w:hAnsi="仿宋" w:eastAsia="仿宋_GB2312"/>
          <w:sz w:val="32"/>
          <w:szCs w:val="32"/>
        </w:rPr>
        <w:t>元，因给企业的补助款减少了，支出减少了</w:t>
      </w:r>
      <w:r>
        <w:rPr>
          <w:rFonts w:hint="eastAsia" w:ascii="仿宋_GB2312" w:hAnsi="仿宋"/>
          <w:sz w:val="32"/>
          <w:szCs w:val="32"/>
          <w:lang w:val="en-US" w:eastAsia="zh-CN"/>
        </w:rPr>
        <w:t>1775.48万</w:t>
      </w:r>
      <w:r>
        <w:rPr>
          <w:rFonts w:hint="eastAsia" w:ascii="仿宋_GB2312" w:hAnsi="仿宋" w:eastAsia="仿宋_GB2312"/>
          <w:sz w:val="32"/>
          <w:szCs w:val="32"/>
        </w:rPr>
        <w:t>元，项目资金拨付有所减少，主要对企业的补助资金及项目拨付资金减少了</w:t>
      </w:r>
      <w:r>
        <w:rPr>
          <w:rFonts w:hint="eastAsia" w:ascii="仿宋_GB2312" w:hAnsi="仿宋"/>
          <w:sz w:val="32"/>
          <w:szCs w:val="32"/>
          <w:lang w:eastAsia="zh-CN"/>
        </w:rPr>
        <w:t>。</w:t>
      </w:r>
    </w:p>
    <w:p>
      <w:pPr>
        <w:keepNext w:val="0"/>
        <w:keepLines w:val="0"/>
        <w:pageBreakBefore w:val="0"/>
        <w:kinsoku/>
        <w:wordWrap/>
        <w:overflowPunct/>
        <w:topLinePunct w:val="0"/>
        <w:autoSpaceDE/>
        <w:autoSpaceDN/>
        <w:bidi w:val="0"/>
        <w:snapToGrid w:val="0"/>
        <w:spacing w:line="560" w:lineRule="exact"/>
        <w:ind w:firstLine="642" w:firstLineChars="200"/>
        <w:textAlignment w:val="auto"/>
        <w:rPr>
          <w:rFonts w:hint="eastAsia" w:ascii="仿宋_GB2312" w:hAnsi="仿宋" w:eastAsia="仿宋_GB2312" w:cs="宋体"/>
          <w:b/>
          <w:color w:val="000000"/>
          <w:kern w:val="0"/>
          <w:sz w:val="32"/>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（二）执行管理情况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rPr>
      </w:pPr>
      <w:r>
        <w:rPr>
          <w:rFonts w:hint="eastAsia" w:ascii="仿宋_GB2312" w:hAnsi="仿宋"/>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color w:val="000000"/>
          <w:sz w:val="32"/>
          <w:szCs w:val="32"/>
          <w:lang w:val="en-US" w:eastAsia="zh-CN"/>
        </w:rPr>
        <w:t>10.43</w:t>
      </w:r>
      <w:r>
        <w:rPr>
          <w:rFonts w:hint="eastAsia" w:ascii="仿宋_GB2312" w:hAnsi="仿宋" w:eastAsia="仿宋_GB2312"/>
          <w:color w:val="000000"/>
          <w:sz w:val="32"/>
          <w:szCs w:val="32"/>
        </w:rPr>
        <w:t>万元，20</w:t>
      </w:r>
      <w:r>
        <w:rPr>
          <w:rFonts w:hint="eastAsia" w:ascii="仿宋_GB2312" w:hAnsi="仿宋"/>
          <w:color w:val="000000"/>
          <w:sz w:val="32"/>
          <w:szCs w:val="32"/>
          <w:lang w:val="en-US" w:eastAsia="zh-CN"/>
        </w:rPr>
        <w:t>21</w:t>
      </w:r>
      <w:r>
        <w:rPr>
          <w:rFonts w:hint="eastAsia" w:ascii="仿宋_GB2312" w:hAnsi="仿宋" w:eastAsia="仿宋_GB2312"/>
          <w:color w:val="000000"/>
          <w:sz w:val="32"/>
          <w:szCs w:val="32"/>
        </w:rPr>
        <w:t>年“三公”经费财政拨款支出决算中，公务用车购置及运行维护费支出决算</w:t>
      </w:r>
      <w:r>
        <w:rPr>
          <w:rFonts w:hint="eastAsia" w:ascii="仿宋_GB2312" w:hAnsi="仿宋"/>
          <w:color w:val="000000"/>
          <w:sz w:val="32"/>
          <w:szCs w:val="32"/>
          <w:lang w:val="en-US" w:eastAsia="zh-CN"/>
        </w:rPr>
        <w:t>10.16</w:t>
      </w:r>
      <w:r>
        <w:rPr>
          <w:rFonts w:hint="eastAsia" w:ascii="仿宋_GB2312" w:hAnsi="仿宋" w:eastAsia="仿宋_GB2312"/>
          <w:color w:val="000000"/>
          <w:sz w:val="32"/>
          <w:szCs w:val="32"/>
        </w:rPr>
        <w:t>万元，公务接待费支出决算</w:t>
      </w:r>
      <w:r>
        <w:rPr>
          <w:rFonts w:hint="eastAsia" w:ascii="仿宋_GB2312" w:hAnsi="仿宋"/>
          <w:color w:val="000000"/>
          <w:sz w:val="32"/>
          <w:szCs w:val="32"/>
          <w:lang w:val="en-US" w:eastAsia="zh-CN"/>
        </w:rPr>
        <w:t>0.27</w:t>
      </w:r>
      <w:r>
        <w:rPr>
          <w:rFonts w:hint="eastAsia" w:ascii="仿宋_GB2312" w:hAnsi="仿宋" w:eastAsia="仿宋_GB2312"/>
          <w:color w:val="000000"/>
          <w:sz w:val="32"/>
          <w:szCs w:val="32"/>
        </w:rPr>
        <w:t>万元，</w:t>
      </w:r>
      <w:r>
        <w:rPr>
          <w:rFonts w:hint="eastAsia" w:ascii="仿宋_GB2312" w:eastAsia="仿宋_GB2312"/>
          <w:color w:val="000000"/>
          <w:sz w:val="32"/>
          <w:szCs w:val="32"/>
        </w:rPr>
        <w:t>国内公务接待</w:t>
      </w:r>
      <w:r>
        <w:rPr>
          <w:rFonts w:hint="eastAsia" w:ascii="仿宋_GB2312"/>
          <w:color w:val="000000"/>
          <w:sz w:val="32"/>
          <w:szCs w:val="32"/>
          <w:lang w:val="en-US" w:eastAsia="zh-CN"/>
        </w:rPr>
        <w:t>10</w:t>
      </w:r>
      <w:r>
        <w:rPr>
          <w:rFonts w:hint="eastAsia" w:ascii="仿宋_GB2312" w:eastAsia="仿宋_GB2312"/>
          <w:color w:val="000000"/>
          <w:sz w:val="32"/>
          <w:szCs w:val="32"/>
        </w:rPr>
        <w:t>批次，</w:t>
      </w:r>
      <w:r>
        <w:rPr>
          <w:rFonts w:hint="eastAsia" w:ascii="仿宋_GB2312"/>
          <w:color w:val="000000"/>
          <w:sz w:val="32"/>
          <w:szCs w:val="32"/>
          <w:lang w:val="en-US" w:eastAsia="zh-CN"/>
        </w:rPr>
        <w:t>50</w:t>
      </w:r>
      <w:r>
        <w:rPr>
          <w:rFonts w:hint="eastAsia" w:ascii="仿宋_GB2312" w:eastAsia="仿宋_GB2312"/>
          <w:color w:val="000000"/>
          <w:sz w:val="32"/>
          <w:szCs w:val="32"/>
        </w:rPr>
        <w:t>人次（不包括陪同人员），共计支出</w:t>
      </w:r>
      <w:r>
        <w:rPr>
          <w:rFonts w:hint="eastAsia" w:ascii="仿宋_GB2312"/>
          <w:color w:val="000000"/>
          <w:sz w:val="32"/>
          <w:szCs w:val="32"/>
          <w:lang w:val="en-US" w:eastAsia="zh-CN"/>
        </w:rPr>
        <w:t>0.27</w:t>
      </w:r>
      <w:r>
        <w:rPr>
          <w:rFonts w:hint="eastAsia" w:ascii="仿宋_GB2312" w:eastAsia="仿宋_GB2312"/>
          <w:color w:val="000000"/>
          <w:sz w:val="32"/>
          <w:szCs w:val="32"/>
        </w:rPr>
        <w:t>万元，具体内容包括：接待上级领导和部门到我单位指导工作。</w:t>
      </w:r>
    </w:p>
    <w:p>
      <w:pPr>
        <w:keepNext w:val="0"/>
        <w:keepLines w:val="0"/>
        <w:pageBreakBefore w:val="0"/>
        <w:numPr>
          <w:ilvl w:val="0"/>
          <w:numId w:val="8"/>
        </w:numPr>
        <w:kinsoku/>
        <w:wordWrap/>
        <w:overflowPunct/>
        <w:topLinePunct w:val="0"/>
        <w:autoSpaceDE/>
        <w:autoSpaceDN/>
        <w:bidi w:val="0"/>
        <w:spacing w:line="560" w:lineRule="exact"/>
        <w:ind w:left="0" w:leftChars="0" w:firstLine="642" w:firstLineChars="200"/>
        <w:textAlignment w:val="auto"/>
        <w:rPr>
          <w:rFonts w:hint="eastAsia" w:ascii="仿宋_GB2312" w:hAnsi="仿宋" w:eastAsia="仿宋_GB2312" w:cs="宋体"/>
          <w:b/>
          <w:color w:val="000000"/>
          <w:kern w:val="0"/>
          <w:sz w:val="32"/>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综合管理情况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年资产合计</w:t>
      </w:r>
      <w:r>
        <w:rPr>
          <w:rFonts w:hint="eastAsia" w:ascii="仿宋_GB2312" w:hAnsi="仿宋_GB2312" w:eastAsia="仿宋_GB2312" w:cs="仿宋_GB2312"/>
          <w:sz w:val="32"/>
          <w:szCs w:val="32"/>
          <w:lang w:val="en-US" w:eastAsia="zh-CN"/>
        </w:rPr>
        <w:t>18589.78万</w:t>
      </w:r>
      <w:r>
        <w:rPr>
          <w:rFonts w:hint="eastAsia" w:ascii="仿宋_GB2312" w:hAnsi="仿宋_GB2312" w:eastAsia="仿宋_GB2312" w:cs="仿宋_GB2312"/>
          <w:sz w:val="32"/>
          <w:szCs w:val="32"/>
        </w:rPr>
        <w:t>元，负债</w:t>
      </w:r>
      <w:r>
        <w:rPr>
          <w:rFonts w:hint="eastAsia" w:ascii="仿宋_GB2312" w:hAnsi="仿宋_GB2312" w:eastAsia="仿宋_GB2312" w:cs="仿宋_GB2312"/>
          <w:sz w:val="32"/>
          <w:szCs w:val="32"/>
          <w:lang w:val="en-US" w:eastAsia="zh-CN"/>
        </w:rPr>
        <w:t>1437.72万</w:t>
      </w:r>
      <w:r>
        <w:rPr>
          <w:rFonts w:hint="eastAsia" w:ascii="仿宋_GB2312" w:hAnsi="仿宋_GB2312" w:eastAsia="仿宋_GB2312" w:cs="仿宋_GB2312"/>
          <w:sz w:val="32"/>
          <w:szCs w:val="32"/>
        </w:rPr>
        <w:t>元，净资产</w:t>
      </w:r>
      <w:r>
        <w:rPr>
          <w:rFonts w:hint="eastAsia" w:ascii="仿宋_GB2312" w:hAnsi="仿宋_GB2312" w:eastAsia="仿宋_GB2312" w:cs="仿宋_GB2312"/>
          <w:sz w:val="32"/>
          <w:szCs w:val="32"/>
          <w:lang w:val="en-US" w:eastAsia="zh-CN"/>
        </w:rPr>
        <w:t>17152.06万</w:t>
      </w:r>
      <w:r>
        <w:rPr>
          <w:rFonts w:hint="eastAsia" w:ascii="仿宋_GB2312" w:hAnsi="仿宋_GB2312" w:eastAsia="仿宋_GB2312" w:cs="仿宋_GB2312"/>
          <w:sz w:val="32"/>
          <w:szCs w:val="32"/>
        </w:rPr>
        <w:t>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年资产合计</w:t>
      </w:r>
      <w:r>
        <w:rPr>
          <w:rFonts w:hint="eastAsia" w:ascii="仿宋_GB2312" w:hAnsi="仿宋_GB2312" w:eastAsia="仿宋_GB2312" w:cs="仿宋_GB2312"/>
          <w:sz w:val="32"/>
          <w:szCs w:val="32"/>
          <w:lang w:val="en-US" w:eastAsia="zh-CN"/>
        </w:rPr>
        <w:t>19796.39万</w:t>
      </w:r>
      <w:r>
        <w:rPr>
          <w:rFonts w:hint="eastAsia" w:ascii="仿宋_GB2312" w:hAnsi="仿宋_GB2312" w:eastAsia="仿宋_GB2312" w:cs="仿宋_GB2312"/>
          <w:sz w:val="32"/>
          <w:szCs w:val="32"/>
        </w:rPr>
        <w:t>元，负债</w:t>
      </w:r>
      <w:r>
        <w:rPr>
          <w:rFonts w:hint="eastAsia" w:ascii="仿宋_GB2312" w:hAnsi="仿宋_GB2312" w:eastAsia="仿宋_GB2312" w:cs="仿宋_GB2312"/>
          <w:sz w:val="32"/>
          <w:szCs w:val="32"/>
          <w:lang w:val="en-US" w:eastAsia="zh-CN"/>
        </w:rPr>
        <w:t>1339.6万</w:t>
      </w:r>
      <w:r>
        <w:rPr>
          <w:rFonts w:hint="eastAsia" w:ascii="仿宋_GB2312" w:hAnsi="仿宋_GB2312" w:eastAsia="仿宋_GB2312" w:cs="仿宋_GB2312"/>
          <w:sz w:val="32"/>
          <w:szCs w:val="32"/>
        </w:rPr>
        <w:t>元，净资产合计</w:t>
      </w:r>
      <w:r>
        <w:rPr>
          <w:rFonts w:hint="eastAsia" w:ascii="仿宋_GB2312" w:hAnsi="仿宋_GB2312" w:eastAsia="仿宋_GB2312" w:cs="仿宋_GB2312"/>
          <w:sz w:val="32"/>
          <w:szCs w:val="32"/>
          <w:lang w:val="en-US" w:eastAsia="zh-CN"/>
        </w:rPr>
        <w:t>18084.75万</w:t>
      </w:r>
      <w:r>
        <w:rPr>
          <w:rFonts w:hint="eastAsia" w:ascii="仿宋_GB2312" w:hAnsi="仿宋_GB2312" w:eastAsia="仿宋_GB2312" w:cs="仿宋_GB2312"/>
          <w:sz w:val="32"/>
          <w:szCs w:val="32"/>
        </w:rPr>
        <w:t>元；相比有所减少，主要是对企业的补助资金减少。</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hAnsi="仿宋" w:eastAsia="仿宋_GB2312"/>
          <w:sz w:val="30"/>
          <w:szCs w:val="30"/>
        </w:rPr>
      </w:pPr>
      <w:r>
        <w:rPr>
          <w:rFonts w:hint="eastAsia" w:ascii="仿宋_GB2312" w:hAnsi="楷体" w:eastAsia="仿宋_GB2312" w:cs="宋体"/>
          <w:b/>
          <w:color w:val="000000"/>
          <w:kern w:val="0"/>
          <w:sz w:val="32"/>
          <w:szCs w:val="32"/>
          <w:lang w:val="zh-CN"/>
        </w:rPr>
        <w:t>（四）整体绩效</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000000"/>
          <w:kern w:val="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hint="eastAsia" w:ascii="仿宋_GB2312" w:hAnsi="仿宋" w:eastAsia="仿宋_GB2312" w:cs="仿宋"/>
          <w:color w:val="000000"/>
          <w:kern w:val="0"/>
          <w:sz w:val="32"/>
          <w:szCs w:val="32"/>
        </w:rPr>
        <w:t>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rPr>
      </w:pPr>
      <w:r>
        <w:rPr>
          <w:rFonts w:hint="eastAsia" w:ascii="仿宋_GB2312" w:hAnsi="仿宋_GB2312" w:eastAsia="仿宋_GB2312" w:cs="仿宋_GB2312"/>
          <w:sz w:val="32"/>
          <w:szCs w:val="32"/>
        </w:rPr>
        <w:t>本部门在2021年度部门决算中反映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茂县生态农业综合（扶贫）开发产业园区-全自动水果分拣包装线和气调库（一期项目）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2021年革命老区电力提升改造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、“2021年工业发展应急资金”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2021年贴息贷款补助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、“2021年第三批疫情防控临时电价补助”</w:t>
      </w:r>
      <w:r>
        <w:rPr>
          <w:rFonts w:hint="eastAsia" w:ascii="仿宋_GB2312" w:hAnsi="仿宋_GB2312" w:eastAsia="仿宋_GB2312" w:cs="仿宋_GB2312"/>
          <w:sz w:val="32"/>
          <w:szCs w:val="32"/>
        </w:rPr>
        <w:t>等5个项目绩效目标实际完成情况等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67" w:name="_Toc21965"/>
      <w:bookmarkStart w:id="168" w:name="_Toc21226"/>
      <w:bookmarkStart w:id="169" w:name="_Toc4984"/>
      <w:r>
        <w:rPr>
          <w:rFonts w:hint="eastAsia" w:ascii="黑体" w:eastAsia="黑体" w:cs="宋体"/>
          <w:color w:val="000000"/>
          <w:kern w:val="0"/>
          <w:sz w:val="32"/>
          <w:szCs w:val="32"/>
          <w:shd w:val="clear" w:color="auto" w:fill="FFFFFF"/>
        </w:rPr>
        <w:t>四、评价结论及建议</w:t>
      </w:r>
      <w:bookmarkEnd w:id="167"/>
      <w:bookmarkEnd w:id="168"/>
      <w:bookmarkEnd w:id="169"/>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存在问题</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1.基本支出经费保障水平偏低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综合近几年我局批复预算看，预算执行基本围绕保人员经费、保正常运转进行。从决算情况看，基本支出比重比较大。</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2.科学合理编制预算，严格执行预算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3.完善管理制度，进一步加强资产管理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贯彻落实中央“八项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sz w:val="32"/>
          <w:szCs w:val="32"/>
        </w:rPr>
        <w:t>4.绩效目标设定有待更科学更合理</w:t>
      </w:r>
    </w:p>
    <w:p>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left="0" w:leftChars="0"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改进建议</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outlineLvl w:val="1"/>
        <w:rPr>
          <w:rFonts w:hint="eastAsia" w:ascii="黑体" w:hAnsi="黑体" w:eastAsia="黑体" w:cs="黑体"/>
          <w:sz w:val="32"/>
          <w:szCs w:val="32"/>
          <w:lang w:val="en-US" w:eastAsia="zh-CN"/>
        </w:rPr>
      </w:pPr>
      <w:bookmarkStart w:id="170" w:name="_Toc13296"/>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bookmarkEnd w:id="170"/>
    </w:p>
    <w:p>
      <w:pPr>
        <w:spacing w:line="600" w:lineRule="exact"/>
        <w:jc w:val="center"/>
        <w:rPr>
          <w:rFonts w:ascii="方正小标宋简体" w:hAnsi="宋体" w:eastAsia="方正小标宋简体"/>
          <w:b/>
          <w:bCs/>
          <w:color w:val="000000"/>
          <w:kern w:val="0"/>
          <w:sz w:val="36"/>
          <w:szCs w:val="36"/>
        </w:rPr>
      </w:pPr>
      <w:r>
        <w:rPr>
          <w:rFonts w:hint="eastAsia" w:ascii="方正小标宋简体" w:hAnsi="宋体" w:eastAsia="方正小标宋简体"/>
          <w:b/>
          <w:bCs/>
          <w:color w:val="000000"/>
          <w:kern w:val="0"/>
          <w:sz w:val="36"/>
          <w:szCs w:val="36"/>
        </w:rPr>
        <w:t>茂县生态农业综合（扶贫）开发产业园</w:t>
      </w:r>
      <w:r>
        <w:rPr>
          <w:rFonts w:ascii="方正小标宋简体" w:hAnsi="宋体" w:eastAsia="方正小标宋简体"/>
          <w:b/>
          <w:bCs/>
          <w:color w:val="000000"/>
          <w:kern w:val="0"/>
          <w:sz w:val="36"/>
          <w:szCs w:val="36"/>
        </w:rPr>
        <w:t>-</w:t>
      </w:r>
    </w:p>
    <w:p>
      <w:pPr>
        <w:spacing w:line="600" w:lineRule="exact"/>
        <w:jc w:val="center"/>
        <w:rPr>
          <w:rFonts w:hint="eastAsia" w:ascii="方正小标宋简体" w:hAnsi="宋体" w:eastAsia="方正小标宋简体"/>
          <w:color w:val="000000"/>
          <w:kern w:val="0"/>
          <w:sz w:val="36"/>
          <w:szCs w:val="36"/>
          <w:lang w:val="zh-CN"/>
        </w:rPr>
      </w:pPr>
      <w:r>
        <w:rPr>
          <w:rFonts w:hint="eastAsia" w:ascii="方正小标宋简体" w:hAnsi="宋体" w:eastAsia="方正小标宋简体"/>
          <w:b/>
          <w:bCs/>
          <w:color w:val="000000"/>
          <w:kern w:val="0"/>
          <w:sz w:val="36"/>
          <w:szCs w:val="36"/>
        </w:rPr>
        <w:t>自动分拣包装线和气调库</w:t>
      </w:r>
      <w:r>
        <w:rPr>
          <w:rFonts w:hint="eastAsia" w:ascii="方正小标宋简体" w:hAnsi="宋体" w:eastAsia="方正小标宋简体"/>
          <w:b/>
          <w:bCs/>
          <w:color w:val="000000"/>
          <w:kern w:val="0"/>
          <w:sz w:val="36"/>
          <w:szCs w:val="36"/>
          <w:lang w:val="zh-CN"/>
        </w:rPr>
        <w:t>绩效评价报告</w:t>
      </w: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171" w:name="_Toc22170"/>
      <w:bookmarkStart w:id="172" w:name="_Toc29467"/>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171"/>
      <w:bookmarkEnd w:id="172"/>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lang w:val="zh-CN"/>
        </w:rPr>
        <w:t>督导茂县鑫农产业服务有限责任公司加强项目的进度和实施。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茂县发展和改革关于茂县生态农业综合（扶贫）开发产业园区-全自动水果分拣包装线和气调库建设项目可行性研究报告的批复（茂发改行审【2019】92号）。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拨付资金时严格按照茂县鑫农产业服务有限责任公司向我单位提交资金申请，把资金统一拨付给该公司，再由该公司拨付给施工单位或者设备采购单位。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项目主要内容：对自动水果分拣包装线和气调库进行改造，改造面积1800平米及购置相关设施设备。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项目应实现的具体绩效目标，项目进度已完成95%。</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分析评价申报内容与实际相符，申报目标合理可行。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项目绩效自评与浙江对口部门以及县级相关部门进行现场验收，均已得到较好的评价。</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73" w:name="_Toc13742"/>
      <w:bookmarkStart w:id="174" w:name="_Toc4824"/>
      <w:bookmarkStart w:id="175" w:name="_Toc7286"/>
      <w:r>
        <w:rPr>
          <w:rFonts w:hint="eastAsia" w:ascii="仿宋_GB2312" w:hAnsi="仿宋_GB2312" w:eastAsia="仿宋_GB2312" w:cs="仿宋_GB2312"/>
          <w:b/>
          <w:bCs/>
          <w:sz w:val="32"/>
          <w:szCs w:val="32"/>
        </w:rPr>
        <w:t>二、项目资金申报及使用情况</w:t>
      </w:r>
      <w:bookmarkEnd w:id="173"/>
      <w:bookmarkEnd w:id="174"/>
      <w:bookmarkEnd w:id="175"/>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《省发展改革委关于应发2018年东西部扶贫协作四川省新增资金和项目安排计划的通知》（浙发改帮扶〔201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rPr>
        <w:t>〕411号；《茂县发展和改革关于茂县生态农业综合（扶贫）开发产业园区-全自动水果分拣包装线和气调库建设项目可行性研究报告的批复》（茂发改行审〔2019〕92号），拨付资金105.09万元。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资金计划：资金来源为：浙江对口帮扶资金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资金到位：</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lang w:val="zh-CN"/>
        </w:rPr>
        <w:t>万元，全部为浙江对口帮扶资金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资金使用：</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lang w:val="zh-CN"/>
        </w:rPr>
        <w:t>万元已经全额拨付给茂县鑫农产业服务有限责任公司，资金支付范围、支付标准、支付进度、支付依据等合规合法、与预算相符。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76" w:name="_Toc1875"/>
      <w:bookmarkStart w:id="177" w:name="_Toc16890"/>
      <w:bookmarkStart w:id="178" w:name="_Toc8220"/>
      <w:r>
        <w:rPr>
          <w:rFonts w:hint="eastAsia" w:ascii="仿宋_GB2312" w:hAnsi="仿宋_GB2312" w:eastAsia="仿宋_GB2312" w:cs="仿宋_GB2312"/>
          <w:b/>
          <w:bCs/>
          <w:sz w:val="32"/>
          <w:szCs w:val="32"/>
        </w:rPr>
        <w:t>三、项目实施及管理情况</w:t>
      </w:r>
      <w:bookmarkEnd w:id="176"/>
      <w:bookmarkEnd w:id="177"/>
      <w:bookmarkEnd w:id="178"/>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领导重视、制度完善，我局根据工作需要，由计划的开展报账程序，明确责任，专款专用。</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本项目支出均按照有关规章制度和项目实施完成情况进行支付；项目已建立了独立的台账。</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我单位为加强项目管理所采取的监管手段、监管程序、监管工作开展情况及实现均已产生较好的效果，项目完成进度较快。</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179" w:name="_Toc20084"/>
      <w:bookmarkStart w:id="180" w:name="_Toc26187"/>
      <w:bookmarkStart w:id="181" w:name="_Toc5942"/>
      <w:r>
        <w:rPr>
          <w:rFonts w:hint="eastAsia" w:ascii="仿宋_GB2312" w:hAnsi="仿宋_GB2312" w:eastAsia="仿宋_GB2312" w:cs="仿宋_GB2312"/>
          <w:b/>
          <w:bCs/>
          <w:sz w:val="32"/>
          <w:szCs w:val="32"/>
        </w:rPr>
        <w:t>四、项目绩效情况</w:t>
      </w:r>
      <w:bookmarkEnd w:id="179"/>
      <w:bookmarkEnd w:id="180"/>
      <w:bookmarkEnd w:id="181"/>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该项目已完成了总工程进度的95%，剩余质保金待质保期到了，一并支付。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从项目经济效益上使全县人民有了更好的销售水果平台，社会效益上使全县人民在经济和生活水平上得到更高的收益，服务对象满意度等得到一直的好评。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82" w:name="_Toc28264"/>
      <w:bookmarkStart w:id="183" w:name="_Toc9802"/>
      <w:bookmarkStart w:id="184" w:name="_Toc28154"/>
      <w:r>
        <w:rPr>
          <w:rFonts w:hint="eastAsia" w:ascii="仿宋_GB2312" w:hAnsi="仿宋_GB2312" w:eastAsia="仿宋_GB2312" w:cs="仿宋_GB2312"/>
          <w:b/>
          <w:bCs/>
          <w:sz w:val="32"/>
          <w:szCs w:val="32"/>
        </w:rPr>
        <w:t>五、评价结论及建议</w:t>
      </w:r>
      <w:bookmarkEnd w:id="182"/>
      <w:bookmarkEnd w:id="183"/>
      <w:bookmarkEnd w:id="184"/>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该项目的支出绩效评价已基本完成，达到预期的效果，为我县社会营造良好风气。</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厂房及设备的维护不到位。</w:t>
      </w:r>
      <w:r>
        <w:rPr>
          <w:rFonts w:hint="eastAsia" w:ascii="仿宋_GB2312" w:hAnsi="仿宋_GB2312" w:eastAsia="仿宋_GB2312" w:cs="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加强后续厂房及设备的维护以及平台的宣传及利用，这样这个项目才能得到更好的利用和发挥更好的作用。</w:t>
      </w:r>
      <w:r>
        <w:rPr>
          <w:rFonts w:hint="eastAsia" w:ascii="仿宋_GB2312" w:hAnsi="仿宋_GB2312" w:eastAsia="仿宋_GB2312" w:cs="仿宋_GB2312"/>
          <w:sz w:val="32"/>
          <w:szCs w:val="32"/>
          <w:lang w:val="zh-CN"/>
        </w:rPr>
        <w:tab/>
      </w:r>
    </w:p>
    <w:p>
      <w:pPr>
        <w:spacing w:line="580" w:lineRule="exact"/>
        <w:ind w:firstLine="640" w:firstLineChars="200"/>
        <w:rPr>
          <w:rFonts w:hint="eastAsia" w:ascii="仿宋_GB2312" w:hAns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outlineLvl w:val="1"/>
        <w:rPr>
          <w:rFonts w:hint="eastAsia" w:ascii="黑体" w:hAnsi="黑体" w:eastAsia="黑体" w:cs="黑体"/>
          <w:b/>
          <w:bCs/>
          <w:sz w:val="32"/>
          <w:szCs w:val="32"/>
          <w:lang w:val="en-US" w:eastAsia="zh-CN"/>
        </w:rPr>
      </w:pPr>
      <w:bookmarkStart w:id="185" w:name="_Toc7076"/>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3</w:t>
      </w:r>
      <w:bookmarkEnd w:id="185"/>
    </w:p>
    <w:p>
      <w:pPr>
        <w:spacing w:line="600" w:lineRule="exact"/>
        <w:jc w:val="center"/>
        <w:outlineLvl w:val="0"/>
        <w:rPr>
          <w:rFonts w:hint="eastAsia" w:ascii="仿宋_GB2312" w:hAnsi="仿宋_GB2312" w:eastAsia="仿宋_GB2312" w:cs="仿宋_GB2312"/>
          <w:b/>
          <w:bCs w:val="0"/>
          <w:sz w:val="36"/>
          <w:szCs w:val="36"/>
          <w:lang w:eastAsia="zh-CN"/>
        </w:rPr>
      </w:pPr>
      <w:bookmarkStart w:id="186" w:name="_Toc2612"/>
      <w:r>
        <w:rPr>
          <w:rFonts w:hint="eastAsia" w:ascii="仿宋_GB2312" w:hAnsi="仿宋_GB2312" w:eastAsia="仿宋_GB2312" w:cs="仿宋_GB2312"/>
          <w:b/>
          <w:bCs w:val="0"/>
          <w:sz w:val="36"/>
          <w:szCs w:val="36"/>
          <w:lang w:eastAsia="zh-CN"/>
        </w:rPr>
        <w:t>茂县生态农业综合（扶贫）</w:t>
      </w:r>
      <w:bookmarkEnd w:id="186"/>
    </w:p>
    <w:p>
      <w:pPr>
        <w:spacing w:line="600" w:lineRule="exact"/>
        <w:jc w:val="center"/>
        <w:outlineLvl w:val="0"/>
        <w:rPr>
          <w:rFonts w:hint="eastAsia" w:ascii="仿宋_GB2312" w:hAnsi="仿宋_GB2312" w:eastAsia="仿宋_GB2312" w:cs="仿宋_GB2312"/>
          <w:b/>
          <w:bCs w:val="0"/>
          <w:sz w:val="36"/>
          <w:szCs w:val="36"/>
        </w:rPr>
      </w:pPr>
      <w:bookmarkStart w:id="187" w:name="_Toc6017"/>
      <w:bookmarkStart w:id="188" w:name="_Toc18119"/>
      <w:bookmarkStart w:id="189" w:name="_Toc24947"/>
      <w:r>
        <w:rPr>
          <w:rFonts w:hint="eastAsia" w:ascii="仿宋_GB2312" w:hAnsi="仿宋_GB2312" w:eastAsia="仿宋_GB2312" w:cs="仿宋_GB2312"/>
          <w:b/>
          <w:bCs w:val="0"/>
          <w:sz w:val="36"/>
          <w:szCs w:val="36"/>
          <w:lang w:eastAsia="zh-CN"/>
        </w:rPr>
        <w:t>产业园</w:t>
      </w:r>
      <w:r>
        <w:rPr>
          <w:rFonts w:hint="eastAsia" w:ascii="仿宋_GB2312" w:hAnsi="仿宋_GB2312" w:eastAsia="仿宋_GB2312" w:cs="仿宋_GB2312"/>
          <w:b/>
          <w:bCs w:val="0"/>
          <w:sz w:val="36"/>
          <w:szCs w:val="36"/>
        </w:rPr>
        <w:t>项目</w:t>
      </w:r>
      <w:r>
        <w:rPr>
          <w:rFonts w:hint="eastAsia" w:ascii="仿宋_GB2312" w:hAnsi="仿宋_GB2312" w:eastAsia="仿宋_GB2312" w:cs="仿宋_GB2312"/>
          <w:b/>
          <w:bCs w:val="0"/>
          <w:sz w:val="36"/>
          <w:szCs w:val="36"/>
          <w:lang w:eastAsia="zh-CN"/>
        </w:rPr>
        <w:t>（三期）</w:t>
      </w:r>
      <w:r>
        <w:rPr>
          <w:rFonts w:hint="eastAsia" w:ascii="仿宋_GB2312" w:hAnsi="仿宋_GB2312" w:eastAsia="仿宋_GB2312" w:cs="仿宋_GB2312"/>
          <w:b/>
          <w:bCs w:val="0"/>
          <w:sz w:val="36"/>
          <w:szCs w:val="36"/>
        </w:rPr>
        <w:t>绩效评价报告</w:t>
      </w:r>
      <w:bookmarkEnd w:id="187"/>
      <w:bookmarkEnd w:id="188"/>
      <w:bookmarkEnd w:id="189"/>
    </w:p>
    <w:p>
      <w:pPr>
        <w:pStyle w:val="2"/>
        <w:rPr>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190" w:name="_Toc17883"/>
      <w:bookmarkStart w:id="191" w:name="_Toc16210"/>
      <w:bookmarkStart w:id="192" w:name="_Toc27511"/>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190"/>
      <w:bookmarkEnd w:id="191"/>
      <w:bookmarkEnd w:id="192"/>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outlineLvl w:val="0"/>
        <w:rPr>
          <w:rFonts w:hint="eastAsia" w:ascii="仿宋_GB2312" w:hAnsi="仿宋_GB2312" w:eastAsia="仿宋_GB2312" w:cs="仿宋_GB2312"/>
          <w:b w:val="0"/>
          <w:bCs/>
          <w:sz w:val="32"/>
          <w:szCs w:val="32"/>
          <w:lang w:eastAsia="zh-CN"/>
        </w:rPr>
      </w:pPr>
      <w:bookmarkStart w:id="193" w:name="_Toc30202"/>
      <w:bookmarkStart w:id="194" w:name="_Toc21666"/>
      <w:bookmarkStart w:id="195" w:name="_Toc21353"/>
      <w:r>
        <w:rPr>
          <w:rFonts w:hint="eastAsia" w:ascii="仿宋_GB2312" w:hAnsi="仿宋_GB2312" w:eastAsia="仿宋_GB2312" w:cs="仿宋_GB2312"/>
          <w:sz w:val="32"/>
          <w:szCs w:val="32"/>
          <w:lang w:val="zh-CN"/>
        </w:rPr>
        <w:t>1．督导</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w:t>
      </w:r>
      <w:bookmarkEnd w:id="193"/>
      <w:bookmarkEnd w:id="194"/>
      <w:bookmarkEnd w:id="195"/>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项目资金的使用情况。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（三期）的可行性研究报告及批复（茂发改行审【</w:t>
      </w:r>
      <w:r>
        <w:rPr>
          <w:rFonts w:hint="eastAsia" w:ascii="仿宋_GB2312" w:hAnsi="仿宋_GB2312" w:eastAsia="仿宋_GB2312" w:cs="仿宋_GB2312"/>
          <w:b w:val="0"/>
          <w:bCs/>
          <w:sz w:val="32"/>
          <w:szCs w:val="32"/>
          <w:lang w:val="en-US" w:eastAsia="zh-CN"/>
        </w:rPr>
        <w:t>2019</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122号文件</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4．指定用于</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（三期）项目，</w:t>
      </w:r>
      <w:r>
        <w:rPr>
          <w:rFonts w:hint="eastAsia" w:ascii="仿宋_GB2312" w:hAnsi="仿宋_GB2312" w:eastAsia="仿宋_GB2312" w:cs="仿宋_GB2312"/>
          <w:sz w:val="32"/>
          <w:szCs w:val="32"/>
          <w:lang w:val="zh-CN"/>
        </w:rPr>
        <w:t>拨付资金时严格按照茂县鑫农产业服务有限责任公司向我单位提交资金申请，把资金统一拨付给该公司，再由该公司拨付给施工单位或者设备采购单位。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pStyle w:val="7"/>
        <w:keepNext w:val="0"/>
        <w:keepLines w:val="0"/>
        <w:pageBreakBefore w:val="0"/>
        <w:widowControl w:val="0"/>
        <w:kinsoku/>
        <w:wordWrap/>
        <w:overflowPunct/>
        <w:topLinePunct w:val="0"/>
        <w:autoSpaceDE/>
        <w:autoSpaceDN/>
        <w:bidi w:val="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仓储综合标准厂房及其生产性服务基础设施，加工标准厂房主要设计为单层钢架结构厂房；总平配套工程包括土石方、工程照明，水电气管网系统，安防系统</w:t>
      </w:r>
      <w:r>
        <w:rPr>
          <w:rFonts w:hint="eastAsia" w:ascii="仿宋_GB2312" w:hAnsi="仿宋_GB2312" w:eastAsia="仿宋_GB2312" w:cs="仿宋_GB2312"/>
          <w:sz w:val="32"/>
          <w:szCs w:val="32"/>
          <w:lang w:val="en-US" w:eastAsia="zh-CN"/>
        </w:rPr>
        <w:t>(园区监控及消防）等基础设施建设。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项目应实现的具体绩效目标，项目进度已完成</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分析评价申报内容与实际相符，申报目标合理可行。</w:t>
      </w: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项目绩效自评与浙江对口部门以及县级相关部门进行现场验收，均已得到较好的评价。</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96" w:name="_Toc3958"/>
      <w:bookmarkStart w:id="197" w:name="_Toc6982"/>
      <w:bookmarkStart w:id="198" w:name="_Toc8221"/>
      <w:r>
        <w:rPr>
          <w:rFonts w:hint="eastAsia" w:ascii="仿宋_GB2312" w:hAnsi="仿宋_GB2312" w:eastAsia="仿宋_GB2312" w:cs="仿宋_GB2312"/>
          <w:b/>
          <w:bCs/>
          <w:sz w:val="32"/>
          <w:szCs w:val="32"/>
        </w:rPr>
        <w:t>二、项目资金申报及使用情况</w:t>
      </w:r>
      <w:bookmarkEnd w:id="196"/>
      <w:bookmarkEnd w:id="197"/>
      <w:bookmarkEnd w:id="198"/>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浙发改帮扶〔20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lang w:val="zh-CN"/>
        </w:rPr>
        <w:t>号，茂受援办函【</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3号文件</w:t>
      </w:r>
      <w:r>
        <w:rPr>
          <w:rFonts w:hint="eastAsia" w:ascii="仿宋_GB2312" w:hAnsi="仿宋_GB2312" w:eastAsia="仿宋_GB2312" w:cs="仿宋_GB2312"/>
          <w:sz w:val="32"/>
          <w:szCs w:val="32"/>
          <w:lang w:val="zh-CN"/>
        </w:rPr>
        <w:t>；《</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sz w:val="32"/>
          <w:szCs w:val="32"/>
          <w:lang w:val="zh-CN"/>
        </w:rPr>
        <w:t>建设项目可行性研究报告的批复》（</w:t>
      </w:r>
      <w:r>
        <w:rPr>
          <w:rFonts w:hint="eastAsia" w:ascii="仿宋_GB2312" w:hAnsi="仿宋_GB2312" w:eastAsia="仿宋_GB2312" w:cs="仿宋_GB2312"/>
          <w:b w:val="0"/>
          <w:bCs/>
          <w:sz w:val="32"/>
          <w:szCs w:val="32"/>
          <w:lang w:eastAsia="zh-CN"/>
        </w:rPr>
        <w:t>茂发改行审【</w:t>
      </w:r>
      <w:r>
        <w:rPr>
          <w:rFonts w:hint="eastAsia" w:ascii="仿宋_GB2312" w:hAnsi="仿宋_GB2312" w:eastAsia="仿宋_GB2312" w:cs="仿宋_GB2312"/>
          <w:b w:val="0"/>
          <w:bCs/>
          <w:sz w:val="32"/>
          <w:szCs w:val="32"/>
          <w:lang w:val="en-US" w:eastAsia="zh-CN"/>
        </w:rPr>
        <w:t>2019</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122号</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1．资金计划：资金来源为：浙江对口帮扶资金。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lang w:val="en-US" w:eastAsia="zh-CN"/>
        </w:rPr>
        <w:t>387.24</w:t>
      </w:r>
      <w:r>
        <w:rPr>
          <w:rFonts w:hint="eastAsia" w:ascii="仿宋_GB2312" w:hAnsi="仿宋_GB2312" w:eastAsia="仿宋_GB2312" w:cs="仿宋_GB2312"/>
          <w:sz w:val="32"/>
          <w:szCs w:val="32"/>
          <w:lang w:val="zh-CN"/>
        </w:rPr>
        <w:t>万元，全部为浙江对口帮扶资金。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lang w:val="en-US" w:eastAsia="zh-CN"/>
        </w:rPr>
        <w:t>387.24</w:t>
      </w:r>
      <w:r>
        <w:rPr>
          <w:rFonts w:hint="eastAsia" w:ascii="仿宋_GB2312" w:hAnsi="仿宋_GB2312" w:eastAsia="仿宋_GB2312" w:cs="仿宋_GB2312"/>
          <w:sz w:val="32"/>
          <w:szCs w:val="32"/>
          <w:lang w:val="zh-CN"/>
        </w:rPr>
        <w:t>万元已经全额拨付给茂县鑫农产业服务有限责任公司，资金支付范围、支付标准、支付进度、支付依据等合规合法、与预算相符。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99" w:name="_Toc24919"/>
      <w:bookmarkStart w:id="200" w:name="_Toc17061"/>
      <w:bookmarkStart w:id="201" w:name="_Toc24968"/>
      <w:r>
        <w:rPr>
          <w:rFonts w:hint="eastAsia" w:ascii="仿宋_GB2312" w:hAnsi="仿宋_GB2312" w:eastAsia="仿宋_GB2312" w:cs="仿宋_GB2312"/>
          <w:b/>
          <w:bCs/>
          <w:sz w:val="32"/>
          <w:szCs w:val="32"/>
        </w:rPr>
        <w:t>三、项目实施及管理情况</w:t>
      </w:r>
      <w:bookmarkEnd w:id="199"/>
      <w:bookmarkEnd w:id="200"/>
      <w:bookmarkEnd w:id="201"/>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领导重视、制度完善，我局根据工作需要，由计划的开展报账程序，明确责任，专款专用。</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（二）项目管理情况。</w:t>
      </w:r>
      <w:r>
        <w:rPr>
          <w:rFonts w:hint="eastAsia" w:ascii="仿宋_GB2312" w:hAnsi="仿宋_GB2312" w:eastAsia="仿宋_GB2312" w:cs="仿宋_GB2312"/>
          <w:sz w:val="32"/>
          <w:szCs w:val="32"/>
          <w:lang w:val="zh-CN"/>
        </w:rPr>
        <w:t>本项目支出均按照有关规章制度和项目实施完成情况进行支付；项目已建立了独立的台账。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（三）项目监管情况。</w:t>
      </w:r>
      <w:r>
        <w:rPr>
          <w:rFonts w:hint="eastAsia" w:ascii="仿宋_GB2312" w:hAnsi="仿宋_GB2312" w:eastAsia="仿宋_GB2312" w:cs="仿宋_GB2312"/>
          <w:sz w:val="32"/>
          <w:szCs w:val="32"/>
          <w:lang w:val="zh-CN"/>
        </w:rPr>
        <w:t>我单位为加强项目管理所采取的监管手段、监管程序、监管工作开展情况及实现均已产生较好的效果，项目完成进度较快。</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02" w:name="_Toc19219"/>
      <w:bookmarkStart w:id="203" w:name="_Toc15961"/>
      <w:bookmarkStart w:id="204" w:name="_Toc10357"/>
      <w:r>
        <w:rPr>
          <w:rFonts w:hint="eastAsia" w:ascii="仿宋_GB2312" w:hAnsi="仿宋_GB2312" w:eastAsia="仿宋_GB2312" w:cs="仿宋_GB2312"/>
          <w:b/>
          <w:bCs/>
          <w:sz w:val="32"/>
          <w:szCs w:val="32"/>
        </w:rPr>
        <w:t>四、项目绩效情况</w:t>
      </w:r>
      <w:bookmarkEnd w:id="202"/>
      <w:bookmarkEnd w:id="203"/>
      <w:bookmarkEnd w:id="204"/>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该项目已完成了总工程进度的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%，剩余工程款进度完成后，一并支付。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从项目经济效益上使全县人民有了更好的销售水果平台，社会效益上使全县人民在经济和生活水平上得到更高的收益，服务对象满意度等得到一直的好评。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05" w:name="_Toc22490"/>
      <w:bookmarkStart w:id="206" w:name="_Toc5529"/>
      <w:bookmarkStart w:id="207" w:name="_Toc2761"/>
      <w:r>
        <w:rPr>
          <w:rFonts w:hint="eastAsia" w:ascii="仿宋_GB2312" w:hAnsi="仿宋_GB2312" w:eastAsia="仿宋_GB2312" w:cs="仿宋_GB2312"/>
          <w:b/>
          <w:bCs/>
          <w:sz w:val="32"/>
          <w:szCs w:val="32"/>
        </w:rPr>
        <w:t>五、评价结论及建议</w:t>
      </w:r>
      <w:bookmarkEnd w:id="205"/>
      <w:bookmarkEnd w:id="206"/>
      <w:bookmarkEnd w:id="207"/>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该项目的支出绩效评价已基本完成，达到预期的效果，为我县社会营造良好风气。</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厂房及设备的维护不及时，宣传和利用不到位。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pStyle w:val="7"/>
        <w:keepNext w:val="0"/>
        <w:keepLines w:val="0"/>
        <w:pageBreakBefore w:val="0"/>
        <w:widowControl w:val="0"/>
        <w:kinsoku/>
        <w:wordWrap/>
        <w:overflowPunct/>
        <w:topLinePunct w:val="0"/>
        <w:autoSpaceDE/>
        <w:autoSpaceDN/>
        <w:bidi w:val="0"/>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加强后续厂房及设备的维护及宣传和利用，这个项目才能得到更好的利用和发挥更好的作用。</w:t>
      </w:r>
    </w:p>
    <w:p>
      <w:pPr>
        <w:pStyle w:val="2"/>
        <w:rPr>
          <w:rFonts w:hint="eastAsia" w:ascii="仿宋_GB2312" w:hAns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spacing w:line="600" w:lineRule="exact"/>
        <w:jc w:val="left"/>
        <w:outlineLvl w:val="1"/>
        <w:rPr>
          <w:rFonts w:hint="eastAsia" w:ascii="黑体" w:eastAsia="黑体" w:cs="黑体"/>
          <w:sz w:val="32"/>
          <w:szCs w:val="32"/>
          <w:lang w:val="en-US" w:eastAsia="zh-CN"/>
        </w:rPr>
      </w:pPr>
      <w:bookmarkStart w:id="208" w:name="_Toc79163633"/>
      <w:bookmarkStart w:id="209" w:name="_Toc79163883"/>
      <w:bookmarkStart w:id="210" w:name="_Toc27265"/>
      <w:r>
        <w:rPr>
          <w:rFonts w:hint="eastAsia" w:ascii="黑体" w:eastAsia="黑体" w:cs="黑体"/>
          <w:sz w:val="32"/>
          <w:szCs w:val="32"/>
        </w:rPr>
        <w:t>附件</w:t>
      </w:r>
      <w:bookmarkEnd w:id="208"/>
      <w:bookmarkEnd w:id="209"/>
      <w:r>
        <w:rPr>
          <w:rFonts w:hint="eastAsia" w:ascii="黑体" w:eastAsia="黑体" w:cs="黑体"/>
          <w:sz w:val="32"/>
          <w:szCs w:val="32"/>
          <w:lang w:val="en-US" w:eastAsia="zh-CN"/>
        </w:rPr>
        <w:t>4</w:t>
      </w:r>
      <w:bookmarkEnd w:id="210"/>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211" w:name="_Toc79163634"/>
      <w:bookmarkStart w:id="212" w:name="_Toc79163884"/>
      <w:bookmarkStart w:id="213" w:name="_Toc12593"/>
      <w:r>
        <w:rPr>
          <w:rFonts w:hint="eastAsia" w:ascii="方正小标宋简体" w:eastAsia="方正小标宋简体" w:cs="黑体"/>
          <w:sz w:val="44"/>
          <w:szCs w:val="44"/>
          <w:lang w:val="en-US" w:eastAsia="zh-CN"/>
        </w:rPr>
        <w:t>2021年革命老区电力提升</w:t>
      </w:r>
      <w:r>
        <w:rPr>
          <w:rFonts w:hint="eastAsia" w:ascii="方正小标宋简体" w:eastAsia="方正小标宋简体" w:cs="黑体"/>
          <w:sz w:val="44"/>
          <w:szCs w:val="44"/>
        </w:rPr>
        <w:t>绩效评价报告</w:t>
      </w:r>
      <w:bookmarkEnd w:id="211"/>
      <w:bookmarkEnd w:id="212"/>
      <w:bookmarkEnd w:id="213"/>
    </w:p>
    <w:p>
      <w:pPr>
        <w:spacing w:line="600" w:lineRule="exact"/>
        <w:rPr>
          <w:rFonts w:ascii="宋体"/>
          <w:sz w:val="32"/>
          <w:szCs w:val="32"/>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214" w:name="_Toc29934"/>
      <w:bookmarkStart w:id="215" w:name="_Toc12209"/>
      <w:bookmarkStart w:id="216" w:name="_Toc19661"/>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214"/>
      <w:bookmarkEnd w:id="215"/>
      <w:bookmarkEnd w:id="216"/>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1．茂县经信局为该项目建设单位。负责项目建设推进，竣工结算，项目资金支付。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茂县凤仪镇顺城村等7个乡镇9个村，现部分10KV电力线路由于未进行农村电网改造提升，线路主干线偏小，供电安全性、可靠性、稳定性差，供电能力不足，不能满足负荷发展需求。为消除农村电网低电压、配变过载运行等问题，提高供电能力和电压质量，保障群众“用好电、电好用”，全面提升配网供电能力和供电质量等相关问题，拟建该项目。改造提升10KV高压线路、380V/220V线路约25.35公里及附属设施建设，其中：改造提升10KV线路约0.27公里；改造提升380//220V线路约25.08公里；更换变压器13台及附属设施建设</w:t>
      </w:r>
      <w:r>
        <w:rPr>
          <w:rFonts w:hint="eastAsia" w:ascii="仿宋_GB2312" w:hAnsi="仿宋_GB2312"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t>严格按照相关文件规定，专款专用，专户专账</w:t>
      </w:r>
      <w:r>
        <w:rPr>
          <w:rFonts w:hint="eastAsia" w:ascii="仿宋_GB2312" w:hAnsi="仿宋_GB2312" w:eastAsia="仿宋_GB2312" w:cs="仿宋_GB2312"/>
          <w:sz w:val="32"/>
          <w:szCs w:val="32"/>
          <w:lang w:val="zh-CN"/>
        </w:rPr>
        <w:t>，按照项目</w:t>
      </w:r>
      <w:r>
        <w:rPr>
          <w:rFonts w:hint="eastAsia" w:ascii="仿宋_GB2312" w:hAnsi="仿宋_GB2312" w:eastAsia="仿宋_GB2312" w:cs="仿宋_GB2312"/>
          <w:color w:val="000000"/>
          <w:kern w:val="0"/>
          <w:sz w:val="32"/>
          <w:szCs w:val="32"/>
        </w:rPr>
        <w:t>审计结算金额支付项目资金。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4．施工图设计费按照合同约定支付（95%）15.3995万元；按照合同约定支付预算及工程量清单编制1.5万元。</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r>
        <w:rPr>
          <w:rFonts w:hint="eastAsia" w:ascii="仿宋_GB2312" w:hAnsi="仿宋_GB2312" w:eastAsia="仿宋_GB2312" w:cs="仿宋_GB2312"/>
          <w:sz w:val="32"/>
          <w:szCs w:val="32"/>
        </w:rPr>
        <w:t>改造提升10KV高压线路、380V/220V线路约25.35公里及附属设施建设，其中：改造提升10KV线路约0.27公里；改造提升380//220V线路约25.08公里；更换变压器13台及附属设施建设。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 xml:space="preserve"> 项目建设进度100%，于2022年5月竣工验收并投入使用。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查阅资料，按照项目预算安排内容查阅财务资料等步骤及方法,对照项目支出绩效评价指标体系进行自评。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17" w:name="_Toc21108"/>
      <w:bookmarkStart w:id="218" w:name="_Toc24556"/>
      <w:bookmarkStart w:id="219" w:name="_Toc1890"/>
      <w:r>
        <w:rPr>
          <w:rFonts w:hint="eastAsia" w:ascii="仿宋_GB2312" w:hAnsi="仿宋_GB2312" w:eastAsia="仿宋_GB2312" w:cs="仿宋_GB2312"/>
          <w:b/>
          <w:bCs/>
          <w:sz w:val="32"/>
          <w:szCs w:val="32"/>
        </w:rPr>
        <w:t>二、项目资金申报及使用情况</w:t>
      </w:r>
      <w:bookmarkEnd w:id="217"/>
      <w:bookmarkEnd w:id="218"/>
      <w:bookmarkEnd w:id="219"/>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阿坝州茂县2020年革命老区电力改造提升项目，于2020年10月27日经茂县发展和改革局《关于阿坝州茂县2020年革命老区电力改造提升项目可行性研究报告的批复》（茂发改行审〔2020〕136号）批准建设，项目批复总投资508万元（其中：工程费用421.37万元，工程建设其他费用86.63万元）</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1．资金计划：财政资金</w:t>
      </w:r>
      <w:r>
        <w:rPr>
          <w:rFonts w:hint="eastAsia" w:ascii="仿宋_GB2312" w:hAnsi="仿宋_GB2312" w:eastAsia="仿宋_GB2312" w:cs="仿宋_GB2312"/>
          <w:sz w:val="32"/>
          <w:szCs w:val="32"/>
          <w:lang w:val="en-US" w:eastAsia="zh-CN"/>
        </w:rPr>
        <w:t>16.9</w:t>
      </w:r>
      <w:r>
        <w:rPr>
          <w:rFonts w:hint="eastAsia" w:ascii="仿宋_GB2312" w:hAnsi="仿宋_GB2312" w:eastAsia="仿宋_GB2312" w:cs="仿宋_GB2312"/>
          <w:sz w:val="32"/>
          <w:szCs w:val="32"/>
          <w:lang w:val="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2．资金到位：到位资金</w:t>
      </w:r>
      <w:r>
        <w:rPr>
          <w:rFonts w:hint="eastAsia" w:ascii="仿宋_GB2312" w:hAnsi="仿宋_GB2312" w:eastAsia="仿宋_GB2312" w:cs="仿宋_GB2312"/>
          <w:sz w:val="32"/>
          <w:szCs w:val="32"/>
          <w:lang w:val="en-US" w:eastAsia="zh-CN"/>
        </w:rPr>
        <w:t>16.9</w:t>
      </w:r>
      <w:r>
        <w:rPr>
          <w:rFonts w:hint="eastAsia" w:ascii="仿宋_GB2312" w:hAnsi="仿宋_GB2312" w:eastAsia="仿宋_GB2312" w:cs="仿宋_GB2312"/>
          <w:sz w:val="32"/>
          <w:szCs w:val="32"/>
          <w:lang w:val="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3．资金使用：施工图设计费按照合同约定支付（95%）15.3995万元；按照合同约定支付预算及工程量清单编制1.5万元。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总体评价项目实施单位财务管理制度健全，严格执行财务管理制度，账务处理及时，会计核算规范等。</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20" w:name="_Toc22339"/>
      <w:bookmarkStart w:id="221" w:name="_Toc1409"/>
      <w:bookmarkStart w:id="222" w:name="_Toc23059"/>
      <w:r>
        <w:rPr>
          <w:rFonts w:hint="eastAsia" w:ascii="仿宋_GB2312" w:hAnsi="仿宋_GB2312" w:eastAsia="仿宋_GB2312" w:cs="仿宋_GB2312"/>
          <w:b/>
          <w:bCs/>
          <w:sz w:val="32"/>
          <w:szCs w:val="32"/>
        </w:rPr>
        <w:t>三、项目实施及管理情况</w:t>
      </w:r>
      <w:bookmarkEnd w:id="220"/>
      <w:bookmarkEnd w:id="221"/>
      <w:bookmarkEnd w:id="222"/>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组织专人协调推进项目建设，分管领导不定期</w:t>
      </w:r>
      <w:r>
        <w:rPr>
          <w:rFonts w:hint="eastAsia" w:ascii="仿宋_GB2312" w:hAnsi="仿宋_GB2312" w:eastAsia="仿宋_GB2312" w:cs="仿宋_GB2312"/>
          <w:sz w:val="32"/>
          <w:szCs w:val="32"/>
        </w:rPr>
        <w:t>对项目听取进度汇报，对项目实施中出现的困难和问题制定切实可行解决方案并逐级落实。</w:t>
      </w:r>
    </w:p>
    <w:p>
      <w:pPr>
        <w:keepNext w:val="0"/>
        <w:keepLines w:val="0"/>
        <w:pageBreakBefore w:val="0"/>
        <w:widowControl w:val="0"/>
        <w:numPr>
          <w:ilvl w:val="0"/>
          <w:numId w:val="6"/>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建立健全项目管理规章制度，切实加强资金管理、施工管理、安全质量管理</w:t>
      </w:r>
      <w:r>
        <w:rPr>
          <w:rFonts w:hint="eastAsia" w:ascii="仿宋_GB2312" w:hAnsi="仿宋_GB2312" w:eastAsia="仿宋_GB2312" w:cs="仿宋_GB2312"/>
          <w:sz w:val="32"/>
          <w:szCs w:val="32"/>
          <w:lang w:val="zh-CN"/>
        </w:rPr>
        <w:t>。</w:t>
      </w:r>
    </w:p>
    <w:p>
      <w:pPr>
        <w:keepNext w:val="0"/>
        <w:keepLines w:val="0"/>
        <w:pageBreakBefore w:val="0"/>
        <w:widowControl w:val="0"/>
        <w:numPr>
          <w:ilvl w:val="0"/>
          <w:numId w:val="6"/>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不定期对项目听取进度汇报，对项目实施中出现的困难和问题制定切实可行解决方案并逐级落实。制定督查计划，跟踪督办完成任务，确保项目顺利实施。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23" w:name="_Toc3874"/>
      <w:bookmarkStart w:id="224" w:name="_Toc3488"/>
      <w:bookmarkStart w:id="225" w:name="_Toc6820"/>
      <w:r>
        <w:rPr>
          <w:rFonts w:hint="eastAsia" w:ascii="仿宋_GB2312" w:hAnsi="仿宋_GB2312" w:eastAsia="仿宋_GB2312" w:cs="仿宋_GB2312"/>
          <w:b/>
          <w:bCs/>
          <w:sz w:val="32"/>
          <w:szCs w:val="32"/>
        </w:rPr>
        <w:t>四、项目绩效情况</w:t>
      </w:r>
      <w:bookmarkEnd w:id="223"/>
      <w:bookmarkEnd w:id="224"/>
      <w:bookmarkEnd w:id="225"/>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建设进度100%，于2022年5月竣工验收并投入使用。改造提升10KV高压线路、380V/220V线路约25.35公里及附属设施建设，其中：改造提升10KV线路约0.27公里；改造提升380//220V线路约25.08公里；更换变压器13台及附属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消除农村电网低电压、配变过载运行等问题，提高供电能力和电压质量，保障群众“用好电、电好用”，全面提升配网供电能力和供电质量等相关问题</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26" w:name="_Toc1376"/>
      <w:bookmarkStart w:id="227" w:name="_Toc27538"/>
      <w:bookmarkStart w:id="228" w:name="_Toc12089"/>
      <w:r>
        <w:rPr>
          <w:rFonts w:hint="eastAsia" w:ascii="仿宋_GB2312" w:hAnsi="仿宋_GB2312" w:eastAsia="仿宋_GB2312" w:cs="仿宋_GB2312"/>
          <w:b/>
          <w:bCs/>
          <w:sz w:val="32"/>
          <w:szCs w:val="32"/>
        </w:rPr>
        <w:t>五、评价结论及建议</w:t>
      </w:r>
      <w:bookmarkEnd w:id="226"/>
      <w:bookmarkEnd w:id="227"/>
      <w:bookmarkEnd w:id="228"/>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项目质量合格，资金支付符合相关要求，达到项目建设效果，群众满意度高。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针对项目自评中发现的问题，建议加强安全用电知识宣传。</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rPr>
          <w:rFonts w:ascii="仿宋_GB2312" w:eastAsia="仿宋_GB2312" w:cs="仿宋_GB2312"/>
          <w:sz w:val="32"/>
          <w:szCs w:val="32"/>
        </w:rPr>
      </w:pPr>
    </w:p>
    <w:p>
      <w:pPr>
        <w:adjustRightInd w:val="0"/>
        <w:snapToGrid w:val="0"/>
        <w:spacing w:line="600" w:lineRule="exact"/>
        <w:outlineLvl w:val="1"/>
        <w:rPr>
          <w:rFonts w:hint="eastAsia" w:ascii="黑体" w:hAnsi="宋体" w:eastAsia="黑体"/>
          <w:sz w:val="32"/>
          <w:szCs w:val="32"/>
          <w:lang w:val="en-US" w:eastAsia="zh-CN"/>
        </w:rPr>
      </w:pPr>
      <w:bookmarkStart w:id="229" w:name="_Toc11791"/>
      <w:r>
        <w:rPr>
          <w:rFonts w:hint="eastAsia" w:ascii="黑体" w:hAnsi="宋体" w:eastAsia="黑体"/>
          <w:sz w:val="32"/>
          <w:szCs w:val="32"/>
          <w:lang w:eastAsia="zh-CN"/>
        </w:rPr>
        <w:t>附件</w:t>
      </w:r>
      <w:r>
        <w:rPr>
          <w:rFonts w:hint="eastAsia" w:ascii="黑体" w:hAnsi="宋体" w:eastAsia="黑体"/>
          <w:sz w:val="32"/>
          <w:szCs w:val="32"/>
          <w:lang w:val="en-US" w:eastAsia="zh-CN"/>
        </w:rPr>
        <w:t>5</w:t>
      </w:r>
      <w:bookmarkEnd w:id="229"/>
    </w:p>
    <w:p>
      <w:pPr>
        <w:pStyle w:val="2"/>
        <w:rPr>
          <w:rFonts w:hint="eastAsia"/>
          <w:lang w:val="en-US" w:eastAsia="zh-CN"/>
        </w:rPr>
      </w:pPr>
    </w:p>
    <w:p>
      <w:pPr>
        <w:pStyle w:val="2"/>
        <w:jc w:val="center"/>
        <w:rPr>
          <w:rFonts w:hint="eastAsia" w:ascii="楷体_GB2312" w:hAnsi="楷体_GB2312" w:eastAsia="楷体_GB2312" w:cs="楷体_GB2312"/>
          <w:b/>
          <w:bCs/>
          <w:sz w:val="44"/>
          <w:szCs w:val="44"/>
          <w:lang w:val="en-US" w:eastAsia="zh-CN"/>
        </w:rPr>
      </w:pPr>
      <w:r>
        <w:rPr>
          <w:rFonts w:hint="eastAsia" w:ascii="楷体_GB2312" w:hAnsi="楷体_GB2312" w:eastAsia="楷体_GB2312" w:cs="楷体_GB2312"/>
          <w:b/>
          <w:bCs/>
          <w:sz w:val="44"/>
          <w:szCs w:val="44"/>
          <w:lang w:val="en-US" w:eastAsia="zh-CN"/>
        </w:rPr>
        <w:t>茂县东大街电力改造项目绩效评价报告</w:t>
      </w: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230" w:name="_Toc32127"/>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230"/>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1．茂县经信局为该项目建设单位。负责项目建设推进，竣工结算，项目资金支付。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因历史原因，凤仪镇东大街（县林草局斜对面）部分群众现有房屋上方架设有10KV、400V电力线路，影响住房安全，按照我县城市规划要求急需进行改迁。经会同茂县电力有限责任公司现场踏勘，确定了该处电力线路迁改方案后报请县人民政府同意（无立项）</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由县电力责任有限公司负责实施</w:t>
      </w:r>
      <w:r>
        <w:rPr>
          <w:rFonts w:hint="eastAsia" w:ascii="仿宋_GB2312" w:hAnsi="仿宋_GB2312" w:eastAsia="仿宋_GB2312" w:cs="仿宋_GB2312"/>
          <w:color w:val="000000"/>
          <w:kern w:val="0"/>
          <w:sz w:val="32"/>
          <w:szCs w:val="32"/>
        </w:rPr>
        <w:t>，按照现场签证和审计结算金额申报项目资金。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t>严格按照相关文件规定，专款专用，专户专账</w:t>
      </w:r>
      <w:r>
        <w:rPr>
          <w:rFonts w:hint="eastAsia" w:ascii="仿宋_GB2312" w:hAnsi="仿宋_GB2312" w:eastAsia="仿宋_GB2312" w:cs="仿宋_GB2312"/>
          <w:sz w:val="32"/>
          <w:szCs w:val="32"/>
          <w:lang w:val="zh-CN"/>
        </w:rPr>
        <w:t>，按照项目</w:t>
      </w:r>
      <w:r>
        <w:rPr>
          <w:rFonts w:hint="eastAsia" w:ascii="仿宋_GB2312" w:hAnsi="仿宋_GB2312" w:eastAsia="仿宋_GB2312" w:cs="仿宋_GB2312"/>
          <w:color w:val="000000"/>
          <w:kern w:val="0"/>
          <w:sz w:val="32"/>
          <w:szCs w:val="32"/>
        </w:rPr>
        <w:t>审计结算金额支付项目资金。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4．工程款9.68万元、竣工结算审核费0.3万元，共计9.98万元。工程款9.68万元按照项目</w:t>
      </w:r>
      <w:r>
        <w:rPr>
          <w:rFonts w:hint="eastAsia" w:ascii="仿宋_GB2312" w:hAnsi="仿宋_GB2312" w:eastAsia="仿宋_GB2312" w:cs="仿宋_GB2312"/>
          <w:color w:val="000000"/>
          <w:kern w:val="0"/>
          <w:sz w:val="32"/>
          <w:szCs w:val="32"/>
        </w:rPr>
        <w:t>审计结算金额支付，</w:t>
      </w:r>
      <w:r>
        <w:rPr>
          <w:rFonts w:hint="eastAsia" w:ascii="仿宋_GB2312" w:hAnsi="仿宋_GB2312" w:eastAsia="仿宋_GB2312" w:cs="仿宋_GB2312"/>
          <w:sz w:val="32"/>
          <w:szCs w:val="32"/>
          <w:lang w:val="zh-CN"/>
        </w:rPr>
        <w:t>竣工结算审核费0.3万元按照合同约定支付。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r>
        <w:rPr>
          <w:rFonts w:hint="eastAsia" w:ascii="仿宋_GB2312" w:hAnsi="仿宋_GB2312" w:eastAsia="仿宋_GB2312" w:cs="仿宋_GB2312"/>
          <w:sz w:val="32"/>
          <w:szCs w:val="32"/>
        </w:rPr>
        <w:t>敷设10kV电缆共73米，电缆采用YJLV-3×70铝芯电缆；新敷设400V电缆共102米，电缆采用YJLV-3×95+1×70铝芯电缆；新建线路“T”接于10kV城沟线；新安装10kV低压分支箱1台、户外630A低压配电柜1台、电缆分支箱基础1个、低压配电柜基础1个；破除后恢复沥青路面24米、混凝土路面53米。</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 xml:space="preserve"> 项目建设进度100%，于2020年8月3日竣工验收并投入使用。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现场核查，查阅资料，按照项目预算安排内容查阅财务资料等步骤及方法,对照项目支出绩效评价指标体系进行自评。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sz w:val="32"/>
          <w:szCs w:val="32"/>
        </w:rPr>
      </w:pPr>
      <w:bookmarkStart w:id="231" w:name="_Toc21364"/>
      <w:bookmarkStart w:id="232" w:name="_Toc727"/>
      <w:bookmarkStart w:id="233" w:name="_Toc26185"/>
      <w:r>
        <w:rPr>
          <w:rFonts w:hint="eastAsia" w:ascii="仿宋_GB2312" w:hAnsi="仿宋_GB2312" w:eastAsia="仿宋_GB2312" w:cs="仿宋_GB2312"/>
          <w:b/>
          <w:bCs/>
          <w:sz w:val="32"/>
          <w:szCs w:val="32"/>
        </w:rPr>
        <w:t>二、项目资金申报及使用情况</w:t>
      </w:r>
      <w:bookmarkEnd w:id="231"/>
      <w:bookmarkEnd w:id="232"/>
      <w:bookmarkEnd w:id="233"/>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项目实施完成后，按照竣工结算审核金额向县人民政府申请，按程序下达资金9.98万元。</w:t>
      </w:r>
    </w:p>
    <w:p>
      <w:pPr>
        <w:keepNext w:val="0"/>
        <w:keepLines w:val="0"/>
        <w:pageBreakBefore w:val="0"/>
        <w:widowControl w:val="0"/>
        <w:numPr>
          <w:ilvl w:val="0"/>
          <w:numId w:val="5"/>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1．资金计划：财政资金9.98万元。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2．资金到位：到位资金9.98万元。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3．资金使用：工程款9.68万元按照项目</w:t>
      </w:r>
      <w:r>
        <w:rPr>
          <w:rFonts w:hint="eastAsia" w:ascii="仿宋_GB2312" w:hAnsi="仿宋_GB2312" w:eastAsia="仿宋_GB2312" w:cs="仿宋_GB2312"/>
          <w:color w:val="000000"/>
          <w:kern w:val="0"/>
          <w:sz w:val="32"/>
          <w:szCs w:val="32"/>
        </w:rPr>
        <w:t>审计结算金额支付，</w:t>
      </w:r>
      <w:r>
        <w:rPr>
          <w:rFonts w:hint="eastAsia" w:ascii="仿宋_GB2312" w:hAnsi="仿宋_GB2312" w:eastAsia="仿宋_GB2312" w:cs="仿宋_GB2312"/>
          <w:sz w:val="32"/>
          <w:szCs w:val="32"/>
          <w:lang w:val="zh-CN"/>
        </w:rPr>
        <w:t>竣工结算审核费0.3万元按照合同约定支付。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34" w:name="_Toc127"/>
      <w:bookmarkStart w:id="235" w:name="_Toc16516"/>
      <w:bookmarkStart w:id="236" w:name="_Toc13773"/>
      <w:r>
        <w:rPr>
          <w:rFonts w:hint="eastAsia" w:ascii="仿宋_GB2312" w:hAnsi="仿宋_GB2312" w:eastAsia="仿宋_GB2312" w:cs="仿宋_GB2312"/>
          <w:b/>
          <w:bCs/>
          <w:sz w:val="32"/>
          <w:szCs w:val="32"/>
        </w:rPr>
        <w:t>三、项目实施及管理情况</w:t>
      </w:r>
      <w:bookmarkEnd w:id="234"/>
      <w:bookmarkEnd w:id="235"/>
      <w:bookmarkEnd w:id="236"/>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组织专人协调推进项目建设，分管领导不定期</w:t>
      </w:r>
      <w:r>
        <w:rPr>
          <w:rFonts w:hint="eastAsia" w:ascii="仿宋_GB2312" w:hAnsi="仿宋_GB2312" w:eastAsia="仿宋_GB2312" w:cs="仿宋_GB2312"/>
          <w:sz w:val="32"/>
          <w:szCs w:val="32"/>
        </w:rPr>
        <w:t>对项目听取进度汇报，对项目实施中出现的困难和问题制定切实可行解决方案并逐级落实。</w:t>
      </w:r>
    </w:p>
    <w:p>
      <w:pPr>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建立健全项目管理规章制度，切实加强资金管理、施工管理、安全质量管理</w:t>
      </w:r>
      <w:r>
        <w:rPr>
          <w:rFonts w:hint="eastAsia" w:ascii="仿宋_GB2312" w:hAnsi="仿宋_GB2312" w:eastAsia="仿宋_GB2312" w:cs="仿宋_GB2312"/>
          <w:sz w:val="32"/>
          <w:szCs w:val="32"/>
          <w:lang w:val="zh-CN"/>
        </w:rPr>
        <w:t>。</w:t>
      </w:r>
    </w:p>
    <w:p>
      <w:pPr>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不定期对项目听取进度汇报，对项目实施中出现的困难和问题制定切实可行解决方案并逐级落实。制定督查计划，跟踪督办完成任务，确保项目顺利实施。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37" w:name="_Toc1303"/>
      <w:bookmarkStart w:id="238" w:name="_Toc29483"/>
      <w:bookmarkStart w:id="239" w:name="_Toc15371"/>
      <w:r>
        <w:rPr>
          <w:rFonts w:hint="eastAsia" w:ascii="仿宋_GB2312" w:hAnsi="仿宋_GB2312" w:eastAsia="仿宋_GB2312" w:cs="仿宋_GB2312"/>
          <w:b/>
          <w:bCs/>
          <w:sz w:val="32"/>
          <w:szCs w:val="32"/>
        </w:rPr>
        <w:t>四、项目绩效情况</w:t>
      </w:r>
      <w:bookmarkEnd w:id="237"/>
      <w:bookmarkEnd w:id="238"/>
      <w:bookmarkEnd w:id="239"/>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完成敷设10kV电缆共73米，电缆采用YJLV-3×70铝芯电缆；新敷设400V电缆共102米，电缆采用YJLV-3×95+1×70铝芯电缆；新建线路“T”接于10kV城沟线；新安装10kV低压分支箱1台、户外630A低压配电柜1台、电缆分支箱基础1个、低压配电柜基础1个；破除后恢复沥青路面24米、混凝土路面53米。建设进度100%</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彻底消除凤仪镇东大街（县林草局斜对面）部分群众房屋上方架设有10KV、400V电力线路影响住房安全问题，</w:t>
      </w:r>
      <w:r>
        <w:rPr>
          <w:rFonts w:hint="eastAsia" w:ascii="仿宋_GB2312" w:hAnsi="仿宋_GB2312" w:eastAsia="仿宋_GB2312" w:cs="仿宋_GB2312"/>
          <w:sz w:val="32"/>
          <w:szCs w:val="32"/>
          <w:lang w:val="zh-CN"/>
        </w:rPr>
        <w:t>群众满意度100%。</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40" w:name="_Toc24027"/>
      <w:bookmarkStart w:id="241" w:name="_Toc32543"/>
      <w:bookmarkStart w:id="242" w:name="_Toc21408"/>
      <w:r>
        <w:rPr>
          <w:rFonts w:hint="eastAsia" w:ascii="仿宋_GB2312" w:hAnsi="仿宋_GB2312" w:eastAsia="仿宋_GB2312" w:cs="仿宋_GB2312"/>
          <w:b/>
          <w:bCs/>
          <w:sz w:val="32"/>
          <w:szCs w:val="32"/>
        </w:rPr>
        <w:t>五、评价结论及建议</w:t>
      </w:r>
      <w:bookmarkEnd w:id="240"/>
      <w:bookmarkEnd w:id="241"/>
      <w:bookmarkEnd w:id="242"/>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项目质量合格，资金支付符合相关要求，达到项目建设效果，群众满意度高。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pStyle w:val="2"/>
        <w:rPr>
          <w:rFonts w:hint="eastAsia" w:ascii="黑体" w:eastAsia="黑体" w:cs="黑体"/>
          <w:sz w:val="32"/>
          <w:szCs w:val="32"/>
        </w:rPr>
      </w:pPr>
    </w:p>
    <w:p>
      <w:pPr>
        <w:pStyle w:val="2"/>
        <w:rPr>
          <w:rFonts w:hint="eastAsia" w:ascii="黑体" w:eastAsia="黑体" w:cs="黑体"/>
          <w:sz w:val="32"/>
          <w:szCs w:val="32"/>
        </w:rPr>
      </w:pPr>
    </w:p>
    <w:p>
      <w:pPr>
        <w:pStyle w:val="2"/>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1"/>
        <w:rPr>
          <w:rFonts w:hint="eastAsia" w:ascii="黑体" w:eastAsia="黑体" w:cs="黑体"/>
          <w:sz w:val="32"/>
          <w:szCs w:val="32"/>
          <w:lang w:val="en-US" w:eastAsia="zh-CN"/>
        </w:rPr>
      </w:pPr>
      <w:bookmarkStart w:id="243" w:name="_Toc13279"/>
      <w:r>
        <w:rPr>
          <w:rFonts w:hint="eastAsia" w:ascii="黑体" w:eastAsia="黑体" w:cs="黑体"/>
          <w:sz w:val="32"/>
          <w:szCs w:val="32"/>
        </w:rPr>
        <w:t>附件</w:t>
      </w:r>
      <w:r>
        <w:rPr>
          <w:rFonts w:hint="eastAsia" w:ascii="黑体" w:eastAsia="黑体" w:cs="黑体"/>
          <w:sz w:val="32"/>
          <w:szCs w:val="32"/>
          <w:lang w:val="en-US" w:eastAsia="zh-CN"/>
        </w:rPr>
        <w:t>6</w:t>
      </w:r>
      <w:bookmarkEnd w:id="243"/>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0"/>
          <w:szCs w:val="40"/>
        </w:rPr>
      </w:pPr>
      <w:bookmarkStart w:id="244" w:name="_Toc27739"/>
      <w:r>
        <w:rPr>
          <w:rFonts w:hint="eastAsia" w:ascii="方正小标宋简体" w:eastAsia="方正小标宋简体" w:cs="黑体"/>
          <w:sz w:val="40"/>
          <w:szCs w:val="40"/>
          <w:lang w:val="en-US" w:eastAsia="zh-CN"/>
        </w:rPr>
        <w:t>2021年省级外贸发展</w:t>
      </w:r>
      <w:bookmarkStart w:id="245" w:name="_Toc11463"/>
      <w:r>
        <w:rPr>
          <w:rFonts w:hint="eastAsia" w:ascii="方正小标宋简体" w:eastAsia="方正小标宋简体" w:cs="黑体"/>
          <w:sz w:val="40"/>
          <w:szCs w:val="40"/>
          <w:lang w:val="en-US" w:eastAsia="zh-CN"/>
        </w:rPr>
        <w:t>专项资金</w:t>
      </w:r>
      <w:r>
        <w:rPr>
          <w:rFonts w:hint="eastAsia" w:ascii="方正小标宋简体" w:eastAsia="方正小标宋简体" w:cs="黑体"/>
          <w:sz w:val="40"/>
          <w:szCs w:val="40"/>
        </w:rPr>
        <w:t>绩效评价报告</w:t>
      </w:r>
      <w:bookmarkEnd w:id="244"/>
      <w:bookmarkEnd w:id="245"/>
    </w:p>
    <w:p>
      <w:pPr>
        <w:spacing w:line="600" w:lineRule="exact"/>
        <w:rPr>
          <w:rFonts w:ascii="宋体"/>
          <w:sz w:val="32"/>
          <w:szCs w:val="32"/>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246" w:name="_Toc1185"/>
      <w:bookmarkStart w:id="247" w:name="_Toc13048"/>
      <w:bookmarkStart w:id="248" w:name="_Toc3251"/>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246"/>
      <w:bookmarkEnd w:id="247"/>
      <w:bookmarkEnd w:id="248"/>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1．组织申报、拨付资金。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color w:val="auto"/>
          <w:kern w:val="0"/>
          <w:sz w:val="32"/>
          <w:szCs w:val="32"/>
          <w:lang w:val="en-US" w:eastAsia="zh-CN"/>
        </w:rPr>
        <w:t>《阿坝州商务和经济合作局关于组织申报2020年省级外经贸发展资金的通知》（阿州商合〔2020〕234号）。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zh-CN" w:eastAsia="zh-CN"/>
        </w:rPr>
        <w:t>对开展对外出口业务企业进行运输物流补贴</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4.县级组织企业申报，州商务局评审下达资金。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eastAsia="zh-CN"/>
        </w:rPr>
        <w:t>根据企业年度产生外贸出口产品运输费用予以一定资金补贴</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2.减轻企业疫情期间经营负担和运营成本。</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企业申报，提供相关资料及票据，县经信局、县财政局初审后报州财政、州商务局评审。</w:t>
      </w:r>
    </w:p>
    <w:p>
      <w:pPr>
        <w:adjustRightInd w:val="0"/>
        <w:snapToGrid w:val="0"/>
        <w:spacing w:line="600" w:lineRule="exact"/>
        <w:ind w:firstLine="720"/>
        <w:outlineLvl w:val="1"/>
        <w:rPr>
          <w:rFonts w:hint="eastAsia" w:ascii="仿宋_GB2312" w:hAnsi="仿宋_GB2312" w:eastAsia="仿宋_GB2312" w:cs="仿宋_GB2312"/>
          <w:b/>
          <w:bCs/>
          <w:sz w:val="32"/>
          <w:szCs w:val="32"/>
        </w:rPr>
      </w:pPr>
      <w:bookmarkStart w:id="249" w:name="_Toc3893"/>
      <w:bookmarkStart w:id="250" w:name="_Toc29500"/>
      <w:bookmarkStart w:id="251" w:name="_Toc3572"/>
      <w:r>
        <w:rPr>
          <w:rFonts w:hint="eastAsia" w:ascii="仿宋_GB2312" w:hAnsi="仿宋_GB2312" w:eastAsia="仿宋_GB2312" w:cs="仿宋_GB2312"/>
          <w:b/>
          <w:bCs/>
          <w:sz w:val="32"/>
          <w:szCs w:val="32"/>
        </w:rPr>
        <w:t>二、项目资金申报及使用情况</w:t>
      </w:r>
      <w:bookmarkEnd w:id="249"/>
      <w:bookmarkEnd w:id="250"/>
      <w:bookmarkEnd w:id="251"/>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企业根据文件要求进行申报，提供相关资料及票据，县经信局、县财政局初审后报州财政、州商务局评审，评审后下达资金。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1．资金计划：由州商务局、州财政局制定资金计划。</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lang w:val="en-US" w:eastAsia="zh-CN"/>
        </w:rPr>
        <w:t>2020年12月18日，外经贸专项发展资金40万元下达我局（茂财建</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119号）</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3．资金使用：已全额拨付企业。</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52" w:name="_Toc17444"/>
      <w:bookmarkStart w:id="253" w:name="_Toc17471"/>
      <w:bookmarkStart w:id="254" w:name="_Toc25663"/>
      <w:r>
        <w:rPr>
          <w:rFonts w:hint="eastAsia" w:ascii="仿宋_GB2312" w:hAnsi="仿宋_GB2312" w:eastAsia="仿宋_GB2312" w:cs="仿宋_GB2312"/>
          <w:b/>
          <w:bCs/>
          <w:sz w:val="32"/>
          <w:szCs w:val="32"/>
        </w:rPr>
        <w:t>三、项目实施及管理情况</w:t>
      </w:r>
      <w:bookmarkEnd w:id="252"/>
      <w:bookmarkEnd w:id="253"/>
      <w:bookmarkEnd w:id="254"/>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组织申报、县级初审，州级评审，资金下达，资金拨付。</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72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根据下达文件资金予以拨付。</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72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rPr>
        <w:t>资金下达后及时拨付。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55" w:name="_Toc4200"/>
      <w:bookmarkStart w:id="256" w:name="_Toc7344"/>
      <w:bookmarkStart w:id="257" w:name="_Toc17743"/>
      <w:r>
        <w:rPr>
          <w:rFonts w:hint="eastAsia" w:ascii="仿宋_GB2312" w:hAnsi="仿宋_GB2312" w:eastAsia="仿宋_GB2312" w:cs="仿宋_GB2312"/>
          <w:b/>
          <w:bCs/>
          <w:sz w:val="32"/>
          <w:szCs w:val="32"/>
        </w:rPr>
        <w:t>四、项目绩效情况</w:t>
      </w:r>
      <w:bookmarkEnd w:id="255"/>
      <w:bookmarkEnd w:id="256"/>
      <w:bookmarkEnd w:id="257"/>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拨付</w:t>
      </w:r>
      <w:r>
        <w:rPr>
          <w:rFonts w:hint="eastAsia" w:ascii="仿宋_GB2312" w:hAnsi="仿宋_GB2312" w:eastAsia="仿宋_GB2312" w:cs="仿宋_GB2312"/>
          <w:sz w:val="32"/>
          <w:szCs w:val="32"/>
          <w:lang w:val="en-US" w:eastAsia="zh-CN"/>
        </w:rPr>
        <w:t>四川希望水电开发有限公司物流补贴40万元</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鼓励企业继续开展外贸业务。</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58" w:name="_Toc10564"/>
      <w:bookmarkStart w:id="259" w:name="_Toc3315"/>
      <w:bookmarkStart w:id="260" w:name="_Toc1862"/>
      <w:r>
        <w:rPr>
          <w:rFonts w:hint="eastAsia" w:ascii="仿宋_GB2312" w:hAnsi="仿宋_GB2312" w:eastAsia="仿宋_GB2312" w:cs="仿宋_GB2312"/>
          <w:b/>
          <w:bCs/>
          <w:sz w:val="32"/>
          <w:szCs w:val="32"/>
        </w:rPr>
        <w:t>五、评价结论及建议</w:t>
      </w:r>
      <w:bookmarkEnd w:id="258"/>
      <w:bookmarkEnd w:id="259"/>
      <w:bookmarkEnd w:id="260"/>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缓解了企业外贸出口产品运输压力，助力企业外贸业务发展。</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针对项目自评中发现的问题，提出下一步改进完善的意见及有关政策性建议。</w:t>
      </w:r>
    </w:p>
    <w:p>
      <w:pPr>
        <w:widowControl/>
        <w:jc w:val="left"/>
        <w:rPr>
          <w:rStyle w:val="23"/>
          <w:rFonts w:ascii="黑体" w:eastAsia="黑体"/>
          <w:b w:val="0"/>
        </w:rPr>
      </w:pPr>
    </w:p>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261" w:name="_Toc15396618"/>
      <w:bookmarkStart w:id="262" w:name="_Toc79163635"/>
      <w:bookmarkStart w:id="263" w:name="_Toc79163885"/>
      <w:bookmarkStart w:id="264" w:name="_Toc22350"/>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47"/>
      <w:bookmarkEnd w:id="261"/>
      <w:bookmarkEnd w:id="262"/>
      <w:bookmarkEnd w:id="263"/>
      <w:bookmarkEnd w:id="264"/>
    </w:p>
    <w:p>
      <w:pPr>
        <w:pStyle w:val="4"/>
        <w:rPr>
          <w:rFonts w:hint="eastAsia" w:ascii="仿宋_GB2312" w:hAnsi="仿宋_GB2312" w:eastAsia="仿宋_GB2312" w:cs="仿宋_GB2312"/>
          <w:color w:val="000000"/>
        </w:rPr>
      </w:pPr>
      <w:bookmarkStart w:id="265" w:name="_Toc15396619"/>
      <w:bookmarkStart w:id="266" w:name="_Toc79163636"/>
      <w:bookmarkStart w:id="267" w:name="_Toc79163886"/>
      <w:bookmarkStart w:id="268" w:name="_Toc5438"/>
      <w:r>
        <w:rPr>
          <w:rFonts w:hint="eastAsia" w:ascii="仿宋_GB2312" w:hAnsi="仿宋_GB2312" w:eastAsia="仿宋_GB2312" w:cs="仿宋_GB2312"/>
          <w:b w:val="0"/>
          <w:color w:val="000000"/>
        </w:rPr>
        <w:t>一、收</w:t>
      </w:r>
      <w:r>
        <w:rPr>
          <w:rStyle w:val="24"/>
          <w:rFonts w:hint="eastAsia" w:ascii="仿宋_GB2312" w:hAnsi="仿宋_GB2312" w:eastAsia="仿宋_GB2312" w:cs="仿宋_GB2312"/>
          <w:b w:val="0"/>
          <w:bCs w:val="0"/>
        </w:rPr>
        <w:t>入支出决算总表</w:t>
      </w:r>
      <w:bookmarkEnd w:id="265"/>
      <w:bookmarkEnd w:id="266"/>
      <w:bookmarkEnd w:id="267"/>
      <w:bookmarkEnd w:id="268"/>
    </w:p>
    <w:p>
      <w:pPr>
        <w:pStyle w:val="4"/>
        <w:rPr>
          <w:rFonts w:hint="eastAsia" w:ascii="仿宋_GB2312" w:hAnsi="仿宋_GB2312" w:eastAsia="仿宋_GB2312" w:cs="仿宋_GB2312"/>
          <w:color w:val="000000"/>
        </w:rPr>
      </w:pPr>
      <w:bookmarkStart w:id="269" w:name="_Toc15396620"/>
      <w:bookmarkStart w:id="270" w:name="_Toc79163637"/>
      <w:bookmarkStart w:id="271" w:name="_Toc79163887"/>
      <w:bookmarkStart w:id="272" w:name="_Toc11651"/>
      <w:r>
        <w:rPr>
          <w:rFonts w:hint="eastAsia" w:ascii="仿宋_GB2312" w:hAnsi="仿宋_GB2312" w:eastAsia="仿宋_GB2312" w:cs="仿宋_GB2312"/>
          <w:b w:val="0"/>
          <w:color w:val="000000"/>
        </w:rPr>
        <w:t>二、收</w:t>
      </w:r>
      <w:r>
        <w:rPr>
          <w:rStyle w:val="24"/>
          <w:rFonts w:hint="eastAsia" w:ascii="仿宋_GB2312" w:hAnsi="仿宋_GB2312" w:eastAsia="仿宋_GB2312" w:cs="仿宋_GB2312"/>
          <w:b w:val="0"/>
          <w:bCs w:val="0"/>
        </w:rPr>
        <w:t>入决算表</w:t>
      </w:r>
      <w:bookmarkEnd w:id="269"/>
      <w:bookmarkEnd w:id="270"/>
      <w:bookmarkEnd w:id="271"/>
      <w:bookmarkEnd w:id="272"/>
    </w:p>
    <w:p>
      <w:pPr>
        <w:pStyle w:val="4"/>
        <w:rPr>
          <w:rFonts w:hint="eastAsia" w:ascii="仿宋_GB2312" w:hAnsi="仿宋_GB2312" w:eastAsia="仿宋_GB2312" w:cs="仿宋_GB2312"/>
          <w:color w:val="000000"/>
        </w:rPr>
      </w:pPr>
      <w:bookmarkStart w:id="273" w:name="_Toc15396621"/>
      <w:bookmarkStart w:id="274" w:name="_Toc79163638"/>
      <w:bookmarkStart w:id="275" w:name="_Toc79163888"/>
      <w:bookmarkStart w:id="276" w:name="_Toc6633"/>
      <w:r>
        <w:rPr>
          <w:rStyle w:val="24"/>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4"/>
          <w:rFonts w:hint="eastAsia" w:ascii="仿宋_GB2312" w:hAnsi="仿宋_GB2312" w:eastAsia="仿宋_GB2312" w:cs="仿宋_GB2312"/>
          <w:b w:val="0"/>
          <w:bCs w:val="0"/>
        </w:rPr>
        <w:t>出决算表</w:t>
      </w:r>
      <w:bookmarkEnd w:id="273"/>
      <w:bookmarkEnd w:id="274"/>
      <w:bookmarkEnd w:id="275"/>
      <w:bookmarkEnd w:id="276"/>
    </w:p>
    <w:p>
      <w:pPr>
        <w:pStyle w:val="4"/>
        <w:rPr>
          <w:rFonts w:hint="eastAsia" w:ascii="仿宋_GB2312" w:hAnsi="仿宋_GB2312" w:eastAsia="仿宋_GB2312" w:cs="仿宋_GB2312"/>
          <w:b w:val="0"/>
          <w:color w:val="000000"/>
        </w:rPr>
      </w:pPr>
      <w:bookmarkStart w:id="277" w:name="_Toc15396622"/>
      <w:bookmarkStart w:id="278" w:name="_Toc79163639"/>
      <w:bookmarkStart w:id="279" w:name="_Toc79163889"/>
      <w:bookmarkStart w:id="280" w:name="_Toc29387"/>
      <w:r>
        <w:rPr>
          <w:rStyle w:val="24"/>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政拨款收入支出决算总表</w:t>
      </w:r>
      <w:bookmarkEnd w:id="277"/>
      <w:bookmarkEnd w:id="278"/>
      <w:bookmarkEnd w:id="279"/>
      <w:bookmarkEnd w:id="280"/>
    </w:p>
    <w:p>
      <w:pPr>
        <w:pStyle w:val="4"/>
        <w:rPr>
          <w:rStyle w:val="24"/>
          <w:rFonts w:hint="eastAsia" w:ascii="仿宋_GB2312" w:hAnsi="仿宋_GB2312" w:eastAsia="仿宋_GB2312" w:cs="仿宋_GB2312"/>
          <w:b w:val="0"/>
          <w:bCs w:val="0"/>
        </w:rPr>
      </w:pPr>
      <w:bookmarkStart w:id="281" w:name="_Toc15396623"/>
      <w:bookmarkStart w:id="282" w:name="_Toc79163640"/>
      <w:bookmarkStart w:id="283" w:name="_Toc79163890"/>
      <w:bookmarkStart w:id="284" w:name="_Toc5333"/>
      <w:r>
        <w:rPr>
          <w:rStyle w:val="24"/>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政拨款支出决算明细表</w:t>
      </w:r>
      <w:bookmarkEnd w:id="281"/>
      <w:bookmarkEnd w:id="282"/>
      <w:bookmarkEnd w:id="283"/>
      <w:bookmarkEnd w:id="284"/>
      <w:bookmarkStart w:id="285" w:name="_Toc15396624"/>
    </w:p>
    <w:p>
      <w:pPr>
        <w:pStyle w:val="4"/>
        <w:rPr>
          <w:rFonts w:hint="eastAsia" w:ascii="仿宋_GB2312" w:hAnsi="仿宋_GB2312" w:eastAsia="仿宋_GB2312" w:cs="仿宋_GB2312"/>
          <w:color w:val="000000"/>
        </w:rPr>
      </w:pPr>
      <w:bookmarkStart w:id="286" w:name="_Toc79163641"/>
      <w:bookmarkStart w:id="287" w:name="_Toc79163891"/>
      <w:bookmarkStart w:id="288" w:name="_Toc21461"/>
      <w:r>
        <w:rPr>
          <w:rStyle w:val="24"/>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般公共预算财政拨款支出决算表</w:t>
      </w:r>
      <w:bookmarkEnd w:id="285"/>
      <w:bookmarkEnd w:id="286"/>
      <w:bookmarkEnd w:id="287"/>
      <w:bookmarkEnd w:id="288"/>
    </w:p>
    <w:p>
      <w:pPr>
        <w:pStyle w:val="4"/>
        <w:rPr>
          <w:rFonts w:hint="eastAsia" w:ascii="仿宋_GB2312" w:hAnsi="仿宋_GB2312" w:eastAsia="仿宋_GB2312" w:cs="仿宋_GB2312"/>
          <w:color w:val="000000"/>
        </w:rPr>
      </w:pPr>
      <w:bookmarkStart w:id="289" w:name="_Toc15396625"/>
      <w:bookmarkStart w:id="290" w:name="_Toc79163642"/>
      <w:bookmarkStart w:id="291" w:name="_Toc79163892"/>
      <w:bookmarkStart w:id="292" w:name="_Toc26094"/>
      <w:r>
        <w:rPr>
          <w:rStyle w:val="24"/>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般公共预算财政拨款支出决算明细表</w:t>
      </w:r>
      <w:bookmarkEnd w:id="289"/>
      <w:bookmarkEnd w:id="290"/>
      <w:bookmarkEnd w:id="291"/>
      <w:bookmarkEnd w:id="292"/>
    </w:p>
    <w:p>
      <w:pPr>
        <w:pStyle w:val="4"/>
        <w:rPr>
          <w:rFonts w:hint="eastAsia" w:ascii="仿宋_GB2312" w:hAnsi="仿宋_GB2312" w:eastAsia="仿宋_GB2312" w:cs="仿宋_GB2312"/>
          <w:color w:val="000000"/>
        </w:rPr>
      </w:pPr>
      <w:bookmarkStart w:id="293" w:name="_Toc79163893"/>
      <w:bookmarkStart w:id="294" w:name="_Toc79163643"/>
      <w:bookmarkStart w:id="295" w:name="_Toc15396626"/>
      <w:bookmarkStart w:id="296" w:name="_Toc18183"/>
      <w:r>
        <w:rPr>
          <w:rStyle w:val="24"/>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般公共预算财政拨款基本支出决算表</w:t>
      </w:r>
      <w:bookmarkEnd w:id="293"/>
      <w:bookmarkEnd w:id="294"/>
      <w:bookmarkEnd w:id="295"/>
      <w:bookmarkEnd w:id="296"/>
    </w:p>
    <w:p>
      <w:pPr>
        <w:pStyle w:val="4"/>
        <w:rPr>
          <w:rFonts w:hint="eastAsia" w:ascii="仿宋_GB2312" w:hAnsi="仿宋_GB2312" w:eastAsia="仿宋_GB2312" w:cs="仿宋_GB2312"/>
          <w:color w:val="000000"/>
        </w:rPr>
      </w:pPr>
      <w:bookmarkStart w:id="297" w:name="_Toc79163644"/>
      <w:bookmarkStart w:id="298" w:name="_Toc15396627"/>
      <w:bookmarkStart w:id="299" w:name="_Toc79163894"/>
      <w:bookmarkStart w:id="300" w:name="_Toc3967"/>
      <w:r>
        <w:rPr>
          <w:rStyle w:val="24"/>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般公共预算财政拨款项目支出决算表</w:t>
      </w:r>
      <w:bookmarkEnd w:id="297"/>
      <w:bookmarkEnd w:id="298"/>
      <w:bookmarkEnd w:id="299"/>
      <w:bookmarkEnd w:id="300"/>
    </w:p>
    <w:p>
      <w:pPr>
        <w:pStyle w:val="4"/>
        <w:rPr>
          <w:rFonts w:hint="eastAsia" w:ascii="仿宋_GB2312" w:hAnsi="仿宋_GB2312" w:eastAsia="仿宋_GB2312" w:cs="仿宋_GB2312"/>
          <w:color w:val="000000"/>
        </w:rPr>
      </w:pPr>
      <w:bookmarkStart w:id="301" w:name="_Toc15396628"/>
      <w:bookmarkStart w:id="302" w:name="_Toc79163645"/>
      <w:bookmarkStart w:id="303" w:name="_Toc79163895"/>
      <w:bookmarkStart w:id="304" w:name="_Toc7418"/>
      <w:r>
        <w:rPr>
          <w:rStyle w:val="24"/>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般公共预算财政拨款“三公”经费支出决算表</w:t>
      </w:r>
      <w:bookmarkEnd w:id="301"/>
      <w:bookmarkEnd w:id="302"/>
      <w:bookmarkEnd w:id="303"/>
      <w:bookmarkEnd w:id="304"/>
    </w:p>
    <w:p>
      <w:pPr>
        <w:pStyle w:val="4"/>
        <w:rPr>
          <w:rFonts w:hint="eastAsia" w:ascii="仿宋_GB2312" w:hAnsi="仿宋_GB2312" w:eastAsia="仿宋_GB2312" w:cs="仿宋_GB2312"/>
          <w:color w:val="000000"/>
        </w:rPr>
      </w:pPr>
      <w:bookmarkStart w:id="305" w:name="_Toc15396629"/>
      <w:bookmarkStart w:id="306" w:name="_Toc79163646"/>
      <w:bookmarkStart w:id="307" w:name="_Toc79163896"/>
      <w:bookmarkStart w:id="308" w:name="_Toc341"/>
      <w:r>
        <w:rPr>
          <w:rStyle w:val="24"/>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府性基金预算财政拨款收入支出决算表</w:t>
      </w:r>
      <w:bookmarkEnd w:id="305"/>
      <w:bookmarkEnd w:id="306"/>
      <w:bookmarkEnd w:id="307"/>
      <w:bookmarkEnd w:id="308"/>
    </w:p>
    <w:p>
      <w:pPr>
        <w:pStyle w:val="4"/>
        <w:rPr>
          <w:rFonts w:hint="eastAsia" w:ascii="仿宋_GB2312" w:hAnsi="仿宋_GB2312" w:eastAsia="仿宋_GB2312" w:cs="仿宋_GB2312"/>
          <w:color w:val="000000"/>
        </w:rPr>
      </w:pPr>
      <w:bookmarkStart w:id="309" w:name="_Toc15396630"/>
      <w:bookmarkStart w:id="310" w:name="_Toc79163647"/>
      <w:bookmarkStart w:id="311" w:name="_Toc79163897"/>
      <w:bookmarkStart w:id="312" w:name="_Toc10641"/>
      <w:r>
        <w:rPr>
          <w:rStyle w:val="24"/>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府性基金预算财政拨款“三公”经费支出决算表</w:t>
      </w:r>
      <w:bookmarkEnd w:id="309"/>
      <w:bookmarkEnd w:id="310"/>
      <w:bookmarkEnd w:id="311"/>
      <w:bookmarkEnd w:id="312"/>
    </w:p>
    <w:p>
      <w:pPr>
        <w:pStyle w:val="4"/>
        <w:rPr>
          <w:rStyle w:val="24"/>
          <w:rFonts w:hint="eastAsia" w:ascii="仿宋_GB2312" w:hAnsi="仿宋_GB2312" w:eastAsia="仿宋_GB2312" w:cs="仿宋_GB2312"/>
          <w:b w:val="0"/>
          <w:bCs w:val="0"/>
        </w:rPr>
      </w:pPr>
      <w:bookmarkStart w:id="313" w:name="_Toc15396631"/>
      <w:bookmarkStart w:id="314" w:name="_Toc79163648"/>
      <w:bookmarkStart w:id="315" w:name="_Toc79163898"/>
      <w:bookmarkStart w:id="316" w:name="_Toc32227"/>
      <w:r>
        <w:rPr>
          <w:rStyle w:val="24"/>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4"/>
          <w:rFonts w:hint="eastAsia" w:ascii="仿宋_GB2312" w:hAnsi="仿宋_GB2312" w:eastAsia="仿宋_GB2312" w:cs="仿宋_GB2312"/>
          <w:b w:val="0"/>
          <w:bCs w:val="0"/>
        </w:rPr>
        <w:t>有资本经营预算财政拨款支出决算表</w:t>
      </w:r>
      <w:bookmarkEnd w:id="313"/>
      <w:bookmarkEnd w:id="314"/>
      <w:bookmarkEnd w:id="315"/>
      <w:bookmarkEnd w:id="316"/>
    </w:p>
    <w:p>
      <w:pPr>
        <w:pStyle w:val="4"/>
        <w:rPr>
          <w:rStyle w:val="24"/>
          <w:rFonts w:hint="eastAsia" w:ascii="仿宋_GB2312" w:hAnsi="仿宋_GB2312" w:eastAsia="仿宋_GB2312" w:cs="仿宋_GB2312"/>
          <w:b w:val="0"/>
          <w:bCs w:val="0"/>
        </w:rPr>
      </w:pPr>
      <w:bookmarkStart w:id="317" w:name="_Toc79163649"/>
      <w:bookmarkStart w:id="318" w:name="_Toc79163899"/>
      <w:bookmarkStart w:id="319" w:name="_Toc29455"/>
      <w:r>
        <w:rPr>
          <w:rStyle w:val="24"/>
          <w:rFonts w:hint="eastAsia" w:ascii="仿宋_GB2312" w:hAnsi="仿宋_GB2312" w:eastAsia="仿宋_GB2312" w:cs="仿宋_GB2312"/>
          <w:b w:val="0"/>
          <w:bCs w:val="0"/>
        </w:rPr>
        <w:t>十四、国有资本经营预算财政拨款支出决算表</w:t>
      </w:r>
      <w:bookmarkEnd w:id="317"/>
      <w:bookmarkEnd w:id="318"/>
      <w:bookmarkEnd w:id="319"/>
    </w:p>
    <w:sectPr>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A5858"/>
    <w:multiLevelType w:val="singleLevel"/>
    <w:tmpl w:val="B66A5858"/>
    <w:lvl w:ilvl="0" w:tentative="0">
      <w:start w:val="2"/>
      <w:numFmt w:val="chineseCounting"/>
      <w:suff w:val="nothing"/>
      <w:lvlText w:val="（%1）"/>
      <w:lvlJc w:val="left"/>
      <w:rPr>
        <w:rFonts w:hint="eastAsia"/>
      </w:rPr>
    </w:lvl>
  </w:abstractNum>
  <w:abstractNum w:abstractNumId="1">
    <w:nsid w:val="C334143C"/>
    <w:multiLevelType w:val="singleLevel"/>
    <w:tmpl w:val="C334143C"/>
    <w:lvl w:ilvl="0" w:tentative="0">
      <w:start w:val="2"/>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0806C6A1"/>
    <w:multiLevelType w:val="singleLevel"/>
    <w:tmpl w:val="0806C6A1"/>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2A11DCD4"/>
    <w:multiLevelType w:val="singleLevel"/>
    <w:tmpl w:val="2A11DCD4"/>
    <w:lvl w:ilvl="0" w:tentative="0">
      <w:start w:val="2"/>
      <w:numFmt w:val="chineseCounting"/>
      <w:suff w:val="nothing"/>
      <w:lvlText w:val="（%1）"/>
      <w:lvlJc w:val="left"/>
      <w:rPr>
        <w:rFonts w:hint="eastAsia"/>
      </w:rPr>
    </w:lvl>
  </w:abstractNum>
  <w:abstractNum w:abstractNumId="7">
    <w:nsid w:val="2D27EC9C"/>
    <w:multiLevelType w:val="singleLevel"/>
    <w:tmpl w:val="2D27EC9C"/>
    <w:lvl w:ilvl="0" w:tentative="0">
      <w:start w:val="2"/>
      <w:numFmt w:val="chineseCounting"/>
      <w:suff w:val="nothing"/>
      <w:lvlText w:val="（%1）"/>
      <w:lvlJc w:val="left"/>
      <w:rPr>
        <w:rFonts w:hint="eastAsia"/>
      </w:rPr>
    </w:lvl>
  </w:abstractNum>
  <w:abstractNum w:abstractNumId="8">
    <w:nsid w:val="51F1A4B5"/>
    <w:multiLevelType w:val="singleLevel"/>
    <w:tmpl w:val="51F1A4B5"/>
    <w:lvl w:ilvl="0" w:tentative="0">
      <w:start w:val="1"/>
      <w:numFmt w:val="decimal"/>
      <w:lvlText w:val="%1."/>
      <w:lvlJc w:val="left"/>
      <w:pPr>
        <w:tabs>
          <w:tab w:val="left" w:pos="312"/>
        </w:tabs>
      </w:pPr>
    </w:lvl>
  </w:abstractNum>
  <w:abstractNum w:abstractNumId="9">
    <w:nsid w:val="5D7716BF"/>
    <w:multiLevelType w:val="singleLevel"/>
    <w:tmpl w:val="5D7716BF"/>
    <w:lvl w:ilvl="0" w:tentative="0">
      <w:start w:val="2"/>
      <w:numFmt w:val="chineseCounting"/>
      <w:suff w:val="nothing"/>
      <w:lvlText w:val="（%1）"/>
      <w:lvlJc w:val="left"/>
      <w:rPr>
        <w:rFonts w:hint="eastAsia"/>
      </w:rPr>
    </w:lvl>
  </w:abstractNum>
  <w:abstractNum w:abstractNumId="10">
    <w:nsid w:val="7244DF27"/>
    <w:multiLevelType w:val="singleLevel"/>
    <w:tmpl w:val="7244DF27"/>
    <w:lvl w:ilvl="0" w:tentative="0">
      <w:start w:val="1"/>
      <w:numFmt w:val="chineseCounting"/>
      <w:suff w:val="nothing"/>
      <w:lvlText w:val="（%1）"/>
      <w:lvlJc w:val="left"/>
      <w:rPr>
        <w:rFonts w:hint="eastAsia"/>
      </w:rPr>
    </w:lvl>
  </w:abstractNum>
  <w:num w:numId="1">
    <w:abstractNumId w:val="5"/>
  </w:num>
  <w:num w:numId="2">
    <w:abstractNumId w:val="8"/>
  </w:num>
  <w:num w:numId="3">
    <w:abstractNumId w:val="2"/>
  </w:num>
  <w:num w:numId="4">
    <w:abstractNumId w:val="3"/>
  </w:num>
  <w:num w:numId="5">
    <w:abstractNumId w:val="0"/>
  </w:num>
  <w:num w:numId="6">
    <w:abstractNumId w:val="7"/>
  </w:num>
  <w:num w:numId="7">
    <w:abstractNumId w:val="1"/>
  </w:num>
  <w:num w:numId="8">
    <w:abstractNumId w:val="9"/>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Y1MTg0NjVjZjZlZmFlNzBmODdhOWFiNzViY2JjMDEifQ=="/>
  </w:docVars>
  <w:rsids>
    <w:rsidRoot w:val="00000000"/>
    <w:rsid w:val="05820649"/>
    <w:rsid w:val="0BE2245A"/>
    <w:rsid w:val="11EC28D5"/>
    <w:rsid w:val="1EFF274A"/>
    <w:rsid w:val="26C57890"/>
    <w:rsid w:val="299E0C2C"/>
    <w:rsid w:val="2AC210CC"/>
    <w:rsid w:val="35C30488"/>
    <w:rsid w:val="38B80ABE"/>
    <w:rsid w:val="3A19009F"/>
    <w:rsid w:val="3A8D0683"/>
    <w:rsid w:val="3FDF1A73"/>
    <w:rsid w:val="44B42627"/>
    <w:rsid w:val="472C5B03"/>
    <w:rsid w:val="4A0B0F0B"/>
    <w:rsid w:val="4A170701"/>
    <w:rsid w:val="4D966A35"/>
    <w:rsid w:val="5C0B037C"/>
    <w:rsid w:val="5D013CFB"/>
    <w:rsid w:val="61071BA4"/>
    <w:rsid w:val="62B26A79"/>
    <w:rsid w:val="63A83D9E"/>
    <w:rsid w:val="685C4D14"/>
    <w:rsid w:val="73D70019"/>
    <w:rsid w:val="7BF135A3"/>
    <w:rsid w:val="7E8966D7"/>
    <w:rsid w:val="FFF361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6">
    <w:name w:val="toc 7"/>
    <w:basedOn w:val="1"/>
    <w:next w:val="1"/>
    <w:qFormat/>
    <w:uiPriority w:val="0"/>
    <w:pPr>
      <w:ind w:left="1260"/>
      <w:jc w:val="left"/>
    </w:pPr>
    <w:rPr>
      <w:rFonts w:ascii="等线" w:eastAsia="等线"/>
      <w:sz w:val="18"/>
      <w:szCs w:val="18"/>
    </w:rPr>
  </w:style>
  <w:style w:type="paragraph" w:styleId="7">
    <w:name w:val="Normal Indent"/>
    <w:basedOn w:val="1"/>
    <w:qFormat/>
    <w:uiPriority w:val="0"/>
    <w:pPr>
      <w:ind w:firstLine="420" w:firstLineChars="200"/>
    </w:p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53</Pages>
  <Words>18938</Words>
  <Characters>20431</Characters>
  <Lines>596</Lines>
  <Paragraphs>286</Paragraphs>
  <TotalTime>9</TotalTime>
  <ScaleCrop>false</ScaleCrop>
  <LinksUpToDate>false</LinksUpToDate>
  <CharactersWithSpaces>20674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2022-09-20T09:25:00Z</cp:lastPrinted>
  <dcterms:modified xsi:type="dcterms:W3CDTF">2026-05-06T17:08:05Z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E6BB3D230DBD4ED3A3AF5D436787D357</vt:lpwstr>
  </property>
</Properties>
</file>