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附件2</w:t>
      </w: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hAnsi="Times New Roman"/>
        </w:rPr>
      </w:pP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hAnsi="Times New Roman"/>
        </w:rPr>
      </w:pP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hAnsi="Times New Roman"/>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500" w:firstLine="1050"/>
        <w:rPr>
          <w:rFonts w:ascii="Times New Roman" w:eastAsia="仿宋_GB2312" w:hAnsi="Times New Roman"/>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500" w:firstLine="1050"/>
        <w:rPr>
          <w:rFonts w:ascii="Times New Roman" w:eastAsia="仿宋_GB2312" w:hAnsi="Times New Roman"/>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jc w:val="center"/>
        <w:rPr>
          <w:rFonts w:ascii="Times New Roman" w:eastAsia="方正小标宋简体" w:hAnsi="Times New Roman"/>
          <w:sz w:val="44"/>
          <w:szCs w:val="44"/>
        </w:rPr>
      </w:pPr>
      <w:r>
        <w:rPr>
          <w:rFonts w:ascii="Times New Roman" w:eastAsia="方正小标宋简体" w:hAnsi="Times New Roman"/>
          <w:sz w:val="44"/>
          <w:szCs w:val="44"/>
        </w:rPr>
        <w:t>茂县教育局（汇总）</w:t>
      </w:r>
    </w:p>
    <w:p>
      <w:pPr>
        <w:pBdr>
          <w:top w:val="none" w:sz="0" w:space="0" w:color="auto"/>
          <w:left w:val="none" w:sz="0" w:space="0" w:color="auto"/>
          <w:bottom w:val="none" w:sz="0" w:space="0" w:color="auto"/>
          <w:right w:val="none" w:sz="0" w:space="0" w:color="auto"/>
          <w:between w:val="none" w:sz="0" w:space="0" w:color="auto"/>
        </w:pBdr>
        <w:spacing w:line="590" w:lineRule="exact"/>
        <w:jc w:val="center"/>
        <w:rPr>
          <w:rFonts w:ascii="Times New Roman" w:eastAsia="方正小标宋简体" w:hAnsi="Times New Roman"/>
          <w:sz w:val="44"/>
          <w:szCs w:val="44"/>
        </w:rPr>
      </w:pPr>
      <w:r>
        <w:rPr>
          <w:rFonts w:ascii="Times New Roman" w:eastAsia="方正小标宋简体" w:hAnsi="Times New Roman"/>
          <w:sz w:val="44"/>
          <w:szCs w:val="44"/>
        </w:rPr>
        <w:t>2026年部门预算</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550" w:firstLine="2420"/>
        <w:rPr>
          <w:rFonts w:ascii="Times New Roman" w:eastAsia="仿宋_GB2312" w:hAnsi="Times New Roman"/>
          <w:sz w:val="44"/>
          <w:szCs w:val="44"/>
        </w:rPr>
      </w:pPr>
      <w:r>
        <w:rPr>
          <w:rFonts w:ascii="Times New Roman" w:eastAsia="仿宋_GB2312" w:hAnsi="Times New Roman"/>
          <w:sz w:val="44"/>
          <w:szCs w:val="44"/>
        </w:rPr>
        <w:t>2026年4月3日</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firstLineChars="400" w:firstLine="1760"/>
        <w:rPr>
          <w:rFonts w:ascii="Times New Roman" w:eastAsia="仿宋_GB2312" w:hAnsi="Times New Roman"/>
          <w:sz w:val="44"/>
          <w:szCs w:val="44"/>
        </w:rPr>
      </w:pPr>
    </w:p>
    <w:p>
      <w:pPr>
        <w:pBdr>
          <w:top w:val="none" w:sz="0" w:space="0" w:color="auto"/>
          <w:left w:val="none" w:sz="0" w:space="0" w:color="auto"/>
          <w:bottom w:val="none" w:sz="0" w:space="0" w:color="auto"/>
          <w:right w:val="none" w:sz="0" w:space="0" w:color="auto"/>
          <w:between w:val="none" w:sz="0" w:space="0" w:color="auto"/>
        </w:pBdr>
        <w:spacing w:line="590" w:lineRule="exact"/>
        <w:ind w:left="0"/>
        <w:jc w:val="center"/>
        <w:rPr>
          <w:rFonts w:ascii="Times New Roman" w:eastAsia="黑体" w:hAnsi="Times New Roman"/>
          <w:sz w:val="52"/>
          <w:szCs w:val="52"/>
        </w:rPr>
      </w:pPr>
      <w:r>
        <w:rPr>
          <w:rFonts w:ascii="Times New Roman" w:eastAsia="黑体" w:hAnsi="Times New Roman"/>
          <w:sz w:val="52"/>
          <w:szCs w:val="52"/>
        </w:rPr>
        <w:t>目录</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700" w:firstLine="3080"/>
        <w:rPr>
          <w:rFonts w:ascii="Times New Roman" w:eastAsia="仿宋_GB2312" w:hAnsi="Times New Roman"/>
          <w:sz w:val="44"/>
          <w:szCs w:val="44"/>
        </w:rPr>
      </w:pPr>
    </w:p>
    <w:p>
      <w:pPr>
        <w:pStyle w:val="17"/>
        <w:pBdr>
          <w:top w:val="none" w:sz="0" w:space="0" w:color="auto"/>
          <w:left w:val="none" w:sz="0" w:space="0" w:color="auto"/>
          <w:bottom w:val="none" w:sz="0" w:space="0" w:color="auto"/>
          <w:right w:val="none" w:sz="0" w:space="0" w:color="auto"/>
          <w:between w:val="none" w:sz="0" w:space="0" w:color="auto"/>
        </w:pBdr>
        <w:spacing w:line="590" w:lineRule="exact"/>
        <w:ind w:firstLineChars="0" w:firstLine="0"/>
        <w:rPr>
          <w:rFonts w:ascii="Times New Roman" w:eastAsia="黑体" w:hAnsi="Times New Roman"/>
          <w:sz w:val="32"/>
          <w:szCs w:val="32"/>
        </w:rPr>
      </w:pPr>
      <w:r>
        <w:rPr>
          <w:rFonts w:ascii="Times New Roman" w:eastAsia="黑体" w:hAnsi="Times New Roman"/>
          <w:sz w:val="32"/>
          <w:szCs w:val="32"/>
        </w:rPr>
        <w:t>一、基本职能及主要工作</w:t>
      </w: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楷体_GB2312" w:hAnsi="Times New Roman"/>
          <w:b/>
          <w:bCs/>
          <w:sz w:val="32"/>
          <w:szCs w:val="32"/>
        </w:rPr>
      </w:pPr>
      <w:r>
        <w:rPr>
          <w:rFonts w:ascii="Times New Roman" w:eastAsia="楷体_GB2312" w:hAnsi="Times New Roman"/>
          <w:b/>
          <w:bCs/>
          <w:sz w:val="32"/>
          <w:szCs w:val="32"/>
        </w:rPr>
        <w:t>（一）部门职能简介</w:t>
      </w: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楷体_GB2312" w:hAnsi="Times New Roman"/>
          <w:b/>
          <w:bCs/>
          <w:sz w:val="32"/>
          <w:szCs w:val="32"/>
        </w:rPr>
      </w:pPr>
      <w:r>
        <w:rPr>
          <w:rFonts w:ascii="Times New Roman" w:eastAsia="楷体_GB2312" w:hAnsi="Times New Roman"/>
          <w:b/>
          <w:bCs/>
          <w:sz w:val="32"/>
          <w:szCs w:val="32"/>
        </w:rPr>
        <w:t>（二）2026年重点工作</w:t>
      </w:r>
    </w:p>
    <w:p>
      <w:pPr>
        <w:pStyle w:val="17"/>
        <w:pBdr>
          <w:top w:val="none" w:sz="0" w:space="0" w:color="auto"/>
          <w:left w:val="none" w:sz="0" w:space="0" w:color="auto"/>
          <w:bottom w:val="none" w:sz="0" w:space="0" w:color="auto"/>
          <w:right w:val="none" w:sz="0" w:space="0" w:color="auto"/>
          <w:between w:val="none" w:sz="0" w:space="0" w:color="auto"/>
        </w:pBdr>
        <w:spacing w:line="590" w:lineRule="exact"/>
        <w:ind w:firstLineChars="0" w:firstLine="0"/>
        <w:rPr>
          <w:rFonts w:ascii="Times New Roman" w:eastAsia="黑体" w:hAnsi="Times New Roman"/>
          <w:sz w:val="32"/>
          <w:szCs w:val="32"/>
        </w:rPr>
      </w:pPr>
      <w:r>
        <w:rPr>
          <w:rFonts w:ascii="Times New Roman" w:eastAsia="黑体" w:hAnsi="Times New Roman"/>
          <w:sz w:val="32"/>
          <w:szCs w:val="32"/>
        </w:rPr>
        <w:t>二、部门预算单位构成</w:t>
      </w:r>
    </w:p>
    <w:p>
      <w:pPr>
        <w:pStyle w:val="17"/>
        <w:pBdr>
          <w:top w:val="none" w:sz="0" w:space="0" w:color="auto"/>
          <w:left w:val="none" w:sz="0" w:space="0" w:color="auto"/>
          <w:bottom w:val="none" w:sz="0" w:space="0" w:color="auto"/>
          <w:right w:val="none" w:sz="0" w:space="0" w:color="auto"/>
          <w:between w:val="none" w:sz="0" w:space="0" w:color="auto"/>
        </w:pBdr>
        <w:spacing w:line="590" w:lineRule="exact"/>
        <w:ind w:firstLineChars="0" w:firstLine="0"/>
        <w:rPr>
          <w:rFonts w:ascii="Times New Roman" w:eastAsia="黑体" w:hAnsi="Times New Roman"/>
          <w:sz w:val="32"/>
          <w:szCs w:val="32"/>
        </w:rPr>
      </w:pPr>
      <w:r>
        <w:rPr>
          <w:rFonts w:ascii="Times New Roman" w:eastAsia="黑体" w:hAnsi="Times New Roman"/>
          <w:sz w:val="32"/>
          <w:szCs w:val="32"/>
        </w:rPr>
        <w:t>三、收支预算情况说明</w:t>
      </w: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楷体_GB2312" w:hAnsi="Times New Roman"/>
          <w:b/>
          <w:bCs/>
          <w:sz w:val="32"/>
          <w:szCs w:val="32"/>
        </w:rPr>
      </w:pPr>
      <w:r>
        <w:rPr>
          <w:rFonts w:ascii="Times New Roman" w:eastAsia="楷体_GB2312" w:hAnsi="Times New Roman"/>
          <w:b/>
          <w:bCs/>
          <w:sz w:val="32"/>
          <w:szCs w:val="32"/>
        </w:rPr>
        <w:t>（一）收入预算情况</w:t>
      </w: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楷体_GB2312" w:hAnsi="Times New Roman"/>
          <w:b/>
          <w:bCs/>
          <w:sz w:val="32"/>
          <w:szCs w:val="32"/>
        </w:rPr>
      </w:pPr>
      <w:r>
        <w:rPr>
          <w:rFonts w:ascii="Times New Roman" w:eastAsia="楷体_GB2312" w:hAnsi="Times New Roman"/>
          <w:b/>
          <w:bCs/>
          <w:sz w:val="32"/>
          <w:szCs w:val="32"/>
        </w:rPr>
        <w:t>（二）支出预算情况</w:t>
      </w:r>
    </w:p>
    <w:p>
      <w:pPr>
        <w:pStyle w:val="17"/>
        <w:pBdr>
          <w:top w:val="none" w:sz="0" w:space="0" w:color="auto"/>
          <w:left w:val="none" w:sz="0" w:space="0" w:color="auto"/>
          <w:bottom w:val="none" w:sz="0" w:space="0" w:color="auto"/>
          <w:right w:val="none" w:sz="0" w:space="0" w:color="auto"/>
          <w:between w:val="none" w:sz="0" w:space="0" w:color="auto"/>
        </w:pBdr>
        <w:spacing w:line="590" w:lineRule="exact"/>
        <w:ind w:firstLineChars="0" w:firstLine="0"/>
        <w:rPr>
          <w:rFonts w:ascii="Times New Roman" w:eastAsia="黑体" w:hAnsi="Times New Roman"/>
          <w:sz w:val="32"/>
          <w:szCs w:val="32"/>
        </w:rPr>
      </w:pPr>
      <w:r>
        <w:rPr>
          <w:rFonts w:ascii="Times New Roman" w:eastAsia="黑体" w:hAnsi="Times New Roman"/>
          <w:sz w:val="32"/>
          <w:szCs w:val="32"/>
        </w:rPr>
        <w:t>四、财政拨款收支预算情况说明</w:t>
      </w:r>
    </w:p>
    <w:p>
      <w:pPr>
        <w:pStyle w:val="17"/>
        <w:pBdr>
          <w:top w:val="none" w:sz="0" w:space="0" w:color="auto"/>
          <w:left w:val="none" w:sz="0" w:space="0" w:color="auto"/>
          <w:bottom w:val="none" w:sz="0" w:space="0" w:color="auto"/>
          <w:right w:val="none" w:sz="0" w:space="0" w:color="auto"/>
          <w:between w:val="none" w:sz="0" w:space="0" w:color="auto"/>
        </w:pBdr>
        <w:spacing w:line="590" w:lineRule="exact"/>
        <w:ind w:firstLineChars="0" w:firstLine="0"/>
        <w:rPr>
          <w:rFonts w:ascii="Times New Roman" w:eastAsia="黑体" w:hAnsi="Times New Roman"/>
          <w:sz w:val="32"/>
          <w:szCs w:val="32"/>
        </w:rPr>
      </w:pPr>
      <w:r>
        <w:rPr>
          <w:rFonts w:ascii="Times New Roman" w:eastAsia="黑体" w:hAnsi="Times New Roman"/>
          <w:sz w:val="32"/>
          <w:szCs w:val="32"/>
        </w:rPr>
        <w:t>五、一般公共预算当年拨款情况说明</w:t>
      </w: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hAnsi="Times New Roman"/>
          <w:sz w:val="32"/>
          <w:szCs w:val="32"/>
        </w:rPr>
      </w:pPr>
      <w:r>
        <w:rPr>
          <w:rFonts w:ascii="Times New Roman" w:eastAsia="楷体_GB2312" w:hAnsi="Times New Roman"/>
          <w:b/>
          <w:bCs/>
          <w:sz w:val="32"/>
          <w:szCs w:val="32"/>
        </w:rPr>
        <w:t>（一）一般公共预算当年拨款规模变化情况</w:t>
        <w:br/>
        <w:t>（二）一般公共预算当年拨款结构情况</w:t>
        <w:br/>
        <w:t>（三）一般公共预算当年拨款具体使用情况</w:t>
      </w:r>
      <w:r>
        <w:rPr>
          <w:rFonts w:ascii="Times New Roman" w:eastAsia="楷体_GB2312" w:hAnsi="Times New Roman"/>
          <w:b/>
          <w:bCs/>
          <w:kern w:val="0"/>
          <w:sz w:val="16"/>
          <w:szCs w:val="16"/>
        </w:rPr>
        <w:br/>
      </w:r>
      <w:r>
        <w:rPr>
          <w:rFonts w:ascii="Times New Roman" w:eastAsia="黑体" w:hAnsi="Times New Roman"/>
          <w:sz w:val="32"/>
          <w:szCs w:val="32"/>
        </w:rPr>
        <w:t>六、一般公共预算基本支出情况说明</w:t>
        <w:br/>
        <w:t>七、“三公”经费财政拨款预算安排情况说明</w:t>
        <w:br/>
        <w:t>八、政府性基金预算支出情况说明</w:t>
        <w:br/>
        <w:t>九、其他重要事项的情况说明</w:t>
        <w:br/>
        <w:t>十、名称解释</w:t>
      </w: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hAnsi="Times New Roman"/>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FFFFFF"/>
        <w:spacing w:before="100" w:after="100" w:line="590" w:lineRule="exact"/>
        <w:ind w:right="300"/>
        <w:jc w:val="left"/>
        <w:rPr>
          <w:rFonts w:ascii="Times New Roman" w:eastAsia="仿宋_GB2312" w:hAnsi="Times New Roman"/>
          <w:kern w:val="0"/>
          <w:sz w:val="12"/>
          <w:szCs w:val="1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FFFFFF"/>
        <w:spacing w:before="100" w:after="100" w:line="590" w:lineRule="exact"/>
        <w:ind w:right="300"/>
        <w:jc w:val="left"/>
        <w:rPr>
          <w:rFonts w:ascii="Times New Roman" w:eastAsia="仿宋_GB2312" w:hAnsi="Times New Roman"/>
          <w:kern w:val="0"/>
          <w:sz w:val="12"/>
          <w:szCs w:val="1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FFFFFF"/>
        <w:spacing w:before="100" w:after="100" w:line="590" w:lineRule="exact"/>
        <w:ind w:right="300"/>
        <w:jc w:val="left"/>
        <w:rPr>
          <w:rFonts w:ascii="Times New Roman" w:eastAsia="仿宋_GB2312" w:hAnsi="Times New Roman"/>
          <w:kern w:val="0"/>
          <w:sz w:val="12"/>
          <w:szCs w:val="12"/>
        </w:rPr>
      </w:pP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一、基本职能及主要工作</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楷体_GB2312" w:hAnsi="Times New Roman"/>
          <w:b/>
          <w:sz w:val="32"/>
          <w:szCs w:val="32"/>
        </w:rPr>
      </w:pPr>
      <w:r>
        <w:rPr>
          <w:rFonts w:ascii="Times New Roman" w:eastAsia="楷体_GB2312" w:hAnsi="Times New Roman"/>
          <w:b/>
          <w:sz w:val="32"/>
          <w:szCs w:val="32"/>
        </w:rPr>
        <w:t>（一）部门职能简介</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1.贯彻执行国家和省有关教育工作的法律法规和方针政策，拟订教育工作规范性文件并组织实施。</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2.拟订教育事业发展规划，提出教育改革发展的目标和任务，并协调指导实施，指导各级各类学校的教育教学改革和中小学布局结构调整，负责全县教育事业基本信息的统计、分析和发布，指导教育信息化工作。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3.会同有关部门拟订筹措教育经费、教育拨款、教育基建投资、教育收费管理的规定，负责全县教育经费的统筹管理，监督全县教育经费的管理和使用情况，组织学校的基本建设，指导学校的财务管理,指导国（境）内外教育援助、教育贷款和教育合作项目执行。</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4.负责全县义务教育的宏观指导和协调，推进全县义务教育均衡发展和促进教育公平，指导普通高中教育、职业教育、学前教育、特殊教育和成人教育工作，指导学校开展教育教学改革和办学体制、学校内部管理体制改革；负责全县各类教育招生考试工作，指导、协调全县民办教育管理工作，组织实施藏区“9+3”免费中等职业教育。</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5.指导民族教育工作，负责组织和协调“民族地区教育发展十年行动计划”工作。统筹规划和指导民族寄宿制标准（规范）化建设和双语教学发展规划，指导民族寄宿制和双语教学的管理以及民族团结教育工作。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6.规划、指导和协调全县教育系统的科研、科普、教育教学研究工作和教科研成果的应用和推广。指导各类学校教育技术装备和实验室、图书馆建设、教育信息化工作，指导学校后勤工作，组织审定教材和教学用书及资料，负责全县教育事业单位政府采购及监管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7.综合指导全县教育督导工作，依法组织教育执法，督导、检查乡镇人民政府及各行政部门履行教育职责情况，对中等以下教育、扫除青壮年文盲工作进行督导检查和评估验收，指导基础教育发展水平和质量的监测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8.指导全县各级各类学校的思想政治、德育、体育卫生与艺术教育、国防教育和宣传工作，指导学校的安全、稳定、保卫和综合治理工作，指导教育系统审计工作，会同有关部门加强学校领导班子建设。</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9.主管全县教师工作，组织实施教师资格制度，组织并指导中小学教师专业技术职务资格评审推荐工作，指导学校人事制度改革，指导各类学校教师和教育行政干部队伍建设工作，指导全县教育系统党建和统战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90" w:lineRule="exact"/>
        <w:jc w:val="both"/>
        <w:rPr>
          <w:rFonts w:ascii="Times New Roman" w:cs="Times New Roman" w:hAnsi="Times New Roman"/>
          <w:sz w:val="32"/>
          <w:szCs w:val="32"/>
        </w:rPr>
      </w:pPr>
      <w:r>
        <w:rPr>
          <w:rFonts w:ascii="Times New Roman" w:cs="Times New Roman" w:hAnsi="Times New Roman"/>
          <w:sz w:val="32"/>
          <w:szCs w:val="32"/>
        </w:rPr>
        <w:t>10.主管全县国家通用语言推广、文字规范、普通话师资培训和本地民族语言文字教学工作。</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楷体_GB2312" w:hAnsi="Times New Roman"/>
          <w:b/>
          <w:sz w:val="32"/>
          <w:szCs w:val="32"/>
        </w:rPr>
      </w:pPr>
      <w:r>
        <w:rPr>
          <w:rFonts w:ascii="Times New Roman" w:eastAsia="楷体_GB2312" w:hAnsi="Times New Roman"/>
          <w:b/>
          <w:sz w:val="32"/>
          <w:szCs w:val="32"/>
        </w:rPr>
        <w:t>（二）2026年重点工作</w:t>
      </w:r>
    </w:p>
    <w:p>
      <w:pPr>
        <w:pStyle w:val="20"/>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1.完成国家级优质均衡县创建。</w:t>
      </w:r>
    </w:p>
    <w:p>
      <w:pPr>
        <w:pStyle w:val="20"/>
        <w:pBdr>
          <w:top w:val="none" w:sz="0" w:space="0" w:color="auto"/>
          <w:left w:val="none" w:sz="0" w:space="0" w:color="auto"/>
          <w:bottom w:val="none" w:sz="0" w:space="0" w:color="auto"/>
          <w:right w:val="none" w:sz="0" w:space="0" w:color="auto"/>
          <w:between w:val="none" w:sz="0" w:space="0" w:color="auto"/>
        </w:pBdr>
        <w:spacing w:line="590" w:lineRule="exact"/>
        <w:ind w:firstLineChars="208" w:firstLine="666"/>
        <w:rPr>
          <w:rFonts w:ascii="Times New Roman" w:eastAsia="仿宋_GB2312" w:cs="Times New Roman" w:hAnsi="Times New Roman"/>
          <w:sz w:val="32"/>
          <w:szCs w:val="32"/>
        </w:rPr>
      </w:pPr>
      <w:r>
        <w:rPr>
          <w:rFonts w:ascii="Times New Roman" w:eastAsia="仿宋_GB2312" w:cs="Times New Roman" w:hAnsi="Times New Roman"/>
          <w:sz w:val="32"/>
          <w:szCs w:val="32"/>
        </w:rPr>
        <w:t>2.高质量完成高（中）考工作：协同合作，做好高（中）考保障，为考生营造良好的考试环境。</w:t>
      </w:r>
    </w:p>
    <w:p>
      <w:pPr>
        <w:pStyle w:val="20"/>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3.做好各学段招生工作：解读宣传好招生政策，制定招生方案，全力做好各学段招生工作。</w:t>
      </w:r>
    </w:p>
    <w:p>
      <w:pPr>
        <w:pStyle w:val="20"/>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4.加大与嘉祥深度合作：在嘉祥教育集团领办茂县八一中学、建立茂县八一九年一贯制学校的背景下，多渠道多维度提升教师发展，以点带面，向茂县所有中小学全面共享学校的教科研资源，探索小初高整合联动、贯通“全学段”培养的新模式，带动区域教育教学质量的整体提升，为茂县建设区域教育高地、争创民族地区教育高质量发展先行示范区奠定坚实有力的基础。 </w:t>
      </w:r>
    </w:p>
    <w:p>
      <w:pPr>
        <w:pStyle w:val="20"/>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5.持续推进研学活动：为进一步落实州委的“研学之州”建设，提前谋划好学生研学工作，保质保量完成州级任务目标。</w:t>
      </w:r>
    </w:p>
    <w:p>
      <w:pPr>
        <w:pStyle w:val="20"/>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cs="Times New Roman" w:hAnsi="Times New Roman"/>
          <w:bCs/>
          <w:spacing w:val="-4"/>
          <w:sz w:val="32"/>
          <w:szCs w:val="32"/>
        </w:rPr>
      </w:pPr>
      <w:r>
        <w:rPr>
          <w:rFonts w:ascii="Times New Roman" w:eastAsia="仿宋_GB2312" w:cs="Times New Roman" w:hAnsi="Times New Roman"/>
          <w:sz w:val="32"/>
          <w:szCs w:val="32"/>
        </w:rPr>
        <w:t>6.推动重点项目落地</w:t>
      </w:r>
      <w:r>
        <w:rPr>
          <w:rFonts w:ascii="Times New Roman" w:eastAsia="仿宋_GB2312" w:cs="Times New Roman" w:hAnsi="Times New Roman"/>
          <w:bCs/>
          <w:sz w:val="32"/>
          <w:szCs w:val="32"/>
        </w:rPr>
        <w:t>：</w:t>
      </w:r>
      <w:r>
        <w:rPr>
          <w:rFonts w:ascii="Times New Roman" w:eastAsia="仿宋_GB2312" w:cs="Times New Roman" w:hAnsi="Times New Roman"/>
          <w:sz w:val="32"/>
          <w:szCs w:val="32"/>
        </w:rPr>
        <w:t>加快茂县中学二号教学楼、光明实验学校提升改造在建项目建设，强化安全、质量、进度管控。</w:t>
      </w:r>
    </w:p>
    <w:p>
      <w:pPr>
        <w:pStyle w:val="21"/>
        <w:pBdr>
          <w:top w:val="none" w:sz="0" w:space="0" w:color="auto"/>
          <w:left w:val="none" w:sz="0" w:space="0" w:color="auto"/>
          <w:bottom w:val="none" w:sz="0" w:space="0" w:color="auto"/>
          <w:right w:val="none" w:sz="0" w:space="0" w:color="auto"/>
          <w:between w:val="none" w:sz="0" w:space="0" w:color="auto"/>
        </w:pBdr>
        <w:spacing w:after="0" w:line="59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7.举办全县中小学生艺术节：全力做好第九届全县中小学生艺术节，不断提升学生的艺术能力与审美能力，促进素质教育走深走实。</w:t>
      </w:r>
    </w:p>
    <w:p>
      <w:pPr>
        <w:pStyle w:val="21"/>
        <w:pBdr>
          <w:top w:val="none" w:sz="0" w:space="0" w:color="auto"/>
          <w:left w:val="none" w:sz="0" w:space="0" w:color="auto"/>
          <w:bottom w:val="none" w:sz="0" w:space="0" w:color="auto"/>
          <w:right w:val="none" w:sz="0" w:space="0" w:color="auto"/>
          <w:between w:val="none" w:sz="0" w:space="0" w:color="auto"/>
        </w:pBdr>
        <w:spacing w:after="0" w:line="59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8.深入推进校园安全工作：持续推进食堂从业人员、食堂管理人员的技能培训，加大食堂管理，确保舌尖安全；完善校园两支安全队伍，坚持“一周一跑、一月一练”活动，加大安全预防知识宣传，确保校园安全。进一步发挥三个心理健康辅导点作用，定期对师生进行筛查，建立“三失一偏”人员台账，重点管理；强化重点时段重点人员管理，化解矛盾在基层。</w:t>
      </w:r>
    </w:p>
    <w:p>
      <w:pPr>
        <w:pStyle w:val="21"/>
        <w:pBdr>
          <w:top w:val="none" w:sz="0" w:space="0" w:color="auto"/>
          <w:left w:val="none" w:sz="0" w:space="0" w:color="auto"/>
          <w:bottom w:val="none" w:sz="0" w:space="0" w:color="auto"/>
          <w:right w:val="none" w:sz="0" w:space="0" w:color="auto"/>
          <w:between w:val="none" w:sz="0" w:space="0" w:color="auto"/>
        </w:pBdr>
        <w:spacing w:after="0" w:line="59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9.强化教师业务素养提升。</w:t>
      </w:r>
    </w:p>
    <w:p>
      <w:pPr>
        <w:pStyle w:val="21"/>
        <w:pBdr>
          <w:top w:val="none" w:sz="0" w:space="0" w:color="auto"/>
          <w:left w:val="none" w:sz="0" w:space="0" w:color="auto"/>
          <w:bottom w:val="none" w:sz="0" w:space="0" w:color="auto"/>
          <w:right w:val="none" w:sz="0" w:space="0" w:color="auto"/>
          <w:between w:val="none" w:sz="0" w:space="0" w:color="auto"/>
        </w:pBdr>
        <w:spacing w:after="0" w:line="59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10.加快教师队伍建设。</w:t>
      </w: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二、部门预算单位构成</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茂县教育局属一级预算单位，下属二级预算单位0个，其中：参照公务员法管理的事业单位0个，其他事业单位14个。其它事业单位分别是：</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sz w:val="32"/>
          <w:szCs w:val="32"/>
        </w:rPr>
      </w:pPr>
      <w:r>
        <w:rPr>
          <w:rFonts w:ascii="Times New Roman" w:hAnsi="Times New Roman"/>
          <w:color w:val="000000"/>
          <w:sz w:val="32"/>
          <w:szCs w:val="32"/>
        </w:rPr>
        <w:t>1.茂县教师进修学校</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2.茂县南新镇光华小学校</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3.茂县七一富顺镇小学校</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4.茂县同心幼儿园</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5.茂县凤仪小学校</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6.茂县凤仪镇小学校</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7.茂县八一中学</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8.茂县七一民族中学</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9.茂县中学</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10.茂县河西小学校</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11.茂县蓝天幼儿园</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12.茂县凤仪镇幼儿园</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13.茂县城南幼儿园</w:t>
      </w:r>
    </w:p>
    <w:p>
      <w:pPr>
        <w:pStyle w:val="22"/>
        <w:pBdr>
          <w:top w:val="none" w:sz="0" w:space="0" w:color="auto"/>
          <w:left w:val="none" w:sz="0" w:space="0" w:color="auto"/>
          <w:bottom w:val="none" w:sz="0" w:space="0" w:color="auto"/>
          <w:right w:val="none" w:sz="0" w:space="0" w:color="auto"/>
          <w:between w:val="none" w:sz="0" w:space="0" w:color="auto"/>
        </w:pBdr>
        <w:wordWrap w:val="0"/>
        <w:topLinePunct/>
        <w:adjustRightInd w:val="0"/>
        <w:snapToGrid w:val="0"/>
        <w:spacing w:beforeLines="0" w:before="93" w:line="590" w:lineRule="exact"/>
        <w:ind w:left="640" w:firstLine="640"/>
        <w:outlineLvl w:val="2"/>
        <w:rPr>
          <w:rFonts w:ascii="Times New Roman" w:hAnsi="Times New Roman"/>
          <w:color w:val="000000"/>
          <w:sz w:val="32"/>
          <w:szCs w:val="32"/>
        </w:rPr>
      </w:pPr>
      <w:r>
        <w:rPr>
          <w:rFonts w:ascii="Times New Roman" w:hAnsi="Times New Roman"/>
          <w:color w:val="000000"/>
          <w:sz w:val="32"/>
          <w:szCs w:val="32"/>
        </w:rPr>
        <w:t>14.茂县凤仪镇兴茂小学校</w:t>
      </w: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三、收支预算情况说明</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按照综合预算的原则，茂县教育局所有收入和支出均纳入部门预算管理。收入包括：一般公共预算拨款收入289960140.85元；支出包括：教育支出205660764.44元，社会保障和就业支出43336144.80元，卫生健康支出17701831.61元，住房保障支出23237400.00元，农林水支出24000.00元。茂县教育局2026年收支总预算289960140.85元，较2025年收支预算总数增加26345795.97元，主要原因是：</w:t>
      </w:r>
      <w:r>
        <w:rPr>
          <w:rFonts w:ascii="Times New Roman" w:eastAsia="仿宋_GB2312" w:hAnsi="Times New Roman"/>
          <w:bCs/>
          <w:kern w:val="0"/>
          <w:sz w:val="32"/>
          <w:szCs w:val="32"/>
        </w:rPr>
        <w:t>养老保险、职业年金、住房公积金增加。</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楷体_GB2312" w:hAnsi="Times New Roman"/>
          <w:b/>
          <w:bCs/>
          <w:sz w:val="32"/>
          <w:szCs w:val="32"/>
        </w:rPr>
      </w:pPr>
      <w:r>
        <w:rPr>
          <w:rFonts w:ascii="Times New Roman" w:eastAsia="楷体_GB2312" w:hAnsi="Times New Roman"/>
          <w:b/>
          <w:sz w:val="32"/>
          <w:szCs w:val="32"/>
        </w:rPr>
        <w:t>（一）收入预算情况</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2026年收入预算289960140.85元；一般公共预算拨款收入289960140.85元，占100%。</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楷体_GB2312" w:hAnsi="Times New Roman"/>
          <w:b/>
          <w:bCs/>
          <w:sz w:val="32"/>
          <w:szCs w:val="32"/>
        </w:rPr>
      </w:pPr>
      <w:r>
        <w:rPr>
          <w:rFonts w:ascii="Times New Roman" w:eastAsia="楷体_GB2312" w:hAnsi="Times New Roman"/>
          <w:b/>
          <w:sz w:val="32"/>
          <w:szCs w:val="32"/>
        </w:rPr>
        <w:t>（二）支出预算情况</w:t>
      </w: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仿宋_GB2312" w:hAnsi="Times New Roman"/>
          <w:sz w:val="32"/>
          <w:szCs w:val="32"/>
        </w:rPr>
        <w:t>2026年支出预算289960140.85元，其中：基本支出282470715.85元，占97%；项目支出7489425.00元，占3%。</w:t>
      </w: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四、财政拨款收支预算情况说明</w:t>
      </w:r>
    </w:p>
    <w:p>
      <w:pPr>
        <w:pBdr>
          <w:top w:val="none" w:sz="0" w:space="0" w:color="auto"/>
          <w:left w:val="none" w:sz="0" w:space="0" w:color="auto"/>
          <w:bottom w:val="none" w:sz="0" w:space="0" w:color="auto"/>
          <w:right w:val="none" w:sz="0" w:space="0" w:color="auto"/>
          <w:between w:val="none" w:sz="0" w:space="0" w:color="auto"/>
        </w:pBdr>
        <w:spacing w:line="59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2026年财政拨款收支总预算289960140.85元，较2025年财政拨款收支总预算增加26345795.97元，主要原因是：</w:t>
      </w:r>
      <w:r>
        <w:rPr>
          <w:rFonts w:ascii="Times New Roman" w:eastAsia="仿宋_GB2312" w:hAnsi="Times New Roman"/>
          <w:bCs/>
          <w:kern w:val="0"/>
          <w:sz w:val="32"/>
          <w:szCs w:val="32"/>
        </w:rPr>
        <w:t>养老保险、职业年金、住房公积金增加</w:t>
      </w:r>
      <w:r>
        <w:rPr>
          <w:rFonts w:ascii="Times New Roman" w:eastAsia="仿宋_GB2312" w:hAnsi="Times New Roman"/>
          <w:sz w:val="32"/>
          <w:szCs w:val="32"/>
        </w:rPr>
        <w:t>。</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收入包括：</w:t>
      </w:r>
      <w:r>
        <w:rPr>
          <w:rFonts w:ascii="Times New Roman" w:eastAsia="仿宋_GB2312" w:hAnsi="Times New Roman"/>
          <w:sz w:val="32"/>
          <w:szCs w:val="32"/>
        </w:rPr>
        <w:t>本年一般公共预算拨款收入289960140.85元。</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支出包括：</w:t>
      </w:r>
      <w:r>
        <w:rPr>
          <w:rFonts w:ascii="Times New Roman" w:eastAsia="仿宋_GB2312" w:hAnsi="Times New Roman"/>
          <w:sz w:val="32"/>
          <w:szCs w:val="32"/>
        </w:rPr>
        <w:t>教育支出205660764.44元，社会保障和就业支出43336144.80元，卫生健康支出17701831.61元，住房保障支出23237400.00元，农林水支出24000.00元。</w:t>
      </w: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五、一般公共预算当年拨款情况说明</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Style w:val="0"/>
          <w:rFonts w:ascii="Times New Roman" w:eastAsia="楷体_GB2312" w:hAnsi="Times New Roman"/>
          <w:b/>
          <w:sz w:val="32"/>
          <w:szCs w:val="32"/>
        </w:rPr>
      </w:pPr>
      <w:r>
        <w:rPr>
          <w:rStyle w:val="0"/>
          <w:rFonts w:ascii="Times New Roman" w:eastAsia="楷体_GB2312" w:hAnsi="Times New Roman"/>
          <w:b/>
          <w:sz w:val="32"/>
          <w:szCs w:val="32"/>
        </w:rPr>
        <w:t>（一）一般公共预算当年拨款规模变化情况</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bCs/>
          <w:kern w:val="0"/>
          <w:sz w:val="32"/>
          <w:szCs w:val="32"/>
        </w:rPr>
      </w:pPr>
      <w:r>
        <w:rPr>
          <w:rFonts w:ascii="Times New Roman" w:eastAsia="仿宋_GB2312" w:hAnsi="Times New Roman"/>
          <w:sz w:val="32"/>
          <w:szCs w:val="32"/>
        </w:rPr>
        <w:t>2026年一般公共预算当年拨款289960140.85元, 较2025年收支预算总数增加26345795.97元，主要原因是：</w:t>
      </w:r>
      <w:r>
        <w:rPr>
          <w:rFonts w:ascii="Times New Roman" w:eastAsia="仿宋_GB2312" w:hAnsi="Times New Roman"/>
          <w:bCs/>
          <w:kern w:val="0"/>
          <w:sz w:val="32"/>
          <w:szCs w:val="32"/>
        </w:rPr>
        <w:t>养老保险、职业年金、住房公积金增加</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楷体_GB2312" w:hAnsi="Times New Roman"/>
          <w:b/>
          <w:sz w:val="32"/>
          <w:szCs w:val="32"/>
        </w:rPr>
      </w:pPr>
      <w:r>
        <w:rPr>
          <w:rFonts w:ascii="Times New Roman" w:eastAsia="楷体_GB2312" w:hAnsi="Times New Roman"/>
          <w:b/>
          <w:sz w:val="32"/>
          <w:szCs w:val="32"/>
        </w:rPr>
        <w:t>（二）一般公共预算当年拨款结构情况</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教育支出205660764.44元，占71%；社会保障和就业支出43336144.80元，占14.5%；卫生健康支出17701831.61元，占6%；住房保障支出23237400.00元，占8%，农林水支出24000.00元，占0.5%。</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Style w:val="0"/>
          <w:rFonts w:ascii="Times New Roman" w:eastAsia="楷体_GB2312" w:hAnsi="Times New Roman"/>
          <w:b/>
          <w:sz w:val="32"/>
          <w:szCs w:val="32"/>
        </w:rPr>
      </w:pPr>
      <w:r>
        <w:rPr>
          <w:rStyle w:val="0"/>
          <w:rFonts w:ascii="Times New Roman" w:eastAsia="楷体_GB2312" w:hAnsi="Times New Roman"/>
          <w:b/>
          <w:sz w:val="32"/>
          <w:szCs w:val="32"/>
        </w:rPr>
        <w:t>（三）一般公共预算当年拨款具体使用情况</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1.教育支出（205）教育管理事务（01）行政运行（01）2026年预算数为1752089.27元，主要用于：单位2026年的人员经费和日常公用经费等基本支出。</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2.教育支出（205）普通教育（02）学前教育（01）2026年预算数为22992930.65元，主要用于：学前教育方面的支出。</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3.教育支出（205）普通教育（02）小学教育（02）2026年预算数为89283574.99元，主要用于：小学教育方面的支出。 </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Chars="150" w:firstLine="480"/>
        <w:rPr>
          <w:rFonts w:ascii="Times New Roman" w:eastAsia="仿宋_GB2312" w:hAnsi="Times New Roman"/>
          <w:sz w:val="32"/>
          <w:szCs w:val="32"/>
        </w:rPr>
      </w:pPr>
      <w:r>
        <w:rPr>
          <w:rFonts w:ascii="Times New Roman" w:eastAsia="仿宋_GB2312" w:hAnsi="Times New Roman"/>
          <w:sz w:val="32"/>
          <w:szCs w:val="32"/>
        </w:rPr>
        <w:t xml:space="preserve"> 4.教育支出（205）普通教育（02）初中教育（03）2026年预算数为54776718.61元，主要用于：初中教育方面的支出。</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5.教育支出（205）普通教育（02）高中教育（04）2026年预算数为27843762.08元，主要用于：高中教育方面的支出。</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6.教育支出（205）进修及培训（08）教师进修（01）2026年预算数为4591251.84元，主要用于：教师培训等方面的支出。 </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7.教育支出（205）教育附加安排的支出（09）其他教育附加安排支出（99）2026年预算数为</w:t>
      </w:r>
      <w:r>
        <w:rPr>
          <w:rFonts w:ascii="Times New Roman" w:eastAsia="仿宋_GB2312" w:hAnsi="Times New Roman"/>
          <w:color w:val="000000"/>
          <w:kern w:val="0"/>
          <w:sz w:val="32"/>
          <w:szCs w:val="32"/>
        </w:rPr>
        <w:t>4420437.00</w:t>
      </w:r>
      <w:r>
        <w:rPr>
          <w:rFonts w:ascii="Times New Roman" w:eastAsia="仿宋_GB2312" w:hAnsi="Times New Roman"/>
          <w:sz w:val="32"/>
          <w:szCs w:val="32"/>
        </w:rPr>
        <w:t>元，主要用于：单位2026年的民办幼儿园保教费和午餐补助，区乡生活补助、普惠性民办幼儿园生均公用经费。</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660"/>
        <w:rPr>
          <w:rFonts w:ascii="Times New Roman" w:eastAsia="仿宋_GB2312" w:hAnsi="Times New Roman"/>
          <w:color w:val="000000"/>
          <w:kern w:val="0"/>
          <w:sz w:val="32"/>
          <w:szCs w:val="32"/>
        </w:rPr>
      </w:pPr>
      <w:r>
        <w:rPr>
          <w:rFonts w:ascii="Times New Roman" w:eastAsia="仿宋_GB2312" w:hAnsi="Times New Roman"/>
          <w:sz w:val="32"/>
          <w:szCs w:val="32"/>
        </w:rPr>
        <w:t>8.社会保障和就业支出（208）行政事业单位养老支出（05）机关事业单位基本养老保险缴费支出（05）2026年预算数为</w:t>
      </w:r>
      <w:r>
        <w:rPr>
          <w:rFonts w:ascii="Times New Roman" w:eastAsia="仿宋_GB2312" w:hAnsi="Times New Roman"/>
          <w:color w:val="000000"/>
          <w:kern w:val="0"/>
          <w:sz w:val="32"/>
          <w:szCs w:val="32"/>
        </w:rPr>
        <w:t>28989149.42</w:t>
      </w:r>
      <w:r>
        <w:rPr>
          <w:rFonts w:ascii="Times New Roman" w:eastAsia="仿宋_GB2312" w:hAnsi="Times New Roman"/>
          <w:sz w:val="32"/>
          <w:szCs w:val="32"/>
        </w:rPr>
        <w:t>元，主要用于：单位缴纳基本养老保险费。</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rPr>
          <w:rFonts w:ascii="Times New Roman" w:eastAsia="仿宋_GB2312" w:hAnsi="Times New Roman"/>
          <w:color w:val="000000"/>
          <w:kern w:val="0"/>
          <w:sz w:val="32"/>
          <w:szCs w:val="32"/>
        </w:rPr>
      </w:pPr>
      <w:r>
        <w:rPr>
          <w:rFonts w:ascii="Times New Roman" w:eastAsia="仿宋_GB2312" w:hAnsi="Times New Roman"/>
          <w:sz w:val="32"/>
          <w:szCs w:val="32"/>
        </w:rPr>
        <w:t xml:space="preserve">    9.社会保障和就业支出（208）行政事业单位养老支出（05）机关事业单位职业年金缴费支出（06）2026年预算数为</w:t>
      </w:r>
      <w:r>
        <w:rPr>
          <w:rFonts w:ascii="Times New Roman" w:eastAsia="仿宋_GB2312" w:hAnsi="Times New Roman"/>
          <w:color w:val="000000"/>
          <w:kern w:val="0"/>
          <w:sz w:val="32"/>
          <w:szCs w:val="32"/>
        </w:rPr>
        <w:t>14346995.38</w:t>
      </w:r>
      <w:r>
        <w:rPr>
          <w:rFonts w:ascii="Times New Roman" w:eastAsia="仿宋_GB2312" w:hAnsi="Times New Roman"/>
          <w:sz w:val="32"/>
          <w:szCs w:val="32"/>
        </w:rPr>
        <w:t>元，主要用于：单位缴纳职业年金。</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645"/>
        <w:rPr>
          <w:rFonts w:ascii="Times New Roman" w:eastAsia="仿宋_GB2312" w:hAnsi="Times New Roman"/>
          <w:sz w:val="32"/>
          <w:szCs w:val="32"/>
        </w:rPr>
      </w:pPr>
      <w:r>
        <w:rPr>
          <w:rFonts w:ascii="Times New Roman" w:eastAsia="仿宋_GB2312" w:hAnsi="Times New Roman"/>
          <w:sz w:val="32"/>
          <w:szCs w:val="32"/>
        </w:rPr>
        <w:t>10.卫生健康支出（210）行政事业单位医疗（11）行政单位医疗（01）2026年预算数为</w:t>
      </w:r>
      <w:r>
        <w:rPr>
          <w:rFonts w:ascii="Times New Roman" w:eastAsia="仿宋_GB2312" w:hAnsi="Times New Roman"/>
          <w:color w:val="000000"/>
          <w:kern w:val="0"/>
          <w:sz w:val="32"/>
          <w:szCs w:val="32"/>
        </w:rPr>
        <w:t>154523.08</w:t>
      </w:r>
      <w:r>
        <w:rPr>
          <w:rFonts w:ascii="Times New Roman" w:eastAsia="仿宋_GB2312" w:hAnsi="Times New Roman"/>
          <w:sz w:val="32"/>
          <w:szCs w:val="32"/>
        </w:rPr>
        <w:t>元，主要用于：行政单位缴纳基本医疗保险。</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645"/>
        <w:rPr>
          <w:rFonts w:ascii="Times New Roman" w:eastAsia="仿宋_GB2312" w:hAnsi="Times New Roman"/>
          <w:sz w:val="32"/>
          <w:szCs w:val="32"/>
        </w:rPr>
      </w:pPr>
      <w:r>
        <w:rPr>
          <w:rFonts w:ascii="Times New Roman" w:eastAsia="仿宋_GB2312" w:hAnsi="Times New Roman"/>
          <w:sz w:val="32"/>
          <w:szCs w:val="32"/>
        </w:rPr>
        <w:t>11.卫生健康支出（210）行政事业单位医疗（11）事业单位医疗（02）2026年预算数为17547308.53元，主要用于：事业单位缴纳基本医疗保险。</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sz w:val="32"/>
          <w:szCs w:val="32"/>
        </w:rPr>
        <w:t>12.住房保障支出（221）住房改革支出（02）住房公积金（01）2026年预算数为</w:t>
      </w:r>
      <w:r>
        <w:rPr>
          <w:rFonts w:ascii="Times New Roman" w:eastAsia="仿宋_GB2312" w:hAnsi="Times New Roman"/>
          <w:color w:val="000000"/>
          <w:kern w:val="0"/>
          <w:sz w:val="32"/>
          <w:szCs w:val="32"/>
        </w:rPr>
        <w:t>23237400.00</w:t>
      </w:r>
      <w:r>
        <w:rPr>
          <w:rFonts w:ascii="Times New Roman" w:eastAsia="仿宋_GB2312" w:hAnsi="Times New Roman"/>
          <w:sz w:val="32"/>
          <w:szCs w:val="32"/>
        </w:rPr>
        <w:t>元，主要用于：单位为职工缴纳住房公积金。</w:t>
      </w:r>
    </w:p>
    <w:p>
      <w:pPr>
        <w:pBdr>
          <w:top w:val="none" w:sz="0" w:space="0" w:color="auto"/>
          <w:left w:val="none" w:sz="0" w:space="0" w:color="auto"/>
          <w:bottom w:val="none" w:sz="0" w:space="0" w:color="auto"/>
          <w:right w:val="none" w:sz="0" w:space="0" w:color="auto"/>
          <w:between w:val="none" w:sz="0" w:space="0" w:color="auto"/>
        </w:pBdr>
        <w:wordWrap w:val="0"/>
        <w:topLinePunct/>
        <w:spacing w:line="590" w:lineRule="exact"/>
        <w:ind w:firstLine="660"/>
        <w:rPr>
          <w:rFonts w:ascii="Times New Roman" w:eastAsia="仿宋_GB2312" w:hAnsi="Times New Roman"/>
          <w:sz w:val="32"/>
          <w:szCs w:val="32"/>
        </w:rPr>
      </w:pPr>
      <w:r>
        <w:rPr>
          <w:rFonts w:ascii="Times New Roman" w:eastAsia="仿宋_GB2312" w:hAnsi="Times New Roman"/>
          <w:sz w:val="32"/>
          <w:szCs w:val="32"/>
        </w:rPr>
        <w:t>13.农林水支出（213）扶贫（05）社会发展（06）2026年预算数为</w:t>
      </w:r>
      <w:r>
        <w:rPr>
          <w:rFonts w:ascii="Times New Roman" w:eastAsia="仿宋_GB2312" w:hAnsi="Times New Roman"/>
          <w:color w:val="000000"/>
          <w:kern w:val="0"/>
          <w:sz w:val="32"/>
          <w:szCs w:val="32"/>
        </w:rPr>
        <w:t>24000.00</w:t>
      </w:r>
      <w:r>
        <w:rPr>
          <w:rFonts w:ascii="Times New Roman" w:eastAsia="仿宋_GB2312" w:hAnsi="Times New Roman"/>
          <w:sz w:val="32"/>
          <w:szCs w:val="32"/>
        </w:rPr>
        <w:t>元，主要用于：茂县建档立卡本专科（高职）学生特别资助。</w:t>
      </w: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六、一般公共预算基本支出情况说明</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firstLineChars="200" w:firstLine="640"/>
        <w:rPr>
          <w:rFonts w:ascii="Times New Roman" w:hAnsi="Times New Roman"/>
          <w:color w:val="000000"/>
          <w:kern w:val="2"/>
          <w:sz w:val="32"/>
          <w:szCs w:val="32"/>
        </w:rPr>
      </w:pPr>
      <w:r>
        <w:rPr>
          <w:rFonts w:ascii="Times New Roman" w:hAnsi="Times New Roman"/>
          <w:kern w:val="2"/>
          <w:sz w:val="32"/>
          <w:szCs w:val="32"/>
        </w:rPr>
        <w:t>2026年一般公共预算基本支出</w:t>
      </w:r>
      <w:r>
        <w:rPr>
          <w:rFonts w:ascii="Times New Roman" w:hAnsi="Times New Roman"/>
          <w:sz w:val="32"/>
          <w:szCs w:val="32"/>
        </w:rPr>
        <w:t>282470715.85</w:t>
      </w:r>
      <w:r>
        <w:rPr>
          <w:rFonts w:ascii="Times New Roman" w:hAnsi="Times New Roman"/>
          <w:kern w:val="2"/>
          <w:sz w:val="32"/>
          <w:szCs w:val="32"/>
        </w:rPr>
        <w:t>元，其中：人员经费276011860.80元，主要包括：</w:t>
      </w:r>
      <w:r>
        <w:rPr>
          <w:rFonts w:ascii="Times New Roman" w:hAnsi="Times New Roman"/>
          <w:color w:val="000000"/>
          <w:kern w:val="2"/>
          <w:sz w:val="32"/>
          <w:szCs w:val="32"/>
        </w:rPr>
        <w:t>基本工资76339202.40元、津贴补贴8932372.80元、奖金423742.00元、其他社会保障缴费1353845.79元、机关事业单位基本养老保险缴费28989149.42元、职业年金缴费14346995.38元、奖励金9576.00元、医疗费3120700.00元、住房公积金23237400.00元、遗属生活补助977032.80元、其他生活补助5089488.00元、绩效工资95490524.60元，职工基本医疗保险17701531.61元。</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firstLineChars="200" w:firstLine="640"/>
        <w:rPr>
          <w:rFonts w:ascii="Times New Roman" w:hAnsi="Times New Roman"/>
          <w:color w:val="000000"/>
          <w:kern w:val="2"/>
          <w:sz w:val="32"/>
          <w:szCs w:val="32"/>
        </w:rPr>
      </w:pPr>
      <w:r>
        <w:rPr>
          <w:rFonts w:ascii="Times New Roman" w:hAnsi="Times New Roman"/>
          <w:color w:val="000000"/>
          <w:kern w:val="2"/>
          <w:sz w:val="32"/>
          <w:szCs w:val="32"/>
        </w:rPr>
        <w:t>公用经费</w:t>
      </w:r>
      <w:r>
        <w:rPr>
          <w:rFonts w:ascii="Times New Roman" w:hAnsi="Times New Roman"/>
          <w:color w:val="000000"/>
          <w:sz w:val="32"/>
          <w:szCs w:val="32"/>
        </w:rPr>
        <w:t>6458855.05</w:t>
      </w:r>
      <w:r>
        <w:rPr>
          <w:rFonts w:ascii="Times New Roman" w:hAnsi="Times New Roman"/>
          <w:color w:val="000000"/>
          <w:kern w:val="2"/>
          <w:sz w:val="32"/>
          <w:szCs w:val="32"/>
        </w:rPr>
        <w:t>元，主要包括：办公费30000.00元、差旅费173240.00元、电费70000.00元、水费8000.00元、培训费50000.00元、公务接待费1760.00元、公务用车运行维护费40000.00元、残保金2581021.19元，福利费3504833.86元。</w:t>
      </w: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七、“三公”经费财政拨款预算安排情况说明</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firstLineChars="200" w:firstLine="640"/>
        <w:rPr>
          <w:rFonts w:ascii="Times New Roman" w:hAnsi="Times New Roman"/>
          <w:kern w:val="2"/>
          <w:sz w:val="32"/>
          <w:szCs w:val="32"/>
        </w:rPr>
      </w:pPr>
      <w:r>
        <w:rPr>
          <w:rFonts w:ascii="Times New Roman" w:hAnsi="Times New Roman"/>
          <w:kern w:val="2"/>
          <w:sz w:val="32"/>
          <w:szCs w:val="32"/>
        </w:rPr>
        <w:t>2026年“三公”经费财政拨款预算数</w:t>
      </w:r>
      <w:r>
        <w:rPr>
          <w:rFonts w:ascii="Times New Roman" w:hAnsi="Times New Roman"/>
          <w:sz w:val="32"/>
          <w:szCs w:val="32"/>
        </w:rPr>
        <w:t>41760.00</w:t>
      </w:r>
      <w:r>
        <w:rPr>
          <w:rFonts w:ascii="Times New Roman" w:hAnsi="Times New Roman"/>
          <w:kern w:val="2"/>
          <w:sz w:val="32"/>
          <w:szCs w:val="32"/>
        </w:rPr>
        <w:t>元，其中：</w:t>
      </w:r>
      <w:r>
        <w:rPr>
          <w:rFonts w:ascii="Times New Roman" w:hAnsi="Times New Roman"/>
          <w:sz w:val="32"/>
          <w:szCs w:val="32"/>
        </w:rPr>
        <w:t>因公出国（境）经费0元，</w:t>
      </w:r>
      <w:r>
        <w:rPr>
          <w:rFonts w:ascii="Times New Roman" w:hAnsi="Times New Roman"/>
          <w:kern w:val="2"/>
          <w:sz w:val="32"/>
          <w:szCs w:val="32"/>
        </w:rPr>
        <w:t>公务接待费</w:t>
      </w:r>
      <w:r>
        <w:rPr>
          <w:rFonts w:ascii="Times New Roman" w:hAnsi="Times New Roman"/>
          <w:sz w:val="32"/>
          <w:szCs w:val="32"/>
        </w:rPr>
        <w:t>1760.00</w:t>
      </w:r>
      <w:r>
        <w:rPr>
          <w:rFonts w:ascii="Times New Roman" w:hAnsi="Times New Roman"/>
          <w:kern w:val="2"/>
          <w:sz w:val="32"/>
          <w:szCs w:val="32"/>
        </w:rPr>
        <w:t>元，公务用车购置及运行维护费</w:t>
      </w:r>
      <w:r>
        <w:rPr>
          <w:rFonts w:ascii="Times New Roman" w:hAnsi="Times New Roman"/>
          <w:sz w:val="32"/>
          <w:szCs w:val="32"/>
        </w:rPr>
        <w:t>40000.00</w:t>
      </w:r>
      <w:r>
        <w:rPr>
          <w:rFonts w:ascii="Times New Roman" w:hAnsi="Times New Roman"/>
          <w:kern w:val="2"/>
          <w:sz w:val="32"/>
          <w:szCs w:val="32"/>
        </w:rPr>
        <w:t>元。</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楷体_GB2312" w:hAnsi="Times New Roman"/>
          <w:b/>
          <w:sz w:val="32"/>
          <w:szCs w:val="32"/>
        </w:rPr>
        <w:t>（一）</w:t>
      </w:r>
      <w:r>
        <w:rPr>
          <w:rFonts w:ascii="Times New Roman" w:eastAsia="仿宋_GB2312" w:hAnsi="Times New Roman"/>
          <w:sz w:val="32"/>
          <w:szCs w:val="32"/>
        </w:rPr>
        <w:t>2026年因公出国（境）经费0元。</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firstLineChars="200" w:firstLine="640"/>
        <w:rPr>
          <w:rFonts w:ascii="Times New Roman" w:hAnsi="Times New Roman"/>
          <w:color w:val="FF0000"/>
          <w:kern w:val="2"/>
          <w:sz w:val="32"/>
          <w:szCs w:val="32"/>
        </w:rPr>
      </w:pPr>
      <w:r>
        <w:rPr>
          <w:rFonts w:ascii="Times New Roman" w:eastAsia="楷体_GB2312" w:hAnsi="Times New Roman"/>
          <w:b/>
          <w:kern w:val="2"/>
          <w:sz w:val="32"/>
          <w:szCs w:val="32"/>
        </w:rPr>
        <w:t>（二）</w:t>
      </w:r>
      <w:r>
        <w:rPr>
          <w:rFonts w:ascii="Times New Roman" w:hAnsi="Times New Roman"/>
          <w:color w:val="000000"/>
          <w:kern w:val="2"/>
          <w:sz w:val="32"/>
          <w:szCs w:val="32"/>
        </w:rPr>
        <w:t>2026年公务接待经费</w:t>
      </w:r>
      <w:r>
        <w:rPr>
          <w:rFonts w:ascii="Times New Roman" w:hAnsi="Times New Roman"/>
          <w:sz w:val="32"/>
          <w:szCs w:val="32"/>
        </w:rPr>
        <w:t>1760.00</w:t>
      </w:r>
      <w:r>
        <w:rPr>
          <w:rFonts w:ascii="Times New Roman" w:hAnsi="Times New Roman"/>
          <w:color w:val="000000"/>
          <w:kern w:val="2"/>
          <w:sz w:val="32"/>
          <w:szCs w:val="32"/>
        </w:rPr>
        <w:t>元，较2025年预算经费</w:t>
      </w:r>
      <w:r>
        <w:rPr>
          <w:rFonts w:ascii="Times New Roman" w:hAnsi="Times New Roman"/>
          <w:sz w:val="32"/>
          <w:szCs w:val="32"/>
        </w:rPr>
        <w:t>持平。</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firstLineChars="200" w:firstLine="640"/>
        <w:rPr>
          <w:rFonts w:ascii="Times New Roman" w:hAnsi="Times New Roman"/>
          <w:color w:val="000000"/>
          <w:kern w:val="2"/>
          <w:sz w:val="32"/>
          <w:szCs w:val="32"/>
        </w:rPr>
      </w:pPr>
      <w:r>
        <w:rPr>
          <w:rFonts w:ascii="Times New Roman" w:eastAsia="楷体_GB2312" w:hAnsi="Times New Roman"/>
          <w:b/>
          <w:kern w:val="2"/>
          <w:sz w:val="32"/>
          <w:szCs w:val="32"/>
        </w:rPr>
        <w:t>（三）</w:t>
      </w:r>
      <w:r>
        <w:rPr>
          <w:rFonts w:ascii="Times New Roman" w:hAnsi="Times New Roman"/>
          <w:color w:val="000000"/>
          <w:kern w:val="2"/>
          <w:sz w:val="32"/>
          <w:szCs w:val="32"/>
        </w:rPr>
        <w:t>2026年公务用车购置及运行维护费</w:t>
      </w:r>
      <w:r>
        <w:rPr>
          <w:rFonts w:ascii="Times New Roman" w:hAnsi="Times New Roman"/>
          <w:sz w:val="32"/>
          <w:szCs w:val="32"/>
        </w:rPr>
        <w:t>40000.00</w:t>
      </w:r>
      <w:r>
        <w:rPr>
          <w:rFonts w:ascii="Times New Roman" w:hAnsi="Times New Roman"/>
          <w:color w:val="000000"/>
          <w:kern w:val="2"/>
          <w:sz w:val="32"/>
          <w:szCs w:val="32"/>
        </w:rPr>
        <w:t>元,较2025年预算经费</w:t>
      </w:r>
      <w:r>
        <w:rPr>
          <w:rFonts w:ascii="Times New Roman" w:hAnsi="Times New Roman"/>
          <w:sz w:val="32"/>
          <w:szCs w:val="32"/>
        </w:rPr>
        <w:t>持平。</w:t>
      </w: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八、政府性基金预算支出情况说明</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firstLineChars="200" w:firstLine="640"/>
        <w:rPr>
          <w:rFonts w:ascii="Times New Roman" w:hAnsi="Times New Roman"/>
        </w:rPr>
      </w:pPr>
      <w:r>
        <w:rPr>
          <w:rFonts w:ascii="Times New Roman" w:hAnsi="Times New Roman"/>
          <w:sz w:val="32"/>
          <w:szCs w:val="32"/>
        </w:rPr>
        <w:t>2026年无政府性基金预算拨款安排的支出</w:t>
      </w:r>
      <w:r>
        <w:rPr>
          <w:rFonts w:ascii="Times New Roman" w:hAnsi="Times New Roman"/>
        </w:rPr>
        <w:t>。</w:t>
      </w:r>
    </w:p>
    <w:p>
      <w:pPr>
        <w:pStyle w:val="17"/>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黑体" w:hAnsi="Times New Roman"/>
          <w:sz w:val="32"/>
          <w:szCs w:val="32"/>
        </w:rPr>
      </w:pPr>
      <w:r>
        <w:rPr>
          <w:rFonts w:ascii="Times New Roman" w:eastAsia="黑体" w:hAnsi="Times New Roman"/>
          <w:sz w:val="32"/>
          <w:szCs w:val="32"/>
        </w:rPr>
        <w:t>九、其他重要事项的情况说明</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楷体_GB2312" w:hAnsi="Times New Roman"/>
          <w:b/>
          <w:sz w:val="32"/>
          <w:szCs w:val="32"/>
        </w:rPr>
      </w:pPr>
      <w:r>
        <w:rPr>
          <w:rFonts w:ascii="Times New Roman" w:eastAsia="楷体_GB2312" w:hAnsi="Times New Roman"/>
          <w:b/>
          <w:sz w:val="32"/>
          <w:szCs w:val="32"/>
        </w:rPr>
        <w:t>（一）机关运行经费</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firstLineChars="200" w:firstLine="640"/>
        <w:rPr>
          <w:rFonts w:ascii="Times New Roman" w:hAnsi="Times New Roman"/>
          <w:sz w:val="32"/>
          <w:szCs w:val="32"/>
        </w:rPr>
      </w:pPr>
      <w:r>
        <w:rPr>
          <w:rFonts w:ascii="Times New Roman" w:hAnsi="Times New Roman"/>
          <w:sz w:val="32"/>
          <w:szCs w:val="32"/>
        </w:rPr>
        <w:t>2026年机关运行经费财政拨款预算数为190705.04元，较2025年预算增加1146.63元，增长0.6%。主要原因是：</w:t>
      </w:r>
      <w:r>
        <w:rPr>
          <w:rFonts w:ascii="Times New Roman" w:hAnsi="Times New Roman"/>
          <w:color w:val="000000"/>
          <w:kern w:val="2"/>
          <w:sz w:val="32"/>
          <w:szCs w:val="32"/>
        </w:rPr>
        <w:t>福利费增加。</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Chars="304" w:left="638"/>
        <w:rPr>
          <w:rFonts w:ascii="Times New Roman" w:hAnsi="Times New Roman"/>
          <w:kern w:val="2"/>
          <w:sz w:val="32"/>
          <w:szCs w:val="32"/>
        </w:rPr>
      </w:pPr>
      <w:r>
        <w:rPr>
          <w:rFonts w:ascii="Times New Roman" w:eastAsia="楷体_GB2312" w:hAnsi="Times New Roman"/>
          <w:b/>
          <w:kern w:val="2"/>
          <w:sz w:val="32"/>
          <w:szCs w:val="32"/>
        </w:rPr>
        <w:t>（二）政府采购情况</w:t>
      </w:r>
      <w:r>
        <w:rPr>
          <w:rFonts w:ascii="Times New Roman" w:hAnsi="Times New Roman"/>
          <w:b/>
          <w:kern w:val="2"/>
          <w:sz w:val="32"/>
          <w:szCs w:val="32"/>
        </w:rPr>
        <w:br/>
      </w:r>
      <w:r>
        <w:rPr>
          <w:rFonts w:ascii="Times New Roman" w:hAnsi="Times New Roman"/>
          <w:color w:val="000000"/>
          <w:kern w:val="2"/>
          <w:sz w:val="32"/>
          <w:szCs w:val="32"/>
        </w:rPr>
        <w:t>2026年安排政府采购预算</w:t>
      </w:r>
      <w:r>
        <w:rPr>
          <w:rFonts w:ascii="Times New Roman" w:hAnsi="Times New Roman"/>
          <w:sz w:val="32"/>
          <w:szCs w:val="32"/>
        </w:rPr>
        <w:t>0</w:t>
      </w:r>
      <w:r>
        <w:rPr>
          <w:rFonts w:ascii="Times New Roman" w:hAnsi="Times New Roman"/>
          <w:color w:val="000000"/>
          <w:kern w:val="2"/>
          <w:sz w:val="32"/>
          <w:szCs w:val="32"/>
        </w:rPr>
        <w:t>元</w:t>
      </w:r>
      <w:r>
        <w:rPr>
          <w:rFonts w:ascii="Times New Roman" w:hAnsi="Times New Roman"/>
          <w:kern w:val="2"/>
          <w:sz w:val="32"/>
          <w:szCs w:val="32"/>
        </w:rPr>
        <w:t>。</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firstLineChars="200" w:firstLine="640"/>
        <w:rPr>
          <w:rFonts w:ascii="Times New Roman" w:eastAsia="楷体_GB2312" w:hAnsi="Times New Roman"/>
          <w:b/>
          <w:kern w:val="2"/>
          <w:sz w:val="32"/>
          <w:szCs w:val="32"/>
        </w:rPr>
      </w:pPr>
      <w:r>
        <w:rPr>
          <w:rFonts w:ascii="Times New Roman" w:eastAsia="楷体_GB2312" w:hAnsi="Times New Roman"/>
          <w:b/>
          <w:kern w:val="2"/>
          <w:sz w:val="32"/>
          <w:szCs w:val="32"/>
        </w:rPr>
        <w:t>（三）国有资产占有使用情况</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rPr>
      </w:pPr>
      <w:r>
        <w:rPr>
          <w:rFonts w:ascii="Times New Roman" w:eastAsia="仿宋_GB2312" w:hAnsi="Times New Roman"/>
          <w:sz w:val="32"/>
          <w:szCs w:val="32"/>
        </w:rPr>
        <w:t>截至</w:t>
      </w:r>
      <w:bookmarkStart w:id="0" w:name="_GoBack"/>
      <w:bookmarkEnd w:id="0"/>
      <w:r>
        <w:rPr>
          <w:rFonts w:ascii="Times New Roman" w:eastAsia="仿宋_GB2312" w:hAnsi="Times New Roman"/>
          <w:sz w:val="32"/>
          <w:szCs w:val="32"/>
        </w:rPr>
        <w:t>2025年12月31日，我单位固定资产总额699411241.79元，其中：房屋159445.78平方米，价值533529283.88元；公务用车6辆，价值1227128.41元；其他固定资产1646548.95元。</w:t>
      </w:r>
    </w:p>
    <w:p>
      <w:pPr>
        <w:pBdr>
          <w:top w:val="none" w:sz="0" w:space="0" w:color="auto"/>
          <w:left w:val="none" w:sz="0" w:space="0" w:color="auto"/>
          <w:bottom w:val="none" w:sz="0" w:space="0" w:color="auto"/>
          <w:right w:val="none" w:sz="0" w:space="0" w:color="auto"/>
          <w:between w:val="none" w:sz="0" w:space="0" w:color="auto"/>
        </w:pBdr>
        <w:spacing w:line="590" w:lineRule="exact"/>
        <w:ind w:leftChars="304" w:left="638" w:firstLine="1"/>
        <w:rPr>
          <w:rFonts w:ascii="Times New Roman" w:eastAsia="仿宋_GB2312" w:hAnsi="Times New Roman"/>
          <w:sz w:val="32"/>
          <w:szCs w:val="32"/>
        </w:rPr>
      </w:pPr>
      <w:r>
        <w:rPr>
          <w:rFonts w:ascii="Times New Roman" w:eastAsia="楷体_GB2312" w:hAnsi="Times New Roman"/>
          <w:b/>
          <w:sz w:val="32"/>
          <w:szCs w:val="32"/>
        </w:rPr>
        <w:t>（四）绩效目标设置情况</w:t>
      </w:r>
      <w:r>
        <w:rPr>
          <w:rFonts w:ascii="Times New Roman" w:eastAsia="仿宋_GB2312" w:hAnsi="Times New Roman"/>
          <w:b/>
          <w:sz w:val="32"/>
          <w:szCs w:val="32"/>
        </w:rPr>
        <w:br/>
      </w:r>
      <w:r>
        <w:rPr>
          <w:rFonts w:ascii="Times New Roman" w:eastAsia="仿宋_GB2312" w:hAnsi="Times New Roman"/>
          <w:sz w:val="32"/>
          <w:szCs w:val="32"/>
        </w:rPr>
        <w:t xml:space="preserve">2026年项目支出均按要求实行绩效目标管理，涉及项目   </w:t>
      </w: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hAnsi="Times New Roman"/>
        </w:rPr>
      </w:pPr>
      <w:r>
        <w:rPr>
          <w:rFonts w:ascii="Times New Roman" w:eastAsia="仿宋_GB2312" w:hAnsi="Times New Roman"/>
          <w:sz w:val="32"/>
          <w:szCs w:val="32"/>
        </w:rPr>
        <w:t>41个，一般公共预算当年拨款7489425.00元。</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Chars="304" w:left="638"/>
        <w:rPr>
          <w:rFonts w:ascii="Times New Roman" w:hAnsi="Times New Roman"/>
          <w:kern w:val="2"/>
          <w:sz w:val="32"/>
          <w:szCs w:val="32"/>
        </w:rPr>
      </w:pPr>
      <w:r>
        <w:rPr>
          <w:rFonts w:ascii="Times New Roman" w:eastAsia="黑体" w:hAnsi="Times New Roman"/>
          <w:kern w:val="2"/>
          <w:sz w:val="32"/>
          <w:szCs w:val="32"/>
        </w:rPr>
        <w:t xml:space="preserve">十、名称解释 </w:t>
      </w:r>
      <w:r>
        <w:rPr>
          <w:rFonts w:ascii="Times New Roman" w:hAnsi="Times New Roman"/>
          <w:sz w:val="32"/>
          <w:szCs w:val="32"/>
        </w:rPr>
        <w:br/>
      </w:r>
      <w:r>
        <w:rPr>
          <w:rFonts w:ascii="Times New Roman" w:eastAsia="楷体_GB2312" w:hAnsi="Times New Roman"/>
          <w:b/>
          <w:kern w:val="2"/>
          <w:sz w:val="32"/>
          <w:szCs w:val="32"/>
        </w:rPr>
        <w:t>（一）财政拨款收入：</w:t>
      </w:r>
      <w:r>
        <w:rPr>
          <w:rFonts w:ascii="Times New Roman" w:hAnsi="Times New Roman"/>
          <w:kern w:val="2"/>
          <w:sz w:val="32"/>
          <w:szCs w:val="32"/>
        </w:rPr>
        <w:t>指由财政拨款形成的部门收入。</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rPr>
          <w:rFonts w:ascii="Times New Roman" w:hAnsi="Times New Roman"/>
          <w:b/>
          <w:kern w:val="2"/>
          <w:sz w:val="32"/>
          <w:szCs w:val="32"/>
        </w:rPr>
      </w:pPr>
      <w:r>
        <w:rPr>
          <w:rFonts w:ascii="Times New Roman" w:hAnsi="Times New Roman"/>
          <w:kern w:val="2"/>
          <w:sz w:val="32"/>
          <w:szCs w:val="32"/>
        </w:rPr>
        <w:t>按现行管理制度，部门预算中反映的财政拨款仅包括一般公共预算拨款和政府性基金预算拨款。</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Chars="152" w:left="319" w:firstLineChars="149" w:firstLine="477"/>
        <w:rPr>
          <w:rFonts w:ascii="Times New Roman" w:hAnsi="Times New Roman"/>
          <w:kern w:val="2"/>
          <w:sz w:val="32"/>
          <w:szCs w:val="32"/>
        </w:rPr>
      </w:pPr>
      <w:r>
        <w:rPr>
          <w:rFonts w:ascii="Times New Roman" w:eastAsia="楷体_GB2312" w:hAnsi="Times New Roman"/>
          <w:b/>
          <w:kern w:val="2"/>
          <w:sz w:val="32"/>
          <w:szCs w:val="32"/>
        </w:rPr>
        <w:t>（二）事业收入：</w:t>
      </w:r>
      <w:r>
        <w:rPr>
          <w:rFonts w:ascii="Times New Roman" w:hAnsi="Times New Roman"/>
          <w:kern w:val="2"/>
          <w:sz w:val="32"/>
          <w:szCs w:val="32"/>
        </w:rPr>
        <w:t>指所属事业单位开展专业业务活动</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rPr>
          <w:rFonts w:ascii="Times New Roman" w:hAnsi="Times New Roman"/>
          <w:kern w:val="2"/>
          <w:sz w:val="32"/>
          <w:szCs w:val="32"/>
        </w:rPr>
      </w:pPr>
      <w:r>
        <w:rPr>
          <w:rFonts w:ascii="Times New Roman" w:hAnsi="Times New Roman"/>
          <w:kern w:val="2"/>
          <w:sz w:val="32"/>
          <w:szCs w:val="32"/>
        </w:rPr>
        <w:t>及辅助活动所取得的收入。</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Chars="152" w:left="319" w:firstLineChars="149" w:firstLine="477"/>
        <w:rPr>
          <w:rFonts w:ascii="Times New Roman" w:hAnsi="Times New Roman"/>
          <w:kern w:val="2"/>
          <w:sz w:val="32"/>
          <w:szCs w:val="32"/>
        </w:rPr>
      </w:pPr>
      <w:r>
        <w:rPr>
          <w:rFonts w:ascii="Times New Roman" w:eastAsia="楷体_GB2312" w:hAnsi="Times New Roman"/>
          <w:b/>
          <w:kern w:val="2"/>
          <w:sz w:val="32"/>
          <w:szCs w:val="32"/>
        </w:rPr>
        <w:t>（三）事业单位经营收入：</w:t>
      </w:r>
      <w:r>
        <w:rPr>
          <w:rFonts w:ascii="Times New Roman" w:hAnsi="Times New Roman"/>
          <w:kern w:val="2"/>
          <w:sz w:val="32"/>
          <w:szCs w:val="32"/>
        </w:rPr>
        <w:t>指所属事业单位在专业业</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30"/>
        <w:rPr>
          <w:rFonts w:ascii="Times New Roman" w:hAnsi="Times New Roman"/>
          <w:kern w:val="2"/>
          <w:sz w:val="32"/>
          <w:szCs w:val="32"/>
        </w:rPr>
      </w:pPr>
      <w:r>
        <w:rPr>
          <w:rFonts w:ascii="Times New Roman" w:hAnsi="Times New Roman"/>
          <w:kern w:val="2"/>
          <w:sz w:val="32"/>
          <w:szCs w:val="32"/>
        </w:rPr>
        <w:t>务活动及其辅助活动之外开展非独立核算经营活动取得的收入。</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Chars="152" w:left="319" w:firstLineChars="149" w:firstLine="477"/>
        <w:rPr>
          <w:rFonts w:ascii="Times New Roman" w:hAnsi="Times New Roman"/>
          <w:kern w:val="2"/>
          <w:sz w:val="32"/>
          <w:szCs w:val="32"/>
        </w:rPr>
      </w:pPr>
      <w:r>
        <w:rPr>
          <w:rFonts w:ascii="Times New Roman" w:eastAsia="楷体_GB2312" w:hAnsi="Times New Roman"/>
          <w:b/>
          <w:kern w:val="2"/>
          <w:sz w:val="32"/>
          <w:szCs w:val="32"/>
        </w:rPr>
        <w:t>（四）其他收入：</w:t>
      </w:r>
      <w:r>
        <w:rPr>
          <w:rFonts w:ascii="Times New Roman" w:hAnsi="Times New Roman"/>
          <w:kern w:val="2"/>
          <w:sz w:val="32"/>
          <w:szCs w:val="32"/>
        </w:rPr>
        <w:t>指除上述“财政拨款收入”、“事业收入”、</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30"/>
        <w:rPr>
          <w:rFonts w:ascii="Times New Roman" w:hAnsi="Times New Roman"/>
          <w:kern w:val="2"/>
          <w:sz w:val="32"/>
          <w:szCs w:val="32"/>
        </w:rPr>
      </w:pPr>
      <w:r>
        <w:rPr>
          <w:rFonts w:ascii="Times New Roman" w:hAnsi="Times New Roman"/>
          <w:kern w:val="2"/>
          <w:sz w:val="32"/>
          <w:szCs w:val="32"/>
        </w:rPr>
        <w:t>“事业单位经营收入”等以外的收入，主要是所属行政事业单位按规定动用的售房收入、存款利息收入等。</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Chars="152" w:left="319" w:firstLineChars="149" w:firstLine="477"/>
        <w:rPr>
          <w:rFonts w:ascii="Times New Roman" w:hAnsi="Times New Roman"/>
          <w:kern w:val="2"/>
          <w:sz w:val="32"/>
          <w:szCs w:val="32"/>
        </w:rPr>
      </w:pPr>
      <w:r>
        <w:rPr>
          <w:rFonts w:ascii="Times New Roman" w:eastAsia="楷体_GB2312" w:hAnsi="Times New Roman"/>
          <w:b/>
          <w:kern w:val="2"/>
          <w:sz w:val="32"/>
          <w:szCs w:val="32"/>
        </w:rPr>
        <w:t>（五）用事业基金弥补收支差额：</w:t>
      </w:r>
      <w:r>
        <w:rPr>
          <w:rFonts w:ascii="Times New Roman" w:hAnsi="Times New Roman"/>
          <w:kern w:val="2"/>
          <w:sz w:val="32"/>
          <w:szCs w:val="32"/>
        </w:rPr>
        <w:t>指所属事业单位在</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30"/>
        <w:rPr>
          <w:rFonts w:ascii="Times New Roman" w:hAnsi="Times New Roman"/>
          <w:kern w:val="2"/>
          <w:sz w:val="32"/>
          <w:szCs w:val="32"/>
        </w:rPr>
      </w:pPr>
      <w:r>
        <w:rPr>
          <w:rFonts w:ascii="Times New Roman" w:hAnsi="Times New Roman"/>
          <w:kern w:val="2"/>
          <w:sz w:val="32"/>
          <w:szCs w:val="32"/>
        </w:rPr>
        <w:t>预计用当年的“财政拨款收入”、“事业收入”、“事业单位经</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30"/>
        <w:rPr>
          <w:rFonts w:ascii="Times New Roman" w:hAnsi="Times New Roman"/>
          <w:kern w:val="2"/>
          <w:sz w:val="32"/>
          <w:szCs w:val="32"/>
        </w:rPr>
      </w:pPr>
      <w:r>
        <w:rPr>
          <w:rFonts w:ascii="Times New Roman" w:hAnsi="Times New Roman"/>
          <w:kern w:val="2"/>
          <w:sz w:val="32"/>
          <w:szCs w:val="32"/>
        </w:rPr>
        <w:t>营收入”、“其他收入”不足以安排当年支出的情况下，使用</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rPr>
          <w:rFonts w:ascii="Times New Roman" w:hAnsi="Times New Roman"/>
          <w:kern w:val="2"/>
          <w:sz w:val="32"/>
          <w:szCs w:val="32"/>
        </w:rPr>
      </w:pPr>
      <w:r>
        <w:rPr>
          <w:rFonts w:ascii="Times New Roman" w:hAnsi="Times New Roman"/>
          <w:kern w:val="2"/>
          <w:sz w:val="32"/>
          <w:szCs w:val="32"/>
        </w:rPr>
        <w:t>以前年度积累的事业基金弥补本年度收支缺口的资金。</w:t>
      </w:r>
    </w:p>
    <w:p>
      <w:pPr>
        <w:pStyle w:val="18"/>
        <w:pBdr>
          <w:top w:val="none" w:sz="0" w:space="0" w:color="auto"/>
          <w:left w:val="none" w:sz="0" w:space="0" w:color="auto"/>
          <w:bottom w:val="none" w:sz="0" w:space="0" w:color="auto"/>
          <w:right w:val="none" w:sz="0" w:space="0" w:color="auto"/>
          <w:between w:val="none" w:sz="0" w:space="0" w:color="auto"/>
        </w:pBdr>
        <w:spacing w:before="0" w:line="590" w:lineRule="exact"/>
        <w:ind w:left="30" w:firstLineChars="150" w:firstLine="480"/>
        <w:rPr>
          <w:rFonts w:ascii="Times New Roman" w:hAnsi="Times New Roman"/>
          <w:kern w:val="2"/>
          <w:sz w:val="32"/>
          <w:szCs w:val="32"/>
        </w:rPr>
      </w:pPr>
      <w:r>
        <w:rPr>
          <w:rFonts w:ascii="Times New Roman" w:eastAsia="楷体_GB2312" w:hAnsi="Times New Roman"/>
          <w:b/>
          <w:kern w:val="2"/>
          <w:sz w:val="32"/>
          <w:szCs w:val="32"/>
        </w:rPr>
        <w:t>（六）上年结转：</w:t>
      </w:r>
      <w:r>
        <w:rPr>
          <w:rFonts w:ascii="Times New Roman" w:hAnsi="Times New Roman"/>
          <w:kern w:val="2"/>
          <w:sz w:val="32"/>
          <w:szCs w:val="32"/>
        </w:rPr>
        <w:t>指所属行政事业单位以前年度尚未完成、结转至本年按原规定用途继续使用的资金和以前年度已完成项目剩余资金经批准用于新用途使用的资金。</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楷体_GB2312" w:hAnsi="Times New Roman"/>
          <w:b/>
          <w:sz w:val="32"/>
          <w:szCs w:val="32"/>
        </w:rPr>
        <w:t>（七）基本支出：</w:t>
      </w:r>
      <w:r>
        <w:rPr>
          <w:rFonts w:ascii="Times New Roman" w:eastAsia="仿宋_GB2312" w:hAnsi="Times New Roman"/>
          <w:sz w:val="32"/>
          <w:szCs w:val="32"/>
        </w:rPr>
        <w:t>指为保证机构正常运转，完成日常工作任务而发生的人员支出和公用支出。</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楷体_GB2312" w:hAnsi="Times New Roman"/>
          <w:b/>
          <w:sz w:val="32"/>
          <w:szCs w:val="32"/>
        </w:rPr>
        <w:t>（八）项目支出：</w:t>
      </w:r>
      <w:r>
        <w:rPr>
          <w:rFonts w:ascii="Times New Roman" w:eastAsia="仿宋_GB2312" w:hAnsi="Times New Roman"/>
          <w:sz w:val="32"/>
          <w:szCs w:val="32"/>
        </w:rPr>
        <w:t>指在基本支出之外为完成特定行政任务和事业发展目标所发生的支出。</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楷体_GB2312" w:hAnsi="Times New Roman"/>
          <w:b/>
          <w:sz w:val="32"/>
          <w:szCs w:val="32"/>
        </w:rPr>
        <w:t>（九）“三公”经费：</w:t>
      </w:r>
      <w:r>
        <w:rPr>
          <w:rFonts w:ascii="Times New Roman" w:eastAsia="仿宋_GB2312" w:hAnsi="Times New Roman"/>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                    </w:t>
      </w:r>
    </w:p>
    <w:p>
      <w:pPr>
        <w:pBdr>
          <w:top w:val="none" w:sz="0" w:space="0" w:color="auto"/>
          <w:left w:val="none" w:sz="0" w:space="0" w:color="auto"/>
          <w:bottom w:val="none" w:sz="0" w:space="0" w:color="auto"/>
          <w:right w:val="none" w:sz="0" w:space="0" w:color="auto"/>
          <w:between w:val="none" w:sz="0" w:space="0" w:color="auto"/>
        </w:pBdr>
        <w:spacing w:line="590" w:lineRule="exact"/>
        <w:ind w:firstLineChars="1900" w:firstLine="60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90" w:lineRule="exact"/>
        <w:ind w:left="0" w:firstLineChars="1650" w:firstLine="5280"/>
        <w:rPr>
          <w:rFonts w:ascii="Times New Roman" w:eastAsia="仿宋_GB2312" w:hAnsi="Times New Roman"/>
          <w:sz w:val="32"/>
          <w:szCs w:val="32"/>
        </w:rPr>
      </w:pPr>
      <w:r>
        <w:rPr>
          <w:rFonts w:ascii="Times New Roman" w:eastAsia="仿宋_GB2312" w:hAnsi="Times New Roman"/>
          <w:sz w:val="32"/>
          <w:szCs w:val="32"/>
        </w:rPr>
        <w:t>茂县教育局</w:t>
      </w:r>
    </w:p>
    <w:p>
      <w:pPr>
        <w:pBdr>
          <w:top w:val="none" w:sz="0" w:space="0" w:color="auto"/>
          <w:left w:val="none" w:sz="0" w:space="0" w:color="auto"/>
          <w:bottom w:val="none" w:sz="0" w:space="0" w:color="auto"/>
          <w:right w:val="none" w:sz="0" w:space="0" w:color="auto"/>
          <w:between w:val="none" w:sz="0" w:space="0" w:color="auto"/>
        </w:pBdr>
        <w:spacing w:line="590" w:lineRule="exact"/>
        <w:ind w:rightChars="400" w:right="840"/>
        <w:rPr>
          <w:rFonts w:ascii="Times New Roman" w:eastAsia="仿宋_GB2312" w:hAnsi="Times New Roman"/>
          <w:sz w:val="32"/>
          <w:szCs w:val="32"/>
        </w:rPr>
      </w:pPr>
      <w:r>
        <w:rPr>
          <w:rFonts w:ascii="Times New Roman" w:eastAsia="仿宋_GB2312" w:hAnsi="Times New Roman"/>
          <w:sz w:val="32"/>
          <w:szCs w:val="32"/>
        </w:rPr>
        <w:t xml:space="preserve">                               2026年4月3日</w:t>
      </w: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90" w:lineRule="exact"/>
        <w:rPr>
          <w:rFonts w:ascii="Times New Roman" w:eastAsia="仿宋_GB2312" w:hAnsi="Times New Roman"/>
          <w:sz w:val="32"/>
          <w:szCs w:val="32"/>
        </w:rPr>
      </w:pPr>
    </w:p>
    <w:sectPr>
      <w:headerReference w:type="default" r:id="rId2"/>
      <w:footerReference w:type="default" r:id="rId3"/>
      <w:footerReference w:type="even" r:id="rId4"/>
      <w:pgSz w:w="11906" w:h="16838"/>
      <w:pgMar w:top="1440" w:right="1800" w:bottom="1440" w:left="1800" w:header="851" w:footer="992"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1" w:usb1="080E0000" w:usb2="00000000" w:usb3="00000000" w:csb0="00040000" w:csb1="00000000"/>
  </w:font>
  <w:font w:name="方正小标宋简体">
    <w:panose1 w:val="02010601030101010101"/>
    <w:charset w:val="86"/>
    <w:family w:val="auto"/>
    <w:pitch w:val="variable"/>
    <w:sig w:usb0="00000001" w:usb1="080E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Aptos">
    <w:altName w:val="Times New Roman"/>
    <w:panose1 w:val="00000000000000000000"/>
    <w:charset w:val="00"/>
    <w:family w:val="auto"/>
    <w:pitch w:val="variable"/>
    <w:sig w:usb0="00000000" w:usb1="00000000" w:usb2="00000000" w:usb3="00000000" w:csb0="00040001" w:csb1="00000000"/>
  </w:font>
  <w:font w:name="等线">
    <w:altName w:val="宋体"/>
    <w:panose1 w:val="00000000000000000000"/>
    <w:charset w:val="86"/>
    <w:family w:val="auto"/>
    <w:pitch w:val="variable"/>
    <w:sig w:usb0="00000000"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rPr>
        <w:b/>
        <w:bCs/>
        <w:sz w:val="28"/>
        <w:szCs w:val="28"/>
      </w:rPr>
    </w:pPr>
    <w:r>
      <w:rPr>
        <w:rStyle w:val="23"/>
        <w:b/>
        <w:bCs/>
        <w:sz w:val="28"/>
        <w:szCs w:val="28"/>
      </w:rPr>
      <w:fldChar w:fldCharType="begin"/>
    </w:r>
    <w:r>
      <w:rPr>
        <w:rStyle w:val="23"/>
        <w:b/>
        <w:bCs/>
        <w:sz w:val="28"/>
        <w:szCs w:val="28"/>
      </w:rPr>
      <w:instrText>Page</w:instrText>
    </w:r>
    <w:r>
      <w:rPr>
        <w:rStyle w:val="23"/>
        <w:b/>
        <w:bCs/>
        <w:sz w:val="28"/>
        <w:szCs w:val="28"/>
      </w:rPr>
      <w:fldChar w:fldCharType="separate"/>
    </w:r>
    <w:r>
      <w:rPr>
        <w:rStyle w:val="23"/>
        <w:b/>
        <w:bCs/>
        <w:sz w:val="28"/>
        <w:szCs w:val="28"/>
      </w:rPr>
      <w:t>- 1 -</w:t>
    </w:r>
    <w:r>
      <w:rPr>
        <w:rStyle w:val="23"/>
        <w:b/>
        <w:bCs/>
        <w:sz w:val="28"/>
        <w:szCs w:val="28"/>
      </w:rPr>
      <w:fldChar w:fldCharType="end"/>
    </w:r>
  </w:p>
  <w:p>
    <w:pPr>
      <w:pStyle w:val="15"/>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23"/>
      </w:rPr>
      <w:fldChar w:fldCharType="begin"/>
    </w:r>
    <w:r>
      <w:rPr>
        <w:rStyle w:val="23"/>
      </w:rPr>
      <w:instrText>Page</w:instrText>
    </w:r>
    <w:r>
      <w:rPr>
        <w:rStyle w:val="23"/>
      </w:rPr>
      <w:fldChar w:fldCharType="separate"/>
    </w:r>
    <w:r>
      <w:rPr>
        <w:rStyle w:val="23"/>
      </w:rPr>
      <w:t>- 1 -</w:t>
    </w:r>
    <w:r>
      <w:rPr>
        <w:rStyle w:val="23"/>
      </w:rPr>
      <w:fldChar w:fldCharType="end"/>
    </w:r>
  </w:p>
  <w:p>
    <w:pPr>
      <w:pStyle w:val="15"/>
      <w:tabs>
        <w:tab w:val="center" w:pos="4153"/>
        <w:tab w:val="right" w:pos="8306"/>
      </w:tabs>
      <w:ind w:right="360" w:firstLine="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No Spacing"/>
    <w:autoRedefine/>
    <w:pPr>
      <w:ind w:firstLineChars="200" w:firstLine="200"/>
    </w:pPr>
    <w:rPr>
      <w:rFonts w:ascii="Calibri" w:eastAsia="仿宋_GB2312" w:cs="Arial" w:hAnsi="Calibri"/>
      <w:sz w:val="30"/>
      <w:szCs w:val="22"/>
      <w:lang w:val="en-US" w:eastAsia="zh-CN" w:bidi="ar-SA"/>
    </w:rPr>
  </w:style>
  <w:style w:type="paragraph" w:customStyle="1" w:styleId="20">
    <w:name w:val="浅色列表11"/>
    <w:basedOn w:val="0"/>
    <w:pPr>
      <w:ind w:firstLineChars="200" w:firstLine="200"/>
    </w:pPr>
    <w:rPr>
      <w:rFonts w:ascii="Calibri" w:eastAsia="宋体" w:cs="Arial" w:hAnsi="Calibri"/>
      <w:szCs w:val="24"/>
    </w:rPr>
  </w:style>
  <w:style w:type="paragraph" w:customStyle="1" w:styleId="21">
    <w:name w:val="浅色列表1"/>
    <w:basedOn w:val="0"/>
    <w:pPr>
      <w:spacing w:after="160" w:line="278" w:lineRule="auto"/>
      <w:ind w:left="720"/>
      <w:contextualSpacing/>
    </w:pPr>
    <w:rPr>
      <w:rFonts w:ascii="Aptos" w:eastAsia="等线" w:hAnsi="Aptos"/>
      <w:sz w:val="24"/>
      <w:szCs w:val="24"/>
    </w:rPr>
  </w:style>
  <w:style w:type="paragraph" w:styleId="22">
    <w:name w:val="Body Text"/>
    <w:basedOn w:val="0"/>
    <w:autoRedefine/>
    <w:pPr>
      <w:spacing w:beforeLines="30" w:before="30"/>
    </w:pPr>
    <w:rPr>
      <w:rFonts w:ascii="仿宋_GB2312" w:eastAsia="仿宋_GB2312"/>
      <w:kern w:val="0"/>
      <w:sz w:val="24"/>
      <w:szCs w:val="20"/>
    </w:rPr>
  </w:style>
  <w:style w:type="character" w:styleId="23">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345</TotalTime>
  <Application>Yozo_Office27021597764231179</Application>
  <Pages>13</Pages>
  <Words>4633</Words>
  <Characters>5617</Characters>
  <Lines>290</Lines>
  <Paragraphs>119</Paragraphs>
  <CharactersWithSpaces>5691</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cp:revision>
  <cp:lastPrinted>2026-03-30T08:06:24Z</cp:lastPrinted>
  <dcterms:created xsi:type="dcterms:W3CDTF">2026-03-26T07:31:00Z</dcterms:created>
  <dcterms:modified xsi:type="dcterms:W3CDTF">2026-04-03T02:01:24Z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8C3C4880BE4A446C8BAD1353B4BBB08F_13</vt:lpwstr>
  </property>
</Properties>
</file>